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6E2DB" w14:textId="77105C4E" w:rsidR="002C7991" w:rsidRPr="00FC3C3B" w:rsidRDefault="00FB4E2A" w:rsidP="00C65CAE">
      <w:pPr>
        <w:pStyle w:val="Pagedecouverture"/>
        <w:rPr>
          <w:noProof/>
        </w:rPr>
      </w:pPr>
      <w:r>
        <w:rPr>
          <w:noProof/>
        </w:rPr>
        <w:pict w14:anchorId="5D4897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9753D022-105D-4279-9DE7-DD386D4E9EE8" style="width:455.4pt;height:384pt">
            <v:imagedata r:id="rId10" o:title=""/>
          </v:shape>
        </w:pict>
      </w:r>
    </w:p>
    <w:p w14:paraId="0B29BC8F" w14:textId="77777777" w:rsidR="002C7991" w:rsidRPr="00FC3C3B" w:rsidRDefault="002C7991">
      <w:pPr>
        <w:rPr>
          <w:noProof/>
        </w:rPr>
        <w:sectPr w:rsidR="002C7991" w:rsidRPr="00FC3C3B" w:rsidSect="00742C1D">
          <w:headerReference w:type="even" r:id="rId11"/>
          <w:headerReference w:type="default" r:id="rId12"/>
          <w:footerReference w:type="even" r:id="rId13"/>
          <w:footerReference w:type="default" r:id="rId14"/>
          <w:headerReference w:type="first" r:id="rId15"/>
          <w:footerReference w:type="first" r:id="rId16"/>
          <w:pgSz w:w="11907" w:h="16839"/>
          <w:pgMar w:top="1134" w:right="1417" w:bottom="1134" w:left="1417" w:header="709" w:footer="709" w:gutter="0"/>
          <w:pgNumType w:start="0"/>
          <w:cols w:space="720"/>
          <w:docGrid w:linePitch="360"/>
        </w:sectPr>
      </w:pPr>
    </w:p>
    <w:p w14:paraId="5B337AFC" w14:textId="77777777" w:rsidR="002C7991" w:rsidRPr="00FC3C3B" w:rsidRDefault="00550165">
      <w:pPr>
        <w:pStyle w:val="Exposdesmotifstitre"/>
        <w:rPr>
          <w:noProof/>
        </w:rPr>
      </w:pPr>
      <w:r w:rsidRPr="00FC3C3B">
        <w:rPr>
          <w:noProof/>
        </w:rPr>
        <w:lastRenderedPageBreak/>
        <w:t>EXPLANATORY MEMORANDUM</w:t>
      </w:r>
    </w:p>
    <w:p w14:paraId="610208DC" w14:textId="77777777" w:rsidR="002C7991" w:rsidRPr="000A11CE" w:rsidRDefault="00550165">
      <w:pPr>
        <w:pStyle w:val="ManualHeading1"/>
        <w:widowControl w:val="0"/>
        <w:shd w:val="clear" w:color="auto" w:fill="FFFFFF" w:themeFill="background1"/>
        <w:spacing w:before="230" w:after="0" w:line="269" w:lineRule="exact"/>
        <w:ind w:right="86"/>
        <w:rPr>
          <w:noProof/>
        </w:rPr>
      </w:pPr>
      <w:r w:rsidRPr="000A11CE">
        <w:rPr>
          <w:noProof/>
        </w:rPr>
        <w:t>1.</w:t>
      </w:r>
      <w:r w:rsidRPr="000A11CE">
        <w:rPr>
          <w:noProof/>
        </w:rPr>
        <w:tab/>
        <w:t>CONTEXT OF THE PROPOSAL</w:t>
      </w:r>
    </w:p>
    <w:p w14:paraId="261ACEAB" w14:textId="77777777" w:rsidR="002C7991" w:rsidRPr="00FC3C3B" w:rsidRDefault="00550165">
      <w:pPr>
        <w:pStyle w:val="ManualHeading2"/>
        <w:rPr>
          <w:rFonts w:eastAsia="Arial Unicode MS"/>
          <w:noProof/>
        </w:rPr>
      </w:pPr>
      <w:r w:rsidRPr="00FC3C3B">
        <w:rPr>
          <w:rFonts w:eastAsia="Arial Unicode MS"/>
          <w:noProof/>
          <w:color w:val="000000"/>
          <w:bdr w:val="nil"/>
          <w:lang w:eastAsia="en-GB"/>
        </w:rPr>
        <w:t>•</w:t>
      </w:r>
      <w:r w:rsidRPr="00FC3C3B">
        <w:rPr>
          <w:rFonts w:eastAsia="Arial Unicode MS"/>
          <w:noProof/>
          <w:color w:val="000000"/>
          <w:u w:color="000000"/>
          <w:bdr w:val="nil"/>
          <w:lang w:eastAsia="en-GB"/>
        </w:rPr>
        <w:tab/>
      </w:r>
      <w:r w:rsidRPr="00FC3C3B">
        <w:rPr>
          <w:rFonts w:eastAsia="Arial Unicode MS"/>
          <w:noProof/>
        </w:rPr>
        <w:t>Reasons for and objectives of the proposal</w:t>
      </w:r>
    </w:p>
    <w:p w14:paraId="6D773B6D" w14:textId="77777777" w:rsidR="002C7991" w:rsidRPr="00FC3C3B" w:rsidRDefault="00550165">
      <w:pPr>
        <w:rPr>
          <w:rFonts w:eastAsia="Times New Roman"/>
          <w:b/>
          <w:bCs/>
          <w:noProof/>
        </w:rPr>
      </w:pPr>
      <w:r w:rsidRPr="00FC3C3B">
        <w:rPr>
          <w:rFonts w:eastAsia="Times New Roman"/>
          <w:b/>
          <w:bCs/>
          <w:noProof/>
        </w:rPr>
        <w:t xml:space="preserve">The EU’s long-term commitment to </w:t>
      </w:r>
      <w:r w:rsidR="00440D73" w:rsidRPr="00FC3C3B">
        <w:rPr>
          <w:rFonts w:eastAsia="Times New Roman"/>
          <w:b/>
          <w:bCs/>
          <w:noProof/>
        </w:rPr>
        <w:t xml:space="preserve">a </w:t>
      </w:r>
      <w:r w:rsidRPr="00FC3C3B">
        <w:rPr>
          <w:rFonts w:eastAsia="Times New Roman"/>
          <w:b/>
          <w:bCs/>
          <w:noProof/>
        </w:rPr>
        <w:t xml:space="preserve">green and digital </w:t>
      </w:r>
      <w:r w:rsidR="00440D73" w:rsidRPr="00FC3C3B">
        <w:rPr>
          <w:rFonts w:eastAsia="Times New Roman"/>
          <w:b/>
          <w:bCs/>
          <w:noProof/>
        </w:rPr>
        <w:t xml:space="preserve">transition </w:t>
      </w:r>
      <w:r w:rsidRPr="00FC3C3B">
        <w:rPr>
          <w:rFonts w:eastAsia="Times New Roman"/>
          <w:b/>
          <w:bCs/>
          <w:noProof/>
        </w:rPr>
        <w:t>and the impact on industr</w:t>
      </w:r>
      <w:r w:rsidR="00440D73" w:rsidRPr="00FC3C3B">
        <w:rPr>
          <w:rFonts w:eastAsia="Times New Roman"/>
          <w:b/>
          <w:bCs/>
          <w:noProof/>
        </w:rPr>
        <w:t xml:space="preserve">y in the </w:t>
      </w:r>
      <w:r w:rsidRPr="00FC3C3B">
        <w:rPr>
          <w:rFonts w:eastAsia="Times New Roman"/>
          <w:b/>
          <w:bCs/>
          <w:noProof/>
        </w:rPr>
        <w:t>EU</w:t>
      </w:r>
      <w:r w:rsidR="00891CBE" w:rsidRPr="00FC3C3B">
        <w:rPr>
          <w:rFonts w:eastAsia="Times New Roman"/>
          <w:b/>
          <w:bCs/>
          <w:noProof/>
        </w:rPr>
        <w:t>.</w:t>
      </w:r>
    </w:p>
    <w:p w14:paraId="122FC57A" w14:textId="77777777" w:rsidR="00476E60" w:rsidRPr="00FC3C3B" w:rsidRDefault="00476E60" w:rsidP="00476E60">
      <w:pPr>
        <w:rPr>
          <w:rFonts w:eastAsia="Times New Roman"/>
          <w:noProof/>
        </w:rPr>
      </w:pPr>
      <w:r w:rsidRPr="00FC3C3B">
        <w:rPr>
          <w:rFonts w:eastAsia="Times New Roman"/>
          <w:noProof/>
        </w:rPr>
        <w:t xml:space="preserve">The EU is an attractive destination for sustainable investments. The European Single Market has over the last 30 years delivered very significant economic benefits, </w:t>
      </w:r>
      <w:r w:rsidR="00D94659" w:rsidRPr="00FC3C3B">
        <w:rPr>
          <w:rFonts w:eastAsia="Times New Roman"/>
          <w:noProof/>
        </w:rPr>
        <w:t xml:space="preserve">delivering to the EU a GDP that is up to </w:t>
      </w:r>
      <w:r w:rsidR="006A3129" w:rsidRPr="00FC3C3B">
        <w:rPr>
          <w:rFonts w:eastAsia="Times New Roman"/>
          <w:noProof/>
        </w:rPr>
        <w:t>9%</w:t>
      </w:r>
      <w:r w:rsidR="00D94659" w:rsidRPr="00FC3C3B">
        <w:rPr>
          <w:rFonts w:eastAsia="Times New Roman"/>
          <w:noProof/>
        </w:rPr>
        <w:t xml:space="preserve"> higher in the long run, than would have been the case without the Single Market</w:t>
      </w:r>
      <w:r w:rsidRPr="00FC3C3B">
        <w:rPr>
          <w:rFonts w:eastAsia="Times New Roman"/>
          <w:noProof/>
        </w:rPr>
        <w:t>.</w:t>
      </w:r>
      <w:r w:rsidR="00ED5935" w:rsidRPr="00FC3C3B">
        <w:rPr>
          <w:rStyle w:val="FootnoteReference"/>
          <w:rFonts w:eastAsia="Times New Roman"/>
          <w:noProof/>
        </w:rPr>
        <w:footnoteReference w:id="2"/>
      </w:r>
      <w:r w:rsidRPr="00FC3C3B">
        <w:rPr>
          <w:rFonts w:eastAsia="Times New Roman"/>
          <w:noProof/>
        </w:rPr>
        <w:t xml:space="preserve"> The European business model is based on openness and the EU offers a business-friendly environment. The European social model provides </w:t>
      </w:r>
      <w:r w:rsidR="00BA2C31" w:rsidRPr="00FC3C3B">
        <w:rPr>
          <w:rFonts w:eastAsia="Times New Roman"/>
          <w:noProof/>
        </w:rPr>
        <w:t>high quality and inclusive</w:t>
      </w:r>
      <w:r w:rsidRPr="00FC3C3B">
        <w:rPr>
          <w:rFonts w:eastAsia="Times New Roman"/>
          <w:noProof/>
        </w:rPr>
        <w:t xml:space="preserve"> education</w:t>
      </w:r>
      <w:r w:rsidR="00BA2C31" w:rsidRPr="00FC3C3B">
        <w:rPr>
          <w:rFonts w:eastAsia="Times New Roman"/>
          <w:noProof/>
        </w:rPr>
        <w:t xml:space="preserve"> and training</w:t>
      </w:r>
      <w:r w:rsidRPr="00FC3C3B">
        <w:rPr>
          <w:rFonts w:eastAsia="Times New Roman"/>
          <w:noProof/>
        </w:rPr>
        <w:t>,</w:t>
      </w:r>
      <w:r w:rsidR="00BA2C31" w:rsidRPr="00FC3C3B">
        <w:rPr>
          <w:rFonts w:eastAsia="Times New Roman"/>
          <w:noProof/>
        </w:rPr>
        <w:t xml:space="preserve"> well-functioning</w:t>
      </w:r>
      <w:r w:rsidRPr="00FC3C3B">
        <w:rPr>
          <w:rFonts w:eastAsia="Times New Roman"/>
          <w:noProof/>
        </w:rPr>
        <w:t xml:space="preserve"> social protection </w:t>
      </w:r>
      <w:r w:rsidR="00BA2C31" w:rsidRPr="00FC3C3B">
        <w:rPr>
          <w:rFonts w:eastAsia="Times New Roman"/>
          <w:noProof/>
        </w:rPr>
        <w:t>systems</w:t>
      </w:r>
      <w:r w:rsidRPr="00FC3C3B">
        <w:rPr>
          <w:rFonts w:eastAsia="Times New Roman"/>
          <w:noProof/>
        </w:rPr>
        <w:t xml:space="preserve">, as well as </w:t>
      </w:r>
      <w:r w:rsidR="00BA2C31" w:rsidRPr="00FC3C3B">
        <w:rPr>
          <w:rFonts w:eastAsia="Times New Roman"/>
          <w:noProof/>
        </w:rPr>
        <w:t xml:space="preserve">public </w:t>
      </w:r>
      <w:r w:rsidRPr="00FC3C3B">
        <w:rPr>
          <w:rFonts w:eastAsia="Times New Roman"/>
          <w:noProof/>
        </w:rPr>
        <w:t>health and environmental protection. Together with fair competition and an unparalleled regulatory framework geared towards the twin digital and green transitions</w:t>
      </w:r>
      <w:r w:rsidR="001126D0" w:rsidRPr="00FC3C3B">
        <w:rPr>
          <w:rFonts w:eastAsia="Times New Roman"/>
          <w:noProof/>
        </w:rPr>
        <w:t xml:space="preserve"> and resilience</w:t>
      </w:r>
      <w:r w:rsidRPr="00FC3C3B">
        <w:rPr>
          <w:rFonts w:eastAsia="Times New Roman"/>
          <w:noProof/>
        </w:rPr>
        <w:t xml:space="preserve">, this is helping to provide the necessary predictability for investors.  </w:t>
      </w:r>
    </w:p>
    <w:p w14:paraId="4DB79CFB" w14:textId="77777777" w:rsidR="00476E60" w:rsidRPr="00FC3C3B" w:rsidRDefault="00476E60" w:rsidP="00476E60">
      <w:pPr>
        <w:rPr>
          <w:rFonts w:eastAsia="Times New Roman"/>
          <w:noProof/>
        </w:rPr>
      </w:pPr>
      <w:r w:rsidRPr="00FC3C3B">
        <w:rPr>
          <w:rFonts w:eastAsia="Times New Roman"/>
          <w:noProof/>
        </w:rPr>
        <w:t xml:space="preserve">Strengthening the competitiveness </w:t>
      </w:r>
      <w:r w:rsidR="001126D0" w:rsidRPr="00FC3C3B">
        <w:rPr>
          <w:rFonts w:eastAsia="Times New Roman"/>
          <w:noProof/>
        </w:rPr>
        <w:t xml:space="preserve">and </w:t>
      </w:r>
      <w:r w:rsidR="00B2294A" w:rsidRPr="00FC3C3B">
        <w:rPr>
          <w:rFonts w:eastAsia="Times New Roman"/>
          <w:noProof/>
        </w:rPr>
        <w:t xml:space="preserve">resilience in strategic sectors and </w:t>
      </w:r>
      <w:r w:rsidR="001126D0" w:rsidRPr="00FC3C3B">
        <w:rPr>
          <w:rFonts w:eastAsia="Times New Roman"/>
          <w:noProof/>
        </w:rPr>
        <w:t xml:space="preserve">reducing the dependencies </w:t>
      </w:r>
      <w:r w:rsidRPr="00FC3C3B">
        <w:rPr>
          <w:rFonts w:eastAsia="Times New Roman"/>
          <w:noProof/>
        </w:rPr>
        <w:t>of the European economy through the green and digital transformations has been the EU compass over the last years. With NextGenerationEU,</w:t>
      </w:r>
      <w:r w:rsidR="008F5F73" w:rsidRPr="00FC3C3B">
        <w:rPr>
          <w:rStyle w:val="FootnoteReference"/>
          <w:rFonts w:eastAsia="Times New Roman"/>
          <w:noProof/>
        </w:rPr>
        <w:footnoteReference w:id="3"/>
      </w:r>
      <w:r w:rsidRPr="00FC3C3B">
        <w:rPr>
          <w:rFonts w:eastAsia="Times New Roman"/>
          <w:noProof/>
        </w:rPr>
        <w:t xml:space="preserve"> the EU’s flagship economic recovery programme, the EU has closed the gap with pre-pandemic output levels already in the summer of 2021. The funds directed to the twin green and digital </w:t>
      </w:r>
      <w:r w:rsidR="00E965BB" w:rsidRPr="00FC3C3B">
        <w:rPr>
          <w:rFonts w:eastAsia="Times New Roman"/>
          <w:noProof/>
        </w:rPr>
        <w:t>transition</w:t>
      </w:r>
      <w:r w:rsidRPr="00FC3C3B">
        <w:rPr>
          <w:rFonts w:eastAsia="Times New Roman"/>
          <w:noProof/>
        </w:rPr>
        <w:t xml:space="preserve"> are making </w:t>
      </w:r>
      <w:r w:rsidR="00E965BB" w:rsidRPr="00FC3C3B">
        <w:rPr>
          <w:rFonts w:eastAsia="Times New Roman"/>
          <w:noProof/>
        </w:rPr>
        <w:t>our</w:t>
      </w:r>
      <w:r w:rsidRPr="00FC3C3B">
        <w:rPr>
          <w:rFonts w:eastAsia="Times New Roman"/>
          <w:noProof/>
        </w:rPr>
        <w:t xml:space="preserve"> economy more competitive. The unprecedented efforts by Member States to implement crucial reforms </w:t>
      </w:r>
      <w:r w:rsidR="00005889" w:rsidRPr="00FC3C3B">
        <w:rPr>
          <w:rFonts w:eastAsia="Times New Roman"/>
          <w:noProof/>
        </w:rPr>
        <w:t>increase the</w:t>
      </w:r>
      <w:r w:rsidRPr="00FC3C3B">
        <w:rPr>
          <w:rFonts w:eastAsia="Times New Roman"/>
          <w:noProof/>
        </w:rPr>
        <w:t xml:space="preserve"> EU</w:t>
      </w:r>
      <w:r w:rsidR="00005889" w:rsidRPr="00FC3C3B">
        <w:rPr>
          <w:rFonts w:eastAsia="Times New Roman"/>
          <w:noProof/>
        </w:rPr>
        <w:t>’s resilience</w:t>
      </w:r>
      <w:r w:rsidRPr="00FC3C3B">
        <w:rPr>
          <w:rFonts w:eastAsia="Times New Roman"/>
          <w:noProof/>
        </w:rPr>
        <w:t xml:space="preserve">.  </w:t>
      </w:r>
    </w:p>
    <w:p w14:paraId="180E23D9" w14:textId="77777777" w:rsidR="00476E60" w:rsidRPr="00FC3C3B" w:rsidRDefault="00476E60" w:rsidP="00476E60">
      <w:pPr>
        <w:rPr>
          <w:rFonts w:eastAsia="Times New Roman"/>
          <w:noProof/>
        </w:rPr>
      </w:pPr>
      <w:r w:rsidRPr="00FC3C3B">
        <w:rPr>
          <w:rFonts w:eastAsia="Times New Roman"/>
          <w:noProof/>
        </w:rPr>
        <w:t>The EU industry has proven its inbuilt resilience but is being challenged</w:t>
      </w:r>
      <w:r w:rsidR="00D36610" w:rsidRPr="00FC3C3B">
        <w:rPr>
          <w:rFonts w:eastAsia="Times New Roman"/>
          <w:noProof/>
        </w:rPr>
        <w:t>.</w:t>
      </w:r>
      <w:r w:rsidRPr="00FC3C3B">
        <w:rPr>
          <w:rFonts w:eastAsia="Times New Roman"/>
          <w:noProof/>
        </w:rPr>
        <w:t xml:space="preserve"> </w:t>
      </w:r>
      <w:r w:rsidR="00D36610" w:rsidRPr="00FC3C3B">
        <w:rPr>
          <w:rFonts w:eastAsia="Times New Roman"/>
          <w:noProof/>
        </w:rPr>
        <w:t>H</w:t>
      </w:r>
      <w:r w:rsidRPr="00FC3C3B">
        <w:rPr>
          <w:rFonts w:eastAsia="Times New Roman"/>
          <w:noProof/>
        </w:rPr>
        <w:t xml:space="preserve">igh inflation, labour </w:t>
      </w:r>
      <w:r w:rsidR="00BA2C31" w:rsidRPr="00FC3C3B">
        <w:rPr>
          <w:rFonts w:eastAsia="Times New Roman"/>
          <w:noProof/>
        </w:rPr>
        <w:t>and skills</w:t>
      </w:r>
      <w:r w:rsidRPr="00FC3C3B">
        <w:rPr>
          <w:rFonts w:eastAsia="Times New Roman"/>
          <w:noProof/>
        </w:rPr>
        <w:t xml:space="preserve"> shortages, </w:t>
      </w:r>
      <w:r w:rsidR="00921FC9" w:rsidRPr="00FC3C3B">
        <w:rPr>
          <w:rFonts w:eastAsia="Times New Roman"/>
          <w:noProof/>
        </w:rPr>
        <w:t xml:space="preserve">demographic change, </w:t>
      </w:r>
      <w:r w:rsidRPr="00FC3C3B">
        <w:rPr>
          <w:rFonts w:eastAsia="Times New Roman"/>
          <w:noProof/>
        </w:rPr>
        <w:t>post-COVID supply chains disruptions, rising interest rates, and spikes in energy costs and input prices</w:t>
      </w:r>
      <w:r w:rsidR="00D36610" w:rsidRPr="00FC3C3B">
        <w:rPr>
          <w:rFonts w:eastAsia="Times New Roman"/>
          <w:noProof/>
        </w:rPr>
        <w:t xml:space="preserve"> </w:t>
      </w:r>
      <w:r w:rsidR="00CA0291" w:rsidRPr="00FC3C3B">
        <w:rPr>
          <w:rFonts w:eastAsia="Times New Roman"/>
          <w:noProof/>
        </w:rPr>
        <w:t xml:space="preserve">are </w:t>
      </w:r>
      <w:r w:rsidR="00BE6DB7" w:rsidRPr="00FC3C3B">
        <w:rPr>
          <w:rFonts w:eastAsia="Times New Roman"/>
          <w:noProof/>
        </w:rPr>
        <w:t xml:space="preserve">weighing </w:t>
      </w:r>
      <w:r w:rsidR="00D36610" w:rsidRPr="00FC3C3B">
        <w:rPr>
          <w:rFonts w:eastAsia="Times New Roman"/>
          <w:noProof/>
        </w:rPr>
        <w:t>on the competitiveness of the EU industry</w:t>
      </w:r>
      <w:r w:rsidRPr="00FC3C3B">
        <w:rPr>
          <w:rFonts w:eastAsia="Times New Roman"/>
          <w:noProof/>
        </w:rPr>
        <w:t>.  This is paired with strong, but not always fair, competition on the fragmented global market.</w:t>
      </w:r>
      <w:r w:rsidR="00D36610" w:rsidRPr="00FC3C3B">
        <w:rPr>
          <w:rFonts w:eastAsia="Times New Roman"/>
          <w:noProof/>
        </w:rPr>
        <w:t xml:space="preserve"> </w:t>
      </w:r>
      <w:r w:rsidRPr="00FC3C3B">
        <w:rPr>
          <w:rFonts w:eastAsia="Times New Roman"/>
          <w:noProof/>
        </w:rPr>
        <w:t xml:space="preserve">The uptake and scaling up of </w:t>
      </w:r>
      <w:r w:rsidR="009D0ADA" w:rsidRPr="00FC3C3B">
        <w:rPr>
          <w:rFonts w:eastAsia="Times New Roman"/>
          <w:noProof/>
        </w:rPr>
        <w:t xml:space="preserve">certain </w:t>
      </w:r>
      <w:r w:rsidR="00A423B1" w:rsidRPr="00FC3C3B">
        <w:rPr>
          <w:rFonts w:eastAsia="Times New Roman"/>
          <w:noProof/>
        </w:rPr>
        <w:t xml:space="preserve">critical and emerging </w:t>
      </w:r>
      <w:r w:rsidRPr="00FC3C3B">
        <w:rPr>
          <w:rFonts w:eastAsia="Times New Roman"/>
          <w:noProof/>
        </w:rPr>
        <w:t xml:space="preserve">technologies </w:t>
      </w:r>
      <w:r w:rsidR="00A423B1" w:rsidRPr="00FC3C3B">
        <w:rPr>
          <w:rFonts w:eastAsia="Times New Roman"/>
          <w:noProof/>
        </w:rPr>
        <w:t xml:space="preserve">in strategic sectors </w:t>
      </w:r>
      <w:r w:rsidR="00E70372" w:rsidRPr="00FC3C3B">
        <w:rPr>
          <w:rFonts w:eastAsia="Times New Roman"/>
          <w:noProof/>
        </w:rPr>
        <w:t>within the Union</w:t>
      </w:r>
      <w:r w:rsidRPr="00FC3C3B">
        <w:rPr>
          <w:rFonts w:eastAsia="Times New Roman"/>
          <w:noProof/>
        </w:rPr>
        <w:t xml:space="preserve"> will be essential to seize the opportunities and meet the objectives of the green and digital transitions</w:t>
      </w:r>
      <w:r w:rsidR="007468CF" w:rsidRPr="00FC3C3B">
        <w:rPr>
          <w:rFonts w:eastAsia="Times New Roman"/>
          <w:noProof/>
        </w:rPr>
        <w:t xml:space="preserve"> </w:t>
      </w:r>
      <w:r w:rsidR="00AB2A9D" w:rsidRPr="00FC3C3B">
        <w:rPr>
          <w:rFonts w:eastAsia="Times New Roman"/>
          <w:noProof/>
        </w:rPr>
        <w:t xml:space="preserve">to reduce </w:t>
      </w:r>
      <w:r w:rsidR="007468CF" w:rsidRPr="00FC3C3B">
        <w:rPr>
          <w:rFonts w:eastAsia="Times New Roman"/>
          <w:noProof/>
        </w:rPr>
        <w:t>strategic dependencies and to facilitate cross-border investments across the Single Market</w:t>
      </w:r>
      <w:r w:rsidRPr="00FC3C3B">
        <w:rPr>
          <w:rFonts w:eastAsia="Times New Roman"/>
          <w:noProof/>
        </w:rPr>
        <w:t>.</w:t>
      </w:r>
      <w:r w:rsidR="009D0ADA" w:rsidRPr="00FC3C3B">
        <w:rPr>
          <w:rFonts w:eastAsia="Times New Roman"/>
          <w:noProof/>
        </w:rPr>
        <w:t xml:space="preserve"> Therefore, i</w:t>
      </w:r>
      <w:r w:rsidRPr="00FC3C3B">
        <w:rPr>
          <w:rFonts w:eastAsia="Times New Roman"/>
          <w:noProof/>
        </w:rPr>
        <w:t xml:space="preserve">mmediate action is required to support the development </w:t>
      </w:r>
      <w:r w:rsidR="005D3EA8" w:rsidRPr="00FC3C3B">
        <w:rPr>
          <w:rFonts w:eastAsia="Times New Roman"/>
          <w:noProof/>
        </w:rPr>
        <w:t>or</w:t>
      </w:r>
      <w:r w:rsidRPr="00FC3C3B">
        <w:rPr>
          <w:rFonts w:eastAsia="Times New Roman"/>
          <w:noProof/>
        </w:rPr>
        <w:t xml:space="preserve"> manufacturing in the Union</w:t>
      </w:r>
      <w:r w:rsidR="009D0ADA" w:rsidRPr="00FC3C3B">
        <w:rPr>
          <w:rFonts w:eastAsia="Times New Roman"/>
          <w:noProof/>
        </w:rPr>
        <w:t>, or safeguarding and strengthening their value chains,</w:t>
      </w:r>
      <w:r w:rsidRPr="00FC3C3B">
        <w:rPr>
          <w:rFonts w:eastAsia="Times New Roman"/>
          <w:noProof/>
        </w:rPr>
        <w:t xml:space="preserve"> of </w:t>
      </w:r>
      <w:r w:rsidR="00517CC4" w:rsidRPr="00FC3C3B">
        <w:rPr>
          <w:rFonts w:eastAsia="Times New Roman"/>
          <w:noProof/>
        </w:rPr>
        <w:t xml:space="preserve">critical </w:t>
      </w:r>
      <w:r w:rsidRPr="00FC3C3B">
        <w:rPr>
          <w:rFonts w:eastAsia="Times New Roman"/>
          <w:noProof/>
        </w:rPr>
        <w:t>technologies</w:t>
      </w:r>
      <w:r w:rsidR="009D0ADA" w:rsidRPr="00FC3C3B">
        <w:rPr>
          <w:rFonts w:eastAsia="Times New Roman"/>
          <w:noProof/>
        </w:rPr>
        <w:t xml:space="preserve"> in the following </w:t>
      </w:r>
      <w:r w:rsidR="00725683" w:rsidRPr="00FC3C3B">
        <w:rPr>
          <w:rFonts w:eastAsia="Times New Roman"/>
          <w:noProof/>
        </w:rPr>
        <w:t xml:space="preserve">fields: </w:t>
      </w:r>
      <w:r w:rsidR="0072000C" w:rsidRPr="00FC3C3B">
        <w:rPr>
          <w:rFonts w:eastAsia="Times New Roman"/>
          <w:noProof/>
        </w:rPr>
        <w:t xml:space="preserve">deep and digital technologies, clean </w:t>
      </w:r>
      <w:r w:rsidR="00785BEF" w:rsidRPr="00FC3C3B">
        <w:rPr>
          <w:rFonts w:eastAsia="Times New Roman"/>
          <w:noProof/>
        </w:rPr>
        <w:t>technologies,</w:t>
      </w:r>
      <w:r w:rsidR="0072000C" w:rsidRPr="00FC3C3B">
        <w:rPr>
          <w:rFonts w:eastAsia="Times New Roman"/>
          <w:noProof/>
        </w:rPr>
        <w:t xml:space="preserve"> and biotechnologies</w:t>
      </w:r>
      <w:r w:rsidRPr="00FC3C3B">
        <w:rPr>
          <w:rFonts w:eastAsia="Times New Roman"/>
          <w:noProof/>
        </w:rPr>
        <w:t xml:space="preserve">. The Union also needs to address labour and skills shortages in those strategic sectors.   </w:t>
      </w:r>
    </w:p>
    <w:p w14:paraId="71820D6D" w14:textId="77777777" w:rsidR="00C37302" w:rsidRPr="00FC3C3B" w:rsidRDefault="00476E60" w:rsidP="00EB274A">
      <w:pPr>
        <w:rPr>
          <w:noProof/>
          <w:szCs w:val="24"/>
        </w:rPr>
      </w:pPr>
      <w:r w:rsidRPr="00FC3C3B">
        <w:rPr>
          <w:rFonts w:eastAsia="Times New Roman"/>
          <w:noProof/>
        </w:rPr>
        <w:t>The EU has already put forward several initiatives to support its industry. The Green Deal Industrial Plan</w:t>
      </w:r>
      <w:r w:rsidR="00545783" w:rsidRPr="00FC3C3B">
        <w:rPr>
          <w:rStyle w:val="FootnoteReference"/>
          <w:rFonts w:eastAsia="Times New Roman"/>
          <w:noProof/>
        </w:rPr>
        <w:footnoteReference w:id="4"/>
      </w:r>
      <w:r w:rsidRPr="00FC3C3B">
        <w:rPr>
          <w:rFonts w:eastAsia="Times New Roman"/>
          <w:noProof/>
        </w:rPr>
        <w:t xml:space="preserve"> seeks to enhance the competitiveness of Europe's net-zero industry</w:t>
      </w:r>
      <w:r w:rsidR="006960F3" w:rsidRPr="00FC3C3B">
        <w:rPr>
          <w:rFonts w:eastAsia="Times New Roman"/>
          <w:noProof/>
        </w:rPr>
        <w:t>, secure</w:t>
      </w:r>
      <w:r w:rsidRPr="00FC3C3B">
        <w:rPr>
          <w:rFonts w:eastAsia="Times New Roman"/>
          <w:noProof/>
        </w:rPr>
        <w:t xml:space="preserve"> the </w:t>
      </w:r>
      <w:r w:rsidR="006960F3" w:rsidRPr="00FC3C3B">
        <w:rPr>
          <w:rFonts w:eastAsia="Times New Roman"/>
          <w:noProof/>
        </w:rPr>
        <w:t>volumes needed for critical raw materials</w:t>
      </w:r>
      <w:r w:rsidRPr="00FC3C3B">
        <w:rPr>
          <w:rFonts w:eastAsia="Times New Roman"/>
          <w:noProof/>
        </w:rPr>
        <w:t xml:space="preserve"> and support the fast transition to climate neutrality. It provides</w:t>
      </w:r>
      <w:r w:rsidR="00D36610" w:rsidRPr="00FC3C3B">
        <w:rPr>
          <w:rFonts w:eastAsia="Times New Roman"/>
          <w:noProof/>
        </w:rPr>
        <w:t xml:space="preserve"> </w:t>
      </w:r>
      <w:r w:rsidRPr="00FC3C3B">
        <w:rPr>
          <w:rFonts w:eastAsia="Times New Roman"/>
          <w:noProof/>
        </w:rPr>
        <w:t>a more supportive environment for the scaling up of the EU's manufacturing capacity in clean-tech. The plan is based on four pillars: a predictable and simplified regulatory environment, speeding up access to finance, enhancing skills, and open trade for resilient supply chains. With the European Innovation Agenda,</w:t>
      </w:r>
      <w:r w:rsidR="00D43CB4" w:rsidRPr="00FC3C3B">
        <w:rPr>
          <w:rStyle w:val="FootnoteReference"/>
          <w:rFonts w:eastAsia="Times New Roman"/>
          <w:noProof/>
        </w:rPr>
        <w:footnoteReference w:id="5"/>
      </w:r>
      <w:r w:rsidRPr="00FC3C3B">
        <w:rPr>
          <w:rFonts w:eastAsia="Times New Roman"/>
          <w:noProof/>
        </w:rPr>
        <w:t xml:space="preserve"> the EU has sought to position Europe at the forefront of the new wave of deep tech innovation and start-ups. One of its main objectives is to improve access to finance for European start-ups and scale-ups, for example, </w:t>
      </w:r>
      <w:r w:rsidRPr="00FC3C3B">
        <w:rPr>
          <w:rFonts w:eastAsia="Times New Roman"/>
          <w:noProof/>
        </w:rPr>
        <w:lastRenderedPageBreak/>
        <w:t>by mobilising untapped sources of private capital and simplifying listing rules. Moreover, the Commission has in March 2023 adopted a new Temporary Crisis and Transition Framework</w:t>
      </w:r>
      <w:r w:rsidR="00B2736E" w:rsidRPr="00FC3C3B">
        <w:rPr>
          <w:rFonts w:eastAsia="Times New Roman"/>
          <w:noProof/>
        </w:rPr>
        <w:t xml:space="preserve"> for </w:t>
      </w:r>
      <w:r w:rsidRPr="00FC3C3B">
        <w:rPr>
          <w:rFonts w:eastAsia="Times New Roman"/>
          <w:noProof/>
        </w:rPr>
        <w:t>State aid.</w:t>
      </w:r>
      <w:r w:rsidR="00C4764D" w:rsidRPr="00FC3C3B">
        <w:rPr>
          <w:rStyle w:val="FootnoteReference"/>
          <w:rFonts w:eastAsia="Times New Roman"/>
          <w:noProof/>
        </w:rPr>
        <w:footnoteReference w:id="6"/>
      </w:r>
      <w:r w:rsidRPr="00FC3C3B">
        <w:rPr>
          <w:rFonts w:eastAsia="Times New Roman"/>
          <w:noProof/>
        </w:rPr>
        <w:t xml:space="preserve"> Member States have more flexibility to design and implement support measures in sectors that are key for the transition to climate neutrality. Member States are also currently amending their national recovery and resilience plans to include REPowerEU Chapters,</w:t>
      </w:r>
      <w:r w:rsidR="00CF6548" w:rsidRPr="00FC3C3B">
        <w:rPr>
          <w:rStyle w:val="FootnoteReference"/>
          <w:rFonts w:eastAsia="Times New Roman"/>
          <w:noProof/>
        </w:rPr>
        <w:footnoteReference w:id="7"/>
      </w:r>
      <w:r w:rsidRPr="00FC3C3B">
        <w:rPr>
          <w:rFonts w:eastAsia="Times New Roman"/>
          <w:noProof/>
        </w:rPr>
        <w:t xml:space="preserve"> which is a crucial opportunity to provide immediate support to companies and boost their competitiveness, without creating </w:t>
      </w:r>
      <w:r w:rsidR="005F1196" w:rsidRPr="00FC3C3B">
        <w:rPr>
          <w:rFonts w:eastAsia="Times New Roman"/>
          <w:noProof/>
        </w:rPr>
        <w:t xml:space="preserve">unnecessary </w:t>
      </w:r>
      <w:r w:rsidR="00C07D03" w:rsidRPr="00FC3C3B">
        <w:rPr>
          <w:rFonts w:eastAsia="Times New Roman"/>
          <w:noProof/>
        </w:rPr>
        <w:t>strategic</w:t>
      </w:r>
      <w:r w:rsidR="005F1196" w:rsidRPr="00FC3C3B">
        <w:rPr>
          <w:rFonts w:eastAsia="Times New Roman"/>
          <w:noProof/>
        </w:rPr>
        <w:t xml:space="preserve"> </w:t>
      </w:r>
      <w:r w:rsidRPr="00FC3C3B">
        <w:rPr>
          <w:rFonts w:eastAsia="Times New Roman"/>
          <w:noProof/>
        </w:rPr>
        <w:t>dependencies</w:t>
      </w:r>
      <w:r w:rsidR="00C37302" w:rsidRPr="00FC3C3B">
        <w:rPr>
          <w:rFonts w:eastAsia="Times New Roman"/>
          <w:noProof/>
        </w:rPr>
        <w:t xml:space="preserve">. </w:t>
      </w:r>
    </w:p>
    <w:p w14:paraId="254A0762" w14:textId="77777777" w:rsidR="005A00A0" w:rsidRPr="00FC3C3B" w:rsidRDefault="00476E60" w:rsidP="00476E60">
      <w:pPr>
        <w:rPr>
          <w:rFonts w:eastAsia="Times New Roman"/>
          <w:noProof/>
        </w:rPr>
      </w:pPr>
      <w:r w:rsidRPr="00FC3C3B">
        <w:rPr>
          <w:rFonts w:eastAsia="Times New Roman"/>
          <w:noProof/>
        </w:rPr>
        <w:t xml:space="preserve">While these solutions provide fast and targeted support, the EU needs a more structural answer to the investment needs of its industries. </w:t>
      </w:r>
      <w:r w:rsidR="00BE5013" w:rsidRPr="00FC3C3B">
        <w:rPr>
          <w:rFonts w:eastAsia="Times New Roman"/>
          <w:noProof/>
        </w:rPr>
        <w:t xml:space="preserve">As indicated by </w:t>
      </w:r>
      <w:r w:rsidRPr="00FC3C3B">
        <w:rPr>
          <w:rFonts w:eastAsia="Times New Roman"/>
          <w:noProof/>
        </w:rPr>
        <w:t xml:space="preserve">President von der Leyen </w:t>
      </w:r>
      <w:r w:rsidR="00BE5013" w:rsidRPr="00FC3C3B">
        <w:rPr>
          <w:rFonts w:eastAsia="Times New Roman"/>
          <w:noProof/>
        </w:rPr>
        <w:t>in the</w:t>
      </w:r>
      <w:r w:rsidR="008237A9" w:rsidRPr="00FC3C3B">
        <w:rPr>
          <w:rFonts w:eastAsia="Times New Roman"/>
          <w:noProof/>
        </w:rPr>
        <w:t xml:space="preserve"> State of the Union address of 14 September 2022,</w:t>
      </w:r>
      <w:r w:rsidR="00856F4C" w:rsidRPr="00FC3C3B">
        <w:rPr>
          <w:rStyle w:val="FootnoteReference"/>
          <w:rFonts w:eastAsia="Times New Roman"/>
          <w:noProof/>
        </w:rPr>
        <w:footnoteReference w:id="8"/>
      </w:r>
      <w:r w:rsidR="008237A9" w:rsidRPr="00FC3C3B">
        <w:rPr>
          <w:rFonts w:eastAsia="Times New Roman"/>
          <w:noProof/>
        </w:rPr>
        <w:t xml:space="preserve"> </w:t>
      </w:r>
      <w:r w:rsidR="00502D60" w:rsidRPr="00FC3C3B">
        <w:rPr>
          <w:rFonts w:eastAsia="Times New Roman"/>
          <w:noProof/>
        </w:rPr>
        <w:t xml:space="preserve">there is a need to ensure that the future of industry is made in Europe. Moreover, </w:t>
      </w:r>
      <w:r w:rsidRPr="00FC3C3B">
        <w:rPr>
          <w:rFonts w:eastAsia="Times New Roman"/>
          <w:noProof/>
        </w:rPr>
        <w:t xml:space="preserve">a common European industrial policy requires common European </w:t>
      </w:r>
      <w:r w:rsidR="35E96B0F" w:rsidRPr="00FC3C3B">
        <w:rPr>
          <w:rFonts w:eastAsia="Times New Roman"/>
          <w:noProof/>
        </w:rPr>
        <w:t>funding</w:t>
      </w:r>
      <w:r w:rsidR="004A2E0B" w:rsidRPr="00FC3C3B">
        <w:rPr>
          <w:rFonts w:eastAsia="Times New Roman"/>
          <w:noProof/>
        </w:rPr>
        <w:t>.</w:t>
      </w:r>
      <w:r w:rsidR="007D40A7" w:rsidRPr="00FC3C3B">
        <w:rPr>
          <w:rStyle w:val="FootnoteReference"/>
          <w:rFonts w:eastAsia="Times New Roman"/>
          <w:noProof/>
        </w:rPr>
        <w:footnoteReference w:id="9"/>
      </w:r>
      <w:r w:rsidR="005A00A0" w:rsidRPr="00FC3C3B">
        <w:rPr>
          <w:rFonts w:eastAsia="Times New Roman"/>
          <w:noProof/>
        </w:rPr>
        <w:t xml:space="preserve"> </w:t>
      </w:r>
      <w:r w:rsidR="005A00A0" w:rsidRPr="00FC3C3B">
        <w:rPr>
          <w:rFonts w:eastAsia="Times New Roman"/>
          <w:b/>
          <w:bCs/>
          <w:noProof/>
        </w:rPr>
        <w:t xml:space="preserve">Hence, the need to set up a </w:t>
      </w:r>
      <w:r w:rsidR="00A66F64" w:rsidRPr="006E37DD">
        <w:rPr>
          <w:b/>
          <w:bCs/>
          <w:noProof/>
        </w:rPr>
        <w:t>Strategic Technologies for Europe Platform (‘STEP’</w:t>
      </w:r>
      <w:r w:rsidR="006E4FB6" w:rsidRPr="006E37DD">
        <w:rPr>
          <w:b/>
          <w:bCs/>
          <w:noProof/>
        </w:rPr>
        <w:t>)</w:t>
      </w:r>
      <w:r w:rsidR="005A00A0" w:rsidRPr="00FC3C3B">
        <w:rPr>
          <w:rFonts w:eastAsia="Times New Roman"/>
          <w:b/>
          <w:bCs/>
          <w:noProof/>
        </w:rPr>
        <w:t>.</w:t>
      </w:r>
      <w:r w:rsidR="005A00A0" w:rsidRPr="00FC3C3B">
        <w:rPr>
          <w:rFonts w:eastAsia="Times New Roman"/>
          <w:noProof/>
        </w:rPr>
        <w:t xml:space="preserve"> </w:t>
      </w:r>
    </w:p>
    <w:p w14:paraId="240A0CF3" w14:textId="77777777" w:rsidR="00476E60" w:rsidRPr="00FC3C3B" w:rsidRDefault="00476E60" w:rsidP="00476E60">
      <w:pPr>
        <w:rPr>
          <w:rFonts w:eastAsia="Times New Roman"/>
          <w:noProof/>
        </w:rPr>
      </w:pPr>
      <w:r w:rsidRPr="00FC3C3B">
        <w:rPr>
          <w:rFonts w:eastAsia="Times New Roman"/>
          <w:noProof/>
        </w:rPr>
        <w:t xml:space="preserve">The </w:t>
      </w:r>
      <w:r w:rsidR="005A00A0" w:rsidRPr="00FC3C3B">
        <w:rPr>
          <w:rFonts w:eastAsia="Times New Roman"/>
          <w:noProof/>
        </w:rPr>
        <w:t xml:space="preserve">Platform </w:t>
      </w:r>
      <w:r w:rsidRPr="00FC3C3B">
        <w:rPr>
          <w:rFonts w:eastAsia="Times New Roman"/>
          <w:noProof/>
        </w:rPr>
        <w:t xml:space="preserve">should </w:t>
      </w:r>
      <w:r w:rsidR="005A00A0" w:rsidRPr="00FC3C3B">
        <w:rPr>
          <w:rFonts w:eastAsia="Times New Roman"/>
          <w:noProof/>
        </w:rPr>
        <w:t xml:space="preserve">help </w:t>
      </w:r>
      <w:r w:rsidRPr="00FC3C3B">
        <w:rPr>
          <w:rFonts w:eastAsia="Times New Roman"/>
          <w:noProof/>
        </w:rPr>
        <w:t xml:space="preserve">preserve a European edge on critical and emerging technologies relevant to the green and digital transitions, from computing-related technologies, including microelectronics, quantum computing, and artificial intelligence; to biotechnology and biomanufacturing, and net-zero technologies. The European Council recognised the need to address the issue and recommended to </w:t>
      </w:r>
      <w:r w:rsidR="009B4769" w:rsidRPr="00FC3C3B">
        <w:rPr>
          <w:rFonts w:eastAsia="Times New Roman"/>
          <w:noProof/>
        </w:rPr>
        <w:t>‘</w:t>
      </w:r>
      <w:r w:rsidRPr="00FC3C3B">
        <w:rPr>
          <w:rFonts w:eastAsia="Times New Roman"/>
          <w:noProof/>
        </w:rPr>
        <w:t>ensure full mobilisation of available funding and existing financial instruments and deploy them in a more flexible manner, so as to provide timely and targeted support in strategic sectors</w:t>
      </w:r>
      <w:r w:rsidR="00B02B06" w:rsidRPr="00FC3C3B">
        <w:rPr>
          <w:rFonts w:eastAsia="Times New Roman"/>
          <w:noProof/>
        </w:rPr>
        <w:t xml:space="preserve"> with</w:t>
      </w:r>
      <w:r w:rsidR="00DA6D16" w:rsidRPr="00FC3C3B">
        <w:rPr>
          <w:rFonts w:eastAsia="Times New Roman"/>
          <w:noProof/>
        </w:rPr>
        <w:t xml:space="preserve">out </w:t>
      </w:r>
      <w:r w:rsidR="0097360C" w:rsidRPr="00FC3C3B">
        <w:rPr>
          <w:rFonts w:eastAsia="Times New Roman"/>
          <w:noProof/>
        </w:rPr>
        <w:t xml:space="preserve">affecting </w:t>
      </w:r>
      <w:r w:rsidR="00DA6D16" w:rsidRPr="00FC3C3B">
        <w:rPr>
          <w:rFonts w:eastAsia="Times New Roman"/>
          <w:noProof/>
        </w:rPr>
        <w:t xml:space="preserve">the </w:t>
      </w:r>
      <w:r w:rsidR="00B02B06" w:rsidRPr="00FC3C3B">
        <w:rPr>
          <w:rFonts w:eastAsia="Times New Roman"/>
          <w:noProof/>
        </w:rPr>
        <w:t>cohesion policy objectives</w:t>
      </w:r>
      <w:r w:rsidR="009B002A" w:rsidRPr="00FC3C3B">
        <w:rPr>
          <w:rFonts w:eastAsia="Times New Roman"/>
          <w:noProof/>
        </w:rPr>
        <w:t>’</w:t>
      </w:r>
      <w:r w:rsidRPr="00FC3C3B">
        <w:rPr>
          <w:rFonts w:eastAsia="Times New Roman"/>
          <w:noProof/>
        </w:rPr>
        <w:t>.</w:t>
      </w:r>
      <w:r w:rsidR="006D2F83" w:rsidRPr="00FC3C3B">
        <w:rPr>
          <w:rStyle w:val="FootnoteReference"/>
          <w:rFonts w:eastAsia="Times New Roman"/>
          <w:noProof/>
        </w:rPr>
        <w:footnoteReference w:id="10"/>
      </w:r>
      <w:r w:rsidRPr="00FC3C3B">
        <w:rPr>
          <w:rFonts w:eastAsia="Times New Roman"/>
          <w:noProof/>
        </w:rPr>
        <w:t xml:space="preserve"> </w:t>
      </w:r>
      <w:r w:rsidR="00A745BF" w:rsidRPr="00FC3C3B">
        <w:rPr>
          <w:rFonts w:eastAsia="Times New Roman"/>
          <w:noProof/>
        </w:rPr>
        <w:t xml:space="preserve">This way, the </w:t>
      </w:r>
      <w:r w:rsidR="006E4FB6" w:rsidRPr="00FC3C3B">
        <w:rPr>
          <w:rFonts w:eastAsia="Times New Roman"/>
          <w:noProof/>
        </w:rPr>
        <w:t>STEP</w:t>
      </w:r>
      <w:r w:rsidR="00A745BF" w:rsidRPr="00FC3C3B">
        <w:rPr>
          <w:rFonts w:eastAsia="Times New Roman"/>
          <w:noProof/>
        </w:rPr>
        <w:t xml:space="preserve"> should also help</w:t>
      </w:r>
      <w:r w:rsidR="00624419" w:rsidRPr="00FC3C3B">
        <w:rPr>
          <w:rFonts w:eastAsia="Times New Roman"/>
          <w:noProof/>
        </w:rPr>
        <w:t xml:space="preserve"> to</w:t>
      </w:r>
      <w:r w:rsidR="00A745BF" w:rsidRPr="00FC3C3B">
        <w:rPr>
          <w:rFonts w:eastAsia="Times New Roman"/>
          <w:noProof/>
        </w:rPr>
        <w:t xml:space="preserve"> mobili</w:t>
      </w:r>
      <w:r w:rsidR="00562278" w:rsidRPr="00FC3C3B">
        <w:rPr>
          <w:rFonts w:eastAsia="Times New Roman"/>
          <w:noProof/>
        </w:rPr>
        <w:t>s</w:t>
      </w:r>
      <w:r w:rsidR="00A745BF" w:rsidRPr="00FC3C3B">
        <w:rPr>
          <w:rFonts w:eastAsia="Times New Roman"/>
          <w:noProof/>
        </w:rPr>
        <w:t>e private capital to support the competitiveness of European businesses in these technologies in the global arena, which in turn will lead to domestic capacity building.</w:t>
      </w:r>
    </w:p>
    <w:p w14:paraId="309F91A8" w14:textId="77777777" w:rsidR="00476E60" w:rsidRPr="00FC3C3B" w:rsidRDefault="00476E60" w:rsidP="00476E60">
      <w:pPr>
        <w:rPr>
          <w:rFonts w:eastAsia="Times New Roman"/>
          <w:noProof/>
        </w:rPr>
      </w:pPr>
      <w:r w:rsidRPr="00FC3C3B">
        <w:rPr>
          <w:rFonts w:eastAsia="Times New Roman"/>
          <w:noProof/>
        </w:rPr>
        <w:t xml:space="preserve">Placing the </w:t>
      </w:r>
      <w:r w:rsidR="006E4FB6" w:rsidRPr="00FC3C3B">
        <w:rPr>
          <w:rFonts w:eastAsia="Times New Roman"/>
          <w:noProof/>
        </w:rPr>
        <w:t>STEP</w:t>
      </w:r>
      <w:r w:rsidRPr="00FC3C3B">
        <w:rPr>
          <w:rFonts w:eastAsia="Times New Roman"/>
          <w:noProof/>
        </w:rPr>
        <w:t xml:space="preserve"> at the heart of the EU budget is the most effective solution. </w:t>
      </w:r>
      <w:r w:rsidR="00953BBF" w:rsidRPr="00FC3C3B">
        <w:rPr>
          <w:rFonts w:eastAsia="Times New Roman"/>
          <w:noProof/>
        </w:rPr>
        <w:t>The transition to climate neutrality, resilience</w:t>
      </w:r>
      <w:r w:rsidRPr="00FC3C3B">
        <w:rPr>
          <w:rFonts w:eastAsia="Times New Roman"/>
          <w:noProof/>
        </w:rPr>
        <w:t xml:space="preserve"> and digital technologies </w:t>
      </w:r>
      <w:r w:rsidR="004E4C7F" w:rsidRPr="00FC3C3B">
        <w:rPr>
          <w:rFonts w:eastAsia="Times New Roman"/>
          <w:noProof/>
        </w:rPr>
        <w:t>are already guiding principles</w:t>
      </w:r>
      <w:r w:rsidRPr="00FC3C3B">
        <w:rPr>
          <w:rFonts w:eastAsia="Times New Roman"/>
          <w:noProof/>
        </w:rPr>
        <w:t xml:space="preserve"> of the multiannual financial framework: 30% of the EUR 2 trillion 2021-2027 MFF </w:t>
      </w:r>
      <w:r w:rsidR="56484EF5" w:rsidRPr="00FC3C3B">
        <w:rPr>
          <w:rFonts w:eastAsia="Times New Roman"/>
          <w:noProof/>
        </w:rPr>
        <w:t>which includes</w:t>
      </w:r>
      <w:r w:rsidRPr="00FC3C3B">
        <w:rPr>
          <w:rFonts w:eastAsia="Times New Roman"/>
          <w:noProof/>
        </w:rPr>
        <w:t xml:space="preserve"> the NextGenerationEU recovery programme</w:t>
      </w:r>
      <w:r w:rsidR="76A8FC66" w:rsidRPr="00FC3C3B">
        <w:rPr>
          <w:rFonts w:eastAsia="Times New Roman"/>
          <w:noProof/>
        </w:rPr>
        <w:t>s</w:t>
      </w:r>
      <w:r w:rsidRPr="00FC3C3B">
        <w:rPr>
          <w:rFonts w:eastAsia="Times New Roman"/>
          <w:noProof/>
        </w:rPr>
        <w:t xml:space="preserve"> are being spent on climate </w:t>
      </w:r>
      <w:r w:rsidR="009B0945" w:rsidRPr="00FC3C3B">
        <w:rPr>
          <w:rFonts w:eastAsia="Times New Roman"/>
          <w:noProof/>
        </w:rPr>
        <w:t xml:space="preserve">actions </w:t>
      </w:r>
      <w:r w:rsidRPr="00FC3C3B">
        <w:rPr>
          <w:rFonts w:eastAsia="Times New Roman"/>
          <w:noProof/>
        </w:rPr>
        <w:t xml:space="preserve">and </w:t>
      </w:r>
      <w:r w:rsidR="005D722F" w:rsidRPr="00FC3C3B">
        <w:rPr>
          <w:rFonts w:eastAsia="Times New Roman"/>
          <w:noProof/>
        </w:rPr>
        <w:t xml:space="preserve">more than </w:t>
      </w:r>
      <w:r w:rsidRPr="00FC3C3B">
        <w:rPr>
          <w:rFonts w:eastAsia="Times New Roman"/>
          <w:noProof/>
        </w:rPr>
        <w:t xml:space="preserve">20% of the Recovery and Resilience Facility is dedicated to digital policies. </w:t>
      </w:r>
      <w:r w:rsidR="00B2294A" w:rsidRPr="00FC3C3B">
        <w:rPr>
          <w:noProof/>
        </w:rPr>
        <w:t xml:space="preserve">Besides, the Digital Europe Programme supports bringing digital technology to businesses, citizens and public administrations. </w:t>
      </w:r>
      <w:r w:rsidRPr="00FC3C3B">
        <w:rPr>
          <w:rFonts w:eastAsia="Times New Roman"/>
          <w:noProof/>
        </w:rPr>
        <w:t xml:space="preserve">The EU budget is also the ultimate EU tool to underpin </w:t>
      </w:r>
      <w:r w:rsidR="00B22EA0" w:rsidRPr="00FC3C3B">
        <w:rPr>
          <w:rFonts w:eastAsia="Times New Roman"/>
          <w:noProof/>
        </w:rPr>
        <w:t xml:space="preserve">the Single Market and </w:t>
      </w:r>
      <w:r w:rsidRPr="00FC3C3B">
        <w:rPr>
          <w:rFonts w:eastAsia="Times New Roman"/>
          <w:noProof/>
        </w:rPr>
        <w:t>common action</w:t>
      </w:r>
      <w:r w:rsidR="00B22EA0" w:rsidRPr="00FC3C3B">
        <w:rPr>
          <w:rFonts w:eastAsia="Times New Roman"/>
          <w:noProof/>
        </w:rPr>
        <w:t xml:space="preserve"> with value-added</w:t>
      </w:r>
      <w:r w:rsidRPr="00FC3C3B">
        <w:rPr>
          <w:rFonts w:eastAsia="Times New Roman"/>
          <w:noProof/>
        </w:rPr>
        <w:t xml:space="preserve"> at EU level, securing economies of scale, effectiveness, solidarity and passing a clear political message that the EU stands together in the face of challenges.  </w:t>
      </w:r>
    </w:p>
    <w:p w14:paraId="74A3A987" w14:textId="77777777" w:rsidR="00476E60" w:rsidRPr="006E37DD" w:rsidRDefault="00476E60" w:rsidP="006E37DD">
      <w:pPr>
        <w:spacing w:before="0" w:after="0"/>
        <w:rPr>
          <w:noProof/>
          <w:szCs w:val="24"/>
          <w:lang w:val="en-IE" w:eastAsia="en-IE"/>
        </w:rPr>
      </w:pPr>
      <w:r w:rsidRPr="00FC3C3B">
        <w:rPr>
          <w:rFonts w:eastAsia="Times New Roman"/>
          <w:noProof/>
        </w:rPr>
        <w:t xml:space="preserve">The creation of </w:t>
      </w:r>
      <w:r w:rsidR="005A00A0" w:rsidRPr="00FC3C3B">
        <w:rPr>
          <w:rFonts w:eastAsia="Times New Roman"/>
          <w:noProof/>
        </w:rPr>
        <w:t xml:space="preserve">the </w:t>
      </w:r>
      <w:r w:rsidR="006E4FB6" w:rsidRPr="00FC3C3B">
        <w:rPr>
          <w:rFonts w:eastAsia="Times New Roman"/>
          <w:noProof/>
        </w:rPr>
        <w:t>STEP</w:t>
      </w:r>
      <w:r w:rsidRPr="00FC3C3B">
        <w:rPr>
          <w:rFonts w:eastAsia="Times New Roman"/>
          <w:noProof/>
        </w:rPr>
        <w:t xml:space="preserve"> is fully aligned with the ambitions set by Europe’s partners. The United States’ Inflation Reduction Act will mobilise over USD 360 billion by 2032 (approximately EUR 330 billion). Japan's green transformation plans aim to raise up to JPY 20 trillion (approximately EUR 140 billion).</w:t>
      </w:r>
      <w:r w:rsidR="00687097" w:rsidRPr="00FC3C3B">
        <w:rPr>
          <w:rStyle w:val="FootnoteReference"/>
          <w:rFonts w:eastAsia="Times New Roman"/>
          <w:noProof/>
        </w:rPr>
        <w:footnoteReference w:id="11"/>
      </w:r>
      <w:r w:rsidRPr="00FC3C3B">
        <w:rPr>
          <w:rFonts w:eastAsia="Times New Roman"/>
          <w:noProof/>
        </w:rPr>
        <w:t xml:space="preserve"> India has put forward the Production Linked Incentive Scheme to enhance competitiveness in sectors like solar photovoltaics and batteries. The United Kingdom, Canada and many others have also put forward their investment plans in clean technologies. </w:t>
      </w:r>
      <w:r w:rsidR="00EA57ED" w:rsidRPr="00FC3C3B">
        <w:rPr>
          <w:rFonts w:eastAsia="Times New Roman"/>
          <w:noProof/>
        </w:rPr>
        <w:t xml:space="preserve">It is important for all actors to ensure that funding be designed and implemented in the least distortive manner practicable. Reinforcing transparency and deliberation on industrial subsidies internationally is equally key to safeguard and improve the existing </w:t>
      </w:r>
      <w:r w:rsidR="00CB0B74" w:rsidRPr="00FC3C3B">
        <w:rPr>
          <w:rFonts w:eastAsia="Times New Roman"/>
          <w:noProof/>
        </w:rPr>
        <w:t xml:space="preserve">– but incomplete - </w:t>
      </w:r>
      <w:r w:rsidR="00EA57ED" w:rsidRPr="00FC3C3B">
        <w:rPr>
          <w:rFonts w:eastAsia="Times New Roman"/>
          <w:noProof/>
        </w:rPr>
        <w:t xml:space="preserve">level playing field on which the EU’s and global prosperity has been built. </w:t>
      </w:r>
      <w:r w:rsidR="00EA57ED" w:rsidRPr="00FC3C3B">
        <w:rPr>
          <w:noProof/>
          <w:szCs w:val="24"/>
          <w:lang w:val="en-IE" w:eastAsia="en-IE"/>
        </w:rPr>
        <w:t xml:space="preserve"> </w:t>
      </w:r>
    </w:p>
    <w:p w14:paraId="45AB9588" w14:textId="77777777" w:rsidR="00476E60" w:rsidRPr="00FC3C3B" w:rsidRDefault="00476E60" w:rsidP="00476E60">
      <w:pPr>
        <w:rPr>
          <w:rFonts w:eastAsia="Times New Roman"/>
          <w:b/>
          <w:bCs/>
          <w:noProof/>
        </w:rPr>
      </w:pPr>
      <w:r w:rsidRPr="00FC3C3B">
        <w:rPr>
          <w:rFonts w:eastAsia="Times New Roman"/>
          <w:b/>
          <w:bCs/>
          <w:noProof/>
        </w:rPr>
        <w:t xml:space="preserve">Overview of the EU budget to the green and digital transition  </w:t>
      </w:r>
    </w:p>
    <w:p w14:paraId="6294550D" w14:textId="77777777" w:rsidR="00476E60" w:rsidRPr="00FC3C3B" w:rsidRDefault="00476E60" w:rsidP="00476E60">
      <w:pPr>
        <w:rPr>
          <w:rFonts w:eastAsia="Times New Roman"/>
          <w:noProof/>
        </w:rPr>
      </w:pPr>
      <w:r w:rsidRPr="00FC3C3B">
        <w:rPr>
          <w:rFonts w:eastAsia="Times New Roman"/>
          <w:noProof/>
        </w:rPr>
        <w:t xml:space="preserve">The EU has several funds and programmes on- and off-budget to provide support to </w:t>
      </w:r>
      <w:r w:rsidR="00CE044F" w:rsidRPr="00FC3C3B">
        <w:rPr>
          <w:rFonts w:eastAsia="Times New Roman"/>
          <w:noProof/>
        </w:rPr>
        <w:t xml:space="preserve">deep and digital technologies, clean technologies, and biotechnologies. </w:t>
      </w:r>
      <w:r w:rsidRPr="00FC3C3B">
        <w:rPr>
          <w:rFonts w:eastAsia="Times New Roman"/>
          <w:noProof/>
        </w:rPr>
        <w:t xml:space="preserve">These instruments include in particular </w:t>
      </w:r>
      <w:r w:rsidR="00667899" w:rsidRPr="00FC3C3B">
        <w:rPr>
          <w:rFonts w:eastAsia="Times New Roman"/>
          <w:noProof/>
        </w:rPr>
        <w:t xml:space="preserve">cohesion policy funds, the Recovery and Resilience Facility, </w:t>
      </w:r>
      <w:r w:rsidRPr="00FC3C3B">
        <w:rPr>
          <w:rFonts w:eastAsia="Times New Roman"/>
          <w:noProof/>
        </w:rPr>
        <w:t xml:space="preserve">the Innovation Fund, InvestEU, </w:t>
      </w:r>
      <w:r w:rsidR="00690A02" w:rsidRPr="00FC3C3B">
        <w:rPr>
          <w:rFonts w:eastAsia="Times New Roman"/>
          <w:noProof/>
        </w:rPr>
        <w:t xml:space="preserve">the European Defence Fund </w:t>
      </w:r>
      <w:r w:rsidR="00410E7F" w:rsidRPr="00FC3C3B">
        <w:rPr>
          <w:rFonts w:eastAsia="Times New Roman"/>
          <w:noProof/>
        </w:rPr>
        <w:t xml:space="preserve">and </w:t>
      </w:r>
      <w:r w:rsidRPr="00FC3C3B">
        <w:rPr>
          <w:rFonts w:eastAsia="Times New Roman"/>
          <w:noProof/>
        </w:rPr>
        <w:t xml:space="preserve">Horizon Europe: </w:t>
      </w:r>
    </w:p>
    <w:p w14:paraId="6F8FBAF9" w14:textId="77777777" w:rsidR="00476E60" w:rsidRPr="00FC3C3B" w:rsidRDefault="00FE1312" w:rsidP="009C0C3B">
      <w:pPr>
        <w:pStyle w:val="Tiret0"/>
        <w:numPr>
          <w:ilvl w:val="0"/>
          <w:numId w:val="9"/>
        </w:numPr>
        <w:rPr>
          <w:noProof/>
        </w:rPr>
      </w:pPr>
      <w:r w:rsidRPr="00FC3C3B">
        <w:rPr>
          <w:noProof/>
        </w:rPr>
        <w:t>C</w:t>
      </w:r>
      <w:r w:rsidR="00476E60" w:rsidRPr="00FC3C3B">
        <w:rPr>
          <w:noProof/>
        </w:rPr>
        <w:t>ohesion policy</w:t>
      </w:r>
      <w:r w:rsidRPr="00FC3C3B">
        <w:rPr>
          <w:noProof/>
        </w:rPr>
        <w:t xml:space="preserve"> supports the </w:t>
      </w:r>
      <w:r w:rsidR="00CC6803" w:rsidRPr="00FC3C3B">
        <w:rPr>
          <w:noProof/>
        </w:rPr>
        <w:t>green (EUR 110 billion) and digital (EUR 36.6 billion) transition in Member States and regions, inclu</w:t>
      </w:r>
      <w:r w:rsidR="006E69DD" w:rsidRPr="00FC3C3B">
        <w:rPr>
          <w:noProof/>
        </w:rPr>
        <w:t>d</w:t>
      </w:r>
      <w:r w:rsidR="00CC6803" w:rsidRPr="00FC3C3B">
        <w:rPr>
          <w:noProof/>
        </w:rPr>
        <w:t>ing</w:t>
      </w:r>
      <w:r w:rsidR="00476E60" w:rsidRPr="00FC3C3B">
        <w:rPr>
          <w:noProof/>
        </w:rPr>
        <w:t xml:space="preserve"> a total of EUR 85 billion under the European Regional Development Fund</w:t>
      </w:r>
      <w:r w:rsidR="005B0135" w:rsidRPr="00FC3C3B">
        <w:rPr>
          <w:noProof/>
        </w:rPr>
        <w:t xml:space="preserve"> (ERDF)</w:t>
      </w:r>
      <w:r w:rsidR="00476E60" w:rsidRPr="00FC3C3B">
        <w:rPr>
          <w:noProof/>
        </w:rPr>
        <w:t>, the Cohesion Fund</w:t>
      </w:r>
      <w:r w:rsidR="005B0135" w:rsidRPr="00FC3C3B">
        <w:rPr>
          <w:noProof/>
        </w:rPr>
        <w:t xml:space="preserve"> (CF)</w:t>
      </w:r>
      <w:r w:rsidR="00476E60" w:rsidRPr="00FC3C3B">
        <w:rPr>
          <w:noProof/>
        </w:rPr>
        <w:t xml:space="preserve"> and the Just Transition Fund</w:t>
      </w:r>
      <w:r w:rsidR="005B0135" w:rsidRPr="00FC3C3B">
        <w:rPr>
          <w:noProof/>
        </w:rPr>
        <w:t xml:space="preserve"> (JTF)</w:t>
      </w:r>
      <w:r w:rsidR="00322A52" w:rsidRPr="00FC3C3B">
        <w:rPr>
          <w:noProof/>
        </w:rPr>
        <w:t xml:space="preserve"> – </w:t>
      </w:r>
      <w:r w:rsidR="00476E60" w:rsidRPr="00FC3C3B">
        <w:rPr>
          <w:noProof/>
        </w:rPr>
        <w:t>the EU’s main funds under regional development policy</w:t>
      </w:r>
      <w:r w:rsidR="00322A52" w:rsidRPr="00FC3C3B">
        <w:rPr>
          <w:noProof/>
        </w:rPr>
        <w:t xml:space="preserve"> – </w:t>
      </w:r>
      <w:r w:rsidR="00476E60" w:rsidRPr="00FC3C3B">
        <w:rPr>
          <w:noProof/>
        </w:rPr>
        <w:t xml:space="preserve">to support the EU energy transition. </w:t>
      </w:r>
    </w:p>
    <w:p w14:paraId="7804C7D5" w14:textId="77777777" w:rsidR="00476E60" w:rsidRPr="00FC3C3B" w:rsidRDefault="00476E60" w:rsidP="00B01838">
      <w:pPr>
        <w:pStyle w:val="Tiret0"/>
        <w:rPr>
          <w:noProof/>
        </w:rPr>
      </w:pPr>
      <w:r w:rsidRPr="00FC3C3B">
        <w:rPr>
          <w:noProof/>
        </w:rPr>
        <w:t xml:space="preserve">The Recovery and Resilience Facility and REPowerEU, the EU's plan to make Europe independent from Russian fossil fuels, offer unprecedented opportunities to Member States to finance green </w:t>
      </w:r>
      <w:r w:rsidR="00B33B28" w:rsidRPr="00FC3C3B">
        <w:rPr>
          <w:noProof/>
        </w:rPr>
        <w:t xml:space="preserve">and digital </w:t>
      </w:r>
      <w:r w:rsidRPr="00FC3C3B">
        <w:rPr>
          <w:noProof/>
        </w:rPr>
        <w:t>investments and reforms</w:t>
      </w:r>
      <w:r w:rsidR="009D5DF7" w:rsidRPr="00FC3C3B">
        <w:rPr>
          <w:noProof/>
        </w:rPr>
        <w:t>.</w:t>
      </w:r>
    </w:p>
    <w:p w14:paraId="6A732D70" w14:textId="77777777" w:rsidR="0027004D" w:rsidRPr="00FC3C3B" w:rsidRDefault="0027004D" w:rsidP="00B01838">
      <w:pPr>
        <w:pStyle w:val="Tiret0"/>
        <w:rPr>
          <w:noProof/>
        </w:rPr>
      </w:pPr>
      <w:r w:rsidRPr="00FC3C3B">
        <w:rPr>
          <w:noProof/>
        </w:rPr>
        <w:t>Drawing on the revenues from the EU Emission Trading System (ETS)</w:t>
      </w:r>
      <w:r w:rsidR="00080E40" w:rsidRPr="00FC3C3B">
        <w:rPr>
          <w:rStyle w:val="FootnoteReference"/>
          <w:noProof/>
        </w:rPr>
        <w:footnoteReference w:id="12"/>
      </w:r>
    </w:p>
    <w:p w14:paraId="5FA313A7" w14:textId="77777777" w:rsidR="00F47BE9" w:rsidRPr="00FC3C3B" w:rsidRDefault="00476E60" w:rsidP="00B01838">
      <w:pPr>
        <w:pStyle w:val="Tiret0"/>
        <w:tabs>
          <w:tab w:val="clear" w:pos="850"/>
          <w:tab w:val="num" w:pos="1570"/>
        </w:tabs>
        <w:ind w:left="1570"/>
        <w:rPr>
          <w:noProof/>
        </w:rPr>
      </w:pPr>
      <w:r w:rsidRPr="00FC3C3B">
        <w:rPr>
          <w:noProof/>
        </w:rPr>
        <w:t xml:space="preserve">The </w:t>
      </w:r>
      <w:r w:rsidR="007A3BBD" w:rsidRPr="00FC3C3B">
        <w:rPr>
          <w:noProof/>
        </w:rPr>
        <w:t xml:space="preserve">Modernisation Fund </w:t>
      </w:r>
      <w:r w:rsidRPr="00FC3C3B">
        <w:rPr>
          <w:noProof/>
        </w:rPr>
        <w:t xml:space="preserve">(EUR </w:t>
      </w:r>
      <w:r w:rsidR="00BB1E6A" w:rsidRPr="00FC3C3B">
        <w:rPr>
          <w:noProof/>
        </w:rPr>
        <w:t xml:space="preserve">60 </w:t>
      </w:r>
      <w:r w:rsidRPr="00FC3C3B">
        <w:rPr>
          <w:noProof/>
        </w:rPr>
        <w:t xml:space="preserve">billion) </w:t>
      </w:r>
      <w:r w:rsidR="00F47BE9" w:rsidRPr="00FC3C3B">
        <w:rPr>
          <w:noProof/>
        </w:rPr>
        <w:t xml:space="preserve">provides substantial support to 13 beneficiary Member States to accelerate their energy transition. </w:t>
      </w:r>
    </w:p>
    <w:p w14:paraId="0E35D213" w14:textId="77777777" w:rsidR="00476E60" w:rsidRPr="00FC3C3B" w:rsidRDefault="0020397C" w:rsidP="00B01838">
      <w:pPr>
        <w:pStyle w:val="Tiret0"/>
        <w:tabs>
          <w:tab w:val="clear" w:pos="850"/>
          <w:tab w:val="num" w:pos="1570"/>
        </w:tabs>
        <w:ind w:left="1570"/>
        <w:rPr>
          <w:noProof/>
        </w:rPr>
      </w:pPr>
      <w:r w:rsidRPr="00FC3C3B">
        <w:rPr>
          <w:noProof/>
        </w:rPr>
        <w:t>T</w:t>
      </w:r>
      <w:r w:rsidR="00F47BE9" w:rsidRPr="00FC3C3B">
        <w:rPr>
          <w:noProof/>
        </w:rPr>
        <w:t>he</w:t>
      </w:r>
      <w:r w:rsidR="00476E60" w:rsidRPr="00FC3C3B">
        <w:rPr>
          <w:noProof/>
        </w:rPr>
        <w:t xml:space="preserve"> </w:t>
      </w:r>
      <w:r w:rsidR="007A3BBD" w:rsidRPr="00FC3C3B">
        <w:rPr>
          <w:noProof/>
        </w:rPr>
        <w:t>Social C</w:t>
      </w:r>
      <w:r w:rsidR="00476E60" w:rsidRPr="00FC3C3B">
        <w:rPr>
          <w:noProof/>
        </w:rPr>
        <w:t xml:space="preserve">limate </w:t>
      </w:r>
      <w:r w:rsidR="009E152F" w:rsidRPr="00FC3C3B">
        <w:rPr>
          <w:noProof/>
        </w:rPr>
        <w:t>F</w:t>
      </w:r>
      <w:r w:rsidR="00476E60" w:rsidRPr="00FC3C3B">
        <w:rPr>
          <w:noProof/>
        </w:rPr>
        <w:t xml:space="preserve">und (EUR 86 billion) will provide substantial support to Member States to help </w:t>
      </w:r>
      <w:r w:rsidRPr="00FC3C3B">
        <w:rPr>
          <w:noProof/>
        </w:rPr>
        <w:t xml:space="preserve">addressing for vulnerable groups </w:t>
      </w:r>
      <w:r w:rsidR="00476E60" w:rsidRPr="00FC3C3B">
        <w:rPr>
          <w:noProof/>
        </w:rPr>
        <w:t xml:space="preserve">the consequences of the green transition.  </w:t>
      </w:r>
    </w:p>
    <w:p w14:paraId="41C8E5AA" w14:textId="77777777" w:rsidR="0020397C" w:rsidRPr="00FC3C3B" w:rsidRDefault="0020397C" w:rsidP="00B01838">
      <w:pPr>
        <w:pStyle w:val="Tiret0"/>
        <w:tabs>
          <w:tab w:val="clear" w:pos="850"/>
          <w:tab w:val="num" w:pos="1570"/>
        </w:tabs>
        <w:ind w:left="1570"/>
        <w:rPr>
          <w:noProof/>
        </w:rPr>
      </w:pPr>
      <w:r w:rsidRPr="00FC3C3B">
        <w:rPr>
          <w:noProof/>
        </w:rPr>
        <w:t xml:space="preserve">The Innovation Fund (EUR 43 billion) will provide until 2030 funding for innovative low-carbon technologies, including for the manufacturing of these technologies, for instance to help energy-intensive industries, develop carbon capture and storage, innovative renewable energy generation or energy storage.  </w:t>
      </w:r>
    </w:p>
    <w:p w14:paraId="531F7E87" w14:textId="77777777" w:rsidR="00476E60" w:rsidRPr="00FC3C3B" w:rsidRDefault="00476E60" w:rsidP="00B01838">
      <w:pPr>
        <w:pStyle w:val="Tiret0"/>
        <w:rPr>
          <w:noProof/>
        </w:rPr>
      </w:pPr>
      <w:r w:rsidRPr="00FC3C3B">
        <w:rPr>
          <w:noProof/>
        </w:rPr>
        <w:t>InvestEU contributes both to the green transition and to digitisation. Overall 30% of the InvestEU guarantee (i.e. EUR 7.8 billion) and 60% of the Sustainable Infrastructure Window (EUR 5.9 billion) contribute to climate objectives.</w:t>
      </w:r>
      <w:r w:rsidR="6AB5D8C3" w:rsidRPr="00FC3C3B">
        <w:rPr>
          <w:noProof/>
        </w:rPr>
        <w:t> Further</w:t>
      </w:r>
      <w:r w:rsidR="00664E10" w:rsidRPr="00FC3C3B">
        <w:rPr>
          <w:noProof/>
        </w:rPr>
        <w:t>, it is expected that more than</w:t>
      </w:r>
      <w:r w:rsidRPr="00FC3C3B">
        <w:rPr>
          <w:noProof/>
        </w:rPr>
        <w:t xml:space="preserve"> EUR 2 billion </w:t>
      </w:r>
      <w:r w:rsidR="00664E10" w:rsidRPr="00FC3C3B">
        <w:rPr>
          <w:noProof/>
        </w:rPr>
        <w:t xml:space="preserve">could </w:t>
      </w:r>
      <w:r w:rsidRPr="00FC3C3B">
        <w:rPr>
          <w:noProof/>
        </w:rPr>
        <w:t xml:space="preserve">contribute to digital </w:t>
      </w:r>
      <w:r w:rsidR="00664E10" w:rsidRPr="00FC3C3B">
        <w:rPr>
          <w:noProof/>
        </w:rPr>
        <w:t xml:space="preserve">objectives </w:t>
      </w:r>
      <w:r w:rsidRPr="00FC3C3B">
        <w:rPr>
          <w:noProof/>
        </w:rPr>
        <w:t>and over EUR 1 billion to biotech and medicines</w:t>
      </w:r>
      <w:r w:rsidR="00EE22D0" w:rsidRPr="00FC3C3B">
        <w:rPr>
          <w:noProof/>
        </w:rPr>
        <w:t xml:space="preserve"> related investments</w:t>
      </w:r>
      <w:r w:rsidRPr="00FC3C3B">
        <w:rPr>
          <w:noProof/>
        </w:rPr>
        <w:t xml:space="preserve">. </w:t>
      </w:r>
    </w:p>
    <w:p w14:paraId="7A45DDBA" w14:textId="77777777" w:rsidR="00476E60" w:rsidRPr="00FC3C3B" w:rsidRDefault="00476E60" w:rsidP="00B01838">
      <w:pPr>
        <w:pStyle w:val="Tiret0"/>
        <w:rPr>
          <w:noProof/>
        </w:rPr>
      </w:pPr>
      <w:r w:rsidRPr="00FC3C3B">
        <w:rPr>
          <w:noProof/>
        </w:rPr>
        <w:t>Horizon Europe, the EU's main research and innovation programme</w:t>
      </w:r>
      <w:r w:rsidR="005D71F8" w:rsidRPr="00FC3C3B">
        <w:rPr>
          <w:noProof/>
        </w:rPr>
        <w:t>,</w:t>
      </w:r>
      <w:r w:rsidRPr="00FC3C3B">
        <w:rPr>
          <w:noProof/>
        </w:rPr>
        <w:t xml:space="preserve"> will dedicate EUR 20.2 billion to research and development of clean tech; EUR 11.5 billion to biotech and medicines, and EUR 19.3 billion to digital technologies.  </w:t>
      </w:r>
    </w:p>
    <w:p w14:paraId="65581CDB" w14:textId="77777777" w:rsidR="00690A02" w:rsidRPr="00FC3C3B" w:rsidRDefault="00476E60" w:rsidP="00B01838">
      <w:pPr>
        <w:pStyle w:val="Tiret0"/>
        <w:rPr>
          <w:noProof/>
        </w:rPr>
      </w:pPr>
      <w:r w:rsidRPr="00FC3C3B">
        <w:rPr>
          <w:noProof/>
        </w:rPr>
        <w:t xml:space="preserve">The Digital Europe Programme, with a total budget allocation of EUR </w:t>
      </w:r>
      <w:r w:rsidR="00C820DE" w:rsidRPr="00FC3C3B">
        <w:rPr>
          <w:noProof/>
        </w:rPr>
        <w:t>7</w:t>
      </w:r>
      <w:r w:rsidRPr="00FC3C3B">
        <w:rPr>
          <w:noProof/>
        </w:rPr>
        <w:t xml:space="preserve">.6 billion, is providing support to digital technologies. </w:t>
      </w:r>
    </w:p>
    <w:p w14:paraId="0057FA2B" w14:textId="77777777" w:rsidR="00476E60" w:rsidRPr="00FC3C3B" w:rsidRDefault="00690A02" w:rsidP="00B01838">
      <w:pPr>
        <w:pStyle w:val="Tiret0"/>
        <w:rPr>
          <w:noProof/>
        </w:rPr>
      </w:pPr>
      <w:r w:rsidRPr="00FC3C3B">
        <w:rPr>
          <w:noProof/>
        </w:rPr>
        <w:t xml:space="preserve">The European Defence Fund, with a budget of EUR 8 billion, </w:t>
      </w:r>
      <w:r w:rsidR="00825506" w:rsidRPr="00FC3C3B">
        <w:rPr>
          <w:noProof/>
        </w:rPr>
        <w:t>supports research and development of state-of-the-art and interoperable defence technology and equipment.</w:t>
      </w:r>
      <w:r w:rsidR="00476E60" w:rsidRPr="00FC3C3B">
        <w:rPr>
          <w:noProof/>
        </w:rPr>
        <w:t xml:space="preserve"> </w:t>
      </w:r>
    </w:p>
    <w:p w14:paraId="4A24F9B8" w14:textId="77777777" w:rsidR="00476E60" w:rsidRPr="00FC3C3B" w:rsidRDefault="00476E60" w:rsidP="00476E60">
      <w:pPr>
        <w:rPr>
          <w:rFonts w:eastAsia="Times New Roman"/>
          <w:noProof/>
        </w:rPr>
      </w:pPr>
      <w:r w:rsidRPr="00FC3C3B">
        <w:rPr>
          <w:rFonts w:eastAsia="Times New Roman"/>
          <w:noProof/>
        </w:rPr>
        <w:t xml:space="preserve">While the EU has been providing steady financing both to the green and digital transitions, the funds are generally spread across various spending programmes and following different rules. Leveraging on existing instruments and governance frameworks will speed-up the implementation and allow to mobilise higher amounts of financial support. </w:t>
      </w:r>
      <w:r w:rsidR="00827E6E" w:rsidRPr="00FC3C3B">
        <w:rPr>
          <w:rFonts w:eastAsia="Times New Roman"/>
          <w:noProof/>
        </w:rPr>
        <w:t xml:space="preserve">This is the aim of the </w:t>
      </w:r>
      <w:r w:rsidR="006E4FB6" w:rsidRPr="00FC3C3B">
        <w:rPr>
          <w:rFonts w:eastAsia="Times New Roman"/>
          <w:noProof/>
        </w:rPr>
        <w:t>STEP</w:t>
      </w:r>
      <w:r w:rsidR="00827E6E" w:rsidRPr="00FC3C3B">
        <w:rPr>
          <w:rFonts w:eastAsia="Times New Roman"/>
          <w:noProof/>
        </w:rPr>
        <w:t xml:space="preserve">. </w:t>
      </w:r>
    </w:p>
    <w:p w14:paraId="078CE73C" w14:textId="77777777" w:rsidR="00476E60" w:rsidRPr="00FC3C3B" w:rsidRDefault="00982B83" w:rsidP="00476E60">
      <w:pPr>
        <w:rPr>
          <w:rFonts w:eastAsia="Times New Roman"/>
          <w:b/>
          <w:bCs/>
          <w:noProof/>
        </w:rPr>
      </w:pPr>
      <w:r w:rsidRPr="006E37DD">
        <w:rPr>
          <w:b/>
          <w:bCs/>
          <w:noProof/>
        </w:rPr>
        <w:t>Strategic Technologies for Europe Platform (STEP</w:t>
      </w:r>
      <w:r w:rsidR="0017237D" w:rsidRPr="00FC3C3B">
        <w:rPr>
          <w:rFonts w:eastAsia="Times New Roman"/>
          <w:b/>
          <w:bCs/>
          <w:noProof/>
        </w:rPr>
        <w:t>)</w:t>
      </w:r>
      <w:r w:rsidR="00476E60" w:rsidRPr="00FC3C3B">
        <w:rPr>
          <w:rFonts w:eastAsia="Times New Roman"/>
          <w:b/>
          <w:bCs/>
          <w:noProof/>
        </w:rPr>
        <w:t xml:space="preserve"> </w:t>
      </w:r>
    </w:p>
    <w:p w14:paraId="438F8D10" w14:textId="77777777" w:rsidR="00476E60" w:rsidRPr="00FC3C3B" w:rsidRDefault="00827E6E" w:rsidP="00476E60">
      <w:pPr>
        <w:rPr>
          <w:rFonts w:eastAsia="Times New Roman"/>
          <w:noProof/>
        </w:rPr>
      </w:pPr>
      <w:r w:rsidRPr="00FC3C3B">
        <w:rPr>
          <w:rFonts w:eastAsia="Times New Roman"/>
          <w:noProof/>
        </w:rPr>
        <w:t>T</w:t>
      </w:r>
      <w:r w:rsidR="00476E60" w:rsidRPr="00FC3C3B">
        <w:rPr>
          <w:rFonts w:eastAsia="Times New Roman"/>
          <w:noProof/>
        </w:rPr>
        <w:t xml:space="preserve">he </w:t>
      </w:r>
      <w:r w:rsidR="00982B83" w:rsidRPr="00FC3C3B">
        <w:rPr>
          <w:rFonts w:eastAsia="Times New Roman"/>
          <w:noProof/>
        </w:rPr>
        <w:t>STEP</w:t>
      </w:r>
      <w:r w:rsidR="00601FDA" w:rsidRPr="00FC3C3B">
        <w:rPr>
          <w:rFonts w:eastAsia="Times New Roman"/>
          <w:noProof/>
        </w:rPr>
        <w:t xml:space="preserve"> </w:t>
      </w:r>
      <w:r w:rsidRPr="00FC3C3B">
        <w:rPr>
          <w:rFonts w:eastAsia="Times New Roman"/>
          <w:noProof/>
        </w:rPr>
        <w:t>will</w:t>
      </w:r>
      <w:r w:rsidR="00476E60" w:rsidRPr="00FC3C3B">
        <w:rPr>
          <w:rFonts w:eastAsia="Times New Roman"/>
          <w:noProof/>
        </w:rPr>
        <w:t xml:space="preserve"> create the necessary conditions for a more effective, efficient and targeted use of existing EU funds</w:t>
      </w:r>
      <w:r w:rsidR="005C1879" w:rsidRPr="00FC3C3B">
        <w:rPr>
          <w:rFonts w:eastAsia="Times New Roman"/>
          <w:noProof/>
        </w:rPr>
        <w:t xml:space="preserve"> while </w:t>
      </w:r>
      <w:r w:rsidR="00B2294A" w:rsidRPr="00FC3C3B">
        <w:rPr>
          <w:rFonts w:eastAsia="Times New Roman"/>
          <w:noProof/>
        </w:rPr>
        <w:t xml:space="preserve">contributing to achieving </w:t>
      </w:r>
      <w:r w:rsidR="005C1879" w:rsidRPr="00FC3C3B">
        <w:rPr>
          <w:rFonts w:eastAsia="Times New Roman"/>
          <w:noProof/>
        </w:rPr>
        <w:t>a level playing field in the Single Market</w:t>
      </w:r>
      <w:r w:rsidR="00EA28DC">
        <w:rPr>
          <w:rFonts w:eastAsia="Times New Roman"/>
          <w:noProof/>
        </w:rPr>
        <w:t xml:space="preserve"> and thereby safeguarding </w:t>
      </w:r>
      <w:r w:rsidR="00ED3681">
        <w:rPr>
          <w:rFonts w:eastAsia="Times New Roman"/>
          <w:noProof/>
        </w:rPr>
        <w:t>cohesion</w:t>
      </w:r>
      <w:r w:rsidR="00476E60" w:rsidRPr="00FC3C3B">
        <w:rPr>
          <w:rFonts w:eastAsia="Times New Roman"/>
          <w:noProof/>
        </w:rPr>
        <w:t xml:space="preserve">. It will also help to direct existing funding towards </w:t>
      </w:r>
      <w:r w:rsidR="000D35C2" w:rsidRPr="00FC3C3B">
        <w:rPr>
          <w:rFonts w:eastAsia="Times New Roman"/>
          <w:noProof/>
        </w:rPr>
        <w:t xml:space="preserve">the relevant </w:t>
      </w:r>
      <w:r w:rsidR="00476E60" w:rsidRPr="00FC3C3B">
        <w:rPr>
          <w:rFonts w:eastAsia="Times New Roman"/>
          <w:noProof/>
        </w:rPr>
        <w:t xml:space="preserve">projects and speed up implementation on a subset of areas which will be identified as crucial for Europe’s leadership. The choice of streamlining and making a better use of existing instruments over creating a </w:t>
      </w:r>
      <w:r w:rsidR="000E0337" w:rsidRPr="00FC3C3B">
        <w:rPr>
          <w:rFonts w:eastAsia="Times New Roman"/>
          <w:noProof/>
        </w:rPr>
        <w:t>brand-new</w:t>
      </w:r>
      <w:r w:rsidR="00476E60" w:rsidRPr="00FC3C3B">
        <w:rPr>
          <w:rFonts w:eastAsia="Times New Roman"/>
          <w:noProof/>
        </w:rPr>
        <w:t xml:space="preserve"> instrument </w:t>
      </w:r>
      <w:r w:rsidR="00454E78" w:rsidRPr="00FC3C3B">
        <w:rPr>
          <w:rFonts w:eastAsia="Times New Roman"/>
          <w:noProof/>
        </w:rPr>
        <w:t xml:space="preserve">responds to the call by the European Council and </w:t>
      </w:r>
      <w:r w:rsidR="00476E60" w:rsidRPr="00FC3C3B">
        <w:rPr>
          <w:rFonts w:eastAsia="Times New Roman"/>
          <w:noProof/>
        </w:rPr>
        <w:t>has t</w:t>
      </w:r>
      <w:r w:rsidR="007B4773" w:rsidRPr="00FC3C3B">
        <w:rPr>
          <w:rFonts w:eastAsia="Times New Roman"/>
          <w:noProof/>
        </w:rPr>
        <w:t>hree</w:t>
      </w:r>
      <w:r w:rsidR="00476E60" w:rsidRPr="00FC3C3B">
        <w:rPr>
          <w:rFonts w:eastAsia="Times New Roman"/>
          <w:noProof/>
        </w:rPr>
        <w:t xml:space="preserve"> main advantages. First, timing. With the creation of a new instrument taking at least 12 to 18 months, bringing existing instruments together can be done much more quickly. This would be an indisputable advantage for the beneficiaries of EU funding as they would have the chance to reap the benefits of EU funding more swiftly. Second, </w:t>
      </w:r>
      <w:r w:rsidR="00910246" w:rsidRPr="00FC3C3B">
        <w:rPr>
          <w:rFonts w:eastAsia="Times New Roman"/>
          <w:noProof/>
        </w:rPr>
        <w:t xml:space="preserve">adapting the existing instruments would increase the possibilities of </w:t>
      </w:r>
      <w:r w:rsidR="00476E60" w:rsidRPr="00FC3C3B">
        <w:rPr>
          <w:rFonts w:eastAsia="Times New Roman"/>
          <w:noProof/>
        </w:rPr>
        <w:t xml:space="preserve">blending different sources of financing </w:t>
      </w:r>
      <w:r w:rsidR="00B91144" w:rsidRPr="00FC3C3B">
        <w:rPr>
          <w:rFonts w:eastAsia="Times New Roman"/>
          <w:noProof/>
        </w:rPr>
        <w:t>–</w:t>
      </w:r>
      <w:r w:rsidR="00476E60" w:rsidRPr="00FC3C3B">
        <w:rPr>
          <w:rFonts w:eastAsia="Times New Roman"/>
          <w:noProof/>
        </w:rPr>
        <w:t xml:space="preserve"> under both direct and shared management – </w:t>
      </w:r>
      <w:r w:rsidR="007C6B77" w:rsidRPr="00FC3C3B">
        <w:rPr>
          <w:rFonts w:eastAsia="Times New Roman"/>
          <w:noProof/>
        </w:rPr>
        <w:t>thereby leading</w:t>
      </w:r>
      <w:r w:rsidR="00476E60" w:rsidRPr="00FC3C3B">
        <w:rPr>
          <w:rFonts w:eastAsia="Times New Roman"/>
          <w:noProof/>
        </w:rPr>
        <w:t xml:space="preserve"> to a more efficient use of resources. </w:t>
      </w:r>
      <w:r w:rsidR="007C6B77" w:rsidRPr="00FC3C3B">
        <w:rPr>
          <w:rFonts w:eastAsia="Times New Roman"/>
          <w:noProof/>
        </w:rPr>
        <w:t xml:space="preserve">And finally, </w:t>
      </w:r>
      <w:r w:rsidR="00B00C7D" w:rsidRPr="00FC3C3B">
        <w:rPr>
          <w:rFonts w:eastAsia="Times New Roman"/>
          <w:noProof/>
        </w:rPr>
        <w:t xml:space="preserve">building on those existing instruments will also be simpler for project promoters and programme managers. With the help of the </w:t>
      </w:r>
      <w:r w:rsidR="007543DB" w:rsidRPr="00FC3C3B">
        <w:rPr>
          <w:rFonts w:eastAsia="Times New Roman"/>
          <w:noProof/>
        </w:rPr>
        <w:t>Sovereignty Portal</w:t>
      </w:r>
      <w:r w:rsidR="00B00C7D" w:rsidRPr="00FC3C3B">
        <w:rPr>
          <w:rFonts w:eastAsia="Times New Roman"/>
          <w:noProof/>
        </w:rPr>
        <w:t xml:space="preserve">, all the information about funding opportunities will be centralised. Moreover, it will limit the administrative burden for </w:t>
      </w:r>
      <w:r w:rsidR="00171196" w:rsidRPr="00FC3C3B">
        <w:rPr>
          <w:rFonts w:eastAsia="Times New Roman"/>
          <w:noProof/>
        </w:rPr>
        <w:t>project promoters and programme managers</w:t>
      </w:r>
      <w:r w:rsidR="00B00C7D" w:rsidRPr="00FC3C3B">
        <w:rPr>
          <w:rFonts w:eastAsia="Times New Roman"/>
          <w:noProof/>
        </w:rPr>
        <w:t xml:space="preserve"> and minimise the risk of overlaps amongst instruments.</w:t>
      </w:r>
      <w:r w:rsidR="00B00C7D" w:rsidRPr="00FC3C3B">
        <w:rPr>
          <w:noProof/>
        </w:rPr>
        <w:t xml:space="preserve"> </w:t>
      </w:r>
    </w:p>
    <w:p w14:paraId="7523755A" w14:textId="77777777" w:rsidR="00547221" w:rsidRPr="00FC3C3B" w:rsidRDefault="00A14DEA" w:rsidP="00547221">
      <w:pPr>
        <w:rPr>
          <w:rFonts w:eastAsia="Times New Roman"/>
          <w:noProof/>
        </w:rPr>
      </w:pPr>
      <w:r w:rsidRPr="00FC3C3B">
        <w:rPr>
          <w:noProof/>
        </w:rPr>
        <w:t xml:space="preserve">The </w:t>
      </w:r>
      <w:r w:rsidR="00982B83" w:rsidRPr="00FC3C3B">
        <w:rPr>
          <w:noProof/>
        </w:rPr>
        <w:t>STEP</w:t>
      </w:r>
      <w:r w:rsidR="00547221" w:rsidRPr="00FC3C3B">
        <w:rPr>
          <w:noProof/>
        </w:rPr>
        <w:t xml:space="preserve"> would allow the Union to react quickly in the face of risks for companies critical for Union’s value chains and to develop a top up for multi country projects, such as </w:t>
      </w:r>
      <w:r w:rsidR="001C0B35">
        <w:rPr>
          <w:noProof/>
        </w:rPr>
        <w:t xml:space="preserve">Important Projects of Common European Interest </w:t>
      </w:r>
      <w:r w:rsidR="00567204">
        <w:rPr>
          <w:noProof/>
        </w:rPr>
        <w:t>(</w:t>
      </w:r>
      <w:r w:rsidR="00547221" w:rsidRPr="00FC3C3B">
        <w:rPr>
          <w:noProof/>
        </w:rPr>
        <w:t>IPCEIs</w:t>
      </w:r>
      <w:r w:rsidR="00567204">
        <w:rPr>
          <w:noProof/>
        </w:rPr>
        <w:t>)</w:t>
      </w:r>
      <w:r w:rsidR="00547221" w:rsidRPr="00FC3C3B">
        <w:rPr>
          <w:noProof/>
        </w:rPr>
        <w:t xml:space="preserve">, </w:t>
      </w:r>
      <w:r w:rsidR="004C66AB" w:rsidRPr="00FC3C3B">
        <w:rPr>
          <w:noProof/>
        </w:rPr>
        <w:t xml:space="preserve">to enhance all Member State’s access to such projects, thereby safeguarding cohesion, and </w:t>
      </w:r>
      <w:r w:rsidR="00547221" w:rsidRPr="00FC3C3B">
        <w:rPr>
          <w:noProof/>
        </w:rPr>
        <w:t>to</w:t>
      </w:r>
      <w:r w:rsidR="0010407C" w:rsidRPr="00FC3C3B">
        <w:rPr>
          <w:noProof/>
        </w:rPr>
        <w:t xml:space="preserve"> </w:t>
      </w:r>
      <w:r w:rsidR="00547221" w:rsidRPr="00FC3C3B">
        <w:rPr>
          <w:noProof/>
        </w:rPr>
        <w:t xml:space="preserve">strengthen the Single Market and counter unequal availability of </w:t>
      </w:r>
      <w:r w:rsidR="006B0A62" w:rsidRPr="00FC3C3B">
        <w:rPr>
          <w:noProof/>
        </w:rPr>
        <w:t>S</w:t>
      </w:r>
      <w:r w:rsidR="00547221" w:rsidRPr="00FC3C3B">
        <w:rPr>
          <w:noProof/>
        </w:rPr>
        <w:t xml:space="preserve">tate </w:t>
      </w:r>
      <w:r w:rsidR="006B0A62" w:rsidRPr="00FC3C3B">
        <w:rPr>
          <w:noProof/>
        </w:rPr>
        <w:t>A</w:t>
      </w:r>
      <w:r w:rsidR="00547221" w:rsidRPr="00FC3C3B">
        <w:rPr>
          <w:noProof/>
        </w:rPr>
        <w:t xml:space="preserve">id. </w:t>
      </w:r>
    </w:p>
    <w:p w14:paraId="6C59F607" w14:textId="77777777" w:rsidR="00476E60" w:rsidRPr="00FC3C3B" w:rsidRDefault="00476E60" w:rsidP="00476E60">
      <w:pPr>
        <w:rPr>
          <w:rFonts w:eastAsia="Times New Roman"/>
          <w:noProof/>
        </w:rPr>
      </w:pPr>
      <w:r w:rsidRPr="00FC3C3B">
        <w:rPr>
          <w:rFonts w:eastAsia="Times New Roman"/>
          <w:noProof/>
        </w:rPr>
        <w:t xml:space="preserve">On that basis, the objective of the </w:t>
      </w:r>
      <w:r w:rsidR="00982B83" w:rsidRPr="00FC3C3B">
        <w:rPr>
          <w:rFonts w:eastAsia="Times New Roman"/>
          <w:noProof/>
        </w:rPr>
        <w:t>STEP</w:t>
      </w:r>
      <w:r w:rsidR="0017237D" w:rsidRPr="00FC3C3B">
        <w:rPr>
          <w:rFonts w:eastAsia="Times New Roman"/>
          <w:noProof/>
        </w:rPr>
        <w:t xml:space="preserve"> </w:t>
      </w:r>
      <w:r w:rsidRPr="00FC3C3B">
        <w:rPr>
          <w:rFonts w:eastAsia="Times New Roman"/>
          <w:noProof/>
        </w:rPr>
        <w:t xml:space="preserve">is three-fold: </w:t>
      </w:r>
    </w:p>
    <w:p w14:paraId="52405FF4" w14:textId="77777777" w:rsidR="00476E60" w:rsidRPr="00FC3C3B" w:rsidRDefault="00323DD4" w:rsidP="00323DD4">
      <w:pPr>
        <w:pStyle w:val="ManualNumPar1"/>
        <w:rPr>
          <w:noProof/>
        </w:rPr>
      </w:pPr>
      <w:r w:rsidRPr="00FC3C3B">
        <w:rPr>
          <w:noProof/>
        </w:rPr>
        <w:t>1.</w:t>
      </w:r>
      <w:r w:rsidRPr="00FC3C3B">
        <w:rPr>
          <w:noProof/>
        </w:rPr>
        <w:tab/>
      </w:r>
      <w:r w:rsidR="00476E60" w:rsidRPr="00FC3C3B">
        <w:rPr>
          <w:noProof/>
        </w:rPr>
        <w:t xml:space="preserve">Providing flexibility in existing instruments </w:t>
      </w:r>
    </w:p>
    <w:p w14:paraId="0AAE05C3" w14:textId="77777777" w:rsidR="00476E60" w:rsidRPr="00FC3C3B" w:rsidRDefault="00323DD4" w:rsidP="00323DD4">
      <w:pPr>
        <w:pStyle w:val="ManualNumPar1"/>
        <w:rPr>
          <w:noProof/>
        </w:rPr>
      </w:pPr>
      <w:r w:rsidRPr="00FC3C3B">
        <w:rPr>
          <w:noProof/>
        </w:rPr>
        <w:t>2.</w:t>
      </w:r>
      <w:r w:rsidRPr="00FC3C3B">
        <w:rPr>
          <w:noProof/>
        </w:rPr>
        <w:tab/>
      </w:r>
      <w:r w:rsidR="00476E60" w:rsidRPr="00FC3C3B">
        <w:rPr>
          <w:noProof/>
        </w:rPr>
        <w:t xml:space="preserve">Reinforcing the firepower of existing instruments </w:t>
      </w:r>
    </w:p>
    <w:p w14:paraId="511FAF74" w14:textId="77777777" w:rsidR="00476E60" w:rsidRPr="00FC3C3B" w:rsidRDefault="00323DD4" w:rsidP="00323DD4">
      <w:pPr>
        <w:pStyle w:val="ManualNumPar1"/>
        <w:rPr>
          <w:noProof/>
        </w:rPr>
      </w:pPr>
      <w:r w:rsidRPr="00FC3C3B">
        <w:rPr>
          <w:noProof/>
        </w:rPr>
        <w:t>3.</w:t>
      </w:r>
      <w:r w:rsidRPr="00FC3C3B">
        <w:rPr>
          <w:noProof/>
        </w:rPr>
        <w:tab/>
      </w:r>
      <w:r w:rsidR="00476E60" w:rsidRPr="00FC3C3B">
        <w:rPr>
          <w:noProof/>
        </w:rPr>
        <w:t xml:space="preserve">Creating synergies among </w:t>
      </w:r>
      <w:r w:rsidR="007A1106" w:rsidRPr="00FC3C3B">
        <w:rPr>
          <w:noProof/>
        </w:rPr>
        <w:t xml:space="preserve">existing </w:t>
      </w:r>
      <w:r w:rsidR="00476E60" w:rsidRPr="00FC3C3B">
        <w:rPr>
          <w:noProof/>
        </w:rPr>
        <w:t>instruments</w:t>
      </w:r>
      <w:r w:rsidR="0058260A" w:rsidRPr="00FC3C3B">
        <w:rPr>
          <w:noProof/>
        </w:rPr>
        <w:t xml:space="preserve"> </w:t>
      </w:r>
    </w:p>
    <w:p w14:paraId="479AD606" w14:textId="77777777" w:rsidR="002C7991" w:rsidRPr="00FC3C3B" w:rsidRDefault="002C7991">
      <w:pPr>
        <w:rPr>
          <w:b/>
          <w:bCs/>
          <w:noProof/>
          <w:u w:val="single"/>
        </w:rPr>
      </w:pPr>
    </w:p>
    <w:p w14:paraId="1A1178B4" w14:textId="77777777" w:rsidR="00A73F8D" w:rsidRDefault="00A73F8D">
      <w:pPr>
        <w:rPr>
          <w:rFonts w:eastAsia="Times New Roman"/>
          <w:b/>
          <w:bCs/>
          <w:noProof/>
        </w:rPr>
      </w:pPr>
      <w:r>
        <w:rPr>
          <w:b/>
          <w:bCs/>
          <w:noProof/>
          <w:u w:val="single"/>
          <w:lang w:eastAsia="en-GB"/>
        </w:rPr>
        <w:drawing>
          <wp:inline distT="0" distB="0" distL="0" distR="0" wp14:anchorId="44E0CD98" wp14:editId="7F3C26A4">
            <wp:extent cx="5761355" cy="2265116"/>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61355" cy="2265116"/>
                    </a:xfrm>
                    <a:prstGeom prst="rect">
                      <a:avLst/>
                    </a:prstGeom>
                    <a:noFill/>
                  </pic:spPr>
                </pic:pic>
              </a:graphicData>
            </a:graphic>
          </wp:inline>
        </w:drawing>
      </w:r>
    </w:p>
    <w:p w14:paraId="2B5040AC" w14:textId="77777777" w:rsidR="002C7991" w:rsidRPr="00FC3C3B" w:rsidRDefault="00550165">
      <w:pPr>
        <w:rPr>
          <w:rFonts w:eastAsia="Times New Roman"/>
          <w:b/>
          <w:bCs/>
          <w:noProof/>
        </w:rPr>
      </w:pPr>
      <w:r w:rsidRPr="00FC3C3B">
        <w:rPr>
          <w:rFonts w:eastAsia="Times New Roman"/>
          <w:b/>
          <w:bCs/>
          <w:noProof/>
        </w:rPr>
        <w:t xml:space="preserve">Providing flexibility in existing instruments to better support </w:t>
      </w:r>
      <w:r w:rsidR="00C77B96" w:rsidRPr="00FC3C3B">
        <w:rPr>
          <w:rFonts w:eastAsia="Times New Roman"/>
          <w:b/>
          <w:bCs/>
          <w:noProof/>
        </w:rPr>
        <w:t xml:space="preserve">relevant </w:t>
      </w:r>
      <w:r w:rsidRPr="00FC3C3B">
        <w:rPr>
          <w:rFonts w:eastAsia="Times New Roman"/>
          <w:b/>
          <w:bCs/>
          <w:noProof/>
        </w:rPr>
        <w:t>investments</w:t>
      </w:r>
    </w:p>
    <w:p w14:paraId="40CDD190" w14:textId="77777777" w:rsidR="00636E58" w:rsidRPr="00FC3C3B" w:rsidRDefault="00636E58" w:rsidP="0060738A">
      <w:pPr>
        <w:rPr>
          <w:rFonts w:eastAsia="Times New Roman"/>
          <w:noProof/>
        </w:rPr>
      </w:pPr>
      <w:r w:rsidRPr="00FC3C3B">
        <w:rPr>
          <w:rFonts w:eastAsia="Times New Roman"/>
          <w:noProof/>
        </w:rPr>
        <w:t>Cohesion funds represent the largest</w:t>
      </w:r>
      <w:r w:rsidR="00472794" w:rsidRPr="00FC3C3B">
        <w:rPr>
          <w:rFonts w:eastAsia="Times New Roman"/>
          <w:noProof/>
        </w:rPr>
        <w:t xml:space="preserve"> </w:t>
      </w:r>
      <w:r w:rsidRPr="00FC3C3B">
        <w:rPr>
          <w:rFonts w:eastAsia="Times New Roman"/>
          <w:noProof/>
        </w:rPr>
        <w:t>single EU policy financed through the EU budget. To incentivise Member</w:t>
      </w:r>
      <w:r w:rsidR="00FC1F6F" w:rsidRPr="00FC3C3B">
        <w:rPr>
          <w:rFonts w:eastAsia="Times New Roman"/>
          <w:noProof/>
        </w:rPr>
        <w:t xml:space="preserve"> States</w:t>
      </w:r>
      <w:r w:rsidRPr="00FC3C3B">
        <w:rPr>
          <w:rFonts w:eastAsia="Times New Roman"/>
          <w:noProof/>
        </w:rPr>
        <w:t>, the Commission proposes a new priority across all major funds - the European Regional Development Fund</w:t>
      </w:r>
      <w:r w:rsidR="0014470D" w:rsidRPr="00FC3C3B">
        <w:rPr>
          <w:rFonts w:eastAsia="Times New Roman"/>
          <w:noProof/>
        </w:rPr>
        <w:t xml:space="preserve"> (ERDF)</w:t>
      </w:r>
      <w:r w:rsidRPr="00FC3C3B">
        <w:rPr>
          <w:rFonts w:eastAsia="Times New Roman"/>
          <w:noProof/>
        </w:rPr>
        <w:t>, Cohesion Fund</w:t>
      </w:r>
      <w:r w:rsidR="0014470D" w:rsidRPr="00FC3C3B">
        <w:rPr>
          <w:rFonts w:eastAsia="Times New Roman"/>
          <w:noProof/>
        </w:rPr>
        <w:t xml:space="preserve"> (CF)</w:t>
      </w:r>
      <w:r w:rsidRPr="00FC3C3B">
        <w:rPr>
          <w:rFonts w:eastAsia="Times New Roman"/>
          <w:noProof/>
        </w:rPr>
        <w:t xml:space="preserve">, </w:t>
      </w:r>
      <w:r w:rsidR="00237C0F" w:rsidRPr="00FC3C3B">
        <w:rPr>
          <w:rFonts w:eastAsia="Times New Roman"/>
          <w:noProof/>
        </w:rPr>
        <w:t xml:space="preserve">and the </w:t>
      </w:r>
      <w:r w:rsidRPr="00FC3C3B">
        <w:rPr>
          <w:rFonts w:eastAsia="Times New Roman"/>
          <w:noProof/>
        </w:rPr>
        <w:t>Just Transition Fund</w:t>
      </w:r>
      <w:r w:rsidR="0014470D" w:rsidRPr="00FC3C3B">
        <w:rPr>
          <w:rFonts w:eastAsia="Times New Roman"/>
          <w:noProof/>
        </w:rPr>
        <w:t xml:space="preserve"> (JTF)</w:t>
      </w:r>
      <w:r w:rsidRPr="00FC3C3B">
        <w:rPr>
          <w:rFonts w:eastAsia="Times New Roman"/>
          <w:noProof/>
        </w:rPr>
        <w:t xml:space="preserve">. </w:t>
      </w:r>
      <w:r w:rsidRPr="00FC3C3B" w:rsidDel="00CA1DBA">
        <w:rPr>
          <w:rFonts w:eastAsia="Times New Roman"/>
          <w:noProof/>
        </w:rPr>
        <w:t xml:space="preserve">The Commission also proposes to open up those funds for </w:t>
      </w:r>
      <w:r w:rsidRPr="00FC3C3B">
        <w:rPr>
          <w:rFonts w:eastAsia="Times New Roman"/>
          <w:noProof/>
        </w:rPr>
        <w:t xml:space="preserve">large companies </w:t>
      </w:r>
      <w:r w:rsidRPr="00FC3C3B" w:rsidDel="007D4C4C">
        <w:rPr>
          <w:rFonts w:eastAsia="Times New Roman"/>
          <w:noProof/>
        </w:rPr>
        <w:t xml:space="preserve">in </w:t>
      </w:r>
      <w:r w:rsidR="00DD0C4D" w:rsidRPr="00FC3C3B" w:rsidDel="007D4C4C">
        <w:rPr>
          <w:rFonts w:eastAsia="Times New Roman"/>
          <w:noProof/>
        </w:rPr>
        <w:t xml:space="preserve">less developed and transition regions, as well as in more developed regions of Member </w:t>
      </w:r>
      <w:r w:rsidR="00511D2F" w:rsidRPr="00FC3C3B" w:rsidDel="007D4C4C">
        <w:rPr>
          <w:rFonts w:eastAsia="Times New Roman"/>
          <w:noProof/>
        </w:rPr>
        <w:t>S</w:t>
      </w:r>
      <w:r w:rsidR="00DD0C4D" w:rsidRPr="00FC3C3B" w:rsidDel="007D4C4C">
        <w:rPr>
          <w:rFonts w:eastAsia="Times New Roman"/>
          <w:noProof/>
        </w:rPr>
        <w:t>tates with a GDP per capita below the EU average</w:t>
      </w:r>
      <w:r w:rsidRPr="00FC3C3B" w:rsidDel="007D4C4C">
        <w:rPr>
          <w:rFonts w:eastAsia="Times New Roman"/>
          <w:noProof/>
        </w:rPr>
        <w:t xml:space="preserve">, </w:t>
      </w:r>
      <w:r w:rsidRPr="00FC3C3B">
        <w:rPr>
          <w:rFonts w:eastAsia="Times New Roman"/>
          <w:noProof/>
        </w:rPr>
        <w:t xml:space="preserve">to unleash greater investments in the target areas of the </w:t>
      </w:r>
      <w:r w:rsidR="00982B83" w:rsidRPr="00FC3C3B">
        <w:rPr>
          <w:rFonts w:eastAsia="Times New Roman"/>
          <w:noProof/>
        </w:rPr>
        <w:t>STEP</w:t>
      </w:r>
      <w:r w:rsidRPr="00FC3C3B">
        <w:rPr>
          <w:rFonts w:eastAsia="Times New Roman"/>
          <w:noProof/>
        </w:rPr>
        <w:t xml:space="preserve">. By providing financial incentives in the form of higher pre-financing and </w:t>
      </w:r>
      <w:r w:rsidR="002D2944" w:rsidRPr="00FC3C3B">
        <w:rPr>
          <w:rFonts w:eastAsia="Times New Roman"/>
          <w:noProof/>
        </w:rPr>
        <w:t xml:space="preserve">EU </w:t>
      </w:r>
      <w:r w:rsidRPr="00FC3C3B">
        <w:rPr>
          <w:rFonts w:eastAsia="Times New Roman"/>
          <w:noProof/>
        </w:rPr>
        <w:t xml:space="preserve">financing, Member States are encouraged to reprioritise their programmes. </w:t>
      </w:r>
      <w:r w:rsidRPr="00FC3C3B" w:rsidDel="00772B96">
        <w:rPr>
          <w:rFonts w:eastAsia="Times New Roman"/>
          <w:noProof/>
        </w:rPr>
        <w:t xml:space="preserve">Under those funds, the Commission also proposes a 30% pre-financing in 2024 to incentivise uptake and an increase the EU financing to 100% for </w:t>
      </w:r>
      <w:r w:rsidR="00982B83" w:rsidRPr="00FC3C3B" w:rsidDel="00772B96">
        <w:rPr>
          <w:rFonts w:eastAsia="Times New Roman"/>
          <w:noProof/>
        </w:rPr>
        <w:t xml:space="preserve">STEP </w:t>
      </w:r>
      <w:r w:rsidRPr="00FC3C3B" w:rsidDel="00772B96">
        <w:rPr>
          <w:rFonts w:eastAsia="Times New Roman"/>
          <w:noProof/>
        </w:rPr>
        <w:t>projects. </w:t>
      </w:r>
    </w:p>
    <w:p w14:paraId="32ED5B4D" w14:textId="77777777" w:rsidR="006538B9" w:rsidRPr="00FC3C3B" w:rsidRDefault="006538B9" w:rsidP="006538B9">
      <w:pPr>
        <w:rPr>
          <w:noProof/>
          <w:lang w:val="en-IE"/>
        </w:rPr>
      </w:pPr>
      <w:r w:rsidRPr="00FC3C3B">
        <w:rPr>
          <w:rFonts w:eastAsia="Times New Roman"/>
          <w:noProof/>
        </w:rPr>
        <w:t xml:space="preserve">Moreover, it is proposed to provide additional flexibilities for Member States to be able to implement the 2014-2020 cohesion policy programmes. The regulatory framework for the </w:t>
      </w:r>
      <w:r w:rsidRPr="00FC3C3B">
        <w:rPr>
          <w:noProof/>
        </w:rPr>
        <w:t>implementation of the 2014-2020 programmes</w:t>
      </w:r>
      <w:r w:rsidR="0092551A" w:rsidRPr="00FC3C3B">
        <w:rPr>
          <w:noProof/>
        </w:rPr>
        <w:t xml:space="preserve"> </w:t>
      </w:r>
      <w:r w:rsidR="0092551A" w:rsidRPr="00FC3C3B">
        <w:rPr>
          <w:noProof/>
          <w:lang w:val="en-IE"/>
        </w:rPr>
        <w:t xml:space="preserve">for cohesion policy and the Fund for European Aid to the Most Deprived (FEAD) </w:t>
      </w:r>
      <w:r w:rsidRPr="00FC3C3B">
        <w:rPr>
          <w:noProof/>
        </w:rPr>
        <w:t xml:space="preserve">has already been adapted to provide </w:t>
      </w:r>
      <w:r w:rsidRPr="00FC3C3B">
        <w:rPr>
          <w:noProof/>
          <w:lang w:val="en-IE"/>
        </w:rPr>
        <w:t>Member States and regions with additional flexibility in terms of implementation rules of cohesion policy and more liquidity to tackle the effects of the COVID-19 pandemic and the war or aggression against Ukraine.</w:t>
      </w:r>
      <w:r w:rsidRPr="00FC3C3B">
        <w:rPr>
          <w:rStyle w:val="FootnoteReference"/>
          <w:noProof/>
          <w:lang w:val="en-IE"/>
        </w:rPr>
        <w:footnoteReference w:id="13"/>
      </w:r>
      <w:r w:rsidRPr="00FC3C3B">
        <w:rPr>
          <w:noProof/>
          <w:lang w:val="en-IE"/>
        </w:rPr>
        <w:t xml:space="preserve"> These measures, introduced at the end of the programming period, require sufficient time and administrative resources to be fully exploited and implemented. Therefore, it is proposed to extend the deadlines for the </w:t>
      </w:r>
      <w:r w:rsidR="00B2294A" w:rsidRPr="00FC3C3B">
        <w:rPr>
          <w:noProof/>
          <w:lang w:val="en-IE"/>
        </w:rPr>
        <w:t xml:space="preserve">submission of the </w:t>
      </w:r>
      <w:r w:rsidRPr="00FC3C3B">
        <w:rPr>
          <w:noProof/>
          <w:lang w:val="en-IE"/>
        </w:rPr>
        <w:t xml:space="preserve">closure </w:t>
      </w:r>
      <w:r w:rsidR="00B2294A" w:rsidRPr="00FC3C3B">
        <w:rPr>
          <w:noProof/>
          <w:lang w:val="en-IE"/>
        </w:rPr>
        <w:t>documentation</w:t>
      </w:r>
      <w:r w:rsidRPr="00FC3C3B">
        <w:rPr>
          <w:noProof/>
          <w:lang w:val="en-IE"/>
        </w:rPr>
        <w:t xml:space="preserve"> under the 2014-2020 period by 12 months. This should help the Member States that will face additional workload linked to the revision of the operational programmes for the purpose of the </w:t>
      </w:r>
      <w:r w:rsidR="00982B83" w:rsidRPr="00FC3C3B">
        <w:rPr>
          <w:rFonts w:eastAsia="Times New Roman"/>
          <w:noProof/>
        </w:rPr>
        <w:t>STEP</w:t>
      </w:r>
      <w:r w:rsidRPr="00FC3C3B">
        <w:rPr>
          <w:noProof/>
          <w:lang w:val="en-IE"/>
        </w:rPr>
        <w:t>.</w:t>
      </w:r>
      <w:r w:rsidR="003D4DD8" w:rsidRPr="00FC3C3B">
        <w:rPr>
          <w:noProof/>
          <w:lang w:val="en-IE"/>
        </w:rPr>
        <w:t xml:space="preserve">  </w:t>
      </w:r>
    </w:p>
    <w:p w14:paraId="56D47895" w14:textId="77777777" w:rsidR="008175BB" w:rsidRPr="00FC3C3B" w:rsidRDefault="00636E58" w:rsidP="0060738A">
      <w:pPr>
        <w:rPr>
          <w:noProof/>
        </w:rPr>
      </w:pPr>
      <w:r w:rsidRPr="00FC3C3B">
        <w:rPr>
          <w:rFonts w:eastAsia="Times New Roman"/>
          <w:noProof/>
        </w:rPr>
        <w:t xml:space="preserve">To incentivise Member States to provide resources to InvestEU, the EU flagship programme to boost investments in critical industries, the Commission proposes to increase the transfers to InvestEU from </w:t>
      </w:r>
      <w:r w:rsidR="00237C0F" w:rsidRPr="00FC3C3B">
        <w:rPr>
          <w:rFonts w:eastAsia="Times New Roman"/>
          <w:noProof/>
        </w:rPr>
        <w:t xml:space="preserve">the recovery and resilience </w:t>
      </w:r>
      <w:r w:rsidR="008903DD" w:rsidRPr="00FC3C3B">
        <w:rPr>
          <w:rFonts w:eastAsia="Times New Roman"/>
          <w:noProof/>
        </w:rPr>
        <w:t xml:space="preserve">plans </w:t>
      </w:r>
      <w:r w:rsidR="00CC0C98" w:rsidRPr="00FC3C3B">
        <w:rPr>
          <w:rFonts w:eastAsia="Times New Roman"/>
          <w:noProof/>
        </w:rPr>
        <w:t>from 4% to 10%</w:t>
      </w:r>
      <w:r w:rsidR="00756C7A" w:rsidRPr="00FC3C3B">
        <w:rPr>
          <w:rFonts w:eastAsia="Times New Roman"/>
          <w:noProof/>
        </w:rPr>
        <w:t>.</w:t>
      </w:r>
      <w:r w:rsidRPr="00FC3C3B">
        <w:rPr>
          <w:rFonts w:eastAsia="Times New Roman"/>
          <w:noProof/>
        </w:rPr>
        <w:t xml:space="preserve"> This additional flexibility to use Member States’ resources under InvestEU will help them to benefit from the established structures and market expertise of the InvestEU implementing partners, to select and finance the most promising companies. </w:t>
      </w:r>
      <w:r w:rsidR="005C30D9" w:rsidRPr="00FC3C3B">
        <w:rPr>
          <w:rFonts w:eastAsia="Times New Roman"/>
          <w:noProof/>
        </w:rPr>
        <w:t xml:space="preserve">In this respect, </w:t>
      </w:r>
      <w:r w:rsidR="00316AFD" w:rsidRPr="00FC3C3B">
        <w:rPr>
          <w:rFonts w:eastAsia="Times New Roman"/>
          <w:noProof/>
        </w:rPr>
        <w:t>where a</w:t>
      </w:r>
      <w:r w:rsidR="005C30D9" w:rsidRPr="00FC3C3B">
        <w:rPr>
          <w:rFonts w:eastAsia="Times New Roman"/>
          <w:noProof/>
        </w:rPr>
        <w:t xml:space="preserve"> </w:t>
      </w:r>
      <w:r w:rsidR="000F0DB5" w:rsidRPr="00FC3C3B">
        <w:rPr>
          <w:noProof/>
        </w:rPr>
        <w:t>Member State</w:t>
      </w:r>
      <w:r w:rsidR="00316AFD" w:rsidRPr="00FC3C3B">
        <w:rPr>
          <w:noProof/>
        </w:rPr>
        <w:t xml:space="preserve"> decides to</w:t>
      </w:r>
      <w:r w:rsidR="000F0DB5" w:rsidRPr="00FC3C3B">
        <w:rPr>
          <w:noProof/>
        </w:rPr>
        <w:t xml:space="preserve"> transfer resources to InvestEU national compartments for implementing an existing InvestEU financial product developed </w:t>
      </w:r>
      <w:r w:rsidR="00A756D8" w:rsidRPr="00FC3C3B">
        <w:rPr>
          <w:noProof/>
        </w:rPr>
        <w:t xml:space="preserve">for the EU compartment </w:t>
      </w:r>
      <w:r w:rsidR="000F0DB5" w:rsidRPr="00FC3C3B">
        <w:rPr>
          <w:noProof/>
        </w:rPr>
        <w:t xml:space="preserve">by </w:t>
      </w:r>
      <w:r w:rsidR="00316AFD" w:rsidRPr="00FC3C3B">
        <w:rPr>
          <w:noProof/>
        </w:rPr>
        <w:t xml:space="preserve">the Commission </w:t>
      </w:r>
      <w:r w:rsidR="00316AFD" w:rsidRPr="00FC3C3B" w:rsidDel="002A1DBC">
        <w:rPr>
          <w:noProof/>
        </w:rPr>
        <w:t>with</w:t>
      </w:r>
      <w:r w:rsidR="00A756D8" w:rsidRPr="00FC3C3B">
        <w:rPr>
          <w:noProof/>
        </w:rPr>
        <w:t xml:space="preserve"> Union implementing partners and international implementing partners, such as</w:t>
      </w:r>
      <w:r w:rsidR="00783DF2" w:rsidRPr="00FC3C3B">
        <w:rPr>
          <w:noProof/>
        </w:rPr>
        <w:t xml:space="preserve"> </w:t>
      </w:r>
      <w:r w:rsidR="006F13BB" w:rsidRPr="00FC3C3B">
        <w:rPr>
          <w:noProof/>
        </w:rPr>
        <w:t>the European Investment Bank Group</w:t>
      </w:r>
      <w:r w:rsidR="00A756D8" w:rsidRPr="00FC3C3B">
        <w:rPr>
          <w:noProof/>
        </w:rPr>
        <w:t xml:space="preserve"> and the European Bank for Reconstruction and Development</w:t>
      </w:r>
      <w:r w:rsidR="000F0DB5" w:rsidRPr="00FC3C3B">
        <w:rPr>
          <w:noProof/>
        </w:rPr>
        <w:t xml:space="preserve">, </w:t>
      </w:r>
      <w:r w:rsidR="002B14D5" w:rsidRPr="00FC3C3B">
        <w:rPr>
          <w:noProof/>
        </w:rPr>
        <w:t>meaning that the Member State has</w:t>
      </w:r>
      <w:r w:rsidR="000F0DB5" w:rsidRPr="00FC3C3B">
        <w:rPr>
          <w:noProof/>
        </w:rPr>
        <w:t xml:space="preserve"> no discretion</w:t>
      </w:r>
      <w:r w:rsidR="002B14D5" w:rsidRPr="00FC3C3B">
        <w:rPr>
          <w:noProof/>
        </w:rPr>
        <w:t>ary input</w:t>
      </w:r>
      <w:r w:rsidR="000F0DB5" w:rsidRPr="00FC3C3B">
        <w:rPr>
          <w:noProof/>
        </w:rPr>
        <w:t xml:space="preserve"> in</w:t>
      </w:r>
      <w:r w:rsidR="002B14D5" w:rsidRPr="00FC3C3B">
        <w:rPr>
          <w:noProof/>
        </w:rPr>
        <w:t>to</w:t>
      </w:r>
      <w:r w:rsidR="000F0DB5" w:rsidRPr="00FC3C3B">
        <w:rPr>
          <w:noProof/>
        </w:rPr>
        <w:t xml:space="preserve"> the</w:t>
      </w:r>
      <w:r w:rsidR="002B14D5" w:rsidRPr="00FC3C3B">
        <w:rPr>
          <w:noProof/>
        </w:rPr>
        <w:t xml:space="preserve"> design</w:t>
      </w:r>
      <w:r w:rsidR="000F0DB5" w:rsidRPr="00FC3C3B">
        <w:rPr>
          <w:noProof/>
        </w:rPr>
        <w:t xml:space="preserve"> of the financial product, </w:t>
      </w:r>
      <w:r w:rsidR="00DA5E38" w:rsidRPr="00FC3C3B">
        <w:rPr>
          <w:noProof/>
        </w:rPr>
        <w:t>such a decision does</w:t>
      </w:r>
      <w:r w:rsidR="000F0DB5" w:rsidRPr="00FC3C3B">
        <w:rPr>
          <w:noProof/>
        </w:rPr>
        <w:t xml:space="preserve"> not </w:t>
      </w:r>
      <w:r w:rsidR="00DA5E38" w:rsidRPr="00FC3C3B">
        <w:rPr>
          <w:noProof/>
        </w:rPr>
        <w:t>render the design of the financial product</w:t>
      </w:r>
      <w:r w:rsidR="000F0DB5" w:rsidRPr="00FC3C3B">
        <w:rPr>
          <w:noProof/>
        </w:rPr>
        <w:t xml:space="preserve"> imputable to the State and hence </w:t>
      </w:r>
      <w:r w:rsidR="00DA5E38" w:rsidRPr="00FC3C3B" w:rsidDel="00E26F95">
        <w:rPr>
          <w:noProof/>
        </w:rPr>
        <w:t>such a</w:t>
      </w:r>
      <w:r w:rsidR="00DA5E38" w:rsidRPr="00FC3C3B">
        <w:rPr>
          <w:noProof/>
        </w:rPr>
        <w:t xml:space="preserve"> decision does</w:t>
      </w:r>
      <w:r w:rsidR="000F0DB5" w:rsidRPr="00FC3C3B">
        <w:rPr>
          <w:noProof/>
        </w:rPr>
        <w:t xml:space="preserve"> not </w:t>
      </w:r>
      <w:r w:rsidR="00DA5E38" w:rsidRPr="00FC3C3B" w:rsidDel="00E26F95">
        <w:rPr>
          <w:noProof/>
        </w:rPr>
        <w:t xml:space="preserve">in itself </w:t>
      </w:r>
      <w:r w:rsidR="00DA5E38" w:rsidRPr="00FC3C3B">
        <w:rPr>
          <w:noProof/>
        </w:rPr>
        <w:t xml:space="preserve">entail </w:t>
      </w:r>
      <w:r w:rsidR="000F0DB5" w:rsidRPr="00FC3C3B">
        <w:rPr>
          <w:noProof/>
        </w:rPr>
        <w:t xml:space="preserve">State aid. </w:t>
      </w:r>
      <w:r w:rsidR="00B96F59" w:rsidRPr="00FC3C3B">
        <w:rPr>
          <w:noProof/>
        </w:rPr>
        <w:t>This is without prejudice to the obligation of Union financial instruments and budgetary guarantees to be consistent with State aid rules pursuant to Article 209(2)(c) of the Financial Regulation.</w:t>
      </w:r>
    </w:p>
    <w:p w14:paraId="3022BD47" w14:textId="77777777" w:rsidR="005C30D9" w:rsidRPr="00FC3C3B" w:rsidRDefault="005C30D9" w:rsidP="0060738A">
      <w:pPr>
        <w:rPr>
          <w:rStyle w:val="normaltextrun"/>
          <w:noProof/>
          <w:lang w:val="en-US"/>
        </w:rPr>
      </w:pPr>
      <w:r w:rsidRPr="00FC3C3B">
        <w:rPr>
          <w:noProof/>
        </w:rPr>
        <w:t xml:space="preserve">Moreover, </w:t>
      </w:r>
      <w:r w:rsidR="00497985" w:rsidRPr="00FC3C3B">
        <w:rPr>
          <w:noProof/>
        </w:rPr>
        <w:t>t</w:t>
      </w:r>
      <w:r w:rsidRPr="00FC3C3B">
        <w:rPr>
          <w:rStyle w:val="normaltextrun"/>
          <w:noProof/>
          <w:lang w:val="en-US"/>
        </w:rPr>
        <w:t>o facilitate the RRF related contributions to the Member State compartment of InvestEU and its</w:t>
      </w:r>
      <w:r w:rsidRPr="00FC3C3B">
        <w:rPr>
          <w:rStyle w:val="normaltextrun"/>
          <w:b/>
          <w:bCs/>
          <w:noProof/>
          <w:lang w:val="en-US"/>
        </w:rPr>
        <w:t xml:space="preserve"> </w:t>
      </w:r>
      <w:r w:rsidRPr="00FC3C3B">
        <w:rPr>
          <w:rStyle w:val="normaltextrun"/>
          <w:noProof/>
          <w:lang w:val="en-US"/>
        </w:rPr>
        <w:t xml:space="preserve">uptake, the Commission will adapt the Technical guidance on the application of ‘do no significant harm’ under Regulation (EU) 2021/241 to ensure that financial products implemented under the InvestEU Fund can </w:t>
      </w:r>
      <w:r w:rsidR="002D3B17" w:rsidRPr="00FC3C3B">
        <w:rPr>
          <w:rStyle w:val="normaltextrun"/>
          <w:noProof/>
          <w:lang w:val="en-US"/>
        </w:rPr>
        <w:t xml:space="preserve">indicate, where applicable </w:t>
      </w:r>
      <w:r w:rsidRPr="00FC3C3B">
        <w:rPr>
          <w:rStyle w:val="normaltextrun"/>
          <w:noProof/>
          <w:lang w:val="en-US"/>
        </w:rPr>
        <w:t>the absence of significant harm to the six environmental objectives set out in Article 17 of Regulation (EU) 2020/852 by applying InvestEU rules in combination with the relevant implementing partner’s policies</w:t>
      </w:r>
      <w:r w:rsidR="00497985" w:rsidRPr="00FC3C3B">
        <w:rPr>
          <w:rStyle w:val="normaltextrun"/>
          <w:noProof/>
          <w:lang w:val="en-US"/>
        </w:rPr>
        <w:t>.</w:t>
      </w:r>
    </w:p>
    <w:p w14:paraId="3FC41BC5" w14:textId="77777777" w:rsidR="00C460D7" w:rsidRPr="00FC3C3B" w:rsidRDefault="00550165" w:rsidP="00321C8E">
      <w:pPr>
        <w:rPr>
          <w:rFonts w:eastAsia="Times New Roman"/>
          <w:noProof/>
        </w:rPr>
      </w:pPr>
      <w:r w:rsidRPr="00FC3C3B">
        <w:rPr>
          <w:rFonts w:eastAsia="Times New Roman"/>
          <w:noProof/>
        </w:rPr>
        <w:t xml:space="preserve">In addition, new </w:t>
      </w:r>
      <w:r w:rsidR="00982B83" w:rsidRPr="00FC3C3B">
        <w:rPr>
          <w:rFonts w:eastAsia="Times New Roman"/>
          <w:noProof/>
        </w:rPr>
        <w:t xml:space="preserve">STEP </w:t>
      </w:r>
      <w:r w:rsidRPr="00FC3C3B">
        <w:rPr>
          <w:rFonts w:eastAsia="Times New Roman"/>
          <w:noProof/>
        </w:rPr>
        <w:t>priorities will be included in the Innovation Fund</w:t>
      </w:r>
      <w:r w:rsidR="0071728C" w:rsidRPr="00FC3C3B">
        <w:rPr>
          <w:rFonts w:eastAsia="Times New Roman"/>
          <w:noProof/>
        </w:rPr>
        <w:t xml:space="preserve">, which </w:t>
      </w:r>
      <w:r w:rsidR="008C4A97" w:rsidRPr="00FC3C3B">
        <w:rPr>
          <w:rFonts w:eastAsia="Times New Roman"/>
          <w:noProof/>
        </w:rPr>
        <w:t>is a funding programme for the deployment of net-zero and innovative technologies;</w:t>
      </w:r>
      <w:r w:rsidRPr="00FC3C3B">
        <w:rPr>
          <w:rFonts w:eastAsia="Times New Roman"/>
          <w:noProof/>
        </w:rPr>
        <w:t xml:space="preserve"> </w:t>
      </w:r>
      <w:r w:rsidR="005E45FE" w:rsidRPr="00FC3C3B">
        <w:rPr>
          <w:rFonts w:eastAsia="Times New Roman"/>
          <w:noProof/>
        </w:rPr>
        <w:t>the European Defence Fund</w:t>
      </w:r>
      <w:r w:rsidR="0051208D" w:rsidRPr="00FC3C3B">
        <w:rPr>
          <w:rFonts w:eastAsia="Times New Roman"/>
          <w:noProof/>
        </w:rPr>
        <w:t xml:space="preserve">, </w:t>
      </w:r>
      <w:r w:rsidR="00D9138A" w:rsidRPr="00FC3C3B">
        <w:rPr>
          <w:rFonts w:eastAsia="Times New Roman"/>
          <w:noProof/>
        </w:rPr>
        <w:t xml:space="preserve">which is a funding programme for the </w:t>
      </w:r>
      <w:r w:rsidR="00F05B72" w:rsidRPr="00FC3C3B">
        <w:rPr>
          <w:rFonts w:eastAsia="Times New Roman"/>
          <w:noProof/>
        </w:rPr>
        <w:t xml:space="preserve">research and development of </w:t>
      </w:r>
      <w:r w:rsidR="001F264F" w:rsidRPr="00FC3C3B">
        <w:rPr>
          <w:rFonts w:eastAsia="Times New Roman"/>
          <w:noProof/>
        </w:rPr>
        <w:t xml:space="preserve">defence technology, </w:t>
      </w:r>
      <w:r w:rsidRPr="00FC3C3B">
        <w:rPr>
          <w:rFonts w:eastAsia="Times New Roman"/>
          <w:noProof/>
        </w:rPr>
        <w:t xml:space="preserve">and the European Innovation Council </w:t>
      </w:r>
      <w:r w:rsidR="00DA1136" w:rsidRPr="00FC3C3B">
        <w:rPr>
          <w:rFonts w:eastAsia="Times New Roman"/>
          <w:noProof/>
        </w:rPr>
        <w:t xml:space="preserve">(EIC) </w:t>
      </w:r>
      <w:r w:rsidRPr="00FC3C3B">
        <w:rPr>
          <w:rFonts w:eastAsia="Times New Roman"/>
          <w:noProof/>
        </w:rPr>
        <w:t>under Horizon Europe</w:t>
      </w:r>
      <w:r w:rsidR="00E37A36" w:rsidRPr="00FC3C3B">
        <w:rPr>
          <w:rFonts w:eastAsia="Times New Roman"/>
          <w:noProof/>
        </w:rPr>
        <w:t>, which is Europe’s flagship innovation programme to identify, develop and scale up breakthrough technologies</w:t>
      </w:r>
      <w:r w:rsidRPr="00FC3C3B">
        <w:rPr>
          <w:rFonts w:eastAsia="Times New Roman"/>
          <w:noProof/>
        </w:rPr>
        <w:t>.</w:t>
      </w:r>
      <w:r w:rsidR="0078325A" w:rsidRPr="00FC3C3B">
        <w:rPr>
          <w:rFonts w:eastAsia="Times New Roman"/>
          <w:noProof/>
        </w:rPr>
        <w:t xml:space="preserve"> </w:t>
      </w:r>
      <w:r w:rsidR="006B7950" w:rsidRPr="00FC3C3B">
        <w:rPr>
          <w:rFonts w:eastAsia="Times New Roman"/>
          <w:noProof/>
        </w:rPr>
        <w:t xml:space="preserve">Moreover, </w:t>
      </w:r>
      <w:r w:rsidR="00C460D7" w:rsidRPr="00FC3C3B">
        <w:rPr>
          <w:rFonts w:eastAsia="Times New Roman"/>
          <w:noProof/>
        </w:rPr>
        <w:t xml:space="preserve">it will be possible for the </w:t>
      </w:r>
      <w:r w:rsidR="00DA1136" w:rsidRPr="00FC3C3B">
        <w:rPr>
          <w:rFonts w:eastAsia="Times New Roman"/>
          <w:noProof/>
        </w:rPr>
        <w:t>EIC</w:t>
      </w:r>
      <w:r w:rsidR="00C460D7" w:rsidRPr="00FC3C3B">
        <w:rPr>
          <w:rFonts w:eastAsia="Times New Roman"/>
          <w:noProof/>
        </w:rPr>
        <w:t xml:space="preserve"> to provide equity-only support </w:t>
      </w:r>
      <w:r w:rsidR="00992511" w:rsidRPr="00FC3C3B">
        <w:rPr>
          <w:rFonts w:eastAsia="Times New Roman"/>
          <w:noProof/>
        </w:rPr>
        <w:t xml:space="preserve">to </w:t>
      </w:r>
      <w:r w:rsidR="00E26F95" w:rsidRPr="00FC3C3B">
        <w:rPr>
          <w:rFonts w:eastAsia="Times New Roman"/>
          <w:noProof/>
        </w:rPr>
        <w:t xml:space="preserve">non-bankable </w:t>
      </w:r>
      <w:r w:rsidR="00992511" w:rsidRPr="00FC3C3B">
        <w:rPr>
          <w:rFonts w:eastAsia="Times New Roman"/>
          <w:noProof/>
        </w:rPr>
        <w:t>small mid-caps</w:t>
      </w:r>
      <w:r w:rsidR="006A6CF7" w:rsidRPr="00FC3C3B">
        <w:rPr>
          <w:rFonts w:eastAsia="Times New Roman"/>
          <w:noProof/>
        </w:rPr>
        <w:t xml:space="preserve">. </w:t>
      </w:r>
    </w:p>
    <w:p w14:paraId="616A1946" w14:textId="77777777" w:rsidR="006A6CF7" w:rsidRPr="00FC3C3B" w:rsidRDefault="00E63EDA" w:rsidP="00321C8E">
      <w:pPr>
        <w:rPr>
          <w:rFonts w:eastAsia="Times New Roman"/>
          <w:noProof/>
          <w:u w:val="single"/>
        </w:rPr>
      </w:pPr>
      <w:r w:rsidRPr="00FC3C3B">
        <w:rPr>
          <w:rFonts w:eastAsia="Times New Roman"/>
          <w:noProof/>
          <w:u w:val="single"/>
        </w:rPr>
        <w:t>E</w:t>
      </w:r>
      <w:r w:rsidR="00E965A2" w:rsidRPr="00FC3C3B">
        <w:rPr>
          <w:rFonts w:eastAsia="Times New Roman"/>
          <w:noProof/>
          <w:u w:val="single"/>
        </w:rPr>
        <w:t>quity</w:t>
      </w:r>
      <w:r w:rsidR="003A08D6" w:rsidRPr="00FC3C3B">
        <w:rPr>
          <w:rFonts w:eastAsia="Times New Roman"/>
          <w:noProof/>
          <w:u w:val="single"/>
        </w:rPr>
        <w:t xml:space="preserve"> support </w:t>
      </w:r>
      <w:r w:rsidR="00500AD8" w:rsidRPr="00FC3C3B">
        <w:rPr>
          <w:rFonts w:eastAsia="Times New Roman"/>
          <w:noProof/>
          <w:u w:val="single"/>
        </w:rPr>
        <w:t xml:space="preserve">for </w:t>
      </w:r>
      <w:r w:rsidR="00982B83" w:rsidRPr="00FC3C3B">
        <w:rPr>
          <w:rFonts w:eastAsia="Times New Roman"/>
          <w:noProof/>
          <w:u w:val="single"/>
        </w:rPr>
        <w:t xml:space="preserve">STEP </w:t>
      </w:r>
      <w:r w:rsidR="00D420DB" w:rsidRPr="00FC3C3B">
        <w:rPr>
          <w:rFonts w:eastAsia="Times New Roman"/>
          <w:noProof/>
          <w:u w:val="single"/>
        </w:rPr>
        <w:t>sectors</w:t>
      </w:r>
      <w:r w:rsidR="0061779A" w:rsidRPr="00FC3C3B">
        <w:rPr>
          <w:rFonts w:eastAsia="Times New Roman"/>
          <w:noProof/>
          <w:u w:val="single"/>
        </w:rPr>
        <w:t xml:space="preserve"> </w:t>
      </w:r>
    </w:p>
    <w:p w14:paraId="3E5881EC" w14:textId="77777777" w:rsidR="002F353D" w:rsidRPr="00FC3C3B" w:rsidDel="00302741" w:rsidRDefault="002F353D" w:rsidP="002F353D">
      <w:pPr>
        <w:rPr>
          <w:noProof/>
          <w:lang w:val="en-IE"/>
        </w:rPr>
      </w:pPr>
      <w:r w:rsidRPr="00FC3C3B" w:rsidDel="00302741">
        <w:rPr>
          <w:noProof/>
        </w:rPr>
        <w:t>Companies looking</w:t>
      </w:r>
      <w:r w:rsidRPr="00FC3C3B">
        <w:rPr>
          <w:noProof/>
        </w:rPr>
        <w:t xml:space="preserve"> for investments to start up or</w:t>
      </w:r>
      <w:r w:rsidRPr="00FC3C3B" w:rsidDel="00302741">
        <w:rPr>
          <w:noProof/>
        </w:rPr>
        <w:t xml:space="preserve"> scale must overcome a series of interconnected problems from securing patient capital to accessing critical networks and capabilities if they are to remain in Europe and compete effectively in the current wave of innovation</w:t>
      </w:r>
      <w:r w:rsidR="00D608E8" w:rsidRPr="00FC3C3B">
        <w:rPr>
          <w:noProof/>
        </w:rPr>
        <w:t>.</w:t>
      </w:r>
    </w:p>
    <w:p w14:paraId="647D1F5C" w14:textId="77777777" w:rsidR="00463489" w:rsidRPr="00FC3C3B" w:rsidRDefault="00463489" w:rsidP="00463489">
      <w:pPr>
        <w:rPr>
          <w:i/>
          <w:iCs/>
          <w:noProof/>
          <w:lang w:val="en-IE"/>
        </w:rPr>
      </w:pPr>
      <w:r w:rsidRPr="00FC3C3B">
        <w:rPr>
          <w:i/>
          <w:iCs/>
          <w:noProof/>
          <w:lang w:val="en-IE"/>
        </w:rPr>
        <w:t xml:space="preserve">Figure: Venture capital by destination and by stage (2020-Q1 2023). </w:t>
      </w:r>
    </w:p>
    <w:p w14:paraId="2F290A74" w14:textId="77777777" w:rsidR="00463489" w:rsidRPr="00FC3C3B" w:rsidRDefault="00463489" w:rsidP="00463489">
      <w:pPr>
        <w:jc w:val="center"/>
        <w:rPr>
          <w:noProof/>
          <w:lang w:val="en-IE"/>
        </w:rPr>
      </w:pPr>
      <w:r w:rsidRPr="00FC3C3B">
        <w:rPr>
          <w:noProof/>
          <w:lang w:eastAsia="en-GB"/>
        </w:rPr>
        <w:drawing>
          <wp:inline distT="0" distB="0" distL="0" distR="0" wp14:anchorId="41A36D65" wp14:editId="35A8936F">
            <wp:extent cx="4074091" cy="2653748"/>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a:stretch/>
                  </pic:blipFill>
                  <pic:spPr bwMode="auto">
                    <a:xfrm>
                      <a:off x="0" y="0"/>
                      <a:ext cx="4175190" cy="2719601"/>
                    </a:xfrm>
                    <a:prstGeom prst="rect">
                      <a:avLst/>
                    </a:prstGeom>
                    <a:noFill/>
                    <a:ln>
                      <a:noFill/>
                    </a:ln>
                    <a:extLst>
                      <a:ext uri="{53640926-AAD7-44D8-BBD7-CCE9431645EC}">
                        <a14:shadowObscured xmlns:a14="http://schemas.microsoft.com/office/drawing/2010/main"/>
                      </a:ext>
                    </a:extLst>
                  </pic:spPr>
                </pic:pic>
              </a:graphicData>
            </a:graphic>
          </wp:inline>
        </w:drawing>
      </w:r>
    </w:p>
    <w:p w14:paraId="5482CB8C" w14:textId="77777777" w:rsidR="00463489" w:rsidRPr="00FC3C3B" w:rsidRDefault="00463489" w:rsidP="00463489">
      <w:pPr>
        <w:jc w:val="left"/>
        <w:rPr>
          <w:i/>
          <w:iCs/>
          <w:noProof/>
          <w:sz w:val="20"/>
          <w:szCs w:val="20"/>
          <w:lang w:val="en-IE"/>
        </w:rPr>
      </w:pPr>
      <w:r w:rsidRPr="00FC3C3B">
        <w:rPr>
          <w:i/>
          <w:iCs/>
          <w:noProof/>
          <w:sz w:val="20"/>
          <w:szCs w:val="20"/>
          <w:lang w:val="en-IE"/>
        </w:rPr>
        <w:t>Source: Global venture capital – Dealroom Q1 2023 update.</w:t>
      </w:r>
    </w:p>
    <w:p w14:paraId="38C797AC" w14:textId="77777777" w:rsidR="005E2AF1" w:rsidRPr="00FC3C3B" w:rsidRDefault="005E2AF1" w:rsidP="005E2AF1">
      <w:pPr>
        <w:rPr>
          <w:rFonts w:eastAsia="Times New Roman"/>
          <w:noProof/>
        </w:rPr>
      </w:pPr>
      <w:r w:rsidRPr="00FC3C3B">
        <w:rPr>
          <w:rFonts w:eastAsia="Times New Roman"/>
          <w:noProof/>
        </w:rPr>
        <w:t>The EU has two main instruments providing equity support for European companies, namely the InvestEU Programme and the E</w:t>
      </w:r>
      <w:r w:rsidR="003D34B6" w:rsidRPr="00FC3C3B">
        <w:rPr>
          <w:rFonts w:eastAsia="Times New Roman"/>
          <w:noProof/>
        </w:rPr>
        <w:t xml:space="preserve">uropean Innovation Council. </w:t>
      </w:r>
      <w:r w:rsidRPr="00FC3C3B">
        <w:rPr>
          <w:noProof/>
        </w:rPr>
        <w:t xml:space="preserve">InvestEU is </w:t>
      </w:r>
      <w:r w:rsidRPr="00FC3C3B">
        <w:rPr>
          <w:rFonts w:eastAsia="Times New Roman"/>
          <w:noProof/>
        </w:rPr>
        <w:t xml:space="preserve">the EU flagship programme to catalyse private investments in the EU economy. The InvestEU Fund is delivered through implementing partners, including the European Investment Bank (EIB) and the European Investment Fund (EIF), which deploy financial products providing debt (including guarantee), equity and quasi-equity support to companies and projects operating in sectors relevant for the European sovereignty. </w:t>
      </w:r>
    </w:p>
    <w:p w14:paraId="5C1264D8" w14:textId="77777777" w:rsidR="005E2AF1" w:rsidRPr="00FC3C3B" w:rsidRDefault="005E2AF1" w:rsidP="005E2AF1">
      <w:pPr>
        <w:rPr>
          <w:rFonts w:eastAsia="Times New Roman"/>
          <w:noProof/>
        </w:rPr>
      </w:pPr>
      <w:r w:rsidRPr="00FC3C3B">
        <w:rPr>
          <w:rFonts w:eastAsia="Times New Roman"/>
          <w:noProof/>
        </w:rPr>
        <w:t>In particular, the EIF deploys two equity products with the total EU guarantee allocation of EUR 5.2</w:t>
      </w:r>
      <w:r w:rsidR="0043691E" w:rsidRPr="00FC3C3B">
        <w:rPr>
          <w:rFonts w:eastAsia="Times New Roman"/>
          <w:noProof/>
        </w:rPr>
        <w:t xml:space="preserve"> </w:t>
      </w:r>
      <w:r w:rsidRPr="00FC3C3B">
        <w:rPr>
          <w:rFonts w:eastAsia="Times New Roman"/>
          <w:noProof/>
        </w:rPr>
        <w:t>b</w:t>
      </w:r>
      <w:r w:rsidR="0043691E" w:rsidRPr="00FC3C3B">
        <w:rPr>
          <w:rFonts w:eastAsia="Times New Roman"/>
          <w:noProof/>
        </w:rPr>
        <w:t>illion</w:t>
      </w:r>
      <w:r w:rsidRPr="00FC3C3B">
        <w:rPr>
          <w:rFonts w:eastAsia="Times New Roman"/>
          <w:noProof/>
        </w:rPr>
        <w:t xml:space="preserve"> and an indicative portfolio of EUR 8.7</w:t>
      </w:r>
      <w:r w:rsidR="0043691E" w:rsidRPr="00FC3C3B">
        <w:rPr>
          <w:rFonts w:eastAsia="Times New Roman"/>
          <w:noProof/>
        </w:rPr>
        <w:t xml:space="preserve"> </w:t>
      </w:r>
      <w:r w:rsidRPr="00FC3C3B">
        <w:rPr>
          <w:rFonts w:eastAsia="Times New Roman"/>
          <w:noProof/>
        </w:rPr>
        <w:t>b</w:t>
      </w:r>
      <w:r w:rsidR="0043691E" w:rsidRPr="00FC3C3B">
        <w:rPr>
          <w:rFonts w:eastAsia="Times New Roman"/>
          <w:noProof/>
        </w:rPr>
        <w:t>illio</w:t>
      </w:r>
      <w:r w:rsidRPr="00FC3C3B">
        <w:rPr>
          <w:rFonts w:eastAsia="Times New Roman"/>
          <w:noProof/>
        </w:rPr>
        <w:t xml:space="preserve">n, targeting research, development, commercialisation and scaling of clean technologies or environmental sustainability solutions and digital and sustainable infrastructure projects. As of mid-2023, the EIF has approved more than 100 investments in funds expected to mobilise </w:t>
      </w:r>
      <w:r w:rsidR="00E70B51" w:rsidRPr="00FC3C3B">
        <w:rPr>
          <w:rFonts w:eastAsia="Times New Roman"/>
          <w:noProof/>
        </w:rPr>
        <w:t xml:space="preserve">close to </w:t>
      </w:r>
      <w:r w:rsidRPr="00FC3C3B">
        <w:rPr>
          <w:rFonts w:eastAsia="Times New Roman"/>
          <w:noProof/>
        </w:rPr>
        <w:t xml:space="preserve">EUR </w:t>
      </w:r>
      <w:r w:rsidR="00E70B51" w:rsidRPr="00FC3C3B">
        <w:rPr>
          <w:rFonts w:eastAsia="Times New Roman"/>
          <w:noProof/>
        </w:rPr>
        <w:t xml:space="preserve">30 </w:t>
      </w:r>
      <w:r w:rsidRPr="00FC3C3B">
        <w:rPr>
          <w:rFonts w:eastAsia="Times New Roman"/>
          <w:noProof/>
        </w:rPr>
        <w:t>b</w:t>
      </w:r>
      <w:r w:rsidR="00150C33" w:rsidRPr="00FC3C3B">
        <w:rPr>
          <w:rFonts w:eastAsia="Times New Roman"/>
          <w:noProof/>
        </w:rPr>
        <w:t>illion</w:t>
      </w:r>
      <w:r w:rsidRPr="00FC3C3B">
        <w:rPr>
          <w:rFonts w:eastAsia="Times New Roman"/>
          <w:noProof/>
        </w:rPr>
        <w:t xml:space="preserve"> of investment. The EIB provides equity-type support under high-risk thematic and venture debt products, focusing inter alia on green transition, strategic digital technologies and key enabling technologies. </w:t>
      </w:r>
    </w:p>
    <w:p w14:paraId="48B3979F" w14:textId="77777777" w:rsidR="00D225A5" w:rsidRPr="00FC3C3B" w:rsidRDefault="00F62B83">
      <w:pPr>
        <w:rPr>
          <w:rFonts w:eastAsia="Times New Roman"/>
          <w:noProof/>
        </w:rPr>
      </w:pPr>
      <w:r w:rsidRPr="00FC3C3B">
        <w:rPr>
          <w:rFonts w:eastAsia="Times New Roman"/>
          <w:noProof/>
        </w:rPr>
        <w:t xml:space="preserve">The types of support </w:t>
      </w:r>
      <w:r w:rsidR="00833065" w:rsidRPr="00FC3C3B">
        <w:rPr>
          <w:rFonts w:eastAsia="Times New Roman"/>
          <w:noProof/>
        </w:rPr>
        <w:t xml:space="preserve">that can be provided through the </w:t>
      </w:r>
      <w:r w:rsidR="005D20E8" w:rsidRPr="00FC3C3B">
        <w:rPr>
          <w:rFonts w:eastAsia="Times New Roman"/>
          <w:noProof/>
        </w:rPr>
        <w:t>EIC</w:t>
      </w:r>
      <w:r w:rsidRPr="00FC3C3B">
        <w:rPr>
          <w:rFonts w:eastAsia="Times New Roman"/>
          <w:noProof/>
        </w:rPr>
        <w:t xml:space="preserve"> </w:t>
      </w:r>
      <w:r w:rsidR="00833065" w:rsidRPr="00FC3C3B">
        <w:rPr>
          <w:rFonts w:eastAsia="Times New Roman"/>
          <w:noProof/>
        </w:rPr>
        <w:t>involve blended finance, grant-only and equity-only</w:t>
      </w:r>
      <w:r w:rsidR="00D57503" w:rsidRPr="00FC3C3B">
        <w:rPr>
          <w:rFonts w:eastAsia="Times New Roman"/>
          <w:noProof/>
        </w:rPr>
        <w:t xml:space="preserve"> under certain conditions. In accordance with the existing legislation, equity-only support can be provided to non-bankable SMEs, including start-ups, which have already received a grant-only support. </w:t>
      </w:r>
      <w:r w:rsidR="005A30EE" w:rsidRPr="00FC3C3B">
        <w:rPr>
          <w:rFonts w:eastAsia="Times New Roman"/>
          <w:noProof/>
        </w:rPr>
        <w:t>T</w:t>
      </w:r>
      <w:r w:rsidR="00EA35DE" w:rsidRPr="00FC3C3B">
        <w:rPr>
          <w:rFonts w:eastAsia="Times New Roman"/>
          <w:noProof/>
        </w:rPr>
        <w:t xml:space="preserve">his initiative expands </w:t>
      </w:r>
      <w:r w:rsidR="006A2218" w:rsidRPr="00FC3C3B">
        <w:rPr>
          <w:rFonts w:eastAsia="Times New Roman"/>
          <w:noProof/>
        </w:rPr>
        <w:t xml:space="preserve">that definition by allowing to provide equity-only to non-bankable </w:t>
      </w:r>
      <w:r w:rsidR="00E26F95" w:rsidRPr="00FC3C3B">
        <w:rPr>
          <w:rFonts w:eastAsia="Times New Roman"/>
          <w:noProof/>
        </w:rPr>
        <w:t xml:space="preserve">SMEs and </w:t>
      </w:r>
      <w:r w:rsidR="006A2218" w:rsidRPr="00FC3C3B">
        <w:rPr>
          <w:rFonts w:eastAsia="Times New Roman"/>
          <w:noProof/>
        </w:rPr>
        <w:t>small mid-caps</w:t>
      </w:r>
      <w:r w:rsidR="009A2B1D" w:rsidRPr="00FC3C3B">
        <w:rPr>
          <w:rFonts w:eastAsia="Times New Roman"/>
          <w:noProof/>
        </w:rPr>
        <w:t xml:space="preserve"> </w:t>
      </w:r>
      <w:r w:rsidR="009A2B1D" w:rsidRPr="00FC3C3B">
        <w:rPr>
          <w:noProof/>
        </w:rPr>
        <w:t>carrying out breakthrough and disruptive innovation in critical technologies</w:t>
      </w:r>
      <w:r w:rsidR="00E26F95" w:rsidRPr="00FC3C3B">
        <w:rPr>
          <w:noProof/>
        </w:rPr>
        <w:t xml:space="preserve"> and regardless of whether they previously received other types of support from the EIC Accelerator</w:t>
      </w:r>
      <w:r w:rsidR="009A2B1D" w:rsidRPr="00FC3C3B">
        <w:rPr>
          <w:noProof/>
        </w:rPr>
        <w:t>.</w:t>
      </w:r>
      <w:r w:rsidR="00B2265B" w:rsidRPr="00FC3C3B">
        <w:rPr>
          <w:noProof/>
        </w:rPr>
        <w:t xml:space="preserve"> </w:t>
      </w:r>
      <w:r w:rsidR="00D225A5" w:rsidRPr="00FC3C3B">
        <w:rPr>
          <w:rFonts w:eastAsia="Times New Roman"/>
          <w:noProof/>
        </w:rPr>
        <w:t>The proposed extension would provide equity</w:t>
      </w:r>
      <w:r w:rsidR="001E5BC3" w:rsidRPr="00FC3C3B">
        <w:rPr>
          <w:rFonts w:eastAsia="Times New Roman"/>
          <w:noProof/>
        </w:rPr>
        <w:t>-</w:t>
      </w:r>
      <w:r w:rsidR="00D225A5" w:rsidRPr="00FC3C3B">
        <w:rPr>
          <w:rFonts w:eastAsia="Times New Roman"/>
          <w:noProof/>
        </w:rPr>
        <w:t>only support to high risk, high potential companies targeting investments in the range of EUR 15 to 50 million and catalysing financing rounds with co-investors in the range of EUR 50 to 250 million.</w:t>
      </w:r>
    </w:p>
    <w:p w14:paraId="2CCC90D8" w14:textId="77777777" w:rsidR="00D225A5" w:rsidRPr="00FC3C3B" w:rsidRDefault="00880602" w:rsidP="00D225A5">
      <w:pPr>
        <w:rPr>
          <w:rFonts w:eastAsia="Times New Roman"/>
          <w:noProof/>
        </w:rPr>
      </w:pPr>
      <w:r w:rsidRPr="00FC3C3B">
        <w:rPr>
          <w:noProof/>
        </w:rPr>
        <w:t>The EIC was established under Horizon Europe to identify and provide scale up support for breakthrough technologies and innovations, with a focus on high</w:t>
      </w:r>
      <w:r w:rsidR="00EC3310" w:rsidRPr="00FC3C3B">
        <w:rPr>
          <w:noProof/>
        </w:rPr>
        <w:t>er</w:t>
      </w:r>
      <w:r w:rsidRPr="00FC3C3B">
        <w:rPr>
          <w:noProof/>
        </w:rPr>
        <w:t xml:space="preserve"> risk</w:t>
      </w:r>
      <w:r w:rsidR="00EC3310" w:rsidRPr="00FC3C3B">
        <w:rPr>
          <w:noProof/>
        </w:rPr>
        <w:t xml:space="preserve">, earlier stage companies. </w:t>
      </w:r>
      <w:r w:rsidRPr="00FC3C3B">
        <w:rPr>
          <w:noProof/>
        </w:rPr>
        <w:t xml:space="preserve">A key component of the EIC is the EIC Fund, which is designed to take risks that the market will not take alone and bridges a critical financing gap for deep tech companies. The EIC Fund has been fully operational since Autumn 2022 and has already made over 130 investment decisions. However, the EIC Fund cannot accommodate the needs of an increasing number </w:t>
      </w:r>
      <w:r w:rsidR="00DE6FAF" w:rsidRPr="00FC3C3B">
        <w:rPr>
          <w:noProof/>
        </w:rPr>
        <w:t>of</w:t>
      </w:r>
      <w:r w:rsidRPr="00FC3C3B">
        <w:rPr>
          <w:noProof/>
        </w:rPr>
        <w:t xml:space="preserve"> companies that require follow</w:t>
      </w:r>
      <w:r w:rsidR="009A5A50" w:rsidRPr="00FC3C3B">
        <w:rPr>
          <w:noProof/>
        </w:rPr>
        <w:t>-</w:t>
      </w:r>
      <w:r w:rsidRPr="00FC3C3B">
        <w:rPr>
          <w:noProof/>
        </w:rPr>
        <w:t xml:space="preserve">on financing rounds or larger investment amounts. This is particularly the case for </w:t>
      </w:r>
      <w:r w:rsidR="008907EC" w:rsidRPr="00FC3C3B">
        <w:rPr>
          <w:noProof/>
        </w:rPr>
        <w:t>critical</w:t>
      </w:r>
      <w:r w:rsidRPr="00FC3C3B">
        <w:rPr>
          <w:noProof/>
        </w:rPr>
        <w:t xml:space="preserve"> and emerging technologies that remain high risk but also require large amounts of capital to reach the market</w:t>
      </w:r>
      <w:r w:rsidR="00B12159" w:rsidRPr="00FC3C3B">
        <w:rPr>
          <w:noProof/>
        </w:rPr>
        <w:t>.</w:t>
      </w:r>
      <w:r w:rsidR="00385703" w:rsidRPr="00FC3C3B">
        <w:rPr>
          <w:noProof/>
        </w:rPr>
        <w:t xml:space="preserve"> </w:t>
      </w:r>
      <w:r w:rsidR="00D225A5" w:rsidRPr="00FC3C3B">
        <w:rPr>
          <w:rFonts w:eastAsia="Times New Roman"/>
          <w:noProof/>
        </w:rPr>
        <w:t>The new EIC</w:t>
      </w:r>
      <w:r w:rsidR="009F091A" w:rsidRPr="00FC3C3B">
        <w:rPr>
          <w:rFonts w:eastAsia="Times New Roman"/>
          <w:noProof/>
        </w:rPr>
        <w:t xml:space="preserve"> Fund</w:t>
      </w:r>
      <w:r w:rsidR="00BF77F1" w:rsidRPr="00FC3C3B">
        <w:rPr>
          <w:rFonts w:eastAsia="Times New Roman"/>
          <w:noProof/>
        </w:rPr>
        <w:t xml:space="preserve"> </w:t>
      </w:r>
      <w:r w:rsidR="00D225A5" w:rsidRPr="00FC3C3B">
        <w:rPr>
          <w:rFonts w:eastAsia="Times New Roman"/>
          <w:noProof/>
        </w:rPr>
        <w:t>compartment</w:t>
      </w:r>
      <w:r w:rsidR="00BF77F1" w:rsidRPr="00FC3C3B">
        <w:rPr>
          <w:rFonts w:eastAsia="Times New Roman"/>
          <w:noProof/>
        </w:rPr>
        <w:t xml:space="preserve"> </w:t>
      </w:r>
      <w:r w:rsidR="00D225A5" w:rsidRPr="00FC3C3B">
        <w:rPr>
          <w:rFonts w:eastAsia="Times New Roman"/>
          <w:noProof/>
        </w:rPr>
        <w:t xml:space="preserve">would </w:t>
      </w:r>
      <w:r w:rsidR="009A5A50" w:rsidRPr="00FC3C3B">
        <w:rPr>
          <w:rFonts w:eastAsia="Times New Roman"/>
          <w:noProof/>
        </w:rPr>
        <w:t>meet</w:t>
      </w:r>
      <w:r w:rsidR="00D225A5" w:rsidRPr="00FC3C3B">
        <w:rPr>
          <w:rFonts w:eastAsia="Times New Roman"/>
          <w:noProof/>
        </w:rPr>
        <w:t xml:space="preserve"> the needs for larger investment amounts (above </w:t>
      </w:r>
      <w:r w:rsidR="00BF77F1" w:rsidRPr="00FC3C3B">
        <w:rPr>
          <w:rFonts w:eastAsia="Times New Roman"/>
          <w:noProof/>
        </w:rPr>
        <w:t xml:space="preserve">EUR </w:t>
      </w:r>
      <w:r w:rsidR="00D225A5" w:rsidRPr="00FC3C3B">
        <w:rPr>
          <w:rFonts w:eastAsia="Times New Roman"/>
          <w:noProof/>
        </w:rPr>
        <w:t>15 million), as well as complementing other EU financial instruments</w:t>
      </w:r>
      <w:r w:rsidR="00597129" w:rsidRPr="00FC3C3B">
        <w:rPr>
          <w:rFonts w:eastAsia="Times New Roman"/>
          <w:noProof/>
        </w:rPr>
        <w:t xml:space="preserve"> and products</w:t>
      </w:r>
      <w:r w:rsidR="00D225A5" w:rsidRPr="00FC3C3B">
        <w:rPr>
          <w:rFonts w:eastAsia="Times New Roman"/>
          <w:noProof/>
        </w:rPr>
        <w:t>, including those under Invest EU</w:t>
      </w:r>
      <w:r w:rsidR="00385703" w:rsidRPr="00FC3C3B">
        <w:rPr>
          <w:rFonts w:eastAsia="Times New Roman"/>
          <w:noProof/>
        </w:rPr>
        <w:t>.</w:t>
      </w:r>
    </w:p>
    <w:p w14:paraId="3EDD7F64" w14:textId="77777777" w:rsidR="00B17262" w:rsidRPr="00FC3C3B" w:rsidRDefault="009A6793">
      <w:pPr>
        <w:rPr>
          <w:rFonts w:eastAsia="Times New Roman"/>
          <w:noProof/>
        </w:rPr>
      </w:pPr>
      <w:r w:rsidRPr="00FC3C3B">
        <w:rPr>
          <w:noProof/>
        </w:rPr>
        <w:t>Demand for investments in deep tech in Europe remains strong, with over 5000 applications received in the first two years of EIC operation resulting in support for over 400 companies. Of these, 245 companies have been recommended for the unique blend of non-dilutive grant alongside investment through the EIC and 131 of these companies have received an investment recommendation of EUR 5 million or above. It is estimated that approximately 25% of the companies that have been awarded investment of over EUR 5 million from the EIC will require follow-on funding of on average EUR 25-35 million: representing a pipeline of 20-30 companies a year</w:t>
      </w:r>
      <w:r w:rsidRPr="00FC3C3B">
        <w:rPr>
          <w:rStyle w:val="FootnoteReference"/>
          <w:noProof/>
        </w:rPr>
        <w:footnoteReference w:id="14"/>
      </w:r>
      <w:r w:rsidRPr="00FC3C3B">
        <w:rPr>
          <w:noProof/>
        </w:rPr>
        <w:t xml:space="preserve"> requiring EUR 0.5 to 1 bn per year. </w:t>
      </w:r>
    </w:p>
    <w:p w14:paraId="526CFFC3" w14:textId="77777777" w:rsidR="00B75C19" w:rsidRPr="00FC3C3B" w:rsidRDefault="00D225A5" w:rsidP="00321C8E">
      <w:pPr>
        <w:rPr>
          <w:noProof/>
        </w:rPr>
      </w:pPr>
      <w:r w:rsidRPr="00FC3C3B">
        <w:rPr>
          <w:rFonts w:eastAsia="Times New Roman"/>
          <w:noProof/>
        </w:rPr>
        <w:t>Based on current experience from the EIC, this EU</w:t>
      </w:r>
      <w:r w:rsidR="003F7578" w:rsidRPr="00FC3C3B">
        <w:rPr>
          <w:rFonts w:eastAsia="Times New Roman"/>
          <w:noProof/>
        </w:rPr>
        <w:t>-</w:t>
      </w:r>
      <w:r w:rsidRPr="00FC3C3B">
        <w:rPr>
          <w:rFonts w:eastAsia="Times New Roman"/>
          <w:noProof/>
        </w:rPr>
        <w:t xml:space="preserve">backed investment would leverage additional private investment of up to five times and therefore significantly address the market gap. </w:t>
      </w:r>
      <w:r w:rsidR="00082DAF" w:rsidRPr="00FC3C3B">
        <w:rPr>
          <w:noProof/>
        </w:rPr>
        <w:t xml:space="preserve">Without additional support, many of these companies </w:t>
      </w:r>
      <w:r w:rsidR="003D6373" w:rsidRPr="00FC3C3B">
        <w:rPr>
          <w:noProof/>
        </w:rPr>
        <w:t>could</w:t>
      </w:r>
      <w:r w:rsidR="00082DAF" w:rsidRPr="00FC3C3B">
        <w:rPr>
          <w:noProof/>
        </w:rPr>
        <w:t xml:space="preserve"> relocate </w:t>
      </w:r>
      <w:r w:rsidR="00B75C19" w:rsidRPr="00FC3C3B">
        <w:rPr>
          <w:noProof/>
        </w:rPr>
        <w:t>outside of Europe</w:t>
      </w:r>
      <w:r w:rsidR="00082DAF" w:rsidRPr="00FC3C3B">
        <w:rPr>
          <w:noProof/>
        </w:rPr>
        <w:t xml:space="preserve"> to access larger financing </w:t>
      </w:r>
      <w:r w:rsidR="003D6373" w:rsidRPr="00FC3C3B">
        <w:rPr>
          <w:noProof/>
        </w:rPr>
        <w:t>rounds or</w:t>
      </w:r>
      <w:r w:rsidR="00082DAF" w:rsidRPr="00FC3C3B">
        <w:rPr>
          <w:noProof/>
        </w:rPr>
        <w:t xml:space="preserve"> </w:t>
      </w:r>
      <w:r w:rsidR="00BD106B" w:rsidRPr="00FC3C3B">
        <w:rPr>
          <w:noProof/>
        </w:rPr>
        <w:t>could</w:t>
      </w:r>
      <w:r w:rsidR="00082DAF" w:rsidRPr="00FC3C3B">
        <w:rPr>
          <w:noProof/>
        </w:rPr>
        <w:t xml:space="preserve"> be overtaken by </w:t>
      </w:r>
      <w:r w:rsidR="002F3DC1" w:rsidRPr="00FC3C3B">
        <w:rPr>
          <w:noProof/>
        </w:rPr>
        <w:t>third country</w:t>
      </w:r>
      <w:r w:rsidR="003D6373" w:rsidRPr="00FC3C3B">
        <w:rPr>
          <w:noProof/>
        </w:rPr>
        <w:t xml:space="preserve"> competitors that</w:t>
      </w:r>
      <w:r w:rsidR="00082DAF" w:rsidRPr="00FC3C3B">
        <w:rPr>
          <w:noProof/>
        </w:rPr>
        <w:t xml:space="preserve"> are better financed. </w:t>
      </w:r>
    </w:p>
    <w:p w14:paraId="3A9CACEA" w14:textId="77777777" w:rsidR="002C7991" w:rsidRPr="00FC3C3B" w:rsidRDefault="00550165">
      <w:pPr>
        <w:rPr>
          <w:rFonts w:eastAsia="Times New Roman"/>
          <w:b/>
          <w:bCs/>
          <w:noProof/>
        </w:rPr>
      </w:pPr>
      <w:r w:rsidRPr="00FC3C3B">
        <w:rPr>
          <w:rFonts w:eastAsia="Times New Roman"/>
          <w:b/>
          <w:bCs/>
          <w:noProof/>
        </w:rPr>
        <w:t xml:space="preserve">Reinforcing the firepower of existing instruments to speed up </w:t>
      </w:r>
      <w:r w:rsidR="007A1106" w:rsidRPr="00FC3C3B">
        <w:rPr>
          <w:rFonts w:eastAsia="Times New Roman"/>
          <w:b/>
          <w:bCs/>
          <w:noProof/>
        </w:rPr>
        <w:t xml:space="preserve">relevant </w:t>
      </w:r>
      <w:r w:rsidRPr="00FC3C3B">
        <w:rPr>
          <w:rFonts w:eastAsia="Times New Roman"/>
          <w:b/>
          <w:bCs/>
          <w:noProof/>
        </w:rPr>
        <w:t>investments</w:t>
      </w:r>
    </w:p>
    <w:p w14:paraId="27A25504" w14:textId="74491A89" w:rsidR="002C7991" w:rsidRPr="00FC3C3B" w:rsidRDefault="00550165">
      <w:pPr>
        <w:rPr>
          <w:noProof/>
        </w:rPr>
      </w:pPr>
      <w:r w:rsidRPr="00FC3C3B">
        <w:rPr>
          <w:rFonts w:eastAsia="Times New Roman"/>
          <w:noProof/>
          <w:szCs w:val="24"/>
        </w:rPr>
        <w:t xml:space="preserve">In terms of resources, it is proposed that an additional total amount of EUR </w:t>
      </w:r>
      <w:r w:rsidR="003E307C">
        <w:rPr>
          <w:rFonts w:eastAsia="Times New Roman"/>
          <w:noProof/>
          <w:szCs w:val="24"/>
        </w:rPr>
        <w:t>10</w:t>
      </w:r>
      <w:r w:rsidRPr="00FC3C3B">
        <w:rPr>
          <w:rFonts w:eastAsia="Times New Roman"/>
          <w:noProof/>
          <w:szCs w:val="24"/>
        </w:rPr>
        <w:t xml:space="preserve"> billion is allocated to support </w:t>
      </w:r>
      <w:r w:rsidR="00E5611C" w:rsidRPr="00FC3C3B">
        <w:rPr>
          <w:rFonts w:eastAsia="Times New Roman"/>
          <w:noProof/>
          <w:szCs w:val="24"/>
        </w:rPr>
        <w:t xml:space="preserve">existing and well-proven EU </w:t>
      </w:r>
      <w:r w:rsidRPr="00FC3C3B">
        <w:rPr>
          <w:rFonts w:eastAsia="Times New Roman"/>
          <w:noProof/>
          <w:szCs w:val="24"/>
        </w:rPr>
        <w:t>investment</w:t>
      </w:r>
      <w:r w:rsidR="004B33D0" w:rsidRPr="00FC3C3B">
        <w:rPr>
          <w:rFonts w:eastAsia="Times New Roman"/>
          <w:noProof/>
          <w:szCs w:val="24"/>
        </w:rPr>
        <w:t xml:space="preserve"> </w:t>
      </w:r>
      <w:r w:rsidRPr="00FC3C3B">
        <w:rPr>
          <w:rFonts w:eastAsia="Times New Roman"/>
          <w:noProof/>
          <w:szCs w:val="24"/>
        </w:rPr>
        <w:t>s</w:t>
      </w:r>
      <w:r w:rsidR="004B33D0" w:rsidRPr="00FC3C3B">
        <w:rPr>
          <w:rFonts w:eastAsia="Times New Roman"/>
          <w:noProof/>
          <w:szCs w:val="24"/>
        </w:rPr>
        <w:t>chemes</w:t>
      </w:r>
      <w:r w:rsidRPr="00FC3C3B">
        <w:rPr>
          <w:rFonts w:eastAsia="Times New Roman"/>
          <w:noProof/>
          <w:szCs w:val="24"/>
        </w:rPr>
        <w:t xml:space="preserve"> aimed at strengthening </w:t>
      </w:r>
      <w:r w:rsidR="00982B83" w:rsidRPr="00FC3C3B">
        <w:rPr>
          <w:rFonts w:eastAsia="Times New Roman"/>
          <w:noProof/>
          <w:szCs w:val="24"/>
        </w:rPr>
        <w:t xml:space="preserve">STEP </w:t>
      </w:r>
      <w:r w:rsidR="00FC1F6F" w:rsidRPr="00FC3C3B">
        <w:rPr>
          <w:rFonts w:eastAsia="Times New Roman"/>
          <w:noProof/>
          <w:szCs w:val="24"/>
        </w:rPr>
        <w:t>investments</w:t>
      </w:r>
      <w:r w:rsidR="00ED0B14" w:rsidRPr="00FC3C3B">
        <w:rPr>
          <w:rFonts w:eastAsia="Times New Roman"/>
          <w:noProof/>
          <w:szCs w:val="24"/>
        </w:rPr>
        <w:t>,</w:t>
      </w:r>
      <w:r w:rsidR="00ED0B14" w:rsidRPr="00FC3C3B">
        <w:rPr>
          <w:noProof/>
          <w:szCs w:val="24"/>
        </w:rPr>
        <w:t> </w:t>
      </w:r>
      <w:r w:rsidR="0097360C" w:rsidRPr="00FC3C3B">
        <w:rPr>
          <w:noProof/>
          <w:szCs w:val="24"/>
        </w:rPr>
        <w:t xml:space="preserve">while preserving </w:t>
      </w:r>
      <w:r w:rsidR="00B2294A" w:rsidRPr="00FC3C3B">
        <w:rPr>
          <w:noProof/>
          <w:szCs w:val="24"/>
        </w:rPr>
        <w:t>the</w:t>
      </w:r>
      <w:r w:rsidR="00ED0B14" w:rsidRPr="00FC3C3B">
        <w:rPr>
          <w:noProof/>
          <w:szCs w:val="24"/>
        </w:rPr>
        <w:t xml:space="preserve"> cohesion objectives and </w:t>
      </w:r>
      <w:r w:rsidR="00B2294A" w:rsidRPr="00FC3C3B">
        <w:rPr>
          <w:noProof/>
          <w:szCs w:val="24"/>
        </w:rPr>
        <w:t xml:space="preserve">contributing to </w:t>
      </w:r>
      <w:r w:rsidR="00ED0B14" w:rsidRPr="00FC3C3B">
        <w:rPr>
          <w:noProof/>
          <w:szCs w:val="24"/>
        </w:rPr>
        <w:t xml:space="preserve">a level playing field in the </w:t>
      </w:r>
      <w:r w:rsidR="00CC67C3" w:rsidRPr="00FC3C3B">
        <w:rPr>
          <w:noProof/>
          <w:szCs w:val="24"/>
        </w:rPr>
        <w:t>S</w:t>
      </w:r>
      <w:r w:rsidR="00ED0B14" w:rsidRPr="00FC3C3B">
        <w:rPr>
          <w:noProof/>
          <w:szCs w:val="24"/>
        </w:rPr>
        <w:t xml:space="preserve">ingle </w:t>
      </w:r>
      <w:r w:rsidR="00CC67C3" w:rsidRPr="00FC3C3B">
        <w:rPr>
          <w:noProof/>
          <w:szCs w:val="24"/>
        </w:rPr>
        <w:t>M</w:t>
      </w:r>
      <w:r w:rsidR="00ED0B14" w:rsidRPr="00FC3C3B">
        <w:rPr>
          <w:noProof/>
          <w:szCs w:val="24"/>
        </w:rPr>
        <w:t xml:space="preserve">arket  by ensuring a geographically balanced distribution of projects financed under </w:t>
      </w:r>
      <w:r w:rsidR="00CC67C3" w:rsidRPr="00FC3C3B">
        <w:rPr>
          <w:noProof/>
          <w:szCs w:val="24"/>
        </w:rPr>
        <w:t>the STEP</w:t>
      </w:r>
      <w:r w:rsidR="003B6B7D" w:rsidRPr="00FC3C3B">
        <w:rPr>
          <w:noProof/>
          <w:szCs w:val="24"/>
        </w:rPr>
        <w:t xml:space="preserve"> via the respective mandates of the participating programmes</w:t>
      </w:r>
      <w:r w:rsidR="004E596A" w:rsidRPr="004E596A">
        <w:rPr>
          <w:noProof/>
          <w:szCs w:val="24"/>
        </w:rPr>
        <w:t>, taking into account the demand-driven nature of certain implementing programmes</w:t>
      </w:r>
      <w:r w:rsidRPr="00FC3C3B">
        <w:rPr>
          <w:rFonts w:eastAsia="Times New Roman"/>
          <w:noProof/>
          <w:szCs w:val="24"/>
        </w:rPr>
        <w:t xml:space="preserve">. </w:t>
      </w:r>
    </w:p>
    <w:p w14:paraId="19A44349" w14:textId="77777777" w:rsidR="002C7991" w:rsidRPr="00FC3C3B" w:rsidRDefault="00550165">
      <w:pPr>
        <w:rPr>
          <w:rFonts w:eastAsia="Times New Roman"/>
          <w:noProof/>
          <w:szCs w:val="24"/>
          <w:u w:val="single"/>
        </w:rPr>
      </w:pPr>
      <w:r w:rsidRPr="00FC3C3B">
        <w:rPr>
          <w:rFonts w:eastAsia="Times New Roman"/>
          <w:noProof/>
          <w:szCs w:val="24"/>
          <w:u w:val="single"/>
        </w:rPr>
        <w:t>InvestEU</w:t>
      </w:r>
    </w:p>
    <w:p w14:paraId="4DB61046" w14:textId="77777777" w:rsidR="002C7991" w:rsidRPr="00FC3C3B" w:rsidRDefault="00550165">
      <w:pPr>
        <w:rPr>
          <w:rFonts w:eastAsia="Times New Roman"/>
          <w:noProof/>
          <w:szCs w:val="24"/>
        </w:rPr>
      </w:pPr>
      <w:r w:rsidRPr="00FC3C3B">
        <w:rPr>
          <w:rFonts w:eastAsia="Times New Roman"/>
          <w:noProof/>
          <w:szCs w:val="24"/>
        </w:rPr>
        <w:t xml:space="preserve">The deployment is well on track with </w:t>
      </w:r>
      <w:r w:rsidR="004B33D0" w:rsidRPr="00FC3C3B">
        <w:rPr>
          <w:rFonts w:eastAsia="Times New Roman"/>
          <w:noProof/>
          <w:szCs w:val="24"/>
        </w:rPr>
        <w:t>85</w:t>
      </w:r>
      <w:r w:rsidRPr="00FC3C3B">
        <w:rPr>
          <w:rFonts w:eastAsia="Times New Roman"/>
          <w:noProof/>
          <w:szCs w:val="24"/>
        </w:rPr>
        <w:t xml:space="preserve">% of the initial guarantee already contracted with implementing partners, representing EUR </w:t>
      </w:r>
      <w:r w:rsidR="00026E1B" w:rsidRPr="00FC3C3B">
        <w:rPr>
          <w:rFonts w:eastAsia="Times New Roman"/>
          <w:noProof/>
          <w:szCs w:val="24"/>
        </w:rPr>
        <w:t>22.3</w:t>
      </w:r>
      <w:r w:rsidRPr="00FC3C3B">
        <w:rPr>
          <w:rFonts w:eastAsia="Times New Roman"/>
          <w:noProof/>
          <w:szCs w:val="24"/>
        </w:rPr>
        <w:t xml:space="preserve"> billion. The fast absorption of the EU guarantee reveals the large market interest for the funding opportunities offered by InvestEU. This calls for reinforcing the EU guarantee by an additional EUR</w:t>
      </w:r>
      <w:r w:rsidR="00DC6901">
        <w:rPr>
          <w:rFonts w:eastAsia="Times New Roman"/>
          <w:noProof/>
          <w:szCs w:val="24"/>
        </w:rPr>
        <w:t>7.5</w:t>
      </w:r>
      <w:r w:rsidR="00ED39D5" w:rsidRPr="00FC3C3B">
        <w:rPr>
          <w:rFonts w:eastAsia="Times New Roman"/>
          <w:noProof/>
          <w:szCs w:val="24"/>
        </w:rPr>
        <w:t xml:space="preserve"> </w:t>
      </w:r>
      <w:r w:rsidRPr="00FC3C3B">
        <w:rPr>
          <w:rFonts w:eastAsia="Times New Roman"/>
          <w:noProof/>
          <w:szCs w:val="24"/>
        </w:rPr>
        <w:t xml:space="preserve">billion; </w:t>
      </w:r>
      <w:r w:rsidR="00172847" w:rsidRPr="00FC3C3B">
        <w:rPr>
          <w:rFonts w:eastAsia="Times New Roman"/>
          <w:noProof/>
          <w:szCs w:val="24"/>
        </w:rPr>
        <w:t xml:space="preserve">requiring </w:t>
      </w:r>
      <w:r w:rsidRPr="00FC3C3B">
        <w:rPr>
          <w:rFonts w:eastAsia="Times New Roman"/>
          <w:noProof/>
          <w:szCs w:val="24"/>
        </w:rPr>
        <w:t xml:space="preserve">a financial top-up of EUR </w:t>
      </w:r>
      <w:r w:rsidR="00DC6901">
        <w:rPr>
          <w:rFonts w:eastAsia="Times New Roman"/>
          <w:noProof/>
          <w:szCs w:val="24"/>
        </w:rPr>
        <w:t>3</w:t>
      </w:r>
      <w:r w:rsidR="00DC6901" w:rsidRPr="00FC3C3B">
        <w:rPr>
          <w:rFonts w:eastAsia="Times New Roman"/>
          <w:noProof/>
          <w:szCs w:val="24"/>
        </w:rPr>
        <w:t xml:space="preserve"> </w:t>
      </w:r>
      <w:r w:rsidRPr="00FC3C3B">
        <w:rPr>
          <w:rFonts w:eastAsia="Times New Roman"/>
          <w:noProof/>
          <w:szCs w:val="24"/>
        </w:rPr>
        <w:t xml:space="preserve">billion with a 40% provisioning rate. This additional guarantee should be exclusively used for project contributing to </w:t>
      </w:r>
      <w:r w:rsidR="00982B83" w:rsidRPr="00FC3C3B">
        <w:rPr>
          <w:rFonts w:eastAsia="Times New Roman"/>
          <w:noProof/>
          <w:szCs w:val="24"/>
        </w:rPr>
        <w:t xml:space="preserve">STEP </w:t>
      </w:r>
      <w:r w:rsidR="00FC1F6F" w:rsidRPr="00FC3C3B">
        <w:rPr>
          <w:rFonts w:eastAsia="Times New Roman"/>
          <w:noProof/>
          <w:szCs w:val="24"/>
        </w:rPr>
        <w:t>priorities</w:t>
      </w:r>
      <w:r w:rsidRPr="00FC3C3B">
        <w:rPr>
          <w:rFonts w:eastAsia="Times New Roman"/>
          <w:noProof/>
          <w:szCs w:val="24"/>
        </w:rPr>
        <w:t xml:space="preserve"> and has the potential to trigger up to EUR </w:t>
      </w:r>
      <w:r w:rsidR="00DC6901">
        <w:rPr>
          <w:rFonts w:eastAsia="Times New Roman"/>
          <w:noProof/>
          <w:szCs w:val="24"/>
        </w:rPr>
        <w:t>75</w:t>
      </w:r>
      <w:r w:rsidR="00DC6901" w:rsidRPr="00FC3C3B">
        <w:rPr>
          <w:rFonts w:eastAsia="Times New Roman"/>
          <w:noProof/>
          <w:szCs w:val="24"/>
        </w:rPr>
        <w:t xml:space="preserve"> </w:t>
      </w:r>
      <w:r w:rsidRPr="00FC3C3B">
        <w:rPr>
          <w:rFonts w:eastAsia="Times New Roman"/>
          <w:noProof/>
          <w:szCs w:val="24"/>
        </w:rPr>
        <w:t>billion of investments with an average multiplier of 10.</w:t>
      </w:r>
    </w:p>
    <w:p w14:paraId="5C9B3594" w14:textId="77777777" w:rsidR="00540DB1" w:rsidRPr="00FC3C3B" w:rsidRDefault="00540DB1" w:rsidP="00540DB1">
      <w:pPr>
        <w:rPr>
          <w:rFonts w:eastAsia="Times New Roman"/>
          <w:noProof/>
          <w:szCs w:val="24"/>
          <w:lang w:val="en-IE"/>
        </w:rPr>
      </w:pPr>
      <w:r w:rsidRPr="00FC3C3B">
        <w:rPr>
          <w:noProof/>
        </w:rPr>
        <w:t xml:space="preserve">A new </w:t>
      </w:r>
      <w:r w:rsidR="00982B83" w:rsidRPr="00FC3C3B">
        <w:rPr>
          <w:noProof/>
        </w:rPr>
        <w:t xml:space="preserve">STEP </w:t>
      </w:r>
      <w:r w:rsidRPr="00FC3C3B">
        <w:rPr>
          <w:noProof/>
        </w:rPr>
        <w:t xml:space="preserve">policy window will be set under InvestEU to provide an additional volume of budgetary guarantee to the </w:t>
      </w:r>
      <w:r w:rsidR="009F1FD1">
        <w:rPr>
          <w:noProof/>
        </w:rPr>
        <w:t>implementing partners</w:t>
      </w:r>
      <w:r w:rsidRPr="00FC3C3B">
        <w:rPr>
          <w:noProof/>
        </w:rPr>
        <w:t xml:space="preserve">, which will deploy debt (including guarantees) and equity financial products for companies, including SMEs, and projects in the sectors supported by the </w:t>
      </w:r>
      <w:r w:rsidR="00982B83" w:rsidRPr="00FC3C3B">
        <w:rPr>
          <w:noProof/>
        </w:rPr>
        <w:t>STEP</w:t>
      </w:r>
      <w:r w:rsidRPr="00FC3C3B">
        <w:rPr>
          <w:noProof/>
        </w:rPr>
        <w:t xml:space="preserve">, including investment in manufacturing and supply chains. InvestEU will leverage additional investment, particularly from the private sector, by addressing market failures and sub-optimal investment situations experienced in the sectors targeted by the </w:t>
      </w:r>
      <w:r w:rsidR="00982B83" w:rsidRPr="00FC3C3B">
        <w:rPr>
          <w:noProof/>
        </w:rPr>
        <w:t>STEP</w:t>
      </w:r>
      <w:r w:rsidRPr="00FC3C3B">
        <w:rPr>
          <w:noProof/>
        </w:rPr>
        <w:t xml:space="preserve">. </w:t>
      </w:r>
      <w:r w:rsidR="00DB6D33" w:rsidRPr="006E37DD">
        <w:rPr>
          <w:rFonts w:eastAsia="Times New Roman"/>
          <w:noProof/>
        </w:rPr>
        <w:t>InvestEU is already able to support projects falling within Important Projects of Common European Interest (IPCEIs) within the meaning of Article 107(3)(b) TFEU and its reinforcement through the fifth window will therefore enhance its possibility to do so for critical projects within the scope of application of STEP.</w:t>
      </w:r>
    </w:p>
    <w:p w14:paraId="49635B09" w14:textId="77777777" w:rsidR="002C7991" w:rsidRPr="00FC3C3B" w:rsidRDefault="0061779A">
      <w:pPr>
        <w:rPr>
          <w:rFonts w:eastAsia="Times New Roman"/>
          <w:noProof/>
          <w:szCs w:val="24"/>
          <w:u w:val="single"/>
        </w:rPr>
      </w:pPr>
      <w:r w:rsidRPr="00FC3C3B">
        <w:rPr>
          <w:rFonts w:eastAsia="Times New Roman"/>
          <w:noProof/>
          <w:szCs w:val="24"/>
          <w:u w:val="single"/>
        </w:rPr>
        <w:t xml:space="preserve">The </w:t>
      </w:r>
      <w:r w:rsidR="00550165" w:rsidRPr="00FC3C3B">
        <w:rPr>
          <w:rFonts w:eastAsia="Times New Roman"/>
          <w:noProof/>
          <w:szCs w:val="24"/>
          <w:u w:val="single"/>
        </w:rPr>
        <w:t>European Innovation Council</w:t>
      </w:r>
    </w:p>
    <w:p w14:paraId="03A8542C" w14:textId="77777777" w:rsidR="002C7991" w:rsidRPr="00FC3C3B" w:rsidRDefault="00550165">
      <w:pPr>
        <w:rPr>
          <w:rFonts w:eastAsia="Times New Roman"/>
          <w:noProof/>
          <w:szCs w:val="24"/>
        </w:rPr>
      </w:pPr>
      <w:r w:rsidRPr="00FC3C3B">
        <w:rPr>
          <w:rFonts w:eastAsia="Times New Roman"/>
          <w:noProof/>
          <w:szCs w:val="24"/>
        </w:rPr>
        <w:t xml:space="preserve">The </w:t>
      </w:r>
      <w:r w:rsidR="00026E1B" w:rsidRPr="00FC3C3B">
        <w:rPr>
          <w:rFonts w:eastAsia="Times New Roman"/>
          <w:noProof/>
          <w:szCs w:val="24"/>
        </w:rPr>
        <w:t>EIC</w:t>
      </w:r>
      <w:r w:rsidRPr="00FC3C3B">
        <w:rPr>
          <w:rFonts w:eastAsia="Times New Roman"/>
          <w:noProof/>
          <w:szCs w:val="24"/>
        </w:rPr>
        <w:t xml:space="preserve"> is the leading </w:t>
      </w:r>
      <w:r w:rsidR="00172847" w:rsidRPr="00FC3C3B">
        <w:rPr>
          <w:rFonts w:eastAsia="Times New Roman"/>
          <w:noProof/>
          <w:szCs w:val="24"/>
        </w:rPr>
        <w:t xml:space="preserve">mean </w:t>
      </w:r>
      <w:r w:rsidRPr="00FC3C3B">
        <w:rPr>
          <w:rFonts w:eastAsia="Times New Roman"/>
          <w:noProof/>
          <w:szCs w:val="24"/>
        </w:rPr>
        <w:t xml:space="preserve">for providing seed capital to fast growing start-ups. Given its expertise, the </w:t>
      </w:r>
      <w:r w:rsidR="002D0B71" w:rsidRPr="00FC3C3B">
        <w:rPr>
          <w:rFonts w:eastAsia="Times New Roman"/>
          <w:noProof/>
          <w:szCs w:val="24"/>
        </w:rPr>
        <w:t>EIC</w:t>
      </w:r>
      <w:r w:rsidRPr="00FC3C3B">
        <w:rPr>
          <w:rFonts w:eastAsia="Times New Roman"/>
          <w:noProof/>
          <w:szCs w:val="24"/>
        </w:rPr>
        <w:t xml:space="preserve"> is well suited to reinforce the funding in companies seeking scale-up capital beyond the first innovation phase. A EUR </w:t>
      </w:r>
      <w:r w:rsidR="0066386B">
        <w:rPr>
          <w:rFonts w:eastAsia="Times New Roman"/>
          <w:noProof/>
          <w:szCs w:val="24"/>
        </w:rPr>
        <w:t>0.5</w:t>
      </w:r>
      <w:r w:rsidR="0066386B" w:rsidRPr="00FC3C3B">
        <w:rPr>
          <w:rFonts w:eastAsia="Times New Roman"/>
          <w:noProof/>
          <w:szCs w:val="24"/>
        </w:rPr>
        <w:t xml:space="preserve"> </w:t>
      </w:r>
      <w:r w:rsidRPr="00FC3C3B">
        <w:rPr>
          <w:rFonts w:eastAsia="Times New Roman"/>
          <w:noProof/>
          <w:szCs w:val="24"/>
        </w:rPr>
        <w:t xml:space="preserve">billion budgetary </w:t>
      </w:r>
      <w:r w:rsidR="003F51F6" w:rsidRPr="00FC3C3B">
        <w:rPr>
          <w:rFonts w:eastAsia="Times New Roman"/>
          <w:noProof/>
          <w:szCs w:val="24"/>
        </w:rPr>
        <w:t>reinforcements</w:t>
      </w:r>
      <w:r w:rsidRPr="00FC3C3B">
        <w:rPr>
          <w:rFonts w:eastAsia="Times New Roman"/>
          <w:noProof/>
          <w:szCs w:val="24"/>
        </w:rPr>
        <w:t xml:space="preserve"> combined with EUR </w:t>
      </w:r>
      <w:r w:rsidR="0066386B">
        <w:rPr>
          <w:rFonts w:eastAsia="Times New Roman"/>
          <w:noProof/>
          <w:szCs w:val="24"/>
        </w:rPr>
        <w:t>2.13</w:t>
      </w:r>
      <w:r w:rsidR="0066386B" w:rsidRPr="00FC3C3B">
        <w:rPr>
          <w:rFonts w:eastAsia="Times New Roman"/>
          <w:noProof/>
          <w:szCs w:val="24"/>
        </w:rPr>
        <w:t xml:space="preserve"> </w:t>
      </w:r>
      <w:r w:rsidRPr="00FC3C3B">
        <w:rPr>
          <w:rFonts w:eastAsia="Times New Roman"/>
          <w:noProof/>
          <w:szCs w:val="24"/>
        </w:rPr>
        <w:t xml:space="preserve">billion from redeployment and de-commitments will enable the </w:t>
      </w:r>
      <w:r w:rsidR="002D0B71" w:rsidRPr="00FC3C3B">
        <w:rPr>
          <w:rFonts w:eastAsia="Times New Roman"/>
          <w:noProof/>
          <w:szCs w:val="24"/>
        </w:rPr>
        <w:t>EIC</w:t>
      </w:r>
      <w:r w:rsidRPr="00FC3C3B">
        <w:rPr>
          <w:rFonts w:eastAsia="Times New Roman"/>
          <w:noProof/>
          <w:szCs w:val="24"/>
        </w:rPr>
        <w:t xml:space="preserve"> to provide unprecedented equity investments for tickets between EUR 15 million and EUR 50 million. With an average multiplier of 5, this can lead to EUR </w:t>
      </w:r>
      <w:r w:rsidR="0066386B">
        <w:rPr>
          <w:rFonts w:eastAsia="Times New Roman"/>
          <w:noProof/>
          <w:szCs w:val="24"/>
        </w:rPr>
        <w:t>13</w:t>
      </w:r>
      <w:r w:rsidR="0066386B" w:rsidRPr="00FC3C3B">
        <w:rPr>
          <w:rFonts w:eastAsia="Times New Roman"/>
          <w:noProof/>
          <w:szCs w:val="24"/>
        </w:rPr>
        <w:t xml:space="preserve"> </w:t>
      </w:r>
      <w:r w:rsidRPr="00FC3C3B">
        <w:rPr>
          <w:rFonts w:eastAsia="Times New Roman"/>
          <w:noProof/>
          <w:szCs w:val="24"/>
        </w:rPr>
        <w:t xml:space="preserve">billion of fresh equity support to </w:t>
      </w:r>
      <w:r w:rsidR="0061276B" w:rsidRPr="00FC3C3B">
        <w:rPr>
          <w:rFonts w:eastAsia="Times New Roman"/>
          <w:noProof/>
          <w:szCs w:val="24"/>
        </w:rPr>
        <w:t xml:space="preserve">non-bankable </w:t>
      </w:r>
      <w:r w:rsidRPr="00FC3C3B">
        <w:rPr>
          <w:rFonts w:eastAsia="Times New Roman"/>
          <w:noProof/>
          <w:szCs w:val="24"/>
        </w:rPr>
        <w:t>SMEs</w:t>
      </w:r>
      <w:r w:rsidR="00C73C35" w:rsidRPr="00FC3C3B">
        <w:rPr>
          <w:rFonts w:eastAsia="Times New Roman"/>
          <w:noProof/>
          <w:szCs w:val="24"/>
        </w:rPr>
        <w:t xml:space="preserve"> and small mid-caps</w:t>
      </w:r>
      <w:r w:rsidRPr="00FC3C3B">
        <w:rPr>
          <w:rFonts w:eastAsia="Times New Roman"/>
          <w:noProof/>
          <w:szCs w:val="24"/>
        </w:rPr>
        <w:t>.</w:t>
      </w:r>
      <w:r w:rsidR="00026E1B" w:rsidRPr="00FC3C3B">
        <w:rPr>
          <w:rFonts w:eastAsia="Times New Roman"/>
          <w:noProof/>
          <w:szCs w:val="24"/>
        </w:rPr>
        <w:t xml:space="preserve"> </w:t>
      </w:r>
    </w:p>
    <w:p w14:paraId="6BB1BEAD" w14:textId="77777777" w:rsidR="002C7991" w:rsidRPr="00FC3C3B" w:rsidRDefault="00550165">
      <w:pPr>
        <w:rPr>
          <w:rFonts w:eastAsia="Times New Roman"/>
          <w:noProof/>
          <w:szCs w:val="24"/>
          <w:u w:val="single"/>
        </w:rPr>
      </w:pPr>
      <w:r w:rsidRPr="00FC3C3B">
        <w:rPr>
          <w:rFonts w:eastAsia="Times New Roman"/>
          <w:noProof/>
          <w:szCs w:val="24"/>
          <w:u w:val="single"/>
        </w:rPr>
        <w:t>Innovation Fund</w:t>
      </w:r>
    </w:p>
    <w:p w14:paraId="1CECD083" w14:textId="77777777" w:rsidR="002C7991" w:rsidRPr="00FC3C3B" w:rsidRDefault="00A36EC1">
      <w:pPr>
        <w:rPr>
          <w:noProof/>
        </w:rPr>
      </w:pPr>
      <w:r w:rsidRPr="00FC3C3B">
        <w:rPr>
          <w:rFonts w:eastAsia="Times New Roman"/>
          <w:noProof/>
        </w:rPr>
        <w:t xml:space="preserve">The Innovation Fund, financed from the auctioning of allowances under the EU Emissions Trading System, is one of the world’s largest funding programmes for the deployment of net-zero and innovative technologies. It aims to bring to market industrial solutions to decarbonise Europe and focuses on highly innovative technologies and processes. </w:t>
      </w:r>
      <w:r w:rsidR="00C95802" w:rsidRPr="00FC3C3B">
        <w:rPr>
          <w:noProof/>
        </w:rPr>
        <w:t>The</w:t>
      </w:r>
      <w:r w:rsidRPr="00FC3C3B">
        <w:rPr>
          <w:noProof/>
        </w:rPr>
        <w:t xml:space="preserve"> goal</w:t>
      </w:r>
      <w:r w:rsidR="00C95802" w:rsidRPr="00FC3C3B">
        <w:rPr>
          <w:noProof/>
        </w:rPr>
        <w:t xml:space="preserve"> </w:t>
      </w:r>
      <w:r w:rsidRPr="00FC3C3B">
        <w:rPr>
          <w:noProof/>
        </w:rPr>
        <w:t xml:space="preserve">to create the right financial incentives for companies to invest in clean tech and to empower them to become global clean tech leaders is fully aligned with the </w:t>
      </w:r>
      <w:r w:rsidR="00583457" w:rsidRPr="00FC3C3B">
        <w:rPr>
          <w:noProof/>
        </w:rPr>
        <w:t>STEP</w:t>
      </w:r>
      <w:r w:rsidRPr="00FC3C3B">
        <w:rPr>
          <w:noProof/>
        </w:rPr>
        <w:t xml:space="preserve"> objectives.</w:t>
      </w:r>
      <w:r w:rsidR="00735258" w:rsidRPr="00FC3C3B">
        <w:rPr>
          <w:noProof/>
        </w:rPr>
        <w:t xml:space="preserve"> </w:t>
      </w:r>
      <w:r w:rsidR="00550165" w:rsidRPr="00FC3C3B">
        <w:rPr>
          <w:rFonts w:eastAsia="Times New Roman"/>
          <w:noProof/>
        </w:rPr>
        <w:t xml:space="preserve">To respond to the growing needs for </w:t>
      </w:r>
      <w:r w:rsidR="00735258" w:rsidRPr="00FC3C3B">
        <w:rPr>
          <w:rFonts w:eastAsia="Times New Roman"/>
          <w:noProof/>
        </w:rPr>
        <w:t>innovation to maintain the EU’s competitiveness on global markets</w:t>
      </w:r>
      <w:r w:rsidR="00550165" w:rsidRPr="00FC3C3B">
        <w:rPr>
          <w:rFonts w:eastAsia="Times New Roman"/>
          <w:noProof/>
        </w:rPr>
        <w:t xml:space="preserve">, the size of the Innovation Fund should be increased by EUR </w:t>
      </w:r>
      <w:r w:rsidR="009A3452">
        <w:rPr>
          <w:rFonts w:eastAsia="Times New Roman"/>
          <w:noProof/>
        </w:rPr>
        <w:t>5</w:t>
      </w:r>
      <w:r w:rsidR="009A3452" w:rsidRPr="00FC3C3B">
        <w:rPr>
          <w:rFonts w:eastAsia="Times New Roman"/>
          <w:noProof/>
        </w:rPr>
        <w:t xml:space="preserve"> </w:t>
      </w:r>
      <w:r w:rsidR="00550165" w:rsidRPr="00FC3C3B">
        <w:rPr>
          <w:rFonts w:eastAsia="Times New Roman"/>
          <w:noProof/>
        </w:rPr>
        <w:t xml:space="preserve">billion. </w:t>
      </w:r>
      <w:r w:rsidR="007A5B08" w:rsidRPr="00FC3C3B">
        <w:rPr>
          <w:rFonts w:eastAsia="Times New Roman"/>
          <w:noProof/>
        </w:rPr>
        <w:t xml:space="preserve"> </w:t>
      </w:r>
      <w:r w:rsidR="007A5B08" w:rsidRPr="00FC3C3B">
        <w:rPr>
          <w:noProof/>
        </w:rPr>
        <w:t xml:space="preserve">In line with the objectives of ensuring cohesion and promoting the Single Market, and in order to support the green transition and the development of clean technologies </w:t>
      </w:r>
      <w:r w:rsidR="00817449" w:rsidRPr="00FC3C3B">
        <w:rPr>
          <w:noProof/>
        </w:rPr>
        <w:t>throughout the Union</w:t>
      </w:r>
      <w:r w:rsidR="007A5B08" w:rsidRPr="00FC3C3B">
        <w:rPr>
          <w:noProof/>
        </w:rPr>
        <w:t>, the additional financial envelope shall be made available through calls for proposals open to entities from</w:t>
      </w:r>
      <w:r w:rsidR="00BA15A4" w:rsidRPr="006E37DD">
        <w:rPr>
          <w:noProof/>
        </w:rPr>
        <w:t xml:space="preserve"> Member States whose average GDP per capita is below the EU average of the EU-27 measured in purchasing power standards (PPS) and calculated on the basis of Union figures for the period 2015-2017</w:t>
      </w:r>
      <w:r w:rsidR="007A5B08" w:rsidRPr="00FC3C3B">
        <w:rPr>
          <w:noProof/>
        </w:rPr>
        <w:t>.</w:t>
      </w:r>
      <w:r w:rsidR="00781959">
        <w:rPr>
          <w:noProof/>
        </w:rPr>
        <w:t xml:space="preserve"> </w:t>
      </w:r>
      <w:r w:rsidR="00781959" w:rsidRPr="00AA12CA">
        <w:rPr>
          <w:noProof/>
        </w:rPr>
        <w:t>Taking into account experience to date, this should result in overall investments of around EUR 20 billion.</w:t>
      </w:r>
    </w:p>
    <w:p w14:paraId="4407E72A" w14:textId="77777777" w:rsidR="00BA15A4" w:rsidRPr="006E37DD" w:rsidRDefault="00BA15A4">
      <w:pPr>
        <w:rPr>
          <w:noProof/>
          <w:u w:val="single"/>
        </w:rPr>
      </w:pPr>
      <w:r w:rsidRPr="006E37DD">
        <w:rPr>
          <w:noProof/>
          <w:u w:val="single"/>
        </w:rPr>
        <w:t>European Defence Fund</w:t>
      </w:r>
    </w:p>
    <w:p w14:paraId="7E3C0B39" w14:textId="77777777" w:rsidR="00BA15A4" w:rsidRPr="004B3FE6" w:rsidRDefault="00BA15A4">
      <w:pPr>
        <w:rPr>
          <w:rFonts w:eastAsia="Times New Roman"/>
          <w:noProof/>
        </w:rPr>
      </w:pPr>
      <w:r w:rsidRPr="00FC3C3B">
        <w:rPr>
          <w:rFonts w:eastAsia="Times New Roman"/>
          <w:noProof/>
        </w:rPr>
        <w:t xml:space="preserve">The European Defence Fund is critical to enhance the competitiveness, innovation, efficiency and technological autonomy of the Union’s defence industry, thereby contributing to the Union’s </w:t>
      </w:r>
      <w:r w:rsidR="00AA12CA">
        <w:rPr>
          <w:rFonts w:eastAsia="Times New Roman"/>
          <w:noProof/>
        </w:rPr>
        <w:t xml:space="preserve">open </w:t>
      </w:r>
      <w:r w:rsidRPr="00FC3C3B">
        <w:rPr>
          <w:rFonts w:eastAsia="Times New Roman"/>
          <w:noProof/>
        </w:rPr>
        <w:t xml:space="preserve">strategic autonomy. It also supports the cross-border cooperation between Member States as well as cooperation between enterprises, research centres, national administrations, international organisations and universities throughout the Union, both in the research and in the development phases of defence products and technologies. To respond to growing needs, the European Defence Fund should be increased by EUR </w:t>
      </w:r>
      <w:r w:rsidR="009A3452">
        <w:rPr>
          <w:rFonts w:eastAsia="Times New Roman"/>
          <w:noProof/>
        </w:rPr>
        <w:t>1.5 billion</w:t>
      </w:r>
      <w:r w:rsidRPr="00FC3C3B">
        <w:rPr>
          <w:rFonts w:eastAsia="Times New Roman"/>
          <w:noProof/>
        </w:rPr>
        <w:t>.</w:t>
      </w:r>
      <w:r w:rsidR="00781959">
        <w:rPr>
          <w:rFonts w:eastAsia="Times New Roman"/>
          <w:noProof/>
        </w:rPr>
        <w:t xml:space="preserve"> </w:t>
      </w:r>
      <w:r w:rsidR="00781959" w:rsidRPr="004B3FE6">
        <w:rPr>
          <w:rFonts w:eastAsia="Times New Roman"/>
          <w:noProof/>
        </w:rPr>
        <w:t>Taking into account the limited experience to date, this could result in overall investments of around EUR 2 billion.</w:t>
      </w:r>
    </w:p>
    <w:p w14:paraId="60878929" w14:textId="77777777" w:rsidR="00781959" w:rsidRDefault="00781959">
      <w:pPr>
        <w:rPr>
          <w:rFonts w:eastAsia="Times New Roman"/>
          <w:noProof/>
        </w:rPr>
      </w:pPr>
      <w:r w:rsidRPr="004B3FE6">
        <w:rPr>
          <w:rFonts w:eastAsia="Times New Roman"/>
          <w:noProof/>
        </w:rPr>
        <w:t>Taken together, the reinforcements of the foregoing four programmes and instruments (InvestEU, European Innovation Council, Innovation Fund, European Defence Fund) can be expected to lead to additional investments in the critical technologies covered by STEP of around EUR 110 billion.</w:t>
      </w:r>
      <w:r w:rsidR="004B3FE6">
        <w:rPr>
          <w:rFonts w:eastAsia="Times New Roman"/>
          <w:noProof/>
        </w:rPr>
        <w:t xml:space="preserve"> </w:t>
      </w:r>
    </w:p>
    <w:p w14:paraId="4AA5C2AF" w14:textId="77777777" w:rsidR="004B3FE6" w:rsidRDefault="004B3FE6" w:rsidP="004B3FE6">
      <w:pPr>
        <w:rPr>
          <w:noProof/>
          <w:szCs w:val="24"/>
          <w:lang w:val="en-IE"/>
        </w:rPr>
      </w:pPr>
      <w:r>
        <w:rPr>
          <w:noProof/>
          <w:szCs w:val="24"/>
        </w:rPr>
        <w:t>By providing financial incentives in cohesion policy funds in the form of higher pre-financing and co-financing, Member States are encouraged to reprioritise their programmes. Every 5% of reprogramming towards STEP priorities leads to EUR 18.9  billion of resources made available, in addition to EUR 6 billion to be paid out from the Just Transition Fund. The increase of the ceiling under the RRF to use resources for InvestEU products via its national compartments represents an additional flexibility for Member States of EUR 30 billion potentially available for such sovereignty investments.</w:t>
      </w:r>
    </w:p>
    <w:p w14:paraId="542A96C7" w14:textId="77777777" w:rsidR="004B3FE6" w:rsidRDefault="004B3FE6" w:rsidP="004B3FE6">
      <w:pPr>
        <w:rPr>
          <w:noProof/>
          <w:szCs w:val="24"/>
        </w:rPr>
      </w:pPr>
      <w:r>
        <w:rPr>
          <w:noProof/>
          <w:szCs w:val="24"/>
        </w:rPr>
        <w:t>Altogether, the total estimated amount of new investments through STEP could reach up to EUR 160 billion.</w:t>
      </w:r>
    </w:p>
    <w:p w14:paraId="00E73D05" w14:textId="77777777" w:rsidR="002C7991" w:rsidRPr="00FC3C3B" w:rsidRDefault="00550165">
      <w:pPr>
        <w:rPr>
          <w:rFonts w:eastAsia="Times New Roman"/>
          <w:b/>
          <w:bCs/>
          <w:noProof/>
        </w:rPr>
      </w:pPr>
      <w:r w:rsidRPr="00FC3C3B">
        <w:rPr>
          <w:rFonts w:eastAsia="Times New Roman"/>
          <w:b/>
          <w:bCs/>
          <w:noProof/>
        </w:rPr>
        <w:t xml:space="preserve">Creating synergies among instruments </w:t>
      </w:r>
      <w:r w:rsidR="001D3D87" w:rsidRPr="00FC3C3B">
        <w:rPr>
          <w:rFonts w:eastAsia="Times New Roman"/>
          <w:b/>
          <w:bCs/>
          <w:noProof/>
        </w:rPr>
        <w:t>to better support relevant investments</w:t>
      </w:r>
    </w:p>
    <w:p w14:paraId="421C8B6F" w14:textId="77777777" w:rsidR="002C7991" w:rsidRPr="00FC3C3B" w:rsidRDefault="00550165">
      <w:pPr>
        <w:rPr>
          <w:rFonts w:eastAsia="Times New Roman"/>
          <w:noProof/>
        </w:rPr>
      </w:pPr>
      <w:r w:rsidRPr="00FC3C3B">
        <w:rPr>
          <w:rFonts w:eastAsia="Times New Roman"/>
          <w:noProof/>
        </w:rPr>
        <w:t xml:space="preserve">To access those funds, companies and project promoters will be able to consult </w:t>
      </w:r>
      <w:r w:rsidR="00E7532F" w:rsidRPr="00FC3C3B">
        <w:rPr>
          <w:rFonts w:eastAsia="Times New Roman"/>
          <w:noProof/>
        </w:rPr>
        <w:t xml:space="preserve">a </w:t>
      </w:r>
      <w:r w:rsidRPr="00FC3C3B">
        <w:rPr>
          <w:rFonts w:eastAsia="Times New Roman"/>
          <w:noProof/>
        </w:rPr>
        <w:t xml:space="preserve">new publicly available website (the ‘Sovereignty Portal’). This Portal will provide information about relevant funding opportunities with the ongoing and upcoming calls under the EU programmes contributing to the </w:t>
      </w:r>
      <w:r w:rsidR="00982B83" w:rsidRPr="00FC3C3B">
        <w:rPr>
          <w:rFonts w:eastAsia="Times New Roman"/>
          <w:noProof/>
        </w:rPr>
        <w:t>STEP</w:t>
      </w:r>
      <w:r w:rsidR="00A8078A" w:rsidRPr="00FC3C3B">
        <w:rPr>
          <w:rFonts w:eastAsia="Times New Roman"/>
          <w:noProof/>
        </w:rPr>
        <w:t xml:space="preserve"> </w:t>
      </w:r>
      <w:r w:rsidRPr="00FC3C3B">
        <w:rPr>
          <w:rFonts w:eastAsia="Times New Roman"/>
          <w:noProof/>
        </w:rPr>
        <w:t xml:space="preserve">objectives as well as guidance and contacts to the existing advisory hubs. </w:t>
      </w:r>
    </w:p>
    <w:p w14:paraId="5C1DF804" w14:textId="77777777" w:rsidR="002C7991" w:rsidRPr="00FC3C3B" w:rsidRDefault="00550165">
      <w:pPr>
        <w:rPr>
          <w:rFonts w:eastAsia="Times New Roman"/>
          <w:noProof/>
          <w:lang w:val="en-IE"/>
        </w:rPr>
      </w:pPr>
      <w:r w:rsidRPr="00FC3C3B">
        <w:rPr>
          <w:rFonts w:eastAsia="Times New Roman"/>
          <w:noProof/>
        </w:rPr>
        <w:t xml:space="preserve">Moreover, </w:t>
      </w:r>
      <w:r w:rsidRPr="00FC3C3B">
        <w:rPr>
          <w:rFonts w:eastAsia="Times New Roman"/>
          <w:noProof/>
          <w:lang w:val="en-IE"/>
        </w:rPr>
        <w:t xml:space="preserve">a ‘Sovereignty Seal’ will be awarded to projects contributing to the </w:t>
      </w:r>
      <w:r w:rsidR="00982B83" w:rsidRPr="00FC3C3B">
        <w:rPr>
          <w:rFonts w:eastAsia="Times New Roman"/>
          <w:noProof/>
          <w:lang w:val="en-IE"/>
        </w:rPr>
        <w:t xml:space="preserve">STEP </w:t>
      </w:r>
      <w:r w:rsidRPr="00FC3C3B">
        <w:rPr>
          <w:rFonts w:eastAsia="Times New Roman"/>
          <w:noProof/>
          <w:lang w:val="en-IE"/>
        </w:rPr>
        <w:t xml:space="preserve">objectives, provided that the project has been </w:t>
      </w:r>
      <w:r w:rsidR="00A10E30" w:rsidRPr="00FC3C3B">
        <w:rPr>
          <w:noProof/>
        </w:rPr>
        <w:t>assessed and complies with the minimum quality requirements</w:t>
      </w:r>
      <w:r w:rsidR="00627A6F" w:rsidRPr="00FC3C3B">
        <w:rPr>
          <w:noProof/>
        </w:rPr>
        <w:t xml:space="preserve">, in particular </w:t>
      </w:r>
      <w:r w:rsidR="00F02F72" w:rsidRPr="00FC3C3B">
        <w:rPr>
          <w:noProof/>
        </w:rPr>
        <w:t>eligibility, exclusion and award criteria</w:t>
      </w:r>
      <w:r w:rsidR="00627A6F" w:rsidRPr="00FC3C3B">
        <w:rPr>
          <w:noProof/>
        </w:rPr>
        <w:t>,</w:t>
      </w:r>
      <w:r w:rsidR="00F02F72" w:rsidRPr="00FC3C3B">
        <w:rPr>
          <w:noProof/>
        </w:rPr>
        <w:t xml:space="preserve"> provided by</w:t>
      </w:r>
      <w:r w:rsidR="00A10E30" w:rsidRPr="00FC3C3B" w:rsidDel="00F02F72">
        <w:rPr>
          <w:noProof/>
        </w:rPr>
        <w:t xml:space="preserve"> a </w:t>
      </w:r>
      <w:r w:rsidR="00A10E30" w:rsidRPr="00FC3C3B">
        <w:rPr>
          <w:noProof/>
        </w:rPr>
        <w:t>call for proposals</w:t>
      </w:r>
      <w:r w:rsidRPr="00FC3C3B">
        <w:rPr>
          <w:noProof/>
        </w:rPr>
        <w:t xml:space="preserve"> under </w:t>
      </w:r>
      <w:r w:rsidR="00B13343" w:rsidRPr="00FC3C3B">
        <w:rPr>
          <w:noProof/>
        </w:rPr>
        <w:t xml:space="preserve">Horizon Europe, the Digital Europe programme, the EU4Health programme, </w:t>
      </w:r>
      <w:r w:rsidR="00681F07" w:rsidRPr="00FC3C3B">
        <w:rPr>
          <w:noProof/>
        </w:rPr>
        <w:t xml:space="preserve">the European Defence Fund </w:t>
      </w:r>
      <w:r w:rsidR="00B13343" w:rsidRPr="00FC3C3B">
        <w:rPr>
          <w:noProof/>
        </w:rPr>
        <w:t>or the Innovation Fund,</w:t>
      </w:r>
      <w:r w:rsidR="00B6291A" w:rsidRPr="00FC3C3B">
        <w:rPr>
          <w:noProof/>
        </w:rPr>
        <w:t xml:space="preserve"> </w:t>
      </w:r>
      <w:r w:rsidRPr="00FC3C3B">
        <w:rPr>
          <w:rFonts w:eastAsia="Times New Roman"/>
          <w:noProof/>
          <w:lang w:val="en-IE"/>
        </w:rPr>
        <w:t xml:space="preserve">and regardless of whether the project has received funds under those instruments. </w:t>
      </w:r>
      <w:r w:rsidR="00E431BF" w:rsidRPr="00FC3C3B">
        <w:rPr>
          <w:rFonts w:eastAsia="Times New Roman"/>
          <w:noProof/>
          <w:lang w:val="en-IE"/>
        </w:rPr>
        <w:t xml:space="preserve">These minimum quality requirements will be established with a view to identify high quality projects. </w:t>
      </w:r>
      <w:r w:rsidRPr="00FC3C3B">
        <w:rPr>
          <w:rFonts w:eastAsia="Times New Roman"/>
          <w:noProof/>
          <w:lang w:val="en-IE"/>
        </w:rPr>
        <w:t xml:space="preserve">This Seal offers a unique opportunity to build on the applicable high-quality evaluation processes under those instruments. This Seal will be used as a quality label and will help projects attract public and private investments by certifying its contribution to the </w:t>
      </w:r>
      <w:r w:rsidR="002C171A" w:rsidRPr="00FC3C3B">
        <w:rPr>
          <w:rFonts w:eastAsia="Times New Roman"/>
          <w:noProof/>
          <w:lang w:val="en-IE"/>
        </w:rPr>
        <w:t xml:space="preserve">objectives of the </w:t>
      </w:r>
      <w:r w:rsidR="00982B83" w:rsidRPr="00FC3C3B">
        <w:rPr>
          <w:rFonts w:eastAsia="Times New Roman"/>
          <w:noProof/>
          <w:lang w:val="en-IE"/>
        </w:rPr>
        <w:t>STEP</w:t>
      </w:r>
      <w:r w:rsidRPr="00FC3C3B">
        <w:rPr>
          <w:rFonts w:eastAsia="Times New Roman"/>
          <w:noProof/>
          <w:lang w:val="en-IE"/>
        </w:rPr>
        <w:t xml:space="preserve"> and therefore guiding market participants in their investment decisions. Moreover, the Seal will promote better access to EU funding</w:t>
      </w:r>
      <w:r w:rsidR="009B4835" w:rsidRPr="00FC3C3B">
        <w:rPr>
          <w:rFonts w:eastAsia="Times New Roman"/>
          <w:noProof/>
          <w:lang w:val="en-IE"/>
        </w:rPr>
        <w:t xml:space="preserve"> and financing</w:t>
      </w:r>
      <w:r w:rsidRPr="00FC3C3B">
        <w:rPr>
          <w:rFonts w:eastAsia="Times New Roman"/>
          <w:noProof/>
          <w:lang w:val="en-IE"/>
        </w:rPr>
        <w:t>, notably by facilitating cumulative or combined funding from several Union instruments. This would</w:t>
      </w:r>
      <w:r w:rsidR="39E48F5C" w:rsidRPr="00FC3C3B">
        <w:rPr>
          <w:rFonts w:eastAsia="Times New Roman"/>
          <w:noProof/>
          <w:lang w:val="en-IE"/>
        </w:rPr>
        <w:t>, for instance,</w:t>
      </w:r>
      <w:r w:rsidRPr="00FC3C3B">
        <w:rPr>
          <w:rFonts w:eastAsia="Times New Roman"/>
          <w:noProof/>
          <w:lang w:val="en-IE"/>
        </w:rPr>
        <w:t xml:space="preserve"> allow Member States to grant support from </w:t>
      </w:r>
      <w:r w:rsidR="00E63EDA" w:rsidRPr="00FC3C3B">
        <w:rPr>
          <w:rFonts w:eastAsia="Times New Roman"/>
          <w:noProof/>
          <w:lang w:val="en-IE"/>
        </w:rPr>
        <w:t>ERDF and ESF+</w:t>
      </w:r>
      <w:r w:rsidRPr="00FC3C3B">
        <w:rPr>
          <w:rFonts w:eastAsia="Times New Roman"/>
          <w:noProof/>
          <w:lang w:val="en-IE"/>
        </w:rPr>
        <w:t xml:space="preserve"> to projects having been awarded a Sovereignty Seal directly</w:t>
      </w:r>
      <w:r w:rsidR="0049370F" w:rsidRPr="00FC3C3B">
        <w:rPr>
          <w:rFonts w:eastAsia="Times New Roman"/>
          <w:noProof/>
          <w:lang w:val="en-IE"/>
        </w:rPr>
        <w:t>, subject to compliance with applicable State aid rules</w:t>
      </w:r>
      <w:r w:rsidRPr="00FC3C3B">
        <w:rPr>
          <w:rFonts w:eastAsia="Times New Roman"/>
          <w:noProof/>
          <w:lang w:val="en-IE"/>
        </w:rPr>
        <w:t xml:space="preserve">. </w:t>
      </w:r>
    </w:p>
    <w:p w14:paraId="04C09CD4" w14:textId="77777777" w:rsidR="00DB6D33" w:rsidRPr="00FC3C3B" w:rsidRDefault="00DB6D33">
      <w:pPr>
        <w:rPr>
          <w:noProof/>
          <w:szCs w:val="24"/>
          <w:lang w:eastAsia="en-IE"/>
        </w:rPr>
      </w:pPr>
      <w:r w:rsidRPr="00FC3C3B">
        <w:rPr>
          <w:rFonts w:eastAsia="Times New Roman"/>
          <w:noProof/>
          <w:szCs w:val="24"/>
          <w:lang w:eastAsia="en-IE"/>
        </w:rPr>
        <w:t xml:space="preserve">The Commission is also working to </w:t>
      </w:r>
      <w:r w:rsidR="004D5386">
        <w:rPr>
          <w:rFonts w:eastAsia="Times New Roman"/>
          <w:noProof/>
          <w:szCs w:val="24"/>
          <w:lang w:eastAsia="en-IE"/>
        </w:rPr>
        <w:t>ensure</w:t>
      </w:r>
      <w:r w:rsidRPr="00FC3C3B">
        <w:rPr>
          <w:rFonts w:eastAsia="Times New Roman"/>
          <w:noProof/>
          <w:szCs w:val="24"/>
          <w:lang w:eastAsia="en-IE"/>
        </w:rPr>
        <w:t xml:space="preserve"> synergies between the rules of the Innovation Fund and the State aid rules to ensure a more streamlined process. </w:t>
      </w:r>
      <w:r w:rsidRPr="006E37DD">
        <w:rPr>
          <w:rFonts w:eastAsia="Times New Roman"/>
          <w:noProof/>
          <w:szCs w:val="24"/>
          <w:lang w:eastAsia="en-IE"/>
        </w:rPr>
        <w:t>T</w:t>
      </w:r>
      <w:r w:rsidRPr="00FC3C3B">
        <w:rPr>
          <w:rFonts w:eastAsia="Times New Roman"/>
          <w:noProof/>
          <w:szCs w:val="24"/>
          <w:lang w:eastAsia="en-IE"/>
        </w:rPr>
        <w:t xml:space="preserve">he Commission </w:t>
      </w:r>
      <w:r w:rsidR="00804E06">
        <w:rPr>
          <w:rFonts w:eastAsia="Times New Roman"/>
          <w:noProof/>
          <w:szCs w:val="24"/>
          <w:lang w:eastAsia="en-IE"/>
        </w:rPr>
        <w:t>will</w:t>
      </w:r>
      <w:r w:rsidRPr="00FC3C3B">
        <w:rPr>
          <w:rFonts w:eastAsia="Times New Roman"/>
          <w:noProof/>
          <w:szCs w:val="24"/>
          <w:lang w:eastAsia="en-IE"/>
        </w:rPr>
        <w:t xml:space="preserve"> further align criteria and streamline processes to ensure that the decision on State aid is taken at the same time as the funding decision from the Innovation Fund, provided a complete notification by the Member State occurs in due time.</w:t>
      </w:r>
      <w:r w:rsidRPr="00FC3C3B">
        <w:rPr>
          <w:noProof/>
          <w:szCs w:val="24"/>
          <w:lang w:eastAsia="en-IE"/>
        </w:rPr>
        <w:t xml:space="preserve"> Such synergies are also being assessed for other selected EU instruments, including the EIC Fund.</w:t>
      </w:r>
    </w:p>
    <w:p w14:paraId="6C4D2FA7" w14:textId="77777777" w:rsidR="006F26E6" w:rsidRDefault="006F26E6" w:rsidP="006F26E6">
      <w:pPr>
        <w:rPr>
          <w:rFonts w:eastAsia="Times New Roman"/>
          <w:noProof/>
          <w:szCs w:val="24"/>
          <w:lang w:eastAsia="en-IE"/>
        </w:rPr>
      </w:pPr>
      <w:r w:rsidRPr="003B3444">
        <w:rPr>
          <w:rFonts w:eastAsia="Times New Roman"/>
          <w:noProof/>
        </w:rPr>
        <w:t>The Commission will also consult Member States on a proposal to enable higher rates of aid via a bonus for projects within the scope of STEP in assisted regions to spur further economic development, while preserving cohesion objectives.</w:t>
      </w:r>
    </w:p>
    <w:p w14:paraId="682A142C" w14:textId="77777777" w:rsidR="00DB6D33" w:rsidRPr="00FC3C3B" w:rsidRDefault="00DB6D33">
      <w:pPr>
        <w:rPr>
          <w:rFonts w:eastAsia="Times New Roman"/>
          <w:noProof/>
          <w:lang w:val="en-IE"/>
        </w:rPr>
      </w:pPr>
      <w:r w:rsidRPr="006E37DD">
        <w:rPr>
          <w:noProof/>
        </w:rPr>
        <w:t xml:space="preserve">Authorities in charge of programmes falling under STEP should also be encouraged to consider support for strategic projects identified in accordance with the Net Zero Industry and the Critical Raw Materials Acts that fall under the scope of Article 2 of the Regulation, </w:t>
      </w:r>
      <w:r w:rsidRPr="00FC3C3B">
        <w:rPr>
          <w:rFonts w:eastAsia="Times New Roman"/>
          <w:noProof/>
          <w:lang w:val="en-IE"/>
        </w:rPr>
        <w:t>subject to compliance with applicable State aid rules</w:t>
      </w:r>
      <w:r w:rsidRPr="006E37DD">
        <w:rPr>
          <w:noProof/>
        </w:rPr>
        <w:t>.</w:t>
      </w:r>
    </w:p>
    <w:p w14:paraId="3154DB97" w14:textId="77777777" w:rsidR="002C7991" w:rsidRPr="00FC3C3B" w:rsidRDefault="00982B83">
      <w:pPr>
        <w:rPr>
          <w:rFonts w:eastAsia="Times New Roman"/>
          <w:noProof/>
        </w:rPr>
      </w:pPr>
      <w:r w:rsidRPr="00FC3C3B">
        <w:rPr>
          <w:rFonts w:eastAsia="Times New Roman"/>
          <w:b/>
          <w:bCs/>
          <w:noProof/>
        </w:rPr>
        <w:t>STEP</w:t>
      </w:r>
      <w:r w:rsidR="00550165" w:rsidRPr="00FC3C3B">
        <w:rPr>
          <w:rFonts w:eastAsia="Times New Roman"/>
          <w:b/>
          <w:bCs/>
          <w:noProof/>
        </w:rPr>
        <w:t xml:space="preserve">– focus </w:t>
      </w:r>
      <w:r w:rsidR="6949EC00" w:rsidRPr="00FC3C3B">
        <w:rPr>
          <w:rFonts w:eastAsia="Times New Roman"/>
          <w:b/>
          <w:bCs/>
          <w:noProof/>
        </w:rPr>
        <w:t>o</w:t>
      </w:r>
      <w:r w:rsidR="3E513C54" w:rsidRPr="00FC3C3B">
        <w:rPr>
          <w:rFonts w:eastAsia="Times New Roman"/>
          <w:b/>
          <w:bCs/>
          <w:noProof/>
        </w:rPr>
        <w:t>n</w:t>
      </w:r>
      <w:r w:rsidR="00550165" w:rsidRPr="00FC3C3B">
        <w:rPr>
          <w:rFonts w:eastAsia="Times New Roman"/>
          <w:b/>
          <w:bCs/>
          <w:noProof/>
        </w:rPr>
        <w:t xml:space="preserve"> investments</w:t>
      </w:r>
    </w:p>
    <w:p w14:paraId="1F78F025" w14:textId="77777777" w:rsidR="002C7991" w:rsidRPr="006E37DD" w:rsidRDefault="00550165">
      <w:pPr>
        <w:rPr>
          <w:rFonts w:eastAsia="Times New Roman"/>
          <w:noProof/>
        </w:rPr>
      </w:pPr>
      <w:r w:rsidRPr="00FC3C3B">
        <w:rPr>
          <w:rFonts w:eastAsia="Times New Roman"/>
          <w:noProof/>
        </w:rPr>
        <w:t xml:space="preserve">To be successful, the </w:t>
      </w:r>
      <w:r w:rsidR="00982B83" w:rsidRPr="00FC3C3B">
        <w:rPr>
          <w:rFonts w:eastAsia="Times New Roman"/>
          <w:noProof/>
        </w:rPr>
        <w:t>STEP</w:t>
      </w:r>
      <w:r w:rsidR="005B5E46" w:rsidRPr="00FC3C3B">
        <w:rPr>
          <w:rFonts w:eastAsia="Times New Roman"/>
          <w:noProof/>
        </w:rPr>
        <w:t xml:space="preserve"> </w:t>
      </w:r>
      <w:r w:rsidRPr="00FC3C3B">
        <w:rPr>
          <w:rFonts w:eastAsia="Times New Roman"/>
          <w:noProof/>
        </w:rPr>
        <w:t xml:space="preserve">should focus on few but well-targeted investment areas. </w:t>
      </w:r>
      <w:r w:rsidR="002271E8" w:rsidRPr="00FC3C3B">
        <w:rPr>
          <w:rFonts w:eastAsia="Times New Roman"/>
          <w:noProof/>
        </w:rPr>
        <w:t xml:space="preserve">The </w:t>
      </w:r>
      <w:r w:rsidR="003B7255" w:rsidRPr="00FC3C3B">
        <w:rPr>
          <w:rFonts w:eastAsia="Times New Roman"/>
          <w:noProof/>
        </w:rPr>
        <w:t xml:space="preserve">Platform </w:t>
      </w:r>
      <w:r w:rsidR="002271E8" w:rsidRPr="00FC3C3B">
        <w:rPr>
          <w:rFonts w:eastAsia="Times New Roman"/>
          <w:noProof/>
        </w:rPr>
        <w:t>should ensure and preserve a European edge on critical and emerging technologies</w:t>
      </w:r>
      <w:r w:rsidR="00BA2248" w:rsidRPr="00FC3C3B">
        <w:rPr>
          <w:rFonts w:eastAsia="Times New Roman"/>
          <w:noProof/>
        </w:rPr>
        <w:t xml:space="preserve"> </w:t>
      </w:r>
      <w:r w:rsidR="00115F35" w:rsidRPr="00FC3C3B">
        <w:rPr>
          <w:rFonts w:eastAsia="Times New Roman"/>
          <w:noProof/>
        </w:rPr>
        <w:t>and related manufact</w:t>
      </w:r>
      <w:r w:rsidR="001433C1" w:rsidRPr="00FC3C3B">
        <w:rPr>
          <w:rFonts w:eastAsia="Times New Roman"/>
          <w:noProof/>
        </w:rPr>
        <w:t xml:space="preserve">uring </w:t>
      </w:r>
      <w:r w:rsidR="00BA2248" w:rsidRPr="00FC3C3B">
        <w:rPr>
          <w:rFonts w:eastAsia="Times New Roman"/>
          <w:noProof/>
        </w:rPr>
        <w:t>in the following fields</w:t>
      </w:r>
      <w:r w:rsidRPr="00FC3C3B">
        <w:rPr>
          <w:rFonts w:eastAsiaTheme="minorEastAsia"/>
          <w:noProof/>
        </w:rPr>
        <w:t>:</w:t>
      </w:r>
      <w:r w:rsidR="002852C4" w:rsidRPr="00FC3C3B">
        <w:rPr>
          <w:rStyle w:val="FootnoteReference"/>
          <w:rFonts w:eastAsiaTheme="minorEastAsia"/>
          <w:noProof/>
        </w:rPr>
        <w:footnoteReference w:id="15"/>
      </w:r>
      <w:r w:rsidRPr="00FC3C3B">
        <w:rPr>
          <w:rFonts w:eastAsiaTheme="minorEastAsia"/>
          <w:noProof/>
        </w:rPr>
        <w:t xml:space="preserve"> </w:t>
      </w:r>
      <w:r w:rsidR="002271E8" w:rsidRPr="00FC3C3B">
        <w:rPr>
          <w:rFonts w:eastAsiaTheme="minorEastAsia"/>
          <w:b/>
          <w:bCs/>
          <w:noProof/>
        </w:rPr>
        <w:t xml:space="preserve">deep </w:t>
      </w:r>
      <w:r w:rsidR="004A5D3C" w:rsidRPr="00FC3C3B">
        <w:rPr>
          <w:rFonts w:eastAsiaTheme="minorEastAsia"/>
          <w:b/>
          <w:bCs/>
          <w:noProof/>
        </w:rPr>
        <w:t xml:space="preserve">and digital </w:t>
      </w:r>
      <w:r w:rsidR="002271E8" w:rsidRPr="00FC3C3B">
        <w:rPr>
          <w:rFonts w:eastAsiaTheme="minorEastAsia"/>
          <w:b/>
          <w:bCs/>
          <w:noProof/>
        </w:rPr>
        <w:t xml:space="preserve">technologies, </w:t>
      </w:r>
      <w:r w:rsidRPr="00FC3C3B">
        <w:rPr>
          <w:rFonts w:eastAsia="Times New Roman"/>
          <w:b/>
          <w:noProof/>
        </w:rPr>
        <w:t xml:space="preserve">clean technologies, </w:t>
      </w:r>
      <w:r w:rsidR="004A5D3C" w:rsidRPr="00FC3C3B">
        <w:rPr>
          <w:rFonts w:eastAsia="Times New Roman"/>
          <w:b/>
          <w:bCs/>
          <w:noProof/>
        </w:rPr>
        <w:t xml:space="preserve">and </w:t>
      </w:r>
      <w:r w:rsidRPr="00FC3C3B">
        <w:rPr>
          <w:rFonts w:eastAsia="Times New Roman"/>
          <w:b/>
          <w:noProof/>
        </w:rPr>
        <w:t>biotechnologies</w:t>
      </w:r>
      <w:r w:rsidRPr="00FC3C3B">
        <w:rPr>
          <w:rFonts w:eastAsia="Times New Roman"/>
          <w:noProof/>
        </w:rPr>
        <w:t>.</w:t>
      </w:r>
      <w:r w:rsidRPr="00FC3C3B">
        <w:rPr>
          <w:rFonts w:eastAsiaTheme="minorEastAsia"/>
          <w:noProof/>
        </w:rPr>
        <w:t xml:space="preserve"> </w:t>
      </w:r>
      <w:r w:rsidRPr="00FC3C3B">
        <w:rPr>
          <w:rFonts w:eastAsia="Times New Roman"/>
          <w:noProof/>
        </w:rPr>
        <w:t xml:space="preserve">The scope of the </w:t>
      </w:r>
      <w:r w:rsidR="00982B83" w:rsidRPr="00FC3C3B">
        <w:rPr>
          <w:rFonts w:eastAsia="Times New Roman"/>
          <w:noProof/>
        </w:rPr>
        <w:t>STEP</w:t>
      </w:r>
      <w:r w:rsidR="005B5E46" w:rsidRPr="00FC3C3B">
        <w:rPr>
          <w:rFonts w:eastAsia="Times New Roman"/>
          <w:noProof/>
        </w:rPr>
        <w:t xml:space="preserve"> </w:t>
      </w:r>
      <w:r w:rsidRPr="00FC3C3B">
        <w:rPr>
          <w:rFonts w:eastAsia="Times New Roman"/>
          <w:noProof/>
        </w:rPr>
        <w:t xml:space="preserve">would therefore focus on </w:t>
      </w:r>
      <w:r w:rsidR="000F1594" w:rsidRPr="00FC3C3B">
        <w:rPr>
          <w:rFonts w:eastAsia="Times New Roman"/>
          <w:noProof/>
        </w:rPr>
        <w:t>leading edge</w:t>
      </w:r>
      <w:r w:rsidRPr="00FC3C3B">
        <w:rPr>
          <w:rFonts w:eastAsia="Times New Roman"/>
          <w:noProof/>
        </w:rPr>
        <w:t xml:space="preserve"> technologies to advance the green and digital transitions, supporting both the manufacturing side and the value chains. </w:t>
      </w:r>
    </w:p>
    <w:p w14:paraId="7DA18F6F" w14:textId="77777777" w:rsidR="0082115E" w:rsidRPr="00FC3C3B" w:rsidRDefault="0082115E" w:rsidP="0082115E">
      <w:pPr>
        <w:rPr>
          <w:rFonts w:eastAsiaTheme="minorEastAsia"/>
          <w:b/>
          <w:bCs/>
          <w:noProof/>
        </w:rPr>
      </w:pPr>
      <w:r w:rsidRPr="00FC3C3B">
        <w:rPr>
          <w:rFonts w:eastAsiaTheme="minorEastAsia"/>
          <w:b/>
          <w:bCs/>
          <w:noProof/>
        </w:rPr>
        <w:t xml:space="preserve">Deep </w:t>
      </w:r>
      <w:r w:rsidR="0012596B" w:rsidRPr="00FC3C3B">
        <w:rPr>
          <w:rFonts w:eastAsiaTheme="minorEastAsia"/>
          <w:b/>
          <w:bCs/>
          <w:noProof/>
        </w:rPr>
        <w:t xml:space="preserve">and digital </w:t>
      </w:r>
      <w:r w:rsidRPr="00FC3C3B">
        <w:rPr>
          <w:rFonts w:eastAsiaTheme="minorEastAsia"/>
          <w:b/>
          <w:bCs/>
          <w:noProof/>
        </w:rPr>
        <w:t xml:space="preserve">technologies </w:t>
      </w:r>
    </w:p>
    <w:p w14:paraId="3A0886EB" w14:textId="77777777" w:rsidR="0082115E" w:rsidRPr="00FC3C3B" w:rsidRDefault="0082115E" w:rsidP="00195DE2">
      <w:pPr>
        <w:rPr>
          <w:rFonts w:eastAsia="Times New Roman"/>
          <w:noProof/>
          <w:szCs w:val="24"/>
          <w:lang w:val="en-IE"/>
        </w:rPr>
      </w:pPr>
      <w:r w:rsidRPr="00FC3C3B">
        <w:rPr>
          <w:rFonts w:eastAsia="Times New Roman"/>
          <w:noProof/>
          <w:szCs w:val="24"/>
          <w:lang w:val="en-IE"/>
        </w:rPr>
        <w:t xml:space="preserve">Innovation, and in particular its new wave of deep-tech innovation, is the European reply to bring down greenhouse gas emissions, to make our economies more digital and to guarantee Europe’s food, energy and </w:t>
      </w:r>
      <w:r w:rsidR="00F30739" w:rsidRPr="00FC3C3B">
        <w:rPr>
          <w:rFonts w:eastAsia="Times New Roman"/>
          <w:noProof/>
          <w:szCs w:val="24"/>
          <w:lang w:val="en-IE"/>
        </w:rPr>
        <w:t xml:space="preserve">secure </w:t>
      </w:r>
      <w:r w:rsidRPr="00FC3C3B">
        <w:rPr>
          <w:rFonts w:eastAsia="Times New Roman"/>
          <w:noProof/>
          <w:szCs w:val="24"/>
          <w:lang w:val="en-IE"/>
        </w:rPr>
        <w:t xml:space="preserve">raw materials </w:t>
      </w:r>
      <w:r w:rsidR="00A34E8F" w:rsidRPr="00FC3C3B">
        <w:rPr>
          <w:rFonts w:eastAsia="Times New Roman"/>
          <w:noProof/>
          <w:szCs w:val="24"/>
          <w:lang w:val="en-IE"/>
        </w:rPr>
        <w:t>supply and</w:t>
      </w:r>
      <w:r w:rsidRPr="00FC3C3B">
        <w:rPr>
          <w:rFonts w:eastAsia="Times New Roman"/>
          <w:noProof/>
          <w:szCs w:val="24"/>
          <w:lang w:val="en-IE"/>
        </w:rPr>
        <w:t xml:space="preserve"> security. </w:t>
      </w:r>
      <w:r w:rsidR="00571CE5" w:rsidRPr="00FC3C3B">
        <w:rPr>
          <w:rFonts w:eastAsia="Times New Roman"/>
          <w:noProof/>
          <w:szCs w:val="24"/>
          <w:lang w:val="en-IE"/>
        </w:rPr>
        <w:t>Deep tech innovation, which is rooted in cutting edge science, technology and engineering, often combining advances in the physical, biological and digital spheres and with the potential to deliver transformative solutions in the face of global challenges. Those innovations have the potential to drive innovation across the economy and society, thus transforming the EU’s business landscape.</w:t>
      </w:r>
    </w:p>
    <w:p w14:paraId="742CA6EE" w14:textId="77777777" w:rsidR="0082115E" w:rsidRPr="00FC3C3B" w:rsidRDefault="0082115E" w:rsidP="00195DE2">
      <w:pPr>
        <w:rPr>
          <w:rFonts w:eastAsia="Times New Roman"/>
          <w:noProof/>
          <w:szCs w:val="24"/>
          <w:lang w:val="en-IE"/>
        </w:rPr>
      </w:pPr>
      <w:r w:rsidRPr="00FC3C3B">
        <w:rPr>
          <w:rFonts w:eastAsia="Times New Roman"/>
          <w:noProof/>
          <w:szCs w:val="24"/>
          <w:lang w:val="en-IE"/>
        </w:rPr>
        <w:t xml:space="preserve">The European Innovation Agenda already aims to position Europe at the forefront of the new wave of deep tech innovation and start-ups. One of its main objectives is to improve access to finance for European start-ups and scale-ups, for example, by mobilising untapped sources of private capital and simplifying listing rules. </w:t>
      </w:r>
    </w:p>
    <w:p w14:paraId="700CF630" w14:textId="77777777" w:rsidR="0082115E" w:rsidRPr="00FC3C3B" w:rsidRDefault="00204D30" w:rsidP="00195DE2">
      <w:pPr>
        <w:rPr>
          <w:rFonts w:eastAsia="Times New Roman"/>
          <w:noProof/>
          <w:szCs w:val="24"/>
          <w:lang w:val="en-IE"/>
        </w:rPr>
      </w:pPr>
      <w:r w:rsidRPr="00FC3C3B">
        <w:rPr>
          <w:rFonts w:eastAsia="Times New Roman"/>
          <w:noProof/>
          <w:szCs w:val="24"/>
          <w:lang w:val="en-IE"/>
        </w:rPr>
        <w:t xml:space="preserve">The </w:t>
      </w:r>
      <w:r w:rsidR="00982B83" w:rsidRPr="00FC3C3B">
        <w:rPr>
          <w:noProof/>
        </w:rPr>
        <w:t>STEP</w:t>
      </w:r>
      <w:r w:rsidR="002C171A" w:rsidRPr="00FC3C3B">
        <w:rPr>
          <w:noProof/>
        </w:rPr>
        <w:t xml:space="preserve"> </w:t>
      </w:r>
      <w:r w:rsidRPr="00FC3C3B">
        <w:rPr>
          <w:rFonts w:eastAsia="Times New Roman"/>
          <w:noProof/>
          <w:szCs w:val="24"/>
          <w:lang w:val="en-IE"/>
        </w:rPr>
        <w:t>would add another dimension to the EU commitment to the delivery on this agenda. The EU will steer further funding, and also define a clear investment direction</w:t>
      </w:r>
      <w:r w:rsidR="00FC1F6F" w:rsidRPr="00FC3C3B">
        <w:rPr>
          <w:rFonts w:eastAsia="Times New Roman"/>
          <w:noProof/>
          <w:szCs w:val="24"/>
          <w:lang w:val="en-IE"/>
        </w:rPr>
        <w:t xml:space="preserve">. </w:t>
      </w:r>
      <w:r w:rsidRPr="00FC3C3B">
        <w:rPr>
          <w:rFonts w:eastAsia="Times New Roman"/>
          <w:noProof/>
          <w:szCs w:val="24"/>
          <w:lang w:val="en-IE"/>
        </w:rPr>
        <w:t xml:space="preserve">This will further support deep tech investments in Europe, to the benefit of the EU economies and the society as a whole. </w:t>
      </w:r>
    </w:p>
    <w:p w14:paraId="3C4D87D9" w14:textId="77777777" w:rsidR="00CE6970" w:rsidRPr="00FC3C3B" w:rsidRDefault="00CE6970" w:rsidP="00195DE2">
      <w:pPr>
        <w:rPr>
          <w:rFonts w:eastAsia="Times New Roman"/>
          <w:noProof/>
          <w:szCs w:val="24"/>
        </w:rPr>
      </w:pPr>
      <w:r w:rsidRPr="00FC3C3B">
        <w:rPr>
          <w:noProof/>
        </w:rPr>
        <w:t>Digital technologies have a profound impact on the competitiveness of the EU economy as a whole, boosting efficiency and innovation. Their adoption and integration across the economy will be vital to the overall competitiveness and productivity.</w:t>
      </w:r>
      <w:r w:rsidRPr="00FC3C3B">
        <w:rPr>
          <w:rStyle w:val="FootnoteReference"/>
          <w:noProof/>
        </w:rPr>
        <w:footnoteReference w:id="16"/>
      </w:r>
      <w:r w:rsidRPr="00FC3C3B">
        <w:rPr>
          <w:noProof/>
        </w:rPr>
        <w:t xml:space="preserve"> To </w:t>
      </w:r>
      <w:r w:rsidR="00591404" w:rsidRPr="00FC3C3B">
        <w:rPr>
          <w:noProof/>
        </w:rPr>
        <w:t xml:space="preserve">maintain </w:t>
      </w:r>
      <w:r w:rsidR="00F44BE6" w:rsidRPr="00FC3C3B">
        <w:rPr>
          <w:noProof/>
        </w:rPr>
        <w:t>its</w:t>
      </w:r>
      <w:r w:rsidRPr="00FC3C3B">
        <w:rPr>
          <w:noProof/>
        </w:rPr>
        <w:t xml:space="preserve"> industrial leadership, the EU needs to attain a leading role in key digital technology</w:t>
      </w:r>
      <w:r w:rsidR="00232AB5" w:rsidRPr="00FC3C3B">
        <w:rPr>
          <w:noProof/>
        </w:rPr>
        <w:t>.</w:t>
      </w:r>
    </w:p>
    <w:p w14:paraId="056165C7" w14:textId="77777777" w:rsidR="002C7991" w:rsidRPr="00FC3C3B" w:rsidRDefault="00550165">
      <w:pPr>
        <w:rPr>
          <w:rFonts w:eastAsiaTheme="minorEastAsia"/>
          <w:b/>
          <w:bCs/>
          <w:noProof/>
        </w:rPr>
      </w:pPr>
      <w:r w:rsidRPr="00FC3C3B">
        <w:rPr>
          <w:rFonts w:eastAsiaTheme="minorEastAsia"/>
          <w:b/>
          <w:bCs/>
          <w:noProof/>
        </w:rPr>
        <w:t>Clean technologies</w:t>
      </w:r>
    </w:p>
    <w:p w14:paraId="048A43E3" w14:textId="77777777" w:rsidR="002C7991" w:rsidRPr="00FC3C3B" w:rsidRDefault="00550165">
      <w:pPr>
        <w:rPr>
          <w:noProof/>
        </w:rPr>
      </w:pPr>
      <w:r w:rsidRPr="00FC3C3B">
        <w:rPr>
          <w:rFonts w:eastAsia="Times New Roman"/>
          <w:noProof/>
          <w:szCs w:val="24"/>
        </w:rPr>
        <w:t xml:space="preserve">EU’s competitiveness in the clean energy sector entails the capacity to produce and use affordable, reliable and accessible clean energy and compete in the global clean energy markets, with the overall aim of </w:t>
      </w:r>
      <w:r w:rsidR="00FD210E" w:rsidRPr="00FC3C3B">
        <w:rPr>
          <w:rFonts w:eastAsia="Times New Roman"/>
          <w:noProof/>
          <w:szCs w:val="24"/>
        </w:rPr>
        <w:t>supporting</w:t>
      </w:r>
      <w:r w:rsidRPr="00FC3C3B">
        <w:rPr>
          <w:rFonts w:eastAsia="Times New Roman"/>
          <w:noProof/>
          <w:szCs w:val="24"/>
        </w:rPr>
        <w:t xml:space="preserve"> the </w:t>
      </w:r>
      <w:r w:rsidR="00FD210E" w:rsidRPr="00FC3C3B">
        <w:rPr>
          <w:rFonts w:eastAsia="Times New Roman"/>
          <w:noProof/>
          <w:szCs w:val="24"/>
        </w:rPr>
        <w:t>transition to climate neutrality and</w:t>
      </w:r>
      <w:r w:rsidRPr="00FC3C3B">
        <w:rPr>
          <w:rFonts w:eastAsia="Times New Roman"/>
          <w:noProof/>
          <w:szCs w:val="24"/>
        </w:rPr>
        <w:t xml:space="preserve"> bringing benefits to the EU economy and people.</w:t>
      </w:r>
      <w:r w:rsidR="0093043C" w:rsidRPr="00FC3C3B">
        <w:rPr>
          <w:rFonts w:eastAsia="Times New Roman"/>
          <w:noProof/>
          <w:szCs w:val="24"/>
        </w:rPr>
        <w:t xml:space="preserve"> </w:t>
      </w:r>
      <w:r w:rsidRPr="00FC3C3B">
        <w:rPr>
          <w:rFonts w:eastAsia="Times New Roman"/>
          <w:noProof/>
          <w:szCs w:val="24"/>
        </w:rPr>
        <w:t xml:space="preserve">The EU is currently facing technological and non-technological challenges, such as high energy prices, critical raw materials supply chain disruptions and skills shortages. Strengthening the competitiveness of the EU clean energy sector will contribute to increasing the EU's technology </w:t>
      </w:r>
      <w:r w:rsidR="00A96491" w:rsidRPr="00FC3C3B">
        <w:rPr>
          <w:rFonts w:eastAsia="Times New Roman"/>
          <w:noProof/>
          <w:szCs w:val="24"/>
        </w:rPr>
        <w:t>leadership</w:t>
      </w:r>
      <w:r w:rsidRPr="00FC3C3B">
        <w:rPr>
          <w:rFonts w:eastAsia="Times New Roman"/>
          <w:noProof/>
          <w:szCs w:val="24"/>
        </w:rPr>
        <w:t>, and shape a more resilient, independent, secure and affordable energy system needed to meet these challenges</w:t>
      </w:r>
      <w:r w:rsidR="00873A1D" w:rsidRPr="00FC3C3B">
        <w:rPr>
          <w:rFonts w:eastAsia="Times New Roman"/>
          <w:noProof/>
          <w:szCs w:val="24"/>
        </w:rPr>
        <w:t>.</w:t>
      </w:r>
      <w:r w:rsidR="00DA0C5C" w:rsidRPr="00FC3C3B">
        <w:rPr>
          <w:rFonts w:eastAsia="Times New Roman"/>
          <w:noProof/>
          <w:szCs w:val="24"/>
        </w:rPr>
        <w:t xml:space="preserve"> </w:t>
      </w:r>
      <w:r w:rsidR="002E09EE" w:rsidRPr="00FC3C3B">
        <w:rPr>
          <w:rFonts w:eastAsia="Times New Roman"/>
          <w:noProof/>
        </w:rPr>
        <w:t>In that context, the Commission’s communication on the Green Deal Industrial Plan</w:t>
      </w:r>
      <w:r w:rsidR="00474142" w:rsidRPr="00FC3C3B">
        <w:rPr>
          <w:rFonts w:eastAsia="Times New Roman"/>
          <w:noProof/>
        </w:rPr>
        <w:t xml:space="preserve"> presented a comprehensive plan for enhancing the competitiveness of Europe’s net-zero industry and supporting the fast transition to climate neutrality</w:t>
      </w:r>
      <w:r w:rsidR="00511C92" w:rsidRPr="00FC3C3B">
        <w:rPr>
          <w:rFonts w:eastAsia="Times New Roman"/>
          <w:noProof/>
        </w:rPr>
        <w:t>; and the Net-Zero Industry Act</w:t>
      </w:r>
      <w:r w:rsidR="00246DB6" w:rsidRPr="00FC3C3B">
        <w:rPr>
          <w:rStyle w:val="FootnoteReference"/>
          <w:rFonts w:eastAsia="Times New Roman"/>
          <w:noProof/>
        </w:rPr>
        <w:footnoteReference w:id="17"/>
      </w:r>
      <w:r w:rsidR="00511C92" w:rsidRPr="00FC3C3B">
        <w:rPr>
          <w:rFonts w:eastAsia="Times New Roman"/>
          <w:noProof/>
        </w:rPr>
        <w:t xml:space="preserve"> establishes a framework of measures for strengthening Europe’s net-zero energy technologies manufacturing ecosystem. </w:t>
      </w:r>
    </w:p>
    <w:p w14:paraId="475AFE9B" w14:textId="77777777" w:rsidR="002C7991" w:rsidRPr="00FC3C3B" w:rsidRDefault="00550165">
      <w:pPr>
        <w:rPr>
          <w:noProof/>
        </w:rPr>
      </w:pPr>
      <w:r w:rsidRPr="00FC3C3B">
        <w:rPr>
          <w:rFonts w:eastAsia="Times New Roman"/>
          <w:noProof/>
        </w:rPr>
        <w:t>Since 2020, the European Commission has published yearly progress reports on competitiveness of clean energy technologies that present the current and projected state of play for different clean and low-carbon energy technologies and solutions.</w:t>
      </w:r>
      <w:r w:rsidR="00AD6311" w:rsidRPr="00FC3C3B">
        <w:rPr>
          <w:rFonts w:eastAsia="Times New Roman"/>
          <w:noProof/>
        </w:rPr>
        <w:t xml:space="preserve"> </w:t>
      </w:r>
      <w:r w:rsidRPr="00FC3C3B">
        <w:rPr>
          <w:rFonts w:eastAsia="Times New Roman"/>
          <w:noProof/>
        </w:rPr>
        <w:t>According to the 2022 Competitiveness Progress Report</w:t>
      </w:r>
      <w:r w:rsidR="001C0DCD" w:rsidRPr="00FC3C3B">
        <w:rPr>
          <w:rFonts w:eastAsia="Times New Roman"/>
          <w:noProof/>
        </w:rPr>
        <w:t>,</w:t>
      </w:r>
      <w:r w:rsidR="000E3BB7" w:rsidRPr="00FC3C3B">
        <w:rPr>
          <w:rStyle w:val="FootnoteReference"/>
          <w:rFonts w:eastAsia="Times New Roman"/>
          <w:noProof/>
        </w:rPr>
        <w:footnoteReference w:id="18"/>
      </w:r>
      <w:r w:rsidR="001C0DCD" w:rsidRPr="00FC3C3B">
        <w:rPr>
          <w:rFonts w:eastAsia="Times New Roman"/>
          <w:noProof/>
        </w:rPr>
        <w:t xml:space="preserve"> </w:t>
      </w:r>
      <w:r w:rsidRPr="00FC3C3B">
        <w:rPr>
          <w:rFonts w:eastAsia="Times New Roman"/>
          <w:noProof/>
        </w:rPr>
        <w:t xml:space="preserve">which the Commission publishes in the context of the Governance of the Energy Union </w:t>
      </w:r>
      <w:r w:rsidR="007551BD" w:rsidRPr="00FC3C3B">
        <w:rPr>
          <w:rFonts w:eastAsia="Times New Roman"/>
          <w:noProof/>
        </w:rPr>
        <w:t xml:space="preserve">and Climate Action </w:t>
      </w:r>
      <w:r w:rsidRPr="00FC3C3B">
        <w:rPr>
          <w:rFonts w:eastAsia="Times New Roman"/>
          <w:noProof/>
        </w:rPr>
        <w:t>framewor</w:t>
      </w:r>
      <w:r w:rsidR="001C0DCD" w:rsidRPr="00FC3C3B">
        <w:rPr>
          <w:rFonts w:eastAsia="Times New Roman"/>
          <w:noProof/>
        </w:rPr>
        <w:t>k, ‘</w:t>
      </w:r>
      <w:r w:rsidRPr="00FC3C3B">
        <w:rPr>
          <w:rFonts w:eastAsia="Times New Roman"/>
          <w:noProof/>
        </w:rPr>
        <w:t>The rapid development and deployment of home-grown clean energy technologies in the EU is key to a cost-effective, climate friendly and socially fair response to the current energy crisis</w:t>
      </w:r>
      <w:r w:rsidR="001C0DCD" w:rsidRPr="00FC3C3B">
        <w:rPr>
          <w:rFonts w:eastAsia="Times New Roman"/>
          <w:noProof/>
        </w:rPr>
        <w:t>’.</w:t>
      </w:r>
      <w:r w:rsidRPr="00FC3C3B">
        <w:rPr>
          <w:rFonts w:eastAsia="Times New Roman"/>
          <w:noProof/>
        </w:rPr>
        <w:t xml:space="preserve"> </w:t>
      </w:r>
      <w:r w:rsidRPr="00FC3C3B">
        <w:rPr>
          <w:rFonts w:eastAsia="Times New Roman"/>
          <w:noProof/>
          <w:szCs w:val="24"/>
        </w:rPr>
        <w:t>The report also confirms that more public and private investments in clean energy research and innovation, scale-up and affordable deployment are of pivotal importance. The EU’s regulatory and financial frameworks have a crucial role to play here. Together with the implementation of the New European Innovation Agenda, EU funding programmes, enhanced cooperation between Member States, and a continuous monitoring of national R&amp;I activities, are crucial to design an impactful EU R&amp;I ecosystem, and to bridge the gap between research and innovation and market uptake, thus reinforcing EU competitiveness.</w:t>
      </w:r>
    </w:p>
    <w:p w14:paraId="08E6616B" w14:textId="77777777" w:rsidR="002C7991" w:rsidRPr="00FC3C3B" w:rsidRDefault="00550165">
      <w:pPr>
        <w:rPr>
          <w:rFonts w:eastAsiaTheme="minorEastAsia"/>
          <w:b/>
          <w:bCs/>
          <w:noProof/>
        </w:rPr>
      </w:pPr>
      <w:r w:rsidRPr="00FC3C3B">
        <w:rPr>
          <w:rFonts w:eastAsiaTheme="minorEastAsia"/>
          <w:b/>
          <w:bCs/>
          <w:noProof/>
        </w:rPr>
        <w:t>Biotechnologies</w:t>
      </w:r>
    </w:p>
    <w:p w14:paraId="093408F0" w14:textId="77777777" w:rsidR="002C7991" w:rsidRPr="00FC3C3B" w:rsidRDefault="00550165">
      <w:pPr>
        <w:rPr>
          <w:rFonts w:eastAsia="Times New Roman"/>
          <w:b/>
          <w:bCs/>
          <w:noProof/>
        </w:rPr>
      </w:pPr>
      <w:r w:rsidRPr="00FC3C3B">
        <w:rPr>
          <w:rFonts w:eastAsia="Times New Roman"/>
          <w:noProof/>
        </w:rPr>
        <w:t xml:space="preserve">Biotechnology and </w:t>
      </w:r>
      <w:r w:rsidR="00A2345E" w:rsidRPr="00FC3C3B">
        <w:rPr>
          <w:rFonts w:eastAsia="Times New Roman"/>
          <w:noProof/>
        </w:rPr>
        <w:t>biomanufacturing</w:t>
      </w:r>
      <w:r w:rsidRPr="00FC3C3B">
        <w:rPr>
          <w:rFonts w:eastAsia="Times New Roman"/>
          <w:noProof/>
        </w:rPr>
        <w:t xml:space="preserve"> are key for the modernisation of the European industry. They are used in a variety of industrial sectors such as healthcare and pharmaceuticals, </w:t>
      </w:r>
      <w:r w:rsidR="00507D6E" w:rsidRPr="00FC3C3B">
        <w:rPr>
          <w:rFonts w:eastAsia="Times New Roman"/>
          <w:noProof/>
        </w:rPr>
        <w:t>agriculture, materials</w:t>
      </w:r>
      <w:r w:rsidRPr="00FC3C3B">
        <w:rPr>
          <w:rFonts w:eastAsia="Times New Roman"/>
          <w:noProof/>
        </w:rPr>
        <w:t xml:space="preserve">, and </w:t>
      </w:r>
      <w:r w:rsidR="00507D6E" w:rsidRPr="00FC3C3B">
        <w:rPr>
          <w:rFonts w:eastAsia="Times New Roman"/>
          <w:noProof/>
        </w:rPr>
        <w:t>bioeconomy</w:t>
      </w:r>
      <w:r w:rsidRPr="00FC3C3B">
        <w:rPr>
          <w:rFonts w:eastAsia="Times New Roman"/>
          <w:noProof/>
        </w:rPr>
        <w:t>. Reaping the full benefits of biotechnology can help the EU economy grow and provides new jobs, while also supporting sustainable development, public health, and environmental protection.</w:t>
      </w:r>
    </w:p>
    <w:p w14:paraId="2C47821B" w14:textId="77777777" w:rsidR="002C7991" w:rsidRPr="00FC3C3B" w:rsidRDefault="00550165">
      <w:pPr>
        <w:rPr>
          <w:rFonts w:eastAsia="Times New Roman"/>
          <w:noProof/>
        </w:rPr>
      </w:pPr>
      <w:r w:rsidRPr="00FC3C3B">
        <w:rPr>
          <w:rFonts w:eastAsia="Times New Roman"/>
          <w:noProof/>
        </w:rPr>
        <w:t>The coronavirus pandemic has proven the importance of biotech with vaccine manufacturers having played a key role in reversing the course of the pandemic. And while Europe continues to be a leader in life science innovation, its biotech industry remains approximately a quarter of the size of the US in terms of both the number of companies and the value of venture financing.</w:t>
      </w:r>
      <w:r w:rsidR="00605223" w:rsidRPr="00FC3C3B">
        <w:rPr>
          <w:rStyle w:val="FootnoteReference"/>
          <w:rFonts w:eastAsia="Times New Roman"/>
          <w:noProof/>
        </w:rPr>
        <w:footnoteReference w:id="19"/>
      </w:r>
      <w:r w:rsidRPr="00FC3C3B">
        <w:rPr>
          <w:rFonts w:eastAsia="Times New Roman"/>
          <w:noProof/>
        </w:rPr>
        <w:t xml:space="preserve"> In addition, financing – both at the earliest stages and later on – is deemed more limited in Europe than in the US. This constrains companies’ ability to invest in larger diversified </w:t>
      </w:r>
      <w:r w:rsidR="00C4654E" w:rsidRPr="00FC3C3B">
        <w:rPr>
          <w:rFonts w:eastAsia="Times New Roman"/>
          <w:noProof/>
        </w:rPr>
        <w:t>pipelines</w:t>
      </w:r>
      <w:r w:rsidRPr="00FC3C3B">
        <w:rPr>
          <w:rFonts w:eastAsia="Times New Roman"/>
          <w:noProof/>
        </w:rPr>
        <w:t xml:space="preserve"> and leaves them reliant on their initial investors.</w:t>
      </w:r>
    </w:p>
    <w:p w14:paraId="4E571203" w14:textId="77777777" w:rsidR="002C7991" w:rsidRPr="00FC3C3B" w:rsidRDefault="00550165" w:rsidP="00AE59F9">
      <w:pPr>
        <w:pStyle w:val="ManualHeading2"/>
        <w:ind w:left="0" w:firstLine="0"/>
        <w:jc w:val="left"/>
        <w:rPr>
          <w:rFonts w:eastAsia="Arial Unicode MS"/>
          <w:noProof/>
          <w:color w:val="000000" w:themeColor="text1"/>
          <w:lang w:val="en-US" w:eastAsia="en-GB"/>
        </w:rPr>
      </w:pPr>
      <w:r w:rsidRPr="00FC3C3B">
        <w:rPr>
          <w:rFonts w:eastAsia="Arial Unicode MS"/>
          <w:noProof/>
          <w:color w:val="000000"/>
          <w:bdr w:val="nil"/>
          <w:lang w:val="en-US" w:eastAsia="en-GB"/>
        </w:rPr>
        <w:t>•</w:t>
      </w:r>
      <w:r w:rsidRPr="00FC3C3B">
        <w:rPr>
          <w:rFonts w:eastAsia="Arial Unicode MS"/>
          <w:noProof/>
          <w:color w:val="000000"/>
          <w:u w:color="000000"/>
          <w:bdr w:val="nil"/>
          <w:lang w:val="en-US" w:eastAsia="en-GB"/>
        </w:rPr>
        <w:tab/>
      </w:r>
      <w:r w:rsidRPr="00FC3C3B">
        <w:rPr>
          <w:rFonts w:eastAsia="Arial Unicode MS"/>
          <w:noProof/>
        </w:rPr>
        <w:t>Consistency with existing policy provisions in the policy area</w:t>
      </w:r>
    </w:p>
    <w:p w14:paraId="7D5ACC83" w14:textId="77777777" w:rsidR="002C7991" w:rsidRPr="00FC3C3B" w:rsidRDefault="00550165">
      <w:pPr>
        <w:rPr>
          <w:rFonts w:eastAsia="Times New Roman"/>
          <w:noProof/>
          <w:szCs w:val="24"/>
        </w:rPr>
      </w:pPr>
      <w:r w:rsidRPr="00FC3C3B">
        <w:rPr>
          <w:rFonts w:eastAsia="Times New Roman"/>
          <w:noProof/>
          <w:szCs w:val="24"/>
        </w:rPr>
        <w:t xml:space="preserve">The Green Deal Industrial Plan is the EU’s roadmap to secure the </w:t>
      </w:r>
      <w:r w:rsidR="001F0D4B" w:rsidRPr="00FC3C3B">
        <w:rPr>
          <w:rFonts w:eastAsia="Times New Roman"/>
          <w:noProof/>
          <w:szCs w:val="24"/>
        </w:rPr>
        <w:t xml:space="preserve">long-term </w:t>
      </w:r>
      <w:r w:rsidRPr="00FC3C3B">
        <w:rPr>
          <w:rFonts w:eastAsia="Times New Roman"/>
          <w:noProof/>
          <w:szCs w:val="24"/>
        </w:rPr>
        <w:t>competitiveness of Europe's industry and support the fast transition to climate neutrality. The Net-Zero Industry Act represents its regulatory arm. The act seeks to ensure a simpler and fast-track permitting, promoting European strategic projects, and developing standards to support the scale-up of technologies across the Single Market. It is complemented by the Critical Raw Materials Act,</w:t>
      </w:r>
      <w:r w:rsidR="00B766D2" w:rsidRPr="00FC3C3B">
        <w:rPr>
          <w:rStyle w:val="FootnoteReference"/>
          <w:rFonts w:eastAsia="Times New Roman"/>
          <w:noProof/>
          <w:szCs w:val="24"/>
        </w:rPr>
        <w:footnoteReference w:id="20"/>
      </w:r>
      <w:r w:rsidRPr="00FC3C3B">
        <w:rPr>
          <w:rFonts w:eastAsia="Times New Roman"/>
          <w:noProof/>
          <w:szCs w:val="24"/>
        </w:rPr>
        <w:t xml:space="preserve"> to ensure sufficient access to those materials, like rare earths, that are vital for manufacturing technologies</w:t>
      </w:r>
      <w:r w:rsidR="002A6FCE" w:rsidRPr="00FC3C3B">
        <w:rPr>
          <w:rFonts w:eastAsia="Times New Roman"/>
          <w:noProof/>
          <w:szCs w:val="24"/>
        </w:rPr>
        <w:t xml:space="preserve"> that are key for the twin transition</w:t>
      </w:r>
      <w:r w:rsidRPr="00FC3C3B">
        <w:rPr>
          <w:rFonts w:eastAsia="Times New Roman"/>
          <w:noProof/>
          <w:szCs w:val="24"/>
        </w:rPr>
        <w:t>.</w:t>
      </w:r>
      <w:r w:rsidR="00A37447" w:rsidRPr="00FC3C3B">
        <w:rPr>
          <w:rFonts w:eastAsia="Times New Roman"/>
          <w:noProof/>
          <w:szCs w:val="24"/>
        </w:rPr>
        <w:t xml:space="preserve"> </w:t>
      </w:r>
      <w:r w:rsidRPr="00FC3C3B">
        <w:rPr>
          <w:rFonts w:eastAsia="Times New Roman"/>
          <w:noProof/>
          <w:szCs w:val="24"/>
        </w:rPr>
        <w:t>Another key instrument to support the competitiveness of the European industry is the European Chips Act.</w:t>
      </w:r>
      <w:r w:rsidR="00CC1EF2" w:rsidRPr="00FC3C3B">
        <w:rPr>
          <w:rStyle w:val="FootnoteReference"/>
          <w:rFonts w:eastAsia="Times New Roman"/>
          <w:noProof/>
          <w:szCs w:val="24"/>
        </w:rPr>
        <w:footnoteReference w:id="21"/>
      </w:r>
      <w:r w:rsidRPr="00FC3C3B">
        <w:rPr>
          <w:rFonts w:eastAsia="Times New Roman"/>
          <w:noProof/>
          <w:szCs w:val="24"/>
        </w:rPr>
        <w:t xml:space="preserve"> It seeks to bolster Europe’s resilience in semiconductor technologies and applications, and boost the EU's share of the global microchips market. </w:t>
      </w:r>
    </w:p>
    <w:p w14:paraId="1F64AC1D" w14:textId="77777777" w:rsidR="002C7991" w:rsidRPr="00FC3C3B" w:rsidRDefault="00550165">
      <w:pPr>
        <w:rPr>
          <w:rFonts w:eastAsia="Arial Unicode MS"/>
          <w:b/>
          <w:bCs/>
          <w:noProof/>
        </w:rPr>
      </w:pPr>
      <w:r w:rsidRPr="00FC3C3B">
        <w:rPr>
          <w:rFonts w:eastAsia="Arial Unicode MS"/>
          <w:noProof/>
          <w:bdr w:val="nil"/>
          <w:lang w:val="en-US" w:eastAsia="en-GB"/>
        </w:rPr>
        <w:t>•</w:t>
      </w:r>
      <w:r w:rsidRPr="00FC3C3B">
        <w:rPr>
          <w:rFonts w:eastAsia="Arial Unicode MS"/>
          <w:noProof/>
          <w:u w:color="000000"/>
          <w:bdr w:val="nil"/>
          <w:lang w:val="en-US" w:eastAsia="en-GB"/>
        </w:rPr>
        <w:tab/>
      </w:r>
      <w:r w:rsidRPr="00FC3C3B">
        <w:rPr>
          <w:rFonts w:eastAsia="Arial Unicode MS"/>
          <w:b/>
          <w:bCs/>
          <w:noProof/>
        </w:rPr>
        <w:t>Consistency with other Union policies</w:t>
      </w:r>
    </w:p>
    <w:p w14:paraId="742B8503" w14:textId="77777777" w:rsidR="002C7991" w:rsidRPr="00FC3C3B" w:rsidRDefault="00550165">
      <w:pPr>
        <w:pBdr>
          <w:top w:val="nil"/>
          <w:left w:val="nil"/>
          <w:bottom w:val="nil"/>
          <w:right w:val="nil"/>
          <w:between w:val="nil"/>
          <w:bar w:val="nil"/>
        </w:pBdr>
        <w:spacing w:before="0" w:after="240"/>
        <w:rPr>
          <w:rFonts w:eastAsia="Times New Roman"/>
          <w:noProof/>
          <w:szCs w:val="24"/>
        </w:rPr>
      </w:pPr>
      <w:r w:rsidRPr="00FC3C3B">
        <w:rPr>
          <w:rFonts w:eastAsia="Times New Roman"/>
          <w:noProof/>
          <w:szCs w:val="24"/>
        </w:rPr>
        <w:t>The proposal falls within the EU’s overall efforts to secure the green and digital transformation of its economy. It contributes to the objectives of parts of the Fit for 55 package</w:t>
      </w:r>
      <w:r w:rsidR="00F07D09" w:rsidRPr="00FC3C3B">
        <w:rPr>
          <w:rStyle w:val="FootnoteReference"/>
          <w:rFonts w:eastAsia="Times New Roman"/>
          <w:noProof/>
          <w:szCs w:val="24"/>
        </w:rPr>
        <w:footnoteReference w:id="22"/>
      </w:r>
      <w:r w:rsidRPr="00FC3C3B">
        <w:rPr>
          <w:rFonts w:eastAsia="Times New Roman"/>
          <w:noProof/>
          <w:szCs w:val="24"/>
        </w:rPr>
        <w:t xml:space="preserve"> that focus on decarbonising EU industry.</w:t>
      </w:r>
    </w:p>
    <w:p w14:paraId="449AB1EF" w14:textId="77777777" w:rsidR="002C7991" w:rsidRPr="00FC3C3B" w:rsidRDefault="00550165">
      <w:pPr>
        <w:rPr>
          <w:rFonts w:eastAsia="Times New Roman"/>
          <w:noProof/>
          <w:szCs w:val="24"/>
        </w:rPr>
      </w:pPr>
      <w:r w:rsidRPr="00FC3C3B">
        <w:rPr>
          <w:rFonts w:eastAsia="Times New Roman"/>
          <w:noProof/>
          <w:szCs w:val="24"/>
        </w:rPr>
        <w:t xml:space="preserve">The proposal will also contribute to the EU’s resilience and open strategic autonomy by </w:t>
      </w:r>
      <w:r w:rsidR="004B44EE" w:rsidRPr="00FC3C3B">
        <w:rPr>
          <w:rFonts w:eastAsia="Times New Roman"/>
          <w:noProof/>
          <w:szCs w:val="24"/>
        </w:rPr>
        <w:t xml:space="preserve">strengthening </w:t>
      </w:r>
      <w:r w:rsidRPr="00FC3C3B">
        <w:rPr>
          <w:rFonts w:eastAsia="Times New Roman"/>
          <w:noProof/>
          <w:szCs w:val="24"/>
        </w:rPr>
        <w:t>the</w:t>
      </w:r>
      <w:r w:rsidR="009F2C9D" w:rsidRPr="00FC3C3B">
        <w:rPr>
          <w:rFonts w:eastAsia="Times New Roman"/>
          <w:noProof/>
          <w:szCs w:val="24"/>
        </w:rPr>
        <w:t xml:space="preserve"> EU’s capacity as regards</w:t>
      </w:r>
      <w:r w:rsidR="00D95CAC" w:rsidRPr="00FC3C3B">
        <w:rPr>
          <w:rFonts w:eastAsia="Times New Roman"/>
          <w:noProof/>
          <w:szCs w:val="24"/>
        </w:rPr>
        <w:t xml:space="preserve"> critical technologies, including </w:t>
      </w:r>
      <w:r w:rsidRPr="00FC3C3B">
        <w:rPr>
          <w:rFonts w:eastAsia="Times New Roman"/>
          <w:noProof/>
          <w:szCs w:val="24"/>
        </w:rPr>
        <w:t>key energy-related technologies, which is crucial for supporting the development of other sectors of the economy.</w:t>
      </w:r>
    </w:p>
    <w:p w14:paraId="7DA902C0" w14:textId="77777777" w:rsidR="002C7991" w:rsidRPr="00FC3C3B" w:rsidRDefault="00550165">
      <w:pPr>
        <w:rPr>
          <w:rFonts w:eastAsia="Times New Roman"/>
          <w:noProof/>
          <w:szCs w:val="24"/>
        </w:rPr>
      </w:pPr>
      <w:r w:rsidRPr="00FC3C3B">
        <w:rPr>
          <w:rFonts w:eastAsia="Times New Roman"/>
          <w:noProof/>
          <w:szCs w:val="24"/>
        </w:rPr>
        <w:t>It relies on existing EU policies that seek to achieve the same objective – from cohesion, through recovery investments to research and innovation financing – which seek to support European economy and channel EU funds towards the green and digital transformation.</w:t>
      </w:r>
    </w:p>
    <w:p w14:paraId="57DB734A" w14:textId="77777777" w:rsidR="002C7991" w:rsidRPr="00FC3C3B" w:rsidRDefault="00550165">
      <w:pPr>
        <w:pStyle w:val="ManualHeading1"/>
        <w:rPr>
          <w:noProof/>
        </w:rPr>
      </w:pPr>
      <w:r w:rsidRPr="00FC3C3B">
        <w:rPr>
          <w:noProof/>
        </w:rPr>
        <w:t>2.</w:t>
      </w:r>
      <w:r w:rsidRPr="00FC3C3B">
        <w:rPr>
          <w:noProof/>
        </w:rPr>
        <w:tab/>
        <w:t>LEGAL BASIS, SUBSIDIARITY AND PROPORTIONALITY</w:t>
      </w:r>
    </w:p>
    <w:p w14:paraId="18E2BB52" w14:textId="77777777" w:rsidR="002C7991" w:rsidRPr="00FC3C3B" w:rsidRDefault="00550165">
      <w:pPr>
        <w:pStyle w:val="ManualHeading2"/>
        <w:rPr>
          <w:rFonts w:eastAsia="Arial Unicode MS"/>
          <w:noProof/>
          <w:bdr w:val="nil"/>
          <w:lang w:val="en-US" w:eastAsia="en-GB"/>
        </w:rPr>
      </w:pPr>
      <w:r w:rsidRPr="00FC3C3B">
        <w:rPr>
          <w:rFonts w:eastAsia="Arial Unicode MS"/>
          <w:noProof/>
          <w:bdr w:val="nil"/>
          <w:lang w:val="en-US" w:eastAsia="en-GB"/>
        </w:rPr>
        <w:t>•</w:t>
      </w:r>
      <w:r w:rsidRPr="00FC3C3B">
        <w:rPr>
          <w:rFonts w:eastAsia="Arial Unicode MS"/>
          <w:noProof/>
          <w:u w:color="000000"/>
          <w:bdr w:val="nil"/>
          <w:lang w:val="en-US" w:eastAsia="en-GB"/>
        </w:rPr>
        <w:tab/>
      </w:r>
      <w:r w:rsidRPr="00FC3C3B">
        <w:rPr>
          <w:rFonts w:eastAsia="Arial Unicode MS"/>
          <w:noProof/>
          <w:bdr w:val="nil"/>
          <w:lang w:val="en-US" w:eastAsia="en-GB"/>
        </w:rPr>
        <w:t>Legal basis</w:t>
      </w:r>
    </w:p>
    <w:p w14:paraId="4D38FFAC" w14:textId="77777777" w:rsidR="002C7991" w:rsidRPr="00FC3C3B" w:rsidRDefault="00550165">
      <w:pPr>
        <w:pBdr>
          <w:top w:val="nil"/>
          <w:left w:val="nil"/>
          <w:bottom w:val="nil"/>
          <w:right w:val="nil"/>
          <w:between w:val="nil"/>
          <w:bar w:val="nil"/>
        </w:pBdr>
        <w:spacing w:before="0" w:after="240"/>
        <w:rPr>
          <w:rFonts w:eastAsia="Times New Roman"/>
          <w:noProof/>
          <w:szCs w:val="24"/>
        </w:rPr>
      </w:pPr>
      <w:r w:rsidRPr="00FC3C3B">
        <w:rPr>
          <w:rFonts w:eastAsia="Times New Roman"/>
          <w:noProof/>
          <w:szCs w:val="24"/>
        </w:rPr>
        <w:t xml:space="preserve">This Regulation pursues the general objective of setting up a legal framework which supports the channelling of EU funds towards </w:t>
      </w:r>
      <w:r w:rsidR="00982B83" w:rsidRPr="00FC3C3B">
        <w:rPr>
          <w:rFonts w:eastAsia="Times New Roman"/>
          <w:noProof/>
        </w:rPr>
        <w:t>STEP</w:t>
      </w:r>
      <w:r w:rsidRPr="00FC3C3B">
        <w:rPr>
          <w:rFonts w:eastAsia="Times New Roman"/>
          <w:noProof/>
        </w:rPr>
        <w:t xml:space="preserve"> projects. </w:t>
      </w:r>
      <w:r w:rsidRPr="00FC3C3B">
        <w:rPr>
          <w:rFonts w:eastAsia="Times New Roman"/>
          <w:noProof/>
          <w:szCs w:val="24"/>
        </w:rPr>
        <w:t xml:space="preserve">The </w:t>
      </w:r>
      <w:r w:rsidR="002929C2" w:rsidRPr="00FC3C3B">
        <w:rPr>
          <w:rFonts w:eastAsia="Times New Roman"/>
          <w:noProof/>
          <w:szCs w:val="24"/>
        </w:rPr>
        <w:t xml:space="preserve">objectives of the </w:t>
      </w:r>
      <w:r w:rsidR="00982B83" w:rsidRPr="00FC3C3B">
        <w:rPr>
          <w:rFonts w:eastAsia="Times New Roman"/>
          <w:noProof/>
        </w:rPr>
        <w:t>STEP</w:t>
      </w:r>
      <w:r w:rsidR="000D20FD" w:rsidRPr="00FC3C3B">
        <w:rPr>
          <w:rFonts w:eastAsia="Times New Roman"/>
          <w:noProof/>
        </w:rPr>
        <w:t xml:space="preserve"> </w:t>
      </w:r>
      <w:r w:rsidR="002929C2" w:rsidRPr="00FC3C3B">
        <w:rPr>
          <w:rFonts w:eastAsia="Times New Roman"/>
          <w:noProof/>
          <w:szCs w:val="24"/>
        </w:rPr>
        <w:t xml:space="preserve">will be achieved through </w:t>
      </w:r>
      <w:r w:rsidRPr="00FC3C3B">
        <w:rPr>
          <w:rFonts w:eastAsia="Times New Roman"/>
          <w:noProof/>
          <w:szCs w:val="24"/>
        </w:rPr>
        <w:t>the following program</w:t>
      </w:r>
      <w:r w:rsidR="00274345" w:rsidRPr="00FC3C3B">
        <w:rPr>
          <w:rFonts w:eastAsia="Times New Roman"/>
          <w:noProof/>
          <w:szCs w:val="24"/>
        </w:rPr>
        <w:t>me</w:t>
      </w:r>
      <w:r w:rsidRPr="00FC3C3B">
        <w:rPr>
          <w:rFonts w:eastAsia="Times New Roman"/>
          <w:noProof/>
          <w:szCs w:val="24"/>
        </w:rPr>
        <w:t xml:space="preserve">s: </w:t>
      </w:r>
    </w:p>
    <w:p w14:paraId="1EB53CE2" w14:textId="77777777" w:rsidR="001B5AE4" w:rsidRPr="00FC3C3B" w:rsidRDefault="008708B7" w:rsidP="009C0C3B">
      <w:pPr>
        <w:pStyle w:val="Tiret0"/>
        <w:numPr>
          <w:ilvl w:val="0"/>
          <w:numId w:val="5"/>
        </w:numPr>
        <w:rPr>
          <w:noProof/>
          <w:szCs w:val="24"/>
        </w:rPr>
      </w:pPr>
      <w:r w:rsidRPr="00FC3C3B">
        <w:rPr>
          <w:noProof/>
        </w:rPr>
        <w:t>European Regional Development Fund (ERDF)</w:t>
      </w:r>
      <w:r w:rsidR="00E33E84" w:rsidRPr="00FC3C3B">
        <w:rPr>
          <w:noProof/>
        </w:rPr>
        <w:t xml:space="preserve"> and</w:t>
      </w:r>
      <w:r w:rsidRPr="00FC3C3B">
        <w:rPr>
          <w:noProof/>
        </w:rPr>
        <w:t xml:space="preserve"> Cohesion Fund (CF)</w:t>
      </w:r>
      <w:r w:rsidR="00B16910" w:rsidRPr="00FC3C3B">
        <w:rPr>
          <w:noProof/>
        </w:rPr>
        <w:t>, established under Regulation (EU) 2021/1058</w:t>
      </w:r>
      <w:r w:rsidR="00E33E84" w:rsidRPr="00FC3C3B">
        <w:rPr>
          <w:noProof/>
        </w:rPr>
        <w:t>;</w:t>
      </w:r>
      <w:r w:rsidR="0072691D" w:rsidRPr="00FC3C3B">
        <w:rPr>
          <w:rStyle w:val="FootnoteReference"/>
          <w:rFonts w:eastAsia="Times New Roman"/>
          <w:noProof/>
        </w:rPr>
        <w:footnoteReference w:id="23"/>
      </w:r>
      <w:r w:rsidR="00E33E84" w:rsidRPr="00FC3C3B">
        <w:rPr>
          <w:noProof/>
        </w:rPr>
        <w:t xml:space="preserve"> the</w:t>
      </w:r>
      <w:r w:rsidRPr="00FC3C3B">
        <w:rPr>
          <w:noProof/>
        </w:rPr>
        <w:t xml:space="preserve"> Just Transition Fund (JTF)</w:t>
      </w:r>
      <w:r w:rsidR="00B16910" w:rsidRPr="00FC3C3B">
        <w:rPr>
          <w:noProof/>
        </w:rPr>
        <w:t>, established under Regulation (EU) 2021/1056</w:t>
      </w:r>
      <w:r w:rsidR="00E33E84" w:rsidRPr="00FC3C3B">
        <w:rPr>
          <w:noProof/>
        </w:rPr>
        <w:t>;</w:t>
      </w:r>
      <w:r w:rsidR="0072691D" w:rsidRPr="00FC3C3B">
        <w:rPr>
          <w:rStyle w:val="FootnoteReference"/>
          <w:rFonts w:eastAsia="Times New Roman"/>
          <w:noProof/>
        </w:rPr>
        <w:footnoteReference w:id="24"/>
      </w:r>
      <w:r w:rsidR="00E33E84" w:rsidRPr="00FC3C3B">
        <w:rPr>
          <w:noProof/>
        </w:rPr>
        <w:t xml:space="preserve"> </w:t>
      </w:r>
      <w:r w:rsidR="001B5AE4" w:rsidRPr="00FC3C3B">
        <w:rPr>
          <w:noProof/>
          <w:szCs w:val="24"/>
        </w:rPr>
        <w:t xml:space="preserve">the </w:t>
      </w:r>
      <w:r w:rsidR="001B5AE4" w:rsidRPr="00FC3C3B">
        <w:rPr>
          <w:noProof/>
        </w:rPr>
        <w:t>European Social Fund Plus (ESF+), established under Regulation 2021/1057;</w:t>
      </w:r>
      <w:r w:rsidR="001B5AE4" w:rsidRPr="00FC3C3B">
        <w:rPr>
          <w:rStyle w:val="FootnoteReference"/>
          <w:rFonts w:eastAsia="Times New Roman"/>
          <w:noProof/>
        </w:rPr>
        <w:footnoteReference w:id="25"/>
      </w:r>
      <w:r w:rsidR="001B5AE4" w:rsidRPr="00FC3C3B">
        <w:rPr>
          <w:noProof/>
        </w:rPr>
        <w:t xml:space="preserve"> </w:t>
      </w:r>
      <w:r w:rsidR="00E33E84" w:rsidRPr="00FC3C3B">
        <w:rPr>
          <w:noProof/>
          <w:szCs w:val="24"/>
        </w:rPr>
        <w:t>the Common Provisions Regulation (EU) 2021/1060</w:t>
      </w:r>
      <w:r w:rsidR="0007777C" w:rsidRPr="00FC3C3B">
        <w:rPr>
          <w:noProof/>
          <w:szCs w:val="24"/>
        </w:rPr>
        <w:t>.</w:t>
      </w:r>
      <w:r w:rsidR="00E33E84" w:rsidRPr="00FC3C3B">
        <w:rPr>
          <w:rStyle w:val="FootnoteReference"/>
          <w:rFonts w:eastAsia="Times New Roman"/>
          <w:noProof/>
          <w:szCs w:val="24"/>
        </w:rPr>
        <w:footnoteReference w:id="26"/>
      </w:r>
    </w:p>
    <w:p w14:paraId="29ED63F3" w14:textId="77777777" w:rsidR="001B5AE4" w:rsidRPr="00FC3C3B" w:rsidRDefault="00550165" w:rsidP="00B01838">
      <w:pPr>
        <w:pStyle w:val="Tiret0"/>
        <w:rPr>
          <w:noProof/>
        </w:rPr>
      </w:pPr>
      <w:r w:rsidRPr="00FC3C3B">
        <w:rPr>
          <w:noProof/>
        </w:rPr>
        <w:t>Recovery and Resilience Facility, established under Regulation (EU) 2021/241</w:t>
      </w:r>
      <w:r w:rsidR="005C7D98" w:rsidRPr="00FC3C3B">
        <w:rPr>
          <w:noProof/>
        </w:rPr>
        <w:t>.</w:t>
      </w:r>
      <w:r w:rsidR="00F51255" w:rsidRPr="00FC3C3B">
        <w:rPr>
          <w:rStyle w:val="FootnoteReference"/>
          <w:rFonts w:eastAsia="Times New Roman"/>
          <w:noProof/>
          <w:szCs w:val="24"/>
        </w:rPr>
        <w:footnoteReference w:id="27"/>
      </w:r>
    </w:p>
    <w:p w14:paraId="13201D73" w14:textId="77777777" w:rsidR="0089353B" w:rsidRPr="00FC3C3B" w:rsidRDefault="00550165" w:rsidP="00B01838">
      <w:pPr>
        <w:pStyle w:val="Tiret0"/>
        <w:rPr>
          <w:noProof/>
          <w:szCs w:val="24"/>
        </w:rPr>
      </w:pPr>
      <w:r w:rsidRPr="00FC3C3B">
        <w:rPr>
          <w:noProof/>
        </w:rPr>
        <w:t>InvestEU, established under Regulation (EU) 2021/523</w:t>
      </w:r>
      <w:r w:rsidR="00CA5792" w:rsidRPr="00FC3C3B">
        <w:rPr>
          <w:rStyle w:val="FootnoteReference"/>
          <w:rFonts w:eastAsia="Times New Roman"/>
          <w:noProof/>
        </w:rPr>
        <w:footnoteReference w:id="28"/>
      </w:r>
      <w:r w:rsidRPr="00FC3C3B">
        <w:rPr>
          <w:noProof/>
        </w:rPr>
        <w:t xml:space="preserve"> </w:t>
      </w:r>
    </w:p>
    <w:p w14:paraId="521672C8" w14:textId="77777777" w:rsidR="00C03EE4" w:rsidRPr="00FC3C3B" w:rsidRDefault="00550165" w:rsidP="00B01838">
      <w:pPr>
        <w:pStyle w:val="Tiret0"/>
        <w:rPr>
          <w:noProof/>
        </w:rPr>
      </w:pPr>
      <w:r w:rsidRPr="00FC3C3B">
        <w:rPr>
          <w:noProof/>
        </w:rPr>
        <w:t>Digital Europe, established under Regulation 2021/694</w:t>
      </w:r>
      <w:r w:rsidR="0069775D" w:rsidRPr="00FC3C3B">
        <w:rPr>
          <w:noProof/>
        </w:rPr>
        <w:t>;</w:t>
      </w:r>
      <w:r w:rsidR="0052010C" w:rsidRPr="00FC3C3B">
        <w:rPr>
          <w:rStyle w:val="FootnoteReference"/>
          <w:rFonts w:eastAsia="Times New Roman"/>
          <w:noProof/>
          <w:szCs w:val="24"/>
        </w:rPr>
        <w:footnoteReference w:id="29"/>
      </w:r>
      <w:r w:rsidRPr="00FC3C3B">
        <w:rPr>
          <w:noProof/>
        </w:rPr>
        <w:t xml:space="preserve"> Horizon Europe, established under Regulation 2021/695</w:t>
      </w:r>
      <w:r w:rsidR="0088314D" w:rsidRPr="00FC3C3B">
        <w:rPr>
          <w:noProof/>
        </w:rPr>
        <w:t>;</w:t>
      </w:r>
      <w:r w:rsidR="00127242" w:rsidRPr="00FC3C3B">
        <w:rPr>
          <w:rStyle w:val="FootnoteReference"/>
          <w:rFonts w:eastAsia="Times New Roman"/>
          <w:noProof/>
          <w:szCs w:val="24"/>
        </w:rPr>
        <w:footnoteReference w:id="30"/>
      </w:r>
      <w:r w:rsidRPr="00FC3C3B">
        <w:rPr>
          <w:noProof/>
        </w:rPr>
        <w:t xml:space="preserve"> </w:t>
      </w:r>
      <w:r w:rsidR="00700A18" w:rsidRPr="00FC3C3B">
        <w:rPr>
          <w:noProof/>
        </w:rPr>
        <w:t xml:space="preserve">European Defence Fund, established under Regulation (EU) </w:t>
      </w:r>
      <w:r w:rsidR="00656AC1" w:rsidRPr="00FC3C3B">
        <w:rPr>
          <w:noProof/>
        </w:rPr>
        <w:t>2021/697</w:t>
      </w:r>
      <w:r w:rsidR="00E3425D" w:rsidRPr="00FC3C3B">
        <w:rPr>
          <w:rStyle w:val="FootnoteReference"/>
          <w:noProof/>
        </w:rPr>
        <w:footnoteReference w:id="31"/>
      </w:r>
      <w:r w:rsidR="00656AC1" w:rsidRPr="00FC3C3B">
        <w:rPr>
          <w:noProof/>
        </w:rPr>
        <w:t xml:space="preserve"> </w:t>
      </w:r>
      <w:r w:rsidR="0088314D" w:rsidRPr="00FC3C3B">
        <w:rPr>
          <w:noProof/>
        </w:rPr>
        <w:t xml:space="preserve">and the </w:t>
      </w:r>
      <w:r w:rsidR="001B5AE4" w:rsidRPr="00FC3C3B">
        <w:rPr>
          <w:noProof/>
        </w:rPr>
        <w:t>Innovation Fund, established under Directive 2003/87/EC</w:t>
      </w:r>
      <w:r w:rsidR="0007777C" w:rsidRPr="00FC3C3B">
        <w:rPr>
          <w:noProof/>
        </w:rPr>
        <w:t>.</w:t>
      </w:r>
      <w:r w:rsidR="001B5AE4" w:rsidRPr="00FC3C3B">
        <w:rPr>
          <w:rStyle w:val="FootnoteReference"/>
          <w:rFonts w:eastAsia="Times New Roman"/>
          <w:noProof/>
          <w:szCs w:val="24"/>
        </w:rPr>
        <w:footnoteReference w:id="32"/>
      </w:r>
      <w:r w:rsidR="001B5AE4" w:rsidRPr="00FC3C3B">
        <w:rPr>
          <w:noProof/>
        </w:rPr>
        <w:t xml:space="preserve"> </w:t>
      </w:r>
    </w:p>
    <w:p w14:paraId="423E50BA" w14:textId="77777777" w:rsidR="004B356B" w:rsidRPr="00FC3C3B" w:rsidRDefault="00C03EE4" w:rsidP="00B01838">
      <w:pPr>
        <w:pStyle w:val="Tiret0"/>
        <w:rPr>
          <w:noProof/>
        </w:rPr>
      </w:pPr>
      <w:r w:rsidRPr="00FC3C3B">
        <w:rPr>
          <w:noProof/>
          <w:lang w:val="en-IE"/>
        </w:rPr>
        <w:t xml:space="preserve">The </w:t>
      </w:r>
      <w:r w:rsidR="004A0F90" w:rsidRPr="00FC3C3B">
        <w:rPr>
          <w:noProof/>
        </w:rPr>
        <w:t>STEP</w:t>
      </w:r>
      <w:r w:rsidR="000D20FD" w:rsidRPr="00FC3C3B">
        <w:rPr>
          <w:noProof/>
        </w:rPr>
        <w:t xml:space="preserve"> </w:t>
      </w:r>
      <w:r w:rsidRPr="00FC3C3B">
        <w:rPr>
          <w:noProof/>
          <w:lang w:val="en-IE"/>
        </w:rPr>
        <w:t>will also be implemented within the EU4Health programme, established under Regulation (EU) 2021/522</w:t>
      </w:r>
      <w:r w:rsidRPr="00FC3C3B">
        <w:rPr>
          <w:rStyle w:val="FootnoteReference"/>
          <w:rFonts w:eastAsia="Times New Roman"/>
          <w:noProof/>
          <w:szCs w:val="24"/>
          <w:lang w:val="en-IE"/>
        </w:rPr>
        <w:footnoteReference w:id="33"/>
      </w:r>
      <w:r w:rsidRPr="00FC3C3B">
        <w:rPr>
          <w:noProof/>
          <w:lang w:val="en-IE"/>
        </w:rPr>
        <w:t>, concerning the objective to reinforce the development of biotechnologies in the Union.</w:t>
      </w:r>
    </w:p>
    <w:p w14:paraId="6BABC2E3" w14:textId="77777777" w:rsidR="005369D7" w:rsidRPr="00FC3C3B" w:rsidRDefault="00550165" w:rsidP="001E4878">
      <w:pPr>
        <w:pBdr>
          <w:top w:val="nil"/>
          <w:left w:val="nil"/>
          <w:bottom w:val="nil"/>
          <w:right w:val="nil"/>
          <w:between w:val="nil"/>
          <w:bar w:val="nil"/>
        </w:pBdr>
        <w:spacing w:before="0" w:after="0"/>
        <w:contextualSpacing/>
        <w:rPr>
          <w:rFonts w:eastAsia="Times New Roman"/>
          <w:noProof/>
          <w:szCs w:val="24"/>
          <w:lang w:val="en-IE"/>
        </w:rPr>
      </w:pPr>
      <w:r w:rsidRPr="00FC3C3B">
        <w:rPr>
          <w:rFonts w:eastAsia="Times New Roman"/>
          <w:noProof/>
          <w:szCs w:val="24"/>
          <w:lang w:val="en-IE"/>
        </w:rPr>
        <w:t xml:space="preserve">Therefore, </w:t>
      </w:r>
      <w:r w:rsidR="003F51F6" w:rsidRPr="00FC3C3B">
        <w:rPr>
          <w:rFonts w:eastAsia="Times New Roman"/>
          <w:noProof/>
          <w:szCs w:val="24"/>
          <w:lang w:val="en-IE"/>
        </w:rPr>
        <w:t>considering</w:t>
      </w:r>
      <w:r w:rsidRPr="00FC3C3B">
        <w:rPr>
          <w:rFonts w:eastAsia="Times New Roman"/>
          <w:noProof/>
          <w:szCs w:val="24"/>
          <w:lang w:val="en-IE"/>
        </w:rPr>
        <w:t xml:space="preserve"> the above, Article 164, Article 173, Article 175(3), Article 176, Article 177, Article 178, Article 182(1) and Article 192(1) are the </w:t>
      </w:r>
      <w:r w:rsidR="006C2A5B" w:rsidRPr="00FC3C3B">
        <w:rPr>
          <w:rFonts w:eastAsia="Times New Roman"/>
          <w:noProof/>
          <w:szCs w:val="24"/>
          <w:lang w:val="en-IE"/>
        </w:rPr>
        <w:t xml:space="preserve">relevant </w:t>
      </w:r>
      <w:r w:rsidRPr="00FC3C3B">
        <w:rPr>
          <w:rFonts w:eastAsia="Times New Roman"/>
          <w:noProof/>
          <w:szCs w:val="24"/>
          <w:lang w:val="en-IE"/>
        </w:rPr>
        <w:t>legal bases for the implementation of this Regulation.</w:t>
      </w:r>
    </w:p>
    <w:p w14:paraId="37607E12" w14:textId="77777777" w:rsidR="005369D7" w:rsidRPr="00FC3C3B" w:rsidRDefault="005369D7" w:rsidP="001E4878">
      <w:pPr>
        <w:pBdr>
          <w:top w:val="nil"/>
          <w:left w:val="nil"/>
          <w:bottom w:val="nil"/>
          <w:right w:val="nil"/>
          <w:between w:val="nil"/>
          <w:bar w:val="nil"/>
        </w:pBdr>
        <w:spacing w:before="0" w:after="0"/>
        <w:contextualSpacing/>
        <w:rPr>
          <w:rFonts w:eastAsia="Times New Roman"/>
          <w:noProof/>
          <w:szCs w:val="24"/>
          <w:lang w:val="en-IE"/>
        </w:rPr>
      </w:pPr>
    </w:p>
    <w:p w14:paraId="0BD138E8" w14:textId="77777777" w:rsidR="002C7991" w:rsidRPr="00FC3C3B" w:rsidRDefault="00550165" w:rsidP="001E4878">
      <w:pPr>
        <w:pStyle w:val="ManualHeading2"/>
        <w:spacing w:before="0"/>
        <w:contextualSpacing/>
        <w:rPr>
          <w:rFonts w:eastAsia="Arial Unicode MS"/>
          <w:noProof/>
          <w:bdr w:val="nil"/>
          <w:lang w:val="en-US" w:eastAsia="en-GB"/>
        </w:rPr>
      </w:pPr>
      <w:r w:rsidRPr="00FC3C3B">
        <w:rPr>
          <w:rFonts w:eastAsia="Times New Roman"/>
          <w:noProof/>
          <w:szCs w:val="24"/>
          <w:lang w:val="en-IE"/>
        </w:rPr>
        <w:t xml:space="preserve"> </w:t>
      </w:r>
      <w:r w:rsidRPr="00FC3C3B">
        <w:rPr>
          <w:rFonts w:eastAsia="Arial Unicode MS"/>
          <w:noProof/>
          <w:bdr w:val="nil"/>
          <w:lang w:val="en-US" w:eastAsia="en-GB"/>
        </w:rPr>
        <w:t>•</w:t>
      </w:r>
      <w:r w:rsidRPr="00FC3C3B">
        <w:rPr>
          <w:rFonts w:eastAsia="Arial Unicode MS"/>
          <w:noProof/>
          <w:u w:color="000000"/>
          <w:bdr w:val="nil"/>
          <w:lang w:val="en-US" w:eastAsia="en-GB"/>
        </w:rPr>
        <w:tab/>
        <w:t>Subsidiarity (for non-exclusive competence)</w:t>
      </w:r>
      <w:r w:rsidRPr="00FC3C3B">
        <w:rPr>
          <w:rFonts w:eastAsia="Arial Unicode MS"/>
          <w:noProof/>
          <w:bdr w:val="nil"/>
          <w:lang w:val="en-US" w:eastAsia="en-GB"/>
        </w:rPr>
        <w:t xml:space="preserve"> </w:t>
      </w:r>
    </w:p>
    <w:p w14:paraId="7480D0E1" w14:textId="77777777" w:rsidR="002C7991" w:rsidRPr="00FC3C3B" w:rsidRDefault="00550165">
      <w:pPr>
        <w:pBdr>
          <w:top w:val="nil"/>
          <w:left w:val="nil"/>
          <w:bottom w:val="nil"/>
          <w:right w:val="nil"/>
          <w:between w:val="nil"/>
          <w:bar w:val="nil"/>
        </w:pBdr>
        <w:spacing w:before="0" w:after="240"/>
        <w:rPr>
          <w:rFonts w:eastAsia="Times New Roman"/>
          <w:noProof/>
          <w:szCs w:val="24"/>
        </w:rPr>
      </w:pPr>
      <w:r w:rsidRPr="00FC3C3B">
        <w:rPr>
          <w:rFonts w:eastAsia="Times New Roman"/>
          <w:noProof/>
          <w:szCs w:val="24"/>
        </w:rPr>
        <w:t>The objectives of the proposal cannot be achieved by Member States acting alone, as the problems are of a cross-border nature, and not limited to single Member States or to a subset of Member States. The proposed actions focus on areas where there is a demonstrable value added in acting at Union level due to the scale, speed and scope of the efforts needed</w:t>
      </w:r>
      <w:r w:rsidR="00A4236C" w:rsidRPr="00FC3C3B">
        <w:rPr>
          <w:rFonts w:eastAsia="Times New Roman"/>
          <w:noProof/>
          <w:szCs w:val="24"/>
        </w:rPr>
        <w:t xml:space="preserve"> within the Single Market</w:t>
      </w:r>
      <w:r w:rsidRPr="00FC3C3B">
        <w:rPr>
          <w:rFonts w:eastAsia="Times New Roman"/>
          <w:noProof/>
          <w:szCs w:val="24"/>
        </w:rPr>
        <w:t xml:space="preserve">. </w:t>
      </w:r>
    </w:p>
    <w:p w14:paraId="0CDA3536" w14:textId="77777777" w:rsidR="002C7991" w:rsidRPr="00FC3C3B" w:rsidRDefault="00550165">
      <w:pPr>
        <w:rPr>
          <w:rFonts w:eastAsia="Times New Roman"/>
          <w:noProof/>
          <w:szCs w:val="24"/>
        </w:rPr>
      </w:pPr>
      <w:r w:rsidRPr="00FC3C3B">
        <w:rPr>
          <w:rFonts w:eastAsia="Times New Roman"/>
          <w:noProof/>
          <w:szCs w:val="24"/>
        </w:rPr>
        <w:t>Given the challenges for accelerating the deployment of net-zero and digital technologies, intervention at the level of the Union helps coordinate responses to address the Union’s needs for additional manufacturing capacities and to prevent structural dependencies. Action at Union level can clearly drive European actors towards a common vision and implementation strategy. This is key to generate economies of scale and of scope and to generate critical mass necessary for scaling up green and digital technologies manufacturing in the EU, while limiting fragmentation of efforts</w:t>
      </w:r>
      <w:r w:rsidR="00521AE7" w:rsidRPr="00FC3C3B">
        <w:rPr>
          <w:rFonts w:eastAsia="Times New Roman"/>
          <w:noProof/>
          <w:szCs w:val="24"/>
        </w:rPr>
        <w:t>, deepening of regional imbalances</w:t>
      </w:r>
      <w:r w:rsidRPr="00FC3C3B">
        <w:rPr>
          <w:rFonts w:eastAsia="Times New Roman"/>
          <w:noProof/>
          <w:szCs w:val="24"/>
        </w:rPr>
        <w:t xml:space="preserve"> and self-harming subsidy races between </w:t>
      </w:r>
      <w:r w:rsidR="00A2774D" w:rsidRPr="00FC3C3B">
        <w:rPr>
          <w:rFonts w:eastAsia="Times New Roman"/>
          <w:noProof/>
          <w:szCs w:val="24"/>
        </w:rPr>
        <w:t xml:space="preserve">the </w:t>
      </w:r>
      <w:r w:rsidRPr="00FC3C3B">
        <w:rPr>
          <w:rFonts w:eastAsia="Times New Roman"/>
          <w:noProof/>
          <w:szCs w:val="24"/>
        </w:rPr>
        <w:t xml:space="preserve">Member States. </w:t>
      </w:r>
    </w:p>
    <w:p w14:paraId="2A381AA1" w14:textId="77777777" w:rsidR="002C7991" w:rsidRPr="00FC3C3B" w:rsidRDefault="00550165">
      <w:pPr>
        <w:pStyle w:val="ManualHeading2"/>
        <w:rPr>
          <w:rFonts w:eastAsia="Arial Unicode MS"/>
          <w:noProof/>
          <w:bdr w:val="nil"/>
          <w:lang w:val="en-US" w:eastAsia="en-GB"/>
        </w:rPr>
      </w:pPr>
      <w:r w:rsidRPr="00FC3C3B">
        <w:rPr>
          <w:rFonts w:eastAsia="Arial Unicode MS"/>
          <w:noProof/>
          <w:bdr w:val="nil"/>
          <w:lang w:val="en-US" w:eastAsia="en-GB"/>
        </w:rPr>
        <w:t>•</w:t>
      </w:r>
      <w:r w:rsidRPr="00FC3C3B">
        <w:rPr>
          <w:rFonts w:eastAsia="Arial Unicode MS"/>
          <w:noProof/>
          <w:u w:color="000000"/>
          <w:bdr w:val="nil"/>
          <w:lang w:val="en-US" w:eastAsia="en-GB"/>
        </w:rPr>
        <w:tab/>
      </w:r>
      <w:r w:rsidRPr="00FC3C3B">
        <w:rPr>
          <w:rFonts w:eastAsia="Arial Unicode MS"/>
          <w:noProof/>
          <w:bdr w:val="nil"/>
          <w:lang w:val="en-US" w:eastAsia="en-GB"/>
        </w:rPr>
        <w:t>Proportionality</w:t>
      </w:r>
    </w:p>
    <w:p w14:paraId="45626D4D" w14:textId="77777777" w:rsidR="002C7991" w:rsidRPr="00FC3C3B" w:rsidRDefault="00550165">
      <w:pPr>
        <w:rPr>
          <w:noProof/>
        </w:rPr>
      </w:pPr>
      <w:r w:rsidRPr="00FC3C3B">
        <w:rPr>
          <w:rFonts w:eastAsia="Times New Roman"/>
          <w:noProof/>
          <w:szCs w:val="24"/>
        </w:rPr>
        <w:t xml:space="preserve">The proposal is designed to </w:t>
      </w:r>
      <w:r w:rsidR="00FC1F6F" w:rsidRPr="00FC3C3B">
        <w:rPr>
          <w:rFonts w:eastAsia="Times New Roman"/>
          <w:noProof/>
          <w:szCs w:val="24"/>
        </w:rPr>
        <w:t>help</w:t>
      </w:r>
      <w:r w:rsidRPr="00FC3C3B">
        <w:rPr>
          <w:rFonts w:eastAsia="Times New Roman"/>
          <w:noProof/>
          <w:szCs w:val="24"/>
        </w:rPr>
        <w:t xml:space="preserve"> developing a manufacturing ecosystem via measures to facilitate investments. The objective is to </w:t>
      </w:r>
      <w:r w:rsidR="001642EC" w:rsidRPr="00FC3C3B">
        <w:rPr>
          <w:rFonts w:eastAsia="Times New Roman"/>
          <w:noProof/>
          <w:szCs w:val="24"/>
        </w:rPr>
        <w:t xml:space="preserve">support </w:t>
      </w:r>
      <w:r w:rsidRPr="00FC3C3B">
        <w:rPr>
          <w:rFonts w:eastAsia="Times New Roman"/>
          <w:noProof/>
          <w:szCs w:val="24"/>
        </w:rPr>
        <w:t>the longer-term competitiveness and innovation capacity of European industry via manufacturing capabilities, de-risking of investments into strategic projects, as well as by start-ups, scale-ups and SMEs.</w:t>
      </w:r>
    </w:p>
    <w:p w14:paraId="6C080281" w14:textId="77777777" w:rsidR="002C7991" w:rsidRPr="00FC3C3B" w:rsidRDefault="00550165">
      <w:pPr>
        <w:pBdr>
          <w:top w:val="nil"/>
          <w:left w:val="nil"/>
          <w:bottom w:val="nil"/>
          <w:right w:val="nil"/>
          <w:between w:val="nil"/>
          <w:bar w:val="nil"/>
        </w:pBdr>
        <w:spacing w:before="0" w:after="240"/>
        <w:rPr>
          <w:rFonts w:eastAsia="Times New Roman"/>
          <w:noProof/>
          <w:szCs w:val="24"/>
        </w:rPr>
      </w:pPr>
      <w:r w:rsidRPr="00FC3C3B">
        <w:rPr>
          <w:rFonts w:eastAsia="Times New Roman"/>
          <w:noProof/>
          <w:szCs w:val="24"/>
        </w:rPr>
        <w:t xml:space="preserve">The measures do not go beyond what is necessary to achieve these goals. The </w:t>
      </w:r>
      <w:r w:rsidR="00982B83" w:rsidRPr="00FC3C3B">
        <w:rPr>
          <w:rFonts w:eastAsia="Times New Roman"/>
          <w:noProof/>
        </w:rPr>
        <w:t>STEP</w:t>
      </w:r>
      <w:r w:rsidR="005A5E34" w:rsidRPr="00FC3C3B">
        <w:rPr>
          <w:rFonts w:eastAsia="Times New Roman"/>
          <w:noProof/>
        </w:rPr>
        <w:t xml:space="preserve"> </w:t>
      </w:r>
      <w:r w:rsidRPr="00FC3C3B">
        <w:rPr>
          <w:rFonts w:eastAsia="Times New Roman"/>
          <w:noProof/>
          <w:szCs w:val="24"/>
        </w:rPr>
        <w:t xml:space="preserve">does not consist of a new fund structure but relies on existing EU funding instruments and the proposed additional resources are proportionate to the need to accelerate </w:t>
      </w:r>
      <w:r w:rsidR="003473E8" w:rsidRPr="00FC3C3B">
        <w:rPr>
          <w:rFonts w:eastAsia="Times New Roman"/>
          <w:noProof/>
          <w:szCs w:val="24"/>
        </w:rPr>
        <w:t xml:space="preserve">Platform </w:t>
      </w:r>
      <w:r w:rsidRPr="00FC3C3B">
        <w:rPr>
          <w:rFonts w:eastAsia="Times New Roman"/>
          <w:noProof/>
          <w:szCs w:val="24"/>
        </w:rPr>
        <w:t>investments in the short term.</w:t>
      </w:r>
    </w:p>
    <w:p w14:paraId="0A54FF69" w14:textId="77777777" w:rsidR="002C7991" w:rsidRPr="00FC3C3B" w:rsidRDefault="00550165">
      <w:pPr>
        <w:pStyle w:val="ManualHeading2"/>
        <w:rPr>
          <w:rFonts w:eastAsia="Arial Unicode MS"/>
          <w:noProof/>
          <w:bdr w:val="nil"/>
          <w:lang w:val="en-US" w:eastAsia="en-GB"/>
        </w:rPr>
      </w:pPr>
      <w:r w:rsidRPr="00FC3C3B">
        <w:rPr>
          <w:rFonts w:eastAsia="Arial Unicode MS"/>
          <w:noProof/>
          <w:bdr w:val="nil"/>
          <w:lang w:val="en-US" w:eastAsia="en-GB"/>
        </w:rPr>
        <w:t>•</w:t>
      </w:r>
      <w:r w:rsidRPr="00FC3C3B">
        <w:rPr>
          <w:rFonts w:eastAsia="Arial Unicode MS"/>
          <w:noProof/>
          <w:u w:color="000000"/>
          <w:bdr w:val="nil"/>
          <w:lang w:val="en-US" w:eastAsia="en-GB"/>
        </w:rPr>
        <w:tab/>
      </w:r>
      <w:r w:rsidRPr="00FC3C3B">
        <w:rPr>
          <w:rFonts w:eastAsia="Arial Unicode MS"/>
          <w:noProof/>
          <w:bdr w:val="nil"/>
          <w:lang w:val="en-US" w:eastAsia="en-GB"/>
        </w:rPr>
        <w:t>Choice of the instrument</w:t>
      </w:r>
    </w:p>
    <w:p w14:paraId="79D70C06" w14:textId="77777777" w:rsidR="002C7991" w:rsidRPr="00FC3C3B" w:rsidRDefault="00550165">
      <w:pPr>
        <w:pBdr>
          <w:top w:val="nil"/>
          <w:left w:val="nil"/>
          <w:bottom w:val="nil"/>
          <w:right w:val="nil"/>
          <w:between w:val="nil"/>
          <w:bar w:val="nil"/>
        </w:pBdr>
        <w:spacing w:before="0" w:after="240"/>
        <w:rPr>
          <w:noProof/>
        </w:rPr>
      </w:pPr>
      <w:r w:rsidRPr="00FC3C3B">
        <w:rPr>
          <w:rFonts w:eastAsia="Times New Roman"/>
          <w:noProof/>
          <w:szCs w:val="24"/>
        </w:rPr>
        <w:t xml:space="preserve"> A Regulation is the appropriate instrument as it provides directly applicable rules for the support.</w:t>
      </w:r>
    </w:p>
    <w:p w14:paraId="49F53AD0" w14:textId="77777777" w:rsidR="002C7991" w:rsidRPr="00FC3C3B" w:rsidRDefault="00550165">
      <w:pPr>
        <w:pStyle w:val="ManualHeading1"/>
        <w:rPr>
          <w:noProof/>
        </w:rPr>
      </w:pPr>
      <w:r w:rsidRPr="00FC3C3B">
        <w:rPr>
          <w:noProof/>
        </w:rPr>
        <w:t>3.</w:t>
      </w:r>
      <w:r w:rsidRPr="00FC3C3B">
        <w:rPr>
          <w:noProof/>
        </w:rPr>
        <w:tab/>
        <w:t>RESULTS OF EX-POST EVALUATIONS, STAKEHOLDER CONSULTATIONS AND IMPACT ASSESSMENTS</w:t>
      </w:r>
    </w:p>
    <w:p w14:paraId="5FDE287C" w14:textId="77777777" w:rsidR="002C7991" w:rsidRPr="00FC3C3B" w:rsidRDefault="00550165">
      <w:pPr>
        <w:pStyle w:val="ManualHeading2"/>
        <w:rPr>
          <w:rFonts w:eastAsia="Arial Unicode MS"/>
          <w:noProof/>
          <w:bdr w:val="nil"/>
          <w:lang w:val="en-US" w:eastAsia="en-GB"/>
        </w:rPr>
      </w:pPr>
      <w:r w:rsidRPr="00FC3C3B">
        <w:rPr>
          <w:rFonts w:eastAsia="Arial Unicode MS"/>
          <w:noProof/>
          <w:bdr w:val="nil"/>
          <w:lang w:val="en-US" w:eastAsia="en-GB"/>
        </w:rPr>
        <w:t>•</w:t>
      </w:r>
      <w:r w:rsidRPr="00FC3C3B">
        <w:rPr>
          <w:rFonts w:eastAsia="Arial Unicode MS"/>
          <w:noProof/>
          <w:u w:color="000000"/>
          <w:bdr w:val="nil"/>
          <w:lang w:val="en-US" w:eastAsia="en-GB"/>
        </w:rPr>
        <w:tab/>
      </w:r>
      <w:r w:rsidRPr="00FC3C3B">
        <w:rPr>
          <w:rFonts w:eastAsia="Arial Unicode MS"/>
          <w:noProof/>
          <w:bdr w:val="nil"/>
          <w:lang w:val="en-US" w:eastAsia="en-GB"/>
        </w:rPr>
        <w:t>Stakeholder consultations</w:t>
      </w:r>
    </w:p>
    <w:p w14:paraId="68C3FE9A" w14:textId="77777777" w:rsidR="002C7991" w:rsidRPr="00FC3C3B" w:rsidRDefault="00CB6C58">
      <w:pPr>
        <w:pBdr>
          <w:top w:val="nil"/>
          <w:left w:val="nil"/>
          <w:bottom w:val="nil"/>
          <w:right w:val="nil"/>
          <w:between w:val="nil"/>
          <w:bar w:val="nil"/>
        </w:pBdr>
        <w:spacing w:before="0" w:after="240"/>
        <w:rPr>
          <w:rFonts w:eastAsia="Times New Roman"/>
          <w:noProof/>
          <w:szCs w:val="24"/>
        </w:rPr>
      </w:pPr>
      <w:r w:rsidRPr="00FC3C3B">
        <w:rPr>
          <w:rFonts w:eastAsia="Times New Roman"/>
          <w:noProof/>
          <w:szCs w:val="24"/>
        </w:rPr>
        <w:t>N</w:t>
      </w:r>
      <w:r w:rsidR="00550165" w:rsidRPr="00FC3C3B">
        <w:rPr>
          <w:rFonts w:eastAsia="Times New Roman"/>
          <w:noProof/>
          <w:szCs w:val="24"/>
        </w:rPr>
        <w:t xml:space="preserve">o stakeholder consultation was carried out specifically. This initiative takes into account stakeholder consultations conducted for the preparation of other related initiatives, such as the Critical Raw Materials Act, the </w:t>
      </w:r>
      <w:r w:rsidR="00E00F11" w:rsidRPr="00FC3C3B">
        <w:rPr>
          <w:rFonts w:eastAsia="Times New Roman"/>
          <w:noProof/>
          <w:szCs w:val="24"/>
        </w:rPr>
        <w:t xml:space="preserve">Net-Zero Industry Act, </w:t>
      </w:r>
      <w:r w:rsidR="00550165" w:rsidRPr="00FC3C3B">
        <w:rPr>
          <w:rFonts w:eastAsia="Times New Roman"/>
          <w:noProof/>
          <w:szCs w:val="24"/>
        </w:rPr>
        <w:t xml:space="preserve">the European Innovation Agenda, the </w:t>
      </w:r>
      <w:r w:rsidR="00F87653" w:rsidRPr="00FC3C3B">
        <w:rPr>
          <w:rFonts w:eastAsia="Times New Roman"/>
          <w:noProof/>
          <w:szCs w:val="24"/>
        </w:rPr>
        <w:t>Fit for 55 package</w:t>
      </w:r>
      <w:r w:rsidR="00550165" w:rsidRPr="00FC3C3B">
        <w:rPr>
          <w:rFonts w:eastAsia="Times New Roman"/>
          <w:noProof/>
          <w:szCs w:val="24"/>
        </w:rPr>
        <w:t xml:space="preserve">, the European Chips Act, and the Digital Decade Compass. Moreover, the European Commission has long-standing and regular contacts with industry stakeholders, Member States and trade associations, which enabled the collection of feedback relevant to the proposal. </w:t>
      </w:r>
    </w:p>
    <w:p w14:paraId="420B46D1" w14:textId="77777777" w:rsidR="002C7991" w:rsidRPr="00FC3C3B" w:rsidRDefault="00550165">
      <w:pPr>
        <w:pStyle w:val="ManualHeading2"/>
        <w:rPr>
          <w:rFonts w:eastAsia="Arial Unicode MS"/>
          <w:noProof/>
          <w:bdr w:val="nil"/>
          <w:lang w:val="en-US" w:eastAsia="en-GB"/>
        </w:rPr>
      </w:pPr>
      <w:r w:rsidRPr="00FC3C3B">
        <w:rPr>
          <w:rFonts w:eastAsia="Arial Unicode MS"/>
          <w:noProof/>
          <w:bdr w:val="nil"/>
          <w:lang w:val="en-US" w:eastAsia="en-GB"/>
        </w:rPr>
        <w:t>•</w:t>
      </w:r>
      <w:r w:rsidRPr="00FC3C3B">
        <w:rPr>
          <w:rFonts w:eastAsia="Arial Unicode MS"/>
          <w:noProof/>
          <w:u w:color="000000"/>
          <w:bdr w:val="nil"/>
          <w:lang w:val="en-US" w:eastAsia="en-GB"/>
        </w:rPr>
        <w:tab/>
      </w:r>
      <w:r w:rsidRPr="00FC3C3B">
        <w:rPr>
          <w:rFonts w:eastAsia="Arial Unicode MS"/>
          <w:noProof/>
          <w:bdr w:val="nil"/>
          <w:lang w:val="en-US" w:eastAsia="en-GB"/>
        </w:rPr>
        <w:t>Impact assessment</w:t>
      </w:r>
    </w:p>
    <w:p w14:paraId="45A896D8" w14:textId="77777777" w:rsidR="00E65152" w:rsidRPr="00FC3C3B" w:rsidRDefault="00521EF3">
      <w:pPr>
        <w:pBdr>
          <w:top w:val="nil"/>
          <w:left w:val="nil"/>
          <w:bottom w:val="nil"/>
          <w:right w:val="nil"/>
          <w:between w:val="nil"/>
          <w:bar w:val="nil"/>
        </w:pBdr>
        <w:spacing w:before="0" w:after="240"/>
        <w:rPr>
          <w:noProof/>
        </w:rPr>
      </w:pPr>
      <w:r w:rsidRPr="00FC3C3B">
        <w:rPr>
          <w:noProof/>
        </w:rPr>
        <w:t xml:space="preserve">This proposal does not create a new instrument but is implemented through existing tools under the EU budget, which are amended to be able to better mobilise investment resources into </w:t>
      </w:r>
      <w:r w:rsidR="00C36949" w:rsidRPr="00FC3C3B">
        <w:rPr>
          <w:noProof/>
        </w:rPr>
        <w:t xml:space="preserve">critical </w:t>
      </w:r>
      <w:r w:rsidRPr="00FC3C3B">
        <w:rPr>
          <w:noProof/>
        </w:rPr>
        <w:t xml:space="preserve">technologies. </w:t>
      </w:r>
      <w:r w:rsidR="00201B5E" w:rsidRPr="00FC3C3B">
        <w:rPr>
          <w:noProof/>
        </w:rPr>
        <w:t xml:space="preserve">Those existing tools, such as </w:t>
      </w:r>
      <w:r w:rsidR="00566789" w:rsidRPr="00FC3C3B">
        <w:rPr>
          <w:noProof/>
        </w:rPr>
        <w:t>cohesion funds</w:t>
      </w:r>
      <w:r w:rsidR="00056E9F" w:rsidRPr="00FC3C3B">
        <w:rPr>
          <w:noProof/>
        </w:rPr>
        <w:t xml:space="preserve">, </w:t>
      </w:r>
      <w:r w:rsidR="00566789" w:rsidRPr="00FC3C3B">
        <w:rPr>
          <w:noProof/>
        </w:rPr>
        <w:t>InvestEU and Horizon Europe, have been subject to an impact assessment</w:t>
      </w:r>
      <w:r w:rsidR="00942E65" w:rsidRPr="00FC3C3B">
        <w:rPr>
          <w:noProof/>
        </w:rPr>
        <w:t>.</w:t>
      </w:r>
      <w:r w:rsidR="00942E65" w:rsidRPr="00FC3C3B">
        <w:rPr>
          <w:rStyle w:val="FootnoteReference"/>
          <w:noProof/>
        </w:rPr>
        <w:footnoteReference w:id="34"/>
      </w:r>
      <w:r w:rsidRPr="00FC3C3B">
        <w:rPr>
          <w:noProof/>
        </w:rPr>
        <w:t xml:space="preserve"> Moreover, t</w:t>
      </w:r>
      <w:r w:rsidR="008C2C44" w:rsidRPr="00FC3C3B">
        <w:rPr>
          <w:rFonts w:eastAsia="Times New Roman"/>
          <w:noProof/>
        </w:rPr>
        <w:t>he proposal builds on existing proposals which have been subject to impact analysis, such as the</w:t>
      </w:r>
      <w:r w:rsidR="002E4238" w:rsidRPr="00FC3C3B">
        <w:rPr>
          <w:noProof/>
        </w:rPr>
        <w:t xml:space="preserve"> Critical Raw Materials Act, the European Innovation Agenda, the </w:t>
      </w:r>
      <w:r w:rsidR="00F2174F" w:rsidRPr="00FC3C3B">
        <w:rPr>
          <w:noProof/>
        </w:rPr>
        <w:t xml:space="preserve">Fitfor55 package, </w:t>
      </w:r>
      <w:r w:rsidR="002E4238" w:rsidRPr="00FC3C3B">
        <w:rPr>
          <w:noProof/>
        </w:rPr>
        <w:t>the European Chips Act, and the Digital Decade Compass</w:t>
      </w:r>
      <w:r w:rsidR="0016160D" w:rsidRPr="00FC3C3B">
        <w:rPr>
          <w:noProof/>
        </w:rPr>
        <w:t xml:space="preserve"> as well as the investment needs assessment published on 23 March 2023</w:t>
      </w:r>
      <w:r w:rsidR="002024A0" w:rsidRPr="00FC3C3B">
        <w:rPr>
          <w:noProof/>
        </w:rPr>
        <w:t>.</w:t>
      </w:r>
      <w:r w:rsidR="002E4238" w:rsidRPr="00FC3C3B">
        <w:rPr>
          <w:noProof/>
        </w:rPr>
        <w:t xml:space="preserve"> This analysis, carried out in impact assessments or analytical staff working documents,</w:t>
      </w:r>
      <w:r w:rsidR="001F1CB4" w:rsidRPr="00FC3C3B">
        <w:rPr>
          <w:rStyle w:val="FootnoteReference"/>
          <w:noProof/>
        </w:rPr>
        <w:footnoteReference w:id="35"/>
      </w:r>
      <w:r w:rsidR="002E4238" w:rsidRPr="00FC3C3B">
        <w:rPr>
          <w:noProof/>
        </w:rPr>
        <w:t xml:space="preserve"> covers the most significant impacts of this proposal. For </w:t>
      </w:r>
      <w:r w:rsidR="00A86CDB" w:rsidRPr="00FC3C3B">
        <w:rPr>
          <w:noProof/>
        </w:rPr>
        <w:t>those</w:t>
      </w:r>
      <w:r w:rsidR="002E4238" w:rsidRPr="00FC3C3B">
        <w:rPr>
          <w:noProof/>
        </w:rPr>
        <w:t xml:space="preserve"> reason, another impact assessment is not needed</w:t>
      </w:r>
      <w:r w:rsidR="00324697" w:rsidRPr="00FC3C3B">
        <w:rPr>
          <w:noProof/>
        </w:rPr>
        <w:t xml:space="preserve">. </w:t>
      </w:r>
      <w:r w:rsidR="006130E2" w:rsidRPr="00FC3C3B">
        <w:rPr>
          <w:noProof/>
        </w:rPr>
        <w:t xml:space="preserve">The explanatory memorandum </w:t>
      </w:r>
      <w:r w:rsidR="00504E5C" w:rsidRPr="00FC3C3B">
        <w:rPr>
          <w:noProof/>
        </w:rPr>
        <w:t>also</w:t>
      </w:r>
      <w:r w:rsidR="006130E2" w:rsidRPr="00FC3C3B">
        <w:rPr>
          <w:noProof/>
        </w:rPr>
        <w:t xml:space="preserve"> reflects the </w:t>
      </w:r>
      <w:r w:rsidR="006130E2" w:rsidRPr="00FC3C3B">
        <w:rPr>
          <w:i/>
          <w:iCs/>
          <w:noProof/>
        </w:rPr>
        <w:t>ex-ante</w:t>
      </w:r>
      <w:r w:rsidR="006130E2" w:rsidRPr="00FC3C3B">
        <w:rPr>
          <w:noProof/>
        </w:rPr>
        <w:t xml:space="preserve"> </w:t>
      </w:r>
      <w:r w:rsidR="008D4BB5" w:rsidRPr="00FC3C3B">
        <w:rPr>
          <w:noProof/>
        </w:rPr>
        <w:t>assessment</w:t>
      </w:r>
      <w:r w:rsidR="006130E2" w:rsidRPr="00FC3C3B">
        <w:rPr>
          <w:noProof/>
        </w:rPr>
        <w:t xml:space="preserve"> carried out by the Commission </w:t>
      </w:r>
      <w:r w:rsidR="001F3810" w:rsidRPr="00FC3C3B">
        <w:rPr>
          <w:noProof/>
        </w:rPr>
        <w:t xml:space="preserve">in relation to the equity-only support </w:t>
      </w:r>
      <w:r w:rsidR="00E84810" w:rsidRPr="00FC3C3B">
        <w:rPr>
          <w:noProof/>
        </w:rPr>
        <w:t>to be provided under</w:t>
      </w:r>
      <w:r w:rsidR="005C656F" w:rsidRPr="00FC3C3B">
        <w:rPr>
          <w:noProof/>
        </w:rPr>
        <w:t xml:space="preserve"> the EIC</w:t>
      </w:r>
      <w:r w:rsidR="00530192" w:rsidRPr="00FC3C3B">
        <w:rPr>
          <w:noProof/>
        </w:rPr>
        <w:t xml:space="preserve"> for non-bankable </w:t>
      </w:r>
      <w:r w:rsidR="00FB7B64" w:rsidRPr="00FC3C3B">
        <w:rPr>
          <w:noProof/>
        </w:rPr>
        <w:t>SMEs and small mid-caps</w:t>
      </w:r>
      <w:r w:rsidR="003E5B6A" w:rsidRPr="00FC3C3B">
        <w:rPr>
          <w:noProof/>
        </w:rPr>
        <w:t>.</w:t>
      </w:r>
    </w:p>
    <w:p w14:paraId="6FAFAAEB" w14:textId="77777777" w:rsidR="002C7991" w:rsidRPr="00FC3C3B" w:rsidRDefault="00550165">
      <w:pPr>
        <w:pStyle w:val="ManualHeading2"/>
        <w:rPr>
          <w:rFonts w:eastAsia="Arial Unicode MS"/>
          <w:noProof/>
          <w:bdr w:val="nil"/>
          <w:lang w:val="en-US" w:eastAsia="en-GB"/>
        </w:rPr>
      </w:pPr>
      <w:r w:rsidRPr="00FC3C3B">
        <w:rPr>
          <w:rFonts w:eastAsia="Arial Unicode MS"/>
          <w:noProof/>
          <w:bdr w:val="nil"/>
          <w:lang w:val="en-US" w:eastAsia="en-GB"/>
        </w:rPr>
        <w:t>•</w:t>
      </w:r>
      <w:r w:rsidRPr="00FC3C3B">
        <w:rPr>
          <w:rFonts w:eastAsia="Arial Unicode MS"/>
          <w:noProof/>
          <w:u w:color="000000"/>
          <w:bdr w:val="nil"/>
          <w:lang w:val="en-US" w:eastAsia="en-GB"/>
        </w:rPr>
        <w:tab/>
      </w:r>
      <w:r w:rsidRPr="00FC3C3B">
        <w:rPr>
          <w:rFonts w:eastAsia="Arial Unicode MS"/>
          <w:noProof/>
          <w:bdr w:val="nil"/>
          <w:lang w:val="en-US" w:eastAsia="en-GB"/>
        </w:rPr>
        <w:t>Regulatory fitness and simplification</w:t>
      </w:r>
    </w:p>
    <w:p w14:paraId="413CDA07" w14:textId="77777777" w:rsidR="002C7991" w:rsidRPr="00FC3C3B" w:rsidRDefault="00550165">
      <w:pPr>
        <w:pBdr>
          <w:top w:val="nil"/>
          <w:left w:val="nil"/>
          <w:bottom w:val="nil"/>
          <w:right w:val="nil"/>
          <w:between w:val="nil"/>
          <w:bar w:val="nil"/>
        </w:pBdr>
        <w:spacing w:before="0" w:after="240"/>
        <w:rPr>
          <w:rFonts w:eastAsia="Times New Roman"/>
          <w:noProof/>
          <w:szCs w:val="24"/>
        </w:rPr>
      </w:pPr>
      <w:r w:rsidRPr="00FC3C3B">
        <w:rPr>
          <w:rFonts w:eastAsia="Times New Roman"/>
          <w:noProof/>
          <w:szCs w:val="24"/>
        </w:rPr>
        <w:t>The proposal is not linked to regulatory fitness and simplification but contains a number of provisions to simplify the implementation of existing EU instruments. The reporting requirements have been kept to a minimum to limit the administrative burden on Member States’ authorities and companies</w:t>
      </w:r>
      <w:r w:rsidR="003507DE" w:rsidRPr="00FC3C3B">
        <w:rPr>
          <w:rFonts w:eastAsia="Times New Roman"/>
          <w:noProof/>
          <w:szCs w:val="24"/>
        </w:rPr>
        <w:t>, while not undermining the sound financial management principles</w:t>
      </w:r>
      <w:r w:rsidRPr="00FC3C3B">
        <w:rPr>
          <w:rFonts w:eastAsia="Times New Roman"/>
          <w:noProof/>
          <w:szCs w:val="24"/>
        </w:rPr>
        <w:t>.</w:t>
      </w:r>
    </w:p>
    <w:p w14:paraId="568524AB" w14:textId="77777777" w:rsidR="002C7991" w:rsidRPr="00FC3C3B" w:rsidRDefault="00550165">
      <w:pPr>
        <w:pStyle w:val="ManualHeading2"/>
        <w:rPr>
          <w:rFonts w:eastAsia="Arial Unicode MS"/>
          <w:noProof/>
          <w:bdr w:val="nil"/>
          <w:lang w:val="en-US" w:eastAsia="en-GB"/>
        </w:rPr>
      </w:pPr>
      <w:r w:rsidRPr="00FC3C3B">
        <w:rPr>
          <w:rFonts w:eastAsia="Arial Unicode MS"/>
          <w:noProof/>
          <w:bdr w:val="nil"/>
          <w:lang w:val="en-US" w:eastAsia="en-GB"/>
        </w:rPr>
        <w:t>•</w:t>
      </w:r>
      <w:r w:rsidRPr="00FC3C3B">
        <w:rPr>
          <w:rFonts w:eastAsia="Arial Unicode MS"/>
          <w:noProof/>
          <w:u w:color="000000"/>
          <w:bdr w:val="nil"/>
          <w:lang w:val="en-US" w:eastAsia="en-GB"/>
        </w:rPr>
        <w:tab/>
      </w:r>
      <w:r w:rsidRPr="00FC3C3B">
        <w:rPr>
          <w:rFonts w:eastAsia="Arial Unicode MS"/>
          <w:noProof/>
          <w:bdr w:val="nil"/>
          <w:lang w:val="en-US" w:eastAsia="en-GB"/>
        </w:rPr>
        <w:t>Fundamental rights</w:t>
      </w:r>
    </w:p>
    <w:p w14:paraId="4CDCA410" w14:textId="77777777" w:rsidR="00100D0A" w:rsidRPr="00FC3C3B" w:rsidRDefault="00100D0A" w:rsidP="00D22CB8">
      <w:pPr>
        <w:rPr>
          <w:rFonts w:eastAsia="Times New Roman"/>
          <w:noProof/>
          <w:szCs w:val="24"/>
        </w:rPr>
      </w:pPr>
      <w:r w:rsidRPr="00FC3C3B">
        <w:rPr>
          <w:rFonts w:eastAsia="Times New Roman"/>
          <w:noProof/>
          <w:szCs w:val="24"/>
        </w:rPr>
        <w:t>Article 15 of the Charter provides for the freedom to choose an occupation and the right to engage in work. Supporting the competitiveness of the European industry will ensure economic growth and make sure it continues to offer job opportunities to citizens and residents of the Union.</w:t>
      </w:r>
    </w:p>
    <w:p w14:paraId="478EE1E3" w14:textId="77777777" w:rsidR="002C7991" w:rsidRPr="00FC3C3B" w:rsidRDefault="00550165">
      <w:pPr>
        <w:pBdr>
          <w:top w:val="nil"/>
          <w:left w:val="nil"/>
          <w:bottom w:val="nil"/>
          <w:right w:val="nil"/>
          <w:between w:val="nil"/>
          <w:bar w:val="nil"/>
        </w:pBdr>
        <w:spacing w:before="0" w:after="240"/>
        <w:rPr>
          <w:rFonts w:eastAsia="Times New Roman"/>
          <w:noProof/>
          <w:szCs w:val="24"/>
        </w:rPr>
      </w:pPr>
      <w:r w:rsidRPr="00FC3C3B">
        <w:rPr>
          <w:rFonts w:eastAsia="Times New Roman"/>
          <w:noProof/>
          <w:szCs w:val="24"/>
        </w:rPr>
        <w:t xml:space="preserve">Article 16 of the Charter of Fundamental Rights of the European Union (‘the Charter’) provides for the freedom to conduct a business. The measures under this proposal support the creation of innovation capacity and the deployment of clean energy technologies, which can reinforce the freedom to conduct a business in accordance with Union law and national laws and practices. </w:t>
      </w:r>
    </w:p>
    <w:p w14:paraId="4F7CA6C4" w14:textId="77777777" w:rsidR="002C7991" w:rsidRPr="00FC3C3B" w:rsidRDefault="00550165" w:rsidP="000D7B5F">
      <w:pPr>
        <w:pStyle w:val="ManualHeading1"/>
        <w:rPr>
          <w:noProof/>
        </w:rPr>
      </w:pPr>
      <w:r w:rsidRPr="00FC3C3B">
        <w:rPr>
          <w:noProof/>
        </w:rPr>
        <w:t>BUDGETARY IMPLICATIONS</w:t>
      </w:r>
    </w:p>
    <w:p w14:paraId="7C169D38" w14:textId="77777777" w:rsidR="002C7991" w:rsidRPr="00FC3C3B" w:rsidRDefault="00550165" w:rsidP="000D7B5F">
      <w:pPr>
        <w:spacing w:before="0" w:after="0"/>
        <w:contextualSpacing/>
        <w:rPr>
          <w:rFonts w:eastAsia="Times New Roman"/>
          <w:noProof/>
          <w:szCs w:val="24"/>
        </w:rPr>
      </w:pPr>
      <w:r w:rsidRPr="00FC3C3B">
        <w:rPr>
          <w:rFonts w:eastAsia="Times New Roman"/>
          <w:noProof/>
          <w:szCs w:val="24"/>
        </w:rPr>
        <w:t xml:space="preserve">The proposal will result in additional pre-financing to be paid under JTF in 2024, financed by the European Recovery Instrument NextGenerationEU. It will also result in additional pre-financing to be paid under the ERDF, CF and ESF+ in 2024 for amounts programmed under priorities dedicated to operations contributing to strengthening </w:t>
      </w:r>
      <w:r w:rsidR="00982B83" w:rsidRPr="00FC3C3B">
        <w:rPr>
          <w:rFonts w:eastAsia="Times New Roman"/>
          <w:noProof/>
          <w:szCs w:val="24"/>
        </w:rPr>
        <w:t xml:space="preserve">STEP </w:t>
      </w:r>
      <w:r w:rsidR="00FC1F6F" w:rsidRPr="00FC3C3B">
        <w:rPr>
          <w:rFonts w:eastAsia="Times New Roman"/>
          <w:noProof/>
          <w:szCs w:val="24"/>
        </w:rPr>
        <w:t>objectives</w:t>
      </w:r>
      <w:r w:rsidRPr="00FC3C3B">
        <w:rPr>
          <w:rFonts w:eastAsia="Times New Roman"/>
          <w:noProof/>
          <w:szCs w:val="24"/>
        </w:rPr>
        <w:t>.</w:t>
      </w:r>
      <w:r w:rsidR="003D3AF3" w:rsidRPr="00FC3C3B">
        <w:rPr>
          <w:rFonts w:eastAsia="Times New Roman"/>
          <w:noProof/>
          <w:szCs w:val="24"/>
        </w:rPr>
        <w:t xml:space="preserve"> </w:t>
      </w:r>
      <w:r w:rsidRPr="00FC3C3B">
        <w:rPr>
          <w:rFonts w:eastAsia="Times New Roman"/>
          <w:noProof/>
          <w:szCs w:val="24"/>
        </w:rPr>
        <w:t xml:space="preserve">The additional pre-financing payments for the JTF in 2024 will be financed only from external assigned revenues and will result in a frontloading of NGEU payment appropriations from year 2026 to year 2024. All amounts will be available as external assigned revenues, within the meaning of Article 21(5) of </w:t>
      </w:r>
      <w:r w:rsidR="00203DFC" w:rsidRPr="00FC3C3B">
        <w:rPr>
          <w:noProof/>
        </w:rPr>
        <w:t>Regulation (EU, Euratom) 2018/1046</w:t>
      </w:r>
      <w:r w:rsidR="00FF17D0" w:rsidRPr="00FC3C3B">
        <w:rPr>
          <w:noProof/>
        </w:rPr>
        <w:t xml:space="preserve"> </w:t>
      </w:r>
      <w:r w:rsidRPr="00FC3C3B">
        <w:rPr>
          <w:rFonts w:eastAsia="Times New Roman"/>
          <w:noProof/>
          <w:szCs w:val="24"/>
        </w:rPr>
        <w:t xml:space="preserve">stemming from the Next GenerationEU borrowing operations. </w:t>
      </w:r>
    </w:p>
    <w:p w14:paraId="0A9A5C64" w14:textId="77777777" w:rsidR="002C7991" w:rsidRPr="00FC3C3B" w:rsidRDefault="00550165" w:rsidP="000D7B5F">
      <w:pPr>
        <w:spacing w:before="0" w:after="0"/>
        <w:contextualSpacing/>
        <w:rPr>
          <w:rFonts w:eastAsia="Times New Roman"/>
          <w:noProof/>
          <w:szCs w:val="24"/>
        </w:rPr>
      </w:pPr>
      <w:r w:rsidRPr="00FC3C3B">
        <w:rPr>
          <w:rFonts w:eastAsia="Times New Roman"/>
          <w:noProof/>
          <w:szCs w:val="24"/>
        </w:rPr>
        <w:t xml:space="preserve"> </w:t>
      </w:r>
    </w:p>
    <w:p w14:paraId="5ED7234C" w14:textId="77777777" w:rsidR="000C0B5F" w:rsidRPr="00FC3C3B" w:rsidRDefault="00550165">
      <w:pPr>
        <w:spacing w:before="0" w:after="0"/>
        <w:contextualSpacing/>
        <w:rPr>
          <w:rFonts w:eastAsia="Times New Roman"/>
          <w:noProof/>
        </w:rPr>
      </w:pPr>
      <w:r w:rsidRPr="00FC3C3B">
        <w:rPr>
          <w:rFonts w:eastAsia="Times New Roman"/>
          <w:noProof/>
          <w:szCs w:val="24"/>
        </w:rPr>
        <w:t xml:space="preserve">The additional pre-financing payments for the ERDF, CF and ESF+ in 2024 will result in a frontloading of payment appropriations to 2024 and is budgetary neutral over the 2021-2027 period. This additional pre-financing was not envisaged in the draft budget. The Commission will monitor the amounts programmed by Member States under priorities dedicated to operations contributing to </w:t>
      </w:r>
      <w:r w:rsidR="00982B83" w:rsidRPr="00FC3C3B">
        <w:rPr>
          <w:rFonts w:eastAsia="Times New Roman"/>
          <w:noProof/>
          <w:szCs w:val="24"/>
        </w:rPr>
        <w:t xml:space="preserve">STEP </w:t>
      </w:r>
      <w:r w:rsidR="00A96491" w:rsidRPr="00FC3C3B">
        <w:rPr>
          <w:rFonts w:eastAsia="Times New Roman"/>
          <w:noProof/>
          <w:szCs w:val="24"/>
        </w:rPr>
        <w:t xml:space="preserve">objectives </w:t>
      </w:r>
      <w:r w:rsidRPr="00FC3C3B">
        <w:rPr>
          <w:rFonts w:eastAsia="Times New Roman"/>
          <w:noProof/>
          <w:szCs w:val="24"/>
        </w:rPr>
        <w:t xml:space="preserve">and assess their impact on the payment needs in the context of the global transfer exercise in 2024. The amount paid as additional pre-financing shall be totally cleared from the Commission accounts not later than closure of the respective programmes, such that the total amount of payments made under the concerned Funds will remain unchanged with this proposal. </w:t>
      </w:r>
      <w:r w:rsidRPr="00FC3C3B">
        <w:rPr>
          <w:rFonts w:eastAsia="Times New Roman"/>
          <w:noProof/>
        </w:rPr>
        <w:t>The proposed modification does not require changes in the Multiannual Financial Framework annual ceilings for commitments and payments as per Annex I to Council Regulation (EU, Euratom) 2020/2093, and does not imply changes to the overall payment needs over the 2021-27 programming period.</w:t>
      </w:r>
    </w:p>
    <w:p w14:paraId="7E71F292" w14:textId="77777777" w:rsidR="00913621" w:rsidRPr="00FC3C3B" w:rsidRDefault="00913621">
      <w:pPr>
        <w:spacing w:before="0" w:after="0"/>
        <w:contextualSpacing/>
        <w:rPr>
          <w:rFonts w:eastAsia="Times New Roman"/>
          <w:noProof/>
        </w:rPr>
      </w:pPr>
    </w:p>
    <w:p w14:paraId="7473D4AE" w14:textId="77777777" w:rsidR="00504261" w:rsidRPr="00FC3C3B" w:rsidRDefault="00C33CB5">
      <w:pPr>
        <w:spacing w:before="0" w:after="0"/>
        <w:contextualSpacing/>
        <w:rPr>
          <w:rFonts w:eastAsia="Times New Roman"/>
          <w:noProof/>
        </w:rPr>
      </w:pPr>
      <w:r w:rsidRPr="00FC3C3B">
        <w:rPr>
          <w:rFonts w:eastAsia="Times New Roman"/>
          <w:noProof/>
        </w:rPr>
        <w:t xml:space="preserve">As for Horizon Europe, the proposal </w:t>
      </w:r>
      <w:r w:rsidR="0093481A" w:rsidRPr="00FC3C3B">
        <w:rPr>
          <w:rFonts w:eastAsia="Times New Roman"/>
          <w:noProof/>
        </w:rPr>
        <w:t xml:space="preserve">consists </w:t>
      </w:r>
      <w:r w:rsidR="00816D3E" w:rsidRPr="00FC3C3B">
        <w:rPr>
          <w:rFonts w:eastAsia="Times New Roman"/>
          <w:noProof/>
        </w:rPr>
        <w:t xml:space="preserve">in reinforcing the envelope of the </w:t>
      </w:r>
      <w:r w:rsidR="002D0B71" w:rsidRPr="00FC3C3B">
        <w:rPr>
          <w:rFonts w:eastAsia="Times New Roman"/>
          <w:noProof/>
        </w:rPr>
        <w:t>EIC</w:t>
      </w:r>
      <w:r w:rsidR="00816D3E" w:rsidRPr="00FC3C3B">
        <w:rPr>
          <w:rFonts w:eastAsia="Times New Roman"/>
          <w:noProof/>
        </w:rPr>
        <w:t xml:space="preserve"> </w:t>
      </w:r>
      <w:r w:rsidR="00AD1668" w:rsidRPr="00FC3C3B">
        <w:rPr>
          <w:rFonts w:eastAsia="Times New Roman"/>
          <w:noProof/>
        </w:rPr>
        <w:t xml:space="preserve">by EUR </w:t>
      </w:r>
      <w:r w:rsidR="00416B2C">
        <w:rPr>
          <w:rFonts w:eastAsia="Times New Roman"/>
          <w:noProof/>
        </w:rPr>
        <w:t>2.63 billion</w:t>
      </w:r>
      <w:r w:rsidR="00AD1668" w:rsidRPr="00FC3C3B">
        <w:rPr>
          <w:rFonts w:eastAsia="Times New Roman"/>
          <w:noProof/>
        </w:rPr>
        <w:t xml:space="preserve"> in total</w:t>
      </w:r>
      <w:r w:rsidR="00E37B06" w:rsidRPr="00FC3C3B">
        <w:rPr>
          <w:rFonts w:eastAsia="Times New Roman"/>
          <w:noProof/>
        </w:rPr>
        <w:t>:</w:t>
      </w:r>
    </w:p>
    <w:p w14:paraId="1AB30AFA" w14:textId="77777777" w:rsidR="00577606" w:rsidRPr="00FC3C3B" w:rsidRDefault="0051116B" w:rsidP="009C0C3B">
      <w:pPr>
        <w:pStyle w:val="Tiret0"/>
        <w:numPr>
          <w:ilvl w:val="0"/>
          <w:numId w:val="6"/>
        </w:numPr>
        <w:rPr>
          <w:noProof/>
        </w:rPr>
      </w:pPr>
      <w:r w:rsidRPr="00FC3C3B">
        <w:rPr>
          <w:noProof/>
        </w:rPr>
        <w:t xml:space="preserve">EUR </w:t>
      </w:r>
      <w:r w:rsidR="004427CC">
        <w:rPr>
          <w:noProof/>
        </w:rPr>
        <w:t>0.8</w:t>
      </w:r>
      <w:r w:rsidR="00870602">
        <w:rPr>
          <w:noProof/>
        </w:rPr>
        <w:t xml:space="preserve"> billion</w:t>
      </w:r>
      <w:r w:rsidR="00967979" w:rsidRPr="00FC3C3B">
        <w:rPr>
          <w:noProof/>
        </w:rPr>
        <w:t xml:space="preserve"> are proposed to be redeployed from the resources allocated to </w:t>
      </w:r>
      <w:r w:rsidR="00504261" w:rsidRPr="00FC3C3B">
        <w:rPr>
          <w:noProof/>
        </w:rPr>
        <w:t>Pillar II 'Global Challenges and European Industrial Competitiveness' for the period 202[x] to 2027</w:t>
      </w:r>
      <w:r w:rsidR="00577606" w:rsidRPr="00FC3C3B">
        <w:rPr>
          <w:noProof/>
        </w:rPr>
        <w:t>;</w:t>
      </w:r>
    </w:p>
    <w:p w14:paraId="61B8E4B9" w14:textId="77777777" w:rsidR="008F524F" w:rsidRPr="00FC3C3B" w:rsidRDefault="008F524F" w:rsidP="009C0C3B">
      <w:pPr>
        <w:pStyle w:val="Tiret0"/>
        <w:numPr>
          <w:ilvl w:val="0"/>
          <w:numId w:val="6"/>
        </w:numPr>
        <w:rPr>
          <w:noProof/>
        </w:rPr>
      </w:pPr>
      <w:r w:rsidRPr="00FC3C3B">
        <w:rPr>
          <w:noProof/>
        </w:rPr>
        <w:t xml:space="preserve">EUR </w:t>
      </w:r>
      <w:r w:rsidR="00870602">
        <w:rPr>
          <w:noProof/>
        </w:rPr>
        <w:t>0.13 billion</w:t>
      </w:r>
      <w:r w:rsidRPr="00FC3C3B">
        <w:rPr>
          <w:noProof/>
        </w:rPr>
        <w:t xml:space="preserve"> from the </w:t>
      </w:r>
      <w:r w:rsidR="008F1638" w:rsidRPr="00FC3C3B">
        <w:rPr>
          <w:noProof/>
        </w:rPr>
        <w:t>reflows of the EIC pilot of Horizon 2020</w:t>
      </w:r>
    </w:p>
    <w:p w14:paraId="0D2B6720" w14:textId="77777777" w:rsidR="00A80C7B" w:rsidRPr="00FC3C3B" w:rsidRDefault="00577606" w:rsidP="009C0C3B">
      <w:pPr>
        <w:pStyle w:val="Tiret0"/>
        <w:numPr>
          <w:ilvl w:val="0"/>
          <w:numId w:val="6"/>
        </w:numPr>
        <w:rPr>
          <w:noProof/>
        </w:rPr>
      </w:pPr>
      <w:r w:rsidRPr="00FC3C3B">
        <w:rPr>
          <w:noProof/>
        </w:rPr>
        <w:t xml:space="preserve">EUR </w:t>
      </w:r>
      <w:r w:rsidR="00500C7B">
        <w:rPr>
          <w:noProof/>
        </w:rPr>
        <w:t>1.2 billion</w:t>
      </w:r>
      <w:r w:rsidR="008F1638" w:rsidRPr="00FC3C3B">
        <w:rPr>
          <w:noProof/>
        </w:rPr>
        <w:t xml:space="preserve"> </w:t>
      </w:r>
      <w:r w:rsidR="00712462" w:rsidRPr="00FC3C3B">
        <w:rPr>
          <w:noProof/>
        </w:rPr>
        <w:t>resulting f</w:t>
      </w:r>
      <w:r w:rsidR="0042025D" w:rsidRPr="00FC3C3B">
        <w:rPr>
          <w:noProof/>
        </w:rPr>
        <w:t>rom</w:t>
      </w:r>
      <w:r w:rsidR="00412CE0" w:rsidRPr="00FC3C3B">
        <w:rPr>
          <w:noProof/>
        </w:rPr>
        <w:t xml:space="preserve"> total or partial non-implementation of </w:t>
      </w:r>
      <w:r w:rsidR="00146628" w:rsidRPr="00FC3C3B">
        <w:rPr>
          <w:noProof/>
        </w:rPr>
        <w:t xml:space="preserve">research </w:t>
      </w:r>
      <w:r w:rsidR="00412CE0" w:rsidRPr="00FC3C3B">
        <w:rPr>
          <w:noProof/>
        </w:rPr>
        <w:t>projects</w:t>
      </w:r>
      <w:r w:rsidR="00146628" w:rsidRPr="00FC3C3B">
        <w:rPr>
          <w:noProof/>
        </w:rPr>
        <w:t xml:space="preserve"> supported by Horizon Europe and its predecessors</w:t>
      </w:r>
      <w:r w:rsidR="00644200" w:rsidRPr="00FC3C3B">
        <w:rPr>
          <w:noProof/>
        </w:rPr>
        <w:t>, are proposed to be made available again</w:t>
      </w:r>
      <w:r w:rsidR="00E20DD4" w:rsidRPr="00FC3C3B">
        <w:rPr>
          <w:noProof/>
        </w:rPr>
        <w:t xml:space="preserve">, in line with Article 15(3) of the Financial Regulation, to the benefit of the </w:t>
      </w:r>
      <w:r w:rsidR="00E93A91" w:rsidRPr="00FC3C3B">
        <w:rPr>
          <w:noProof/>
        </w:rPr>
        <w:t>EIC</w:t>
      </w:r>
      <w:r w:rsidR="00E20DD4" w:rsidRPr="00FC3C3B">
        <w:rPr>
          <w:noProof/>
        </w:rPr>
        <w:t xml:space="preserve"> strand of Horizon Europe</w:t>
      </w:r>
      <w:r w:rsidR="00A80C7B" w:rsidRPr="00FC3C3B">
        <w:rPr>
          <w:noProof/>
        </w:rPr>
        <w:t>; and</w:t>
      </w:r>
    </w:p>
    <w:p w14:paraId="551FE8E7" w14:textId="77777777" w:rsidR="00547038" w:rsidRPr="00FC3C3B" w:rsidRDefault="00547038" w:rsidP="009C0C3B">
      <w:pPr>
        <w:pStyle w:val="Tiret0"/>
        <w:numPr>
          <w:ilvl w:val="0"/>
          <w:numId w:val="6"/>
        </w:numPr>
        <w:rPr>
          <w:noProof/>
        </w:rPr>
      </w:pPr>
      <w:r w:rsidRPr="00FC3C3B">
        <w:rPr>
          <w:noProof/>
        </w:rPr>
        <w:t xml:space="preserve">EUR </w:t>
      </w:r>
      <w:r w:rsidR="00500C7B">
        <w:rPr>
          <w:noProof/>
        </w:rPr>
        <w:t xml:space="preserve">0.5 billion </w:t>
      </w:r>
      <w:r w:rsidR="008F524F" w:rsidRPr="00FC3C3B">
        <w:rPr>
          <w:noProof/>
        </w:rPr>
        <w:t>budgetary reinforcement</w:t>
      </w:r>
    </w:p>
    <w:p w14:paraId="4436BB30" w14:textId="77777777" w:rsidR="00E1308C" w:rsidRPr="00FC3C3B" w:rsidRDefault="00E1308C" w:rsidP="00CD785F">
      <w:pPr>
        <w:spacing w:before="0" w:after="0"/>
        <w:contextualSpacing/>
        <w:rPr>
          <w:rFonts w:eastAsia="Times New Roman"/>
          <w:noProof/>
        </w:rPr>
      </w:pPr>
    </w:p>
    <w:p w14:paraId="02B7EF0B" w14:textId="77777777" w:rsidR="00E1308C" w:rsidRPr="00FC3C3B" w:rsidRDefault="00E1308C" w:rsidP="00CD785F">
      <w:pPr>
        <w:spacing w:before="0" w:after="0"/>
        <w:contextualSpacing/>
        <w:rPr>
          <w:rFonts w:eastAsia="Times New Roman"/>
          <w:noProof/>
        </w:rPr>
      </w:pPr>
      <w:r w:rsidRPr="00FC3C3B">
        <w:rPr>
          <w:rFonts w:eastAsia="Times New Roman"/>
          <w:noProof/>
        </w:rPr>
        <w:t xml:space="preserve">In </w:t>
      </w:r>
      <w:r w:rsidR="00616651" w:rsidRPr="00FC3C3B">
        <w:rPr>
          <w:rFonts w:eastAsia="Times New Roman"/>
          <w:noProof/>
        </w:rPr>
        <w:t xml:space="preserve">addition, the Innovation Fund should be reinforced by EUR </w:t>
      </w:r>
      <w:r w:rsidR="00C82DCC">
        <w:rPr>
          <w:rFonts w:eastAsia="Times New Roman"/>
          <w:noProof/>
        </w:rPr>
        <w:t>5</w:t>
      </w:r>
      <w:r w:rsidR="00616651" w:rsidRPr="00FC3C3B">
        <w:rPr>
          <w:rFonts w:eastAsia="Times New Roman"/>
          <w:noProof/>
        </w:rPr>
        <w:t xml:space="preserve"> billion</w:t>
      </w:r>
      <w:r w:rsidR="005109F6" w:rsidRPr="00FC3C3B">
        <w:rPr>
          <w:rFonts w:eastAsia="Times New Roman"/>
          <w:noProof/>
        </w:rPr>
        <w:t xml:space="preserve">, the European Defence Fund by EUR </w:t>
      </w:r>
      <w:r w:rsidR="00C82DCC">
        <w:rPr>
          <w:rFonts w:eastAsia="Times New Roman"/>
          <w:noProof/>
        </w:rPr>
        <w:t>1.5</w:t>
      </w:r>
      <w:r w:rsidR="005109F6" w:rsidRPr="00FC3C3B">
        <w:rPr>
          <w:rFonts w:eastAsia="Times New Roman"/>
          <w:noProof/>
        </w:rPr>
        <w:t xml:space="preserve"> billion</w:t>
      </w:r>
      <w:r w:rsidR="00616651" w:rsidRPr="00FC3C3B">
        <w:rPr>
          <w:rFonts w:eastAsia="Times New Roman"/>
          <w:noProof/>
        </w:rPr>
        <w:t xml:space="preserve"> and the InvestEU </w:t>
      </w:r>
      <w:r w:rsidR="00090335" w:rsidRPr="00FC3C3B">
        <w:rPr>
          <w:rFonts w:eastAsia="Times New Roman"/>
          <w:noProof/>
        </w:rPr>
        <w:t xml:space="preserve">should benefit from a reinforcement of EUR </w:t>
      </w:r>
      <w:r w:rsidR="00C82DCC">
        <w:rPr>
          <w:rFonts w:eastAsia="Times New Roman"/>
          <w:noProof/>
        </w:rPr>
        <w:t>3</w:t>
      </w:r>
      <w:r w:rsidR="00090335" w:rsidRPr="00FC3C3B">
        <w:rPr>
          <w:rFonts w:eastAsia="Times New Roman"/>
          <w:noProof/>
        </w:rPr>
        <w:t xml:space="preserve"> billion resulting in a guarantee of EUR </w:t>
      </w:r>
      <w:r w:rsidR="00B12063">
        <w:rPr>
          <w:rFonts w:eastAsia="Times New Roman"/>
          <w:noProof/>
        </w:rPr>
        <w:t>7.5</w:t>
      </w:r>
      <w:r w:rsidR="00090335" w:rsidRPr="00FC3C3B">
        <w:rPr>
          <w:rFonts w:eastAsia="Times New Roman"/>
          <w:noProof/>
        </w:rPr>
        <w:t xml:space="preserve"> billion. </w:t>
      </w:r>
    </w:p>
    <w:p w14:paraId="655A1ADD" w14:textId="77777777" w:rsidR="1E7FD726" w:rsidRPr="00FC3C3B" w:rsidRDefault="1E7FD726" w:rsidP="1E7FD726">
      <w:pPr>
        <w:spacing w:before="0" w:after="0"/>
        <w:contextualSpacing/>
        <w:rPr>
          <w:rFonts w:eastAsia="Times New Roman"/>
          <w:noProof/>
        </w:rPr>
      </w:pPr>
    </w:p>
    <w:p w14:paraId="4CC56E06" w14:textId="77777777" w:rsidR="00BB2E72" w:rsidRPr="00FC3C3B" w:rsidRDefault="00BB2E72" w:rsidP="00CD785F">
      <w:pPr>
        <w:spacing w:before="0" w:after="0"/>
        <w:contextualSpacing/>
        <w:rPr>
          <w:rFonts w:eastAsia="Times New Roman"/>
          <w:noProof/>
        </w:rPr>
      </w:pPr>
      <w:r w:rsidRPr="00FC3C3B">
        <w:rPr>
          <w:rFonts w:eastAsia="Times New Roman"/>
          <w:noProof/>
        </w:rPr>
        <w:t xml:space="preserve">The total budgetary implications </w:t>
      </w:r>
      <w:r w:rsidR="00E00FBB" w:rsidRPr="00FC3C3B">
        <w:rPr>
          <w:rFonts w:eastAsia="Times New Roman"/>
          <w:noProof/>
        </w:rPr>
        <w:t>for the</w:t>
      </w:r>
      <w:r w:rsidRPr="00FC3C3B">
        <w:rPr>
          <w:rFonts w:eastAsia="Times New Roman"/>
          <w:noProof/>
        </w:rPr>
        <w:t xml:space="preserve"> MFF is therefore EUR </w:t>
      </w:r>
      <w:r w:rsidR="00271E82">
        <w:rPr>
          <w:rFonts w:eastAsia="Times New Roman"/>
          <w:noProof/>
        </w:rPr>
        <w:t>1</w:t>
      </w:r>
      <w:r w:rsidR="00202042">
        <w:rPr>
          <w:rFonts w:eastAsia="Times New Roman"/>
          <w:noProof/>
        </w:rPr>
        <w:t>0</w:t>
      </w:r>
      <w:r w:rsidRPr="00FC3C3B">
        <w:rPr>
          <w:rFonts w:eastAsia="Times New Roman"/>
          <w:noProof/>
        </w:rPr>
        <w:t xml:space="preserve"> billion. </w:t>
      </w:r>
    </w:p>
    <w:p w14:paraId="4D1AAF93" w14:textId="77777777" w:rsidR="002C7991" w:rsidRPr="00FC3C3B" w:rsidRDefault="002C7991" w:rsidP="00B65BD7">
      <w:pPr>
        <w:spacing w:before="0" w:after="0"/>
        <w:contextualSpacing/>
        <w:rPr>
          <w:rFonts w:eastAsia="Times New Roman"/>
          <w:noProof/>
        </w:rPr>
      </w:pPr>
    </w:p>
    <w:p w14:paraId="13CE7A9D" w14:textId="77777777" w:rsidR="002C7991" w:rsidRPr="00FC3C3B" w:rsidRDefault="00550165" w:rsidP="00B65BD7">
      <w:pPr>
        <w:pStyle w:val="ManualHeading1"/>
        <w:spacing w:before="0" w:after="0"/>
        <w:contextualSpacing/>
        <w:rPr>
          <w:noProof/>
        </w:rPr>
      </w:pPr>
      <w:r w:rsidRPr="00FC3C3B">
        <w:rPr>
          <w:noProof/>
        </w:rPr>
        <w:t>5.</w:t>
      </w:r>
      <w:r w:rsidRPr="00FC3C3B">
        <w:rPr>
          <w:noProof/>
        </w:rPr>
        <w:tab/>
        <w:t>OTHER ELEMENTS</w:t>
      </w:r>
    </w:p>
    <w:p w14:paraId="73429533" w14:textId="77777777" w:rsidR="002C7991" w:rsidRPr="00FC3C3B" w:rsidRDefault="00550165">
      <w:pPr>
        <w:pStyle w:val="ManualHeading2"/>
        <w:rPr>
          <w:rFonts w:eastAsia="Arial Unicode MS"/>
          <w:noProof/>
          <w:bdr w:val="nil"/>
          <w:lang w:val="en-US" w:eastAsia="en-GB"/>
        </w:rPr>
      </w:pPr>
      <w:r w:rsidRPr="00FC3C3B">
        <w:rPr>
          <w:rFonts w:eastAsia="Arial Unicode MS"/>
          <w:noProof/>
          <w:bdr w:val="nil"/>
          <w:lang w:val="en-US" w:eastAsia="en-GB"/>
        </w:rPr>
        <w:t>•</w:t>
      </w:r>
      <w:r w:rsidRPr="00FC3C3B">
        <w:rPr>
          <w:rFonts w:eastAsia="Arial Unicode MS"/>
          <w:noProof/>
          <w:u w:color="000000"/>
          <w:bdr w:val="nil"/>
          <w:lang w:val="en-US" w:eastAsia="en-GB"/>
        </w:rPr>
        <w:tab/>
      </w:r>
      <w:r w:rsidRPr="00FC3C3B">
        <w:rPr>
          <w:rFonts w:eastAsia="Arial Unicode MS"/>
          <w:noProof/>
          <w:bdr w:val="nil"/>
          <w:lang w:val="en-US" w:eastAsia="en-GB"/>
        </w:rPr>
        <w:t>Implementation plans and monitoring, evaluation and reporting arrangements</w:t>
      </w:r>
    </w:p>
    <w:p w14:paraId="5C62C042" w14:textId="77777777" w:rsidR="000223E9" w:rsidRPr="00FC3C3B" w:rsidRDefault="000223E9">
      <w:pPr>
        <w:pBdr>
          <w:top w:val="nil"/>
          <w:left w:val="nil"/>
          <w:bottom w:val="nil"/>
          <w:right w:val="nil"/>
          <w:between w:val="nil"/>
          <w:bar w:val="nil"/>
        </w:pBdr>
        <w:spacing w:before="0" w:after="240"/>
        <w:rPr>
          <w:noProof/>
        </w:rPr>
      </w:pPr>
      <w:r w:rsidRPr="00FC3C3B">
        <w:rPr>
          <w:noProof/>
        </w:rPr>
        <w:t xml:space="preserve">The Commission </w:t>
      </w:r>
      <w:r w:rsidR="2AF9A333" w:rsidRPr="00FC3C3B">
        <w:rPr>
          <w:noProof/>
        </w:rPr>
        <w:t>will</w:t>
      </w:r>
      <w:r w:rsidRPr="00FC3C3B">
        <w:rPr>
          <w:noProof/>
        </w:rPr>
        <w:t xml:space="preserve"> monitor the implementation of the </w:t>
      </w:r>
      <w:r w:rsidR="0065769C" w:rsidRPr="00FC3C3B">
        <w:rPr>
          <w:noProof/>
        </w:rPr>
        <w:t xml:space="preserve">Platform </w:t>
      </w:r>
      <w:r w:rsidRPr="00FC3C3B">
        <w:rPr>
          <w:noProof/>
        </w:rPr>
        <w:t xml:space="preserve">and measure the achievement of the objectives under this Regulation in a targeted and proportionate manner. </w:t>
      </w:r>
      <w:r w:rsidR="0065769C" w:rsidRPr="00FC3C3B">
        <w:rPr>
          <w:noProof/>
        </w:rPr>
        <w:t>T</w:t>
      </w:r>
      <w:r w:rsidRPr="00FC3C3B">
        <w:rPr>
          <w:noProof/>
        </w:rPr>
        <w:t xml:space="preserve">he Commission </w:t>
      </w:r>
      <w:r w:rsidR="59C3BB90" w:rsidRPr="00FC3C3B">
        <w:rPr>
          <w:noProof/>
        </w:rPr>
        <w:t xml:space="preserve">will </w:t>
      </w:r>
      <w:r w:rsidRPr="00FC3C3B">
        <w:rPr>
          <w:noProof/>
        </w:rPr>
        <w:t xml:space="preserve">ensure that data for monitoring the implementation of the activities and results are collected efficiently, effectively and in a timely manner. </w:t>
      </w:r>
    </w:p>
    <w:p w14:paraId="53769232" w14:textId="77777777" w:rsidR="0008420B" w:rsidRPr="00FC3C3B" w:rsidRDefault="003C7AAB">
      <w:pPr>
        <w:pBdr>
          <w:top w:val="nil"/>
          <w:left w:val="nil"/>
          <w:bottom w:val="nil"/>
          <w:right w:val="nil"/>
          <w:between w:val="nil"/>
          <w:bar w:val="nil"/>
        </w:pBdr>
        <w:spacing w:before="0" w:after="240"/>
        <w:rPr>
          <w:noProof/>
        </w:rPr>
      </w:pPr>
      <w:r w:rsidRPr="00FC3C3B">
        <w:rPr>
          <w:noProof/>
        </w:rPr>
        <w:t>To</w:t>
      </w:r>
      <w:r w:rsidR="005335B3" w:rsidRPr="00FC3C3B">
        <w:rPr>
          <w:noProof/>
        </w:rPr>
        <w:t xml:space="preserve"> monitor the implementation of the </w:t>
      </w:r>
      <w:r w:rsidR="00F22ED6" w:rsidRPr="00FC3C3B">
        <w:rPr>
          <w:noProof/>
        </w:rPr>
        <w:t>Platform</w:t>
      </w:r>
      <w:r w:rsidR="005335B3" w:rsidRPr="00FC3C3B">
        <w:rPr>
          <w:noProof/>
        </w:rPr>
        <w:t xml:space="preserve">, the Commission </w:t>
      </w:r>
      <w:r w:rsidR="171D40CD" w:rsidRPr="00FC3C3B">
        <w:rPr>
          <w:noProof/>
        </w:rPr>
        <w:t>will</w:t>
      </w:r>
      <w:r w:rsidR="005335B3" w:rsidRPr="00FC3C3B">
        <w:rPr>
          <w:noProof/>
        </w:rPr>
        <w:t xml:space="preserve"> compile the expenditures related </w:t>
      </w:r>
      <w:r w:rsidR="00A80FA3" w:rsidRPr="00FC3C3B">
        <w:rPr>
          <w:noProof/>
        </w:rPr>
        <w:t xml:space="preserve">to the </w:t>
      </w:r>
      <w:r w:rsidR="003C70E3" w:rsidRPr="00FC3C3B">
        <w:rPr>
          <w:rFonts w:eastAsia="Times New Roman"/>
          <w:noProof/>
        </w:rPr>
        <w:t>STEP</w:t>
      </w:r>
      <w:r w:rsidR="0065769C" w:rsidRPr="00FC3C3B">
        <w:rPr>
          <w:rFonts w:eastAsia="Times New Roman"/>
          <w:noProof/>
        </w:rPr>
        <w:t xml:space="preserve"> </w:t>
      </w:r>
      <w:r w:rsidR="00D233F3" w:rsidRPr="00FC3C3B">
        <w:rPr>
          <w:noProof/>
        </w:rPr>
        <w:t xml:space="preserve">from </w:t>
      </w:r>
      <w:r w:rsidR="005B4B55" w:rsidRPr="00FC3C3B">
        <w:rPr>
          <w:noProof/>
        </w:rPr>
        <w:t>the relevant</w:t>
      </w:r>
      <w:r w:rsidR="00D233F3" w:rsidRPr="00FC3C3B">
        <w:rPr>
          <w:noProof/>
        </w:rPr>
        <w:t xml:space="preserve"> programmes. </w:t>
      </w:r>
      <w:r w:rsidR="00196126" w:rsidRPr="00FC3C3B">
        <w:rPr>
          <w:noProof/>
        </w:rPr>
        <w:t xml:space="preserve">The respective climate spending targets under the relevant programmes continue to apply. </w:t>
      </w:r>
      <w:r w:rsidR="002949F7" w:rsidRPr="00FC3C3B">
        <w:rPr>
          <w:noProof/>
        </w:rPr>
        <w:t>This require</w:t>
      </w:r>
      <w:r w:rsidR="00FF73DD" w:rsidRPr="00FC3C3B">
        <w:rPr>
          <w:noProof/>
        </w:rPr>
        <w:t>s</w:t>
      </w:r>
      <w:r w:rsidR="1A77E13A" w:rsidRPr="00FC3C3B">
        <w:rPr>
          <w:noProof/>
        </w:rPr>
        <w:t xml:space="preserve"> the following</w:t>
      </w:r>
      <w:r w:rsidR="0008420B" w:rsidRPr="00FC3C3B">
        <w:rPr>
          <w:noProof/>
        </w:rPr>
        <w:t>:</w:t>
      </w:r>
    </w:p>
    <w:p w14:paraId="06D3696D" w14:textId="77777777" w:rsidR="00DA17C3" w:rsidRPr="00FC3C3B" w:rsidRDefault="0008420B" w:rsidP="009C0C3B">
      <w:pPr>
        <w:pStyle w:val="Tiret0"/>
        <w:numPr>
          <w:ilvl w:val="0"/>
          <w:numId w:val="7"/>
        </w:numPr>
        <w:rPr>
          <w:noProof/>
        </w:rPr>
      </w:pPr>
      <w:r w:rsidRPr="00FC3C3B">
        <w:rPr>
          <w:noProof/>
        </w:rPr>
        <w:t xml:space="preserve">Common Provisions </w:t>
      </w:r>
      <w:r w:rsidR="000F5299" w:rsidRPr="00FC3C3B">
        <w:rPr>
          <w:noProof/>
        </w:rPr>
        <w:t>Regulation</w:t>
      </w:r>
      <w:r w:rsidRPr="00FC3C3B">
        <w:rPr>
          <w:noProof/>
        </w:rPr>
        <w:t xml:space="preserve">: </w:t>
      </w:r>
      <w:r w:rsidR="00B80F7D" w:rsidRPr="00FC3C3B">
        <w:rPr>
          <w:noProof/>
        </w:rPr>
        <w:t>updat</w:t>
      </w:r>
      <w:r w:rsidR="00903DF4" w:rsidRPr="00FC3C3B">
        <w:rPr>
          <w:noProof/>
        </w:rPr>
        <w:t>ing</w:t>
      </w:r>
      <w:r w:rsidR="00B80F7D" w:rsidRPr="00FC3C3B">
        <w:rPr>
          <w:noProof/>
        </w:rPr>
        <w:t xml:space="preserve"> Annex I of the </w:t>
      </w:r>
      <w:r w:rsidR="545E0A62" w:rsidRPr="00FC3C3B">
        <w:rPr>
          <w:noProof/>
        </w:rPr>
        <w:t>R</w:t>
      </w:r>
      <w:r w:rsidR="00B80F7D" w:rsidRPr="00FC3C3B">
        <w:rPr>
          <w:noProof/>
        </w:rPr>
        <w:t xml:space="preserve">egulation to </w:t>
      </w:r>
      <w:r w:rsidRPr="00FC3C3B">
        <w:rPr>
          <w:noProof/>
        </w:rPr>
        <w:t>inclu</w:t>
      </w:r>
      <w:r w:rsidR="00B80F7D" w:rsidRPr="00FC3C3B">
        <w:rPr>
          <w:noProof/>
        </w:rPr>
        <w:t>de</w:t>
      </w:r>
      <w:r w:rsidRPr="00FC3C3B">
        <w:rPr>
          <w:noProof/>
        </w:rPr>
        <w:t xml:space="preserve"> additional intervention fields</w:t>
      </w:r>
      <w:r w:rsidR="00903DF4" w:rsidRPr="00FC3C3B">
        <w:rPr>
          <w:noProof/>
        </w:rPr>
        <w:t>;</w:t>
      </w:r>
      <w:r w:rsidR="3CED98F5" w:rsidRPr="00FC3C3B">
        <w:rPr>
          <w:noProof/>
        </w:rPr>
        <w:t xml:space="preserve"> </w:t>
      </w:r>
    </w:p>
    <w:p w14:paraId="7780253B" w14:textId="77777777" w:rsidR="0008420B" w:rsidRPr="00FC3C3B" w:rsidRDefault="000F5299" w:rsidP="009C0C3B">
      <w:pPr>
        <w:pStyle w:val="Tiret0"/>
        <w:numPr>
          <w:ilvl w:val="0"/>
          <w:numId w:val="7"/>
        </w:numPr>
        <w:rPr>
          <w:noProof/>
        </w:rPr>
      </w:pPr>
      <w:r w:rsidRPr="00FC3C3B">
        <w:rPr>
          <w:noProof/>
        </w:rPr>
        <w:t xml:space="preserve">Recovery and Resilience Facility: tagging </w:t>
      </w:r>
      <w:r w:rsidR="00E72940" w:rsidRPr="00FC3C3B">
        <w:rPr>
          <w:noProof/>
        </w:rPr>
        <w:t>and reporting based on a break-down of the estimated expenditure</w:t>
      </w:r>
      <w:r w:rsidR="00875CBC" w:rsidRPr="00FC3C3B">
        <w:rPr>
          <w:noProof/>
        </w:rPr>
        <w:t xml:space="preserve"> </w:t>
      </w:r>
      <w:r w:rsidR="00903DF4" w:rsidRPr="00FC3C3B">
        <w:rPr>
          <w:noProof/>
        </w:rPr>
        <w:t xml:space="preserve">by the Commission </w:t>
      </w:r>
      <w:r w:rsidR="578DA09A" w:rsidRPr="00FC3C3B">
        <w:rPr>
          <w:noProof/>
        </w:rPr>
        <w:t xml:space="preserve">in accordance with article 29(3) of that Regulation </w:t>
      </w:r>
      <w:r w:rsidRPr="00FC3C3B">
        <w:rPr>
          <w:noProof/>
        </w:rPr>
        <w:t>of investment</w:t>
      </w:r>
      <w:r w:rsidR="00903DF4" w:rsidRPr="00FC3C3B">
        <w:rPr>
          <w:noProof/>
        </w:rPr>
        <w:t>s</w:t>
      </w:r>
      <w:r w:rsidR="0012066C" w:rsidRPr="00FC3C3B">
        <w:rPr>
          <w:noProof/>
        </w:rPr>
        <w:t xml:space="preserve"> related to the </w:t>
      </w:r>
      <w:r w:rsidR="00982B83" w:rsidRPr="00FC3C3B">
        <w:rPr>
          <w:noProof/>
        </w:rPr>
        <w:t>STEP</w:t>
      </w:r>
      <w:r w:rsidR="003473E8" w:rsidRPr="00FC3C3B">
        <w:rPr>
          <w:noProof/>
        </w:rPr>
        <w:t xml:space="preserve"> </w:t>
      </w:r>
      <w:r w:rsidR="00903DF4" w:rsidRPr="00FC3C3B">
        <w:rPr>
          <w:noProof/>
        </w:rPr>
        <w:t>objectives;</w:t>
      </w:r>
    </w:p>
    <w:p w14:paraId="0A212FD7" w14:textId="77777777" w:rsidR="00F279DE" w:rsidRPr="00FC3C3B" w:rsidRDefault="0012066C" w:rsidP="009C0C3B">
      <w:pPr>
        <w:pStyle w:val="Tiret0"/>
        <w:numPr>
          <w:ilvl w:val="0"/>
          <w:numId w:val="7"/>
        </w:numPr>
        <w:rPr>
          <w:noProof/>
        </w:rPr>
      </w:pPr>
      <w:r w:rsidRPr="00FC3C3B">
        <w:rPr>
          <w:noProof/>
        </w:rPr>
        <w:t xml:space="preserve">InvestEU: </w:t>
      </w:r>
      <w:r w:rsidR="003C4E6E" w:rsidRPr="00FC3C3B">
        <w:rPr>
          <w:noProof/>
        </w:rPr>
        <w:t>tracking of expenditure</w:t>
      </w:r>
      <w:r w:rsidR="005C0A8F" w:rsidRPr="00FC3C3B">
        <w:rPr>
          <w:noProof/>
        </w:rPr>
        <w:t>s</w:t>
      </w:r>
      <w:r w:rsidR="003C4E6E" w:rsidRPr="00FC3C3B">
        <w:rPr>
          <w:noProof/>
        </w:rPr>
        <w:t xml:space="preserve"> </w:t>
      </w:r>
      <w:r w:rsidR="00DF71C8" w:rsidRPr="00FC3C3B">
        <w:rPr>
          <w:noProof/>
        </w:rPr>
        <w:t>by the</w:t>
      </w:r>
      <w:r w:rsidR="003C4E6E" w:rsidRPr="00FC3C3B">
        <w:rPr>
          <w:noProof/>
        </w:rPr>
        <w:t xml:space="preserve"> Commission</w:t>
      </w:r>
      <w:r w:rsidR="00DC1634" w:rsidRPr="00FC3C3B">
        <w:rPr>
          <w:noProof/>
        </w:rPr>
        <w:t>.</w:t>
      </w:r>
    </w:p>
    <w:p w14:paraId="3634F1B2" w14:textId="77777777" w:rsidR="00F279DE" w:rsidRPr="00FC3C3B" w:rsidRDefault="00F279DE" w:rsidP="009C0C3B">
      <w:pPr>
        <w:pStyle w:val="Tiret0"/>
        <w:numPr>
          <w:ilvl w:val="0"/>
          <w:numId w:val="7"/>
        </w:numPr>
        <w:rPr>
          <w:noProof/>
        </w:rPr>
      </w:pPr>
      <w:r w:rsidRPr="00FC3C3B">
        <w:rPr>
          <w:noProof/>
        </w:rPr>
        <w:t xml:space="preserve">Direct </w:t>
      </w:r>
      <w:r w:rsidR="005C0A8F" w:rsidRPr="00FC3C3B">
        <w:rPr>
          <w:noProof/>
        </w:rPr>
        <w:t>m</w:t>
      </w:r>
      <w:r w:rsidRPr="00FC3C3B">
        <w:rPr>
          <w:noProof/>
        </w:rPr>
        <w:t xml:space="preserve">anagement </w:t>
      </w:r>
      <w:r w:rsidR="00D82CB5" w:rsidRPr="00FC3C3B">
        <w:rPr>
          <w:noProof/>
        </w:rPr>
        <w:t>programmes (Horizon Europe, Innovation Fund</w:t>
      </w:r>
      <w:r w:rsidR="0065796D" w:rsidRPr="00FC3C3B">
        <w:rPr>
          <w:noProof/>
        </w:rPr>
        <w:t xml:space="preserve">, </w:t>
      </w:r>
      <w:r w:rsidR="00A66F18" w:rsidRPr="00FC3C3B">
        <w:rPr>
          <w:noProof/>
        </w:rPr>
        <w:t xml:space="preserve">European Defence Fund, </w:t>
      </w:r>
      <w:r w:rsidR="0065796D" w:rsidRPr="00FC3C3B">
        <w:rPr>
          <w:noProof/>
        </w:rPr>
        <w:t>Digital Europe Programme</w:t>
      </w:r>
      <w:r w:rsidR="00CC166E" w:rsidRPr="00FC3C3B">
        <w:rPr>
          <w:noProof/>
        </w:rPr>
        <w:t>, EU4Health Programme</w:t>
      </w:r>
      <w:r w:rsidR="00D82CB5" w:rsidRPr="00FC3C3B">
        <w:rPr>
          <w:noProof/>
        </w:rPr>
        <w:t>)</w:t>
      </w:r>
      <w:r w:rsidRPr="00FC3C3B">
        <w:rPr>
          <w:noProof/>
        </w:rPr>
        <w:t>: tracking of expenditure</w:t>
      </w:r>
      <w:r w:rsidR="00FA7C85" w:rsidRPr="00FC3C3B">
        <w:rPr>
          <w:noProof/>
        </w:rPr>
        <w:t>s</w:t>
      </w:r>
      <w:r w:rsidRPr="00FC3C3B">
        <w:rPr>
          <w:noProof/>
        </w:rPr>
        <w:t xml:space="preserve"> </w:t>
      </w:r>
      <w:r w:rsidR="0065796D" w:rsidRPr="00FC3C3B">
        <w:rPr>
          <w:noProof/>
        </w:rPr>
        <w:t>by the Commission</w:t>
      </w:r>
      <w:r w:rsidRPr="00FC3C3B">
        <w:rPr>
          <w:noProof/>
        </w:rPr>
        <w:t>.</w:t>
      </w:r>
    </w:p>
    <w:p w14:paraId="2829020C" w14:textId="77777777" w:rsidR="00394018" w:rsidRPr="00FC3C3B" w:rsidRDefault="00FA7C85" w:rsidP="00FA2E45">
      <w:pPr>
        <w:pBdr>
          <w:top w:val="nil"/>
          <w:left w:val="nil"/>
          <w:bottom w:val="nil"/>
          <w:right w:val="nil"/>
          <w:between w:val="nil"/>
          <w:bar w:val="nil"/>
        </w:pBdr>
        <w:spacing w:before="0" w:after="240"/>
        <w:rPr>
          <w:noProof/>
        </w:rPr>
      </w:pPr>
      <w:r w:rsidRPr="00FC3C3B">
        <w:rPr>
          <w:noProof/>
        </w:rPr>
        <w:t>To</w:t>
      </w:r>
      <w:r w:rsidR="00A86295" w:rsidRPr="00FC3C3B">
        <w:rPr>
          <w:noProof/>
        </w:rPr>
        <w:t xml:space="preserve"> monitor</w:t>
      </w:r>
      <w:r w:rsidRPr="00FC3C3B">
        <w:rPr>
          <w:noProof/>
        </w:rPr>
        <w:t xml:space="preserve"> and assess</w:t>
      </w:r>
      <w:r w:rsidR="00A86295" w:rsidRPr="00FC3C3B">
        <w:rPr>
          <w:noProof/>
        </w:rPr>
        <w:t xml:space="preserve"> the performance of the programme, the Commission </w:t>
      </w:r>
      <w:r w:rsidR="51659F13" w:rsidRPr="00FC3C3B">
        <w:rPr>
          <w:noProof/>
        </w:rPr>
        <w:t>will</w:t>
      </w:r>
      <w:r w:rsidR="00A86295" w:rsidRPr="00FC3C3B">
        <w:rPr>
          <w:noProof/>
        </w:rPr>
        <w:t xml:space="preserve"> </w:t>
      </w:r>
      <w:r w:rsidR="00F029EC" w:rsidRPr="00FC3C3B">
        <w:rPr>
          <w:noProof/>
        </w:rPr>
        <w:t xml:space="preserve">compile </w:t>
      </w:r>
      <w:r w:rsidRPr="00FC3C3B">
        <w:rPr>
          <w:noProof/>
        </w:rPr>
        <w:t xml:space="preserve">the results </w:t>
      </w:r>
      <w:r w:rsidR="00C715DA" w:rsidRPr="00FC3C3B">
        <w:rPr>
          <w:noProof/>
        </w:rPr>
        <w:t xml:space="preserve">of </w:t>
      </w:r>
      <w:r w:rsidR="00F029EC" w:rsidRPr="00FC3C3B">
        <w:rPr>
          <w:noProof/>
        </w:rPr>
        <w:t>performance indicators</w:t>
      </w:r>
      <w:r w:rsidR="00C715DA" w:rsidRPr="00FC3C3B">
        <w:rPr>
          <w:noProof/>
        </w:rPr>
        <w:t xml:space="preserve"> related to the </w:t>
      </w:r>
      <w:r w:rsidR="00982B83" w:rsidRPr="00FC3C3B">
        <w:rPr>
          <w:rFonts w:eastAsia="Times New Roman"/>
          <w:noProof/>
        </w:rPr>
        <w:t>STEP</w:t>
      </w:r>
      <w:r w:rsidR="00C715DA" w:rsidRPr="00FC3C3B">
        <w:rPr>
          <w:rFonts w:eastAsia="Times New Roman"/>
          <w:noProof/>
        </w:rPr>
        <w:t xml:space="preserve"> </w:t>
      </w:r>
      <w:r w:rsidR="00C715DA" w:rsidRPr="00FC3C3B">
        <w:rPr>
          <w:noProof/>
        </w:rPr>
        <w:t>from the relevant programmes</w:t>
      </w:r>
      <w:r w:rsidR="00053174" w:rsidRPr="00FC3C3B">
        <w:rPr>
          <w:noProof/>
        </w:rPr>
        <w:t>.</w:t>
      </w:r>
    </w:p>
    <w:p w14:paraId="48404BAB" w14:textId="77777777" w:rsidR="00F029EC" w:rsidRPr="00FC3C3B" w:rsidRDefault="00B5416C">
      <w:pPr>
        <w:pBdr>
          <w:top w:val="nil"/>
          <w:left w:val="nil"/>
          <w:bottom w:val="nil"/>
          <w:right w:val="nil"/>
          <w:between w:val="nil"/>
          <w:bar w:val="nil"/>
        </w:pBdr>
        <w:spacing w:before="0" w:after="240"/>
        <w:rPr>
          <w:noProof/>
        </w:rPr>
      </w:pPr>
      <w:r w:rsidRPr="00FC3C3B">
        <w:rPr>
          <w:noProof/>
        </w:rPr>
        <w:t xml:space="preserve">The implementation of </w:t>
      </w:r>
      <w:r w:rsidR="00EF71D0" w:rsidRPr="00FC3C3B">
        <w:rPr>
          <w:noProof/>
        </w:rPr>
        <w:t xml:space="preserve">the </w:t>
      </w:r>
      <w:r w:rsidR="00053174" w:rsidRPr="00FC3C3B">
        <w:rPr>
          <w:noProof/>
        </w:rPr>
        <w:t xml:space="preserve">performance </w:t>
      </w:r>
      <w:r w:rsidRPr="00FC3C3B">
        <w:rPr>
          <w:noProof/>
        </w:rPr>
        <w:t xml:space="preserve">indicators </w:t>
      </w:r>
      <w:r w:rsidR="00EF71D0" w:rsidRPr="00FC3C3B">
        <w:rPr>
          <w:noProof/>
        </w:rPr>
        <w:t xml:space="preserve">related to the </w:t>
      </w:r>
      <w:r w:rsidR="00982B83" w:rsidRPr="00FC3C3B">
        <w:rPr>
          <w:rFonts w:eastAsia="Times New Roman"/>
          <w:noProof/>
        </w:rPr>
        <w:t>STEP</w:t>
      </w:r>
      <w:r w:rsidR="00EF71D0" w:rsidRPr="00FC3C3B">
        <w:rPr>
          <w:rFonts w:eastAsia="Times New Roman"/>
          <w:noProof/>
        </w:rPr>
        <w:t xml:space="preserve"> </w:t>
      </w:r>
      <w:r w:rsidRPr="00FC3C3B">
        <w:rPr>
          <w:noProof/>
        </w:rPr>
        <w:t>requires:</w:t>
      </w:r>
    </w:p>
    <w:p w14:paraId="65A3B9A2" w14:textId="77777777" w:rsidR="00B5416C" w:rsidRPr="00FC3C3B" w:rsidRDefault="6C88A0AE" w:rsidP="009C0C3B">
      <w:pPr>
        <w:pStyle w:val="Tiret0"/>
        <w:numPr>
          <w:ilvl w:val="0"/>
          <w:numId w:val="8"/>
        </w:numPr>
        <w:rPr>
          <w:noProof/>
        </w:rPr>
      </w:pPr>
      <w:r w:rsidRPr="00FC3C3B">
        <w:rPr>
          <w:noProof/>
        </w:rPr>
        <w:t>Cohesion instruments</w:t>
      </w:r>
      <w:r w:rsidR="00B5416C" w:rsidRPr="00FC3C3B">
        <w:rPr>
          <w:noProof/>
        </w:rPr>
        <w:t xml:space="preserve">: </w:t>
      </w:r>
      <w:r w:rsidR="003646D4" w:rsidRPr="00FC3C3B">
        <w:rPr>
          <w:noProof/>
        </w:rPr>
        <w:t>amend</w:t>
      </w:r>
      <w:r w:rsidR="00FF73DD" w:rsidRPr="00FC3C3B">
        <w:rPr>
          <w:noProof/>
        </w:rPr>
        <w:t>ing</w:t>
      </w:r>
      <w:r w:rsidR="003646D4" w:rsidRPr="00FC3C3B">
        <w:rPr>
          <w:noProof/>
        </w:rPr>
        <w:t xml:space="preserve"> of</w:t>
      </w:r>
      <w:r w:rsidR="00B5416C" w:rsidRPr="00FC3C3B">
        <w:rPr>
          <w:noProof/>
        </w:rPr>
        <w:t xml:space="preserve"> the annexes of the </w:t>
      </w:r>
      <w:r w:rsidR="00D603D2" w:rsidRPr="00FC3C3B">
        <w:rPr>
          <w:noProof/>
        </w:rPr>
        <w:t>fund-specific</w:t>
      </w:r>
      <w:r w:rsidR="00B5416C" w:rsidRPr="00FC3C3B">
        <w:rPr>
          <w:noProof/>
        </w:rPr>
        <w:t xml:space="preserve"> regulation </w:t>
      </w:r>
      <w:r w:rsidR="004D51FC" w:rsidRPr="00FC3C3B">
        <w:rPr>
          <w:noProof/>
        </w:rPr>
        <w:t>containing</w:t>
      </w:r>
      <w:r w:rsidR="00B5416C" w:rsidRPr="00FC3C3B">
        <w:rPr>
          <w:noProof/>
        </w:rPr>
        <w:t xml:space="preserve"> the performance indicators</w:t>
      </w:r>
      <w:r w:rsidR="00B45213" w:rsidRPr="00FC3C3B">
        <w:rPr>
          <w:noProof/>
        </w:rPr>
        <w:t>;</w:t>
      </w:r>
    </w:p>
    <w:p w14:paraId="551565E0" w14:textId="77777777" w:rsidR="00B5416C" w:rsidRPr="00FC3C3B" w:rsidRDefault="00B5416C" w:rsidP="009C0C3B">
      <w:pPr>
        <w:pStyle w:val="Tiret0"/>
        <w:numPr>
          <w:ilvl w:val="0"/>
          <w:numId w:val="8"/>
        </w:numPr>
        <w:rPr>
          <w:noProof/>
        </w:rPr>
      </w:pPr>
      <w:r w:rsidRPr="00FC3C3B">
        <w:rPr>
          <w:noProof/>
        </w:rPr>
        <w:t xml:space="preserve">InvestEU: </w:t>
      </w:r>
      <w:r w:rsidR="003646D4" w:rsidRPr="00FC3C3B">
        <w:rPr>
          <w:noProof/>
        </w:rPr>
        <w:t>amend</w:t>
      </w:r>
      <w:r w:rsidR="004D51FC" w:rsidRPr="00FC3C3B">
        <w:rPr>
          <w:noProof/>
        </w:rPr>
        <w:t>ing</w:t>
      </w:r>
      <w:r w:rsidR="003646D4" w:rsidRPr="00FC3C3B">
        <w:rPr>
          <w:noProof/>
        </w:rPr>
        <w:t xml:space="preserve"> </w:t>
      </w:r>
      <w:r w:rsidR="00344BC7" w:rsidRPr="00FC3C3B">
        <w:rPr>
          <w:noProof/>
        </w:rPr>
        <w:t>A</w:t>
      </w:r>
      <w:r w:rsidR="003646D4" w:rsidRPr="00FC3C3B">
        <w:rPr>
          <w:noProof/>
        </w:rPr>
        <w:t xml:space="preserve">nnex </w:t>
      </w:r>
      <w:r w:rsidR="0056645D" w:rsidRPr="00FC3C3B">
        <w:rPr>
          <w:noProof/>
        </w:rPr>
        <w:t>III</w:t>
      </w:r>
      <w:r w:rsidR="003646D4" w:rsidRPr="00FC3C3B">
        <w:rPr>
          <w:noProof/>
        </w:rPr>
        <w:t xml:space="preserve"> of </w:t>
      </w:r>
      <w:r w:rsidR="3F421B1E" w:rsidRPr="00FC3C3B">
        <w:rPr>
          <w:noProof/>
        </w:rPr>
        <w:t xml:space="preserve">the </w:t>
      </w:r>
      <w:r w:rsidR="003646D4" w:rsidRPr="00FC3C3B">
        <w:rPr>
          <w:noProof/>
        </w:rPr>
        <w:t xml:space="preserve">InvestEU </w:t>
      </w:r>
      <w:r w:rsidR="00F22ED6" w:rsidRPr="00FC3C3B">
        <w:rPr>
          <w:noProof/>
        </w:rPr>
        <w:t>R</w:t>
      </w:r>
      <w:r w:rsidR="003646D4" w:rsidRPr="00FC3C3B">
        <w:rPr>
          <w:noProof/>
        </w:rPr>
        <w:t xml:space="preserve">egulation </w:t>
      </w:r>
      <w:r w:rsidR="00D4708B" w:rsidRPr="00FC3C3B">
        <w:rPr>
          <w:noProof/>
        </w:rPr>
        <w:t>containing the</w:t>
      </w:r>
      <w:r w:rsidR="0056645D" w:rsidRPr="00FC3C3B">
        <w:rPr>
          <w:noProof/>
        </w:rPr>
        <w:t xml:space="preserve"> key</w:t>
      </w:r>
      <w:r w:rsidR="00D4708B" w:rsidRPr="00FC3C3B">
        <w:rPr>
          <w:noProof/>
        </w:rPr>
        <w:t xml:space="preserve"> </w:t>
      </w:r>
      <w:r w:rsidR="0056645D" w:rsidRPr="00FC3C3B">
        <w:rPr>
          <w:noProof/>
        </w:rPr>
        <w:t xml:space="preserve">performance and monitoring </w:t>
      </w:r>
      <w:r w:rsidR="00D4708B" w:rsidRPr="00FC3C3B">
        <w:rPr>
          <w:noProof/>
        </w:rPr>
        <w:t>indicators</w:t>
      </w:r>
      <w:r w:rsidR="00B45213" w:rsidRPr="00FC3C3B">
        <w:rPr>
          <w:noProof/>
        </w:rPr>
        <w:t>;</w:t>
      </w:r>
    </w:p>
    <w:p w14:paraId="30F21D0A" w14:textId="77777777" w:rsidR="00315A02" w:rsidRPr="00FC3C3B" w:rsidRDefault="00315A02" w:rsidP="009C0C3B">
      <w:pPr>
        <w:pStyle w:val="Tiret0"/>
        <w:numPr>
          <w:ilvl w:val="0"/>
          <w:numId w:val="8"/>
        </w:numPr>
        <w:rPr>
          <w:noProof/>
        </w:rPr>
      </w:pPr>
      <w:r w:rsidRPr="00FC3C3B">
        <w:rPr>
          <w:noProof/>
        </w:rPr>
        <w:t>Recovery and Resilience Facility: relying on the existing reporting framework</w:t>
      </w:r>
    </w:p>
    <w:p w14:paraId="5350DA3B" w14:textId="77777777" w:rsidR="00D4708B" w:rsidRPr="00FC3C3B" w:rsidRDefault="00D4708B" w:rsidP="009C0C3B">
      <w:pPr>
        <w:pStyle w:val="Tiret0"/>
        <w:numPr>
          <w:ilvl w:val="0"/>
          <w:numId w:val="8"/>
        </w:numPr>
        <w:rPr>
          <w:noProof/>
        </w:rPr>
      </w:pPr>
      <w:r w:rsidRPr="00FC3C3B">
        <w:rPr>
          <w:noProof/>
        </w:rPr>
        <w:t xml:space="preserve">Direct </w:t>
      </w:r>
      <w:r w:rsidR="00F4144F" w:rsidRPr="00FC3C3B">
        <w:rPr>
          <w:noProof/>
        </w:rPr>
        <w:t>m</w:t>
      </w:r>
      <w:r w:rsidRPr="00FC3C3B">
        <w:rPr>
          <w:noProof/>
        </w:rPr>
        <w:t>anagement programmes (Horizon Europe, Innovation Fund</w:t>
      </w:r>
      <w:r w:rsidR="00867B13" w:rsidRPr="00FC3C3B">
        <w:rPr>
          <w:noProof/>
        </w:rPr>
        <w:t xml:space="preserve">, </w:t>
      </w:r>
      <w:r w:rsidR="004C1994" w:rsidRPr="00FC3C3B">
        <w:rPr>
          <w:noProof/>
        </w:rPr>
        <w:t xml:space="preserve">European Defence Fund, </w:t>
      </w:r>
      <w:r w:rsidR="00867B13" w:rsidRPr="00FC3C3B">
        <w:rPr>
          <w:noProof/>
        </w:rPr>
        <w:t>Digital Europe Programme</w:t>
      </w:r>
      <w:r w:rsidR="00E01E1F" w:rsidRPr="00FC3C3B">
        <w:rPr>
          <w:noProof/>
        </w:rPr>
        <w:t>, EU4Health Programme</w:t>
      </w:r>
      <w:r w:rsidRPr="00FC3C3B">
        <w:rPr>
          <w:noProof/>
        </w:rPr>
        <w:t>): information to be gathered by the Commission</w:t>
      </w:r>
      <w:r w:rsidR="00867B13" w:rsidRPr="00FC3C3B">
        <w:rPr>
          <w:noProof/>
        </w:rPr>
        <w:t>.</w:t>
      </w:r>
    </w:p>
    <w:p w14:paraId="5FD0DBDA" w14:textId="77777777" w:rsidR="002C7991" w:rsidRPr="00FC3C3B" w:rsidRDefault="00550165">
      <w:pPr>
        <w:pStyle w:val="ManualHeading2"/>
        <w:rPr>
          <w:rFonts w:eastAsia="Arial Unicode MS"/>
          <w:noProof/>
          <w:u w:color="000000"/>
          <w:bdr w:val="nil"/>
          <w:lang w:val="en-US" w:eastAsia="en-GB"/>
        </w:rPr>
      </w:pPr>
      <w:r w:rsidRPr="00FC3C3B">
        <w:rPr>
          <w:rFonts w:eastAsia="Arial Unicode MS"/>
          <w:noProof/>
          <w:u w:color="000000"/>
          <w:bdr w:val="nil"/>
          <w:lang w:val="en-US" w:eastAsia="en-GB"/>
        </w:rPr>
        <w:t>•</w:t>
      </w:r>
      <w:r w:rsidRPr="00FC3C3B">
        <w:rPr>
          <w:rFonts w:eastAsia="Arial Unicode MS"/>
          <w:noProof/>
          <w:u w:color="000000"/>
          <w:bdr w:val="nil"/>
          <w:lang w:val="en-US" w:eastAsia="en-GB"/>
        </w:rPr>
        <w:tab/>
        <w:t>Detailed explanation of the specific provisions of the proposal</w:t>
      </w:r>
    </w:p>
    <w:p w14:paraId="6A8F32E7" w14:textId="77777777" w:rsidR="00176C78" w:rsidRPr="00FC3C3B" w:rsidRDefault="006222A7" w:rsidP="00CF0847">
      <w:pPr>
        <w:pBdr>
          <w:top w:val="nil"/>
          <w:left w:val="nil"/>
          <w:bottom w:val="nil"/>
          <w:right w:val="nil"/>
          <w:between w:val="nil"/>
          <w:bar w:val="nil"/>
        </w:pBdr>
        <w:spacing w:before="0" w:after="240"/>
        <w:rPr>
          <w:noProof/>
        </w:rPr>
      </w:pPr>
      <w:r w:rsidRPr="00FC3C3B">
        <w:rPr>
          <w:noProof/>
        </w:rPr>
        <w:t xml:space="preserve">Chapter </w:t>
      </w:r>
      <w:r w:rsidR="00060505" w:rsidRPr="00FC3C3B">
        <w:rPr>
          <w:noProof/>
        </w:rPr>
        <w:t>1 of th</w:t>
      </w:r>
      <w:r w:rsidR="00E213CB" w:rsidRPr="00FC3C3B">
        <w:rPr>
          <w:noProof/>
        </w:rPr>
        <w:t>is</w:t>
      </w:r>
      <w:r w:rsidR="00060505" w:rsidRPr="00FC3C3B">
        <w:rPr>
          <w:noProof/>
        </w:rPr>
        <w:t xml:space="preserve"> Regulation </w:t>
      </w:r>
      <w:r w:rsidR="00176C78" w:rsidRPr="00FC3C3B">
        <w:rPr>
          <w:noProof/>
        </w:rPr>
        <w:t xml:space="preserve">(Articles 1 to </w:t>
      </w:r>
      <w:r w:rsidR="00B579AB" w:rsidRPr="00FC3C3B">
        <w:rPr>
          <w:noProof/>
        </w:rPr>
        <w:t xml:space="preserve">8) </w:t>
      </w:r>
      <w:r w:rsidR="00060505" w:rsidRPr="00FC3C3B">
        <w:rPr>
          <w:noProof/>
        </w:rPr>
        <w:t xml:space="preserve">sets out the </w:t>
      </w:r>
      <w:r w:rsidR="00162C9E" w:rsidRPr="00FC3C3B">
        <w:rPr>
          <w:noProof/>
        </w:rPr>
        <w:t xml:space="preserve">common </w:t>
      </w:r>
      <w:r w:rsidR="00060505" w:rsidRPr="00FC3C3B">
        <w:rPr>
          <w:noProof/>
        </w:rPr>
        <w:t xml:space="preserve">provisions </w:t>
      </w:r>
      <w:r w:rsidR="00257F05" w:rsidRPr="00FC3C3B">
        <w:rPr>
          <w:noProof/>
        </w:rPr>
        <w:t>necessary for</w:t>
      </w:r>
      <w:r w:rsidR="0069144A" w:rsidRPr="00FC3C3B">
        <w:rPr>
          <w:noProof/>
        </w:rPr>
        <w:t xml:space="preserve"> the creation of the </w:t>
      </w:r>
      <w:r w:rsidR="0089765C" w:rsidRPr="00FC3C3B">
        <w:rPr>
          <w:rFonts w:eastAsia="Times New Roman"/>
          <w:noProof/>
        </w:rPr>
        <w:t>STEP</w:t>
      </w:r>
      <w:r w:rsidR="00B579AB" w:rsidRPr="00FC3C3B">
        <w:rPr>
          <w:noProof/>
        </w:rPr>
        <w:t xml:space="preserve">, while Chapter 2 </w:t>
      </w:r>
      <w:r w:rsidR="00DA04FE" w:rsidRPr="00FC3C3B">
        <w:rPr>
          <w:noProof/>
        </w:rPr>
        <w:t xml:space="preserve">contains the amendments to other </w:t>
      </w:r>
      <w:r w:rsidR="008B1CE0" w:rsidRPr="00FC3C3B">
        <w:rPr>
          <w:noProof/>
        </w:rPr>
        <w:t xml:space="preserve">relevant </w:t>
      </w:r>
      <w:r w:rsidR="00941715" w:rsidRPr="00FC3C3B">
        <w:rPr>
          <w:noProof/>
        </w:rPr>
        <w:t xml:space="preserve">pieces of </w:t>
      </w:r>
      <w:r w:rsidR="00257F05" w:rsidRPr="00FC3C3B">
        <w:rPr>
          <w:noProof/>
        </w:rPr>
        <w:t xml:space="preserve">EU </w:t>
      </w:r>
      <w:r w:rsidR="008B1CE0" w:rsidRPr="00FC3C3B">
        <w:rPr>
          <w:noProof/>
        </w:rPr>
        <w:t xml:space="preserve">legislation (Articles </w:t>
      </w:r>
      <w:r w:rsidR="00365134" w:rsidRPr="00FC3C3B">
        <w:rPr>
          <w:noProof/>
        </w:rPr>
        <w:t>9</w:t>
      </w:r>
      <w:r w:rsidR="00040A70" w:rsidRPr="00FC3C3B">
        <w:rPr>
          <w:noProof/>
        </w:rPr>
        <w:t xml:space="preserve"> to </w:t>
      </w:r>
      <w:r w:rsidR="00471E1B" w:rsidRPr="00FC3C3B">
        <w:rPr>
          <w:noProof/>
        </w:rPr>
        <w:t>1</w:t>
      </w:r>
      <w:r w:rsidR="00113B42" w:rsidRPr="00FC3C3B">
        <w:rPr>
          <w:noProof/>
        </w:rPr>
        <w:t>9</w:t>
      </w:r>
      <w:r w:rsidR="00471E1B" w:rsidRPr="00FC3C3B">
        <w:rPr>
          <w:noProof/>
        </w:rPr>
        <w:t xml:space="preserve">). </w:t>
      </w:r>
    </w:p>
    <w:p w14:paraId="12A0B9AA" w14:textId="77777777" w:rsidR="00176C78" w:rsidRPr="006E37DD" w:rsidRDefault="00176C78" w:rsidP="00060505">
      <w:pPr>
        <w:pBdr>
          <w:top w:val="nil"/>
          <w:left w:val="nil"/>
          <w:bottom w:val="nil"/>
          <w:right w:val="nil"/>
          <w:between w:val="nil"/>
          <w:bar w:val="nil"/>
        </w:pBdr>
        <w:spacing w:before="0" w:after="240"/>
        <w:jc w:val="left"/>
        <w:rPr>
          <w:noProof/>
          <w:u w:val="single"/>
        </w:rPr>
      </w:pPr>
      <w:r w:rsidRPr="006E37DD">
        <w:rPr>
          <w:noProof/>
          <w:u w:val="single"/>
        </w:rPr>
        <w:t xml:space="preserve">Subject matter and </w:t>
      </w:r>
      <w:r w:rsidR="005B6A00" w:rsidRPr="006E37DD">
        <w:rPr>
          <w:noProof/>
          <w:u w:val="single"/>
        </w:rPr>
        <w:t>Platform</w:t>
      </w:r>
      <w:r w:rsidRPr="006E37DD">
        <w:rPr>
          <w:noProof/>
          <w:u w:val="single"/>
        </w:rPr>
        <w:t xml:space="preserve"> objectives (Articles 1 and 2)</w:t>
      </w:r>
    </w:p>
    <w:p w14:paraId="3AFF57E5" w14:textId="77777777" w:rsidR="00C73400" w:rsidRPr="00FC3C3B" w:rsidRDefault="00E80C70" w:rsidP="00C306F1">
      <w:pPr>
        <w:pBdr>
          <w:top w:val="nil"/>
          <w:left w:val="nil"/>
          <w:bottom w:val="nil"/>
          <w:right w:val="nil"/>
          <w:between w:val="nil"/>
          <w:bar w:val="nil"/>
        </w:pBdr>
        <w:spacing w:before="0" w:after="240"/>
        <w:rPr>
          <w:noProof/>
        </w:rPr>
      </w:pPr>
      <w:r w:rsidRPr="00FC3C3B">
        <w:rPr>
          <w:noProof/>
        </w:rPr>
        <w:t xml:space="preserve">Article 1 </w:t>
      </w:r>
      <w:r w:rsidR="00D01B52" w:rsidRPr="00FC3C3B">
        <w:rPr>
          <w:noProof/>
        </w:rPr>
        <w:t>explains the subject matter of the Regulation</w:t>
      </w:r>
      <w:r w:rsidR="00493068" w:rsidRPr="00FC3C3B">
        <w:rPr>
          <w:noProof/>
        </w:rPr>
        <w:t>, and</w:t>
      </w:r>
      <w:r w:rsidR="00D01B52" w:rsidRPr="00FC3C3B">
        <w:rPr>
          <w:noProof/>
        </w:rPr>
        <w:t xml:space="preserve"> Article 2 defines the </w:t>
      </w:r>
      <w:r w:rsidR="004F7E58" w:rsidRPr="00FC3C3B">
        <w:rPr>
          <w:noProof/>
        </w:rPr>
        <w:t xml:space="preserve">objectives and </w:t>
      </w:r>
      <w:r w:rsidR="00740BFF" w:rsidRPr="00FC3C3B">
        <w:rPr>
          <w:noProof/>
        </w:rPr>
        <w:t>scope of the instrument. In accordance with Article 2, the</w:t>
      </w:r>
      <w:r w:rsidR="00C72890" w:rsidRPr="00FC3C3B">
        <w:rPr>
          <w:noProof/>
        </w:rPr>
        <w:t xml:space="preserve"> </w:t>
      </w:r>
      <w:r w:rsidR="0089765C" w:rsidRPr="00FC3C3B">
        <w:rPr>
          <w:rFonts w:eastAsia="Times New Roman"/>
          <w:noProof/>
        </w:rPr>
        <w:t>STEP</w:t>
      </w:r>
      <w:r w:rsidR="00D676E9" w:rsidRPr="00FC3C3B">
        <w:rPr>
          <w:rFonts w:eastAsia="Times New Roman"/>
          <w:noProof/>
        </w:rPr>
        <w:t xml:space="preserve"> </w:t>
      </w:r>
      <w:r w:rsidR="00C72890" w:rsidRPr="00FC3C3B">
        <w:rPr>
          <w:noProof/>
        </w:rPr>
        <w:t xml:space="preserve">has a </w:t>
      </w:r>
      <w:r w:rsidR="00C72297" w:rsidRPr="00FC3C3B">
        <w:rPr>
          <w:noProof/>
        </w:rPr>
        <w:t>twofold</w:t>
      </w:r>
      <w:r w:rsidR="00C72890" w:rsidRPr="00FC3C3B">
        <w:rPr>
          <w:noProof/>
        </w:rPr>
        <w:t xml:space="preserve"> objective</w:t>
      </w:r>
      <w:r w:rsidR="00E45935" w:rsidRPr="00FC3C3B">
        <w:rPr>
          <w:noProof/>
        </w:rPr>
        <w:t xml:space="preserve">: (i) to support the development </w:t>
      </w:r>
      <w:r w:rsidR="005D3EA8" w:rsidRPr="00FC3C3B">
        <w:rPr>
          <w:noProof/>
        </w:rPr>
        <w:t>or</w:t>
      </w:r>
      <w:r w:rsidR="00E45935" w:rsidRPr="00FC3C3B">
        <w:rPr>
          <w:noProof/>
        </w:rPr>
        <w:t xml:space="preserve"> manufacturing of </w:t>
      </w:r>
      <w:r w:rsidR="0063708C" w:rsidRPr="00FC3C3B">
        <w:rPr>
          <w:noProof/>
        </w:rPr>
        <w:t xml:space="preserve">critical </w:t>
      </w:r>
      <w:r w:rsidR="00E45935" w:rsidRPr="00FC3C3B">
        <w:rPr>
          <w:noProof/>
        </w:rPr>
        <w:t>technologies in the Union</w:t>
      </w:r>
      <w:r w:rsidR="00C72297" w:rsidRPr="00FC3C3B">
        <w:rPr>
          <w:noProof/>
        </w:rPr>
        <w:t xml:space="preserve"> </w:t>
      </w:r>
      <w:r w:rsidR="0063708C" w:rsidRPr="00FC3C3B">
        <w:rPr>
          <w:noProof/>
        </w:rPr>
        <w:t>or s</w:t>
      </w:r>
      <w:r w:rsidR="00C935DE" w:rsidRPr="00FC3C3B">
        <w:rPr>
          <w:noProof/>
        </w:rPr>
        <w:t>afeguarding and strengthening</w:t>
      </w:r>
      <w:r w:rsidR="00C72297" w:rsidRPr="00FC3C3B">
        <w:rPr>
          <w:noProof/>
        </w:rPr>
        <w:t xml:space="preserve"> their </w:t>
      </w:r>
      <w:r w:rsidR="00AA4365" w:rsidRPr="00FC3C3B">
        <w:rPr>
          <w:noProof/>
        </w:rPr>
        <w:t>value chai</w:t>
      </w:r>
      <w:r w:rsidR="00D268C5" w:rsidRPr="00FC3C3B">
        <w:rPr>
          <w:noProof/>
        </w:rPr>
        <w:t>ns</w:t>
      </w:r>
      <w:r w:rsidR="00113E65" w:rsidRPr="00FC3C3B">
        <w:rPr>
          <w:noProof/>
        </w:rPr>
        <w:t xml:space="preserve">; </w:t>
      </w:r>
      <w:r w:rsidR="000978FB" w:rsidRPr="00FC3C3B">
        <w:rPr>
          <w:noProof/>
        </w:rPr>
        <w:t xml:space="preserve">and (ii) reducing labour and skills shortages in those </w:t>
      </w:r>
      <w:r w:rsidR="00BB2251" w:rsidRPr="00FC3C3B">
        <w:rPr>
          <w:noProof/>
        </w:rPr>
        <w:t xml:space="preserve">strategic sectors. </w:t>
      </w:r>
      <w:r w:rsidR="00740BFF" w:rsidRPr="00FC3C3B">
        <w:rPr>
          <w:noProof/>
        </w:rPr>
        <w:t>Article 2 also define</w:t>
      </w:r>
      <w:r w:rsidR="00B9492D" w:rsidRPr="00FC3C3B">
        <w:rPr>
          <w:noProof/>
        </w:rPr>
        <w:t>s</w:t>
      </w:r>
      <w:r w:rsidR="00740BFF" w:rsidRPr="00FC3C3B">
        <w:rPr>
          <w:noProof/>
        </w:rPr>
        <w:t xml:space="preserve"> </w:t>
      </w:r>
      <w:r w:rsidR="00072F76" w:rsidRPr="00FC3C3B">
        <w:rPr>
          <w:noProof/>
        </w:rPr>
        <w:t xml:space="preserve">the fields </w:t>
      </w:r>
      <w:r w:rsidR="00C306F1" w:rsidRPr="00FC3C3B">
        <w:rPr>
          <w:noProof/>
        </w:rPr>
        <w:t>for those critical</w:t>
      </w:r>
      <w:r w:rsidR="00B2697E" w:rsidRPr="00FC3C3B">
        <w:rPr>
          <w:noProof/>
        </w:rPr>
        <w:t xml:space="preserve"> technologies</w:t>
      </w:r>
      <w:r w:rsidR="009026E0" w:rsidRPr="00FC3C3B">
        <w:rPr>
          <w:noProof/>
        </w:rPr>
        <w:t xml:space="preserve">, namely </w:t>
      </w:r>
      <w:r w:rsidR="000A12B7" w:rsidRPr="00FC3C3B">
        <w:rPr>
          <w:noProof/>
        </w:rPr>
        <w:t>deep</w:t>
      </w:r>
      <w:r w:rsidR="008D1C0D" w:rsidRPr="00FC3C3B">
        <w:rPr>
          <w:noProof/>
        </w:rPr>
        <w:t xml:space="preserve"> and digital</w:t>
      </w:r>
      <w:r w:rsidR="000A12B7" w:rsidRPr="00FC3C3B">
        <w:rPr>
          <w:noProof/>
        </w:rPr>
        <w:t xml:space="preserve"> technologies, </w:t>
      </w:r>
      <w:r w:rsidR="009026E0" w:rsidRPr="00FC3C3B">
        <w:rPr>
          <w:noProof/>
        </w:rPr>
        <w:t xml:space="preserve">clean technologies, </w:t>
      </w:r>
      <w:r w:rsidR="008D1C0D" w:rsidRPr="00FC3C3B">
        <w:rPr>
          <w:noProof/>
        </w:rPr>
        <w:t xml:space="preserve">and </w:t>
      </w:r>
      <w:r w:rsidR="009026E0" w:rsidRPr="00FC3C3B">
        <w:rPr>
          <w:noProof/>
        </w:rPr>
        <w:t>biotechnologies</w:t>
      </w:r>
      <w:r w:rsidR="008D1C0D" w:rsidRPr="00FC3C3B">
        <w:rPr>
          <w:noProof/>
        </w:rPr>
        <w:t>.</w:t>
      </w:r>
      <w:r w:rsidR="00C306F1" w:rsidRPr="00FC3C3B">
        <w:rPr>
          <w:noProof/>
        </w:rPr>
        <w:t xml:space="preserve"> This provision further specifies that, in order for a technology to be deemed as critical for the purposes of the </w:t>
      </w:r>
      <w:r w:rsidR="009F5C82" w:rsidRPr="00FC3C3B">
        <w:rPr>
          <w:noProof/>
        </w:rPr>
        <w:t>Platform</w:t>
      </w:r>
      <w:r w:rsidR="00C306F1" w:rsidRPr="00FC3C3B">
        <w:rPr>
          <w:noProof/>
        </w:rPr>
        <w:t xml:space="preserve">, it should meet the following conditions: (i) </w:t>
      </w:r>
      <w:r w:rsidR="00C73400" w:rsidRPr="00FC3C3B">
        <w:rPr>
          <w:noProof/>
        </w:rPr>
        <w:t>bring an innovative, element with significant economic potential to the Single Market</w:t>
      </w:r>
      <w:r w:rsidR="00C306F1" w:rsidRPr="00FC3C3B">
        <w:rPr>
          <w:noProof/>
        </w:rPr>
        <w:t>;</w:t>
      </w:r>
      <w:r w:rsidR="00C73400" w:rsidRPr="00FC3C3B">
        <w:rPr>
          <w:noProof/>
        </w:rPr>
        <w:t xml:space="preserve"> or </w:t>
      </w:r>
      <w:r w:rsidR="00C306F1" w:rsidRPr="00FC3C3B">
        <w:rPr>
          <w:noProof/>
        </w:rPr>
        <w:t xml:space="preserve">(ii) </w:t>
      </w:r>
      <w:r w:rsidR="00C73400" w:rsidRPr="00FC3C3B">
        <w:rPr>
          <w:noProof/>
        </w:rPr>
        <w:t>contribute to reduce or prevent the strategic dependencies of the Union.</w:t>
      </w:r>
      <w:r w:rsidR="007E14CE" w:rsidRPr="00FC3C3B">
        <w:rPr>
          <w:noProof/>
        </w:rPr>
        <w:t xml:space="preserve"> It is also clarified that</w:t>
      </w:r>
      <w:r w:rsidR="00876E61" w:rsidRPr="00FC3C3B">
        <w:rPr>
          <w:noProof/>
        </w:rPr>
        <w:t>, where an</w:t>
      </w:r>
      <w:r w:rsidR="007E14CE" w:rsidRPr="00FC3C3B">
        <w:rPr>
          <w:noProof/>
        </w:rPr>
        <w:t xml:space="preserve"> IPCEI </w:t>
      </w:r>
      <w:r w:rsidR="00C82D5B" w:rsidRPr="00FC3C3B">
        <w:rPr>
          <w:noProof/>
        </w:rPr>
        <w:t xml:space="preserve">approved </w:t>
      </w:r>
      <w:r w:rsidR="00C73400" w:rsidRPr="00FC3C3B">
        <w:rPr>
          <w:noProof/>
        </w:rPr>
        <w:t>pursuant to Article 107(3)(b) TFEU relate</w:t>
      </w:r>
      <w:r w:rsidR="00876E61" w:rsidRPr="00FC3C3B">
        <w:rPr>
          <w:noProof/>
        </w:rPr>
        <w:t>s</w:t>
      </w:r>
      <w:r w:rsidR="00C73400" w:rsidRPr="00FC3C3B">
        <w:rPr>
          <w:noProof/>
        </w:rPr>
        <w:t xml:space="preserve"> to any of the technology field</w:t>
      </w:r>
      <w:r w:rsidR="00876E61" w:rsidRPr="00FC3C3B">
        <w:rPr>
          <w:noProof/>
        </w:rPr>
        <w:t xml:space="preserve">s referred to in </w:t>
      </w:r>
      <w:r w:rsidR="0049299B" w:rsidRPr="00FC3C3B">
        <w:rPr>
          <w:noProof/>
        </w:rPr>
        <w:t>Article 2(1)(a)</w:t>
      </w:r>
      <w:r w:rsidR="00C73400" w:rsidRPr="00FC3C3B">
        <w:rPr>
          <w:noProof/>
        </w:rPr>
        <w:t xml:space="preserve">, the relevant technologies should be deemed to be critical. </w:t>
      </w:r>
      <w:r w:rsidR="00A8717F" w:rsidRPr="00FC3C3B">
        <w:rPr>
          <w:noProof/>
        </w:rPr>
        <w:t xml:space="preserve">Article 2 also provides with further guidance as to the meaning of ‘value chain’. </w:t>
      </w:r>
    </w:p>
    <w:p w14:paraId="70DBBB50" w14:textId="77777777" w:rsidR="002C7991" w:rsidRPr="00FC3C3B" w:rsidRDefault="00941715" w:rsidP="732EB33E">
      <w:pPr>
        <w:pBdr>
          <w:top w:val="nil"/>
          <w:left w:val="nil"/>
          <w:bottom w:val="nil"/>
          <w:right w:val="nil"/>
          <w:between w:val="nil"/>
          <w:bar w:val="nil"/>
        </w:pBdr>
        <w:spacing w:before="0" w:after="240"/>
        <w:jc w:val="left"/>
        <w:rPr>
          <w:noProof/>
          <w:u w:val="single"/>
        </w:rPr>
      </w:pPr>
      <w:r w:rsidRPr="00FC3C3B">
        <w:rPr>
          <w:noProof/>
          <w:u w:val="single"/>
        </w:rPr>
        <w:t>Financial support (Article 3)</w:t>
      </w:r>
    </w:p>
    <w:p w14:paraId="38ADE513" w14:textId="77777777" w:rsidR="00941715" w:rsidRPr="00FC3C3B" w:rsidRDefault="007B4D2D" w:rsidP="00B65BD7">
      <w:pPr>
        <w:pBdr>
          <w:top w:val="nil"/>
          <w:left w:val="nil"/>
          <w:bottom w:val="nil"/>
          <w:right w:val="nil"/>
          <w:between w:val="nil"/>
          <w:bar w:val="nil"/>
        </w:pBdr>
        <w:spacing w:before="0" w:after="240"/>
        <w:rPr>
          <w:noProof/>
        </w:rPr>
      </w:pPr>
      <w:r w:rsidRPr="00FC3C3B">
        <w:rPr>
          <w:noProof/>
        </w:rPr>
        <w:t xml:space="preserve">This provision </w:t>
      </w:r>
      <w:r w:rsidR="005D580E" w:rsidRPr="00FC3C3B">
        <w:rPr>
          <w:noProof/>
        </w:rPr>
        <w:t xml:space="preserve">lays down the additional </w:t>
      </w:r>
      <w:r w:rsidR="00D97947" w:rsidRPr="00FC3C3B">
        <w:rPr>
          <w:noProof/>
        </w:rPr>
        <w:t xml:space="preserve">EU </w:t>
      </w:r>
      <w:r w:rsidR="005D580E" w:rsidRPr="00FC3C3B">
        <w:rPr>
          <w:noProof/>
        </w:rPr>
        <w:t xml:space="preserve">funding </w:t>
      </w:r>
      <w:r w:rsidR="000C41F4" w:rsidRPr="00FC3C3B">
        <w:rPr>
          <w:noProof/>
        </w:rPr>
        <w:t xml:space="preserve">which is </w:t>
      </w:r>
      <w:r w:rsidR="00D97947" w:rsidRPr="00FC3C3B">
        <w:rPr>
          <w:noProof/>
        </w:rPr>
        <w:t>used</w:t>
      </w:r>
      <w:r w:rsidR="000C41F4" w:rsidRPr="00FC3C3B">
        <w:rPr>
          <w:noProof/>
        </w:rPr>
        <w:t xml:space="preserve"> to </w:t>
      </w:r>
      <w:r w:rsidR="00D97947" w:rsidRPr="00FC3C3B">
        <w:rPr>
          <w:noProof/>
        </w:rPr>
        <w:t>reinforce</w:t>
      </w:r>
      <w:r w:rsidR="000C41F4" w:rsidRPr="00FC3C3B">
        <w:rPr>
          <w:noProof/>
        </w:rPr>
        <w:t xml:space="preserve"> the firepower </w:t>
      </w:r>
      <w:r w:rsidR="00D97947" w:rsidRPr="00FC3C3B">
        <w:rPr>
          <w:noProof/>
        </w:rPr>
        <w:t xml:space="preserve">of several </w:t>
      </w:r>
      <w:r w:rsidR="00E22A54" w:rsidRPr="00FC3C3B">
        <w:rPr>
          <w:noProof/>
        </w:rPr>
        <w:t xml:space="preserve">instruments, namely </w:t>
      </w:r>
      <w:r w:rsidR="0082631C" w:rsidRPr="00FC3C3B">
        <w:rPr>
          <w:noProof/>
        </w:rPr>
        <w:t xml:space="preserve">InvestEU, </w:t>
      </w:r>
      <w:r w:rsidR="005D0B72" w:rsidRPr="00FC3C3B">
        <w:rPr>
          <w:noProof/>
        </w:rPr>
        <w:t xml:space="preserve">Horizon Europe, </w:t>
      </w:r>
      <w:r w:rsidR="003841DA" w:rsidRPr="00FC3C3B">
        <w:rPr>
          <w:noProof/>
        </w:rPr>
        <w:t xml:space="preserve">European Defence Fund </w:t>
      </w:r>
      <w:r w:rsidR="005D0B72" w:rsidRPr="00FC3C3B">
        <w:rPr>
          <w:noProof/>
        </w:rPr>
        <w:t xml:space="preserve">and </w:t>
      </w:r>
      <w:r w:rsidR="0082631C" w:rsidRPr="00FC3C3B">
        <w:rPr>
          <w:noProof/>
        </w:rPr>
        <w:t>the Innovation Fund</w:t>
      </w:r>
      <w:r w:rsidR="005D0B72" w:rsidRPr="00FC3C3B">
        <w:rPr>
          <w:noProof/>
        </w:rPr>
        <w:t>.</w:t>
      </w:r>
      <w:r w:rsidR="0082631C" w:rsidRPr="00FC3C3B">
        <w:rPr>
          <w:noProof/>
        </w:rPr>
        <w:t xml:space="preserve"> </w:t>
      </w:r>
    </w:p>
    <w:p w14:paraId="0239CADF" w14:textId="77777777" w:rsidR="00B05D78" w:rsidRPr="00FC3C3B" w:rsidRDefault="00903C19" w:rsidP="732EB33E">
      <w:pPr>
        <w:pBdr>
          <w:top w:val="nil"/>
          <w:left w:val="nil"/>
          <w:bottom w:val="nil"/>
          <w:right w:val="nil"/>
          <w:between w:val="nil"/>
          <w:bar w:val="nil"/>
        </w:pBdr>
        <w:spacing w:before="0" w:after="240"/>
        <w:jc w:val="left"/>
        <w:rPr>
          <w:noProof/>
          <w:u w:val="single"/>
        </w:rPr>
      </w:pPr>
      <w:r w:rsidRPr="00FC3C3B">
        <w:rPr>
          <w:noProof/>
          <w:u w:val="single"/>
        </w:rPr>
        <w:t xml:space="preserve">Sovereignty Seal </w:t>
      </w:r>
      <w:r w:rsidR="00057EC9" w:rsidRPr="00FC3C3B">
        <w:rPr>
          <w:noProof/>
          <w:u w:val="single"/>
        </w:rPr>
        <w:t xml:space="preserve">and cumulative funding </w:t>
      </w:r>
      <w:r w:rsidRPr="00FC3C3B">
        <w:rPr>
          <w:noProof/>
          <w:u w:val="single"/>
        </w:rPr>
        <w:t>(Article 4)</w:t>
      </w:r>
    </w:p>
    <w:p w14:paraId="7E286CA1" w14:textId="77777777" w:rsidR="009B7F31" w:rsidRPr="00FC3C3B" w:rsidRDefault="00552403" w:rsidP="00937626">
      <w:pPr>
        <w:pBdr>
          <w:top w:val="nil"/>
          <w:left w:val="nil"/>
          <w:bottom w:val="nil"/>
          <w:right w:val="nil"/>
          <w:between w:val="nil"/>
          <w:bar w:val="nil"/>
        </w:pBdr>
        <w:spacing w:before="0" w:after="240"/>
        <w:rPr>
          <w:noProof/>
        </w:rPr>
      </w:pPr>
      <w:r w:rsidRPr="00FC3C3B">
        <w:rPr>
          <w:noProof/>
        </w:rPr>
        <w:t xml:space="preserve">Article 4 </w:t>
      </w:r>
      <w:r w:rsidR="00880014" w:rsidRPr="00FC3C3B">
        <w:rPr>
          <w:noProof/>
        </w:rPr>
        <w:t>creates</w:t>
      </w:r>
      <w:r w:rsidRPr="00FC3C3B">
        <w:rPr>
          <w:noProof/>
        </w:rPr>
        <w:t xml:space="preserve"> a </w:t>
      </w:r>
      <w:r w:rsidR="00880014" w:rsidRPr="00FC3C3B">
        <w:rPr>
          <w:noProof/>
        </w:rPr>
        <w:t>‘</w:t>
      </w:r>
      <w:r w:rsidRPr="00FC3C3B">
        <w:rPr>
          <w:noProof/>
        </w:rPr>
        <w:t>Sovereignty Seal</w:t>
      </w:r>
      <w:r w:rsidR="00880014" w:rsidRPr="00FC3C3B">
        <w:rPr>
          <w:noProof/>
        </w:rPr>
        <w:t>’</w:t>
      </w:r>
      <w:r w:rsidRPr="00FC3C3B">
        <w:rPr>
          <w:noProof/>
        </w:rPr>
        <w:t xml:space="preserve">, which is </w:t>
      </w:r>
      <w:r w:rsidR="00941E21" w:rsidRPr="00FC3C3B">
        <w:rPr>
          <w:noProof/>
        </w:rPr>
        <w:t>a new label</w:t>
      </w:r>
      <w:r w:rsidR="00FD32B2" w:rsidRPr="00FC3C3B">
        <w:rPr>
          <w:noProof/>
        </w:rPr>
        <w:t xml:space="preserve"> </w:t>
      </w:r>
      <w:r w:rsidR="0070794B" w:rsidRPr="00FC3C3B">
        <w:rPr>
          <w:noProof/>
        </w:rPr>
        <w:t xml:space="preserve">intended to help project </w:t>
      </w:r>
      <w:r w:rsidR="00A65890" w:rsidRPr="00FC3C3B">
        <w:rPr>
          <w:noProof/>
        </w:rPr>
        <w:t xml:space="preserve">promoters attract public and private investments by certifying its contribution to </w:t>
      </w:r>
      <w:r w:rsidR="00937626" w:rsidRPr="00FC3C3B">
        <w:rPr>
          <w:noProof/>
        </w:rPr>
        <w:t xml:space="preserve">the </w:t>
      </w:r>
      <w:r w:rsidR="0089765C" w:rsidRPr="00FC3C3B">
        <w:rPr>
          <w:noProof/>
        </w:rPr>
        <w:t xml:space="preserve">STEP </w:t>
      </w:r>
      <w:r w:rsidR="00A96491" w:rsidRPr="00FC3C3B">
        <w:rPr>
          <w:noProof/>
        </w:rPr>
        <w:t>objectives</w:t>
      </w:r>
      <w:r w:rsidR="00937626" w:rsidRPr="00FC3C3B">
        <w:rPr>
          <w:noProof/>
        </w:rPr>
        <w:t xml:space="preserve">. </w:t>
      </w:r>
      <w:r w:rsidR="00813D3D" w:rsidRPr="00FC3C3B">
        <w:rPr>
          <w:noProof/>
        </w:rPr>
        <w:t xml:space="preserve">The Sovereignty Seal </w:t>
      </w:r>
      <w:r w:rsidR="007972B7" w:rsidRPr="00FC3C3B">
        <w:rPr>
          <w:noProof/>
        </w:rPr>
        <w:t>would be awarded under</w:t>
      </w:r>
      <w:r w:rsidR="003D222A" w:rsidRPr="00FC3C3B">
        <w:rPr>
          <w:noProof/>
        </w:rPr>
        <w:t xml:space="preserve"> directly managed program</w:t>
      </w:r>
      <w:r w:rsidR="00C82D5B" w:rsidRPr="00FC3C3B">
        <w:rPr>
          <w:noProof/>
        </w:rPr>
        <w:t>me</w:t>
      </w:r>
      <w:r w:rsidR="003D222A" w:rsidRPr="00FC3C3B">
        <w:rPr>
          <w:noProof/>
        </w:rPr>
        <w:t>s, namely Horizon Europe, the Innovation Fund</w:t>
      </w:r>
      <w:r w:rsidR="008A7430" w:rsidRPr="00FC3C3B">
        <w:rPr>
          <w:noProof/>
        </w:rPr>
        <w:t xml:space="preserve">, </w:t>
      </w:r>
      <w:r w:rsidR="003D222A" w:rsidRPr="00FC3C3B">
        <w:rPr>
          <w:noProof/>
        </w:rPr>
        <w:t>the Digital Europe programme</w:t>
      </w:r>
      <w:r w:rsidR="008A7430" w:rsidRPr="00FC3C3B">
        <w:rPr>
          <w:noProof/>
        </w:rPr>
        <w:t>, the EU4Health programme</w:t>
      </w:r>
      <w:r w:rsidR="009C435C" w:rsidRPr="00FC3C3B">
        <w:rPr>
          <w:noProof/>
        </w:rPr>
        <w:t>, and the European Defence Fund</w:t>
      </w:r>
      <w:r w:rsidR="003D222A" w:rsidRPr="00FC3C3B">
        <w:rPr>
          <w:noProof/>
        </w:rPr>
        <w:t xml:space="preserve">. </w:t>
      </w:r>
      <w:r w:rsidR="000F370D" w:rsidRPr="00FC3C3B">
        <w:rPr>
          <w:noProof/>
        </w:rPr>
        <w:t xml:space="preserve">The Seal </w:t>
      </w:r>
      <w:r w:rsidR="000F2D9D" w:rsidRPr="00FC3C3B">
        <w:rPr>
          <w:noProof/>
        </w:rPr>
        <w:t xml:space="preserve">builds on the existing ‘Seal of Excellence’, which is </w:t>
      </w:r>
      <w:r w:rsidR="00974D08" w:rsidRPr="00FC3C3B">
        <w:rPr>
          <w:noProof/>
        </w:rPr>
        <w:t xml:space="preserve">a quality label </w:t>
      </w:r>
      <w:r w:rsidR="00492C02" w:rsidRPr="00FC3C3B">
        <w:rPr>
          <w:noProof/>
        </w:rPr>
        <w:t xml:space="preserve">for </w:t>
      </w:r>
      <w:r w:rsidR="004B69A5" w:rsidRPr="00FC3C3B">
        <w:rPr>
          <w:noProof/>
        </w:rPr>
        <w:t xml:space="preserve">eligible projects that could not be funded due to lack of budget available. </w:t>
      </w:r>
      <w:r w:rsidR="00EC389D" w:rsidRPr="00FC3C3B">
        <w:rPr>
          <w:noProof/>
        </w:rPr>
        <w:t>Unlike the Seal of Excellence, the Sovereignty Seal is defined only by reference to the objectives pursued by the projects to which it has been awarded</w:t>
      </w:r>
      <w:r w:rsidR="001004FA" w:rsidRPr="00FC3C3B">
        <w:rPr>
          <w:noProof/>
        </w:rPr>
        <w:t>, and regardless of whether the project has been able to receive EU funding</w:t>
      </w:r>
      <w:r w:rsidR="0064741B" w:rsidRPr="00FC3C3B">
        <w:rPr>
          <w:noProof/>
        </w:rPr>
        <w:t xml:space="preserve"> as long as it has been successfully evaluated under Horizon Europe, </w:t>
      </w:r>
      <w:r w:rsidR="00540128" w:rsidRPr="00FC3C3B">
        <w:rPr>
          <w:noProof/>
        </w:rPr>
        <w:t xml:space="preserve">the Innovation Fund, </w:t>
      </w:r>
      <w:r w:rsidR="00375DA9" w:rsidRPr="00FC3C3B">
        <w:rPr>
          <w:noProof/>
        </w:rPr>
        <w:t xml:space="preserve">the </w:t>
      </w:r>
      <w:r w:rsidR="0064741B" w:rsidRPr="00FC3C3B">
        <w:rPr>
          <w:noProof/>
        </w:rPr>
        <w:t>Digital Europe</w:t>
      </w:r>
      <w:r w:rsidR="00375DA9" w:rsidRPr="00FC3C3B">
        <w:rPr>
          <w:noProof/>
        </w:rPr>
        <w:t xml:space="preserve"> programme</w:t>
      </w:r>
      <w:r w:rsidR="005E1E80" w:rsidRPr="00FC3C3B">
        <w:rPr>
          <w:noProof/>
        </w:rPr>
        <w:t xml:space="preserve">, </w:t>
      </w:r>
      <w:r w:rsidR="0064741B" w:rsidRPr="00FC3C3B" w:rsidDel="00540128">
        <w:rPr>
          <w:noProof/>
        </w:rPr>
        <w:t xml:space="preserve">the </w:t>
      </w:r>
      <w:r w:rsidR="00F630F1" w:rsidRPr="00FC3C3B">
        <w:rPr>
          <w:noProof/>
        </w:rPr>
        <w:t>EU4Health</w:t>
      </w:r>
      <w:r w:rsidR="00375DA9" w:rsidRPr="00FC3C3B">
        <w:rPr>
          <w:noProof/>
        </w:rPr>
        <w:t xml:space="preserve"> programme</w:t>
      </w:r>
      <w:r w:rsidR="005E1E80" w:rsidRPr="00FC3C3B">
        <w:rPr>
          <w:noProof/>
        </w:rPr>
        <w:t xml:space="preserve"> or the European Defence Fund</w:t>
      </w:r>
      <w:r w:rsidR="001004FA" w:rsidRPr="00FC3C3B">
        <w:rPr>
          <w:noProof/>
        </w:rPr>
        <w:t xml:space="preserve">. This is a way </w:t>
      </w:r>
      <w:r w:rsidR="00862198" w:rsidRPr="00FC3C3B">
        <w:rPr>
          <w:noProof/>
        </w:rPr>
        <w:t xml:space="preserve">to </w:t>
      </w:r>
      <w:r w:rsidR="00F1695B" w:rsidRPr="00FC3C3B">
        <w:rPr>
          <w:noProof/>
        </w:rPr>
        <w:t>promote</w:t>
      </w:r>
      <w:r w:rsidR="00862198" w:rsidRPr="00FC3C3B">
        <w:rPr>
          <w:noProof/>
        </w:rPr>
        <w:t xml:space="preserve"> </w:t>
      </w:r>
      <w:r w:rsidR="00584615" w:rsidRPr="00FC3C3B">
        <w:rPr>
          <w:noProof/>
        </w:rPr>
        <w:t xml:space="preserve">that </w:t>
      </w:r>
      <w:r w:rsidR="00213486" w:rsidRPr="00FC3C3B">
        <w:rPr>
          <w:noProof/>
        </w:rPr>
        <w:t>projects which have been partly funded</w:t>
      </w:r>
      <w:r w:rsidR="00D17B61" w:rsidRPr="00FC3C3B">
        <w:rPr>
          <w:noProof/>
        </w:rPr>
        <w:t xml:space="preserve"> can </w:t>
      </w:r>
      <w:r w:rsidR="007744E5" w:rsidRPr="00FC3C3B">
        <w:rPr>
          <w:noProof/>
        </w:rPr>
        <w:t xml:space="preserve">also </w:t>
      </w:r>
      <w:r w:rsidR="00D17B61" w:rsidRPr="00FC3C3B">
        <w:rPr>
          <w:noProof/>
        </w:rPr>
        <w:t xml:space="preserve">receive </w:t>
      </w:r>
      <w:r w:rsidR="00DA6F85" w:rsidRPr="00FC3C3B">
        <w:rPr>
          <w:noProof/>
        </w:rPr>
        <w:t xml:space="preserve">cumulative or combined funding </w:t>
      </w:r>
      <w:r w:rsidR="00FC3105" w:rsidRPr="00FC3C3B">
        <w:rPr>
          <w:noProof/>
        </w:rPr>
        <w:t>with another Union instrument</w:t>
      </w:r>
      <w:r w:rsidR="007B66A5" w:rsidRPr="00FC3C3B">
        <w:rPr>
          <w:noProof/>
        </w:rPr>
        <w:t xml:space="preserve"> (Article 4(1</w:t>
      </w:r>
      <w:r w:rsidR="000354C5" w:rsidRPr="00FC3C3B">
        <w:rPr>
          <w:noProof/>
        </w:rPr>
        <w:t>)(b</w:t>
      </w:r>
      <w:r w:rsidR="00696464" w:rsidRPr="00FC3C3B">
        <w:rPr>
          <w:noProof/>
        </w:rPr>
        <w:t>)</w:t>
      </w:r>
      <w:r w:rsidR="000354C5" w:rsidRPr="00FC3C3B">
        <w:rPr>
          <w:noProof/>
        </w:rPr>
        <w:t>).</w:t>
      </w:r>
      <w:r w:rsidR="00B5172C" w:rsidRPr="00FC3C3B">
        <w:rPr>
          <w:noProof/>
        </w:rPr>
        <w:t xml:space="preserve"> Moreover, </w:t>
      </w:r>
      <w:r w:rsidR="00C551BD" w:rsidRPr="00FC3C3B">
        <w:rPr>
          <w:noProof/>
        </w:rPr>
        <w:t xml:space="preserve">the Sovereignty Seal would also apply to cases where a project </w:t>
      </w:r>
      <w:r w:rsidR="00473214" w:rsidRPr="00FC3C3B">
        <w:rPr>
          <w:noProof/>
        </w:rPr>
        <w:t xml:space="preserve">has not been able to receive </w:t>
      </w:r>
      <w:r w:rsidR="00502200" w:rsidRPr="00FC3C3B">
        <w:rPr>
          <w:noProof/>
        </w:rPr>
        <w:t xml:space="preserve">EU </w:t>
      </w:r>
      <w:r w:rsidR="00473214" w:rsidRPr="00FC3C3B">
        <w:rPr>
          <w:noProof/>
        </w:rPr>
        <w:t xml:space="preserve">funds under one </w:t>
      </w:r>
      <w:r w:rsidR="006077EC" w:rsidRPr="00FC3C3B">
        <w:rPr>
          <w:noProof/>
        </w:rPr>
        <w:t xml:space="preserve">programme, in order to promote that it receives support under another programme (Article 4(1)(a)). </w:t>
      </w:r>
    </w:p>
    <w:p w14:paraId="6FDC4F5A" w14:textId="77777777" w:rsidR="002F3FE5" w:rsidRPr="00FC3C3B" w:rsidRDefault="006077EC" w:rsidP="003B085D">
      <w:pPr>
        <w:pBdr>
          <w:top w:val="nil"/>
          <w:left w:val="nil"/>
          <w:bottom w:val="nil"/>
          <w:right w:val="nil"/>
          <w:between w:val="nil"/>
          <w:bar w:val="nil"/>
        </w:pBdr>
        <w:spacing w:before="0" w:after="240"/>
        <w:rPr>
          <w:noProof/>
          <w:lang w:val="en-IE"/>
        </w:rPr>
      </w:pPr>
      <w:r w:rsidRPr="00FC3C3B">
        <w:rPr>
          <w:noProof/>
        </w:rPr>
        <w:t xml:space="preserve">This provision </w:t>
      </w:r>
      <w:r w:rsidR="005D2E7B" w:rsidRPr="00FC3C3B">
        <w:rPr>
          <w:noProof/>
        </w:rPr>
        <w:t xml:space="preserve">also indicates that </w:t>
      </w:r>
      <w:r w:rsidR="00157541" w:rsidRPr="00FC3C3B">
        <w:rPr>
          <w:noProof/>
        </w:rPr>
        <w:t>projects having been awarded a Sovereignty Seal should be</w:t>
      </w:r>
      <w:r w:rsidR="00BA4D0C" w:rsidRPr="00FC3C3B">
        <w:rPr>
          <w:noProof/>
        </w:rPr>
        <w:t xml:space="preserve"> </w:t>
      </w:r>
      <w:r w:rsidR="00157541" w:rsidRPr="00FC3C3B">
        <w:rPr>
          <w:noProof/>
        </w:rPr>
        <w:t xml:space="preserve">prioritised by Member States when proposing their </w:t>
      </w:r>
      <w:r w:rsidR="00066B56" w:rsidRPr="00FC3C3B">
        <w:rPr>
          <w:noProof/>
        </w:rPr>
        <w:t xml:space="preserve">Recovery </w:t>
      </w:r>
      <w:r w:rsidR="00157541" w:rsidRPr="00FC3C3B">
        <w:rPr>
          <w:noProof/>
        </w:rPr>
        <w:t>and Resilience Plans</w:t>
      </w:r>
      <w:r w:rsidR="007748EF" w:rsidRPr="00FC3C3B">
        <w:rPr>
          <w:noProof/>
        </w:rPr>
        <w:t xml:space="preserve"> and</w:t>
      </w:r>
      <w:r w:rsidR="00157541" w:rsidRPr="00FC3C3B">
        <w:rPr>
          <w:noProof/>
        </w:rPr>
        <w:t xml:space="preserve"> when deciding on investment projects to be financed </w:t>
      </w:r>
      <w:r w:rsidR="001A615C" w:rsidRPr="00FC3C3B">
        <w:rPr>
          <w:noProof/>
        </w:rPr>
        <w:t>from its share of the Modernisation Fund</w:t>
      </w:r>
      <w:r w:rsidR="007748EF" w:rsidRPr="00FC3C3B">
        <w:rPr>
          <w:noProof/>
        </w:rPr>
        <w:t>.</w:t>
      </w:r>
      <w:r w:rsidR="009B7F31" w:rsidRPr="00FC3C3B">
        <w:rPr>
          <w:noProof/>
        </w:rPr>
        <w:t xml:space="preserve"> </w:t>
      </w:r>
      <w:r w:rsidR="009B7F31" w:rsidRPr="00FC3C3B">
        <w:rPr>
          <w:noProof/>
          <w:lang w:val="en-IE"/>
        </w:rPr>
        <w:t>As regards the InvestEU Programme</w:t>
      </w:r>
      <w:r w:rsidR="00D56AF2" w:rsidRPr="00FC3C3B">
        <w:rPr>
          <w:noProof/>
          <w:lang w:val="en-IE"/>
        </w:rPr>
        <w:t xml:space="preserve"> (see also Article </w:t>
      </w:r>
      <w:r w:rsidR="003248E5" w:rsidRPr="00FC3C3B">
        <w:rPr>
          <w:noProof/>
          <w:lang w:val="en-IE"/>
        </w:rPr>
        <w:t>1</w:t>
      </w:r>
      <w:r w:rsidR="008A4B69" w:rsidRPr="00FC3C3B">
        <w:rPr>
          <w:noProof/>
          <w:lang w:val="en-IE"/>
        </w:rPr>
        <w:t>5</w:t>
      </w:r>
      <w:r w:rsidR="003248E5" w:rsidRPr="00FC3C3B">
        <w:rPr>
          <w:noProof/>
          <w:lang w:val="en-IE"/>
        </w:rPr>
        <w:t>)</w:t>
      </w:r>
      <w:r w:rsidR="009B7F31" w:rsidRPr="00FC3C3B">
        <w:rPr>
          <w:noProof/>
          <w:lang w:val="en-IE"/>
        </w:rPr>
        <w:t>, the Sovereignty Seal should be taken into account by the Commission in the context of the procedure provided for in Article 19 of the EIB Statute and of the policy check laid down in Article 23 of Regulation (EU) 2021/523. In addition, the implementing partners should be requested to examine projects having been awarded the Sovereignty Seal in case they fall within their geographic and activity scope</w:t>
      </w:r>
      <w:r w:rsidR="002F3FE5" w:rsidRPr="00FC3C3B">
        <w:rPr>
          <w:noProof/>
          <w:lang w:val="en-IE"/>
        </w:rPr>
        <w:t xml:space="preserve">. </w:t>
      </w:r>
      <w:r w:rsidR="003B085D" w:rsidRPr="00FC3C3B">
        <w:rPr>
          <w:noProof/>
          <w:lang w:val="en-IE"/>
        </w:rPr>
        <w:t>Concerning cohesion policy</w:t>
      </w:r>
      <w:r w:rsidR="009421F9" w:rsidRPr="00FC3C3B">
        <w:rPr>
          <w:noProof/>
          <w:lang w:val="en-IE"/>
        </w:rPr>
        <w:t xml:space="preserve">, </w:t>
      </w:r>
      <w:r w:rsidR="003B085D" w:rsidRPr="00FC3C3B">
        <w:rPr>
          <w:noProof/>
          <w:lang w:val="en-IE"/>
        </w:rPr>
        <w:t xml:space="preserve">it is proposed that </w:t>
      </w:r>
      <w:r w:rsidR="002F3FE5" w:rsidRPr="00FC3C3B">
        <w:rPr>
          <w:noProof/>
          <w:lang w:val="en-IE"/>
        </w:rPr>
        <w:t xml:space="preserve">managing authorities </w:t>
      </w:r>
      <w:r w:rsidR="00BF05CE" w:rsidRPr="00FC3C3B">
        <w:rPr>
          <w:noProof/>
          <w:lang w:val="en-IE"/>
        </w:rPr>
        <w:t>are</w:t>
      </w:r>
      <w:r w:rsidR="002F3FE5" w:rsidRPr="00FC3C3B">
        <w:rPr>
          <w:noProof/>
          <w:lang w:val="en-IE"/>
        </w:rPr>
        <w:t xml:space="preserve"> able to grant support from the ERDF or the ESF+ directly, </w:t>
      </w:r>
      <w:r w:rsidR="00A24001" w:rsidRPr="00FC3C3B">
        <w:rPr>
          <w:noProof/>
          <w:lang w:val="en-IE"/>
        </w:rPr>
        <w:t xml:space="preserve">subject to compliance with applicable State aid rules, </w:t>
      </w:r>
      <w:r w:rsidR="002F3FE5" w:rsidRPr="00FC3C3B">
        <w:rPr>
          <w:noProof/>
          <w:lang w:val="en-IE"/>
        </w:rPr>
        <w:t>for operations attributed a Sovereignty Seal</w:t>
      </w:r>
      <w:r w:rsidR="003B085D" w:rsidRPr="00FC3C3B">
        <w:rPr>
          <w:noProof/>
          <w:lang w:val="en-IE"/>
        </w:rPr>
        <w:t xml:space="preserve"> (see Article </w:t>
      </w:r>
      <w:r w:rsidR="004A7030" w:rsidRPr="00FC3C3B">
        <w:rPr>
          <w:noProof/>
          <w:lang w:val="en-IE"/>
        </w:rPr>
        <w:t>13)</w:t>
      </w:r>
      <w:r w:rsidR="002F3FE5" w:rsidRPr="00FC3C3B">
        <w:rPr>
          <w:noProof/>
          <w:lang w:val="en-IE"/>
        </w:rPr>
        <w:t xml:space="preserve">. </w:t>
      </w:r>
    </w:p>
    <w:p w14:paraId="71DD31FE" w14:textId="77777777" w:rsidR="00045AAE" w:rsidRPr="00FC3C3B" w:rsidRDefault="00057EC9" w:rsidP="003B085D">
      <w:pPr>
        <w:pBdr>
          <w:top w:val="nil"/>
          <w:left w:val="nil"/>
          <w:bottom w:val="nil"/>
          <w:right w:val="nil"/>
          <w:between w:val="nil"/>
          <w:bar w:val="nil"/>
        </w:pBdr>
        <w:spacing w:before="0" w:after="240"/>
        <w:rPr>
          <w:noProof/>
        </w:rPr>
      </w:pPr>
      <w:r w:rsidRPr="006E37DD">
        <w:rPr>
          <w:noProof/>
        </w:rPr>
        <w:t>S</w:t>
      </w:r>
      <w:r w:rsidR="00045AAE" w:rsidRPr="006E37DD">
        <w:rPr>
          <w:noProof/>
        </w:rPr>
        <w:t>trategic projects identified in accordance with the Net Zero Industry and the Critical Raw Materials Acts that fall under the scope of Article 2 of the Regulation</w:t>
      </w:r>
      <w:r w:rsidRPr="006E37DD">
        <w:rPr>
          <w:noProof/>
        </w:rPr>
        <w:t xml:space="preserve"> may benefit from cumulative funding across relevant Programmes</w:t>
      </w:r>
      <w:r w:rsidR="00045AAE" w:rsidRPr="00FC3C3B">
        <w:rPr>
          <w:rFonts w:eastAsia="Times New Roman"/>
          <w:noProof/>
          <w:lang w:val="en-IE"/>
        </w:rPr>
        <w:t>.</w:t>
      </w:r>
    </w:p>
    <w:p w14:paraId="4DD3D8AE" w14:textId="77777777" w:rsidR="00903C19" w:rsidRPr="00FC3C3B" w:rsidRDefault="00080434" w:rsidP="00937626">
      <w:pPr>
        <w:pBdr>
          <w:top w:val="nil"/>
          <w:left w:val="nil"/>
          <w:bottom w:val="nil"/>
          <w:right w:val="nil"/>
          <w:between w:val="nil"/>
          <w:bar w:val="nil"/>
        </w:pBdr>
        <w:spacing w:before="0" w:after="240"/>
        <w:rPr>
          <w:noProof/>
          <w:u w:val="single"/>
        </w:rPr>
      </w:pPr>
      <w:r w:rsidRPr="00FC3C3B">
        <w:rPr>
          <w:noProof/>
          <w:u w:val="single"/>
        </w:rPr>
        <w:t>Monitoring and implementation (Article 5</w:t>
      </w:r>
      <w:r w:rsidR="00024703" w:rsidRPr="00FC3C3B">
        <w:rPr>
          <w:noProof/>
          <w:u w:val="single"/>
        </w:rPr>
        <w:t>)</w:t>
      </w:r>
    </w:p>
    <w:p w14:paraId="532C6B58" w14:textId="77777777" w:rsidR="00BA3A00" w:rsidRPr="00FC3C3B" w:rsidRDefault="00495A97" w:rsidP="00937626">
      <w:pPr>
        <w:pBdr>
          <w:top w:val="nil"/>
          <w:left w:val="nil"/>
          <w:bottom w:val="nil"/>
          <w:right w:val="nil"/>
          <w:between w:val="nil"/>
          <w:bar w:val="nil"/>
        </w:pBdr>
        <w:spacing w:before="0" w:after="240"/>
        <w:rPr>
          <w:noProof/>
        </w:rPr>
      </w:pPr>
      <w:r w:rsidRPr="00FC3C3B">
        <w:rPr>
          <w:noProof/>
        </w:rPr>
        <w:t>Article</w:t>
      </w:r>
      <w:r w:rsidR="00E4688C" w:rsidRPr="00FC3C3B">
        <w:rPr>
          <w:noProof/>
        </w:rPr>
        <w:t xml:space="preserve"> 5 defi</w:t>
      </w:r>
      <w:r w:rsidR="000F1BBC" w:rsidRPr="00FC3C3B">
        <w:rPr>
          <w:noProof/>
        </w:rPr>
        <w:t xml:space="preserve">nes </w:t>
      </w:r>
      <w:r w:rsidR="001A551E" w:rsidRPr="00FC3C3B">
        <w:rPr>
          <w:noProof/>
        </w:rPr>
        <w:t xml:space="preserve">how the Commission shall monitor the implementation of the </w:t>
      </w:r>
      <w:r w:rsidR="00F53704" w:rsidRPr="00FC3C3B">
        <w:rPr>
          <w:noProof/>
        </w:rPr>
        <w:t>STEP</w:t>
      </w:r>
      <w:r w:rsidR="00E543C7" w:rsidRPr="00FC3C3B">
        <w:rPr>
          <w:noProof/>
        </w:rPr>
        <w:t>, the results</w:t>
      </w:r>
      <w:r w:rsidR="001A551E" w:rsidRPr="00FC3C3B">
        <w:rPr>
          <w:noProof/>
        </w:rPr>
        <w:t xml:space="preserve"> and </w:t>
      </w:r>
      <w:r w:rsidR="00511856" w:rsidRPr="00FC3C3B">
        <w:rPr>
          <w:noProof/>
        </w:rPr>
        <w:t xml:space="preserve">progress towards the </w:t>
      </w:r>
      <w:r w:rsidR="00785AC9" w:rsidRPr="00FC3C3B">
        <w:rPr>
          <w:noProof/>
        </w:rPr>
        <w:t xml:space="preserve">achievement of </w:t>
      </w:r>
      <w:r w:rsidR="00F53704" w:rsidRPr="00FC3C3B">
        <w:rPr>
          <w:noProof/>
        </w:rPr>
        <w:t>its</w:t>
      </w:r>
      <w:r w:rsidR="003473E8" w:rsidRPr="00FC3C3B">
        <w:rPr>
          <w:noProof/>
        </w:rPr>
        <w:t xml:space="preserve"> </w:t>
      </w:r>
      <w:r w:rsidR="00183769" w:rsidRPr="00FC3C3B">
        <w:rPr>
          <w:noProof/>
        </w:rPr>
        <w:t>objectives.</w:t>
      </w:r>
      <w:r w:rsidR="00785AC9" w:rsidRPr="00FC3C3B">
        <w:rPr>
          <w:noProof/>
        </w:rPr>
        <w:t xml:space="preserve"> </w:t>
      </w:r>
    </w:p>
    <w:p w14:paraId="6A1EEA87" w14:textId="77777777" w:rsidR="00080434" w:rsidRPr="00FC3C3B" w:rsidRDefault="00364D8A" w:rsidP="00937626">
      <w:pPr>
        <w:pBdr>
          <w:top w:val="nil"/>
          <w:left w:val="nil"/>
          <w:bottom w:val="nil"/>
          <w:right w:val="nil"/>
          <w:between w:val="nil"/>
          <w:bar w:val="nil"/>
        </w:pBdr>
        <w:spacing w:before="0" w:after="240"/>
        <w:rPr>
          <w:noProof/>
          <w:u w:val="single"/>
        </w:rPr>
      </w:pPr>
      <w:r w:rsidRPr="00FC3C3B">
        <w:rPr>
          <w:noProof/>
          <w:u w:val="single"/>
        </w:rPr>
        <w:t>Sovereignty Portal (Article 6)</w:t>
      </w:r>
    </w:p>
    <w:p w14:paraId="3F183BE6" w14:textId="77777777" w:rsidR="00364D8A" w:rsidRPr="00FC3C3B" w:rsidRDefault="00172BC8" w:rsidP="00B65BD7">
      <w:pPr>
        <w:pBdr>
          <w:top w:val="nil"/>
          <w:left w:val="nil"/>
          <w:bottom w:val="nil"/>
          <w:right w:val="nil"/>
          <w:between w:val="nil"/>
          <w:bar w:val="nil"/>
        </w:pBdr>
        <w:spacing w:before="0" w:after="240"/>
        <w:rPr>
          <w:noProof/>
        </w:rPr>
      </w:pPr>
      <w:r w:rsidRPr="00FC3C3B">
        <w:rPr>
          <w:noProof/>
        </w:rPr>
        <w:t xml:space="preserve">Article 6 sets out </w:t>
      </w:r>
      <w:r w:rsidR="00880014" w:rsidRPr="00FC3C3B">
        <w:rPr>
          <w:noProof/>
        </w:rPr>
        <w:t xml:space="preserve">the obligation for the Commission to </w:t>
      </w:r>
      <w:r w:rsidR="00C5294C" w:rsidRPr="00FC3C3B">
        <w:rPr>
          <w:noProof/>
        </w:rPr>
        <w:t xml:space="preserve">set up a new publicly available website (the Sovereignty Portal) to provide support to companies and project promoters seeking funds for </w:t>
      </w:r>
      <w:r w:rsidR="0089765C" w:rsidRPr="00FC3C3B">
        <w:rPr>
          <w:noProof/>
        </w:rPr>
        <w:t xml:space="preserve">STEP </w:t>
      </w:r>
      <w:r w:rsidR="00C5294C" w:rsidRPr="00FC3C3B">
        <w:rPr>
          <w:noProof/>
        </w:rPr>
        <w:t xml:space="preserve">investments. </w:t>
      </w:r>
      <w:r w:rsidR="0087564B" w:rsidRPr="00FC3C3B">
        <w:rPr>
          <w:noProof/>
        </w:rPr>
        <w:t xml:space="preserve">To that end, the </w:t>
      </w:r>
      <w:r w:rsidR="0064466E" w:rsidRPr="00FC3C3B">
        <w:rPr>
          <w:noProof/>
        </w:rPr>
        <w:t>Portal</w:t>
      </w:r>
      <w:r w:rsidR="0087564B" w:rsidRPr="00FC3C3B">
        <w:rPr>
          <w:noProof/>
        </w:rPr>
        <w:t xml:space="preserve"> </w:t>
      </w:r>
      <w:r w:rsidR="00CB5E5B" w:rsidRPr="00FC3C3B">
        <w:rPr>
          <w:noProof/>
        </w:rPr>
        <w:t>is required</w:t>
      </w:r>
      <w:r w:rsidR="0087564B" w:rsidRPr="00FC3C3B">
        <w:rPr>
          <w:noProof/>
        </w:rPr>
        <w:t xml:space="preserve"> </w:t>
      </w:r>
      <w:r w:rsidR="007022FD" w:rsidRPr="00FC3C3B">
        <w:rPr>
          <w:noProof/>
        </w:rPr>
        <w:t>to display in</w:t>
      </w:r>
      <w:r w:rsidR="0087564B" w:rsidRPr="00FC3C3B">
        <w:rPr>
          <w:noProof/>
        </w:rPr>
        <w:t xml:space="preserve"> particular the following information: ongoing and upcoming calls for proposals linked to the </w:t>
      </w:r>
      <w:r w:rsidR="0089765C" w:rsidRPr="00FC3C3B">
        <w:rPr>
          <w:rFonts w:eastAsia="Times New Roman"/>
          <w:noProof/>
        </w:rPr>
        <w:t>STEP</w:t>
      </w:r>
      <w:r w:rsidR="00FA2F4F" w:rsidRPr="00FC3C3B">
        <w:rPr>
          <w:rFonts w:eastAsia="Times New Roman"/>
          <w:noProof/>
        </w:rPr>
        <w:t xml:space="preserve"> </w:t>
      </w:r>
      <w:r w:rsidR="007E2A98" w:rsidRPr="00FC3C3B">
        <w:rPr>
          <w:noProof/>
        </w:rPr>
        <w:t>objectives</w:t>
      </w:r>
      <w:r w:rsidR="00841EF7" w:rsidRPr="00FC3C3B">
        <w:rPr>
          <w:noProof/>
        </w:rPr>
        <w:t xml:space="preserve"> (Article 6(1)(a)</w:t>
      </w:r>
      <w:r w:rsidR="00E73378" w:rsidRPr="00FC3C3B">
        <w:rPr>
          <w:noProof/>
        </w:rPr>
        <w:t>)</w:t>
      </w:r>
      <w:r w:rsidR="00841EF7" w:rsidRPr="00FC3C3B">
        <w:rPr>
          <w:noProof/>
        </w:rPr>
        <w:t xml:space="preserve"> and contacts to the national competent authorities designated</w:t>
      </w:r>
      <w:r w:rsidR="0087564B" w:rsidRPr="00FC3C3B">
        <w:rPr>
          <w:noProof/>
        </w:rPr>
        <w:t xml:space="preserve"> </w:t>
      </w:r>
      <w:r w:rsidR="00283025" w:rsidRPr="00FC3C3B">
        <w:rPr>
          <w:noProof/>
        </w:rPr>
        <w:t xml:space="preserve">to act as the main point of contact for the implementation of the </w:t>
      </w:r>
      <w:r w:rsidR="0089765C" w:rsidRPr="00FC3C3B">
        <w:rPr>
          <w:rFonts w:eastAsia="Times New Roman"/>
          <w:noProof/>
        </w:rPr>
        <w:t>STEP</w:t>
      </w:r>
      <w:r w:rsidR="00FA2F4F" w:rsidRPr="00FC3C3B">
        <w:rPr>
          <w:rFonts w:eastAsia="Times New Roman"/>
          <w:noProof/>
        </w:rPr>
        <w:t xml:space="preserve"> </w:t>
      </w:r>
      <w:r w:rsidR="00283025" w:rsidRPr="00FC3C3B">
        <w:rPr>
          <w:noProof/>
        </w:rPr>
        <w:t>at national level (Article 6(1)(</w:t>
      </w:r>
      <w:r w:rsidR="00F24BC8" w:rsidRPr="00FC3C3B">
        <w:rPr>
          <w:noProof/>
        </w:rPr>
        <w:t>d</w:t>
      </w:r>
      <w:r w:rsidR="00283025" w:rsidRPr="00FC3C3B">
        <w:rPr>
          <w:noProof/>
        </w:rPr>
        <w:t>)</w:t>
      </w:r>
      <w:r w:rsidR="00630750" w:rsidRPr="00FC3C3B">
        <w:rPr>
          <w:noProof/>
        </w:rPr>
        <w:t>)</w:t>
      </w:r>
      <w:r w:rsidR="00E73378" w:rsidRPr="00FC3C3B">
        <w:rPr>
          <w:noProof/>
        </w:rPr>
        <w:t xml:space="preserve">. Moreover, the Portal should </w:t>
      </w:r>
      <w:r w:rsidR="00F6257F" w:rsidRPr="00FC3C3B">
        <w:rPr>
          <w:noProof/>
        </w:rPr>
        <w:t xml:space="preserve">inform </w:t>
      </w:r>
      <w:r w:rsidR="00815C1E" w:rsidRPr="00FC3C3B">
        <w:rPr>
          <w:noProof/>
        </w:rPr>
        <w:t xml:space="preserve">about the projects which have been awarded a Sovereignty Seal label, in order to </w:t>
      </w:r>
      <w:r w:rsidR="00F554F0" w:rsidRPr="00FC3C3B">
        <w:rPr>
          <w:noProof/>
        </w:rPr>
        <w:t xml:space="preserve">give them visibility </w:t>
      </w:r>
      <w:r w:rsidR="0052468D" w:rsidRPr="00FC3C3B">
        <w:rPr>
          <w:noProof/>
        </w:rPr>
        <w:t>towards potential investors (Article 6(1)(b))</w:t>
      </w:r>
      <w:r w:rsidR="00045AAE" w:rsidRPr="00FC3C3B">
        <w:rPr>
          <w:noProof/>
        </w:rPr>
        <w:t>, as well as strategic projects identified under the NZIA and the CRMA</w:t>
      </w:r>
      <w:r w:rsidR="00F24BC8" w:rsidRPr="00FC3C3B">
        <w:rPr>
          <w:noProof/>
        </w:rPr>
        <w:t xml:space="preserve"> (Article 6(1)(c))</w:t>
      </w:r>
      <w:r w:rsidR="0052468D" w:rsidRPr="00FC3C3B">
        <w:rPr>
          <w:noProof/>
        </w:rPr>
        <w:t xml:space="preserve">. </w:t>
      </w:r>
      <w:r w:rsidR="00081D8B" w:rsidRPr="00FC3C3B">
        <w:rPr>
          <w:noProof/>
        </w:rPr>
        <w:t xml:space="preserve">Moreover, the </w:t>
      </w:r>
      <w:r w:rsidR="0061217D" w:rsidRPr="00FC3C3B">
        <w:rPr>
          <w:noProof/>
        </w:rPr>
        <w:t xml:space="preserve">Platform should present the </w:t>
      </w:r>
      <w:r w:rsidR="00DB2BBA" w:rsidRPr="00FC3C3B">
        <w:rPr>
          <w:noProof/>
        </w:rPr>
        <w:t xml:space="preserve">information about the implementation of the </w:t>
      </w:r>
      <w:r w:rsidR="00FA2F4F" w:rsidRPr="00FC3C3B">
        <w:rPr>
          <w:noProof/>
        </w:rPr>
        <w:t xml:space="preserve">Platform </w:t>
      </w:r>
      <w:r w:rsidR="00DB2BBA" w:rsidRPr="00FC3C3B">
        <w:rPr>
          <w:noProof/>
        </w:rPr>
        <w:t>(Article 6(2</w:t>
      </w:r>
      <w:r w:rsidR="002E384C" w:rsidRPr="00FC3C3B">
        <w:rPr>
          <w:noProof/>
        </w:rPr>
        <w:t>))</w:t>
      </w:r>
      <w:r w:rsidR="00E619F9" w:rsidRPr="00FC3C3B">
        <w:rPr>
          <w:noProof/>
        </w:rPr>
        <w:t xml:space="preserve">. </w:t>
      </w:r>
      <w:r w:rsidR="00650278" w:rsidRPr="00FC3C3B">
        <w:rPr>
          <w:noProof/>
        </w:rPr>
        <w:t>Article 6(4) requires Member States to designate one national competent authority to act as the main point of contact for those priorities, with the objective</w:t>
      </w:r>
      <w:r w:rsidR="00E619F9" w:rsidRPr="00FC3C3B">
        <w:rPr>
          <w:noProof/>
        </w:rPr>
        <w:t xml:space="preserve"> to </w:t>
      </w:r>
      <w:r w:rsidR="003C0D42" w:rsidRPr="00FC3C3B">
        <w:rPr>
          <w:noProof/>
        </w:rPr>
        <w:t xml:space="preserve">ensure the consistent application of the </w:t>
      </w:r>
      <w:r w:rsidR="0089765C" w:rsidRPr="00FC3C3B">
        <w:rPr>
          <w:rFonts w:eastAsia="Times New Roman"/>
          <w:noProof/>
        </w:rPr>
        <w:t>STEP</w:t>
      </w:r>
      <w:r w:rsidR="00FA2F4F" w:rsidRPr="00FC3C3B">
        <w:rPr>
          <w:rFonts w:eastAsia="Times New Roman"/>
          <w:noProof/>
        </w:rPr>
        <w:t xml:space="preserve"> </w:t>
      </w:r>
      <w:r w:rsidR="003C0D42" w:rsidRPr="00FC3C3B">
        <w:rPr>
          <w:noProof/>
        </w:rPr>
        <w:t>throughout the Union,</w:t>
      </w:r>
      <w:r w:rsidR="00E619F9" w:rsidRPr="00FC3C3B">
        <w:rPr>
          <w:noProof/>
        </w:rPr>
        <w:t xml:space="preserve"> </w:t>
      </w:r>
      <w:r w:rsidR="00446C2B" w:rsidRPr="00FC3C3B">
        <w:rPr>
          <w:noProof/>
        </w:rPr>
        <w:t xml:space="preserve">and </w:t>
      </w:r>
      <w:r w:rsidR="00650278" w:rsidRPr="00FC3C3B">
        <w:rPr>
          <w:noProof/>
        </w:rPr>
        <w:t>in order to</w:t>
      </w:r>
      <w:r w:rsidR="00446C2B" w:rsidRPr="00FC3C3B">
        <w:rPr>
          <w:noProof/>
        </w:rPr>
        <w:t xml:space="preserve"> </w:t>
      </w:r>
      <w:r w:rsidR="005A259C" w:rsidRPr="00FC3C3B">
        <w:rPr>
          <w:noProof/>
        </w:rPr>
        <w:t xml:space="preserve">facilitate </w:t>
      </w:r>
      <w:r w:rsidR="00243A0A" w:rsidRPr="00FC3C3B">
        <w:rPr>
          <w:noProof/>
        </w:rPr>
        <w:t xml:space="preserve">the combination of available funding for </w:t>
      </w:r>
      <w:r w:rsidR="005E2D3D" w:rsidRPr="00FC3C3B">
        <w:rPr>
          <w:noProof/>
        </w:rPr>
        <w:t xml:space="preserve">Platform </w:t>
      </w:r>
      <w:r w:rsidR="00243A0A" w:rsidRPr="00FC3C3B">
        <w:rPr>
          <w:noProof/>
        </w:rPr>
        <w:t>projects</w:t>
      </w:r>
      <w:r w:rsidR="003E4187" w:rsidRPr="00FC3C3B">
        <w:rPr>
          <w:noProof/>
        </w:rPr>
        <w:t xml:space="preserve">, notably </w:t>
      </w:r>
      <w:r w:rsidR="00C80ACA" w:rsidRPr="00FC3C3B">
        <w:rPr>
          <w:noProof/>
        </w:rPr>
        <w:t>under direct</w:t>
      </w:r>
      <w:r w:rsidR="009F2872" w:rsidRPr="00FC3C3B">
        <w:rPr>
          <w:noProof/>
        </w:rPr>
        <w:t>ly</w:t>
      </w:r>
      <w:r w:rsidR="00C80ACA" w:rsidRPr="00FC3C3B">
        <w:rPr>
          <w:noProof/>
        </w:rPr>
        <w:t xml:space="preserve"> </w:t>
      </w:r>
      <w:r w:rsidR="003451D5" w:rsidRPr="00FC3C3B">
        <w:rPr>
          <w:noProof/>
        </w:rPr>
        <w:t xml:space="preserve">managed programmes </w:t>
      </w:r>
      <w:r w:rsidR="00C80ACA" w:rsidRPr="00FC3C3B">
        <w:rPr>
          <w:noProof/>
        </w:rPr>
        <w:t>and shared management</w:t>
      </w:r>
      <w:r w:rsidR="003451D5" w:rsidRPr="00FC3C3B">
        <w:rPr>
          <w:noProof/>
        </w:rPr>
        <w:t xml:space="preserve"> programmes</w:t>
      </w:r>
      <w:r w:rsidR="00650278" w:rsidRPr="00FC3C3B">
        <w:rPr>
          <w:noProof/>
        </w:rPr>
        <w:t>.</w:t>
      </w:r>
    </w:p>
    <w:p w14:paraId="1FBEADE4" w14:textId="77777777" w:rsidR="00B05D78" w:rsidRPr="00FC3C3B" w:rsidRDefault="00081D8B" w:rsidP="732EB33E">
      <w:pPr>
        <w:pBdr>
          <w:top w:val="nil"/>
          <w:left w:val="nil"/>
          <w:bottom w:val="nil"/>
          <w:right w:val="nil"/>
          <w:between w:val="nil"/>
          <w:bar w:val="nil"/>
        </w:pBdr>
        <w:spacing w:before="0" w:after="240"/>
        <w:jc w:val="left"/>
        <w:rPr>
          <w:noProof/>
          <w:u w:val="single"/>
        </w:rPr>
      </w:pPr>
      <w:r w:rsidRPr="00FC3C3B">
        <w:rPr>
          <w:noProof/>
          <w:u w:val="single"/>
        </w:rPr>
        <w:t xml:space="preserve">Annual report and evaluation (Articles 7 and 8). </w:t>
      </w:r>
    </w:p>
    <w:p w14:paraId="7121B44E" w14:textId="77777777" w:rsidR="006E5CBA" w:rsidRPr="00FC3C3B" w:rsidRDefault="004118E1" w:rsidP="00A67E32">
      <w:pPr>
        <w:pBdr>
          <w:top w:val="nil"/>
          <w:left w:val="nil"/>
          <w:bottom w:val="nil"/>
          <w:right w:val="nil"/>
          <w:between w:val="nil"/>
          <w:bar w:val="nil"/>
        </w:pBdr>
        <w:spacing w:before="0" w:after="240"/>
        <w:rPr>
          <w:noProof/>
        </w:rPr>
      </w:pPr>
      <w:r w:rsidRPr="00FC3C3B">
        <w:rPr>
          <w:noProof/>
        </w:rPr>
        <w:t xml:space="preserve">Articles 7 </w:t>
      </w:r>
      <w:r w:rsidR="00603B51" w:rsidRPr="00FC3C3B">
        <w:rPr>
          <w:noProof/>
        </w:rPr>
        <w:t xml:space="preserve">sets out the obligation for the Commission to </w:t>
      </w:r>
      <w:r w:rsidR="002F165B" w:rsidRPr="00FC3C3B">
        <w:rPr>
          <w:noProof/>
        </w:rPr>
        <w:t xml:space="preserve">provide an annual report to the European </w:t>
      </w:r>
      <w:r w:rsidR="00A617BC" w:rsidRPr="00FC3C3B">
        <w:rPr>
          <w:noProof/>
        </w:rPr>
        <w:t>Parliament</w:t>
      </w:r>
      <w:r w:rsidR="002F165B" w:rsidRPr="00FC3C3B">
        <w:rPr>
          <w:noProof/>
        </w:rPr>
        <w:t xml:space="preserve"> and the Council on the </w:t>
      </w:r>
      <w:r w:rsidR="004A7B83" w:rsidRPr="00FC3C3B">
        <w:rPr>
          <w:noProof/>
        </w:rPr>
        <w:t xml:space="preserve">progress </w:t>
      </w:r>
      <w:r w:rsidR="00A617BC" w:rsidRPr="00FC3C3B">
        <w:rPr>
          <w:noProof/>
        </w:rPr>
        <w:t xml:space="preserve">made in implementing the </w:t>
      </w:r>
      <w:r w:rsidR="0089765C" w:rsidRPr="00FC3C3B">
        <w:rPr>
          <w:rFonts w:eastAsia="Times New Roman"/>
          <w:noProof/>
        </w:rPr>
        <w:t>STEP</w:t>
      </w:r>
      <w:r w:rsidR="00FA2F4F" w:rsidRPr="00FC3C3B">
        <w:rPr>
          <w:rFonts w:eastAsia="Times New Roman"/>
          <w:noProof/>
        </w:rPr>
        <w:t xml:space="preserve"> </w:t>
      </w:r>
      <w:r w:rsidR="00A617BC" w:rsidRPr="00FC3C3B">
        <w:rPr>
          <w:noProof/>
        </w:rPr>
        <w:t>objectives.</w:t>
      </w:r>
    </w:p>
    <w:p w14:paraId="350F022F" w14:textId="77777777" w:rsidR="00650278" w:rsidRPr="00FC3C3B" w:rsidRDefault="006E5CBA" w:rsidP="00A67E32">
      <w:pPr>
        <w:pBdr>
          <w:top w:val="nil"/>
          <w:left w:val="nil"/>
          <w:bottom w:val="nil"/>
          <w:right w:val="nil"/>
          <w:between w:val="nil"/>
          <w:bar w:val="nil"/>
        </w:pBdr>
        <w:spacing w:before="0" w:after="240"/>
        <w:rPr>
          <w:noProof/>
        </w:rPr>
      </w:pPr>
      <w:r w:rsidRPr="00FC3C3B">
        <w:rPr>
          <w:noProof/>
        </w:rPr>
        <w:t xml:space="preserve">Article </w:t>
      </w:r>
      <w:r w:rsidR="004118E1" w:rsidRPr="00FC3C3B">
        <w:rPr>
          <w:noProof/>
        </w:rPr>
        <w:t>8 la</w:t>
      </w:r>
      <w:r w:rsidR="00E75537" w:rsidRPr="00FC3C3B">
        <w:rPr>
          <w:noProof/>
        </w:rPr>
        <w:t>ys</w:t>
      </w:r>
      <w:r w:rsidR="004118E1" w:rsidRPr="00FC3C3B">
        <w:rPr>
          <w:noProof/>
        </w:rPr>
        <w:t xml:space="preserve"> down the rules on the evaluation of the </w:t>
      </w:r>
      <w:r w:rsidR="00211FBD" w:rsidRPr="00FC3C3B">
        <w:rPr>
          <w:noProof/>
        </w:rPr>
        <w:t>Platform</w:t>
      </w:r>
      <w:r w:rsidR="004118E1" w:rsidRPr="00FC3C3B">
        <w:rPr>
          <w:noProof/>
        </w:rPr>
        <w:t xml:space="preserve">. The Commission is required to provide an evaluation report </w:t>
      </w:r>
      <w:r w:rsidR="000B1CD6" w:rsidRPr="00FC3C3B">
        <w:rPr>
          <w:noProof/>
        </w:rPr>
        <w:t xml:space="preserve">to the </w:t>
      </w:r>
      <w:r w:rsidR="00D6101B" w:rsidRPr="00FC3C3B">
        <w:rPr>
          <w:noProof/>
        </w:rPr>
        <w:t xml:space="preserve">European Parliament and the Council </w:t>
      </w:r>
      <w:r w:rsidR="00A67E32" w:rsidRPr="00FC3C3B">
        <w:rPr>
          <w:noProof/>
        </w:rPr>
        <w:t xml:space="preserve">by </w:t>
      </w:r>
      <w:r w:rsidR="000B1CD6" w:rsidRPr="00FC3C3B">
        <w:rPr>
          <w:noProof/>
        </w:rPr>
        <w:t>31</w:t>
      </w:r>
      <w:r w:rsidR="00A67E32" w:rsidRPr="00FC3C3B">
        <w:rPr>
          <w:noProof/>
        </w:rPr>
        <w:t xml:space="preserve"> December 2025.</w:t>
      </w:r>
    </w:p>
    <w:p w14:paraId="1BD383A4" w14:textId="77777777" w:rsidR="00650278" w:rsidRPr="00FC3C3B" w:rsidRDefault="005A7229">
      <w:pPr>
        <w:pBdr>
          <w:top w:val="nil"/>
          <w:left w:val="nil"/>
          <w:bottom w:val="nil"/>
          <w:right w:val="nil"/>
          <w:between w:val="nil"/>
          <w:bar w:val="nil"/>
        </w:pBdr>
        <w:spacing w:before="0" w:after="240"/>
        <w:jc w:val="left"/>
        <w:rPr>
          <w:noProof/>
          <w:u w:val="single"/>
          <w:lang w:val="en-IE"/>
        </w:rPr>
      </w:pPr>
      <w:r w:rsidRPr="00FC3C3B">
        <w:rPr>
          <w:noProof/>
          <w:u w:val="single"/>
          <w:lang w:val="en-IE"/>
        </w:rPr>
        <w:t>Amendments to Directive 2003/87/EC (EU ETS Directive) (Article 9)</w:t>
      </w:r>
    </w:p>
    <w:p w14:paraId="1C6DF7C2" w14:textId="77777777" w:rsidR="005A7229" w:rsidRPr="00FC3C3B" w:rsidRDefault="005A7229" w:rsidP="00C12796">
      <w:pPr>
        <w:pBdr>
          <w:top w:val="nil"/>
          <w:left w:val="nil"/>
          <w:bottom w:val="nil"/>
          <w:right w:val="nil"/>
          <w:between w:val="nil"/>
          <w:bar w:val="nil"/>
        </w:pBdr>
        <w:spacing w:before="0" w:after="240"/>
        <w:rPr>
          <w:noProof/>
          <w:lang w:val="en-IE"/>
        </w:rPr>
      </w:pPr>
      <w:r w:rsidRPr="00FC3C3B">
        <w:rPr>
          <w:noProof/>
          <w:lang w:val="en-IE"/>
        </w:rPr>
        <w:t xml:space="preserve">Article 9 amends </w:t>
      </w:r>
      <w:r w:rsidR="00E81B7F" w:rsidRPr="00FC3C3B">
        <w:rPr>
          <w:noProof/>
          <w:lang w:val="en-IE"/>
        </w:rPr>
        <w:t xml:space="preserve">the EU ETS Directive </w:t>
      </w:r>
      <w:r w:rsidR="00F30789" w:rsidRPr="00FC3C3B">
        <w:rPr>
          <w:noProof/>
          <w:lang w:val="en-IE"/>
        </w:rPr>
        <w:t>to</w:t>
      </w:r>
      <w:r w:rsidR="00E81B7F" w:rsidRPr="00FC3C3B">
        <w:rPr>
          <w:noProof/>
          <w:lang w:val="en-IE"/>
        </w:rPr>
        <w:t xml:space="preserve"> specify </w:t>
      </w:r>
      <w:r w:rsidR="00F30789" w:rsidRPr="00FC3C3B">
        <w:rPr>
          <w:noProof/>
          <w:lang w:val="en-IE"/>
        </w:rPr>
        <w:t xml:space="preserve">the </w:t>
      </w:r>
      <w:r w:rsidR="00C12796" w:rsidRPr="00FC3C3B">
        <w:rPr>
          <w:noProof/>
          <w:lang w:val="en-IE"/>
        </w:rPr>
        <w:t xml:space="preserve">amount of additional funds to be implemented through the Innovation Fund for </w:t>
      </w:r>
      <w:r w:rsidR="007C7742" w:rsidRPr="00FC3C3B">
        <w:rPr>
          <w:noProof/>
          <w:lang w:val="en-IE"/>
        </w:rPr>
        <w:t xml:space="preserve">projects aimed at supporting the </w:t>
      </w:r>
      <w:r w:rsidR="001E096F" w:rsidRPr="00FC3C3B">
        <w:rPr>
          <w:noProof/>
          <w:lang w:val="en-IE"/>
        </w:rPr>
        <w:t xml:space="preserve">development </w:t>
      </w:r>
      <w:r w:rsidR="005D3EA8" w:rsidRPr="00FC3C3B">
        <w:rPr>
          <w:noProof/>
          <w:lang w:val="en-IE"/>
        </w:rPr>
        <w:t>or</w:t>
      </w:r>
      <w:r w:rsidR="001E096F" w:rsidRPr="00FC3C3B">
        <w:rPr>
          <w:noProof/>
          <w:lang w:val="en-IE"/>
        </w:rPr>
        <w:t xml:space="preserve"> manufacturing in the Union of clean technologies</w:t>
      </w:r>
      <w:r w:rsidR="00C12796" w:rsidRPr="00FC3C3B">
        <w:rPr>
          <w:noProof/>
          <w:lang w:val="en-IE"/>
        </w:rPr>
        <w:t xml:space="preserve">. </w:t>
      </w:r>
      <w:r w:rsidR="00E122B7" w:rsidRPr="00FC3C3B">
        <w:rPr>
          <w:noProof/>
          <w:lang w:val="en-IE"/>
        </w:rPr>
        <w:t xml:space="preserve">This additional support </w:t>
      </w:r>
      <w:r w:rsidR="00CC2316" w:rsidRPr="00FC3C3B">
        <w:rPr>
          <w:noProof/>
          <w:lang w:val="en-IE"/>
        </w:rPr>
        <w:t>is made available</w:t>
      </w:r>
      <w:r w:rsidR="00BA15A4" w:rsidRPr="00FC3C3B">
        <w:rPr>
          <w:noProof/>
          <w:lang w:val="en-IE"/>
        </w:rPr>
        <w:t xml:space="preserve"> only to</w:t>
      </w:r>
      <w:r w:rsidR="00CC2316" w:rsidRPr="00FC3C3B">
        <w:rPr>
          <w:noProof/>
          <w:lang w:val="en-IE"/>
        </w:rPr>
        <w:t xml:space="preserve"> </w:t>
      </w:r>
      <w:r w:rsidR="00BA15A4" w:rsidRPr="006E37DD">
        <w:rPr>
          <w:noProof/>
        </w:rPr>
        <w:t>Member States whose average GDP per capita is below the EU average of the EU-27 measured in purchasing power standards (PPS) and calculated on the basis of Union figures for the period 2015-2017.</w:t>
      </w:r>
    </w:p>
    <w:p w14:paraId="41C68466" w14:textId="77777777" w:rsidR="00650278" w:rsidRPr="00FC3C3B" w:rsidRDefault="007C7742" w:rsidP="00B65BD7">
      <w:pPr>
        <w:pBdr>
          <w:top w:val="nil"/>
          <w:left w:val="nil"/>
          <w:bottom w:val="nil"/>
          <w:right w:val="nil"/>
          <w:between w:val="nil"/>
          <w:bar w:val="nil"/>
        </w:pBdr>
        <w:spacing w:before="0" w:after="240"/>
        <w:rPr>
          <w:noProof/>
          <w:u w:val="single"/>
          <w:lang w:val="en-IE"/>
        </w:rPr>
      </w:pPr>
      <w:r w:rsidRPr="00FC3C3B">
        <w:rPr>
          <w:noProof/>
          <w:u w:val="single"/>
          <w:lang w:val="en-IE"/>
        </w:rPr>
        <w:t>Amendments to Regulation (EU)</w:t>
      </w:r>
      <w:r w:rsidR="000760BA" w:rsidRPr="00FC3C3B">
        <w:rPr>
          <w:noProof/>
          <w:u w:val="single"/>
          <w:lang w:val="en-IE"/>
        </w:rPr>
        <w:t xml:space="preserve"> 2021/1058</w:t>
      </w:r>
      <w:r w:rsidR="00AC5C94" w:rsidRPr="00FC3C3B">
        <w:rPr>
          <w:noProof/>
          <w:u w:val="single"/>
          <w:lang w:val="en-IE"/>
        </w:rPr>
        <w:t xml:space="preserve">, </w:t>
      </w:r>
      <w:r w:rsidR="004150C4" w:rsidRPr="00FC3C3B">
        <w:rPr>
          <w:noProof/>
          <w:u w:val="single"/>
          <w:lang w:val="en-IE"/>
        </w:rPr>
        <w:t xml:space="preserve">Regulation on the </w:t>
      </w:r>
      <w:r w:rsidR="000760BA" w:rsidRPr="00FC3C3B">
        <w:rPr>
          <w:noProof/>
          <w:u w:val="single"/>
          <w:lang w:val="en-IE"/>
        </w:rPr>
        <w:t>E</w:t>
      </w:r>
      <w:r w:rsidR="000E53A1" w:rsidRPr="00FC3C3B">
        <w:rPr>
          <w:noProof/>
          <w:u w:val="single"/>
          <w:lang w:val="en-IE"/>
        </w:rPr>
        <w:t xml:space="preserve">uropean Regional Development Fund and </w:t>
      </w:r>
      <w:r w:rsidR="004150C4" w:rsidRPr="00FC3C3B">
        <w:rPr>
          <w:noProof/>
          <w:u w:val="single"/>
          <w:lang w:val="en-IE"/>
        </w:rPr>
        <w:t xml:space="preserve">on the </w:t>
      </w:r>
      <w:r w:rsidR="000E53A1" w:rsidRPr="00FC3C3B">
        <w:rPr>
          <w:noProof/>
          <w:u w:val="single"/>
          <w:lang w:val="en-IE"/>
        </w:rPr>
        <w:t>Cohesion Fund (Articl</w:t>
      </w:r>
      <w:r w:rsidR="007A269B" w:rsidRPr="00FC3C3B">
        <w:rPr>
          <w:noProof/>
          <w:u w:val="single"/>
          <w:lang w:val="en-IE"/>
        </w:rPr>
        <w:t>e 10)</w:t>
      </w:r>
      <w:r w:rsidR="004A2BA1" w:rsidRPr="00FC3C3B">
        <w:rPr>
          <w:noProof/>
          <w:u w:val="single"/>
          <w:lang w:val="en-IE"/>
        </w:rPr>
        <w:t xml:space="preserve">, </w:t>
      </w:r>
      <w:r w:rsidR="004A2BA1" w:rsidRPr="00FC3C3B">
        <w:rPr>
          <w:noProof/>
          <w:u w:val="single"/>
        </w:rPr>
        <w:t>Regulation on the Just Transition Fund (Article 11), and to Regulation (EU) 2021/1057, Regulation establishing the European Social Fund Plus (Article 12</w:t>
      </w:r>
      <w:r w:rsidR="007A269B" w:rsidRPr="00FC3C3B">
        <w:rPr>
          <w:noProof/>
          <w:u w:val="single"/>
        </w:rPr>
        <w:t>)</w:t>
      </w:r>
    </w:p>
    <w:p w14:paraId="77D21C5C" w14:textId="77777777" w:rsidR="00DF5BF2" w:rsidRPr="00FC3C3B" w:rsidRDefault="000961F1">
      <w:pPr>
        <w:pBdr>
          <w:top w:val="nil"/>
          <w:left w:val="nil"/>
          <w:bottom w:val="nil"/>
          <w:right w:val="nil"/>
          <w:between w:val="nil"/>
          <w:bar w:val="nil"/>
        </w:pBdr>
        <w:spacing w:before="0" w:after="240"/>
        <w:rPr>
          <w:noProof/>
        </w:rPr>
      </w:pPr>
      <w:r w:rsidRPr="00FC3C3B">
        <w:rPr>
          <w:noProof/>
        </w:rPr>
        <w:t>Article 10 amends</w:t>
      </w:r>
      <w:r w:rsidR="00DA2FDF" w:rsidRPr="00FC3C3B">
        <w:rPr>
          <w:noProof/>
        </w:rPr>
        <w:t xml:space="preserve"> the </w:t>
      </w:r>
      <w:r w:rsidR="00DA2FDF" w:rsidRPr="00FC3C3B">
        <w:rPr>
          <w:noProof/>
          <w:lang w:val="en-IE"/>
        </w:rPr>
        <w:t xml:space="preserve">Regulation on the European Regional Development Fund </w:t>
      </w:r>
      <w:r w:rsidR="001D6C5C" w:rsidRPr="00FC3C3B">
        <w:rPr>
          <w:noProof/>
          <w:lang w:val="en-IE"/>
        </w:rPr>
        <w:t>(ERDF)</w:t>
      </w:r>
      <w:r w:rsidR="00DA2FDF" w:rsidRPr="00FC3C3B">
        <w:rPr>
          <w:noProof/>
          <w:lang w:val="en-IE"/>
        </w:rPr>
        <w:t xml:space="preserve"> and on the Cohesion Fund</w:t>
      </w:r>
      <w:r w:rsidR="00DA2FDF" w:rsidRPr="00FC3C3B">
        <w:rPr>
          <w:noProof/>
        </w:rPr>
        <w:t xml:space="preserve"> </w:t>
      </w:r>
      <w:r w:rsidR="001D6C5C" w:rsidRPr="00FC3C3B">
        <w:rPr>
          <w:noProof/>
        </w:rPr>
        <w:t>(CF)</w:t>
      </w:r>
      <w:r w:rsidR="00DA2FDF" w:rsidRPr="00FC3C3B">
        <w:rPr>
          <w:noProof/>
        </w:rPr>
        <w:t xml:space="preserve"> </w:t>
      </w:r>
      <w:r w:rsidR="0037735E" w:rsidRPr="00FC3C3B">
        <w:rPr>
          <w:noProof/>
        </w:rPr>
        <w:t xml:space="preserve">to create new specific objectives under Policy Objective 1 </w:t>
      </w:r>
      <w:r w:rsidR="00C038EE" w:rsidRPr="00FC3C3B">
        <w:rPr>
          <w:noProof/>
        </w:rPr>
        <w:t>(a more competitive and smarter Europe by promoting innovative and smart economic transformation and regional ICT connectivity)</w:t>
      </w:r>
      <w:r w:rsidR="00DF581E" w:rsidRPr="00FC3C3B">
        <w:rPr>
          <w:noProof/>
        </w:rPr>
        <w:t xml:space="preserve"> and</w:t>
      </w:r>
      <w:r w:rsidR="00C038EE" w:rsidRPr="00FC3C3B">
        <w:rPr>
          <w:noProof/>
        </w:rPr>
        <w:t xml:space="preserve"> Policy Objective 2 (a greener, low-carbon transitioning towards a net zero carbon economy and resilient Europe by promoting clean and fair energy transition, green and blue investment, the circular economy, climate change mitigation and adaptation, risk prevention and management, and sustainable urban mobility)</w:t>
      </w:r>
      <w:r w:rsidR="00DF581E" w:rsidRPr="00FC3C3B">
        <w:rPr>
          <w:noProof/>
        </w:rPr>
        <w:t>.</w:t>
      </w:r>
      <w:r w:rsidR="00783231" w:rsidRPr="00FC3C3B">
        <w:rPr>
          <w:noProof/>
        </w:rPr>
        <w:t xml:space="preserve"> </w:t>
      </w:r>
      <w:r w:rsidR="00600E69" w:rsidRPr="00FC3C3B">
        <w:rPr>
          <w:noProof/>
        </w:rPr>
        <w:t>It is</w:t>
      </w:r>
      <w:r w:rsidR="00F15F66" w:rsidRPr="00FC3C3B">
        <w:rPr>
          <w:noProof/>
        </w:rPr>
        <w:t xml:space="preserve"> </w:t>
      </w:r>
      <w:r w:rsidR="00CD0ED1" w:rsidRPr="00FC3C3B">
        <w:rPr>
          <w:noProof/>
        </w:rPr>
        <w:t>also made possible</w:t>
      </w:r>
      <w:r w:rsidR="005B0F27" w:rsidRPr="00FC3C3B">
        <w:rPr>
          <w:noProof/>
        </w:rPr>
        <w:t xml:space="preserve"> to support productive investments in enterprises other than SMEs, </w:t>
      </w:r>
      <w:r w:rsidR="00F15F66" w:rsidRPr="00FC3C3B">
        <w:rPr>
          <w:noProof/>
        </w:rPr>
        <w:t>in less developed and transition regions</w:t>
      </w:r>
      <w:r w:rsidR="00EF6825" w:rsidRPr="00FC3C3B">
        <w:rPr>
          <w:noProof/>
        </w:rPr>
        <w:t xml:space="preserve">, as well as </w:t>
      </w:r>
      <w:r w:rsidR="007B74F2" w:rsidRPr="00FC3C3B">
        <w:rPr>
          <w:noProof/>
        </w:rPr>
        <w:t xml:space="preserve">in more </w:t>
      </w:r>
      <w:r w:rsidR="00EF6825" w:rsidRPr="00FC3C3B">
        <w:rPr>
          <w:noProof/>
        </w:rPr>
        <w:t xml:space="preserve">developed regions in </w:t>
      </w:r>
      <w:r w:rsidR="00103174" w:rsidRPr="00FC3C3B">
        <w:rPr>
          <w:noProof/>
        </w:rPr>
        <w:t>Member States whose average GDP per capita is below the EU average of the EU-27 measured in purchasing power standards (PPS) and calculated on the basis of Union figures for the period 2015-2017.</w:t>
      </w:r>
    </w:p>
    <w:p w14:paraId="5296F76C" w14:textId="77777777" w:rsidR="003C57AF" w:rsidRPr="00FC3C3B" w:rsidRDefault="000961F1">
      <w:pPr>
        <w:pBdr>
          <w:top w:val="nil"/>
          <w:left w:val="nil"/>
          <w:bottom w:val="nil"/>
          <w:right w:val="nil"/>
          <w:between w:val="nil"/>
          <w:bar w:val="nil"/>
        </w:pBdr>
        <w:spacing w:before="0" w:after="240"/>
        <w:rPr>
          <w:noProof/>
        </w:rPr>
      </w:pPr>
      <w:r w:rsidRPr="00FC3C3B">
        <w:rPr>
          <w:noProof/>
        </w:rPr>
        <w:t xml:space="preserve">Article 11 </w:t>
      </w:r>
      <w:r w:rsidR="000F047B" w:rsidRPr="00FC3C3B">
        <w:rPr>
          <w:noProof/>
        </w:rPr>
        <w:t xml:space="preserve">amends the Regulation on the Just Transition Fund </w:t>
      </w:r>
      <w:r w:rsidR="001D6C5C" w:rsidRPr="00FC3C3B">
        <w:rPr>
          <w:noProof/>
        </w:rPr>
        <w:t>(JTF)</w:t>
      </w:r>
      <w:r w:rsidR="000F047B" w:rsidRPr="00FC3C3B">
        <w:rPr>
          <w:noProof/>
        </w:rPr>
        <w:t xml:space="preserve"> to </w:t>
      </w:r>
      <w:r w:rsidR="00FC3830" w:rsidRPr="00FC3C3B">
        <w:rPr>
          <w:noProof/>
        </w:rPr>
        <w:t xml:space="preserve">indicate that such a </w:t>
      </w:r>
      <w:r w:rsidR="005420DC" w:rsidRPr="00FC3C3B">
        <w:rPr>
          <w:noProof/>
        </w:rPr>
        <w:t xml:space="preserve">programme can support </w:t>
      </w:r>
      <w:r w:rsidR="003D45DF" w:rsidRPr="00FC3C3B">
        <w:rPr>
          <w:noProof/>
          <w:lang w:val="en-IE"/>
        </w:rPr>
        <w:t>investments linked</w:t>
      </w:r>
      <w:r w:rsidR="005420DC" w:rsidRPr="00FC3C3B">
        <w:rPr>
          <w:noProof/>
        </w:rPr>
        <w:t xml:space="preserve"> to the </w:t>
      </w:r>
      <w:r w:rsidR="0089765C" w:rsidRPr="00FC3C3B">
        <w:rPr>
          <w:noProof/>
        </w:rPr>
        <w:t>STEP</w:t>
      </w:r>
      <w:r w:rsidR="005420DC" w:rsidRPr="00FC3C3B">
        <w:rPr>
          <w:noProof/>
        </w:rPr>
        <w:t xml:space="preserve"> objectives.</w:t>
      </w:r>
    </w:p>
    <w:p w14:paraId="049EC9C6" w14:textId="77777777" w:rsidR="00650278" w:rsidRPr="006E37DD" w:rsidRDefault="003668A3" w:rsidP="00C038EE">
      <w:pPr>
        <w:pBdr>
          <w:top w:val="nil"/>
          <w:left w:val="nil"/>
          <w:bottom w:val="nil"/>
          <w:right w:val="nil"/>
          <w:between w:val="nil"/>
          <w:bar w:val="nil"/>
        </w:pBdr>
        <w:spacing w:before="0" w:after="240"/>
        <w:rPr>
          <w:noProof/>
        </w:rPr>
      </w:pPr>
      <w:r w:rsidRPr="00FC3C3B">
        <w:rPr>
          <w:noProof/>
        </w:rPr>
        <w:t xml:space="preserve">Moreover, </w:t>
      </w:r>
      <w:r w:rsidR="001B165F" w:rsidRPr="00FC3C3B">
        <w:rPr>
          <w:noProof/>
        </w:rPr>
        <w:t>in order to help accelerate those investments and providing the necessary liquidity</w:t>
      </w:r>
      <w:r w:rsidR="00032AD8" w:rsidRPr="00FC3C3B">
        <w:rPr>
          <w:noProof/>
        </w:rPr>
        <w:t>, a</w:t>
      </w:r>
      <w:r w:rsidR="0078244A" w:rsidRPr="00FC3C3B">
        <w:rPr>
          <w:noProof/>
        </w:rPr>
        <w:t xml:space="preserve">n exceptional pre-financing </w:t>
      </w:r>
      <w:r w:rsidR="00313041" w:rsidRPr="00FC3C3B">
        <w:rPr>
          <w:noProof/>
        </w:rPr>
        <w:t xml:space="preserve">of 30% </w:t>
      </w:r>
      <w:r w:rsidR="00712F62" w:rsidRPr="00FC3C3B">
        <w:rPr>
          <w:noProof/>
        </w:rPr>
        <w:t xml:space="preserve">will be available for the year </w:t>
      </w:r>
      <w:r w:rsidR="0017028B" w:rsidRPr="00FC3C3B">
        <w:rPr>
          <w:noProof/>
        </w:rPr>
        <w:t>2024.</w:t>
      </w:r>
      <w:r w:rsidR="006B5AA6" w:rsidRPr="00FC3C3B">
        <w:rPr>
          <w:noProof/>
        </w:rPr>
        <w:t xml:space="preserve"> </w:t>
      </w:r>
      <w:r w:rsidR="00150A9F" w:rsidRPr="00FC3C3B">
        <w:rPr>
          <w:noProof/>
        </w:rPr>
        <w:t xml:space="preserve">It is also set out that Member States should be able to apply an increased </w:t>
      </w:r>
      <w:r w:rsidR="002D2944" w:rsidRPr="00FC3C3B">
        <w:rPr>
          <w:noProof/>
        </w:rPr>
        <w:t xml:space="preserve">EU </w:t>
      </w:r>
      <w:r w:rsidR="00150A9F" w:rsidRPr="00FC3C3B">
        <w:rPr>
          <w:noProof/>
        </w:rPr>
        <w:t xml:space="preserve">financing rate of up to 100%. </w:t>
      </w:r>
      <w:r w:rsidR="006B5AA6" w:rsidRPr="00FC3C3B">
        <w:rPr>
          <w:noProof/>
        </w:rPr>
        <w:t xml:space="preserve">This is reflected for the three Regulations above, </w:t>
      </w:r>
      <w:r w:rsidR="007237BB" w:rsidRPr="00FC3C3B">
        <w:rPr>
          <w:noProof/>
        </w:rPr>
        <w:t>by including the same provisions under Articles 10, 11, and 12.</w:t>
      </w:r>
      <w:r w:rsidR="006703CC" w:rsidRPr="00FC3C3B">
        <w:rPr>
          <w:noProof/>
        </w:rPr>
        <w:t xml:space="preserve"> </w:t>
      </w:r>
    </w:p>
    <w:p w14:paraId="5AAF54BE" w14:textId="77777777" w:rsidR="004E4089" w:rsidRPr="00FC3C3B" w:rsidRDefault="000B3869" w:rsidP="00C038EE">
      <w:pPr>
        <w:pBdr>
          <w:top w:val="nil"/>
          <w:left w:val="nil"/>
          <w:bottom w:val="nil"/>
          <w:right w:val="nil"/>
          <w:between w:val="nil"/>
          <w:bar w:val="nil"/>
        </w:pBdr>
        <w:spacing w:before="0" w:after="240"/>
        <w:rPr>
          <w:noProof/>
        </w:rPr>
      </w:pPr>
      <w:r w:rsidRPr="00FC3C3B">
        <w:rPr>
          <w:noProof/>
        </w:rPr>
        <w:t xml:space="preserve">Annexes I and II of the </w:t>
      </w:r>
      <w:r w:rsidR="00F13C1F" w:rsidRPr="00FC3C3B">
        <w:rPr>
          <w:noProof/>
        </w:rPr>
        <w:t>ERDF and CF regulation</w:t>
      </w:r>
      <w:r w:rsidR="00A6064F" w:rsidRPr="00FC3C3B">
        <w:rPr>
          <w:noProof/>
        </w:rPr>
        <w:t xml:space="preserve"> </w:t>
      </w:r>
      <w:r w:rsidR="00046416" w:rsidRPr="00FC3C3B">
        <w:rPr>
          <w:noProof/>
        </w:rPr>
        <w:t>are</w:t>
      </w:r>
      <w:r w:rsidR="00A63301" w:rsidRPr="00FC3C3B">
        <w:rPr>
          <w:noProof/>
        </w:rPr>
        <w:t xml:space="preserve"> amended to include the indicators related to the </w:t>
      </w:r>
      <w:r w:rsidR="005F0204" w:rsidRPr="00FC3C3B">
        <w:rPr>
          <w:noProof/>
        </w:rPr>
        <w:t xml:space="preserve">new </w:t>
      </w:r>
      <w:r w:rsidR="0089765C" w:rsidRPr="00FC3C3B">
        <w:rPr>
          <w:noProof/>
        </w:rPr>
        <w:t>STEP</w:t>
      </w:r>
      <w:r w:rsidR="0094057C" w:rsidRPr="00FC3C3B">
        <w:rPr>
          <w:noProof/>
        </w:rPr>
        <w:t xml:space="preserve"> </w:t>
      </w:r>
      <w:r w:rsidR="005F0204" w:rsidRPr="00FC3C3B">
        <w:rPr>
          <w:noProof/>
        </w:rPr>
        <w:t>objectives.</w:t>
      </w:r>
    </w:p>
    <w:p w14:paraId="1352F67C" w14:textId="77777777" w:rsidR="005A7229" w:rsidRPr="00FC3C3B" w:rsidRDefault="003D421C">
      <w:pPr>
        <w:pBdr>
          <w:top w:val="nil"/>
          <w:left w:val="nil"/>
          <w:bottom w:val="nil"/>
          <w:right w:val="nil"/>
          <w:between w:val="nil"/>
          <w:bar w:val="nil"/>
        </w:pBdr>
        <w:spacing w:before="0" w:after="240"/>
        <w:jc w:val="left"/>
        <w:rPr>
          <w:noProof/>
        </w:rPr>
      </w:pPr>
      <w:r w:rsidRPr="00FC3C3B">
        <w:rPr>
          <w:noProof/>
          <w:u w:val="single"/>
        </w:rPr>
        <w:t xml:space="preserve">Amendments to Regulation (EU) 2021/1060, Regulation </w:t>
      </w:r>
      <w:r w:rsidR="00244ACF" w:rsidRPr="00FC3C3B">
        <w:rPr>
          <w:noProof/>
          <w:u w:val="single"/>
        </w:rPr>
        <w:t>laying down common provisions</w:t>
      </w:r>
      <w:r w:rsidRPr="00FC3C3B">
        <w:rPr>
          <w:noProof/>
          <w:u w:val="single"/>
        </w:rPr>
        <w:t xml:space="preserve"> </w:t>
      </w:r>
      <w:r w:rsidR="000801A5" w:rsidRPr="00FC3C3B">
        <w:rPr>
          <w:noProof/>
          <w:u w:val="single"/>
        </w:rPr>
        <w:t xml:space="preserve">applicable amongst others to the ERDF, CF, JTF and ESF+ </w:t>
      </w:r>
      <w:r w:rsidR="008E266D" w:rsidRPr="00FC3C3B">
        <w:rPr>
          <w:noProof/>
          <w:u w:val="single"/>
        </w:rPr>
        <w:t>(Article 13)</w:t>
      </w:r>
      <w:r w:rsidRPr="00FC3C3B">
        <w:rPr>
          <w:noProof/>
          <w:u w:val="single"/>
        </w:rPr>
        <w:t xml:space="preserve"> </w:t>
      </w:r>
    </w:p>
    <w:p w14:paraId="70C6B761" w14:textId="77777777" w:rsidR="00927FE1" w:rsidRPr="00FC3C3B" w:rsidRDefault="003E4AC0" w:rsidP="00B65BD7">
      <w:pPr>
        <w:pBdr>
          <w:top w:val="nil"/>
          <w:left w:val="nil"/>
          <w:bottom w:val="nil"/>
          <w:right w:val="nil"/>
          <w:between w:val="nil"/>
          <w:bar w:val="nil"/>
        </w:pBdr>
        <w:spacing w:before="0" w:after="240"/>
        <w:rPr>
          <w:noProof/>
        </w:rPr>
      </w:pPr>
      <w:r w:rsidRPr="00FC3C3B">
        <w:rPr>
          <w:noProof/>
        </w:rPr>
        <w:t xml:space="preserve">This Regulation is also amended to allow that projects having been awarded a Sovereignty Seal could benefit from </w:t>
      </w:r>
      <w:r w:rsidRPr="00FC3C3B">
        <w:rPr>
          <w:noProof/>
          <w:lang w:val="en-IE"/>
        </w:rPr>
        <w:t xml:space="preserve">better access to EU funding, notably by facilitating cumulative or combined funding from several Union instruments. To that end, managing authorities will be able to grant support from the ERDF or the ESF+ directly, for operations attributed a Sovereignty Seal. </w:t>
      </w:r>
      <w:r w:rsidR="00826DF8" w:rsidRPr="00FC3C3B" w:rsidDel="00150A9F">
        <w:rPr>
          <w:noProof/>
        </w:rPr>
        <w:t xml:space="preserve">It is also set out that Member States should be able to </w:t>
      </w:r>
      <w:r w:rsidR="006F778F" w:rsidRPr="00FC3C3B" w:rsidDel="00150A9F">
        <w:rPr>
          <w:noProof/>
        </w:rPr>
        <w:t>apply a</w:t>
      </w:r>
      <w:r w:rsidR="00B12283" w:rsidRPr="00FC3C3B" w:rsidDel="00150A9F">
        <w:rPr>
          <w:noProof/>
        </w:rPr>
        <w:t xml:space="preserve">n increased </w:t>
      </w:r>
      <w:r w:rsidR="002D2944" w:rsidRPr="00FC3C3B">
        <w:rPr>
          <w:noProof/>
        </w:rPr>
        <w:t xml:space="preserve">EU </w:t>
      </w:r>
      <w:r w:rsidR="00B12283" w:rsidRPr="00FC3C3B" w:rsidDel="00150A9F">
        <w:rPr>
          <w:noProof/>
        </w:rPr>
        <w:t xml:space="preserve">financing rate of up to 100%. </w:t>
      </w:r>
    </w:p>
    <w:p w14:paraId="1275F742" w14:textId="77777777" w:rsidR="00B3645E" w:rsidRPr="00FC3C3B" w:rsidRDefault="00B3645E" w:rsidP="00B65BD7">
      <w:pPr>
        <w:pBdr>
          <w:top w:val="nil"/>
          <w:left w:val="nil"/>
          <w:bottom w:val="nil"/>
          <w:right w:val="nil"/>
          <w:between w:val="nil"/>
          <w:bar w:val="nil"/>
        </w:pBdr>
        <w:spacing w:before="0" w:after="240"/>
        <w:rPr>
          <w:noProof/>
        </w:rPr>
      </w:pPr>
      <w:r w:rsidRPr="00FC3C3B">
        <w:rPr>
          <w:noProof/>
        </w:rPr>
        <w:t xml:space="preserve">Article </w:t>
      </w:r>
      <w:r w:rsidR="00D23592" w:rsidRPr="00FC3C3B">
        <w:rPr>
          <w:noProof/>
        </w:rPr>
        <w:t xml:space="preserve">49 of the CPR </w:t>
      </w:r>
      <w:r w:rsidR="006003D7" w:rsidRPr="00FC3C3B">
        <w:rPr>
          <w:noProof/>
        </w:rPr>
        <w:t>R</w:t>
      </w:r>
      <w:r w:rsidR="00D70D0F" w:rsidRPr="00FC3C3B">
        <w:rPr>
          <w:noProof/>
        </w:rPr>
        <w:t xml:space="preserve">egulation </w:t>
      </w:r>
      <w:r w:rsidR="00D23592" w:rsidRPr="00FC3C3B">
        <w:rPr>
          <w:noProof/>
        </w:rPr>
        <w:t xml:space="preserve">is amended to ensure that the managing authorities </w:t>
      </w:r>
      <w:r w:rsidR="00A76B6D" w:rsidRPr="00FC3C3B">
        <w:rPr>
          <w:noProof/>
        </w:rPr>
        <w:t xml:space="preserve">identify and </w:t>
      </w:r>
      <w:r w:rsidR="00D80D3F" w:rsidRPr="00FC3C3B">
        <w:rPr>
          <w:noProof/>
        </w:rPr>
        <w:t xml:space="preserve">submit </w:t>
      </w:r>
      <w:r w:rsidR="0074423B" w:rsidRPr="00FC3C3B">
        <w:rPr>
          <w:noProof/>
        </w:rPr>
        <w:t xml:space="preserve">to the Commission </w:t>
      </w:r>
      <w:r w:rsidR="00D80D3F" w:rsidRPr="00FC3C3B">
        <w:rPr>
          <w:noProof/>
        </w:rPr>
        <w:t xml:space="preserve">the </w:t>
      </w:r>
      <w:r w:rsidR="00E5752C" w:rsidRPr="00FC3C3B">
        <w:rPr>
          <w:noProof/>
        </w:rPr>
        <w:t xml:space="preserve">planned calls for proposals related to the </w:t>
      </w:r>
      <w:r w:rsidR="0089765C" w:rsidRPr="00FC3C3B">
        <w:rPr>
          <w:rFonts w:eastAsia="Times New Roman"/>
          <w:noProof/>
        </w:rPr>
        <w:t>STEP</w:t>
      </w:r>
      <w:r w:rsidR="001312EE" w:rsidRPr="00FC3C3B">
        <w:rPr>
          <w:rFonts w:eastAsia="Times New Roman"/>
          <w:noProof/>
        </w:rPr>
        <w:t xml:space="preserve"> </w:t>
      </w:r>
      <w:r w:rsidR="00C11FF1" w:rsidRPr="00FC3C3B">
        <w:rPr>
          <w:noProof/>
        </w:rPr>
        <w:t>objectives</w:t>
      </w:r>
      <w:r w:rsidR="00997D01" w:rsidRPr="00FC3C3B">
        <w:rPr>
          <w:noProof/>
        </w:rPr>
        <w:t xml:space="preserve"> in order to publish them </w:t>
      </w:r>
      <w:r w:rsidR="00790D03" w:rsidRPr="00FC3C3B">
        <w:rPr>
          <w:noProof/>
        </w:rPr>
        <w:t>on the Sovereignty portal</w:t>
      </w:r>
      <w:r w:rsidR="00461C81" w:rsidRPr="00FC3C3B">
        <w:rPr>
          <w:noProof/>
        </w:rPr>
        <w:t>, as well as a dedicated secondary theme for the ESF +.</w:t>
      </w:r>
    </w:p>
    <w:p w14:paraId="529B4B8F" w14:textId="77777777" w:rsidR="001A0E05" w:rsidRPr="00FC3C3B" w:rsidRDefault="00F848A8" w:rsidP="001A0E05">
      <w:pPr>
        <w:pBdr>
          <w:top w:val="nil"/>
          <w:left w:val="nil"/>
          <w:bottom w:val="nil"/>
          <w:right w:val="nil"/>
          <w:between w:val="nil"/>
          <w:bar w:val="nil"/>
        </w:pBdr>
        <w:spacing w:before="0" w:after="240"/>
        <w:rPr>
          <w:noProof/>
        </w:rPr>
      </w:pPr>
      <w:r w:rsidRPr="00FC3C3B">
        <w:rPr>
          <w:noProof/>
        </w:rPr>
        <w:t xml:space="preserve">The amendment to Annex I of the CPR </w:t>
      </w:r>
      <w:r w:rsidR="006003D7" w:rsidRPr="00FC3C3B">
        <w:rPr>
          <w:noProof/>
        </w:rPr>
        <w:t>R</w:t>
      </w:r>
      <w:r w:rsidRPr="00FC3C3B">
        <w:rPr>
          <w:noProof/>
        </w:rPr>
        <w:t xml:space="preserve">egulation incorporates supplementary intervention fields that </w:t>
      </w:r>
      <w:r w:rsidR="003C5F20" w:rsidRPr="00FC3C3B">
        <w:rPr>
          <w:noProof/>
        </w:rPr>
        <w:t>will</w:t>
      </w:r>
      <w:r w:rsidR="001A0E05" w:rsidRPr="00FC3C3B">
        <w:rPr>
          <w:noProof/>
        </w:rPr>
        <w:t xml:space="preserve"> allow to track the expenditure related to </w:t>
      </w:r>
      <w:r w:rsidR="003C5F20" w:rsidRPr="00FC3C3B">
        <w:rPr>
          <w:noProof/>
        </w:rPr>
        <w:t xml:space="preserve">the new </w:t>
      </w:r>
      <w:r w:rsidR="008330B9" w:rsidRPr="00FC3C3B">
        <w:rPr>
          <w:noProof/>
        </w:rPr>
        <w:t xml:space="preserve">Platform </w:t>
      </w:r>
      <w:r w:rsidR="001A0E05" w:rsidRPr="00FC3C3B">
        <w:rPr>
          <w:noProof/>
        </w:rPr>
        <w:t>objectives.</w:t>
      </w:r>
    </w:p>
    <w:p w14:paraId="2AAE89B6" w14:textId="77777777" w:rsidR="003628A0" w:rsidRPr="00FC3C3B" w:rsidRDefault="003628A0" w:rsidP="003628A0">
      <w:pPr>
        <w:pBdr>
          <w:top w:val="nil"/>
          <w:left w:val="nil"/>
          <w:bottom w:val="nil"/>
          <w:right w:val="nil"/>
          <w:between w:val="nil"/>
          <w:bar w:val="nil"/>
        </w:pBdr>
        <w:spacing w:before="0" w:after="240"/>
        <w:rPr>
          <w:noProof/>
          <w:u w:val="single"/>
          <w:lang w:val="en-IE"/>
        </w:rPr>
      </w:pPr>
      <w:r w:rsidRPr="00FC3C3B">
        <w:rPr>
          <w:noProof/>
          <w:u w:val="single"/>
          <w:lang w:val="en-IE"/>
        </w:rPr>
        <w:t>Amendments to Regulation (EU) No 1303/2013 (Article 14) and Regulation (EU) No 223/2014 (Article 15)</w:t>
      </w:r>
    </w:p>
    <w:p w14:paraId="04E5E004" w14:textId="77777777" w:rsidR="003628A0" w:rsidRPr="00FC3C3B" w:rsidRDefault="003628A0" w:rsidP="003628A0">
      <w:pPr>
        <w:rPr>
          <w:noProof/>
          <w:lang w:val="en-IE"/>
        </w:rPr>
      </w:pPr>
      <w:r w:rsidRPr="00FC3C3B">
        <w:rPr>
          <w:rFonts w:eastAsia="Times New Roman"/>
          <w:noProof/>
        </w:rPr>
        <w:t>This amendment to provide with additional flexibilities for Member States to be able to implement the 2014-2020 cohesion policy programmes</w:t>
      </w:r>
      <w:r w:rsidR="51540AF6" w:rsidRPr="00FC3C3B">
        <w:rPr>
          <w:rFonts w:eastAsia="Times New Roman"/>
          <w:noProof/>
        </w:rPr>
        <w:t>,</w:t>
      </w:r>
      <w:r w:rsidRPr="00FC3C3B">
        <w:rPr>
          <w:rFonts w:eastAsia="Times New Roman"/>
          <w:noProof/>
        </w:rPr>
        <w:t xml:space="preserve"> the </w:t>
      </w:r>
      <w:r w:rsidR="51540AF6" w:rsidRPr="00FC3C3B">
        <w:rPr>
          <w:rFonts w:eastAsia="Times New Roman"/>
          <w:noProof/>
        </w:rPr>
        <w:t xml:space="preserve">EMFF </w:t>
      </w:r>
      <w:r w:rsidRPr="00FC3C3B">
        <w:rPr>
          <w:rFonts w:eastAsia="Times New Roman"/>
          <w:noProof/>
        </w:rPr>
        <w:t xml:space="preserve">and the Fund for European Aid to the Most Deprived (FEAD). The regulatory framework for the </w:t>
      </w:r>
      <w:r w:rsidRPr="00FC3C3B">
        <w:rPr>
          <w:noProof/>
        </w:rPr>
        <w:t xml:space="preserve">implementation of the 2014-2020 programmes has already been adapted to provide </w:t>
      </w:r>
      <w:r w:rsidRPr="00FC3C3B">
        <w:rPr>
          <w:noProof/>
          <w:lang w:val="en-IE"/>
        </w:rPr>
        <w:t>Member States and regions with additional flexibility in terms of implementation rules and more liquidity to tackle the effects of the COVID-19 pandemic and the war or aggression against Ukraine.</w:t>
      </w:r>
      <w:r w:rsidRPr="00FC3C3B">
        <w:rPr>
          <w:rStyle w:val="FootnoteReference"/>
          <w:noProof/>
          <w:lang w:val="en-IE"/>
        </w:rPr>
        <w:footnoteReference w:id="36"/>
      </w:r>
      <w:r w:rsidRPr="00FC3C3B">
        <w:rPr>
          <w:noProof/>
          <w:lang w:val="en-IE"/>
        </w:rPr>
        <w:t xml:space="preserve"> These measures, introduced at the end of the programming period, require sufficient time and administrative resources to be fully exploited and implemented. This is linked to the need for the Member States to focus administrative resources on the revision of the operational programmes towards the </w:t>
      </w:r>
      <w:r w:rsidR="003B66EF" w:rsidRPr="00FC3C3B">
        <w:rPr>
          <w:rFonts w:eastAsia="Times New Roman"/>
          <w:noProof/>
        </w:rPr>
        <w:t>STEP</w:t>
      </w:r>
      <w:r w:rsidRPr="00FC3C3B">
        <w:rPr>
          <w:noProof/>
          <w:lang w:val="en-IE"/>
        </w:rPr>
        <w:t xml:space="preserve">. </w:t>
      </w:r>
    </w:p>
    <w:p w14:paraId="01CFA537" w14:textId="77777777" w:rsidR="003628A0" w:rsidRPr="00FC3C3B" w:rsidRDefault="003628A0" w:rsidP="003628A0">
      <w:pPr>
        <w:rPr>
          <w:rFonts w:eastAsia="Times New Roman"/>
          <w:noProof/>
        </w:rPr>
      </w:pPr>
      <w:r w:rsidRPr="00FC3C3B">
        <w:rPr>
          <w:noProof/>
          <w:lang w:val="en-IE"/>
        </w:rPr>
        <w:t xml:space="preserve">Therefore, </w:t>
      </w:r>
      <w:r w:rsidRPr="00FC3C3B">
        <w:rPr>
          <w:noProof/>
        </w:rPr>
        <w:t xml:space="preserve">the deadline for the submission of that final payment application should be extended by 12 months. Furthermore, the deadline for the submission of the closure documents should also be extended by 12 months so that the necessary controls and audits allowing for an orderly closure of programmes under the 2014-2020 programming period can be carried out. In order to ensure a sound implementation of the EU budget and respect for the payment ceilings,  payments to be made in 2025 should be capped at 1 % of the financial appropriations from resources under the Multiannual Financial Framework per programme. </w:t>
      </w:r>
      <w:r w:rsidR="1E325BAB" w:rsidRPr="00FC3C3B">
        <w:rPr>
          <w:noProof/>
        </w:rPr>
        <w:t xml:space="preserve"> It should be clarified that amounts due exceeding the ceiling of 1% of programme appropriations per fund for 2025 would not be paid in 2025 nor in subsequent years but only used for the clearance of pre-financing. Unused amounts shall be decommitted in accordance with the general rules for decommitment at closure</w:t>
      </w:r>
      <w:r w:rsidRPr="00FC3C3B">
        <w:rPr>
          <w:noProof/>
        </w:rPr>
        <w:t>.</w:t>
      </w:r>
    </w:p>
    <w:p w14:paraId="1601E575" w14:textId="77777777" w:rsidR="0093317E" w:rsidRPr="00FC3C3B" w:rsidRDefault="009C24E7" w:rsidP="00E614E9">
      <w:pPr>
        <w:pBdr>
          <w:top w:val="nil"/>
          <w:left w:val="nil"/>
          <w:bottom w:val="nil"/>
          <w:right w:val="nil"/>
          <w:between w:val="nil"/>
          <w:bar w:val="nil"/>
        </w:pBdr>
        <w:spacing w:before="0" w:after="240"/>
        <w:rPr>
          <w:noProof/>
          <w:u w:val="single"/>
          <w:lang w:val="en-IE"/>
        </w:rPr>
      </w:pPr>
      <w:r w:rsidRPr="00FC3C3B">
        <w:rPr>
          <w:noProof/>
          <w:u w:val="single"/>
          <w:lang w:val="en-IE"/>
        </w:rPr>
        <w:t>Amendments to Regulation (EU) 2021/523</w:t>
      </w:r>
      <w:r w:rsidR="00897B43" w:rsidRPr="00FC3C3B">
        <w:rPr>
          <w:noProof/>
          <w:u w:val="single"/>
          <w:lang w:val="en-IE"/>
        </w:rPr>
        <w:t xml:space="preserve">, </w:t>
      </w:r>
      <w:r w:rsidR="0078799F" w:rsidRPr="00FC3C3B">
        <w:rPr>
          <w:noProof/>
          <w:u w:val="single"/>
          <w:lang w:val="en-IE"/>
        </w:rPr>
        <w:t>establishing the InvestEU Programme (Article 1</w:t>
      </w:r>
      <w:r w:rsidR="003628A0" w:rsidRPr="00FC3C3B">
        <w:rPr>
          <w:noProof/>
          <w:u w:val="single"/>
          <w:lang w:val="en-IE"/>
        </w:rPr>
        <w:t>6</w:t>
      </w:r>
      <w:r w:rsidR="0078799F" w:rsidRPr="00FC3C3B">
        <w:rPr>
          <w:noProof/>
          <w:u w:val="single"/>
          <w:lang w:val="en-IE"/>
        </w:rPr>
        <w:t>)</w:t>
      </w:r>
    </w:p>
    <w:p w14:paraId="61CC6F01" w14:textId="77777777" w:rsidR="00DE4D98" w:rsidRPr="00FC3C3B" w:rsidRDefault="00ED350A" w:rsidP="00DE4D98">
      <w:pPr>
        <w:spacing w:after="240"/>
        <w:rPr>
          <w:noProof/>
        </w:rPr>
      </w:pPr>
      <w:r w:rsidRPr="00FC3C3B">
        <w:rPr>
          <w:noProof/>
        </w:rPr>
        <w:t xml:space="preserve">This provision creates a new policy area (fifth window) aimed at supporting </w:t>
      </w:r>
      <w:r w:rsidR="003B66EF" w:rsidRPr="00FC3C3B">
        <w:rPr>
          <w:noProof/>
        </w:rPr>
        <w:t>STEP</w:t>
      </w:r>
      <w:r w:rsidR="007E1084" w:rsidRPr="00FC3C3B">
        <w:rPr>
          <w:noProof/>
        </w:rPr>
        <w:t xml:space="preserve"> </w:t>
      </w:r>
      <w:r w:rsidRPr="00FC3C3B">
        <w:rPr>
          <w:noProof/>
        </w:rPr>
        <w:t xml:space="preserve"> investments under InvestEU, and it accommodates the additional amount of EUR [...] billion proposed in the context of the MFF review by amending the amounts of the EU guarantee for the purposes of the </w:t>
      </w:r>
      <w:r w:rsidR="003B66EF" w:rsidRPr="00FC3C3B">
        <w:rPr>
          <w:rFonts w:eastAsia="Times New Roman"/>
          <w:noProof/>
        </w:rPr>
        <w:t>STEP</w:t>
      </w:r>
      <w:r w:rsidRPr="00FC3C3B">
        <w:rPr>
          <w:noProof/>
        </w:rPr>
        <w:t xml:space="preserve">. </w:t>
      </w:r>
      <w:r w:rsidR="00DE4D98" w:rsidRPr="00FC3C3B">
        <w:rPr>
          <w:noProof/>
        </w:rPr>
        <w:t>Amendments are also made to reflect the Sovereignty Seal dimension into InvestEU, as explained under Article 4.</w:t>
      </w:r>
    </w:p>
    <w:p w14:paraId="7ACB5E5D" w14:textId="77777777" w:rsidR="00621C0D" w:rsidRPr="00FC3C3B" w:rsidRDefault="00ED350A" w:rsidP="00ED350A">
      <w:pPr>
        <w:spacing w:after="240"/>
        <w:rPr>
          <w:noProof/>
          <w:lang w:val="en-IE"/>
        </w:rPr>
      </w:pPr>
      <w:r w:rsidRPr="00FC3C3B">
        <w:rPr>
          <w:noProof/>
        </w:rPr>
        <w:t xml:space="preserve">It also proposes additional flexibilities and clarifications to better pursue the objectives of this initiative. </w:t>
      </w:r>
      <w:r w:rsidR="00186B53" w:rsidRPr="00FC3C3B">
        <w:rPr>
          <w:noProof/>
        </w:rPr>
        <w:t>I</w:t>
      </w:r>
      <w:r w:rsidR="00805495" w:rsidRPr="00FC3C3B">
        <w:rPr>
          <w:noProof/>
        </w:rPr>
        <w:t xml:space="preserve">n relation to the combination of portfolios, it is specified that when support from the financial </w:t>
      </w:r>
      <w:r w:rsidR="005E1B4E" w:rsidRPr="00FC3C3B">
        <w:rPr>
          <w:noProof/>
        </w:rPr>
        <w:t>instruments</w:t>
      </w:r>
      <w:r w:rsidR="00277A92" w:rsidRPr="00FC3C3B">
        <w:rPr>
          <w:noProof/>
        </w:rPr>
        <w:t xml:space="preserve"> referred to in Article </w:t>
      </w:r>
      <w:r w:rsidR="003F6D6A" w:rsidRPr="00FC3C3B">
        <w:rPr>
          <w:noProof/>
        </w:rPr>
        <w:t>7(1)</w:t>
      </w:r>
      <w:r w:rsidR="00740FB0" w:rsidRPr="00FC3C3B">
        <w:rPr>
          <w:noProof/>
        </w:rPr>
        <w:t xml:space="preserve"> is combined in a financial </w:t>
      </w:r>
      <w:r w:rsidR="00F421A3" w:rsidRPr="00FC3C3B">
        <w:rPr>
          <w:noProof/>
          <w:lang w:val="en-IE"/>
        </w:rPr>
        <w:t>product in a subordinated position to the EU guarantee under this Regulation and/or EU guarantee established by Regulation (EU) 2015/1017, the losses, revenues and repayments as well as potential recoveries may also be attributed on a non pro rata basis</w:t>
      </w:r>
      <w:r w:rsidR="005E1B4E" w:rsidRPr="00FC3C3B">
        <w:rPr>
          <w:noProof/>
          <w:lang w:val="en-IE"/>
        </w:rPr>
        <w:t xml:space="preserve">. </w:t>
      </w:r>
      <w:r w:rsidR="00306340" w:rsidRPr="00FC3C3B">
        <w:rPr>
          <w:noProof/>
        </w:rPr>
        <w:t>This amendment</w:t>
      </w:r>
      <w:r w:rsidR="00161691" w:rsidRPr="00FC3C3B">
        <w:rPr>
          <w:noProof/>
        </w:rPr>
        <w:t xml:space="preserve"> aims at facilitating synergies between the InvestEU and other Union programmes by increasing the flexibility on the design of blending operations</w:t>
      </w:r>
      <w:r w:rsidR="005E1B4E" w:rsidRPr="00FC3C3B">
        <w:rPr>
          <w:noProof/>
          <w:lang w:val="en-IE"/>
        </w:rPr>
        <w:t>.</w:t>
      </w:r>
      <w:r w:rsidR="00BA69AE" w:rsidRPr="00FC3C3B">
        <w:rPr>
          <w:noProof/>
          <w:lang w:val="en-IE"/>
        </w:rPr>
        <w:t xml:space="preserve"> </w:t>
      </w:r>
    </w:p>
    <w:p w14:paraId="66F0104A" w14:textId="77777777" w:rsidR="00ED350A" w:rsidRPr="00FC3C3B" w:rsidRDefault="0B4099E0" w:rsidP="00ED350A">
      <w:pPr>
        <w:spacing w:after="240"/>
        <w:rPr>
          <w:noProof/>
        </w:rPr>
      </w:pPr>
      <w:r w:rsidRPr="00FC3C3B">
        <w:rPr>
          <w:noProof/>
        </w:rPr>
        <w:t>To</w:t>
      </w:r>
      <w:r w:rsidR="00ED350A" w:rsidRPr="00FC3C3B">
        <w:rPr>
          <w:noProof/>
        </w:rPr>
        <w:t xml:space="preserve"> facilitate the uptake of the Member State compartment, it is proposed to slightly increase the time period available to conclude a guarantee agreement from nine to twelve months from the conclusion of the contribution agreement. The rules on the membership of the Investment Committee are also amended to clarify that a non-permanent member may be assigned to a maximum of two configurations to </w:t>
      </w:r>
      <w:r w:rsidR="00041A4F" w:rsidRPr="00FC3C3B">
        <w:rPr>
          <w:noProof/>
        </w:rPr>
        <w:t xml:space="preserve">apply a selection process that allows </w:t>
      </w:r>
      <w:r w:rsidR="00DD7E88" w:rsidRPr="00FC3C3B">
        <w:rPr>
          <w:noProof/>
        </w:rPr>
        <w:t xml:space="preserve">to constitute the Investment Committee for the new fifth window in a swift manner. </w:t>
      </w:r>
    </w:p>
    <w:p w14:paraId="22ADE67D" w14:textId="77777777" w:rsidR="009D42F8" w:rsidRPr="00FC3C3B" w:rsidRDefault="009D42F8" w:rsidP="00E614E9">
      <w:pPr>
        <w:pBdr>
          <w:top w:val="nil"/>
          <w:left w:val="nil"/>
          <w:bottom w:val="nil"/>
          <w:right w:val="nil"/>
          <w:between w:val="nil"/>
          <w:bar w:val="nil"/>
        </w:pBdr>
        <w:spacing w:before="0" w:after="240"/>
        <w:rPr>
          <w:noProof/>
        </w:rPr>
      </w:pPr>
      <w:r w:rsidRPr="00FC3C3B">
        <w:rPr>
          <w:noProof/>
        </w:rPr>
        <w:t>Annex I</w:t>
      </w:r>
      <w:r w:rsidR="00562C02" w:rsidRPr="00FC3C3B">
        <w:rPr>
          <w:noProof/>
        </w:rPr>
        <w:t>II</w:t>
      </w:r>
      <w:r w:rsidRPr="00FC3C3B">
        <w:rPr>
          <w:noProof/>
        </w:rPr>
        <w:t xml:space="preserve"> of InvestEU </w:t>
      </w:r>
      <w:r w:rsidR="00C173CF" w:rsidRPr="00FC3C3B">
        <w:rPr>
          <w:noProof/>
        </w:rPr>
        <w:t>R</w:t>
      </w:r>
      <w:r w:rsidRPr="00FC3C3B">
        <w:rPr>
          <w:noProof/>
        </w:rPr>
        <w:t xml:space="preserve">egulation is amended to include the indicators related to the new </w:t>
      </w:r>
      <w:r w:rsidR="003B66EF" w:rsidRPr="00FC3C3B">
        <w:rPr>
          <w:noProof/>
        </w:rPr>
        <w:t xml:space="preserve">STEP </w:t>
      </w:r>
      <w:r w:rsidR="00D33AB1" w:rsidRPr="00FC3C3B">
        <w:rPr>
          <w:noProof/>
        </w:rPr>
        <w:t>window</w:t>
      </w:r>
      <w:r w:rsidRPr="00FC3C3B">
        <w:rPr>
          <w:noProof/>
        </w:rPr>
        <w:t>.</w:t>
      </w:r>
    </w:p>
    <w:p w14:paraId="047009B4" w14:textId="77777777" w:rsidR="005A7229" w:rsidRPr="00FC3C3B" w:rsidRDefault="00DB3AF8">
      <w:pPr>
        <w:pBdr>
          <w:top w:val="nil"/>
          <w:left w:val="nil"/>
          <w:bottom w:val="nil"/>
          <w:right w:val="nil"/>
          <w:between w:val="nil"/>
          <w:bar w:val="nil"/>
        </w:pBdr>
        <w:spacing w:before="0" w:after="240"/>
        <w:jc w:val="left"/>
        <w:rPr>
          <w:noProof/>
          <w:u w:val="single"/>
        </w:rPr>
      </w:pPr>
      <w:r w:rsidRPr="00FC3C3B">
        <w:rPr>
          <w:noProof/>
          <w:u w:val="single"/>
        </w:rPr>
        <w:t xml:space="preserve">Amendments to Regulation (EU) 2021/695, </w:t>
      </w:r>
      <w:r w:rsidR="00950874" w:rsidRPr="00FC3C3B">
        <w:rPr>
          <w:noProof/>
          <w:u w:val="single"/>
        </w:rPr>
        <w:t xml:space="preserve">establishing Horizon Europe (Article </w:t>
      </w:r>
      <w:r w:rsidR="006A7EE1" w:rsidRPr="00FC3C3B">
        <w:rPr>
          <w:noProof/>
          <w:u w:val="single"/>
        </w:rPr>
        <w:t>1</w:t>
      </w:r>
      <w:r w:rsidR="003628A0" w:rsidRPr="00FC3C3B">
        <w:rPr>
          <w:noProof/>
          <w:u w:val="single"/>
        </w:rPr>
        <w:t>7</w:t>
      </w:r>
      <w:r w:rsidR="006A7EE1" w:rsidRPr="00FC3C3B">
        <w:rPr>
          <w:noProof/>
          <w:u w:val="single"/>
        </w:rPr>
        <w:t>)</w:t>
      </w:r>
    </w:p>
    <w:p w14:paraId="5930EC05" w14:textId="77777777" w:rsidR="00EA2C63" w:rsidRPr="00FC3C3B" w:rsidRDefault="009611DD" w:rsidP="00AE59F9">
      <w:pPr>
        <w:pBdr>
          <w:top w:val="nil"/>
          <w:left w:val="nil"/>
          <w:bottom w:val="nil"/>
          <w:right w:val="nil"/>
          <w:between w:val="nil"/>
          <w:bar w:val="nil"/>
        </w:pBdr>
        <w:spacing w:before="0" w:after="240"/>
        <w:rPr>
          <w:noProof/>
        </w:rPr>
      </w:pPr>
      <w:r w:rsidRPr="00FC3C3B">
        <w:rPr>
          <w:noProof/>
        </w:rPr>
        <w:t xml:space="preserve">This provision </w:t>
      </w:r>
      <w:r w:rsidR="00472300" w:rsidRPr="00FC3C3B">
        <w:rPr>
          <w:noProof/>
        </w:rPr>
        <w:t xml:space="preserve">aims at </w:t>
      </w:r>
      <w:r w:rsidR="00C904A8" w:rsidRPr="00FC3C3B">
        <w:rPr>
          <w:noProof/>
        </w:rPr>
        <w:t>providing additional flexibility</w:t>
      </w:r>
      <w:r w:rsidR="0087752F" w:rsidRPr="00FC3C3B">
        <w:rPr>
          <w:noProof/>
        </w:rPr>
        <w:t xml:space="preserve"> and funding for the EIC Accelerator</w:t>
      </w:r>
      <w:r w:rsidR="00C904A8" w:rsidRPr="00FC3C3B">
        <w:rPr>
          <w:noProof/>
        </w:rPr>
        <w:t xml:space="preserve">. The Accelerator under Horizon Europe should be able to provide equity-only support to non-bankable SMEs, including start-ups, and non-bankable small mid-caps, carrying out innovation in the technologies supported by </w:t>
      </w:r>
      <w:r w:rsidR="003B66EF" w:rsidRPr="00FC3C3B">
        <w:rPr>
          <w:rFonts w:eastAsia="Times New Roman"/>
          <w:noProof/>
        </w:rPr>
        <w:t>STEP</w:t>
      </w:r>
      <w:r w:rsidR="00C904A8" w:rsidRPr="00FC3C3B">
        <w:rPr>
          <w:noProof/>
        </w:rPr>
        <w:t xml:space="preserve">. </w:t>
      </w:r>
      <w:r w:rsidR="00B5008B" w:rsidRPr="00FC3C3B">
        <w:rPr>
          <w:noProof/>
        </w:rPr>
        <w:t>Moreover, the unused funds committed for the EIC Pilot under Horizon2020 should be made available for the purposes of the EIC Accelerator under Horizon Europe.</w:t>
      </w:r>
    </w:p>
    <w:p w14:paraId="44DB6D68" w14:textId="77777777" w:rsidR="00D75157" w:rsidRPr="00FC3C3B" w:rsidRDefault="00D75157" w:rsidP="00D75157">
      <w:pPr>
        <w:pBdr>
          <w:top w:val="nil"/>
          <w:left w:val="nil"/>
          <w:bottom w:val="nil"/>
          <w:right w:val="nil"/>
          <w:between w:val="nil"/>
          <w:bar w:val="nil"/>
        </w:pBdr>
        <w:spacing w:before="0" w:after="240"/>
        <w:jc w:val="left"/>
        <w:rPr>
          <w:noProof/>
          <w:u w:val="single"/>
        </w:rPr>
      </w:pPr>
      <w:r w:rsidRPr="00FC3C3B">
        <w:rPr>
          <w:noProof/>
          <w:u w:val="single"/>
        </w:rPr>
        <w:t>Amendments to Regulation (EU) 2021/69</w:t>
      </w:r>
      <w:r w:rsidR="00EF63F3" w:rsidRPr="00FC3C3B">
        <w:rPr>
          <w:noProof/>
          <w:u w:val="single"/>
        </w:rPr>
        <w:t>7</w:t>
      </w:r>
      <w:r w:rsidRPr="00FC3C3B">
        <w:rPr>
          <w:noProof/>
          <w:u w:val="single"/>
        </w:rPr>
        <w:t xml:space="preserve">, establishing </w:t>
      </w:r>
      <w:r w:rsidR="00EF63F3" w:rsidRPr="00FC3C3B">
        <w:rPr>
          <w:noProof/>
          <w:u w:val="single"/>
        </w:rPr>
        <w:t>the European Defence Fund</w:t>
      </w:r>
      <w:r w:rsidRPr="00FC3C3B">
        <w:rPr>
          <w:noProof/>
          <w:u w:val="single"/>
        </w:rPr>
        <w:t xml:space="preserve"> (Article 1</w:t>
      </w:r>
      <w:r w:rsidR="00EF63F3" w:rsidRPr="00FC3C3B">
        <w:rPr>
          <w:noProof/>
          <w:u w:val="single"/>
        </w:rPr>
        <w:t>8</w:t>
      </w:r>
      <w:r w:rsidRPr="00FC3C3B">
        <w:rPr>
          <w:noProof/>
          <w:u w:val="single"/>
        </w:rPr>
        <w:t>)</w:t>
      </w:r>
    </w:p>
    <w:p w14:paraId="310116B5" w14:textId="77777777" w:rsidR="00D75157" w:rsidRPr="00FC3C3B" w:rsidRDefault="00065E5F" w:rsidP="00AE59F9">
      <w:pPr>
        <w:pBdr>
          <w:top w:val="nil"/>
          <w:left w:val="nil"/>
          <w:bottom w:val="nil"/>
          <w:right w:val="nil"/>
          <w:between w:val="nil"/>
          <w:bar w:val="nil"/>
        </w:pBdr>
        <w:spacing w:before="0" w:after="240"/>
        <w:rPr>
          <w:noProof/>
        </w:rPr>
      </w:pPr>
      <w:r w:rsidRPr="00FC3C3B">
        <w:rPr>
          <w:noProof/>
          <w:lang w:val="en-IE"/>
        </w:rPr>
        <w:t xml:space="preserve">Article 18 amends the Regulation on the European Defence Fund to specify the amount of additional funds to be implemented through the </w:t>
      </w:r>
      <w:r w:rsidR="003E6ABC" w:rsidRPr="00FC3C3B">
        <w:rPr>
          <w:noProof/>
          <w:lang w:val="en-IE"/>
        </w:rPr>
        <w:t>European Defence Fund</w:t>
      </w:r>
      <w:r w:rsidRPr="00FC3C3B">
        <w:rPr>
          <w:noProof/>
          <w:lang w:val="en-IE"/>
        </w:rPr>
        <w:t>.</w:t>
      </w:r>
    </w:p>
    <w:p w14:paraId="11D0F520" w14:textId="77777777" w:rsidR="00EA2C63" w:rsidRPr="00FC3C3B" w:rsidRDefault="004414CA">
      <w:pPr>
        <w:pBdr>
          <w:top w:val="nil"/>
          <w:left w:val="nil"/>
          <w:bottom w:val="nil"/>
          <w:right w:val="nil"/>
          <w:between w:val="nil"/>
          <w:bar w:val="nil"/>
        </w:pBdr>
        <w:spacing w:before="0" w:after="240"/>
        <w:jc w:val="left"/>
        <w:rPr>
          <w:noProof/>
          <w:u w:val="single"/>
        </w:rPr>
      </w:pPr>
      <w:r w:rsidRPr="00FC3C3B">
        <w:rPr>
          <w:noProof/>
          <w:u w:val="single"/>
        </w:rPr>
        <w:t xml:space="preserve">Amendments to Regulation (EU) 2021/241, establishing the </w:t>
      </w:r>
      <w:r w:rsidR="00B33ED6" w:rsidRPr="00FC3C3B">
        <w:rPr>
          <w:noProof/>
          <w:u w:val="single"/>
        </w:rPr>
        <w:t>Recovery and Resilience Facility (Article 1</w:t>
      </w:r>
      <w:r w:rsidR="00EA667F" w:rsidRPr="00FC3C3B">
        <w:rPr>
          <w:noProof/>
          <w:u w:val="single"/>
        </w:rPr>
        <w:t>9</w:t>
      </w:r>
      <w:r w:rsidR="00B33ED6" w:rsidRPr="00FC3C3B">
        <w:rPr>
          <w:noProof/>
          <w:u w:val="single"/>
        </w:rPr>
        <w:t>)</w:t>
      </w:r>
    </w:p>
    <w:p w14:paraId="18587829" w14:textId="77777777" w:rsidR="00EA2C63" w:rsidRPr="00FC3C3B" w:rsidRDefault="00956DB7" w:rsidP="00E614E9">
      <w:pPr>
        <w:pBdr>
          <w:top w:val="nil"/>
          <w:left w:val="nil"/>
          <w:bottom w:val="nil"/>
          <w:right w:val="nil"/>
          <w:between w:val="nil"/>
          <w:bar w:val="nil"/>
        </w:pBdr>
        <w:spacing w:before="0" w:after="240"/>
        <w:rPr>
          <w:noProof/>
        </w:rPr>
      </w:pPr>
      <w:r w:rsidRPr="00FC3C3B">
        <w:rPr>
          <w:noProof/>
        </w:rPr>
        <w:t>This</w:t>
      </w:r>
      <w:r w:rsidR="0092435A" w:rsidRPr="00FC3C3B">
        <w:rPr>
          <w:noProof/>
        </w:rPr>
        <w:t xml:space="preserve"> Regulation is amended </w:t>
      </w:r>
      <w:r w:rsidRPr="00FC3C3B">
        <w:rPr>
          <w:noProof/>
        </w:rPr>
        <w:t>to</w:t>
      </w:r>
      <w:r w:rsidR="00944EAD" w:rsidRPr="00FC3C3B">
        <w:rPr>
          <w:noProof/>
        </w:rPr>
        <w:t xml:space="preserve"> increase</w:t>
      </w:r>
      <w:r w:rsidR="00F53AC3" w:rsidRPr="00FC3C3B">
        <w:rPr>
          <w:noProof/>
        </w:rPr>
        <w:t xml:space="preserve"> the ceiling for the amount of </w:t>
      </w:r>
      <w:r w:rsidR="004421DD" w:rsidRPr="00FC3C3B">
        <w:rPr>
          <w:noProof/>
        </w:rPr>
        <w:t>estimated costs of the recovery and resilience plans</w:t>
      </w:r>
      <w:r w:rsidR="00F53AC3" w:rsidRPr="00FC3C3B">
        <w:rPr>
          <w:noProof/>
        </w:rPr>
        <w:t xml:space="preserve"> that Member State</w:t>
      </w:r>
      <w:r w:rsidR="004421DD" w:rsidRPr="00FC3C3B">
        <w:rPr>
          <w:noProof/>
        </w:rPr>
        <w:t>s can use for</w:t>
      </w:r>
      <w:r w:rsidR="00F53AC3" w:rsidRPr="00FC3C3B">
        <w:rPr>
          <w:noProof/>
        </w:rPr>
        <w:t xml:space="preserve"> the Member State compartment of InvestEU</w:t>
      </w:r>
      <w:r w:rsidR="00B60524" w:rsidRPr="00FC3C3B">
        <w:rPr>
          <w:noProof/>
        </w:rPr>
        <w:t>. In addition to the</w:t>
      </w:r>
      <w:r w:rsidR="009849A1" w:rsidRPr="00FC3C3B">
        <w:rPr>
          <w:noProof/>
        </w:rPr>
        <w:t xml:space="preserve"> </w:t>
      </w:r>
      <w:r w:rsidRPr="00FC3C3B">
        <w:rPr>
          <w:noProof/>
        </w:rPr>
        <w:t xml:space="preserve">applicable </w:t>
      </w:r>
      <w:r w:rsidR="009849A1" w:rsidRPr="00FC3C3B">
        <w:rPr>
          <w:noProof/>
        </w:rPr>
        <w:t>ceiling of 4% of the recovery and resilience plan’s financial allocation</w:t>
      </w:r>
      <w:r w:rsidR="00036F31" w:rsidRPr="00FC3C3B">
        <w:rPr>
          <w:noProof/>
        </w:rPr>
        <w:t xml:space="preserve">, </w:t>
      </w:r>
      <w:r w:rsidRPr="00FC3C3B">
        <w:rPr>
          <w:noProof/>
        </w:rPr>
        <w:t>Member States can decide to allocate a further 6%</w:t>
      </w:r>
      <w:r w:rsidR="00B046FD" w:rsidRPr="00FC3C3B">
        <w:rPr>
          <w:noProof/>
        </w:rPr>
        <w:t xml:space="preserve"> </w:t>
      </w:r>
      <w:r w:rsidR="00CB0026" w:rsidRPr="00FC3C3B">
        <w:rPr>
          <w:noProof/>
        </w:rPr>
        <w:t>to support</w:t>
      </w:r>
      <w:r w:rsidR="00A96491" w:rsidRPr="00FC3C3B">
        <w:rPr>
          <w:noProof/>
        </w:rPr>
        <w:t xml:space="preserve"> </w:t>
      </w:r>
      <w:r w:rsidR="003B66EF" w:rsidRPr="00FC3C3B">
        <w:rPr>
          <w:noProof/>
        </w:rPr>
        <w:t xml:space="preserve">STEP </w:t>
      </w:r>
      <w:r w:rsidR="00C80F99" w:rsidRPr="00FC3C3B">
        <w:rPr>
          <w:noProof/>
        </w:rPr>
        <w:t>i</w:t>
      </w:r>
      <w:r w:rsidR="00CB0026" w:rsidRPr="00FC3C3B">
        <w:rPr>
          <w:noProof/>
        </w:rPr>
        <w:t xml:space="preserve">nvestments, </w:t>
      </w:r>
      <w:r w:rsidR="00C80F99" w:rsidRPr="00FC3C3B">
        <w:rPr>
          <w:noProof/>
        </w:rPr>
        <w:t xml:space="preserve">therefore </w:t>
      </w:r>
      <w:r w:rsidR="00B046FD" w:rsidRPr="00FC3C3B">
        <w:rPr>
          <w:noProof/>
        </w:rPr>
        <w:t xml:space="preserve">up to a total of 10%. </w:t>
      </w:r>
      <w:r w:rsidR="00F823BE" w:rsidRPr="00FC3C3B">
        <w:rPr>
          <w:noProof/>
        </w:rPr>
        <w:t>Article 2</w:t>
      </w:r>
      <w:r w:rsidR="00DE14D1" w:rsidRPr="00FC3C3B">
        <w:rPr>
          <w:noProof/>
        </w:rPr>
        <w:t xml:space="preserve">9 is amended to ensure </w:t>
      </w:r>
      <w:r w:rsidR="00267415" w:rsidRPr="00FC3C3B">
        <w:rPr>
          <w:noProof/>
        </w:rPr>
        <w:t xml:space="preserve">the Member States identify and submit to the Commission the planned calls for proposals related to the </w:t>
      </w:r>
      <w:r w:rsidR="007E1084" w:rsidRPr="00FC3C3B">
        <w:rPr>
          <w:noProof/>
        </w:rPr>
        <w:t>Platform</w:t>
      </w:r>
      <w:r w:rsidR="00267415" w:rsidRPr="00FC3C3B">
        <w:rPr>
          <w:noProof/>
        </w:rPr>
        <w:t xml:space="preserve"> objectives in order to publish them on the Sovereignty portal.</w:t>
      </w:r>
    </w:p>
    <w:p w14:paraId="150684D4" w14:textId="77777777" w:rsidR="00EA2C63" w:rsidRPr="00FC3C3B" w:rsidRDefault="00883DC4">
      <w:pPr>
        <w:pBdr>
          <w:top w:val="nil"/>
          <w:left w:val="nil"/>
          <w:bottom w:val="nil"/>
          <w:right w:val="nil"/>
          <w:between w:val="nil"/>
          <w:bar w:val="nil"/>
        </w:pBdr>
        <w:spacing w:before="0" w:after="240"/>
        <w:jc w:val="left"/>
        <w:rPr>
          <w:noProof/>
          <w:u w:val="single"/>
        </w:rPr>
      </w:pPr>
      <w:r w:rsidRPr="00FC3C3B">
        <w:rPr>
          <w:noProof/>
          <w:u w:val="single"/>
        </w:rPr>
        <w:t xml:space="preserve">Entry into force and application (Article </w:t>
      </w:r>
      <w:r w:rsidR="00EA667F" w:rsidRPr="00FC3C3B">
        <w:rPr>
          <w:noProof/>
          <w:u w:val="single"/>
        </w:rPr>
        <w:t>20</w:t>
      </w:r>
      <w:r w:rsidRPr="00FC3C3B">
        <w:rPr>
          <w:noProof/>
          <w:u w:val="single"/>
        </w:rPr>
        <w:t>)</w:t>
      </w:r>
    </w:p>
    <w:p w14:paraId="36227AE1" w14:textId="77777777" w:rsidR="002C7991" w:rsidRPr="00FC3C3B" w:rsidRDefault="0060592D" w:rsidP="00B65BD7">
      <w:pPr>
        <w:pBdr>
          <w:top w:val="nil"/>
          <w:left w:val="nil"/>
          <w:bottom w:val="nil"/>
          <w:right w:val="nil"/>
          <w:between w:val="nil"/>
          <w:bar w:val="nil"/>
        </w:pBdr>
        <w:spacing w:before="0" w:after="240"/>
        <w:jc w:val="left"/>
        <w:rPr>
          <w:noProof/>
        </w:rPr>
        <w:sectPr w:rsidR="002C7991" w:rsidRPr="00FC3C3B" w:rsidSect="00742C1D">
          <w:footerReference w:type="default" r:id="rId19"/>
          <w:footerReference w:type="first" r:id="rId20"/>
          <w:pgSz w:w="11907" w:h="16839"/>
          <w:pgMar w:top="1134" w:right="1417" w:bottom="1134" w:left="1417" w:header="709" w:footer="709" w:gutter="0"/>
          <w:cols w:space="708"/>
          <w:docGrid w:linePitch="360"/>
        </w:sectPr>
      </w:pPr>
      <w:r w:rsidRPr="00FC3C3B">
        <w:rPr>
          <w:noProof/>
        </w:rPr>
        <w:t>It is proposed that this Regulation</w:t>
      </w:r>
      <w:r w:rsidR="005466F3" w:rsidRPr="00FC3C3B">
        <w:rPr>
          <w:noProof/>
        </w:rPr>
        <w:t xml:space="preserve">, which is directly applicable in all Member States, </w:t>
      </w:r>
      <w:r w:rsidRPr="00FC3C3B">
        <w:rPr>
          <w:noProof/>
        </w:rPr>
        <w:t>enters into force on the day following that of its publication</w:t>
      </w:r>
      <w:r w:rsidR="005466F3" w:rsidRPr="00FC3C3B">
        <w:rPr>
          <w:noProof/>
        </w:rPr>
        <w:t>.</w:t>
      </w:r>
    </w:p>
    <w:p w14:paraId="63D0D69D" w14:textId="77777777" w:rsidR="00C118D2" w:rsidRPr="00FC3C3B" w:rsidRDefault="00C65CAE" w:rsidP="00C65CAE">
      <w:pPr>
        <w:pStyle w:val="Rfrenceinterinstitutionnelle"/>
        <w:rPr>
          <w:noProof/>
        </w:rPr>
      </w:pPr>
      <w:r w:rsidRPr="00C65CAE">
        <w:t>2023/0199 (COD)</w:t>
      </w:r>
    </w:p>
    <w:p w14:paraId="5DC62CCF" w14:textId="77777777" w:rsidR="002C7991" w:rsidRPr="00FC3C3B" w:rsidRDefault="00C65CAE" w:rsidP="00C65CAE">
      <w:pPr>
        <w:pStyle w:val="Statut"/>
        <w:rPr>
          <w:noProof/>
        </w:rPr>
      </w:pPr>
      <w:r w:rsidRPr="00C65CAE">
        <w:t>Proposal for a</w:t>
      </w:r>
    </w:p>
    <w:p w14:paraId="16B1F0FF" w14:textId="77777777" w:rsidR="002C7991" w:rsidRPr="00FC3C3B" w:rsidRDefault="00C65CAE" w:rsidP="00C65CAE">
      <w:pPr>
        <w:pStyle w:val="Typedudocument"/>
        <w:rPr>
          <w:noProof/>
        </w:rPr>
      </w:pPr>
      <w:r w:rsidRPr="00C65CAE">
        <w:t>REGULATION OF THE EUROPEAN PARLIAMENT AND OF THE COUNCIL</w:t>
      </w:r>
    </w:p>
    <w:p w14:paraId="43771A6A" w14:textId="77777777" w:rsidR="002C7991" w:rsidRPr="00F87F22" w:rsidRDefault="00C65CAE" w:rsidP="00C65CAE">
      <w:pPr>
        <w:pStyle w:val="Titreobjet"/>
        <w:rPr>
          <w:noProof/>
          <w:lang w:val="fr-BE"/>
        </w:rPr>
      </w:pPr>
      <w:r w:rsidRPr="00C65CAE">
        <w:rPr>
          <w:lang w:val="fr-BE"/>
        </w:rPr>
        <w:t>establishing the Strategic Technologies for Europe Platform (‘STEP’) and amending Directive 2003/87/EC, Regulations (EU) 2021/1058, (EU) 2021/1056, (EU) 2021/1057, (EU) No 1303/2013, (EU) No 223/2014, (EU) 2021/1060, (EU) 2021/523, (EU) 2021/695, (EU) 2021/697 and (EU) 2021/241</w:t>
      </w:r>
    </w:p>
    <w:p w14:paraId="4B3D1BB0" w14:textId="77777777" w:rsidR="002C7991" w:rsidRPr="00FC3C3B" w:rsidRDefault="00550165">
      <w:pPr>
        <w:pStyle w:val="Institutionquiagit"/>
        <w:rPr>
          <w:noProof/>
        </w:rPr>
      </w:pPr>
      <w:r w:rsidRPr="00FC3C3B">
        <w:rPr>
          <w:noProof/>
        </w:rPr>
        <w:t xml:space="preserve">THE EUROPEAN PARLIAMENT AND THE COUNCIL OF THE EUROPEAN </w:t>
      </w:r>
      <w:smartTag w:uri="urn:schemas-microsoft-com:office:smarttags" w:element="place">
        <w:r w:rsidRPr="00FC3C3B">
          <w:rPr>
            <w:noProof/>
          </w:rPr>
          <w:t>UNION</w:t>
        </w:r>
      </w:smartTag>
      <w:r w:rsidRPr="00FC3C3B">
        <w:rPr>
          <w:noProof/>
        </w:rPr>
        <w:t>,</w:t>
      </w:r>
    </w:p>
    <w:p w14:paraId="025C1E36" w14:textId="77777777" w:rsidR="002C7991" w:rsidRPr="00FC3C3B" w:rsidRDefault="00550165">
      <w:pPr>
        <w:rPr>
          <w:noProof/>
        </w:rPr>
      </w:pPr>
      <w:r w:rsidRPr="00FC3C3B">
        <w:rPr>
          <w:noProof/>
        </w:rPr>
        <w:t xml:space="preserve">Having regard to the Treaty on the Functioning of the European Union, and in particular Article 164, Article 173, Article 175, third paragraph, Article 176, Article 177, Article </w:t>
      </w:r>
      <w:r w:rsidR="006347BE" w:rsidRPr="00FC3C3B">
        <w:rPr>
          <w:noProof/>
        </w:rPr>
        <w:t xml:space="preserve">178, </w:t>
      </w:r>
      <w:r w:rsidRPr="00FC3C3B">
        <w:rPr>
          <w:noProof/>
        </w:rPr>
        <w:t>Article 182</w:t>
      </w:r>
      <w:r w:rsidR="00970305" w:rsidRPr="00FC3C3B">
        <w:rPr>
          <w:noProof/>
        </w:rPr>
        <w:t>(1)</w:t>
      </w:r>
      <w:r w:rsidRPr="00FC3C3B">
        <w:rPr>
          <w:noProof/>
        </w:rPr>
        <w:t xml:space="preserve"> and Article 192</w:t>
      </w:r>
      <w:r w:rsidR="00970305" w:rsidRPr="00FC3C3B">
        <w:rPr>
          <w:noProof/>
        </w:rPr>
        <w:t>(1)</w:t>
      </w:r>
      <w:r w:rsidRPr="00FC3C3B">
        <w:rPr>
          <w:noProof/>
        </w:rPr>
        <w:t xml:space="preserve"> thereof,</w:t>
      </w:r>
    </w:p>
    <w:p w14:paraId="22FFA6FB" w14:textId="77777777" w:rsidR="002C7991" w:rsidRPr="00FC3C3B" w:rsidRDefault="00550165">
      <w:pPr>
        <w:rPr>
          <w:noProof/>
        </w:rPr>
      </w:pPr>
      <w:r w:rsidRPr="00FC3C3B">
        <w:rPr>
          <w:noProof/>
        </w:rPr>
        <w:t>Having regard to the proposal from the European Commission,</w:t>
      </w:r>
    </w:p>
    <w:p w14:paraId="44B5A8DA" w14:textId="77777777" w:rsidR="002C7991" w:rsidRPr="00FC3C3B" w:rsidRDefault="00550165">
      <w:pPr>
        <w:rPr>
          <w:noProof/>
        </w:rPr>
      </w:pPr>
      <w:r w:rsidRPr="00FC3C3B">
        <w:rPr>
          <w:noProof/>
        </w:rPr>
        <w:t>After transmission of the draft legislative act to the national parliaments,</w:t>
      </w:r>
    </w:p>
    <w:p w14:paraId="081B907C" w14:textId="77777777" w:rsidR="00755388" w:rsidRPr="00FC3C3B" w:rsidRDefault="00203367" w:rsidP="00755388">
      <w:pPr>
        <w:rPr>
          <w:noProof/>
        </w:rPr>
      </w:pPr>
      <w:r w:rsidRPr="00FC3C3B">
        <w:rPr>
          <w:noProof/>
        </w:rPr>
        <w:t xml:space="preserve">Having regard to </w:t>
      </w:r>
      <w:r w:rsidR="00755388" w:rsidRPr="00FC3C3B">
        <w:rPr>
          <w:noProof/>
        </w:rPr>
        <w:t>the opinion of the European Economic and Social Committee</w:t>
      </w:r>
      <w:r w:rsidR="009A478F" w:rsidRPr="00FC3C3B">
        <w:rPr>
          <w:rStyle w:val="FootnoteReference"/>
          <w:noProof/>
        </w:rPr>
        <w:footnoteReference w:id="37"/>
      </w:r>
      <w:r w:rsidR="00755388" w:rsidRPr="00FC3C3B">
        <w:rPr>
          <w:noProof/>
        </w:rPr>
        <w:t>,</w:t>
      </w:r>
    </w:p>
    <w:p w14:paraId="24829DFF" w14:textId="77777777" w:rsidR="00203367" w:rsidRPr="00FC3C3B" w:rsidRDefault="00755388">
      <w:pPr>
        <w:rPr>
          <w:noProof/>
        </w:rPr>
      </w:pPr>
      <w:r w:rsidRPr="00FC3C3B">
        <w:rPr>
          <w:noProof/>
        </w:rPr>
        <w:t>Having regard to the opinion of the Committee of the Regions</w:t>
      </w:r>
      <w:r w:rsidR="009A478F" w:rsidRPr="00FC3C3B">
        <w:rPr>
          <w:rStyle w:val="FootnoteReference"/>
          <w:noProof/>
        </w:rPr>
        <w:footnoteReference w:id="38"/>
      </w:r>
      <w:r w:rsidRPr="00FC3C3B">
        <w:rPr>
          <w:noProof/>
        </w:rPr>
        <w:t>,</w:t>
      </w:r>
    </w:p>
    <w:p w14:paraId="41F3F4E9" w14:textId="77777777" w:rsidR="002C7991" w:rsidRPr="00FC3C3B" w:rsidRDefault="00550165">
      <w:pPr>
        <w:rPr>
          <w:noProof/>
        </w:rPr>
      </w:pPr>
      <w:r w:rsidRPr="00FC3C3B">
        <w:rPr>
          <w:noProof/>
        </w:rPr>
        <w:t>Acting in accordance with the ordinary legislative procedure,</w:t>
      </w:r>
    </w:p>
    <w:p w14:paraId="47076E1A" w14:textId="77777777" w:rsidR="002C7991" w:rsidRPr="00FC3C3B" w:rsidRDefault="00550165">
      <w:pPr>
        <w:rPr>
          <w:noProof/>
        </w:rPr>
      </w:pPr>
      <w:r w:rsidRPr="00FC3C3B">
        <w:rPr>
          <w:noProof/>
        </w:rPr>
        <w:t>Whereas:</w:t>
      </w:r>
    </w:p>
    <w:p w14:paraId="0317C506" w14:textId="77777777" w:rsidR="002C7991" w:rsidRPr="00FC3C3B" w:rsidRDefault="00323DD4" w:rsidP="00323DD4">
      <w:pPr>
        <w:pStyle w:val="ManualConsidrant"/>
        <w:rPr>
          <w:noProof/>
        </w:rPr>
      </w:pPr>
      <w:r w:rsidRPr="00FC3C3B">
        <w:rPr>
          <w:noProof/>
        </w:rPr>
        <w:t>(1)</w:t>
      </w:r>
      <w:r w:rsidRPr="00FC3C3B">
        <w:rPr>
          <w:noProof/>
        </w:rPr>
        <w:tab/>
      </w:r>
      <w:r w:rsidR="00521A0C" w:rsidRPr="00FC3C3B">
        <w:rPr>
          <w:noProof/>
        </w:rPr>
        <w:t xml:space="preserve">Strengthening the competitiveness </w:t>
      </w:r>
      <w:r w:rsidR="00F3452A" w:rsidRPr="00FC3C3B">
        <w:rPr>
          <w:noProof/>
        </w:rPr>
        <w:t xml:space="preserve">and resilience </w:t>
      </w:r>
      <w:r w:rsidR="00521A0C" w:rsidRPr="00FC3C3B">
        <w:rPr>
          <w:noProof/>
        </w:rPr>
        <w:t xml:space="preserve">of the </w:t>
      </w:r>
      <w:r w:rsidR="00550165" w:rsidRPr="00FC3C3B">
        <w:rPr>
          <w:noProof/>
        </w:rPr>
        <w:t xml:space="preserve">European economy </w:t>
      </w:r>
      <w:r w:rsidR="00521A0C" w:rsidRPr="00FC3C3B">
        <w:rPr>
          <w:noProof/>
        </w:rPr>
        <w:t xml:space="preserve">through the </w:t>
      </w:r>
      <w:r w:rsidR="00550165" w:rsidRPr="00FC3C3B">
        <w:rPr>
          <w:noProof/>
        </w:rPr>
        <w:t xml:space="preserve">green and digital </w:t>
      </w:r>
      <w:r w:rsidR="00521A0C" w:rsidRPr="00FC3C3B">
        <w:rPr>
          <w:noProof/>
        </w:rPr>
        <w:t xml:space="preserve">transformations has been the EU compass over the last years. </w:t>
      </w:r>
      <w:r w:rsidR="004D2CCA" w:rsidRPr="00FC3C3B">
        <w:rPr>
          <w:noProof/>
        </w:rPr>
        <w:t>The green and digital transitions anchored in the European Grean Deal</w:t>
      </w:r>
      <w:r w:rsidR="004D2CCA" w:rsidRPr="00FC3C3B">
        <w:rPr>
          <w:rStyle w:val="FootnoteReference"/>
          <w:noProof/>
        </w:rPr>
        <w:footnoteReference w:id="39"/>
      </w:r>
      <w:r w:rsidR="004D2CCA" w:rsidRPr="00FC3C3B">
        <w:rPr>
          <w:noProof/>
        </w:rPr>
        <w:t xml:space="preserve"> and the Digital Decade,</w:t>
      </w:r>
      <w:r w:rsidR="004D2CCA" w:rsidRPr="00FC3C3B">
        <w:rPr>
          <w:rStyle w:val="FootnoteReference"/>
          <w:noProof/>
        </w:rPr>
        <w:footnoteReference w:id="40"/>
      </w:r>
      <w:r w:rsidR="004D2CCA" w:rsidRPr="00FC3C3B">
        <w:rPr>
          <w:noProof/>
        </w:rPr>
        <w:t xml:space="preserve"> spurs growth and the modernisation of the EU economy, opening up new business</w:t>
      </w:r>
      <w:r w:rsidR="00550165" w:rsidRPr="00FC3C3B">
        <w:rPr>
          <w:noProof/>
        </w:rPr>
        <w:t xml:space="preserve"> opportunities </w:t>
      </w:r>
      <w:r w:rsidR="004D2CCA" w:rsidRPr="00FC3C3B">
        <w:rPr>
          <w:noProof/>
        </w:rPr>
        <w:t>and helping gain a competitive advantage on the global markets.</w:t>
      </w:r>
      <w:r w:rsidR="00550165" w:rsidRPr="00FC3C3B">
        <w:rPr>
          <w:noProof/>
        </w:rPr>
        <w:t xml:space="preserve"> The European Green Deal sets out the roadmap for making the Union’s economy </w:t>
      </w:r>
      <w:r w:rsidR="00422D10" w:rsidRPr="00FC3C3B">
        <w:rPr>
          <w:noProof/>
        </w:rPr>
        <w:t xml:space="preserve">climate neutral and </w:t>
      </w:r>
      <w:r w:rsidR="00550165" w:rsidRPr="00FC3C3B">
        <w:rPr>
          <w:noProof/>
        </w:rPr>
        <w:t xml:space="preserve">sustainable in a fair and inclusive manner, tackling climate and environmental-related challenges. Moreover, the Digital Decade Policy Programme 2030 sets out a clear direction for the digital transformation of the Union and for the delivery of digital targets at Union level by 2030, notably concerning digital skills, digital infrastructures, and the digital transformation of businesses and public services. </w:t>
      </w:r>
    </w:p>
    <w:p w14:paraId="41EE2808" w14:textId="77777777" w:rsidR="00EC216F" w:rsidRPr="00FC3C3B" w:rsidRDefault="00323DD4" w:rsidP="00323DD4">
      <w:pPr>
        <w:pStyle w:val="ManualConsidrant"/>
        <w:rPr>
          <w:noProof/>
        </w:rPr>
      </w:pPr>
      <w:r w:rsidRPr="00FC3C3B">
        <w:rPr>
          <w:noProof/>
        </w:rPr>
        <w:t>(2)</w:t>
      </w:r>
      <w:r w:rsidRPr="00FC3C3B">
        <w:rPr>
          <w:noProof/>
        </w:rPr>
        <w:tab/>
      </w:r>
      <w:r w:rsidR="006C6A44" w:rsidRPr="00FC3C3B">
        <w:rPr>
          <w:noProof/>
        </w:rPr>
        <w:t xml:space="preserve">The EU industry has proven its inbuilt resilience but is being challenged. High inflation, labour shortages, post-COVID supply chains disruptions, rising interest rates, and spikes in energy costs and input prices are weighing on the competitiveness of the EU industry. This is paired with strong, but not always fair, competition on the fragmented global market. </w:t>
      </w:r>
      <w:r w:rsidR="00EC216F" w:rsidRPr="00FC3C3B">
        <w:rPr>
          <w:noProof/>
        </w:rPr>
        <w:t>The EU has already put forward several initiatives to support its industry</w:t>
      </w:r>
      <w:r w:rsidR="005C4ECC" w:rsidRPr="00FC3C3B">
        <w:rPr>
          <w:noProof/>
        </w:rPr>
        <w:t xml:space="preserve">, such as </w:t>
      </w:r>
      <w:r w:rsidR="00756DD3" w:rsidRPr="00FC3C3B">
        <w:rPr>
          <w:noProof/>
        </w:rPr>
        <w:t xml:space="preserve">the </w:t>
      </w:r>
      <w:r w:rsidR="00EC216F" w:rsidRPr="00FC3C3B">
        <w:rPr>
          <w:noProof/>
        </w:rPr>
        <w:t>Green Deal Industrial Plan</w:t>
      </w:r>
      <w:r w:rsidR="001E2918" w:rsidRPr="00FC3C3B">
        <w:rPr>
          <w:noProof/>
        </w:rPr>
        <w:t>,</w:t>
      </w:r>
      <w:r w:rsidR="00EC216F" w:rsidRPr="00FC3C3B">
        <w:rPr>
          <w:rStyle w:val="FootnoteReference"/>
          <w:rFonts w:eastAsia="Times New Roman"/>
          <w:noProof/>
        </w:rPr>
        <w:footnoteReference w:id="41"/>
      </w:r>
      <w:r w:rsidR="001E2918" w:rsidRPr="00FC3C3B">
        <w:rPr>
          <w:noProof/>
        </w:rPr>
        <w:t xml:space="preserve"> </w:t>
      </w:r>
      <w:r w:rsidR="0086052E" w:rsidRPr="00FC3C3B">
        <w:rPr>
          <w:noProof/>
        </w:rPr>
        <w:t>the Critical Raw Materials Act</w:t>
      </w:r>
      <w:r w:rsidR="00EB43FF" w:rsidRPr="00FC3C3B">
        <w:rPr>
          <w:rStyle w:val="FootnoteReference"/>
          <w:noProof/>
        </w:rPr>
        <w:footnoteReference w:id="42"/>
      </w:r>
      <w:r w:rsidR="0086052E" w:rsidRPr="00FC3C3B">
        <w:rPr>
          <w:noProof/>
        </w:rPr>
        <w:t>, the Net Zero Industry Act</w:t>
      </w:r>
      <w:r w:rsidR="00C2756A" w:rsidRPr="00FC3C3B">
        <w:rPr>
          <w:rStyle w:val="FootnoteReference"/>
          <w:noProof/>
        </w:rPr>
        <w:footnoteReference w:id="43"/>
      </w:r>
      <w:r w:rsidR="0086052E" w:rsidRPr="00FC3C3B">
        <w:rPr>
          <w:noProof/>
        </w:rPr>
        <w:t xml:space="preserve">, </w:t>
      </w:r>
      <w:r w:rsidR="00EC216F" w:rsidRPr="00FC3C3B">
        <w:rPr>
          <w:noProof/>
        </w:rPr>
        <w:t>the new Temporary Crisis and Transition Framework for State aid</w:t>
      </w:r>
      <w:r w:rsidR="000477BA" w:rsidRPr="00FC3C3B">
        <w:rPr>
          <w:noProof/>
        </w:rPr>
        <w:t>,</w:t>
      </w:r>
      <w:r w:rsidR="00EC216F" w:rsidRPr="00FC3C3B">
        <w:rPr>
          <w:rStyle w:val="FootnoteReference"/>
          <w:rFonts w:eastAsia="Times New Roman"/>
          <w:noProof/>
        </w:rPr>
        <w:footnoteReference w:id="44"/>
      </w:r>
      <w:r w:rsidR="003E50E7" w:rsidRPr="00FC3C3B">
        <w:rPr>
          <w:noProof/>
        </w:rPr>
        <w:t xml:space="preserve"> and </w:t>
      </w:r>
      <w:r w:rsidR="00EC216F" w:rsidRPr="00FC3C3B">
        <w:rPr>
          <w:noProof/>
        </w:rPr>
        <w:t>REPowerEU</w:t>
      </w:r>
      <w:r w:rsidR="00351D80" w:rsidRPr="00FC3C3B">
        <w:rPr>
          <w:noProof/>
        </w:rPr>
        <w:t>.</w:t>
      </w:r>
      <w:r w:rsidR="00EC216F" w:rsidRPr="00FC3C3B">
        <w:rPr>
          <w:rStyle w:val="FootnoteReference"/>
          <w:rFonts w:eastAsia="Times New Roman"/>
          <w:noProof/>
        </w:rPr>
        <w:footnoteReference w:id="45"/>
      </w:r>
      <w:r w:rsidR="00EC216F" w:rsidRPr="00FC3C3B">
        <w:rPr>
          <w:noProof/>
        </w:rPr>
        <w:t xml:space="preserve"> While these solutions provide fast and targeted support, the EU needs a more structural answer to the investment needs of its industries</w:t>
      </w:r>
      <w:r w:rsidR="00DC0270" w:rsidRPr="00FC3C3B">
        <w:rPr>
          <w:noProof/>
        </w:rPr>
        <w:t xml:space="preserve">, safeguarding cohesion and the </w:t>
      </w:r>
      <w:r w:rsidR="001C28A6" w:rsidRPr="00FC3C3B">
        <w:rPr>
          <w:noProof/>
        </w:rPr>
        <w:t xml:space="preserve">level playing </w:t>
      </w:r>
      <w:r w:rsidR="00BB03C2" w:rsidRPr="00FC3C3B">
        <w:rPr>
          <w:noProof/>
        </w:rPr>
        <w:t xml:space="preserve">field in the </w:t>
      </w:r>
      <w:r w:rsidR="00DC0270" w:rsidRPr="00FC3C3B">
        <w:rPr>
          <w:noProof/>
        </w:rPr>
        <w:t>Single Market</w:t>
      </w:r>
      <w:r w:rsidR="000B3CA5" w:rsidRPr="00FC3C3B">
        <w:rPr>
          <w:noProof/>
        </w:rPr>
        <w:t xml:space="preserve"> and to reduce the EU’s strategic dependencies</w:t>
      </w:r>
      <w:r w:rsidR="00EC216F" w:rsidRPr="00FC3C3B">
        <w:rPr>
          <w:noProof/>
        </w:rPr>
        <w:t xml:space="preserve">. </w:t>
      </w:r>
    </w:p>
    <w:p w14:paraId="6882A53B" w14:textId="77777777" w:rsidR="002C7991" w:rsidRPr="00FC3C3B" w:rsidRDefault="00323DD4" w:rsidP="00323DD4">
      <w:pPr>
        <w:pStyle w:val="ManualConsidrant"/>
        <w:rPr>
          <w:noProof/>
        </w:rPr>
      </w:pPr>
      <w:r w:rsidRPr="00FC3C3B">
        <w:rPr>
          <w:noProof/>
        </w:rPr>
        <w:t>(3)</w:t>
      </w:r>
      <w:r w:rsidRPr="00FC3C3B">
        <w:rPr>
          <w:noProof/>
        </w:rPr>
        <w:tab/>
      </w:r>
      <w:r w:rsidR="00550165" w:rsidRPr="00FC3C3B">
        <w:rPr>
          <w:noProof/>
        </w:rPr>
        <w:t xml:space="preserve">The uptake and scaling up in the Union of </w:t>
      </w:r>
      <w:r w:rsidR="00A43C6B" w:rsidRPr="00FC3C3B">
        <w:rPr>
          <w:noProof/>
        </w:rPr>
        <w:t>deep and digital</w:t>
      </w:r>
      <w:r w:rsidR="005371DD" w:rsidRPr="00FC3C3B">
        <w:rPr>
          <w:noProof/>
        </w:rPr>
        <w:t xml:space="preserve"> technologies, </w:t>
      </w:r>
      <w:r w:rsidR="00550165" w:rsidRPr="00FC3C3B">
        <w:rPr>
          <w:noProof/>
        </w:rPr>
        <w:t xml:space="preserve">clean technologies, </w:t>
      </w:r>
      <w:r w:rsidR="005371DD" w:rsidRPr="00FC3C3B">
        <w:rPr>
          <w:noProof/>
        </w:rPr>
        <w:t xml:space="preserve">and </w:t>
      </w:r>
      <w:r w:rsidR="00550165" w:rsidRPr="00FC3C3B">
        <w:rPr>
          <w:noProof/>
        </w:rPr>
        <w:t xml:space="preserve">biotechnologies will be essential to seize the opportunities and meet the objectives of the green and digital transitions, </w:t>
      </w:r>
      <w:r w:rsidR="00D24C87" w:rsidRPr="00FC3C3B">
        <w:rPr>
          <w:noProof/>
        </w:rPr>
        <w:t xml:space="preserve">thus </w:t>
      </w:r>
      <w:r w:rsidR="004F187D" w:rsidRPr="00FC3C3B">
        <w:rPr>
          <w:noProof/>
        </w:rPr>
        <w:t>promoting the competitiveness of the European industry</w:t>
      </w:r>
      <w:r w:rsidR="007461FD" w:rsidRPr="00FC3C3B">
        <w:rPr>
          <w:noProof/>
        </w:rPr>
        <w:t xml:space="preserve"> and its sustainability</w:t>
      </w:r>
      <w:r w:rsidR="00550165" w:rsidRPr="00FC3C3B">
        <w:rPr>
          <w:noProof/>
        </w:rPr>
        <w:t xml:space="preserve">. Therefore, immediate action is required to support the development </w:t>
      </w:r>
      <w:r w:rsidR="0047786B" w:rsidRPr="00FC3C3B">
        <w:rPr>
          <w:noProof/>
        </w:rPr>
        <w:t>or</w:t>
      </w:r>
      <w:r w:rsidR="00550165" w:rsidRPr="00FC3C3B">
        <w:rPr>
          <w:noProof/>
        </w:rPr>
        <w:t xml:space="preserve"> manufacturing in the Union of such technologies, safeguarding and strengthening their value chains thereby reducing the Union’s strategic dependencies, and addressing existing labour and skills shortages in those sectors</w:t>
      </w:r>
      <w:r w:rsidR="0033555F" w:rsidRPr="00FC3C3B">
        <w:rPr>
          <w:noProof/>
        </w:rPr>
        <w:t xml:space="preserve"> through trainings and apprenticeships and the creation of attractive, quality jobs accessible to all</w:t>
      </w:r>
      <w:r w:rsidR="00550165" w:rsidRPr="00FC3C3B">
        <w:rPr>
          <w:noProof/>
        </w:rPr>
        <w:t xml:space="preserve">. </w:t>
      </w:r>
    </w:p>
    <w:p w14:paraId="7709AF9B" w14:textId="77777777" w:rsidR="002C7991" w:rsidRPr="00FC3C3B" w:rsidRDefault="00323DD4" w:rsidP="00323DD4">
      <w:pPr>
        <w:pStyle w:val="ManualConsidrant"/>
        <w:rPr>
          <w:noProof/>
        </w:rPr>
      </w:pPr>
      <w:r w:rsidRPr="00FC3C3B">
        <w:rPr>
          <w:noProof/>
        </w:rPr>
        <w:t>(4)</w:t>
      </w:r>
      <w:r w:rsidRPr="00FC3C3B">
        <w:rPr>
          <w:noProof/>
        </w:rPr>
        <w:tab/>
      </w:r>
      <w:r w:rsidR="00550165" w:rsidRPr="00FC3C3B">
        <w:rPr>
          <w:noProof/>
        </w:rPr>
        <w:t xml:space="preserve">There is a need to support </w:t>
      </w:r>
      <w:r w:rsidR="00953498" w:rsidRPr="00FC3C3B">
        <w:rPr>
          <w:noProof/>
        </w:rPr>
        <w:t>critical</w:t>
      </w:r>
      <w:r w:rsidR="00F67619" w:rsidRPr="00FC3C3B">
        <w:rPr>
          <w:noProof/>
        </w:rPr>
        <w:t xml:space="preserve"> technologies</w:t>
      </w:r>
      <w:r w:rsidR="00E779A1" w:rsidRPr="00FC3C3B">
        <w:rPr>
          <w:noProof/>
        </w:rPr>
        <w:t xml:space="preserve"> in the following fields</w:t>
      </w:r>
      <w:r w:rsidR="00F466A2" w:rsidRPr="00FC3C3B">
        <w:rPr>
          <w:noProof/>
        </w:rPr>
        <w:t xml:space="preserve">: deep </w:t>
      </w:r>
      <w:r w:rsidR="00550165" w:rsidRPr="00FC3C3B">
        <w:rPr>
          <w:noProof/>
        </w:rPr>
        <w:t xml:space="preserve">and </w:t>
      </w:r>
      <w:r w:rsidR="006A7583" w:rsidRPr="00FC3C3B">
        <w:rPr>
          <w:noProof/>
        </w:rPr>
        <w:t xml:space="preserve">digital </w:t>
      </w:r>
      <w:r w:rsidR="00F466A2" w:rsidRPr="00FC3C3B">
        <w:rPr>
          <w:noProof/>
        </w:rPr>
        <w:t>technologies,</w:t>
      </w:r>
      <w:r w:rsidR="00550165" w:rsidRPr="00FC3C3B">
        <w:rPr>
          <w:noProof/>
        </w:rPr>
        <w:t xml:space="preserve"> clean technologies, </w:t>
      </w:r>
      <w:r w:rsidR="009149A6" w:rsidRPr="00FC3C3B">
        <w:rPr>
          <w:noProof/>
        </w:rPr>
        <w:t xml:space="preserve">and </w:t>
      </w:r>
      <w:r w:rsidR="00F466A2" w:rsidRPr="00FC3C3B">
        <w:rPr>
          <w:noProof/>
        </w:rPr>
        <w:t>biotechnologies</w:t>
      </w:r>
      <w:r w:rsidR="00F80E93" w:rsidRPr="00FC3C3B">
        <w:rPr>
          <w:noProof/>
        </w:rPr>
        <w:t xml:space="preserve"> (including the </w:t>
      </w:r>
      <w:r w:rsidR="00330F68" w:rsidRPr="00FC3C3B">
        <w:rPr>
          <w:noProof/>
        </w:rPr>
        <w:t xml:space="preserve">respective </w:t>
      </w:r>
      <w:r w:rsidR="00F80E93" w:rsidRPr="00FC3C3B">
        <w:rPr>
          <w:noProof/>
        </w:rPr>
        <w:t>critical raw materials value chains)</w:t>
      </w:r>
      <w:r w:rsidR="00330F68" w:rsidRPr="00FC3C3B">
        <w:rPr>
          <w:noProof/>
        </w:rPr>
        <w:t>,</w:t>
      </w:r>
      <w:r w:rsidR="00DD0265" w:rsidRPr="00FC3C3B">
        <w:rPr>
          <w:noProof/>
        </w:rPr>
        <w:t xml:space="preserve"> in particular</w:t>
      </w:r>
      <w:r w:rsidR="00F80E93" w:rsidRPr="00FC3C3B">
        <w:rPr>
          <w:noProof/>
        </w:rPr>
        <w:t xml:space="preserve"> projects, companies and sectors with a critical role for EU</w:t>
      </w:r>
      <w:r w:rsidR="00F5552E" w:rsidRPr="00FC3C3B">
        <w:rPr>
          <w:noProof/>
        </w:rPr>
        <w:t>’s competitiveness and</w:t>
      </w:r>
      <w:r w:rsidR="00F80E93" w:rsidRPr="00FC3C3B">
        <w:rPr>
          <w:noProof/>
        </w:rPr>
        <w:t xml:space="preserve"> resilience and its value chains</w:t>
      </w:r>
      <w:r w:rsidR="00937B01" w:rsidRPr="00FC3C3B">
        <w:rPr>
          <w:noProof/>
        </w:rPr>
        <w:t>.</w:t>
      </w:r>
      <w:r w:rsidR="00F466A2" w:rsidRPr="00FC3C3B">
        <w:rPr>
          <w:noProof/>
        </w:rPr>
        <w:t xml:space="preserve"> </w:t>
      </w:r>
      <w:r w:rsidR="00F5552E" w:rsidRPr="00FC3C3B">
        <w:rPr>
          <w:noProof/>
        </w:rPr>
        <w:t>By way of example, d</w:t>
      </w:r>
      <w:r w:rsidR="006A7583" w:rsidRPr="00FC3C3B">
        <w:rPr>
          <w:noProof/>
        </w:rPr>
        <w:t xml:space="preserve">eep technologies and digital technologies should include microelectronics, high-performance computing, quantum </w:t>
      </w:r>
      <w:r w:rsidR="009A3ABA" w:rsidRPr="00FC3C3B">
        <w:rPr>
          <w:noProof/>
        </w:rPr>
        <w:t>technologies (i.e., computing, communication and sensing technologies)</w:t>
      </w:r>
      <w:r w:rsidR="006A7583" w:rsidRPr="00FC3C3B">
        <w:rPr>
          <w:noProof/>
        </w:rPr>
        <w:t>, cloud computing, edge computing, and artificial intelligence</w:t>
      </w:r>
      <w:r w:rsidR="00796FDE" w:rsidRPr="00FC3C3B">
        <w:rPr>
          <w:noProof/>
        </w:rPr>
        <w:t xml:space="preserve">, </w:t>
      </w:r>
      <w:r w:rsidR="00762E6D" w:rsidRPr="00FC3C3B">
        <w:rPr>
          <w:noProof/>
        </w:rPr>
        <w:t xml:space="preserve">cybersecurity </w:t>
      </w:r>
      <w:r w:rsidR="00796FDE" w:rsidRPr="00FC3C3B">
        <w:rPr>
          <w:noProof/>
        </w:rPr>
        <w:t>technologies, robotics</w:t>
      </w:r>
      <w:r w:rsidR="00190D6C" w:rsidRPr="00FC3C3B">
        <w:rPr>
          <w:noProof/>
        </w:rPr>
        <w:t>, 5G and advanced connectivity and virtual realities</w:t>
      </w:r>
      <w:r w:rsidR="00450361" w:rsidRPr="00FC3C3B">
        <w:rPr>
          <w:noProof/>
        </w:rPr>
        <w:t xml:space="preserve">, including </w:t>
      </w:r>
      <w:r w:rsidR="00CF548A" w:rsidRPr="00FC3C3B">
        <w:rPr>
          <w:noProof/>
        </w:rPr>
        <w:t xml:space="preserve">actions </w:t>
      </w:r>
      <w:r w:rsidR="003A33B7" w:rsidRPr="00FC3C3B">
        <w:rPr>
          <w:noProof/>
        </w:rPr>
        <w:t>related to</w:t>
      </w:r>
      <w:r w:rsidR="00450361" w:rsidRPr="00FC3C3B">
        <w:rPr>
          <w:noProof/>
        </w:rPr>
        <w:t xml:space="preserve"> </w:t>
      </w:r>
      <w:r w:rsidR="00D16849" w:rsidRPr="00FC3C3B">
        <w:rPr>
          <w:noProof/>
        </w:rPr>
        <w:t>d</w:t>
      </w:r>
      <w:r w:rsidR="00274F11" w:rsidRPr="00FC3C3B">
        <w:rPr>
          <w:noProof/>
        </w:rPr>
        <w:t xml:space="preserve">eep and digital </w:t>
      </w:r>
      <w:r w:rsidR="00450361" w:rsidRPr="00FC3C3B">
        <w:rPr>
          <w:noProof/>
        </w:rPr>
        <w:t>technologies</w:t>
      </w:r>
      <w:r w:rsidR="00274F11" w:rsidRPr="00FC3C3B">
        <w:rPr>
          <w:noProof/>
        </w:rPr>
        <w:t xml:space="preserve"> </w:t>
      </w:r>
      <w:r w:rsidR="003A33B7" w:rsidRPr="00FC3C3B">
        <w:rPr>
          <w:noProof/>
        </w:rPr>
        <w:t xml:space="preserve">for </w:t>
      </w:r>
      <w:r w:rsidR="004B6607" w:rsidRPr="00FC3C3B">
        <w:rPr>
          <w:noProof/>
        </w:rPr>
        <w:t xml:space="preserve">the development of defence </w:t>
      </w:r>
      <w:r w:rsidR="00942B97">
        <w:rPr>
          <w:noProof/>
        </w:rPr>
        <w:t>and aerospace</w:t>
      </w:r>
      <w:r w:rsidR="004B6607" w:rsidRPr="00FC3C3B">
        <w:rPr>
          <w:noProof/>
        </w:rPr>
        <w:t xml:space="preserve"> </w:t>
      </w:r>
      <w:r w:rsidR="003A33B7" w:rsidRPr="00FC3C3B">
        <w:rPr>
          <w:noProof/>
        </w:rPr>
        <w:t>applications</w:t>
      </w:r>
      <w:r w:rsidR="0060590C" w:rsidRPr="00FC3C3B">
        <w:rPr>
          <w:noProof/>
        </w:rPr>
        <w:t>.</w:t>
      </w:r>
      <w:r w:rsidR="00B8610B" w:rsidRPr="00FC3C3B">
        <w:rPr>
          <w:noProof/>
        </w:rPr>
        <w:t xml:space="preserve"> C</w:t>
      </w:r>
      <w:r w:rsidR="00550165" w:rsidRPr="00FC3C3B">
        <w:rPr>
          <w:noProof/>
        </w:rPr>
        <w:t>lean technologies</w:t>
      </w:r>
      <w:r w:rsidR="00822109" w:rsidRPr="00FC3C3B">
        <w:rPr>
          <w:noProof/>
        </w:rPr>
        <w:t xml:space="preserve"> </w:t>
      </w:r>
      <w:r w:rsidR="003303F3" w:rsidRPr="00FC3C3B">
        <w:rPr>
          <w:noProof/>
        </w:rPr>
        <w:t xml:space="preserve">should </w:t>
      </w:r>
      <w:r w:rsidR="00F5552E" w:rsidRPr="00FC3C3B">
        <w:rPr>
          <w:noProof/>
        </w:rPr>
        <w:t xml:space="preserve">include, among others, </w:t>
      </w:r>
      <w:r w:rsidR="00550165" w:rsidRPr="00FC3C3B">
        <w:rPr>
          <w:noProof/>
        </w:rPr>
        <w:t xml:space="preserve">renewable energy; electricity and heat storage; heat pumps; </w:t>
      </w:r>
      <w:r w:rsidR="004D1A74" w:rsidRPr="00FC3C3B">
        <w:rPr>
          <w:noProof/>
        </w:rPr>
        <w:t xml:space="preserve">electricity </w:t>
      </w:r>
      <w:r w:rsidR="00550165" w:rsidRPr="00FC3C3B">
        <w:rPr>
          <w:noProof/>
        </w:rPr>
        <w:t>grid; renewable fuels of non-biological origin; sustainable alternative fuels; electrolysers and fuel cells; carbon capture, utilisation and storage; energy efficiency; hydrogen</w:t>
      </w:r>
      <w:r w:rsidR="005C3828" w:rsidRPr="00FC3C3B">
        <w:rPr>
          <w:noProof/>
        </w:rPr>
        <w:t xml:space="preserve"> and its related infratructure</w:t>
      </w:r>
      <w:r w:rsidR="00550165" w:rsidRPr="00FC3C3B">
        <w:rPr>
          <w:noProof/>
        </w:rPr>
        <w:t xml:space="preserve">; </w:t>
      </w:r>
      <w:r w:rsidR="00AB47BB" w:rsidRPr="00FC3C3B">
        <w:rPr>
          <w:noProof/>
        </w:rPr>
        <w:t xml:space="preserve">smart energy solutions; </w:t>
      </w:r>
      <w:r w:rsidR="00C57590" w:rsidRPr="00FC3C3B">
        <w:rPr>
          <w:noProof/>
        </w:rPr>
        <w:t xml:space="preserve">technologies vital to sustainability such as </w:t>
      </w:r>
      <w:r w:rsidR="00550165" w:rsidRPr="00FC3C3B">
        <w:rPr>
          <w:noProof/>
        </w:rPr>
        <w:t>water purification and desalination; advanced materials such as nanomaterials, composites and future clean construction materials</w:t>
      </w:r>
      <w:r w:rsidR="00870D25" w:rsidRPr="00FC3C3B">
        <w:rPr>
          <w:noProof/>
        </w:rPr>
        <w:t>, and technologies for the sustainable extraction and processing of critical raw materials</w:t>
      </w:r>
      <w:r w:rsidR="00550165" w:rsidRPr="00FC3C3B">
        <w:rPr>
          <w:noProof/>
        </w:rPr>
        <w:t xml:space="preserve">. </w:t>
      </w:r>
      <w:r w:rsidR="002F4B79" w:rsidRPr="00FC3C3B">
        <w:rPr>
          <w:noProof/>
        </w:rPr>
        <w:t>B</w:t>
      </w:r>
      <w:r w:rsidR="00550165" w:rsidRPr="00FC3C3B">
        <w:rPr>
          <w:noProof/>
        </w:rPr>
        <w:t>iotechnology</w:t>
      </w:r>
      <w:r w:rsidR="002F4B79" w:rsidRPr="00FC3C3B">
        <w:rPr>
          <w:noProof/>
        </w:rPr>
        <w:t xml:space="preserve"> should be considered to include</w:t>
      </w:r>
      <w:r w:rsidR="00E21E09" w:rsidRPr="00FC3C3B">
        <w:rPr>
          <w:noProof/>
        </w:rPr>
        <w:t xml:space="preserve"> technologies </w:t>
      </w:r>
      <w:r w:rsidR="00550165" w:rsidRPr="00FC3C3B">
        <w:rPr>
          <w:noProof/>
        </w:rPr>
        <w:t xml:space="preserve">such as biomolecules and its applications, </w:t>
      </w:r>
      <w:r w:rsidR="00D21335" w:rsidRPr="00FC3C3B">
        <w:rPr>
          <w:noProof/>
        </w:rPr>
        <w:t>pharmaceuticals</w:t>
      </w:r>
      <w:r w:rsidR="00D24F47">
        <w:rPr>
          <w:noProof/>
        </w:rPr>
        <w:t xml:space="preserve"> and</w:t>
      </w:r>
      <w:r w:rsidR="00D21335" w:rsidRPr="00FC3C3B">
        <w:rPr>
          <w:noProof/>
        </w:rPr>
        <w:t xml:space="preserve"> medical technol</w:t>
      </w:r>
      <w:r w:rsidR="00B351DC" w:rsidRPr="00FC3C3B">
        <w:rPr>
          <w:noProof/>
        </w:rPr>
        <w:t>ogies</w:t>
      </w:r>
      <w:r w:rsidR="00D93A4E" w:rsidRPr="00FC3C3B">
        <w:rPr>
          <w:noProof/>
        </w:rPr>
        <w:t xml:space="preserve"> </w:t>
      </w:r>
      <w:r w:rsidR="00D54E81">
        <w:rPr>
          <w:noProof/>
        </w:rPr>
        <w:t xml:space="preserve">vital for health security, </w:t>
      </w:r>
      <w:r w:rsidR="00550165" w:rsidRPr="00FC3C3B">
        <w:rPr>
          <w:noProof/>
        </w:rPr>
        <w:t>crop biotechnology</w:t>
      </w:r>
      <w:r w:rsidR="002E25B1" w:rsidRPr="00FC3C3B">
        <w:rPr>
          <w:noProof/>
        </w:rPr>
        <w:t>, and industrial biotechnology, such as for waste disposal</w:t>
      </w:r>
      <w:r w:rsidR="00045AAE" w:rsidRPr="00FC3C3B">
        <w:rPr>
          <w:noProof/>
        </w:rPr>
        <w:t>,</w:t>
      </w:r>
      <w:r w:rsidR="002E25B1" w:rsidRPr="00FC3C3B">
        <w:rPr>
          <w:noProof/>
        </w:rPr>
        <w:t xml:space="preserve"> and biomanufacturing</w:t>
      </w:r>
      <w:r w:rsidR="00550165" w:rsidRPr="00FC3C3B">
        <w:rPr>
          <w:noProof/>
        </w:rPr>
        <w:t>.</w:t>
      </w:r>
      <w:r w:rsidR="000928A7" w:rsidRPr="00FC3C3B">
        <w:rPr>
          <w:noProof/>
        </w:rPr>
        <w:t xml:space="preserve"> The Commission may issue</w:t>
      </w:r>
      <w:r w:rsidR="000B3788" w:rsidRPr="00FC3C3B">
        <w:rPr>
          <w:noProof/>
        </w:rPr>
        <w:t xml:space="preserve"> </w:t>
      </w:r>
      <w:r w:rsidR="000928A7" w:rsidRPr="00FC3C3B">
        <w:rPr>
          <w:noProof/>
        </w:rPr>
        <w:t xml:space="preserve">guidance to further specify the scope of the technologies </w:t>
      </w:r>
      <w:r w:rsidR="008D6646" w:rsidRPr="00FC3C3B">
        <w:rPr>
          <w:noProof/>
        </w:rPr>
        <w:t xml:space="preserve">in these three fields considered to be critical in accordance with this Regulation, in order to promote a common interpretation of the projects, companies and sectors </w:t>
      </w:r>
      <w:r w:rsidR="000928A7" w:rsidRPr="00FC3C3B">
        <w:rPr>
          <w:noProof/>
        </w:rPr>
        <w:t>to be supported under the respective programmes</w:t>
      </w:r>
      <w:r w:rsidR="008D6646" w:rsidRPr="00FC3C3B">
        <w:rPr>
          <w:noProof/>
        </w:rPr>
        <w:t xml:space="preserve"> in light of the common strategic objective</w:t>
      </w:r>
      <w:r w:rsidR="000928A7" w:rsidRPr="00FC3C3B">
        <w:rPr>
          <w:noProof/>
        </w:rPr>
        <w:t xml:space="preserve">. </w:t>
      </w:r>
      <w:r w:rsidR="001A146E" w:rsidRPr="00FC3C3B">
        <w:rPr>
          <w:noProof/>
          <w:lang w:val="en-IE"/>
        </w:rPr>
        <w:t xml:space="preserve">Moreover, technologies in any of these three fields which are subjects of an Important Project of Common European Interest (IPCEI) approved </w:t>
      </w:r>
      <w:r w:rsidR="006E673E">
        <w:rPr>
          <w:noProof/>
          <w:lang w:val="en-IE"/>
        </w:rPr>
        <w:t xml:space="preserve">by the Commission </w:t>
      </w:r>
      <w:r w:rsidR="001A146E" w:rsidRPr="00FC3C3B">
        <w:rPr>
          <w:noProof/>
          <w:lang w:val="en-IE"/>
        </w:rPr>
        <w:t xml:space="preserve">pursuant to Article 107(3), point (b) TFEU should be deemed to be critical, and individual projects within the scope of such an IPCEI should be eligible for funding, in accordance with the respective programme rules, to the extent that the identified funding gap </w:t>
      </w:r>
      <w:r w:rsidR="6A11077A" w:rsidRPr="00FC3C3B">
        <w:rPr>
          <w:noProof/>
          <w:lang w:val="en-IE"/>
        </w:rPr>
        <w:t>and the eligible costs have</w:t>
      </w:r>
      <w:r w:rsidR="001A146E" w:rsidRPr="00FC3C3B">
        <w:rPr>
          <w:noProof/>
          <w:lang w:val="en-IE"/>
        </w:rPr>
        <w:t xml:space="preserve"> not </w:t>
      </w:r>
      <w:r w:rsidR="04524369" w:rsidRPr="00FC3C3B">
        <w:rPr>
          <w:noProof/>
          <w:lang w:val="en-IE"/>
        </w:rPr>
        <w:t xml:space="preserve">yet </w:t>
      </w:r>
      <w:r w:rsidR="001A146E" w:rsidRPr="00FC3C3B">
        <w:rPr>
          <w:noProof/>
          <w:lang w:val="en-IE"/>
        </w:rPr>
        <w:t xml:space="preserve">been completely </w:t>
      </w:r>
      <w:r w:rsidR="0888F019" w:rsidRPr="00FC3C3B">
        <w:rPr>
          <w:noProof/>
          <w:lang w:val="en-IE"/>
        </w:rPr>
        <w:t>covered</w:t>
      </w:r>
      <w:r w:rsidR="001A146E" w:rsidRPr="00FC3C3B">
        <w:rPr>
          <w:noProof/>
          <w:lang w:val="en-IE"/>
        </w:rPr>
        <w:t>.</w:t>
      </w:r>
    </w:p>
    <w:p w14:paraId="49A2D215" w14:textId="77777777" w:rsidR="002C7991" w:rsidRPr="00FC3C3B" w:rsidRDefault="00323DD4" w:rsidP="00323DD4">
      <w:pPr>
        <w:pStyle w:val="ManualConsidrant"/>
        <w:rPr>
          <w:noProof/>
          <w:szCs w:val="24"/>
        </w:rPr>
      </w:pPr>
      <w:r w:rsidRPr="00FC3C3B">
        <w:rPr>
          <w:noProof/>
        </w:rPr>
        <w:t>(5)</w:t>
      </w:r>
      <w:r w:rsidRPr="00FC3C3B">
        <w:rPr>
          <w:noProof/>
        </w:rPr>
        <w:tab/>
      </w:r>
      <w:r w:rsidR="00550165" w:rsidRPr="00FC3C3B">
        <w:rPr>
          <w:noProof/>
          <w:shd w:val="clear" w:color="auto" w:fill="FFFFFF"/>
        </w:rPr>
        <w:t>Strengthening the manufacturing capacity of key technologies in the Union will not be possible without a sizeable skilled workforce. However, l</w:t>
      </w:r>
      <w:r w:rsidR="00550165" w:rsidRPr="00FC3C3B">
        <w:rPr>
          <w:noProof/>
        </w:rPr>
        <w:t xml:space="preserve">abour and skills shortages have increased in </w:t>
      </w:r>
      <w:r w:rsidR="00A448DD" w:rsidRPr="00FC3C3B">
        <w:rPr>
          <w:noProof/>
        </w:rPr>
        <w:t xml:space="preserve">all </w:t>
      </w:r>
      <w:r w:rsidR="00550165" w:rsidRPr="00FC3C3B">
        <w:rPr>
          <w:noProof/>
        </w:rPr>
        <w:t xml:space="preserve">sectors </w:t>
      </w:r>
      <w:r w:rsidR="00A448DD" w:rsidRPr="00FC3C3B">
        <w:rPr>
          <w:noProof/>
        </w:rPr>
        <w:t xml:space="preserve">including those </w:t>
      </w:r>
      <w:r w:rsidR="00550165" w:rsidRPr="00FC3C3B">
        <w:rPr>
          <w:noProof/>
        </w:rPr>
        <w:t>considered key for the green and digital transition and endanger the rise of key technologies</w:t>
      </w:r>
      <w:r w:rsidR="00507E46" w:rsidRPr="00FC3C3B">
        <w:rPr>
          <w:noProof/>
        </w:rPr>
        <w:t>, also in the context of demographic change</w:t>
      </w:r>
      <w:r w:rsidR="00550165" w:rsidRPr="00FC3C3B">
        <w:rPr>
          <w:noProof/>
        </w:rPr>
        <w:t xml:space="preserve">. Therefore, it is </w:t>
      </w:r>
      <w:r w:rsidR="00550165" w:rsidRPr="00FC3C3B">
        <w:rPr>
          <w:noProof/>
          <w:shd w:val="clear" w:color="auto" w:fill="FFFFFF"/>
        </w:rPr>
        <w:t>necessary to boost the activation of more people to the labour market relevant for strategic sectors</w:t>
      </w:r>
      <w:r w:rsidR="002A2F66" w:rsidRPr="00FC3C3B">
        <w:rPr>
          <w:noProof/>
          <w:shd w:val="clear" w:color="auto" w:fill="FFFFFF"/>
        </w:rPr>
        <w:t xml:space="preserve">, in particular through the creation of jobs and apprenticeships for young, disadvantaged persons, in particular, young </w:t>
      </w:r>
      <w:r w:rsidR="00E53437" w:rsidRPr="00FC3C3B">
        <w:rPr>
          <w:noProof/>
        </w:rPr>
        <w:t xml:space="preserve">people </w:t>
      </w:r>
      <w:r w:rsidR="002A2F66" w:rsidRPr="00FC3C3B">
        <w:rPr>
          <w:noProof/>
          <w:shd w:val="clear" w:color="auto" w:fill="FFFFFF"/>
        </w:rPr>
        <w:t>not in employment, education or training</w:t>
      </w:r>
      <w:r w:rsidR="00550165" w:rsidRPr="00FC3C3B">
        <w:rPr>
          <w:noProof/>
          <w:shd w:val="clear" w:color="auto" w:fill="FFFFFF"/>
        </w:rPr>
        <w:t>. Such support will complement a number of other actions aimed at meeting the skills needs stemming from the transition</w:t>
      </w:r>
      <w:r w:rsidR="00277336" w:rsidRPr="00FC3C3B">
        <w:rPr>
          <w:noProof/>
          <w:shd w:val="clear" w:color="auto" w:fill="FFFFFF"/>
        </w:rPr>
        <w:t>,</w:t>
      </w:r>
      <w:r w:rsidR="00EE4D6E" w:rsidRPr="00FC3C3B">
        <w:rPr>
          <w:noProof/>
          <w:shd w:val="clear" w:color="auto" w:fill="FFFFFF"/>
        </w:rPr>
        <w:t xml:space="preserve"> outlined in</w:t>
      </w:r>
      <w:r w:rsidR="00550165" w:rsidRPr="00FC3C3B">
        <w:rPr>
          <w:noProof/>
          <w:shd w:val="clear" w:color="auto" w:fill="FFFFFF"/>
        </w:rPr>
        <w:t xml:space="preserve"> the EU Skills Agenda</w:t>
      </w:r>
      <w:r w:rsidR="00055826" w:rsidRPr="00FC3C3B">
        <w:rPr>
          <w:noProof/>
          <w:shd w:val="clear" w:color="auto" w:fill="FFFFFF"/>
        </w:rPr>
        <w:t>.</w:t>
      </w:r>
      <w:r w:rsidR="00EE4D6E" w:rsidRPr="00FC3C3B">
        <w:rPr>
          <w:rStyle w:val="FootnoteReference"/>
          <w:noProof/>
        </w:rPr>
        <w:footnoteReference w:id="46"/>
      </w:r>
    </w:p>
    <w:p w14:paraId="06624460" w14:textId="77777777" w:rsidR="004B573C" w:rsidRPr="00FC3C3B" w:rsidRDefault="00323DD4" w:rsidP="00323DD4">
      <w:pPr>
        <w:pStyle w:val="ManualConsidrant"/>
        <w:rPr>
          <w:noProof/>
        </w:rPr>
      </w:pPr>
      <w:r w:rsidRPr="00FC3C3B">
        <w:rPr>
          <w:noProof/>
        </w:rPr>
        <w:t>(6)</w:t>
      </w:r>
      <w:r w:rsidRPr="00FC3C3B">
        <w:rPr>
          <w:noProof/>
        </w:rPr>
        <w:tab/>
      </w:r>
      <w:r w:rsidR="004B573C" w:rsidRPr="00FC3C3B">
        <w:rPr>
          <w:noProof/>
        </w:rPr>
        <w:t xml:space="preserve">The scale of investments needed for the transition require a full mobilisation of </w:t>
      </w:r>
      <w:r w:rsidR="00A04B71" w:rsidRPr="00FC3C3B">
        <w:rPr>
          <w:noProof/>
        </w:rPr>
        <w:t xml:space="preserve">funding </w:t>
      </w:r>
      <w:r w:rsidR="004B573C" w:rsidRPr="00FC3C3B">
        <w:rPr>
          <w:noProof/>
        </w:rPr>
        <w:t xml:space="preserve">available </w:t>
      </w:r>
      <w:r w:rsidR="00A04B71" w:rsidRPr="00FC3C3B">
        <w:rPr>
          <w:noProof/>
        </w:rPr>
        <w:t xml:space="preserve">under </w:t>
      </w:r>
      <w:r w:rsidR="000D750F" w:rsidRPr="00FC3C3B">
        <w:rPr>
          <w:noProof/>
        </w:rPr>
        <w:t xml:space="preserve">existing </w:t>
      </w:r>
      <w:r w:rsidR="004B573C" w:rsidRPr="00FC3C3B">
        <w:rPr>
          <w:noProof/>
        </w:rPr>
        <w:t xml:space="preserve">EU </w:t>
      </w:r>
      <w:r w:rsidR="00A04B71" w:rsidRPr="00FC3C3B">
        <w:rPr>
          <w:noProof/>
        </w:rPr>
        <w:t>programmes</w:t>
      </w:r>
      <w:r w:rsidR="009E1F6F" w:rsidRPr="00FC3C3B">
        <w:rPr>
          <w:noProof/>
        </w:rPr>
        <w:t xml:space="preserve"> and</w:t>
      </w:r>
      <w:r w:rsidR="00A04B71" w:rsidRPr="00FC3C3B">
        <w:rPr>
          <w:noProof/>
        </w:rPr>
        <w:t xml:space="preserve"> </w:t>
      </w:r>
      <w:r w:rsidR="004B573C" w:rsidRPr="00FC3C3B">
        <w:rPr>
          <w:noProof/>
        </w:rPr>
        <w:t>funds</w:t>
      </w:r>
      <w:r w:rsidR="009E1F6F" w:rsidRPr="00FC3C3B">
        <w:rPr>
          <w:noProof/>
        </w:rPr>
        <w:t xml:space="preserve">, inclusive </w:t>
      </w:r>
      <w:r w:rsidR="00A160AB" w:rsidRPr="00FC3C3B">
        <w:rPr>
          <w:noProof/>
        </w:rPr>
        <w:t xml:space="preserve">those </w:t>
      </w:r>
      <w:r w:rsidR="00207098" w:rsidRPr="00FC3C3B">
        <w:rPr>
          <w:noProof/>
        </w:rPr>
        <w:t>granting</w:t>
      </w:r>
      <w:r w:rsidR="001970BE" w:rsidRPr="00FC3C3B">
        <w:rPr>
          <w:noProof/>
        </w:rPr>
        <w:t xml:space="preserve"> </w:t>
      </w:r>
      <w:r w:rsidR="00520251" w:rsidRPr="00FC3C3B">
        <w:rPr>
          <w:noProof/>
        </w:rPr>
        <w:t xml:space="preserve">a </w:t>
      </w:r>
      <w:r w:rsidR="001970BE" w:rsidRPr="00FC3C3B">
        <w:rPr>
          <w:noProof/>
        </w:rPr>
        <w:t xml:space="preserve">budgetary guarantee for financing </w:t>
      </w:r>
      <w:r w:rsidR="00133740" w:rsidRPr="00FC3C3B">
        <w:rPr>
          <w:noProof/>
        </w:rPr>
        <w:t>and investment</w:t>
      </w:r>
      <w:r w:rsidR="001970BE" w:rsidRPr="00FC3C3B">
        <w:rPr>
          <w:noProof/>
        </w:rPr>
        <w:t xml:space="preserve"> operations</w:t>
      </w:r>
      <w:r w:rsidR="004B573C" w:rsidRPr="00FC3C3B">
        <w:rPr>
          <w:noProof/>
        </w:rPr>
        <w:t xml:space="preserve"> and </w:t>
      </w:r>
      <w:r w:rsidR="000835B4" w:rsidRPr="00FC3C3B">
        <w:rPr>
          <w:noProof/>
        </w:rPr>
        <w:t xml:space="preserve">implementation of </w:t>
      </w:r>
      <w:r w:rsidR="004B573C" w:rsidRPr="00FC3C3B">
        <w:rPr>
          <w:noProof/>
        </w:rPr>
        <w:t>financial instruments</w:t>
      </w:r>
      <w:r w:rsidR="00133740" w:rsidRPr="00FC3C3B">
        <w:rPr>
          <w:noProof/>
        </w:rPr>
        <w:t xml:space="preserve"> and blending operations</w:t>
      </w:r>
      <w:r w:rsidR="004B573C" w:rsidRPr="00FC3C3B">
        <w:rPr>
          <w:noProof/>
        </w:rPr>
        <w:t>. Such fund</w:t>
      </w:r>
      <w:r w:rsidR="001C6377" w:rsidRPr="00FC3C3B">
        <w:rPr>
          <w:noProof/>
        </w:rPr>
        <w:t>ing</w:t>
      </w:r>
      <w:r w:rsidR="004B573C" w:rsidRPr="00FC3C3B">
        <w:rPr>
          <w:noProof/>
        </w:rPr>
        <w:t xml:space="preserve"> should be deployed in a more flexible manner, to provide timely and targeted support for </w:t>
      </w:r>
      <w:r w:rsidR="00AA556A" w:rsidRPr="00FC3C3B">
        <w:rPr>
          <w:noProof/>
        </w:rPr>
        <w:t xml:space="preserve">critical </w:t>
      </w:r>
      <w:r w:rsidR="004B573C" w:rsidRPr="00FC3C3B">
        <w:rPr>
          <w:noProof/>
        </w:rPr>
        <w:t xml:space="preserve">technologies in strategic sectors. Therefore, a </w:t>
      </w:r>
      <w:r w:rsidR="003C70E3" w:rsidRPr="00FC3C3B">
        <w:rPr>
          <w:noProof/>
        </w:rPr>
        <w:t>Strategic Technologies for Europe Platform (‘STEP’</w:t>
      </w:r>
      <w:r w:rsidR="00A66F64" w:rsidRPr="00FC3C3B">
        <w:rPr>
          <w:noProof/>
        </w:rPr>
        <w:t xml:space="preserve">) </w:t>
      </w:r>
      <w:r w:rsidR="004B573C" w:rsidRPr="00FC3C3B">
        <w:rPr>
          <w:noProof/>
        </w:rPr>
        <w:t xml:space="preserve">should give a structural answer to the Union investment needs by helping to better channel the existing EU funds towards </w:t>
      </w:r>
      <w:r w:rsidR="00E7502D" w:rsidRPr="00FC3C3B">
        <w:rPr>
          <w:noProof/>
        </w:rPr>
        <w:t xml:space="preserve">critical </w:t>
      </w:r>
      <w:r w:rsidR="004B573C" w:rsidRPr="00FC3C3B">
        <w:rPr>
          <w:noProof/>
        </w:rPr>
        <w:t xml:space="preserve">investments aimed at supporting </w:t>
      </w:r>
      <w:r w:rsidR="00AA556A" w:rsidRPr="00FC3C3B">
        <w:rPr>
          <w:noProof/>
        </w:rPr>
        <w:t xml:space="preserve">the development or </w:t>
      </w:r>
      <w:r w:rsidR="0042787D" w:rsidRPr="00FC3C3B">
        <w:rPr>
          <w:noProof/>
        </w:rPr>
        <w:t>manufacturing of critical</w:t>
      </w:r>
      <w:r w:rsidR="00A535BD" w:rsidRPr="00FC3C3B">
        <w:rPr>
          <w:noProof/>
        </w:rPr>
        <w:t xml:space="preserve"> </w:t>
      </w:r>
      <w:r w:rsidR="004B573C" w:rsidRPr="00FC3C3B">
        <w:rPr>
          <w:noProof/>
        </w:rPr>
        <w:t>technologies</w:t>
      </w:r>
      <w:r w:rsidR="00505299" w:rsidRPr="00FC3C3B">
        <w:rPr>
          <w:noProof/>
        </w:rPr>
        <w:t xml:space="preserve">, while </w:t>
      </w:r>
      <w:r w:rsidR="008E2616" w:rsidRPr="00FC3C3B">
        <w:rPr>
          <w:noProof/>
        </w:rPr>
        <w:t xml:space="preserve">preserving </w:t>
      </w:r>
      <w:r w:rsidR="00505299" w:rsidRPr="00FC3C3B">
        <w:rPr>
          <w:noProof/>
        </w:rPr>
        <w:t>a level playing field in the Single Market</w:t>
      </w:r>
      <w:r w:rsidR="007B0151">
        <w:rPr>
          <w:noProof/>
        </w:rPr>
        <w:t>, thereby preserving cohesion</w:t>
      </w:r>
      <w:r w:rsidR="00505299" w:rsidRPr="00FC3C3B">
        <w:rPr>
          <w:noProof/>
        </w:rPr>
        <w:t xml:space="preserve"> </w:t>
      </w:r>
      <w:r w:rsidR="002F5A4A" w:rsidRPr="00FC3C3B">
        <w:rPr>
          <w:noProof/>
        </w:rPr>
        <w:t>and aiming at</w:t>
      </w:r>
      <w:r w:rsidR="00DD6F2A" w:rsidRPr="00FC3C3B">
        <w:rPr>
          <w:noProof/>
        </w:rPr>
        <w:t xml:space="preserve"> </w:t>
      </w:r>
      <w:r w:rsidR="00505299" w:rsidRPr="00FC3C3B">
        <w:rPr>
          <w:noProof/>
        </w:rPr>
        <w:t>a geographically balanced distribution of projects financed under the STEP</w:t>
      </w:r>
      <w:r w:rsidR="007B0151">
        <w:rPr>
          <w:noProof/>
        </w:rPr>
        <w:t xml:space="preserve"> in accordance with the respective programme mandates</w:t>
      </w:r>
      <w:r w:rsidR="004B573C" w:rsidRPr="00FC3C3B">
        <w:rPr>
          <w:noProof/>
        </w:rPr>
        <w:t xml:space="preserve">. </w:t>
      </w:r>
    </w:p>
    <w:p w14:paraId="02E5DB10" w14:textId="77777777" w:rsidR="001F2BFD" w:rsidRPr="00FC3C3B" w:rsidRDefault="00323DD4" w:rsidP="00323DD4">
      <w:pPr>
        <w:pStyle w:val="ManualConsidrant"/>
        <w:rPr>
          <w:noProof/>
        </w:rPr>
      </w:pPr>
      <w:r w:rsidRPr="00FC3C3B">
        <w:rPr>
          <w:noProof/>
        </w:rPr>
        <w:t>(7)</w:t>
      </w:r>
      <w:r w:rsidRPr="00FC3C3B">
        <w:rPr>
          <w:noProof/>
        </w:rPr>
        <w:tab/>
      </w:r>
      <w:r w:rsidR="001F2BFD" w:rsidRPr="00FC3C3B">
        <w:rPr>
          <w:noProof/>
        </w:rPr>
        <w:t xml:space="preserve">The </w:t>
      </w:r>
      <w:r w:rsidR="004A0F90" w:rsidRPr="00FC3C3B">
        <w:rPr>
          <w:noProof/>
        </w:rPr>
        <w:t>STEP</w:t>
      </w:r>
      <w:r w:rsidR="00D670F7" w:rsidRPr="00FC3C3B">
        <w:rPr>
          <w:rFonts w:eastAsia="Times New Roman"/>
          <w:noProof/>
        </w:rPr>
        <w:t xml:space="preserve"> </w:t>
      </w:r>
      <w:r w:rsidR="001F2BFD" w:rsidRPr="00FC3C3B">
        <w:rPr>
          <w:noProof/>
        </w:rPr>
        <w:t xml:space="preserve">should identify resources which should be implemented within the existing Union </w:t>
      </w:r>
      <w:r w:rsidR="001F2BFD" w:rsidRPr="00D84B67">
        <w:rPr>
          <w:noProof/>
        </w:rPr>
        <w:t>programmes and funds, the InvestEU, Horizon Europe</w:t>
      </w:r>
      <w:r w:rsidR="00CA76F5" w:rsidRPr="00D84B67">
        <w:rPr>
          <w:noProof/>
        </w:rPr>
        <w:t>, European Defence Fund</w:t>
      </w:r>
      <w:r w:rsidR="001F2BFD" w:rsidRPr="00D84B67">
        <w:rPr>
          <w:noProof/>
        </w:rPr>
        <w:t xml:space="preserve"> and Innovation Fund. </w:t>
      </w:r>
      <w:r w:rsidR="001F2BFD" w:rsidRPr="00D84B67">
        <w:rPr>
          <w:rFonts w:eastAsia="Times New Roman"/>
          <w:noProof/>
        </w:rPr>
        <w:t xml:space="preserve">This should be accompanied by providing additional funding of EUR </w:t>
      </w:r>
      <w:r w:rsidR="006C66CA" w:rsidRPr="00D84B67">
        <w:rPr>
          <w:rFonts w:eastAsia="Times New Roman"/>
          <w:noProof/>
        </w:rPr>
        <w:t>10 billion</w:t>
      </w:r>
      <w:r w:rsidR="001F2BFD" w:rsidRPr="00D84B67">
        <w:rPr>
          <w:rFonts w:eastAsia="Times New Roman"/>
          <w:noProof/>
        </w:rPr>
        <w:t xml:space="preserve">. Of this, EUR </w:t>
      </w:r>
      <w:r w:rsidR="006C66CA" w:rsidRPr="00D84B67">
        <w:rPr>
          <w:rFonts w:eastAsia="Times New Roman"/>
          <w:noProof/>
        </w:rPr>
        <w:t>5 billion</w:t>
      </w:r>
      <w:r w:rsidR="001F2BFD" w:rsidRPr="00D84B67">
        <w:rPr>
          <w:rFonts w:eastAsia="Times New Roman"/>
          <w:noProof/>
        </w:rPr>
        <w:t xml:space="preserve"> should be used to increase </w:t>
      </w:r>
      <w:r w:rsidR="00045596" w:rsidRPr="00D84B67">
        <w:rPr>
          <w:rFonts w:eastAsia="Times New Roman"/>
          <w:noProof/>
        </w:rPr>
        <w:t>the endowment of the Innovation Fund</w:t>
      </w:r>
      <w:r w:rsidR="00B03B14" w:rsidRPr="00D84B67">
        <w:rPr>
          <w:rStyle w:val="FootnoteReference"/>
          <w:noProof/>
        </w:rPr>
        <w:footnoteReference w:id="47"/>
      </w:r>
      <w:r w:rsidR="00045596" w:rsidRPr="00D84B67">
        <w:rPr>
          <w:rFonts w:eastAsia="Times New Roman"/>
          <w:noProof/>
        </w:rPr>
        <w:t xml:space="preserve"> and EUR </w:t>
      </w:r>
      <w:r w:rsidR="00781959" w:rsidRPr="00D84B67">
        <w:rPr>
          <w:rFonts w:eastAsia="Times New Roman"/>
          <w:noProof/>
        </w:rPr>
        <w:t xml:space="preserve">3 </w:t>
      </w:r>
      <w:r w:rsidR="00F06963" w:rsidRPr="00D84B67">
        <w:rPr>
          <w:rFonts w:eastAsia="Times New Roman"/>
          <w:noProof/>
        </w:rPr>
        <w:t>billion</w:t>
      </w:r>
      <w:r w:rsidR="00045596" w:rsidRPr="00D84B67">
        <w:rPr>
          <w:rFonts w:eastAsia="Times New Roman"/>
          <w:noProof/>
        </w:rPr>
        <w:t xml:space="preserve"> to increase </w:t>
      </w:r>
      <w:r w:rsidR="001F2BFD" w:rsidRPr="00D84B67">
        <w:rPr>
          <w:rFonts w:eastAsia="Times New Roman"/>
          <w:noProof/>
        </w:rPr>
        <w:t xml:space="preserve">the total amount of the EU guarantee available for the EU compartment under </w:t>
      </w:r>
      <w:r w:rsidR="001C4A3C" w:rsidRPr="00D84B67">
        <w:rPr>
          <w:rFonts w:eastAsia="Times New Roman"/>
          <w:noProof/>
        </w:rPr>
        <w:t xml:space="preserve">the InvestEU </w:t>
      </w:r>
      <w:r w:rsidR="001F2BFD" w:rsidRPr="00D84B67">
        <w:rPr>
          <w:rFonts w:eastAsia="Times New Roman"/>
          <w:noProof/>
        </w:rPr>
        <w:t>Regulation</w:t>
      </w:r>
      <w:r w:rsidR="00781959" w:rsidRPr="00D84B67">
        <w:rPr>
          <w:rFonts w:eastAsia="Times New Roman"/>
          <w:noProof/>
        </w:rPr>
        <w:t xml:space="preserve"> to EUR 7,5 billion</w:t>
      </w:r>
      <w:r w:rsidR="001F2BFD" w:rsidRPr="00D84B67">
        <w:rPr>
          <w:rFonts w:eastAsia="Times New Roman"/>
          <w:noProof/>
        </w:rPr>
        <w:t>,</w:t>
      </w:r>
      <w:r w:rsidR="00263B20" w:rsidRPr="00D84B67">
        <w:rPr>
          <w:rStyle w:val="FootnoteReference"/>
          <w:rFonts w:eastAsia="Times New Roman"/>
          <w:noProof/>
        </w:rPr>
        <w:footnoteReference w:id="48"/>
      </w:r>
      <w:r w:rsidR="001F2BFD" w:rsidRPr="00D84B67">
        <w:rPr>
          <w:rFonts w:eastAsia="Times New Roman"/>
          <w:noProof/>
        </w:rPr>
        <w:t xml:space="preserve"> taking</w:t>
      </w:r>
      <w:r w:rsidR="001F2BFD" w:rsidRPr="00FC3C3B">
        <w:rPr>
          <w:rFonts w:eastAsia="Times New Roman"/>
          <w:noProof/>
        </w:rPr>
        <w:t xml:space="preserve"> into account the relevant provisioning rate. EUR </w:t>
      </w:r>
      <w:r w:rsidR="00B61490">
        <w:rPr>
          <w:rFonts w:eastAsia="Times New Roman"/>
          <w:noProof/>
        </w:rPr>
        <w:t>0.5 billion</w:t>
      </w:r>
      <w:r w:rsidR="001F2BFD" w:rsidRPr="00FC3C3B">
        <w:rPr>
          <w:rFonts w:eastAsia="Times New Roman"/>
          <w:noProof/>
        </w:rPr>
        <w:t xml:space="preserve"> should be made available to increase the financial envelope under </w:t>
      </w:r>
      <w:r w:rsidR="00821D8D" w:rsidRPr="00FC3C3B">
        <w:rPr>
          <w:rFonts w:eastAsia="Times New Roman"/>
          <w:noProof/>
        </w:rPr>
        <w:t xml:space="preserve">the Horizon Europe </w:t>
      </w:r>
      <w:r w:rsidR="001F2BFD" w:rsidRPr="00FC3C3B">
        <w:rPr>
          <w:rFonts w:eastAsia="Times New Roman"/>
          <w:noProof/>
        </w:rPr>
        <w:t>Regulation,</w:t>
      </w:r>
      <w:r w:rsidR="00EB395C" w:rsidRPr="00FC3C3B">
        <w:rPr>
          <w:rStyle w:val="FootnoteReference"/>
          <w:rFonts w:eastAsia="Times New Roman"/>
          <w:noProof/>
        </w:rPr>
        <w:footnoteReference w:id="49"/>
      </w:r>
      <w:r w:rsidR="001F2BFD" w:rsidRPr="00FC3C3B">
        <w:rPr>
          <w:rFonts w:eastAsia="Times New Roman"/>
          <w:noProof/>
        </w:rPr>
        <w:t xml:space="preserve"> which should be amended accordingly</w:t>
      </w:r>
      <w:r w:rsidR="00B03B14" w:rsidRPr="00FC3C3B">
        <w:rPr>
          <w:rFonts w:eastAsia="Times New Roman"/>
          <w:noProof/>
        </w:rPr>
        <w:t>;</w:t>
      </w:r>
      <w:r w:rsidR="006A1B43" w:rsidRPr="00FC3C3B">
        <w:rPr>
          <w:noProof/>
        </w:rPr>
        <w:t xml:space="preserve"> and EUR </w:t>
      </w:r>
      <w:r w:rsidR="00B61490">
        <w:rPr>
          <w:noProof/>
        </w:rPr>
        <w:t>1.5 billion</w:t>
      </w:r>
      <w:r w:rsidR="006A1B43" w:rsidRPr="00FC3C3B">
        <w:rPr>
          <w:noProof/>
        </w:rPr>
        <w:t xml:space="preserve"> to the European Defence Fund.</w:t>
      </w:r>
      <w:r w:rsidR="00B03B14" w:rsidRPr="00FC3C3B">
        <w:rPr>
          <w:rStyle w:val="FootnoteReference"/>
          <w:noProof/>
        </w:rPr>
        <w:footnoteReference w:id="50"/>
      </w:r>
    </w:p>
    <w:p w14:paraId="4711B387" w14:textId="77777777" w:rsidR="00F24BC8" w:rsidRPr="00FC3C3B" w:rsidRDefault="00323DD4" w:rsidP="00323DD4">
      <w:pPr>
        <w:pStyle w:val="ManualConsidrant"/>
        <w:rPr>
          <w:noProof/>
        </w:rPr>
      </w:pPr>
      <w:r w:rsidRPr="00FC3C3B">
        <w:rPr>
          <w:noProof/>
        </w:rPr>
        <w:t>(8)</w:t>
      </w:r>
      <w:r w:rsidRPr="00FC3C3B">
        <w:rPr>
          <w:noProof/>
        </w:rPr>
        <w:tab/>
      </w:r>
      <w:r w:rsidR="002B28C8" w:rsidRPr="00FC3C3B">
        <w:rPr>
          <w:noProof/>
        </w:rPr>
        <w:t xml:space="preserve">A Sovereignty Seal should be awarded to projects contributing to the </w:t>
      </w:r>
      <w:r w:rsidR="00A66F64" w:rsidRPr="00FC3C3B">
        <w:rPr>
          <w:noProof/>
        </w:rPr>
        <w:t>STEP</w:t>
      </w:r>
      <w:r w:rsidR="002B28C8" w:rsidRPr="00FC3C3B">
        <w:rPr>
          <w:noProof/>
        </w:rPr>
        <w:t xml:space="preserve"> objectives, provided that the project has been </w:t>
      </w:r>
      <w:r w:rsidR="00420EAC" w:rsidRPr="00FC3C3B">
        <w:rPr>
          <w:noProof/>
        </w:rPr>
        <w:t>assessed and complies with the minimum quality requirements</w:t>
      </w:r>
      <w:r w:rsidR="00F7269E" w:rsidRPr="00FC3C3B">
        <w:rPr>
          <w:noProof/>
        </w:rPr>
        <w:t>, in particular</w:t>
      </w:r>
      <w:r w:rsidR="00420EAC" w:rsidRPr="00FC3C3B">
        <w:rPr>
          <w:noProof/>
        </w:rPr>
        <w:t xml:space="preserve"> </w:t>
      </w:r>
      <w:r w:rsidR="00246C6D" w:rsidRPr="00FC3C3B">
        <w:rPr>
          <w:noProof/>
        </w:rPr>
        <w:t>eligibility</w:t>
      </w:r>
      <w:r w:rsidR="006A4B85" w:rsidRPr="00FC3C3B">
        <w:rPr>
          <w:noProof/>
        </w:rPr>
        <w:t>, exclusion and award criteria</w:t>
      </w:r>
      <w:r w:rsidR="00C07AF5" w:rsidRPr="00FC3C3B">
        <w:rPr>
          <w:noProof/>
        </w:rPr>
        <w:t>,</w:t>
      </w:r>
      <w:r w:rsidR="00420EAC" w:rsidRPr="00FC3C3B">
        <w:rPr>
          <w:noProof/>
        </w:rPr>
        <w:t xml:space="preserve"> </w:t>
      </w:r>
      <w:r w:rsidR="00C76010" w:rsidRPr="00FC3C3B">
        <w:rPr>
          <w:noProof/>
        </w:rPr>
        <w:t>provided by</w:t>
      </w:r>
      <w:r w:rsidR="00420EAC" w:rsidRPr="00FC3C3B">
        <w:rPr>
          <w:noProof/>
        </w:rPr>
        <w:t xml:space="preserve"> a call for proposals </w:t>
      </w:r>
      <w:r w:rsidR="002B28C8" w:rsidRPr="00FC3C3B">
        <w:rPr>
          <w:noProof/>
        </w:rPr>
        <w:t xml:space="preserve">under </w:t>
      </w:r>
      <w:r w:rsidR="00371C82" w:rsidRPr="00FC3C3B">
        <w:rPr>
          <w:noProof/>
        </w:rPr>
        <w:t>Horizon Europe, the Digital Europe programme,</w:t>
      </w:r>
      <w:r w:rsidR="00E65D3F" w:rsidRPr="00FC3C3B">
        <w:rPr>
          <w:rStyle w:val="FootnoteReference"/>
          <w:noProof/>
        </w:rPr>
        <w:footnoteReference w:id="51"/>
      </w:r>
      <w:r w:rsidR="00371C82" w:rsidRPr="00FC3C3B">
        <w:rPr>
          <w:noProof/>
        </w:rPr>
        <w:t xml:space="preserve"> the EU4Health programme,</w:t>
      </w:r>
      <w:r w:rsidR="006303BF" w:rsidRPr="00FC3C3B">
        <w:rPr>
          <w:rStyle w:val="FootnoteReference"/>
          <w:noProof/>
        </w:rPr>
        <w:footnoteReference w:id="52"/>
      </w:r>
      <w:r w:rsidR="00371C82" w:rsidRPr="00FC3C3B">
        <w:rPr>
          <w:noProof/>
        </w:rPr>
        <w:t xml:space="preserve"> </w:t>
      </w:r>
      <w:r w:rsidR="0AEDE413" w:rsidRPr="00FC3C3B">
        <w:rPr>
          <w:noProof/>
        </w:rPr>
        <w:t>the European Defen</w:t>
      </w:r>
      <w:r w:rsidR="00817449" w:rsidRPr="00FC3C3B">
        <w:rPr>
          <w:noProof/>
        </w:rPr>
        <w:t>c</w:t>
      </w:r>
      <w:r w:rsidR="0AEDE413" w:rsidRPr="00FC3C3B">
        <w:rPr>
          <w:noProof/>
        </w:rPr>
        <w:t>e</w:t>
      </w:r>
      <w:r w:rsidR="00371C82" w:rsidRPr="00FC3C3B">
        <w:rPr>
          <w:noProof/>
        </w:rPr>
        <w:t xml:space="preserve"> Fund</w:t>
      </w:r>
      <w:r w:rsidR="0AEDE413" w:rsidRPr="00FC3C3B">
        <w:rPr>
          <w:noProof/>
        </w:rPr>
        <w:t xml:space="preserve"> </w:t>
      </w:r>
      <w:r w:rsidR="2C53138B" w:rsidRPr="00FC3C3B">
        <w:rPr>
          <w:noProof/>
        </w:rPr>
        <w:t>or the Innovation Fund</w:t>
      </w:r>
      <w:r w:rsidR="002B28C8" w:rsidRPr="00FC3C3B">
        <w:rPr>
          <w:noProof/>
        </w:rPr>
        <w:t xml:space="preserve">, and regardless of whether the project has received </w:t>
      </w:r>
      <w:r w:rsidR="00BF4C18" w:rsidRPr="00FC3C3B">
        <w:rPr>
          <w:noProof/>
        </w:rPr>
        <w:t xml:space="preserve">funding </w:t>
      </w:r>
      <w:r w:rsidR="002B28C8" w:rsidRPr="00FC3C3B">
        <w:rPr>
          <w:noProof/>
        </w:rPr>
        <w:t xml:space="preserve">under those instruments. </w:t>
      </w:r>
      <w:r w:rsidR="00D64312" w:rsidRPr="00FC3C3B">
        <w:rPr>
          <w:rFonts w:eastAsia="Times New Roman"/>
          <w:noProof/>
          <w:lang w:val="en-IE"/>
        </w:rPr>
        <w:t>These minimum quality requirements will be established with a view to identify high quality projects.</w:t>
      </w:r>
      <w:r w:rsidR="00D64312" w:rsidRPr="00FC3C3B">
        <w:rPr>
          <w:noProof/>
        </w:rPr>
        <w:t xml:space="preserve"> </w:t>
      </w:r>
      <w:r w:rsidR="002B28C8" w:rsidRPr="00FC3C3B">
        <w:rPr>
          <w:noProof/>
        </w:rPr>
        <w:t xml:space="preserve">This Seal should be used as a quality label, to help projects attract public and private investments by certifying its contribution to </w:t>
      </w:r>
      <w:r w:rsidR="00B15321" w:rsidRPr="00FC3C3B">
        <w:rPr>
          <w:noProof/>
        </w:rPr>
        <w:t xml:space="preserve">the </w:t>
      </w:r>
      <w:r w:rsidR="00A66F64" w:rsidRPr="00FC3C3B">
        <w:rPr>
          <w:noProof/>
        </w:rPr>
        <w:t xml:space="preserve">STEP </w:t>
      </w:r>
      <w:r w:rsidR="00A535BD" w:rsidRPr="00FC3C3B">
        <w:rPr>
          <w:noProof/>
        </w:rPr>
        <w:t>objectives</w:t>
      </w:r>
      <w:r w:rsidR="002B28C8" w:rsidRPr="00FC3C3B">
        <w:rPr>
          <w:noProof/>
        </w:rPr>
        <w:t xml:space="preserve">. Moreover, the Seal will promote better access to EU funding, notably by facilitating cumulative or combined funding from several Union instruments. </w:t>
      </w:r>
    </w:p>
    <w:p w14:paraId="0D211D29" w14:textId="77777777" w:rsidR="00082F58" w:rsidRPr="00FC3C3B" w:rsidRDefault="00F24BC8" w:rsidP="00F24BC8">
      <w:pPr>
        <w:pStyle w:val="ManualConsidrant"/>
        <w:rPr>
          <w:noProof/>
        </w:rPr>
      </w:pPr>
      <w:r w:rsidRPr="00FC3C3B">
        <w:rPr>
          <w:noProof/>
        </w:rPr>
        <w:t>(</w:t>
      </w:r>
      <w:r w:rsidR="00A8538F" w:rsidRPr="00FC3C3B">
        <w:rPr>
          <w:noProof/>
        </w:rPr>
        <w:t>9</w:t>
      </w:r>
      <w:r w:rsidRPr="00FC3C3B">
        <w:rPr>
          <w:noProof/>
        </w:rPr>
        <w:t>)</w:t>
      </w:r>
      <w:r w:rsidRPr="00FC3C3B">
        <w:rPr>
          <w:noProof/>
        </w:rPr>
        <w:tab/>
      </w:r>
      <w:r w:rsidR="002B28C8" w:rsidRPr="00FC3C3B">
        <w:rPr>
          <w:noProof/>
        </w:rPr>
        <w:t xml:space="preserve">To that end, it should be possible to rely on assessments made for the purposes of other Union programmes in accordance with Articles 126 and 127 of </w:t>
      </w:r>
      <w:r w:rsidR="00723486" w:rsidRPr="00FC3C3B">
        <w:rPr>
          <w:noProof/>
        </w:rPr>
        <w:t>Regulation (EU, Euratom) 2018/1046</w:t>
      </w:r>
      <w:r w:rsidR="002B28C8" w:rsidRPr="00FC3C3B">
        <w:rPr>
          <w:noProof/>
        </w:rPr>
        <w:t>,</w:t>
      </w:r>
      <w:r w:rsidR="00A8491E" w:rsidRPr="00FC3C3B">
        <w:rPr>
          <w:rStyle w:val="FootnoteReference"/>
          <w:noProof/>
        </w:rPr>
        <w:footnoteReference w:id="53"/>
      </w:r>
      <w:r w:rsidR="002B28C8" w:rsidRPr="00FC3C3B">
        <w:rPr>
          <w:noProof/>
        </w:rPr>
        <w:t xml:space="preserve"> in order to reduce administrative burden for beneficiaries of Union funds and encourage investment in priority technologies. </w:t>
      </w:r>
      <w:r w:rsidR="00D20DEF" w:rsidRPr="00FC3C3B">
        <w:rPr>
          <w:noProof/>
        </w:rPr>
        <w:t>Provided they comply with the provisions of the RRF Regulation,</w:t>
      </w:r>
      <w:r w:rsidR="001A4452" w:rsidRPr="00FC3C3B">
        <w:rPr>
          <w:rStyle w:val="FootnoteReference"/>
          <w:noProof/>
        </w:rPr>
        <w:footnoteReference w:id="54"/>
      </w:r>
      <w:r w:rsidR="00D20DEF" w:rsidRPr="00FC3C3B">
        <w:rPr>
          <w:noProof/>
        </w:rPr>
        <w:t xml:space="preserve"> Member States </w:t>
      </w:r>
      <w:r w:rsidR="005342B3" w:rsidRPr="00FC3C3B">
        <w:rPr>
          <w:noProof/>
        </w:rPr>
        <w:t>should consider including actions awarded the Sovereignty Seal when preparing their recovery and resilience plans</w:t>
      </w:r>
      <w:r w:rsidR="004E781F" w:rsidRPr="00FC3C3B">
        <w:rPr>
          <w:noProof/>
        </w:rPr>
        <w:t xml:space="preserve"> and </w:t>
      </w:r>
      <w:r w:rsidR="00082F58" w:rsidRPr="00FC3C3B">
        <w:rPr>
          <w:noProof/>
        </w:rPr>
        <w:t xml:space="preserve">when proposing their Recovering and Resilience Plans and when deciding on investment projects to be financed from its share of the Modernisation Fund. </w:t>
      </w:r>
      <w:r w:rsidR="00BC0719" w:rsidRPr="00FC3C3B">
        <w:rPr>
          <w:noProof/>
        </w:rPr>
        <w:t>T</w:t>
      </w:r>
      <w:r w:rsidR="00082F58" w:rsidRPr="00FC3C3B">
        <w:rPr>
          <w:noProof/>
        </w:rPr>
        <w:t>he Sovereignty Seal should</w:t>
      </w:r>
      <w:r w:rsidR="00BC0719" w:rsidRPr="00FC3C3B">
        <w:rPr>
          <w:noProof/>
        </w:rPr>
        <w:t xml:space="preserve"> also</w:t>
      </w:r>
      <w:r w:rsidR="00082F58" w:rsidRPr="00FC3C3B">
        <w:rPr>
          <w:noProof/>
        </w:rPr>
        <w:t xml:space="preserve"> be taken into account by the Commission in the context of the procedure provided for in Article 19 of the EIB Statute and of the policy check laid down in Article 23 of </w:t>
      </w:r>
      <w:r w:rsidR="000C1E14" w:rsidRPr="00FC3C3B">
        <w:rPr>
          <w:noProof/>
        </w:rPr>
        <w:t>the InvestEU Regulation</w:t>
      </w:r>
      <w:r w:rsidR="00082F58" w:rsidRPr="00FC3C3B">
        <w:rPr>
          <w:noProof/>
        </w:rPr>
        <w:t xml:space="preserve">. In addition, the implementing partners should be </w:t>
      </w:r>
      <w:r w:rsidR="000B2F1D" w:rsidRPr="00FC3C3B">
        <w:rPr>
          <w:noProof/>
        </w:rPr>
        <w:t>required</w:t>
      </w:r>
      <w:r w:rsidR="00082F58" w:rsidRPr="00FC3C3B">
        <w:rPr>
          <w:noProof/>
        </w:rPr>
        <w:t xml:space="preserve"> to examine projects having been awarded the Sovereignty Seal in case they fall within their geographic and activity scope</w:t>
      </w:r>
      <w:r w:rsidR="001A5273" w:rsidRPr="00FC3C3B">
        <w:rPr>
          <w:noProof/>
        </w:rPr>
        <w:t xml:space="preserve"> in accordance with</w:t>
      </w:r>
      <w:r w:rsidR="00082F58" w:rsidRPr="00FC3C3B">
        <w:rPr>
          <w:noProof/>
        </w:rPr>
        <w:t xml:space="preserve"> Article </w:t>
      </w:r>
      <w:r w:rsidR="001A5273" w:rsidRPr="00FC3C3B">
        <w:rPr>
          <w:noProof/>
        </w:rPr>
        <w:t>26(5) of that Regulation</w:t>
      </w:r>
      <w:r w:rsidR="00082F58" w:rsidRPr="00FC3C3B">
        <w:rPr>
          <w:noProof/>
        </w:rPr>
        <w:t xml:space="preserve">. </w:t>
      </w:r>
      <w:r w:rsidRPr="006E37DD">
        <w:rPr>
          <w:noProof/>
        </w:rPr>
        <w:t xml:space="preserve">Authorities in charge of programmes falling under STEP should also be encouraged to consider support for strategic projects identified in accordance with the Net Zero Industry and the Critical Raw Materials Acts that </w:t>
      </w:r>
      <w:r w:rsidR="00D61008" w:rsidRPr="006E37DD">
        <w:rPr>
          <w:noProof/>
        </w:rPr>
        <w:t xml:space="preserve">are within </w:t>
      </w:r>
      <w:r w:rsidRPr="006E37DD">
        <w:rPr>
          <w:noProof/>
        </w:rPr>
        <w:t>the scope of Article 2 of the Regulation</w:t>
      </w:r>
      <w:r w:rsidR="00057EC9" w:rsidRPr="00FC3C3B">
        <w:rPr>
          <w:noProof/>
        </w:rPr>
        <w:t xml:space="preserve"> and for which rules on cumulative funding may apply</w:t>
      </w:r>
      <w:r w:rsidRPr="00FC3C3B">
        <w:rPr>
          <w:rFonts w:eastAsia="Times New Roman"/>
          <w:noProof/>
          <w:lang w:val="en-IE"/>
        </w:rPr>
        <w:t>.</w:t>
      </w:r>
    </w:p>
    <w:p w14:paraId="4A687394" w14:textId="77777777" w:rsidR="00683099" w:rsidRPr="00FC3C3B" w:rsidRDefault="00323DD4" w:rsidP="00323DD4">
      <w:pPr>
        <w:pStyle w:val="ManualConsidrant"/>
        <w:rPr>
          <w:noProof/>
        </w:rPr>
      </w:pPr>
      <w:r w:rsidRPr="00FC3C3B">
        <w:rPr>
          <w:noProof/>
        </w:rPr>
        <w:t>(</w:t>
      </w:r>
      <w:r w:rsidR="00A8538F" w:rsidRPr="00FC3C3B">
        <w:rPr>
          <w:noProof/>
        </w:rPr>
        <w:t>10</w:t>
      </w:r>
      <w:r w:rsidRPr="00FC3C3B">
        <w:rPr>
          <w:noProof/>
        </w:rPr>
        <w:t>)</w:t>
      </w:r>
      <w:r w:rsidRPr="00FC3C3B">
        <w:rPr>
          <w:noProof/>
        </w:rPr>
        <w:tab/>
      </w:r>
      <w:r w:rsidR="002B28C8" w:rsidRPr="00FC3C3B">
        <w:rPr>
          <w:noProof/>
        </w:rPr>
        <w:t xml:space="preserve">A new publicly available website (the ‘Sovereignty Portal’) should be set up by the Commission to </w:t>
      </w:r>
      <w:r w:rsidR="00D0781A" w:rsidRPr="00FC3C3B">
        <w:rPr>
          <w:noProof/>
        </w:rPr>
        <w:t xml:space="preserve">provide information on </w:t>
      </w:r>
      <w:r w:rsidR="00B069AD" w:rsidRPr="00FC3C3B">
        <w:rPr>
          <w:noProof/>
        </w:rPr>
        <w:t xml:space="preserve">available </w:t>
      </w:r>
      <w:r w:rsidR="002B28C8" w:rsidRPr="00FC3C3B">
        <w:rPr>
          <w:noProof/>
        </w:rPr>
        <w:t>support</w:t>
      </w:r>
      <w:r w:rsidR="00D8752C" w:rsidRPr="00FC3C3B">
        <w:rPr>
          <w:noProof/>
        </w:rPr>
        <w:t xml:space="preserve"> to</w:t>
      </w:r>
      <w:r w:rsidR="002B28C8" w:rsidRPr="00FC3C3B">
        <w:rPr>
          <w:noProof/>
        </w:rPr>
        <w:t xml:space="preserve"> companies and project promoters seeking funds for </w:t>
      </w:r>
      <w:r w:rsidR="00A61A64" w:rsidRPr="00FC3C3B">
        <w:rPr>
          <w:noProof/>
        </w:rPr>
        <w:t xml:space="preserve">STEP </w:t>
      </w:r>
      <w:r w:rsidR="002B28C8" w:rsidRPr="00FC3C3B">
        <w:rPr>
          <w:noProof/>
        </w:rPr>
        <w:t xml:space="preserve">investments. To that end, it should display in an accessible and user-friendly manner the funding opportunities for </w:t>
      </w:r>
      <w:r w:rsidR="00A61A64" w:rsidRPr="00FC3C3B">
        <w:rPr>
          <w:noProof/>
        </w:rPr>
        <w:t xml:space="preserve">STEP </w:t>
      </w:r>
      <w:r w:rsidR="002B28C8" w:rsidRPr="00FC3C3B">
        <w:rPr>
          <w:noProof/>
        </w:rPr>
        <w:t xml:space="preserve">investments available under the EU budget. This should include information about directly managed programmes, such as </w:t>
      </w:r>
      <w:r w:rsidR="00293E73" w:rsidRPr="00FC3C3B">
        <w:rPr>
          <w:noProof/>
        </w:rPr>
        <w:t xml:space="preserve">Horizon Europe, the Digital Europe programme, the EU4Health programme, and the Innovation </w:t>
      </w:r>
      <w:r w:rsidR="002B28C8" w:rsidRPr="00FC3C3B" w:rsidDel="00293E73">
        <w:rPr>
          <w:noProof/>
        </w:rPr>
        <w:t xml:space="preserve">Fund, and </w:t>
      </w:r>
      <w:r w:rsidR="002B28C8" w:rsidRPr="00FC3C3B">
        <w:rPr>
          <w:noProof/>
        </w:rPr>
        <w:t xml:space="preserve">also other programmes such as InvestEU, the RRF, and cohesion </w:t>
      </w:r>
      <w:r w:rsidR="001D38F2" w:rsidRPr="00FC3C3B">
        <w:rPr>
          <w:noProof/>
        </w:rPr>
        <w:t xml:space="preserve">policy </w:t>
      </w:r>
      <w:r w:rsidR="002B28C8" w:rsidRPr="00FC3C3B">
        <w:rPr>
          <w:noProof/>
        </w:rPr>
        <w:t xml:space="preserve">funds. Moreover, the Sovereignty Portal should help increase the visibility for </w:t>
      </w:r>
      <w:r w:rsidR="00A61A64" w:rsidRPr="00FC3C3B">
        <w:rPr>
          <w:noProof/>
        </w:rPr>
        <w:t xml:space="preserve">STEP </w:t>
      </w:r>
      <w:r w:rsidR="002B28C8" w:rsidRPr="00FC3C3B">
        <w:rPr>
          <w:noProof/>
        </w:rPr>
        <w:t xml:space="preserve">investments towards investors, by listing the projects that have been awarded a Sovereignty Seal. The Portal should also list the national competent authorities responsible for acting as contact points for the implementation of the </w:t>
      </w:r>
      <w:r w:rsidR="00A61A64" w:rsidRPr="00FC3C3B">
        <w:rPr>
          <w:rFonts w:eastAsia="Times New Roman"/>
          <w:noProof/>
        </w:rPr>
        <w:t>STEP</w:t>
      </w:r>
      <w:r w:rsidR="002B28C8" w:rsidRPr="00FC3C3B">
        <w:rPr>
          <w:noProof/>
        </w:rPr>
        <w:t xml:space="preserve"> at national level.</w:t>
      </w:r>
    </w:p>
    <w:p w14:paraId="2426CBC2" w14:textId="77777777" w:rsidR="005F7409" w:rsidRPr="00FC3C3B" w:rsidRDefault="005817FC" w:rsidP="00A30DE5">
      <w:pPr>
        <w:pStyle w:val="ManualConsidrant"/>
        <w:rPr>
          <w:noProof/>
        </w:rPr>
      </w:pPr>
      <w:r w:rsidRPr="00FC3C3B">
        <w:rPr>
          <w:noProof/>
        </w:rPr>
        <w:t>(1</w:t>
      </w:r>
      <w:r w:rsidR="00A8538F" w:rsidRPr="00FC3C3B">
        <w:rPr>
          <w:noProof/>
        </w:rPr>
        <w:t>1</w:t>
      </w:r>
      <w:r w:rsidRPr="00FC3C3B">
        <w:rPr>
          <w:noProof/>
        </w:rPr>
        <w:t>)</w:t>
      </w:r>
      <w:r w:rsidR="00A30DE5" w:rsidRPr="00FC3C3B">
        <w:rPr>
          <w:noProof/>
        </w:rPr>
        <w:tab/>
      </w:r>
      <w:r w:rsidR="00C74184" w:rsidRPr="00FC3C3B">
        <w:rPr>
          <w:noProof/>
        </w:rPr>
        <w:t xml:space="preserve">While the </w:t>
      </w:r>
      <w:r w:rsidR="00A30DE5" w:rsidRPr="00FC3C3B">
        <w:rPr>
          <w:noProof/>
        </w:rPr>
        <w:t>STEP</w:t>
      </w:r>
      <w:r w:rsidR="00C74184" w:rsidRPr="00FC3C3B">
        <w:rPr>
          <w:noProof/>
        </w:rPr>
        <w:t xml:space="preserve"> </w:t>
      </w:r>
      <w:r w:rsidR="00A30DE5" w:rsidRPr="00FC3C3B">
        <w:rPr>
          <w:noProof/>
        </w:rPr>
        <w:t>relies</w:t>
      </w:r>
      <w:r w:rsidR="00C74184" w:rsidRPr="00FC3C3B">
        <w:rPr>
          <w:noProof/>
        </w:rPr>
        <w:t xml:space="preserve"> on </w:t>
      </w:r>
      <w:r w:rsidR="00B16F22" w:rsidRPr="00FC3C3B">
        <w:rPr>
          <w:noProof/>
        </w:rPr>
        <w:t xml:space="preserve">the </w:t>
      </w:r>
      <w:r w:rsidR="00C74184" w:rsidRPr="00FC3C3B">
        <w:rPr>
          <w:noProof/>
        </w:rPr>
        <w:t>reprogramming and reinforc</w:t>
      </w:r>
      <w:r w:rsidR="00B16F22" w:rsidRPr="00FC3C3B">
        <w:rPr>
          <w:noProof/>
        </w:rPr>
        <w:t>ement of</w:t>
      </w:r>
      <w:r w:rsidR="00C74184" w:rsidRPr="00FC3C3B">
        <w:rPr>
          <w:noProof/>
        </w:rPr>
        <w:t xml:space="preserve"> existing programmes for </w:t>
      </w:r>
      <w:r w:rsidR="00B801EB" w:rsidRPr="00FC3C3B">
        <w:rPr>
          <w:noProof/>
        </w:rPr>
        <w:t xml:space="preserve">supporting </w:t>
      </w:r>
      <w:r w:rsidR="00A30DE5" w:rsidRPr="00FC3C3B">
        <w:rPr>
          <w:noProof/>
        </w:rPr>
        <w:t>strategic investments</w:t>
      </w:r>
      <w:r w:rsidR="00C74184" w:rsidRPr="00FC3C3B">
        <w:rPr>
          <w:noProof/>
        </w:rPr>
        <w:t xml:space="preserve">, </w:t>
      </w:r>
      <w:r w:rsidR="00D0108E" w:rsidRPr="00FC3C3B">
        <w:rPr>
          <w:noProof/>
        </w:rPr>
        <w:t xml:space="preserve">it </w:t>
      </w:r>
      <w:r w:rsidR="008133EB" w:rsidRPr="00FC3C3B">
        <w:rPr>
          <w:noProof/>
        </w:rPr>
        <w:t xml:space="preserve">is also </w:t>
      </w:r>
      <w:r w:rsidR="00B16F22" w:rsidRPr="00FC3C3B">
        <w:rPr>
          <w:noProof/>
        </w:rPr>
        <w:t xml:space="preserve">an </w:t>
      </w:r>
      <w:r w:rsidR="008133EB" w:rsidRPr="00FC3C3B">
        <w:rPr>
          <w:noProof/>
        </w:rPr>
        <w:t xml:space="preserve">important </w:t>
      </w:r>
      <w:r w:rsidR="00B16F22" w:rsidRPr="00FC3C3B">
        <w:rPr>
          <w:noProof/>
        </w:rPr>
        <w:t xml:space="preserve">element </w:t>
      </w:r>
      <w:r w:rsidR="00C74184" w:rsidRPr="00FC3C3B">
        <w:rPr>
          <w:noProof/>
        </w:rPr>
        <w:t>for testing the feasibility and prepar</w:t>
      </w:r>
      <w:r w:rsidR="008133EB" w:rsidRPr="00FC3C3B">
        <w:rPr>
          <w:noProof/>
        </w:rPr>
        <w:t>ation of</w:t>
      </w:r>
      <w:r w:rsidR="00C74184" w:rsidRPr="00FC3C3B">
        <w:rPr>
          <w:noProof/>
        </w:rPr>
        <w:t xml:space="preserve"> new interventions as a </w:t>
      </w:r>
      <w:r w:rsidR="00783256" w:rsidRPr="00FC3C3B">
        <w:rPr>
          <w:noProof/>
        </w:rPr>
        <w:t>step</w:t>
      </w:r>
      <w:r w:rsidR="00C74184" w:rsidRPr="00FC3C3B">
        <w:rPr>
          <w:noProof/>
        </w:rPr>
        <w:t xml:space="preserve"> towards a European Sovereignty Fund. </w:t>
      </w:r>
      <w:r w:rsidR="008133EB" w:rsidRPr="00FC3C3B">
        <w:rPr>
          <w:noProof/>
        </w:rPr>
        <w:t>T</w:t>
      </w:r>
      <w:r w:rsidR="00E72D07" w:rsidRPr="00FC3C3B">
        <w:rPr>
          <w:noProof/>
        </w:rPr>
        <w:t>he evaluation in 2025 will assess the relevance of the actions undertaken</w:t>
      </w:r>
      <w:r w:rsidR="00245937" w:rsidRPr="00FC3C3B">
        <w:rPr>
          <w:noProof/>
        </w:rPr>
        <w:t xml:space="preserve"> and serve as basis for </w:t>
      </w:r>
      <w:r w:rsidR="000561A3" w:rsidRPr="00FC3C3B">
        <w:rPr>
          <w:noProof/>
        </w:rPr>
        <w:t>assessing the need</w:t>
      </w:r>
      <w:r w:rsidR="00F24BC8" w:rsidRPr="00FC3C3B">
        <w:rPr>
          <w:noProof/>
        </w:rPr>
        <w:t xml:space="preserve"> for </w:t>
      </w:r>
      <w:r w:rsidR="000561A3" w:rsidRPr="00FC3C3B">
        <w:rPr>
          <w:noProof/>
        </w:rPr>
        <w:t xml:space="preserve">an </w:t>
      </w:r>
      <w:r w:rsidR="00F5181D" w:rsidRPr="00FC3C3B">
        <w:rPr>
          <w:noProof/>
        </w:rPr>
        <w:t>upscaling of the support towards strategic sectors.</w:t>
      </w:r>
      <w:r w:rsidR="00272BC7" w:rsidRPr="00FC3C3B">
        <w:rPr>
          <w:noProof/>
        </w:rPr>
        <w:t xml:space="preserve"> </w:t>
      </w:r>
    </w:p>
    <w:p w14:paraId="7F63A6E4" w14:textId="77777777" w:rsidR="00CF61EA" w:rsidRPr="00FC3C3B" w:rsidRDefault="00323DD4" w:rsidP="00323DD4">
      <w:pPr>
        <w:pStyle w:val="ManualConsidrant"/>
        <w:rPr>
          <w:noProof/>
        </w:rPr>
      </w:pPr>
      <w:r w:rsidRPr="00FC3C3B">
        <w:rPr>
          <w:noProof/>
        </w:rPr>
        <w:t>(1</w:t>
      </w:r>
      <w:r w:rsidR="00A8538F" w:rsidRPr="00FC3C3B">
        <w:rPr>
          <w:noProof/>
        </w:rPr>
        <w:t>2</w:t>
      </w:r>
      <w:r w:rsidRPr="00FC3C3B">
        <w:rPr>
          <w:noProof/>
        </w:rPr>
        <w:t>)</w:t>
      </w:r>
      <w:r w:rsidRPr="00FC3C3B">
        <w:rPr>
          <w:noProof/>
        </w:rPr>
        <w:tab/>
      </w:r>
      <w:r w:rsidR="00BB29CE" w:rsidRPr="00FC3C3B">
        <w:rPr>
          <w:noProof/>
        </w:rPr>
        <w:t>Directive 2003/87/EC</w:t>
      </w:r>
      <w:r w:rsidR="00E40117" w:rsidRPr="00FC3C3B">
        <w:rPr>
          <w:rStyle w:val="FootnoteReference"/>
          <w:noProof/>
        </w:rPr>
        <w:footnoteReference w:id="55"/>
      </w:r>
      <w:r w:rsidR="00BB29CE" w:rsidRPr="00FC3C3B">
        <w:rPr>
          <w:noProof/>
        </w:rPr>
        <w:t xml:space="preserve"> should be amended to </w:t>
      </w:r>
      <w:r w:rsidR="007A3798" w:rsidRPr="00FC3C3B">
        <w:rPr>
          <w:noProof/>
        </w:rPr>
        <w:t xml:space="preserve">allow for </w:t>
      </w:r>
      <w:r w:rsidR="00865814" w:rsidRPr="00FC3C3B">
        <w:rPr>
          <w:noProof/>
        </w:rPr>
        <w:t xml:space="preserve">additional </w:t>
      </w:r>
      <w:r w:rsidR="007A3798" w:rsidRPr="00FC3C3B">
        <w:rPr>
          <w:noProof/>
        </w:rPr>
        <w:t>financing with</w:t>
      </w:r>
      <w:r w:rsidR="00BB29CE" w:rsidRPr="00FC3C3B">
        <w:rPr>
          <w:noProof/>
        </w:rPr>
        <w:t xml:space="preserve"> a financial envelope for the period 2024-2027</w:t>
      </w:r>
      <w:r w:rsidR="007A3798" w:rsidRPr="00FC3C3B">
        <w:rPr>
          <w:noProof/>
        </w:rPr>
        <w:t xml:space="preserve"> of EUR </w:t>
      </w:r>
      <w:r w:rsidR="00EA70EF">
        <w:rPr>
          <w:noProof/>
        </w:rPr>
        <w:t>5 billion</w:t>
      </w:r>
      <w:r w:rsidR="00BB29CE" w:rsidRPr="00FC3C3B">
        <w:rPr>
          <w:noProof/>
        </w:rPr>
        <w:t xml:space="preserve">. </w:t>
      </w:r>
      <w:r w:rsidR="004249E6" w:rsidRPr="00FC3C3B">
        <w:rPr>
          <w:noProof/>
        </w:rPr>
        <w:t xml:space="preserve">The Innovation Fund supports investments in </w:t>
      </w:r>
      <w:r w:rsidR="00B47639" w:rsidRPr="00FC3C3B">
        <w:rPr>
          <w:noProof/>
        </w:rPr>
        <w:t>innovative low-carbon</w:t>
      </w:r>
      <w:r w:rsidR="004249E6" w:rsidRPr="00FC3C3B">
        <w:rPr>
          <w:noProof/>
        </w:rPr>
        <w:t xml:space="preserve"> technologies</w:t>
      </w:r>
      <w:r w:rsidR="00040C78" w:rsidRPr="00FC3C3B">
        <w:rPr>
          <w:noProof/>
        </w:rPr>
        <w:t xml:space="preserve">, which is </w:t>
      </w:r>
      <w:r w:rsidR="00901D71" w:rsidRPr="00FC3C3B">
        <w:rPr>
          <w:noProof/>
        </w:rPr>
        <w:t>a</w:t>
      </w:r>
      <w:r w:rsidR="00040C78" w:rsidRPr="00FC3C3B">
        <w:rPr>
          <w:noProof/>
        </w:rPr>
        <w:t xml:space="preserve"> scope that is to be covered by the </w:t>
      </w:r>
      <w:r w:rsidR="00A61A64" w:rsidRPr="00FC3C3B">
        <w:rPr>
          <w:rFonts w:eastAsia="Times New Roman"/>
          <w:noProof/>
        </w:rPr>
        <w:t>STEP</w:t>
      </w:r>
      <w:r w:rsidR="00040C78" w:rsidRPr="00FC3C3B">
        <w:rPr>
          <w:noProof/>
        </w:rPr>
        <w:t xml:space="preserve">. </w:t>
      </w:r>
      <w:r w:rsidR="006121EF" w:rsidRPr="00FC3C3B">
        <w:rPr>
          <w:noProof/>
        </w:rPr>
        <w:t xml:space="preserve">The increase </w:t>
      </w:r>
      <w:r w:rsidR="00E76AAC" w:rsidRPr="00FC3C3B">
        <w:rPr>
          <w:noProof/>
        </w:rPr>
        <w:t>in volume</w:t>
      </w:r>
      <w:r w:rsidR="006121EF" w:rsidRPr="00FC3C3B">
        <w:rPr>
          <w:noProof/>
        </w:rPr>
        <w:t xml:space="preserve"> of the Innovation Fund </w:t>
      </w:r>
      <w:r w:rsidR="00986B1E" w:rsidRPr="00FC3C3B">
        <w:rPr>
          <w:noProof/>
        </w:rPr>
        <w:t xml:space="preserve">should </w:t>
      </w:r>
      <w:r w:rsidR="00B16D55" w:rsidRPr="00FC3C3B">
        <w:rPr>
          <w:noProof/>
        </w:rPr>
        <w:t>therefore</w:t>
      </w:r>
      <w:r w:rsidR="00986B1E" w:rsidRPr="00FC3C3B">
        <w:rPr>
          <w:noProof/>
        </w:rPr>
        <w:t xml:space="preserve"> allow </w:t>
      </w:r>
      <w:r w:rsidR="00562A0C" w:rsidRPr="00FC3C3B">
        <w:rPr>
          <w:noProof/>
        </w:rPr>
        <w:t xml:space="preserve">to provide financing </w:t>
      </w:r>
      <w:r w:rsidR="00151118" w:rsidRPr="00FC3C3B">
        <w:rPr>
          <w:noProof/>
        </w:rPr>
        <w:t>respond</w:t>
      </w:r>
      <w:r w:rsidR="00562A0C" w:rsidRPr="00FC3C3B">
        <w:rPr>
          <w:noProof/>
        </w:rPr>
        <w:t>ing</w:t>
      </w:r>
      <w:r w:rsidR="00151118" w:rsidRPr="00FC3C3B">
        <w:rPr>
          <w:noProof/>
        </w:rPr>
        <w:t xml:space="preserve"> </w:t>
      </w:r>
      <w:r w:rsidR="00902DEA" w:rsidRPr="00FC3C3B">
        <w:rPr>
          <w:noProof/>
        </w:rPr>
        <w:t xml:space="preserve">to </w:t>
      </w:r>
      <w:r w:rsidR="00E8336C" w:rsidRPr="00FC3C3B">
        <w:rPr>
          <w:noProof/>
        </w:rPr>
        <w:t xml:space="preserve">the </w:t>
      </w:r>
      <w:r w:rsidR="00902DEA" w:rsidRPr="00FC3C3B">
        <w:rPr>
          <w:noProof/>
        </w:rPr>
        <w:t>objective</w:t>
      </w:r>
      <w:r w:rsidR="002C1F12" w:rsidRPr="00FC3C3B">
        <w:rPr>
          <w:noProof/>
        </w:rPr>
        <w:t xml:space="preserve"> of supporting the development </w:t>
      </w:r>
      <w:r w:rsidR="005D3EA8" w:rsidRPr="00FC3C3B">
        <w:rPr>
          <w:noProof/>
        </w:rPr>
        <w:t>or</w:t>
      </w:r>
      <w:r w:rsidR="002C1F12" w:rsidRPr="00FC3C3B">
        <w:rPr>
          <w:noProof/>
        </w:rPr>
        <w:t xml:space="preserve"> </w:t>
      </w:r>
      <w:r w:rsidR="00E76AAC" w:rsidRPr="00FC3C3B">
        <w:rPr>
          <w:noProof/>
        </w:rPr>
        <w:t>manufacturing</w:t>
      </w:r>
      <w:r w:rsidR="002C1F12" w:rsidRPr="00FC3C3B">
        <w:rPr>
          <w:noProof/>
        </w:rPr>
        <w:t xml:space="preserve"> in the Union</w:t>
      </w:r>
      <w:r w:rsidR="006121EF" w:rsidRPr="00FC3C3B">
        <w:rPr>
          <w:noProof/>
        </w:rPr>
        <w:t xml:space="preserve"> of </w:t>
      </w:r>
      <w:r w:rsidR="00B52860" w:rsidRPr="00FC3C3B">
        <w:rPr>
          <w:noProof/>
        </w:rPr>
        <w:t xml:space="preserve">critical </w:t>
      </w:r>
      <w:r w:rsidR="00B16D55" w:rsidRPr="00FC3C3B">
        <w:rPr>
          <w:noProof/>
        </w:rPr>
        <w:t>clean technologies.</w:t>
      </w:r>
      <w:r w:rsidR="002D597E" w:rsidRPr="00FC3C3B">
        <w:rPr>
          <w:noProof/>
        </w:rPr>
        <w:t xml:space="preserve"> In line with the </w:t>
      </w:r>
      <w:r w:rsidR="00EC1503" w:rsidRPr="00FC3C3B">
        <w:rPr>
          <w:noProof/>
        </w:rPr>
        <w:t xml:space="preserve">objectives of ensuring </w:t>
      </w:r>
      <w:r w:rsidR="002D597E" w:rsidRPr="00FC3C3B">
        <w:rPr>
          <w:noProof/>
        </w:rPr>
        <w:t xml:space="preserve">cohesion </w:t>
      </w:r>
      <w:r w:rsidR="00EC1503" w:rsidRPr="00FC3C3B">
        <w:rPr>
          <w:noProof/>
        </w:rPr>
        <w:t>and promoting the Single Market, and i</w:t>
      </w:r>
      <w:r w:rsidR="00E546FD" w:rsidRPr="00FC3C3B">
        <w:rPr>
          <w:noProof/>
        </w:rPr>
        <w:t>n or</w:t>
      </w:r>
      <w:r w:rsidR="00F26406" w:rsidRPr="00FC3C3B">
        <w:rPr>
          <w:noProof/>
        </w:rPr>
        <w:t>der to support the green transition</w:t>
      </w:r>
      <w:r w:rsidR="00AF6163" w:rsidRPr="006E37DD">
        <w:rPr>
          <w:noProof/>
        </w:rPr>
        <w:t xml:space="preserve"> and</w:t>
      </w:r>
      <w:r w:rsidR="008A0186" w:rsidRPr="006E37DD">
        <w:rPr>
          <w:noProof/>
        </w:rPr>
        <w:t xml:space="preserve"> </w:t>
      </w:r>
      <w:r w:rsidR="00F26406" w:rsidRPr="00FC3C3B">
        <w:rPr>
          <w:noProof/>
        </w:rPr>
        <w:t xml:space="preserve">the </w:t>
      </w:r>
      <w:r w:rsidR="00EC1503" w:rsidRPr="006E37DD">
        <w:rPr>
          <w:noProof/>
        </w:rPr>
        <w:t xml:space="preserve">development </w:t>
      </w:r>
      <w:r w:rsidR="008A0186" w:rsidRPr="006E37DD">
        <w:rPr>
          <w:noProof/>
        </w:rPr>
        <w:t xml:space="preserve">of clean technologies </w:t>
      </w:r>
      <w:r w:rsidR="00817449" w:rsidRPr="00FC3C3B">
        <w:rPr>
          <w:noProof/>
        </w:rPr>
        <w:t>throughout the Union</w:t>
      </w:r>
      <w:r w:rsidR="00401CCC" w:rsidRPr="00FC3C3B">
        <w:rPr>
          <w:noProof/>
        </w:rPr>
        <w:t>, th</w:t>
      </w:r>
      <w:r w:rsidR="00EC1503" w:rsidRPr="006E37DD">
        <w:rPr>
          <w:noProof/>
        </w:rPr>
        <w:t>e</w:t>
      </w:r>
      <w:r w:rsidR="00401CCC" w:rsidRPr="00FC3C3B">
        <w:rPr>
          <w:noProof/>
        </w:rPr>
        <w:t xml:space="preserve"> additional </w:t>
      </w:r>
      <w:r w:rsidR="00EC1503" w:rsidRPr="006E37DD">
        <w:rPr>
          <w:noProof/>
        </w:rPr>
        <w:t>financial envelope</w:t>
      </w:r>
      <w:r w:rsidR="00401CCC" w:rsidRPr="00FC3C3B">
        <w:rPr>
          <w:noProof/>
        </w:rPr>
        <w:t xml:space="preserve"> </w:t>
      </w:r>
      <w:r w:rsidR="00817449" w:rsidRPr="00FC3C3B">
        <w:rPr>
          <w:noProof/>
        </w:rPr>
        <w:t>should</w:t>
      </w:r>
      <w:r w:rsidR="00401CCC" w:rsidRPr="00FC3C3B">
        <w:rPr>
          <w:noProof/>
        </w:rPr>
        <w:t xml:space="preserve"> be</w:t>
      </w:r>
      <w:r w:rsidR="00F10820" w:rsidRPr="00FC3C3B">
        <w:rPr>
          <w:noProof/>
        </w:rPr>
        <w:t xml:space="preserve"> </w:t>
      </w:r>
      <w:r w:rsidR="00EC1503" w:rsidRPr="006E37DD">
        <w:rPr>
          <w:noProof/>
        </w:rPr>
        <w:t>made available</w:t>
      </w:r>
      <w:r w:rsidR="00F10820" w:rsidRPr="00FC3C3B">
        <w:rPr>
          <w:noProof/>
        </w:rPr>
        <w:t xml:space="preserve"> through calls for proposals </w:t>
      </w:r>
      <w:r w:rsidR="009805B2" w:rsidRPr="006E37DD">
        <w:rPr>
          <w:noProof/>
        </w:rPr>
        <w:t xml:space="preserve">open to entities from </w:t>
      </w:r>
      <w:r w:rsidR="004A5D4A" w:rsidRPr="00FC3C3B">
        <w:rPr>
          <w:noProof/>
        </w:rPr>
        <w:t>Member States</w:t>
      </w:r>
      <w:r w:rsidR="000A28CA" w:rsidRPr="00FC3C3B">
        <w:rPr>
          <w:noProof/>
        </w:rPr>
        <w:t xml:space="preserve"> whose average GDP per capita is below the EU average of the EU-27 measured in purchasing power standards (PPS) and calculated on the basis of Union figures for the period 2015-2017</w:t>
      </w:r>
      <w:r w:rsidR="008D1791" w:rsidRPr="00FC3C3B">
        <w:rPr>
          <w:noProof/>
        </w:rPr>
        <w:t>.</w:t>
      </w:r>
    </w:p>
    <w:p w14:paraId="2D067BBB" w14:textId="77777777" w:rsidR="002C7991" w:rsidRPr="00FC3C3B" w:rsidRDefault="00323DD4" w:rsidP="00323DD4">
      <w:pPr>
        <w:pStyle w:val="ManualConsidrant"/>
        <w:rPr>
          <w:noProof/>
          <w:lang w:val="en-IE"/>
        </w:rPr>
      </w:pPr>
      <w:r w:rsidRPr="00FC3C3B">
        <w:rPr>
          <w:noProof/>
        </w:rPr>
        <w:t>(1</w:t>
      </w:r>
      <w:r w:rsidR="00A8538F" w:rsidRPr="00FC3C3B">
        <w:rPr>
          <w:noProof/>
        </w:rPr>
        <w:t>3</w:t>
      </w:r>
      <w:r w:rsidRPr="00FC3C3B">
        <w:rPr>
          <w:noProof/>
        </w:rPr>
        <w:t>)</w:t>
      </w:r>
      <w:r w:rsidRPr="00FC3C3B">
        <w:rPr>
          <w:noProof/>
        </w:rPr>
        <w:tab/>
      </w:r>
      <w:r w:rsidR="00550165" w:rsidRPr="00FC3C3B">
        <w:rPr>
          <w:noProof/>
        </w:rPr>
        <w:t xml:space="preserve">In order to extend support possibilities for investments aimed at strengthening industrial development and reinforcement of value chains in strategic sectors, the scope of support from the ERDF should be extended by providing for new specific objectives under the ERDF, without prejudice to the rules on eligibility of expenditure </w:t>
      </w:r>
      <w:r w:rsidR="00D478CB" w:rsidRPr="00FC3C3B">
        <w:rPr>
          <w:noProof/>
        </w:rPr>
        <w:t xml:space="preserve">and climate spending </w:t>
      </w:r>
      <w:r w:rsidR="00550165" w:rsidRPr="00FC3C3B">
        <w:rPr>
          <w:noProof/>
        </w:rPr>
        <w:t>as set out in Regulation (EU) 2021/1060</w:t>
      </w:r>
      <w:r w:rsidR="00550165" w:rsidRPr="00FC3C3B">
        <w:rPr>
          <w:rStyle w:val="FootnoteReference"/>
          <w:noProof/>
        </w:rPr>
        <w:footnoteReference w:id="56"/>
      </w:r>
      <w:r w:rsidR="00D83446" w:rsidRPr="00FC3C3B">
        <w:rPr>
          <w:noProof/>
        </w:rPr>
        <w:t xml:space="preserve"> and Regulation (EU) 2021/1058</w:t>
      </w:r>
      <w:r w:rsidR="00D83446" w:rsidRPr="00FC3C3B">
        <w:rPr>
          <w:rStyle w:val="FootnoteReference"/>
          <w:noProof/>
        </w:rPr>
        <w:footnoteReference w:id="57"/>
      </w:r>
      <w:r w:rsidR="00550165" w:rsidRPr="00FC3C3B">
        <w:rPr>
          <w:noProof/>
        </w:rPr>
        <w:t xml:space="preserve">. </w:t>
      </w:r>
      <w:r w:rsidR="007D70D1" w:rsidRPr="00FC3C3B">
        <w:rPr>
          <w:noProof/>
        </w:rPr>
        <w:t>In strategic sectors, i</w:t>
      </w:r>
      <w:r w:rsidR="004D4F70" w:rsidRPr="00FC3C3B">
        <w:rPr>
          <w:noProof/>
        </w:rPr>
        <w:t xml:space="preserve">t should also be possible </w:t>
      </w:r>
      <w:r w:rsidR="0052075F" w:rsidRPr="00FC3C3B">
        <w:rPr>
          <w:noProof/>
        </w:rPr>
        <w:t xml:space="preserve">to support productive investments in enterprises other than SMEs, which </w:t>
      </w:r>
      <w:r w:rsidR="00550165" w:rsidRPr="00FC3C3B">
        <w:rPr>
          <w:rFonts w:eastAsia="Times New Roman"/>
          <w:noProof/>
        </w:rPr>
        <w:t xml:space="preserve">can make a significant contribution to the development of </w:t>
      </w:r>
      <w:r w:rsidR="00581FE4" w:rsidRPr="00FC3C3B">
        <w:rPr>
          <w:rFonts w:eastAsia="Times New Roman"/>
          <w:noProof/>
        </w:rPr>
        <w:t xml:space="preserve">less developed and transition regions, as well as in more developed regions of Member States with a GDP per capita below the EU average. </w:t>
      </w:r>
      <w:r w:rsidR="00407C8A" w:rsidRPr="00FC3C3B">
        <w:rPr>
          <w:rFonts w:eastAsia="Times New Roman"/>
          <w:noProof/>
        </w:rPr>
        <w:t>Managing authorities are encouraged to promote the collaboration between large enterprises and local SMEs</w:t>
      </w:r>
      <w:r w:rsidR="00465D8C" w:rsidRPr="00FC3C3B">
        <w:rPr>
          <w:rFonts w:eastAsia="Times New Roman"/>
          <w:noProof/>
        </w:rPr>
        <w:t>, supply chains, innovation and technology ecosystems</w:t>
      </w:r>
      <w:r w:rsidR="00407C8A" w:rsidRPr="00FC3C3B">
        <w:rPr>
          <w:rFonts w:eastAsia="Times New Roman"/>
          <w:noProof/>
        </w:rPr>
        <w:t xml:space="preserve">. </w:t>
      </w:r>
      <w:r w:rsidR="00581FE4" w:rsidRPr="00FC3C3B">
        <w:rPr>
          <w:rFonts w:eastAsia="Times New Roman"/>
          <w:noProof/>
        </w:rPr>
        <w:t xml:space="preserve">This would allow </w:t>
      </w:r>
      <w:r w:rsidR="00550165" w:rsidRPr="00FC3C3B">
        <w:rPr>
          <w:rFonts w:eastAsia="Times New Roman"/>
          <w:noProof/>
        </w:rPr>
        <w:t>reinforcing Europe’s overall capacity to strengthen its position in those sectors</w:t>
      </w:r>
      <w:r w:rsidR="00043A6C" w:rsidRPr="00FC3C3B">
        <w:rPr>
          <w:rFonts w:eastAsia="Times New Roman"/>
          <w:noProof/>
        </w:rPr>
        <w:t xml:space="preserve"> through providing access to all Member States for such investments, </w:t>
      </w:r>
      <w:r w:rsidR="00BE26EC" w:rsidRPr="00FC3C3B">
        <w:rPr>
          <w:rFonts w:eastAsia="Times New Roman"/>
          <w:noProof/>
        </w:rPr>
        <w:t xml:space="preserve">thus counteracting the risk of increasing disparities. </w:t>
      </w:r>
    </w:p>
    <w:p w14:paraId="6CC574FF" w14:textId="77777777" w:rsidR="002C7991" w:rsidRPr="00FC3C3B" w:rsidRDefault="00323DD4" w:rsidP="00323DD4">
      <w:pPr>
        <w:pStyle w:val="ManualConsidrant"/>
        <w:rPr>
          <w:noProof/>
        </w:rPr>
      </w:pPr>
      <w:r w:rsidRPr="00FC3C3B">
        <w:rPr>
          <w:noProof/>
        </w:rPr>
        <w:t>(1</w:t>
      </w:r>
      <w:r w:rsidR="00A8538F" w:rsidRPr="00FC3C3B">
        <w:rPr>
          <w:noProof/>
        </w:rPr>
        <w:t>4</w:t>
      </w:r>
      <w:r w:rsidRPr="00FC3C3B">
        <w:rPr>
          <w:noProof/>
        </w:rPr>
        <w:t>)</w:t>
      </w:r>
      <w:r w:rsidRPr="00FC3C3B">
        <w:rPr>
          <w:noProof/>
        </w:rPr>
        <w:tab/>
      </w:r>
      <w:r w:rsidR="00550165" w:rsidRPr="00FC3C3B">
        <w:rPr>
          <w:noProof/>
        </w:rPr>
        <w:t>The scope of support of the JTF</w:t>
      </w:r>
      <w:r w:rsidR="00B63912" w:rsidRPr="00FC3C3B">
        <w:rPr>
          <w:noProof/>
        </w:rPr>
        <w:t>, laid down in Regulation (EU) 2021/1056,</w:t>
      </w:r>
      <w:r w:rsidR="00B63912" w:rsidRPr="00FC3C3B">
        <w:rPr>
          <w:rStyle w:val="FootnoteReference"/>
          <w:noProof/>
        </w:rPr>
        <w:footnoteReference w:id="58"/>
      </w:r>
      <w:r w:rsidR="00B63912" w:rsidRPr="00FC3C3B">
        <w:rPr>
          <w:noProof/>
        </w:rPr>
        <w:t xml:space="preserve"> </w:t>
      </w:r>
      <w:r w:rsidR="00550165" w:rsidRPr="00FC3C3B">
        <w:rPr>
          <w:noProof/>
        </w:rPr>
        <w:t xml:space="preserve">should also be extended to cover investments </w:t>
      </w:r>
      <w:r w:rsidR="00D26787" w:rsidRPr="00FC3C3B">
        <w:rPr>
          <w:noProof/>
        </w:rPr>
        <w:t xml:space="preserve">in clean technologies </w:t>
      </w:r>
      <w:r w:rsidR="001853C2" w:rsidRPr="00FC3C3B">
        <w:rPr>
          <w:noProof/>
        </w:rPr>
        <w:t>contributing t</w:t>
      </w:r>
      <w:r w:rsidR="003E0F92" w:rsidRPr="00FC3C3B">
        <w:rPr>
          <w:noProof/>
        </w:rPr>
        <w:t>o</w:t>
      </w:r>
      <w:r w:rsidR="001853C2" w:rsidRPr="00FC3C3B">
        <w:rPr>
          <w:noProof/>
        </w:rPr>
        <w:t xml:space="preserve"> the objectives of the </w:t>
      </w:r>
      <w:r w:rsidR="00A61A64" w:rsidRPr="00FC3C3B">
        <w:rPr>
          <w:noProof/>
        </w:rPr>
        <w:t xml:space="preserve">STEP </w:t>
      </w:r>
      <w:r w:rsidR="00550165" w:rsidRPr="00FC3C3B">
        <w:rPr>
          <w:noProof/>
        </w:rPr>
        <w:t xml:space="preserve">by large enterprises, provided that they are compatible with the expected contribution to the transition </w:t>
      </w:r>
      <w:r w:rsidR="00AC6A8B" w:rsidRPr="00FC3C3B">
        <w:rPr>
          <w:noProof/>
        </w:rPr>
        <w:t xml:space="preserve">to climate neutrality </w:t>
      </w:r>
      <w:r w:rsidR="00550165" w:rsidRPr="00FC3C3B">
        <w:rPr>
          <w:noProof/>
        </w:rPr>
        <w:t>as set out in the territorial just transition plans. The support provided for such investments should not require a revision of the territorial just transition plan where that revision would be exclusively linked to the gap analysis justifying the investment from the perspective of job creation.</w:t>
      </w:r>
    </w:p>
    <w:p w14:paraId="6E264016" w14:textId="77777777" w:rsidR="002C7991" w:rsidRPr="00FC3C3B" w:rsidRDefault="00323DD4" w:rsidP="00323DD4">
      <w:pPr>
        <w:pStyle w:val="ManualConsidrant"/>
        <w:rPr>
          <w:noProof/>
        </w:rPr>
      </w:pPr>
      <w:r w:rsidRPr="00FC3C3B">
        <w:rPr>
          <w:noProof/>
        </w:rPr>
        <w:t>(1</w:t>
      </w:r>
      <w:r w:rsidR="00A8538F" w:rsidRPr="00FC3C3B">
        <w:rPr>
          <w:noProof/>
        </w:rPr>
        <w:t>5</w:t>
      </w:r>
      <w:r w:rsidRPr="00FC3C3B">
        <w:rPr>
          <w:noProof/>
        </w:rPr>
        <w:t>)</w:t>
      </w:r>
      <w:r w:rsidRPr="00FC3C3B">
        <w:rPr>
          <w:noProof/>
        </w:rPr>
        <w:tab/>
      </w:r>
      <w:r w:rsidR="00550165" w:rsidRPr="00FC3C3B">
        <w:rPr>
          <w:noProof/>
        </w:rPr>
        <w:t>The ESF+,</w:t>
      </w:r>
      <w:r w:rsidR="005203C7" w:rsidRPr="00FC3C3B">
        <w:rPr>
          <w:rStyle w:val="FootnoteReference"/>
          <w:noProof/>
        </w:rPr>
        <w:footnoteReference w:id="59"/>
      </w:r>
      <w:r w:rsidR="00550165" w:rsidRPr="00FC3C3B">
        <w:rPr>
          <w:noProof/>
        </w:rPr>
        <w:t xml:space="preserve"> being the main EU Fund for investment in people, provides a key contribution to promote the development of skills. In order to facilitate the use of th</w:t>
      </w:r>
      <w:r w:rsidR="003576CF" w:rsidRPr="00FC3C3B">
        <w:rPr>
          <w:noProof/>
        </w:rPr>
        <w:t>at</w:t>
      </w:r>
      <w:r w:rsidR="00550165" w:rsidRPr="00FC3C3B">
        <w:rPr>
          <w:noProof/>
        </w:rPr>
        <w:t xml:space="preserve"> Fund for </w:t>
      </w:r>
      <w:r w:rsidR="00FC1748" w:rsidRPr="00FC3C3B">
        <w:rPr>
          <w:noProof/>
        </w:rPr>
        <w:t>the</w:t>
      </w:r>
      <w:r w:rsidR="00550165" w:rsidRPr="00FC3C3B">
        <w:rPr>
          <w:noProof/>
        </w:rPr>
        <w:t xml:space="preserve"> </w:t>
      </w:r>
      <w:r w:rsidR="00A61A64" w:rsidRPr="00FC3C3B">
        <w:rPr>
          <w:noProof/>
        </w:rPr>
        <w:t xml:space="preserve">STEP </w:t>
      </w:r>
      <w:r w:rsidR="00A535BD" w:rsidRPr="00FC3C3B">
        <w:rPr>
          <w:noProof/>
        </w:rPr>
        <w:t>objectives</w:t>
      </w:r>
      <w:r w:rsidR="00550165" w:rsidRPr="00FC3C3B">
        <w:rPr>
          <w:noProof/>
        </w:rPr>
        <w:t xml:space="preserve">, </w:t>
      </w:r>
      <w:r w:rsidR="008005FA" w:rsidRPr="00FC3C3B">
        <w:rPr>
          <w:noProof/>
        </w:rPr>
        <w:t>it should be possible to use the</w:t>
      </w:r>
      <w:r w:rsidR="00550165" w:rsidRPr="00FC3C3B">
        <w:rPr>
          <w:noProof/>
        </w:rPr>
        <w:t xml:space="preserve"> ESF+ to cover investments aimed at achieving a skilled and resilient workforce ready for the future world of work. </w:t>
      </w:r>
    </w:p>
    <w:p w14:paraId="4C758A19" w14:textId="77777777" w:rsidR="002C7991" w:rsidRPr="00FC3C3B" w:rsidRDefault="00323DD4" w:rsidP="00323DD4">
      <w:pPr>
        <w:pStyle w:val="ManualConsidrant"/>
        <w:rPr>
          <w:noProof/>
          <w:lang w:val="en-IE"/>
        </w:rPr>
      </w:pPr>
      <w:r w:rsidRPr="00FC3C3B">
        <w:rPr>
          <w:noProof/>
        </w:rPr>
        <w:t>(1</w:t>
      </w:r>
      <w:r w:rsidR="00A8538F" w:rsidRPr="00FC3C3B">
        <w:rPr>
          <w:noProof/>
        </w:rPr>
        <w:t>6</w:t>
      </w:r>
      <w:r w:rsidRPr="00FC3C3B">
        <w:rPr>
          <w:noProof/>
        </w:rPr>
        <w:t>)</w:t>
      </w:r>
      <w:r w:rsidRPr="00FC3C3B">
        <w:rPr>
          <w:noProof/>
        </w:rPr>
        <w:tab/>
      </w:r>
      <w:r w:rsidR="00550165" w:rsidRPr="00FC3C3B">
        <w:rPr>
          <w:noProof/>
          <w:lang w:val="en-IE"/>
        </w:rPr>
        <w:t xml:space="preserve">In order to help accelerate investments and provide immediate liquidity for investments </w:t>
      </w:r>
      <w:r w:rsidR="00A535BD" w:rsidRPr="00FC3C3B">
        <w:rPr>
          <w:noProof/>
        </w:rPr>
        <w:t>supporting</w:t>
      </w:r>
      <w:r w:rsidR="00FC1748" w:rsidRPr="00FC3C3B">
        <w:rPr>
          <w:noProof/>
        </w:rPr>
        <w:t xml:space="preserve"> the</w:t>
      </w:r>
      <w:r w:rsidR="00A535BD" w:rsidRPr="00FC3C3B">
        <w:rPr>
          <w:noProof/>
        </w:rPr>
        <w:t xml:space="preserve"> </w:t>
      </w:r>
      <w:r w:rsidR="00A61A64" w:rsidRPr="00FC3C3B">
        <w:rPr>
          <w:noProof/>
        </w:rPr>
        <w:t>S</w:t>
      </w:r>
      <w:r w:rsidR="00234A1E" w:rsidRPr="00FC3C3B">
        <w:rPr>
          <w:noProof/>
        </w:rPr>
        <w:t xml:space="preserve">TEP </w:t>
      </w:r>
      <w:r w:rsidR="00A535BD" w:rsidRPr="00FC3C3B">
        <w:rPr>
          <w:noProof/>
        </w:rPr>
        <w:t>objectives</w:t>
      </w:r>
      <w:r w:rsidR="00BB3749" w:rsidRPr="00FC3C3B">
        <w:rPr>
          <w:noProof/>
        </w:rPr>
        <w:t xml:space="preserve"> under the ERDF</w:t>
      </w:r>
      <w:r w:rsidR="001702D5" w:rsidRPr="00FC3C3B">
        <w:rPr>
          <w:noProof/>
        </w:rPr>
        <w:t xml:space="preserve">, </w:t>
      </w:r>
      <w:r w:rsidR="00E22AA3" w:rsidRPr="00FC3C3B">
        <w:rPr>
          <w:noProof/>
        </w:rPr>
        <w:t>the ESF+</w:t>
      </w:r>
      <w:r w:rsidR="00E22AA3" w:rsidRPr="00FC3C3B">
        <w:rPr>
          <w:rStyle w:val="FootnoteReference"/>
          <w:noProof/>
        </w:rPr>
        <w:footnoteReference w:id="60"/>
      </w:r>
      <w:r w:rsidR="00E22AA3" w:rsidRPr="00FC3C3B">
        <w:rPr>
          <w:noProof/>
        </w:rPr>
        <w:t xml:space="preserve"> and the JTF</w:t>
      </w:r>
      <w:r w:rsidR="00550165" w:rsidRPr="00FC3C3B">
        <w:rPr>
          <w:noProof/>
        </w:rPr>
        <w:t>, an additional amount of exceptional pre-financing should be provided in the form of a one</w:t>
      </w:r>
      <w:r w:rsidR="00A25F90" w:rsidRPr="00FC3C3B">
        <w:rPr>
          <w:noProof/>
        </w:rPr>
        <w:t>-</w:t>
      </w:r>
      <w:r w:rsidR="00550165" w:rsidRPr="00FC3C3B">
        <w:rPr>
          <w:noProof/>
        </w:rPr>
        <w:t xml:space="preserve">off payment </w:t>
      </w:r>
      <w:r w:rsidR="00F55FB4" w:rsidRPr="00FC3C3B">
        <w:rPr>
          <w:noProof/>
        </w:rPr>
        <w:t xml:space="preserve">with respect to the priorities dedicated to investments supporting </w:t>
      </w:r>
      <w:r w:rsidR="00C72FF1" w:rsidRPr="00FC3C3B">
        <w:rPr>
          <w:noProof/>
        </w:rPr>
        <w:t xml:space="preserve">the </w:t>
      </w:r>
      <w:r w:rsidR="00234A1E" w:rsidRPr="00FC3C3B">
        <w:rPr>
          <w:noProof/>
        </w:rPr>
        <w:t xml:space="preserve">STEP </w:t>
      </w:r>
      <w:r w:rsidR="00F55FB4" w:rsidRPr="00FC3C3B">
        <w:rPr>
          <w:noProof/>
        </w:rPr>
        <w:t>objectives</w:t>
      </w:r>
      <w:r w:rsidR="00550165" w:rsidRPr="00FC3C3B">
        <w:rPr>
          <w:noProof/>
        </w:rPr>
        <w:t xml:space="preserve">. </w:t>
      </w:r>
      <w:r w:rsidR="00A77600" w:rsidRPr="00FC3C3B">
        <w:rPr>
          <w:noProof/>
        </w:rPr>
        <w:t xml:space="preserve">The additional pre-financing should apply to the whole of the JTF allocation given the </w:t>
      </w:r>
      <w:r w:rsidR="00ED51A2" w:rsidRPr="00FC3C3B">
        <w:rPr>
          <w:noProof/>
        </w:rPr>
        <w:t xml:space="preserve">need to accelerate its implementation and the </w:t>
      </w:r>
      <w:r w:rsidR="00A77600" w:rsidRPr="00FC3C3B">
        <w:rPr>
          <w:noProof/>
        </w:rPr>
        <w:t xml:space="preserve">strong links of the JTF to support Member States </w:t>
      </w:r>
      <w:r w:rsidR="00ED51A2" w:rsidRPr="00FC3C3B">
        <w:rPr>
          <w:noProof/>
        </w:rPr>
        <w:t xml:space="preserve">towards </w:t>
      </w:r>
      <w:r w:rsidR="0096784D" w:rsidRPr="00FC3C3B">
        <w:rPr>
          <w:noProof/>
        </w:rPr>
        <w:t>the</w:t>
      </w:r>
      <w:r w:rsidR="00ED51A2" w:rsidRPr="00FC3C3B">
        <w:rPr>
          <w:noProof/>
        </w:rPr>
        <w:t xml:space="preserve"> </w:t>
      </w:r>
      <w:r w:rsidR="00234A1E" w:rsidRPr="00FC3C3B">
        <w:rPr>
          <w:noProof/>
        </w:rPr>
        <w:t xml:space="preserve">STEP </w:t>
      </w:r>
      <w:r w:rsidR="00ED51A2" w:rsidRPr="00FC3C3B">
        <w:rPr>
          <w:noProof/>
        </w:rPr>
        <w:t xml:space="preserve">objectives. </w:t>
      </w:r>
      <w:r w:rsidR="00550165" w:rsidRPr="00FC3C3B">
        <w:rPr>
          <w:noProof/>
        </w:rPr>
        <w:t xml:space="preserve">The rules applying for those amounts of exceptional pre-financing should be consistent with the rules applicable to pre-financing set out in Regulation (EU) 2021/1060. Moreover, to further incentivise the uptake of such investments and ensure its faster implementation, the possibility for an increased </w:t>
      </w:r>
      <w:r w:rsidR="002D2944" w:rsidRPr="00FC3C3B">
        <w:rPr>
          <w:noProof/>
        </w:rPr>
        <w:t xml:space="preserve">EU </w:t>
      </w:r>
      <w:r w:rsidR="00550165" w:rsidRPr="00FC3C3B">
        <w:rPr>
          <w:noProof/>
        </w:rPr>
        <w:t xml:space="preserve">financing rate of 100% for </w:t>
      </w:r>
      <w:r w:rsidR="00815FFF" w:rsidRPr="00FC3C3B">
        <w:rPr>
          <w:noProof/>
        </w:rPr>
        <w:t>the</w:t>
      </w:r>
      <w:r w:rsidR="00550165" w:rsidRPr="00FC3C3B">
        <w:rPr>
          <w:noProof/>
        </w:rPr>
        <w:t xml:space="preserve"> </w:t>
      </w:r>
      <w:r w:rsidR="00234A1E" w:rsidRPr="00FC3C3B">
        <w:rPr>
          <w:noProof/>
        </w:rPr>
        <w:t xml:space="preserve">STEP </w:t>
      </w:r>
      <w:r w:rsidR="00550165" w:rsidRPr="00FC3C3B">
        <w:rPr>
          <w:noProof/>
          <w:lang w:val="en-IE"/>
        </w:rPr>
        <w:t xml:space="preserve">priorities should be available. </w:t>
      </w:r>
      <w:r w:rsidR="00B86E99" w:rsidRPr="00FC3C3B">
        <w:rPr>
          <w:noProof/>
          <w:lang w:val="en-IE"/>
        </w:rPr>
        <w:t xml:space="preserve">When </w:t>
      </w:r>
      <w:r w:rsidR="00D31445" w:rsidRPr="00FC3C3B">
        <w:rPr>
          <w:noProof/>
          <w:lang w:val="en-IE"/>
        </w:rPr>
        <w:t xml:space="preserve">implementing the new STEP </w:t>
      </w:r>
      <w:r w:rsidR="00DF0CB7" w:rsidRPr="00FC3C3B">
        <w:rPr>
          <w:noProof/>
          <w:lang w:val="en-IE"/>
        </w:rPr>
        <w:t xml:space="preserve">objectives, managing authorities are encouraged </w:t>
      </w:r>
      <w:r w:rsidR="00AE2A37" w:rsidRPr="00FC3C3B">
        <w:rPr>
          <w:noProof/>
          <w:lang w:val="en-IE"/>
        </w:rPr>
        <w:t xml:space="preserve">to </w:t>
      </w:r>
      <w:r w:rsidR="005A0416" w:rsidRPr="00FC3C3B">
        <w:rPr>
          <w:noProof/>
          <w:lang w:val="en-IE"/>
        </w:rPr>
        <w:t>apply ce</w:t>
      </w:r>
      <w:r w:rsidR="00613012" w:rsidRPr="00FC3C3B">
        <w:rPr>
          <w:noProof/>
          <w:lang w:val="en-IE"/>
        </w:rPr>
        <w:t xml:space="preserve">rtain social criteria or </w:t>
      </w:r>
      <w:r w:rsidR="00F24BC8" w:rsidRPr="00FC3C3B">
        <w:rPr>
          <w:noProof/>
          <w:lang w:val="en-IE"/>
        </w:rPr>
        <w:t>promote</w:t>
      </w:r>
      <w:r w:rsidR="008334E5" w:rsidRPr="00FC3C3B">
        <w:rPr>
          <w:noProof/>
          <w:lang w:val="en-IE"/>
        </w:rPr>
        <w:t xml:space="preserve"> social positive outcomes</w:t>
      </w:r>
      <w:r w:rsidR="00121358" w:rsidRPr="00FC3C3B">
        <w:rPr>
          <w:noProof/>
          <w:lang w:val="en-IE"/>
        </w:rPr>
        <w:t>, suc</w:t>
      </w:r>
      <w:r w:rsidR="00F044A2" w:rsidRPr="00FC3C3B">
        <w:rPr>
          <w:noProof/>
          <w:lang w:val="en-IE"/>
        </w:rPr>
        <w:t xml:space="preserve">h as creating </w:t>
      </w:r>
      <w:r w:rsidR="0019243C" w:rsidRPr="00FC3C3B">
        <w:rPr>
          <w:noProof/>
        </w:rPr>
        <w:t>apprenticeships and jobs for young disadvantaged persons, in particular young persons not in employment, education or training, applying the social award criteria in the Directives on public procurement when a project</w:t>
      </w:r>
      <w:r w:rsidR="001A0EC1" w:rsidRPr="00FC3C3B">
        <w:rPr>
          <w:noProof/>
        </w:rPr>
        <w:t xml:space="preserve"> is</w:t>
      </w:r>
      <w:r w:rsidR="0019243C" w:rsidRPr="00FC3C3B">
        <w:rPr>
          <w:noProof/>
        </w:rPr>
        <w:t xml:space="preserve"> implemented by a body subject to public procurement, and paying the applicable wages as agreed through collective bargaining</w:t>
      </w:r>
      <w:r w:rsidR="001A0EC1" w:rsidRPr="00FC3C3B">
        <w:rPr>
          <w:noProof/>
        </w:rPr>
        <w:t>.</w:t>
      </w:r>
    </w:p>
    <w:p w14:paraId="543FAF88" w14:textId="77777777" w:rsidR="008B2EF9" w:rsidRPr="00FC3C3B" w:rsidRDefault="00323DD4" w:rsidP="00323DD4">
      <w:pPr>
        <w:pStyle w:val="ManualConsidrant"/>
        <w:rPr>
          <w:noProof/>
          <w:lang w:val="en-IE"/>
        </w:rPr>
      </w:pPr>
      <w:r w:rsidRPr="00FC3C3B">
        <w:rPr>
          <w:noProof/>
        </w:rPr>
        <w:t>(1</w:t>
      </w:r>
      <w:r w:rsidR="00A8538F" w:rsidRPr="00FC3C3B">
        <w:rPr>
          <w:noProof/>
        </w:rPr>
        <w:t>7</w:t>
      </w:r>
      <w:r w:rsidRPr="00FC3C3B">
        <w:rPr>
          <w:noProof/>
        </w:rPr>
        <w:t>)</w:t>
      </w:r>
      <w:r w:rsidRPr="00FC3C3B">
        <w:rPr>
          <w:noProof/>
        </w:rPr>
        <w:tab/>
      </w:r>
      <w:r w:rsidR="00551487" w:rsidRPr="00FC3C3B">
        <w:rPr>
          <w:noProof/>
          <w:lang w:val="en-IE"/>
        </w:rPr>
        <w:t>The Common Provisions Regulation</w:t>
      </w:r>
      <w:r w:rsidR="00551487" w:rsidRPr="00FC3C3B">
        <w:rPr>
          <w:rStyle w:val="FootnoteReference"/>
          <w:noProof/>
          <w:lang w:val="en-IE"/>
        </w:rPr>
        <w:footnoteReference w:id="61"/>
      </w:r>
      <w:r w:rsidR="00551487" w:rsidRPr="00FC3C3B">
        <w:rPr>
          <w:noProof/>
          <w:lang w:val="en-IE"/>
        </w:rPr>
        <w:t xml:space="preserve"> </w:t>
      </w:r>
      <w:r w:rsidR="003C5674" w:rsidRPr="00FC3C3B">
        <w:rPr>
          <w:noProof/>
          <w:lang w:val="en-IE"/>
        </w:rPr>
        <w:t xml:space="preserve">should be amended to </w:t>
      </w:r>
      <w:r w:rsidR="004C3295" w:rsidRPr="00FC3C3B">
        <w:rPr>
          <w:noProof/>
          <w:lang w:val="en-IE"/>
        </w:rPr>
        <w:t xml:space="preserve">allow that projects having been awarded a Sovereignty Seal </w:t>
      </w:r>
      <w:r w:rsidR="00BE4651" w:rsidRPr="00FC3C3B">
        <w:rPr>
          <w:noProof/>
          <w:lang w:val="en-IE"/>
        </w:rPr>
        <w:t xml:space="preserve">could benefit from </w:t>
      </w:r>
      <w:r w:rsidR="009A1047" w:rsidRPr="00FC3C3B">
        <w:rPr>
          <w:noProof/>
          <w:lang w:val="en-IE"/>
        </w:rPr>
        <w:t xml:space="preserve">better access to EU funding, notably by facilitating cumulative or combined funding from several Union instruments. </w:t>
      </w:r>
      <w:r w:rsidR="00BE4651" w:rsidRPr="00FC3C3B">
        <w:rPr>
          <w:noProof/>
          <w:lang w:val="en-IE"/>
        </w:rPr>
        <w:t xml:space="preserve">To that end, </w:t>
      </w:r>
      <w:r w:rsidR="00194C7A" w:rsidRPr="00FC3C3B">
        <w:rPr>
          <w:noProof/>
          <w:lang w:val="en-IE"/>
        </w:rPr>
        <w:t>it should be possible for managing authorities to grant support from the ERDF or the ESF+ directly, for operations attributed a Sovereignty Seal.</w:t>
      </w:r>
      <w:r w:rsidR="009A1047" w:rsidRPr="00FC3C3B">
        <w:rPr>
          <w:noProof/>
          <w:lang w:val="en-IE"/>
        </w:rPr>
        <w:t xml:space="preserve"> </w:t>
      </w:r>
    </w:p>
    <w:p w14:paraId="2A3DD511" w14:textId="77777777" w:rsidR="00A13512" w:rsidRPr="00FC3C3B" w:rsidRDefault="00323DD4" w:rsidP="00323DD4">
      <w:pPr>
        <w:pStyle w:val="ManualConsidrant"/>
        <w:rPr>
          <w:noProof/>
          <w:lang w:val="en-IE"/>
        </w:rPr>
      </w:pPr>
      <w:r w:rsidRPr="00FC3C3B">
        <w:rPr>
          <w:noProof/>
        </w:rPr>
        <w:t>(1</w:t>
      </w:r>
      <w:r w:rsidR="00A8538F" w:rsidRPr="00FC3C3B">
        <w:rPr>
          <w:noProof/>
        </w:rPr>
        <w:t>8</w:t>
      </w:r>
      <w:r w:rsidRPr="00FC3C3B">
        <w:rPr>
          <w:noProof/>
        </w:rPr>
        <w:t>)</w:t>
      </w:r>
      <w:r w:rsidRPr="00FC3C3B">
        <w:rPr>
          <w:noProof/>
        </w:rPr>
        <w:tab/>
      </w:r>
      <w:r w:rsidR="00A13512" w:rsidRPr="00FC3C3B">
        <w:rPr>
          <w:noProof/>
          <w:lang w:val="en-IE"/>
        </w:rPr>
        <w:t xml:space="preserve">The regulatory framework for the implementation of the 2014-2020 programmes has been adapted over the past years to provide Member States and regions with additional with additional flexibility in terms of implementation rules and more liquidity to tackle the effects of the COVID-19 pandemic and the war or aggression against Ukraine. These measures, introduced at the end of the programming period, require sufficient time and administrative resources to be fully exploited and implemented; also at a time where Member States will focus resources on revising the 2021-2027 operational programmes linked to the </w:t>
      </w:r>
      <w:r w:rsidR="00F53704" w:rsidRPr="00FC3C3B">
        <w:rPr>
          <w:rFonts w:eastAsia="Times New Roman"/>
          <w:noProof/>
        </w:rPr>
        <w:t>STEP</w:t>
      </w:r>
      <w:r w:rsidR="00A13512" w:rsidRPr="00FC3C3B">
        <w:rPr>
          <w:rFonts w:eastAsia="Times New Roman"/>
          <w:noProof/>
        </w:rPr>
        <w:t xml:space="preserve"> </w:t>
      </w:r>
      <w:r w:rsidR="00A13512" w:rsidRPr="00FC3C3B">
        <w:rPr>
          <w:noProof/>
          <w:lang w:val="en-IE"/>
        </w:rPr>
        <w:t>objectives. With a view to alleviate the administrative burden on programme authorities and to prevent possible loss of funds at closure for purely administrative reasons, the deadlines for the</w:t>
      </w:r>
      <w:r w:rsidR="002D2944" w:rsidRPr="00FC3C3B">
        <w:rPr>
          <w:noProof/>
          <w:lang w:val="en-IE"/>
        </w:rPr>
        <w:t xml:space="preserve"> administrative</w:t>
      </w:r>
      <w:r w:rsidR="00A13512" w:rsidRPr="00FC3C3B">
        <w:rPr>
          <w:noProof/>
          <w:lang w:val="en-IE"/>
        </w:rPr>
        <w:t xml:space="preserve"> closure of the programmes under the 2014-2020 period should be extended in Regulation (EU) No 1303/2013</w:t>
      </w:r>
      <w:r w:rsidR="00A13512" w:rsidRPr="00FC3C3B">
        <w:rPr>
          <w:rStyle w:val="FootnoteReference"/>
          <w:noProof/>
          <w:lang w:val="en-IE"/>
        </w:rPr>
        <w:footnoteReference w:id="62"/>
      </w:r>
      <w:r w:rsidR="00A13512" w:rsidRPr="00FC3C3B">
        <w:rPr>
          <w:noProof/>
          <w:lang w:val="en-IE"/>
        </w:rPr>
        <w:t xml:space="preserve"> and Regulation (EU) No 223/2014</w:t>
      </w:r>
      <w:r w:rsidR="00A13512" w:rsidRPr="00FC3C3B">
        <w:rPr>
          <w:rStyle w:val="FootnoteReference"/>
          <w:noProof/>
          <w:lang w:val="en-IE"/>
        </w:rPr>
        <w:footnoteReference w:id="63"/>
      </w:r>
      <w:r w:rsidR="00A13512" w:rsidRPr="00FC3C3B">
        <w:rPr>
          <w:noProof/>
          <w:lang w:val="en-IE"/>
        </w:rPr>
        <w:t xml:space="preserve">. More specifically, the deadline for the submission of that final payment application should be extended by 12 months. Furthermore, the deadline for the submission of the closure documents should also be extended by 12 months. </w:t>
      </w:r>
      <w:r w:rsidR="00F24BC8" w:rsidRPr="00FC3C3B">
        <w:rPr>
          <w:noProof/>
          <w:lang w:val="en-IE"/>
        </w:rPr>
        <w:t>In the context</w:t>
      </w:r>
      <w:r w:rsidR="00721CE2" w:rsidRPr="00FC3C3B">
        <w:rPr>
          <w:noProof/>
          <w:lang w:val="en-IE"/>
        </w:rPr>
        <w:t xml:space="preserve"> of this amendment, </w:t>
      </w:r>
      <w:r w:rsidR="00F24BC8" w:rsidRPr="00FC3C3B">
        <w:rPr>
          <w:noProof/>
          <w:lang w:val="en-IE"/>
        </w:rPr>
        <w:t xml:space="preserve">it is appropriate to clarify that </w:t>
      </w:r>
      <w:r w:rsidR="004A7864" w:rsidRPr="00FC3C3B">
        <w:rPr>
          <w:noProof/>
          <w:lang w:val="en-IE"/>
        </w:rPr>
        <w:t>d</w:t>
      </w:r>
      <w:r w:rsidR="001C28D3" w:rsidRPr="00FC3C3B">
        <w:rPr>
          <w:noProof/>
          <w:lang w:val="en-IE"/>
        </w:rPr>
        <w:t xml:space="preserve">istribution of food and material bought until the end of the eligibility period (end-2023) </w:t>
      </w:r>
      <w:r w:rsidR="00721CE2" w:rsidRPr="00FC3C3B">
        <w:rPr>
          <w:noProof/>
          <w:lang w:val="en-IE"/>
        </w:rPr>
        <w:t>may</w:t>
      </w:r>
      <w:r w:rsidR="001C28D3" w:rsidRPr="00FC3C3B">
        <w:rPr>
          <w:noProof/>
          <w:lang w:val="en-IE"/>
        </w:rPr>
        <w:t xml:space="preserve"> continue </w:t>
      </w:r>
      <w:r w:rsidR="00F24BC8" w:rsidRPr="00FC3C3B">
        <w:rPr>
          <w:noProof/>
          <w:lang w:val="en-IE"/>
        </w:rPr>
        <w:t>after that date</w:t>
      </w:r>
      <w:r w:rsidR="001C28D3" w:rsidRPr="00FC3C3B">
        <w:rPr>
          <w:noProof/>
          <w:lang w:val="en-IE"/>
        </w:rPr>
        <w:t xml:space="preserve">. </w:t>
      </w:r>
      <w:r w:rsidR="00A13512" w:rsidRPr="00FC3C3B">
        <w:rPr>
          <w:noProof/>
          <w:lang w:val="en-IE"/>
        </w:rPr>
        <w:t>In order to ensure a sound implementation of the EU budget and respect for the payment ceilings, payments to be made in 2025 should be capped at 1 % of the financial appropriations from resources under the Multiannual Financial Framework per programme. Amounts due exceeding the ceiling of 1% of programme appropriations per fund for 2025 would not be paid in 2025 nor in subsequent years but only used for the clearance of pre-financing. Unused amounts shall be decommitted in accordance with the general rules for decommitment at closure</w:t>
      </w:r>
      <w:r w:rsidR="00315A02" w:rsidRPr="00FC3C3B">
        <w:rPr>
          <w:noProof/>
          <w:lang w:val="en-IE"/>
        </w:rPr>
        <w:t>.</w:t>
      </w:r>
    </w:p>
    <w:p w14:paraId="2123ACCB" w14:textId="77777777" w:rsidR="002C7991" w:rsidRPr="00FC3C3B" w:rsidRDefault="00323DD4" w:rsidP="00323DD4">
      <w:pPr>
        <w:pStyle w:val="ManualConsidrant"/>
        <w:rPr>
          <w:noProof/>
          <w:lang w:val="en-IE"/>
        </w:rPr>
      </w:pPr>
      <w:r w:rsidRPr="00FC3C3B">
        <w:rPr>
          <w:noProof/>
        </w:rPr>
        <w:t>(1</w:t>
      </w:r>
      <w:r w:rsidR="00A8538F" w:rsidRPr="00FC3C3B">
        <w:rPr>
          <w:noProof/>
        </w:rPr>
        <w:t>9</w:t>
      </w:r>
      <w:r w:rsidRPr="00FC3C3B">
        <w:rPr>
          <w:noProof/>
        </w:rPr>
        <w:t>)</w:t>
      </w:r>
      <w:r w:rsidRPr="00FC3C3B">
        <w:rPr>
          <w:noProof/>
        </w:rPr>
        <w:tab/>
      </w:r>
      <w:r w:rsidR="00550165" w:rsidRPr="00FC3C3B">
        <w:rPr>
          <w:noProof/>
          <w:lang w:val="en-IE"/>
        </w:rPr>
        <w:t xml:space="preserve">InvestEU is the EU flagship programme to boost investment, especially the green and digital transition, by providing </w:t>
      </w:r>
      <w:r w:rsidR="00164EE0">
        <w:rPr>
          <w:noProof/>
          <w:lang w:val="en-IE"/>
        </w:rPr>
        <w:t>demand-driven</w:t>
      </w:r>
      <w:r w:rsidR="00550165" w:rsidRPr="00FC3C3B">
        <w:rPr>
          <w:noProof/>
          <w:lang w:val="en-IE"/>
        </w:rPr>
        <w:t xml:space="preserve"> financing, </w:t>
      </w:r>
      <w:r w:rsidR="00DC73D6" w:rsidRPr="00FC3C3B">
        <w:rPr>
          <w:noProof/>
          <w:lang w:val="en-IE"/>
        </w:rPr>
        <w:t>including</w:t>
      </w:r>
      <w:r w:rsidR="00550165" w:rsidRPr="00FC3C3B">
        <w:rPr>
          <w:noProof/>
          <w:lang w:val="en-IE"/>
        </w:rPr>
        <w:t xml:space="preserve"> through blending mechanisms</w:t>
      </w:r>
      <w:r w:rsidR="007476B7" w:rsidRPr="00FC3C3B">
        <w:rPr>
          <w:noProof/>
          <w:lang w:val="en-IE"/>
        </w:rPr>
        <w:t>, and technical assistance</w:t>
      </w:r>
      <w:r w:rsidR="00550165" w:rsidRPr="00FC3C3B">
        <w:rPr>
          <w:noProof/>
          <w:lang w:val="en-IE"/>
        </w:rPr>
        <w:t xml:space="preserve">. Such approach contributes to crowd in additional public and private capital. </w:t>
      </w:r>
      <w:r w:rsidR="004B593D" w:rsidRPr="00FC3C3B">
        <w:rPr>
          <w:noProof/>
          <w:lang w:val="en-IE"/>
        </w:rPr>
        <w:t>Given the high market demand of InvestEU guarantee</w:t>
      </w:r>
      <w:r w:rsidR="000B3BB2" w:rsidRPr="00FC3C3B">
        <w:rPr>
          <w:noProof/>
          <w:lang w:val="en-IE"/>
        </w:rPr>
        <w:t xml:space="preserve">, </w:t>
      </w:r>
      <w:r w:rsidR="00486DD2" w:rsidRPr="00FC3C3B">
        <w:rPr>
          <w:noProof/>
          <w:lang w:val="en-IE"/>
        </w:rPr>
        <w:t xml:space="preserve">the </w:t>
      </w:r>
      <w:r w:rsidR="00DC73D6" w:rsidRPr="00FC3C3B">
        <w:rPr>
          <w:noProof/>
          <w:lang w:val="en-IE"/>
        </w:rPr>
        <w:t xml:space="preserve">EU compartment of </w:t>
      </w:r>
      <w:r w:rsidR="00052FF9" w:rsidRPr="00FC3C3B">
        <w:rPr>
          <w:noProof/>
          <w:lang w:val="en-IE"/>
        </w:rPr>
        <w:t xml:space="preserve">InvestEU </w:t>
      </w:r>
      <w:r w:rsidR="00DC73D6" w:rsidRPr="00FC3C3B">
        <w:rPr>
          <w:noProof/>
          <w:lang w:val="en-IE"/>
        </w:rPr>
        <w:t xml:space="preserve">should be reinforced to correspond to the objectives of </w:t>
      </w:r>
      <w:r w:rsidR="001853C2" w:rsidRPr="00FC3C3B">
        <w:rPr>
          <w:noProof/>
          <w:lang w:val="en-IE"/>
        </w:rPr>
        <w:t xml:space="preserve">the </w:t>
      </w:r>
      <w:r w:rsidR="00234A1E" w:rsidRPr="00FC3C3B">
        <w:rPr>
          <w:noProof/>
          <w:lang w:val="en-IE"/>
        </w:rPr>
        <w:t>STEP</w:t>
      </w:r>
      <w:r w:rsidR="00DC73D6" w:rsidRPr="00FC3C3B">
        <w:rPr>
          <w:noProof/>
          <w:lang w:val="en-IE"/>
        </w:rPr>
        <w:t>.</w:t>
      </w:r>
      <w:r w:rsidR="00F24BC8" w:rsidRPr="00FC3C3B">
        <w:rPr>
          <w:noProof/>
          <w:lang w:val="en-IE"/>
        </w:rPr>
        <w:t xml:space="preserve"> This will, among other things, </w:t>
      </w:r>
      <w:r w:rsidR="00F24BC8" w:rsidRPr="006E37DD">
        <w:rPr>
          <w:noProof/>
          <w:lang w:val="en-IE"/>
        </w:rPr>
        <w:t>reinforce</w:t>
      </w:r>
      <w:r w:rsidR="00F24BC8" w:rsidRPr="00FC3C3B">
        <w:rPr>
          <w:noProof/>
          <w:lang w:val="en-IE"/>
        </w:rPr>
        <w:t xml:space="preserve"> InvestEU’s existing possibility to invest in projects forming part of an IPCEI</w:t>
      </w:r>
      <w:r w:rsidR="00946803" w:rsidRPr="006E37DD">
        <w:rPr>
          <w:noProof/>
          <w:lang w:val="en-IE"/>
        </w:rPr>
        <w:t xml:space="preserve">, within the identified </w:t>
      </w:r>
      <w:r w:rsidR="00D61008" w:rsidRPr="006E37DD">
        <w:rPr>
          <w:noProof/>
          <w:lang w:val="en-IE"/>
        </w:rPr>
        <w:t xml:space="preserve">critical technology </w:t>
      </w:r>
      <w:r w:rsidR="00946803" w:rsidRPr="006E37DD">
        <w:rPr>
          <w:noProof/>
          <w:lang w:val="en-IE"/>
        </w:rPr>
        <w:t>sectors</w:t>
      </w:r>
      <w:r w:rsidR="00F24BC8" w:rsidRPr="00FC3C3B">
        <w:rPr>
          <w:noProof/>
          <w:lang w:val="en-IE"/>
        </w:rPr>
        <w:t>.</w:t>
      </w:r>
      <w:r w:rsidR="00486DD2" w:rsidRPr="00FC3C3B">
        <w:rPr>
          <w:noProof/>
          <w:lang w:val="en-IE"/>
        </w:rPr>
        <w:t xml:space="preserve"> </w:t>
      </w:r>
      <w:r w:rsidR="00550165" w:rsidRPr="00FC3C3B">
        <w:rPr>
          <w:noProof/>
          <w:lang w:val="en-IE"/>
        </w:rPr>
        <w:t xml:space="preserve">In addition, Member States are encouraged to contribute to the InvestEU Member State compartment to support financial products </w:t>
      </w:r>
      <w:r w:rsidR="00A535BD" w:rsidRPr="00FC3C3B">
        <w:rPr>
          <w:noProof/>
          <w:lang w:val="en-IE"/>
        </w:rPr>
        <w:t xml:space="preserve">in line with </w:t>
      </w:r>
      <w:r w:rsidR="00815FFF" w:rsidRPr="00FC3C3B">
        <w:rPr>
          <w:noProof/>
          <w:lang w:val="en-IE"/>
        </w:rPr>
        <w:t>the</w:t>
      </w:r>
      <w:r w:rsidR="00A535BD" w:rsidRPr="00FC3C3B">
        <w:rPr>
          <w:noProof/>
          <w:lang w:val="en-IE"/>
        </w:rPr>
        <w:t xml:space="preserve"> </w:t>
      </w:r>
      <w:r w:rsidR="00234A1E" w:rsidRPr="00FC3C3B">
        <w:rPr>
          <w:noProof/>
          <w:lang w:val="en-IE"/>
        </w:rPr>
        <w:t xml:space="preserve">STEP </w:t>
      </w:r>
      <w:r w:rsidR="00A535BD" w:rsidRPr="00FC3C3B">
        <w:rPr>
          <w:noProof/>
          <w:lang w:val="en-IE"/>
        </w:rPr>
        <w:t>objectives</w:t>
      </w:r>
      <w:r w:rsidR="00550165" w:rsidRPr="00FC3C3B">
        <w:rPr>
          <w:noProof/>
          <w:lang w:val="en-IE"/>
        </w:rPr>
        <w:t xml:space="preserve">, without prejudice to applicable State aid rules. </w:t>
      </w:r>
      <w:r w:rsidR="00901FE9" w:rsidRPr="00FC3C3B">
        <w:rPr>
          <w:noProof/>
          <w:lang w:val="en-IE"/>
        </w:rPr>
        <w:t>I</w:t>
      </w:r>
      <w:r w:rsidR="00550165" w:rsidRPr="00FC3C3B">
        <w:rPr>
          <w:noProof/>
          <w:lang w:val="en-IE"/>
        </w:rPr>
        <w:t xml:space="preserve">t should be possible for Member States to </w:t>
      </w:r>
      <w:r w:rsidR="003102D7" w:rsidRPr="00FC3C3B">
        <w:rPr>
          <w:noProof/>
          <w:lang w:val="en-IE"/>
        </w:rPr>
        <w:t xml:space="preserve">include as a measure in their recovery and resilience plans a cash contribution for the purpose of the Member State compartment of InvestEU </w:t>
      </w:r>
      <w:r w:rsidR="0070794A" w:rsidRPr="00FC3C3B">
        <w:rPr>
          <w:noProof/>
          <w:lang w:val="en-IE"/>
        </w:rPr>
        <w:t>to support objectives</w:t>
      </w:r>
      <w:r w:rsidR="00B46236" w:rsidRPr="00FC3C3B">
        <w:rPr>
          <w:noProof/>
          <w:lang w:val="en-IE"/>
        </w:rPr>
        <w:t xml:space="preserve"> of the </w:t>
      </w:r>
      <w:r w:rsidR="00234A1E" w:rsidRPr="00FC3C3B">
        <w:rPr>
          <w:noProof/>
          <w:lang w:val="en-IE"/>
        </w:rPr>
        <w:t>STEP</w:t>
      </w:r>
      <w:r w:rsidR="003102D7" w:rsidRPr="00FC3C3B">
        <w:rPr>
          <w:noProof/>
          <w:lang w:val="en-IE"/>
        </w:rPr>
        <w:t xml:space="preserve">. </w:t>
      </w:r>
      <w:r w:rsidR="001B495A" w:rsidRPr="00FC3C3B">
        <w:rPr>
          <w:noProof/>
          <w:lang w:val="en-IE"/>
        </w:rPr>
        <w:t>T</w:t>
      </w:r>
      <w:r w:rsidR="003102D7" w:rsidRPr="00FC3C3B">
        <w:rPr>
          <w:noProof/>
          <w:lang w:val="en-IE"/>
        </w:rPr>
        <w:t xml:space="preserve">hat additional contribution </w:t>
      </w:r>
      <w:r w:rsidR="00B46236" w:rsidRPr="00FC3C3B">
        <w:rPr>
          <w:noProof/>
          <w:lang w:val="en-IE"/>
        </w:rPr>
        <w:t xml:space="preserve">to support objectives of the </w:t>
      </w:r>
      <w:r w:rsidR="00234A1E" w:rsidRPr="00FC3C3B">
        <w:rPr>
          <w:noProof/>
          <w:lang w:val="en-IE"/>
        </w:rPr>
        <w:t>STEP</w:t>
      </w:r>
      <w:r w:rsidR="00B46236" w:rsidRPr="00FC3C3B">
        <w:rPr>
          <w:noProof/>
          <w:lang w:val="en-IE"/>
        </w:rPr>
        <w:t xml:space="preserve"> </w:t>
      </w:r>
      <w:r w:rsidR="001B495A" w:rsidRPr="00FC3C3B">
        <w:rPr>
          <w:noProof/>
          <w:lang w:val="en-IE"/>
        </w:rPr>
        <w:t xml:space="preserve">could </w:t>
      </w:r>
      <w:r w:rsidR="003102D7" w:rsidRPr="00FC3C3B">
        <w:rPr>
          <w:noProof/>
          <w:lang w:val="en-IE"/>
        </w:rPr>
        <w:t xml:space="preserve">reach </w:t>
      </w:r>
      <w:r w:rsidR="00B46236" w:rsidRPr="00FC3C3B">
        <w:rPr>
          <w:noProof/>
          <w:lang w:val="en-IE"/>
        </w:rPr>
        <w:t>up to</w:t>
      </w:r>
      <w:r w:rsidR="003102D7" w:rsidRPr="00FC3C3B">
        <w:rPr>
          <w:noProof/>
          <w:lang w:val="en-IE"/>
        </w:rPr>
        <w:t xml:space="preserve"> 6</w:t>
      </w:r>
      <w:r w:rsidR="00550165" w:rsidRPr="00FC3C3B">
        <w:rPr>
          <w:noProof/>
          <w:lang w:val="en-IE"/>
        </w:rPr>
        <w:t xml:space="preserve">% of their recovery and resilience plan’s </w:t>
      </w:r>
      <w:r w:rsidR="000F24A3" w:rsidRPr="00FC3C3B">
        <w:rPr>
          <w:noProof/>
          <w:lang w:val="en-IE"/>
        </w:rPr>
        <w:t xml:space="preserve">total </w:t>
      </w:r>
      <w:r w:rsidR="00550165" w:rsidRPr="00FC3C3B">
        <w:rPr>
          <w:noProof/>
          <w:lang w:val="en-IE"/>
        </w:rPr>
        <w:t xml:space="preserve">financial allocation to the Member State compartment of InvestEU. </w:t>
      </w:r>
      <w:r w:rsidR="00761B88" w:rsidRPr="00FC3C3B">
        <w:rPr>
          <w:noProof/>
          <w:lang w:val="en-IE"/>
        </w:rPr>
        <w:t xml:space="preserve">Additional </w:t>
      </w:r>
      <w:r w:rsidR="000F24A3" w:rsidRPr="00FC3C3B">
        <w:rPr>
          <w:noProof/>
          <w:lang w:val="en-IE"/>
        </w:rPr>
        <w:t xml:space="preserve">flexibility </w:t>
      </w:r>
      <w:r w:rsidR="00761B88" w:rsidRPr="00FC3C3B">
        <w:rPr>
          <w:noProof/>
          <w:lang w:val="en-IE"/>
        </w:rPr>
        <w:t xml:space="preserve">and clarifications should also be introduced to better pursue the objectives of </w:t>
      </w:r>
      <w:r w:rsidR="00212D7C" w:rsidRPr="00FC3C3B">
        <w:rPr>
          <w:noProof/>
          <w:lang w:val="en-IE"/>
        </w:rPr>
        <w:t xml:space="preserve">the </w:t>
      </w:r>
      <w:r w:rsidR="00234A1E" w:rsidRPr="00FC3C3B">
        <w:rPr>
          <w:noProof/>
          <w:lang w:val="en-IE"/>
        </w:rPr>
        <w:t>STEP</w:t>
      </w:r>
      <w:r w:rsidR="00761B88" w:rsidRPr="00FC3C3B">
        <w:rPr>
          <w:noProof/>
          <w:lang w:val="en-IE"/>
        </w:rPr>
        <w:t xml:space="preserve">.  </w:t>
      </w:r>
    </w:p>
    <w:p w14:paraId="70A8A363" w14:textId="77777777" w:rsidR="004F4479" w:rsidRPr="00FC3C3B" w:rsidRDefault="00323DD4" w:rsidP="00323DD4">
      <w:pPr>
        <w:pStyle w:val="ManualConsidrant"/>
        <w:rPr>
          <w:noProof/>
          <w:lang w:val="en-IE"/>
        </w:rPr>
      </w:pPr>
      <w:r w:rsidRPr="00FC3C3B">
        <w:rPr>
          <w:noProof/>
        </w:rPr>
        <w:t>(</w:t>
      </w:r>
      <w:r w:rsidR="00A8538F" w:rsidRPr="00FC3C3B">
        <w:rPr>
          <w:noProof/>
        </w:rPr>
        <w:t>20</w:t>
      </w:r>
      <w:r w:rsidRPr="00FC3C3B">
        <w:rPr>
          <w:noProof/>
        </w:rPr>
        <w:t>)</w:t>
      </w:r>
      <w:r w:rsidRPr="00FC3C3B">
        <w:rPr>
          <w:noProof/>
        </w:rPr>
        <w:tab/>
      </w:r>
      <w:r w:rsidR="00C73C93" w:rsidRPr="00FC3C3B">
        <w:rPr>
          <w:noProof/>
          <w:lang w:val="en-IE"/>
        </w:rPr>
        <w:t xml:space="preserve">Horizon Europe is the EU’s key funding programme for research and innovation, and its European Innovation Council (EIC) provides for support for innovations with potential breakthrough and disruptive nature with scale-up potential that may be too risky for private investors. Additional flexibility should be provided for under Horizon Europe, </w:t>
      </w:r>
      <w:r w:rsidR="003F731D" w:rsidRPr="00FC3C3B">
        <w:rPr>
          <w:noProof/>
          <w:lang w:val="en-IE"/>
        </w:rPr>
        <w:t>so that the</w:t>
      </w:r>
      <w:r w:rsidR="00C73C93" w:rsidRPr="00FC3C3B">
        <w:rPr>
          <w:noProof/>
          <w:lang w:val="en-IE"/>
        </w:rPr>
        <w:t xml:space="preserve"> EIC </w:t>
      </w:r>
      <w:r w:rsidR="00C7584D" w:rsidRPr="00FC3C3B">
        <w:rPr>
          <w:noProof/>
          <w:lang w:val="en-IE"/>
        </w:rPr>
        <w:t>Accelerator</w:t>
      </w:r>
      <w:r w:rsidR="00C73C93" w:rsidRPr="00FC3C3B">
        <w:rPr>
          <w:noProof/>
          <w:lang w:val="en-IE"/>
        </w:rPr>
        <w:t xml:space="preserve"> </w:t>
      </w:r>
      <w:r w:rsidR="003F731D" w:rsidRPr="00FC3C3B">
        <w:rPr>
          <w:noProof/>
          <w:lang w:val="en-IE"/>
        </w:rPr>
        <w:t>can</w:t>
      </w:r>
      <w:r w:rsidR="00C73C93" w:rsidRPr="00FC3C3B">
        <w:rPr>
          <w:noProof/>
          <w:lang w:val="en-IE"/>
        </w:rPr>
        <w:t xml:space="preserve"> provide equity-only support to non-bankable SMEs, including start-ups, and non-bankable </w:t>
      </w:r>
      <w:r w:rsidR="00F72BF1" w:rsidRPr="00FC3C3B">
        <w:rPr>
          <w:noProof/>
          <w:lang w:val="en-IE"/>
        </w:rPr>
        <w:t xml:space="preserve">SMEs and </w:t>
      </w:r>
      <w:r w:rsidR="00C73C93" w:rsidRPr="00FC3C3B">
        <w:rPr>
          <w:noProof/>
          <w:lang w:val="en-IE"/>
        </w:rPr>
        <w:t xml:space="preserve">small mid-caps, carrying out innovation in the technologies supported by the </w:t>
      </w:r>
      <w:r w:rsidR="00F53704" w:rsidRPr="00FC3C3B">
        <w:rPr>
          <w:rFonts w:eastAsia="Times New Roman"/>
          <w:noProof/>
        </w:rPr>
        <w:t>STEP</w:t>
      </w:r>
      <w:r w:rsidR="006213B2" w:rsidRPr="00FC3C3B">
        <w:rPr>
          <w:rFonts w:eastAsia="Times New Roman"/>
          <w:noProof/>
        </w:rPr>
        <w:t xml:space="preserve"> and regardless of whether they previously received other types of support from the EIC Accelerator</w:t>
      </w:r>
      <w:r w:rsidR="00C73C93" w:rsidRPr="00FC3C3B">
        <w:rPr>
          <w:noProof/>
          <w:lang w:val="en-IE"/>
        </w:rPr>
        <w:t xml:space="preserve">. </w:t>
      </w:r>
      <w:r w:rsidR="003638A1" w:rsidRPr="00FC3C3B">
        <w:rPr>
          <w:noProof/>
          <w:lang w:val="en-IE"/>
        </w:rPr>
        <w:t xml:space="preserve">The </w:t>
      </w:r>
      <w:r w:rsidR="008C7459" w:rsidRPr="00FC3C3B">
        <w:rPr>
          <w:noProof/>
          <w:lang w:val="en-IE"/>
        </w:rPr>
        <w:t xml:space="preserve">implementation of the </w:t>
      </w:r>
      <w:r w:rsidR="003638A1" w:rsidRPr="00FC3C3B">
        <w:rPr>
          <w:noProof/>
          <w:lang w:val="en-IE"/>
        </w:rPr>
        <w:t>EIC Fund is currently limited to a maximum investment amount of EUR 15 million</w:t>
      </w:r>
      <w:r w:rsidR="009278D1" w:rsidRPr="00FC3C3B">
        <w:rPr>
          <w:noProof/>
          <w:lang w:val="en-IE"/>
        </w:rPr>
        <w:t xml:space="preserve"> except in exceptional cases</w:t>
      </w:r>
      <w:r w:rsidR="003638A1" w:rsidRPr="00FC3C3B">
        <w:rPr>
          <w:noProof/>
          <w:lang w:val="en-IE"/>
        </w:rPr>
        <w:t xml:space="preserve"> and cannot accommodate follow-on financing rounds or larger investment amounts. </w:t>
      </w:r>
      <w:r w:rsidR="005E52B8" w:rsidRPr="00FC3C3B">
        <w:rPr>
          <w:noProof/>
          <w:lang w:val="en-IE"/>
        </w:rPr>
        <w:t>A</w:t>
      </w:r>
      <w:r w:rsidR="007B5FEA" w:rsidRPr="00FC3C3B">
        <w:rPr>
          <w:noProof/>
          <w:lang w:val="en-IE"/>
        </w:rPr>
        <w:t xml:space="preserve">llowing for equity-only support for non-bankable </w:t>
      </w:r>
      <w:r w:rsidR="00BE12BB" w:rsidRPr="00FC3C3B">
        <w:rPr>
          <w:noProof/>
          <w:lang w:val="en-IE"/>
        </w:rPr>
        <w:t>SMEs and</w:t>
      </w:r>
      <w:r w:rsidR="007B5FEA" w:rsidRPr="00FC3C3B">
        <w:rPr>
          <w:noProof/>
          <w:lang w:val="en-IE"/>
        </w:rPr>
        <w:t xml:space="preserve"> small mid-caps </w:t>
      </w:r>
      <w:r w:rsidR="007477BA" w:rsidRPr="00FC3C3B">
        <w:rPr>
          <w:noProof/>
          <w:lang w:val="en-IE"/>
        </w:rPr>
        <w:t xml:space="preserve">would address the </w:t>
      </w:r>
      <w:r w:rsidR="00C75CFB" w:rsidRPr="00FC3C3B">
        <w:rPr>
          <w:noProof/>
          <w:lang w:val="en-IE"/>
        </w:rPr>
        <w:t>existing market</w:t>
      </w:r>
      <w:r w:rsidR="00D00060" w:rsidRPr="00FC3C3B">
        <w:rPr>
          <w:noProof/>
          <w:lang w:val="en-IE"/>
        </w:rPr>
        <w:t xml:space="preserve"> </w:t>
      </w:r>
      <w:r w:rsidR="00C75CFB" w:rsidRPr="00FC3C3B">
        <w:rPr>
          <w:noProof/>
          <w:lang w:val="en-IE"/>
        </w:rPr>
        <w:t xml:space="preserve">gap </w:t>
      </w:r>
      <w:r w:rsidR="002B54DE" w:rsidRPr="00FC3C3B">
        <w:rPr>
          <w:noProof/>
          <w:lang w:val="en-IE"/>
        </w:rPr>
        <w:t>with investments</w:t>
      </w:r>
      <w:r w:rsidR="00412D91" w:rsidRPr="00FC3C3B">
        <w:rPr>
          <w:noProof/>
          <w:lang w:val="en-IE"/>
        </w:rPr>
        <w:t xml:space="preserve"> needs</w:t>
      </w:r>
      <w:r w:rsidR="002B54DE" w:rsidRPr="00FC3C3B">
        <w:rPr>
          <w:noProof/>
          <w:lang w:val="en-IE"/>
        </w:rPr>
        <w:t xml:space="preserve"> in the range of EUR 15 to 50 million. </w:t>
      </w:r>
      <w:r w:rsidR="00C73C93" w:rsidRPr="00FC3C3B">
        <w:rPr>
          <w:noProof/>
          <w:lang w:val="en-IE"/>
        </w:rPr>
        <w:t>Moreover, experience has shown that the amounts committed for the EIC Pilot under Horizon2020 are not fully used. These unused funds should be made available for the purposes of the EIC Accelerator under Horizon Europe.</w:t>
      </w:r>
      <w:r w:rsidR="00D57FD8" w:rsidRPr="00FC3C3B">
        <w:rPr>
          <w:noProof/>
          <w:lang w:val="en-IE"/>
        </w:rPr>
        <w:t xml:space="preserve"> The Horizon Europe Regulation should also be amended to reflect the increased envelope for the</w:t>
      </w:r>
      <w:r w:rsidR="00A8538F" w:rsidRPr="00FC3C3B">
        <w:rPr>
          <w:noProof/>
          <w:lang w:val="en-IE"/>
        </w:rPr>
        <w:t xml:space="preserve"> European Defence</w:t>
      </w:r>
      <w:r w:rsidR="00D57FD8" w:rsidRPr="00FC3C3B">
        <w:rPr>
          <w:noProof/>
          <w:lang w:val="en-IE"/>
        </w:rPr>
        <w:t xml:space="preserve"> Fund.</w:t>
      </w:r>
    </w:p>
    <w:p w14:paraId="1090FD49" w14:textId="77777777" w:rsidR="00C73C93" w:rsidRPr="00FC3C3B" w:rsidRDefault="00C73F3C" w:rsidP="00323DD4">
      <w:pPr>
        <w:pStyle w:val="ManualConsidrant"/>
        <w:rPr>
          <w:noProof/>
          <w:lang w:val="en-IE"/>
        </w:rPr>
      </w:pPr>
      <w:r w:rsidRPr="00FC3C3B">
        <w:rPr>
          <w:noProof/>
          <w:lang w:val="en-IE"/>
        </w:rPr>
        <w:t>(2</w:t>
      </w:r>
      <w:r w:rsidR="00A8538F" w:rsidRPr="00FC3C3B">
        <w:rPr>
          <w:noProof/>
          <w:lang w:val="en-IE"/>
        </w:rPr>
        <w:t>1</w:t>
      </w:r>
      <w:r w:rsidRPr="00FC3C3B">
        <w:rPr>
          <w:noProof/>
          <w:lang w:val="en-IE"/>
        </w:rPr>
        <w:t>)</w:t>
      </w:r>
      <w:r w:rsidRPr="00FC3C3B">
        <w:rPr>
          <w:noProof/>
          <w:lang w:val="en-IE"/>
        </w:rPr>
        <w:tab/>
        <w:t>The European Defence Fund</w:t>
      </w:r>
      <w:r w:rsidR="00951569" w:rsidRPr="00FC3C3B">
        <w:rPr>
          <w:noProof/>
          <w:lang w:val="en-IE"/>
        </w:rPr>
        <w:t xml:space="preserve"> </w:t>
      </w:r>
      <w:r w:rsidR="00043A0B" w:rsidRPr="00FC3C3B">
        <w:rPr>
          <w:noProof/>
          <w:lang w:val="en-IE"/>
        </w:rPr>
        <w:t xml:space="preserve">is the leading programme for </w:t>
      </w:r>
      <w:r w:rsidR="00D116D3" w:rsidRPr="00FC3C3B">
        <w:rPr>
          <w:noProof/>
          <w:lang w:val="en-IE"/>
        </w:rPr>
        <w:t>enhancing the competitiveness, innovation, efficiency and technological autonomy of the Union’s defence industry</w:t>
      </w:r>
      <w:r w:rsidR="00062A17" w:rsidRPr="00FC3C3B">
        <w:rPr>
          <w:noProof/>
          <w:lang w:val="en-IE"/>
        </w:rPr>
        <w:t xml:space="preserve">, thereby contributing to the Union’s </w:t>
      </w:r>
      <w:r w:rsidR="00AA12CA">
        <w:rPr>
          <w:noProof/>
          <w:lang w:val="en-IE"/>
        </w:rPr>
        <w:t xml:space="preserve">open </w:t>
      </w:r>
      <w:r w:rsidR="00062A17" w:rsidRPr="00FC3C3B">
        <w:rPr>
          <w:noProof/>
          <w:lang w:val="en-IE"/>
        </w:rPr>
        <w:t xml:space="preserve">strategic autonomy. </w:t>
      </w:r>
      <w:r w:rsidR="00492809" w:rsidRPr="00FC3C3B">
        <w:rPr>
          <w:noProof/>
          <w:lang w:val="en-IE"/>
        </w:rPr>
        <w:t>The development of defence capabilities is crucial, as it underpins the capacity and the autonomy of the European industry to develop defence products and the independence of Member States as the end-users of such products</w:t>
      </w:r>
      <w:r w:rsidR="005C7929" w:rsidRPr="00FC3C3B">
        <w:rPr>
          <w:noProof/>
          <w:lang w:val="en-IE"/>
        </w:rPr>
        <w:t xml:space="preserve">. The additional envelope should </w:t>
      </w:r>
      <w:r w:rsidR="008B5A9E" w:rsidRPr="00FC3C3B">
        <w:rPr>
          <w:noProof/>
          <w:lang w:val="en-IE"/>
        </w:rPr>
        <w:t>therefore</w:t>
      </w:r>
      <w:r w:rsidR="005C7929" w:rsidRPr="00FC3C3B">
        <w:rPr>
          <w:noProof/>
          <w:lang w:val="en-IE"/>
        </w:rPr>
        <w:t xml:space="preserve"> be made available to support actions </w:t>
      </w:r>
      <w:r w:rsidR="00391939" w:rsidRPr="00FC3C3B">
        <w:rPr>
          <w:noProof/>
          <w:lang w:val="en-IE"/>
        </w:rPr>
        <w:t xml:space="preserve">in the field of deep and digital technologies </w:t>
      </w:r>
      <w:r w:rsidR="00D6403D" w:rsidRPr="00FC3C3B">
        <w:rPr>
          <w:noProof/>
          <w:lang w:val="en-IE"/>
        </w:rPr>
        <w:t xml:space="preserve">contributing to the development of </w:t>
      </w:r>
      <w:r w:rsidR="006A7B60" w:rsidRPr="00FC3C3B">
        <w:rPr>
          <w:noProof/>
          <w:lang w:val="en-IE"/>
        </w:rPr>
        <w:t xml:space="preserve">defence </w:t>
      </w:r>
      <w:r w:rsidR="00C90584" w:rsidRPr="00FC3C3B">
        <w:rPr>
          <w:noProof/>
          <w:lang w:val="en-IE"/>
        </w:rPr>
        <w:t>applications</w:t>
      </w:r>
      <w:r w:rsidR="006A7B60" w:rsidRPr="00FC3C3B">
        <w:rPr>
          <w:noProof/>
          <w:lang w:val="en-IE"/>
        </w:rPr>
        <w:t xml:space="preserve">. </w:t>
      </w:r>
    </w:p>
    <w:p w14:paraId="255197C9" w14:textId="77777777" w:rsidR="00521E78" w:rsidRPr="00FC3C3B" w:rsidRDefault="00323DD4" w:rsidP="00323DD4">
      <w:pPr>
        <w:pStyle w:val="ManualConsidrant"/>
        <w:rPr>
          <w:noProof/>
          <w:lang w:val="en-IE"/>
        </w:rPr>
      </w:pPr>
      <w:r w:rsidRPr="00FC3C3B">
        <w:rPr>
          <w:noProof/>
        </w:rPr>
        <w:t>(</w:t>
      </w:r>
      <w:r w:rsidR="00A30DE5" w:rsidRPr="00FC3C3B">
        <w:rPr>
          <w:noProof/>
        </w:rPr>
        <w:t>2</w:t>
      </w:r>
      <w:r w:rsidR="00A8538F" w:rsidRPr="00FC3C3B">
        <w:rPr>
          <w:noProof/>
        </w:rPr>
        <w:t>2</w:t>
      </w:r>
      <w:r w:rsidRPr="00FC3C3B">
        <w:rPr>
          <w:noProof/>
        </w:rPr>
        <w:t>)</w:t>
      </w:r>
      <w:r w:rsidRPr="00FC3C3B">
        <w:rPr>
          <w:noProof/>
        </w:rPr>
        <w:tab/>
      </w:r>
      <w:r w:rsidR="00521E78" w:rsidRPr="00FC3C3B">
        <w:rPr>
          <w:noProof/>
          <w:lang w:val="en-IE"/>
        </w:rPr>
        <w:t>Since the objectives of this Regulation</w:t>
      </w:r>
      <w:r w:rsidR="00564A54" w:rsidRPr="00FC3C3B">
        <w:rPr>
          <w:noProof/>
          <w:lang w:val="en-IE"/>
        </w:rPr>
        <w:t>, namely to strengthen European sovereignty, accelerate the Union’s green and digital transitions and enhance its competitiveness, and reduce its strategic dependencies</w:t>
      </w:r>
      <w:r w:rsidR="00521E78" w:rsidRPr="00FC3C3B">
        <w:rPr>
          <w:noProof/>
          <w:lang w:val="en-IE"/>
        </w:rPr>
        <w:t xml:space="preserve"> cannot be sufficiently achieved by the Member States, but can rather be better achieved at Union level, the Union may adopt measures in accordance with the principle of subsidiarity as set out in Article 5 of the Treaty on European Union. In accordance with the principle of proportionality as set out in that Article, this Regulation does not go beyond what is necessary to achieve those objectives.</w:t>
      </w:r>
    </w:p>
    <w:p w14:paraId="4638D1B0" w14:textId="77777777" w:rsidR="002C7991" w:rsidRPr="00FC3C3B" w:rsidRDefault="00550165">
      <w:pPr>
        <w:pStyle w:val="Formuledadoption"/>
        <w:rPr>
          <w:noProof/>
        </w:rPr>
      </w:pPr>
      <w:r w:rsidRPr="00FC3C3B">
        <w:rPr>
          <w:noProof/>
        </w:rPr>
        <w:t>HAVE ADOPTED THIS REGULATION:</w:t>
      </w:r>
    </w:p>
    <w:p w14:paraId="0CD11459" w14:textId="77777777" w:rsidR="002C7991" w:rsidRPr="00FC3C3B" w:rsidRDefault="002C7991">
      <w:pPr>
        <w:pStyle w:val="ChapterTitle"/>
        <w:spacing w:after="120"/>
        <w:rPr>
          <w:noProof/>
        </w:rPr>
      </w:pPr>
    </w:p>
    <w:p w14:paraId="4C0651C7" w14:textId="77777777" w:rsidR="002C7991" w:rsidRPr="00FC3C3B" w:rsidRDefault="00550165">
      <w:pPr>
        <w:pStyle w:val="ChapterTitle"/>
        <w:spacing w:after="120"/>
        <w:rPr>
          <w:noProof/>
        </w:rPr>
      </w:pPr>
      <w:r w:rsidRPr="00FC3C3B">
        <w:rPr>
          <w:noProof/>
        </w:rPr>
        <w:t>CHAPTER 1</w:t>
      </w:r>
    </w:p>
    <w:p w14:paraId="297C2905" w14:textId="77777777" w:rsidR="002C7991" w:rsidRPr="00FC3C3B" w:rsidRDefault="000F47C3">
      <w:pPr>
        <w:pStyle w:val="ChapterTitle"/>
        <w:rPr>
          <w:noProof/>
        </w:rPr>
      </w:pPr>
      <w:r w:rsidRPr="00FC3C3B">
        <w:rPr>
          <w:noProof/>
        </w:rPr>
        <w:t>STEP</w:t>
      </w:r>
    </w:p>
    <w:p w14:paraId="1B3E639C" w14:textId="77777777" w:rsidR="002C7991" w:rsidRPr="00FC3C3B" w:rsidRDefault="00550165" w:rsidP="009B1B7F">
      <w:pPr>
        <w:jc w:val="center"/>
        <w:rPr>
          <w:noProof/>
        </w:rPr>
      </w:pPr>
      <w:r w:rsidRPr="00FC3C3B">
        <w:rPr>
          <w:noProof/>
        </w:rPr>
        <w:t>Article 1</w:t>
      </w:r>
      <w:r w:rsidR="009B1B7F" w:rsidRPr="00FC3C3B">
        <w:rPr>
          <w:noProof/>
        </w:rPr>
        <w:br/>
      </w:r>
      <w:r w:rsidRPr="00FC3C3B">
        <w:rPr>
          <w:b/>
          <w:bCs/>
          <w:noProof/>
        </w:rPr>
        <w:t>Subject</w:t>
      </w:r>
      <w:r w:rsidRPr="00FC3C3B">
        <w:rPr>
          <w:noProof/>
        </w:rPr>
        <w:t xml:space="preserve"> </w:t>
      </w:r>
      <w:r w:rsidRPr="00FC3C3B">
        <w:rPr>
          <w:b/>
          <w:bCs/>
          <w:noProof/>
        </w:rPr>
        <w:t>matter</w:t>
      </w:r>
    </w:p>
    <w:p w14:paraId="43801364" w14:textId="77777777" w:rsidR="002C7991" w:rsidRPr="00FC3C3B" w:rsidRDefault="00550165" w:rsidP="22334F04">
      <w:pPr>
        <w:rPr>
          <w:noProof/>
        </w:rPr>
      </w:pPr>
      <w:r w:rsidRPr="00FC3C3B">
        <w:rPr>
          <w:noProof/>
        </w:rPr>
        <w:t xml:space="preserve">This Regulation establishes a </w:t>
      </w:r>
      <w:r w:rsidR="2BD2D3E4" w:rsidRPr="00FC3C3B">
        <w:rPr>
          <w:noProof/>
        </w:rPr>
        <w:t xml:space="preserve">Strategic Technologies for Europe </w:t>
      </w:r>
      <w:r w:rsidR="003A65C0" w:rsidRPr="00FC3C3B">
        <w:rPr>
          <w:noProof/>
        </w:rPr>
        <w:t xml:space="preserve">Platform </w:t>
      </w:r>
      <w:r w:rsidR="78204EA1" w:rsidRPr="00FC3C3B">
        <w:rPr>
          <w:noProof/>
        </w:rPr>
        <w:t xml:space="preserve">(‘STEP’ or ‘the Platform’) </w:t>
      </w:r>
      <w:r w:rsidR="003A65C0" w:rsidRPr="00FC3C3B">
        <w:rPr>
          <w:noProof/>
        </w:rPr>
        <w:t xml:space="preserve">to support </w:t>
      </w:r>
      <w:r w:rsidR="2C5D618D" w:rsidRPr="00FC3C3B">
        <w:rPr>
          <w:noProof/>
        </w:rPr>
        <w:t>c</w:t>
      </w:r>
      <w:r w:rsidR="003A65C0" w:rsidRPr="00FC3C3B">
        <w:rPr>
          <w:noProof/>
        </w:rPr>
        <w:t xml:space="preserve">ritical and </w:t>
      </w:r>
      <w:r w:rsidR="7A6A20BD" w:rsidRPr="00FC3C3B">
        <w:rPr>
          <w:noProof/>
        </w:rPr>
        <w:t>e</w:t>
      </w:r>
      <w:r w:rsidR="003A65C0" w:rsidRPr="00FC3C3B">
        <w:rPr>
          <w:noProof/>
        </w:rPr>
        <w:t xml:space="preserve">merging </w:t>
      </w:r>
      <w:r w:rsidR="00AB1780" w:rsidRPr="00FC3C3B">
        <w:rPr>
          <w:noProof/>
        </w:rPr>
        <w:t>s</w:t>
      </w:r>
      <w:r w:rsidR="003A65C0" w:rsidRPr="00FC3C3B">
        <w:rPr>
          <w:noProof/>
        </w:rPr>
        <w:t xml:space="preserve">trategic </w:t>
      </w:r>
      <w:r w:rsidR="27A64992" w:rsidRPr="00FC3C3B">
        <w:rPr>
          <w:noProof/>
        </w:rPr>
        <w:t>t</w:t>
      </w:r>
      <w:r w:rsidR="003A65C0" w:rsidRPr="00FC3C3B">
        <w:rPr>
          <w:noProof/>
        </w:rPr>
        <w:t>echnolog</w:t>
      </w:r>
      <w:r w:rsidR="7924504C" w:rsidRPr="00FC3C3B">
        <w:rPr>
          <w:noProof/>
        </w:rPr>
        <w:t>ies</w:t>
      </w:r>
      <w:r w:rsidRPr="00FC3C3B">
        <w:rPr>
          <w:noProof/>
        </w:rPr>
        <w:t xml:space="preserve"> .</w:t>
      </w:r>
    </w:p>
    <w:p w14:paraId="2374B441" w14:textId="77777777" w:rsidR="002C7991" w:rsidRPr="00FC3C3B" w:rsidRDefault="00550165">
      <w:pPr>
        <w:rPr>
          <w:noProof/>
        </w:rPr>
      </w:pPr>
      <w:r w:rsidRPr="00FC3C3B">
        <w:rPr>
          <w:noProof/>
        </w:rPr>
        <w:t xml:space="preserve">It lays down the objectives of the </w:t>
      </w:r>
      <w:r w:rsidR="00A535BD" w:rsidRPr="00FC3C3B">
        <w:rPr>
          <w:noProof/>
        </w:rPr>
        <w:t>Platform</w:t>
      </w:r>
      <w:r w:rsidRPr="00FC3C3B">
        <w:rPr>
          <w:noProof/>
        </w:rPr>
        <w:t xml:space="preserve">, the amount of financial support available under the </w:t>
      </w:r>
      <w:r w:rsidR="00A535BD" w:rsidRPr="00FC3C3B">
        <w:rPr>
          <w:noProof/>
        </w:rPr>
        <w:t>Platform</w:t>
      </w:r>
      <w:r w:rsidRPr="00FC3C3B">
        <w:rPr>
          <w:noProof/>
        </w:rPr>
        <w:t>, and rules for the implementation of the Sovereignty Seal</w:t>
      </w:r>
      <w:r w:rsidR="00313370" w:rsidRPr="00FC3C3B">
        <w:rPr>
          <w:noProof/>
        </w:rPr>
        <w:t xml:space="preserve"> and </w:t>
      </w:r>
      <w:r w:rsidRPr="00FC3C3B">
        <w:rPr>
          <w:noProof/>
        </w:rPr>
        <w:t xml:space="preserve">Sovereignty portal and </w:t>
      </w:r>
      <w:r w:rsidR="006A68E7" w:rsidRPr="00FC3C3B">
        <w:rPr>
          <w:noProof/>
        </w:rPr>
        <w:t>for</w:t>
      </w:r>
      <w:r w:rsidRPr="00FC3C3B">
        <w:rPr>
          <w:noProof/>
        </w:rPr>
        <w:t xml:space="preserve"> reporting on </w:t>
      </w:r>
      <w:r w:rsidR="00B94AC8" w:rsidRPr="00FC3C3B">
        <w:rPr>
          <w:noProof/>
        </w:rPr>
        <w:t xml:space="preserve">the Platform </w:t>
      </w:r>
      <w:r w:rsidRPr="00FC3C3B">
        <w:rPr>
          <w:noProof/>
        </w:rPr>
        <w:t xml:space="preserve">objectives. </w:t>
      </w:r>
    </w:p>
    <w:p w14:paraId="4F33DBAF" w14:textId="77777777" w:rsidR="002C7991" w:rsidRPr="00FC3C3B" w:rsidRDefault="00550165" w:rsidP="009B1B7F">
      <w:pPr>
        <w:jc w:val="center"/>
        <w:rPr>
          <w:noProof/>
        </w:rPr>
      </w:pPr>
      <w:r w:rsidRPr="00FC3C3B">
        <w:rPr>
          <w:noProof/>
        </w:rPr>
        <w:t>Article 2</w:t>
      </w:r>
      <w:r w:rsidRPr="00FC3C3B">
        <w:rPr>
          <w:noProof/>
        </w:rPr>
        <w:br/>
      </w:r>
      <w:r w:rsidR="7DF1CD62" w:rsidRPr="006E37DD">
        <w:rPr>
          <w:b/>
          <w:bCs/>
          <w:noProof/>
        </w:rPr>
        <w:t>STEP</w:t>
      </w:r>
      <w:r w:rsidR="7DF1CD62" w:rsidRPr="00FC3C3B">
        <w:rPr>
          <w:noProof/>
        </w:rPr>
        <w:t xml:space="preserve"> </w:t>
      </w:r>
      <w:r w:rsidRPr="00FC3C3B">
        <w:rPr>
          <w:b/>
          <w:bCs/>
          <w:noProof/>
        </w:rPr>
        <w:t>objectives</w:t>
      </w:r>
    </w:p>
    <w:p w14:paraId="137F99A6" w14:textId="77777777" w:rsidR="002C7991" w:rsidRPr="00FC3C3B" w:rsidRDefault="00323DD4" w:rsidP="00323DD4">
      <w:pPr>
        <w:pStyle w:val="ManualNumPar1"/>
        <w:rPr>
          <w:noProof/>
        </w:rPr>
      </w:pPr>
      <w:r w:rsidRPr="00FC3C3B">
        <w:rPr>
          <w:noProof/>
        </w:rPr>
        <w:t>1.</w:t>
      </w:r>
      <w:r w:rsidRPr="00FC3C3B">
        <w:rPr>
          <w:noProof/>
        </w:rPr>
        <w:tab/>
      </w:r>
      <w:r w:rsidR="0061559A" w:rsidRPr="00FC3C3B">
        <w:rPr>
          <w:noProof/>
        </w:rPr>
        <w:t xml:space="preserve">To strengthen </w:t>
      </w:r>
      <w:r w:rsidR="007E5B0F" w:rsidRPr="00FC3C3B">
        <w:rPr>
          <w:noProof/>
        </w:rPr>
        <w:t xml:space="preserve">European </w:t>
      </w:r>
      <w:r w:rsidR="00A535BD" w:rsidRPr="00FC3C3B">
        <w:rPr>
          <w:noProof/>
        </w:rPr>
        <w:t>s</w:t>
      </w:r>
      <w:r w:rsidR="007E5B0F" w:rsidRPr="00FC3C3B">
        <w:rPr>
          <w:noProof/>
        </w:rPr>
        <w:t>overeignty</w:t>
      </w:r>
      <w:r w:rsidR="00946803" w:rsidRPr="00FC3C3B">
        <w:rPr>
          <w:noProof/>
        </w:rPr>
        <w:t xml:space="preserve"> and security</w:t>
      </w:r>
      <w:r w:rsidR="007E5B0F" w:rsidRPr="00FC3C3B">
        <w:rPr>
          <w:noProof/>
        </w:rPr>
        <w:t xml:space="preserve">, </w:t>
      </w:r>
      <w:r w:rsidR="00FA7C25" w:rsidRPr="00FC3C3B">
        <w:rPr>
          <w:noProof/>
        </w:rPr>
        <w:t xml:space="preserve">accelerate the Union’s green and digital transitions and enhance its competitiveness, reduce </w:t>
      </w:r>
      <w:r w:rsidR="002C1F12" w:rsidRPr="00FC3C3B">
        <w:rPr>
          <w:noProof/>
        </w:rPr>
        <w:t>its</w:t>
      </w:r>
      <w:r w:rsidR="00FA7C25" w:rsidRPr="00FC3C3B">
        <w:rPr>
          <w:noProof/>
        </w:rPr>
        <w:t xml:space="preserve"> strategic dependencies</w:t>
      </w:r>
      <w:r w:rsidR="002E3036" w:rsidRPr="00FC3C3B">
        <w:rPr>
          <w:noProof/>
        </w:rPr>
        <w:t>,</w:t>
      </w:r>
      <w:r w:rsidR="004F6C6C">
        <w:rPr>
          <w:noProof/>
        </w:rPr>
        <w:t xml:space="preserve"> </w:t>
      </w:r>
      <w:r w:rsidR="002E3036" w:rsidRPr="00FC3C3B">
        <w:rPr>
          <w:noProof/>
        </w:rPr>
        <w:t>favour a level playing field in the Single Market for investments throughout the Union, and promote inclusive access to attractive, quality jobs</w:t>
      </w:r>
      <w:r w:rsidR="00FA7C25" w:rsidRPr="00FC3C3B">
        <w:rPr>
          <w:noProof/>
        </w:rPr>
        <w:t>,</w:t>
      </w:r>
      <w:r w:rsidR="007E5B0F" w:rsidRPr="00FC3C3B">
        <w:rPr>
          <w:noProof/>
        </w:rPr>
        <w:t xml:space="preserve"> t</w:t>
      </w:r>
      <w:r w:rsidR="003F3DA7" w:rsidRPr="00FC3C3B">
        <w:rPr>
          <w:noProof/>
        </w:rPr>
        <w:t>he</w:t>
      </w:r>
      <w:r w:rsidR="00550165" w:rsidRPr="00FC3C3B">
        <w:rPr>
          <w:noProof/>
        </w:rPr>
        <w:t xml:space="preserve"> </w:t>
      </w:r>
      <w:r w:rsidR="00B94AC8" w:rsidRPr="00FC3C3B">
        <w:rPr>
          <w:rFonts w:eastAsia="Times New Roman"/>
          <w:noProof/>
        </w:rPr>
        <w:t>Platform</w:t>
      </w:r>
      <w:r w:rsidR="00550165" w:rsidRPr="00FC3C3B">
        <w:rPr>
          <w:noProof/>
        </w:rPr>
        <w:t xml:space="preserve"> shall </w:t>
      </w:r>
      <w:r w:rsidR="007E5B0F" w:rsidRPr="00FC3C3B">
        <w:rPr>
          <w:noProof/>
        </w:rPr>
        <w:t>pursue the following objectives:</w:t>
      </w:r>
    </w:p>
    <w:p w14:paraId="21363D50" w14:textId="77777777" w:rsidR="002C7991" w:rsidRPr="00FC3C3B" w:rsidRDefault="00323DD4" w:rsidP="00323DD4">
      <w:pPr>
        <w:pStyle w:val="Point1"/>
        <w:rPr>
          <w:noProof/>
        </w:rPr>
      </w:pPr>
      <w:r w:rsidRPr="00FC3C3B">
        <w:rPr>
          <w:noProof/>
        </w:rPr>
        <w:t>(a)</w:t>
      </w:r>
      <w:r w:rsidRPr="00FC3C3B">
        <w:rPr>
          <w:noProof/>
        </w:rPr>
        <w:tab/>
      </w:r>
      <w:r w:rsidR="00550165" w:rsidRPr="00FC3C3B">
        <w:rPr>
          <w:noProof/>
        </w:rPr>
        <w:t xml:space="preserve">supporting the development </w:t>
      </w:r>
      <w:r w:rsidR="001F7B3E" w:rsidRPr="00FC3C3B">
        <w:rPr>
          <w:noProof/>
        </w:rPr>
        <w:t>or</w:t>
      </w:r>
      <w:r w:rsidR="00550165" w:rsidRPr="00FC3C3B">
        <w:rPr>
          <w:noProof/>
        </w:rPr>
        <w:t xml:space="preserve"> manufacturing </w:t>
      </w:r>
      <w:r w:rsidR="00030662" w:rsidRPr="00FC3C3B">
        <w:rPr>
          <w:noProof/>
        </w:rPr>
        <w:t xml:space="preserve">throughout </w:t>
      </w:r>
      <w:r w:rsidR="00550165" w:rsidRPr="00FC3C3B">
        <w:rPr>
          <w:noProof/>
        </w:rPr>
        <w:t>the Union</w:t>
      </w:r>
      <w:r w:rsidR="00FA7C25" w:rsidRPr="00FC3C3B">
        <w:rPr>
          <w:noProof/>
        </w:rPr>
        <w:t xml:space="preserve">, or safeguarding and strengthening </w:t>
      </w:r>
      <w:r w:rsidR="00B3677C" w:rsidRPr="00FC3C3B">
        <w:rPr>
          <w:noProof/>
        </w:rPr>
        <w:t>the respective</w:t>
      </w:r>
      <w:r w:rsidR="00FA7C25" w:rsidRPr="00FC3C3B">
        <w:rPr>
          <w:noProof/>
        </w:rPr>
        <w:t xml:space="preserve"> value chains</w:t>
      </w:r>
      <w:r w:rsidR="00B3677C" w:rsidRPr="00FC3C3B">
        <w:rPr>
          <w:noProof/>
        </w:rPr>
        <w:t>,</w:t>
      </w:r>
      <w:r w:rsidR="006231E2" w:rsidRPr="00FC3C3B">
        <w:rPr>
          <w:noProof/>
        </w:rPr>
        <w:t xml:space="preserve"> of </w:t>
      </w:r>
      <w:r w:rsidR="00C37E53" w:rsidRPr="00FC3C3B">
        <w:rPr>
          <w:noProof/>
        </w:rPr>
        <w:t>critical</w:t>
      </w:r>
      <w:r w:rsidR="006231E2" w:rsidRPr="00FC3C3B">
        <w:rPr>
          <w:noProof/>
        </w:rPr>
        <w:t xml:space="preserve"> technologies</w:t>
      </w:r>
      <w:r w:rsidR="00E60775" w:rsidRPr="00FC3C3B">
        <w:rPr>
          <w:noProof/>
        </w:rPr>
        <w:t xml:space="preserve"> in the following fields</w:t>
      </w:r>
      <w:r w:rsidR="008B0A06" w:rsidRPr="00FC3C3B">
        <w:rPr>
          <w:noProof/>
        </w:rPr>
        <w:t>:</w:t>
      </w:r>
    </w:p>
    <w:p w14:paraId="38DAEEE5" w14:textId="77777777" w:rsidR="00204D30" w:rsidRPr="00FC3C3B" w:rsidRDefault="00323DD4" w:rsidP="00323DD4">
      <w:pPr>
        <w:pStyle w:val="Point2"/>
        <w:rPr>
          <w:noProof/>
        </w:rPr>
      </w:pPr>
      <w:r w:rsidRPr="00FC3C3B">
        <w:rPr>
          <w:noProof/>
        </w:rPr>
        <w:t>(</w:t>
      </w:r>
      <w:r w:rsidR="00F63DAB" w:rsidRPr="00FC3C3B">
        <w:rPr>
          <w:noProof/>
        </w:rPr>
        <w:t>i</w:t>
      </w:r>
      <w:r w:rsidRPr="00FC3C3B">
        <w:rPr>
          <w:noProof/>
        </w:rPr>
        <w:t>)</w:t>
      </w:r>
      <w:r w:rsidRPr="00FC3C3B">
        <w:rPr>
          <w:noProof/>
        </w:rPr>
        <w:tab/>
      </w:r>
      <w:r w:rsidR="00204D30" w:rsidRPr="00FC3C3B">
        <w:rPr>
          <w:noProof/>
        </w:rPr>
        <w:t xml:space="preserve">deep </w:t>
      </w:r>
      <w:r w:rsidR="00127CF5" w:rsidRPr="00FC3C3B">
        <w:rPr>
          <w:noProof/>
        </w:rPr>
        <w:t xml:space="preserve">and digital </w:t>
      </w:r>
      <w:r w:rsidR="00204D30" w:rsidRPr="00FC3C3B">
        <w:rPr>
          <w:noProof/>
        </w:rPr>
        <w:t>technologies</w:t>
      </w:r>
    </w:p>
    <w:p w14:paraId="420B8FF2" w14:textId="77777777" w:rsidR="007E5B0F" w:rsidRPr="00FC3C3B" w:rsidRDefault="00323DD4" w:rsidP="00323DD4">
      <w:pPr>
        <w:pStyle w:val="Point2"/>
        <w:rPr>
          <w:noProof/>
        </w:rPr>
      </w:pPr>
      <w:r w:rsidRPr="00FC3C3B">
        <w:rPr>
          <w:noProof/>
        </w:rPr>
        <w:t>(</w:t>
      </w:r>
      <w:r w:rsidR="00F63DAB" w:rsidRPr="00FC3C3B">
        <w:rPr>
          <w:noProof/>
        </w:rPr>
        <w:t>ii</w:t>
      </w:r>
      <w:r w:rsidRPr="00FC3C3B">
        <w:rPr>
          <w:noProof/>
        </w:rPr>
        <w:t>)</w:t>
      </w:r>
      <w:r w:rsidRPr="00FC3C3B">
        <w:rPr>
          <w:noProof/>
        </w:rPr>
        <w:tab/>
      </w:r>
      <w:r w:rsidR="008B0A06" w:rsidRPr="00FC3C3B">
        <w:rPr>
          <w:noProof/>
        </w:rPr>
        <w:t>clean technologies</w:t>
      </w:r>
    </w:p>
    <w:p w14:paraId="509E1F10" w14:textId="77777777" w:rsidR="007D7C31" w:rsidRPr="00FC3C3B" w:rsidRDefault="00323DD4" w:rsidP="00323DD4">
      <w:pPr>
        <w:pStyle w:val="Point2"/>
        <w:rPr>
          <w:noProof/>
        </w:rPr>
      </w:pPr>
      <w:r w:rsidRPr="00FC3C3B">
        <w:rPr>
          <w:noProof/>
        </w:rPr>
        <w:t>(</w:t>
      </w:r>
      <w:r w:rsidR="00F63DAB" w:rsidRPr="00FC3C3B">
        <w:rPr>
          <w:noProof/>
        </w:rPr>
        <w:t>iii</w:t>
      </w:r>
      <w:r w:rsidRPr="00FC3C3B">
        <w:rPr>
          <w:noProof/>
        </w:rPr>
        <w:t>)</w:t>
      </w:r>
      <w:r w:rsidRPr="00FC3C3B">
        <w:rPr>
          <w:noProof/>
        </w:rPr>
        <w:tab/>
      </w:r>
      <w:r w:rsidR="008B0A06" w:rsidRPr="00FC3C3B">
        <w:rPr>
          <w:noProof/>
        </w:rPr>
        <w:t>biotechnologies</w:t>
      </w:r>
    </w:p>
    <w:p w14:paraId="5D1A9515" w14:textId="77777777" w:rsidR="002C7991" w:rsidRPr="00FC3C3B" w:rsidRDefault="00323DD4" w:rsidP="00323DD4">
      <w:pPr>
        <w:pStyle w:val="Point1"/>
        <w:rPr>
          <w:noProof/>
        </w:rPr>
      </w:pPr>
      <w:r w:rsidRPr="00FC3C3B">
        <w:rPr>
          <w:noProof/>
        </w:rPr>
        <w:t>(b)</w:t>
      </w:r>
      <w:r w:rsidRPr="00FC3C3B">
        <w:rPr>
          <w:noProof/>
        </w:rPr>
        <w:tab/>
      </w:r>
      <w:r w:rsidR="00550165" w:rsidRPr="00FC3C3B">
        <w:rPr>
          <w:noProof/>
        </w:rPr>
        <w:t xml:space="preserve">addressing </w:t>
      </w:r>
      <w:r w:rsidR="009D7A74" w:rsidRPr="00FC3C3B">
        <w:rPr>
          <w:noProof/>
        </w:rPr>
        <w:t xml:space="preserve">shortages of </w:t>
      </w:r>
      <w:r w:rsidR="00550165" w:rsidRPr="00FC3C3B">
        <w:rPr>
          <w:noProof/>
        </w:rPr>
        <w:t xml:space="preserve">labour and skills critical </w:t>
      </w:r>
      <w:r w:rsidR="00741B4C" w:rsidRPr="00FC3C3B">
        <w:rPr>
          <w:noProof/>
        </w:rPr>
        <w:t xml:space="preserve">to </w:t>
      </w:r>
      <w:r w:rsidR="003B6EC5" w:rsidRPr="00FC3C3B">
        <w:rPr>
          <w:noProof/>
        </w:rPr>
        <w:t xml:space="preserve">all kinds of </w:t>
      </w:r>
      <w:r w:rsidR="00741B4C" w:rsidRPr="00FC3C3B">
        <w:rPr>
          <w:noProof/>
        </w:rPr>
        <w:t>quality jobs</w:t>
      </w:r>
      <w:r w:rsidR="00B67760" w:rsidRPr="00FC3C3B">
        <w:rPr>
          <w:noProof/>
        </w:rPr>
        <w:t xml:space="preserve"> in</w:t>
      </w:r>
      <w:r w:rsidR="00550165" w:rsidRPr="00FC3C3B">
        <w:rPr>
          <w:noProof/>
        </w:rPr>
        <w:t xml:space="preserve"> support </w:t>
      </w:r>
      <w:r w:rsidR="00B67760" w:rsidRPr="00FC3C3B">
        <w:rPr>
          <w:noProof/>
        </w:rPr>
        <w:t xml:space="preserve">of </w:t>
      </w:r>
      <w:r w:rsidR="00550165" w:rsidRPr="00FC3C3B">
        <w:rPr>
          <w:noProof/>
        </w:rPr>
        <w:t>the objective under point (a)</w:t>
      </w:r>
      <w:r w:rsidR="00D60B36" w:rsidRPr="00FC3C3B">
        <w:rPr>
          <w:noProof/>
        </w:rPr>
        <w:t>.</w:t>
      </w:r>
    </w:p>
    <w:p w14:paraId="5FD63286" w14:textId="77777777" w:rsidR="004B515D" w:rsidRPr="00FC3C3B" w:rsidRDefault="00323DD4" w:rsidP="00323DD4">
      <w:pPr>
        <w:pStyle w:val="ManualNumPar1"/>
        <w:rPr>
          <w:noProof/>
        </w:rPr>
      </w:pPr>
      <w:r w:rsidRPr="00FC3C3B">
        <w:rPr>
          <w:noProof/>
        </w:rPr>
        <w:t>2.</w:t>
      </w:r>
      <w:r w:rsidRPr="00FC3C3B">
        <w:rPr>
          <w:noProof/>
        </w:rPr>
        <w:tab/>
      </w:r>
      <w:r w:rsidR="006D645A" w:rsidRPr="00FC3C3B">
        <w:rPr>
          <w:noProof/>
        </w:rPr>
        <w:t>The technologies referred to in point (a) of the first paragraph</w:t>
      </w:r>
      <w:r w:rsidR="002D5A90" w:rsidRPr="00FC3C3B">
        <w:rPr>
          <w:noProof/>
        </w:rPr>
        <w:t xml:space="preserve">, </w:t>
      </w:r>
      <w:r w:rsidR="006D645A" w:rsidRPr="00FC3C3B">
        <w:rPr>
          <w:noProof/>
        </w:rPr>
        <w:t xml:space="preserve">shall </w:t>
      </w:r>
      <w:r w:rsidR="00A7089A" w:rsidRPr="00FC3C3B">
        <w:rPr>
          <w:noProof/>
        </w:rPr>
        <w:t>be deemed to be critical whe</w:t>
      </w:r>
      <w:r w:rsidR="002B569E" w:rsidRPr="00FC3C3B">
        <w:rPr>
          <w:noProof/>
        </w:rPr>
        <w:t>re</w:t>
      </w:r>
      <w:r w:rsidR="00A7089A" w:rsidRPr="00FC3C3B">
        <w:rPr>
          <w:noProof/>
        </w:rPr>
        <w:t xml:space="preserve"> they </w:t>
      </w:r>
      <w:r w:rsidR="00B33B31" w:rsidRPr="00FC3C3B">
        <w:rPr>
          <w:noProof/>
        </w:rPr>
        <w:t xml:space="preserve">meet at least one of the </w:t>
      </w:r>
      <w:r w:rsidR="00C040E8" w:rsidRPr="00FC3C3B">
        <w:rPr>
          <w:noProof/>
        </w:rPr>
        <w:t>following conditions:</w:t>
      </w:r>
      <w:r w:rsidR="00864D72" w:rsidRPr="00FC3C3B">
        <w:rPr>
          <w:noProof/>
        </w:rPr>
        <w:t xml:space="preserve"> </w:t>
      </w:r>
    </w:p>
    <w:p w14:paraId="375D2E19" w14:textId="77777777" w:rsidR="00644024" w:rsidRPr="00FC3C3B" w:rsidRDefault="00323DD4" w:rsidP="00323DD4">
      <w:pPr>
        <w:pStyle w:val="Point1"/>
        <w:rPr>
          <w:noProof/>
        </w:rPr>
      </w:pPr>
      <w:r w:rsidRPr="00FC3C3B">
        <w:rPr>
          <w:noProof/>
        </w:rPr>
        <w:t>(a)</w:t>
      </w:r>
      <w:r w:rsidRPr="00FC3C3B">
        <w:rPr>
          <w:noProof/>
        </w:rPr>
        <w:tab/>
      </w:r>
      <w:r w:rsidR="003F66A3" w:rsidRPr="00FC3C3B">
        <w:rPr>
          <w:noProof/>
        </w:rPr>
        <w:t>b</w:t>
      </w:r>
      <w:r w:rsidR="00644024" w:rsidRPr="00FC3C3B">
        <w:rPr>
          <w:noProof/>
        </w:rPr>
        <w:t>ring an innovative</w:t>
      </w:r>
      <w:r w:rsidR="003D45DF" w:rsidRPr="00FC3C3B">
        <w:rPr>
          <w:noProof/>
        </w:rPr>
        <w:t>, cutting-edge</w:t>
      </w:r>
      <w:r w:rsidR="00644024" w:rsidRPr="00FC3C3B">
        <w:rPr>
          <w:noProof/>
        </w:rPr>
        <w:t xml:space="preserve"> element </w:t>
      </w:r>
      <w:r w:rsidR="00A7089A" w:rsidRPr="00FC3C3B">
        <w:rPr>
          <w:noProof/>
        </w:rPr>
        <w:t xml:space="preserve">with significant economic potential </w:t>
      </w:r>
      <w:r w:rsidR="00644024" w:rsidRPr="00FC3C3B">
        <w:rPr>
          <w:noProof/>
        </w:rPr>
        <w:t>to the Single Market</w:t>
      </w:r>
      <w:r w:rsidR="00687D6A" w:rsidRPr="00FC3C3B">
        <w:rPr>
          <w:noProof/>
        </w:rPr>
        <w:t>;</w:t>
      </w:r>
    </w:p>
    <w:p w14:paraId="0CBE52BF" w14:textId="77777777" w:rsidR="00DF5B40" w:rsidRPr="00FC3C3B" w:rsidRDefault="00323DD4" w:rsidP="00323DD4">
      <w:pPr>
        <w:pStyle w:val="Point1"/>
        <w:rPr>
          <w:noProof/>
        </w:rPr>
      </w:pPr>
      <w:r w:rsidRPr="00FC3C3B">
        <w:rPr>
          <w:noProof/>
        </w:rPr>
        <w:t>(b)</w:t>
      </w:r>
      <w:r w:rsidRPr="00FC3C3B">
        <w:rPr>
          <w:noProof/>
        </w:rPr>
        <w:tab/>
      </w:r>
      <w:r w:rsidR="003F66A3" w:rsidRPr="00FC3C3B">
        <w:rPr>
          <w:noProof/>
        </w:rPr>
        <w:t>c</w:t>
      </w:r>
      <w:r w:rsidR="00EC229B" w:rsidRPr="00FC3C3B">
        <w:rPr>
          <w:noProof/>
        </w:rPr>
        <w:t xml:space="preserve">ontribute to </w:t>
      </w:r>
      <w:r w:rsidR="008D6AE5" w:rsidRPr="00FC3C3B">
        <w:rPr>
          <w:noProof/>
        </w:rPr>
        <w:t>reduce or prevent strategic dependencies of the Union</w:t>
      </w:r>
      <w:r w:rsidR="00687D6A" w:rsidRPr="00FC3C3B">
        <w:rPr>
          <w:noProof/>
        </w:rPr>
        <w:t>.</w:t>
      </w:r>
    </w:p>
    <w:p w14:paraId="7C791ECF" w14:textId="77777777" w:rsidR="00221602" w:rsidRPr="00FC3C3B" w:rsidRDefault="00323DD4" w:rsidP="00323DD4">
      <w:pPr>
        <w:pStyle w:val="ManualNumPar1"/>
        <w:rPr>
          <w:noProof/>
          <w:lang w:val="en-IE"/>
        </w:rPr>
      </w:pPr>
      <w:r w:rsidRPr="00FC3C3B">
        <w:rPr>
          <w:noProof/>
        </w:rPr>
        <w:t>3.</w:t>
      </w:r>
      <w:r w:rsidRPr="00FC3C3B">
        <w:rPr>
          <w:noProof/>
        </w:rPr>
        <w:tab/>
      </w:r>
      <w:r w:rsidR="00221602" w:rsidRPr="00FC3C3B">
        <w:rPr>
          <w:noProof/>
          <w:lang w:val="en-IE"/>
        </w:rPr>
        <w:t xml:space="preserve">Where an Important Project of Common European Interest (IPCEI) </w:t>
      </w:r>
      <w:r w:rsidR="00B34181" w:rsidRPr="00FC3C3B">
        <w:rPr>
          <w:noProof/>
          <w:lang w:val="en-IE"/>
        </w:rPr>
        <w:t xml:space="preserve">approved by the Commission </w:t>
      </w:r>
      <w:r w:rsidR="00A7089A" w:rsidRPr="00FC3C3B">
        <w:rPr>
          <w:noProof/>
          <w:lang w:val="en-IE"/>
        </w:rPr>
        <w:t>pursuant to Article 107(3</w:t>
      </w:r>
      <w:r w:rsidR="00DB684A" w:rsidRPr="00FC3C3B">
        <w:rPr>
          <w:noProof/>
          <w:lang w:val="en-IE"/>
        </w:rPr>
        <w:t xml:space="preserve">), point </w:t>
      </w:r>
      <w:r w:rsidR="00A7089A" w:rsidRPr="00FC3C3B">
        <w:rPr>
          <w:noProof/>
          <w:lang w:val="en-IE"/>
        </w:rPr>
        <w:t>(b) TFEU relates to an</w:t>
      </w:r>
      <w:r w:rsidR="003254CD" w:rsidRPr="00FC3C3B">
        <w:rPr>
          <w:noProof/>
          <w:lang w:val="en-IE"/>
        </w:rPr>
        <w:t>y of the technology fields</w:t>
      </w:r>
      <w:r w:rsidR="00446F61" w:rsidRPr="00FC3C3B">
        <w:rPr>
          <w:noProof/>
          <w:lang w:val="en-IE"/>
        </w:rPr>
        <w:t xml:space="preserve"> </w:t>
      </w:r>
      <w:r w:rsidR="00221602" w:rsidRPr="00FC3C3B">
        <w:rPr>
          <w:noProof/>
          <w:lang w:val="en-IE"/>
        </w:rPr>
        <w:t xml:space="preserve">referred to in </w:t>
      </w:r>
      <w:r w:rsidR="00EF2DA2" w:rsidRPr="00FC3C3B">
        <w:rPr>
          <w:noProof/>
          <w:lang w:val="en-IE"/>
        </w:rPr>
        <w:t>point (a) of</w:t>
      </w:r>
      <w:r w:rsidR="00221602" w:rsidRPr="00FC3C3B">
        <w:rPr>
          <w:noProof/>
          <w:lang w:val="en-IE"/>
        </w:rPr>
        <w:t xml:space="preserve"> paragraph</w:t>
      </w:r>
      <w:r w:rsidR="00EF2DA2" w:rsidRPr="00FC3C3B">
        <w:rPr>
          <w:noProof/>
          <w:lang w:val="en-IE"/>
        </w:rPr>
        <w:t xml:space="preserve"> 1</w:t>
      </w:r>
      <w:r w:rsidR="001F1FE0" w:rsidRPr="00FC3C3B">
        <w:rPr>
          <w:noProof/>
          <w:lang w:val="en-IE"/>
        </w:rPr>
        <w:t xml:space="preserve">, </w:t>
      </w:r>
      <w:r w:rsidR="00163E10" w:rsidRPr="00FC3C3B">
        <w:rPr>
          <w:noProof/>
          <w:lang w:val="en-IE"/>
        </w:rPr>
        <w:t>the relevant technologies</w:t>
      </w:r>
      <w:r w:rsidR="003F413F" w:rsidRPr="00FC3C3B">
        <w:rPr>
          <w:noProof/>
          <w:lang w:val="en-IE"/>
        </w:rPr>
        <w:t xml:space="preserve"> shall be deemed to </w:t>
      </w:r>
      <w:r w:rsidR="00446F61" w:rsidRPr="00FC3C3B">
        <w:rPr>
          <w:noProof/>
          <w:lang w:val="en-IE"/>
        </w:rPr>
        <w:t>be critical</w:t>
      </w:r>
      <w:r w:rsidR="00247549" w:rsidRPr="00FC3C3B">
        <w:rPr>
          <w:noProof/>
          <w:lang w:val="en-IE"/>
        </w:rPr>
        <w:t>.</w:t>
      </w:r>
    </w:p>
    <w:p w14:paraId="4D9FD898" w14:textId="77777777" w:rsidR="00D44984" w:rsidRPr="00FC3C3B" w:rsidRDefault="00323DD4" w:rsidP="00323DD4">
      <w:pPr>
        <w:pStyle w:val="ManualNumPar1"/>
        <w:rPr>
          <w:noProof/>
        </w:rPr>
      </w:pPr>
      <w:r w:rsidRPr="00FC3C3B">
        <w:rPr>
          <w:noProof/>
        </w:rPr>
        <w:t>4.</w:t>
      </w:r>
      <w:r w:rsidRPr="00FC3C3B">
        <w:rPr>
          <w:noProof/>
        </w:rPr>
        <w:tab/>
      </w:r>
      <w:r w:rsidR="00D44984" w:rsidRPr="00FC3C3B">
        <w:rPr>
          <w:noProof/>
        </w:rPr>
        <w:t xml:space="preserve">The value chain for the manufacturing of critical technologies </w:t>
      </w:r>
      <w:r w:rsidR="00050F67" w:rsidRPr="00FC3C3B">
        <w:rPr>
          <w:noProof/>
        </w:rPr>
        <w:t xml:space="preserve">referred to in the first paragraph </w:t>
      </w:r>
      <w:r w:rsidR="00D44984" w:rsidRPr="00FC3C3B">
        <w:rPr>
          <w:noProof/>
        </w:rPr>
        <w:t xml:space="preserve">relates to final products, </w:t>
      </w:r>
      <w:r w:rsidR="00446F61" w:rsidRPr="00FC3C3B">
        <w:rPr>
          <w:noProof/>
        </w:rPr>
        <w:t xml:space="preserve">as well as key </w:t>
      </w:r>
      <w:r w:rsidR="00D44984" w:rsidRPr="00FC3C3B">
        <w:rPr>
          <w:noProof/>
        </w:rPr>
        <w:t>components</w:t>
      </w:r>
      <w:r w:rsidR="00446F61" w:rsidRPr="00FC3C3B">
        <w:rPr>
          <w:noProof/>
        </w:rPr>
        <w:t xml:space="preserve">, </w:t>
      </w:r>
      <w:r w:rsidR="00D44984" w:rsidRPr="00FC3C3B">
        <w:rPr>
          <w:noProof/>
        </w:rPr>
        <w:t>specific machinery</w:t>
      </w:r>
      <w:r w:rsidR="00B91031" w:rsidRPr="00FC3C3B">
        <w:rPr>
          <w:noProof/>
        </w:rPr>
        <w:t xml:space="preserve"> </w:t>
      </w:r>
      <w:r w:rsidR="00446F61" w:rsidRPr="00FC3C3B">
        <w:rPr>
          <w:noProof/>
        </w:rPr>
        <w:t xml:space="preserve">and critical raw materials </w:t>
      </w:r>
      <w:r w:rsidR="00D44984" w:rsidRPr="00FC3C3B">
        <w:rPr>
          <w:noProof/>
        </w:rPr>
        <w:t xml:space="preserve">primarily used for the production of those </w:t>
      </w:r>
      <w:r w:rsidR="00BF4E8E" w:rsidRPr="00FC3C3B">
        <w:rPr>
          <w:noProof/>
        </w:rPr>
        <w:t>products</w:t>
      </w:r>
      <w:r w:rsidR="00D44984" w:rsidRPr="00FC3C3B">
        <w:rPr>
          <w:noProof/>
        </w:rPr>
        <w:t xml:space="preserve">. </w:t>
      </w:r>
    </w:p>
    <w:p w14:paraId="0845208E" w14:textId="77777777" w:rsidR="002C7991" w:rsidRPr="00FC3C3B" w:rsidRDefault="00550165" w:rsidP="009B1B7F">
      <w:pPr>
        <w:pStyle w:val="Titrearticle"/>
        <w:rPr>
          <w:noProof/>
        </w:rPr>
      </w:pPr>
      <w:r w:rsidRPr="00FC3C3B">
        <w:rPr>
          <w:noProof/>
          <w:lang w:val="en-IE"/>
        </w:rPr>
        <w:t>Article 3</w:t>
      </w:r>
      <w:r w:rsidR="009B1B7F" w:rsidRPr="00FC3C3B">
        <w:rPr>
          <w:noProof/>
          <w:lang w:val="en-IE"/>
        </w:rPr>
        <w:br/>
      </w:r>
      <w:r w:rsidRPr="00FC3C3B">
        <w:rPr>
          <w:b/>
          <w:bCs/>
          <w:i w:val="0"/>
          <w:noProof/>
        </w:rPr>
        <w:t>Financial Support</w:t>
      </w:r>
      <w:r w:rsidRPr="00FC3C3B">
        <w:rPr>
          <w:noProof/>
        </w:rPr>
        <w:t xml:space="preserve"> </w:t>
      </w:r>
    </w:p>
    <w:p w14:paraId="5EFE9930" w14:textId="77777777" w:rsidR="002C7991" w:rsidRPr="00FC3C3B" w:rsidRDefault="00323DD4" w:rsidP="00323DD4">
      <w:pPr>
        <w:pStyle w:val="ManualNumPar1"/>
        <w:rPr>
          <w:noProof/>
        </w:rPr>
      </w:pPr>
      <w:r w:rsidRPr="00FC3C3B">
        <w:rPr>
          <w:noProof/>
        </w:rPr>
        <w:t>1.</w:t>
      </w:r>
      <w:r w:rsidRPr="00FC3C3B">
        <w:rPr>
          <w:noProof/>
        </w:rPr>
        <w:tab/>
      </w:r>
      <w:r w:rsidR="00F37F66" w:rsidRPr="00FC3C3B">
        <w:rPr>
          <w:noProof/>
        </w:rPr>
        <w:t xml:space="preserve">Implementation of the </w:t>
      </w:r>
      <w:r w:rsidR="008520C4" w:rsidRPr="00FC3C3B">
        <w:rPr>
          <w:noProof/>
        </w:rPr>
        <w:t xml:space="preserve">Platform </w:t>
      </w:r>
      <w:r w:rsidR="1BAC0BD9" w:rsidRPr="00FC3C3B">
        <w:rPr>
          <w:noProof/>
        </w:rPr>
        <w:t>sh</w:t>
      </w:r>
      <w:r w:rsidR="5392835D" w:rsidRPr="00FC3C3B">
        <w:rPr>
          <w:noProof/>
        </w:rPr>
        <w:t>all</w:t>
      </w:r>
      <w:r w:rsidR="00F37F66" w:rsidRPr="00FC3C3B">
        <w:rPr>
          <w:noProof/>
        </w:rPr>
        <w:t xml:space="preserve"> be supported</w:t>
      </w:r>
      <w:r w:rsidR="00663CAE" w:rsidRPr="00FC3C3B">
        <w:rPr>
          <w:noProof/>
        </w:rPr>
        <w:t>, in particular,</w:t>
      </w:r>
      <w:r w:rsidR="00F37F66" w:rsidRPr="00FC3C3B">
        <w:rPr>
          <w:noProof/>
        </w:rPr>
        <w:t xml:space="preserve"> </w:t>
      </w:r>
      <w:r w:rsidR="006D629E" w:rsidRPr="00FC3C3B">
        <w:rPr>
          <w:noProof/>
        </w:rPr>
        <w:t>through</w:t>
      </w:r>
      <w:r w:rsidR="00550165" w:rsidRPr="00FC3C3B">
        <w:rPr>
          <w:noProof/>
        </w:rPr>
        <w:t xml:space="preserve">: </w:t>
      </w:r>
    </w:p>
    <w:p w14:paraId="6847A9B7" w14:textId="77777777" w:rsidR="002C7991" w:rsidRPr="00FC3C3B" w:rsidRDefault="00323DD4" w:rsidP="00323DD4">
      <w:pPr>
        <w:pStyle w:val="Point1"/>
        <w:rPr>
          <w:noProof/>
        </w:rPr>
      </w:pPr>
      <w:r w:rsidRPr="00FC3C3B">
        <w:rPr>
          <w:noProof/>
        </w:rPr>
        <w:t>(a)</w:t>
      </w:r>
      <w:r w:rsidRPr="00FC3C3B">
        <w:rPr>
          <w:noProof/>
        </w:rPr>
        <w:tab/>
      </w:r>
      <w:r w:rsidR="00C04087" w:rsidRPr="00FC3C3B">
        <w:rPr>
          <w:noProof/>
        </w:rPr>
        <w:t>a</w:t>
      </w:r>
      <w:r w:rsidR="192A0DA1" w:rsidRPr="00FC3C3B">
        <w:rPr>
          <w:noProof/>
        </w:rPr>
        <w:t xml:space="preserve"> </w:t>
      </w:r>
      <w:r w:rsidR="00550165" w:rsidRPr="00FC3C3B">
        <w:rPr>
          <w:noProof/>
        </w:rPr>
        <w:t xml:space="preserve">Union guarantee referred to in Article 4(1) of Regulation (EU) 2021/523 with the indicative amount of EUR </w:t>
      </w:r>
      <w:r w:rsidR="00685968">
        <w:rPr>
          <w:noProof/>
        </w:rPr>
        <w:t>7 500 000 000</w:t>
      </w:r>
      <w:r w:rsidR="00685968" w:rsidRPr="00FC3C3B">
        <w:rPr>
          <w:noProof/>
        </w:rPr>
        <w:t xml:space="preserve"> </w:t>
      </w:r>
      <w:r w:rsidR="00590260" w:rsidRPr="00FC3C3B">
        <w:rPr>
          <w:noProof/>
        </w:rPr>
        <w:t>That guarantee shall be implemented in accordance with Regulation (EU) 2021/523</w:t>
      </w:r>
      <w:r w:rsidR="003F3DA7" w:rsidRPr="00FC3C3B">
        <w:rPr>
          <w:noProof/>
        </w:rPr>
        <w:t>;</w:t>
      </w:r>
    </w:p>
    <w:p w14:paraId="2046C52C" w14:textId="77777777" w:rsidR="002C7991" w:rsidRPr="00FC3C3B" w:rsidRDefault="00323DD4" w:rsidP="00323DD4">
      <w:pPr>
        <w:pStyle w:val="Point1"/>
        <w:rPr>
          <w:noProof/>
        </w:rPr>
      </w:pPr>
      <w:r w:rsidRPr="00FC3C3B">
        <w:rPr>
          <w:noProof/>
        </w:rPr>
        <w:t>(b)</w:t>
      </w:r>
      <w:r w:rsidRPr="00FC3C3B">
        <w:rPr>
          <w:noProof/>
        </w:rPr>
        <w:tab/>
      </w:r>
      <w:r w:rsidR="00550165" w:rsidRPr="00FC3C3B">
        <w:rPr>
          <w:noProof/>
        </w:rPr>
        <w:t xml:space="preserve">an amount of EUR </w:t>
      </w:r>
      <w:r w:rsidR="006E3DED">
        <w:rPr>
          <w:noProof/>
        </w:rPr>
        <w:t>500 000 000</w:t>
      </w:r>
      <w:r w:rsidR="006E3DED" w:rsidRPr="00FC3C3B">
        <w:rPr>
          <w:noProof/>
        </w:rPr>
        <w:t xml:space="preserve"> </w:t>
      </w:r>
      <w:r w:rsidR="00550165" w:rsidRPr="00FC3C3B">
        <w:rPr>
          <w:noProof/>
        </w:rPr>
        <w:t xml:space="preserve">in current prices of the financial envelope referred to </w:t>
      </w:r>
      <w:r w:rsidR="001A55E2" w:rsidRPr="00FC3C3B">
        <w:rPr>
          <w:noProof/>
        </w:rPr>
        <w:t xml:space="preserve">in </w:t>
      </w:r>
      <w:r w:rsidR="00550165" w:rsidRPr="00FC3C3B">
        <w:rPr>
          <w:noProof/>
        </w:rPr>
        <w:t>point (</w:t>
      </w:r>
      <w:r w:rsidR="00C41DB7" w:rsidRPr="00FC3C3B">
        <w:rPr>
          <w:noProof/>
        </w:rPr>
        <w:t>i</w:t>
      </w:r>
      <w:r w:rsidR="00550165" w:rsidRPr="00FC3C3B">
        <w:rPr>
          <w:noProof/>
        </w:rPr>
        <w:t>) of Article 12(2)</w:t>
      </w:r>
      <w:r w:rsidR="001C2A6D" w:rsidRPr="00FC3C3B">
        <w:rPr>
          <w:noProof/>
        </w:rPr>
        <w:t>(c</w:t>
      </w:r>
      <w:r w:rsidR="00550165" w:rsidRPr="00FC3C3B">
        <w:rPr>
          <w:noProof/>
        </w:rPr>
        <w:t>) of Regulation (EU) 2021/695. That amount shall be implemented in accordance with Regulation (EU) 2021/695;</w:t>
      </w:r>
    </w:p>
    <w:p w14:paraId="5606EDD8" w14:textId="77777777" w:rsidR="005605B9" w:rsidRPr="00FC3C3B" w:rsidRDefault="00323DD4" w:rsidP="00323DD4">
      <w:pPr>
        <w:pStyle w:val="Point1"/>
        <w:rPr>
          <w:noProof/>
        </w:rPr>
      </w:pPr>
      <w:r w:rsidRPr="00FC3C3B">
        <w:rPr>
          <w:noProof/>
        </w:rPr>
        <w:t>(c)</w:t>
      </w:r>
      <w:r w:rsidRPr="00FC3C3B">
        <w:rPr>
          <w:noProof/>
        </w:rPr>
        <w:tab/>
      </w:r>
      <w:r w:rsidR="00550165" w:rsidRPr="00FC3C3B">
        <w:rPr>
          <w:noProof/>
        </w:rPr>
        <w:t xml:space="preserve">an amount of EUR </w:t>
      </w:r>
      <w:r w:rsidR="006E3DED">
        <w:rPr>
          <w:noProof/>
        </w:rPr>
        <w:t>5 000 000 000</w:t>
      </w:r>
      <w:r w:rsidR="006E3DED" w:rsidRPr="00FC3C3B">
        <w:rPr>
          <w:noProof/>
        </w:rPr>
        <w:t xml:space="preserve"> </w:t>
      </w:r>
      <w:r w:rsidR="00550165" w:rsidRPr="00FC3C3B">
        <w:rPr>
          <w:noProof/>
        </w:rPr>
        <w:t xml:space="preserve">in current prices of the financial envelope referred to in </w:t>
      </w:r>
      <w:r w:rsidR="00274EF5" w:rsidRPr="00FC3C3B">
        <w:rPr>
          <w:noProof/>
        </w:rPr>
        <w:t>the sixth</w:t>
      </w:r>
      <w:r w:rsidR="00550165" w:rsidRPr="00FC3C3B">
        <w:rPr>
          <w:noProof/>
        </w:rPr>
        <w:t xml:space="preserve"> subparagraph of Article 10a(8) of Directive 2003/87/EC. That amount shall be implemented within the </w:t>
      </w:r>
      <w:r w:rsidR="004F2B5E" w:rsidRPr="00FC3C3B">
        <w:rPr>
          <w:noProof/>
        </w:rPr>
        <w:t>Innovation Fund</w:t>
      </w:r>
      <w:r w:rsidR="00550165" w:rsidRPr="00FC3C3B">
        <w:rPr>
          <w:noProof/>
        </w:rPr>
        <w:t xml:space="preserve"> in accordance with the rules of Article 10a(8) of Directive 2003/87/EC and Commission Delegated Regulation [2019/856].</w:t>
      </w:r>
    </w:p>
    <w:p w14:paraId="62DF4E89" w14:textId="77777777" w:rsidR="002C7991" w:rsidRPr="00FC3C3B" w:rsidRDefault="00C15FF0" w:rsidP="00323DD4">
      <w:pPr>
        <w:pStyle w:val="Point1"/>
        <w:rPr>
          <w:noProof/>
        </w:rPr>
      </w:pPr>
      <w:r w:rsidRPr="00FC3C3B">
        <w:rPr>
          <w:noProof/>
        </w:rPr>
        <w:t>(d)</w:t>
      </w:r>
      <w:r w:rsidRPr="00FC3C3B">
        <w:rPr>
          <w:noProof/>
        </w:rPr>
        <w:tab/>
      </w:r>
      <w:r w:rsidR="0092774B" w:rsidRPr="00FC3C3B">
        <w:rPr>
          <w:noProof/>
        </w:rPr>
        <w:t xml:space="preserve">An amount of EUR </w:t>
      </w:r>
      <w:r w:rsidR="006E3DED">
        <w:rPr>
          <w:noProof/>
        </w:rPr>
        <w:t>1 500 000 000</w:t>
      </w:r>
      <w:r w:rsidR="006E3DED" w:rsidRPr="00FC3C3B">
        <w:rPr>
          <w:noProof/>
        </w:rPr>
        <w:t xml:space="preserve"> </w:t>
      </w:r>
      <w:r w:rsidR="0092774B" w:rsidRPr="00FC3C3B">
        <w:rPr>
          <w:noProof/>
        </w:rPr>
        <w:t xml:space="preserve">in current prices of the </w:t>
      </w:r>
      <w:r w:rsidR="00962A54" w:rsidRPr="00FC3C3B">
        <w:rPr>
          <w:noProof/>
        </w:rPr>
        <w:t xml:space="preserve">financial envelope refered to </w:t>
      </w:r>
      <w:r w:rsidR="00433175" w:rsidRPr="00FC3C3B">
        <w:rPr>
          <w:noProof/>
        </w:rPr>
        <w:t xml:space="preserve">in </w:t>
      </w:r>
      <w:r w:rsidR="00DA42A5" w:rsidRPr="00FC3C3B">
        <w:rPr>
          <w:noProof/>
        </w:rPr>
        <w:t xml:space="preserve">Article </w:t>
      </w:r>
      <w:r w:rsidR="002A3B4C" w:rsidRPr="00FC3C3B">
        <w:rPr>
          <w:noProof/>
        </w:rPr>
        <w:t>4(</w:t>
      </w:r>
      <w:r w:rsidR="00AC0D77">
        <w:rPr>
          <w:noProof/>
        </w:rPr>
        <w:t>1</w:t>
      </w:r>
      <w:r w:rsidR="002A3B4C" w:rsidRPr="00FC3C3B">
        <w:rPr>
          <w:noProof/>
        </w:rPr>
        <w:t xml:space="preserve">) of Regulation </w:t>
      </w:r>
      <w:r w:rsidR="0024692F" w:rsidRPr="00FC3C3B">
        <w:rPr>
          <w:noProof/>
        </w:rPr>
        <w:t>(EU) 20</w:t>
      </w:r>
      <w:r w:rsidR="00FB1529" w:rsidRPr="00FC3C3B">
        <w:rPr>
          <w:noProof/>
        </w:rPr>
        <w:t>21</w:t>
      </w:r>
      <w:r w:rsidR="0024692F" w:rsidRPr="00FC3C3B">
        <w:rPr>
          <w:noProof/>
        </w:rPr>
        <w:t>/</w:t>
      </w:r>
      <w:r w:rsidR="00FB1529" w:rsidRPr="00FC3C3B">
        <w:rPr>
          <w:noProof/>
        </w:rPr>
        <w:t>697</w:t>
      </w:r>
      <w:r w:rsidR="0024692F" w:rsidRPr="00FC3C3B">
        <w:rPr>
          <w:noProof/>
        </w:rPr>
        <w:t>. That amount shall be implemented in accordance with Regulation (EU) 20</w:t>
      </w:r>
      <w:r w:rsidR="00DC100E" w:rsidRPr="00FC3C3B">
        <w:rPr>
          <w:noProof/>
        </w:rPr>
        <w:t>21</w:t>
      </w:r>
      <w:r w:rsidR="0024692F" w:rsidRPr="00FC3C3B">
        <w:rPr>
          <w:noProof/>
        </w:rPr>
        <w:t>/</w:t>
      </w:r>
      <w:r w:rsidR="00DC100E" w:rsidRPr="00FC3C3B">
        <w:rPr>
          <w:noProof/>
        </w:rPr>
        <w:t>697</w:t>
      </w:r>
      <w:r w:rsidR="0024692F" w:rsidRPr="00FC3C3B">
        <w:rPr>
          <w:noProof/>
        </w:rPr>
        <w:t>.</w:t>
      </w:r>
    </w:p>
    <w:p w14:paraId="2BD4BA28" w14:textId="77777777" w:rsidR="002C7991" w:rsidRPr="00FC3C3B" w:rsidRDefault="00323DD4" w:rsidP="00323DD4">
      <w:pPr>
        <w:pStyle w:val="ManualNumPar1"/>
        <w:rPr>
          <w:noProof/>
        </w:rPr>
      </w:pPr>
      <w:r w:rsidRPr="00FC3C3B">
        <w:rPr>
          <w:noProof/>
        </w:rPr>
        <w:t>2.</w:t>
      </w:r>
      <w:r w:rsidRPr="00FC3C3B">
        <w:rPr>
          <w:noProof/>
        </w:rPr>
        <w:tab/>
      </w:r>
      <w:r w:rsidR="00550165" w:rsidRPr="00FC3C3B">
        <w:rPr>
          <w:noProof/>
        </w:rPr>
        <w:t xml:space="preserve">The amounts referred to in </w:t>
      </w:r>
      <w:r w:rsidR="00C5107C" w:rsidRPr="00FC3C3B">
        <w:rPr>
          <w:noProof/>
        </w:rPr>
        <w:t xml:space="preserve">the </w:t>
      </w:r>
      <w:r w:rsidR="00550165" w:rsidRPr="00FC3C3B">
        <w:rPr>
          <w:noProof/>
        </w:rPr>
        <w:t xml:space="preserve">paragraph </w:t>
      </w:r>
      <w:r w:rsidR="00C5107C" w:rsidRPr="00FC3C3B">
        <w:rPr>
          <w:noProof/>
        </w:rPr>
        <w:t>1</w:t>
      </w:r>
      <w:r w:rsidR="00550165" w:rsidRPr="00FC3C3B">
        <w:rPr>
          <w:noProof/>
        </w:rPr>
        <w:t xml:space="preserve"> shall be used with the aim of achieving the objectives referred to in Article 2. </w:t>
      </w:r>
    </w:p>
    <w:p w14:paraId="1AF668F3" w14:textId="77777777" w:rsidR="002C7991" w:rsidRPr="00FC3C3B" w:rsidRDefault="00550165" w:rsidP="009B1B7F">
      <w:pPr>
        <w:pStyle w:val="Titrearticle"/>
        <w:rPr>
          <w:noProof/>
        </w:rPr>
      </w:pPr>
      <w:r w:rsidRPr="00FC3C3B">
        <w:rPr>
          <w:noProof/>
          <w:lang w:val="en-IE"/>
        </w:rPr>
        <w:t>Article</w:t>
      </w:r>
      <w:r w:rsidRPr="00FC3C3B">
        <w:rPr>
          <w:noProof/>
        </w:rPr>
        <w:t xml:space="preserve"> 4</w:t>
      </w:r>
      <w:r w:rsidR="009B1B7F" w:rsidRPr="00FC3C3B">
        <w:rPr>
          <w:noProof/>
        </w:rPr>
        <w:br/>
      </w:r>
      <w:r w:rsidRPr="00FC3C3B">
        <w:rPr>
          <w:b/>
          <w:bCs/>
          <w:i w:val="0"/>
          <w:noProof/>
        </w:rPr>
        <w:t>Sovereignty Seal</w:t>
      </w:r>
      <w:r w:rsidR="00E9230B" w:rsidRPr="00FC3C3B">
        <w:rPr>
          <w:b/>
          <w:bCs/>
          <w:i w:val="0"/>
          <w:noProof/>
        </w:rPr>
        <w:t xml:space="preserve"> and cumulative funding</w:t>
      </w:r>
    </w:p>
    <w:p w14:paraId="7A24F2A3" w14:textId="77777777" w:rsidR="008949BA" w:rsidRPr="00FC3C3B" w:rsidRDefault="00323DD4" w:rsidP="00323DD4">
      <w:pPr>
        <w:pStyle w:val="ManualNumPar1"/>
        <w:rPr>
          <w:noProof/>
        </w:rPr>
      </w:pPr>
      <w:r w:rsidRPr="00FC3C3B">
        <w:rPr>
          <w:noProof/>
        </w:rPr>
        <w:t>1.</w:t>
      </w:r>
      <w:r w:rsidRPr="00FC3C3B">
        <w:rPr>
          <w:noProof/>
        </w:rPr>
        <w:tab/>
      </w:r>
      <w:r w:rsidR="00C0796C" w:rsidRPr="00FC3C3B">
        <w:rPr>
          <w:noProof/>
        </w:rPr>
        <w:t>The Commission shall award a</w:t>
      </w:r>
      <w:r w:rsidR="00550165" w:rsidRPr="00FC3C3B">
        <w:rPr>
          <w:noProof/>
        </w:rPr>
        <w:t xml:space="preserve"> Sovereignty Seal to any action contributing to any of the </w:t>
      </w:r>
      <w:r w:rsidR="00A113D8" w:rsidRPr="00FC3C3B">
        <w:rPr>
          <w:rFonts w:eastAsia="Times New Roman"/>
          <w:noProof/>
        </w:rPr>
        <w:t xml:space="preserve">Platform </w:t>
      </w:r>
      <w:r w:rsidR="00550165" w:rsidRPr="00FC3C3B">
        <w:rPr>
          <w:noProof/>
        </w:rPr>
        <w:t xml:space="preserve">objectives, provided the action has been </w:t>
      </w:r>
      <w:r w:rsidR="00F104B5" w:rsidRPr="00FC3C3B">
        <w:rPr>
          <w:noProof/>
        </w:rPr>
        <w:t xml:space="preserve">assessed and complies with the minimum quality </w:t>
      </w:r>
      <w:r w:rsidR="00740D40" w:rsidRPr="00FC3C3B">
        <w:rPr>
          <w:noProof/>
        </w:rPr>
        <w:t>requirements</w:t>
      </w:r>
      <w:r w:rsidR="00956D6E" w:rsidRPr="00FC3C3B">
        <w:rPr>
          <w:noProof/>
        </w:rPr>
        <w:t xml:space="preserve">, in particular eligibility, exclusion and award criteria, </w:t>
      </w:r>
      <w:r w:rsidR="008F3F96" w:rsidRPr="00FC3C3B">
        <w:rPr>
          <w:noProof/>
        </w:rPr>
        <w:t>provided by</w:t>
      </w:r>
      <w:r w:rsidR="00740D40" w:rsidRPr="00FC3C3B">
        <w:rPr>
          <w:noProof/>
        </w:rPr>
        <w:t xml:space="preserve"> a call for proposals</w:t>
      </w:r>
      <w:r w:rsidR="00550165" w:rsidRPr="00FC3C3B">
        <w:rPr>
          <w:noProof/>
        </w:rPr>
        <w:t xml:space="preserve"> under</w:t>
      </w:r>
      <w:r w:rsidR="00C0796C" w:rsidRPr="00FC3C3B">
        <w:rPr>
          <w:noProof/>
        </w:rPr>
        <w:t xml:space="preserve"> </w:t>
      </w:r>
      <w:r w:rsidR="000E7F86" w:rsidRPr="00FC3C3B">
        <w:rPr>
          <w:noProof/>
        </w:rPr>
        <w:t>Regulation (EU) 2021/695</w:t>
      </w:r>
      <w:r w:rsidR="00550165" w:rsidRPr="00FC3C3B">
        <w:rPr>
          <w:noProof/>
        </w:rPr>
        <w:t xml:space="preserve">, </w:t>
      </w:r>
      <w:r w:rsidR="00605E42" w:rsidRPr="00FC3C3B">
        <w:rPr>
          <w:noProof/>
        </w:rPr>
        <w:t>Regulation (EU) 2021/694</w:t>
      </w:r>
      <w:r w:rsidR="0020422B" w:rsidRPr="00FC3C3B">
        <w:rPr>
          <w:noProof/>
        </w:rPr>
        <w:t xml:space="preserve">, </w:t>
      </w:r>
      <w:r w:rsidR="0076300E" w:rsidRPr="00FC3C3B">
        <w:rPr>
          <w:noProof/>
        </w:rPr>
        <w:t>Regulation (EU) 2021/</w:t>
      </w:r>
      <w:r w:rsidR="002C3A0C" w:rsidRPr="00FC3C3B">
        <w:rPr>
          <w:noProof/>
        </w:rPr>
        <w:t xml:space="preserve">697, </w:t>
      </w:r>
      <w:r w:rsidR="0076300E" w:rsidRPr="00FC3C3B">
        <w:rPr>
          <w:noProof/>
        </w:rPr>
        <w:t>Regulation (EU) 2021/522</w:t>
      </w:r>
      <w:r w:rsidR="0020422B" w:rsidRPr="00FC3C3B">
        <w:rPr>
          <w:noProof/>
        </w:rPr>
        <w:t>,</w:t>
      </w:r>
      <w:r w:rsidR="00550165" w:rsidRPr="00FC3C3B">
        <w:rPr>
          <w:noProof/>
        </w:rPr>
        <w:t xml:space="preserve"> or </w:t>
      </w:r>
      <w:r w:rsidR="0047197E" w:rsidRPr="00FC3C3B">
        <w:rPr>
          <w:noProof/>
        </w:rPr>
        <w:t>Commission Delegated Regulation (EU) 2019/856</w:t>
      </w:r>
      <w:r w:rsidR="00550165" w:rsidRPr="00FC3C3B">
        <w:rPr>
          <w:noProof/>
        </w:rPr>
        <w:t xml:space="preserve">. </w:t>
      </w:r>
    </w:p>
    <w:p w14:paraId="767D588A" w14:textId="77777777" w:rsidR="002C7991" w:rsidRPr="00FC3C3B" w:rsidRDefault="00323DD4" w:rsidP="00323DD4">
      <w:pPr>
        <w:pStyle w:val="ManualNumPar1"/>
        <w:rPr>
          <w:noProof/>
        </w:rPr>
      </w:pPr>
      <w:r w:rsidRPr="00FC3C3B">
        <w:rPr>
          <w:noProof/>
        </w:rPr>
        <w:t>2.</w:t>
      </w:r>
      <w:r w:rsidRPr="00FC3C3B">
        <w:rPr>
          <w:noProof/>
        </w:rPr>
        <w:tab/>
      </w:r>
      <w:r w:rsidR="00550165" w:rsidRPr="00FC3C3B">
        <w:rPr>
          <w:noProof/>
        </w:rPr>
        <w:t xml:space="preserve">The Sovereignty Seal may be used as a quality label, in particular for the purposes of: </w:t>
      </w:r>
    </w:p>
    <w:p w14:paraId="41BA93C1" w14:textId="77777777" w:rsidR="002C7991" w:rsidRPr="00FC3C3B" w:rsidRDefault="00323DD4" w:rsidP="00323DD4">
      <w:pPr>
        <w:pStyle w:val="Point1"/>
        <w:rPr>
          <w:rFonts w:eastAsia="Calibri"/>
          <w:noProof/>
        </w:rPr>
      </w:pPr>
      <w:r w:rsidRPr="00FC3C3B">
        <w:rPr>
          <w:noProof/>
        </w:rPr>
        <w:t>(a)</w:t>
      </w:r>
      <w:r w:rsidRPr="00FC3C3B">
        <w:rPr>
          <w:noProof/>
        </w:rPr>
        <w:tab/>
      </w:r>
      <w:r w:rsidR="00550165" w:rsidRPr="00FC3C3B">
        <w:rPr>
          <w:noProof/>
        </w:rPr>
        <w:t>receiving support for the action under another Union fund or programme in accordance with the rules applicable to that fund or programme, or</w:t>
      </w:r>
    </w:p>
    <w:p w14:paraId="2DC32310" w14:textId="77777777" w:rsidR="002C7991" w:rsidRPr="00FC3C3B" w:rsidRDefault="00323DD4" w:rsidP="00323DD4">
      <w:pPr>
        <w:pStyle w:val="Point1"/>
        <w:rPr>
          <w:noProof/>
        </w:rPr>
      </w:pPr>
      <w:r w:rsidRPr="00FC3C3B">
        <w:rPr>
          <w:noProof/>
        </w:rPr>
        <w:t>(b)</w:t>
      </w:r>
      <w:r w:rsidRPr="00FC3C3B">
        <w:rPr>
          <w:noProof/>
        </w:rPr>
        <w:tab/>
      </w:r>
      <w:r w:rsidR="00550165" w:rsidRPr="00FC3C3B">
        <w:rPr>
          <w:noProof/>
        </w:rPr>
        <w:t>financing the action through cumulative or combined funding with another Union instrument in line with the rules of the applicable basic acts.</w:t>
      </w:r>
    </w:p>
    <w:p w14:paraId="3224EF62" w14:textId="77777777" w:rsidR="002C7991" w:rsidRPr="00FC3C3B" w:rsidRDefault="00323DD4" w:rsidP="00323DD4">
      <w:pPr>
        <w:pStyle w:val="ManualNumPar1"/>
        <w:rPr>
          <w:noProof/>
        </w:rPr>
      </w:pPr>
      <w:r w:rsidRPr="00FC3C3B">
        <w:rPr>
          <w:noProof/>
        </w:rPr>
        <w:t>3.</w:t>
      </w:r>
      <w:r w:rsidRPr="00FC3C3B">
        <w:rPr>
          <w:noProof/>
        </w:rPr>
        <w:tab/>
      </w:r>
      <w:r w:rsidR="00550165" w:rsidRPr="00FC3C3B">
        <w:rPr>
          <w:noProof/>
        </w:rPr>
        <w:t xml:space="preserve">When </w:t>
      </w:r>
      <w:r w:rsidR="00922C6F" w:rsidRPr="00FC3C3B">
        <w:rPr>
          <w:noProof/>
        </w:rPr>
        <w:t>revising</w:t>
      </w:r>
      <w:r w:rsidR="005342B3" w:rsidRPr="00FC3C3B">
        <w:rPr>
          <w:noProof/>
        </w:rPr>
        <w:t xml:space="preserve"> their r</w:t>
      </w:r>
      <w:r w:rsidR="00550165" w:rsidRPr="00FC3C3B">
        <w:rPr>
          <w:noProof/>
        </w:rPr>
        <w:t xml:space="preserve">ecovery and </w:t>
      </w:r>
      <w:r w:rsidR="005342B3" w:rsidRPr="00FC3C3B">
        <w:rPr>
          <w:noProof/>
        </w:rPr>
        <w:t>r</w:t>
      </w:r>
      <w:r w:rsidR="00550165" w:rsidRPr="00FC3C3B">
        <w:rPr>
          <w:noProof/>
        </w:rPr>
        <w:t xml:space="preserve">esilience </w:t>
      </w:r>
      <w:r w:rsidR="005342B3" w:rsidRPr="00FC3C3B">
        <w:rPr>
          <w:noProof/>
        </w:rPr>
        <w:t>p</w:t>
      </w:r>
      <w:r w:rsidR="00550165" w:rsidRPr="00FC3C3B">
        <w:rPr>
          <w:noProof/>
        </w:rPr>
        <w:t>lans in accordance with Regulation (EU) 2021/241, Member States shall</w:t>
      </w:r>
      <w:r w:rsidR="00771D53" w:rsidRPr="00FC3C3B">
        <w:rPr>
          <w:noProof/>
        </w:rPr>
        <w:t>,</w:t>
      </w:r>
      <w:r w:rsidR="002351A8" w:rsidRPr="00FC3C3B">
        <w:rPr>
          <w:noProof/>
        </w:rPr>
        <w:t xml:space="preserve"> without prejudice to the provisions of that Regulation,</w:t>
      </w:r>
      <w:r w:rsidR="00550165" w:rsidRPr="00FC3C3B">
        <w:rPr>
          <w:noProof/>
        </w:rPr>
        <w:t xml:space="preserve"> </w:t>
      </w:r>
      <w:r w:rsidR="00117B4E" w:rsidRPr="00FC3C3B">
        <w:rPr>
          <w:noProof/>
        </w:rPr>
        <w:t>consider as a priority</w:t>
      </w:r>
      <w:r w:rsidR="00550165" w:rsidRPr="00FC3C3B">
        <w:rPr>
          <w:noProof/>
        </w:rPr>
        <w:t xml:space="preserve"> </w:t>
      </w:r>
      <w:r w:rsidR="538F1316" w:rsidRPr="00FC3C3B">
        <w:rPr>
          <w:noProof/>
        </w:rPr>
        <w:t>action</w:t>
      </w:r>
      <w:r w:rsidR="00550165" w:rsidRPr="00FC3C3B">
        <w:rPr>
          <w:noProof/>
        </w:rPr>
        <w:t xml:space="preserve"> which have been awarded a Sovereignty Seal in accordance with paragraph</w:t>
      </w:r>
      <w:r w:rsidR="203640DF" w:rsidRPr="00FC3C3B">
        <w:rPr>
          <w:noProof/>
        </w:rPr>
        <w:t xml:space="preserve"> 1</w:t>
      </w:r>
      <w:r w:rsidR="00550165" w:rsidRPr="00FC3C3B">
        <w:rPr>
          <w:noProof/>
        </w:rPr>
        <w:t>.</w:t>
      </w:r>
    </w:p>
    <w:p w14:paraId="4E0062E2" w14:textId="77777777" w:rsidR="002C7991" w:rsidRPr="00FC3C3B" w:rsidRDefault="00323DD4" w:rsidP="00323DD4">
      <w:pPr>
        <w:pStyle w:val="ManualNumPar1"/>
        <w:rPr>
          <w:noProof/>
        </w:rPr>
      </w:pPr>
      <w:r w:rsidRPr="00FC3C3B">
        <w:rPr>
          <w:noProof/>
        </w:rPr>
        <w:t>4.</w:t>
      </w:r>
      <w:r w:rsidRPr="00FC3C3B">
        <w:rPr>
          <w:noProof/>
        </w:rPr>
        <w:tab/>
      </w:r>
      <w:r w:rsidR="00550165" w:rsidRPr="00FC3C3B">
        <w:rPr>
          <w:noProof/>
        </w:rPr>
        <w:t xml:space="preserve">When deciding on investment projects to finance from </w:t>
      </w:r>
      <w:r w:rsidR="00F96811" w:rsidRPr="00FC3C3B">
        <w:rPr>
          <w:noProof/>
        </w:rPr>
        <w:t>their respective shares</w:t>
      </w:r>
      <w:r w:rsidR="00550165" w:rsidRPr="00FC3C3B">
        <w:rPr>
          <w:noProof/>
        </w:rPr>
        <w:t xml:space="preserve"> of the Modernisation Fund in accordance with Article 10d of Directive 2003/87/EC, Member States shall </w:t>
      </w:r>
      <w:r w:rsidR="00C6672A" w:rsidRPr="00FC3C3B">
        <w:rPr>
          <w:noProof/>
        </w:rPr>
        <w:t xml:space="preserve">consider as a </w:t>
      </w:r>
      <w:r w:rsidR="003D45DF" w:rsidRPr="00FC3C3B">
        <w:rPr>
          <w:noProof/>
        </w:rPr>
        <w:t>priority project</w:t>
      </w:r>
      <w:r w:rsidR="00EB5E36" w:rsidRPr="00FC3C3B">
        <w:rPr>
          <w:noProof/>
        </w:rPr>
        <w:t xml:space="preserve"> for critical clean technologies</w:t>
      </w:r>
      <w:r w:rsidR="00550165" w:rsidRPr="00FC3C3B">
        <w:rPr>
          <w:noProof/>
        </w:rPr>
        <w:t xml:space="preserve"> which have received the Sovereignty Seal in accordance with paragraph</w:t>
      </w:r>
      <w:r w:rsidR="774F1C02" w:rsidRPr="00FC3C3B">
        <w:rPr>
          <w:noProof/>
        </w:rPr>
        <w:t xml:space="preserve"> 1</w:t>
      </w:r>
      <w:r w:rsidR="00550165" w:rsidRPr="00FC3C3B">
        <w:rPr>
          <w:noProof/>
        </w:rPr>
        <w:t xml:space="preserve">. </w:t>
      </w:r>
      <w:r w:rsidR="00291A59" w:rsidRPr="00FC3C3B">
        <w:rPr>
          <w:noProof/>
        </w:rPr>
        <w:t xml:space="preserve">In addition, Member States may decide to grant national support to projects with a </w:t>
      </w:r>
      <w:r w:rsidR="00E73AE8" w:rsidRPr="00FC3C3B">
        <w:rPr>
          <w:noProof/>
        </w:rPr>
        <w:t>Sovereignty</w:t>
      </w:r>
      <w:r w:rsidR="00291A59" w:rsidRPr="00FC3C3B">
        <w:rPr>
          <w:noProof/>
        </w:rPr>
        <w:t xml:space="preserve"> Seal</w:t>
      </w:r>
      <w:r w:rsidR="00B539C3" w:rsidRPr="00FC3C3B">
        <w:rPr>
          <w:noProof/>
        </w:rPr>
        <w:t xml:space="preserve"> contributing to the </w:t>
      </w:r>
      <w:r w:rsidR="009D3B04" w:rsidRPr="00FC3C3B">
        <w:rPr>
          <w:rFonts w:eastAsia="Times New Roman"/>
          <w:noProof/>
        </w:rPr>
        <w:t>Platform</w:t>
      </w:r>
      <w:r w:rsidR="00B539C3" w:rsidRPr="00FC3C3B">
        <w:rPr>
          <w:noProof/>
        </w:rPr>
        <w:t xml:space="preserve"> objective referred to in Article 2</w:t>
      </w:r>
      <w:r w:rsidR="00B90F21" w:rsidRPr="00FC3C3B">
        <w:rPr>
          <w:noProof/>
        </w:rPr>
        <w:t>(1)</w:t>
      </w:r>
      <w:r w:rsidR="00D62AD1" w:rsidRPr="00FC3C3B">
        <w:rPr>
          <w:noProof/>
        </w:rPr>
        <w:t xml:space="preserve">, point </w:t>
      </w:r>
      <w:r w:rsidR="00B539C3" w:rsidRPr="00FC3C3B">
        <w:rPr>
          <w:noProof/>
        </w:rPr>
        <w:t>(a)(</w:t>
      </w:r>
      <w:r w:rsidR="00337D2C" w:rsidRPr="00FC3C3B">
        <w:rPr>
          <w:noProof/>
        </w:rPr>
        <w:t>i</w:t>
      </w:r>
      <w:r w:rsidR="00B539C3" w:rsidRPr="00FC3C3B">
        <w:rPr>
          <w:noProof/>
        </w:rPr>
        <w:t>i)</w:t>
      </w:r>
      <w:r w:rsidR="00291A59" w:rsidRPr="00FC3C3B">
        <w:rPr>
          <w:noProof/>
        </w:rPr>
        <w:t xml:space="preserve">. </w:t>
      </w:r>
    </w:p>
    <w:p w14:paraId="7FDE6199" w14:textId="77777777" w:rsidR="00924A2C" w:rsidRPr="00FC3C3B" w:rsidRDefault="00323DD4" w:rsidP="00323DD4">
      <w:pPr>
        <w:pStyle w:val="ManualNumPar1"/>
        <w:rPr>
          <w:noProof/>
        </w:rPr>
      </w:pPr>
      <w:r w:rsidRPr="00FC3C3B">
        <w:rPr>
          <w:noProof/>
        </w:rPr>
        <w:t>5.</w:t>
      </w:r>
      <w:r w:rsidRPr="00FC3C3B">
        <w:rPr>
          <w:noProof/>
        </w:rPr>
        <w:tab/>
      </w:r>
      <w:r w:rsidR="00544FAF" w:rsidRPr="00FC3C3B">
        <w:rPr>
          <w:noProof/>
        </w:rPr>
        <w:t xml:space="preserve">Under </w:t>
      </w:r>
      <w:r w:rsidR="00657929" w:rsidRPr="00FC3C3B">
        <w:rPr>
          <w:noProof/>
        </w:rPr>
        <w:t xml:space="preserve">Regulation (EU) 2021/523, the Sovereignty Seal shall be taken into account in the context of the procedure provided for in Article 19 of the European Investment Bank Statute and of the policy check as laid down in Article 23(3) of that Regulation. In addition, </w:t>
      </w:r>
      <w:r w:rsidR="00477F00" w:rsidRPr="00FC3C3B">
        <w:rPr>
          <w:noProof/>
        </w:rPr>
        <w:t xml:space="preserve">the implementing partners shall examine projects having been awarded the Sovereignty Seal in case they fall within their geographic and activity scope as laid down in Article 26(5) of that Regulation. </w:t>
      </w:r>
    </w:p>
    <w:p w14:paraId="11532132" w14:textId="77777777" w:rsidR="00922C6F" w:rsidRDefault="00F35A76" w:rsidP="00323DD4">
      <w:pPr>
        <w:pStyle w:val="ManualNumPar1"/>
        <w:rPr>
          <w:noProof/>
        </w:rPr>
      </w:pPr>
      <w:r>
        <w:rPr>
          <w:noProof/>
        </w:rPr>
        <w:t>6</w:t>
      </w:r>
      <w:r w:rsidR="00E9230B" w:rsidRPr="00FC3C3B">
        <w:rPr>
          <w:noProof/>
        </w:rPr>
        <w:t>.</w:t>
      </w:r>
      <w:r w:rsidR="00E9230B" w:rsidRPr="00FC3C3B">
        <w:rPr>
          <w:noProof/>
        </w:rPr>
        <w:tab/>
        <w:t xml:space="preserve">Strategic projects identified in accordance with the [Net Zero Industry Act] and the [Critical Raw Materials Act] </w:t>
      </w:r>
      <w:r w:rsidR="00A542B8" w:rsidRPr="00FC3C3B">
        <w:rPr>
          <w:noProof/>
        </w:rPr>
        <w:t>within</w:t>
      </w:r>
      <w:r w:rsidR="00E9230B" w:rsidRPr="00FC3C3B">
        <w:rPr>
          <w:noProof/>
        </w:rPr>
        <w:t xml:space="preserve"> the scope of Article 2 that receive a contribution under the Programmes refered to in Article 3 may also receive a contribution from any other Union programme, including Funds under shared management, provided that the contributions do not cover the same costs</w:t>
      </w:r>
      <w:r w:rsidR="00A542B8" w:rsidRPr="00FC3C3B">
        <w:rPr>
          <w:noProof/>
        </w:rPr>
        <w:t>. The rules of the relevant Union programme shall apply to the corresponding contribution to the strategic project. The cumulative funding shall not exceed the total eligible costs of the strategic project. The support from the different Union programmes may be calculated on a pro-rata basis in accordance with the documents setting out the conditions for support.</w:t>
      </w:r>
    </w:p>
    <w:p w14:paraId="3D2D4352" w14:textId="77777777" w:rsidR="0096624F" w:rsidRPr="008A3D63" w:rsidRDefault="00F35A76" w:rsidP="008A3D63">
      <w:pPr>
        <w:pStyle w:val="Text1"/>
        <w:ind w:left="840" w:hanging="840"/>
        <w:rPr>
          <w:noProof/>
        </w:rPr>
      </w:pPr>
      <w:r>
        <w:rPr>
          <w:noProof/>
        </w:rPr>
        <w:t>7.</w:t>
      </w:r>
      <w:r>
        <w:rPr>
          <w:noProof/>
        </w:rPr>
        <w:tab/>
      </w:r>
      <w:r w:rsidRPr="00FC3C3B">
        <w:rPr>
          <w:noProof/>
        </w:rPr>
        <w:t xml:space="preserve">The award of a Sovereignty Seal </w:t>
      </w:r>
      <w:r w:rsidR="007C26B8">
        <w:rPr>
          <w:noProof/>
        </w:rPr>
        <w:t xml:space="preserve">and provision of cumulative funding </w:t>
      </w:r>
      <w:r w:rsidRPr="00FC3C3B">
        <w:rPr>
          <w:noProof/>
        </w:rPr>
        <w:t>is without prejudice to applicable State aid rules</w:t>
      </w:r>
      <w:r w:rsidR="00C95D42">
        <w:rPr>
          <w:noProof/>
        </w:rPr>
        <w:t xml:space="preserve"> and to the Union’s international obligations</w:t>
      </w:r>
      <w:r w:rsidRPr="00FC3C3B">
        <w:rPr>
          <w:noProof/>
        </w:rPr>
        <w:t>.</w:t>
      </w:r>
    </w:p>
    <w:p w14:paraId="0C7C778F" w14:textId="77777777" w:rsidR="002C7991" w:rsidRPr="00FC3C3B" w:rsidRDefault="00550165" w:rsidP="009B1B7F">
      <w:pPr>
        <w:pStyle w:val="Titrearticle"/>
        <w:rPr>
          <w:b/>
          <w:bCs/>
          <w:i w:val="0"/>
          <w:noProof/>
        </w:rPr>
      </w:pPr>
      <w:r w:rsidRPr="00FC3C3B">
        <w:rPr>
          <w:noProof/>
        </w:rPr>
        <w:t xml:space="preserve">Article </w:t>
      </w:r>
      <w:r w:rsidR="009454C4" w:rsidRPr="00FC3C3B">
        <w:rPr>
          <w:noProof/>
        </w:rPr>
        <w:t>5</w:t>
      </w:r>
      <w:r w:rsidR="009B1B7F" w:rsidRPr="00FC3C3B">
        <w:rPr>
          <w:noProof/>
        </w:rPr>
        <w:br/>
      </w:r>
      <w:r w:rsidRPr="00FC3C3B">
        <w:rPr>
          <w:b/>
          <w:bCs/>
          <w:i w:val="0"/>
          <w:noProof/>
        </w:rPr>
        <w:t>Monitoring of implementation</w:t>
      </w:r>
    </w:p>
    <w:p w14:paraId="1E036977" w14:textId="77777777" w:rsidR="0064285D" w:rsidRPr="00FC3C3B" w:rsidRDefault="00323DD4" w:rsidP="00323DD4">
      <w:pPr>
        <w:pStyle w:val="ManualNumPar1"/>
        <w:rPr>
          <w:noProof/>
        </w:rPr>
      </w:pPr>
      <w:r w:rsidRPr="00FC3C3B">
        <w:rPr>
          <w:noProof/>
        </w:rPr>
        <w:t>1.</w:t>
      </w:r>
      <w:r w:rsidRPr="00FC3C3B">
        <w:rPr>
          <w:noProof/>
        </w:rPr>
        <w:tab/>
      </w:r>
      <w:r w:rsidR="00550165" w:rsidRPr="00FC3C3B">
        <w:rPr>
          <w:noProof/>
        </w:rPr>
        <w:t xml:space="preserve">The Commission shall monitor the implementation of the </w:t>
      </w:r>
      <w:r w:rsidR="00355F1C" w:rsidRPr="00FC3C3B">
        <w:rPr>
          <w:noProof/>
        </w:rPr>
        <w:t>Platform</w:t>
      </w:r>
      <w:r w:rsidR="00550165" w:rsidRPr="00FC3C3B">
        <w:rPr>
          <w:noProof/>
        </w:rPr>
        <w:t xml:space="preserve"> and measure the achievement of the </w:t>
      </w:r>
      <w:r w:rsidR="00355F1C" w:rsidRPr="00FC3C3B">
        <w:rPr>
          <w:noProof/>
        </w:rPr>
        <w:t xml:space="preserve">Platform </w:t>
      </w:r>
      <w:r w:rsidR="00550165" w:rsidRPr="00FC3C3B">
        <w:rPr>
          <w:noProof/>
        </w:rPr>
        <w:t xml:space="preserve">objectives set out in Article 2. The monitoring of implementation shall be targeted and proportionate to the activities carried out under the </w:t>
      </w:r>
      <w:r w:rsidR="00355F1C" w:rsidRPr="00FC3C3B">
        <w:rPr>
          <w:noProof/>
        </w:rPr>
        <w:t>Platform</w:t>
      </w:r>
      <w:r w:rsidR="00550165" w:rsidRPr="00FC3C3B">
        <w:rPr>
          <w:noProof/>
        </w:rPr>
        <w:t>.</w:t>
      </w:r>
      <w:r w:rsidR="0064285D" w:rsidRPr="00FC3C3B">
        <w:rPr>
          <w:noProof/>
        </w:rPr>
        <w:t xml:space="preserve"> </w:t>
      </w:r>
    </w:p>
    <w:p w14:paraId="03F1BCC5" w14:textId="77777777" w:rsidR="002C7991" w:rsidRPr="00FC3C3B" w:rsidRDefault="00323DD4" w:rsidP="00323DD4">
      <w:pPr>
        <w:pStyle w:val="ManualNumPar1"/>
        <w:rPr>
          <w:noProof/>
        </w:rPr>
      </w:pPr>
      <w:r w:rsidRPr="00FC3C3B">
        <w:rPr>
          <w:noProof/>
        </w:rPr>
        <w:t>2.</w:t>
      </w:r>
      <w:r w:rsidRPr="00FC3C3B">
        <w:rPr>
          <w:noProof/>
        </w:rPr>
        <w:tab/>
      </w:r>
      <w:r w:rsidR="00550165" w:rsidRPr="00FC3C3B">
        <w:rPr>
          <w:noProof/>
        </w:rPr>
        <w:t xml:space="preserve">The </w:t>
      </w:r>
      <w:r w:rsidR="00244F8B" w:rsidRPr="00FC3C3B">
        <w:rPr>
          <w:noProof/>
        </w:rPr>
        <w:t xml:space="preserve">monitoring </w:t>
      </w:r>
      <w:r w:rsidR="00550165" w:rsidRPr="00FC3C3B">
        <w:rPr>
          <w:noProof/>
        </w:rPr>
        <w:t xml:space="preserve">system of the Commission shall ensure that data for monitoring the implementation of the activities </w:t>
      </w:r>
      <w:r w:rsidR="005010F6" w:rsidRPr="00FC3C3B">
        <w:rPr>
          <w:noProof/>
        </w:rPr>
        <w:t xml:space="preserve">carried out under the </w:t>
      </w:r>
      <w:r w:rsidR="00355F1C" w:rsidRPr="00FC3C3B">
        <w:rPr>
          <w:noProof/>
        </w:rPr>
        <w:t xml:space="preserve">Platform </w:t>
      </w:r>
      <w:r w:rsidR="00550165" w:rsidRPr="00FC3C3B">
        <w:rPr>
          <w:noProof/>
        </w:rPr>
        <w:t xml:space="preserve">and </w:t>
      </w:r>
      <w:r w:rsidR="005010F6" w:rsidRPr="00FC3C3B">
        <w:rPr>
          <w:noProof/>
        </w:rPr>
        <w:t>the</w:t>
      </w:r>
      <w:r w:rsidR="00550165" w:rsidRPr="00FC3C3B">
        <w:rPr>
          <w:noProof/>
        </w:rPr>
        <w:t xml:space="preserve"> results </w:t>
      </w:r>
      <w:r w:rsidR="005010F6" w:rsidRPr="00FC3C3B">
        <w:rPr>
          <w:noProof/>
        </w:rPr>
        <w:t xml:space="preserve">of those activities </w:t>
      </w:r>
      <w:r w:rsidR="00550165" w:rsidRPr="00FC3C3B">
        <w:rPr>
          <w:noProof/>
        </w:rPr>
        <w:t xml:space="preserve">are collected efficiently, effectively and in a timely manner. </w:t>
      </w:r>
    </w:p>
    <w:p w14:paraId="6BE3906E" w14:textId="77777777" w:rsidR="002C7991" w:rsidRPr="00FC3C3B" w:rsidRDefault="00323DD4" w:rsidP="00323DD4">
      <w:pPr>
        <w:pStyle w:val="ManualNumPar1"/>
        <w:rPr>
          <w:noProof/>
        </w:rPr>
      </w:pPr>
      <w:r w:rsidRPr="00FC3C3B">
        <w:rPr>
          <w:noProof/>
        </w:rPr>
        <w:t>3.</w:t>
      </w:r>
      <w:r w:rsidRPr="00FC3C3B">
        <w:rPr>
          <w:noProof/>
        </w:rPr>
        <w:tab/>
      </w:r>
      <w:r w:rsidR="00550165" w:rsidRPr="00FC3C3B">
        <w:rPr>
          <w:noProof/>
        </w:rPr>
        <w:t xml:space="preserve">The Commission shall report on the expenditure financed by the </w:t>
      </w:r>
      <w:r w:rsidR="00355F1C" w:rsidRPr="00FC3C3B">
        <w:rPr>
          <w:noProof/>
        </w:rPr>
        <w:t>Platform</w:t>
      </w:r>
      <w:r w:rsidR="00550165" w:rsidRPr="00FC3C3B">
        <w:rPr>
          <w:noProof/>
        </w:rPr>
        <w:t xml:space="preserve">. It shall, as appropriate, report on the achievements related to each of the specific </w:t>
      </w:r>
      <w:r w:rsidR="00355F1C" w:rsidRPr="00FC3C3B">
        <w:rPr>
          <w:noProof/>
        </w:rPr>
        <w:t>Platform</w:t>
      </w:r>
      <w:r w:rsidR="00550165" w:rsidRPr="00FC3C3B">
        <w:rPr>
          <w:noProof/>
        </w:rPr>
        <w:t xml:space="preserve"> objectives.</w:t>
      </w:r>
    </w:p>
    <w:p w14:paraId="1428B503" w14:textId="77777777" w:rsidR="002C7991" w:rsidRPr="00FC3C3B" w:rsidRDefault="00550165" w:rsidP="009B1B7F">
      <w:pPr>
        <w:pStyle w:val="Titrearticle"/>
        <w:rPr>
          <w:b/>
          <w:bCs/>
          <w:i w:val="0"/>
          <w:noProof/>
        </w:rPr>
      </w:pPr>
      <w:r w:rsidRPr="00FC3C3B">
        <w:rPr>
          <w:noProof/>
        </w:rPr>
        <w:t xml:space="preserve">Article </w:t>
      </w:r>
      <w:r w:rsidR="009454C4" w:rsidRPr="00FC3C3B">
        <w:rPr>
          <w:noProof/>
        </w:rPr>
        <w:t>6</w:t>
      </w:r>
      <w:r w:rsidR="009B1B7F" w:rsidRPr="00FC3C3B">
        <w:rPr>
          <w:noProof/>
        </w:rPr>
        <w:br/>
      </w:r>
      <w:r w:rsidRPr="00FC3C3B">
        <w:rPr>
          <w:b/>
          <w:bCs/>
          <w:i w:val="0"/>
          <w:noProof/>
        </w:rPr>
        <w:t>Sovereignty portal</w:t>
      </w:r>
    </w:p>
    <w:p w14:paraId="78B5010A" w14:textId="77777777" w:rsidR="002C7991" w:rsidRPr="00FC3C3B" w:rsidRDefault="00323DD4" w:rsidP="00323DD4">
      <w:pPr>
        <w:pStyle w:val="ManualNumPar1"/>
        <w:rPr>
          <w:noProof/>
        </w:rPr>
      </w:pPr>
      <w:r w:rsidRPr="00FC3C3B">
        <w:rPr>
          <w:noProof/>
        </w:rPr>
        <w:t>1.</w:t>
      </w:r>
      <w:r w:rsidRPr="00FC3C3B">
        <w:rPr>
          <w:noProof/>
        </w:rPr>
        <w:tab/>
      </w:r>
      <w:r w:rsidR="00550165" w:rsidRPr="00FC3C3B">
        <w:rPr>
          <w:noProof/>
        </w:rPr>
        <w:t xml:space="preserve">The Commission shall establish a dedicated publicly available website (the ‘Sovereignty portal’), </w:t>
      </w:r>
      <w:r w:rsidR="00284604" w:rsidRPr="00FC3C3B">
        <w:rPr>
          <w:noProof/>
        </w:rPr>
        <w:t>providing</w:t>
      </w:r>
      <w:r w:rsidR="00550165" w:rsidRPr="00FC3C3B">
        <w:rPr>
          <w:noProof/>
        </w:rPr>
        <w:t xml:space="preserve"> investors with information about funding opportunities for projects linked to the </w:t>
      </w:r>
      <w:r w:rsidR="0007275C" w:rsidRPr="00FC3C3B">
        <w:rPr>
          <w:noProof/>
        </w:rPr>
        <w:t>Platform</w:t>
      </w:r>
      <w:r w:rsidR="00550165" w:rsidRPr="00FC3C3B">
        <w:rPr>
          <w:noProof/>
        </w:rPr>
        <w:t xml:space="preserve"> objectives and grant visibility to those projects, in particular by displaying the following information:</w:t>
      </w:r>
    </w:p>
    <w:p w14:paraId="52F5CB60" w14:textId="77777777" w:rsidR="002C7991" w:rsidRPr="00FC3C3B" w:rsidRDefault="00323DD4" w:rsidP="00323DD4">
      <w:pPr>
        <w:pStyle w:val="Point1"/>
        <w:rPr>
          <w:noProof/>
          <w:lang w:val="en-IE"/>
        </w:rPr>
      </w:pPr>
      <w:r w:rsidRPr="00FC3C3B">
        <w:rPr>
          <w:noProof/>
        </w:rPr>
        <w:t>(a)</w:t>
      </w:r>
      <w:r w:rsidRPr="00FC3C3B">
        <w:rPr>
          <w:noProof/>
        </w:rPr>
        <w:tab/>
      </w:r>
      <w:r w:rsidR="00550165" w:rsidRPr="00FC3C3B">
        <w:rPr>
          <w:noProof/>
          <w:lang w:val="en-IE"/>
        </w:rPr>
        <w:t>ongoing and upcoming calls for proposals and calls for tender</w:t>
      </w:r>
      <w:r w:rsidR="00550165" w:rsidRPr="00FC3C3B">
        <w:rPr>
          <w:noProof/>
        </w:rPr>
        <w:t xml:space="preserve"> </w:t>
      </w:r>
      <w:r w:rsidR="00550165" w:rsidRPr="00FC3C3B">
        <w:rPr>
          <w:noProof/>
          <w:lang w:val="en-IE"/>
        </w:rPr>
        <w:t xml:space="preserve">linked to the </w:t>
      </w:r>
      <w:r w:rsidR="0007275C" w:rsidRPr="00FC3C3B">
        <w:rPr>
          <w:noProof/>
        </w:rPr>
        <w:t>Platform</w:t>
      </w:r>
      <w:r w:rsidR="00550165" w:rsidRPr="00FC3C3B">
        <w:rPr>
          <w:noProof/>
        </w:rPr>
        <w:t xml:space="preserve"> objectives</w:t>
      </w:r>
      <w:r w:rsidR="00550165" w:rsidRPr="00FC3C3B">
        <w:rPr>
          <w:noProof/>
          <w:lang w:val="en-IE"/>
        </w:rPr>
        <w:t xml:space="preserve"> under the respective programmes</w:t>
      </w:r>
      <w:r w:rsidR="00EE6D97" w:rsidRPr="00FC3C3B">
        <w:rPr>
          <w:noProof/>
          <w:lang w:val="en-IE"/>
        </w:rPr>
        <w:t xml:space="preserve"> and funds</w:t>
      </w:r>
      <w:r w:rsidR="00550165" w:rsidRPr="00FC3C3B">
        <w:rPr>
          <w:noProof/>
          <w:lang w:val="en-IE"/>
        </w:rPr>
        <w:t>;</w:t>
      </w:r>
    </w:p>
    <w:p w14:paraId="3A880DB3" w14:textId="77777777" w:rsidR="002C7991" w:rsidRPr="00FC3C3B" w:rsidRDefault="00323DD4" w:rsidP="00323DD4">
      <w:pPr>
        <w:pStyle w:val="Point1"/>
        <w:rPr>
          <w:noProof/>
          <w:lang w:val="en-IE"/>
        </w:rPr>
      </w:pPr>
      <w:r w:rsidRPr="00FC3C3B">
        <w:rPr>
          <w:noProof/>
        </w:rPr>
        <w:t>(b)</w:t>
      </w:r>
      <w:r w:rsidRPr="00FC3C3B">
        <w:rPr>
          <w:noProof/>
        </w:rPr>
        <w:tab/>
      </w:r>
      <w:r w:rsidR="00550165" w:rsidRPr="00FC3C3B">
        <w:rPr>
          <w:noProof/>
          <w:lang w:val="en-IE"/>
        </w:rPr>
        <w:t xml:space="preserve">projects that have been awarded a Sovereignty Seal quality label in accordance with Article </w:t>
      </w:r>
      <w:r w:rsidR="00095AFE" w:rsidRPr="00FC3C3B">
        <w:rPr>
          <w:noProof/>
          <w:lang w:val="en-IE"/>
        </w:rPr>
        <w:t>4</w:t>
      </w:r>
      <w:r w:rsidR="00550165" w:rsidRPr="00FC3C3B">
        <w:rPr>
          <w:noProof/>
          <w:lang w:val="en-IE"/>
        </w:rPr>
        <w:t>;</w:t>
      </w:r>
    </w:p>
    <w:p w14:paraId="10824E1E" w14:textId="77777777" w:rsidR="00045AAE" w:rsidRPr="00FC3C3B" w:rsidRDefault="00045AAE" w:rsidP="00323DD4">
      <w:pPr>
        <w:pStyle w:val="Point1"/>
        <w:rPr>
          <w:noProof/>
          <w:lang w:val="en-IE"/>
        </w:rPr>
      </w:pPr>
      <w:r w:rsidRPr="00FC3C3B">
        <w:rPr>
          <w:noProof/>
          <w:lang w:val="en-IE"/>
        </w:rPr>
        <w:t>(c)</w:t>
      </w:r>
      <w:r w:rsidRPr="00FC3C3B">
        <w:rPr>
          <w:noProof/>
          <w:lang w:val="en-IE"/>
        </w:rPr>
        <w:tab/>
        <w:t>projects that have been identified as strategic projects u</w:t>
      </w:r>
      <w:r w:rsidRPr="006E37DD">
        <w:rPr>
          <w:noProof/>
          <w:lang w:val="en-IE"/>
        </w:rPr>
        <w:t>nd</w:t>
      </w:r>
      <w:r w:rsidRPr="00FC3C3B">
        <w:rPr>
          <w:noProof/>
          <w:lang w:val="en-IE"/>
        </w:rPr>
        <w:t>er the [Net-Zero Ind</w:t>
      </w:r>
      <w:r w:rsidRPr="006E37DD">
        <w:rPr>
          <w:noProof/>
          <w:lang w:val="en-IE"/>
        </w:rPr>
        <w:t>u</w:t>
      </w:r>
      <w:r w:rsidRPr="00FC3C3B">
        <w:rPr>
          <w:noProof/>
          <w:lang w:val="en-IE"/>
        </w:rPr>
        <w:t>stry Act] and the [Critical Raw Materials Act], to the extent that they fall within the scope of Article 2;</w:t>
      </w:r>
    </w:p>
    <w:p w14:paraId="71FB9050" w14:textId="77777777" w:rsidR="002C7991" w:rsidRPr="00FC3C3B" w:rsidRDefault="00323DD4" w:rsidP="00323DD4">
      <w:pPr>
        <w:pStyle w:val="Point1"/>
        <w:rPr>
          <w:noProof/>
          <w:lang w:val="en-IE"/>
        </w:rPr>
      </w:pPr>
      <w:r w:rsidRPr="00FC3C3B">
        <w:rPr>
          <w:noProof/>
        </w:rPr>
        <w:t>(</w:t>
      </w:r>
      <w:r w:rsidR="00045AAE" w:rsidRPr="00FC3C3B">
        <w:rPr>
          <w:noProof/>
        </w:rPr>
        <w:t>d</w:t>
      </w:r>
      <w:r w:rsidRPr="00FC3C3B">
        <w:rPr>
          <w:noProof/>
        </w:rPr>
        <w:t>)</w:t>
      </w:r>
      <w:r w:rsidRPr="00FC3C3B">
        <w:rPr>
          <w:noProof/>
        </w:rPr>
        <w:tab/>
      </w:r>
      <w:r w:rsidR="00550165" w:rsidRPr="00FC3C3B">
        <w:rPr>
          <w:noProof/>
          <w:lang w:val="en-IE"/>
        </w:rPr>
        <w:t>contacts to the national competent authorities designated in accordance with paragraph 4;</w:t>
      </w:r>
    </w:p>
    <w:p w14:paraId="5ADC4ED6" w14:textId="77777777" w:rsidR="002C7991" w:rsidRPr="00FC3C3B" w:rsidRDefault="00323DD4" w:rsidP="00323DD4">
      <w:pPr>
        <w:pStyle w:val="ManualNumPar1"/>
        <w:rPr>
          <w:noProof/>
        </w:rPr>
      </w:pPr>
      <w:r w:rsidRPr="00FC3C3B">
        <w:rPr>
          <w:noProof/>
        </w:rPr>
        <w:t>2.</w:t>
      </w:r>
      <w:r w:rsidRPr="00FC3C3B">
        <w:rPr>
          <w:noProof/>
        </w:rPr>
        <w:tab/>
      </w:r>
      <w:r w:rsidR="00550165" w:rsidRPr="00FC3C3B">
        <w:rPr>
          <w:noProof/>
        </w:rPr>
        <w:t xml:space="preserve">The Sovereignty portal shall also display information about the implementation of the </w:t>
      </w:r>
      <w:r w:rsidR="0007275C" w:rsidRPr="00FC3C3B">
        <w:rPr>
          <w:rFonts w:eastAsia="Times New Roman"/>
          <w:noProof/>
        </w:rPr>
        <w:t xml:space="preserve">Platform </w:t>
      </w:r>
      <w:r w:rsidR="00BB5EC1" w:rsidRPr="00FC3C3B">
        <w:rPr>
          <w:noProof/>
        </w:rPr>
        <w:t xml:space="preserve">and </w:t>
      </w:r>
      <w:r w:rsidR="00550165" w:rsidRPr="00FC3C3B">
        <w:rPr>
          <w:noProof/>
        </w:rPr>
        <w:t xml:space="preserve">in relation to </w:t>
      </w:r>
      <w:r w:rsidR="00E2028E" w:rsidRPr="00FC3C3B">
        <w:rPr>
          <w:noProof/>
        </w:rPr>
        <w:t xml:space="preserve">Union </w:t>
      </w:r>
      <w:r w:rsidR="00550165" w:rsidRPr="00FC3C3B">
        <w:rPr>
          <w:noProof/>
        </w:rPr>
        <w:t>budget expenditure</w:t>
      </w:r>
      <w:r w:rsidR="007D4F94" w:rsidRPr="00FC3C3B">
        <w:rPr>
          <w:noProof/>
        </w:rPr>
        <w:t xml:space="preserve"> as referred to in Article 5</w:t>
      </w:r>
      <w:r w:rsidR="00550165" w:rsidRPr="00FC3C3B">
        <w:rPr>
          <w:noProof/>
        </w:rPr>
        <w:t xml:space="preserve">, as well as the performance indicators </w:t>
      </w:r>
      <w:r w:rsidR="00171B07" w:rsidRPr="00FC3C3B">
        <w:rPr>
          <w:noProof/>
        </w:rPr>
        <w:t>defined under</w:t>
      </w:r>
      <w:r w:rsidR="00550165" w:rsidRPr="00FC3C3B">
        <w:rPr>
          <w:noProof/>
        </w:rPr>
        <w:t xml:space="preserve"> the </w:t>
      </w:r>
      <w:r w:rsidR="00171B07" w:rsidRPr="00FC3C3B">
        <w:rPr>
          <w:noProof/>
        </w:rPr>
        <w:t>respective programmes</w:t>
      </w:r>
      <w:r w:rsidR="00550165" w:rsidRPr="00FC3C3B">
        <w:rPr>
          <w:noProof/>
        </w:rPr>
        <w:t xml:space="preserve">. </w:t>
      </w:r>
    </w:p>
    <w:p w14:paraId="50C958A9" w14:textId="77777777" w:rsidR="002C7991" w:rsidRPr="00FC3C3B" w:rsidRDefault="00323DD4" w:rsidP="00323DD4">
      <w:pPr>
        <w:pStyle w:val="ManualNumPar1"/>
        <w:rPr>
          <w:noProof/>
        </w:rPr>
      </w:pPr>
      <w:r w:rsidRPr="00FC3C3B">
        <w:rPr>
          <w:noProof/>
        </w:rPr>
        <w:t>3.</w:t>
      </w:r>
      <w:r w:rsidRPr="00FC3C3B">
        <w:rPr>
          <w:noProof/>
        </w:rPr>
        <w:tab/>
      </w:r>
      <w:r w:rsidR="00550165" w:rsidRPr="00FC3C3B">
        <w:rPr>
          <w:noProof/>
        </w:rPr>
        <w:t xml:space="preserve">The Sovereignty portal shall be launched at the </w:t>
      </w:r>
      <w:r w:rsidR="00E2028E" w:rsidRPr="00FC3C3B">
        <w:rPr>
          <w:noProof/>
        </w:rPr>
        <w:t>[</w:t>
      </w:r>
      <w:r w:rsidR="00550165" w:rsidRPr="00FC3C3B">
        <w:rPr>
          <w:noProof/>
        </w:rPr>
        <w:t xml:space="preserve">date of the entry into force of this </w:t>
      </w:r>
      <w:r w:rsidR="00581EBD" w:rsidRPr="00FC3C3B">
        <w:rPr>
          <w:noProof/>
        </w:rPr>
        <w:t>Regulation</w:t>
      </w:r>
      <w:r w:rsidR="00E2028E" w:rsidRPr="00FC3C3B">
        <w:rPr>
          <w:noProof/>
        </w:rPr>
        <w:t>]</w:t>
      </w:r>
      <w:r w:rsidR="00550165" w:rsidRPr="00FC3C3B">
        <w:rPr>
          <w:noProof/>
          <w:color w:val="FF0000"/>
        </w:rPr>
        <w:t xml:space="preserve"> </w:t>
      </w:r>
      <w:r w:rsidR="00550165" w:rsidRPr="00FC3C3B">
        <w:rPr>
          <w:noProof/>
        </w:rPr>
        <w:t xml:space="preserve">and shall be updated by the Commission </w:t>
      </w:r>
      <w:r w:rsidR="002E15D6" w:rsidRPr="00FC3C3B">
        <w:rPr>
          <w:noProof/>
        </w:rPr>
        <w:t>regularly</w:t>
      </w:r>
      <w:r w:rsidR="00550165" w:rsidRPr="00FC3C3B">
        <w:rPr>
          <w:noProof/>
        </w:rPr>
        <w:t xml:space="preserve">. </w:t>
      </w:r>
    </w:p>
    <w:p w14:paraId="575B1AF8" w14:textId="77777777" w:rsidR="002C7991" w:rsidRPr="00FC3C3B" w:rsidRDefault="00323DD4" w:rsidP="00323DD4">
      <w:pPr>
        <w:pStyle w:val="ManualNumPar1"/>
        <w:rPr>
          <w:noProof/>
        </w:rPr>
      </w:pPr>
      <w:r w:rsidRPr="00FC3C3B">
        <w:rPr>
          <w:noProof/>
        </w:rPr>
        <w:t>4.</w:t>
      </w:r>
      <w:r w:rsidRPr="00FC3C3B">
        <w:rPr>
          <w:noProof/>
        </w:rPr>
        <w:tab/>
      </w:r>
      <w:r w:rsidR="00550165" w:rsidRPr="00FC3C3B">
        <w:rPr>
          <w:noProof/>
        </w:rPr>
        <w:t xml:space="preserve">By [3 months after the entry into force of this Regulation], Member State shall designate one national competent authority to act as the main point of contact for the implementation of the </w:t>
      </w:r>
      <w:r w:rsidR="0007275C" w:rsidRPr="00FC3C3B">
        <w:rPr>
          <w:rFonts w:eastAsia="Times New Roman"/>
          <w:noProof/>
        </w:rPr>
        <w:t xml:space="preserve">Platform </w:t>
      </w:r>
      <w:r w:rsidR="00550165" w:rsidRPr="00FC3C3B">
        <w:rPr>
          <w:noProof/>
        </w:rPr>
        <w:t xml:space="preserve">at national level. </w:t>
      </w:r>
    </w:p>
    <w:p w14:paraId="5D26722F" w14:textId="77777777" w:rsidR="002C7991" w:rsidRPr="00FC3C3B" w:rsidRDefault="00550165" w:rsidP="009B1B7F">
      <w:pPr>
        <w:pStyle w:val="Titrearticle"/>
        <w:rPr>
          <w:b/>
          <w:bCs/>
          <w:i w:val="0"/>
          <w:noProof/>
        </w:rPr>
      </w:pPr>
      <w:r w:rsidRPr="00FC3C3B">
        <w:rPr>
          <w:noProof/>
        </w:rPr>
        <w:t xml:space="preserve">Article </w:t>
      </w:r>
      <w:r w:rsidR="009454C4" w:rsidRPr="00FC3C3B">
        <w:rPr>
          <w:noProof/>
        </w:rPr>
        <w:t>7</w:t>
      </w:r>
      <w:r w:rsidR="009B1B7F" w:rsidRPr="00FC3C3B">
        <w:rPr>
          <w:noProof/>
        </w:rPr>
        <w:br/>
      </w:r>
      <w:r w:rsidRPr="00FC3C3B">
        <w:rPr>
          <w:b/>
          <w:bCs/>
          <w:i w:val="0"/>
          <w:noProof/>
        </w:rPr>
        <w:t>Annual report</w:t>
      </w:r>
    </w:p>
    <w:p w14:paraId="26F769F7" w14:textId="77777777" w:rsidR="002C7991" w:rsidRPr="00FC3C3B" w:rsidRDefault="00323DD4" w:rsidP="00323DD4">
      <w:pPr>
        <w:pStyle w:val="ManualNumPar1"/>
        <w:rPr>
          <w:noProof/>
        </w:rPr>
      </w:pPr>
      <w:r w:rsidRPr="00FC3C3B">
        <w:rPr>
          <w:noProof/>
        </w:rPr>
        <w:t>1.</w:t>
      </w:r>
      <w:r w:rsidRPr="00FC3C3B">
        <w:rPr>
          <w:noProof/>
        </w:rPr>
        <w:tab/>
      </w:r>
      <w:r w:rsidR="00550165" w:rsidRPr="00FC3C3B">
        <w:rPr>
          <w:noProof/>
        </w:rPr>
        <w:t xml:space="preserve">The Commission shall provide an annual report to the European Parliament and the Council on the implementation of the </w:t>
      </w:r>
      <w:r w:rsidR="0007275C" w:rsidRPr="00FC3C3B">
        <w:rPr>
          <w:rFonts w:eastAsia="Times New Roman"/>
          <w:noProof/>
        </w:rPr>
        <w:t>Platform</w:t>
      </w:r>
      <w:r w:rsidR="00550165" w:rsidRPr="00FC3C3B">
        <w:rPr>
          <w:noProof/>
        </w:rPr>
        <w:t xml:space="preserve">. </w:t>
      </w:r>
    </w:p>
    <w:p w14:paraId="7CA8E9FD" w14:textId="77777777" w:rsidR="002C7991" w:rsidRPr="00FC3C3B" w:rsidRDefault="00323DD4" w:rsidP="00323DD4">
      <w:pPr>
        <w:pStyle w:val="ManualNumPar1"/>
        <w:rPr>
          <w:noProof/>
        </w:rPr>
      </w:pPr>
      <w:r w:rsidRPr="00FC3C3B">
        <w:rPr>
          <w:noProof/>
        </w:rPr>
        <w:t>2.</w:t>
      </w:r>
      <w:r w:rsidRPr="00FC3C3B">
        <w:rPr>
          <w:noProof/>
        </w:rPr>
        <w:tab/>
      </w:r>
      <w:r w:rsidR="00550165" w:rsidRPr="00FC3C3B">
        <w:rPr>
          <w:noProof/>
        </w:rPr>
        <w:t xml:space="preserve">The annual report shall include consolidated information on the progress made in implementing the </w:t>
      </w:r>
      <w:r w:rsidR="0007275C" w:rsidRPr="00FC3C3B">
        <w:rPr>
          <w:rFonts w:eastAsia="Times New Roman"/>
          <w:noProof/>
        </w:rPr>
        <w:t>Platform</w:t>
      </w:r>
      <w:r w:rsidR="00550165" w:rsidRPr="00FC3C3B">
        <w:rPr>
          <w:noProof/>
        </w:rPr>
        <w:t xml:space="preserve"> objectives under each of the programmes</w:t>
      </w:r>
      <w:r w:rsidR="00152289" w:rsidRPr="00FC3C3B">
        <w:rPr>
          <w:noProof/>
        </w:rPr>
        <w:t xml:space="preserve"> and funds</w:t>
      </w:r>
      <w:r w:rsidR="00550165" w:rsidRPr="00FC3C3B">
        <w:rPr>
          <w:noProof/>
        </w:rPr>
        <w:t>.</w:t>
      </w:r>
    </w:p>
    <w:p w14:paraId="77259720" w14:textId="77777777" w:rsidR="002C7991" w:rsidRPr="00FC3C3B" w:rsidRDefault="00323DD4" w:rsidP="00323DD4">
      <w:pPr>
        <w:pStyle w:val="ManualNumPar1"/>
        <w:rPr>
          <w:noProof/>
        </w:rPr>
      </w:pPr>
      <w:r w:rsidRPr="00FC3C3B">
        <w:rPr>
          <w:noProof/>
        </w:rPr>
        <w:t>3.</w:t>
      </w:r>
      <w:r w:rsidRPr="00FC3C3B">
        <w:rPr>
          <w:noProof/>
        </w:rPr>
        <w:tab/>
      </w:r>
      <w:r w:rsidR="00550165" w:rsidRPr="00FC3C3B">
        <w:rPr>
          <w:noProof/>
        </w:rPr>
        <w:t>The annual report shall also include the following information:</w:t>
      </w:r>
    </w:p>
    <w:p w14:paraId="7823AF84" w14:textId="77777777" w:rsidR="002C7991" w:rsidRPr="00FC3C3B" w:rsidRDefault="00323DD4" w:rsidP="00323DD4">
      <w:pPr>
        <w:pStyle w:val="Point1"/>
        <w:rPr>
          <w:noProof/>
        </w:rPr>
      </w:pPr>
      <w:r w:rsidRPr="00FC3C3B">
        <w:rPr>
          <w:noProof/>
        </w:rPr>
        <w:t>(a)</w:t>
      </w:r>
      <w:r w:rsidRPr="00FC3C3B">
        <w:rPr>
          <w:noProof/>
        </w:rPr>
        <w:tab/>
      </w:r>
      <w:r w:rsidR="00550165" w:rsidRPr="00FC3C3B">
        <w:rPr>
          <w:noProof/>
        </w:rPr>
        <w:t xml:space="preserve">overall expenditure </w:t>
      </w:r>
      <w:r w:rsidR="00581EBD" w:rsidRPr="00FC3C3B">
        <w:rPr>
          <w:noProof/>
        </w:rPr>
        <w:t xml:space="preserve">of the </w:t>
      </w:r>
      <w:r w:rsidR="00C6425B" w:rsidRPr="00FC3C3B">
        <w:rPr>
          <w:noProof/>
        </w:rPr>
        <w:t>STEP</w:t>
      </w:r>
      <w:r w:rsidR="00581EBD" w:rsidRPr="00FC3C3B">
        <w:rPr>
          <w:noProof/>
        </w:rPr>
        <w:t xml:space="preserve"> </w:t>
      </w:r>
      <w:r w:rsidR="00550165" w:rsidRPr="00FC3C3B">
        <w:rPr>
          <w:noProof/>
        </w:rPr>
        <w:t xml:space="preserve">financed under the respective programmes; </w:t>
      </w:r>
    </w:p>
    <w:p w14:paraId="0C1155C4" w14:textId="77777777" w:rsidR="002C7991" w:rsidRPr="00FC3C3B" w:rsidRDefault="00323DD4" w:rsidP="00323DD4">
      <w:pPr>
        <w:pStyle w:val="Point1"/>
        <w:rPr>
          <w:noProof/>
        </w:rPr>
      </w:pPr>
      <w:r w:rsidRPr="00FC3C3B">
        <w:rPr>
          <w:noProof/>
        </w:rPr>
        <w:t>(b)</w:t>
      </w:r>
      <w:r w:rsidRPr="00FC3C3B">
        <w:rPr>
          <w:noProof/>
        </w:rPr>
        <w:tab/>
      </w:r>
      <w:r w:rsidR="00550165" w:rsidRPr="00FC3C3B">
        <w:rPr>
          <w:noProof/>
        </w:rPr>
        <w:t xml:space="preserve">the performance of the </w:t>
      </w:r>
      <w:r w:rsidR="00C6425B" w:rsidRPr="00FC3C3B">
        <w:rPr>
          <w:noProof/>
        </w:rPr>
        <w:t>STEP</w:t>
      </w:r>
      <w:r w:rsidR="00462B90" w:rsidRPr="00FC3C3B">
        <w:rPr>
          <w:noProof/>
        </w:rPr>
        <w:t xml:space="preserve"> </w:t>
      </w:r>
      <w:r w:rsidR="00550165" w:rsidRPr="00FC3C3B">
        <w:rPr>
          <w:noProof/>
        </w:rPr>
        <w:t xml:space="preserve">based on the </w:t>
      </w:r>
      <w:r w:rsidR="0051609E" w:rsidRPr="00FC3C3B">
        <w:rPr>
          <w:noProof/>
        </w:rPr>
        <w:t xml:space="preserve">performance </w:t>
      </w:r>
      <w:r w:rsidR="00550165" w:rsidRPr="00FC3C3B">
        <w:rPr>
          <w:noProof/>
        </w:rPr>
        <w:t xml:space="preserve">indicators </w:t>
      </w:r>
      <w:r w:rsidR="002361D3" w:rsidRPr="00FC3C3B">
        <w:rPr>
          <w:noProof/>
        </w:rPr>
        <w:t>defined under the respective</w:t>
      </w:r>
      <w:r w:rsidR="002361D3" w:rsidRPr="00FC3C3B">
        <w:rPr>
          <w:rFonts w:eastAsia="Times New Roman"/>
          <w:noProof/>
          <w:color w:val="000000" w:themeColor="text1"/>
          <w:szCs w:val="24"/>
          <w:lang w:val="en-IE"/>
        </w:rPr>
        <w:t xml:space="preserve"> programmes</w:t>
      </w:r>
      <w:r w:rsidR="00550165" w:rsidRPr="00FC3C3B">
        <w:rPr>
          <w:noProof/>
        </w:rPr>
        <w:t>.</w:t>
      </w:r>
    </w:p>
    <w:p w14:paraId="1013E898" w14:textId="77777777" w:rsidR="002C7991" w:rsidRPr="00FC3C3B" w:rsidRDefault="00550165" w:rsidP="009B1B7F">
      <w:pPr>
        <w:pStyle w:val="Titrearticle"/>
        <w:rPr>
          <w:b/>
          <w:bCs/>
          <w:i w:val="0"/>
          <w:noProof/>
        </w:rPr>
      </w:pPr>
      <w:r w:rsidRPr="00FC3C3B">
        <w:rPr>
          <w:noProof/>
        </w:rPr>
        <w:t xml:space="preserve">Article </w:t>
      </w:r>
      <w:r w:rsidR="009454C4" w:rsidRPr="00FC3C3B">
        <w:rPr>
          <w:noProof/>
        </w:rPr>
        <w:t>8</w:t>
      </w:r>
      <w:r w:rsidR="009B1B7F" w:rsidRPr="00FC3C3B">
        <w:rPr>
          <w:noProof/>
        </w:rPr>
        <w:br/>
      </w:r>
      <w:r w:rsidRPr="00FC3C3B">
        <w:rPr>
          <w:b/>
          <w:bCs/>
          <w:i w:val="0"/>
          <w:noProof/>
        </w:rPr>
        <w:t xml:space="preserve">Evaluation of the </w:t>
      </w:r>
      <w:r w:rsidR="0007275C" w:rsidRPr="00FC3C3B">
        <w:rPr>
          <w:b/>
          <w:bCs/>
          <w:i w:val="0"/>
          <w:noProof/>
        </w:rPr>
        <w:t>Platform</w:t>
      </w:r>
    </w:p>
    <w:p w14:paraId="66CEBF05" w14:textId="77777777" w:rsidR="002C7991" w:rsidRPr="00FC3C3B" w:rsidRDefault="00323DD4" w:rsidP="00323DD4">
      <w:pPr>
        <w:pStyle w:val="ManualNumPar1"/>
        <w:rPr>
          <w:noProof/>
          <w:lang w:val="en-IE"/>
        </w:rPr>
      </w:pPr>
      <w:r w:rsidRPr="00FC3C3B">
        <w:rPr>
          <w:noProof/>
        </w:rPr>
        <w:t>1.</w:t>
      </w:r>
      <w:r w:rsidRPr="00FC3C3B">
        <w:rPr>
          <w:noProof/>
        </w:rPr>
        <w:tab/>
      </w:r>
      <w:r w:rsidR="00550165" w:rsidRPr="00FC3C3B">
        <w:rPr>
          <w:noProof/>
          <w:lang w:val="en-IE"/>
        </w:rPr>
        <w:t>B</w:t>
      </w:r>
      <w:r w:rsidR="00550165" w:rsidRPr="00FC3C3B">
        <w:rPr>
          <w:noProof/>
        </w:rPr>
        <w:t xml:space="preserve">y 31 December 2025, the Commission shall provide the European Parliament and the Council with an evaluation report on the implementation of the </w:t>
      </w:r>
      <w:r w:rsidR="0007275C" w:rsidRPr="00FC3C3B">
        <w:rPr>
          <w:noProof/>
        </w:rPr>
        <w:t>Platform</w:t>
      </w:r>
      <w:r w:rsidR="00550165" w:rsidRPr="00FC3C3B">
        <w:rPr>
          <w:noProof/>
        </w:rPr>
        <w:t xml:space="preserve">. </w:t>
      </w:r>
    </w:p>
    <w:p w14:paraId="24831EAD" w14:textId="77777777" w:rsidR="002C7991" w:rsidRPr="00FC3C3B" w:rsidRDefault="00323DD4" w:rsidP="00323DD4">
      <w:pPr>
        <w:pStyle w:val="ManualNumPar1"/>
        <w:rPr>
          <w:noProof/>
          <w:lang w:val="en-IE"/>
        </w:rPr>
      </w:pPr>
      <w:r w:rsidRPr="00FC3C3B">
        <w:rPr>
          <w:noProof/>
        </w:rPr>
        <w:t>2.</w:t>
      </w:r>
      <w:r w:rsidRPr="00FC3C3B">
        <w:rPr>
          <w:noProof/>
        </w:rPr>
        <w:tab/>
      </w:r>
      <w:r w:rsidR="00550165" w:rsidRPr="00FC3C3B">
        <w:rPr>
          <w:noProof/>
        </w:rPr>
        <w:t xml:space="preserve">The evaluation report shall, in particular, assess to which extent the objectives have been achieved, the efficiency of the use of the resources and the European added value. It shall </w:t>
      </w:r>
      <w:r w:rsidR="00550165" w:rsidRPr="00FC3C3B" w:rsidDel="00850D1B">
        <w:rPr>
          <w:noProof/>
        </w:rPr>
        <w:t>also consider the continued relevance of all objectives and actions</w:t>
      </w:r>
      <w:r w:rsidR="00C73FB4" w:rsidRPr="00FC3C3B">
        <w:rPr>
          <w:noProof/>
        </w:rPr>
        <w:t>, in view of their potential upscaling</w:t>
      </w:r>
      <w:r w:rsidR="00550165" w:rsidRPr="00FC3C3B" w:rsidDel="00850D1B">
        <w:rPr>
          <w:noProof/>
        </w:rPr>
        <w:t>.</w:t>
      </w:r>
    </w:p>
    <w:p w14:paraId="553C8FFD" w14:textId="77777777" w:rsidR="002C7991" w:rsidRPr="00FC3C3B" w:rsidRDefault="00323DD4" w:rsidP="00323DD4">
      <w:pPr>
        <w:pStyle w:val="ManualNumPar1"/>
        <w:rPr>
          <w:noProof/>
          <w:lang w:val="en-IE"/>
        </w:rPr>
      </w:pPr>
      <w:r w:rsidRPr="00FC3C3B">
        <w:rPr>
          <w:noProof/>
        </w:rPr>
        <w:t>3.</w:t>
      </w:r>
      <w:r w:rsidRPr="00FC3C3B">
        <w:rPr>
          <w:noProof/>
        </w:rPr>
        <w:tab/>
      </w:r>
      <w:r w:rsidR="00550165" w:rsidRPr="00FC3C3B">
        <w:rPr>
          <w:noProof/>
        </w:rPr>
        <w:t>Where appropriate, the evaluation shall be accompanied by a proposal for amendments of this Regulation</w:t>
      </w:r>
      <w:r w:rsidR="00550165" w:rsidRPr="00FC3C3B">
        <w:rPr>
          <w:noProof/>
          <w:lang w:val="en-IE"/>
        </w:rPr>
        <w:t>.</w:t>
      </w:r>
    </w:p>
    <w:p w14:paraId="0F6CBF25" w14:textId="77777777" w:rsidR="002C7991" w:rsidRPr="00FC3C3B" w:rsidRDefault="00550165">
      <w:pPr>
        <w:pStyle w:val="ChapterTitle"/>
        <w:spacing w:after="120"/>
        <w:rPr>
          <w:noProof/>
        </w:rPr>
      </w:pPr>
      <w:r w:rsidRPr="00FC3C3B">
        <w:rPr>
          <w:noProof/>
        </w:rPr>
        <w:t>CHAPTER 2</w:t>
      </w:r>
    </w:p>
    <w:p w14:paraId="59EDA6F0" w14:textId="77777777" w:rsidR="002C7991" w:rsidRPr="00FC3C3B" w:rsidRDefault="00550165">
      <w:pPr>
        <w:pStyle w:val="ChapterTitle"/>
        <w:rPr>
          <w:noProof/>
        </w:rPr>
      </w:pPr>
      <w:r w:rsidRPr="00FC3C3B">
        <w:rPr>
          <w:noProof/>
        </w:rPr>
        <w:t>AMENDMENTS</w:t>
      </w:r>
    </w:p>
    <w:p w14:paraId="0D2A1D62" w14:textId="77777777" w:rsidR="002C7991" w:rsidRPr="00FC3C3B" w:rsidRDefault="00550165">
      <w:pPr>
        <w:pStyle w:val="Titrearticle"/>
        <w:rPr>
          <w:noProof/>
        </w:rPr>
      </w:pPr>
      <w:r w:rsidRPr="00FC3C3B">
        <w:rPr>
          <w:noProof/>
        </w:rPr>
        <w:t xml:space="preserve">Article </w:t>
      </w:r>
      <w:r w:rsidR="009454C4" w:rsidRPr="00FC3C3B">
        <w:rPr>
          <w:noProof/>
        </w:rPr>
        <w:t>9</w:t>
      </w:r>
    </w:p>
    <w:p w14:paraId="23B5E410" w14:textId="77777777" w:rsidR="002C7991" w:rsidRPr="00FC3C3B" w:rsidRDefault="00550165">
      <w:pPr>
        <w:jc w:val="center"/>
        <w:rPr>
          <w:b/>
          <w:bCs/>
          <w:noProof/>
        </w:rPr>
      </w:pPr>
      <w:r w:rsidRPr="00FC3C3B">
        <w:rPr>
          <w:b/>
          <w:bCs/>
          <w:noProof/>
        </w:rPr>
        <w:t>Amendments to Directive 2003/87/EC [ETS]</w:t>
      </w:r>
    </w:p>
    <w:p w14:paraId="13FAFAC7" w14:textId="77777777" w:rsidR="002C7991" w:rsidRPr="00FC3C3B" w:rsidRDefault="00550165">
      <w:pPr>
        <w:rPr>
          <w:noProof/>
        </w:rPr>
      </w:pPr>
      <w:r w:rsidRPr="00FC3C3B">
        <w:rPr>
          <w:noProof/>
        </w:rPr>
        <w:t>Directive 2003/87/EC is amended as follows:</w:t>
      </w:r>
    </w:p>
    <w:p w14:paraId="1E736A47" w14:textId="77777777" w:rsidR="002C7991" w:rsidRPr="00FC3C3B" w:rsidRDefault="00323DD4" w:rsidP="00323DD4">
      <w:pPr>
        <w:pStyle w:val="Point0"/>
        <w:rPr>
          <w:noProof/>
        </w:rPr>
      </w:pPr>
      <w:r w:rsidRPr="00FC3C3B">
        <w:rPr>
          <w:noProof/>
        </w:rPr>
        <w:t>(1)</w:t>
      </w:r>
      <w:r w:rsidRPr="00FC3C3B">
        <w:rPr>
          <w:noProof/>
        </w:rPr>
        <w:tab/>
      </w:r>
      <w:r w:rsidR="00550165" w:rsidRPr="00FC3C3B">
        <w:rPr>
          <w:noProof/>
        </w:rPr>
        <w:t xml:space="preserve">In Article 10a(8), the following </w:t>
      </w:r>
      <w:r w:rsidR="00640FD9" w:rsidRPr="00FC3C3B">
        <w:rPr>
          <w:noProof/>
        </w:rPr>
        <w:t>sixth</w:t>
      </w:r>
      <w:r w:rsidR="00550165" w:rsidRPr="00FC3C3B">
        <w:rPr>
          <w:noProof/>
        </w:rPr>
        <w:t xml:space="preserve"> subparagraph is inserted:</w:t>
      </w:r>
    </w:p>
    <w:p w14:paraId="4CC0F24B" w14:textId="77777777" w:rsidR="002C7991" w:rsidRPr="00FC3C3B" w:rsidRDefault="00550165" w:rsidP="009B1B7F">
      <w:pPr>
        <w:pStyle w:val="Text1"/>
        <w:rPr>
          <w:i/>
          <w:iCs/>
          <w:noProof/>
        </w:rPr>
      </w:pPr>
      <w:r w:rsidRPr="00FC3C3B">
        <w:rPr>
          <w:noProof/>
        </w:rPr>
        <w:t>‘</w:t>
      </w:r>
      <w:r w:rsidR="004E59D5" w:rsidRPr="00FC3C3B">
        <w:rPr>
          <w:iCs/>
          <w:noProof/>
        </w:rPr>
        <w:t xml:space="preserve">In addition to the </w:t>
      </w:r>
      <w:r w:rsidR="00D1322B" w:rsidRPr="00FC3C3B">
        <w:rPr>
          <w:iCs/>
          <w:noProof/>
        </w:rPr>
        <w:t>allowances referred to in the first to fifth subparagraphs</w:t>
      </w:r>
      <w:r w:rsidR="00C67049" w:rsidRPr="00FC3C3B">
        <w:rPr>
          <w:iCs/>
          <w:noProof/>
        </w:rPr>
        <w:t xml:space="preserve"> of this </w:t>
      </w:r>
      <w:r w:rsidR="00C67049" w:rsidRPr="00FC3C3B">
        <w:rPr>
          <w:noProof/>
        </w:rPr>
        <w:t>paragraph</w:t>
      </w:r>
      <w:r w:rsidR="00D1322B" w:rsidRPr="00FC3C3B">
        <w:rPr>
          <w:iCs/>
          <w:noProof/>
        </w:rPr>
        <w:t>, t</w:t>
      </w:r>
      <w:r w:rsidRPr="00FC3C3B">
        <w:rPr>
          <w:iCs/>
          <w:noProof/>
        </w:rPr>
        <w:t xml:space="preserve">he </w:t>
      </w:r>
      <w:r w:rsidR="00D1322B" w:rsidRPr="00FC3C3B">
        <w:rPr>
          <w:iCs/>
          <w:noProof/>
        </w:rPr>
        <w:t xml:space="preserve">Innovation Fund </w:t>
      </w:r>
      <w:r w:rsidRPr="00FC3C3B">
        <w:rPr>
          <w:iCs/>
          <w:noProof/>
        </w:rPr>
        <w:t xml:space="preserve">shall </w:t>
      </w:r>
      <w:r w:rsidR="00D1322B" w:rsidRPr="00FC3C3B">
        <w:rPr>
          <w:iCs/>
          <w:noProof/>
        </w:rPr>
        <w:t>also</w:t>
      </w:r>
      <w:r w:rsidRPr="00FC3C3B">
        <w:rPr>
          <w:iCs/>
          <w:noProof/>
        </w:rPr>
        <w:t xml:space="preserve"> implement a financial envelope for the period from 1 January 2024 to 31 December 2027 of EUR </w:t>
      </w:r>
      <w:r w:rsidR="004F0452">
        <w:rPr>
          <w:iCs/>
          <w:noProof/>
        </w:rPr>
        <w:t xml:space="preserve">5 </w:t>
      </w:r>
      <w:r w:rsidR="000615AF">
        <w:rPr>
          <w:iCs/>
          <w:noProof/>
        </w:rPr>
        <w:t>000 000 000</w:t>
      </w:r>
      <w:r w:rsidRPr="00FC3C3B">
        <w:rPr>
          <w:iCs/>
          <w:noProof/>
        </w:rPr>
        <w:t xml:space="preserve"> in current prices for supporting </w:t>
      </w:r>
      <w:r w:rsidR="008712B8" w:rsidRPr="00FC3C3B">
        <w:rPr>
          <w:iCs/>
          <w:noProof/>
        </w:rPr>
        <w:t xml:space="preserve">investments contributing to the </w:t>
      </w:r>
      <w:r w:rsidR="00C6425B" w:rsidRPr="00FC3C3B">
        <w:rPr>
          <w:iCs/>
          <w:noProof/>
        </w:rPr>
        <w:t>STEP</w:t>
      </w:r>
      <w:r w:rsidR="008712B8" w:rsidRPr="00FC3C3B">
        <w:rPr>
          <w:iCs/>
          <w:noProof/>
        </w:rPr>
        <w:t xml:space="preserve"> objective referred to in Article 2</w:t>
      </w:r>
      <w:r w:rsidR="0006135B" w:rsidRPr="00FC3C3B">
        <w:rPr>
          <w:iCs/>
          <w:noProof/>
        </w:rPr>
        <w:t xml:space="preserve">, point </w:t>
      </w:r>
      <w:r w:rsidR="008712B8" w:rsidRPr="00FC3C3B">
        <w:rPr>
          <w:iCs/>
          <w:noProof/>
        </w:rPr>
        <w:t>(a)(i</w:t>
      </w:r>
      <w:r w:rsidR="003877D3" w:rsidRPr="00FC3C3B">
        <w:rPr>
          <w:iCs/>
          <w:noProof/>
        </w:rPr>
        <w:t>i</w:t>
      </w:r>
      <w:r w:rsidR="008712B8" w:rsidRPr="00FC3C3B">
        <w:rPr>
          <w:iCs/>
          <w:noProof/>
        </w:rPr>
        <w:t>)</w:t>
      </w:r>
      <w:r w:rsidR="00CA19D7" w:rsidRPr="00FC3C3B">
        <w:rPr>
          <w:iCs/>
          <w:noProof/>
        </w:rPr>
        <w:t xml:space="preserve"> </w:t>
      </w:r>
      <w:r w:rsidR="008712B8" w:rsidRPr="00FC3C3B">
        <w:rPr>
          <w:iCs/>
          <w:noProof/>
        </w:rPr>
        <w:t xml:space="preserve">of Regulation </w:t>
      </w:r>
      <w:r w:rsidR="00E64863" w:rsidRPr="00FC3C3B">
        <w:rPr>
          <w:iCs/>
          <w:noProof/>
        </w:rPr>
        <w:t>.../...</w:t>
      </w:r>
      <w:r w:rsidR="00BD0621" w:rsidRPr="00FC3C3B">
        <w:rPr>
          <w:rStyle w:val="FootnoteReference"/>
          <w:iCs/>
          <w:noProof/>
        </w:rPr>
        <w:footnoteReference w:id="64"/>
      </w:r>
      <w:r w:rsidR="004F450F" w:rsidRPr="00FC3C3B">
        <w:rPr>
          <w:iCs/>
          <w:noProof/>
        </w:rPr>
        <w:t xml:space="preserve"> </w:t>
      </w:r>
      <w:r w:rsidRPr="00FC3C3B">
        <w:rPr>
          <w:iCs/>
          <w:noProof/>
        </w:rPr>
        <w:t>[</w:t>
      </w:r>
      <w:r w:rsidR="00C6425B" w:rsidRPr="00FC3C3B">
        <w:rPr>
          <w:iCs/>
          <w:noProof/>
        </w:rPr>
        <w:t>STEP</w:t>
      </w:r>
      <w:r w:rsidR="004F450F" w:rsidRPr="00FC3C3B">
        <w:rPr>
          <w:iCs/>
          <w:noProof/>
        </w:rPr>
        <w:t xml:space="preserve"> Regulation</w:t>
      </w:r>
      <w:r w:rsidRPr="00FC3C3B">
        <w:rPr>
          <w:iCs/>
          <w:noProof/>
        </w:rPr>
        <w:t>].</w:t>
      </w:r>
      <w:r w:rsidR="00C43402" w:rsidRPr="00FC3C3B">
        <w:rPr>
          <w:iCs/>
          <w:noProof/>
        </w:rPr>
        <w:t xml:space="preserve"> Th</w:t>
      </w:r>
      <w:r w:rsidR="009321DF" w:rsidRPr="00FC3C3B">
        <w:rPr>
          <w:iCs/>
          <w:noProof/>
        </w:rPr>
        <w:t xml:space="preserve">is financial envelope shall be </w:t>
      </w:r>
      <w:r w:rsidR="002A2BA6" w:rsidRPr="00FC3C3B">
        <w:rPr>
          <w:iCs/>
          <w:noProof/>
        </w:rPr>
        <w:t>made available to support investments</w:t>
      </w:r>
      <w:r w:rsidR="000A28CA" w:rsidRPr="00FC3C3B">
        <w:rPr>
          <w:iCs/>
          <w:noProof/>
        </w:rPr>
        <w:t xml:space="preserve"> only </w:t>
      </w:r>
      <w:r w:rsidR="000A28CA" w:rsidRPr="00FC3C3B">
        <w:rPr>
          <w:noProof/>
        </w:rPr>
        <w:t>in Member States whose average GDP per capita is below the EU average of the EU-27 measured in purchasing power standards (PPS) and calculated on the basis of Union figures for the period 2015-2017</w:t>
      </w:r>
      <w:r w:rsidRPr="00FC3C3B">
        <w:rPr>
          <w:noProof/>
        </w:rPr>
        <w:t>’</w:t>
      </w:r>
    </w:p>
    <w:p w14:paraId="211C128C" w14:textId="77777777" w:rsidR="002C7991" w:rsidRPr="00FC3C3B" w:rsidRDefault="00550165">
      <w:pPr>
        <w:pStyle w:val="Titrearticle"/>
        <w:rPr>
          <w:noProof/>
        </w:rPr>
      </w:pPr>
      <w:r w:rsidRPr="00FC3C3B">
        <w:rPr>
          <w:noProof/>
        </w:rPr>
        <w:t xml:space="preserve">Article </w:t>
      </w:r>
      <w:r w:rsidR="009454C4" w:rsidRPr="00FC3C3B">
        <w:rPr>
          <w:noProof/>
        </w:rPr>
        <w:t>10</w:t>
      </w:r>
    </w:p>
    <w:p w14:paraId="4D003C88" w14:textId="77777777" w:rsidR="002C7991" w:rsidRPr="00FC3C3B" w:rsidRDefault="00550165">
      <w:pPr>
        <w:jc w:val="center"/>
        <w:rPr>
          <w:b/>
          <w:bCs/>
          <w:noProof/>
        </w:rPr>
      </w:pPr>
      <w:r w:rsidRPr="00FC3C3B">
        <w:rPr>
          <w:b/>
          <w:bCs/>
          <w:noProof/>
        </w:rPr>
        <w:t>Amendments to Regulation (EU) 2021/1058 [ERDF and CF]</w:t>
      </w:r>
    </w:p>
    <w:p w14:paraId="1D1F05AD" w14:textId="77777777" w:rsidR="002C7991" w:rsidRPr="00FC3C3B" w:rsidRDefault="00550165">
      <w:pPr>
        <w:rPr>
          <w:noProof/>
        </w:rPr>
      </w:pPr>
      <w:r w:rsidRPr="00FC3C3B">
        <w:rPr>
          <w:noProof/>
        </w:rPr>
        <w:t>Regulation (EU) 2021/1058 is amended as follows:</w:t>
      </w:r>
    </w:p>
    <w:p w14:paraId="4A297046" w14:textId="77777777" w:rsidR="002C7991" w:rsidRPr="00FC3C3B" w:rsidRDefault="00323DD4" w:rsidP="00323DD4">
      <w:pPr>
        <w:pStyle w:val="Point0"/>
        <w:rPr>
          <w:noProof/>
        </w:rPr>
      </w:pPr>
      <w:r w:rsidRPr="00FC3C3B">
        <w:rPr>
          <w:noProof/>
        </w:rPr>
        <w:t>(1)</w:t>
      </w:r>
      <w:r w:rsidRPr="00FC3C3B">
        <w:rPr>
          <w:noProof/>
        </w:rPr>
        <w:tab/>
      </w:r>
      <w:r w:rsidR="00550165" w:rsidRPr="00FC3C3B">
        <w:rPr>
          <w:noProof/>
        </w:rPr>
        <w:t>In Article 3(1)</w:t>
      </w:r>
      <w:r w:rsidR="003B3936" w:rsidRPr="00FC3C3B">
        <w:rPr>
          <w:noProof/>
        </w:rPr>
        <w:t xml:space="preserve">, point </w:t>
      </w:r>
      <w:r w:rsidR="00550165" w:rsidRPr="00FC3C3B">
        <w:rPr>
          <w:noProof/>
        </w:rPr>
        <w:t>(a), the following point is added:</w:t>
      </w:r>
    </w:p>
    <w:p w14:paraId="32C510A3" w14:textId="77777777" w:rsidR="002C7991" w:rsidRPr="00FC3C3B" w:rsidRDefault="00550165" w:rsidP="009B1B7F">
      <w:pPr>
        <w:pStyle w:val="Text1"/>
        <w:rPr>
          <w:noProof/>
        </w:rPr>
      </w:pPr>
      <w:r w:rsidRPr="00FC3C3B">
        <w:rPr>
          <w:noProof/>
        </w:rPr>
        <w:t xml:space="preserve">‘(vi) supporting investments contributing to the </w:t>
      </w:r>
      <w:r w:rsidR="00C6425B" w:rsidRPr="00FC3C3B">
        <w:rPr>
          <w:noProof/>
        </w:rPr>
        <w:t xml:space="preserve">STEP </w:t>
      </w:r>
      <w:r w:rsidR="00790827" w:rsidRPr="00FC3C3B">
        <w:rPr>
          <w:noProof/>
        </w:rPr>
        <w:t>objectives</w:t>
      </w:r>
      <w:r w:rsidRPr="00FC3C3B">
        <w:rPr>
          <w:noProof/>
        </w:rPr>
        <w:t xml:space="preserve"> </w:t>
      </w:r>
      <w:r w:rsidR="00EB1B27" w:rsidRPr="00FC3C3B">
        <w:rPr>
          <w:noProof/>
        </w:rPr>
        <w:t>referred to in</w:t>
      </w:r>
      <w:r w:rsidRPr="00FC3C3B">
        <w:rPr>
          <w:noProof/>
        </w:rPr>
        <w:t xml:space="preserve"> Article </w:t>
      </w:r>
      <w:r w:rsidR="0016663D" w:rsidRPr="00FC3C3B">
        <w:rPr>
          <w:noProof/>
        </w:rPr>
        <w:t xml:space="preserve">2 </w:t>
      </w:r>
      <w:r w:rsidRPr="00FC3C3B">
        <w:rPr>
          <w:noProof/>
        </w:rPr>
        <w:t xml:space="preserve">of </w:t>
      </w:r>
      <w:r w:rsidR="00DA5F25" w:rsidRPr="00FC3C3B">
        <w:rPr>
          <w:iCs/>
          <w:noProof/>
        </w:rPr>
        <w:t xml:space="preserve">Regulation </w:t>
      </w:r>
      <w:r w:rsidR="00DA5F25" w:rsidRPr="00FC3C3B">
        <w:rPr>
          <w:noProof/>
        </w:rPr>
        <w:t>.../...</w:t>
      </w:r>
      <w:r w:rsidR="00DA5F25" w:rsidRPr="00FC3C3B">
        <w:rPr>
          <w:rStyle w:val="FootnoteReference"/>
          <w:noProof/>
        </w:rPr>
        <w:footnoteReference w:id="65"/>
      </w:r>
      <w:r w:rsidR="00DA5F25" w:rsidRPr="00FC3C3B">
        <w:rPr>
          <w:noProof/>
        </w:rPr>
        <w:t xml:space="preserve"> </w:t>
      </w:r>
      <w:r w:rsidR="00DA5F25" w:rsidRPr="00FC3C3B">
        <w:rPr>
          <w:iCs/>
          <w:noProof/>
        </w:rPr>
        <w:t>[</w:t>
      </w:r>
      <w:r w:rsidR="00C6425B" w:rsidRPr="00FC3C3B">
        <w:rPr>
          <w:noProof/>
        </w:rPr>
        <w:t>STEP</w:t>
      </w:r>
      <w:r w:rsidR="00DA5F25" w:rsidRPr="00FC3C3B">
        <w:rPr>
          <w:noProof/>
        </w:rPr>
        <w:t xml:space="preserve"> Regulation</w:t>
      </w:r>
      <w:r w:rsidR="00DA5F25" w:rsidRPr="00FC3C3B">
        <w:rPr>
          <w:iCs/>
          <w:noProof/>
        </w:rPr>
        <w:t>]</w:t>
      </w:r>
      <w:r w:rsidRPr="00FC3C3B">
        <w:rPr>
          <w:noProof/>
        </w:rPr>
        <w:t>’</w:t>
      </w:r>
    </w:p>
    <w:p w14:paraId="4D1C0392" w14:textId="77777777" w:rsidR="002C7991" w:rsidRPr="00FC3C3B" w:rsidRDefault="00323DD4" w:rsidP="00323DD4">
      <w:pPr>
        <w:pStyle w:val="Point0"/>
        <w:rPr>
          <w:noProof/>
        </w:rPr>
      </w:pPr>
      <w:r w:rsidRPr="00FC3C3B">
        <w:rPr>
          <w:noProof/>
        </w:rPr>
        <w:t>(2)</w:t>
      </w:r>
      <w:r w:rsidRPr="00FC3C3B">
        <w:rPr>
          <w:noProof/>
        </w:rPr>
        <w:tab/>
      </w:r>
      <w:r w:rsidR="00550165" w:rsidRPr="00FC3C3B">
        <w:rPr>
          <w:noProof/>
        </w:rPr>
        <w:t>In Article 3(1)</w:t>
      </w:r>
      <w:r w:rsidR="003B3936" w:rsidRPr="00FC3C3B">
        <w:rPr>
          <w:noProof/>
        </w:rPr>
        <w:t xml:space="preserve">, point </w:t>
      </w:r>
      <w:r w:rsidR="00550165" w:rsidRPr="00FC3C3B">
        <w:rPr>
          <w:noProof/>
        </w:rPr>
        <w:t>(b), the following point is added:</w:t>
      </w:r>
    </w:p>
    <w:p w14:paraId="46C1E762" w14:textId="77777777" w:rsidR="002C7991" w:rsidRPr="00FC3C3B" w:rsidRDefault="00550165" w:rsidP="009B1B7F">
      <w:pPr>
        <w:pStyle w:val="Text1"/>
        <w:rPr>
          <w:noProof/>
        </w:rPr>
      </w:pPr>
      <w:r w:rsidRPr="00FC3C3B">
        <w:rPr>
          <w:noProof/>
        </w:rPr>
        <w:t xml:space="preserve">‘(ix) supporting investments contributing to </w:t>
      </w:r>
      <w:r w:rsidR="00F01CBD" w:rsidRPr="00FC3C3B">
        <w:rPr>
          <w:noProof/>
        </w:rPr>
        <w:t>the</w:t>
      </w:r>
      <w:r w:rsidRPr="00FC3C3B">
        <w:rPr>
          <w:noProof/>
        </w:rPr>
        <w:t xml:space="preserve"> </w:t>
      </w:r>
      <w:r w:rsidR="00C6425B" w:rsidRPr="00FC3C3B">
        <w:rPr>
          <w:noProof/>
        </w:rPr>
        <w:t>STEP</w:t>
      </w:r>
      <w:r w:rsidR="00263A12" w:rsidRPr="00FC3C3B">
        <w:rPr>
          <w:noProof/>
        </w:rPr>
        <w:t xml:space="preserve"> </w:t>
      </w:r>
      <w:r w:rsidRPr="00FC3C3B">
        <w:rPr>
          <w:noProof/>
        </w:rPr>
        <w:t xml:space="preserve">objective </w:t>
      </w:r>
      <w:r w:rsidR="006C2F1B" w:rsidRPr="00FC3C3B">
        <w:rPr>
          <w:noProof/>
        </w:rPr>
        <w:t xml:space="preserve">referred to </w:t>
      </w:r>
      <w:r w:rsidRPr="00FC3C3B">
        <w:rPr>
          <w:noProof/>
        </w:rPr>
        <w:t xml:space="preserve">in Article </w:t>
      </w:r>
      <w:r w:rsidR="00F375E3" w:rsidRPr="00FC3C3B">
        <w:rPr>
          <w:noProof/>
        </w:rPr>
        <w:t>2</w:t>
      </w:r>
      <w:r w:rsidR="006B0819" w:rsidRPr="00FC3C3B">
        <w:rPr>
          <w:noProof/>
        </w:rPr>
        <w:t>(1)</w:t>
      </w:r>
      <w:r w:rsidR="003B3936" w:rsidRPr="00FC3C3B">
        <w:rPr>
          <w:noProof/>
        </w:rPr>
        <w:t xml:space="preserve">, point </w:t>
      </w:r>
      <w:r w:rsidR="00F375E3" w:rsidRPr="00FC3C3B">
        <w:rPr>
          <w:noProof/>
        </w:rPr>
        <w:t>(a)(i</w:t>
      </w:r>
      <w:r w:rsidR="00DE4C09" w:rsidRPr="00FC3C3B">
        <w:rPr>
          <w:noProof/>
        </w:rPr>
        <w:t>i</w:t>
      </w:r>
      <w:r w:rsidR="00F375E3" w:rsidRPr="00FC3C3B">
        <w:rPr>
          <w:noProof/>
        </w:rPr>
        <w:t xml:space="preserve">) </w:t>
      </w:r>
      <w:r w:rsidRPr="00FC3C3B">
        <w:rPr>
          <w:noProof/>
        </w:rPr>
        <w:t xml:space="preserve">of </w:t>
      </w:r>
      <w:r w:rsidR="00F6319B" w:rsidRPr="00FC3C3B">
        <w:rPr>
          <w:noProof/>
        </w:rPr>
        <w:t>Regulation .../... [</w:t>
      </w:r>
      <w:r w:rsidR="00C6425B" w:rsidRPr="00FC3C3B">
        <w:rPr>
          <w:noProof/>
        </w:rPr>
        <w:t>STEP</w:t>
      </w:r>
      <w:r w:rsidR="00F6319B" w:rsidRPr="00FC3C3B">
        <w:rPr>
          <w:noProof/>
        </w:rPr>
        <w:t xml:space="preserve"> Regulation]</w:t>
      </w:r>
      <w:r w:rsidRPr="00FC3C3B">
        <w:rPr>
          <w:noProof/>
        </w:rPr>
        <w:t>’</w:t>
      </w:r>
    </w:p>
    <w:p w14:paraId="17D6714C" w14:textId="77777777" w:rsidR="002C7991" w:rsidRPr="00FC3C3B" w:rsidRDefault="00323DD4" w:rsidP="00323DD4">
      <w:pPr>
        <w:pStyle w:val="Point0"/>
        <w:rPr>
          <w:noProof/>
        </w:rPr>
      </w:pPr>
      <w:r w:rsidRPr="00FC3C3B">
        <w:rPr>
          <w:noProof/>
        </w:rPr>
        <w:t>(3)</w:t>
      </w:r>
      <w:r w:rsidRPr="00FC3C3B">
        <w:rPr>
          <w:noProof/>
        </w:rPr>
        <w:tab/>
      </w:r>
      <w:r w:rsidR="00550165" w:rsidRPr="00FC3C3B">
        <w:rPr>
          <w:noProof/>
        </w:rPr>
        <w:t xml:space="preserve">In Article 3, the following paragraph 1a is inserted: </w:t>
      </w:r>
    </w:p>
    <w:p w14:paraId="18C52A28" w14:textId="77777777" w:rsidR="002C7991" w:rsidRPr="00FC3C3B" w:rsidRDefault="00550165">
      <w:pPr>
        <w:pStyle w:val="Text1"/>
        <w:rPr>
          <w:noProof/>
        </w:rPr>
      </w:pPr>
      <w:r w:rsidRPr="00FC3C3B">
        <w:rPr>
          <w:noProof/>
        </w:rPr>
        <w:t>The resources under the specific objective referred to in Article 3(1)</w:t>
      </w:r>
      <w:r w:rsidR="00490CCD" w:rsidRPr="00FC3C3B">
        <w:rPr>
          <w:noProof/>
        </w:rPr>
        <w:t>, first subparagraph, points (a)(vi) and (b)(ix</w:t>
      </w:r>
      <w:r w:rsidRPr="00FC3C3B">
        <w:rPr>
          <w:noProof/>
        </w:rPr>
        <w:t xml:space="preserve">) shall be programmed under dedicated priorities corresponding to the respective policy objective. </w:t>
      </w:r>
    </w:p>
    <w:p w14:paraId="5EEF0730" w14:textId="77777777" w:rsidR="002C7991" w:rsidRPr="00FC3C3B" w:rsidRDefault="00550165">
      <w:pPr>
        <w:pStyle w:val="Text1"/>
        <w:rPr>
          <w:noProof/>
        </w:rPr>
      </w:pPr>
      <w:r w:rsidRPr="00FC3C3B">
        <w:rPr>
          <w:noProof/>
        </w:rPr>
        <w:t xml:space="preserve">The Commission shall pay 30 % of the ERDF allocation to that priority as set out in the decision approving the programme amendment as  exceptional </w:t>
      </w:r>
      <w:r w:rsidR="000A7ECA" w:rsidRPr="00FC3C3B">
        <w:rPr>
          <w:noProof/>
        </w:rPr>
        <w:t xml:space="preserve">one-off </w:t>
      </w:r>
      <w:r w:rsidRPr="00FC3C3B">
        <w:rPr>
          <w:noProof/>
        </w:rPr>
        <w:t xml:space="preserve">pre-financing in addition to the yearly pre-financing for the programme provided for in Article 90(1) and (2) of Regulation (EU) 2021/1060 or in Article 51(2), (3) and (4) of Regulation (EU) 2021/1059. The exceptional pre-financing shall be paid </w:t>
      </w:r>
      <w:r w:rsidR="00D75078" w:rsidRPr="00FC3C3B">
        <w:rPr>
          <w:noProof/>
        </w:rPr>
        <w:t xml:space="preserve">by </w:t>
      </w:r>
      <w:r w:rsidR="009E54CF" w:rsidRPr="00FC3C3B">
        <w:rPr>
          <w:noProof/>
        </w:rPr>
        <w:t>31 December 2024</w:t>
      </w:r>
      <w:r w:rsidR="00BB1AE1" w:rsidRPr="00FC3C3B">
        <w:rPr>
          <w:noProof/>
        </w:rPr>
        <w:t xml:space="preserve">, </w:t>
      </w:r>
      <w:r w:rsidR="006213EA" w:rsidRPr="00FC3C3B">
        <w:rPr>
          <w:noProof/>
        </w:rPr>
        <w:t xml:space="preserve">provided </w:t>
      </w:r>
      <w:r w:rsidRPr="00FC3C3B">
        <w:rPr>
          <w:noProof/>
        </w:rPr>
        <w:t xml:space="preserve">the </w:t>
      </w:r>
      <w:r w:rsidR="00A47AE9" w:rsidRPr="00FC3C3B">
        <w:rPr>
          <w:noProof/>
        </w:rPr>
        <w:t>Commission has adopted</w:t>
      </w:r>
      <w:r w:rsidRPr="00FC3C3B">
        <w:rPr>
          <w:noProof/>
        </w:rPr>
        <w:t xml:space="preserve"> the decision approving the programme amendment</w:t>
      </w:r>
      <w:r w:rsidR="00300451" w:rsidRPr="00FC3C3B">
        <w:rPr>
          <w:noProof/>
        </w:rPr>
        <w:t xml:space="preserve"> </w:t>
      </w:r>
      <w:r w:rsidR="000A7ECA" w:rsidRPr="00FC3C3B">
        <w:rPr>
          <w:noProof/>
        </w:rPr>
        <w:t xml:space="preserve">by </w:t>
      </w:r>
      <w:r w:rsidR="00300451" w:rsidRPr="00FC3C3B">
        <w:rPr>
          <w:noProof/>
        </w:rPr>
        <w:t>31 October 2024</w:t>
      </w:r>
      <w:r w:rsidRPr="00FC3C3B">
        <w:rPr>
          <w:noProof/>
        </w:rPr>
        <w:t>.</w:t>
      </w:r>
    </w:p>
    <w:p w14:paraId="12F3A14B" w14:textId="77777777" w:rsidR="002C7991" w:rsidRPr="00FC3C3B" w:rsidRDefault="00550165">
      <w:pPr>
        <w:pStyle w:val="Text1"/>
        <w:rPr>
          <w:noProof/>
        </w:rPr>
      </w:pPr>
      <w:r w:rsidRPr="00FC3C3B">
        <w:rPr>
          <w:noProof/>
        </w:rPr>
        <w:t xml:space="preserve">In accordance with Article 90 (5) of Regulation (EU) 2021/1060 and Article 51(5) of Regulation (EU) 2021/1059, the amount paid as exceptional pre-financing shall be cleared no later than with the final accounting year. </w:t>
      </w:r>
    </w:p>
    <w:p w14:paraId="277F8075" w14:textId="77777777" w:rsidR="002C7991" w:rsidRPr="00FC3C3B" w:rsidRDefault="00550165">
      <w:pPr>
        <w:pStyle w:val="Text1"/>
        <w:rPr>
          <w:noProof/>
        </w:rPr>
      </w:pPr>
      <w:r w:rsidRPr="00FC3C3B">
        <w:rPr>
          <w:noProof/>
        </w:rPr>
        <w:t xml:space="preserve">In accordance with Article 90(6) of </w:t>
      </w:r>
      <w:bookmarkStart w:id="0" w:name="_Hlk133398307"/>
      <w:r w:rsidRPr="00FC3C3B">
        <w:rPr>
          <w:noProof/>
        </w:rPr>
        <w:t>Regulation (EU) 2021/1060</w:t>
      </w:r>
      <w:bookmarkEnd w:id="0"/>
      <w:r w:rsidRPr="00FC3C3B">
        <w:rPr>
          <w:noProof/>
        </w:rPr>
        <w:t>, any interest generated by the exceptional pre-financing shall be used for the programme concerned in the same way as the ERDF and shall be included in the accounts for the final accounting year.</w:t>
      </w:r>
    </w:p>
    <w:p w14:paraId="616FC38C" w14:textId="77777777" w:rsidR="002C7991" w:rsidRPr="00FC3C3B" w:rsidRDefault="00550165">
      <w:pPr>
        <w:pStyle w:val="Text1"/>
        <w:rPr>
          <w:noProof/>
        </w:rPr>
      </w:pPr>
      <w:r w:rsidRPr="00FC3C3B">
        <w:rPr>
          <w:noProof/>
        </w:rPr>
        <w:t xml:space="preserve">In accordance with Article 97(1) of Regulation (EU) 2021/1060, the exceptional pre-financing shall not be suspended. </w:t>
      </w:r>
    </w:p>
    <w:p w14:paraId="17ADB0CC" w14:textId="77777777" w:rsidR="00C26A5B" w:rsidRPr="00FC3C3B" w:rsidRDefault="00550165">
      <w:pPr>
        <w:pStyle w:val="Text1"/>
        <w:rPr>
          <w:noProof/>
        </w:rPr>
      </w:pPr>
      <w:r w:rsidRPr="00FC3C3B">
        <w:rPr>
          <w:noProof/>
        </w:rPr>
        <w:t xml:space="preserve">In accordance with Article 105 (1) of </w:t>
      </w:r>
      <w:bookmarkStart w:id="1" w:name="_Hlk133398349"/>
      <w:r w:rsidRPr="00FC3C3B">
        <w:rPr>
          <w:noProof/>
        </w:rPr>
        <w:t xml:space="preserve">Regulation (EU) 2021/1060, </w:t>
      </w:r>
      <w:bookmarkEnd w:id="1"/>
      <w:r w:rsidRPr="00FC3C3B">
        <w:rPr>
          <w:noProof/>
        </w:rPr>
        <w:t xml:space="preserve">the pre-financing </w:t>
      </w:r>
      <w:bookmarkStart w:id="2" w:name="_Hlk134094541"/>
      <w:r w:rsidRPr="00FC3C3B">
        <w:rPr>
          <w:noProof/>
        </w:rPr>
        <w:t>to be taken into account for the purposes of calculating amounts to be de-committed shall include the exceptional pre-financing paid</w:t>
      </w:r>
      <w:bookmarkEnd w:id="2"/>
      <w:r w:rsidRPr="00FC3C3B">
        <w:rPr>
          <w:noProof/>
        </w:rPr>
        <w:t>.</w:t>
      </w:r>
    </w:p>
    <w:p w14:paraId="7D643AE7" w14:textId="77777777" w:rsidR="00B60398" w:rsidRPr="00FC3C3B" w:rsidRDefault="006E72BC" w:rsidP="009B1B7F">
      <w:pPr>
        <w:pStyle w:val="Text1"/>
        <w:rPr>
          <w:noProof/>
        </w:rPr>
      </w:pPr>
      <w:r w:rsidRPr="00FC3C3B">
        <w:rPr>
          <w:noProof/>
        </w:rPr>
        <w:t>By way of derogation from Article 112 of Regulation (EU) 2021/1060</w:t>
      </w:r>
      <w:r w:rsidR="00433A22" w:rsidRPr="00FC3C3B">
        <w:rPr>
          <w:noProof/>
        </w:rPr>
        <w:t>, the maximum</w:t>
      </w:r>
      <w:r w:rsidR="006969D8" w:rsidRPr="00FC3C3B">
        <w:rPr>
          <w:noProof/>
        </w:rPr>
        <w:t xml:space="preserve"> </w:t>
      </w:r>
      <w:r w:rsidR="00D90512">
        <w:rPr>
          <w:noProof/>
        </w:rPr>
        <w:t>co</w:t>
      </w:r>
      <w:r w:rsidR="00E808AE">
        <w:rPr>
          <w:noProof/>
        </w:rPr>
        <w:t>-</w:t>
      </w:r>
      <w:r w:rsidR="006969D8" w:rsidRPr="00FC3C3B">
        <w:rPr>
          <w:noProof/>
        </w:rPr>
        <w:t xml:space="preserve">financing </w:t>
      </w:r>
      <w:r w:rsidR="0070688A" w:rsidRPr="00FC3C3B">
        <w:rPr>
          <w:noProof/>
        </w:rPr>
        <w:t xml:space="preserve">rates for </w:t>
      </w:r>
      <w:r w:rsidR="009E460C" w:rsidRPr="00FC3C3B">
        <w:rPr>
          <w:noProof/>
        </w:rPr>
        <w:t>dedicated</w:t>
      </w:r>
      <w:r w:rsidR="00C26A5B" w:rsidRPr="00FC3C3B">
        <w:rPr>
          <w:noProof/>
        </w:rPr>
        <w:t xml:space="preserve"> </w:t>
      </w:r>
      <w:r w:rsidR="009E460C" w:rsidRPr="00FC3C3B">
        <w:rPr>
          <w:noProof/>
        </w:rPr>
        <w:t>priorities</w:t>
      </w:r>
      <w:r w:rsidR="00C26A5B" w:rsidRPr="00FC3C3B">
        <w:rPr>
          <w:noProof/>
        </w:rPr>
        <w:t xml:space="preserve"> established to support the </w:t>
      </w:r>
      <w:r w:rsidR="004A0F90" w:rsidRPr="00FC3C3B">
        <w:rPr>
          <w:noProof/>
        </w:rPr>
        <w:t>STEP</w:t>
      </w:r>
      <w:r w:rsidR="002A6568" w:rsidRPr="00FC3C3B">
        <w:rPr>
          <w:rFonts w:eastAsia="Times New Roman"/>
          <w:iCs/>
          <w:noProof/>
        </w:rPr>
        <w:t xml:space="preserve"> </w:t>
      </w:r>
      <w:r w:rsidR="00C26A5B" w:rsidRPr="00FC3C3B">
        <w:rPr>
          <w:noProof/>
        </w:rPr>
        <w:t>objectives</w:t>
      </w:r>
      <w:r w:rsidR="0033735B" w:rsidRPr="00FC3C3B">
        <w:rPr>
          <w:noProof/>
        </w:rPr>
        <w:t xml:space="preserve"> shall be increased to </w:t>
      </w:r>
      <w:r w:rsidR="00C26A5B" w:rsidRPr="00FC3C3B">
        <w:rPr>
          <w:noProof/>
        </w:rPr>
        <w:t>100 %.</w:t>
      </w:r>
      <w:r w:rsidR="0033735B" w:rsidRPr="00FC3C3B">
        <w:rPr>
          <w:noProof/>
        </w:rPr>
        <w:t>’</w:t>
      </w:r>
    </w:p>
    <w:p w14:paraId="0934A3FC" w14:textId="77777777" w:rsidR="00F33C62" w:rsidRPr="00FC3C3B" w:rsidRDefault="00323DD4" w:rsidP="00323DD4">
      <w:pPr>
        <w:pStyle w:val="Point0"/>
        <w:rPr>
          <w:noProof/>
        </w:rPr>
      </w:pPr>
      <w:r w:rsidRPr="00FC3C3B">
        <w:rPr>
          <w:noProof/>
        </w:rPr>
        <w:t>(4)</w:t>
      </w:r>
      <w:r w:rsidRPr="00FC3C3B">
        <w:rPr>
          <w:noProof/>
        </w:rPr>
        <w:tab/>
      </w:r>
      <w:r w:rsidR="00F33C62" w:rsidRPr="00FC3C3B">
        <w:rPr>
          <w:noProof/>
        </w:rPr>
        <w:t>In Article 5(2), the following point (e) is inserted:</w:t>
      </w:r>
    </w:p>
    <w:p w14:paraId="4383BBF6" w14:textId="77777777" w:rsidR="001A6767" w:rsidRPr="00FC3C3B" w:rsidRDefault="00F33C62" w:rsidP="009B1B7F">
      <w:pPr>
        <w:pStyle w:val="Text1"/>
        <w:rPr>
          <w:noProof/>
        </w:rPr>
      </w:pPr>
      <w:r w:rsidRPr="00FC3C3B">
        <w:rPr>
          <w:noProof/>
        </w:rPr>
        <w:t xml:space="preserve">‘(e) when they contribute </w:t>
      </w:r>
      <w:r w:rsidRPr="00FC3C3B">
        <w:rPr>
          <w:noProof/>
          <w:lang w:val="en-IE"/>
        </w:rPr>
        <w:t xml:space="preserve">to the specific objective under PO 1 set out in </w:t>
      </w:r>
      <w:r w:rsidR="005D5632" w:rsidRPr="00FC3C3B">
        <w:rPr>
          <w:noProof/>
          <w:lang w:val="en-IE"/>
        </w:rPr>
        <w:t>Article 3(1), first subparagraph,</w:t>
      </w:r>
      <w:r w:rsidRPr="00FC3C3B">
        <w:rPr>
          <w:noProof/>
          <w:lang w:val="en-IE"/>
        </w:rPr>
        <w:t xml:space="preserve"> p</w:t>
      </w:r>
      <w:r w:rsidRPr="00FC3C3B">
        <w:rPr>
          <w:noProof/>
        </w:rPr>
        <w:t xml:space="preserve">oint (a)(vi) </w:t>
      </w:r>
      <w:r w:rsidR="00B1260B" w:rsidRPr="00FC3C3B">
        <w:rPr>
          <w:noProof/>
        </w:rPr>
        <w:t>or</w:t>
      </w:r>
      <w:r w:rsidRPr="00FC3C3B">
        <w:rPr>
          <w:noProof/>
        </w:rPr>
        <w:t xml:space="preserve"> to the specific objective under PO 2 set out in point (b)(ix) of that subparagraph</w:t>
      </w:r>
      <w:r w:rsidR="005B15B3" w:rsidRPr="00FC3C3B">
        <w:rPr>
          <w:noProof/>
        </w:rPr>
        <w:t xml:space="preserve">, in </w:t>
      </w:r>
      <w:r w:rsidR="00EB1B3E" w:rsidRPr="00FC3C3B">
        <w:rPr>
          <w:noProof/>
        </w:rPr>
        <w:t xml:space="preserve">less developed and transition regions, as well as </w:t>
      </w:r>
      <w:r w:rsidR="0007503E" w:rsidRPr="00FC3C3B">
        <w:rPr>
          <w:noProof/>
        </w:rPr>
        <w:t>more</w:t>
      </w:r>
      <w:r w:rsidR="00EB1B3E" w:rsidRPr="00FC3C3B">
        <w:rPr>
          <w:noProof/>
        </w:rPr>
        <w:t xml:space="preserve"> developed regions in Member States whose average GDP per capita is below the EU average of the EU-27 measured in purchasing power standards (PPS) and calculated on the basis of Union figures for the period 2015-2017.</w:t>
      </w:r>
    </w:p>
    <w:p w14:paraId="2FCE95CC" w14:textId="77777777" w:rsidR="00494A11" w:rsidRDefault="001A6767" w:rsidP="009B1B7F">
      <w:pPr>
        <w:pStyle w:val="Text1"/>
        <w:rPr>
          <w:noProof/>
        </w:rPr>
      </w:pPr>
      <w:r w:rsidRPr="00FC3C3B">
        <w:rPr>
          <w:noProof/>
        </w:rPr>
        <w:t xml:space="preserve">Point (e) shall apply to Interreg programmes </w:t>
      </w:r>
      <w:r w:rsidR="00182963" w:rsidRPr="00FC3C3B">
        <w:rPr>
          <w:noProof/>
        </w:rPr>
        <w:t>where the geographical coverage of the programme within the Union consists exclusively of categories of regions set out in that point</w:t>
      </w:r>
      <w:r w:rsidR="00494A11">
        <w:rPr>
          <w:noProof/>
        </w:rPr>
        <w:t>.</w:t>
      </w:r>
      <w:r w:rsidR="00162114">
        <w:rPr>
          <w:noProof/>
        </w:rPr>
        <w:t>’</w:t>
      </w:r>
      <w:r w:rsidR="00494A11">
        <w:rPr>
          <w:noProof/>
        </w:rPr>
        <w:t xml:space="preserve"> </w:t>
      </w:r>
    </w:p>
    <w:p w14:paraId="23558D40" w14:textId="77777777" w:rsidR="00E91B3E" w:rsidRPr="00FC3C3B" w:rsidRDefault="00323DD4" w:rsidP="00323DD4">
      <w:pPr>
        <w:pStyle w:val="Point0"/>
        <w:rPr>
          <w:noProof/>
        </w:rPr>
      </w:pPr>
      <w:r w:rsidRPr="00FC3C3B">
        <w:rPr>
          <w:noProof/>
        </w:rPr>
        <w:t>(5)</w:t>
      </w:r>
      <w:r w:rsidRPr="00FC3C3B">
        <w:rPr>
          <w:noProof/>
        </w:rPr>
        <w:tab/>
      </w:r>
      <w:r w:rsidR="00E91B3E" w:rsidRPr="00FC3C3B">
        <w:rPr>
          <w:noProof/>
        </w:rPr>
        <w:t>In Article 5, the following new paragraph 3a is inserted:</w:t>
      </w:r>
    </w:p>
    <w:p w14:paraId="2418976F" w14:textId="77777777" w:rsidR="00E91B3E" w:rsidRPr="00FC3C3B" w:rsidRDefault="00E91B3E" w:rsidP="009B1B7F">
      <w:pPr>
        <w:pStyle w:val="Text1"/>
        <w:rPr>
          <w:noProof/>
        </w:rPr>
      </w:pPr>
      <w:r w:rsidRPr="00FC3C3B">
        <w:rPr>
          <w:noProof/>
        </w:rPr>
        <w:t xml:space="preserve">‘3a. In order to contribute to the specific objectives under PO 1 set out in </w:t>
      </w:r>
      <w:r w:rsidR="008C2F6C" w:rsidRPr="00FC3C3B">
        <w:rPr>
          <w:noProof/>
        </w:rPr>
        <w:t xml:space="preserve">Article 3(1), first subparagraph, </w:t>
      </w:r>
      <w:r w:rsidRPr="00FC3C3B">
        <w:rPr>
          <w:noProof/>
        </w:rPr>
        <w:t xml:space="preserve">point </w:t>
      </w:r>
      <w:r w:rsidR="00C46038" w:rsidRPr="00FC3C3B">
        <w:rPr>
          <w:noProof/>
        </w:rPr>
        <w:t xml:space="preserve">(a)(vi) </w:t>
      </w:r>
      <w:r w:rsidR="00C12CCC" w:rsidRPr="00FC3C3B">
        <w:rPr>
          <w:noProof/>
        </w:rPr>
        <w:t>and under PO 2 set out in point (b)</w:t>
      </w:r>
      <w:r w:rsidR="00417715" w:rsidRPr="00FC3C3B">
        <w:rPr>
          <w:noProof/>
        </w:rPr>
        <w:t>(ix)</w:t>
      </w:r>
      <w:r w:rsidR="0092185D" w:rsidRPr="00FC3C3B">
        <w:rPr>
          <w:noProof/>
        </w:rPr>
        <w:t xml:space="preserve"> of</w:t>
      </w:r>
      <w:r w:rsidR="009872E3" w:rsidRPr="00FC3C3B">
        <w:rPr>
          <w:noProof/>
        </w:rPr>
        <w:t xml:space="preserve"> that </w:t>
      </w:r>
      <w:r w:rsidR="00466299" w:rsidRPr="00FC3C3B">
        <w:rPr>
          <w:noProof/>
        </w:rPr>
        <w:t xml:space="preserve">subparagraph, </w:t>
      </w:r>
      <w:r w:rsidR="0093032E" w:rsidRPr="00FC3C3B">
        <w:rPr>
          <w:noProof/>
        </w:rPr>
        <w:t xml:space="preserve">the ERDF shall also support training, life-long learning, reskilling and education activities’. </w:t>
      </w:r>
    </w:p>
    <w:p w14:paraId="5E76463A" w14:textId="77777777" w:rsidR="009546EC" w:rsidRPr="00FC3C3B" w:rsidRDefault="00323DD4" w:rsidP="00323DD4">
      <w:pPr>
        <w:pStyle w:val="Point0"/>
        <w:rPr>
          <w:noProof/>
        </w:rPr>
      </w:pPr>
      <w:r w:rsidRPr="00FC3C3B">
        <w:rPr>
          <w:noProof/>
        </w:rPr>
        <w:t>(6)</w:t>
      </w:r>
      <w:r w:rsidRPr="00FC3C3B">
        <w:rPr>
          <w:noProof/>
        </w:rPr>
        <w:tab/>
      </w:r>
      <w:r w:rsidR="009546EC" w:rsidRPr="00FC3C3B">
        <w:rPr>
          <w:noProof/>
        </w:rPr>
        <w:t xml:space="preserve">In Annex I, </w:t>
      </w:r>
      <w:r w:rsidR="00CD05AE" w:rsidRPr="00FC3C3B">
        <w:rPr>
          <w:noProof/>
        </w:rPr>
        <w:t xml:space="preserve">Table </w:t>
      </w:r>
      <w:r w:rsidR="00B60B5F" w:rsidRPr="00FC3C3B">
        <w:rPr>
          <w:noProof/>
        </w:rPr>
        <w:t>I</w:t>
      </w:r>
      <w:r w:rsidR="00CD05AE" w:rsidRPr="00FC3C3B">
        <w:rPr>
          <w:noProof/>
        </w:rPr>
        <w:t xml:space="preserve">, </w:t>
      </w:r>
      <w:r w:rsidR="009546EC" w:rsidRPr="00FC3C3B">
        <w:rPr>
          <w:noProof/>
        </w:rPr>
        <w:t xml:space="preserve">the following row </w:t>
      </w:r>
      <w:r w:rsidR="00C81714" w:rsidRPr="00FC3C3B">
        <w:rPr>
          <w:noProof/>
        </w:rPr>
        <w:t>is</w:t>
      </w:r>
      <w:r w:rsidR="009546EC" w:rsidRPr="00FC3C3B">
        <w:rPr>
          <w:noProof/>
        </w:rPr>
        <w:t xml:space="preserve"> added</w:t>
      </w:r>
      <w:r w:rsidR="00C81714" w:rsidRPr="00FC3C3B">
        <w:rPr>
          <w:noProof/>
        </w:rPr>
        <w:t xml:space="preserve"> under policy objective 1</w:t>
      </w:r>
      <w:r w:rsidR="009546EC" w:rsidRPr="00FC3C3B">
        <w:rPr>
          <w:noProof/>
        </w:rPr>
        <w:t>:</w:t>
      </w:r>
    </w:p>
    <w:tbl>
      <w:tblPr>
        <w:tblStyle w:val="TableGrid"/>
        <w:tblW w:w="8220" w:type="dxa"/>
        <w:tblInd w:w="948" w:type="dxa"/>
        <w:tblLayout w:type="fixed"/>
        <w:tblLook w:val="06A0" w:firstRow="1" w:lastRow="0" w:firstColumn="1" w:lastColumn="0" w:noHBand="1" w:noVBand="1"/>
      </w:tblPr>
      <w:tblGrid>
        <w:gridCol w:w="2055"/>
        <w:gridCol w:w="2055"/>
        <w:gridCol w:w="2055"/>
        <w:gridCol w:w="2055"/>
      </w:tblGrid>
      <w:tr w:rsidR="003D547D" w:rsidRPr="00FC3C3B" w14:paraId="45F7C96C" w14:textId="77777777" w:rsidTr="00E614E9">
        <w:trPr>
          <w:trHeight w:val="300"/>
        </w:trPr>
        <w:tc>
          <w:tcPr>
            <w:tcW w:w="2055" w:type="dxa"/>
          </w:tcPr>
          <w:p w14:paraId="7A711527" w14:textId="77777777" w:rsidR="003D547D" w:rsidRPr="00FC3C3B" w:rsidRDefault="003D547D" w:rsidP="00AE59F9">
            <w:pPr>
              <w:pStyle w:val="Text1"/>
              <w:ind w:left="0"/>
              <w:rPr>
                <w:noProof/>
                <w:sz w:val="18"/>
                <w:szCs w:val="18"/>
              </w:rPr>
            </w:pPr>
          </w:p>
        </w:tc>
        <w:tc>
          <w:tcPr>
            <w:tcW w:w="2055" w:type="dxa"/>
          </w:tcPr>
          <w:p w14:paraId="5F45838F" w14:textId="77777777" w:rsidR="003D547D" w:rsidRPr="00FC3C3B" w:rsidRDefault="003D547D" w:rsidP="003D547D">
            <w:pPr>
              <w:pStyle w:val="Text1"/>
              <w:ind w:left="0"/>
              <w:rPr>
                <w:noProof/>
                <w:sz w:val="18"/>
                <w:szCs w:val="18"/>
              </w:rPr>
            </w:pPr>
            <w:r w:rsidRPr="00FC3C3B">
              <w:rPr>
                <w:noProof/>
                <w:sz w:val="18"/>
                <w:szCs w:val="18"/>
              </w:rPr>
              <w:t xml:space="preserve">(vi) supporting investments contributing to the </w:t>
            </w:r>
            <w:r w:rsidR="004A0F90" w:rsidRPr="00FC3C3B">
              <w:rPr>
                <w:noProof/>
                <w:sz w:val="18"/>
                <w:szCs w:val="18"/>
              </w:rPr>
              <w:t>STEP</w:t>
            </w:r>
            <w:r w:rsidRPr="00FC3C3B">
              <w:rPr>
                <w:noProof/>
                <w:sz w:val="18"/>
                <w:szCs w:val="18"/>
              </w:rPr>
              <w:t xml:space="preserve"> objectives referred to in Article 2 of </w:t>
            </w:r>
            <w:r w:rsidR="00211E4A" w:rsidRPr="00FC3C3B">
              <w:rPr>
                <w:noProof/>
                <w:sz w:val="18"/>
                <w:szCs w:val="18"/>
              </w:rPr>
              <w:t xml:space="preserve">Regulation </w:t>
            </w:r>
            <w:r w:rsidR="008D773C" w:rsidRPr="00FC3C3B">
              <w:rPr>
                <w:noProof/>
                <w:sz w:val="18"/>
                <w:szCs w:val="18"/>
              </w:rPr>
              <w:t>.../...</w:t>
            </w:r>
            <w:r w:rsidR="009D1197" w:rsidRPr="00FC3C3B">
              <w:rPr>
                <w:noProof/>
                <w:sz w:val="18"/>
                <w:szCs w:val="18"/>
              </w:rPr>
              <w:t xml:space="preserve"> </w:t>
            </w:r>
            <w:r w:rsidR="008D773C" w:rsidRPr="00FC3C3B">
              <w:rPr>
                <w:noProof/>
                <w:sz w:val="18"/>
                <w:szCs w:val="18"/>
              </w:rPr>
              <w:t>[</w:t>
            </w:r>
            <w:r w:rsidR="00C6425B" w:rsidRPr="00FC3C3B">
              <w:rPr>
                <w:noProof/>
                <w:sz w:val="18"/>
                <w:szCs w:val="18"/>
              </w:rPr>
              <w:t>STEP</w:t>
            </w:r>
            <w:r w:rsidR="008D773C" w:rsidRPr="00FC3C3B">
              <w:rPr>
                <w:noProof/>
                <w:sz w:val="18"/>
                <w:szCs w:val="18"/>
              </w:rPr>
              <w:t xml:space="preserve"> Regulation]</w:t>
            </w:r>
          </w:p>
          <w:p w14:paraId="08D4F1AD" w14:textId="77777777" w:rsidR="003D547D" w:rsidRPr="00FC3C3B" w:rsidRDefault="003D547D" w:rsidP="003D547D">
            <w:pPr>
              <w:pStyle w:val="Text1"/>
              <w:rPr>
                <w:noProof/>
                <w:sz w:val="18"/>
                <w:szCs w:val="18"/>
              </w:rPr>
            </w:pPr>
          </w:p>
        </w:tc>
        <w:tc>
          <w:tcPr>
            <w:tcW w:w="2055" w:type="dxa"/>
          </w:tcPr>
          <w:p w14:paraId="6C481C76" w14:textId="77777777" w:rsidR="003D547D" w:rsidRPr="00FC3C3B" w:rsidRDefault="003D547D" w:rsidP="00AE59F9">
            <w:pPr>
              <w:pStyle w:val="Text1"/>
              <w:ind w:left="0"/>
              <w:jc w:val="left"/>
              <w:rPr>
                <w:noProof/>
                <w:sz w:val="18"/>
                <w:szCs w:val="18"/>
                <w:lang w:val="en-IE"/>
              </w:rPr>
            </w:pPr>
            <w:r w:rsidRPr="00FC3C3B">
              <w:rPr>
                <w:noProof/>
                <w:sz w:val="18"/>
                <w:szCs w:val="18"/>
                <w:lang w:val="en-IE"/>
              </w:rPr>
              <w:t>Any RCO listed for specific objectives (i), (iii) and (iv)</w:t>
            </w:r>
          </w:p>
          <w:p w14:paraId="2578D7ED" w14:textId="77777777" w:rsidR="003D547D" w:rsidRPr="00FC3C3B" w:rsidRDefault="003D547D" w:rsidP="003D547D">
            <w:pPr>
              <w:rPr>
                <w:noProof/>
                <w:sz w:val="18"/>
                <w:szCs w:val="18"/>
              </w:rPr>
            </w:pPr>
            <w:r w:rsidRPr="00FC3C3B">
              <w:rPr>
                <w:noProof/>
                <w:sz w:val="18"/>
                <w:szCs w:val="18"/>
              </w:rPr>
              <w:t xml:space="preserve">RCO125 Firms: Enterprises supported linked primarily to </w:t>
            </w:r>
            <w:r w:rsidR="00E9094E" w:rsidRPr="00FC3C3B">
              <w:rPr>
                <w:noProof/>
                <w:sz w:val="18"/>
                <w:szCs w:val="18"/>
              </w:rPr>
              <w:t>deep and digital</w:t>
            </w:r>
            <w:r w:rsidR="00A243F3" w:rsidRPr="00FC3C3B">
              <w:rPr>
                <w:noProof/>
                <w:sz w:val="18"/>
                <w:szCs w:val="18"/>
              </w:rPr>
              <w:t xml:space="preserve"> technolog</w:t>
            </w:r>
            <w:r w:rsidR="00E9094E" w:rsidRPr="00FC3C3B">
              <w:rPr>
                <w:noProof/>
                <w:sz w:val="18"/>
                <w:szCs w:val="18"/>
              </w:rPr>
              <w:t>ies</w:t>
            </w:r>
            <w:r w:rsidR="00A243F3" w:rsidRPr="00FC3C3B">
              <w:rPr>
                <w:noProof/>
                <w:sz w:val="18"/>
                <w:szCs w:val="18"/>
              </w:rPr>
              <w:t xml:space="preserve"> </w:t>
            </w:r>
            <w:r w:rsidRPr="00FC3C3B">
              <w:rPr>
                <w:noProof/>
                <w:sz w:val="18"/>
                <w:szCs w:val="18"/>
              </w:rPr>
              <w:t>productive investments</w:t>
            </w:r>
          </w:p>
          <w:p w14:paraId="280058B8" w14:textId="77777777" w:rsidR="003D547D" w:rsidRPr="00FC3C3B" w:rsidRDefault="003D547D" w:rsidP="003D547D">
            <w:pPr>
              <w:rPr>
                <w:noProof/>
                <w:sz w:val="18"/>
                <w:szCs w:val="18"/>
              </w:rPr>
            </w:pPr>
            <w:r w:rsidRPr="00FC3C3B">
              <w:rPr>
                <w:noProof/>
                <w:sz w:val="18"/>
                <w:szCs w:val="18"/>
              </w:rPr>
              <w:t xml:space="preserve">RCO126 Firms: Enterprises supported linked primarily to </w:t>
            </w:r>
            <w:r w:rsidR="00E9094E" w:rsidRPr="00FC3C3B">
              <w:rPr>
                <w:noProof/>
                <w:sz w:val="18"/>
                <w:szCs w:val="18"/>
              </w:rPr>
              <w:t>clean technologies</w:t>
            </w:r>
            <w:r w:rsidRPr="00FC3C3B">
              <w:rPr>
                <w:noProof/>
                <w:sz w:val="18"/>
                <w:szCs w:val="18"/>
              </w:rPr>
              <w:t xml:space="preserve"> productive investments </w:t>
            </w:r>
          </w:p>
          <w:p w14:paraId="30585879" w14:textId="77777777" w:rsidR="003D547D" w:rsidRPr="00FC3C3B" w:rsidRDefault="003D547D" w:rsidP="003D547D">
            <w:pPr>
              <w:rPr>
                <w:noProof/>
                <w:sz w:val="18"/>
                <w:szCs w:val="18"/>
              </w:rPr>
            </w:pPr>
            <w:r w:rsidRPr="00FC3C3B">
              <w:rPr>
                <w:noProof/>
                <w:sz w:val="18"/>
                <w:szCs w:val="18"/>
              </w:rPr>
              <w:t xml:space="preserve">RCO127 Firms: Enterprises supported linked primarily to </w:t>
            </w:r>
            <w:r w:rsidR="00E9094E" w:rsidRPr="00FC3C3B">
              <w:rPr>
                <w:noProof/>
                <w:sz w:val="18"/>
                <w:szCs w:val="18"/>
              </w:rPr>
              <w:t>biotechnologies</w:t>
            </w:r>
            <w:r w:rsidRPr="00FC3C3B">
              <w:rPr>
                <w:noProof/>
                <w:sz w:val="18"/>
                <w:szCs w:val="18"/>
              </w:rPr>
              <w:t xml:space="preserve"> productive investments </w:t>
            </w:r>
          </w:p>
          <w:p w14:paraId="4846D453" w14:textId="77777777" w:rsidR="003D547D" w:rsidRPr="00FC3C3B" w:rsidRDefault="003D547D" w:rsidP="00AE59F9">
            <w:pPr>
              <w:rPr>
                <w:noProof/>
                <w:sz w:val="18"/>
                <w:szCs w:val="18"/>
              </w:rPr>
            </w:pPr>
            <w:r w:rsidRPr="00FC3C3B">
              <w:rPr>
                <w:noProof/>
                <w:sz w:val="18"/>
                <w:szCs w:val="18"/>
              </w:rPr>
              <w:t xml:space="preserve">[These indicators are to be reported as subsets of RC001-RCO04] </w:t>
            </w:r>
          </w:p>
          <w:p w14:paraId="604C6119" w14:textId="77777777" w:rsidR="003D547D" w:rsidRPr="00FC3C3B" w:rsidRDefault="003D547D" w:rsidP="003D547D">
            <w:pPr>
              <w:pStyle w:val="Text1"/>
              <w:rPr>
                <w:noProof/>
                <w:sz w:val="18"/>
                <w:szCs w:val="18"/>
              </w:rPr>
            </w:pPr>
          </w:p>
        </w:tc>
        <w:tc>
          <w:tcPr>
            <w:tcW w:w="2055" w:type="dxa"/>
          </w:tcPr>
          <w:p w14:paraId="6D35D9F7" w14:textId="77777777" w:rsidR="003D547D" w:rsidRPr="00FC3C3B" w:rsidRDefault="003D547D" w:rsidP="00AE59F9">
            <w:pPr>
              <w:pStyle w:val="Text1"/>
              <w:ind w:left="0"/>
              <w:rPr>
                <w:noProof/>
                <w:sz w:val="18"/>
                <w:szCs w:val="18"/>
              </w:rPr>
            </w:pPr>
            <w:r w:rsidRPr="00FC3C3B">
              <w:rPr>
                <w:noProof/>
                <w:sz w:val="18"/>
                <w:szCs w:val="18"/>
                <w:lang w:val="en-IE"/>
              </w:rPr>
              <w:t>Any RCR listed for specific objectives (i), (iii) and (iv)</w:t>
            </w:r>
          </w:p>
        </w:tc>
      </w:tr>
    </w:tbl>
    <w:p w14:paraId="4DF71544" w14:textId="77777777" w:rsidR="00D14242" w:rsidRPr="00FC3C3B" w:rsidRDefault="00323DD4" w:rsidP="00323DD4">
      <w:pPr>
        <w:pStyle w:val="Point0"/>
        <w:rPr>
          <w:noProof/>
        </w:rPr>
      </w:pPr>
      <w:r w:rsidRPr="00FC3C3B">
        <w:rPr>
          <w:noProof/>
        </w:rPr>
        <w:t>(7)</w:t>
      </w:r>
      <w:r w:rsidRPr="00FC3C3B">
        <w:rPr>
          <w:noProof/>
        </w:rPr>
        <w:tab/>
      </w:r>
      <w:r w:rsidR="00D14242" w:rsidRPr="00FC3C3B">
        <w:rPr>
          <w:noProof/>
        </w:rPr>
        <w:t xml:space="preserve">In Annex I, </w:t>
      </w:r>
      <w:r w:rsidR="00CD05AE" w:rsidRPr="00FC3C3B">
        <w:rPr>
          <w:noProof/>
        </w:rPr>
        <w:t xml:space="preserve">Table </w:t>
      </w:r>
      <w:r w:rsidR="00B60B5F" w:rsidRPr="00FC3C3B">
        <w:rPr>
          <w:noProof/>
        </w:rPr>
        <w:t>I</w:t>
      </w:r>
      <w:r w:rsidR="00CD05AE" w:rsidRPr="00FC3C3B">
        <w:rPr>
          <w:noProof/>
        </w:rPr>
        <w:t xml:space="preserve">, </w:t>
      </w:r>
      <w:r w:rsidR="00D14242" w:rsidRPr="00FC3C3B">
        <w:rPr>
          <w:noProof/>
        </w:rPr>
        <w:t xml:space="preserve">the following row is added under policy objective </w:t>
      </w:r>
      <w:r w:rsidR="00C517D8" w:rsidRPr="00FC3C3B">
        <w:rPr>
          <w:noProof/>
        </w:rPr>
        <w:t>2</w:t>
      </w:r>
      <w:r w:rsidR="00D14242" w:rsidRPr="00FC3C3B">
        <w:rPr>
          <w:noProof/>
        </w:rPr>
        <w:t>:</w:t>
      </w:r>
    </w:p>
    <w:tbl>
      <w:tblPr>
        <w:tblStyle w:val="TableGrid"/>
        <w:tblW w:w="8220" w:type="dxa"/>
        <w:tblInd w:w="948" w:type="dxa"/>
        <w:tblLayout w:type="fixed"/>
        <w:tblLook w:val="06A0" w:firstRow="1" w:lastRow="0" w:firstColumn="1" w:lastColumn="0" w:noHBand="1" w:noVBand="1"/>
      </w:tblPr>
      <w:tblGrid>
        <w:gridCol w:w="2055"/>
        <w:gridCol w:w="2055"/>
        <w:gridCol w:w="2055"/>
        <w:gridCol w:w="2055"/>
      </w:tblGrid>
      <w:tr w:rsidR="00D14242" w:rsidRPr="00FC3C3B" w14:paraId="57A6938E" w14:textId="77777777" w:rsidTr="00E614E9">
        <w:trPr>
          <w:trHeight w:val="300"/>
        </w:trPr>
        <w:tc>
          <w:tcPr>
            <w:tcW w:w="2055" w:type="dxa"/>
          </w:tcPr>
          <w:p w14:paraId="1AF7B429" w14:textId="77777777" w:rsidR="00D14242" w:rsidRPr="00FC3C3B" w:rsidRDefault="00D14242">
            <w:pPr>
              <w:pStyle w:val="Text1"/>
              <w:ind w:left="0"/>
              <w:rPr>
                <w:noProof/>
                <w:sz w:val="18"/>
                <w:szCs w:val="18"/>
              </w:rPr>
            </w:pPr>
          </w:p>
        </w:tc>
        <w:tc>
          <w:tcPr>
            <w:tcW w:w="2055" w:type="dxa"/>
          </w:tcPr>
          <w:p w14:paraId="2BC7564C" w14:textId="77777777" w:rsidR="00D14242" w:rsidRPr="00FC3C3B" w:rsidRDefault="00D14242">
            <w:pPr>
              <w:pStyle w:val="Text1"/>
              <w:ind w:left="0"/>
              <w:rPr>
                <w:noProof/>
                <w:sz w:val="18"/>
                <w:szCs w:val="18"/>
              </w:rPr>
            </w:pPr>
            <w:r w:rsidRPr="00FC3C3B">
              <w:rPr>
                <w:noProof/>
                <w:sz w:val="18"/>
                <w:szCs w:val="18"/>
              </w:rPr>
              <w:t>(i</w:t>
            </w:r>
            <w:r w:rsidR="00A602FA" w:rsidRPr="00FC3C3B">
              <w:rPr>
                <w:noProof/>
                <w:sz w:val="18"/>
                <w:szCs w:val="18"/>
              </w:rPr>
              <w:t>x</w:t>
            </w:r>
            <w:r w:rsidRPr="00FC3C3B">
              <w:rPr>
                <w:noProof/>
                <w:sz w:val="18"/>
                <w:szCs w:val="18"/>
              </w:rPr>
              <w:t xml:space="preserve">) supporting investments contributing to the </w:t>
            </w:r>
            <w:r w:rsidR="004A0F90" w:rsidRPr="00FC3C3B">
              <w:rPr>
                <w:noProof/>
                <w:sz w:val="18"/>
                <w:szCs w:val="18"/>
              </w:rPr>
              <w:t>STEP</w:t>
            </w:r>
            <w:r w:rsidRPr="00FC3C3B">
              <w:rPr>
                <w:noProof/>
                <w:sz w:val="18"/>
                <w:szCs w:val="18"/>
              </w:rPr>
              <w:t xml:space="preserve"> objectives referred to in Article 2 of </w:t>
            </w:r>
            <w:r w:rsidR="008807B5" w:rsidRPr="00FC3C3B">
              <w:rPr>
                <w:noProof/>
                <w:sz w:val="18"/>
                <w:szCs w:val="18"/>
              </w:rPr>
              <w:t>Regulation .../... [</w:t>
            </w:r>
            <w:r w:rsidR="00C6425B" w:rsidRPr="00FC3C3B">
              <w:rPr>
                <w:noProof/>
                <w:sz w:val="18"/>
                <w:szCs w:val="18"/>
              </w:rPr>
              <w:t>STEP</w:t>
            </w:r>
            <w:r w:rsidR="008807B5" w:rsidRPr="00FC3C3B">
              <w:rPr>
                <w:noProof/>
                <w:sz w:val="18"/>
                <w:szCs w:val="18"/>
              </w:rPr>
              <w:t xml:space="preserve"> Regulation]</w:t>
            </w:r>
          </w:p>
          <w:p w14:paraId="19466D71" w14:textId="77777777" w:rsidR="00D14242" w:rsidRPr="00FC3C3B" w:rsidRDefault="00D14242">
            <w:pPr>
              <w:pStyle w:val="Text1"/>
              <w:rPr>
                <w:noProof/>
                <w:sz w:val="18"/>
                <w:szCs w:val="18"/>
              </w:rPr>
            </w:pPr>
          </w:p>
        </w:tc>
        <w:tc>
          <w:tcPr>
            <w:tcW w:w="2055" w:type="dxa"/>
          </w:tcPr>
          <w:p w14:paraId="3DE134A2" w14:textId="77777777" w:rsidR="00D14242" w:rsidRPr="00FC3C3B" w:rsidRDefault="00D14242">
            <w:pPr>
              <w:pStyle w:val="Text1"/>
              <w:ind w:left="0"/>
              <w:jc w:val="left"/>
              <w:rPr>
                <w:noProof/>
                <w:sz w:val="18"/>
                <w:szCs w:val="18"/>
                <w:lang w:val="en-IE"/>
              </w:rPr>
            </w:pPr>
            <w:r w:rsidRPr="00FC3C3B">
              <w:rPr>
                <w:noProof/>
                <w:sz w:val="18"/>
                <w:szCs w:val="18"/>
                <w:lang w:val="en-IE"/>
              </w:rPr>
              <w:t>Any RCO listed for specific objectives (i), (iii)</w:t>
            </w:r>
            <w:r w:rsidR="0072772B" w:rsidRPr="00FC3C3B">
              <w:rPr>
                <w:noProof/>
                <w:sz w:val="18"/>
                <w:szCs w:val="18"/>
                <w:lang w:val="en-IE"/>
              </w:rPr>
              <w:t xml:space="preserve">, </w:t>
            </w:r>
            <w:r w:rsidRPr="00FC3C3B">
              <w:rPr>
                <w:noProof/>
                <w:sz w:val="18"/>
                <w:szCs w:val="18"/>
                <w:lang w:val="en-IE"/>
              </w:rPr>
              <w:t>(iv)</w:t>
            </w:r>
            <w:r w:rsidR="0072772B" w:rsidRPr="00FC3C3B">
              <w:rPr>
                <w:noProof/>
                <w:sz w:val="18"/>
                <w:szCs w:val="18"/>
                <w:lang w:val="en-IE"/>
              </w:rPr>
              <w:t xml:space="preserve"> and (vi)</w:t>
            </w:r>
            <w:r w:rsidR="00F841C1" w:rsidRPr="00FC3C3B">
              <w:rPr>
                <w:noProof/>
              </w:rPr>
              <w:t xml:space="preserve"> </w:t>
            </w:r>
            <w:r w:rsidR="00F841C1" w:rsidRPr="00FC3C3B">
              <w:rPr>
                <w:noProof/>
                <w:sz w:val="18"/>
                <w:szCs w:val="18"/>
                <w:lang w:val="en-IE"/>
              </w:rPr>
              <w:t>under policy objective 1</w:t>
            </w:r>
          </w:p>
          <w:p w14:paraId="03AD079E" w14:textId="77777777" w:rsidR="00D14242" w:rsidRPr="00FC3C3B" w:rsidRDefault="00D14242">
            <w:pPr>
              <w:rPr>
                <w:noProof/>
                <w:sz w:val="18"/>
                <w:szCs w:val="18"/>
              </w:rPr>
            </w:pPr>
            <w:r w:rsidRPr="00FC3C3B">
              <w:rPr>
                <w:noProof/>
                <w:sz w:val="18"/>
                <w:szCs w:val="18"/>
              </w:rPr>
              <w:t xml:space="preserve">RCO125 Firms: Enterprises supported linked primarily to </w:t>
            </w:r>
            <w:r w:rsidR="00E9094E" w:rsidRPr="00FC3C3B">
              <w:rPr>
                <w:noProof/>
                <w:sz w:val="18"/>
                <w:szCs w:val="18"/>
              </w:rPr>
              <w:t>deep and digital</w:t>
            </w:r>
            <w:r w:rsidR="00A243F3" w:rsidRPr="00FC3C3B">
              <w:rPr>
                <w:noProof/>
                <w:sz w:val="18"/>
                <w:szCs w:val="18"/>
              </w:rPr>
              <w:t xml:space="preserve"> technolog</w:t>
            </w:r>
            <w:r w:rsidR="00E9094E" w:rsidRPr="00FC3C3B">
              <w:rPr>
                <w:noProof/>
                <w:sz w:val="18"/>
                <w:szCs w:val="18"/>
              </w:rPr>
              <w:t>ies</w:t>
            </w:r>
            <w:r w:rsidRPr="00FC3C3B">
              <w:rPr>
                <w:noProof/>
                <w:sz w:val="18"/>
                <w:szCs w:val="18"/>
              </w:rPr>
              <w:t xml:space="preserve"> productive investments</w:t>
            </w:r>
          </w:p>
          <w:p w14:paraId="2009E6EE" w14:textId="77777777" w:rsidR="00D14242" w:rsidRPr="00FC3C3B" w:rsidRDefault="00D14242">
            <w:pPr>
              <w:rPr>
                <w:noProof/>
                <w:sz w:val="18"/>
                <w:szCs w:val="18"/>
              </w:rPr>
            </w:pPr>
            <w:r w:rsidRPr="00FC3C3B">
              <w:rPr>
                <w:noProof/>
                <w:sz w:val="18"/>
                <w:szCs w:val="18"/>
              </w:rPr>
              <w:t xml:space="preserve">RCO126 Firms: Enterprises supported linked primarily to </w:t>
            </w:r>
            <w:r w:rsidR="00745EC2" w:rsidRPr="00FC3C3B">
              <w:rPr>
                <w:noProof/>
                <w:sz w:val="18"/>
                <w:szCs w:val="18"/>
              </w:rPr>
              <w:t>clean technologies</w:t>
            </w:r>
            <w:r w:rsidRPr="00FC3C3B">
              <w:rPr>
                <w:noProof/>
                <w:sz w:val="18"/>
                <w:szCs w:val="18"/>
              </w:rPr>
              <w:t xml:space="preserve"> productive investments </w:t>
            </w:r>
          </w:p>
          <w:p w14:paraId="36ED0A95" w14:textId="77777777" w:rsidR="00D14242" w:rsidRPr="00FC3C3B" w:rsidRDefault="00D14242">
            <w:pPr>
              <w:rPr>
                <w:noProof/>
                <w:sz w:val="18"/>
                <w:szCs w:val="18"/>
              </w:rPr>
            </w:pPr>
            <w:r w:rsidRPr="00FC3C3B">
              <w:rPr>
                <w:noProof/>
                <w:sz w:val="18"/>
                <w:szCs w:val="18"/>
              </w:rPr>
              <w:t xml:space="preserve">RCO127 Firms: Enterprises supported linked primarily to </w:t>
            </w:r>
            <w:r w:rsidR="00745EC2" w:rsidRPr="00FC3C3B">
              <w:rPr>
                <w:noProof/>
                <w:sz w:val="18"/>
                <w:szCs w:val="18"/>
              </w:rPr>
              <w:t>bio</w:t>
            </w:r>
            <w:r w:rsidRPr="00FC3C3B">
              <w:rPr>
                <w:noProof/>
                <w:sz w:val="18"/>
                <w:szCs w:val="18"/>
              </w:rPr>
              <w:t>technolog</w:t>
            </w:r>
            <w:r w:rsidR="00745EC2" w:rsidRPr="00FC3C3B">
              <w:rPr>
                <w:noProof/>
                <w:sz w:val="18"/>
                <w:szCs w:val="18"/>
              </w:rPr>
              <w:t>ies</w:t>
            </w:r>
            <w:r w:rsidRPr="00FC3C3B">
              <w:rPr>
                <w:noProof/>
                <w:sz w:val="18"/>
                <w:szCs w:val="18"/>
              </w:rPr>
              <w:t xml:space="preserve"> productive investments </w:t>
            </w:r>
          </w:p>
          <w:p w14:paraId="3EBBD2F7" w14:textId="77777777" w:rsidR="00D14242" w:rsidRPr="00FC3C3B" w:rsidRDefault="00D14242">
            <w:pPr>
              <w:rPr>
                <w:noProof/>
                <w:sz w:val="18"/>
                <w:szCs w:val="18"/>
              </w:rPr>
            </w:pPr>
            <w:r w:rsidRPr="00FC3C3B">
              <w:rPr>
                <w:noProof/>
                <w:sz w:val="18"/>
                <w:szCs w:val="18"/>
              </w:rPr>
              <w:t xml:space="preserve">[These indicators are to be reported as subsets of RC001-RCO04] </w:t>
            </w:r>
          </w:p>
          <w:p w14:paraId="46992998" w14:textId="77777777" w:rsidR="00D14242" w:rsidRPr="00FC3C3B" w:rsidRDefault="00D14242">
            <w:pPr>
              <w:pStyle w:val="Text1"/>
              <w:rPr>
                <w:noProof/>
                <w:sz w:val="18"/>
                <w:szCs w:val="18"/>
              </w:rPr>
            </w:pPr>
          </w:p>
        </w:tc>
        <w:tc>
          <w:tcPr>
            <w:tcW w:w="2055" w:type="dxa"/>
          </w:tcPr>
          <w:p w14:paraId="7CDD7A37" w14:textId="77777777" w:rsidR="00D14242" w:rsidRPr="00FC3C3B" w:rsidRDefault="00742D61">
            <w:pPr>
              <w:pStyle w:val="Text1"/>
              <w:ind w:left="0"/>
              <w:rPr>
                <w:noProof/>
                <w:sz w:val="18"/>
                <w:szCs w:val="18"/>
              </w:rPr>
            </w:pPr>
            <w:r w:rsidRPr="00FC3C3B">
              <w:rPr>
                <w:noProof/>
                <w:sz w:val="18"/>
                <w:szCs w:val="18"/>
                <w:lang w:val="en-IE"/>
              </w:rPr>
              <w:t>Any RCR listed for specific objectives (i), (iii) and (iv) under policy objective 1</w:t>
            </w:r>
          </w:p>
        </w:tc>
      </w:tr>
    </w:tbl>
    <w:p w14:paraId="2C7786EE" w14:textId="77777777" w:rsidR="004E7B4B" w:rsidRPr="00FC3C3B" w:rsidRDefault="00323DD4" w:rsidP="00323DD4">
      <w:pPr>
        <w:pStyle w:val="Point0"/>
        <w:rPr>
          <w:noProof/>
        </w:rPr>
      </w:pPr>
      <w:r w:rsidRPr="00FC3C3B">
        <w:rPr>
          <w:noProof/>
        </w:rPr>
        <w:t>(8)</w:t>
      </w:r>
      <w:r w:rsidRPr="00FC3C3B">
        <w:rPr>
          <w:noProof/>
        </w:rPr>
        <w:tab/>
      </w:r>
      <w:r w:rsidR="004E7B4B" w:rsidRPr="00FC3C3B">
        <w:rPr>
          <w:noProof/>
        </w:rPr>
        <w:t>In the Table of Annex II, the following row is added under policy objective 1:</w:t>
      </w:r>
    </w:p>
    <w:tbl>
      <w:tblPr>
        <w:tblStyle w:val="TableGrid"/>
        <w:tblW w:w="8280" w:type="dxa"/>
        <w:tblInd w:w="948" w:type="dxa"/>
        <w:tblLayout w:type="fixed"/>
        <w:tblLook w:val="06A0" w:firstRow="1" w:lastRow="0" w:firstColumn="1" w:lastColumn="0" w:noHBand="1" w:noVBand="1"/>
      </w:tblPr>
      <w:tblGrid>
        <w:gridCol w:w="2148"/>
        <w:gridCol w:w="2055"/>
        <w:gridCol w:w="2055"/>
        <w:gridCol w:w="2022"/>
      </w:tblGrid>
      <w:tr w:rsidR="004E7B4B" w:rsidRPr="00FC3C3B" w14:paraId="1105E001" w14:textId="77777777" w:rsidTr="004E7B4B">
        <w:trPr>
          <w:trHeight w:val="300"/>
        </w:trPr>
        <w:tc>
          <w:tcPr>
            <w:tcW w:w="2148" w:type="dxa"/>
          </w:tcPr>
          <w:p w14:paraId="008011DC" w14:textId="77777777" w:rsidR="004E7B4B" w:rsidRPr="00FC3C3B" w:rsidRDefault="004E7B4B" w:rsidP="004E7B4B">
            <w:pPr>
              <w:pStyle w:val="Text1"/>
              <w:ind w:left="0"/>
              <w:rPr>
                <w:noProof/>
                <w:sz w:val="18"/>
                <w:szCs w:val="18"/>
              </w:rPr>
            </w:pPr>
          </w:p>
        </w:tc>
        <w:tc>
          <w:tcPr>
            <w:tcW w:w="2055" w:type="dxa"/>
            <w:vAlign w:val="center"/>
          </w:tcPr>
          <w:p w14:paraId="4C39DDA4" w14:textId="77777777" w:rsidR="004E7B4B" w:rsidRPr="00FC3C3B" w:rsidRDefault="004E7B4B" w:rsidP="004E7B4B">
            <w:pPr>
              <w:pStyle w:val="Text1"/>
              <w:ind w:left="0"/>
              <w:rPr>
                <w:noProof/>
                <w:sz w:val="18"/>
                <w:szCs w:val="18"/>
              </w:rPr>
            </w:pPr>
            <w:r w:rsidRPr="00FC3C3B">
              <w:rPr>
                <w:noProof/>
                <w:sz w:val="18"/>
                <w:szCs w:val="18"/>
              </w:rPr>
              <w:t xml:space="preserve">(vi) supporting investments contributing to the </w:t>
            </w:r>
            <w:r w:rsidR="004A0F90" w:rsidRPr="00FC3C3B">
              <w:rPr>
                <w:noProof/>
                <w:sz w:val="18"/>
                <w:szCs w:val="18"/>
              </w:rPr>
              <w:t>STEP</w:t>
            </w:r>
            <w:r w:rsidRPr="00FC3C3B">
              <w:rPr>
                <w:noProof/>
                <w:sz w:val="18"/>
                <w:szCs w:val="18"/>
              </w:rPr>
              <w:t xml:space="preserve"> objectives referred to Article 2 of Regulation .../... [</w:t>
            </w:r>
            <w:r w:rsidR="00C6425B" w:rsidRPr="00FC3C3B">
              <w:rPr>
                <w:noProof/>
                <w:sz w:val="18"/>
                <w:szCs w:val="18"/>
              </w:rPr>
              <w:t>STEP</w:t>
            </w:r>
            <w:r w:rsidRPr="00FC3C3B">
              <w:rPr>
                <w:noProof/>
                <w:sz w:val="18"/>
                <w:szCs w:val="18"/>
              </w:rPr>
              <w:t xml:space="preserve"> Regulation]</w:t>
            </w:r>
          </w:p>
        </w:tc>
        <w:tc>
          <w:tcPr>
            <w:tcW w:w="2055" w:type="dxa"/>
          </w:tcPr>
          <w:p w14:paraId="62F8C9AC" w14:textId="77777777" w:rsidR="004E7B4B" w:rsidRPr="00FC3C3B" w:rsidRDefault="004E7B4B" w:rsidP="004E7B4B">
            <w:pPr>
              <w:pStyle w:val="Text1"/>
              <w:ind w:left="0"/>
              <w:rPr>
                <w:noProof/>
                <w:sz w:val="18"/>
                <w:szCs w:val="18"/>
              </w:rPr>
            </w:pPr>
            <w:r w:rsidRPr="00FC3C3B">
              <w:rPr>
                <w:noProof/>
                <w:sz w:val="18"/>
                <w:szCs w:val="18"/>
                <w:lang w:val="en-IE"/>
              </w:rPr>
              <w:t>Any CCO listed for specific objectives (i), (iii) and (iv) under policy objective 1</w:t>
            </w:r>
          </w:p>
        </w:tc>
        <w:tc>
          <w:tcPr>
            <w:tcW w:w="2022" w:type="dxa"/>
          </w:tcPr>
          <w:p w14:paraId="7D5DC2C4" w14:textId="77777777" w:rsidR="004E7B4B" w:rsidRPr="00FC3C3B" w:rsidRDefault="004E7B4B" w:rsidP="004E7B4B">
            <w:pPr>
              <w:pStyle w:val="Text1"/>
              <w:ind w:left="0"/>
              <w:rPr>
                <w:noProof/>
                <w:sz w:val="18"/>
                <w:szCs w:val="18"/>
              </w:rPr>
            </w:pPr>
            <w:r w:rsidRPr="00FC3C3B">
              <w:rPr>
                <w:noProof/>
                <w:sz w:val="18"/>
                <w:szCs w:val="18"/>
                <w:lang w:val="en-IE"/>
              </w:rPr>
              <w:t>Any CCR listed for specific objectives (i), (iii) and (iv) under policy objective 1</w:t>
            </w:r>
          </w:p>
        </w:tc>
      </w:tr>
    </w:tbl>
    <w:p w14:paraId="296F3126" w14:textId="77777777" w:rsidR="00AF1D8D" w:rsidRPr="00FC3C3B" w:rsidRDefault="00323DD4" w:rsidP="00323DD4">
      <w:pPr>
        <w:pStyle w:val="Point0"/>
        <w:rPr>
          <w:noProof/>
        </w:rPr>
      </w:pPr>
      <w:r w:rsidRPr="00FC3C3B">
        <w:rPr>
          <w:noProof/>
        </w:rPr>
        <w:t>(9)</w:t>
      </w:r>
      <w:r w:rsidRPr="00FC3C3B">
        <w:rPr>
          <w:noProof/>
        </w:rPr>
        <w:tab/>
      </w:r>
      <w:r w:rsidR="00AF1D8D" w:rsidRPr="00FC3C3B">
        <w:rPr>
          <w:noProof/>
        </w:rPr>
        <w:t>In the Table of Annex II, the following row is added under policy objective 2:</w:t>
      </w:r>
    </w:p>
    <w:tbl>
      <w:tblPr>
        <w:tblStyle w:val="TableGrid"/>
        <w:tblW w:w="8280" w:type="dxa"/>
        <w:tblInd w:w="948" w:type="dxa"/>
        <w:tblLayout w:type="fixed"/>
        <w:tblLook w:val="06A0" w:firstRow="1" w:lastRow="0" w:firstColumn="1" w:lastColumn="0" w:noHBand="1" w:noVBand="1"/>
      </w:tblPr>
      <w:tblGrid>
        <w:gridCol w:w="2148"/>
        <w:gridCol w:w="2055"/>
        <w:gridCol w:w="2055"/>
        <w:gridCol w:w="2022"/>
      </w:tblGrid>
      <w:tr w:rsidR="000466D9" w:rsidRPr="00FC3C3B" w14:paraId="009A13E8" w14:textId="77777777" w:rsidTr="00FA2E45">
        <w:trPr>
          <w:trHeight w:val="300"/>
        </w:trPr>
        <w:tc>
          <w:tcPr>
            <w:tcW w:w="2148" w:type="dxa"/>
          </w:tcPr>
          <w:p w14:paraId="29BD4DC8" w14:textId="77777777" w:rsidR="00E41FBF" w:rsidRPr="00FC3C3B" w:rsidRDefault="00E41FBF" w:rsidP="00E41FBF">
            <w:pPr>
              <w:pStyle w:val="Text1"/>
              <w:ind w:left="0"/>
              <w:rPr>
                <w:noProof/>
                <w:sz w:val="18"/>
                <w:szCs w:val="18"/>
              </w:rPr>
            </w:pPr>
          </w:p>
        </w:tc>
        <w:tc>
          <w:tcPr>
            <w:tcW w:w="2055" w:type="dxa"/>
            <w:vAlign w:val="center"/>
          </w:tcPr>
          <w:p w14:paraId="5E5DB65D" w14:textId="77777777" w:rsidR="00E41FBF" w:rsidRPr="00FC3C3B" w:rsidRDefault="00E41FBF" w:rsidP="00AE59F9">
            <w:pPr>
              <w:pStyle w:val="Text1"/>
              <w:ind w:left="0"/>
              <w:rPr>
                <w:noProof/>
                <w:sz w:val="18"/>
                <w:szCs w:val="18"/>
              </w:rPr>
            </w:pPr>
            <w:r w:rsidRPr="00FC3C3B">
              <w:rPr>
                <w:noProof/>
                <w:sz w:val="18"/>
                <w:szCs w:val="18"/>
              </w:rPr>
              <w:t>(</w:t>
            </w:r>
            <w:r w:rsidR="00795A9F" w:rsidRPr="00FC3C3B">
              <w:rPr>
                <w:noProof/>
                <w:sz w:val="18"/>
                <w:szCs w:val="18"/>
              </w:rPr>
              <w:t xml:space="preserve">ix) supporting investments contributing to the </w:t>
            </w:r>
            <w:r w:rsidR="004A0F90" w:rsidRPr="00FC3C3B">
              <w:rPr>
                <w:noProof/>
                <w:sz w:val="18"/>
                <w:szCs w:val="18"/>
              </w:rPr>
              <w:t>STEP</w:t>
            </w:r>
            <w:r w:rsidR="00795A9F" w:rsidRPr="00FC3C3B">
              <w:rPr>
                <w:noProof/>
                <w:sz w:val="18"/>
                <w:szCs w:val="18"/>
              </w:rPr>
              <w:t xml:space="preserve"> objectives referred to Article 2 of </w:t>
            </w:r>
            <w:r w:rsidR="008807B5" w:rsidRPr="00FC3C3B">
              <w:rPr>
                <w:noProof/>
                <w:sz w:val="18"/>
                <w:szCs w:val="18"/>
              </w:rPr>
              <w:t>Regulation .../... [</w:t>
            </w:r>
            <w:r w:rsidR="00C6425B" w:rsidRPr="00FC3C3B">
              <w:rPr>
                <w:noProof/>
                <w:sz w:val="18"/>
                <w:szCs w:val="18"/>
              </w:rPr>
              <w:t>STEP</w:t>
            </w:r>
            <w:r w:rsidR="008807B5" w:rsidRPr="00FC3C3B">
              <w:rPr>
                <w:noProof/>
                <w:sz w:val="18"/>
                <w:szCs w:val="18"/>
              </w:rPr>
              <w:t xml:space="preserve"> Regulation]</w:t>
            </w:r>
          </w:p>
        </w:tc>
        <w:tc>
          <w:tcPr>
            <w:tcW w:w="2055" w:type="dxa"/>
          </w:tcPr>
          <w:p w14:paraId="4C29FD47" w14:textId="77777777" w:rsidR="00E41FBF" w:rsidRPr="00FC3C3B" w:rsidRDefault="00E41FBF" w:rsidP="00AE59F9">
            <w:pPr>
              <w:pStyle w:val="Text1"/>
              <w:ind w:left="0"/>
              <w:rPr>
                <w:noProof/>
                <w:sz w:val="18"/>
                <w:szCs w:val="18"/>
              </w:rPr>
            </w:pPr>
            <w:r w:rsidRPr="00FC3C3B">
              <w:rPr>
                <w:noProof/>
                <w:sz w:val="18"/>
                <w:szCs w:val="18"/>
                <w:lang w:val="en-IE"/>
              </w:rPr>
              <w:t>Any CCO listed for specific objectives (i), (iii) and (iv) under policy objective 1</w:t>
            </w:r>
          </w:p>
        </w:tc>
        <w:tc>
          <w:tcPr>
            <w:tcW w:w="2022" w:type="dxa"/>
          </w:tcPr>
          <w:p w14:paraId="01E6716D" w14:textId="77777777" w:rsidR="00E41FBF" w:rsidRPr="00FC3C3B" w:rsidRDefault="00E41FBF" w:rsidP="00E41FBF">
            <w:pPr>
              <w:pStyle w:val="Text1"/>
              <w:ind w:left="0"/>
              <w:rPr>
                <w:noProof/>
                <w:sz w:val="18"/>
                <w:szCs w:val="18"/>
              </w:rPr>
            </w:pPr>
            <w:r w:rsidRPr="00FC3C3B">
              <w:rPr>
                <w:noProof/>
                <w:sz w:val="18"/>
                <w:szCs w:val="18"/>
                <w:lang w:val="en-IE"/>
              </w:rPr>
              <w:t>Any CCR listed for specific objectives (i), (iii) and (iv) under policy objective 1</w:t>
            </w:r>
          </w:p>
        </w:tc>
      </w:tr>
    </w:tbl>
    <w:p w14:paraId="31FA4C54" w14:textId="77777777" w:rsidR="002C7991" w:rsidRPr="00FC3C3B" w:rsidRDefault="00550165">
      <w:pPr>
        <w:pStyle w:val="Titrearticle"/>
        <w:rPr>
          <w:noProof/>
        </w:rPr>
      </w:pPr>
      <w:r w:rsidRPr="00FC3C3B">
        <w:rPr>
          <w:noProof/>
        </w:rPr>
        <w:t xml:space="preserve">Article </w:t>
      </w:r>
      <w:r w:rsidR="009454C4" w:rsidRPr="00FC3C3B">
        <w:rPr>
          <w:noProof/>
        </w:rPr>
        <w:t>1</w:t>
      </w:r>
      <w:r w:rsidR="001D3939">
        <w:rPr>
          <w:noProof/>
        </w:rPr>
        <w:t>1</w:t>
      </w:r>
    </w:p>
    <w:p w14:paraId="6A4F00F5" w14:textId="77777777" w:rsidR="002C7991" w:rsidRPr="00FC3C3B" w:rsidRDefault="00550165">
      <w:pPr>
        <w:jc w:val="center"/>
        <w:rPr>
          <w:b/>
          <w:bCs/>
          <w:noProof/>
        </w:rPr>
      </w:pPr>
      <w:r w:rsidRPr="00FC3C3B">
        <w:rPr>
          <w:b/>
          <w:bCs/>
          <w:noProof/>
        </w:rPr>
        <w:t>Amendments to Regulation (EU) 2021/1056 [JTF]</w:t>
      </w:r>
    </w:p>
    <w:p w14:paraId="73E4AAE1" w14:textId="77777777" w:rsidR="002C7991" w:rsidRPr="00FC3C3B" w:rsidRDefault="00550165">
      <w:pPr>
        <w:rPr>
          <w:noProof/>
        </w:rPr>
      </w:pPr>
      <w:r w:rsidRPr="00FC3C3B">
        <w:rPr>
          <w:noProof/>
        </w:rPr>
        <w:t>Regulation (EU) 2021/1056 is amended as follows:</w:t>
      </w:r>
    </w:p>
    <w:p w14:paraId="267C633D" w14:textId="77777777" w:rsidR="005B14C6" w:rsidRPr="00FC3C3B" w:rsidRDefault="00323DD4" w:rsidP="00323DD4">
      <w:pPr>
        <w:pStyle w:val="Point0"/>
        <w:rPr>
          <w:noProof/>
        </w:rPr>
      </w:pPr>
      <w:r w:rsidRPr="00FC3C3B">
        <w:rPr>
          <w:noProof/>
        </w:rPr>
        <w:t>(1)</w:t>
      </w:r>
      <w:r w:rsidRPr="00FC3C3B">
        <w:rPr>
          <w:noProof/>
        </w:rPr>
        <w:tab/>
      </w:r>
      <w:r w:rsidR="005B14C6" w:rsidRPr="00FC3C3B">
        <w:rPr>
          <w:noProof/>
        </w:rPr>
        <w:t>Article 2 is replaced by the following:</w:t>
      </w:r>
    </w:p>
    <w:p w14:paraId="0CF7EB69" w14:textId="77777777" w:rsidR="005B14C6" w:rsidRPr="00FC3C3B" w:rsidRDefault="005B14C6" w:rsidP="009B1B7F">
      <w:pPr>
        <w:pStyle w:val="Text1"/>
        <w:rPr>
          <w:noProof/>
        </w:rPr>
      </w:pPr>
      <w:r w:rsidRPr="00FC3C3B">
        <w:rPr>
          <w:noProof/>
        </w:rPr>
        <w:t xml:space="preserve">‘In accordance with the second subparagraph of Article 5(1) of Regulation (EU) 2021/1060, the JTF shall contribute to the specific objective of enabling regions and people to address the social, employment, economic and environmental impacts of the transition towards the Union’s 2030 targets for energy and climate and a climate-neutral economy of the Union by 2050, based on the Paris Agreement. The JTF may also support investments contributing to the </w:t>
      </w:r>
      <w:r w:rsidR="00C6425B" w:rsidRPr="00FC3C3B">
        <w:rPr>
          <w:noProof/>
        </w:rPr>
        <w:t>STEP</w:t>
      </w:r>
      <w:r w:rsidRPr="00FC3C3B">
        <w:rPr>
          <w:noProof/>
        </w:rPr>
        <w:t xml:space="preserve"> objective referred to in Article 2(1), point (a)(ii) of Regulation .../... [</w:t>
      </w:r>
      <w:r w:rsidR="00C6425B" w:rsidRPr="00FC3C3B">
        <w:rPr>
          <w:noProof/>
        </w:rPr>
        <w:t>STEP</w:t>
      </w:r>
      <w:r w:rsidRPr="00FC3C3B">
        <w:rPr>
          <w:noProof/>
        </w:rPr>
        <w:t xml:space="preserve"> Regulation].’</w:t>
      </w:r>
    </w:p>
    <w:p w14:paraId="1E0EE33A" w14:textId="77777777" w:rsidR="002C7991" w:rsidRPr="00FC3C3B" w:rsidRDefault="00323DD4" w:rsidP="00323DD4">
      <w:pPr>
        <w:pStyle w:val="Point0"/>
        <w:rPr>
          <w:noProof/>
        </w:rPr>
      </w:pPr>
      <w:r w:rsidRPr="00FC3C3B">
        <w:rPr>
          <w:noProof/>
        </w:rPr>
        <w:t>(2)</w:t>
      </w:r>
      <w:r w:rsidRPr="00FC3C3B">
        <w:rPr>
          <w:noProof/>
        </w:rPr>
        <w:tab/>
      </w:r>
      <w:r w:rsidR="00550165" w:rsidRPr="00FC3C3B">
        <w:rPr>
          <w:noProof/>
        </w:rPr>
        <w:t>In Article 8(2) the following subparagraph is inserted:</w:t>
      </w:r>
    </w:p>
    <w:p w14:paraId="3C2FF7DF" w14:textId="77777777" w:rsidR="002C7991" w:rsidRPr="00FC3C3B" w:rsidRDefault="00550165" w:rsidP="009B1B7F">
      <w:pPr>
        <w:pStyle w:val="Text1"/>
        <w:rPr>
          <w:noProof/>
          <w:lang w:val="en-IE"/>
        </w:rPr>
      </w:pPr>
      <w:r w:rsidRPr="00FC3C3B">
        <w:rPr>
          <w:noProof/>
          <w:lang w:val="en-IE"/>
        </w:rPr>
        <w:t>‘</w:t>
      </w:r>
      <w:r w:rsidR="00BD43F9" w:rsidRPr="00FC3C3B">
        <w:rPr>
          <w:noProof/>
          <w:lang w:val="en-IE"/>
        </w:rPr>
        <w:t>T</w:t>
      </w:r>
      <w:r w:rsidRPr="00FC3C3B">
        <w:rPr>
          <w:noProof/>
          <w:lang w:val="en-IE"/>
        </w:rPr>
        <w:t xml:space="preserve">he JTF may also support productive investments in enterprises other than SMEs </w:t>
      </w:r>
      <w:r w:rsidRPr="00FC3C3B">
        <w:rPr>
          <w:noProof/>
        </w:rPr>
        <w:t xml:space="preserve">contributing to </w:t>
      </w:r>
      <w:r w:rsidR="002944A6" w:rsidRPr="00FC3C3B">
        <w:rPr>
          <w:noProof/>
        </w:rPr>
        <w:t xml:space="preserve">the </w:t>
      </w:r>
      <w:r w:rsidR="00C6425B" w:rsidRPr="00FC3C3B">
        <w:rPr>
          <w:noProof/>
        </w:rPr>
        <w:t>STEP</w:t>
      </w:r>
      <w:r w:rsidR="002944A6" w:rsidRPr="00FC3C3B">
        <w:rPr>
          <w:noProof/>
        </w:rPr>
        <w:t xml:space="preserve"> objectives referred to in Article 2 of </w:t>
      </w:r>
      <w:r w:rsidR="00B40EA3" w:rsidRPr="00FC3C3B">
        <w:rPr>
          <w:noProof/>
        </w:rPr>
        <w:t>Regulation .../...</w:t>
      </w:r>
      <w:r w:rsidR="00B40EA3" w:rsidRPr="00FC3C3B">
        <w:rPr>
          <w:rStyle w:val="FootnoteReference"/>
          <w:noProof/>
        </w:rPr>
        <w:footnoteReference w:id="66"/>
      </w:r>
      <w:r w:rsidR="00B40EA3" w:rsidRPr="00FC3C3B">
        <w:rPr>
          <w:noProof/>
        </w:rPr>
        <w:t xml:space="preserve"> [</w:t>
      </w:r>
      <w:r w:rsidR="00C6425B" w:rsidRPr="00FC3C3B">
        <w:rPr>
          <w:noProof/>
        </w:rPr>
        <w:t>STEP</w:t>
      </w:r>
      <w:r w:rsidR="002944A6" w:rsidRPr="00FC3C3B">
        <w:rPr>
          <w:noProof/>
        </w:rPr>
        <w:t>Regulation</w:t>
      </w:r>
      <w:r w:rsidR="00B40EA3" w:rsidRPr="00FC3C3B">
        <w:rPr>
          <w:noProof/>
        </w:rPr>
        <w:t>]</w:t>
      </w:r>
      <w:r w:rsidRPr="00FC3C3B">
        <w:rPr>
          <w:noProof/>
          <w:lang w:val="en-IE"/>
        </w:rPr>
        <w:t>. Th</w:t>
      </w:r>
      <w:r w:rsidR="009C468A" w:rsidRPr="00FC3C3B">
        <w:rPr>
          <w:noProof/>
          <w:lang w:val="en-IE"/>
        </w:rPr>
        <w:t>at</w:t>
      </w:r>
      <w:r w:rsidRPr="00FC3C3B">
        <w:rPr>
          <w:noProof/>
          <w:lang w:val="en-IE"/>
        </w:rPr>
        <w:t xml:space="preserve"> support may be provided irrespective of whether the gap analysis was carried out in accordance with Article 11(2)(h) and irrespective of its outcome. Such investments shall only be eligible where they do not lead to relocation as defined in point (27) of Article 2 of Regulation (EU) 2021/1060. The provision of such support shall not require a revision of the territorial just transition plan where that revision would be exclusively linked to the gap analysis.’</w:t>
      </w:r>
    </w:p>
    <w:p w14:paraId="1744EAA6" w14:textId="77777777" w:rsidR="002C7991" w:rsidRPr="00FC3C3B" w:rsidRDefault="00323DD4" w:rsidP="00323DD4">
      <w:pPr>
        <w:pStyle w:val="Point0"/>
        <w:rPr>
          <w:noProof/>
        </w:rPr>
      </w:pPr>
      <w:r w:rsidRPr="00FC3C3B">
        <w:rPr>
          <w:noProof/>
        </w:rPr>
        <w:t>(3)</w:t>
      </w:r>
      <w:r w:rsidRPr="00FC3C3B">
        <w:rPr>
          <w:noProof/>
        </w:rPr>
        <w:tab/>
      </w:r>
      <w:r w:rsidR="00550165" w:rsidRPr="00FC3C3B">
        <w:rPr>
          <w:noProof/>
        </w:rPr>
        <w:t>In Article 10, the following paragraph 4 is added:</w:t>
      </w:r>
    </w:p>
    <w:p w14:paraId="49EAA477" w14:textId="77777777" w:rsidR="002C7991" w:rsidRPr="00FC3C3B" w:rsidRDefault="00550165">
      <w:pPr>
        <w:pStyle w:val="Text1"/>
        <w:rPr>
          <w:noProof/>
        </w:rPr>
      </w:pPr>
      <w:r w:rsidRPr="00FC3C3B">
        <w:rPr>
          <w:noProof/>
        </w:rPr>
        <w:t xml:space="preserve">‘The Commission shall pay 30% of the JTF allocation, including amounts transferred in line with Article 27 of Regulation EU 2021/1060, to a programme as set out in the decision approving the programme as exceptional </w:t>
      </w:r>
      <w:r w:rsidR="00FE40D4" w:rsidRPr="00FC3C3B">
        <w:rPr>
          <w:noProof/>
        </w:rPr>
        <w:t xml:space="preserve">one-off </w:t>
      </w:r>
      <w:r w:rsidRPr="00FC3C3B">
        <w:rPr>
          <w:noProof/>
        </w:rPr>
        <w:t xml:space="preserve">pre-financing in addition to the yearly pre-financing for the programme provided for in Article 90(1) and (2) of Regulation (EU) 2021/1060. </w:t>
      </w:r>
      <w:r w:rsidR="00B87473" w:rsidRPr="00FC3C3B">
        <w:rPr>
          <w:noProof/>
        </w:rPr>
        <w:t xml:space="preserve">The exceptional pre-financing shall be paid </w:t>
      </w:r>
      <w:r w:rsidR="00CF1E59" w:rsidRPr="00FC3C3B">
        <w:rPr>
          <w:noProof/>
        </w:rPr>
        <w:t>as from [entry into force of this Regulation]</w:t>
      </w:r>
      <w:r w:rsidR="00B87473" w:rsidRPr="00FC3C3B">
        <w:rPr>
          <w:noProof/>
        </w:rPr>
        <w:t>.</w:t>
      </w:r>
    </w:p>
    <w:p w14:paraId="49B451FB" w14:textId="77777777" w:rsidR="002C7991" w:rsidRPr="00FC3C3B" w:rsidRDefault="00550165">
      <w:pPr>
        <w:pStyle w:val="Text1"/>
        <w:rPr>
          <w:noProof/>
        </w:rPr>
      </w:pPr>
      <w:r w:rsidRPr="00FC3C3B">
        <w:rPr>
          <w:noProof/>
        </w:rPr>
        <w:t xml:space="preserve">In accordance with Article 90(5) of Regulation (EU) 2021/1060, the amount paid as exceptional pre-financing shall be cleared no later than with the final accounting year. </w:t>
      </w:r>
    </w:p>
    <w:p w14:paraId="25B9E17A" w14:textId="77777777" w:rsidR="002C7991" w:rsidRPr="00FC3C3B" w:rsidRDefault="00550165">
      <w:pPr>
        <w:pStyle w:val="Text1"/>
        <w:rPr>
          <w:noProof/>
        </w:rPr>
      </w:pPr>
      <w:r w:rsidRPr="00FC3C3B">
        <w:rPr>
          <w:noProof/>
        </w:rPr>
        <w:t>In accordance with Article 90(6) of Regulation (EU) 2021/1060, any interest generated by the exceptional pre-financing shall be used for the programme concerned in the same way as the ERDF and shall be included in the accounts for the final accounting year.</w:t>
      </w:r>
    </w:p>
    <w:p w14:paraId="670BD03F" w14:textId="77777777" w:rsidR="002C7991" w:rsidRPr="00FC3C3B" w:rsidRDefault="00550165">
      <w:pPr>
        <w:pStyle w:val="Text1"/>
        <w:rPr>
          <w:noProof/>
        </w:rPr>
      </w:pPr>
      <w:r w:rsidRPr="00FC3C3B">
        <w:rPr>
          <w:noProof/>
        </w:rPr>
        <w:t xml:space="preserve">In accordance with Article 97(1) of Regulation (EU) 2021/1060, the exceptional pre-financing shall not be suspended. </w:t>
      </w:r>
    </w:p>
    <w:p w14:paraId="4B40F34D" w14:textId="77777777" w:rsidR="002C7991" w:rsidRPr="00FC3C3B" w:rsidRDefault="00550165" w:rsidP="00FA2E45">
      <w:pPr>
        <w:pStyle w:val="Text1"/>
        <w:rPr>
          <w:noProof/>
        </w:rPr>
      </w:pPr>
      <w:r w:rsidRPr="00FC3C3B">
        <w:rPr>
          <w:noProof/>
        </w:rPr>
        <w:t>In accordance with Article 105(1) of Regulation (EU) 2021/1060, the pre-financing to be taken into account for the purposes of calculating amounts to be de-committed shall include the exceptional pre-financing paid.</w:t>
      </w:r>
    </w:p>
    <w:p w14:paraId="15C2B8D3" w14:textId="77777777" w:rsidR="005B14C6" w:rsidRPr="00FC3C3B" w:rsidRDefault="005B14C6" w:rsidP="00FA2E45">
      <w:pPr>
        <w:pStyle w:val="Text1"/>
        <w:rPr>
          <w:noProof/>
        </w:rPr>
      </w:pPr>
      <w:r w:rsidRPr="00FC3C3B">
        <w:rPr>
          <w:noProof/>
        </w:rPr>
        <w:t xml:space="preserve">By way of derogation from Article 112 of Regulation (EU) 2021/1060, the maximum </w:t>
      </w:r>
      <w:r w:rsidR="00336DE1">
        <w:rPr>
          <w:noProof/>
        </w:rPr>
        <w:t>co-</w:t>
      </w:r>
      <w:r w:rsidRPr="00FC3C3B">
        <w:rPr>
          <w:noProof/>
        </w:rPr>
        <w:t xml:space="preserve">financing rates for dedicated priorities established to support the </w:t>
      </w:r>
      <w:r w:rsidR="001A35BE" w:rsidRPr="00FC3C3B">
        <w:rPr>
          <w:noProof/>
        </w:rPr>
        <w:t>STEP</w:t>
      </w:r>
      <w:r w:rsidRPr="00FC3C3B">
        <w:rPr>
          <w:rFonts w:eastAsia="Times New Roman"/>
          <w:iCs/>
          <w:noProof/>
        </w:rPr>
        <w:t xml:space="preserve"> </w:t>
      </w:r>
      <w:r w:rsidRPr="00FC3C3B">
        <w:rPr>
          <w:noProof/>
        </w:rPr>
        <w:t>objectives shall be increased to 100 %.’</w:t>
      </w:r>
    </w:p>
    <w:p w14:paraId="6A39470C" w14:textId="77777777" w:rsidR="002C7991" w:rsidRPr="00FC3C3B" w:rsidRDefault="00550165">
      <w:pPr>
        <w:pStyle w:val="Titrearticle"/>
        <w:rPr>
          <w:noProof/>
        </w:rPr>
      </w:pPr>
      <w:r w:rsidRPr="00FC3C3B">
        <w:rPr>
          <w:noProof/>
        </w:rPr>
        <w:t xml:space="preserve">Article </w:t>
      </w:r>
      <w:r w:rsidR="009454C4" w:rsidRPr="00FC3C3B">
        <w:rPr>
          <w:noProof/>
        </w:rPr>
        <w:t>12</w:t>
      </w:r>
    </w:p>
    <w:p w14:paraId="326793BE" w14:textId="77777777" w:rsidR="002C7991" w:rsidRPr="00FC3C3B" w:rsidRDefault="00550165">
      <w:pPr>
        <w:jc w:val="center"/>
        <w:rPr>
          <w:b/>
          <w:bCs/>
          <w:noProof/>
        </w:rPr>
      </w:pPr>
      <w:r w:rsidRPr="00FC3C3B">
        <w:rPr>
          <w:b/>
          <w:bCs/>
          <w:noProof/>
        </w:rPr>
        <w:t>Amendments to Regulation (EU) 2021/1057 [ESF+]</w:t>
      </w:r>
    </w:p>
    <w:p w14:paraId="4A9BA794" w14:textId="77777777" w:rsidR="002C7991" w:rsidRPr="00FC3C3B" w:rsidRDefault="00550165">
      <w:pPr>
        <w:rPr>
          <w:noProof/>
        </w:rPr>
      </w:pPr>
      <w:r w:rsidRPr="00FC3C3B">
        <w:rPr>
          <w:noProof/>
        </w:rPr>
        <w:t>Regulation (EU) 2021/1057 is amended as follows:</w:t>
      </w:r>
    </w:p>
    <w:p w14:paraId="5078C483" w14:textId="77777777" w:rsidR="002C7991" w:rsidRPr="00FC3C3B" w:rsidRDefault="00323DD4" w:rsidP="00323DD4">
      <w:pPr>
        <w:pStyle w:val="Point0"/>
        <w:rPr>
          <w:noProof/>
        </w:rPr>
      </w:pPr>
      <w:r w:rsidRPr="00FC3C3B">
        <w:rPr>
          <w:noProof/>
        </w:rPr>
        <w:t>(1)</w:t>
      </w:r>
      <w:r w:rsidRPr="00FC3C3B">
        <w:rPr>
          <w:noProof/>
        </w:rPr>
        <w:tab/>
      </w:r>
      <w:r w:rsidR="00550165" w:rsidRPr="00FC3C3B">
        <w:rPr>
          <w:noProof/>
        </w:rPr>
        <w:t>A new article 12a is inserted:</w:t>
      </w:r>
    </w:p>
    <w:p w14:paraId="4417B712" w14:textId="77777777" w:rsidR="002C7991" w:rsidRPr="00FC3C3B" w:rsidRDefault="00550165" w:rsidP="00E552F2">
      <w:pPr>
        <w:pStyle w:val="Titrearticle"/>
        <w:rPr>
          <w:noProof/>
        </w:rPr>
      </w:pPr>
      <w:r w:rsidRPr="00FC3C3B">
        <w:rPr>
          <w:noProof/>
        </w:rPr>
        <w:t>‘Article 12a</w:t>
      </w:r>
    </w:p>
    <w:p w14:paraId="5CD71371" w14:textId="77777777" w:rsidR="002C7991" w:rsidRPr="00FC3C3B" w:rsidRDefault="00550165" w:rsidP="009B1B7F">
      <w:pPr>
        <w:pStyle w:val="Text1"/>
        <w:rPr>
          <w:noProof/>
        </w:rPr>
      </w:pPr>
      <w:r w:rsidRPr="00FC3C3B">
        <w:rPr>
          <w:noProof/>
        </w:rPr>
        <w:t xml:space="preserve">In addition to the pre-financing for the programme provided for in Article 90(1) and (2) of Regulation (EU) 2021/1060, where the Commission approves an amendment of a programme including one or more priorities dedicated to operations supported by the ESF+ </w:t>
      </w:r>
      <w:r w:rsidR="008B7AB0" w:rsidRPr="00FC3C3B">
        <w:rPr>
          <w:noProof/>
        </w:rPr>
        <w:t xml:space="preserve">contributing to the </w:t>
      </w:r>
      <w:r w:rsidR="001A35BE" w:rsidRPr="00FC3C3B">
        <w:rPr>
          <w:noProof/>
        </w:rPr>
        <w:t>STEP</w:t>
      </w:r>
      <w:r w:rsidR="008B7AB0" w:rsidRPr="00FC3C3B">
        <w:rPr>
          <w:noProof/>
        </w:rPr>
        <w:t xml:space="preserve"> objectives referred to in Article 2 of </w:t>
      </w:r>
      <w:r w:rsidR="00B40EA3" w:rsidRPr="00FC3C3B">
        <w:rPr>
          <w:noProof/>
        </w:rPr>
        <w:t>Regulation .../...</w:t>
      </w:r>
      <w:r w:rsidR="00B40EA3" w:rsidRPr="00FC3C3B">
        <w:rPr>
          <w:rStyle w:val="FootnoteReference"/>
          <w:noProof/>
        </w:rPr>
        <w:footnoteReference w:id="67"/>
      </w:r>
      <w:r w:rsidR="00B40EA3" w:rsidRPr="00FC3C3B">
        <w:rPr>
          <w:noProof/>
        </w:rPr>
        <w:t xml:space="preserve"> [</w:t>
      </w:r>
      <w:r w:rsidR="001A35BE" w:rsidRPr="00FC3C3B">
        <w:rPr>
          <w:noProof/>
        </w:rPr>
        <w:t>STEP</w:t>
      </w:r>
      <w:r w:rsidR="00B40EA3" w:rsidRPr="00FC3C3B">
        <w:rPr>
          <w:noProof/>
        </w:rPr>
        <w:t xml:space="preserve"> Regulation]</w:t>
      </w:r>
      <w:r w:rsidRPr="00FC3C3B">
        <w:rPr>
          <w:noProof/>
        </w:rPr>
        <w:t xml:space="preserve">, it shall make an exceptional pre-financing of 30% </w:t>
      </w:r>
      <w:r w:rsidR="00CE12DF" w:rsidRPr="00FC3C3B">
        <w:rPr>
          <w:noProof/>
        </w:rPr>
        <w:t xml:space="preserve">on the basis of the allocation </w:t>
      </w:r>
      <w:r w:rsidRPr="00FC3C3B">
        <w:rPr>
          <w:noProof/>
        </w:rPr>
        <w:t xml:space="preserve">to those priorities. </w:t>
      </w:r>
      <w:r w:rsidR="00FA28E5" w:rsidRPr="00FC3C3B">
        <w:rPr>
          <w:noProof/>
        </w:rPr>
        <w:t xml:space="preserve">The exceptional pre-financing shall be paid </w:t>
      </w:r>
      <w:r w:rsidR="00D75078" w:rsidRPr="00FC3C3B">
        <w:rPr>
          <w:noProof/>
        </w:rPr>
        <w:t>by</w:t>
      </w:r>
      <w:r w:rsidR="00FA28E5" w:rsidRPr="00FC3C3B">
        <w:rPr>
          <w:noProof/>
        </w:rPr>
        <w:t xml:space="preserve"> 31 December 2024, provided the Commission has adopted the decision approving the programme amendment </w:t>
      </w:r>
      <w:r w:rsidR="00D75078" w:rsidRPr="00FC3C3B">
        <w:rPr>
          <w:noProof/>
        </w:rPr>
        <w:t xml:space="preserve">by </w:t>
      </w:r>
      <w:r w:rsidR="00FA28E5" w:rsidRPr="00FC3C3B">
        <w:rPr>
          <w:noProof/>
        </w:rPr>
        <w:t>31 October 2024.</w:t>
      </w:r>
    </w:p>
    <w:p w14:paraId="4211B117" w14:textId="77777777" w:rsidR="002C7991" w:rsidRPr="00FC3C3B" w:rsidRDefault="00550165" w:rsidP="009B1B7F">
      <w:pPr>
        <w:pStyle w:val="Text1"/>
        <w:rPr>
          <w:noProof/>
        </w:rPr>
      </w:pPr>
      <w:r w:rsidRPr="00FC3C3B">
        <w:rPr>
          <w:noProof/>
        </w:rPr>
        <w:t xml:space="preserve">In accordance with Article 90(5) of Regulation (EU) 2021/1060, the amount paid as exceptional pre-financing shall be cleared no later than with the final accounting year. </w:t>
      </w:r>
    </w:p>
    <w:p w14:paraId="3BC38D6E" w14:textId="77777777" w:rsidR="002C7991" w:rsidRPr="00FC3C3B" w:rsidRDefault="00550165" w:rsidP="009B1B7F">
      <w:pPr>
        <w:pStyle w:val="Text1"/>
        <w:rPr>
          <w:noProof/>
        </w:rPr>
      </w:pPr>
      <w:r w:rsidRPr="00FC3C3B">
        <w:rPr>
          <w:noProof/>
        </w:rPr>
        <w:t>In accordance with Article 90(6) of Regulation (EU) 2021/1060, any interest generated by the exceptional pre-financing shall be used for the programme concerned in the same way as the ESF+ and shall be included in the accounts for the final accounting year.</w:t>
      </w:r>
    </w:p>
    <w:p w14:paraId="58159924" w14:textId="77777777" w:rsidR="002C7991" w:rsidRPr="00FC3C3B" w:rsidRDefault="00550165" w:rsidP="009B1B7F">
      <w:pPr>
        <w:pStyle w:val="Text1"/>
        <w:rPr>
          <w:noProof/>
        </w:rPr>
      </w:pPr>
      <w:r w:rsidRPr="00FC3C3B">
        <w:rPr>
          <w:noProof/>
        </w:rPr>
        <w:t xml:space="preserve">In accordance with Article 97(1) of Regulation (EU) 2021/1060, the exceptional pre-financing shall not be suspended. </w:t>
      </w:r>
    </w:p>
    <w:p w14:paraId="4FA0CE4C" w14:textId="77777777" w:rsidR="006D5BE6" w:rsidRPr="00FC3C3B" w:rsidRDefault="00550165" w:rsidP="009B1B7F">
      <w:pPr>
        <w:pStyle w:val="Text1"/>
        <w:rPr>
          <w:noProof/>
        </w:rPr>
      </w:pPr>
      <w:r w:rsidRPr="00FC3C3B">
        <w:rPr>
          <w:noProof/>
        </w:rPr>
        <w:t>In accordance with Article 105(1) of Regulation (EU) 2021/1060, the pre-financing to be taken into account for the purposes of calculating amounts to be de-committed shall include the exceptional pre-financing paid.</w:t>
      </w:r>
    </w:p>
    <w:p w14:paraId="671719BE" w14:textId="77777777" w:rsidR="002C7991" w:rsidRPr="00FC3C3B" w:rsidRDefault="002819AB" w:rsidP="009B1B7F">
      <w:pPr>
        <w:pStyle w:val="Text1"/>
        <w:rPr>
          <w:noProof/>
        </w:rPr>
      </w:pPr>
      <w:r w:rsidRPr="00FC3C3B">
        <w:rPr>
          <w:noProof/>
        </w:rPr>
        <w:t xml:space="preserve">By way of derogation from Article 112 of Regulation (EU) 2021/1060, the maximum </w:t>
      </w:r>
      <w:r w:rsidR="00336DE1">
        <w:rPr>
          <w:noProof/>
        </w:rPr>
        <w:t>co-</w:t>
      </w:r>
      <w:r w:rsidRPr="00FC3C3B">
        <w:rPr>
          <w:noProof/>
        </w:rPr>
        <w:t xml:space="preserve">financing rates for dedicated priorities established to support the </w:t>
      </w:r>
      <w:r w:rsidR="001A35BE" w:rsidRPr="00FC3C3B">
        <w:rPr>
          <w:noProof/>
        </w:rPr>
        <w:t>STEP</w:t>
      </w:r>
      <w:r w:rsidRPr="00FC3C3B">
        <w:rPr>
          <w:rFonts w:eastAsia="Times New Roman"/>
          <w:iCs/>
          <w:noProof/>
        </w:rPr>
        <w:t xml:space="preserve"> </w:t>
      </w:r>
      <w:r w:rsidRPr="00FC3C3B">
        <w:rPr>
          <w:noProof/>
        </w:rPr>
        <w:t>objectives shall be increased to 100 %.</w:t>
      </w:r>
      <w:r w:rsidR="00550165" w:rsidRPr="00FC3C3B">
        <w:rPr>
          <w:noProof/>
        </w:rPr>
        <w:t>’</w:t>
      </w:r>
    </w:p>
    <w:p w14:paraId="7C436995" w14:textId="77777777" w:rsidR="002C7991" w:rsidRPr="00FC3C3B" w:rsidRDefault="00550165">
      <w:pPr>
        <w:pStyle w:val="Titrearticle"/>
        <w:rPr>
          <w:noProof/>
        </w:rPr>
      </w:pPr>
      <w:r w:rsidRPr="00FC3C3B">
        <w:rPr>
          <w:noProof/>
        </w:rPr>
        <w:t xml:space="preserve">Article </w:t>
      </w:r>
      <w:r w:rsidR="009454C4" w:rsidRPr="00FC3C3B">
        <w:rPr>
          <w:noProof/>
        </w:rPr>
        <w:t>13</w:t>
      </w:r>
    </w:p>
    <w:p w14:paraId="413677FC" w14:textId="77777777" w:rsidR="002C7991" w:rsidRPr="00FC3C3B" w:rsidRDefault="00550165">
      <w:pPr>
        <w:jc w:val="center"/>
        <w:rPr>
          <w:b/>
          <w:bCs/>
          <w:noProof/>
        </w:rPr>
      </w:pPr>
      <w:r w:rsidRPr="00FC3C3B">
        <w:rPr>
          <w:b/>
          <w:bCs/>
          <w:noProof/>
        </w:rPr>
        <w:t>Amendments to Regulation (EU) 2021/1060 [CPR]</w:t>
      </w:r>
    </w:p>
    <w:p w14:paraId="61A5C5F4" w14:textId="77777777" w:rsidR="002C7991" w:rsidRPr="00FC3C3B" w:rsidRDefault="00550165">
      <w:pPr>
        <w:rPr>
          <w:noProof/>
        </w:rPr>
      </w:pPr>
      <w:r w:rsidRPr="00FC3C3B">
        <w:rPr>
          <w:noProof/>
        </w:rPr>
        <w:t>Regulation (EU) 2021/1060 is amended as follows:</w:t>
      </w:r>
    </w:p>
    <w:p w14:paraId="2FA7FF74" w14:textId="77777777" w:rsidR="00730165" w:rsidRPr="00FC3C3B" w:rsidRDefault="00323DD4" w:rsidP="00323DD4">
      <w:pPr>
        <w:pStyle w:val="Point0"/>
        <w:rPr>
          <w:noProof/>
        </w:rPr>
      </w:pPr>
      <w:r w:rsidRPr="00FC3C3B">
        <w:rPr>
          <w:noProof/>
        </w:rPr>
        <w:t>(1)</w:t>
      </w:r>
      <w:r w:rsidRPr="00FC3C3B">
        <w:rPr>
          <w:noProof/>
        </w:rPr>
        <w:tab/>
      </w:r>
      <w:r w:rsidR="00550165" w:rsidRPr="00FC3C3B">
        <w:rPr>
          <w:noProof/>
        </w:rPr>
        <w:t xml:space="preserve">In Article 2, </w:t>
      </w:r>
      <w:r w:rsidR="00730165" w:rsidRPr="00FC3C3B">
        <w:rPr>
          <w:noProof/>
        </w:rPr>
        <w:t xml:space="preserve">point (45) is replaced </w:t>
      </w:r>
      <w:r w:rsidR="00970179" w:rsidRPr="00FC3C3B">
        <w:rPr>
          <w:noProof/>
        </w:rPr>
        <w:t xml:space="preserve">by </w:t>
      </w:r>
      <w:r w:rsidR="00550165" w:rsidRPr="00FC3C3B">
        <w:rPr>
          <w:noProof/>
        </w:rPr>
        <w:t>the following</w:t>
      </w:r>
      <w:r w:rsidR="00970179" w:rsidRPr="00FC3C3B">
        <w:rPr>
          <w:noProof/>
        </w:rPr>
        <w:t>:</w:t>
      </w:r>
    </w:p>
    <w:p w14:paraId="5AFFC880" w14:textId="77777777" w:rsidR="00970179" w:rsidRPr="00FC3C3B" w:rsidRDefault="00970179" w:rsidP="009B1B7F">
      <w:pPr>
        <w:pStyle w:val="Text1"/>
        <w:rPr>
          <w:noProof/>
        </w:rPr>
      </w:pPr>
      <w:r w:rsidRPr="00FC3C3B">
        <w:rPr>
          <w:noProof/>
        </w:rPr>
        <w:t>‘(45) ‘Seal of Excellence’ means the quality label attributed by the Commission in respect of a proposal, which shows that the proposal which has been assessed in a call for proposals under a Union instrument is deemed to comply with the minimum quality requirements of that Union instrument, but could not be funded due to lack of budget available for that call for proposals, and might receive support from other Union or national sources of funding</w:t>
      </w:r>
      <w:r w:rsidR="00D035AE" w:rsidRPr="00FC3C3B">
        <w:rPr>
          <w:noProof/>
        </w:rPr>
        <w:t xml:space="preserve">; </w:t>
      </w:r>
      <w:r w:rsidR="00D035AE" w:rsidRPr="00FC3C3B">
        <w:rPr>
          <w:b/>
          <w:bCs/>
          <w:noProof/>
        </w:rPr>
        <w:t xml:space="preserve">or the </w:t>
      </w:r>
      <w:r w:rsidR="00BF0CDE" w:rsidRPr="00FC3C3B">
        <w:rPr>
          <w:b/>
          <w:bCs/>
          <w:noProof/>
        </w:rPr>
        <w:t xml:space="preserve">‘Sovereignty Seal’ </w:t>
      </w:r>
      <w:r w:rsidR="000D7DD9" w:rsidRPr="00FC3C3B">
        <w:rPr>
          <w:b/>
          <w:bCs/>
          <w:noProof/>
        </w:rPr>
        <w:t>referred to in A</w:t>
      </w:r>
      <w:r w:rsidR="00BF0CDE" w:rsidRPr="00FC3C3B">
        <w:rPr>
          <w:b/>
          <w:bCs/>
          <w:noProof/>
        </w:rPr>
        <w:t xml:space="preserve">rticle 4 of </w:t>
      </w:r>
      <w:r w:rsidR="00A60475" w:rsidRPr="00FC3C3B">
        <w:rPr>
          <w:b/>
          <w:bCs/>
          <w:noProof/>
        </w:rPr>
        <w:t>Regulation .../...</w:t>
      </w:r>
      <w:r w:rsidR="00A60475" w:rsidRPr="00FC3C3B">
        <w:rPr>
          <w:rStyle w:val="FootnoteReference"/>
          <w:b/>
          <w:bCs/>
          <w:noProof/>
        </w:rPr>
        <w:footnoteReference w:id="68"/>
      </w:r>
      <w:r w:rsidR="00A60475" w:rsidRPr="00FC3C3B">
        <w:rPr>
          <w:b/>
          <w:bCs/>
          <w:noProof/>
        </w:rPr>
        <w:t xml:space="preserve"> [</w:t>
      </w:r>
      <w:r w:rsidR="001A35BE" w:rsidRPr="006E37DD">
        <w:rPr>
          <w:b/>
          <w:bCs/>
          <w:noProof/>
        </w:rPr>
        <w:t>STEP</w:t>
      </w:r>
      <w:r w:rsidR="00A60475" w:rsidRPr="00FC3C3B">
        <w:rPr>
          <w:b/>
          <w:bCs/>
          <w:noProof/>
        </w:rPr>
        <w:t xml:space="preserve"> Regulation]</w:t>
      </w:r>
      <w:r w:rsidRPr="00FC3C3B">
        <w:rPr>
          <w:b/>
          <w:bCs/>
          <w:noProof/>
        </w:rPr>
        <w:t>.</w:t>
      </w:r>
      <w:r w:rsidRPr="00FC3C3B">
        <w:rPr>
          <w:noProof/>
        </w:rPr>
        <w:t>’</w:t>
      </w:r>
    </w:p>
    <w:p w14:paraId="21BBBBA8" w14:textId="77777777" w:rsidR="001E031E" w:rsidRDefault="00323DD4" w:rsidP="00323DD4">
      <w:pPr>
        <w:pStyle w:val="Point0"/>
        <w:rPr>
          <w:noProof/>
        </w:rPr>
      </w:pPr>
      <w:r w:rsidRPr="00FC3C3B">
        <w:rPr>
          <w:noProof/>
        </w:rPr>
        <w:t>(2)</w:t>
      </w:r>
      <w:r w:rsidRPr="00FC3C3B">
        <w:rPr>
          <w:noProof/>
        </w:rPr>
        <w:tab/>
      </w:r>
      <w:r w:rsidR="001E031E">
        <w:rPr>
          <w:noProof/>
        </w:rPr>
        <w:t xml:space="preserve">In Article 14(5), </w:t>
      </w:r>
      <w:r w:rsidR="009B584B">
        <w:rPr>
          <w:noProof/>
        </w:rPr>
        <w:t xml:space="preserve">the </w:t>
      </w:r>
      <w:r w:rsidR="00ED466C">
        <w:rPr>
          <w:noProof/>
        </w:rPr>
        <w:t>first subparagraph is replaced by the following:</w:t>
      </w:r>
    </w:p>
    <w:p w14:paraId="3A1AD7C0" w14:textId="77777777" w:rsidR="00181FD5" w:rsidRDefault="00181FD5" w:rsidP="008A3D63">
      <w:pPr>
        <w:ind w:left="840"/>
        <w:rPr>
          <w:noProof/>
          <w:sz w:val="22"/>
          <w:lang w:val="en-IE"/>
        </w:rPr>
      </w:pPr>
      <w:r>
        <w:rPr>
          <w:noProof/>
        </w:rPr>
        <w:t>‘</w:t>
      </w:r>
      <w:r w:rsidRPr="008A3D63">
        <w:rPr>
          <w:noProof/>
        </w:rPr>
        <w:t xml:space="preserve">In accordance with the second subparagraph of Article 10(4) of the InvestEU Regulation, where a guarantee agreement has not been concluded within </w:t>
      </w:r>
      <w:r w:rsidRPr="008A3D63">
        <w:rPr>
          <w:b/>
          <w:bCs/>
          <w:noProof/>
        </w:rPr>
        <w:t>12</w:t>
      </w:r>
      <w:r w:rsidRPr="008A3D63">
        <w:rPr>
          <w:noProof/>
        </w:rPr>
        <w:t xml:space="preserve"> months from the conclusion of the contribution agreement, the contribution agreement shall be terminated or prolonged by mutual agreement.</w:t>
      </w:r>
      <w:r>
        <w:rPr>
          <w:noProof/>
        </w:rPr>
        <w:t>’</w:t>
      </w:r>
    </w:p>
    <w:p w14:paraId="32D3B1AC" w14:textId="77777777" w:rsidR="00894E35" w:rsidRPr="00FC3C3B" w:rsidRDefault="00DF1900" w:rsidP="00323DD4">
      <w:pPr>
        <w:pStyle w:val="Point0"/>
        <w:rPr>
          <w:noProof/>
        </w:rPr>
      </w:pPr>
      <w:r>
        <w:rPr>
          <w:noProof/>
        </w:rPr>
        <w:t>(3)</w:t>
      </w:r>
      <w:r>
        <w:rPr>
          <w:noProof/>
        </w:rPr>
        <w:tab/>
      </w:r>
      <w:r w:rsidR="00894E35" w:rsidRPr="00FC3C3B">
        <w:rPr>
          <w:noProof/>
        </w:rPr>
        <w:t xml:space="preserve">In Article 49, the following paragraph </w:t>
      </w:r>
      <w:r w:rsidR="00F82FA8" w:rsidRPr="00FC3C3B">
        <w:rPr>
          <w:noProof/>
        </w:rPr>
        <w:t>2</w:t>
      </w:r>
      <w:r w:rsidR="00894E35" w:rsidRPr="00FC3C3B">
        <w:rPr>
          <w:noProof/>
        </w:rPr>
        <w:t>a is inserted:</w:t>
      </w:r>
    </w:p>
    <w:p w14:paraId="7E53F3EA" w14:textId="77777777" w:rsidR="00FE62DB" w:rsidRPr="00FC3C3B" w:rsidRDefault="00FE62DB" w:rsidP="00FE62DB">
      <w:pPr>
        <w:pStyle w:val="Text1"/>
        <w:rPr>
          <w:noProof/>
        </w:rPr>
      </w:pPr>
      <w:r w:rsidRPr="00FC3C3B">
        <w:rPr>
          <w:noProof/>
        </w:rPr>
        <w:t>‘Where support is programmed</w:t>
      </w:r>
      <w:r w:rsidR="00633497" w:rsidRPr="00FC3C3B">
        <w:rPr>
          <w:noProof/>
        </w:rPr>
        <w:t xml:space="preserve"> for </w:t>
      </w:r>
      <w:r w:rsidR="001B4EC6" w:rsidRPr="00FC3C3B">
        <w:rPr>
          <w:noProof/>
        </w:rPr>
        <w:t xml:space="preserve">the </w:t>
      </w:r>
      <w:r w:rsidR="001A35BE" w:rsidRPr="00FC3C3B">
        <w:rPr>
          <w:noProof/>
        </w:rPr>
        <w:t>STEP</w:t>
      </w:r>
      <w:r w:rsidR="001B4EC6" w:rsidRPr="00FC3C3B">
        <w:rPr>
          <w:noProof/>
        </w:rPr>
        <w:t xml:space="preserve"> objectives referred to in Article 2 of </w:t>
      </w:r>
      <w:r w:rsidR="003C1C02" w:rsidRPr="00FC3C3B">
        <w:rPr>
          <w:noProof/>
        </w:rPr>
        <w:t>Regulation .../... [</w:t>
      </w:r>
      <w:r w:rsidR="001A35BE" w:rsidRPr="00FC3C3B">
        <w:rPr>
          <w:noProof/>
        </w:rPr>
        <w:t>STEP</w:t>
      </w:r>
      <w:r w:rsidR="003C1C02" w:rsidRPr="00FC3C3B">
        <w:rPr>
          <w:noProof/>
        </w:rPr>
        <w:t xml:space="preserve"> Regulation]</w:t>
      </w:r>
      <w:r w:rsidRPr="00FC3C3B">
        <w:rPr>
          <w:noProof/>
        </w:rPr>
        <w:t xml:space="preserve">, the managing authority shall ensure that all the information to be published in accordance with </w:t>
      </w:r>
      <w:r w:rsidR="00CE5231" w:rsidRPr="00FC3C3B">
        <w:rPr>
          <w:noProof/>
        </w:rPr>
        <w:t>paragraph 2</w:t>
      </w:r>
      <w:r w:rsidRPr="00FC3C3B">
        <w:rPr>
          <w:noProof/>
        </w:rPr>
        <w:t xml:space="preserve"> </w:t>
      </w:r>
      <w:r w:rsidR="001264D3" w:rsidRPr="00FC3C3B">
        <w:rPr>
          <w:noProof/>
        </w:rPr>
        <w:t xml:space="preserve">of this Article </w:t>
      </w:r>
      <w:r w:rsidRPr="00FC3C3B">
        <w:rPr>
          <w:noProof/>
        </w:rPr>
        <w:t xml:space="preserve">is also submitted to the Commission in the format set out in </w:t>
      </w:r>
      <w:r w:rsidR="00CE5231" w:rsidRPr="00FC3C3B">
        <w:rPr>
          <w:noProof/>
        </w:rPr>
        <w:t>paragraph 4</w:t>
      </w:r>
      <w:r w:rsidRPr="00FC3C3B">
        <w:rPr>
          <w:noProof/>
        </w:rPr>
        <w:t xml:space="preserve"> </w:t>
      </w:r>
      <w:r w:rsidR="001264D3" w:rsidRPr="00FC3C3B">
        <w:rPr>
          <w:noProof/>
        </w:rPr>
        <w:t xml:space="preserve">of this Article </w:t>
      </w:r>
      <w:r w:rsidRPr="00FC3C3B">
        <w:rPr>
          <w:noProof/>
        </w:rPr>
        <w:t xml:space="preserve">for publication on the Sovereignty Portal set out in Article 6 of </w:t>
      </w:r>
      <w:r w:rsidR="003C1C02" w:rsidRPr="00FC3C3B">
        <w:rPr>
          <w:noProof/>
        </w:rPr>
        <w:t>Regulation .../... [</w:t>
      </w:r>
      <w:r w:rsidR="001A35BE" w:rsidRPr="00FC3C3B">
        <w:rPr>
          <w:noProof/>
        </w:rPr>
        <w:t>STEP</w:t>
      </w:r>
      <w:r w:rsidR="003C1C02" w:rsidRPr="00FC3C3B">
        <w:rPr>
          <w:noProof/>
        </w:rPr>
        <w:t xml:space="preserve"> Regulation]</w:t>
      </w:r>
      <w:r w:rsidRPr="00FC3C3B">
        <w:rPr>
          <w:noProof/>
        </w:rPr>
        <w:t>, including a timetable of the planned calls for proposals that is updated at least three times a year, as well as the link to the calls for proposals on the day of their publication.</w:t>
      </w:r>
      <w:r w:rsidR="003E2364" w:rsidRPr="00FC3C3B">
        <w:rPr>
          <w:noProof/>
        </w:rPr>
        <w:t>’</w:t>
      </w:r>
    </w:p>
    <w:p w14:paraId="75C14F71" w14:textId="77777777" w:rsidR="00333361" w:rsidRPr="00FC3C3B" w:rsidRDefault="00323DD4" w:rsidP="00323DD4">
      <w:pPr>
        <w:pStyle w:val="Point0"/>
        <w:rPr>
          <w:noProof/>
        </w:rPr>
      </w:pPr>
      <w:r w:rsidRPr="00FC3C3B">
        <w:rPr>
          <w:noProof/>
        </w:rPr>
        <w:t>(</w:t>
      </w:r>
      <w:r w:rsidR="00DF1900">
        <w:rPr>
          <w:noProof/>
        </w:rPr>
        <w:t>4</w:t>
      </w:r>
      <w:r w:rsidRPr="00FC3C3B">
        <w:rPr>
          <w:noProof/>
        </w:rPr>
        <w:t>)</w:t>
      </w:r>
      <w:r w:rsidRPr="00FC3C3B">
        <w:rPr>
          <w:noProof/>
        </w:rPr>
        <w:tab/>
      </w:r>
      <w:r w:rsidR="00333361" w:rsidRPr="00FC3C3B">
        <w:rPr>
          <w:noProof/>
        </w:rPr>
        <w:t xml:space="preserve">In the </w:t>
      </w:r>
      <w:r w:rsidR="001264D3" w:rsidRPr="00FC3C3B">
        <w:rPr>
          <w:noProof/>
        </w:rPr>
        <w:t>Annex I</w:t>
      </w:r>
      <w:r w:rsidR="00D36E99" w:rsidRPr="00FC3C3B">
        <w:rPr>
          <w:noProof/>
        </w:rPr>
        <w:t xml:space="preserve">, </w:t>
      </w:r>
      <w:r w:rsidR="00333361" w:rsidRPr="00FC3C3B">
        <w:rPr>
          <w:noProof/>
        </w:rPr>
        <w:t>Table 1, the following rows are added:</w:t>
      </w:r>
    </w:p>
    <w:tbl>
      <w:tblPr>
        <w:tblStyle w:val="TableGrid"/>
        <w:tblW w:w="8160" w:type="dxa"/>
        <w:tblInd w:w="948" w:type="dxa"/>
        <w:tblLayout w:type="fixed"/>
        <w:tblLook w:val="06A0" w:firstRow="1" w:lastRow="0" w:firstColumn="1" w:lastColumn="0" w:noHBand="1" w:noVBand="1"/>
      </w:tblPr>
      <w:tblGrid>
        <w:gridCol w:w="2028"/>
        <w:gridCol w:w="2027"/>
        <w:gridCol w:w="2027"/>
        <w:gridCol w:w="2078"/>
      </w:tblGrid>
      <w:tr w:rsidR="00C307E1" w:rsidRPr="00FC3C3B" w14:paraId="2CC7A8E9" w14:textId="77777777" w:rsidTr="00E614E9">
        <w:trPr>
          <w:trHeight w:val="300"/>
        </w:trPr>
        <w:tc>
          <w:tcPr>
            <w:tcW w:w="4055" w:type="dxa"/>
            <w:gridSpan w:val="2"/>
            <w:vAlign w:val="center"/>
          </w:tcPr>
          <w:p w14:paraId="14119093" w14:textId="77777777" w:rsidR="00C307E1" w:rsidRPr="00FC3C3B" w:rsidRDefault="00C307E1" w:rsidP="00AE59F9">
            <w:pPr>
              <w:pStyle w:val="Text1"/>
              <w:rPr>
                <w:noProof/>
                <w:sz w:val="18"/>
                <w:szCs w:val="18"/>
              </w:rPr>
            </w:pPr>
            <w:r w:rsidRPr="00FC3C3B">
              <w:rPr>
                <w:noProof/>
                <w:sz w:val="18"/>
                <w:szCs w:val="18"/>
              </w:rPr>
              <w:t>INTERVENTION FIELD</w:t>
            </w:r>
          </w:p>
        </w:tc>
        <w:tc>
          <w:tcPr>
            <w:tcW w:w="2027" w:type="dxa"/>
            <w:vAlign w:val="center"/>
          </w:tcPr>
          <w:p w14:paraId="00E407E3" w14:textId="77777777" w:rsidR="00C307E1" w:rsidRPr="00FC3C3B" w:rsidRDefault="00F8406C" w:rsidP="00AE59F9">
            <w:pPr>
              <w:pStyle w:val="Text1"/>
              <w:ind w:left="0"/>
              <w:rPr>
                <w:noProof/>
                <w:sz w:val="18"/>
                <w:szCs w:val="18"/>
              </w:rPr>
            </w:pPr>
            <w:r w:rsidRPr="00FC3C3B">
              <w:rPr>
                <w:noProof/>
                <w:sz w:val="18"/>
                <w:szCs w:val="18"/>
              </w:rPr>
              <w:t>Coefficient for the calculation of support to climate change objectives</w:t>
            </w:r>
          </w:p>
        </w:tc>
        <w:tc>
          <w:tcPr>
            <w:tcW w:w="2078" w:type="dxa"/>
            <w:vAlign w:val="center"/>
          </w:tcPr>
          <w:p w14:paraId="470F3095" w14:textId="77777777" w:rsidR="00C307E1" w:rsidRPr="00FC3C3B" w:rsidRDefault="00F8406C" w:rsidP="00AE59F9">
            <w:pPr>
              <w:pStyle w:val="Text1"/>
              <w:ind w:left="0"/>
              <w:rPr>
                <w:noProof/>
                <w:sz w:val="18"/>
                <w:szCs w:val="18"/>
              </w:rPr>
            </w:pPr>
            <w:r w:rsidRPr="00FC3C3B">
              <w:rPr>
                <w:noProof/>
                <w:sz w:val="18"/>
                <w:szCs w:val="18"/>
              </w:rPr>
              <w:t>Coefficient for the calculation of support to environmental objectives</w:t>
            </w:r>
          </w:p>
        </w:tc>
      </w:tr>
      <w:tr w:rsidR="00114B97" w:rsidRPr="00FC3C3B" w14:paraId="04A0ABB2" w14:textId="77777777" w:rsidTr="00E614E9">
        <w:trPr>
          <w:trHeight w:val="300"/>
        </w:trPr>
        <w:tc>
          <w:tcPr>
            <w:tcW w:w="2028" w:type="dxa"/>
            <w:vAlign w:val="center"/>
          </w:tcPr>
          <w:p w14:paraId="02A7BD5A" w14:textId="77777777" w:rsidR="00740A69" w:rsidRPr="00FC3C3B" w:rsidRDefault="00740A69" w:rsidP="00740A69">
            <w:pPr>
              <w:pStyle w:val="Text1"/>
              <w:ind w:left="0"/>
              <w:jc w:val="center"/>
              <w:rPr>
                <w:noProof/>
                <w:sz w:val="18"/>
                <w:szCs w:val="18"/>
              </w:rPr>
            </w:pPr>
            <w:r w:rsidRPr="00FC3C3B">
              <w:rPr>
                <w:noProof/>
                <w:sz w:val="18"/>
                <w:szCs w:val="18"/>
              </w:rPr>
              <w:t>145a</w:t>
            </w:r>
          </w:p>
        </w:tc>
        <w:tc>
          <w:tcPr>
            <w:tcW w:w="2027" w:type="dxa"/>
          </w:tcPr>
          <w:p w14:paraId="7817DCD7" w14:textId="77777777" w:rsidR="00740A69" w:rsidRPr="00FC3C3B" w:rsidRDefault="00740A69" w:rsidP="00740A69">
            <w:pPr>
              <w:pStyle w:val="Text1"/>
              <w:ind w:left="0"/>
              <w:rPr>
                <w:noProof/>
                <w:sz w:val="18"/>
                <w:szCs w:val="18"/>
              </w:rPr>
            </w:pPr>
            <w:r w:rsidRPr="00FC3C3B">
              <w:rPr>
                <w:noProof/>
                <w:sz w:val="18"/>
                <w:szCs w:val="18"/>
              </w:rPr>
              <w:t xml:space="preserve">Support for the development of skills or access to employment in deep and digital technologies, </w:t>
            </w:r>
            <w:r w:rsidRPr="00FC3C3B">
              <w:rPr>
                <w:noProof/>
                <w:sz w:val="18"/>
                <w:szCs w:val="18"/>
                <w:lang w:val="en-IE"/>
              </w:rPr>
              <w:t>biotechnologies</w:t>
            </w:r>
            <w:r w:rsidR="002B50F6" w:rsidRPr="00FC3C3B">
              <w:rPr>
                <w:noProof/>
                <w:sz w:val="18"/>
                <w:szCs w:val="18"/>
                <w:lang w:val="en-IE"/>
              </w:rPr>
              <w:t>.</w:t>
            </w:r>
          </w:p>
        </w:tc>
        <w:tc>
          <w:tcPr>
            <w:tcW w:w="2027" w:type="dxa"/>
          </w:tcPr>
          <w:p w14:paraId="46801852" w14:textId="77777777" w:rsidR="00740A69" w:rsidRPr="00FC3C3B" w:rsidRDefault="00740A69" w:rsidP="00740A69">
            <w:pPr>
              <w:pStyle w:val="Text1"/>
              <w:rPr>
                <w:noProof/>
                <w:sz w:val="18"/>
                <w:szCs w:val="18"/>
              </w:rPr>
            </w:pPr>
            <w:r w:rsidRPr="00FC3C3B">
              <w:rPr>
                <w:noProof/>
                <w:sz w:val="18"/>
                <w:szCs w:val="18"/>
              </w:rPr>
              <w:t>0%</w:t>
            </w:r>
          </w:p>
        </w:tc>
        <w:tc>
          <w:tcPr>
            <w:tcW w:w="2078" w:type="dxa"/>
          </w:tcPr>
          <w:p w14:paraId="3B31E811" w14:textId="77777777" w:rsidR="00740A69" w:rsidRPr="00FC3C3B" w:rsidRDefault="00740A69" w:rsidP="00740A69">
            <w:pPr>
              <w:pStyle w:val="Text1"/>
              <w:rPr>
                <w:noProof/>
                <w:sz w:val="18"/>
                <w:szCs w:val="18"/>
              </w:rPr>
            </w:pPr>
            <w:r w:rsidRPr="00FC3C3B">
              <w:rPr>
                <w:noProof/>
                <w:sz w:val="18"/>
                <w:szCs w:val="18"/>
              </w:rPr>
              <w:t>0%</w:t>
            </w:r>
          </w:p>
        </w:tc>
      </w:tr>
      <w:tr w:rsidR="00DB1DE7" w:rsidRPr="00FC3C3B" w14:paraId="2C3DE49C" w14:textId="77777777" w:rsidTr="00764E5B">
        <w:trPr>
          <w:trHeight w:val="300"/>
        </w:trPr>
        <w:tc>
          <w:tcPr>
            <w:tcW w:w="2028" w:type="dxa"/>
            <w:vAlign w:val="center"/>
          </w:tcPr>
          <w:p w14:paraId="22E78523" w14:textId="77777777" w:rsidR="00DB1DE7" w:rsidRPr="00FC3C3B" w:rsidRDefault="00DB1DE7" w:rsidP="00764E5B">
            <w:pPr>
              <w:pStyle w:val="Text1"/>
              <w:ind w:left="0"/>
              <w:jc w:val="center"/>
              <w:rPr>
                <w:noProof/>
                <w:sz w:val="18"/>
                <w:szCs w:val="18"/>
              </w:rPr>
            </w:pPr>
            <w:r w:rsidRPr="00FC3C3B">
              <w:rPr>
                <w:noProof/>
                <w:sz w:val="18"/>
                <w:szCs w:val="18"/>
              </w:rPr>
              <w:t>145b</w:t>
            </w:r>
          </w:p>
        </w:tc>
        <w:tc>
          <w:tcPr>
            <w:tcW w:w="2027" w:type="dxa"/>
          </w:tcPr>
          <w:p w14:paraId="26EB4F68" w14:textId="77777777" w:rsidR="00DB1DE7" w:rsidRPr="00FC3C3B" w:rsidRDefault="00DB1DE7" w:rsidP="00764E5B">
            <w:pPr>
              <w:pStyle w:val="Text1"/>
              <w:ind w:left="0"/>
              <w:rPr>
                <w:noProof/>
                <w:sz w:val="18"/>
                <w:szCs w:val="18"/>
              </w:rPr>
            </w:pPr>
            <w:r w:rsidRPr="00FC3C3B">
              <w:rPr>
                <w:noProof/>
                <w:sz w:val="18"/>
                <w:szCs w:val="18"/>
              </w:rPr>
              <w:t>Support for the development of skills or access to employment in c</w:t>
            </w:r>
            <w:r w:rsidRPr="00FC3C3B">
              <w:rPr>
                <w:noProof/>
                <w:sz w:val="18"/>
                <w:szCs w:val="18"/>
                <w:lang w:val="en-IE"/>
              </w:rPr>
              <w:t>lean technologies.</w:t>
            </w:r>
          </w:p>
        </w:tc>
        <w:tc>
          <w:tcPr>
            <w:tcW w:w="2027" w:type="dxa"/>
          </w:tcPr>
          <w:p w14:paraId="2C520B65" w14:textId="77777777" w:rsidR="00DB1DE7" w:rsidRPr="00FC3C3B" w:rsidRDefault="00DB1DE7" w:rsidP="00764E5B">
            <w:pPr>
              <w:pStyle w:val="Text1"/>
              <w:rPr>
                <w:noProof/>
                <w:sz w:val="18"/>
                <w:szCs w:val="18"/>
              </w:rPr>
            </w:pPr>
            <w:r w:rsidRPr="00FC3C3B">
              <w:rPr>
                <w:noProof/>
                <w:sz w:val="18"/>
                <w:szCs w:val="18"/>
              </w:rPr>
              <w:t>100%</w:t>
            </w:r>
          </w:p>
        </w:tc>
        <w:tc>
          <w:tcPr>
            <w:tcW w:w="2078" w:type="dxa"/>
          </w:tcPr>
          <w:p w14:paraId="628BE786" w14:textId="77777777" w:rsidR="00DB1DE7" w:rsidRPr="00FC3C3B" w:rsidRDefault="00DB1DE7" w:rsidP="00764E5B">
            <w:pPr>
              <w:pStyle w:val="Text1"/>
              <w:rPr>
                <w:noProof/>
                <w:sz w:val="18"/>
                <w:szCs w:val="18"/>
              </w:rPr>
            </w:pPr>
            <w:r w:rsidRPr="00FC3C3B">
              <w:rPr>
                <w:noProof/>
                <w:sz w:val="18"/>
                <w:szCs w:val="18"/>
              </w:rPr>
              <w:t>40%</w:t>
            </w:r>
          </w:p>
        </w:tc>
      </w:tr>
      <w:tr w:rsidR="00AA5336" w:rsidRPr="00FC3C3B" w14:paraId="36E0AF5D" w14:textId="77777777" w:rsidTr="00E614E9">
        <w:trPr>
          <w:trHeight w:val="300"/>
        </w:trPr>
        <w:tc>
          <w:tcPr>
            <w:tcW w:w="2028" w:type="dxa"/>
            <w:vAlign w:val="center"/>
          </w:tcPr>
          <w:p w14:paraId="5D7801D9" w14:textId="77777777" w:rsidR="00AA5336" w:rsidRPr="00FC3C3B" w:rsidRDefault="00AA5336" w:rsidP="00AE59F9">
            <w:pPr>
              <w:pStyle w:val="Text1"/>
              <w:ind w:left="0"/>
              <w:jc w:val="center"/>
              <w:rPr>
                <w:noProof/>
                <w:sz w:val="18"/>
                <w:szCs w:val="18"/>
              </w:rPr>
            </w:pPr>
            <w:r w:rsidRPr="00FC3C3B">
              <w:rPr>
                <w:noProof/>
                <w:sz w:val="18"/>
                <w:szCs w:val="18"/>
              </w:rPr>
              <w:t>188</w:t>
            </w:r>
          </w:p>
        </w:tc>
        <w:tc>
          <w:tcPr>
            <w:tcW w:w="2027" w:type="dxa"/>
          </w:tcPr>
          <w:p w14:paraId="5FEBBF1E" w14:textId="77777777" w:rsidR="00AA5336" w:rsidRPr="00FC3C3B" w:rsidRDefault="00AA5336" w:rsidP="00AE59F9">
            <w:pPr>
              <w:pStyle w:val="Text1"/>
              <w:ind w:left="0"/>
              <w:rPr>
                <w:noProof/>
                <w:sz w:val="18"/>
                <w:szCs w:val="18"/>
              </w:rPr>
            </w:pPr>
            <w:r w:rsidRPr="00FC3C3B">
              <w:rPr>
                <w:noProof/>
                <w:sz w:val="18"/>
                <w:szCs w:val="18"/>
              </w:rPr>
              <w:t xml:space="preserve">Productive investments in large enterprises linked primarily to </w:t>
            </w:r>
            <w:r w:rsidR="001C7B90" w:rsidRPr="00FC3C3B">
              <w:rPr>
                <w:noProof/>
                <w:sz w:val="18"/>
                <w:szCs w:val="18"/>
              </w:rPr>
              <w:t>clean technologies.</w:t>
            </w:r>
          </w:p>
        </w:tc>
        <w:tc>
          <w:tcPr>
            <w:tcW w:w="2027" w:type="dxa"/>
          </w:tcPr>
          <w:p w14:paraId="720FC134" w14:textId="77777777" w:rsidR="00AA5336" w:rsidRPr="00FC3C3B" w:rsidRDefault="006779B9" w:rsidP="00AE59F9">
            <w:pPr>
              <w:pStyle w:val="Text1"/>
              <w:rPr>
                <w:noProof/>
                <w:sz w:val="18"/>
                <w:szCs w:val="18"/>
              </w:rPr>
            </w:pPr>
            <w:r w:rsidRPr="00FC3C3B">
              <w:rPr>
                <w:noProof/>
                <w:sz w:val="18"/>
                <w:szCs w:val="18"/>
              </w:rPr>
              <w:t>100</w:t>
            </w:r>
            <w:r w:rsidR="00776E69" w:rsidRPr="00FC3C3B">
              <w:rPr>
                <w:noProof/>
                <w:sz w:val="18"/>
                <w:szCs w:val="18"/>
              </w:rPr>
              <w:t>%</w:t>
            </w:r>
          </w:p>
        </w:tc>
        <w:tc>
          <w:tcPr>
            <w:tcW w:w="2078" w:type="dxa"/>
          </w:tcPr>
          <w:p w14:paraId="6173E9E4" w14:textId="77777777" w:rsidR="00AA5336" w:rsidRPr="00FC3C3B" w:rsidRDefault="005F6CD5" w:rsidP="00AE59F9">
            <w:pPr>
              <w:pStyle w:val="Text1"/>
              <w:rPr>
                <w:noProof/>
                <w:sz w:val="18"/>
                <w:szCs w:val="18"/>
              </w:rPr>
            </w:pPr>
            <w:r w:rsidRPr="00FC3C3B">
              <w:rPr>
                <w:noProof/>
                <w:sz w:val="18"/>
                <w:szCs w:val="18"/>
              </w:rPr>
              <w:t>4</w:t>
            </w:r>
            <w:r w:rsidR="006779B9" w:rsidRPr="00FC3C3B">
              <w:rPr>
                <w:noProof/>
                <w:sz w:val="18"/>
                <w:szCs w:val="18"/>
              </w:rPr>
              <w:t>0</w:t>
            </w:r>
            <w:r w:rsidR="00776E69" w:rsidRPr="00FC3C3B">
              <w:rPr>
                <w:noProof/>
                <w:sz w:val="18"/>
                <w:szCs w:val="18"/>
              </w:rPr>
              <w:t>%</w:t>
            </w:r>
          </w:p>
        </w:tc>
      </w:tr>
      <w:tr w:rsidR="00AA5336" w:rsidRPr="00FC3C3B" w14:paraId="63887933" w14:textId="77777777" w:rsidTr="00E614E9">
        <w:trPr>
          <w:trHeight w:val="300"/>
        </w:trPr>
        <w:tc>
          <w:tcPr>
            <w:tcW w:w="2028" w:type="dxa"/>
          </w:tcPr>
          <w:p w14:paraId="64B44CF6" w14:textId="77777777" w:rsidR="00AA5336" w:rsidRPr="00FC3C3B" w:rsidRDefault="00AA5336" w:rsidP="00AE59F9">
            <w:pPr>
              <w:pStyle w:val="Text1"/>
              <w:ind w:left="0"/>
              <w:jc w:val="center"/>
              <w:rPr>
                <w:noProof/>
                <w:sz w:val="18"/>
                <w:szCs w:val="18"/>
              </w:rPr>
            </w:pPr>
            <w:r w:rsidRPr="00FC3C3B">
              <w:rPr>
                <w:noProof/>
                <w:sz w:val="18"/>
                <w:szCs w:val="18"/>
              </w:rPr>
              <w:t>189</w:t>
            </w:r>
          </w:p>
        </w:tc>
        <w:tc>
          <w:tcPr>
            <w:tcW w:w="2027" w:type="dxa"/>
          </w:tcPr>
          <w:p w14:paraId="73F972D3" w14:textId="77777777" w:rsidR="00AA5336" w:rsidRPr="00FC3C3B" w:rsidRDefault="006779B9" w:rsidP="00AE59F9">
            <w:pPr>
              <w:pStyle w:val="Text1"/>
              <w:ind w:left="0"/>
              <w:rPr>
                <w:noProof/>
                <w:sz w:val="18"/>
                <w:szCs w:val="18"/>
              </w:rPr>
            </w:pPr>
            <w:r w:rsidRPr="00FC3C3B">
              <w:rPr>
                <w:noProof/>
                <w:sz w:val="18"/>
                <w:szCs w:val="18"/>
              </w:rPr>
              <w:t xml:space="preserve">Productive investments in SMEs linked primarily to </w:t>
            </w:r>
            <w:r w:rsidR="001C7B90" w:rsidRPr="00FC3C3B">
              <w:rPr>
                <w:noProof/>
                <w:sz w:val="18"/>
                <w:szCs w:val="18"/>
              </w:rPr>
              <w:t>clean technologies.</w:t>
            </w:r>
          </w:p>
        </w:tc>
        <w:tc>
          <w:tcPr>
            <w:tcW w:w="2027" w:type="dxa"/>
          </w:tcPr>
          <w:p w14:paraId="43B6F35A" w14:textId="77777777" w:rsidR="00AA5336" w:rsidRPr="00FC3C3B" w:rsidRDefault="00AA5336" w:rsidP="00AA5336">
            <w:pPr>
              <w:pStyle w:val="Text1"/>
              <w:rPr>
                <w:noProof/>
                <w:sz w:val="18"/>
                <w:szCs w:val="18"/>
              </w:rPr>
            </w:pPr>
            <w:r w:rsidRPr="00FC3C3B">
              <w:rPr>
                <w:noProof/>
                <w:sz w:val="18"/>
                <w:szCs w:val="18"/>
              </w:rPr>
              <w:t>100%</w:t>
            </w:r>
          </w:p>
        </w:tc>
        <w:tc>
          <w:tcPr>
            <w:tcW w:w="2078" w:type="dxa"/>
          </w:tcPr>
          <w:p w14:paraId="5CA29058" w14:textId="77777777" w:rsidR="00AA5336" w:rsidRPr="00FC3C3B" w:rsidRDefault="005F6CD5" w:rsidP="00AA5336">
            <w:pPr>
              <w:pStyle w:val="Text1"/>
              <w:rPr>
                <w:noProof/>
                <w:sz w:val="18"/>
                <w:szCs w:val="18"/>
              </w:rPr>
            </w:pPr>
            <w:r w:rsidRPr="00FC3C3B">
              <w:rPr>
                <w:noProof/>
                <w:sz w:val="18"/>
                <w:szCs w:val="18"/>
              </w:rPr>
              <w:t>4</w:t>
            </w:r>
            <w:r w:rsidR="00AA5336" w:rsidRPr="00FC3C3B">
              <w:rPr>
                <w:noProof/>
                <w:sz w:val="18"/>
                <w:szCs w:val="18"/>
              </w:rPr>
              <w:t>0%</w:t>
            </w:r>
          </w:p>
        </w:tc>
      </w:tr>
      <w:tr w:rsidR="00AA5336" w:rsidRPr="00FC3C3B" w14:paraId="3D9C9F97" w14:textId="77777777" w:rsidTr="00E614E9">
        <w:trPr>
          <w:trHeight w:val="300"/>
        </w:trPr>
        <w:tc>
          <w:tcPr>
            <w:tcW w:w="2028" w:type="dxa"/>
          </w:tcPr>
          <w:p w14:paraId="059E95B0" w14:textId="77777777" w:rsidR="00AA5336" w:rsidRPr="00FC3C3B" w:rsidRDefault="00AA5336" w:rsidP="00AE59F9">
            <w:pPr>
              <w:pStyle w:val="Text1"/>
              <w:ind w:left="0"/>
              <w:jc w:val="center"/>
              <w:rPr>
                <w:noProof/>
                <w:sz w:val="18"/>
                <w:szCs w:val="18"/>
              </w:rPr>
            </w:pPr>
            <w:r w:rsidRPr="00FC3C3B">
              <w:rPr>
                <w:noProof/>
                <w:sz w:val="18"/>
                <w:szCs w:val="18"/>
              </w:rPr>
              <w:t>190</w:t>
            </w:r>
          </w:p>
        </w:tc>
        <w:tc>
          <w:tcPr>
            <w:tcW w:w="2027" w:type="dxa"/>
          </w:tcPr>
          <w:p w14:paraId="2FE13397" w14:textId="77777777" w:rsidR="00AA5336" w:rsidRPr="00FC3C3B" w:rsidRDefault="00AA5336" w:rsidP="00AE59F9">
            <w:pPr>
              <w:pStyle w:val="Text1"/>
              <w:ind w:left="0"/>
              <w:rPr>
                <w:noProof/>
                <w:sz w:val="18"/>
                <w:szCs w:val="18"/>
              </w:rPr>
            </w:pPr>
            <w:r w:rsidRPr="00FC3C3B">
              <w:rPr>
                <w:noProof/>
                <w:sz w:val="18"/>
                <w:szCs w:val="18"/>
              </w:rPr>
              <w:t>Productive investments in large enterprises linked primarily to biotechnolog</w:t>
            </w:r>
            <w:r w:rsidR="00A76437" w:rsidRPr="00FC3C3B">
              <w:rPr>
                <w:noProof/>
                <w:sz w:val="18"/>
                <w:szCs w:val="18"/>
              </w:rPr>
              <w:t>ies</w:t>
            </w:r>
            <w:r w:rsidR="006F499D" w:rsidRPr="00FC3C3B">
              <w:rPr>
                <w:noProof/>
                <w:sz w:val="18"/>
                <w:szCs w:val="18"/>
              </w:rPr>
              <w:t>.</w:t>
            </w:r>
          </w:p>
        </w:tc>
        <w:tc>
          <w:tcPr>
            <w:tcW w:w="2027" w:type="dxa"/>
          </w:tcPr>
          <w:p w14:paraId="6D84F99A" w14:textId="77777777" w:rsidR="00AA5336" w:rsidRPr="00FC3C3B" w:rsidRDefault="00AA5336" w:rsidP="00AA5336">
            <w:pPr>
              <w:pStyle w:val="Text1"/>
              <w:rPr>
                <w:noProof/>
                <w:sz w:val="18"/>
                <w:szCs w:val="18"/>
              </w:rPr>
            </w:pPr>
            <w:r w:rsidRPr="00FC3C3B">
              <w:rPr>
                <w:noProof/>
                <w:sz w:val="18"/>
                <w:szCs w:val="18"/>
              </w:rPr>
              <w:t>0%</w:t>
            </w:r>
          </w:p>
        </w:tc>
        <w:tc>
          <w:tcPr>
            <w:tcW w:w="2078" w:type="dxa"/>
          </w:tcPr>
          <w:p w14:paraId="2168694E" w14:textId="77777777" w:rsidR="00AA5336" w:rsidRPr="00FC3C3B" w:rsidRDefault="00AA5336" w:rsidP="00AA5336">
            <w:pPr>
              <w:pStyle w:val="Text1"/>
              <w:rPr>
                <w:noProof/>
                <w:sz w:val="18"/>
                <w:szCs w:val="18"/>
              </w:rPr>
            </w:pPr>
            <w:r w:rsidRPr="00FC3C3B">
              <w:rPr>
                <w:noProof/>
                <w:sz w:val="18"/>
                <w:szCs w:val="18"/>
              </w:rPr>
              <w:t>0%</w:t>
            </w:r>
          </w:p>
        </w:tc>
      </w:tr>
      <w:tr w:rsidR="00AA5336" w:rsidRPr="00FC3C3B" w14:paraId="228ED121" w14:textId="77777777" w:rsidTr="00E614E9">
        <w:trPr>
          <w:trHeight w:val="300"/>
        </w:trPr>
        <w:tc>
          <w:tcPr>
            <w:tcW w:w="2028" w:type="dxa"/>
          </w:tcPr>
          <w:p w14:paraId="3CA33DEB" w14:textId="77777777" w:rsidR="00AA5336" w:rsidRPr="00FC3C3B" w:rsidRDefault="00AA5336" w:rsidP="00596A98">
            <w:pPr>
              <w:pStyle w:val="Text1"/>
              <w:ind w:left="0"/>
              <w:jc w:val="center"/>
              <w:rPr>
                <w:noProof/>
                <w:sz w:val="18"/>
                <w:szCs w:val="18"/>
              </w:rPr>
            </w:pPr>
            <w:r w:rsidRPr="00FC3C3B">
              <w:rPr>
                <w:noProof/>
                <w:sz w:val="18"/>
                <w:szCs w:val="18"/>
              </w:rPr>
              <w:t>191</w:t>
            </w:r>
          </w:p>
        </w:tc>
        <w:tc>
          <w:tcPr>
            <w:tcW w:w="2027" w:type="dxa"/>
          </w:tcPr>
          <w:p w14:paraId="5D8B46F2" w14:textId="77777777" w:rsidR="00AA5336" w:rsidRPr="00FC3C3B" w:rsidRDefault="00AA5336" w:rsidP="00596A98">
            <w:pPr>
              <w:pStyle w:val="Text1"/>
              <w:ind w:left="0"/>
              <w:rPr>
                <w:noProof/>
                <w:sz w:val="18"/>
                <w:szCs w:val="18"/>
              </w:rPr>
            </w:pPr>
            <w:r w:rsidRPr="00FC3C3B">
              <w:rPr>
                <w:noProof/>
                <w:sz w:val="18"/>
                <w:szCs w:val="18"/>
              </w:rPr>
              <w:t xml:space="preserve">Productive investments in SMEs linked primarily to </w:t>
            </w:r>
            <w:r w:rsidR="00D57490" w:rsidRPr="00FC3C3B">
              <w:rPr>
                <w:noProof/>
                <w:sz w:val="18"/>
                <w:szCs w:val="18"/>
              </w:rPr>
              <w:t>biotechnologies</w:t>
            </w:r>
            <w:r w:rsidR="006F499D" w:rsidRPr="00FC3C3B">
              <w:rPr>
                <w:noProof/>
                <w:sz w:val="18"/>
                <w:szCs w:val="18"/>
              </w:rPr>
              <w:t>.</w:t>
            </w:r>
          </w:p>
        </w:tc>
        <w:tc>
          <w:tcPr>
            <w:tcW w:w="2027" w:type="dxa"/>
          </w:tcPr>
          <w:p w14:paraId="432DA54E" w14:textId="77777777" w:rsidR="00AA5336" w:rsidRPr="00FC3C3B" w:rsidRDefault="00AA5336" w:rsidP="00AA5336">
            <w:pPr>
              <w:pStyle w:val="Text1"/>
              <w:rPr>
                <w:noProof/>
                <w:sz w:val="18"/>
                <w:szCs w:val="18"/>
              </w:rPr>
            </w:pPr>
            <w:r w:rsidRPr="00FC3C3B">
              <w:rPr>
                <w:noProof/>
                <w:sz w:val="18"/>
                <w:szCs w:val="18"/>
              </w:rPr>
              <w:t>0%</w:t>
            </w:r>
          </w:p>
        </w:tc>
        <w:tc>
          <w:tcPr>
            <w:tcW w:w="2078" w:type="dxa"/>
          </w:tcPr>
          <w:p w14:paraId="492B70AF" w14:textId="77777777" w:rsidR="00AA5336" w:rsidRPr="00FC3C3B" w:rsidRDefault="00AA5336" w:rsidP="00AA5336">
            <w:pPr>
              <w:pStyle w:val="Text1"/>
              <w:rPr>
                <w:noProof/>
                <w:sz w:val="18"/>
                <w:szCs w:val="18"/>
              </w:rPr>
            </w:pPr>
            <w:r w:rsidRPr="00FC3C3B">
              <w:rPr>
                <w:noProof/>
                <w:sz w:val="18"/>
                <w:szCs w:val="18"/>
              </w:rPr>
              <w:t>0%</w:t>
            </w:r>
          </w:p>
        </w:tc>
      </w:tr>
      <w:tr w:rsidR="00AA5336" w:rsidRPr="00FC3C3B" w14:paraId="302E8A2B" w14:textId="77777777" w:rsidTr="00E614E9">
        <w:trPr>
          <w:trHeight w:val="300"/>
        </w:trPr>
        <w:tc>
          <w:tcPr>
            <w:tcW w:w="2028" w:type="dxa"/>
          </w:tcPr>
          <w:p w14:paraId="5BF99383" w14:textId="77777777" w:rsidR="00AA5336" w:rsidRPr="00FC3C3B" w:rsidRDefault="00AA5336" w:rsidP="00596A98">
            <w:pPr>
              <w:pStyle w:val="Text1"/>
              <w:ind w:left="0"/>
              <w:jc w:val="center"/>
              <w:rPr>
                <w:noProof/>
                <w:sz w:val="18"/>
                <w:szCs w:val="18"/>
              </w:rPr>
            </w:pPr>
            <w:r w:rsidRPr="00FC3C3B">
              <w:rPr>
                <w:noProof/>
                <w:sz w:val="18"/>
                <w:szCs w:val="18"/>
              </w:rPr>
              <w:t>192</w:t>
            </w:r>
          </w:p>
        </w:tc>
        <w:tc>
          <w:tcPr>
            <w:tcW w:w="2027" w:type="dxa"/>
          </w:tcPr>
          <w:p w14:paraId="109CEF18" w14:textId="77777777" w:rsidR="00AA5336" w:rsidRPr="00FC3C3B" w:rsidRDefault="00AA5336" w:rsidP="00596A98">
            <w:pPr>
              <w:pStyle w:val="Text1"/>
              <w:ind w:left="0"/>
              <w:rPr>
                <w:noProof/>
                <w:sz w:val="18"/>
                <w:szCs w:val="18"/>
              </w:rPr>
            </w:pPr>
            <w:r w:rsidRPr="00FC3C3B">
              <w:rPr>
                <w:noProof/>
                <w:sz w:val="18"/>
                <w:szCs w:val="18"/>
              </w:rPr>
              <w:t xml:space="preserve">Productive investments in large enterprises linked primarily to </w:t>
            </w:r>
            <w:r w:rsidR="001C7B90" w:rsidRPr="00FC3C3B">
              <w:rPr>
                <w:noProof/>
                <w:sz w:val="18"/>
                <w:szCs w:val="18"/>
              </w:rPr>
              <w:t xml:space="preserve">deep </w:t>
            </w:r>
            <w:r w:rsidR="006F499D" w:rsidRPr="00FC3C3B">
              <w:rPr>
                <w:noProof/>
                <w:sz w:val="18"/>
                <w:szCs w:val="18"/>
              </w:rPr>
              <w:t xml:space="preserve">and digital </w:t>
            </w:r>
            <w:r w:rsidR="001C7B90" w:rsidRPr="00FC3C3B">
              <w:rPr>
                <w:noProof/>
                <w:sz w:val="18"/>
                <w:szCs w:val="18"/>
              </w:rPr>
              <w:t>technolog</w:t>
            </w:r>
            <w:r w:rsidR="006F499D" w:rsidRPr="00FC3C3B">
              <w:rPr>
                <w:noProof/>
                <w:sz w:val="18"/>
                <w:szCs w:val="18"/>
              </w:rPr>
              <w:t>ies.</w:t>
            </w:r>
            <w:r w:rsidR="001C7B90" w:rsidRPr="00FC3C3B">
              <w:rPr>
                <w:noProof/>
                <w:sz w:val="18"/>
                <w:szCs w:val="18"/>
              </w:rPr>
              <w:t xml:space="preserve"> </w:t>
            </w:r>
          </w:p>
        </w:tc>
        <w:tc>
          <w:tcPr>
            <w:tcW w:w="2027" w:type="dxa"/>
          </w:tcPr>
          <w:p w14:paraId="6F8D31C6" w14:textId="77777777" w:rsidR="00AA5336" w:rsidRPr="00FC3C3B" w:rsidRDefault="00AA5336" w:rsidP="00AA5336">
            <w:pPr>
              <w:pStyle w:val="Text1"/>
              <w:rPr>
                <w:noProof/>
                <w:sz w:val="18"/>
                <w:szCs w:val="18"/>
              </w:rPr>
            </w:pPr>
            <w:r w:rsidRPr="00FC3C3B">
              <w:rPr>
                <w:noProof/>
                <w:sz w:val="18"/>
                <w:szCs w:val="18"/>
              </w:rPr>
              <w:t>0%</w:t>
            </w:r>
          </w:p>
        </w:tc>
        <w:tc>
          <w:tcPr>
            <w:tcW w:w="2078" w:type="dxa"/>
          </w:tcPr>
          <w:p w14:paraId="16BB72C4" w14:textId="77777777" w:rsidR="00AA5336" w:rsidRPr="00FC3C3B" w:rsidRDefault="00AA5336" w:rsidP="00AA5336">
            <w:pPr>
              <w:pStyle w:val="Text1"/>
              <w:rPr>
                <w:noProof/>
                <w:sz w:val="18"/>
                <w:szCs w:val="18"/>
              </w:rPr>
            </w:pPr>
            <w:r w:rsidRPr="00FC3C3B">
              <w:rPr>
                <w:noProof/>
                <w:sz w:val="18"/>
                <w:szCs w:val="18"/>
              </w:rPr>
              <w:t>0%</w:t>
            </w:r>
          </w:p>
        </w:tc>
      </w:tr>
      <w:tr w:rsidR="00AA5336" w:rsidRPr="00FC3C3B" w14:paraId="7020353F" w14:textId="77777777" w:rsidTr="00E614E9">
        <w:trPr>
          <w:trHeight w:val="300"/>
        </w:trPr>
        <w:tc>
          <w:tcPr>
            <w:tcW w:w="2028" w:type="dxa"/>
          </w:tcPr>
          <w:p w14:paraId="0477599C" w14:textId="77777777" w:rsidR="00AA5336" w:rsidRPr="00FC3C3B" w:rsidRDefault="00AA5336" w:rsidP="00596A98">
            <w:pPr>
              <w:pStyle w:val="Text1"/>
              <w:ind w:left="0"/>
              <w:jc w:val="center"/>
              <w:rPr>
                <w:noProof/>
                <w:sz w:val="18"/>
                <w:szCs w:val="18"/>
              </w:rPr>
            </w:pPr>
            <w:r w:rsidRPr="00FC3C3B">
              <w:rPr>
                <w:noProof/>
                <w:sz w:val="18"/>
                <w:szCs w:val="18"/>
              </w:rPr>
              <w:t>193</w:t>
            </w:r>
          </w:p>
        </w:tc>
        <w:tc>
          <w:tcPr>
            <w:tcW w:w="2027" w:type="dxa"/>
          </w:tcPr>
          <w:p w14:paraId="71B55BCF" w14:textId="77777777" w:rsidR="00AA5336" w:rsidRPr="00FC3C3B" w:rsidRDefault="00AA5336" w:rsidP="00596A98">
            <w:pPr>
              <w:pStyle w:val="Text1"/>
              <w:ind w:left="0"/>
              <w:rPr>
                <w:noProof/>
                <w:sz w:val="18"/>
                <w:szCs w:val="18"/>
              </w:rPr>
            </w:pPr>
            <w:r w:rsidRPr="00FC3C3B">
              <w:rPr>
                <w:noProof/>
                <w:sz w:val="18"/>
                <w:szCs w:val="18"/>
              </w:rPr>
              <w:t xml:space="preserve">Productive investments in SMEs linked primarily to </w:t>
            </w:r>
            <w:r w:rsidR="001C7B90" w:rsidRPr="00FC3C3B">
              <w:rPr>
                <w:noProof/>
                <w:sz w:val="18"/>
                <w:szCs w:val="18"/>
              </w:rPr>
              <w:t xml:space="preserve">deep </w:t>
            </w:r>
            <w:r w:rsidR="006F499D" w:rsidRPr="00FC3C3B">
              <w:rPr>
                <w:noProof/>
                <w:sz w:val="18"/>
                <w:szCs w:val="18"/>
              </w:rPr>
              <w:t xml:space="preserve">and digital technologies. </w:t>
            </w:r>
            <w:r w:rsidR="001C7B90" w:rsidRPr="00FC3C3B" w:rsidDel="001C7B90">
              <w:rPr>
                <w:noProof/>
                <w:sz w:val="18"/>
                <w:szCs w:val="18"/>
              </w:rPr>
              <w:t xml:space="preserve"> </w:t>
            </w:r>
          </w:p>
        </w:tc>
        <w:tc>
          <w:tcPr>
            <w:tcW w:w="2027" w:type="dxa"/>
          </w:tcPr>
          <w:p w14:paraId="558FFF7F" w14:textId="77777777" w:rsidR="00AA5336" w:rsidRPr="00FC3C3B" w:rsidRDefault="00AA5336" w:rsidP="00AA5336">
            <w:pPr>
              <w:pStyle w:val="Text1"/>
              <w:rPr>
                <w:noProof/>
                <w:sz w:val="18"/>
                <w:szCs w:val="18"/>
              </w:rPr>
            </w:pPr>
            <w:r w:rsidRPr="00FC3C3B">
              <w:rPr>
                <w:noProof/>
                <w:sz w:val="18"/>
                <w:szCs w:val="18"/>
              </w:rPr>
              <w:t>0%</w:t>
            </w:r>
          </w:p>
        </w:tc>
        <w:tc>
          <w:tcPr>
            <w:tcW w:w="2078" w:type="dxa"/>
          </w:tcPr>
          <w:p w14:paraId="1049892D" w14:textId="77777777" w:rsidR="00AA5336" w:rsidRPr="00FC3C3B" w:rsidRDefault="00AA5336" w:rsidP="00AA5336">
            <w:pPr>
              <w:pStyle w:val="Text1"/>
              <w:rPr>
                <w:noProof/>
                <w:sz w:val="18"/>
                <w:szCs w:val="18"/>
              </w:rPr>
            </w:pPr>
            <w:r w:rsidRPr="00FC3C3B">
              <w:rPr>
                <w:noProof/>
                <w:sz w:val="18"/>
                <w:szCs w:val="18"/>
              </w:rPr>
              <w:t>0%</w:t>
            </w:r>
          </w:p>
        </w:tc>
      </w:tr>
    </w:tbl>
    <w:p w14:paraId="1EA7B10B" w14:textId="77777777" w:rsidR="0035301F" w:rsidRPr="00FC3C3B" w:rsidRDefault="00323DD4" w:rsidP="00323DD4">
      <w:pPr>
        <w:pStyle w:val="Point0"/>
        <w:rPr>
          <w:noProof/>
        </w:rPr>
      </w:pPr>
      <w:r w:rsidRPr="00FC3C3B">
        <w:rPr>
          <w:noProof/>
        </w:rPr>
        <w:t>(</w:t>
      </w:r>
      <w:r w:rsidR="00DF1900">
        <w:rPr>
          <w:noProof/>
        </w:rPr>
        <w:t>5</w:t>
      </w:r>
      <w:r w:rsidRPr="00FC3C3B">
        <w:rPr>
          <w:noProof/>
        </w:rPr>
        <w:t>)</w:t>
      </w:r>
      <w:r w:rsidRPr="00FC3C3B">
        <w:rPr>
          <w:noProof/>
        </w:rPr>
        <w:tab/>
      </w:r>
      <w:r w:rsidR="00355AA7" w:rsidRPr="00FC3C3B">
        <w:rPr>
          <w:noProof/>
        </w:rPr>
        <w:t xml:space="preserve">In Annex I, </w:t>
      </w:r>
      <w:r w:rsidR="0035301F" w:rsidRPr="00FC3C3B">
        <w:rPr>
          <w:noProof/>
        </w:rPr>
        <w:t>Table 6, the following row is added:</w:t>
      </w:r>
    </w:p>
    <w:tbl>
      <w:tblPr>
        <w:tblStyle w:val="TableGrid2"/>
        <w:tblW w:w="8160" w:type="dxa"/>
        <w:tblInd w:w="948" w:type="dxa"/>
        <w:tblLayout w:type="fixed"/>
        <w:tblLook w:val="06A0" w:firstRow="1" w:lastRow="0" w:firstColumn="1" w:lastColumn="0" w:noHBand="1" w:noVBand="1"/>
      </w:tblPr>
      <w:tblGrid>
        <w:gridCol w:w="2028"/>
        <w:gridCol w:w="2027"/>
        <w:gridCol w:w="2027"/>
        <w:gridCol w:w="2078"/>
      </w:tblGrid>
      <w:tr w:rsidR="0035301F" w:rsidRPr="00FC3C3B" w14:paraId="590FF558" w14:textId="77777777" w:rsidTr="0035301F">
        <w:trPr>
          <w:trHeight w:val="300"/>
        </w:trPr>
        <w:tc>
          <w:tcPr>
            <w:tcW w:w="2028" w:type="dxa"/>
          </w:tcPr>
          <w:p w14:paraId="223FAFEA" w14:textId="77777777" w:rsidR="0035301F" w:rsidRPr="00FC3C3B" w:rsidRDefault="0035301F" w:rsidP="0035301F">
            <w:pPr>
              <w:jc w:val="center"/>
              <w:rPr>
                <w:noProof/>
                <w:sz w:val="18"/>
                <w:szCs w:val="18"/>
              </w:rPr>
            </w:pPr>
            <w:r w:rsidRPr="00FC3C3B">
              <w:rPr>
                <w:noProof/>
                <w:sz w:val="18"/>
                <w:szCs w:val="18"/>
              </w:rPr>
              <w:t>11</w:t>
            </w:r>
          </w:p>
        </w:tc>
        <w:tc>
          <w:tcPr>
            <w:tcW w:w="2027" w:type="dxa"/>
          </w:tcPr>
          <w:p w14:paraId="004C7157" w14:textId="77777777" w:rsidR="0035301F" w:rsidRPr="00FC3C3B" w:rsidRDefault="0035301F" w:rsidP="0035301F">
            <w:pPr>
              <w:jc w:val="left"/>
              <w:rPr>
                <w:noProof/>
                <w:sz w:val="18"/>
                <w:szCs w:val="18"/>
                <w:lang w:val="en-IE"/>
              </w:rPr>
            </w:pPr>
            <w:r w:rsidRPr="00FC3C3B">
              <w:rPr>
                <w:noProof/>
                <w:sz w:val="18"/>
                <w:szCs w:val="18"/>
              </w:rPr>
              <w:t>Contributing to skills and jobs in deep and digital technologies, c</w:t>
            </w:r>
            <w:r w:rsidRPr="00FC3C3B">
              <w:rPr>
                <w:noProof/>
                <w:sz w:val="18"/>
                <w:szCs w:val="18"/>
                <w:lang w:val="en-IE"/>
              </w:rPr>
              <w:t>lean technologies, biotechnologies</w:t>
            </w:r>
          </w:p>
        </w:tc>
        <w:tc>
          <w:tcPr>
            <w:tcW w:w="2027" w:type="dxa"/>
          </w:tcPr>
          <w:p w14:paraId="0FA4B51B" w14:textId="77777777" w:rsidR="0035301F" w:rsidRPr="00FC3C3B" w:rsidRDefault="0035301F" w:rsidP="0035301F">
            <w:pPr>
              <w:ind w:left="850"/>
              <w:rPr>
                <w:noProof/>
                <w:sz w:val="18"/>
                <w:szCs w:val="18"/>
              </w:rPr>
            </w:pPr>
            <w:r w:rsidRPr="00FC3C3B">
              <w:rPr>
                <w:noProof/>
                <w:sz w:val="18"/>
                <w:szCs w:val="18"/>
              </w:rPr>
              <w:t>0%</w:t>
            </w:r>
          </w:p>
        </w:tc>
        <w:tc>
          <w:tcPr>
            <w:tcW w:w="2078" w:type="dxa"/>
          </w:tcPr>
          <w:p w14:paraId="3CC47D84" w14:textId="77777777" w:rsidR="0035301F" w:rsidRPr="00FC3C3B" w:rsidRDefault="0035301F" w:rsidP="0035301F">
            <w:pPr>
              <w:ind w:left="850"/>
              <w:rPr>
                <w:noProof/>
                <w:sz w:val="18"/>
                <w:szCs w:val="18"/>
              </w:rPr>
            </w:pPr>
            <w:r w:rsidRPr="00FC3C3B">
              <w:rPr>
                <w:noProof/>
                <w:sz w:val="18"/>
                <w:szCs w:val="18"/>
              </w:rPr>
              <w:t>0%</w:t>
            </w:r>
          </w:p>
        </w:tc>
      </w:tr>
    </w:tbl>
    <w:p w14:paraId="54440C75" w14:textId="77777777" w:rsidR="004B60CB" w:rsidRPr="00FC3C3B" w:rsidRDefault="00550165" w:rsidP="004B60CB">
      <w:pPr>
        <w:pStyle w:val="Titrearticle"/>
        <w:rPr>
          <w:noProof/>
        </w:rPr>
      </w:pPr>
      <w:r w:rsidRPr="00FC3C3B">
        <w:rPr>
          <w:noProof/>
        </w:rPr>
        <w:t xml:space="preserve">Article </w:t>
      </w:r>
      <w:r w:rsidR="009454C4" w:rsidRPr="00FC3C3B">
        <w:rPr>
          <w:noProof/>
        </w:rPr>
        <w:t>1</w:t>
      </w:r>
      <w:r w:rsidR="00FC1F6F" w:rsidRPr="00FC3C3B">
        <w:rPr>
          <w:noProof/>
        </w:rPr>
        <w:t>4</w:t>
      </w:r>
    </w:p>
    <w:p w14:paraId="519EB606" w14:textId="77777777" w:rsidR="004B60CB" w:rsidRPr="00FC3C3B" w:rsidRDefault="004B60CB" w:rsidP="004B60CB">
      <w:pPr>
        <w:jc w:val="center"/>
        <w:rPr>
          <w:b/>
          <w:bCs/>
          <w:noProof/>
        </w:rPr>
      </w:pPr>
      <w:r w:rsidRPr="00FC3C3B">
        <w:rPr>
          <w:b/>
          <w:bCs/>
          <w:noProof/>
        </w:rPr>
        <w:t>Amendments to Regulation (EU) No 1303/2013 [CPR]</w:t>
      </w:r>
    </w:p>
    <w:p w14:paraId="50B9F5FF" w14:textId="77777777" w:rsidR="004B60CB" w:rsidRPr="00FC3C3B" w:rsidRDefault="004B60CB" w:rsidP="004B60CB">
      <w:pPr>
        <w:jc w:val="left"/>
        <w:rPr>
          <w:noProof/>
          <w:lang w:eastAsia="en-GB"/>
        </w:rPr>
      </w:pPr>
      <w:r w:rsidRPr="00FC3C3B">
        <w:rPr>
          <w:noProof/>
        </w:rPr>
        <w:t>Regulation (EU) No 1303/2013 is amended as follows:</w:t>
      </w:r>
    </w:p>
    <w:p w14:paraId="091F0E1C" w14:textId="77777777" w:rsidR="004B60CB" w:rsidRPr="00FC3C3B" w:rsidRDefault="004B60CB" w:rsidP="004B60CB">
      <w:pPr>
        <w:pStyle w:val="Point0"/>
        <w:rPr>
          <w:noProof/>
        </w:rPr>
      </w:pPr>
      <w:bookmarkStart w:id="3" w:name="_Hlk136588431"/>
      <w:r w:rsidRPr="00FC3C3B">
        <w:rPr>
          <w:noProof/>
        </w:rPr>
        <w:t>(1)</w:t>
      </w:r>
      <w:r w:rsidRPr="00FC3C3B">
        <w:rPr>
          <w:noProof/>
        </w:rPr>
        <w:tab/>
        <w:t>In Article 135, the following paragraph 6 is added:</w:t>
      </w:r>
    </w:p>
    <w:p w14:paraId="076CECD1" w14:textId="77777777" w:rsidR="004B60CB" w:rsidRPr="00FC3C3B" w:rsidRDefault="004B60CB" w:rsidP="004B60CB">
      <w:pPr>
        <w:pStyle w:val="Text1"/>
        <w:rPr>
          <w:noProof/>
        </w:rPr>
      </w:pPr>
      <w:r w:rsidRPr="00FC3C3B">
        <w:rPr>
          <w:noProof/>
        </w:rPr>
        <w:t>‘</w:t>
      </w:r>
      <w:r w:rsidR="00997FBE" w:rsidRPr="00FC3C3B">
        <w:rPr>
          <w:noProof/>
        </w:rPr>
        <w:t xml:space="preserve">6. </w:t>
      </w:r>
      <w:r w:rsidRPr="00FC3C3B">
        <w:rPr>
          <w:noProof/>
        </w:rPr>
        <w:t xml:space="preserve">By way of derogation from paragraph 2, the deadline for the submission of the final application for an interim payment for the final accounting year shall be 31 July 2025. The last application for interim payment submitted by 31 July 2025 shall be deemed to be the final application for an interim payment for the final accounting year. </w:t>
      </w:r>
    </w:p>
    <w:p w14:paraId="78C5BA94" w14:textId="77777777" w:rsidR="004B60CB" w:rsidRPr="00FC3C3B" w:rsidRDefault="004B60CB" w:rsidP="004B60CB">
      <w:pPr>
        <w:pStyle w:val="Text1"/>
        <w:rPr>
          <w:noProof/>
        </w:rPr>
      </w:pPr>
      <w:r w:rsidRPr="00FC3C3B">
        <w:rPr>
          <w:noProof/>
        </w:rPr>
        <w:t xml:space="preserve">Amounts from resources other than REACT-EU reimbursed by the Commission as interim payments in 2025 shall not exceed 1 % of the total financial appropriations to the programme concerned by Fund, REACT-EU resources excluded. Amounts that would be due to be paid by the Commission in 2025 exceeding this percentage shall not be paid and shall be used exclusively for the clearing of pre-financing  at closure.’ </w:t>
      </w:r>
    </w:p>
    <w:bookmarkEnd w:id="3"/>
    <w:p w14:paraId="5493C9DC" w14:textId="77777777" w:rsidR="004B60CB" w:rsidRPr="00FC3C3B" w:rsidRDefault="004B60CB" w:rsidP="004B60CB">
      <w:pPr>
        <w:pStyle w:val="Point0"/>
        <w:rPr>
          <w:noProof/>
        </w:rPr>
      </w:pPr>
      <w:r w:rsidRPr="00FC3C3B">
        <w:rPr>
          <w:noProof/>
        </w:rPr>
        <w:t xml:space="preserve"> (2)</w:t>
      </w:r>
      <w:r w:rsidRPr="00FC3C3B">
        <w:rPr>
          <w:noProof/>
        </w:rPr>
        <w:tab/>
        <w:t xml:space="preserve">In Article 138, the following subparagraph is added: </w:t>
      </w:r>
    </w:p>
    <w:p w14:paraId="44B3CDC5" w14:textId="77777777" w:rsidR="004B60CB" w:rsidRPr="00FC3C3B" w:rsidRDefault="004B60CB" w:rsidP="004B60CB">
      <w:pPr>
        <w:pStyle w:val="Text1"/>
        <w:rPr>
          <w:noProof/>
        </w:rPr>
      </w:pPr>
      <w:r w:rsidRPr="00FC3C3B">
        <w:rPr>
          <w:noProof/>
        </w:rPr>
        <w:t>‘By way of derogation from the deadline set out in the first subparagraph, Member States may submit the documents referred to under points (a), (b) and (c) for the final accounting year by 15 February 2026.’</w:t>
      </w:r>
    </w:p>
    <w:p w14:paraId="40E9D808" w14:textId="77777777" w:rsidR="004B60CB" w:rsidRPr="00FC3C3B" w:rsidRDefault="004B60CB" w:rsidP="004B60CB">
      <w:pPr>
        <w:keepNext/>
        <w:spacing w:before="360"/>
        <w:jc w:val="center"/>
        <w:rPr>
          <w:i/>
          <w:noProof/>
        </w:rPr>
      </w:pPr>
      <w:r w:rsidRPr="00FC3C3B">
        <w:rPr>
          <w:i/>
          <w:noProof/>
        </w:rPr>
        <w:t>Article 15</w:t>
      </w:r>
    </w:p>
    <w:p w14:paraId="66118019" w14:textId="77777777" w:rsidR="004B60CB" w:rsidRPr="00FC3C3B" w:rsidRDefault="004B60CB" w:rsidP="004B60CB">
      <w:pPr>
        <w:jc w:val="center"/>
        <w:rPr>
          <w:b/>
          <w:noProof/>
        </w:rPr>
      </w:pPr>
      <w:r w:rsidRPr="00FC3C3B">
        <w:rPr>
          <w:b/>
          <w:noProof/>
        </w:rPr>
        <w:t>Amendment to Regulation (EU) No 223/2014</w:t>
      </w:r>
      <w:r w:rsidR="00EC7F24" w:rsidRPr="00FC3C3B">
        <w:rPr>
          <w:b/>
          <w:noProof/>
        </w:rPr>
        <w:t xml:space="preserve"> [FEAD]</w:t>
      </w:r>
    </w:p>
    <w:p w14:paraId="486C2D14" w14:textId="77777777" w:rsidR="004B60CB" w:rsidRPr="00FC3C3B" w:rsidRDefault="004B60CB" w:rsidP="004B60CB">
      <w:pPr>
        <w:jc w:val="left"/>
        <w:rPr>
          <w:noProof/>
        </w:rPr>
      </w:pPr>
      <w:r w:rsidRPr="00FC3C3B">
        <w:rPr>
          <w:noProof/>
        </w:rPr>
        <w:t>Regulation (EU) No 223/2014 is amended as follows:</w:t>
      </w:r>
    </w:p>
    <w:p w14:paraId="790A249D" w14:textId="77777777" w:rsidR="004B60CB" w:rsidRPr="00FC3C3B" w:rsidRDefault="00323DD4" w:rsidP="00323DD4">
      <w:pPr>
        <w:pStyle w:val="Point0"/>
        <w:rPr>
          <w:noProof/>
          <w:lang w:val="en-IE"/>
        </w:rPr>
      </w:pPr>
      <w:r w:rsidRPr="00FC3C3B">
        <w:rPr>
          <w:noProof/>
        </w:rPr>
        <w:t>(1)</w:t>
      </w:r>
      <w:r w:rsidRPr="00FC3C3B">
        <w:rPr>
          <w:noProof/>
        </w:rPr>
        <w:tab/>
      </w:r>
      <w:r w:rsidR="004B60CB" w:rsidRPr="00FC3C3B">
        <w:rPr>
          <w:noProof/>
          <w:lang w:val="en-IE"/>
        </w:rPr>
        <w:t>In Article 13, paragraph 5 is replaced by the following:</w:t>
      </w:r>
    </w:p>
    <w:p w14:paraId="152B9EC3" w14:textId="77777777" w:rsidR="00FE0785" w:rsidRDefault="005C019C" w:rsidP="00D709CA">
      <w:pPr>
        <w:ind w:left="851"/>
        <w:rPr>
          <w:noProof/>
        </w:rPr>
      </w:pPr>
      <w:r w:rsidRPr="00FC3C3B">
        <w:rPr>
          <w:noProof/>
        </w:rPr>
        <w:t>‘</w:t>
      </w:r>
      <w:r w:rsidR="004B60CB" w:rsidRPr="00FC3C3B">
        <w:rPr>
          <w:noProof/>
        </w:rPr>
        <w:t>5. The Member State shall submit a final report on implementation of the operational programme together with the closure documents as set out in Article 52, by 15 February 2026 at the latest.’</w:t>
      </w:r>
    </w:p>
    <w:p w14:paraId="45765EE7" w14:textId="77777777" w:rsidR="00C2196B" w:rsidRPr="008A3D63" w:rsidRDefault="005F60FD" w:rsidP="008A3D63">
      <w:pPr>
        <w:pStyle w:val="Point0"/>
        <w:ind w:left="840" w:hanging="840"/>
        <w:rPr>
          <w:noProof/>
          <w:lang w:val="en-IE"/>
        </w:rPr>
      </w:pPr>
      <w:r>
        <w:rPr>
          <w:noProof/>
          <w:lang w:val="en-IE"/>
        </w:rPr>
        <w:t>(2)</w:t>
      </w:r>
      <w:r>
        <w:rPr>
          <w:noProof/>
          <w:lang w:val="en-IE"/>
        </w:rPr>
        <w:tab/>
      </w:r>
      <w:r w:rsidR="008A1732" w:rsidRPr="008A3D63">
        <w:rPr>
          <w:noProof/>
          <w:lang w:val="en-IE"/>
        </w:rPr>
        <w:t>In Article 22, the following paragraph 2a is added:</w:t>
      </w:r>
    </w:p>
    <w:p w14:paraId="6923A95E" w14:textId="77777777" w:rsidR="008A1732" w:rsidRPr="008A3D63" w:rsidRDefault="005F60FD" w:rsidP="008A3D63">
      <w:pPr>
        <w:pStyle w:val="Point0"/>
        <w:ind w:left="840" w:firstLine="0"/>
        <w:rPr>
          <w:noProof/>
          <w:lang w:val="en-IE"/>
        </w:rPr>
      </w:pPr>
      <w:r>
        <w:rPr>
          <w:noProof/>
          <w:lang w:val="en-IE"/>
        </w:rPr>
        <w:t>‘</w:t>
      </w:r>
      <w:r w:rsidR="008A1732" w:rsidRPr="008A3D63">
        <w:rPr>
          <w:noProof/>
          <w:lang w:val="en-IE"/>
        </w:rPr>
        <w:t>2a. In the case of costs reimbursed pursuant to points (b), (c), (d) and (e) of Article 26(2), the corresponding actions being reimbursed shall be carried out by the submission of the final application for an interim payment for the final accounting year in accordance with Article 45(6).</w:t>
      </w:r>
      <w:r>
        <w:rPr>
          <w:noProof/>
          <w:lang w:val="en-IE"/>
        </w:rPr>
        <w:t>’</w:t>
      </w:r>
    </w:p>
    <w:p w14:paraId="1825791B" w14:textId="77777777" w:rsidR="004B60CB" w:rsidRPr="00FC3C3B" w:rsidRDefault="00323DD4" w:rsidP="00323DD4">
      <w:pPr>
        <w:pStyle w:val="Point0"/>
        <w:rPr>
          <w:noProof/>
        </w:rPr>
      </w:pPr>
      <w:r w:rsidRPr="00FC3C3B">
        <w:rPr>
          <w:noProof/>
        </w:rPr>
        <w:t>(</w:t>
      </w:r>
      <w:r w:rsidR="005F60FD">
        <w:rPr>
          <w:noProof/>
        </w:rPr>
        <w:t>3</w:t>
      </w:r>
      <w:r w:rsidRPr="00FC3C3B">
        <w:rPr>
          <w:noProof/>
        </w:rPr>
        <w:t>)</w:t>
      </w:r>
      <w:r w:rsidRPr="00FC3C3B">
        <w:rPr>
          <w:noProof/>
        </w:rPr>
        <w:tab/>
      </w:r>
      <w:r w:rsidR="004B60CB" w:rsidRPr="00FC3C3B">
        <w:rPr>
          <w:noProof/>
        </w:rPr>
        <w:t>In Article 45, the following paragraph 6 is added:</w:t>
      </w:r>
    </w:p>
    <w:p w14:paraId="70A3C13F" w14:textId="77777777" w:rsidR="004B60CB" w:rsidRPr="00FC3C3B" w:rsidRDefault="004B60CB" w:rsidP="004B60CB">
      <w:pPr>
        <w:ind w:left="850"/>
        <w:rPr>
          <w:noProof/>
        </w:rPr>
      </w:pPr>
      <w:r w:rsidRPr="00FC3C3B">
        <w:rPr>
          <w:noProof/>
        </w:rPr>
        <w:t>‘</w:t>
      </w:r>
      <w:r w:rsidR="00E0791F" w:rsidRPr="00FC3C3B">
        <w:rPr>
          <w:noProof/>
        </w:rPr>
        <w:t xml:space="preserve">6. </w:t>
      </w:r>
      <w:r w:rsidRPr="00FC3C3B">
        <w:rPr>
          <w:noProof/>
        </w:rPr>
        <w:t xml:space="preserve">By way of derogation from paragraph 2, the deadline for the submission of the final application for an interim payment for the final accounting year shall be 31 July 2025. The last application for interim payment submitted by 31 July 2025 shall be deemed to be the final application for an interim payment for the final accounting year. </w:t>
      </w:r>
    </w:p>
    <w:p w14:paraId="55396FD1" w14:textId="77777777" w:rsidR="004B60CB" w:rsidRPr="00FC3C3B" w:rsidRDefault="004B60CB" w:rsidP="004B60CB">
      <w:pPr>
        <w:ind w:left="850"/>
        <w:rPr>
          <w:noProof/>
        </w:rPr>
      </w:pPr>
      <w:r w:rsidRPr="00FC3C3B">
        <w:rPr>
          <w:noProof/>
        </w:rPr>
        <w:t>Amounts reimbursed by the Commission as interim payments in 2025 shall not exceed 1 % of the total financial appropriations to the programme concerned. Amounts that would be due to be paid by the Commission in 2025 exceeding this percentage shall not be paid and shall be used exclusively for the clearing of pre-financing  at closure.’</w:t>
      </w:r>
    </w:p>
    <w:p w14:paraId="17838E5A" w14:textId="77777777" w:rsidR="004B60CB" w:rsidRPr="00FC3C3B" w:rsidRDefault="00323DD4" w:rsidP="00323DD4">
      <w:pPr>
        <w:pStyle w:val="Point0"/>
        <w:rPr>
          <w:noProof/>
        </w:rPr>
      </w:pPr>
      <w:r w:rsidRPr="00FC3C3B">
        <w:rPr>
          <w:noProof/>
        </w:rPr>
        <w:t>(</w:t>
      </w:r>
      <w:r w:rsidR="005F60FD">
        <w:rPr>
          <w:noProof/>
        </w:rPr>
        <w:t>4</w:t>
      </w:r>
      <w:r w:rsidRPr="00FC3C3B">
        <w:rPr>
          <w:noProof/>
        </w:rPr>
        <w:t>)</w:t>
      </w:r>
      <w:r w:rsidRPr="00FC3C3B">
        <w:rPr>
          <w:noProof/>
        </w:rPr>
        <w:tab/>
      </w:r>
      <w:r w:rsidR="004B60CB" w:rsidRPr="00FC3C3B">
        <w:rPr>
          <w:noProof/>
        </w:rPr>
        <w:t xml:space="preserve">In Article 48, the following subparagraph is added: </w:t>
      </w:r>
    </w:p>
    <w:p w14:paraId="2CF8DBFA" w14:textId="77777777" w:rsidR="004B60CB" w:rsidRPr="00FC3C3B" w:rsidRDefault="004B60CB" w:rsidP="004B60CB">
      <w:pPr>
        <w:ind w:left="850"/>
        <w:rPr>
          <w:noProof/>
        </w:rPr>
      </w:pPr>
      <w:r w:rsidRPr="00FC3C3B">
        <w:rPr>
          <w:noProof/>
        </w:rPr>
        <w:t>‘By way of derogation from the deadline set out in the first subparagraph, Member States may submit the documents referred to under points (a), (b) and (c) for the final accounting year by 15 February 2026.’</w:t>
      </w:r>
    </w:p>
    <w:p w14:paraId="621BD205" w14:textId="77777777" w:rsidR="002C7991" w:rsidRPr="00FC3C3B" w:rsidRDefault="00550165">
      <w:pPr>
        <w:pStyle w:val="Titrearticle"/>
        <w:rPr>
          <w:noProof/>
        </w:rPr>
      </w:pPr>
      <w:r w:rsidRPr="00FC3C3B">
        <w:rPr>
          <w:noProof/>
        </w:rPr>
        <w:t xml:space="preserve">Article </w:t>
      </w:r>
      <w:r w:rsidR="009454C4" w:rsidRPr="00FC3C3B">
        <w:rPr>
          <w:noProof/>
        </w:rPr>
        <w:t>1</w:t>
      </w:r>
      <w:r w:rsidR="005C019C" w:rsidRPr="00FC3C3B">
        <w:rPr>
          <w:noProof/>
        </w:rPr>
        <w:t>6</w:t>
      </w:r>
    </w:p>
    <w:p w14:paraId="6054FF9A" w14:textId="77777777" w:rsidR="002C7991" w:rsidRPr="00FC3C3B" w:rsidRDefault="00550165">
      <w:pPr>
        <w:jc w:val="center"/>
        <w:rPr>
          <w:b/>
          <w:bCs/>
          <w:noProof/>
        </w:rPr>
      </w:pPr>
      <w:r w:rsidRPr="00FC3C3B">
        <w:rPr>
          <w:b/>
          <w:bCs/>
          <w:noProof/>
        </w:rPr>
        <w:t>Amendments to Regulation (EU) 2021/523 [InvestEU]</w:t>
      </w:r>
    </w:p>
    <w:p w14:paraId="37DEA577" w14:textId="77777777" w:rsidR="002C7991" w:rsidRPr="00FC3C3B" w:rsidRDefault="00550165">
      <w:pPr>
        <w:rPr>
          <w:noProof/>
        </w:rPr>
      </w:pPr>
      <w:r w:rsidRPr="00FC3C3B">
        <w:rPr>
          <w:noProof/>
        </w:rPr>
        <w:t>Regulation (EU) 2021/523 is amended as follows:</w:t>
      </w:r>
    </w:p>
    <w:p w14:paraId="737E9CFF" w14:textId="77777777" w:rsidR="002C7991" w:rsidRPr="00FC3C3B" w:rsidRDefault="00323DD4" w:rsidP="00323DD4">
      <w:pPr>
        <w:pStyle w:val="Point0"/>
        <w:rPr>
          <w:noProof/>
        </w:rPr>
      </w:pPr>
      <w:r w:rsidRPr="00FC3C3B">
        <w:rPr>
          <w:noProof/>
        </w:rPr>
        <w:t>(1)</w:t>
      </w:r>
      <w:r w:rsidRPr="00FC3C3B">
        <w:rPr>
          <w:noProof/>
        </w:rPr>
        <w:tab/>
      </w:r>
      <w:r w:rsidR="00550165" w:rsidRPr="00FC3C3B">
        <w:rPr>
          <w:noProof/>
        </w:rPr>
        <w:t xml:space="preserve">Article 3 is amended as follows: </w:t>
      </w:r>
    </w:p>
    <w:p w14:paraId="5B59C983" w14:textId="77777777" w:rsidR="002C7991" w:rsidRPr="00FC3C3B" w:rsidRDefault="00323DD4" w:rsidP="00323DD4">
      <w:pPr>
        <w:pStyle w:val="Point1"/>
        <w:rPr>
          <w:noProof/>
        </w:rPr>
      </w:pPr>
      <w:r w:rsidRPr="00FC3C3B">
        <w:rPr>
          <w:noProof/>
        </w:rPr>
        <w:t>(a)</w:t>
      </w:r>
      <w:r w:rsidRPr="00FC3C3B">
        <w:rPr>
          <w:noProof/>
        </w:rPr>
        <w:tab/>
      </w:r>
      <w:r w:rsidR="00550165" w:rsidRPr="00FC3C3B">
        <w:rPr>
          <w:noProof/>
        </w:rPr>
        <w:t>the following point is added in paragraph 1:</w:t>
      </w:r>
    </w:p>
    <w:p w14:paraId="1E948F91" w14:textId="77777777" w:rsidR="002C7991" w:rsidRPr="00FC3C3B" w:rsidRDefault="00550165" w:rsidP="009B1B7F">
      <w:pPr>
        <w:pStyle w:val="Text2"/>
        <w:rPr>
          <w:noProof/>
        </w:rPr>
      </w:pPr>
      <w:r w:rsidRPr="00FC3C3B">
        <w:rPr>
          <w:noProof/>
        </w:rPr>
        <w:t>‘(h) supporting investments contributing to the</w:t>
      </w:r>
      <w:r w:rsidR="001A6622" w:rsidRPr="00FC3C3B">
        <w:rPr>
          <w:noProof/>
        </w:rPr>
        <w:t xml:space="preserve"> </w:t>
      </w:r>
      <w:r w:rsidR="00526A94" w:rsidRPr="00FC3C3B">
        <w:rPr>
          <w:noProof/>
        </w:rPr>
        <w:t>STEP</w:t>
      </w:r>
      <w:r w:rsidR="001A6622" w:rsidRPr="00FC3C3B">
        <w:rPr>
          <w:noProof/>
        </w:rPr>
        <w:t xml:space="preserve"> objectives referred to in Article 2 of </w:t>
      </w:r>
      <w:r w:rsidR="00A60475" w:rsidRPr="00FC3C3B">
        <w:rPr>
          <w:noProof/>
        </w:rPr>
        <w:t>Regulation .../...</w:t>
      </w:r>
      <w:r w:rsidR="00A60475" w:rsidRPr="00FC3C3B">
        <w:rPr>
          <w:rStyle w:val="FootnoteReference"/>
          <w:noProof/>
        </w:rPr>
        <w:footnoteReference w:id="69"/>
      </w:r>
      <w:r w:rsidR="00A60475" w:rsidRPr="00FC3C3B">
        <w:rPr>
          <w:noProof/>
        </w:rPr>
        <w:t xml:space="preserve"> [</w:t>
      </w:r>
      <w:r w:rsidR="00526A94" w:rsidRPr="00FC3C3B">
        <w:rPr>
          <w:noProof/>
        </w:rPr>
        <w:t>STEP</w:t>
      </w:r>
      <w:r w:rsidR="00A60475" w:rsidRPr="00FC3C3B">
        <w:rPr>
          <w:noProof/>
        </w:rPr>
        <w:t xml:space="preserve"> Regulation]</w:t>
      </w:r>
      <w:r w:rsidRPr="00FC3C3B">
        <w:rPr>
          <w:noProof/>
        </w:rPr>
        <w:t>’</w:t>
      </w:r>
    </w:p>
    <w:p w14:paraId="44547382" w14:textId="77777777" w:rsidR="002C7991" w:rsidRPr="00FC3C3B" w:rsidRDefault="00323DD4" w:rsidP="00323DD4">
      <w:pPr>
        <w:pStyle w:val="Point1"/>
        <w:rPr>
          <w:noProof/>
        </w:rPr>
      </w:pPr>
      <w:r w:rsidRPr="00FC3C3B">
        <w:rPr>
          <w:noProof/>
        </w:rPr>
        <w:t>(b)</w:t>
      </w:r>
      <w:r w:rsidRPr="00FC3C3B">
        <w:rPr>
          <w:noProof/>
        </w:rPr>
        <w:tab/>
      </w:r>
      <w:r w:rsidR="00550165" w:rsidRPr="00FC3C3B">
        <w:rPr>
          <w:noProof/>
          <w:lang w:val="en-IE"/>
        </w:rPr>
        <w:t>the following point is added in paragraph 2:</w:t>
      </w:r>
    </w:p>
    <w:p w14:paraId="76E02727" w14:textId="77777777" w:rsidR="002C7991" w:rsidRPr="00FC3C3B" w:rsidRDefault="00550165">
      <w:pPr>
        <w:pStyle w:val="Text2"/>
        <w:rPr>
          <w:noProof/>
          <w:lang w:val="en-IE"/>
        </w:rPr>
      </w:pPr>
      <w:r w:rsidRPr="00FC3C3B">
        <w:rPr>
          <w:noProof/>
          <w:lang w:val="en-IE"/>
        </w:rPr>
        <w:t>‘(e) supporting financing and investment operations related to the areas referred to in Article 8(1)</w:t>
      </w:r>
      <w:r w:rsidR="00D9569C" w:rsidRPr="00FC3C3B">
        <w:rPr>
          <w:noProof/>
          <w:lang w:val="en-IE"/>
        </w:rPr>
        <w:t>, point (e</w:t>
      </w:r>
      <w:r w:rsidRPr="00FC3C3B">
        <w:rPr>
          <w:noProof/>
          <w:lang w:val="en-IE"/>
        </w:rPr>
        <w:t>).’</w:t>
      </w:r>
    </w:p>
    <w:p w14:paraId="104AF6B6" w14:textId="77777777" w:rsidR="002C7991" w:rsidRPr="00FC3C3B" w:rsidRDefault="00323DD4" w:rsidP="00323DD4">
      <w:pPr>
        <w:pStyle w:val="Point0"/>
        <w:rPr>
          <w:noProof/>
          <w:lang w:val="en-IE"/>
        </w:rPr>
      </w:pPr>
      <w:r w:rsidRPr="00FC3C3B">
        <w:rPr>
          <w:noProof/>
        </w:rPr>
        <w:t>(2)</w:t>
      </w:r>
      <w:r w:rsidRPr="00FC3C3B">
        <w:rPr>
          <w:noProof/>
        </w:rPr>
        <w:tab/>
      </w:r>
      <w:r w:rsidR="00550165" w:rsidRPr="00FC3C3B">
        <w:rPr>
          <w:noProof/>
          <w:lang w:val="en-IE"/>
        </w:rPr>
        <w:t xml:space="preserve">Article 4 is amended as follows: </w:t>
      </w:r>
    </w:p>
    <w:p w14:paraId="26E75B31" w14:textId="77777777" w:rsidR="002C7991" w:rsidRPr="00FC3C3B" w:rsidRDefault="00323DD4" w:rsidP="00323DD4">
      <w:pPr>
        <w:pStyle w:val="Point1"/>
        <w:rPr>
          <w:noProof/>
          <w:lang w:val="en-IE"/>
        </w:rPr>
      </w:pPr>
      <w:r w:rsidRPr="00FC3C3B">
        <w:rPr>
          <w:noProof/>
        </w:rPr>
        <w:t>(a)</w:t>
      </w:r>
      <w:r w:rsidRPr="00FC3C3B">
        <w:rPr>
          <w:noProof/>
        </w:rPr>
        <w:tab/>
      </w:r>
      <w:r w:rsidR="00D9569C" w:rsidRPr="00FC3C3B">
        <w:rPr>
          <w:noProof/>
          <w:lang w:val="en-IE"/>
        </w:rPr>
        <w:t xml:space="preserve">In paragraph 1, </w:t>
      </w:r>
      <w:r w:rsidR="00550165" w:rsidRPr="00FC3C3B">
        <w:rPr>
          <w:noProof/>
          <w:lang w:val="en-IE"/>
        </w:rPr>
        <w:t>the first subparagraph is replaced by the following:</w:t>
      </w:r>
    </w:p>
    <w:p w14:paraId="14A22DB0" w14:textId="77777777" w:rsidR="002C7991" w:rsidRPr="00FC3C3B" w:rsidRDefault="00550165" w:rsidP="009B1B7F">
      <w:pPr>
        <w:pStyle w:val="Text2"/>
        <w:rPr>
          <w:noProof/>
          <w:lang w:val="en-IE"/>
        </w:rPr>
      </w:pPr>
      <w:r w:rsidRPr="00FC3C3B">
        <w:rPr>
          <w:noProof/>
          <w:lang w:val="en-IE"/>
        </w:rPr>
        <w:t>‘The EU guarantee for the purposes of the EU compartment referred to in Article 9(1)</w:t>
      </w:r>
      <w:r w:rsidR="00D9569C" w:rsidRPr="00FC3C3B">
        <w:rPr>
          <w:noProof/>
          <w:lang w:val="en-IE"/>
        </w:rPr>
        <w:t>, point (a)</w:t>
      </w:r>
      <w:r w:rsidR="00D94A77" w:rsidRPr="00FC3C3B">
        <w:rPr>
          <w:noProof/>
          <w:lang w:val="en-IE"/>
        </w:rPr>
        <w:t>,</w:t>
      </w:r>
      <w:r w:rsidRPr="00FC3C3B">
        <w:rPr>
          <w:noProof/>
          <w:lang w:val="en-IE"/>
        </w:rPr>
        <w:t xml:space="preserve"> shall be EUR </w:t>
      </w:r>
      <w:r w:rsidR="00553A18" w:rsidRPr="008A3D63">
        <w:rPr>
          <w:b/>
          <w:noProof/>
          <w:lang w:val="en-IE"/>
        </w:rPr>
        <w:t>33</w:t>
      </w:r>
      <w:r w:rsidRPr="008A3D63">
        <w:rPr>
          <w:b/>
          <w:noProof/>
          <w:lang w:val="en-IE"/>
        </w:rPr>
        <w:t xml:space="preserve"> </w:t>
      </w:r>
      <w:r w:rsidR="00770913" w:rsidRPr="008A3D63">
        <w:rPr>
          <w:b/>
          <w:noProof/>
          <w:lang w:val="en-IE"/>
        </w:rPr>
        <w:t>652 310 0</w:t>
      </w:r>
      <w:r w:rsidR="00C07F42" w:rsidRPr="008A3D63">
        <w:rPr>
          <w:b/>
          <w:noProof/>
          <w:lang w:val="en-IE"/>
        </w:rPr>
        <w:t>73</w:t>
      </w:r>
      <w:r w:rsidRPr="00FC3C3B">
        <w:rPr>
          <w:noProof/>
          <w:lang w:val="en-IE"/>
        </w:rPr>
        <w:t xml:space="preserve"> in current prices. It shall be provisioned at the rate of 40 %. The amount referred to in Article 35(3)</w:t>
      </w:r>
      <w:r w:rsidR="00E729A3" w:rsidRPr="00FC3C3B">
        <w:rPr>
          <w:noProof/>
          <w:lang w:val="en-IE"/>
        </w:rPr>
        <w:t>, first subparagraph, point (a),</w:t>
      </w:r>
      <w:r w:rsidRPr="00FC3C3B">
        <w:rPr>
          <w:noProof/>
          <w:lang w:val="en-IE"/>
        </w:rPr>
        <w:t xml:space="preserve"> shall be also taken into account for contributing to the provisioning resulting from that provisioning rate.‘;</w:t>
      </w:r>
    </w:p>
    <w:p w14:paraId="2CBF65F9" w14:textId="77777777" w:rsidR="002C7991" w:rsidRPr="00FC3C3B" w:rsidRDefault="00323DD4" w:rsidP="00323DD4">
      <w:pPr>
        <w:pStyle w:val="Point1"/>
        <w:rPr>
          <w:noProof/>
          <w:lang w:val="en-IE"/>
        </w:rPr>
      </w:pPr>
      <w:r w:rsidRPr="00FC3C3B">
        <w:rPr>
          <w:noProof/>
        </w:rPr>
        <w:t>(b)</w:t>
      </w:r>
      <w:r w:rsidRPr="00FC3C3B">
        <w:rPr>
          <w:noProof/>
        </w:rPr>
        <w:tab/>
      </w:r>
      <w:r w:rsidR="00550165" w:rsidRPr="00FC3C3B">
        <w:rPr>
          <w:noProof/>
          <w:lang w:val="en-IE"/>
        </w:rPr>
        <w:t>paragraph 2</w:t>
      </w:r>
      <w:r w:rsidR="00FE77B8" w:rsidRPr="00FC3C3B">
        <w:rPr>
          <w:noProof/>
          <w:lang w:val="en-IE"/>
        </w:rPr>
        <w:t>, second subparagraph</w:t>
      </w:r>
      <w:r w:rsidR="00550165" w:rsidRPr="00FC3C3B">
        <w:rPr>
          <w:noProof/>
          <w:lang w:val="en-IE"/>
        </w:rPr>
        <w:t xml:space="preserve"> is replaced by the following:</w:t>
      </w:r>
    </w:p>
    <w:p w14:paraId="45B7BB4D" w14:textId="77777777" w:rsidR="002C7991" w:rsidRPr="00FC3C3B" w:rsidRDefault="00550165" w:rsidP="009B1B7F">
      <w:pPr>
        <w:pStyle w:val="Text2"/>
        <w:rPr>
          <w:noProof/>
          <w:lang w:val="en-IE"/>
        </w:rPr>
      </w:pPr>
      <w:r w:rsidRPr="00FC3C3B">
        <w:rPr>
          <w:noProof/>
          <w:lang w:val="en-IE"/>
        </w:rPr>
        <w:t xml:space="preserve">‘An amount of EUR </w:t>
      </w:r>
      <w:r w:rsidR="00D026A5" w:rsidRPr="008A3D63">
        <w:rPr>
          <w:b/>
          <w:noProof/>
          <w:lang w:val="en-IE"/>
        </w:rPr>
        <w:t>18 827 310 073</w:t>
      </w:r>
      <w:r w:rsidRPr="00FC3C3B">
        <w:rPr>
          <w:noProof/>
          <w:lang w:val="en-IE"/>
        </w:rPr>
        <w:t xml:space="preserve"> in current prices of the amount referred to in the first subparagraph of paragraph 1 of this Article shall be allocated for the objectives referred to in Article 3(2).’; </w:t>
      </w:r>
    </w:p>
    <w:p w14:paraId="34995B81" w14:textId="77777777" w:rsidR="002C7991" w:rsidRPr="00FC3C3B" w:rsidRDefault="00323DD4" w:rsidP="00323DD4">
      <w:pPr>
        <w:pStyle w:val="Point1"/>
        <w:rPr>
          <w:noProof/>
          <w:lang w:val="en-IE"/>
        </w:rPr>
      </w:pPr>
      <w:r w:rsidRPr="00FC3C3B">
        <w:rPr>
          <w:noProof/>
        </w:rPr>
        <w:t>(c)</w:t>
      </w:r>
      <w:r w:rsidRPr="00FC3C3B">
        <w:rPr>
          <w:noProof/>
        </w:rPr>
        <w:tab/>
      </w:r>
      <w:r w:rsidR="00550165" w:rsidRPr="00FC3C3B">
        <w:rPr>
          <w:noProof/>
          <w:lang w:val="en-IE"/>
        </w:rPr>
        <w:t>the fourth subparagraph of paragraph 2 is replaced by the following:</w:t>
      </w:r>
    </w:p>
    <w:p w14:paraId="7A58383B" w14:textId="77777777" w:rsidR="002C7991" w:rsidRPr="00FC3C3B" w:rsidRDefault="00550165" w:rsidP="009B1B7F">
      <w:pPr>
        <w:pStyle w:val="Text2"/>
        <w:rPr>
          <w:noProof/>
          <w:lang w:val="en-IE"/>
        </w:rPr>
      </w:pPr>
      <w:r w:rsidRPr="00FC3C3B">
        <w:rPr>
          <w:noProof/>
          <w:lang w:val="en-IE"/>
        </w:rPr>
        <w:t xml:space="preserve">‘The indicative distribution of the EU guarantee for the purposes of the EU compartment is set out in Annex I to this Regulation. Where appropriate, the Commission may depart from the amounts referred to in Annex I by up to 15 % for each objective referred to in </w:t>
      </w:r>
      <w:r w:rsidR="00DE3A76" w:rsidRPr="00FC3C3B">
        <w:rPr>
          <w:noProof/>
          <w:lang w:val="en-IE"/>
        </w:rPr>
        <w:t xml:space="preserve">Article 3(2), </w:t>
      </w:r>
      <w:r w:rsidRPr="00FC3C3B">
        <w:rPr>
          <w:noProof/>
          <w:lang w:val="en-IE"/>
        </w:rPr>
        <w:t xml:space="preserve">points (a) to </w:t>
      </w:r>
      <w:r w:rsidRPr="00FC3C3B">
        <w:rPr>
          <w:b/>
          <w:bCs/>
          <w:noProof/>
          <w:lang w:val="en-IE"/>
        </w:rPr>
        <w:t>(e)</w:t>
      </w:r>
      <w:r w:rsidRPr="00FC3C3B">
        <w:rPr>
          <w:noProof/>
          <w:lang w:val="en-IE"/>
        </w:rPr>
        <w:t>. The Commission shall inform the European Parliament and the Council of any such departure.’</w:t>
      </w:r>
    </w:p>
    <w:p w14:paraId="25721D81" w14:textId="77777777" w:rsidR="002C7991" w:rsidRPr="00FC3C3B" w:rsidRDefault="00323DD4" w:rsidP="00323DD4">
      <w:pPr>
        <w:pStyle w:val="Point0"/>
        <w:rPr>
          <w:noProof/>
          <w:lang w:val="en-IE"/>
        </w:rPr>
      </w:pPr>
      <w:r w:rsidRPr="00FC3C3B">
        <w:rPr>
          <w:noProof/>
        </w:rPr>
        <w:t>(3)</w:t>
      </w:r>
      <w:r w:rsidRPr="00FC3C3B">
        <w:rPr>
          <w:noProof/>
        </w:rPr>
        <w:tab/>
      </w:r>
      <w:r w:rsidR="00DE3A76" w:rsidRPr="00FC3C3B">
        <w:rPr>
          <w:noProof/>
          <w:lang w:val="en-IE"/>
        </w:rPr>
        <w:t>In Article 7(3)</w:t>
      </w:r>
      <w:r w:rsidR="00CC73AD" w:rsidRPr="00FC3C3B">
        <w:rPr>
          <w:noProof/>
          <w:lang w:val="en-IE"/>
        </w:rPr>
        <w:t>, a</w:t>
      </w:r>
      <w:r w:rsidR="00550165" w:rsidRPr="00FC3C3B">
        <w:rPr>
          <w:noProof/>
          <w:lang w:val="en-IE"/>
        </w:rPr>
        <w:t xml:space="preserve"> second subparagraph is added:</w:t>
      </w:r>
    </w:p>
    <w:p w14:paraId="25E2B143" w14:textId="77777777" w:rsidR="002C7991" w:rsidRPr="00FC3C3B" w:rsidRDefault="00550165" w:rsidP="009B1B7F">
      <w:pPr>
        <w:pStyle w:val="Text1"/>
        <w:rPr>
          <w:noProof/>
          <w:lang w:val="en-IE"/>
        </w:rPr>
      </w:pPr>
      <w:r w:rsidRPr="00FC3C3B">
        <w:rPr>
          <w:noProof/>
          <w:lang w:val="en-IE"/>
        </w:rPr>
        <w:t xml:space="preserve">‘By </w:t>
      </w:r>
      <w:r w:rsidR="00D63072" w:rsidRPr="00FC3C3B">
        <w:rPr>
          <w:noProof/>
          <w:lang w:val="en-IE"/>
        </w:rPr>
        <w:t xml:space="preserve">way of </w:t>
      </w:r>
      <w:r w:rsidRPr="00FC3C3B">
        <w:rPr>
          <w:noProof/>
          <w:lang w:val="en-IE"/>
        </w:rPr>
        <w:t xml:space="preserve">derogation </w:t>
      </w:r>
      <w:r w:rsidR="00D63072" w:rsidRPr="00FC3C3B">
        <w:rPr>
          <w:noProof/>
          <w:lang w:val="en-IE"/>
        </w:rPr>
        <w:t xml:space="preserve">from </w:t>
      </w:r>
      <w:r w:rsidRPr="00FC3C3B">
        <w:rPr>
          <w:noProof/>
          <w:lang w:val="en-IE"/>
        </w:rPr>
        <w:t>the first subparagraph, when support from the financial instruments is combined in a financial product in a subordinated position to the EU guarantee under this Regulation and/or EU guarantee established by Regulation (EU) 2015/1017, the losses, revenues and repayments from financial products as referred to in paragraph 1, as well as potential recoveries, may also be attributed on a non pro</w:t>
      </w:r>
      <w:r w:rsidR="00F10F54" w:rsidRPr="00FC3C3B">
        <w:rPr>
          <w:noProof/>
          <w:lang w:val="en-IE"/>
        </w:rPr>
        <w:t xml:space="preserve"> </w:t>
      </w:r>
      <w:r w:rsidRPr="00FC3C3B">
        <w:rPr>
          <w:noProof/>
          <w:lang w:val="en-IE"/>
        </w:rPr>
        <w:t>rata basis</w:t>
      </w:r>
      <w:r w:rsidR="00F10F54" w:rsidRPr="00FC3C3B">
        <w:rPr>
          <w:noProof/>
          <w:lang w:val="en-IE"/>
        </w:rPr>
        <w:t xml:space="preserve"> between</w:t>
      </w:r>
      <w:r w:rsidRPr="00FC3C3B">
        <w:rPr>
          <w:noProof/>
          <w:lang w:val="en-IE"/>
        </w:rPr>
        <w:t xml:space="preserve"> the financial instruments </w:t>
      </w:r>
      <w:r w:rsidR="00F10F54" w:rsidRPr="00FC3C3B">
        <w:rPr>
          <w:noProof/>
          <w:lang w:val="en-IE"/>
        </w:rPr>
        <w:t>and the EU guarantee under this Regulation and/or EU guarantee established by Regulation (EU) 2015/1017</w:t>
      </w:r>
      <w:r w:rsidRPr="00FC3C3B">
        <w:rPr>
          <w:noProof/>
          <w:lang w:val="en-IE"/>
        </w:rPr>
        <w:t>.’</w:t>
      </w:r>
    </w:p>
    <w:p w14:paraId="04B71130" w14:textId="77777777" w:rsidR="002C7991" w:rsidRPr="00FC3C3B" w:rsidRDefault="00323DD4" w:rsidP="00323DD4">
      <w:pPr>
        <w:pStyle w:val="Point0"/>
        <w:rPr>
          <w:noProof/>
          <w:lang w:val="en-IE"/>
        </w:rPr>
      </w:pPr>
      <w:r w:rsidRPr="00FC3C3B">
        <w:rPr>
          <w:noProof/>
        </w:rPr>
        <w:t>(4)</w:t>
      </w:r>
      <w:r w:rsidRPr="00FC3C3B">
        <w:rPr>
          <w:noProof/>
        </w:rPr>
        <w:tab/>
      </w:r>
      <w:r w:rsidR="00550165" w:rsidRPr="00FC3C3B">
        <w:rPr>
          <w:noProof/>
          <w:lang w:val="en-IE"/>
        </w:rPr>
        <w:t>Article 8 is amended as follows:</w:t>
      </w:r>
    </w:p>
    <w:p w14:paraId="7E1B1A9A" w14:textId="77777777" w:rsidR="002C7991" w:rsidRPr="00FC3C3B" w:rsidRDefault="00323DD4" w:rsidP="00323DD4">
      <w:pPr>
        <w:pStyle w:val="Point1"/>
        <w:rPr>
          <w:noProof/>
          <w:lang w:val="en-IE"/>
        </w:rPr>
      </w:pPr>
      <w:r w:rsidRPr="00FC3C3B">
        <w:rPr>
          <w:noProof/>
        </w:rPr>
        <w:t>(a)</w:t>
      </w:r>
      <w:r w:rsidRPr="00FC3C3B">
        <w:rPr>
          <w:noProof/>
        </w:rPr>
        <w:tab/>
      </w:r>
      <w:r w:rsidR="00CC73AD" w:rsidRPr="00FC3C3B">
        <w:rPr>
          <w:noProof/>
          <w:lang w:val="en-IE"/>
        </w:rPr>
        <w:t xml:space="preserve">In paragraph 1, </w:t>
      </w:r>
      <w:r w:rsidR="00550165" w:rsidRPr="00FC3C3B">
        <w:rPr>
          <w:noProof/>
          <w:lang w:val="en-IE"/>
        </w:rPr>
        <w:t xml:space="preserve">the introductory </w:t>
      </w:r>
      <w:r w:rsidR="00CC73AD" w:rsidRPr="00FC3C3B">
        <w:rPr>
          <w:noProof/>
          <w:lang w:val="en-IE"/>
        </w:rPr>
        <w:t xml:space="preserve">wording </w:t>
      </w:r>
      <w:r w:rsidR="00550165" w:rsidRPr="00FC3C3B">
        <w:rPr>
          <w:noProof/>
          <w:lang w:val="en-IE"/>
        </w:rPr>
        <w:t>is replaced by the following:</w:t>
      </w:r>
    </w:p>
    <w:p w14:paraId="70D880AD" w14:textId="77777777" w:rsidR="002C7991" w:rsidRPr="00FC3C3B" w:rsidRDefault="00550165" w:rsidP="009B1B7F">
      <w:pPr>
        <w:pStyle w:val="Text2"/>
        <w:rPr>
          <w:noProof/>
          <w:lang w:val="en-IE"/>
        </w:rPr>
      </w:pPr>
      <w:r w:rsidRPr="00FC3C3B">
        <w:rPr>
          <w:noProof/>
          <w:lang w:val="en-IE"/>
        </w:rPr>
        <w:t>‘1.</w:t>
      </w:r>
      <w:r w:rsidRPr="00FC3C3B">
        <w:rPr>
          <w:noProof/>
          <w:lang w:val="en-IE"/>
        </w:rPr>
        <w:tab/>
        <w:t xml:space="preserve">The InvestEU Fund shall operate through the following </w:t>
      </w:r>
      <w:r w:rsidRPr="00FC3C3B">
        <w:rPr>
          <w:b/>
          <w:noProof/>
          <w:lang w:val="en-IE"/>
        </w:rPr>
        <w:t>five</w:t>
      </w:r>
      <w:r w:rsidRPr="00FC3C3B">
        <w:rPr>
          <w:b/>
          <w:bCs/>
          <w:noProof/>
          <w:lang w:val="en-IE"/>
        </w:rPr>
        <w:t xml:space="preserve"> </w:t>
      </w:r>
      <w:r w:rsidRPr="00FC3C3B">
        <w:rPr>
          <w:noProof/>
          <w:lang w:val="en-IE"/>
        </w:rPr>
        <w:t>policy windows that shall address market failures or suboptimal investment situations with their specific scope:’;</w:t>
      </w:r>
    </w:p>
    <w:p w14:paraId="3CCD5B11" w14:textId="77777777" w:rsidR="002C7991" w:rsidRPr="00FC3C3B" w:rsidRDefault="00323DD4" w:rsidP="00323DD4">
      <w:pPr>
        <w:pStyle w:val="Point1"/>
        <w:rPr>
          <w:noProof/>
          <w:lang w:val="en-IE"/>
        </w:rPr>
      </w:pPr>
      <w:r w:rsidRPr="00FC3C3B">
        <w:rPr>
          <w:noProof/>
        </w:rPr>
        <w:t>(b)</w:t>
      </w:r>
      <w:r w:rsidRPr="00FC3C3B">
        <w:rPr>
          <w:noProof/>
        </w:rPr>
        <w:tab/>
      </w:r>
      <w:r w:rsidR="00CC73AD" w:rsidRPr="00FC3C3B">
        <w:rPr>
          <w:noProof/>
          <w:lang w:val="en-IE"/>
        </w:rPr>
        <w:t xml:space="preserve">In paragraph 1, the following </w:t>
      </w:r>
      <w:r w:rsidR="00550165" w:rsidRPr="00FC3C3B">
        <w:rPr>
          <w:noProof/>
          <w:lang w:val="en-IE"/>
        </w:rPr>
        <w:t>point (e) is added:</w:t>
      </w:r>
    </w:p>
    <w:p w14:paraId="2D2B7C82" w14:textId="77777777" w:rsidR="002C7991" w:rsidRPr="00FC3C3B" w:rsidRDefault="00550165" w:rsidP="009B1B7F">
      <w:pPr>
        <w:pStyle w:val="Text2"/>
        <w:rPr>
          <w:noProof/>
        </w:rPr>
      </w:pPr>
      <w:r w:rsidRPr="00FC3C3B">
        <w:rPr>
          <w:noProof/>
          <w:lang w:val="en-IE"/>
        </w:rPr>
        <w:t xml:space="preserve">‘(e) </w:t>
      </w:r>
      <w:r w:rsidRPr="00FC3C3B">
        <w:rPr>
          <w:noProof/>
        </w:rPr>
        <w:tab/>
      </w:r>
      <w:r w:rsidRPr="00FC3C3B">
        <w:rPr>
          <w:noProof/>
          <w:lang w:val="en-IE"/>
        </w:rPr>
        <w:t xml:space="preserve">a </w:t>
      </w:r>
      <w:r w:rsidR="00526A94" w:rsidRPr="00FC3C3B">
        <w:rPr>
          <w:noProof/>
        </w:rPr>
        <w:t>STEP</w:t>
      </w:r>
      <w:r w:rsidRPr="00FC3C3B">
        <w:rPr>
          <w:noProof/>
          <w:lang w:val="en-IE"/>
        </w:rPr>
        <w:t xml:space="preserve"> policy window, which comprises investments </w:t>
      </w:r>
      <w:r w:rsidRPr="00FC3C3B">
        <w:rPr>
          <w:noProof/>
        </w:rPr>
        <w:t xml:space="preserve">contributing to </w:t>
      </w:r>
      <w:r w:rsidR="00F56A99" w:rsidRPr="00FC3C3B">
        <w:rPr>
          <w:noProof/>
        </w:rPr>
        <w:t xml:space="preserve">the </w:t>
      </w:r>
      <w:r w:rsidR="00072A30" w:rsidRPr="00FC3C3B">
        <w:rPr>
          <w:noProof/>
        </w:rPr>
        <w:t xml:space="preserve"> </w:t>
      </w:r>
      <w:r w:rsidR="00526A94" w:rsidRPr="00FC3C3B">
        <w:rPr>
          <w:noProof/>
        </w:rPr>
        <w:t>STEP</w:t>
      </w:r>
      <w:r w:rsidR="00072A30" w:rsidRPr="00FC3C3B">
        <w:rPr>
          <w:noProof/>
        </w:rPr>
        <w:t xml:space="preserve"> objectives referred to in Article 2 of </w:t>
      </w:r>
      <w:r w:rsidR="003145F1" w:rsidRPr="00FC3C3B">
        <w:rPr>
          <w:noProof/>
        </w:rPr>
        <w:t>Regulation .../...</w:t>
      </w:r>
      <w:r w:rsidR="00D532BB" w:rsidRPr="00FC3C3B">
        <w:rPr>
          <w:noProof/>
        </w:rPr>
        <w:t xml:space="preserve"> </w:t>
      </w:r>
      <w:r w:rsidR="003145F1" w:rsidRPr="00FC3C3B">
        <w:rPr>
          <w:noProof/>
        </w:rPr>
        <w:t>[</w:t>
      </w:r>
      <w:r w:rsidR="00526A94" w:rsidRPr="00FC3C3B">
        <w:rPr>
          <w:noProof/>
        </w:rPr>
        <w:t>STEP</w:t>
      </w:r>
      <w:r w:rsidR="003145F1" w:rsidRPr="00FC3C3B">
        <w:rPr>
          <w:noProof/>
        </w:rPr>
        <w:t xml:space="preserve"> Regulation]</w:t>
      </w:r>
      <w:r w:rsidRPr="00FC3C3B">
        <w:rPr>
          <w:noProof/>
        </w:rPr>
        <w:t>’.</w:t>
      </w:r>
    </w:p>
    <w:p w14:paraId="78545F30" w14:textId="77777777" w:rsidR="002C7991" w:rsidRPr="00FC3C3B" w:rsidRDefault="00323DD4" w:rsidP="006E37DD">
      <w:pPr>
        <w:pStyle w:val="Point0"/>
        <w:rPr>
          <w:noProof/>
          <w:lang w:val="en-IE"/>
        </w:rPr>
      </w:pPr>
      <w:r w:rsidRPr="00FC3C3B">
        <w:rPr>
          <w:noProof/>
        </w:rPr>
        <w:t>(5)</w:t>
      </w:r>
      <w:r w:rsidRPr="00FC3C3B">
        <w:rPr>
          <w:noProof/>
        </w:rPr>
        <w:tab/>
      </w:r>
      <w:r w:rsidR="00A62091" w:rsidRPr="00FC3C3B">
        <w:rPr>
          <w:noProof/>
        </w:rPr>
        <w:t xml:space="preserve">In </w:t>
      </w:r>
      <w:r w:rsidR="00550165" w:rsidRPr="00FC3C3B">
        <w:rPr>
          <w:noProof/>
          <w:lang w:val="en-IE"/>
        </w:rPr>
        <w:t>Article 10</w:t>
      </w:r>
      <w:r w:rsidR="00A62091" w:rsidRPr="00FC3C3B">
        <w:rPr>
          <w:noProof/>
          <w:lang w:val="en-IE"/>
        </w:rPr>
        <w:t xml:space="preserve">, </w:t>
      </w:r>
      <w:r w:rsidR="00550165" w:rsidRPr="00FC3C3B">
        <w:rPr>
          <w:noProof/>
          <w:lang w:val="en-IE"/>
        </w:rPr>
        <w:t xml:space="preserve"> the second subparagraph of paragraph 4 is replaced by the following:</w:t>
      </w:r>
    </w:p>
    <w:p w14:paraId="57D4BE14" w14:textId="77777777" w:rsidR="002C7991" w:rsidRPr="00FC3C3B" w:rsidRDefault="00550165" w:rsidP="006E37DD">
      <w:pPr>
        <w:pStyle w:val="Text2"/>
        <w:ind w:left="840"/>
        <w:rPr>
          <w:noProof/>
          <w:lang w:val="en-IE"/>
        </w:rPr>
      </w:pPr>
      <w:r w:rsidRPr="00FC3C3B">
        <w:rPr>
          <w:noProof/>
          <w:lang w:val="en-IE"/>
        </w:rPr>
        <w:t xml:space="preserve">‘Where no guarantee agreement has been concluded within </w:t>
      </w:r>
      <w:r w:rsidR="00CC73AD" w:rsidRPr="00FC3C3B">
        <w:rPr>
          <w:b/>
          <w:noProof/>
          <w:lang w:val="en-IE"/>
        </w:rPr>
        <w:t>12</w:t>
      </w:r>
      <w:r w:rsidRPr="00FC3C3B">
        <w:rPr>
          <w:noProof/>
          <w:lang w:val="en-IE"/>
        </w:rPr>
        <w:t xml:space="preserve"> months from the conclusion of the contribution agreement, the contribution agreement shall be terminated or prolonged by mutual agreement. Where the amount of a contribution agreement has not been fully committed under one or more guarantee agreements within twelve months from the conclusion of the contribution agreement, that amount shall be amended accordingly. The unused amount of provisioning attributable to amounts allocated by Member States pursuant to the provisions on the use of the ERDF, the ESF+, the Cohesion Fund and the EMFAF delivered through the InvestEU Programme laid down in Regulation</w:t>
      </w:r>
      <w:r w:rsidR="00F0167E" w:rsidRPr="00FC3C3B">
        <w:rPr>
          <w:noProof/>
          <w:lang w:val="en-IE"/>
        </w:rPr>
        <w:t xml:space="preserve"> (EU)</w:t>
      </w:r>
      <w:r w:rsidRPr="00FC3C3B">
        <w:rPr>
          <w:noProof/>
          <w:lang w:val="en-IE"/>
        </w:rPr>
        <w:t xml:space="preserve"> 2021</w:t>
      </w:r>
      <w:r w:rsidR="00F0167E" w:rsidRPr="00FC3C3B">
        <w:rPr>
          <w:noProof/>
          <w:lang w:val="en-IE"/>
        </w:rPr>
        <w:t>/1060</w:t>
      </w:r>
      <w:r w:rsidRPr="00FC3C3B">
        <w:rPr>
          <w:noProof/>
          <w:lang w:val="en-IE"/>
        </w:rPr>
        <w:t xml:space="preserve"> or to the provisions on the use of the EAFRD delivered through the InvestEU Programme laid down in the CAP Strategic Plans Regulation shall be re-used in accordance with those </w:t>
      </w:r>
      <w:r w:rsidR="00AA027C" w:rsidRPr="00FC3C3B">
        <w:rPr>
          <w:noProof/>
          <w:lang w:val="en-IE"/>
        </w:rPr>
        <w:t xml:space="preserve">respective </w:t>
      </w:r>
      <w:r w:rsidRPr="00FC3C3B">
        <w:rPr>
          <w:noProof/>
          <w:lang w:val="en-IE"/>
        </w:rPr>
        <w:t>Regulations. The unused amount of provisioning attributable to amounts allocated by a Member State under Article 4(1)</w:t>
      </w:r>
      <w:r w:rsidR="00AA027C" w:rsidRPr="00FC3C3B">
        <w:rPr>
          <w:noProof/>
          <w:lang w:val="en-IE"/>
        </w:rPr>
        <w:t>, third subparagraph,</w:t>
      </w:r>
      <w:r w:rsidRPr="00FC3C3B">
        <w:rPr>
          <w:noProof/>
          <w:lang w:val="en-IE"/>
        </w:rPr>
        <w:t xml:space="preserve"> of this Regulation shall be paid back to the Member State.’</w:t>
      </w:r>
    </w:p>
    <w:p w14:paraId="178CF908" w14:textId="77777777" w:rsidR="002C7991" w:rsidRPr="00FC3C3B" w:rsidRDefault="00323DD4" w:rsidP="00323DD4">
      <w:pPr>
        <w:pStyle w:val="Point0"/>
        <w:rPr>
          <w:noProof/>
          <w:lang w:val="en-IE"/>
        </w:rPr>
      </w:pPr>
      <w:r w:rsidRPr="00FC3C3B">
        <w:rPr>
          <w:noProof/>
        </w:rPr>
        <w:t>(6)</w:t>
      </w:r>
      <w:r w:rsidRPr="00FC3C3B">
        <w:rPr>
          <w:noProof/>
        </w:rPr>
        <w:tab/>
      </w:r>
      <w:r w:rsidR="00550165" w:rsidRPr="00FC3C3B">
        <w:rPr>
          <w:noProof/>
          <w:lang w:val="en-IE"/>
        </w:rPr>
        <w:t>Article 13</w:t>
      </w:r>
      <w:r w:rsidR="00DD6644" w:rsidRPr="00FC3C3B">
        <w:rPr>
          <w:noProof/>
          <w:lang w:val="en-IE"/>
        </w:rPr>
        <w:t>(4)</w:t>
      </w:r>
      <w:r w:rsidR="00550165" w:rsidRPr="00FC3C3B">
        <w:rPr>
          <w:noProof/>
          <w:lang w:val="en-IE"/>
        </w:rPr>
        <w:t xml:space="preserve"> is </w:t>
      </w:r>
      <w:r w:rsidR="0050573E" w:rsidRPr="00FC3C3B">
        <w:rPr>
          <w:noProof/>
          <w:lang w:val="en-IE"/>
        </w:rPr>
        <w:t>replaced by the following</w:t>
      </w:r>
      <w:r w:rsidR="00550165" w:rsidRPr="00FC3C3B">
        <w:rPr>
          <w:noProof/>
          <w:lang w:val="en-IE"/>
        </w:rPr>
        <w:t xml:space="preserve">: </w:t>
      </w:r>
    </w:p>
    <w:p w14:paraId="163A73BD" w14:textId="77777777" w:rsidR="0084424A" w:rsidRPr="00FC3C3B" w:rsidRDefault="00550165" w:rsidP="001D3939">
      <w:pPr>
        <w:pStyle w:val="Text1"/>
        <w:rPr>
          <w:noProof/>
          <w:lang w:val="en-IE"/>
        </w:rPr>
      </w:pPr>
      <w:r w:rsidRPr="00FC3C3B">
        <w:rPr>
          <w:noProof/>
          <w:lang w:val="en-IE"/>
        </w:rPr>
        <w:t xml:space="preserve">‘4. </w:t>
      </w:r>
      <w:r w:rsidR="00EA3D2D" w:rsidRPr="006E37DD">
        <w:rPr>
          <w:b/>
          <w:bCs/>
          <w:noProof/>
          <w:lang w:val="en-IE"/>
        </w:rPr>
        <w:t>At least</w:t>
      </w:r>
      <w:r w:rsidRPr="00FC3C3B">
        <w:rPr>
          <w:noProof/>
          <w:lang w:val="en-IE"/>
        </w:rPr>
        <w:t xml:space="preserve"> 75 % of the EU guarantee under the EU compartment as referred to in Article 4(1), </w:t>
      </w:r>
      <w:r w:rsidR="005A1C70" w:rsidRPr="00FC3C3B">
        <w:rPr>
          <w:noProof/>
          <w:lang w:val="en-IE"/>
        </w:rPr>
        <w:t>first subparagraph,</w:t>
      </w:r>
      <w:r w:rsidRPr="00FC3C3B">
        <w:rPr>
          <w:noProof/>
          <w:lang w:val="en-IE"/>
        </w:rPr>
        <w:t xml:space="preserve"> amounting to </w:t>
      </w:r>
      <w:r w:rsidR="001C2574" w:rsidRPr="006E37DD">
        <w:rPr>
          <w:b/>
          <w:bCs/>
          <w:noProof/>
          <w:lang w:val="en-IE"/>
        </w:rPr>
        <w:t>at least</w:t>
      </w:r>
      <w:r w:rsidR="001C2574" w:rsidRPr="00FC3C3B">
        <w:rPr>
          <w:noProof/>
          <w:lang w:val="en-IE"/>
        </w:rPr>
        <w:t xml:space="preserve"> </w:t>
      </w:r>
      <w:r w:rsidRPr="00FC3C3B">
        <w:rPr>
          <w:noProof/>
          <w:lang w:val="en-IE"/>
        </w:rPr>
        <w:t xml:space="preserve">EUR </w:t>
      </w:r>
      <w:r w:rsidR="0039090E" w:rsidRPr="00107B8C">
        <w:rPr>
          <w:b/>
          <w:noProof/>
          <w:lang w:val="en-IE"/>
        </w:rPr>
        <w:t>25 239 232 554</w:t>
      </w:r>
      <w:r w:rsidRPr="00FC3C3B">
        <w:rPr>
          <w:noProof/>
          <w:lang w:val="en-IE"/>
        </w:rPr>
        <w:t>, shall be granted to the EIB Group.</w:t>
      </w:r>
      <w:r w:rsidR="00692817">
        <w:rPr>
          <w:noProof/>
          <w:lang w:val="en-IE"/>
        </w:rPr>
        <w:t xml:space="preserve"> </w:t>
      </w:r>
      <w:r w:rsidRPr="00FC3C3B" w:rsidDel="0084424A">
        <w:rPr>
          <w:noProof/>
          <w:lang w:val="en-IE"/>
        </w:rPr>
        <w:t xml:space="preserve">The EIB Group shall provide an aggregate financial contribution amounting to </w:t>
      </w:r>
      <w:r w:rsidR="00671A0E" w:rsidRPr="006E37DD">
        <w:rPr>
          <w:b/>
          <w:bCs/>
          <w:noProof/>
          <w:lang w:val="en-IE"/>
        </w:rPr>
        <w:t>at least</w:t>
      </w:r>
      <w:r w:rsidR="00671A0E" w:rsidRPr="00FC3C3B">
        <w:rPr>
          <w:noProof/>
          <w:lang w:val="en-IE"/>
        </w:rPr>
        <w:t xml:space="preserve"> </w:t>
      </w:r>
      <w:r w:rsidRPr="00FC3C3B" w:rsidDel="0084424A">
        <w:rPr>
          <w:noProof/>
          <w:lang w:val="en-IE"/>
        </w:rPr>
        <w:t xml:space="preserve">EUR </w:t>
      </w:r>
      <w:r w:rsidR="007D3DBB">
        <w:rPr>
          <w:b/>
          <w:noProof/>
          <w:lang w:val="en-IE"/>
        </w:rPr>
        <w:t>6</w:t>
      </w:r>
      <w:r w:rsidR="0025200C">
        <w:rPr>
          <w:b/>
          <w:noProof/>
          <w:lang w:val="en-IE"/>
        </w:rPr>
        <w:t> </w:t>
      </w:r>
      <w:r w:rsidR="00A565D5">
        <w:rPr>
          <w:b/>
          <w:noProof/>
          <w:lang w:val="en-IE"/>
        </w:rPr>
        <w:t>309</w:t>
      </w:r>
      <w:r w:rsidR="0025200C">
        <w:rPr>
          <w:b/>
          <w:noProof/>
          <w:lang w:val="en-IE"/>
        </w:rPr>
        <w:t> 808 13</w:t>
      </w:r>
      <w:r w:rsidR="00107B8C">
        <w:rPr>
          <w:b/>
          <w:noProof/>
          <w:lang w:val="en-IE"/>
        </w:rPr>
        <w:t>8</w:t>
      </w:r>
      <w:r w:rsidRPr="00FC3C3B" w:rsidDel="0084424A">
        <w:rPr>
          <w:noProof/>
          <w:lang w:val="en-IE"/>
        </w:rPr>
        <w:t>. That contribution shall be provided in a manner and form that facilitates the implementation of the InvestEU Fund and the achievement of the objectives set out in Article 15(2).</w:t>
      </w:r>
      <w:r w:rsidRPr="00FC3C3B">
        <w:rPr>
          <w:noProof/>
          <w:lang w:val="en-IE"/>
        </w:rPr>
        <w:t>’</w:t>
      </w:r>
      <w:r w:rsidRPr="00FC3C3B" w:rsidDel="00567986">
        <w:rPr>
          <w:noProof/>
          <w:lang w:val="en-IE"/>
        </w:rPr>
        <w:t>;</w:t>
      </w:r>
    </w:p>
    <w:p w14:paraId="5B76C63E" w14:textId="77777777" w:rsidR="001E4F9F" w:rsidRPr="00FC3C3B" w:rsidRDefault="00323DD4" w:rsidP="00323DD4">
      <w:pPr>
        <w:pStyle w:val="Point0"/>
        <w:rPr>
          <w:noProof/>
          <w:lang w:val="en-IE"/>
        </w:rPr>
      </w:pPr>
      <w:r w:rsidRPr="00FC3C3B">
        <w:rPr>
          <w:noProof/>
        </w:rPr>
        <w:t>(7)</w:t>
      </w:r>
      <w:r w:rsidRPr="00FC3C3B">
        <w:rPr>
          <w:noProof/>
        </w:rPr>
        <w:tab/>
      </w:r>
      <w:r w:rsidR="005A1C70" w:rsidRPr="00FC3C3B">
        <w:rPr>
          <w:noProof/>
          <w:lang w:val="en-IE"/>
        </w:rPr>
        <w:t>In Article 23, the following p</w:t>
      </w:r>
      <w:r w:rsidR="000A353D" w:rsidRPr="00FC3C3B">
        <w:rPr>
          <w:noProof/>
          <w:lang w:val="en-IE"/>
        </w:rPr>
        <w:t xml:space="preserve">aragraph </w:t>
      </w:r>
      <w:r w:rsidR="00DE1B81" w:rsidRPr="00FC3C3B">
        <w:rPr>
          <w:noProof/>
          <w:lang w:val="en-IE"/>
        </w:rPr>
        <w:t>3</w:t>
      </w:r>
      <w:r w:rsidR="000A353D" w:rsidRPr="00FC3C3B">
        <w:rPr>
          <w:noProof/>
          <w:lang w:val="en-IE"/>
        </w:rPr>
        <w:t xml:space="preserve"> is added</w:t>
      </w:r>
      <w:r w:rsidR="002E04F8" w:rsidRPr="00FC3C3B">
        <w:rPr>
          <w:noProof/>
          <w:lang w:val="en-IE"/>
        </w:rPr>
        <w:t>:</w:t>
      </w:r>
    </w:p>
    <w:p w14:paraId="76A01548" w14:textId="77777777" w:rsidR="002E04F8" w:rsidRPr="00FC3C3B" w:rsidRDefault="00673F94" w:rsidP="009B1B7F">
      <w:pPr>
        <w:pStyle w:val="Text1"/>
        <w:rPr>
          <w:noProof/>
          <w:lang w:val="en-IE"/>
        </w:rPr>
      </w:pPr>
      <w:r w:rsidRPr="00FC3C3B">
        <w:rPr>
          <w:noProof/>
          <w:lang w:val="en-IE"/>
        </w:rPr>
        <w:t>‘3.</w:t>
      </w:r>
      <w:r w:rsidR="008948F7" w:rsidRPr="00FC3C3B">
        <w:rPr>
          <w:noProof/>
          <w:lang w:val="en-IE"/>
        </w:rPr>
        <w:t xml:space="preserve"> In the context of the procedures referred to in paragraphs 1 and 2</w:t>
      </w:r>
      <w:r w:rsidR="005A1C70" w:rsidRPr="00FC3C3B">
        <w:rPr>
          <w:noProof/>
          <w:lang w:val="en-IE"/>
        </w:rPr>
        <w:t xml:space="preserve"> of this Article</w:t>
      </w:r>
      <w:r w:rsidR="008948F7" w:rsidRPr="00FC3C3B">
        <w:rPr>
          <w:noProof/>
          <w:lang w:val="en-IE"/>
        </w:rPr>
        <w:t xml:space="preserve">, the Commission shall take into </w:t>
      </w:r>
      <w:r w:rsidR="008B1A5F" w:rsidRPr="00FC3C3B">
        <w:rPr>
          <w:noProof/>
          <w:lang w:val="en-IE"/>
        </w:rPr>
        <w:t xml:space="preserve">account any </w:t>
      </w:r>
      <w:r w:rsidR="00A2498C" w:rsidRPr="00FC3C3B">
        <w:rPr>
          <w:noProof/>
          <w:lang w:val="en-IE"/>
        </w:rPr>
        <w:t xml:space="preserve">Sovereignty Seal awarded under Article 4 of </w:t>
      </w:r>
      <w:r w:rsidR="00EC1DD2" w:rsidRPr="00FC3C3B">
        <w:rPr>
          <w:noProof/>
        </w:rPr>
        <w:t>Regulation .../... [</w:t>
      </w:r>
      <w:r w:rsidR="00526A94" w:rsidRPr="00FC3C3B">
        <w:rPr>
          <w:noProof/>
        </w:rPr>
        <w:t>STEP</w:t>
      </w:r>
      <w:r w:rsidR="00EC1DD2" w:rsidRPr="00FC3C3B">
        <w:rPr>
          <w:noProof/>
        </w:rPr>
        <w:t xml:space="preserve"> Regulation]</w:t>
      </w:r>
      <w:r w:rsidR="008B1A5F" w:rsidRPr="00FC3C3B">
        <w:rPr>
          <w:noProof/>
          <w:lang w:val="en-IE"/>
        </w:rPr>
        <w:t xml:space="preserve"> to a project’. </w:t>
      </w:r>
      <w:r w:rsidR="008948F7" w:rsidRPr="00FC3C3B">
        <w:rPr>
          <w:noProof/>
          <w:lang w:val="en-IE"/>
        </w:rPr>
        <w:t xml:space="preserve"> </w:t>
      </w:r>
    </w:p>
    <w:p w14:paraId="765D6669" w14:textId="77777777" w:rsidR="002C7991" w:rsidRPr="00FC3C3B" w:rsidRDefault="00323DD4" w:rsidP="00323DD4">
      <w:pPr>
        <w:pStyle w:val="Point0"/>
        <w:rPr>
          <w:noProof/>
          <w:lang w:val="en-IE"/>
        </w:rPr>
      </w:pPr>
      <w:r w:rsidRPr="00FC3C3B">
        <w:rPr>
          <w:noProof/>
        </w:rPr>
        <w:t>(8)</w:t>
      </w:r>
      <w:r w:rsidRPr="00FC3C3B">
        <w:rPr>
          <w:noProof/>
        </w:rPr>
        <w:tab/>
      </w:r>
      <w:r w:rsidR="00550165" w:rsidRPr="00FC3C3B">
        <w:rPr>
          <w:noProof/>
          <w:lang w:val="en-IE"/>
        </w:rPr>
        <w:t>Article 24</w:t>
      </w:r>
      <w:r w:rsidR="005A1C70" w:rsidRPr="00FC3C3B">
        <w:rPr>
          <w:noProof/>
          <w:lang w:val="en-IE"/>
        </w:rPr>
        <w:t>(2)</w:t>
      </w:r>
      <w:r w:rsidR="00550165" w:rsidRPr="00FC3C3B">
        <w:rPr>
          <w:noProof/>
          <w:lang w:val="en-IE"/>
        </w:rPr>
        <w:t xml:space="preserve"> is amended as follows: </w:t>
      </w:r>
    </w:p>
    <w:p w14:paraId="782EC2B3" w14:textId="77777777" w:rsidR="002C7991" w:rsidRPr="00FC3C3B" w:rsidRDefault="00323DD4" w:rsidP="00323DD4">
      <w:pPr>
        <w:pStyle w:val="Point1"/>
        <w:rPr>
          <w:noProof/>
          <w:lang w:val="en-IE"/>
        </w:rPr>
      </w:pPr>
      <w:r w:rsidRPr="00FC3C3B">
        <w:rPr>
          <w:noProof/>
        </w:rPr>
        <w:t>(a)</w:t>
      </w:r>
      <w:r w:rsidRPr="00FC3C3B">
        <w:rPr>
          <w:noProof/>
        </w:rPr>
        <w:tab/>
      </w:r>
      <w:r w:rsidR="00550165" w:rsidRPr="00FC3C3B">
        <w:rPr>
          <w:noProof/>
          <w:lang w:val="en-IE"/>
        </w:rPr>
        <w:t>the first subparagraph is replaced by the following:</w:t>
      </w:r>
    </w:p>
    <w:p w14:paraId="34F05745" w14:textId="77777777" w:rsidR="002C7991" w:rsidRPr="00FC3C3B" w:rsidRDefault="00550165" w:rsidP="009B1B7F">
      <w:pPr>
        <w:pStyle w:val="Text2"/>
        <w:rPr>
          <w:noProof/>
          <w:lang w:val="en-IE"/>
        </w:rPr>
      </w:pPr>
      <w:r w:rsidRPr="00FC3C3B">
        <w:rPr>
          <w:noProof/>
          <w:lang w:val="en-IE"/>
        </w:rPr>
        <w:t xml:space="preserve">‘The Investment Committee shall meet in </w:t>
      </w:r>
      <w:r w:rsidRPr="00FC3C3B">
        <w:rPr>
          <w:b/>
          <w:bCs/>
          <w:noProof/>
          <w:lang w:val="en-IE"/>
        </w:rPr>
        <w:t>five</w:t>
      </w:r>
      <w:r w:rsidRPr="00FC3C3B">
        <w:rPr>
          <w:noProof/>
          <w:lang w:val="en-IE"/>
        </w:rPr>
        <w:t xml:space="preserve"> different configurations, corresponding to the </w:t>
      </w:r>
      <w:r w:rsidRPr="00FC3C3B">
        <w:rPr>
          <w:b/>
          <w:bCs/>
          <w:noProof/>
          <w:lang w:val="en-IE"/>
        </w:rPr>
        <w:t xml:space="preserve">five </w:t>
      </w:r>
      <w:r w:rsidRPr="00FC3C3B">
        <w:rPr>
          <w:noProof/>
          <w:lang w:val="en-IE"/>
        </w:rPr>
        <w:t>policy windows referred to in Article 8(1).’</w:t>
      </w:r>
    </w:p>
    <w:p w14:paraId="0350D0DB" w14:textId="77777777" w:rsidR="002C7991" w:rsidRPr="00FC3C3B" w:rsidRDefault="00323DD4" w:rsidP="00323DD4">
      <w:pPr>
        <w:pStyle w:val="Point1"/>
        <w:rPr>
          <w:noProof/>
          <w:lang w:val="en-IE"/>
        </w:rPr>
      </w:pPr>
      <w:r w:rsidRPr="00FC3C3B">
        <w:rPr>
          <w:noProof/>
        </w:rPr>
        <w:t>(b)</w:t>
      </w:r>
      <w:r w:rsidRPr="00FC3C3B">
        <w:rPr>
          <w:noProof/>
        </w:rPr>
        <w:tab/>
      </w:r>
      <w:r w:rsidR="00550165" w:rsidRPr="00FC3C3B">
        <w:rPr>
          <w:noProof/>
          <w:lang w:val="en-IE"/>
        </w:rPr>
        <w:t xml:space="preserve">The fifth subparagraph is replaced by the following: </w:t>
      </w:r>
    </w:p>
    <w:p w14:paraId="4E690C6B" w14:textId="77777777" w:rsidR="002C7991" w:rsidRPr="00FC3C3B" w:rsidRDefault="00550165" w:rsidP="009B1B7F">
      <w:pPr>
        <w:pStyle w:val="Text2"/>
        <w:rPr>
          <w:noProof/>
          <w:lang w:val="en-IE"/>
        </w:rPr>
      </w:pPr>
      <w:r w:rsidRPr="00FC3C3B">
        <w:rPr>
          <w:noProof/>
          <w:lang w:val="en-IE"/>
        </w:rPr>
        <w:t xml:space="preserve">‘Four members of the Investment Committee shall be permanent members of each of the </w:t>
      </w:r>
      <w:r w:rsidRPr="00FC3C3B">
        <w:rPr>
          <w:b/>
          <w:noProof/>
          <w:lang w:val="en-IE"/>
        </w:rPr>
        <w:t>five</w:t>
      </w:r>
      <w:r w:rsidRPr="00FC3C3B">
        <w:rPr>
          <w:noProof/>
          <w:lang w:val="en-IE"/>
        </w:rPr>
        <w:t xml:space="preserve"> configurations of the Investment Committee. At least one of the permanent members shall have expertise in sustainable investment. In addition, each of the </w:t>
      </w:r>
      <w:r w:rsidRPr="00FC3C3B">
        <w:rPr>
          <w:b/>
          <w:noProof/>
          <w:lang w:val="en-IE"/>
        </w:rPr>
        <w:t>five</w:t>
      </w:r>
      <w:r w:rsidRPr="00FC3C3B">
        <w:rPr>
          <w:noProof/>
          <w:lang w:val="en-IE"/>
        </w:rPr>
        <w:t xml:space="preserve"> configurations shall have two experts with experience in investment in sectors covered by the corresponding policy window. The Steering Board shall assign the Investment Committee members to the appropriate configuration or configurations. </w:t>
      </w:r>
      <w:r w:rsidR="00A015B4" w:rsidRPr="00FC3C3B">
        <w:rPr>
          <w:b/>
          <w:bCs/>
          <w:noProof/>
          <w:lang w:val="en-IE"/>
        </w:rPr>
        <w:t>A non-permanent member may be assigned to maximum two configurations, subject to fulfilling the requirements for both of them</w:t>
      </w:r>
      <w:r w:rsidR="00A015B4" w:rsidRPr="00FC3C3B">
        <w:rPr>
          <w:noProof/>
          <w:lang w:val="en-IE"/>
        </w:rPr>
        <w:t>.</w:t>
      </w:r>
      <w:r w:rsidR="007303DA" w:rsidRPr="00FC3C3B">
        <w:rPr>
          <w:noProof/>
          <w:lang w:val="en-IE"/>
        </w:rPr>
        <w:t xml:space="preserve"> </w:t>
      </w:r>
      <w:r w:rsidRPr="00FC3C3B">
        <w:rPr>
          <w:noProof/>
          <w:lang w:val="en-IE"/>
        </w:rPr>
        <w:t>The Investment Committee shall elect a chairperson from among its permanent members.’</w:t>
      </w:r>
    </w:p>
    <w:p w14:paraId="2F0E3AD1" w14:textId="77777777" w:rsidR="002C7991" w:rsidRPr="00FC3C3B" w:rsidRDefault="00323DD4" w:rsidP="00323DD4">
      <w:pPr>
        <w:pStyle w:val="Point0"/>
        <w:rPr>
          <w:noProof/>
          <w:lang w:val="en-IE"/>
        </w:rPr>
      </w:pPr>
      <w:r w:rsidRPr="00FC3C3B">
        <w:rPr>
          <w:noProof/>
        </w:rPr>
        <w:t>(9)</w:t>
      </w:r>
      <w:r w:rsidRPr="00FC3C3B">
        <w:rPr>
          <w:noProof/>
        </w:rPr>
        <w:tab/>
      </w:r>
      <w:r w:rsidR="00550165" w:rsidRPr="00FC3C3B">
        <w:rPr>
          <w:noProof/>
          <w:lang w:val="en-IE"/>
        </w:rPr>
        <w:t>In Article 25, point (</w:t>
      </w:r>
      <w:r w:rsidR="00980719" w:rsidRPr="00FC3C3B">
        <w:rPr>
          <w:noProof/>
          <w:lang w:val="en-IE"/>
        </w:rPr>
        <w:t xml:space="preserve">j) </w:t>
      </w:r>
      <w:r w:rsidR="00550165" w:rsidRPr="00FC3C3B">
        <w:rPr>
          <w:noProof/>
          <w:lang w:val="en-IE"/>
        </w:rPr>
        <w:t xml:space="preserve"> is added to paragraph 2 as follows:</w:t>
      </w:r>
    </w:p>
    <w:p w14:paraId="4FF33B84" w14:textId="77777777" w:rsidR="002C7991" w:rsidRPr="00FC3C3B" w:rsidRDefault="00550165" w:rsidP="009B1B7F">
      <w:pPr>
        <w:pStyle w:val="Text1"/>
        <w:rPr>
          <w:noProof/>
          <w:lang w:val="en-IE"/>
        </w:rPr>
      </w:pPr>
      <w:r w:rsidRPr="00FC3C3B">
        <w:rPr>
          <w:noProof/>
          <w:lang w:val="en-IE"/>
        </w:rPr>
        <w:t>‘(</w:t>
      </w:r>
      <w:r w:rsidR="00B37D92" w:rsidRPr="00FC3C3B">
        <w:rPr>
          <w:noProof/>
          <w:lang w:val="en-IE"/>
        </w:rPr>
        <w:t>j</w:t>
      </w:r>
      <w:r w:rsidRPr="00FC3C3B">
        <w:rPr>
          <w:noProof/>
          <w:lang w:val="en-IE"/>
        </w:rPr>
        <w:t xml:space="preserve">) </w:t>
      </w:r>
      <w:r w:rsidRPr="00FC3C3B">
        <w:rPr>
          <w:noProof/>
        </w:rPr>
        <w:tab/>
      </w:r>
      <w:r w:rsidRPr="00FC3C3B">
        <w:rPr>
          <w:noProof/>
          <w:lang w:val="en-IE"/>
        </w:rPr>
        <w:t>provide advisory support to equity fund managers active in the areas referred to in point (e) of Article 8(1).’</w:t>
      </w:r>
    </w:p>
    <w:p w14:paraId="413F1DC1" w14:textId="77777777" w:rsidR="00754FCE" w:rsidRPr="00FC3C3B" w:rsidRDefault="00323DD4" w:rsidP="00323DD4">
      <w:pPr>
        <w:pStyle w:val="Point0"/>
        <w:rPr>
          <w:noProof/>
          <w:lang w:val="en-IE"/>
        </w:rPr>
      </w:pPr>
      <w:r w:rsidRPr="00FC3C3B">
        <w:rPr>
          <w:noProof/>
        </w:rPr>
        <w:t>(10)</w:t>
      </w:r>
      <w:r w:rsidRPr="00FC3C3B">
        <w:rPr>
          <w:noProof/>
        </w:rPr>
        <w:tab/>
      </w:r>
      <w:r w:rsidR="00754FCE" w:rsidRPr="00FC3C3B">
        <w:rPr>
          <w:noProof/>
          <w:lang w:val="en-IE"/>
        </w:rPr>
        <w:t xml:space="preserve">In Article 26, </w:t>
      </w:r>
      <w:r w:rsidR="005A1C70" w:rsidRPr="00FC3C3B">
        <w:rPr>
          <w:noProof/>
          <w:lang w:val="en-IE"/>
        </w:rPr>
        <w:t xml:space="preserve">the following </w:t>
      </w:r>
      <w:r w:rsidR="00754FCE" w:rsidRPr="00FC3C3B">
        <w:rPr>
          <w:noProof/>
          <w:lang w:val="en-IE"/>
        </w:rPr>
        <w:t>paragraph 5 is added:</w:t>
      </w:r>
    </w:p>
    <w:p w14:paraId="2D65570C" w14:textId="77777777" w:rsidR="00754FCE" w:rsidRPr="00FC3C3B" w:rsidRDefault="00754FCE" w:rsidP="009B1B7F">
      <w:pPr>
        <w:pStyle w:val="Text1"/>
        <w:rPr>
          <w:noProof/>
          <w:lang w:val="en-IE"/>
        </w:rPr>
      </w:pPr>
      <w:r w:rsidRPr="00FC3C3B">
        <w:rPr>
          <w:noProof/>
          <w:lang w:val="en-IE"/>
        </w:rPr>
        <w:t xml:space="preserve">‘5. In addition to paragraph 4, implementing partners shall also examine projects having been awarded the Sovereignty Seal under Article 4 of </w:t>
      </w:r>
      <w:r w:rsidR="00EC1DD2" w:rsidRPr="00FC3C3B">
        <w:rPr>
          <w:noProof/>
        </w:rPr>
        <w:t>Regulation .../... [</w:t>
      </w:r>
      <w:r w:rsidR="00526A94" w:rsidRPr="00FC3C3B">
        <w:rPr>
          <w:noProof/>
        </w:rPr>
        <w:t>STEP</w:t>
      </w:r>
      <w:r w:rsidR="00EC1DD2" w:rsidRPr="00FC3C3B">
        <w:rPr>
          <w:noProof/>
        </w:rPr>
        <w:t xml:space="preserve"> Regulation]</w:t>
      </w:r>
      <w:r w:rsidR="00107BA1" w:rsidRPr="00FC3C3B">
        <w:rPr>
          <w:noProof/>
        </w:rPr>
        <w:t xml:space="preserve"> </w:t>
      </w:r>
      <w:r w:rsidRPr="00FC3C3B">
        <w:rPr>
          <w:noProof/>
          <w:lang w:val="en-IE"/>
        </w:rPr>
        <w:t xml:space="preserve">whenever those projects fall within their geographic and activity scope’. </w:t>
      </w:r>
    </w:p>
    <w:p w14:paraId="23C92A59" w14:textId="77777777" w:rsidR="003713B6" w:rsidRPr="00FC3C3B" w:rsidRDefault="00323DD4" w:rsidP="00323DD4">
      <w:pPr>
        <w:pStyle w:val="Point0"/>
        <w:rPr>
          <w:noProof/>
          <w:lang w:val="en-IE"/>
        </w:rPr>
      </w:pPr>
      <w:r w:rsidRPr="00FC3C3B">
        <w:rPr>
          <w:noProof/>
        </w:rPr>
        <w:t>(11)</w:t>
      </w:r>
      <w:r w:rsidRPr="00FC3C3B">
        <w:rPr>
          <w:noProof/>
        </w:rPr>
        <w:tab/>
      </w:r>
      <w:r w:rsidR="003713B6" w:rsidRPr="00FC3C3B">
        <w:rPr>
          <w:noProof/>
          <w:lang w:val="en-IE"/>
        </w:rPr>
        <w:t>In Article 35, paragraph 5 is added as follows:</w:t>
      </w:r>
    </w:p>
    <w:p w14:paraId="776A5AA4" w14:textId="77777777" w:rsidR="003713B6" w:rsidRPr="00FC3C3B" w:rsidRDefault="0051048D" w:rsidP="009B1B7F">
      <w:pPr>
        <w:pStyle w:val="Text1"/>
        <w:rPr>
          <w:noProof/>
          <w:lang w:val="en-IE"/>
        </w:rPr>
      </w:pPr>
      <w:r w:rsidRPr="00FC3C3B">
        <w:rPr>
          <w:rFonts w:cstheme="minorHAnsi"/>
          <w:noProof/>
          <w:lang w:val="en-IE"/>
        </w:rPr>
        <w:t xml:space="preserve">‘5. By way of derogation from </w:t>
      </w:r>
      <w:r w:rsidR="005A1C70" w:rsidRPr="00FC3C3B">
        <w:rPr>
          <w:rFonts w:cstheme="minorHAnsi"/>
          <w:noProof/>
          <w:lang w:val="en-IE"/>
        </w:rPr>
        <w:t>Article 16,</w:t>
      </w:r>
      <w:r w:rsidRPr="00FC3C3B">
        <w:rPr>
          <w:rFonts w:cstheme="minorHAnsi"/>
          <w:noProof/>
          <w:lang w:val="en-IE"/>
        </w:rPr>
        <w:t xml:space="preserve"> second subparagraph</w:t>
      </w:r>
      <w:r w:rsidR="005A1C70" w:rsidRPr="00FC3C3B">
        <w:rPr>
          <w:rFonts w:cstheme="minorHAnsi"/>
          <w:noProof/>
          <w:lang w:val="en-IE"/>
        </w:rPr>
        <w:t xml:space="preserve">, </w:t>
      </w:r>
      <w:r w:rsidRPr="00FC3C3B">
        <w:rPr>
          <w:rFonts w:cstheme="minorHAnsi"/>
          <w:noProof/>
          <w:lang w:val="en-IE"/>
        </w:rPr>
        <w:t>of this Regulation,</w:t>
      </w:r>
      <w:r w:rsidRPr="00FC3C3B">
        <w:rPr>
          <w:rFonts w:cstheme="minorHAnsi"/>
          <w:noProof/>
        </w:rPr>
        <w:t xml:space="preserve">  financing and investment operations approved by the implementing partner as of 1 January 2023 until the signature of a guarantee agreement or of an amendment to an existing one encompassing the </w:t>
      </w:r>
      <w:r w:rsidR="00526A94" w:rsidRPr="00FC3C3B">
        <w:rPr>
          <w:noProof/>
        </w:rPr>
        <w:t>STEP</w:t>
      </w:r>
      <w:r w:rsidRPr="00FC3C3B">
        <w:rPr>
          <w:rFonts w:cstheme="minorHAnsi"/>
          <w:noProof/>
        </w:rPr>
        <w:t xml:space="preserve"> Window may be covered by the EU guarantee, </w:t>
      </w:r>
      <w:r w:rsidRPr="00FC3C3B">
        <w:rPr>
          <w:noProof/>
          <w:lang w:val="en-IE"/>
        </w:rPr>
        <w:t>provided</w:t>
      </w:r>
      <w:r w:rsidRPr="00FC3C3B">
        <w:rPr>
          <w:rFonts w:cstheme="minorHAnsi"/>
          <w:noProof/>
        </w:rPr>
        <w:t xml:space="preserve"> that those operations are indicated in the guarantee agreement, pass the policy check referred to in Article 23(1) or receive a favourable opinion within the framework of the procedure provided for in Article 19 of the EIB Statute and are in both cases approved by the Investment Committee in accordance with Article 24.’</w:t>
      </w:r>
    </w:p>
    <w:p w14:paraId="46243C44" w14:textId="77777777" w:rsidR="002C7991" w:rsidRPr="00FC3C3B" w:rsidRDefault="00323DD4" w:rsidP="00323DD4">
      <w:pPr>
        <w:pStyle w:val="Point0"/>
        <w:rPr>
          <w:noProof/>
          <w:lang w:val="en-IE"/>
        </w:rPr>
      </w:pPr>
      <w:r w:rsidRPr="00FC3C3B">
        <w:rPr>
          <w:noProof/>
        </w:rPr>
        <w:t>(12)</w:t>
      </w:r>
      <w:r w:rsidRPr="00FC3C3B">
        <w:rPr>
          <w:noProof/>
        </w:rPr>
        <w:tab/>
      </w:r>
      <w:r w:rsidR="00550165" w:rsidRPr="00FC3C3B">
        <w:rPr>
          <w:noProof/>
          <w:lang w:val="en-IE"/>
        </w:rPr>
        <w:t>In Annex I, point (e) is added as follows:</w:t>
      </w:r>
    </w:p>
    <w:p w14:paraId="7728CBC0" w14:textId="77777777" w:rsidR="002C7991" w:rsidRPr="00FC3C3B" w:rsidRDefault="00550165" w:rsidP="009B1B7F">
      <w:pPr>
        <w:pStyle w:val="Text1"/>
        <w:rPr>
          <w:noProof/>
          <w:lang w:val="en-IE"/>
        </w:rPr>
      </w:pPr>
      <w:r w:rsidRPr="00FC3C3B">
        <w:rPr>
          <w:noProof/>
          <w:lang w:val="en-IE"/>
        </w:rPr>
        <w:t>‘(e)</w:t>
      </w:r>
      <w:r w:rsidRPr="00FC3C3B">
        <w:rPr>
          <w:noProof/>
          <w:lang w:val="en-IE"/>
        </w:rPr>
        <w:tab/>
        <w:t xml:space="preserve">up to EUR </w:t>
      </w:r>
      <w:r w:rsidR="003C130C" w:rsidRPr="008A3D63">
        <w:rPr>
          <w:b/>
          <w:bCs/>
          <w:noProof/>
          <w:lang w:val="en-IE"/>
        </w:rPr>
        <w:t>7 500 000 000</w:t>
      </w:r>
      <w:r w:rsidRPr="00FC3C3B">
        <w:rPr>
          <w:noProof/>
          <w:lang w:val="en-IE"/>
        </w:rPr>
        <w:t xml:space="preserve"> for objectives referred to in Article 3(2</w:t>
      </w:r>
      <w:r w:rsidR="005A1C70" w:rsidRPr="00FC3C3B">
        <w:rPr>
          <w:noProof/>
          <w:lang w:val="en-IE"/>
        </w:rPr>
        <w:t>), point (e)</w:t>
      </w:r>
      <w:r w:rsidRPr="00FC3C3B">
        <w:rPr>
          <w:noProof/>
          <w:lang w:val="en-IE"/>
        </w:rPr>
        <w:t>.’</w:t>
      </w:r>
    </w:p>
    <w:p w14:paraId="731D76CA" w14:textId="77777777" w:rsidR="00D60086" w:rsidRPr="00FC3C3B" w:rsidRDefault="00323DD4" w:rsidP="00323DD4">
      <w:pPr>
        <w:pStyle w:val="Point0"/>
        <w:rPr>
          <w:noProof/>
          <w:lang w:val="en-IE"/>
        </w:rPr>
      </w:pPr>
      <w:r w:rsidRPr="00FC3C3B">
        <w:rPr>
          <w:noProof/>
        </w:rPr>
        <w:t>(13)</w:t>
      </w:r>
      <w:r w:rsidRPr="00FC3C3B">
        <w:rPr>
          <w:noProof/>
        </w:rPr>
        <w:tab/>
      </w:r>
      <w:r w:rsidR="00D60086" w:rsidRPr="00FC3C3B">
        <w:rPr>
          <w:noProof/>
          <w:lang w:val="en-IE"/>
        </w:rPr>
        <w:t>In Annex II, point (16) is inserted as follows:</w:t>
      </w:r>
    </w:p>
    <w:p w14:paraId="4C630EE8" w14:textId="77777777" w:rsidR="00D60086" w:rsidRPr="00FC3C3B" w:rsidRDefault="00D60086" w:rsidP="009B1B7F">
      <w:pPr>
        <w:pStyle w:val="Text1"/>
        <w:rPr>
          <w:noProof/>
          <w:lang w:val="en-IE"/>
        </w:rPr>
      </w:pPr>
      <w:r w:rsidRPr="00FC3C3B">
        <w:rPr>
          <w:noProof/>
          <w:lang w:val="en-IE"/>
        </w:rPr>
        <w:t>‘</w:t>
      </w:r>
      <w:r w:rsidR="004030C4" w:rsidRPr="00FC3C3B">
        <w:rPr>
          <w:noProof/>
          <w:lang w:val="en-IE"/>
        </w:rPr>
        <w:t xml:space="preserve">(16) </w:t>
      </w:r>
      <w:r w:rsidR="00987B2C" w:rsidRPr="00FC3C3B">
        <w:rPr>
          <w:noProof/>
          <w:lang w:val="en-IE"/>
        </w:rPr>
        <w:t>scaling up, de</w:t>
      </w:r>
      <w:r w:rsidR="003D77BB" w:rsidRPr="00FC3C3B">
        <w:rPr>
          <w:noProof/>
          <w:lang w:val="en-IE"/>
        </w:rPr>
        <w:t xml:space="preserve">ployment and large-scale manufacturing </w:t>
      </w:r>
      <w:r w:rsidR="006075DF" w:rsidRPr="00FC3C3B">
        <w:rPr>
          <w:noProof/>
          <w:lang w:val="en-IE"/>
        </w:rPr>
        <w:t xml:space="preserve">of the </w:t>
      </w:r>
      <w:r w:rsidR="000A55D9" w:rsidRPr="00FC3C3B">
        <w:rPr>
          <w:noProof/>
          <w:lang w:val="en-IE"/>
        </w:rPr>
        <w:t>critical technologies referred to in Article 2</w:t>
      </w:r>
      <w:r w:rsidR="001811F9" w:rsidRPr="00FC3C3B">
        <w:rPr>
          <w:noProof/>
          <w:lang w:val="en-IE"/>
        </w:rPr>
        <w:t>(1)</w:t>
      </w:r>
      <w:r w:rsidR="00A46DF6" w:rsidRPr="00FC3C3B">
        <w:rPr>
          <w:noProof/>
          <w:lang w:val="en-IE"/>
        </w:rPr>
        <w:t xml:space="preserve">, point </w:t>
      </w:r>
      <w:r w:rsidR="000A55D9" w:rsidRPr="00FC3C3B">
        <w:rPr>
          <w:noProof/>
          <w:lang w:val="en-IE"/>
        </w:rPr>
        <w:t xml:space="preserve">(a) </w:t>
      </w:r>
      <w:r w:rsidR="00320D18" w:rsidRPr="00FC3C3B">
        <w:rPr>
          <w:noProof/>
          <w:lang w:val="en-IE"/>
        </w:rPr>
        <w:t>o</w:t>
      </w:r>
      <w:r w:rsidR="000A55D9" w:rsidRPr="00FC3C3B">
        <w:rPr>
          <w:noProof/>
          <w:lang w:val="en-IE"/>
        </w:rPr>
        <w:t xml:space="preserve">f </w:t>
      </w:r>
      <w:r w:rsidR="00A46DF6" w:rsidRPr="00FC3C3B">
        <w:rPr>
          <w:noProof/>
        </w:rPr>
        <w:t>Regulation .../...</w:t>
      </w:r>
      <w:r w:rsidR="00D532BB" w:rsidRPr="00FC3C3B">
        <w:rPr>
          <w:noProof/>
        </w:rPr>
        <w:t xml:space="preserve"> </w:t>
      </w:r>
      <w:r w:rsidR="00A46DF6" w:rsidRPr="00FC3C3B">
        <w:rPr>
          <w:noProof/>
        </w:rPr>
        <w:t>[</w:t>
      </w:r>
      <w:r w:rsidR="00526A94" w:rsidRPr="00FC3C3B">
        <w:rPr>
          <w:noProof/>
        </w:rPr>
        <w:t>STEP</w:t>
      </w:r>
      <w:r w:rsidR="00A46DF6" w:rsidRPr="00FC3C3B">
        <w:rPr>
          <w:noProof/>
        </w:rPr>
        <w:t xml:space="preserve"> Regulation]</w:t>
      </w:r>
      <w:r w:rsidR="00B41267" w:rsidRPr="00FC3C3B">
        <w:rPr>
          <w:noProof/>
        </w:rPr>
        <w:t>, as well as the respective value chain referred to in Article 2(4) of that Regulation</w:t>
      </w:r>
      <w:r w:rsidR="00026F2D" w:rsidRPr="00FC3C3B">
        <w:rPr>
          <w:noProof/>
        </w:rPr>
        <w:t>.</w:t>
      </w:r>
      <w:r w:rsidR="000A55D9" w:rsidRPr="00FC3C3B">
        <w:rPr>
          <w:noProof/>
          <w:lang w:val="en-IE"/>
        </w:rPr>
        <w:t>’</w:t>
      </w:r>
    </w:p>
    <w:p w14:paraId="0F3FA6F0" w14:textId="77777777" w:rsidR="002C7991" w:rsidRPr="00FC3C3B" w:rsidRDefault="00323DD4" w:rsidP="00323DD4">
      <w:pPr>
        <w:pStyle w:val="Point0"/>
        <w:rPr>
          <w:noProof/>
          <w:lang w:val="en-IE"/>
        </w:rPr>
      </w:pPr>
      <w:r w:rsidRPr="00FC3C3B">
        <w:rPr>
          <w:noProof/>
        </w:rPr>
        <w:t>(14)</w:t>
      </w:r>
      <w:r w:rsidRPr="00FC3C3B">
        <w:rPr>
          <w:noProof/>
        </w:rPr>
        <w:tab/>
      </w:r>
      <w:r w:rsidR="0035101B" w:rsidRPr="00FC3C3B">
        <w:rPr>
          <w:noProof/>
          <w:lang w:val="en-IE"/>
        </w:rPr>
        <w:t>In</w:t>
      </w:r>
      <w:r w:rsidR="00550165" w:rsidRPr="00FC3C3B">
        <w:rPr>
          <w:noProof/>
          <w:lang w:val="en-IE"/>
        </w:rPr>
        <w:t xml:space="preserve"> Annex III</w:t>
      </w:r>
      <w:r w:rsidR="0035101B" w:rsidRPr="00FC3C3B">
        <w:rPr>
          <w:noProof/>
          <w:lang w:val="en-IE"/>
        </w:rPr>
        <w:t>, point (9) i</w:t>
      </w:r>
      <w:r w:rsidR="005A1C70" w:rsidRPr="00FC3C3B">
        <w:rPr>
          <w:noProof/>
          <w:lang w:val="en-IE"/>
        </w:rPr>
        <w:t>s</w:t>
      </w:r>
      <w:r w:rsidR="0035101B" w:rsidRPr="00FC3C3B">
        <w:rPr>
          <w:noProof/>
          <w:lang w:val="en-IE"/>
        </w:rPr>
        <w:t xml:space="preserve"> </w:t>
      </w:r>
      <w:r w:rsidR="00D11942" w:rsidRPr="00FC3C3B">
        <w:rPr>
          <w:noProof/>
          <w:lang w:val="en-IE"/>
        </w:rPr>
        <w:t xml:space="preserve">inserted </w:t>
      </w:r>
      <w:r w:rsidR="00550165" w:rsidRPr="00FC3C3B">
        <w:rPr>
          <w:noProof/>
          <w:lang w:val="en-IE"/>
        </w:rPr>
        <w:t xml:space="preserve">as follows: </w:t>
      </w:r>
    </w:p>
    <w:p w14:paraId="17F3F1B3" w14:textId="77777777" w:rsidR="00397F4D" w:rsidRPr="00FC3C3B" w:rsidRDefault="00397F4D" w:rsidP="009B1B7F">
      <w:pPr>
        <w:pStyle w:val="Text1"/>
        <w:rPr>
          <w:noProof/>
          <w:lang w:val="en-IE"/>
        </w:rPr>
      </w:pPr>
      <w:r w:rsidRPr="00FC3C3B">
        <w:rPr>
          <w:noProof/>
          <w:lang w:val="en-IE"/>
        </w:rPr>
        <w:t>‘</w:t>
      </w:r>
      <w:r w:rsidR="00AB3F29" w:rsidRPr="00FC3C3B">
        <w:rPr>
          <w:noProof/>
          <w:lang w:val="en-IE"/>
        </w:rPr>
        <w:t>7</w:t>
      </w:r>
      <w:r w:rsidR="00637FA5" w:rsidRPr="00FC3C3B">
        <w:rPr>
          <w:noProof/>
          <w:lang w:val="en-IE"/>
        </w:rPr>
        <w:t>a</w:t>
      </w:r>
      <w:r w:rsidRPr="00FC3C3B">
        <w:rPr>
          <w:noProof/>
          <w:lang w:val="en-IE"/>
        </w:rPr>
        <w:t xml:space="preserve">. </w:t>
      </w:r>
      <w:r w:rsidR="00526A94" w:rsidRPr="00FC3C3B">
        <w:rPr>
          <w:noProof/>
        </w:rPr>
        <w:t>STEP</w:t>
      </w:r>
      <w:r w:rsidR="00A535BD" w:rsidRPr="00FC3C3B">
        <w:rPr>
          <w:noProof/>
          <w:lang w:val="en-IE"/>
        </w:rPr>
        <w:t xml:space="preserve"> </w:t>
      </w:r>
    </w:p>
    <w:p w14:paraId="048C0F76" w14:textId="77777777" w:rsidR="0078485C" w:rsidRPr="00FC3C3B" w:rsidRDefault="0078485C" w:rsidP="009B1B7F">
      <w:pPr>
        <w:pStyle w:val="Text1"/>
        <w:rPr>
          <w:rFonts w:eastAsia="Times New Roman"/>
          <w:noProof/>
        </w:rPr>
      </w:pPr>
      <w:r w:rsidRPr="00FC3C3B">
        <w:rPr>
          <w:rFonts w:eastAsia="Times New Roman"/>
          <w:noProof/>
        </w:rPr>
        <w:t xml:space="preserve">7a.1 </w:t>
      </w:r>
      <w:r w:rsidRPr="00FC3C3B">
        <w:rPr>
          <w:noProof/>
        </w:rPr>
        <w:t xml:space="preserve">Investment mobilised by technology area: i) deep and digital technologies, ii) clean </w:t>
      </w:r>
      <w:r w:rsidRPr="00FC3C3B">
        <w:rPr>
          <w:noProof/>
          <w:lang w:val="en-IE"/>
        </w:rPr>
        <w:t>technologies</w:t>
      </w:r>
      <w:r w:rsidRPr="00FC3C3B">
        <w:rPr>
          <w:noProof/>
        </w:rPr>
        <w:t xml:space="preserve"> and iii) biotechnologies.</w:t>
      </w:r>
      <w:r w:rsidRPr="00FC3C3B">
        <w:rPr>
          <w:rFonts w:eastAsia="Times New Roman"/>
          <w:noProof/>
        </w:rPr>
        <w:t>’</w:t>
      </w:r>
    </w:p>
    <w:p w14:paraId="0C39D486" w14:textId="77777777" w:rsidR="009D682E" w:rsidRPr="00FC3C3B" w:rsidRDefault="009D682E" w:rsidP="00E552F2">
      <w:pPr>
        <w:pStyle w:val="Text1"/>
        <w:rPr>
          <w:rFonts w:eastAsia="Times New Roman"/>
          <w:noProof/>
        </w:rPr>
      </w:pPr>
      <w:r w:rsidRPr="00FC3C3B">
        <w:rPr>
          <w:rFonts w:eastAsia="Times New Roman"/>
          <w:noProof/>
        </w:rPr>
        <w:t xml:space="preserve">7a.2 </w:t>
      </w:r>
      <w:r w:rsidRPr="00FC3C3B">
        <w:rPr>
          <w:noProof/>
        </w:rPr>
        <w:t xml:space="preserve">Jobs </w:t>
      </w:r>
      <w:r w:rsidRPr="00FC3C3B">
        <w:rPr>
          <w:noProof/>
          <w:lang w:val="en-IE"/>
        </w:rPr>
        <w:t>created</w:t>
      </w:r>
      <w:r w:rsidRPr="00FC3C3B">
        <w:rPr>
          <w:noProof/>
        </w:rPr>
        <w:t xml:space="preserve"> or supported.</w:t>
      </w:r>
    </w:p>
    <w:p w14:paraId="219AC411" w14:textId="77777777" w:rsidR="00397F4D" w:rsidRPr="00FC3C3B" w:rsidRDefault="00637FA5" w:rsidP="009B1B7F">
      <w:pPr>
        <w:pStyle w:val="Text1"/>
        <w:rPr>
          <w:rFonts w:eastAsia="Times New Roman"/>
          <w:noProof/>
        </w:rPr>
      </w:pPr>
      <w:r w:rsidRPr="00FC3C3B">
        <w:rPr>
          <w:rFonts w:eastAsia="Times New Roman"/>
          <w:noProof/>
          <w:lang w:val="en-IE"/>
        </w:rPr>
        <w:t>7a</w:t>
      </w:r>
      <w:r w:rsidR="00397F4D" w:rsidRPr="00FC3C3B">
        <w:rPr>
          <w:rFonts w:eastAsia="Times New Roman"/>
          <w:noProof/>
        </w:rPr>
        <w:t>.</w:t>
      </w:r>
      <w:r w:rsidR="00DB4CA1" w:rsidRPr="00FC3C3B">
        <w:rPr>
          <w:rFonts w:eastAsia="Times New Roman"/>
          <w:noProof/>
        </w:rPr>
        <w:t>2</w:t>
      </w:r>
      <w:r w:rsidR="00397F4D" w:rsidRPr="00FC3C3B">
        <w:rPr>
          <w:rFonts w:eastAsia="Times New Roman"/>
          <w:noProof/>
        </w:rPr>
        <w:t xml:space="preserve"> </w:t>
      </w:r>
      <w:r w:rsidR="00397F4D" w:rsidRPr="00FC3C3B">
        <w:rPr>
          <w:noProof/>
          <w:lang w:val="en-IE"/>
        </w:rPr>
        <w:t>Number</w:t>
      </w:r>
      <w:r w:rsidR="00397F4D" w:rsidRPr="00FC3C3B">
        <w:rPr>
          <w:noProof/>
        </w:rPr>
        <w:t xml:space="preserve"> of enterprises supported by technology area: i) deep and digital technologies, ii) clean technologies and iii) biotechnologies.</w:t>
      </w:r>
    </w:p>
    <w:p w14:paraId="49607A2C" w14:textId="77777777" w:rsidR="002C7991" w:rsidRPr="00FC3C3B" w:rsidRDefault="00550165">
      <w:pPr>
        <w:pStyle w:val="Titrearticle"/>
        <w:rPr>
          <w:noProof/>
        </w:rPr>
      </w:pPr>
      <w:r w:rsidRPr="00FC3C3B">
        <w:rPr>
          <w:noProof/>
        </w:rPr>
        <w:t xml:space="preserve">Article </w:t>
      </w:r>
      <w:r w:rsidR="009454C4" w:rsidRPr="00FC3C3B">
        <w:rPr>
          <w:noProof/>
        </w:rPr>
        <w:t>1</w:t>
      </w:r>
      <w:r w:rsidR="005C019C" w:rsidRPr="00FC3C3B">
        <w:rPr>
          <w:noProof/>
        </w:rPr>
        <w:t>7</w:t>
      </w:r>
    </w:p>
    <w:p w14:paraId="153BB417" w14:textId="77777777" w:rsidR="002C7991" w:rsidRPr="00FC3C3B" w:rsidRDefault="00550165">
      <w:pPr>
        <w:jc w:val="center"/>
        <w:rPr>
          <w:b/>
          <w:noProof/>
        </w:rPr>
      </w:pPr>
      <w:r w:rsidRPr="00FC3C3B">
        <w:rPr>
          <w:b/>
          <w:noProof/>
        </w:rPr>
        <w:t>Amendments to Regulation (EU) 2021/695 [Horizon</w:t>
      </w:r>
      <w:r w:rsidR="00B72027" w:rsidRPr="00FC3C3B">
        <w:rPr>
          <w:b/>
          <w:noProof/>
        </w:rPr>
        <w:t xml:space="preserve"> Europe</w:t>
      </w:r>
      <w:r w:rsidRPr="00FC3C3B">
        <w:rPr>
          <w:b/>
          <w:noProof/>
        </w:rPr>
        <w:t>]</w:t>
      </w:r>
    </w:p>
    <w:p w14:paraId="2E78A27C" w14:textId="77777777" w:rsidR="002C7991" w:rsidRPr="00FC3C3B" w:rsidRDefault="00550165">
      <w:pPr>
        <w:rPr>
          <w:noProof/>
        </w:rPr>
      </w:pPr>
      <w:r w:rsidRPr="00FC3C3B">
        <w:rPr>
          <w:noProof/>
        </w:rPr>
        <w:t>Regulation (EU) 2021/695 is amended as follows:</w:t>
      </w:r>
    </w:p>
    <w:p w14:paraId="64FE3780" w14:textId="77777777" w:rsidR="00667619" w:rsidRPr="00FC3C3B" w:rsidRDefault="00323DD4" w:rsidP="00323DD4">
      <w:pPr>
        <w:pStyle w:val="Point0"/>
        <w:rPr>
          <w:noProof/>
        </w:rPr>
      </w:pPr>
      <w:r w:rsidRPr="00FC3C3B">
        <w:rPr>
          <w:noProof/>
        </w:rPr>
        <w:t>(1)</w:t>
      </w:r>
      <w:r w:rsidR="00667619" w:rsidRPr="00FC3C3B">
        <w:rPr>
          <w:noProof/>
        </w:rPr>
        <w:t xml:space="preserve"> </w:t>
      </w:r>
      <w:r w:rsidR="00667619" w:rsidRPr="00FC3C3B">
        <w:rPr>
          <w:noProof/>
        </w:rPr>
        <w:tab/>
        <w:t xml:space="preserve">Article 12 is amended as follows: </w:t>
      </w:r>
    </w:p>
    <w:p w14:paraId="07A41C25" w14:textId="77777777" w:rsidR="00667619" w:rsidRPr="00FC3C3B" w:rsidRDefault="00667619" w:rsidP="00757D7E">
      <w:pPr>
        <w:pStyle w:val="Point0"/>
        <w:ind w:firstLine="0"/>
        <w:rPr>
          <w:noProof/>
        </w:rPr>
      </w:pPr>
      <w:r w:rsidRPr="00FC3C3B">
        <w:rPr>
          <w:noProof/>
        </w:rPr>
        <w:t>(a)</w:t>
      </w:r>
      <w:r w:rsidRPr="00FC3C3B">
        <w:rPr>
          <w:noProof/>
        </w:rPr>
        <w:tab/>
      </w:r>
      <w:r w:rsidR="00140833" w:rsidRPr="00FC3C3B">
        <w:rPr>
          <w:noProof/>
        </w:rPr>
        <w:t>paragraph 1 is replaced by the following:</w:t>
      </w:r>
    </w:p>
    <w:p w14:paraId="3DD86779" w14:textId="77777777" w:rsidR="00140833" w:rsidRPr="00FC3C3B" w:rsidRDefault="00140833" w:rsidP="00757D7E">
      <w:pPr>
        <w:pStyle w:val="Point0"/>
        <w:ind w:left="1440" w:firstLine="0"/>
        <w:rPr>
          <w:noProof/>
        </w:rPr>
      </w:pPr>
      <w:r w:rsidRPr="00FC3C3B">
        <w:rPr>
          <w:noProof/>
        </w:rPr>
        <w:t>‘1. The financial envelope for the implementation of the Programme for the period from 1 January 2021</w:t>
      </w:r>
      <w:r w:rsidR="0033777F" w:rsidRPr="00FC3C3B">
        <w:rPr>
          <w:noProof/>
        </w:rPr>
        <w:t xml:space="preserve"> </w:t>
      </w:r>
      <w:r w:rsidRPr="00FC3C3B">
        <w:rPr>
          <w:noProof/>
        </w:rPr>
        <w:t>to 31 December 2027</w:t>
      </w:r>
      <w:r w:rsidR="0088116E" w:rsidRPr="00FC3C3B">
        <w:rPr>
          <w:noProof/>
        </w:rPr>
        <w:t xml:space="preserve"> </w:t>
      </w:r>
      <w:r w:rsidRPr="00FC3C3B">
        <w:rPr>
          <w:noProof/>
        </w:rPr>
        <w:t xml:space="preserve">shall be </w:t>
      </w:r>
      <w:r w:rsidRPr="008A3D63">
        <w:rPr>
          <w:b/>
          <w:bCs/>
          <w:noProof/>
        </w:rPr>
        <w:t xml:space="preserve">EUR </w:t>
      </w:r>
      <w:r w:rsidR="00AA12CA" w:rsidRPr="008A3D63">
        <w:rPr>
          <w:b/>
          <w:bCs/>
          <w:noProof/>
        </w:rPr>
        <w:t>86 623 000 000</w:t>
      </w:r>
      <w:r w:rsidR="00393AAF" w:rsidRPr="00FC3C3B">
        <w:rPr>
          <w:noProof/>
        </w:rPr>
        <w:t xml:space="preserve"> </w:t>
      </w:r>
      <w:r w:rsidRPr="00FC3C3B">
        <w:rPr>
          <w:noProof/>
        </w:rPr>
        <w:t xml:space="preserve">in current prices for the specific programme referred to in point (a) of Article 1(2) and for the EIT and EUR </w:t>
      </w:r>
      <w:r w:rsidR="006B2C7B" w:rsidRPr="008A3D63">
        <w:rPr>
          <w:b/>
          <w:bCs/>
          <w:noProof/>
        </w:rPr>
        <w:t>9 453 000 000</w:t>
      </w:r>
      <w:r w:rsidR="00432C3A" w:rsidRPr="00FC3C3B">
        <w:rPr>
          <w:noProof/>
        </w:rPr>
        <w:t xml:space="preserve"> </w:t>
      </w:r>
      <w:r w:rsidRPr="00FC3C3B">
        <w:rPr>
          <w:noProof/>
        </w:rPr>
        <w:t>in current prices for the specific programme referred to in point (c) of Article 1(2).</w:t>
      </w:r>
      <w:r w:rsidRPr="00FC3C3B">
        <w:rPr>
          <w:noProof/>
          <w:lang w:val="en-IE"/>
        </w:rPr>
        <w:t xml:space="preserve"> ’</w:t>
      </w:r>
    </w:p>
    <w:p w14:paraId="320650FE" w14:textId="77777777" w:rsidR="002C7991" w:rsidRPr="00FC3C3B" w:rsidRDefault="00323DD4" w:rsidP="006E37DD">
      <w:pPr>
        <w:pStyle w:val="Point0"/>
        <w:ind w:firstLine="0"/>
        <w:rPr>
          <w:noProof/>
          <w:szCs w:val="24"/>
        </w:rPr>
      </w:pPr>
      <w:r w:rsidRPr="00FC3C3B">
        <w:rPr>
          <w:noProof/>
        </w:rPr>
        <w:t>(</w:t>
      </w:r>
      <w:r w:rsidR="00731F50" w:rsidRPr="00FC3C3B">
        <w:rPr>
          <w:noProof/>
        </w:rPr>
        <w:t>b</w:t>
      </w:r>
      <w:r w:rsidRPr="00FC3C3B">
        <w:rPr>
          <w:noProof/>
        </w:rPr>
        <w:t>)</w:t>
      </w:r>
      <w:r w:rsidRPr="00FC3C3B">
        <w:rPr>
          <w:noProof/>
        </w:rPr>
        <w:tab/>
      </w:r>
      <w:r w:rsidR="00667619" w:rsidRPr="00FC3C3B">
        <w:rPr>
          <w:noProof/>
        </w:rPr>
        <w:t xml:space="preserve">in paragraph </w:t>
      </w:r>
      <w:r w:rsidR="00D21FE5" w:rsidRPr="00FC3C3B">
        <w:rPr>
          <w:noProof/>
        </w:rPr>
        <w:t>2</w:t>
      </w:r>
      <w:r w:rsidR="00550165" w:rsidRPr="00FC3C3B">
        <w:rPr>
          <w:noProof/>
        </w:rPr>
        <w:t>, point</w:t>
      </w:r>
      <w:r w:rsidR="00F423F8" w:rsidRPr="00FC3C3B">
        <w:rPr>
          <w:noProof/>
        </w:rPr>
        <w:t>s</w:t>
      </w:r>
      <w:r w:rsidR="00550165" w:rsidRPr="00FC3C3B">
        <w:rPr>
          <w:noProof/>
        </w:rPr>
        <w:t xml:space="preserve"> (b) </w:t>
      </w:r>
      <w:r w:rsidR="00F423F8" w:rsidRPr="00FC3C3B">
        <w:rPr>
          <w:noProof/>
        </w:rPr>
        <w:t xml:space="preserve">and (c) are </w:t>
      </w:r>
      <w:r w:rsidR="00550165" w:rsidRPr="00FC3C3B">
        <w:rPr>
          <w:noProof/>
        </w:rPr>
        <w:t>replaced by the following:</w:t>
      </w:r>
    </w:p>
    <w:p w14:paraId="375DF76A" w14:textId="77777777" w:rsidR="002C7991" w:rsidRPr="00FC3C3B" w:rsidRDefault="00550165" w:rsidP="006E37DD">
      <w:pPr>
        <w:pStyle w:val="Text1"/>
        <w:ind w:left="1440"/>
        <w:rPr>
          <w:noProof/>
        </w:rPr>
      </w:pPr>
      <w:r w:rsidRPr="00FC3C3B">
        <w:rPr>
          <w:noProof/>
        </w:rPr>
        <w:t>‘</w:t>
      </w:r>
      <w:r w:rsidRPr="00FC3C3B">
        <w:rPr>
          <w:noProof/>
          <w:lang w:val="en-IE"/>
        </w:rPr>
        <w:t>(b) EUR 46 628 000 000 for Pillar II 'Global Challenges and European Industrial Competitiveness' for the period 2021 to 2027, of which:</w:t>
      </w:r>
    </w:p>
    <w:p w14:paraId="2AE980DD" w14:textId="77777777" w:rsidR="002C7991" w:rsidRPr="00FC3C3B" w:rsidRDefault="00550165" w:rsidP="006E37DD">
      <w:pPr>
        <w:ind w:left="1440" w:firstLine="480"/>
        <w:rPr>
          <w:noProof/>
          <w:lang w:val="en-IE"/>
        </w:rPr>
      </w:pPr>
      <w:r w:rsidRPr="00FC3C3B">
        <w:rPr>
          <w:noProof/>
          <w:lang w:val="en-IE"/>
        </w:rPr>
        <w:t>(i) EUR 6 775 000 000 for cluster 'Health';</w:t>
      </w:r>
    </w:p>
    <w:p w14:paraId="5B017294" w14:textId="77777777" w:rsidR="002C7991" w:rsidRPr="00FC3C3B" w:rsidRDefault="00550165" w:rsidP="006E37DD">
      <w:pPr>
        <w:ind w:left="1920"/>
        <w:rPr>
          <w:noProof/>
          <w:lang w:val="en-IE"/>
        </w:rPr>
      </w:pPr>
      <w:r w:rsidRPr="00FC3C3B">
        <w:rPr>
          <w:noProof/>
          <w:lang w:val="en-IE"/>
        </w:rPr>
        <w:t>(ii) EUR 1 350 000 000for cluster 'Culture, Creativity and Inclusive Society';</w:t>
      </w:r>
    </w:p>
    <w:p w14:paraId="61957EDD" w14:textId="77777777" w:rsidR="002C7991" w:rsidRPr="00FC3C3B" w:rsidRDefault="00550165" w:rsidP="006E37DD">
      <w:pPr>
        <w:ind w:left="1440" w:firstLine="480"/>
        <w:rPr>
          <w:noProof/>
          <w:lang w:val="en-IE"/>
        </w:rPr>
      </w:pPr>
      <w:r w:rsidRPr="00FC3C3B">
        <w:rPr>
          <w:noProof/>
          <w:lang w:val="en-IE"/>
        </w:rPr>
        <w:t>(iii) EUR 1 276 000 000 for cluster 'Civil Security for Society';</w:t>
      </w:r>
    </w:p>
    <w:p w14:paraId="3F30E217" w14:textId="77777777" w:rsidR="002C7991" w:rsidRPr="00FC3C3B" w:rsidRDefault="00550165" w:rsidP="006E37DD">
      <w:pPr>
        <w:ind w:left="1440" w:firstLine="480"/>
        <w:rPr>
          <w:noProof/>
          <w:lang w:val="en-IE"/>
        </w:rPr>
      </w:pPr>
      <w:r w:rsidRPr="00FC3C3B">
        <w:rPr>
          <w:noProof/>
          <w:lang w:val="en-IE"/>
        </w:rPr>
        <w:t>(iv) EUR 13 229 000 000 for cluster 'Digital, Industry and Space';</w:t>
      </w:r>
    </w:p>
    <w:p w14:paraId="515E6538" w14:textId="77777777" w:rsidR="002C7991" w:rsidRPr="00FC3C3B" w:rsidRDefault="00550165" w:rsidP="006E37DD">
      <w:pPr>
        <w:ind w:left="1440" w:firstLine="480"/>
        <w:rPr>
          <w:noProof/>
          <w:lang w:val="en-IE"/>
        </w:rPr>
      </w:pPr>
      <w:r w:rsidRPr="00FC3C3B">
        <w:rPr>
          <w:noProof/>
          <w:lang w:val="en-IE"/>
        </w:rPr>
        <w:t>(v) EUR 13 229 000 000 for cluster 'Climate, Energy and Mobility';</w:t>
      </w:r>
    </w:p>
    <w:p w14:paraId="2D5DFF85" w14:textId="77777777" w:rsidR="002C7991" w:rsidRPr="00FC3C3B" w:rsidRDefault="00550165" w:rsidP="006E37DD">
      <w:pPr>
        <w:ind w:left="1920"/>
        <w:rPr>
          <w:noProof/>
          <w:lang w:val="en-IE"/>
        </w:rPr>
      </w:pPr>
      <w:r w:rsidRPr="00FC3C3B">
        <w:rPr>
          <w:noProof/>
          <w:lang w:val="en-IE"/>
        </w:rPr>
        <w:t>(vi) EUR 8 799 000 000 for cluster 'Food, Bioeconomy, Natural Resources, Agriculture and Environment';</w:t>
      </w:r>
    </w:p>
    <w:p w14:paraId="0A20538E" w14:textId="77777777" w:rsidR="002C7991" w:rsidRPr="00FC3C3B" w:rsidRDefault="00550165" w:rsidP="006E37DD">
      <w:pPr>
        <w:ind w:left="1920"/>
        <w:rPr>
          <w:noProof/>
          <w:lang w:val="en-IE"/>
        </w:rPr>
      </w:pPr>
      <w:r w:rsidRPr="00FC3C3B">
        <w:rPr>
          <w:noProof/>
          <w:lang w:val="en-IE"/>
        </w:rPr>
        <w:t>(vii) EUR 1 970 000 000 for the non-nuclear direct actions of the JRC;</w:t>
      </w:r>
    </w:p>
    <w:p w14:paraId="153237F2" w14:textId="77777777" w:rsidR="002C7991" w:rsidRPr="00FC3C3B" w:rsidRDefault="00550165" w:rsidP="006E37DD">
      <w:pPr>
        <w:pStyle w:val="Text1"/>
        <w:ind w:left="1435"/>
        <w:rPr>
          <w:noProof/>
          <w:szCs w:val="24"/>
          <w:lang w:val="en-IE"/>
        </w:rPr>
      </w:pPr>
      <w:r w:rsidRPr="00FC3C3B">
        <w:rPr>
          <w:noProof/>
          <w:lang w:val="en-IE"/>
        </w:rPr>
        <w:t xml:space="preserve">(c) EUR </w:t>
      </w:r>
      <w:r w:rsidR="00243D02" w:rsidRPr="008A3D63">
        <w:rPr>
          <w:b/>
          <w:bCs/>
          <w:noProof/>
          <w:lang w:val="en-IE"/>
        </w:rPr>
        <w:t>13</w:t>
      </w:r>
      <w:r w:rsidR="00FE508B" w:rsidRPr="008A3D63">
        <w:rPr>
          <w:b/>
          <w:bCs/>
          <w:noProof/>
          <w:lang w:val="en-IE"/>
        </w:rPr>
        <w:t> </w:t>
      </w:r>
      <w:r w:rsidR="00243D02" w:rsidRPr="008A3D63">
        <w:rPr>
          <w:b/>
          <w:bCs/>
          <w:noProof/>
          <w:lang w:val="en-IE"/>
        </w:rPr>
        <w:t>237</w:t>
      </w:r>
      <w:r w:rsidR="00FE508B" w:rsidRPr="008A3D63">
        <w:rPr>
          <w:b/>
          <w:bCs/>
          <w:noProof/>
          <w:lang w:val="en-IE"/>
        </w:rPr>
        <w:t> 000 000</w:t>
      </w:r>
      <w:r w:rsidRPr="00FC3C3B">
        <w:rPr>
          <w:noProof/>
          <w:lang w:val="en-IE"/>
        </w:rPr>
        <w:t xml:space="preserve"> for Pillar III 'Innovative Europe' for the period 2021 to 2027, of which:</w:t>
      </w:r>
    </w:p>
    <w:p w14:paraId="4298EBB9" w14:textId="77777777" w:rsidR="002C7991" w:rsidRPr="00FC3C3B" w:rsidRDefault="00550165" w:rsidP="006E37DD">
      <w:pPr>
        <w:ind w:left="1920"/>
        <w:rPr>
          <w:noProof/>
          <w:lang w:val="en-IE"/>
        </w:rPr>
      </w:pPr>
      <w:r w:rsidRPr="00FC3C3B">
        <w:rPr>
          <w:noProof/>
          <w:lang w:val="en-IE"/>
        </w:rPr>
        <w:t xml:space="preserve">(i) EUR </w:t>
      </w:r>
      <w:r w:rsidR="009B3567" w:rsidRPr="008A3D63">
        <w:rPr>
          <w:b/>
          <w:bCs/>
          <w:noProof/>
          <w:lang w:val="en-IE"/>
        </w:rPr>
        <w:t>10 052 000 000</w:t>
      </w:r>
      <w:r w:rsidRPr="00FC3C3B">
        <w:rPr>
          <w:noProof/>
          <w:lang w:val="en-IE"/>
        </w:rPr>
        <w:t xml:space="preserve"> for the EIC;</w:t>
      </w:r>
    </w:p>
    <w:p w14:paraId="7F97E382" w14:textId="77777777" w:rsidR="002C7991" w:rsidRPr="00FC3C3B" w:rsidRDefault="00550165" w:rsidP="006E37DD">
      <w:pPr>
        <w:ind w:left="1920"/>
        <w:rPr>
          <w:noProof/>
          <w:lang w:val="en-IE"/>
        </w:rPr>
      </w:pPr>
      <w:r w:rsidRPr="00FC3C3B">
        <w:rPr>
          <w:noProof/>
          <w:lang w:val="en-IE"/>
        </w:rPr>
        <w:t>(ii) EUR 459 000 000 for European innovation ecosystems;</w:t>
      </w:r>
    </w:p>
    <w:p w14:paraId="00FFE120" w14:textId="77777777" w:rsidR="002C7991" w:rsidRPr="00FC3C3B" w:rsidRDefault="00550165" w:rsidP="006E37DD">
      <w:pPr>
        <w:ind w:left="1920"/>
        <w:rPr>
          <w:noProof/>
          <w:lang w:val="en-IE"/>
        </w:rPr>
      </w:pPr>
      <w:r w:rsidRPr="00FC3C3B">
        <w:rPr>
          <w:noProof/>
          <w:lang w:val="en-IE"/>
        </w:rPr>
        <w:t>(iii) EUR 2 726 000 000 for the EIT;’</w:t>
      </w:r>
    </w:p>
    <w:p w14:paraId="736C3581" w14:textId="77777777" w:rsidR="00E42F62" w:rsidRPr="00FC3C3B" w:rsidRDefault="00323DD4" w:rsidP="00323DD4">
      <w:pPr>
        <w:pStyle w:val="Point0"/>
        <w:rPr>
          <w:noProof/>
        </w:rPr>
      </w:pPr>
      <w:r w:rsidRPr="00FC3C3B">
        <w:rPr>
          <w:noProof/>
        </w:rPr>
        <w:t>(</w:t>
      </w:r>
      <w:r w:rsidR="005037AF">
        <w:rPr>
          <w:noProof/>
        </w:rPr>
        <w:t>2</w:t>
      </w:r>
      <w:r w:rsidRPr="00FC3C3B">
        <w:rPr>
          <w:noProof/>
        </w:rPr>
        <w:t>)</w:t>
      </w:r>
      <w:r w:rsidRPr="00FC3C3B">
        <w:rPr>
          <w:noProof/>
        </w:rPr>
        <w:tab/>
      </w:r>
      <w:r w:rsidR="009F0A82" w:rsidRPr="00FC3C3B">
        <w:rPr>
          <w:noProof/>
        </w:rPr>
        <w:t xml:space="preserve">In </w:t>
      </w:r>
      <w:r w:rsidR="00550165" w:rsidRPr="00FC3C3B">
        <w:rPr>
          <w:noProof/>
        </w:rPr>
        <w:t xml:space="preserve">Article </w:t>
      </w:r>
      <w:r w:rsidR="009F0A82" w:rsidRPr="00FC3C3B">
        <w:rPr>
          <w:noProof/>
        </w:rPr>
        <w:t xml:space="preserve">46, </w:t>
      </w:r>
      <w:r w:rsidR="00D21FE5" w:rsidRPr="00FC3C3B">
        <w:rPr>
          <w:noProof/>
        </w:rPr>
        <w:t>the following</w:t>
      </w:r>
      <w:r w:rsidR="006E13A8" w:rsidRPr="00FC3C3B">
        <w:rPr>
          <w:noProof/>
        </w:rPr>
        <w:t xml:space="preserve"> paragraph 4a </w:t>
      </w:r>
      <w:r w:rsidR="00550165" w:rsidRPr="00FC3C3B">
        <w:rPr>
          <w:noProof/>
        </w:rPr>
        <w:t>is inserted:</w:t>
      </w:r>
    </w:p>
    <w:p w14:paraId="194D8E80" w14:textId="77777777" w:rsidR="00C46539" w:rsidRPr="00FC3C3B" w:rsidRDefault="00E42F62" w:rsidP="009B1B7F">
      <w:pPr>
        <w:pStyle w:val="Text1"/>
        <w:rPr>
          <w:noProof/>
        </w:rPr>
      </w:pPr>
      <w:r w:rsidRPr="00FC3C3B">
        <w:rPr>
          <w:noProof/>
        </w:rPr>
        <w:t>‘</w:t>
      </w:r>
      <w:r w:rsidR="006E13A8" w:rsidRPr="00FC3C3B">
        <w:rPr>
          <w:noProof/>
        </w:rPr>
        <w:t xml:space="preserve">4a. </w:t>
      </w:r>
      <w:r w:rsidR="00572698" w:rsidRPr="00FC3C3B">
        <w:rPr>
          <w:noProof/>
        </w:rPr>
        <w:t xml:space="preserve">By derogation from Article 209(3) of the Financial Regulation, </w:t>
      </w:r>
      <w:r w:rsidR="00572698" w:rsidRPr="00FC3C3B">
        <w:rPr>
          <w:rFonts w:eastAsia="Times New Roman" w:cstheme="minorHAnsi"/>
          <w:noProof/>
          <w:color w:val="000000"/>
          <w:lang w:val="en-US"/>
        </w:rPr>
        <w:t>r</w:t>
      </w:r>
      <w:r w:rsidR="00C46539" w:rsidRPr="00FC3C3B">
        <w:rPr>
          <w:rFonts w:eastAsia="Times New Roman" w:cstheme="minorHAnsi"/>
          <w:noProof/>
          <w:color w:val="000000"/>
          <w:lang w:val="en-US"/>
        </w:rPr>
        <w:t xml:space="preserve">epayments including </w:t>
      </w:r>
      <w:r w:rsidR="00C46539" w:rsidRPr="00FC3C3B">
        <w:rPr>
          <w:noProof/>
          <w:lang w:val="en-IE"/>
        </w:rPr>
        <w:t>reimbursed</w:t>
      </w:r>
      <w:r w:rsidR="00C46539" w:rsidRPr="00FC3C3B">
        <w:rPr>
          <w:rFonts w:eastAsia="Times New Roman" w:cstheme="minorHAnsi"/>
          <w:noProof/>
          <w:color w:val="000000"/>
          <w:lang w:val="en-US"/>
        </w:rPr>
        <w:t xml:space="preserve"> advances, revenues and unused amounts net of fees and costs of EIC blended finance of the EIC pilot under Horizon 2020 shall be considered to be internal assigned revenues in accordance with Article 21(3)</w:t>
      </w:r>
      <w:r w:rsidR="008D6E38" w:rsidRPr="00FC3C3B">
        <w:rPr>
          <w:rFonts w:eastAsia="Times New Roman" w:cstheme="minorHAnsi"/>
          <w:noProof/>
          <w:color w:val="000000"/>
          <w:lang w:val="en-US"/>
        </w:rPr>
        <w:t>,</w:t>
      </w:r>
      <w:r w:rsidR="00C46539" w:rsidRPr="00FC3C3B">
        <w:rPr>
          <w:rFonts w:eastAsia="Times New Roman" w:cstheme="minorHAnsi"/>
          <w:noProof/>
          <w:color w:val="000000"/>
          <w:lang w:val="en-US"/>
        </w:rPr>
        <w:t xml:space="preserve"> </w:t>
      </w:r>
      <w:r w:rsidR="00817521" w:rsidRPr="00FC3C3B">
        <w:rPr>
          <w:rFonts w:eastAsia="Times New Roman" w:cstheme="minorHAnsi"/>
          <w:noProof/>
          <w:color w:val="000000"/>
          <w:lang w:val="en-US"/>
        </w:rPr>
        <w:t>point (f</w:t>
      </w:r>
      <w:r w:rsidR="00C46539" w:rsidRPr="00FC3C3B">
        <w:rPr>
          <w:rFonts w:eastAsia="Times New Roman" w:cstheme="minorHAnsi"/>
          <w:noProof/>
          <w:color w:val="000000"/>
          <w:lang w:val="en-US"/>
        </w:rPr>
        <w:t>) and Article 21</w:t>
      </w:r>
      <w:r w:rsidR="003A44E1" w:rsidRPr="00FC3C3B">
        <w:rPr>
          <w:rFonts w:eastAsia="Times New Roman" w:cstheme="minorHAnsi"/>
          <w:noProof/>
          <w:color w:val="000000"/>
          <w:lang w:val="en-US"/>
        </w:rPr>
        <w:t>(4) and (5)</w:t>
      </w:r>
      <w:r w:rsidR="00A267FF" w:rsidRPr="00FC3C3B">
        <w:rPr>
          <w:rFonts w:eastAsia="Times New Roman" w:cstheme="minorHAnsi"/>
          <w:noProof/>
          <w:color w:val="000000"/>
          <w:lang w:val="en-US"/>
        </w:rPr>
        <w:t xml:space="preserve"> </w:t>
      </w:r>
      <w:r w:rsidR="00C46539" w:rsidRPr="00FC3C3B">
        <w:rPr>
          <w:rFonts w:eastAsia="Times New Roman" w:cstheme="minorHAnsi"/>
          <w:noProof/>
          <w:color w:val="000000"/>
          <w:lang w:val="en-US"/>
        </w:rPr>
        <w:t>of the Financial Regulation</w:t>
      </w:r>
      <w:r w:rsidR="00C46539" w:rsidRPr="00FC3C3B">
        <w:rPr>
          <w:rFonts w:cstheme="minorHAnsi"/>
          <w:noProof/>
          <w:color w:val="000000"/>
          <w:shd w:val="clear" w:color="auto" w:fill="FFFFFF"/>
        </w:rPr>
        <w:t xml:space="preserve">. </w:t>
      </w:r>
      <w:r w:rsidR="000E508A" w:rsidRPr="00FC3C3B">
        <w:rPr>
          <w:rFonts w:eastAsia="Times New Roman" w:cstheme="minorHAnsi"/>
          <w:noProof/>
          <w:color w:val="000000"/>
          <w:lang w:val="en-US"/>
        </w:rPr>
        <w:t xml:space="preserve">The time restriction of two years set out in the second subparagraph of Article 209(3) of the Financial Regulation </w:t>
      </w:r>
      <w:r w:rsidR="006C438B" w:rsidRPr="00FC3C3B">
        <w:rPr>
          <w:rFonts w:eastAsia="Times New Roman" w:cstheme="minorHAnsi"/>
          <w:noProof/>
          <w:color w:val="000000"/>
          <w:lang w:val="en-US"/>
        </w:rPr>
        <w:t>shall apply</w:t>
      </w:r>
      <w:r w:rsidR="000E508A" w:rsidRPr="00FC3C3B">
        <w:rPr>
          <w:rFonts w:eastAsia="Times New Roman" w:cstheme="minorHAnsi"/>
          <w:noProof/>
          <w:color w:val="000000"/>
          <w:lang w:val="en-US"/>
        </w:rPr>
        <w:t xml:space="preserve"> as from the date of entry into force of </w:t>
      </w:r>
      <w:r w:rsidR="0088471C" w:rsidRPr="00FC3C3B">
        <w:rPr>
          <w:noProof/>
        </w:rPr>
        <w:t>Regulation .../...</w:t>
      </w:r>
      <w:r w:rsidR="0088471C" w:rsidRPr="00FC3C3B">
        <w:rPr>
          <w:rStyle w:val="FootnoteReference"/>
          <w:noProof/>
        </w:rPr>
        <w:footnoteReference w:id="70"/>
      </w:r>
      <w:r w:rsidR="0088471C" w:rsidRPr="00FC3C3B">
        <w:rPr>
          <w:noProof/>
        </w:rPr>
        <w:t xml:space="preserve"> [</w:t>
      </w:r>
      <w:r w:rsidR="00526A94" w:rsidRPr="00FC3C3B">
        <w:rPr>
          <w:noProof/>
        </w:rPr>
        <w:t>STEP</w:t>
      </w:r>
      <w:r w:rsidR="0088471C" w:rsidRPr="00FC3C3B">
        <w:rPr>
          <w:noProof/>
        </w:rPr>
        <w:t xml:space="preserve"> Regulation]</w:t>
      </w:r>
      <w:r w:rsidR="006E13A8" w:rsidRPr="00FC3C3B">
        <w:rPr>
          <w:rFonts w:eastAsia="Times New Roman" w:cstheme="minorHAnsi"/>
          <w:noProof/>
          <w:color w:val="000000"/>
          <w:lang w:val="en-US"/>
        </w:rPr>
        <w:t>’</w:t>
      </w:r>
      <w:r w:rsidR="0094534F" w:rsidRPr="00FC3C3B">
        <w:rPr>
          <w:rFonts w:eastAsia="Times New Roman" w:cstheme="minorHAnsi"/>
          <w:noProof/>
          <w:color w:val="000000"/>
          <w:lang w:val="en-US"/>
        </w:rPr>
        <w:t>.</w:t>
      </w:r>
    </w:p>
    <w:p w14:paraId="4F609473" w14:textId="77777777" w:rsidR="002C7991" w:rsidRPr="00FC3C3B" w:rsidRDefault="00323DD4" w:rsidP="00323DD4">
      <w:pPr>
        <w:pStyle w:val="Point0"/>
        <w:rPr>
          <w:noProof/>
          <w:szCs w:val="24"/>
        </w:rPr>
      </w:pPr>
      <w:r w:rsidRPr="00FC3C3B">
        <w:rPr>
          <w:noProof/>
        </w:rPr>
        <w:t>(</w:t>
      </w:r>
      <w:r w:rsidR="005037AF">
        <w:rPr>
          <w:noProof/>
        </w:rPr>
        <w:t>3</w:t>
      </w:r>
      <w:r w:rsidRPr="00FC3C3B">
        <w:rPr>
          <w:noProof/>
        </w:rPr>
        <w:t>)</w:t>
      </w:r>
      <w:r w:rsidRPr="00FC3C3B">
        <w:rPr>
          <w:noProof/>
        </w:rPr>
        <w:tab/>
      </w:r>
      <w:r w:rsidR="00E00EF9" w:rsidRPr="00FC3C3B">
        <w:rPr>
          <w:noProof/>
        </w:rPr>
        <w:t xml:space="preserve">In Article 48, the following </w:t>
      </w:r>
      <w:r w:rsidR="00A9376D" w:rsidRPr="00FC3C3B">
        <w:rPr>
          <w:noProof/>
        </w:rPr>
        <w:t>point (d) is added in the first subparagraph</w:t>
      </w:r>
      <w:r w:rsidR="00086DF8" w:rsidRPr="00FC3C3B">
        <w:rPr>
          <w:noProof/>
        </w:rPr>
        <w:t>:</w:t>
      </w:r>
    </w:p>
    <w:p w14:paraId="472BD259" w14:textId="77777777" w:rsidR="008704AA" w:rsidRPr="00FC3C3B" w:rsidRDefault="00086DF8" w:rsidP="009B1B7F">
      <w:pPr>
        <w:pStyle w:val="Text1"/>
        <w:rPr>
          <w:noProof/>
          <w:szCs w:val="24"/>
        </w:rPr>
      </w:pPr>
      <w:r w:rsidRPr="00FC3C3B">
        <w:rPr>
          <w:noProof/>
        </w:rPr>
        <w:t xml:space="preserve">‘(d) </w:t>
      </w:r>
      <w:r w:rsidR="008704AA" w:rsidRPr="00FC3C3B">
        <w:rPr>
          <w:noProof/>
        </w:rPr>
        <w:t>equity-only support required for scale-up</w:t>
      </w:r>
      <w:r w:rsidR="0028713F" w:rsidRPr="00FC3C3B">
        <w:rPr>
          <w:noProof/>
        </w:rPr>
        <w:t xml:space="preserve"> </w:t>
      </w:r>
      <w:r w:rsidR="008704AA" w:rsidRPr="00FC3C3B">
        <w:rPr>
          <w:noProof/>
        </w:rPr>
        <w:t xml:space="preserve">to non-bankable SMEs, including start-ups, </w:t>
      </w:r>
      <w:r w:rsidR="008704AA" w:rsidRPr="00FC3C3B">
        <w:rPr>
          <w:noProof/>
          <w:lang w:val="en-IE"/>
        </w:rPr>
        <w:t>and</w:t>
      </w:r>
      <w:r w:rsidR="008704AA" w:rsidRPr="00FC3C3B">
        <w:rPr>
          <w:noProof/>
        </w:rPr>
        <w:t xml:space="preserve"> non-bankable small mid-caps, including entities which have already received support in line with </w:t>
      </w:r>
      <w:r w:rsidR="003A44E1" w:rsidRPr="00FC3C3B">
        <w:rPr>
          <w:noProof/>
        </w:rPr>
        <w:t xml:space="preserve">points </w:t>
      </w:r>
      <w:r w:rsidR="008704AA" w:rsidRPr="00FC3C3B">
        <w:rPr>
          <w:noProof/>
        </w:rPr>
        <w:t>(a) to (c), carrying out breakthrough and disruptive non-bankable innovation</w:t>
      </w:r>
      <w:r w:rsidR="002148FD" w:rsidRPr="00FC3C3B">
        <w:rPr>
          <w:noProof/>
        </w:rPr>
        <w:t xml:space="preserve"> </w:t>
      </w:r>
      <w:r w:rsidR="00AC5E43" w:rsidRPr="00FC3C3B">
        <w:rPr>
          <w:noProof/>
        </w:rPr>
        <w:t>in the</w:t>
      </w:r>
      <w:r w:rsidR="001851D6" w:rsidRPr="00FC3C3B">
        <w:rPr>
          <w:noProof/>
        </w:rPr>
        <w:t xml:space="preserve"> critical</w:t>
      </w:r>
      <w:r w:rsidR="00AC5E43" w:rsidRPr="00FC3C3B">
        <w:rPr>
          <w:noProof/>
        </w:rPr>
        <w:t xml:space="preserve"> technologies referred to </w:t>
      </w:r>
      <w:r w:rsidR="00B770FE" w:rsidRPr="00FC3C3B">
        <w:rPr>
          <w:noProof/>
        </w:rPr>
        <w:t xml:space="preserve">in </w:t>
      </w:r>
      <w:r w:rsidR="00AC5E43" w:rsidRPr="00FC3C3B">
        <w:rPr>
          <w:noProof/>
        </w:rPr>
        <w:t>Article</w:t>
      </w:r>
      <w:r w:rsidR="00B770FE" w:rsidRPr="00FC3C3B">
        <w:rPr>
          <w:noProof/>
        </w:rPr>
        <w:t xml:space="preserve"> 2</w:t>
      </w:r>
      <w:r w:rsidR="008C7736" w:rsidRPr="00FC3C3B">
        <w:rPr>
          <w:noProof/>
        </w:rPr>
        <w:t>(1)</w:t>
      </w:r>
      <w:r w:rsidR="00B770FE" w:rsidRPr="00FC3C3B">
        <w:rPr>
          <w:noProof/>
        </w:rPr>
        <w:t>(a) o</w:t>
      </w:r>
      <w:r w:rsidR="00AC5E43" w:rsidRPr="00FC3C3B">
        <w:rPr>
          <w:noProof/>
        </w:rPr>
        <w:t xml:space="preserve">f </w:t>
      </w:r>
      <w:r w:rsidR="00333DA7" w:rsidRPr="00FC3C3B">
        <w:rPr>
          <w:noProof/>
        </w:rPr>
        <w:t>Regulation .../... [</w:t>
      </w:r>
      <w:r w:rsidR="00526A94" w:rsidRPr="00FC3C3B">
        <w:rPr>
          <w:noProof/>
        </w:rPr>
        <w:t>STEP</w:t>
      </w:r>
      <w:r w:rsidR="00333DA7" w:rsidRPr="00FC3C3B">
        <w:rPr>
          <w:noProof/>
        </w:rPr>
        <w:t xml:space="preserve"> Regulation]</w:t>
      </w:r>
      <w:r w:rsidR="001C0B62" w:rsidRPr="00FC3C3B">
        <w:rPr>
          <w:noProof/>
        </w:rPr>
        <w:t>, financed</w:t>
      </w:r>
      <w:r w:rsidR="00271BC4" w:rsidRPr="00FC3C3B">
        <w:rPr>
          <w:noProof/>
        </w:rPr>
        <w:t xml:space="preserve"> under Article </w:t>
      </w:r>
      <w:r w:rsidR="00442851" w:rsidRPr="00FC3C3B">
        <w:rPr>
          <w:noProof/>
        </w:rPr>
        <w:t xml:space="preserve">3(b) of </w:t>
      </w:r>
      <w:r w:rsidR="00D62AD1" w:rsidRPr="00FC3C3B">
        <w:rPr>
          <w:noProof/>
        </w:rPr>
        <w:t>that Regulation</w:t>
      </w:r>
      <w:r w:rsidR="008704AA" w:rsidRPr="00FC3C3B">
        <w:rPr>
          <w:noProof/>
        </w:rPr>
        <w:t>.</w:t>
      </w:r>
      <w:r w:rsidR="009F0A82" w:rsidRPr="00FC3C3B">
        <w:rPr>
          <w:rFonts w:eastAsia="Times New Roman" w:cstheme="minorHAnsi"/>
          <w:noProof/>
          <w:color w:val="000000"/>
          <w:lang w:val="en-US"/>
        </w:rPr>
        <w:t>’</w:t>
      </w:r>
      <w:r w:rsidR="008704AA" w:rsidRPr="00FC3C3B">
        <w:rPr>
          <w:rFonts w:eastAsia="Times New Roman" w:cstheme="minorHAnsi"/>
          <w:noProof/>
          <w:color w:val="000000"/>
          <w:lang w:val="en-US"/>
        </w:rPr>
        <w:t xml:space="preserve"> </w:t>
      </w:r>
    </w:p>
    <w:p w14:paraId="7731809D" w14:textId="77777777" w:rsidR="002E2E76" w:rsidRPr="00FC3C3B" w:rsidRDefault="002E2E76" w:rsidP="002E2E76">
      <w:pPr>
        <w:pStyle w:val="Titrearticle"/>
        <w:rPr>
          <w:noProof/>
        </w:rPr>
      </w:pPr>
      <w:r w:rsidRPr="00FC3C3B">
        <w:rPr>
          <w:noProof/>
        </w:rPr>
        <w:t>Article 1</w:t>
      </w:r>
      <w:r w:rsidR="009867D2">
        <w:rPr>
          <w:noProof/>
        </w:rPr>
        <w:t>8</w:t>
      </w:r>
    </w:p>
    <w:p w14:paraId="411FF089" w14:textId="77777777" w:rsidR="002E2E76" w:rsidRPr="00FC3C3B" w:rsidRDefault="002E2E76" w:rsidP="002E2E76">
      <w:pPr>
        <w:jc w:val="center"/>
        <w:rPr>
          <w:b/>
          <w:bCs/>
          <w:noProof/>
        </w:rPr>
      </w:pPr>
      <w:r w:rsidRPr="00FC3C3B">
        <w:rPr>
          <w:b/>
          <w:bCs/>
          <w:noProof/>
        </w:rPr>
        <w:t>Amendments to Regulation (EU) 2021/697 [</w:t>
      </w:r>
      <w:r w:rsidR="00C7657A" w:rsidRPr="00FC3C3B">
        <w:rPr>
          <w:b/>
          <w:bCs/>
          <w:noProof/>
        </w:rPr>
        <w:t>EDF</w:t>
      </w:r>
      <w:r w:rsidRPr="00FC3C3B">
        <w:rPr>
          <w:b/>
          <w:bCs/>
          <w:noProof/>
        </w:rPr>
        <w:t>]</w:t>
      </w:r>
    </w:p>
    <w:p w14:paraId="015B8806" w14:textId="77777777" w:rsidR="002E2E76" w:rsidRPr="00FC3C3B" w:rsidRDefault="002E2E76" w:rsidP="002E2E76">
      <w:pPr>
        <w:rPr>
          <w:noProof/>
        </w:rPr>
      </w:pPr>
      <w:r w:rsidRPr="00FC3C3B">
        <w:rPr>
          <w:noProof/>
        </w:rPr>
        <w:t>Regulation (EU) 2021/</w:t>
      </w:r>
      <w:r w:rsidR="00C7657A" w:rsidRPr="00FC3C3B">
        <w:rPr>
          <w:noProof/>
        </w:rPr>
        <w:t>697</w:t>
      </w:r>
      <w:r w:rsidRPr="00FC3C3B">
        <w:rPr>
          <w:noProof/>
        </w:rPr>
        <w:t xml:space="preserve"> is amended as follows:</w:t>
      </w:r>
    </w:p>
    <w:p w14:paraId="2F7DEFE6" w14:textId="77777777" w:rsidR="00DD1A6B" w:rsidRPr="00FC3C3B" w:rsidRDefault="001F5613" w:rsidP="001F5613">
      <w:pPr>
        <w:pStyle w:val="Point0"/>
        <w:rPr>
          <w:noProof/>
        </w:rPr>
      </w:pPr>
      <w:r w:rsidRPr="001F5613">
        <w:rPr>
          <w:noProof/>
        </w:rPr>
        <w:t>(1)</w:t>
      </w:r>
      <w:r w:rsidRPr="001F5613">
        <w:rPr>
          <w:noProof/>
        </w:rPr>
        <w:tab/>
      </w:r>
      <w:r w:rsidR="00B804ED" w:rsidRPr="00FC3C3B">
        <w:rPr>
          <w:noProof/>
        </w:rPr>
        <w:t xml:space="preserve">Article </w:t>
      </w:r>
      <w:r w:rsidR="003A45CF" w:rsidRPr="00FC3C3B">
        <w:rPr>
          <w:noProof/>
        </w:rPr>
        <w:t>4</w:t>
      </w:r>
      <w:r w:rsidR="00033CD9" w:rsidRPr="00FC3C3B">
        <w:rPr>
          <w:noProof/>
        </w:rPr>
        <w:t xml:space="preserve"> is amended as follows</w:t>
      </w:r>
    </w:p>
    <w:p w14:paraId="0D691A5C" w14:textId="77777777" w:rsidR="00421F14" w:rsidRPr="00FC3C3B" w:rsidRDefault="001F5613" w:rsidP="001F5613">
      <w:pPr>
        <w:pStyle w:val="Point1"/>
        <w:rPr>
          <w:noProof/>
        </w:rPr>
      </w:pPr>
      <w:r w:rsidRPr="001F5613">
        <w:rPr>
          <w:noProof/>
        </w:rPr>
        <w:t>(a)</w:t>
      </w:r>
      <w:r w:rsidRPr="001F5613">
        <w:rPr>
          <w:noProof/>
        </w:rPr>
        <w:tab/>
      </w:r>
      <w:r w:rsidR="00DD1A6B" w:rsidRPr="00FC3C3B">
        <w:rPr>
          <w:noProof/>
        </w:rPr>
        <w:t xml:space="preserve">Paragraph </w:t>
      </w:r>
      <w:r w:rsidR="00BB42B1" w:rsidRPr="00FC3C3B">
        <w:rPr>
          <w:noProof/>
        </w:rPr>
        <w:t>1</w:t>
      </w:r>
      <w:r w:rsidR="00421F14" w:rsidRPr="00FC3C3B">
        <w:rPr>
          <w:noProof/>
        </w:rPr>
        <w:t xml:space="preserve"> is </w:t>
      </w:r>
      <w:r w:rsidR="005727AA" w:rsidRPr="00FC3C3B">
        <w:rPr>
          <w:noProof/>
        </w:rPr>
        <w:t>replaced by the following</w:t>
      </w:r>
      <w:r w:rsidR="00421F14" w:rsidRPr="00FC3C3B">
        <w:rPr>
          <w:noProof/>
        </w:rPr>
        <w:t>:</w:t>
      </w:r>
    </w:p>
    <w:p w14:paraId="1424E533" w14:textId="77777777" w:rsidR="00685702" w:rsidRPr="00FC3C3B" w:rsidRDefault="00685702" w:rsidP="001D3939">
      <w:pPr>
        <w:pStyle w:val="Text2"/>
        <w:rPr>
          <w:noProof/>
        </w:rPr>
      </w:pPr>
      <w:r w:rsidRPr="00FC3C3B">
        <w:rPr>
          <w:noProof/>
        </w:rPr>
        <w:t>‘</w:t>
      </w:r>
      <w:r w:rsidR="00B172B8" w:rsidRPr="006E37DD">
        <w:rPr>
          <w:noProof/>
          <w:shd w:val="clear" w:color="auto" w:fill="FFFFFF"/>
        </w:rPr>
        <w:t xml:space="preserve">1.   In accordance with Article 12(1) of Regulation (EU) 2021/695, the financial envelope for the implementation of the Fund for the period from 1 January 2021 to 31 December 2027 shall be EUR </w:t>
      </w:r>
      <w:r w:rsidR="00BA23F5">
        <w:rPr>
          <w:b/>
          <w:bCs/>
          <w:noProof/>
          <w:shd w:val="clear" w:color="auto" w:fill="FFFFFF"/>
        </w:rPr>
        <w:t>9 453 000 000</w:t>
      </w:r>
      <w:r w:rsidR="00B172B8" w:rsidRPr="006E37DD">
        <w:rPr>
          <w:noProof/>
          <w:shd w:val="clear" w:color="auto" w:fill="FFFFFF"/>
        </w:rPr>
        <w:t xml:space="preserve"> in current prices.’</w:t>
      </w:r>
    </w:p>
    <w:p w14:paraId="66797FF9" w14:textId="77777777" w:rsidR="00B804ED" w:rsidRPr="00FC3C3B" w:rsidRDefault="001F5613" w:rsidP="001F5613">
      <w:pPr>
        <w:pStyle w:val="Point1"/>
        <w:rPr>
          <w:noProof/>
        </w:rPr>
      </w:pPr>
      <w:r w:rsidRPr="001F5613">
        <w:rPr>
          <w:noProof/>
        </w:rPr>
        <w:t>(b)</w:t>
      </w:r>
      <w:r w:rsidRPr="001F5613">
        <w:rPr>
          <w:noProof/>
        </w:rPr>
        <w:tab/>
      </w:r>
      <w:r w:rsidR="00DD1A6B" w:rsidRPr="00FC3C3B">
        <w:rPr>
          <w:noProof/>
        </w:rPr>
        <w:t>i</w:t>
      </w:r>
      <w:r w:rsidR="00E335BE" w:rsidRPr="00FC3C3B">
        <w:rPr>
          <w:noProof/>
        </w:rPr>
        <w:t>n</w:t>
      </w:r>
      <w:r w:rsidR="00AB2D06" w:rsidRPr="00FC3C3B">
        <w:rPr>
          <w:noProof/>
        </w:rPr>
        <w:t xml:space="preserve"> </w:t>
      </w:r>
      <w:r w:rsidR="00DD1A6B" w:rsidRPr="00FC3C3B">
        <w:rPr>
          <w:noProof/>
        </w:rPr>
        <w:t>paragraph</w:t>
      </w:r>
      <w:r w:rsidR="00AB2D06" w:rsidRPr="00FC3C3B">
        <w:rPr>
          <w:noProof/>
        </w:rPr>
        <w:t xml:space="preserve"> </w:t>
      </w:r>
      <w:r w:rsidR="005727AA" w:rsidRPr="00FC3C3B">
        <w:rPr>
          <w:noProof/>
        </w:rPr>
        <w:t>2</w:t>
      </w:r>
      <w:r w:rsidR="00A0411C" w:rsidRPr="00FC3C3B">
        <w:rPr>
          <w:noProof/>
        </w:rPr>
        <w:t>, point</w:t>
      </w:r>
      <w:r w:rsidR="001C7337" w:rsidRPr="00FC3C3B">
        <w:rPr>
          <w:noProof/>
        </w:rPr>
        <w:t>s</w:t>
      </w:r>
      <w:r w:rsidR="00A0411C" w:rsidRPr="00FC3C3B">
        <w:rPr>
          <w:noProof/>
        </w:rPr>
        <w:t xml:space="preserve"> (a) </w:t>
      </w:r>
      <w:r w:rsidR="001C7337" w:rsidRPr="00FC3C3B">
        <w:rPr>
          <w:noProof/>
        </w:rPr>
        <w:t>and (b) are</w:t>
      </w:r>
      <w:r w:rsidR="005727AA" w:rsidRPr="00FC3C3B">
        <w:rPr>
          <w:noProof/>
        </w:rPr>
        <w:t xml:space="preserve"> </w:t>
      </w:r>
      <w:r w:rsidR="00C8791A" w:rsidRPr="00FC3C3B">
        <w:rPr>
          <w:noProof/>
        </w:rPr>
        <w:t>replaced by the following</w:t>
      </w:r>
      <w:r w:rsidR="005727AA" w:rsidRPr="00FC3C3B">
        <w:rPr>
          <w:noProof/>
        </w:rPr>
        <w:t>:</w:t>
      </w:r>
    </w:p>
    <w:p w14:paraId="5E2F5C9E" w14:textId="77777777" w:rsidR="001C7337" w:rsidRPr="00FC3C3B" w:rsidRDefault="00964E62" w:rsidP="001D3939">
      <w:pPr>
        <w:pStyle w:val="Text2"/>
        <w:rPr>
          <w:noProof/>
        </w:rPr>
      </w:pPr>
      <w:r w:rsidRPr="00FC3C3B">
        <w:rPr>
          <w:noProof/>
        </w:rPr>
        <w:t xml:space="preserve">‘(a) EUR </w:t>
      </w:r>
      <w:r w:rsidR="00D351DF">
        <w:rPr>
          <w:b/>
          <w:bCs/>
          <w:noProof/>
        </w:rPr>
        <w:t>3 151 000 000</w:t>
      </w:r>
      <w:r w:rsidRPr="00FC3C3B">
        <w:rPr>
          <w:noProof/>
        </w:rPr>
        <w:t xml:space="preserve"> for research actions</w:t>
      </w:r>
      <w:r w:rsidR="00A16FFF" w:rsidRPr="00FC3C3B">
        <w:rPr>
          <w:noProof/>
        </w:rPr>
        <w:t>;</w:t>
      </w:r>
    </w:p>
    <w:p w14:paraId="5A0103CC" w14:textId="77777777" w:rsidR="00A0411C" w:rsidRPr="00FC3C3B" w:rsidRDefault="001C7337" w:rsidP="001D3939">
      <w:pPr>
        <w:pStyle w:val="Text2"/>
        <w:rPr>
          <w:noProof/>
        </w:rPr>
      </w:pPr>
      <w:r w:rsidRPr="00FC3C3B">
        <w:rPr>
          <w:noProof/>
        </w:rPr>
        <w:t xml:space="preserve">(b) EUR </w:t>
      </w:r>
      <w:r w:rsidR="00224412" w:rsidRPr="008A3D63">
        <w:rPr>
          <w:b/>
          <w:bCs/>
          <w:noProof/>
        </w:rPr>
        <w:t>6 302 000 000</w:t>
      </w:r>
      <w:r w:rsidRPr="00FC3C3B">
        <w:rPr>
          <w:noProof/>
        </w:rPr>
        <w:t xml:space="preserve"> for development actions.</w:t>
      </w:r>
      <w:r w:rsidR="00A16FFF" w:rsidRPr="00FC3C3B">
        <w:rPr>
          <w:noProof/>
        </w:rPr>
        <w:t>’</w:t>
      </w:r>
    </w:p>
    <w:p w14:paraId="73FB8040" w14:textId="77777777" w:rsidR="00533F7B" w:rsidRPr="00FC3C3B" w:rsidRDefault="001F5613" w:rsidP="001F5613">
      <w:pPr>
        <w:pStyle w:val="Point1"/>
        <w:rPr>
          <w:noProof/>
        </w:rPr>
      </w:pPr>
      <w:r w:rsidRPr="001F5613">
        <w:rPr>
          <w:noProof/>
        </w:rPr>
        <w:t>(c)</w:t>
      </w:r>
      <w:r w:rsidRPr="001F5613">
        <w:rPr>
          <w:noProof/>
        </w:rPr>
        <w:tab/>
      </w:r>
      <w:r w:rsidR="00DA6D16" w:rsidRPr="00FC3C3B">
        <w:rPr>
          <w:noProof/>
        </w:rPr>
        <w:t>P</w:t>
      </w:r>
      <w:r w:rsidR="004F4800" w:rsidRPr="00FC3C3B">
        <w:rPr>
          <w:noProof/>
        </w:rPr>
        <w:t xml:space="preserve">aragraph </w:t>
      </w:r>
      <w:r w:rsidR="00C42DD0" w:rsidRPr="00FC3C3B">
        <w:rPr>
          <w:noProof/>
        </w:rPr>
        <w:t>5 is added:</w:t>
      </w:r>
    </w:p>
    <w:p w14:paraId="1273FA9C" w14:textId="77777777" w:rsidR="00C42DD0" w:rsidRPr="00FC3C3B" w:rsidRDefault="00C42DD0" w:rsidP="001D3939">
      <w:pPr>
        <w:pStyle w:val="Text2"/>
        <w:rPr>
          <w:noProof/>
        </w:rPr>
      </w:pPr>
      <w:r w:rsidRPr="00FC3C3B">
        <w:rPr>
          <w:noProof/>
        </w:rPr>
        <w:t>‘</w:t>
      </w:r>
      <w:r w:rsidRPr="006E37DD">
        <w:rPr>
          <w:noProof/>
          <w:shd w:val="clear" w:color="auto" w:fill="FFFFFF"/>
        </w:rPr>
        <w:t>An amount of EUR </w:t>
      </w:r>
      <w:r w:rsidR="00224412" w:rsidRPr="008A3D63">
        <w:rPr>
          <w:b/>
          <w:bCs/>
          <w:noProof/>
          <w:shd w:val="clear" w:color="auto" w:fill="FFFFFF"/>
        </w:rPr>
        <w:t>1 500 000 000</w:t>
      </w:r>
      <w:r w:rsidRPr="006E37DD">
        <w:rPr>
          <w:noProof/>
          <w:shd w:val="clear" w:color="auto" w:fill="FFFFFF"/>
        </w:rPr>
        <w:t xml:space="preserve"> in current prices of the amount referred to in </w:t>
      </w:r>
      <w:r w:rsidRPr="00FC3C3B">
        <w:rPr>
          <w:noProof/>
          <w:shd w:val="clear" w:color="auto" w:fill="FFFFFF"/>
        </w:rPr>
        <w:t xml:space="preserve">paragraph 2 </w:t>
      </w:r>
      <w:r w:rsidRPr="006E37DD">
        <w:rPr>
          <w:noProof/>
          <w:shd w:val="clear" w:color="auto" w:fill="FFFFFF"/>
        </w:rPr>
        <w:t xml:space="preserve">shall be allocated </w:t>
      </w:r>
      <w:r w:rsidR="00F44559" w:rsidRPr="00FC3C3B">
        <w:rPr>
          <w:noProof/>
          <w:shd w:val="clear" w:color="auto" w:fill="FFFFFF"/>
        </w:rPr>
        <w:t>to</w:t>
      </w:r>
      <w:r w:rsidR="00132820" w:rsidRPr="00FC3C3B">
        <w:rPr>
          <w:noProof/>
          <w:shd w:val="clear" w:color="auto" w:fill="FFFFFF"/>
        </w:rPr>
        <w:t xml:space="preserve"> </w:t>
      </w:r>
      <w:r w:rsidR="00132820" w:rsidRPr="006E37DD">
        <w:rPr>
          <w:noProof/>
          <w:shd w:val="clear" w:color="auto" w:fill="FFFFFF"/>
        </w:rPr>
        <w:t>calls for proposals or awards of funding supporting</w:t>
      </w:r>
      <w:r w:rsidRPr="006E37DD">
        <w:rPr>
          <w:noProof/>
          <w:shd w:val="clear" w:color="auto" w:fill="FFFFFF"/>
        </w:rPr>
        <w:t xml:space="preserve"> </w:t>
      </w:r>
      <w:r w:rsidR="000D1210" w:rsidRPr="00FC3C3B">
        <w:rPr>
          <w:iCs/>
          <w:noProof/>
        </w:rPr>
        <w:t>investments contributing to the STEP objectives referred to in Article 2</w:t>
      </w:r>
      <w:r w:rsidR="005037AF">
        <w:rPr>
          <w:iCs/>
          <w:noProof/>
        </w:rPr>
        <w:t>(1)</w:t>
      </w:r>
      <w:r w:rsidR="00A8538F" w:rsidRPr="00FC3C3B">
        <w:rPr>
          <w:iCs/>
          <w:noProof/>
        </w:rPr>
        <w:t xml:space="preserve">, point (a)(i) </w:t>
      </w:r>
      <w:r w:rsidR="000D1210" w:rsidRPr="00FC3C3B">
        <w:rPr>
          <w:iCs/>
          <w:noProof/>
        </w:rPr>
        <w:t xml:space="preserve"> of Regulation .../...</w:t>
      </w:r>
      <w:r w:rsidR="000D1210" w:rsidRPr="00FC3C3B">
        <w:rPr>
          <w:rStyle w:val="FootnoteReference"/>
          <w:iCs/>
          <w:noProof/>
        </w:rPr>
        <w:footnoteReference w:id="71"/>
      </w:r>
      <w:r w:rsidR="000D1210" w:rsidRPr="00FC3C3B">
        <w:rPr>
          <w:iCs/>
          <w:noProof/>
        </w:rPr>
        <w:t xml:space="preserve"> [STEP Regulation].</w:t>
      </w:r>
      <w:r w:rsidR="00833742" w:rsidRPr="00FC3C3B">
        <w:rPr>
          <w:iCs/>
          <w:noProof/>
        </w:rPr>
        <w:t>’</w:t>
      </w:r>
    </w:p>
    <w:p w14:paraId="0661E0C2" w14:textId="77777777" w:rsidR="002C7991" w:rsidRPr="00FC3C3B" w:rsidRDefault="00550165">
      <w:pPr>
        <w:pStyle w:val="Titrearticle"/>
        <w:rPr>
          <w:noProof/>
        </w:rPr>
      </w:pPr>
      <w:r w:rsidRPr="00FC3C3B">
        <w:rPr>
          <w:noProof/>
        </w:rPr>
        <w:t xml:space="preserve">Article </w:t>
      </w:r>
      <w:r w:rsidR="009867D2">
        <w:rPr>
          <w:noProof/>
        </w:rPr>
        <w:t>19</w:t>
      </w:r>
    </w:p>
    <w:p w14:paraId="73F81AC9" w14:textId="77777777" w:rsidR="002C7991" w:rsidRPr="00FC3C3B" w:rsidRDefault="00550165">
      <w:pPr>
        <w:jc w:val="center"/>
        <w:rPr>
          <w:b/>
          <w:bCs/>
          <w:noProof/>
        </w:rPr>
      </w:pPr>
      <w:r w:rsidRPr="00FC3C3B">
        <w:rPr>
          <w:b/>
          <w:bCs/>
          <w:noProof/>
        </w:rPr>
        <w:t>Amendments to Regulation (EU) 2021/241 [RRF]</w:t>
      </w:r>
    </w:p>
    <w:p w14:paraId="10288696" w14:textId="77777777" w:rsidR="002C7991" w:rsidRPr="00FC3C3B" w:rsidRDefault="00550165">
      <w:pPr>
        <w:rPr>
          <w:noProof/>
        </w:rPr>
      </w:pPr>
      <w:r w:rsidRPr="00FC3C3B">
        <w:rPr>
          <w:noProof/>
        </w:rPr>
        <w:t>Regulation (EU) 2021/241 is amended as follows:</w:t>
      </w:r>
    </w:p>
    <w:p w14:paraId="7DBFDBD1" w14:textId="77777777" w:rsidR="002C7991" w:rsidRPr="00FC3C3B" w:rsidRDefault="00323DD4" w:rsidP="00323DD4">
      <w:pPr>
        <w:pStyle w:val="Point0"/>
        <w:rPr>
          <w:noProof/>
        </w:rPr>
      </w:pPr>
      <w:r w:rsidRPr="00FC3C3B">
        <w:rPr>
          <w:noProof/>
        </w:rPr>
        <w:t>(1)</w:t>
      </w:r>
      <w:r w:rsidRPr="00FC3C3B">
        <w:rPr>
          <w:noProof/>
        </w:rPr>
        <w:tab/>
      </w:r>
      <w:r w:rsidR="00550165" w:rsidRPr="00FC3C3B">
        <w:rPr>
          <w:noProof/>
        </w:rPr>
        <w:t>In Article 7, the following paragraph 3 is added:</w:t>
      </w:r>
    </w:p>
    <w:p w14:paraId="4460CB06" w14:textId="77777777" w:rsidR="002C7991" w:rsidRPr="00FC3C3B" w:rsidRDefault="00472F37" w:rsidP="009B1B7F">
      <w:pPr>
        <w:pStyle w:val="Text1"/>
        <w:rPr>
          <w:noProof/>
        </w:rPr>
      </w:pPr>
      <w:r w:rsidRPr="00FC3C3B">
        <w:rPr>
          <w:noProof/>
        </w:rPr>
        <w:t xml:space="preserve">‘3. </w:t>
      </w:r>
      <w:r w:rsidR="001F523C" w:rsidRPr="00FC3C3B">
        <w:rPr>
          <w:noProof/>
        </w:rPr>
        <w:t>Without prejudice to paragraph 2,</w:t>
      </w:r>
      <w:r w:rsidR="00550165" w:rsidRPr="00FC3C3B">
        <w:rPr>
          <w:noProof/>
        </w:rPr>
        <w:t xml:space="preserve"> Member States may also propose to include in their recovery and resilience plan, as estimated costs, the amount of the cash contribution for the purpose of the Member State compartment pursuant to the relevant provisions of the InvestEU Regulation </w:t>
      </w:r>
      <w:r w:rsidR="00EA6208" w:rsidRPr="00FC3C3B">
        <w:rPr>
          <w:noProof/>
        </w:rPr>
        <w:t xml:space="preserve">exclusively for measures </w:t>
      </w:r>
      <w:r w:rsidR="00550165" w:rsidRPr="00FC3C3B">
        <w:rPr>
          <w:noProof/>
        </w:rPr>
        <w:t>supporting investment</w:t>
      </w:r>
      <w:r w:rsidR="00940B78" w:rsidRPr="00FC3C3B">
        <w:rPr>
          <w:noProof/>
        </w:rPr>
        <w:t xml:space="preserve"> </w:t>
      </w:r>
      <w:r w:rsidR="00940B78" w:rsidRPr="00FC3C3B">
        <w:rPr>
          <w:noProof/>
          <w:lang w:val="en-IE"/>
        </w:rPr>
        <w:t>operations</w:t>
      </w:r>
      <w:r w:rsidR="00550165" w:rsidRPr="00FC3C3B">
        <w:rPr>
          <w:noProof/>
        </w:rPr>
        <w:t xml:space="preserve"> contributing to </w:t>
      </w:r>
      <w:r w:rsidR="00F2382E" w:rsidRPr="00FC3C3B">
        <w:rPr>
          <w:noProof/>
        </w:rPr>
        <w:t xml:space="preserve">the </w:t>
      </w:r>
      <w:r w:rsidR="00526A94" w:rsidRPr="00FC3C3B">
        <w:rPr>
          <w:noProof/>
        </w:rPr>
        <w:t>STEP</w:t>
      </w:r>
      <w:r w:rsidR="00F2382E" w:rsidRPr="00FC3C3B">
        <w:rPr>
          <w:noProof/>
        </w:rPr>
        <w:t xml:space="preserve"> </w:t>
      </w:r>
      <w:r w:rsidR="00550165" w:rsidRPr="00FC3C3B">
        <w:rPr>
          <w:noProof/>
        </w:rPr>
        <w:t xml:space="preserve">objectives </w:t>
      </w:r>
      <w:r w:rsidR="00F2382E" w:rsidRPr="00FC3C3B">
        <w:rPr>
          <w:noProof/>
        </w:rPr>
        <w:t>referred to in Article 2</w:t>
      </w:r>
      <w:r w:rsidR="00550165" w:rsidRPr="00FC3C3B">
        <w:rPr>
          <w:noProof/>
        </w:rPr>
        <w:t xml:space="preserve"> of </w:t>
      </w:r>
      <w:r w:rsidR="00E36578" w:rsidRPr="00FC3C3B">
        <w:rPr>
          <w:noProof/>
        </w:rPr>
        <w:t>Regulation .../...</w:t>
      </w:r>
      <w:r w:rsidR="00E36578" w:rsidRPr="00FC3C3B">
        <w:rPr>
          <w:rStyle w:val="FootnoteReference"/>
          <w:noProof/>
        </w:rPr>
        <w:footnoteReference w:id="72"/>
      </w:r>
      <w:r w:rsidR="00E36578" w:rsidRPr="00FC3C3B">
        <w:rPr>
          <w:noProof/>
        </w:rPr>
        <w:t xml:space="preserve"> [</w:t>
      </w:r>
      <w:r w:rsidR="00526A94" w:rsidRPr="00FC3C3B">
        <w:rPr>
          <w:noProof/>
        </w:rPr>
        <w:t>STEP</w:t>
      </w:r>
      <w:r w:rsidR="00E36578" w:rsidRPr="00FC3C3B">
        <w:rPr>
          <w:noProof/>
        </w:rPr>
        <w:t xml:space="preserve"> Regulation]</w:t>
      </w:r>
      <w:r w:rsidR="00550165" w:rsidRPr="00FC3C3B">
        <w:rPr>
          <w:noProof/>
        </w:rPr>
        <w:t xml:space="preserve">. Those costs shall not exceed 6 % of the recovery and resilience plan’s total financial allocation, and the relevant measures, as set out in the recovery and resilience plan, shall respect the requirements of this Regulation.’ </w:t>
      </w:r>
    </w:p>
    <w:p w14:paraId="505986D0" w14:textId="77777777" w:rsidR="002C7991" w:rsidRPr="00FC3C3B" w:rsidRDefault="00323DD4" w:rsidP="00323DD4">
      <w:pPr>
        <w:pStyle w:val="Point0"/>
        <w:rPr>
          <w:noProof/>
        </w:rPr>
      </w:pPr>
      <w:r w:rsidRPr="00FC3C3B">
        <w:rPr>
          <w:noProof/>
        </w:rPr>
        <w:t>(2)</w:t>
      </w:r>
      <w:r w:rsidRPr="00FC3C3B">
        <w:rPr>
          <w:noProof/>
        </w:rPr>
        <w:tab/>
      </w:r>
      <w:r w:rsidR="00550165" w:rsidRPr="00FC3C3B">
        <w:rPr>
          <w:noProof/>
        </w:rPr>
        <w:t xml:space="preserve">In Article 29 the following paragraph </w:t>
      </w:r>
      <w:r w:rsidR="00D21FE5" w:rsidRPr="00FC3C3B">
        <w:rPr>
          <w:noProof/>
        </w:rPr>
        <w:t xml:space="preserve">6 </w:t>
      </w:r>
      <w:r w:rsidR="00550165" w:rsidRPr="00FC3C3B">
        <w:rPr>
          <w:noProof/>
        </w:rPr>
        <w:t>is inserted:</w:t>
      </w:r>
    </w:p>
    <w:p w14:paraId="1595A70B" w14:textId="77777777" w:rsidR="002C7991" w:rsidRPr="00FC3C3B" w:rsidRDefault="00550165" w:rsidP="009B1B7F">
      <w:pPr>
        <w:pStyle w:val="Text1"/>
        <w:rPr>
          <w:noProof/>
        </w:rPr>
      </w:pPr>
      <w:r w:rsidRPr="00FC3C3B">
        <w:rPr>
          <w:noProof/>
        </w:rPr>
        <w:t xml:space="preserve">‘6. Prior to launching any calls for proposals or tendering procedures related to the </w:t>
      </w:r>
      <w:r w:rsidR="00526A94" w:rsidRPr="00FC3C3B">
        <w:rPr>
          <w:noProof/>
        </w:rPr>
        <w:t>STEP</w:t>
      </w:r>
      <w:r w:rsidRPr="00FC3C3B">
        <w:rPr>
          <w:noProof/>
        </w:rPr>
        <w:t xml:space="preserve"> objectives, as defined in Article </w:t>
      </w:r>
      <w:r w:rsidR="004667B9" w:rsidRPr="00FC3C3B">
        <w:rPr>
          <w:noProof/>
        </w:rPr>
        <w:t xml:space="preserve">2 </w:t>
      </w:r>
      <w:r w:rsidRPr="00FC3C3B">
        <w:rPr>
          <w:noProof/>
        </w:rPr>
        <w:t xml:space="preserve">of </w:t>
      </w:r>
      <w:r w:rsidR="00D62AD1" w:rsidRPr="00FC3C3B">
        <w:rPr>
          <w:noProof/>
        </w:rPr>
        <w:t>Regulation .../... [</w:t>
      </w:r>
      <w:r w:rsidR="00526A94" w:rsidRPr="00FC3C3B">
        <w:rPr>
          <w:noProof/>
        </w:rPr>
        <w:t xml:space="preserve">STEP </w:t>
      </w:r>
      <w:r w:rsidR="00D62AD1" w:rsidRPr="00FC3C3B">
        <w:rPr>
          <w:noProof/>
        </w:rPr>
        <w:t>Regulation]</w:t>
      </w:r>
      <w:r w:rsidRPr="00FC3C3B">
        <w:rPr>
          <w:noProof/>
        </w:rPr>
        <w:t xml:space="preserve">, Member States shall make available the following information on the Sovereignty portal referred to in Article </w:t>
      </w:r>
      <w:r w:rsidR="004667B9" w:rsidRPr="00FC3C3B">
        <w:rPr>
          <w:noProof/>
        </w:rPr>
        <w:t xml:space="preserve">6 </w:t>
      </w:r>
      <w:r w:rsidRPr="00FC3C3B">
        <w:rPr>
          <w:noProof/>
        </w:rPr>
        <w:t xml:space="preserve">of </w:t>
      </w:r>
      <w:r w:rsidR="004667B9" w:rsidRPr="00FC3C3B">
        <w:rPr>
          <w:noProof/>
        </w:rPr>
        <w:t>that Regulation:</w:t>
      </w:r>
    </w:p>
    <w:p w14:paraId="2935FD6E" w14:textId="77777777" w:rsidR="002C7991" w:rsidRPr="00FC3C3B" w:rsidRDefault="00323DD4" w:rsidP="00323DD4">
      <w:pPr>
        <w:pStyle w:val="Point1"/>
        <w:rPr>
          <w:noProof/>
        </w:rPr>
      </w:pPr>
      <w:r w:rsidRPr="00FC3C3B">
        <w:rPr>
          <w:noProof/>
        </w:rPr>
        <w:t>(a)</w:t>
      </w:r>
      <w:r w:rsidRPr="00FC3C3B">
        <w:rPr>
          <w:noProof/>
        </w:rPr>
        <w:tab/>
      </w:r>
      <w:r w:rsidR="00BD5B0B" w:rsidRPr="00FC3C3B">
        <w:rPr>
          <w:noProof/>
        </w:rPr>
        <w:t>g</w:t>
      </w:r>
      <w:r w:rsidR="00550165" w:rsidRPr="00FC3C3B">
        <w:rPr>
          <w:noProof/>
        </w:rPr>
        <w:t>eographical area covered by the call for proposal;</w:t>
      </w:r>
    </w:p>
    <w:p w14:paraId="174833CA" w14:textId="77777777" w:rsidR="00BD5B0B" w:rsidRPr="00FC3C3B" w:rsidRDefault="00323DD4" w:rsidP="00323DD4">
      <w:pPr>
        <w:pStyle w:val="Point1"/>
        <w:rPr>
          <w:noProof/>
        </w:rPr>
      </w:pPr>
      <w:r w:rsidRPr="00FC3C3B">
        <w:rPr>
          <w:noProof/>
        </w:rPr>
        <w:t>(b)</w:t>
      </w:r>
      <w:r w:rsidRPr="00FC3C3B">
        <w:rPr>
          <w:noProof/>
        </w:rPr>
        <w:tab/>
      </w:r>
      <w:r w:rsidR="003B3F6A" w:rsidRPr="00FC3C3B">
        <w:rPr>
          <w:noProof/>
        </w:rPr>
        <w:t>investment</w:t>
      </w:r>
      <w:r w:rsidR="00BD5B0B" w:rsidRPr="00FC3C3B">
        <w:rPr>
          <w:noProof/>
        </w:rPr>
        <w:t xml:space="preserve"> concerned</w:t>
      </w:r>
      <w:r w:rsidR="003B3F6A" w:rsidRPr="00FC3C3B">
        <w:rPr>
          <w:noProof/>
        </w:rPr>
        <w:t>;</w:t>
      </w:r>
    </w:p>
    <w:p w14:paraId="47F78328" w14:textId="77777777" w:rsidR="002C7991" w:rsidRPr="00FC3C3B" w:rsidRDefault="00323DD4" w:rsidP="00323DD4">
      <w:pPr>
        <w:pStyle w:val="Point1"/>
        <w:rPr>
          <w:noProof/>
        </w:rPr>
      </w:pPr>
      <w:r w:rsidRPr="00FC3C3B">
        <w:rPr>
          <w:noProof/>
        </w:rPr>
        <w:t>(c)</w:t>
      </w:r>
      <w:r w:rsidRPr="00FC3C3B">
        <w:rPr>
          <w:noProof/>
        </w:rPr>
        <w:tab/>
      </w:r>
      <w:r w:rsidR="00BD5B0B" w:rsidRPr="00FC3C3B">
        <w:rPr>
          <w:noProof/>
        </w:rPr>
        <w:t>t</w:t>
      </w:r>
      <w:r w:rsidR="00550165" w:rsidRPr="00FC3C3B">
        <w:rPr>
          <w:noProof/>
        </w:rPr>
        <w:t>ype of eligible applicants;</w:t>
      </w:r>
    </w:p>
    <w:p w14:paraId="7D6F66E6" w14:textId="77777777" w:rsidR="002C7991" w:rsidRPr="00FC3C3B" w:rsidRDefault="00323DD4" w:rsidP="00323DD4">
      <w:pPr>
        <w:pStyle w:val="Point1"/>
        <w:rPr>
          <w:noProof/>
        </w:rPr>
      </w:pPr>
      <w:r w:rsidRPr="00FC3C3B">
        <w:rPr>
          <w:noProof/>
        </w:rPr>
        <w:t>(d)</w:t>
      </w:r>
      <w:r w:rsidRPr="00FC3C3B">
        <w:rPr>
          <w:noProof/>
        </w:rPr>
        <w:tab/>
      </w:r>
      <w:r w:rsidR="00BD5B0B" w:rsidRPr="00FC3C3B">
        <w:rPr>
          <w:noProof/>
        </w:rPr>
        <w:t>t</w:t>
      </w:r>
      <w:r w:rsidR="00550165" w:rsidRPr="00FC3C3B">
        <w:rPr>
          <w:noProof/>
        </w:rPr>
        <w:t>otal amount of support for the call;</w:t>
      </w:r>
    </w:p>
    <w:p w14:paraId="35CB8FCC" w14:textId="77777777" w:rsidR="002C7991" w:rsidRPr="00FC3C3B" w:rsidRDefault="00323DD4" w:rsidP="00323DD4">
      <w:pPr>
        <w:pStyle w:val="Point1"/>
        <w:rPr>
          <w:noProof/>
        </w:rPr>
      </w:pPr>
      <w:r w:rsidRPr="00FC3C3B">
        <w:rPr>
          <w:noProof/>
        </w:rPr>
        <w:t>(e)</w:t>
      </w:r>
      <w:r w:rsidRPr="00FC3C3B">
        <w:rPr>
          <w:noProof/>
        </w:rPr>
        <w:tab/>
      </w:r>
      <w:r w:rsidR="00BD5B0B" w:rsidRPr="00FC3C3B">
        <w:rPr>
          <w:noProof/>
        </w:rPr>
        <w:t>s</w:t>
      </w:r>
      <w:r w:rsidR="00550165" w:rsidRPr="00FC3C3B">
        <w:rPr>
          <w:noProof/>
        </w:rPr>
        <w:t xml:space="preserve">tart and end date of the call; </w:t>
      </w:r>
    </w:p>
    <w:p w14:paraId="5D5863E4" w14:textId="77777777" w:rsidR="002C7991" w:rsidRPr="00FC3C3B" w:rsidRDefault="00323DD4" w:rsidP="00323DD4">
      <w:pPr>
        <w:pStyle w:val="Point1"/>
        <w:rPr>
          <w:noProof/>
        </w:rPr>
      </w:pPr>
      <w:r w:rsidRPr="00FC3C3B">
        <w:rPr>
          <w:noProof/>
        </w:rPr>
        <w:t>(f)</w:t>
      </w:r>
      <w:r w:rsidRPr="00FC3C3B">
        <w:rPr>
          <w:noProof/>
        </w:rPr>
        <w:tab/>
      </w:r>
      <w:r w:rsidR="00BD5B0B" w:rsidRPr="00FC3C3B">
        <w:rPr>
          <w:noProof/>
        </w:rPr>
        <w:t>l</w:t>
      </w:r>
      <w:r w:rsidR="00550165" w:rsidRPr="00FC3C3B">
        <w:rPr>
          <w:noProof/>
        </w:rPr>
        <w:t>ink to the website where the call will be published.</w:t>
      </w:r>
      <w:r w:rsidR="001A0A73" w:rsidRPr="00FC3C3B">
        <w:rPr>
          <w:noProof/>
        </w:rPr>
        <w:t>’</w:t>
      </w:r>
    </w:p>
    <w:p w14:paraId="22FD196A" w14:textId="77777777" w:rsidR="002C7991" w:rsidRPr="00FC3C3B" w:rsidRDefault="00550165">
      <w:pPr>
        <w:pStyle w:val="ChapterTitle"/>
        <w:spacing w:after="120"/>
        <w:rPr>
          <w:noProof/>
        </w:rPr>
      </w:pPr>
      <w:r w:rsidRPr="00FC3C3B">
        <w:rPr>
          <w:noProof/>
        </w:rPr>
        <w:t>CHAPTER 3</w:t>
      </w:r>
    </w:p>
    <w:p w14:paraId="62C4CD73" w14:textId="77777777" w:rsidR="002C7991" w:rsidRPr="00FC3C3B" w:rsidRDefault="00550165">
      <w:pPr>
        <w:pStyle w:val="ChapterTitle"/>
        <w:rPr>
          <w:noProof/>
        </w:rPr>
      </w:pPr>
      <w:r w:rsidRPr="00FC3C3B">
        <w:rPr>
          <w:noProof/>
        </w:rPr>
        <w:t>FINAL PROVISIONS</w:t>
      </w:r>
    </w:p>
    <w:p w14:paraId="330A9BBB" w14:textId="77777777" w:rsidR="002C7991" w:rsidRPr="00FC3C3B" w:rsidRDefault="00550165">
      <w:pPr>
        <w:pStyle w:val="Titrearticle"/>
        <w:rPr>
          <w:noProof/>
        </w:rPr>
      </w:pPr>
      <w:r w:rsidRPr="00FC3C3B">
        <w:rPr>
          <w:noProof/>
        </w:rPr>
        <w:t xml:space="preserve">Article </w:t>
      </w:r>
      <w:r w:rsidR="00CF3890" w:rsidRPr="00FC3C3B">
        <w:rPr>
          <w:noProof/>
        </w:rPr>
        <w:t>2</w:t>
      </w:r>
      <w:r w:rsidR="009867D2">
        <w:rPr>
          <w:noProof/>
        </w:rPr>
        <w:t>0</w:t>
      </w:r>
    </w:p>
    <w:p w14:paraId="39051E70" w14:textId="77777777" w:rsidR="002C7991" w:rsidRPr="00FC3C3B" w:rsidRDefault="00550165">
      <w:pPr>
        <w:jc w:val="center"/>
        <w:rPr>
          <w:b/>
          <w:bCs/>
          <w:noProof/>
        </w:rPr>
      </w:pPr>
      <w:r w:rsidRPr="00FC3C3B">
        <w:rPr>
          <w:b/>
          <w:bCs/>
          <w:noProof/>
        </w:rPr>
        <w:t>Entry into force and application</w:t>
      </w:r>
    </w:p>
    <w:p w14:paraId="146D8FCC" w14:textId="77777777" w:rsidR="002C7991" w:rsidRPr="00FC3C3B" w:rsidRDefault="002C7991">
      <w:pPr>
        <w:jc w:val="center"/>
        <w:rPr>
          <w:b/>
          <w:bCs/>
          <w:noProof/>
        </w:rPr>
      </w:pPr>
    </w:p>
    <w:p w14:paraId="4A32482B" w14:textId="77777777" w:rsidR="002C7991" w:rsidRPr="00FC3C3B" w:rsidRDefault="00550165">
      <w:pPr>
        <w:rPr>
          <w:noProof/>
        </w:rPr>
      </w:pPr>
      <w:r w:rsidRPr="00FC3C3B">
        <w:rPr>
          <w:noProof/>
        </w:rPr>
        <w:t xml:space="preserve">This Regulation shall enter into force on the day following that of its publication in the </w:t>
      </w:r>
      <w:r w:rsidRPr="00FC3C3B">
        <w:rPr>
          <w:i/>
          <w:noProof/>
        </w:rPr>
        <w:t>Official Journal of the European Union</w:t>
      </w:r>
      <w:r w:rsidRPr="00FC3C3B">
        <w:rPr>
          <w:noProof/>
        </w:rPr>
        <w:t>.</w:t>
      </w:r>
    </w:p>
    <w:p w14:paraId="06078945" w14:textId="77777777" w:rsidR="002C7991" w:rsidRPr="00FC3C3B" w:rsidRDefault="00550165" w:rsidP="00674D76">
      <w:pPr>
        <w:rPr>
          <w:noProof/>
        </w:rPr>
      </w:pPr>
      <w:r w:rsidRPr="00FC3C3B">
        <w:rPr>
          <w:noProof/>
        </w:rPr>
        <w:t>This Regulation shall be binding in its entirety and directly applicable in all Member States.</w:t>
      </w:r>
    </w:p>
    <w:p w14:paraId="6A29C1E7" w14:textId="77777777" w:rsidR="002C7991" w:rsidRPr="00FC3C3B" w:rsidRDefault="00C65CAE" w:rsidP="00C65CAE">
      <w:pPr>
        <w:pStyle w:val="Fait"/>
        <w:rPr>
          <w:noProof/>
        </w:rPr>
      </w:pPr>
      <w:r w:rsidRPr="00C65CAE">
        <w:t>Done at Brussels,</w:t>
      </w:r>
    </w:p>
    <w:p w14:paraId="5F00B0B4" w14:textId="77777777" w:rsidR="002C7991" w:rsidRPr="00FC3C3B" w:rsidRDefault="00550165" w:rsidP="003A63A0">
      <w:pPr>
        <w:pStyle w:val="Institutionquisigne"/>
        <w:rPr>
          <w:noProof/>
        </w:rPr>
      </w:pPr>
      <w:r w:rsidRPr="00FC3C3B">
        <w:rPr>
          <w:noProof/>
        </w:rPr>
        <w:t>For the European Parliament</w:t>
      </w:r>
      <w:r w:rsidRPr="00FC3C3B">
        <w:rPr>
          <w:noProof/>
        </w:rPr>
        <w:tab/>
        <w:t>For the Council</w:t>
      </w:r>
    </w:p>
    <w:p w14:paraId="3887D7E9" w14:textId="77777777" w:rsidR="00F87F22" w:rsidRDefault="00550165" w:rsidP="00F87F22">
      <w:pPr>
        <w:pStyle w:val="Personnequisigne"/>
        <w:rPr>
          <w:noProof/>
        </w:rPr>
      </w:pPr>
      <w:r w:rsidRPr="00FC3C3B">
        <w:rPr>
          <w:noProof/>
        </w:rPr>
        <w:t>The President</w:t>
      </w:r>
      <w:r w:rsidRPr="00FC3C3B">
        <w:rPr>
          <w:noProof/>
        </w:rPr>
        <w:tab/>
        <w:t>The President</w:t>
      </w:r>
    </w:p>
    <w:p w14:paraId="4E72DC69" w14:textId="77777777" w:rsidR="00F87F22" w:rsidRDefault="00F87F22" w:rsidP="00F87F22">
      <w:pPr>
        <w:rPr>
          <w:noProof/>
        </w:rPr>
        <w:sectPr w:rsidR="00F87F22" w:rsidSect="00742C1D">
          <w:pgSz w:w="11907" w:h="16839"/>
          <w:pgMar w:top="1134" w:right="1417" w:bottom="1134" w:left="1417" w:header="709" w:footer="709" w:gutter="0"/>
          <w:cols w:space="708"/>
          <w:docGrid w:linePitch="360"/>
        </w:sectPr>
      </w:pPr>
    </w:p>
    <w:p w14:paraId="277E8F06" w14:textId="77777777" w:rsidR="00F87F22" w:rsidRDefault="00F87F22" w:rsidP="00F87F22">
      <w:pPr>
        <w:pStyle w:val="Fichefinanciretitre"/>
        <w:keepNext/>
        <w:rPr>
          <w:noProof/>
        </w:rPr>
      </w:pPr>
      <w:bookmarkStart w:id="4" w:name="_TocB7751C055C4744A28A002AAF436526DF"/>
      <w:r>
        <w:rPr>
          <w:noProof/>
        </w:rPr>
        <w:t>LEGISLATIVE FINANCIAL STATEMENT</w:t>
      </w:r>
      <w:bookmarkEnd w:id="4"/>
    </w:p>
    <w:p w14:paraId="3D419BB7" w14:textId="77777777" w:rsidR="00950C34" w:rsidRDefault="00950C34" w:rsidP="00950C34">
      <w:pPr>
        <w:spacing w:before="0" w:after="200" w:line="276" w:lineRule="auto"/>
        <w:jc w:val="left"/>
        <w:rPr>
          <w:noProof/>
        </w:rPr>
      </w:pPr>
    </w:p>
    <w:sdt>
      <w:sdtPr>
        <w:rPr>
          <w:b w:val="0"/>
          <w:noProof/>
          <w:sz w:val="24"/>
        </w:rPr>
        <w:id w:val="601696785"/>
        <w:docPartObj>
          <w:docPartGallery w:val="Table of Contents"/>
          <w:docPartUnique/>
        </w:docPartObj>
      </w:sdtPr>
      <w:sdtEndPr>
        <w:rPr>
          <w:bCs/>
        </w:rPr>
      </w:sdtEndPr>
      <w:sdtContent>
        <w:p w14:paraId="18FFA0B6" w14:textId="77777777" w:rsidR="00950C34" w:rsidRDefault="00950C34" w:rsidP="00950C34">
          <w:pPr>
            <w:pStyle w:val="TOCHeading"/>
            <w:rPr>
              <w:noProof/>
            </w:rPr>
          </w:pPr>
          <w:r>
            <w:rPr>
              <w:noProof/>
            </w:rPr>
            <w:t>Contents</w:t>
          </w:r>
        </w:p>
        <w:p w14:paraId="21C528CE" w14:textId="77777777" w:rsidR="00950C34" w:rsidRDefault="00950C34" w:rsidP="00950C34">
          <w:pPr>
            <w:pStyle w:val="TOC1"/>
            <w:rPr>
              <w:rFonts w:asciiTheme="minorHAnsi" w:eastAsiaTheme="minorEastAsia" w:hAnsiTheme="minorHAnsi" w:cstheme="minorBidi"/>
              <w:noProof/>
              <w:sz w:val="22"/>
            </w:rPr>
          </w:pPr>
          <w:r>
            <w:rPr>
              <w:b/>
              <w:bCs/>
              <w:noProof/>
            </w:rPr>
            <w:fldChar w:fldCharType="begin"/>
          </w:r>
          <w:r>
            <w:rPr>
              <w:b/>
              <w:bCs/>
              <w:noProof/>
            </w:rPr>
            <w:instrText xml:space="preserve"> TOC \o "1-3" \h \z \u </w:instrText>
          </w:r>
          <w:r>
            <w:rPr>
              <w:b/>
              <w:bCs/>
              <w:noProof/>
            </w:rPr>
            <w:fldChar w:fldCharType="separate"/>
          </w:r>
          <w:hyperlink w:anchor="_Toc520485025" w:history="1">
            <w:r w:rsidRPr="008D12EF">
              <w:rPr>
                <w:rStyle w:val="Hyperlink"/>
                <w:noProof/>
              </w:rPr>
              <w:t>1.</w:t>
            </w:r>
            <w:r>
              <w:rPr>
                <w:rFonts w:asciiTheme="minorHAnsi" w:eastAsiaTheme="minorEastAsia" w:hAnsiTheme="minorHAnsi" w:cstheme="minorBidi"/>
                <w:noProof/>
                <w:sz w:val="22"/>
              </w:rPr>
              <w:tab/>
            </w:r>
            <w:r w:rsidRPr="008D12EF">
              <w:rPr>
                <w:rStyle w:val="Hyperlink"/>
                <w:noProof/>
              </w:rPr>
              <w:t>FRAMEWORK OF THE PROPOSAL/INITIATIVE</w:t>
            </w:r>
            <w:r>
              <w:rPr>
                <w:noProof/>
                <w:webHidden/>
              </w:rPr>
              <w:tab/>
            </w:r>
            <w:r>
              <w:rPr>
                <w:noProof/>
                <w:webHidden/>
              </w:rPr>
              <w:fldChar w:fldCharType="begin"/>
            </w:r>
            <w:r>
              <w:rPr>
                <w:noProof/>
                <w:webHidden/>
              </w:rPr>
              <w:instrText xml:space="preserve"> PAGEREF _Toc520485025 \h </w:instrText>
            </w:r>
            <w:r>
              <w:rPr>
                <w:noProof/>
                <w:webHidden/>
              </w:rPr>
            </w:r>
            <w:r>
              <w:rPr>
                <w:noProof/>
                <w:webHidden/>
              </w:rPr>
              <w:fldChar w:fldCharType="separate"/>
            </w:r>
            <w:r w:rsidR="00AC03F2">
              <w:rPr>
                <w:noProof/>
                <w:webHidden/>
              </w:rPr>
              <w:t>3</w:t>
            </w:r>
            <w:r>
              <w:rPr>
                <w:noProof/>
                <w:webHidden/>
              </w:rPr>
              <w:fldChar w:fldCharType="end"/>
            </w:r>
          </w:hyperlink>
        </w:p>
        <w:p w14:paraId="23BB33A4" w14:textId="77777777" w:rsidR="00950C34" w:rsidRDefault="008B7B44" w:rsidP="00950C34">
          <w:pPr>
            <w:pStyle w:val="TOC2"/>
            <w:rPr>
              <w:rFonts w:asciiTheme="minorHAnsi" w:eastAsiaTheme="minorEastAsia" w:hAnsiTheme="minorHAnsi" w:cstheme="minorBidi"/>
              <w:noProof/>
              <w:sz w:val="22"/>
            </w:rPr>
          </w:pPr>
          <w:hyperlink w:anchor="_Toc520485026" w:history="1">
            <w:r w:rsidR="00950C34" w:rsidRPr="008D12EF">
              <w:rPr>
                <w:rStyle w:val="Hyperlink"/>
                <w:noProof/>
              </w:rPr>
              <w:t>1.1.</w:t>
            </w:r>
            <w:r w:rsidR="00950C34">
              <w:rPr>
                <w:rFonts w:asciiTheme="minorHAnsi" w:eastAsiaTheme="minorEastAsia" w:hAnsiTheme="minorHAnsi" w:cstheme="minorBidi"/>
                <w:noProof/>
                <w:sz w:val="22"/>
              </w:rPr>
              <w:tab/>
            </w:r>
            <w:r w:rsidR="00950C34" w:rsidRPr="008D12EF">
              <w:rPr>
                <w:rStyle w:val="Hyperlink"/>
                <w:noProof/>
              </w:rPr>
              <w:t>Title of the proposal/initiative</w:t>
            </w:r>
            <w:r w:rsidR="00950C34">
              <w:rPr>
                <w:noProof/>
                <w:webHidden/>
              </w:rPr>
              <w:tab/>
            </w:r>
            <w:r w:rsidR="00950C34">
              <w:rPr>
                <w:noProof/>
                <w:webHidden/>
              </w:rPr>
              <w:fldChar w:fldCharType="begin"/>
            </w:r>
            <w:r w:rsidR="00950C34">
              <w:rPr>
                <w:noProof/>
                <w:webHidden/>
              </w:rPr>
              <w:instrText xml:space="preserve"> PAGEREF _Toc520485026 \h </w:instrText>
            </w:r>
            <w:r w:rsidR="00950C34">
              <w:rPr>
                <w:noProof/>
                <w:webHidden/>
              </w:rPr>
            </w:r>
            <w:r w:rsidR="00950C34">
              <w:rPr>
                <w:noProof/>
                <w:webHidden/>
              </w:rPr>
              <w:fldChar w:fldCharType="separate"/>
            </w:r>
            <w:r w:rsidR="00AC03F2">
              <w:rPr>
                <w:noProof/>
                <w:webHidden/>
              </w:rPr>
              <w:t>3</w:t>
            </w:r>
            <w:r w:rsidR="00950C34">
              <w:rPr>
                <w:noProof/>
                <w:webHidden/>
              </w:rPr>
              <w:fldChar w:fldCharType="end"/>
            </w:r>
          </w:hyperlink>
        </w:p>
        <w:p w14:paraId="5FB8D505" w14:textId="77777777" w:rsidR="00950C34" w:rsidRDefault="008B7B44" w:rsidP="00950C34">
          <w:pPr>
            <w:pStyle w:val="TOC2"/>
            <w:rPr>
              <w:rFonts w:asciiTheme="minorHAnsi" w:eastAsiaTheme="minorEastAsia" w:hAnsiTheme="minorHAnsi" w:cstheme="minorBidi"/>
              <w:noProof/>
              <w:sz w:val="22"/>
            </w:rPr>
          </w:pPr>
          <w:hyperlink w:anchor="_Toc520485027" w:history="1">
            <w:r w:rsidR="00950C34" w:rsidRPr="008D12EF">
              <w:rPr>
                <w:rStyle w:val="Hyperlink"/>
                <w:i/>
                <w:noProof/>
              </w:rPr>
              <w:t>1.2.</w:t>
            </w:r>
            <w:r w:rsidR="00950C34">
              <w:rPr>
                <w:rFonts w:asciiTheme="minorHAnsi" w:eastAsiaTheme="minorEastAsia" w:hAnsiTheme="minorHAnsi" w:cstheme="minorBidi"/>
                <w:noProof/>
                <w:sz w:val="22"/>
              </w:rPr>
              <w:tab/>
            </w:r>
            <w:r w:rsidR="00950C34" w:rsidRPr="008D12EF">
              <w:rPr>
                <w:rStyle w:val="Hyperlink"/>
                <w:noProof/>
              </w:rPr>
              <w:t>Policy area(s) concerned</w:t>
            </w:r>
            <w:r w:rsidR="00950C34">
              <w:rPr>
                <w:noProof/>
                <w:webHidden/>
              </w:rPr>
              <w:tab/>
            </w:r>
            <w:r w:rsidR="00950C34">
              <w:rPr>
                <w:noProof/>
                <w:webHidden/>
              </w:rPr>
              <w:fldChar w:fldCharType="begin"/>
            </w:r>
            <w:r w:rsidR="00950C34">
              <w:rPr>
                <w:noProof/>
                <w:webHidden/>
              </w:rPr>
              <w:instrText xml:space="preserve"> PAGEREF _Toc520485027 \h </w:instrText>
            </w:r>
            <w:r w:rsidR="00950C34">
              <w:rPr>
                <w:noProof/>
                <w:webHidden/>
              </w:rPr>
            </w:r>
            <w:r w:rsidR="00950C34">
              <w:rPr>
                <w:noProof/>
                <w:webHidden/>
              </w:rPr>
              <w:fldChar w:fldCharType="separate"/>
            </w:r>
            <w:r w:rsidR="00AC03F2">
              <w:rPr>
                <w:noProof/>
                <w:webHidden/>
              </w:rPr>
              <w:t>3</w:t>
            </w:r>
            <w:r w:rsidR="00950C34">
              <w:rPr>
                <w:noProof/>
                <w:webHidden/>
              </w:rPr>
              <w:fldChar w:fldCharType="end"/>
            </w:r>
          </w:hyperlink>
        </w:p>
        <w:p w14:paraId="50D114BB" w14:textId="77777777" w:rsidR="00950C34" w:rsidRDefault="008B7B44" w:rsidP="00950C34">
          <w:pPr>
            <w:pStyle w:val="TOC2"/>
            <w:rPr>
              <w:rFonts w:asciiTheme="minorHAnsi" w:eastAsiaTheme="minorEastAsia" w:hAnsiTheme="minorHAnsi" w:cstheme="minorBidi"/>
              <w:noProof/>
              <w:sz w:val="22"/>
            </w:rPr>
          </w:pPr>
          <w:hyperlink w:anchor="_Toc520485028" w:history="1">
            <w:r w:rsidR="00950C34" w:rsidRPr="008D12EF">
              <w:rPr>
                <w:rStyle w:val="Hyperlink"/>
                <w:noProof/>
              </w:rPr>
              <w:t>1.3.</w:t>
            </w:r>
            <w:r w:rsidR="00950C34">
              <w:rPr>
                <w:rFonts w:asciiTheme="minorHAnsi" w:eastAsiaTheme="minorEastAsia" w:hAnsiTheme="minorHAnsi" w:cstheme="minorBidi"/>
                <w:noProof/>
                <w:sz w:val="22"/>
              </w:rPr>
              <w:tab/>
            </w:r>
            <w:r w:rsidR="00950C34" w:rsidRPr="008D12EF">
              <w:rPr>
                <w:rStyle w:val="Hyperlink"/>
                <w:noProof/>
              </w:rPr>
              <w:t>The proposal/initiative relates to:</w:t>
            </w:r>
            <w:r w:rsidR="00950C34">
              <w:rPr>
                <w:noProof/>
                <w:webHidden/>
              </w:rPr>
              <w:tab/>
            </w:r>
            <w:r w:rsidR="00950C34">
              <w:rPr>
                <w:noProof/>
                <w:webHidden/>
              </w:rPr>
              <w:fldChar w:fldCharType="begin"/>
            </w:r>
            <w:r w:rsidR="00950C34">
              <w:rPr>
                <w:noProof/>
                <w:webHidden/>
              </w:rPr>
              <w:instrText xml:space="preserve"> PAGEREF _Toc520485028 \h </w:instrText>
            </w:r>
            <w:r w:rsidR="00950C34">
              <w:rPr>
                <w:noProof/>
                <w:webHidden/>
              </w:rPr>
            </w:r>
            <w:r w:rsidR="00950C34">
              <w:rPr>
                <w:noProof/>
                <w:webHidden/>
              </w:rPr>
              <w:fldChar w:fldCharType="separate"/>
            </w:r>
            <w:r w:rsidR="00AC03F2">
              <w:rPr>
                <w:noProof/>
                <w:webHidden/>
              </w:rPr>
              <w:t>3</w:t>
            </w:r>
            <w:r w:rsidR="00950C34">
              <w:rPr>
                <w:noProof/>
                <w:webHidden/>
              </w:rPr>
              <w:fldChar w:fldCharType="end"/>
            </w:r>
          </w:hyperlink>
        </w:p>
        <w:p w14:paraId="001523B4" w14:textId="77777777" w:rsidR="00950C34" w:rsidRDefault="008B7B44" w:rsidP="00950C34">
          <w:pPr>
            <w:pStyle w:val="TOC2"/>
            <w:rPr>
              <w:rFonts w:asciiTheme="minorHAnsi" w:eastAsiaTheme="minorEastAsia" w:hAnsiTheme="minorHAnsi" w:cstheme="minorBidi"/>
              <w:noProof/>
              <w:sz w:val="22"/>
            </w:rPr>
          </w:pPr>
          <w:hyperlink w:anchor="_Toc520485029" w:history="1">
            <w:r w:rsidR="00950C34" w:rsidRPr="008D12EF">
              <w:rPr>
                <w:rStyle w:val="Hyperlink"/>
                <w:noProof/>
              </w:rPr>
              <w:t>1.4.</w:t>
            </w:r>
            <w:r w:rsidR="00950C34">
              <w:rPr>
                <w:rFonts w:asciiTheme="minorHAnsi" w:eastAsiaTheme="minorEastAsia" w:hAnsiTheme="minorHAnsi" w:cstheme="minorBidi"/>
                <w:noProof/>
                <w:sz w:val="22"/>
              </w:rPr>
              <w:tab/>
            </w:r>
            <w:r w:rsidR="00950C34" w:rsidRPr="008D12EF">
              <w:rPr>
                <w:rStyle w:val="Hyperlink"/>
                <w:noProof/>
              </w:rPr>
              <w:t>Objective(s)</w:t>
            </w:r>
            <w:r w:rsidR="00950C34">
              <w:rPr>
                <w:noProof/>
                <w:webHidden/>
              </w:rPr>
              <w:tab/>
            </w:r>
            <w:r w:rsidR="00950C34">
              <w:rPr>
                <w:noProof/>
                <w:webHidden/>
              </w:rPr>
              <w:fldChar w:fldCharType="begin"/>
            </w:r>
            <w:r w:rsidR="00950C34">
              <w:rPr>
                <w:noProof/>
                <w:webHidden/>
              </w:rPr>
              <w:instrText xml:space="preserve"> PAGEREF _Toc520485029 \h </w:instrText>
            </w:r>
            <w:r w:rsidR="00950C34">
              <w:rPr>
                <w:noProof/>
                <w:webHidden/>
              </w:rPr>
            </w:r>
            <w:r w:rsidR="00950C34">
              <w:rPr>
                <w:noProof/>
                <w:webHidden/>
              </w:rPr>
              <w:fldChar w:fldCharType="separate"/>
            </w:r>
            <w:r w:rsidR="00AC03F2">
              <w:rPr>
                <w:noProof/>
                <w:webHidden/>
              </w:rPr>
              <w:t>3</w:t>
            </w:r>
            <w:r w:rsidR="00950C34">
              <w:rPr>
                <w:noProof/>
                <w:webHidden/>
              </w:rPr>
              <w:fldChar w:fldCharType="end"/>
            </w:r>
          </w:hyperlink>
        </w:p>
        <w:p w14:paraId="460754BB" w14:textId="77777777" w:rsidR="00950C34" w:rsidRDefault="008B7B44" w:rsidP="00950C34">
          <w:pPr>
            <w:pStyle w:val="TOC3"/>
            <w:rPr>
              <w:rFonts w:asciiTheme="minorHAnsi" w:eastAsiaTheme="minorEastAsia" w:hAnsiTheme="minorHAnsi" w:cstheme="minorBidi"/>
              <w:noProof/>
              <w:sz w:val="22"/>
            </w:rPr>
          </w:pPr>
          <w:hyperlink w:anchor="_Toc520485030" w:history="1">
            <w:r w:rsidR="00950C34" w:rsidRPr="008D12EF">
              <w:rPr>
                <w:rStyle w:val="Hyperlink"/>
                <w:noProof/>
              </w:rPr>
              <w:t>1.4.1.</w:t>
            </w:r>
            <w:r w:rsidR="00950C34">
              <w:rPr>
                <w:rFonts w:asciiTheme="minorHAnsi" w:eastAsiaTheme="minorEastAsia" w:hAnsiTheme="minorHAnsi" w:cstheme="minorBidi"/>
                <w:noProof/>
                <w:sz w:val="22"/>
              </w:rPr>
              <w:tab/>
            </w:r>
            <w:r w:rsidR="00950C34" w:rsidRPr="008D12EF">
              <w:rPr>
                <w:rStyle w:val="Hyperlink"/>
                <w:noProof/>
              </w:rPr>
              <w:t>General objective(s)</w:t>
            </w:r>
            <w:r w:rsidR="00950C34">
              <w:rPr>
                <w:noProof/>
                <w:webHidden/>
              </w:rPr>
              <w:tab/>
            </w:r>
            <w:r w:rsidR="00950C34">
              <w:rPr>
                <w:noProof/>
                <w:webHidden/>
              </w:rPr>
              <w:fldChar w:fldCharType="begin"/>
            </w:r>
            <w:r w:rsidR="00950C34">
              <w:rPr>
                <w:noProof/>
                <w:webHidden/>
              </w:rPr>
              <w:instrText xml:space="preserve"> PAGEREF _Toc520485030 \h </w:instrText>
            </w:r>
            <w:r w:rsidR="00950C34">
              <w:rPr>
                <w:noProof/>
                <w:webHidden/>
              </w:rPr>
            </w:r>
            <w:r w:rsidR="00950C34">
              <w:rPr>
                <w:noProof/>
                <w:webHidden/>
              </w:rPr>
              <w:fldChar w:fldCharType="separate"/>
            </w:r>
            <w:r w:rsidR="00AC03F2">
              <w:rPr>
                <w:noProof/>
                <w:webHidden/>
              </w:rPr>
              <w:t>3</w:t>
            </w:r>
            <w:r w:rsidR="00950C34">
              <w:rPr>
                <w:noProof/>
                <w:webHidden/>
              </w:rPr>
              <w:fldChar w:fldCharType="end"/>
            </w:r>
          </w:hyperlink>
        </w:p>
        <w:p w14:paraId="224A6773" w14:textId="77777777" w:rsidR="00950C34" w:rsidRDefault="008B7B44" w:rsidP="00950C34">
          <w:pPr>
            <w:pStyle w:val="TOC3"/>
            <w:rPr>
              <w:rFonts w:asciiTheme="minorHAnsi" w:eastAsiaTheme="minorEastAsia" w:hAnsiTheme="minorHAnsi" w:cstheme="minorBidi"/>
              <w:noProof/>
              <w:sz w:val="22"/>
            </w:rPr>
          </w:pPr>
          <w:hyperlink w:anchor="_Toc520485031" w:history="1">
            <w:r w:rsidR="00950C34" w:rsidRPr="008D12EF">
              <w:rPr>
                <w:rStyle w:val="Hyperlink"/>
                <w:noProof/>
              </w:rPr>
              <w:t>1.4.2.</w:t>
            </w:r>
            <w:r w:rsidR="00950C34">
              <w:rPr>
                <w:rFonts w:asciiTheme="minorHAnsi" w:eastAsiaTheme="minorEastAsia" w:hAnsiTheme="minorHAnsi" w:cstheme="minorBidi"/>
                <w:noProof/>
                <w:sz w:val="22"/>
              </w:rPr>
              <w:tab/>
            </w:r>
            <w:r w:rsidR="00950C34" w:rsidRPr="008D12EF">
              <w:rPr>
                <w:rStyle w:val="Hyperlink"/>
                <w:noProof/>
              </w:rPr>
              <w:t>Specific objective(s)</w:t>
            </w:r>
            <w:r w:rsidR="00950C34">
              <w:rPr>
                <w:noProof/>
                <w:webHidden/>
              </w:rPr>
              <w:tab/>
            </w:r>
            <w:r w:rsidR="00950C34">
              <w:rPr>
                <w:noProof/>
                <w:webHidden/>
              </w:rPr>
              <w:fldChar w:fldCharType="begin"/>
            </w:r>
            <w:r w:rsidR="00950C34">
              <w:rPr>
                <w:noProof/>
                <w:webHidden/>
              </w:rPr>
              <w:instrText xml:space="preserve"> PAGEREF _Toc520485031 \h </w:instrText>
            </w:r>
            <w:r w:rsidR="00950C34">
              <w:rPr>
                <w:noProof/>
                <w:webHidden/>
              </w:rPr>
            </w:r>
            <w:r w:rsidR="00950C34">
              <w:rPr>
                <w:noProof/>
                <w:webHidden/>
              </w:rPr>
              <w:fldChar w:fldCharType="separate"/>
            </w:r>
            <w:r w:rsidR="00AC03F2">
              <w:rPr>
                <w:noProof/>
                <w:webHidden/>
              </w:rPr>
              <w:t>3</w:t>
            </w:r>
            <w:r w:rsidR="00950C34">
              <w:rPr>
                <w:noProof/>
                <w:webHidden/>
              </w:rPr>
              <w:fldChar w:fldCharType="end"/>
            </w:r>
          </w:hyperlink>
        </w:p>
        <w:p w14:paraId="1B6F5BE7" w14:textId="77777777" w:rsidR="00950C34" w:rsidRDefault="008B7B44" w:rsidP="00950C34">
          <w:pPr>
            <w:pStyle w:val="TOC3"/>
            <w:rPr>
              <w:rFonts w:asciiTheme="minorHAnsi" w:eastAsiaTheme="minorEastAsia" w:hAnsiTheme="minorHAnsi" w:cstheme="minorBidi"/>
              <w:noProof/>
              <w:sz w:val="22"/>
            </w:rPr>
          </w:pPr>
          <w:hyperlink w:anchor="_Toc520485032" w:history="1">
            <w:r w:rsidR="00950C34" w:rsidRPr="008D12EF">
              <w:rPr>
                <w:rStyle w:val="Hyperlink"/>
                <w:noProof/>
              </w:rPr>
              <w:t>1.4.3.</w:t>
            </w:r>
            <w:r w:rsidR="00950C34">
              <w:rPr>
                <w:rFonts w:asciiTheme="minorHAnsi" w:eastAsiaTheme="minorEastAsia" w:hAnsiTheme="minorHAnsi" w:cstheme="minorBidi"/>
                <w:noProof/>
                <w:sz w:val="22"/>
              </w:rPr>
              <w:tab/>
            </w:r>
            <w:r w:rsidR="00950C34" w:rsidRPr="008D12EF">
              <w:rPr>
                <w:rStyle w:val="Hyperlink"/>
                <w:noProof/>
              </w:rPr>
              <w:t>Expected result(s) and impact</w:t>
            </w:r>
            <w:r w:rsidR="00950C34">
              <w:rPr>
                <w:noProof/>
                <w:webHidden/>
              </w:rPr>
              <w:tab/>
            </w:r>
            <w:r w:rsidR="00950C34">
              <w:rPr>
                <w:noProof/>
                <w:webHidden/>
              </w:rPr>
              <w:fldChar w:fldCharType="begin"/>
            </w:r>
            <w:r w:rsidR="00950C34">
              <w:rPr>
                <w:noProof/>
                <w:webHidden/>
              </w:rPr>
              <w:instrText xml:space="preserve"> PAGEREF _Toc520485032 \h </w:instrText>
            </w:r>
            <w:r w:rsidR="00950C34">
              <w:rPr>
                <w:noProof/>
                <w:webHidden/>
              </w:rPr>
            </w:r>
            <w:r w:rsidR="00950C34">
              <w:rPr>
                <w:noProof/>
                <w:webHidden/>
              </w:rPr>
              <w:fldChar w:fldCharType="separate"/>
            </w:r>
            <w:r w:rsidR="00AC03F2">
              <w:rPr>
                <w:noProof/>
                <w:webHidden/>
              </w:rPr>
              <w:t>4</w:t>
            </w:r>
            <w:r w:rsidR="00950C34">
              <w:rPr>
                <w:noProof/>
                <w:webHidden/>
              </w:rPr>
              <w:fldChar w:fldCharType="end"/>
            </w:r>
          </w:hyperlink>
        </w:p>
        <w:p w14:paraId="1A257E71" w14:textId="77777777" w:rsidR="00950C34" w:rsidRDefault="008B7B44" w:rsidP="00950C34">
          <w:pPr>
            <w:pStyle w:val="TOC3"/>
            <w:rPr>
              <w:rFonts w:asciiTheme="minorHAnsi" w:eastAsiaTheme="minorEastAsia" w:hAnsiTheme="minorHAnsi" w:cstheme="minorBidi"/>
              <w:noProof/>
              <w:sz w:val="22"/>
            </w:rPr>
          </w:pPr>
          <w:hyperlink w:anchor="_Toc520485033" w:history="1">
            <w:r w:rsidR="00950C34" w:rsidRPr="008D12EF">
              <w:rPr>
                <w:rStyle w:val="Hyperlink"/>
                <w:noProof/>
              </w:rPr>
              <w:t>1.4.4.</w:t>
            </w:r>
            <w:r w:rsidR="00950C34">
              <w:rPr>
                <w:rFonts w:asciiTheme="minorHAnsi" w:eastAsiaTheme="minorEastAsia" w:hAnsiTheme="minorHAnsi" w:cstheme="minorBidi"/>
                <w:noProof/>
                <w:sz w:val="22"/>
              </w:rPr>
              <w:tab/>
            </w:r>
            <w:r w:rsidR="00950C34" w:rsidRPr="008D12EF">
              <w:rPr>
                <w:rStyle w:val="Hyperlink"/>
                <w:noProof/>
              </w:rPr>
              <w:t>Indicators of performance</w:t>
            </w:r>
            <w:r w:rsidR="00950C34">
              <w:rPr>
                <w:noProof/>
                <w:webHidden/>
              </w:rPr>
              <w:tab/>
            </w:r>
            <w:r w:rsidR="00950C34">
              <w:rPr>
                <w:noProof/>
                <w:webHidden/>
              </w:rPr>
              <w:fldChar w:fldCharType="begin"/>
            </w:r>
            <w:r w:rsidR="00950C34">
              <w:rPr>
                <w:noProof/>
                <w:webHidden/>
              </w:rPr>
              <w:instrText xml:space="preserve"> PAGEREF _Toc520485033 \h </w:instrText>
            </w:r>
            <w:r w:rsidR="00950C34">
              <w:rPr>
                <w:noProof/>
                <w:webHidden/>
              </w:rPr>
            </w:r>
            <w:r w:rsidR="00950C34">
              <w:rPr>
                <w:noProof/>
                <w:webHidden/>
              </w:rPr>
              <w:fldChar w:fldCharType="separate"/>
            </w:r>
            <w:r w:rsidR="00AC03F2">
              <w:rPr>
                <w:noProof/>
                <w:webHidden/>
              </w:rPr>
              <w:t>4</w:t>
            </w:r>
            <w:r w:rsidR="00950C34">
              <w:rPr>
                <w:noProof/>
                <w:webHidden/>
              </w:rPr>
              <w:fldChar w:fldCharType="end"/>
            </w:r>
          </w:hyperlink>
        </w:p>
        <w:p w14:paraId="2B708081" w14:textId="77777777" w:rsidR="00950C34" w:rsidRDefault="008B7B44" w:rsidP="00950C34">
          <w:pPr>
            <w:pStyle w:val="TOC2"/>
            <w:rPr>
              <w:rFonts w:asciiTheme="minorHAnsi" w:eastAsiaTheme="minorEastAsia" w:hAnsiTheme="minorHAnsi" w:cstheme="minorBidi"/>
              <w:noProof/>
              <w:sz w:val="22"/>
            </w:rPr>
          </w:pPr>
          <w:hyperlink w:anchor="_Toc520485034" w:history="1">
            <w:r w:rsidR="00950C34" w:rsidRPr="008D12EF">
              <w:rPr>
                <w:rStyle w:val="Hyperlink"/>
                <w:noProof/>
              </w:rPr>
              <w:t>1.5.</w:t>
            </w:r>
            <w:r w:rsidR="00950C34">
              <w:rPr>
                <w:rFonts w:asciiTheme="minorHAnsi" w:eastAsiaTheme="minorEastAsia" w:hAnsiTheme="minorHAnsi" w:cstheme="minorBidi"/>
                <w:noProof/>
                <w:sz w:val="22"/>
              </w:rPr>
              <w:tab/>
            </w:r>
            <w:r w:rsidR="00950C34" w:rsidRPr="008D12EF">
              <w:rPr>
                <w:rStyle w:val="Hyperlink"/>
                <w:noProof/>
              </w:rPr>
              <w:t>Grounds for the proposal/initiative</w:t>
            </w:r>
            <w:r w:rsidR="00950C34">
              <w:rPr>
                <w:noProof/>
                <w:webHidden/>
              </w:rPr>
              <w:tab/>
            </w:r>
            <w:r w:rsidR="00950C34">
              <w:rPr>
                <w:noProof/>
                <w:webHidden/>
              </w:rPr>
              <w:fldChar w:fldCharType="begin"/>
            </w:r>
            <w:r w:rsidR="00950C34">
              <w:rPr>
                <w:noProof/>
                <w:webHidden/>
              </w:rPr>
              <w:instrText xml:space="preserve"> PAGEREF _Toc520485034 \h </w:instrText>
            </w:r>
            <w:r w:rsidR="00950C34">
              <w:rPr>
                <w:noProof/>
                <w:webHidden/>
              </w:rPr>
            </w:r>
            <w:r w:rsidR="00950C34">
              <w:rPr>
                <w:noProof/>
                <w:webHidden/>
              </w:rPr>
              <w:fldChar w:fldCharType="separate"/>
            </w:r>
            <w:r w:rsidR="00AC03F2">
              <w:rPr>
                <w:noProof/>
                <w:webHidden/>
              </w:rPr>
              <w:t>4</w:t>
            </w:r>
            <w:r w:rsidR="00950C34">
              <w:rPr>
                <w:noProof/>
                <w:webHidden/>
              </w:rPr>
              <w:fldChar w:fldCharType="end"/>
            </w:r>
          </w:hyperlink>
        </w:p>
        <w:p w14:paraId="15FEAB55" w14:textId="77777777" w:rsidR="00950C34" w:rsidRDefault="008B7B44" w:rsidP="00950C34">
          <w:pPr>
            <w:pStyle w:val="TOC3"/>
            <w:rPr>
              <w:rFonts w:asciiTheme="minorHAnsi" w:eastAsiaTheme="minorEastAsia" w:hAnsiTheme="minorHAnsi" w:cstheme="minorBidi"/>
              <w:noProof/>
              <w:sz w:val="22"/>
            </w:rPr>
          </w:pPr>
          <w:hyperlink w:anchor="_Toc520485035" w:history="1">
            <w:r w:rsidR="00950C34" w:rsidRPr="008D12EF">
              <w:rPr>
                <w:rStyle w:val="Hyperlink"/>
                <w:noProof/>
              </w:rPr>
              <w:t>1.5.1.</w:t>
            </w:r>
            <w:r w:rsidR="00950C34">
              <w:rPr>
                <w:rFonts w:asciiTheme="minorHAnsi" w:eastAsiaTheme="minorEastAsia" w:hAnsiTheme="minorHAnsi" w:cstheme="minorBidi"/>
                <w:noProof/>
                <w:sz w:val="22"/>
              </w:rPr>
              <w:tab/>
            </w:r>
            <w:r w:rsidR="00950C34" w:rsidRPr="008D12EF">
              <w:rPr>
                <w:rStyle w:val="Hyperlink"/>
                <w:noProof/>
              </w:rPr>
              <w:t>Requirement(s) to be met in the short or long term including a detailed timeline for roll-out of the implementation of the initiative</w:t>
            </w:r>
            <w:r w:rsidR="00950C34">
              <w:rPr>
                <w:noProof/>
                <w:webHidden/>
              </w:rPr>
              <w:tab/>
            </w:r>
            <w:r w:rsidR="00950C34">
              <w:rPr>
                <w:noProof/>
                <w:webHidden/>
              </w:rPr>
              <w:fldChar w:fldCharType="begin"/>
            </w:r>
            <w:r w:rsidR="00950C34">
              <w:rPr>
                <w:noProof/>
                <w:webHidden/>
              </w:rPr>
              <w:instrText xml:space="preserve"> PAGEREF _Toc520485035 \h </w:instrText>
            </w:r>
            <w:r w:rsidR="00950C34">
              <w:rPr>
                <w:noProof/>
                <w:webHidden/>
              </w:rPr>
            </w:r>
            <w:r w:rsidR="00950C34">
              <w:rPr>
                <w:noProof/>
                <w:webHidden/>
              </w:rPr>
              <w:fldChar w:fldCharType="separate"/>
            </w:r>
            <w:r w:rsidR="00AC03F2">
              <w:rPr>
                <w:noProof/>
                <w:webHidden/>
              </w:rPr>
              <w:t>4</w:t>
            </w:r>
            <w:r w:rsidR="00950C34">
              <w:rPr>
                <w:noProof/>
                <w:webHidden/>
              </w:rPr>
              <w:fldChar w:fldCharType="end"/>
            </w:r>
          </w:hyperlink>
        </w:p>
        <w:p w14:paraId="65FFA6E1" w14:textId="77777777" w:rsidR="00950C34" w:rsidRDefault="008B7B44" w:rsidP="00950C34">
          <w:pPr>
            <w:pStyle w:val="TOC3"/>
            <w:rPr>
              <w:rFonts w:asciiTheme="minorHAnsi" w:eastAsiaTheme="minorEastAsia" w:hAnsiTheme="minorHAnsi" w:cstheme="minorBidi"/>
              <w:noProof/>
              <w:sz w:val="22"/>
            </w:rPr>
          </w:pPr>
          <w:hyperlink w:anchor="_Toc520485036" w:history="1">
            <w:r w:rsidR="00950C34" w:rsidRPr="008D12EF">
              <w:rPr>
                <w:rStyle w:val="Hyperlink"/>
                <w:noProof/>
              </w:rPr>
              <w:t>1.5.2.</w:t>
            </w:r>
            <w:r w:rsidR="00950C34">
              <w:rPr>
                <w:rFonts w:asciiTheme="minorHAnsi" w:eastAsiaTheme="minorEastAsia" w:hAnsiTheme="minorHAnsi" w:cstheme="minorBidi"/>
                <w:noProof/>
                <w:sz w:val="22"/>
              </w:rPr>
              <w:tab/>
            </w:r>
            <w:r w:rsidR="00950C34" w:rsidRPr="008D12EF">
              <w:rPr>
                <w:rStyle w:val="Hyperlink"/>
                <w:noProof/>
              </w:rPr>
              <w:t>Added value of Union involvement (it may result from different factors, e.g. coordination gains, legal certainty, greater effectiveness or complementarities). For the purposes of this point 'added value of Union involvement' is the value resulting from Union intervention which is additional to the value that would have been otherwise created by Member States alone.</w:t>
            </w:r>
            <w:r w:rsidR="00950C34">
              <w:rPr>
                <w:noProof/>
                <w:webHidden/>
              </w:rPr>
              <w:tab/>
            </w:r>
            <w:r w:rsidR="00950C34">
              <w:rPr>
                <w:noProof/>
                <w:webHidden/>
              </w:rPr>
              <w:fldChar w:fldCharType="begin"/>
            </w:r>
            <w:r w:rsidR="00950C34">
              <w:rPr>
                <w:noProof/>
                <w:webHidden/>
              </w:rPr>
              <w:instrText xml:space="preserve"> PAGEREF _Toc520485036 \h </w:instrText>
            </w:r>
            <w:r w:rsidR="00950C34">
              <w:rPr>
                <w:noProof/>
                <w:webHidden/>
              </w:rPr>
            </w:r>
            <w:r w:rsidR="00950C34">
              <w:rPr>
                <w:noProof/>
                <w:webHidden/>
              </w:rPr>
              <w:fldChar w:fldCharType="separate"/>
            </w:r>
            <w:r w:rsidR="00AC03F2">
              <w:rPr>
                <w:noProof/>
                <w:webHidden/>
              </w:rPr>
              <w:t>5</w:t>
            </w:r>
            <w:r w:rsidR="00950C34">
              <w:rPr>
                <w:noProof/>
                <w:webHidden/>
              </w:rPr>
              <w:fldChar w:fldCharType="end"/>
            </w:r>
          </w:hyperlink>
        </w:p>
        <w:p w14:paraId="1BB1FF20" w14:textId="77777777" w:rsidR="00950C34" w:rsidRDefault="008B7B44" w:rsidP="00950C34">
          <w:pPr>
            <w:pStyle w:val="TOC3"/>
            <w:rPr>
              <w:rFonts w:asciiTheme="minorHAnsi" w:eastAsiaTheme="minorEastAsia" w:hAnsiTheme="minorHAnsi" w:cstheme="minorBidi"/>
              <w:noProof/>
              <w:sz w:val="22"/>
            </w:rPr>
          </w:pPr>
          <w:hyperlink w:anchor="_Toc520485037" w:history="1">
            <w:r w:rsidR="00950C34" w:rsidRPr="008D12EF">
              <w:rPr>
                <w:rStyle w:val="Hyperlink"/>
                <w:noProof/>
              </w:rPr>
              <w:t>1.5.3.</w:t>
            </w:r>
            <w:r w:rsidR="00950C34">
              <w:rPr>
                <w:rFonts w:asciiTheme="minorHAnsi" w:eastAsiaTheme="minorEastAsia" w:hAnsiTheme="minorHAnsi" w:cstheme="minorBidi"/>
                <w:noProof/>
                <w:sz w:val="22"/>
              </w:rPr>
              <w:tab/>
            </w:r>
            <w:r w:rsidR="00950C34" w:rsidRPr="008D12EF">
              <w:rPr>
                <w:rStyle w:val="Hyperlink"/>
                <w:noProof/>
              </w:rPr>
              <w:t>Lessons learned from similar experiences in the past</w:t>
            </w:r>
            <w:r w:rsidR="00950C34">
              <w:rPr>
                <w:noProof/>
                <w:webHidden/>
              </w:rPr>
              <w:tab/>
            </w:r>
            <w:r w:rsidR="00950C34">
              <w:rPr>
                <w:noProof/>
                <w:webHidden/>
              </w:rPr>
              <w:fldChar w:fldCharType="begin"/>
            </w:r>
            <w:r w:rsidR="00950C34">
              <w:rPr>
                <w:noProof/>
                <w:webHidden/>
              </w:rPr>
              <w:instrText xml:space="preserve"> PAGEREF _Toc520485037 \h </w:instrText>
            </w:r>
            <w:r w:rsidR="00950C34">
              <w:rPr>
                <w:noProof/>
                <w:webHidden/>
              </w:rPr>
            </w:r>
            <w:r w:rsidR="00950C34">
              <w:rPr>
                <w:noProof/>
                <w:webHidden/>
              </w:rPr>
              <w:fldChar w:fldCharType="separate"/>
            </w:r>
            <w:r w:rsidR="00AC03F2">
              <w:rPr>
                <w:noProof/>
                <w:webHidden/>
              </w:rPr>
              <w:t>5</w:t>
            </w:r>
            <w:r w:rsidR="00950C34">
              <w:rPr>
                <w:noProof/>
                <w:webHidden/>
              </w:rPr>
              <w:fldChar w:fldCharType="end"/>
            </w:r>
          </w:hyperlink>
        </w:p>
        <w:p w14:paraId="16952BFE" w14:textId="77777777" w:rsidR="00950C34" w:rsidRDefault="008B7B44" w:rsidP="00950C34">
          <w:pPr>
            <w:pStyle w:val="TOC3"/>
            <w:rPr>
              <w:rFonts w:asciiTheme="minorHAnsi" w:eastAsiaTheme="minorEastAsia" w:hAnsiTheme="minorHAnsi" w:cstheme="minorBidi"/>
              <w:noProof/>
              <w:sz w:val="22"/>
            </w:rPr>
          </w:pPr>
          <w:hyperlink w:anchor="_Toc520485038" w:history="1">
            <w:r w:rsidR="00950C34" w:rsidRPr="008D12EF">
              <w:rPr>
                <w:rStyle w:val="Hyperlink"/>
                <w:noProof/>
              </w:rPr>
              <w:t>1.5.4.</w:t>
            </w:r>
            <w:r w:rsidR="00950C34">
              <w:rPr>
                <w:rFonts w:asciiTheme="minorHAnsi" w:eastAsiaTheme="minorEastAsia" w:hAnsiTheme="minorHAnsi" w:cstheme="minorBidi"/>
                <w:noProof/>
                <w:sz w:val="22"/>
              </w:rPr>
              <w:tab/>
            </w:r>
            <w:r w:rsidR="00950C34" w:rsidRPr="008D12EF">
              <w:rPr>
                <w:rStyle w:val="Hyperlink"/>
                <w:noProof/>
              </w:rPr>
              <w:t>Compatibility with the Multiannual Financial Framework and possible synergies with other appropriate instruments</w:t>
            </w:r>
            <w:r w:rsidR="00950C34">
              <w:rPr>
                <w:noProof/>
                <w:webHidden/>
              </w:rPr>
              <w:tab/>
            </w:r>
            <w:r w:rsidR="00950C34">
              <w:rPr>
                <w:noProof/>
                <w:webHidden/>
              </w:rPr>
              <w:fldChar w:fldCharType="begin"/>
            </w:r>
            <w:r w:rsidR="00950C34">
              <w:rPr>
                <w:noProof/>
                <w:webHidden/>
              </w:rPr>
              <w:instrText xml:space="preserve"> PAGEREF _Toc520485038 \h </w:instrText>
            </w:r>
            <w:r w:rsidR="00950C34">
              <w:rPr>
                <w:noProof/>
                <w:webHidden/>
              </w:rPr>
            </w:r>
            <w:r w:rsidR="00950C34">
              <w:rPr>
                <w:noProof/>
                <w:webHidden/>
              </w:rPr>
              <w:fldChar w:fldCharType="separate"/>
            </w:r>
            <w:r w:rsidR="00AC03F2">
              <w:rPr>
                <w:noProof/>
                <w:webHidden/>
              </w:rPr>
              <w:t>5</w:t>
            </w:r>
            <w:r w:rsidR="00950C34">
              <w:rPr>
                <w:noProof/>
                <w:webHidden/>
              </w:rPr>
              <w:fldChar w:fldCharType="end"/>
            </w:r>
          </w:hyperlink>
        </w:p>
        <w:p w14:paraId="73C5800B" w14:textId="77777777" w:rsidR="00950C34" w:rsidRDefault="008B7B44" w:rsidP="00950C34">
          <w:pPr>
            <w:pStyle w:val="TOC3"/>
            <w:rPr>
              <w:rFonts w:asciiTheme="minorHAnsi" w:eastAsiaTheme="minorEastAsia" w:hAnsiTheme="minorHAnsi" w:cstheme="minorBidi"/>
              <w:noProof/>
              <w:sz w:val="22"/>
            </w:rPr>
          </w:pPr>
          <w:hyperlink w:anchor="_Toc520485039" w:history="1">
            <w:r w:rsidR="00950C34" w:rsidRPr="008D12EF">
              <w:rPr>
                <w:rStyle w:val="Hyperlink"/>
                <w:noProof/>
              </w:rPr>
              <w:t>1.5.5.</w:t>
            </w:r>
            <w:r w:rsidR="00950C34">
              <w:rPr>
                <w:rFonts w:asciiTheme="minorHAnsi" w:eastAsiaTheme="minorEastAsia" w:hAnsiTheme="minorHAnsi" w:cstheme="minorBidi"/>
                <w:noProof/>
                <w:sz w:val="22"/>
              </w:rPr>
              <w:tab/>
            </w:r>
            <w:r w:rsidR="00950C34" w:rsidRPr="008D12EF">
              <w:rPr>
                <w:rStyle w:val="Hyperlink"/>
                <w:noProof/>
              </w:rPr>
              <w:t>Assessment of the different available financing options, including scope for redeployment</w:t>
            </w:r>
            <w:r w:rsidR="00950C34">
              <w:rPr>
                <w:noProof/>
                <w:webHidden/>
              </w:rPr>
              <w:tab/>
            </w:r>
            <w:r w:rsidR="00950C34">
              <w:rPr>
                <w:noProof/>
                <w:webHidden/>
              </w:rPr>
              <w:fldChar w:fldCharType="begin"/>
            </w:r>
            <w:r w:rsidR="00950C34">
              <w:rPr>
                <w:noProof/>
                <w:webHidden/>
              </w:rPr>
              <w:instrText xml:space="preserve"> PAGEREF _Toc520485039 \h </w:instrText>
            </w:r>
            <w:r w:rsidR="00950C34">
              <w:rPr>
                <w:noProof/>
                <w:webHidden/>
              </w:rPr>
            </w:r>
            <w:r w:rsidR="00950C34">
              <w:rPr>
                <w:noProof/>
                <w:webHidden/>
              </w:rPr>
              <w:fldChar w:fldCharType="separate"/>
            </w:r>
            <w:r w:rsidR="00AC03F2">
              <w:rPr>
                <w:noProof/>
                <w:webHidden/>
              </w:rPr>
              <w:t>6</w:t>
            </w:r>
            <w:r w:rsidR="00950C34">
              <w:rPr>
                <w:noProof/>
                <w:webHidden/>
              </w:rPr>
              <w:fldChar w:fldCharType="end"/>
            </w:r>
          </w:hyperlink>
        </w:p>
        <w:p w14:paraId="7ACE1EDA" w14:textId="77777777" w:rsidR="00950C34" w:rsidRDefault="008B7B44" w:rsidP="00950C34">
          <w:pPr>
            <w:pStyle w:val="TOC2"/>
            <w:rPr>
              <w:rFonts w:asciiTheme="minorHAnsi" w:eastAsiaTheme="minorEastAsia" w:hAnsiTheme="minorHAnsi" w:cstheme="minorBidi"/>
              <w:noProof/>
              <w:sz w:val="22"/>
            </w:rPr>
          </w:pPr>
          <w:hyperlink w:anchor="_Toc520485040" w:history="1">
            <w:r w:rsidR="00950C34" w:rsidRPr="008D12EF">
              <w:rPr>
                <w:rStyle w:val="Hyperlink"/>
                <w:noProof/>
              </w:rPr>
              <w:t>1.6.</w:t>
            </w:r>
            <w:r w:rsidR="00950C34">
              <w:rPr>
                <w:rFonts w:asciiTheme="minorHAnsi" w:eastAsiaTheme="minorEastAsia" w:hAnsiTheme="minorHAnsi" w:cstheme="minorBidi"/>
                <w:noProof/>
                <w:sz w:val="22"/>
              </w:rPr>
              <w:tab/>
            </w:r>
            <w:r w:rsidR="00950C34" w:rsidRPr="008D12EF">
              <w:rPr>
                <w:rStyle w:val="Hyperlink"/>
                <w:noProof/>
              </w:rPr>
              <w:t>Duration and financial impact of the proposal/initiative</w:t>
            </w:r>
            <w:r w:rsidR="00950C34">
              <w:rPr>
                <w:noProof/>
                <w:webHidden/>
              </w:rPr>
              <w:tab/>
            </w:r>
            <w:r w:rsidR="00950C34">
              <w:rPr>
                <w:noProof/>
                <w:webHidden/>
              </w:rPr>
              <w:fldChar w:fldCharType="begin"/>
            </w:r>
            <w:r w:rsidR="00950C34">
              <w:rPr>
                <w:noProof/>
                <w:webHidden/>
              </w:rPr>
              <w:instrText xml:space="preserve"> PAGEREF _Toc520485040 \h </w:instrText>
            </w:r>
            <w:r w:rsidR="00950C34">
              <w:rPr>
                <w:noProof/>
                <w:webHidden/>
              </w:rPr>
            </w:r>
            <w:r w:rsidR="00950C34">
              <w:rPr>
                <w:noProof/>
                <w:webHidden/>
              </w:rPr>
              <w:fldChar w:fldCharType="separate"/>
            </w:r>
            <w:r w:rsidR="00AC03F2">
              <w:rPr>
                <w:noProof/>
                <w:webHidden/>
              </w:rPr>
              <w:t>7</w:t>
            </w:r>
            <w:r w:rsidR="00950C34">
              <w:rPr>
                <w:noProof/>
                <w:webHidden/>
              </w:rPr>
              <w:fldChar w:fldCharType="end"/>
            </w:r>
          </w:hyperlink>
        </w:p>
        <w:p w14:paraId="508290F3" w14:textId="77777777" w:rsidR="00950C34" w:rsidRDefault="008B7B44" w:rsidP="00950C34">
          <w:pPr>
            <w:pStyle w:val="TOC2"/>
            <w:rPr>
              <w:rFonts w:asciiTheme="minorHAnsi" w:eastAsiaTheme="minorEastAsia" w:hAnsiTheme="minorHAnsi" w:cstheme="minorBidi"/>
              <w:noProof/>
              <w:sz w:val="22"/>
            </w:rPr>
          </w:pPr>
          <w:hyperlink w:anchor="_Toc520485041" w:history="1">
            <w:r w:rsidR="00950C34" w:rsidRPr="008D12EF">
              <w:rPr>
                <w:rStyle w:val="Hyperlink"/>
                <w:noProof/>
              </w:rPr>
              <w:t>1.7.</w:t>
            </w:r>
            <w:r w:rsidR="00950C34">
              <w:rPr>
                <w:rFonts w:asciiTheme="minorHAnsi" w:eastAsiaTheme="minorEastAsia" w:hAnsiTheme="minorHAnsi" w:cstheme="minorBidi"/>
                <w:noProof/>
                <w:sz w:val="22"/>
              </w:rPr>
              <w:tab/>
            </w:r>
            <w:r w:rsidR="00950C34" w:rsidRPr="008D12EF">
              <w:rPr>
                <w:rStyle w:val="Hyperlink"/>
                <w:noProof/>
              </w:rPr>
              <w:t>Management mode(s) planned</w:t>
            </w:r>
            <w:r w:rsidR="00950C34">
              <w:rPr>
                <w:noProof/>
                <w:webHidden/>
              </w:rPr>
              <w:tab/>
            </w:r>
            <w:r w:rsidR="00950C34">
              <w:rPr>
                <w:noProof/>
                <w:webHidden/>
              </w:rPr>
              <w:fldChar w:fldCharType="begin"/>
            </w:r>
            <w:r w:rsidR="00950C34">
              <w:rPr>
                <w:noProof/>
                <w:webHidden/>
              </w:rPr>
              <w:instrText xml:space="preserve"> PAGEREF _Toc520485041 \h </w:instrText>
            </w:r>
            <w:r w:rsidR="00950C34">
              <w:rPr>
                <w:noProof/>
                <w:webHidden/>
              </w:rPr>
            </w:r>
            <w:r w:rsidR="00950C34">
              <w:rPr>
                <w:noProof/>
                <w:webHidden/>
              </w:rPr>
              <w:fldChar w:fldCharType="separate"/>
            </w:r>
            <w:r w:rsidR="00AC03F2">
              <w:rPr>
                <w:noProof/>
                <w:webHidden/>
              </w:rPr>
              <w:t>7</w:t>
            </w:r>
            <w:r w:rsidR="00950C34">
              <w:rPr>
                <w:noProof/>
                <w:webHidden/>
              </w:rPr>
              <w:fldChar w:fldCharType="end"/>
            </w:r>
          </w:hyperlink>
        </w:p>
        <w:p w14:paraId="3BFF8894" w14:textId="77777777" w:rsidR="00950C34" w:rsidRDefault="008B7B44" w:rsidP="00950C34">
          <w:pPr>
            <w:pStyle w:val="TOC1"/>
            <w:rPr>
              <w:rFonts w:asciiTheme="minorHAnsi" w:eastAsiaTheme="minorEastAsia" w:hAnsiTheme="minorHAnsi" w:cstheme="minorBidi"/>
              <w:noProof/>
              <w:sz w:val="22"/>
            </w:rPr>
          </w:pPr>
          <w:hyperlink w:anchor="_Toc520485042" w:history="1">
            <w:r w:rsidR="00950C34" w:rsidRPr="008D12EF">
              <w:rPr>
                <w:rStyle w:val="Hyperlink"/>
                <w:noProof/>
              </w:rPr>
              <w:t>2.</w:t>
            </w:r>
            <w:r w:rsidR="00950C34">
              <w:rPr>
                <w:rFonts w:asciiTheme="minorHAnsi" w:eastAsiaTheme="minorEastAsia" w:hAnsiTheme="minorHAnsi" w:cstheme="minorBidi"/>
                <w:noProof/>
                <w:sz w:val="22"/>
              </w:rPr>
              <w:tab/>
            </w:r>
            <w:r w:rsidR="00950C34" w:rsidRPr="008D12EF">
              <w:rPr>
                <w:rStyle w:val="Hyperlink"/>
                <w:noProof/>
              </w:rPr>
              <w:t>MANAGEMENT MEASURES</w:t>
            </w:r>
            <w:r w:rsidR="00950C34">
              <w:rPr>
                <w:noProof/>
                <w:webHidden/>
              </w:rPr>
              <w:tab/>
            </w:r>
            <w:r w:rsidR="00950C34">
              <w:rPr>
                <w:noProof/>
                <w:webHidden/>
              </w:rPr>
              <w:fldChar w:fldCharType="begin"/>
            </w:r>
            <w:r w:rsidR="00950C34">
              <w:rPr>
                <w:noProof/>
                <w:webHidden/>
              </w:rPr>
              <w:instrText xml:space="preserve"> PAGEREF _Toc520485042 \h </w:instrText>
            </w:r>
            <w:r w:rsidR="00950C34">
              <w:rPr>
                <w:noProof/>
                <w:webHidden/>
              </w:rPr>
            </w:r>
            <w:r w:rsidR="00950C34">
              <w:rPr>
                <w:noProof/>
                <w:webHidden/>
              </w:rPr>
              <w:fldChar w:fldCharType="separate"/>
            </w:r>
            <w:r w:rsidR="00AC03F2">
              <w:rPr>
                <w:noProof/>
                <w:webHidden/>
              </w:rPr>
              <w:t>7</w:t>
            </w:r>
            <w:r w:rsidR="00950C34">
              <w:rPr>
                <w:noProof/>
                <w:webHidden/>
              </w:rPr>
              <w:fldChar w:fldCharType="end"/>
            </w:r>
          </w:hyperlink>
        </w:p>
        <w:p w14:paraId="5527687C" w14:textId="77777777" w:rsidR="00950C34" w:rsidRDefault="008B7B44" w:rsidP="00950C34">
          <w:pPr>
            <w:pStyle w:val="TOC2"/>
            <w:rPr>
              <w:rFonts w:asciiTheme="minorHAnsi" w:eastAsiaTheme="minorEastAsia" w:hAnsiTheme="minorHAnsi" w:cstheme="minorBidi"/>
              <w:noProof/>
              <w:sz w:val="22"/>
            </w:rPr>
          </w:pPr>
          <w:hyperlink w:anchor="_Toc520485043" w:history="1">
            <w:r w:rsidR="00950C34" w:rsidRPr="008D12EF">
              <w:rPr>
                <w:rStyle w:val="Hyperlink"/>
                <w:noProof/>
              </w:rPr>
              <w:t>2.1.</w:t>
            </w:r>
            <w:r w:rsidR="00950C34">
              <w:rPr>
                <w:rFonts w:asciiTheme="minorHAnsi" w:eastAsiaTheme="minorEastAsia" w:hAnsiTheme="minorHAnsi" w:cstheme="minorBidi"/>
                <w:noProof/>
                <w:sz w:val="22"/>
              </w:rPr>
              <w:tab/>
            </w:r>
            <w:r w:rsidR="00950C34" w:rsidRPr="008D12EF">
              <w:rPr>
                <w:rStyle w:val="Hyperlink"/>
                <w:noProof/>
              </w:rPr>
              <w:t>Monitoring and reporting rules</w:t>
            </w:r>
            <w:r w:rsidR="00950C34">
              <w:rPr>
                <w:noProof/>
                <w:webHidden/>
              </w:rPr>
              <w:tab/>
            </w:r>
            <w:r w:rsidR="00950C34">
              <w:rPr>
                <w:noProof/>
                <w:webHidden/>
              </w:rPr>
              <w:fldChar w:fldCharType="begin"/>
            </w:r>
            <w:r w:rsidR="00950C34">
              <w:rPr>
                <w:noProof/>
                <w:webHidden/>
              </w:rPr>
              <w:instrText xml:space="preserve"> PAGEREF _Toc520485043 \h </w:instrText>
            </w:r>
            <w:r w:rsidR="00950C34">
              <w:rPr>
                <w:noProof/>
                <w:webHidden/>
              </w:rPr>
            </w:r>
            <w:r w:rsidR="00950C34">
              <w:rPr>
                <w:noProof/>
                <w:webHidden/>
              </w:rPr>
              <w:fldChar w:fldCharType="separate"/>
            </w:r>
            <w:r w:rsidR="00AC03F2">
              <w:rPr>
                <w:noProof/>
                <w:webHidden/>
              </w:rPr>
              <w:t>7</w:t>
            </w:r>
            <w:r w:rsidR="00950C34">
              <w:rPr>
                <w:noProof/>
                <w:webHidden/>
              </w:rPr>
              <w:fldChar w:fldCharType="end"/>
            </w:r>
          </w:hyperlink>
        </w:p>
        <w:p w14:paraId="63E04B44" w14:textId="77777777" w:rsidR="00950C34" w:rsidRDefault="008B7B44" w:rsidP="00950C34">
          <w:pPr>
            <w:pStyle w:val="TOC2"/>
            <w:rPr>
              <w:rFonts w:asciiTheme="minorHAnsi" w:eastAsiaTheme="minorEastAsia" w:hAnsiTheme="minorHAnsi" w:cstheme="minorBidi"/>
              <w:noProof/>
              <w:sz w:val="22"/>
            </w:rPr>
          </w:pPr>
          <w:hyperlink w:anchor="_Toc520485044" w:history="1">
            <w:r w:rsidR="00950C34" w:rsidRPr="008D12EF">
              <w:rPr>
                <w:rStyle w:val="Hyperlink"/>
                <w:noProof/>
              </w:rPr>
              <w:t>2.2.</w:t>
            </w:r>
            <w:r w:rsidR="00950C34">
              <w:rPr>
                <w:rFonts w:asciiTheme="minorHAnsi" w:eastAsiaTheme="minorEastAsia" w:hAnsiTheme="minorHAnsi" w:cstheme="minorBidi"/>
                <w:noProof/>
                <w:sz w:val="22"/>
              </w:rPr>
              <w:tab/>
            </w:r>
            <w:r w:rsidR="00950C34" w:rsidRPr="008D12EF">
              <w:rPr>
                <w:rStyle w:val="Hyperlink"/>
                <w:noProof/>
              </w:rPr>
              <w:t>Management and control system(s)</w:t>
            </w:r>
            <w:r w:rsidR="00950C34">
              <w:rPr>
                <w:noProof/>
                <w:webHidden/>
              </w:rPr>
              <w:tab/>
            </w:r>
            <w:r w:rsidR="00950C34">
              <w:rPr>
                <w:noProof/>
                <w:webHidden/>
              </w:rPr>
              <w:fldChar w:fldCharType="begin"/>
            </w:r>
            <w:r w:rsidR="00950C34">
              <w:rPr>
                <w:noProof/>
                <w:webHidden/>
              </w:rPr>
              <w:instrText xml:space="preserve"> PAGEREF _Toc520485044 \h </w:instrText>
            </w:r>
            <w:r w:rsidR="00950C34">
              <w:rPr>
                <w:noProof/>
                <w:webHidden/>
              </w:rPr>
            </w:r>
            <w:r w:rsidR="00950C34">
              <w:rPr>
                <w:noProof/>
                <w:webHidden/>
              </w:rPr>
              <w:fldChar w:fldCharType="separate"/>
            </w:r>
            <w:r w:rsidR="00AC03F2">
              <w:rPr>
                <w:noProof/>
                <w:webHidden/>
              </w:rPr>
              <w:t>8</w:t>
            </w:r>
            <w:r w:rsidR="00950C34">
              <w:rPr>
                <w:noProof/>
                <w:webHidden/>
              </w:rPr>
              <w:fldChar w:fldCharType="end"/>
            </w:r>
          </w:hyperlink>
        </w:p>
        <w:p w14:paraId="2EB450F6" w14:textId="77777777" w:rsidR="00950C34" w:rsidRDefault="008B7B44" w:rsidP="00950C34">
          <w:pPr>
            <w:pStyle w:val="TOC3"/>
            <w:rPr>
              <w:rFonts w:asciiTheme="minorHAnsi" w:eastAsiaTheme="minorEastAsia" w:hAnsiTheme="minorHAnsi" w:cstheme="minorBidi"/>
              <w:noProof/>
              <w:sz w:val="22"/>
            </w:rPr>
          </w:pPr>
          <w:hyperlink w:anchor="_Toc520485045" w:history="1">
            <w:r w:rsidR="00950C34" w:rsidRPr="008D12EF">
              <w:rPr>
                <w:rStyle w:val="Hyperlink"/>
                <w:noProof/>
              </w:rPr>
              <w:t>2.2.1.</w:t>
            </w:r>
            <w:r w:rsidR="00950C34">
              <w:rPr>
                <w:rFonts w:asciiTheme="minorHAnsi" w:eastAsiaTheme="minorEastAsia" w:hAnsiTheme="minorHAnsi" w:cstheme="minorBidi"/>
                <w:noProof/>
                <w:sz w:val="22"/>
              </w:rPr>
              <w:tab/>
            </w:r>
            <w:r w:rsidR="00950C34" w:rsidRPr="008D12EF">
              <w:rPr>
                <w:rStyle w:val="Hyperlink"/>
                <w:noProof/>
              </w:rPr>
              <w:t>Justification of the management mode(s), the funding implementation mechanism(s), the payment modalities and the control strategy proposed</w:t>
            </w:r>
            <w:r w:rsidR="00950C34">
              <w:rPr>
                <w:noProof/>
                <w:webHidden/>
              </w:rPr>
              <w:tab/>
            </w:r>
            <w:r w:rsidR="00950C34">
              <w:rPr>
                <w:noProof/>
                <w:webHidden/>
              </w:rPr>
              <w:fldChar w:fldCharType="begin"/>
            </w:r>
            <w:r w:rsidR="00950C34">
              <w:rPr>
                <w:noProof/>
                <w:webHidden/>
              </w:rPr>
              <w:instrText xml:space="preserve"> PAGEREF _Toc520485045 \h </w:instrText>
            </w:r>
            <w:r w:rsidR="00950C34">
              <w:rPr>
                <w:noProof/>
                <w:webHidden/>
              </w:rPr>
            </w:r>
            <w:r w:rsidR="00950C34">
              <w:rPr>
                <w:noProof/>
                <w:webHidden/>
              </w:rPr>
              <w:fldChar w:fldCharType="separate"/>
            </w:r>
            <w:r w:rsidR="00AC03F2">
              <w:rPr>
                <w:noProof/>
                <w:webHidden/>
              </w:rPr>
              <w:t>8</w:t>
            </w:r>
            <w:r w:rsidR="00950C34">
              <w:rPr>
                <w:noProof/>
                <w:webHidden/>
              </w:rPr>
              <w:fldChar w:fldCharType="end"/>
            </w:r>
          </w:hyperlink>
        </w:p>
        <w:p w14:paraId="5692BE5D" w14:textId="77777777" w:rsidR="00950C34" w:rsidRDefault="008B7B44" w:rsidP="00950C34">
          <w:pPr>
            <w:pStyle w:val="TOC3"/>
            <w:rPr>
              <w:rFonts w:asciiTheme="minorHAnsi" w:eastAsiaTheme="minorEastAsia" w:hAnsiTheme="minorHAnsi" w:cstheme="minorBidi"/>
              <w:noProof/>
              <w:sz w:val="22"/>
            </w:rPr>
          </w:pPr>
          <w:hyperlink w:anchor="_Toc520485046" w:history="1">
            <w:r w:rsidR="00950C34" w:rsidRPr="008D12EF">
              <w:rPr>
                <w:rStyle w:val="Hyperlink"/>
                <w:noProof/>
              </w:rPr>
              <w:t>2.2.2.</w:t>
            </w:r>
            <w:r w:rsidR="00950C34">
              <w:rPr>
                <w:rFonts w:asciiTheme="minorHAnsi" w:eastAsiaTheme="minorEastAsia" w:hAnsiTheme="minorHAnsi" w:cstheme="minorBidi"/>
                <w:noProof/>
                <w:sz w:val="22"/>
              </w:rPr>
              <w:tab/>
            </w:r>
            <w:r w:rsidR="00950C34" w:rsidRPr="008D12EF">
              <w:rPr>
                <w:rStyle w:val="Hyperlink"/>
                <w:noProof/>
              </w:rPr>
              <w:t>Information concerning the risks identified and the internal control system(s) set up to mitigate them</w:t>
            </w:r>
            <w:r w:rsidR="00950C34">
              <w:rPr>
                <w:noProof/>
                <w:webHidden/>
              </w:rPr>
              <w:tab/>
            </w:r>
            <w:r w:rsidR="00950C34">
              <w:rPr>
                <w:noProof/>
                <w:webHidden/>
              </w:rPr>
              <w:fldChar w:fldCharType="begin"/>
            </w:r>
            <w:r w:rsidR="00950C34">
              <w:rPr>
                <w:noProof/>
                <w:webHidden/>
              </w:rPr>
              <w:instrText xml:space="preserve"> PAGEREF _Toc520485046 \h </w:instrText>
            </w:r>
            <w:r w:rsidR="00950C34">
              <w:rPr>
                <w:noProof/>
                <w:webHidden/>
              </w:rPr>
            </w:r>
            <w:r w:rsidR="00950C34">
              <w:rPr>
                <w:noProof/>
                <w:webHidden/>
              </w:rPr>
              <w:fldChar w:fldCharType="separate"/>
            </w:r>
            <w:r w:rsidR="00AC03F2">
              <w:rPr>
                <w:noProof/>
                <w:webHidden/>
              </w:rPr>
              <w:t>8</w:t>
            </w:r>
            <w:r w:rsidR="00950C34">
              <w:rPr>
                <w:noProof/>
                <w:webHidden/>
              </w:rPr>
              <w:fldChar w:fldCharType="end"/>
            </w:r>
          </w:hyperlink>
        </w:p>
        <w:p w14:paraId="569DDD2F" w14:textId="77777777" w:rsidR="00950C34" w:rsidRDefault="008B7B44" w:rsidP="00950C34">
          <w:pPr>
            <w:pStyle w:val="TOC3"/>
            <w:rPr>
              <w:rFonts w:asciiTheme="minorHAnsi" w:eastAsiaTheme="minorEastAsia" w:hAnsiTheme="minorHAnsi" w:cstheme="minorBidi"/>
              <w:noProof/>
              <w:sz w:val="22"/>
            </w:rPr>
          </w:pPr>
          <w:hyperlink w:anchor="_Toc520485047" w:history="1">
            <w:r w:rsidR="00950C34" w:rsidRPr="008D12EF">
              <w:rPr>
                <w:rStyle w:val="Hyperlink"/>
                <w:noProof/>
              </w:rPr>
              <w:t>2.2.3.</w:t>
            </w:r>
            <w:r w:rsidR="00950C34">
              <w:rPr>
                <w:rFonts w:asciiTheme="minorHAnsi" w:eastAsiaTheme="minorEastAsia" w:hAnsiTheme="minorHAnsi" w:cstheme="minorBidi"/>
                <w:noProof/>
                <w:sz w:val="22"/>
              </w:rPr>
              <w:tab/>
            </w:r>
            <w:r w:rsidR="00950C34" w:rsidRPr="008D12EF">
              <w:rPr>
                <w:rStyle w:val="Hyperlink"/>
                <w:noProof/>
              </w:rPr>
              <w:t>Estimation and justification of the cost-effectiveness of the controls (ratio of "control costs ÷ value of the related funds managed"), and assessment of the expected levels of risk of error (at payment &amp; at closure)</w:t>
            </w:r>
            <w:r w:rsidR="00950C34">
              <w:rPr>
                <w:noProof/>
                <w:webHidden/>
              </w:rPr>
              <w:tab/>
            </w:r>
            <w:r w:rsidR="00950C34">
              <w:rPr>
                <w:noProof/>
                <w:webHidden/>
              </w:rPr>
              <w:fldChar w:fldCharType="begin"/>
            </w:r>
            <w:r w:rsidR="00950C34">
              <w:rPr>
                <w:noProof/>
                <w:webHidden/>
              </w:rPr>
              <w:instrText xml:space="preserve"> PAGEREF _Toc520485047 \h </w:instrText>
            </w:r>
            <w:r w:rsidR="00950C34">
              <w:rPr>
                <w:noProof/>
                <w:webHidden/>
              </w:rPr>
            </w:r>
            <w:r w:rsidR="00950C34">
              <w:rPr>
                <w:noProof/>
                <w:webHidden/>
              </w:rPr>
              <w:fldChar w:fldCharType="separate"/>
            </w:r>
            <w:r w:rsidR="00AC03F2">
              <w:rPr>
                <w:noProof/>
                <w:webHidden/>
              </w:rPr>
              <w:t>8</w:t>
            </w:r>
            <w:r w:rsidR="00950C34">
              <w:rPr>
                <w:noProof/>
                <w:webHidden/>
              </w:rPr>
              <w:fldChar w:fldCharType="end"/>
            </w:r>
          </w:hyperlink>
        </w:p>
        <w:p w14:paraId="013B4765" w14:textId="77777777" w:rsidR="00950C34" w:rsidRDefault="008B7B44" w:rsidP="00950C34">
          <w:pPr>
            <w:pStyle w:val="TOC2"/>
            <w:rPr>
              <w:rFonts w:asciiTheme="minorHAnsi" w:eastAsiaTheme="minorEastAsia" w:hAnsiTheme="minorHAnsi" w:cstheme="minorBidi"/>
              <w:noProof/>
              <w:sz w:val="22"/>
            </w:rPr>
          </w:pPr>
          <w:hyperlink w:anchor="_Toc520485048" w:history="1">
            <w:r w:rsidR="00950C34" w:rsidRPr="008D12EF">
              <w:rPr>
                <w:rStyle w:val="Hyperlink"/>
                <w:noProof/>
              </w:rPr>
              <w:t>2.3.</w:t>
            </w:r>
            <w:r w:rsidR="00950C34">
              <w:rPr>
                <w:rFonts w:asciiTheme="minorHAnsi" w:eastAsiaTheme="minorEastAsia" w:hAnsiTheme="minorHAnsi" w:cstheme="minorBidi"/>
                <w:noProof/>
                <w:sz w:val="22"/>
              </w:rPr>
              <w:tab/>
            </w:r>
            <w:r w:rsidR="00950C34" w:rsidRPr="008D12EF">
              <w:rPr>
                <w:rStyle w:val="Hyperlink"/>
                <w:noProof/>
              </w:rPr>
              <w:t>Measures to prevent fraud and irregularities</w:t>
            </w:r>
            <w:r w:rsidR="00950C34">
              <w:rPr>
                <w:noProof/>
                <w:webHidden/>
              </w:rPr>
              <w:tab/>
            </w:r>
            <w:r w:rsidR="00950C34">
              <w:rPr>
                <w:noProof/>
                <w:webHidden/>
              </w:rPr>
              <w:fldChar w:fldCharType="begin"/>
            </w:r>
            <w:r w:rsidR="00950C34">
              <w:rPr>
                <w:noProof/>
                <w:webHidden/>
              </w:rPr>
              <w:instrText xml:space="preserve"> PAGEREF _Toc520485048 \h </w:instrText>
            </w:r>
            <w:r w:rsidR="00950C34">
              <w:rPr>
                <w:noProof/>
                <w:webHidden/>
              </w:rPr>
            </w:r>
            <w:r w:rsidR="00950C34">
              <w:rPr>
                <w:noProof/>
                <w:webHidden/>
              </w:rPr>
              <w:fldChar w:fldCharType="separate"/>
            </w:r>
            <w:r w:rsidR="00AC03F2">
              <w:rPr>
                <w:noProof/>
                <w:webHidden/>
              </w:rPr>
              <w:t>8</w:t>
            </w:r>
            <w:r w:rsidR="00950C34">
              <w:rPr>
                <w:noProof/>
                <w:webHidden/>
              </w:rPr>
              <w:fldChar w:fldCharType="end"/>
            </w:r>
          </w:hyperlink>
        </w:p>
        <w:p w14:paraId="5A2E8FB5" w14:textId="77777777" w:rsidR="00950C34" w:rsidRDefault="008B7B44" w:rsidP="00950C34">
          <w:pPr>
            <w:pStyle w:val="TOC1"/>
            <w:rPr>
              <w:rFonts w:asciiTheme="minorHAnsi" w:eastAsiaTheme="minorEastAsia" w:hAnsiTheme="minorHAnsi" w:cstheme="minorBidi"/>
              <w:noProof/>
              <w:sz w:val="22"/>
            </w:rPr>
          </w:pPr>
          <w:hyperlink w:anchor="_Toc520485049" w:history="1">
            <w:r w:rsidR="00950C34" w:rsidRPr="008D12EF">
              <w:rPr>
                <w:rStyle w:val="Hyperlink"/>
                <w:noProof/>
              </w:rPr>
              <w:t>3.</w:t>
            </w:r>
            <w:r w:rsidR="00950C34">
              <w:rPr>
                <w:rFonts w:asciiTheme="minorHAnsi" w:eastAsiaTheme="minorEastAsia" w:hAnsiTheme="minorHAnsi" w:cstheme="minorBidi"/>
                <w:noProof/>
                <w:sz w:val="22"/>
              </w:rPr>
              <w:tab/>
            </w:r>
            <w:r w:rsidR="00950C34" w:rsidRPr="008D12EF">
              <w:rPr>
                <w:rStyle w:val="Hyperlink"/>
                <w:noProof/>
              </w:rPr>
              <w:t>ESTIMATED FINANCIAL IMPACT OF THE PROPOSAL/INITIATIVE</w:t>
            </w:r>
            <w:r w:rsidR="00950C34">
              <w:rPr>
                <w:noProof/>
                <w:webHidden/>
              </w:rPr>
              <w:tab/>
            </w:r>
            <w:r w:rsidR="00950C34">
              <w:rPr>
                <w:noProof/>
                <w:webHidden/>
              </w:rPr>
              <w:fldChar w:fldCharType="begin"/>
            </w:r>
            <w:r w:rsidR="00950C34">
              <w:rPr>
                <w:noProof/>
                <w:webHidden/>
              </w:rPr>
              <w:instrText xml:space="preserve"> PAGEREF _Toc520485049 \h </w:instrText>
            </w:r>
            <w:r w:rsidR="00950C34">
              <w:rPr>
                <w:noProof/>
                <w:webHidden/>
              </w:rPr>
            </w:r>
            <w:r w:rsidR="00950C34">
              <w:rPr>
                <w:noProof/>
                <w:webHidden/>
              </w:rPr>
              <w:fldChar w:fldCharType="separate"/>
            </w:r>
            <w:r w:rsidR="00AC03F2">
              <w:rPr>
                <w:noProof/>
                <w:webHidden/>
              </w:rPr>
              <w:t>9</w:t>
            </w:r>
            <w:r w:rsidR="00950C34">
              <w:rPr>
                <w:noProof/>
                <w:webHidden/>
              </w:rPr>
              <w:fldChar w:fldCharType="end"/>
            </w:r>
          </w:hyperlink>
        </w:p>
        <w:p w14:paraId="474BFE6D" w14:textId="77777777" w:rsidR="00950C34" w:rsidRDefault="008B7B44" w:rsidP="00950C34">
          <w:pPr>
            <w:pStyle w:val="TOC2"/>
            <w:rPr>
              <w:rFonts w:asciiTheme="minorHAnsi" w:eastAsiaTheme="minorEastAsia" w:hAnsiTheme="minorHAnsi" w:cstheme="minorBidi"/>
              <w:noProof/>
              <w:sz w:val="22"/>
            </w:rPr>
          </w:pPr>
          <w:hyperlink w:anchor="_Toc520485050" w:history="1">
            <w:r w:rsidR="00950C34" w:rsidRPr="008D12EF">
              <w:rPr>
                <w:rStyle w:val="Hyperlink"/>
                <w:noProof/>
              </w:rPr>
              <w:t>3.1.</w:t>
            </w:r>
            <w:r w:rsidR="00950C34">
              <w:rPr>
                <w:rFonts w:asciiTheme="minorHAnsi" w:eastAsiaTheme="minorEastAsia" w:hAnsiTheme="minorHAnsi" w:cstheme="minorBidi"/>
                <w:noProof/>
                <w:sz w:val="22"/>
              </w:rPr>
              <w:tab/>
            </w:r>
            <w:r w:rsidR="00950C34" w:rsidRPr="008D12EF">
              <w:rPr>
                <w:rStyle w:val="Hyperlink"/>
                <w:noProof/>
              </w:rPr>
              <w:t>Heading(s) of the multiannual financial framework and expenditure budget line(s) affected</w:t>
            </w:r>
            <w:r w:rsidR="00950C34">
              <w:rPr>
                <w:noProof/>
                <w:webHidden/>
              </w:rPr>
              <w:tab/>
            </w:r>
            <w:r w:rsidR="00950C34">
              <w:rPr>
                <w:noProof/>
                <w:webHidden/>
              </w:rPr>
              <w:fldChar w:fldCharType="begin"/>
            </w:r>
            <w:r w:rsidR="00950C34">
              <w:rPr>
                <w:noProof/>
                <w:webHidden/>
              </w:rPr>
              <w:instrText xml:space="preserve"> PAGEREF _Toc520485050 \h </w:instrText>
            </w:r>
            <w:r w:rsidR="00950C34">
              <w:rPr>
                <w:noProof/>
                <w:webHidden/>
              </w:rPr>
            </w:r>
            <w:r w:rsidR="00950C34">
              <w:rPr>
                <w:noProof/>
                <w:webHidden/>
              </w:rPr>
              <w:fldChar w:fldCharType="separate"/>
            </w:r>
            <w:r w:rsidR="00AC03F2">
              <w:rPr>
                <w:noProof/>
                <w:webHidden/>
              </w:rPr>
              <w:t>9</w:t>
            </w:r>
            <w:r w:rsidR="00950C34">
              <w:rPr>
                <w:noProof/>
                <w:webHidden/>
              </w:rPr>
              <w:fldChar w:fldCharType="end"/>
            </w:r>
          </w:hyperlink>
        </w:p>
        <w:p w14:paraId="496C8193" w14:textId="77777777" w:rsidR="00950C34" w:rsidRDefault="008B7B44" w:rsidP="00950C34">
          <w:pPr>
            <w:pStyle w:val="TOC2"/>
            <w:rPr>
              <w:rFonts w:asciiTheme="minorHAnsi" w:eastAsiaTheme="minorEastAsia" w:hAnsiTheme="minorHAnsi" w:cstheme="minorBidi"/>
              <w:noProof/>
              <w:sz w:val="22"/>
            </w:rPr>
          </w:pPr>
          <w:hyperlink w:anchor="_Toc520485051" w:history="1">
            <w:r w:rsidR="00950C34" w:rsidRPr="008D12EF">
              <w:rPr>
                <w:rStyle w:val="Hyperlink"/>
                <w:noProof/>
              </w:rPr>
              <w:t>3.2.</w:t>
            </w:r>
            <w:r w:rsidR="00950C34">
              <w:rPr>
                <w:rFonts w:asciiTheme="minorHAnsi" w:eastAsiaTheme="minorEastAsia" w:hAnsiTheme="minorHAnsi" w:cstheme="minorBidi"/>
                <w:noProof/>
                <w:sz w:val="22"/>
              </w:rPr>
              <w:tab/>
            </w:r>
            <w:r w:rsidR="00950C34" w:rsidRPr="008D12EF">
              <w:rPr>
                <w:rStyle w:val="Hyperlink"/>
                <w:noProof/>
              </w:rPr>
              <w:t>Estimated financial impact of the proposal on appropriations</w:t>
            </w:r>
            <w:r w:rsidR="00950C34">
              <w:rPr>
                <w:noProof/>
                <w:webHidden/>
              </w:rPr>
              <w:tab/>
            </w:r>
            <w:r w:rsidR="00950C34">
              <w:rPr>
                <w:noProof/>
                <w:webHidden/>
              </w:rPr>
              <w:fldChar w:fldCharType="begin"/>
            </w:r>
            <w:r w:rsidR="00950C34">
              <w:rPr>
                <w:noProof/>
                <w:webHidden/>
              </w:rPr>
              <w:instrText xml:space="preserve"> PAGEREF _Toc520485051 \h </w:instrText>
            </w:r>
            <w:r w:rsidR="00950C34">
              <w:rPr>
                <w:noProof/>
                <w:webHidden/>
              </w:rPr>
            </w:r>
            <w:r w:rsidR="00950C34">
              <w:rPr>
                <w:noProof/>
                <w:webHidden/>
              </w:rPr>
              <w:fldChar w:fldCharType="separate"/>
            </w:r>
            <w:r w:rsidR="00AC03F2">
              <w:rPr>
                <w:noProof/>
                <w:webHidden/>
              </w:rPr>
              <w:t>11</w:t>
            </w:r>
            <w:r w:rsidR="00950C34">
              <w:rPr>
                <w:noProof/>
                <w:webHidden/>
              </w:rPr>
              <w:fldChar w:fldCharType="end"/>
            </w:r>
          </w:hyperlink>
        </w:p>
        <w:p w14:paraId="62B3C668" w14:textId="77777777" w:rsidR="00950C34" w:rsidRDefault="008B7B44" w:rsidP="00950C34">
          <w:pPr>
            <w:pStyle w:val="TOC3"/>
            <w:rPr>
              <w:rFonts w:asciiTheme="minorHAnsi" w:eastAsiaTheme="minorEastAsia" w:hAnsiTheme="minorHAnsi" w:cstheme="minorBidi"/>
              <w:noProof/>
              <w:sz w:val="22"/>
            </w:rPr>
          </w:pPr>
          <w:hyperlink w:anchor="_Toc520485052" w:history="1">
            <w:r w:rsidR="00950C34" w:rsidRPr="008D12EF">
              <w:rPr>
                <w:rStyle w:val="Hyperlink"/>
                <w:noProof/>
              </w:rPr>
              <w:t>3.2.1.</w:t>
            </w:r>
            <w:r w:rsidR="00950C34">
              <w:rPr>
                <w:rFonts w:asciiTheme="minorHAnsi" w:eastAsiaTheme="minorEastAsia" w:hAnsiTheme="minorHAnsi" w:cstheme="minorBidi"/>
                <w:noProof/>
                <w:sz w:val="22"/>
              </w:rPr>
              <w:tab/>
            </w:r>
            <w:r w:rsidR="00950C34" w:rsidRPr="008D12EF">
              <w:rPr>
                <w:rStyle w:val="Hyperlink"/>
                <w:noProof/>
              </w:rPr>
              <w:t>Summary of estimated impact on operational appropriations</w:t>
            </w:r>
            <w:r w:rsidR="00950C34">
              <w:rPr>
                <w:noProof/>
                <w:webHidden/>
              </w:rPr>
              <w:tab/>
            </w:r>
            <w:r w:rsidR="00950C34">
              <w:rPr>
                <w:noProof/>
                <w:webHidden/>
              </w:rPr>
              <w:fldChar w:fldCharType="begin"/>
            </w:r>
            <w:r w:rsidR="00950C34">
              <w:rPr>
                <w:noProof/>
                <w:webHidden/>
              </w:rPr>
              <w:instrText xml:space="preserve"> PAGEREF _Toc520485052 \h </w:instrText>
            </w:r>
            <w:r w:rsidR="00950C34">
              <w:rPr>
                <w:noProof/>
                <w:webHidden/>
              </w:rPr>
            </w:r>
            <w:r w:rsidR="00950C34">
              <w:rPr>
                <w:noProof/>
                <w:webHidden/>
              </w:rPr>
              <w:fldChar w:fldCharType="separate"/>
            </w:r>
            <w:r w:rsidR="00AC03F2">
              <w:rPr>
                <w:noProof/>
                <w:webHidden/>
              </w:rPr>
              <w:t>11</w:t>
            </w:r>
            <w:r w:rsidR="00950C34">
              <w:rPr>
                <w:noProof/>
                <w:webHidden/>
              </w:rPr>
              <w:fldChar w:fldCharType="end"/>
            </w:r>
          </w:hyperlink>
        </w:p>
        <w:p w14:paraId="25CF741A" w14:textId="77777777" w:rsidR="00950C34" w:rsidRDefault="008B7B44" w:rsidP="00950C34">
          <w:pPr>
            <w:pStyle w:val="TOC3"/>
            <w:rPr>
              <w:rFonts w:asciiTheme="minorHAnsi" w:eastAsiaTheme="minorEastAsia" w:hAnsiTheme="minorHAnsi" w:cstheme="minorBidi"/>
              <w:noProof/>
              <w:sz w:val="22"/>
            </w:rPr>
          </w:pPr>
          <w:hyperlink w:anchor="_Toc520485053" w:history="1">
            <w:r w:rsidR="00950C34" w:rsidRPr="008D12EF">
              <w:rPr>
                <w:rStyle w:val="Hyperlink"/>
                <w:noProof/>
              </w:rPr>
              <w:t>3.2.2.</w:t>
            </w:r>
            <w:r w:rsidR="00950C34">
              <w:rPr>
                <w:rFonts w:asciiTheme="minorHAnsi" w:eastAsiaTheme="minorEastAsia" w:hAnsiTheme="minorHAnsi" w:cstheme="minorBidi"/>
                <w:noProof/>
                <w:sz w:val="22"/>
              </w:rPr>
              <w:tab/>
            </w:r>
            <w:r w:rsidR="00950C34" w:rsidRPr="008D12EF">
              <w:rPr>
                <w:rStyle w:val="Hyperlink"/>
                <w:noProof/>
              </w:rPr>
              <w:t>Estimated output funded with operational appropriations</w:t>
            </w:r>
            <w:r w:rsidR="00950C34">
              <w:rPr>
                <w:noProof/>
                <w:webHidden/>
              </w:rPr>
              <w:tab/>
            </w:r>
            <w:r w:rsidR="00950C34">
              <w:rPr>
                <w:noProof/>
                <w:webHidden/>
              </w:rPr>
              <w:fldChar w:fldCharType="begin"/>
            </w:r>
            <w:r w:rsidR="00950C34">
              <w:rPr>
                <w:noProof/>
                <w:webHidden/>
              </w:rPr>
              <w:instrText xml:space="preserve"> PAGEREF _Toc520485053 \h </w:instrText>
            </w:r>
            <w:r w:rsidR="00950C34">
              <w:rPr>
                <w:noProof/>
                <w:webHidden/>
              </w:rPr>
            </w:r>
            <w:r w:rsidR="00950C34">
              <w:rPr>
                <w:noProof/>
                <w:webHidden/>
              </w:rPr>
              <w:fldChar w:fldCharType="separate"/>
            </w:r>
            <w:r w:rsidR="00AC03F2">
              <w:rPr>
                <w:noProof/>
                <w:webHidden/>
              </w:rPr>
              <w:t>16</w:t>
            </w:r>
            <w:r w:rsidR="00950C34">
              <w:rPr>
                <w:noProof/>
                <w:webHidden/>
              </w:rPr>
              <w:fldChar w:fldCharType="end"/>
            </w:r>
          </w:hyperlink>
        </w:p>
        <w:p w14:paraId="22A5C7A3" w14:textId="77777777" w:rsidR="00950C34" w:rsidRDefault="008B7B44" w:rsidP="00950C34">
          <w:pPr>
            <w:pStyle w:val="TOC3"/>
            <w:rPr>
              <w:rFonts w:asciiTheme="minorHAnsi" w:eastAsiaTheme="minorEastAsia" w:hAnsiTheme="minorHAnsi" w:cstheme="minorBidi"/>
              <w:noProof/>
              <w:sz w:val="22"/>
            </w:rPr>
          </w:pPr>
          <w:hyperlink w:anchor="_Toc520485054" w:history="1">
            <w:r w:rsidR="00950C34" w:rsidRPr="008D12EF">
              <w:rPr>
                <w:rStyle w:val="Hyperlink"/>
                <w:noProof/>
              </w:rPr>
              <w:t>3.2.3.</w:t>
            </w:r>
            <w:r w:rsidR="00950C34">
              <w:rPr>
                <w:rFonts w:asciiTheme="minorHAnsi" w:eastAsiaTheme="minorEastAsia" w:hAnsiTheme="minorHAnsi" w:cstheme="minorBidi"/>
                <w:noProof/>
                <w:sz w:val="22"/>
              </w:rPr>
              <w:tab/>
            </w:r>
            <w:r w:rsidR="00950C34" w:rsidRPr="008D12EF">
              <w:rPr>
                <w:rStyle w:val="Hyperlink"/>
                <w:noProof/>
              </w:rPr>
              <w:t>Summary of estimated impact on administrative appropriations</w:t>
            </w:r>
            <w:r w:rsidR="00950C34">
              <w:rPr>
                <w:noProof/>
                <w:webHidden/>
              </w:rPr>
              <w:tab/>
            </w:r>
            <w:r w:rsidR="00950C34">
              <w:rPr>
                <w:noProof/>
                <w:webHidden/>
              </w:rPr>
              <w:fldChar w:fldCharType="begin"/>
            </w:r>
            <w:r w:rsidR="00950C34">
              <w:rPr>
                <w:noProof/>
                <w:webHidden/>
              </w:rPr>
              <w:instrText xml:space="preserve"> PAGEREF _Toc520485054 \h </w:instrText>
            </w:r>
            <w:r w:rsidR="00950C34">
              <w:rPr>
                <w:noProof/>
                <w:webHidden/>
              </w:rPr>
            </w:r>
            <w:r w:rsidR="00950C34">
              <w:rPr>
                <w:noProof/>
                <w:webHidden/>
              </w:rPr>
              <w:fldChar w:fldCharType="separate"/>
            </w:r>
            <w:r w:rsidR="00AC03F2">
              <w:rPr>
                <w:noProof/>
                <w:webHidden/>
              </w:rPr>
              <w:t>18</w:t>
            </w:r>
            <w:r w:rsidR="00950C34">
              <w:rPr>
                <w:noProof/>
                <w:webHidden/>
              </w:rPr>
              <w:fldChar w:fldCharType="end"/>
            </w:r>
          </w:hyperlink>
        </w:p>
        <w:p w14:paraId="4CE888EA" w14:textId="77777777" w:rsidR="00950C34" w:rsidRDefault="008B7B44" w:rsidP="00950C34">
          <w:pPr>
            <w:pStyle w:val="TOC3"/>
            <w:rPr>
              <w:rFonts w:asciiTheme="minorHAnsi" w:eastAsiaTheme="minorEastAsia" w:hAnsiTheme="minorHAnsi" w:cstheme="minorBidi"/>
              <w:noProof/>
              <w:sz w:val="22"/>
            </w:rPr>
          </w:pPr>
          <w:hyperlink w:anchor="_Toc520485055" w:history="1">
            <w:r w:rsidR="00950C34" w:rsidRPr="008D12EF">
              <w:rPr>
                <w:rStyle w:val="Hyperlink"/>
                <w:noProof/>
              </w:rPr>
              <w:t>3.2.4.</w:t>
            </w:r>
            <w:r w:rsidR="00950C34">
              <w:rPr>
                <w:rFonts w:asciiTheme="minorHAnsi" w:eastAsiaTheme="minorEastAsia" w:hAnsiTheme="minorHAnsi" w:cstheme="minorBidi"/>
                <w:noProof/>
                <w:sz w:val="22"/>
              </w:rPr>
              <w:tab/>
            </w:r>
            <w:r w:rsidR="00950C34" w:rsidRPr="008D12EF">
              <w:rPr>
                <w:rStyle w:val="Hyperlink"/>
                <w:noProof/>
              </w:rPr>
              <w:t>Compatibility with the current multiannual financial framework</w:t>
            </w:r>
            <w:r w:rsidR="00950C34">
              <w:rPr>
                <w:noProof/>
                <w:webHidden/>
              </w:rPr>
              <w:tab/>
            </w:r>
            <w:r w:rsidR="00950C34">
              <w:rPr>
                <w:noProof/>
                <w:webHidden/>
              </w:rPr>
              <w:fldChar w:fldCharType="begin"/>
            </w:r>
            <w:r w:rsidR="00950C34">
              <w:rPr>
                <w:noProof/>
                <w:webHidden/>
              </w:rPr>
              <w:instrText xml:space="preserve"> PAGEREF _Toc520485055 \h </w:instrText>
            </w:r>
            <w:r w:rsidR="00950C34">
              <w:rPr>
                <w:noProof/>
                <w:webHidden/>
              </w:rPr>
            </w:r>
            <w:r w:rsidR="00950C34">
              <w:rPr>
                <w:noProof/>
                <w:webHidden/>
              </w:rPr>
              <w:fldChar w:fldCharType="separate"/>
            </w:r>
            <w:r w:rsidR="00AC03F2">
              <w:rPr>
                <w:noProof/>
                <w:webHidden/>
              </w:rPr>
              <w:t>20</w:t>
            </w:r>
            <w:r w:rsidR="00950C34">
              <w:rPr>
                <w:noProof/>
                <w:webHidden/>
              </w:rPr>
              <w:fldChar w:fldCharType="end"/>
            </w:r>
          </w:hyperlink>
        </w:p>
        <w:p w14:paraId="0FD9448A" w14:textId="77777777" w:rsidR="00950C34" w:rsidRDefault="008B7B44" w:rsidP="00950C34">
          <w:pPr>
            <w:pStyle w:val="TOC3"/>
            <w:rPr>
              <w:rFonts w:asciiTheme="minorHAnsi" w:eastAsiaTheme="minorEastAsia" w:hAnsiTheme="minorHAnsi" w:cstheme="minorBidi"/>
              <w:noProof/>
              <w:sz w:val="22"/>
            </w:rPr>
          </w:pPr>
          <w:hyperlink w:anchor="_Toc520485056" w:history="1">
            <w:r w:rsidR="00950C34" w:rsidRPr="008D12EF">
              <w:rPr>
                <w:rStyle w:val="Hyperlink"/>
                <w:noProof/>
              </w:rPr>
              <w:t>3.2.5.</w:t>
            </w:r>
            <w:r w:rsidR="00950C34">
              <w:rPr>
                <w:rFonts w:asciiTheme="minorHAnsi" w:eastAsiaTheme="minorEastAsia" w:hAnsiTheme="minorHAnsi" w:cstheme="minorBidi"/>
                <w:noProof/>
                <w:sz w:val="22"/>
              </w:rPr>
              <w:tab/>
            </w:r>
            <w:r w:rsidR="00950C34" w:rsidRPr="008D12EF">
              <w:rPr>
                <w:rStyle w:val="Hyperlink"/>
                <w:noProof/>
              </w:rPr>
              <w:t>Third-party contributions</w:t>
            </w:r>
            <w:r w:rsidR="00950C34">
              <w:rPr>
                <w:noProof/>
                <w:webHidden/>
              </w:rPr>
              <w:tab/>
            </w:r>
            <w:r w:rsidR="00950C34">
              <w:rPr>
                <w:noProof/>
                <w:webHidden/>
              </w:rPr>
              <w:fldChar w:fldCharType="begin"/>
            </w:r>
            <w:r w:rsidR="00950C34">
              <w:rPr>
                <w:noProof/>
                <w:webHidden/>
              </w:rPr>
              <w:instrText xml:space="preserve"> PAGEREF _Toc520485056 \h </w:instrText>
            </w:r>
            <w:r w:rsidR="00950C34">
              <w:rPr>
                <w:noProof/>
                <w:webHidden/>
              </w:rPr>
            </w:r>
            <w:r w:rsidR="00950C34">
              <w:rPr>
                <w:noProof/>
                <w:webHidden/>
              </w:rPr>
              <w:fldChar w:fldCharType="separate"/>
            </w:r>
            <w:r w:rsidR="00AC03F2">
              <w:rPr>
                <w:noProof/>
                <w:webHidden/>
              </w:rPr>
              <w:t>20</w:t>
            </w:r>
            <w:r w:rsidR="00950C34">
              <w:rPr>
                <w:noProof/>
                <w:webHidden/>
              </w:rPr>
              <w:fldChar w:fldCharType="end"/>
            </w:r>
          </w:hyperlink>
        </w:p>
        <w:p w14:paraId="1D271935" w14:textId="77777777" w:rsidR="00950C34" w:rsidRDefault="008B7B44" w:rsidP="00950C34">
          <w:pPr>
            <w:pStyle w:val="TOC2"/>
            <w:rPr>
              <w:rFonts w:asciiTheme="minorHAnsi" w:eastAsiaTheme="minorEastAsia" w:hAnsiTheme="minorHAnsi" w:cstheme="minorBidi"/>
              <w:noProof/>
              <w:sz w:val="22"/>
            </w:rPr>
          </w:pPr>
          <w:hyperlink w:anchor="_Toc520485057" w:history="1">
            <w:r w:rsidR="00950C34" w:rsidRPr="008D12EF">
              <w:rPr>
                <w:rStyle w:val="Hyperlink"/>
                <w:noProof/>
              </w:rPr>
              <w:t>3.3.</w:t>
            </w:r>
            <w:r w:rsidR="00950C34">
              <w:rPr>
                <w:rFonts w:asciiTheme="minorHAnsi" w:eastAsiaTheme="minorEastAsia" w:hAnsiTheme="minorHAnsi" w:cstheme="minorBidi"/>
                <w:noProof/>
                <w:sz w:val="22"/>
              </w:rPr>
              <w:tab/>
            </w:r>
            <w:r w:rsidR="00950C34" w:rsidRPr="008D12EF">
              <w:rPr>
                <w:rStyle w:val="Hyperlink"/>
                <w:noProof/>
              </w:rPr>
              <w:t>Estimated impact on revenue</w:t>
            </w:r>
            <w:r w:rsidR="00950C34">
              <w:rPr>
                <w:noProof/>
                <w:webHidden/>
              </w:rPr>
              <w:tab/>
            </w:r>
            <w:r w:rsidR="00950C34">
              <w:rPr>
                <w:noProof/>
                <w:webHidden/>
              </w:rPr>
              <w:fldChar w:fldCharType="begin"/>
            </w:r>
            <w:r w:rsidR="00950C34">
              <w:rPr>
                <w:noProof/>
                <w:webHidden/>
              </w:rPr>
              <w:instrText xml:space="preserve"> PAGEREF _Toc520485057 \h </w:instrText>
            </w:r>
            <w:r w:rsidR="00950C34">
              <w:rPr>
                <w:noProof/>
                <w:webHidden/>
              </w:rPr>
            </w:r>
            <w:r w:rsidR="00950C34">
              <w:rPr>
                <w:noProof/>
                <w:webHidden/>
              </w:rPr>
              <w:fldChar w:fldCharType="separate"/>
            </w:r>
            <w:r w:rsidR="00AC03F2">
              <w:rPr>
                <w:noProof/>
                <w:webHidden/>
              </w:rPr>
              <w:t>21</w:t>
            </w:r>
            <w:r w:rsidR="00950C34">
              <w:rPr>
                <w:noProof/>
                <w:webHidden/>
              </w:rPr>
              <w:fldChar w:fldCharType="end"/>
            </w:r>
          </w:hyperlink>
        </w:p>
        <w:p w14:paraId="7FFECD22" w14:textId="77777777" w:rsidR="00950C34" w:rsidRDefault="00950C34" w:rsidP="00950C34">
          <w:pPr>
            <w:rPr>
              <w:noProof/>
            </w:rPr>
          </w:pPr>
          <w:r>
            <w:rPr>
              <w:b/>
              <w:bCs/>
              <w:noProof/>
            </w:rPr>
            <w:fldChar w:fldCharType="end"/>
          </w:r>
        </w:p>
      </w:sdtContent>
    </w:sdt>
    <w:p w14:paraId="6D108B1C" w14:textId="77777777" w:rsidR="00950C34" w:rsidRDefault="00950C34" w:rsidP="00950C34">
      <w:pPr>
        <w:rPr>
          <w:noProof/>
        </w:rPr>
        <w:sectPr w:rsidR="00950C34" w:rsidSect="00742C1D">
          <w:pgSz w:w="11907" w:h="16840" w:code="9"/>
          <w:pgMar w:top="1134" w:right="1418" w:bottom="1134" w:left="1418" w:header="709" w:footer="709" w:gutter="0"/>
          <w:pgNumType w:start="1"/>
          <w:cols w:space="720"/>
          <w:docGrid w:linePitch="360"/>
        </w:sectPr>
      </w:pPr>
    </w:p>
    <w:p w14:paraId="2EB59175" w14:textId="77777777" w:rsidR="00950C34" w:rsidRDefault="00950C34" w:rsidP="00950C34">
      <w:pPr>
        <w:pStyle w:val="ManualHeading1"/>
        <w:rPr>
          <w:noProof/>
        </w:rPr>
      </w:pPr>
      <w:bookmarkStart w:id="5" w:name="_Toc514938007"/>
      <w:bookmarkStart w:id="6" w:name="_Toc520485025"/>
      <w:r>
        <w:rPr>
          <w:noProof/>
        </w:rPr>
        <w:t>1.</w:t>
      </w:r>
      <w:r>
        <w:rPr>
          <w:noProof/>
        </w:rPr>
        <w:tab/>
      </w:r>
      <w:r w:rsidRPr="6002F3E2">
        <w:rPr>
          <w:noProof/>
        </w:rPr>
        <w:t>FRAMEWORK OF THE PROPOSAL</w:t>
      </w:r>
      <w:bookmarkEnd w:id="5"/>
      <w:bookmarkEnd w:id="6"/>
    </w:p>
    <w:p w14:paraId="0699F8B8" w14:textId="77777777" w:rsidR="00950C34" w:rsidRDefault="00950C34" w:rsidP="00950C34">
      <w:pPr>
        <w:pStyle w:val="ManualHeading2"/>
        <w:rPr>
          <w:noProof/>
        </w:rPr>
      </w:pPr>
      <w:bookmarkStart w:id="7" w:name="_Toc514938008"/>
      <w:bookmarkStart w:id="8" w:name="_Toc520485026"/>
      <w:r w:rsidRPr="0021790A">
        <w:rPr>
          <w:noProof/>
        </w:rPr>
        <w:t>1.1.</w:t>
      </w:r>
      <w:r w:rsidRPr="0021790A">
        <w:rPr>
          <w:noProof/>
        </w:rPr>
        <w:tab/>
      </w:r>
      <w:r>
        <w:rPr>
          <w:noProof/>
        </w:rPr>
        <w:t>Title of the proposal/initiative</w:t>
      </w:r>
      <w:bookmarkEnd w:id="7"/>
      <w:bookmarkEnd w:id="8"/>
    </w:p>
    <w:p w14:paraId="5BE75BB2" w14:textId="77777777" w:rsidR="00950C34" w:rsidRPr="00D21343" w:rsidRDefault="00950C34" w:rsidP="00950C34">
      <w:pPr>
        <w:pStyle w:val="Text1"/>
        <w:pBdr>
          <w:top w:val="single" w:sz="4" w:space="1" w:color="auto"/>
          <w:left w:val="single" w:sz="4" w:space="4" w:color="auto"/>
          <w:bottom w:val="single" w:sz="4" w:space="1" w:color="auto"/>
          <w:right w:val="single" w:sz="4" w:space="4" w:color="auto"/>
        </w:pBdr>
        <w:rPr>
          <w:noProof/>
        </w:rPr>
      </w:pPr>
      <w:r w:rsidRPr="31719606">
        <w:rPr>
          <w:noProof/>
        </w:rPr>
        <w:t xml:space="preserve">Proposal for a Regulation of the European Parliament and of the Council establishing the Strategic Technologies for Europe Platform (‘STEP’) and amending </w:t>
      </w:r>
      <w:r w:rsidRPr="31719606">
        <w:rPr>
          <w:rFonts w:eastAsia="Times New Roman"/>
          <w:noProof/>
          <w:szCs w:val="24"/>
        </w:rPr>
        <w:t xml:space="preserve"> Directive 2003/87/EC, Regulations (EU) 2021/1058, (EU) 2021/1056, (EU) 2021/1057, (EU) No 1303/2013, (EU) No 223/2014, (EU) 2021/1060, (EU) 2021/523, (EU) 2021/695, (EU) 2021/697 and (EU) 2021/241</w:t>
      </w:r>
    </w:p>
    <w:p w14:paraId="55B5A5FC" w14:textId="77777777" w:rsidR="00950C34" w:rsidRDefault="00950C34" w:rsidP="00950C34">
      <w:pPr>
        <w:pStyle w:val="Text1"/>
        <w:pBdr>
          <w:top w:val="single" w:sz="4" w:space="1" w:color="auto"/>
          <w:left w:val="single" w:sz="4" w:space="4" w:color="auto"/>
          <w:bottom w:val="single" w:sz="4" w:space="1" w:color="auto"/>
          <w:right w:val="single" w:sz="4" w:space="4" w:color="auto"/>
        </w:pBdr>
        <w:rPr>
          <w:noProof/>
        </w:rPr>
      </w:pPr>
    </w:p>
    <w:p w14:paraId="34ADAB16" w14:textId="77777777" w:rsidR="00950C34" w:rsidRDefault="00950C34" w:rsidP="00950C34">
      <w:pPr>
        <w:pStyle w:val="ManualHeading2"/>
        <w:rPr>
          <w:i/>
          <w:noProof/>
        </w:rPr>
      </w:pPr>
      <w:bookmarkStart w:id="9" w:name="_Toc514938011"/>
      <w:bookmarkStart w:id="10" w:name="_Toc520485027"/>
      <w:r w:rsidRPr="0021790A">
        <w:rPr>
          <w:noProof/>
        </w:rPr>
        <w:t>1.2.</w:t>
      </w:r>
      <w:r w:rsidRPr="0021790A">
        <w:rPr>
          <w:noProof/>
        </w:rPr>
        <w:tab/>
      </w:r>
      <w:r>
        <w:rPr>
          <w:noProof/>
        </w:rPr>
        <w:t>Policy area(s) concerned</w:t>
      </w:r>
      <w:bookmarkEnd w:id="9"/>
      <w:bookmarkEnd w:id="10"/>
      <w:r>
        <w:rPr>
          <w:i/>
          <w:noProof/>
        </w:rPr>
        <w:t xml:space="preserve"> </w:t>
      </w:r>
    </w:p>
    <w:p w14:paraId="05892C1C" w14:textId="77777777" w:rsidR="00950C34" w:rsidRDefault="00950C34" w:rsidP="00950C34">
      <w:pPr>
        <w:pStyle w:val="Text1"/>
        <w:pBdr>
          <w:top w:val="single" w:sz="4" w:space="1" w:color="auto"/>
          <w:left w:val="single" w:sz="4" w:space="4" w:color="auto"/>
          <w:bottom w:val="single" w:sz="4" w:space="1" w:color="auto"/>
          <w:right w:val="single" w:sz="4" w:space="4" w:color="auto"/>
        </w:pBdr>
        <w:rPr>
          <w:noProof/>
        </w:rPr>
      </w:pPr>
      <w:r>
        <w:rPr>
          <w:noProof/>
        </w:rPr>
        <w:t>Industrial policy</w:t>
      </w:r>
    </w:p>
    <w:p w14:paraId="7A6DDBBA" w14:textId="77777777" w:rsidR="00950C34" w:rsidRDefault="00950C34" w:rsidP="00950C34">
      <w:pPr>
        <w:pStyle w:val="Text1"/>
        <w:pBdr>
          <w:top w:val="single" w:sz="4" w:space="1" w:color="auto"/>
          <w:left w:val="single" w:sz="4" w:space="4" w:color="auto"/>
          <w:bottom w:val="single" w:sz="4" w:space="1" w:color="auto"/>
          <w:right w:val="single" w:sz="4" w:space="4" w:color="auto"/>
        </w:pBdr>
        <w:rPr>
          <w:noProof/>
        </w:rPr>
      </w:pPr>
      <w:r>
        <w:rPr>
          <w:noProof/>
        </w:rPr>
        <w:t>European Green Deal</w:t>
      </w:r>
    </w:p>
    <w:p w14:paraId="63935931" w14:textId="77777777" w:rsidR="00950C34" w:rsidRDefault="00950C34" w:rsidP="00950C34">
      <w:pPr>
        <w:pStyle w:val="Text1"/>
        <w:pBdr>
          <w:top w:val="single" w:sz="4" w:space="1" w:color="auto"/>
          <w:left w:val="single" w:sz="4" w:space="4" w:color="auto"/>
          <w:bottom w:val="single" w:sz="4" w:space="1" w:color="auto"/>
          <w:right w:val="single" w:sz="4" w:space="4" w:color="auto"/>
        </w:pBdr>
        <w:rPr>
          <w:noProof/>
        </w:rPr>
      </w:pPr>
      <w:r w:rsidRPr="1CF2392C">
        <w:rPr>
          <w:noProof/>
        </w:rPr>
        <w:t>Europe fit for the digital age</w:t>
      </w:r>
    </w:p>
    <w:p w14:paraId="26D198ED" w14:textId="77777777" w:rsidR="00950C34" w:rsidRDefault="00950C34" w:rsidP="00950C34">
      <w:pPr>
        <w:pStyle w:val="Text1"/>
        <w:pBdr>
          <w:top w:val="single" w:sz="4" w:space="1" w:color="auto"/>
          <w:left w:val="single" w:sz="4" w:space="4" w:color="auto"/>
          <w:bottom w:val="single" w:sz="4" w:space="1" w:color="auto"/>
          <w:right w:val="single" w:sz="4" w:space="4" w:color="auto"/>
        </w:pBdr>
        <w:rPr>
          <w:noProof/>
        </w:rPr>
      </w:pPr>
      <w:r>
        <w:rPr>
          <w:noProof/>
        </w:rPr>
        <w:t>Single Market</w:t>
      </w:r>
    </w:p>
    <w:p w14:paraId="51E473B2" w14:textId="77777777" w:rsidR="00950C34" w:rsidRDefault="00950C34" w:rsidP="00950C34">
      <w:pPr>
        <w:pStyle w:val="ManualHeading2"/>
        <w:rPr>
          <w:bCs/>
          <w:noProof/>
          <w:szCs w:val="24"/>
        </w:rPr>
      </w:pPr>
      <w:bookmarkStart w:id="11" w:name="_Toc514938014"/>
      <w:bookmarkStart w:id="12" w:name="_Toc520485028"/>
      <w:r w:rsidRPr="0021790A">
        <w:rPr>
          <w:noProof/>
        </w:rPr>
        <w:t>1.3.</w:t>
      </w:r>
      <w:r w:rsidRPr="0021790A">
        <w:rPr>
          <w:noProof/>
        </w:rPr>
        <w:tab/>
      </w:r>
      <w:r>
        <w:rPr>
          <w:noProof/>
        </w:rPr>
        <w:t>The proposal/initiative relates to:</w:t>
      </w:r>
      <w:bookmarkEnd w:id="11"/>
      <w:bookmarkEnd w:id="12"/>
      <w:r>
        <w:rPr>
          <w:noProof/>
        </w:rPr>
        <w:t xml:space="preserve"> </w:t>
      </w:r>
    </w:p>
    <w:p w14:paraId="443744F6" w14:textId="77777777" w:rsidR="00950C34" w:rsidRDefault="00950C34" w:rsidP="00950C34">
      <w:pPr>
        <w:pStyle w:val="Text1"/>
        <w:rPr>
          <w:b/>
          <w:noProof/>
          <w:sz w:val="22"/>
        </w:rPr>
      </w:pPr>
      <w:r>
        <w:rPr>
          <w:rFonts w:ascii="Wingdings" w:eastAsia="Wingdings" w:hAnsi="Wingdings" w:cs="Wingdings"/>
          <w:noProof/>
          <w:sz w:val="22"/>
        </w:rPr>
        <w:t></w:t>
      </w:r>
      <w:r>
        <w:rPr>
          <w:b/>
          <w:i/>
          <w:noProof/>
          <w:sz w:val="22"/>
        </w:rPr>
        <w:t xml:space="preserve"> </w:t>
      </w:r>
      <w:r>
        <w:rPr>
          <w:b/>
          <w:noProof/>
        </w:rPr>
        <w:t>a new action</w:t>
      </w:r>
      <w:r>
        <w:rPr>
          <w:b/>
          <w:noProof/>
          <w:sz w:val="22"/>
        </w:rPr>
        <w:t xml:space="preserve"> </w:t>
      </w:r>
    </w:p>
    <w:p w14:paraId="175D6E48" w14:textId="77777777" w:rsidR="00950C34" w:rsidRDefault="00950C34" w:rsidP="00950C34">
      <w:pPr>
        <w:pStyle w:val="Text1"/>
        <w:rPr>
          <w:noProof/>
          <w:sz w:val="22"/>
        </w:rPr>
      </w:pPr>
      <w:r>
        <w:rPr>
          <w:rFonts w:ascii="Wingdings" w:eastAsia="Wingdings" w:hAnsi="Wingdings" w:cs="Wingdings"/>
          <w:noProof/>
          <w:sz w:val="22"/>
        </w:rPr>
        <w:t></w:t>
      </w:r>
      <w:r>
        <w:rPr>
          <w:i/>
          <w:noProof/>
          <w:sz w:val="22"/>
        </w:rPr>
        <w:t xml:space="preserve"> </w:t>
      </w:r>
      <w:r>
        <w:rPr>
          <w:b/>
          <w:noProof/>
        </w:rPr>
        <w:t>a new action following a pilot project/preparatory action</w:t>
      </w:r>
      <w:r>
        <w:rPr>
          <w:rStyle w:val="FootnoteReference"/>
          <w:b/>
          <w:noProof/>
        </w:rPr>
        <w:footnoteReference w:id="73"/>
      </w:r>
      <w:r>
        <w:rPr>
          <w:noProof/>
          <w:sz w:val="22"/>
        </w:rPr>
        <w:t xml:space="preserve"> </w:t>
      </w:r>
    </w:p>
    <w:p w14:paraId="765C7C9F" w14:textId="77777777" w:rsidR="00950C34" w:rsidRDefault="00950C34" w:rsidP="00950C34">
      <w:pPr>
        <w:pStyle w:val="Text1"/>
        <w:rPr>
          <w:noProof/>
          <w:sz w:val="22"/>
        </w:rPr>
      </w:pPr>
      <w:r>
        <w:rPr>
          <w:rFonts w:ascii="Wingdings" w:eastAsia="Wingdings" w:hAnsi="Wingdings" w:cs="Wingdings"/>
          <w:noProof/>
          <w:sz w:val="22"/>
        </w:rPr>
        <w:t></w:t>
      </w:r>
      <w:r>
        <w:rPr>
          <w:i/>
          <w:noProof/>
          <w:sz w:val="22"/>
        </w:rPr>
        <w:t xml:space="preserve"> </w:t>
      </w:r>
      <w:r>
        <w:rPr>
          <w:b/>
          <w:noProof/>
        </w:rPr>
        <w:t>the extension of an existing action</w:t>
      </w:r>
      <w:r>
        <w:rPr>
          <w:noProof/>
          <w:sz w:val="22"/>
        </w:rPr>
        <w:t xml:space="preserve"> </w:t>
      </w:r>
    </w:p>
    <w:p w14:paraId="5525D001" w14:textId="77777777" w:rsidR="00950C34" w:rsidRDefault="00950C34" w:rsidP="00950C34">
      <w:pPr>
        <w:pStyle w:val="Text1"/>
        <w:rPr>
          <w:noProof/>
        </w:rPr>
      </w:pPr>
      <w:r>
        <w:rPr>
          <w:rFonts w:ascii="Wingdings" w:eastAsia="Wingdings" w:hAnsi="Wingdings" w:cs="Wingdings"/>
          <w:noProof/>
          <w:sz w:val="22"/>
        </w:rPr>
        <w:t></w:t>
      </w:r>
      <w:r>
        <w:rPr>
          <w:i/>
          <w:noProof/>
          <w:sz w:val="22"/>
        </w:rPr>
        <w:t xml:space="preserve"> </w:t>
      </w:r>
      <w:r w:rsidRPr="0085149D">
        <w:rPr>
          <w:b/>
          <w:noProof/>
        </w:rPr>
        <w:t xml:space="preserve">a merger or redirection of </w:t>
      </w:r>
      <w:r w:rsidRPr="00A952FE">
        <w:rPr>
          <w:b/>
          <w:noProof/>
        </w:rPr>
        <w:t>one or more actions towards another/a new action</w:t>
      </w:r>
      <w:r>
        <w:rPr>
          <w:noProof/>
        </w:rPr>
        <w:t xml:space="preserve"> </w:t>
      </w:r>
    </w:p>
    <w:p w14:paraId="26A9941A" w14:textId="77777777" w:rsidR="00950C34" w:rsidRDefault="00950C34" w:rsidP="00950C34">
      <w:pPr>
        <w:pStyle w:val="ManualHeading2"/>
        <w:rPr>
          <w:noProof/>
        </w:rPr>
      </w:pPr>
      <w:bookmarkStart w:id="13" w:name="_Toc514938015"/>
      <w:bookmarkStart w:id="14" w:name="_Toc520485029"/>
      <w:r>
        <w:rPr>
          <w:noProof/>
        </w:rPr>
        <w:t>1.4.</w:t>
      </w:r>
      <w:r>
        <w:rPr>
          <w:noProof/>
        </w:rPr>
        <w:tab/>
      </w:r>
      <w:r w:rsidRPr="1CF2392C">
        <w:rPr>
          <w:noProof/>
        </w:rPr>
        <w:t>Objective(s)</w:t>
      </w:r>
      <w:bookmarkEnd w:id="13"/>
      <w:bookmarkEnd w:id="14"/>
    </w:p>
    <w:p w14:paraId="52A365D6" w14:textId="77777777" w:rsidR="00950C34" w:rsidRPr="009B753E" w:rsidRDefault="00950C34" w:rsidP="00950C34">
      <w:pPr>
        <w:pStyle w:val="ManualHeading3"/>
        <w:rPr>
          <w:noProof/>
        </w:rPr>
      </w:pPr>
      <w:bookmarkStart w:id="15" w:name="_Toc514938016"/>
      <w:bookmarkStart w:id="16" w:name="_Toc520485030"/>
      <w:r w:rsidRPr="0021790A">
        <w:rPr>
          <w:noProof/>
        </w:rPr>
        <w:t>1.4.1.</w:t>
      </w:r>
      <w:r w:rsidRPr="0021790A">
        <w:rPr>
          <w:noProof/>
        </w:rPr>
        <w:tab/>
      </w:r>
      <w:r w:rsidRPr="00D52751">
        <w:rPr>
          <w:noProof/>
        </w:rPr>
        <w:t>General objective</w:t>
      </w:r>
      <w:r>
        <w:rPr>
          <w:noProof/>
        </w:rPr>
        <w:t>(s)</w:t>
      </w:r>
      <w:bookmarkEnd w:id="15"/>
      <w:bookmarkEnd w:id="16"/>
    </w:p>
    <w:p w14:paraId="6186AC04" w14:textId="77777777" w:rsidR="00950C34" w:rsidRDefault="00950C34" w:rsidP="00950C34">
      <w:pPr>
        <w:pStyle w:val="Text1"/>
        <w:pBdr>
          <w:top w:val="single" w:sz="4" w:space="1" w:color="auto"/>
          <w:left w:val="single" w:sz="4" w:space="1" w:color="auto"/>
          <w:bottom w:val="single" w:sz="4" w:space="1" w:color="auto"/>
          <w:right w:val="single" w:sz="4" w:space="4" w:color="auto"/>
        </w:pBdr>
        <w:rPr>
          <w:noProof/>
        </w:rPr>
      </w:pPr>
      <w:bookmarkStart w:id="17" w:name="_Toc514938018"/>
      <w:bookmarkStart w:id="18" w:name="_Toc520485031"/>
      <w:r w:rsidRPr="1CF2392C">
        <w:rPr>
          <w:noProof/>
        </w:rPr>
        <w:t>The EU has put in place over the last years a comprehensive set of instruments to support the decarbonisation and digitalisation of Europe. While the EU has been providing steady financing both to the green and digital transitions, the funds are generally spread across various spending programmes and following different rules. Ensuring coherence among these existing funds towards a common objective has the potential to enhance their effectiveness and accelerate the support to the industrial sectors critical for the twin transition.</w:t>
      </w:r>
    </w:p>
    <w:p w14:paraId="0681F72A" w14:textId="77777777" w:rsidR="00950C34" w:rsidRDefault="00950C34" w:rsidP="00950C34">
      <w:pPr>
        <w:pStyle w:val="Text1"/>
        <w:pBdr>
          <w:top w:val="single" w:sz="4" w:space="1" w:color="auto"/>
          <w:left w:val="single" w:sz="4" w:space="1" w:color="auto"/>
          <w:bottom w:val="single" w:sz="4" w:space="1" w:color="auto"/>
          <w:right w:val="single" w:sz="4" w:space="4" w:color="auto"/>
        </w:pBdr>
        <w:rPr>
          <w:noProof/>
        </w:rPr>
      </w:pPr>
      <w:r w:rsidRPr="31719606">
        <w:rPr>
          <w:noProof/>
        </w:rPr>
        <w:t xml:space="preserve">The STEP aims to </w:t>
      </w:r>
      <w:r w:rsidRPr="31719606">
        <w:rPr>
          <w:rStyle w:val="normaltextrun"/>
          <w:noProof/>
          <w:color w:val="000000" w:themeColor="text1"/>
        </w:rPr>
        <w:t xml:space="preserve">strengthen </w:t>
      </w:r>
      <w:r w:rsidRPr="31719606">
        <w:rPr>
          <w:noProof/>
        </w:rPr>
        <w:t>European edge on critical and emerging technologies relevant to the green and digital transitions, from computing-related technologies, including microelectronics, quantum computing, and artificial intelligence; to biotechnology and biomanufacturing, and net-zero technologies.</w:t>
      </w:r>
    </w:p>
    <w:p w14:paraId="42F3B457" w14:textId="77777777" w:rsidR="00950C34" w:rsidRDefault="00950C34" w:rsidP="00950C34">
      <w:pPr>
        <w:pStyle w:val="Text1"/>
        <w:pBdr>
          <w:top w:val="single" w:sz="4" w:space="1" w:color="auto"/>
          <w:left w:val="single" w:sz="4" w:space="1" w:color="auto"/>
          <w:bottom w:val="single" w:sz="4" w:space="1" w:color="auto"/>
          <w:right w:val="single" w:sz="4" w:space="4" w:color="auto"/>
        </w:pBdr>
        <w:rPr>
          <w:noProof/>
        </w:rPr>
      </w:pPr>
      <w:r w:rsidRPr="31719606">
        <w:rPr>
          <w:noProof/>
        </w:rPr>
        <w:t>The STEP aims to achieve its objectives through the following means:</w:t>
      </w:r>
    </w:p>
    <w:p w14:paraId="1A5A3C48" w14:textId="77777777" w:rsidR="00950C34" w:rsidRDefault="00950C34" w:rsidP="00950C34">
      <w:pPr>
        <w:pStyle w:val="Text1"/>
        <w:pBdr>
          <w:top w:val="single" w:sz="4" w:space="1" w:color="auto"/>
          <w:left w:val="single" w:sz="4" w:space="1" w:color="auto"/>
          <w:bottom w:val="single" w:sz="4" w:space="1" w:color="auto"/>
          <w:right w:val="single" w:sz="4" w:space="4" w:color="auto"/>
        </w:pBdr>
        <w:rPr>
          <w:noProof/>
        </w:rPr>
      </w:pPr>
      <w:r w:rsidRPr="1CF2392C">
        <w:rPr>
          <w:noProof/>
        </w:rPr>
        <w:t>1.</w:t>
      </w:r>
      <w:r>
        <w:rPr>
          <w:noProof/>
        </w:rPr>
        <w:tab/>
      </w:r>
      <w:r w:rsidRPr="1CF2392C">
        <w:rPr>
          <w:noProof/>
        </w:rPr>
        <w:t>Providing flexibility in existing instruments</w:t>
      </w:r>
    </w:p>
    <w:p w14:paraId="12C7655C" w14:textId="77777777" w:rsidR="00950C34" w:rsidRDefault="00950C34" w:rsidP="00950C34">
      <w:pPr>
        <w:pStyle w:val="Text1"/>
        <w:pBdr>
          <w:top w:val="single" w:sz="4" w:space="1" w:color="auto"/>
          <w:left w:val="single" w:sz="4" w:space="1" w:color="auto"/>
          <w:bottom w:val="single" w:sz="4" w:space="1" w:color="auto"/>
          <w:right w:val="single" w:sz="4" w:space="4" w:color="auto"/>
        </w:pBdr>
        <w:rPr>
          <w:noProof/>
        </w:rPr>
      </w:pPr>
      <w:r w:rsidRPr="1CF2392C">
        <w:rPr>
          <w:noProof/>
        </w:rPr>
        <w:t>2.</w:t>
      </w:r>
      <w:r>
        <w:rPr>
          <w:noProof/>
        </w:rPr>
        <w:tab/>
      </w:r>
      <w:r w:rsidRPr="1CF2392C">
        <w:rPr>
          <w:noProof/>
        </w:rPr>
        <w:t xml:space="preserve">Reinforcing the firepower of existing instruments </w:t>
      </w:r>
    </w:p>
    <w:p w14:paraId="06882DAD" w14:textId="77777777" w:rsidR="00950C34" w:rsidRPr="00714A89" w:rsidRDefault="00950C34" w:rsidP="00950C34">
      <w:pPr>
        <w:pStyle w:val="Text1"/>
        <w:pBdr>
          <w:top w:val="single" w:sz="4" w:space="1" w:color="auto"/>
          <w:left w:val="single" w:sz="4" w:space="1" w:color="auto"/>
          <w:bottom w:val="single" w:sz="4" w:space="1" w:color="auto"/>
          <w:right w:val="single" w:sz="4" w:space="4" w:color="auto"/>
        </w:pBdr>
        <w:rPr>
          <w:noProof/>
        </w:rPr>
      </w:pPr>
      <w:r w:rsidRPr="1CF2392C">
        <w:rPr>
          <w:noProof/>
        </w:rPr>
        <w:t>3.</w:t>
      </w:r>
      <w:r>
        <w:rPr>
          <w:noProof/>
        </w:rPr>
        <w:tab/>
      </w:r>
      <w:r w:rsidRPr="1CF2392C">
        <w:rPr>
          <w:noProof/>
        </w:rPr>
        <w:t xml:space="preserve">Creating synergies among instruments towards the common goal </w:t>
      </w:r>
    </w:p>
    <w:p w14:paraId="314D029E" w14:textId="77777777" w:rsidR="00950C34" w:rsidRDefault="00950C34" w:rsidP="00950C34">
      <w:pPr>
        <w:pStyle w:val="ManualHeading3"/>
        <w:rPr>
          <w:bCs/>
          <w:noProof/>
          <w:szCs w:val="24"/>
        </w:rPr>
      </w:pPr>
      <w:r w:rsidRPr="0021790A">
        <w:rPr>
          <w:noProof/>
        </w:rPr>
        <w:t>1.4.2.</w:t>
      </w:r>
      <w:r w:rsidRPr="0021790A">
        <w:rPr>
          <w:noProof/>
        </w:rPr>
        <w:tab/>
      </w:r>
      <w:r w:rsidRPr="00AD0C21">
        <w:rPr>
          <w:noProof/>
        </w:rPr>
        <w:t>Specific objective(s)</w:t>
      </w:r>
      <w:bookmarkEnd w:id="17"/>
      <w:bookmarkEnd w:id="18"/>
    </w:p>
    <w:p w14:paraId="726A26C9" w14:textId="77777777" w:rsidR="00950C34" w:rsidRDefault="00950C34" w:rsidP="00950C34">
      <w:pPr>
        <w:pStyle w:val="Text1"/>
        <w:pBdr>
          <w:top w:val="single" w:sz="4" w:space="1" w:color="auto"/>
          <w:left w:val="single" w:sz="4" w:space="4" w:color="auto"/>
          <w:bottom w:val="single" w:sz="4" w:space="1" w:color="auto"/>
          <w:right w:val="single" w:sz="4" w:space="4" w:color="auto"/>
        </w:pBdr>
        <w:rPr>
          <w:noProof/>
        </w:rPr>
      </w:pPr>
      <w:bookmarkStart w:id="19" w:name="_Toc514938019"/>
      <w:bookmarkStart w:id="20" w:name="_Toc520485032"/>
      <w:r w:rsidRPr="31719606">
        <w:rPr>
          <w:noProof/>
        </w:rPr>
        <w:t>(a)</w:t>
      </w:r>
      <w:r>
        <w:rPr>
          <w:noProof/>
        </w:rPr>
        <w:tab/>
      </w:r>
      <w:r w:rsidRPr="31719606">
        <w:rPr>
          <w:noProof/>
        </w:rPr>
        <w:t>supporting the development or manufacturing throughout the Union, or safeguarding and strengthening the respective value chains, of critical technologies in the following fields, provided those technologies meet certain conditions:</w:t>
      </w:r>
    </w:p>
    <w:p w14:paraId="6D5EE07B" w14:textId="77777777" w:rsidR="00950C34" w:rsidRDefault="00950C34" w:rsidP="00950C34">
      <w:pPr>
        <w:pStyle w:val="Text1"/>
        <w:pBdr>
          <w:top w:val="single" w:sz="4" w:space="1" w:color="auto"/>
          <w:left w:val="single" w:sz="4" w:space="4" w:color="auto"/>
          <w:bottom w:val="single" w:sz="4" w:space="1" w:color="auto"/>
          <w:right w:val="single" w:sz="4" w:space="4" w:color="auto"/>
        </w:pBdr>
        <w:rPr>
          <w:noProof/>
        </w:rPr>
      </w:pPr>
      <w:r>
        <w:rPr>
          <w:noProof/>
        </w:rPr>
        <w:t>(i)</w:t>
      </w:r>
      <w:r>
        <w:rPr>
          <w:noProof/>
        </w:rPr>
        <w:tab/>
        <w:t>deep and digital technologies</w:t>
      </w:r>
    </w:p>
    <w:p w14:paraId="6BD6CB70" w14:textId="77777777" w:rsidR="00950C34" w:rsidRDefault="00950C34" w:rsidP="00950C34">
      <w:pPr>
        <w:pStyle w:val="Text1"/>
        <w:pBdr>
          <w:top w:val="single" w:sz="4" w:space="1" w:color="auto"/>
          <w:left w:val="single" w:sz="4" w:space="4" w:color="auto"/>
          <w:bottom w:val="single" w:sz="4" w:space="1" w:color="auto"/>
          <w:right w:val="single" w:sz="4" w:space="4" w:color="auto"/>
        </w:pBdr>
        <w:rPr>
          <w:noProof/>
        </w:rPr>
      </w:pPr>
      <w:r>
        <w:rPr>
          <w:noProof/>
        </w:rPr>
        <w:t>(ii)</w:t>
      </w:r>
      <w:r>
        <w:rPr>
          <w:noProof/>
        </w:rPr>
        <w:tab/>
        <w:t>clean technologies</w:t>
      </w:r>
    </w:p>
    <w:p w14:paraId="2A47722A" w14:textId="77777777" w:rsidR="00950C34" w:rsidRDefault="00950C34" w:rsidP="00950C34">
      <w:pPr>
        <w:pStyle w:val="Text1"/>
        <w:pBdr>
          <w:top w:val="single" w:sz="4" w:space="1" w:color="auto"/>
          <w:left w:val="single" w:sz="4" w:space="4" w:color="auto"/>
          <w:bottom w:val="single" w:sz="4" w:space="1" w:color="auto"/>
          <w:right w:val="single" w:sz="4" w:space="4" w:color="auto"/>
        </w:pBdr>
        <w:rPr>
          <w:noProof/>
        </w:rPr>
      </w:pPr>
      <w:r>
        <w:rPr>
          <w:noProof/>
        </w:rPr>
        <w:t>(iii)</w:t>
      </w:r>
      <w:r>
        <w:rPr>
          <w:noProof/>
        </w:rPr>
        <w:tab/>
        <w:t>biotechnologies</w:t>
      </w:r>
    </w:p>
    <w:p w14:paraId="11F36D15" w14:textId="77777777" w:rsidR="00950C34" w:rsidRDefault="00950C34" w:rsidP="00950C34">
      <w:pPr>
        <w:pStyle w:val="Text1"/>
        <w:pBdr>
          <w:top w:val="single" w:sz="4" w:space="1" w:color="auto"/>
          <w:left w:val="single" w:sz="4" w:space="4" w:color="auto"/>
          <w:bottom w:val="single" w:sz="4" w:space="1" w:color="auto"/>
          <w:right w:val="single" w:sz="4" w:space="4" w:color="auto"/>
        </w:pBdr>
        <w:rPr>
          <w:noProof/>
        </w:rPr>
      </w:pPr>
      <w:r w:rsidRPr="31719606">
        <w:rPr>
          <w:noProof/>
        </w:rPr>
        <w:t>(b)</w:t>
      </w:r>
      <w:r>
        <w:rPr>
          <w:noProof/>
        </w:rPr>
        <w:tab/>
      </w:r>
      <w:r w:rsidRPr="31719606">
        <w:rPr>
          <w:noProof/>
        </w:rPr>
        <w:t>addressing shortages of labour and skills critical to all kinds of quality jpbs in support of the objective under point (a).</w:t>
      </w:r>
    </w:p>
    <w:p w14:paraId="42AC7E78" w14:textId="77777777" w:rsidR="00950C34" w:rsidRPr="00BD0A20" w:rsidRDefault="00950C34" w:rsidP="00950C34">
      <w:pPr>
        <w:pStyle w:val="ManualHeading3"/>
        <w:rPr>
          <w:noProof/>
        </w:rPr>
      </w:pPr>
      <w:r>
        <w:rPr>
          <w:noProof/>
        </w:rPr>
        <w:t>1.4.3.</w:t>
      </w:r>
      <w:r>
        <w:rPr>
          <w:noProof/>
        </w:rPr>
        <w:tab/>
      </w:r>
      <w:r w:rsidRPr="1CF2392C">
        <w:rPr>
          <w:noProof/>
        </w:rPr>
        <w:t>Expected result(s) and impact</w:t>
      </w:r>
      <w:bookmarkEnd w:id="19"/>
      <w:bookmarkEnd w:id="20"/>
    </w:p>
    <w:p w14:paraId="6E7C9224" w14:textId="77777777" w:rsidR="00950C34" w:rsidRDefault="00950C34" w:rsidP="00950C34">
      <w:pPr>
        <w:pStyle w:val="Text1"/>
        <w:rPr>
          <w:i/>
          <w:noProof/>
          <w:sz w:val="20"/>
        </w:rPr>
      </w:pPr>
      <w:r w:rsidRPr="7A95CF58">
        <w:rPr>
          <w:i/>
          <w:iCs/>
          <w:noProof/>
          <w:sz w:val="20"/>
          <w:szCs w:val="20"/>
        </w:rPr>
        <w:t>Specify the effects which the proposal/initiative should have on the beneficiaries/groups targeted.</w:t>
      </w:r>
    </w:p>
    <w:p w14:paraId="3BFF5308" w14:textId="77777777" w:rsidR="00950C34" w:rsidRDefault="00950C34" w:rsidP="00950C34">
      <w:pPr>
        <w:pStyle w:val="Text1"/>
        <w:pBdr>
          <w:top w:val="single" w:sz="4" w:space="1" w:color="auto"/>
          <w:left w:val="single" w:sz="4" w:space="4" w:color="auto"/>
          <w:bottom w:val="single" w:sz="4" w:space="1" w:color="auto"/>
          <w:right w:val="single" w:sz="4" w:space="4" w:color="auto"/>
        </w:pBdr>
        <w:rPr>
          <w:noProof/>
        </w:rPr>
      </w:pPr>
      <w:r w:rsidRPr="31719606">
        <w:rPr>
          <w:noProof/>
        </w:rPr>
        <w:t xml:space="preserve">The expected impact of the Platform includes a substantial strengthening of the European Union's industrial capabilities and competitiveness in the areas of clean, biotech and deeptech technologies. This impact is projected to reinforce the EU's position as a global leader in these critical areas ultimately enhancing the EU's economic growth, sustainable development and international competitiveness. </w:t>
      </w:r>
    </w:p>
    <w:p w14:paraId="4D213FBC" w14:textId="77777777" w:rsidR="00950C34" w:rsidRDefault="00950C34" w:rsidP="00950C34">
      <w:pPr>
        <w:pStyle w:val="ManualHeading3"/>
        <w:rPr>
          <w:noProof/>
        </w:rPr>
      </w:pPr>
      <w:bookmarkStart w:id="21" w:name="_Toc514938023"/>
      <w:bookmarkStart w:id="22" w:name="_Toc520485033"/>
      <w:r>
        <w:rPr>
          <w:noProof/>
        </w:rPr>
        <w:t>1.4.4.</w:t>
      </w:r>
      <w:r>
        <w:rPr>
          <w:noProof/>
        </w:rPr>
        <w:tab/>
      </w:r>
      <w:r w:rsidRPr="1CF2392C">
        <w:rPr>
          <w:noProof/>
        </w:rPr>
        <w:t>Indicators of performance</w:t>
      </w:r>
      <w:bookmarkEnd w:id="21"/>
      <w:bookmarkEnd w:id="22"/>
    </w:p>
    <w:p w14:paraId="0F96E35F" w14:textId="77777777" w:rsidR="00950C34" w:rsidRDefault="00950C34" w:rsidP="00950C34">
      <w:pPr>
        <w:pStyle w:val="Text1"/>
        <w:rPr>
          <w:i/>
          <w:noProof/>
          <w:sz w:val="20"/>
        </w:rPr>
      </w:pPr>
      <w:r>
        <w:rPr>
          <w:i/>
          <w:noProof/>
          <w:sz w:val="20"/>
        </w:rPr>
        <w:t>Specify the indicators for monitoring progress and achievements.</w:t>
      </w:r>
    </w:p>
    <w:p w14:paraId="2A9D5F59" w14:textId="77777777" w:rsidR="00950C34" w:rsidRPr="003E1183" w:rsidRDefault="00950C34" w:rsidP="00950C34">
      <w:pPr>
        <w:pStyle w:val="Text1"/>
        <w:pBdr>
          <w:top w:val="single" w:sz="4" w:space="1" w:color="auto"/>
          <w:left w:val="single" w:sz="4" w:space="4" w:color="auto"/>
          <w:bottom w:val="single" w:sz="4" w:space="1" w:color="auto"/>
          <w:right w:val="single" w:sz="4" w:space="4" w:color="auto"/>
        </w:pBdr>
        <w:rPr>
          <w:b/>
          <w:bCs/>
          <w:noProof/>
          <w:u w:val="single"/>
        </w:rPr>
      </w:pPr>
      <w:r>
        <w:rPr>
          <w:b/>
          <w:bCs/>
          <w:noProof/>
          <w:u w:val="single"/>
        </w:rPr>
        <w:t>I</w:t>
      </w:r>
      <w:r w:rsidRPr="003E1183">
        <w:rPr>
          <w:b/>
          <w:bCs/>
          <w:noProof/>
          <w:u w:val="single"/>
        </w:rPr>
        <w:t>ndicators:</w:t>
      </w:r>
    </w:p>
    <w:p w14:paraId="725F96C5" w14:textId="63FFFF57" w:rsidR="00950C34" w:rsidRDefault="005772CD" w:rsidP="005772CD">
      <w:pPr>
        <w:pStyle w:val="Text1"/>
        <w:pBdr>
          <w:top w:val="single" w:sz="4" w:space="1" w:color="auto"/>
          <w:left w:val="single" w:sz="4" w:space="4" w:color="auto"/>
          <w:bottom w:val="single" w:sz="4" w:space="1" w:color="auto"/>
          <w:right w:val="single" w:sz="4" w:space="4" w:color="auto"/>
        </w:pBdr>
        <w:rPr>
          <w:noProof/>
        </w:rPr>
      </w:pPr>
      <w:r>
        <w:rPr>
          <w:noProof/>
        </w:rPr>
        <w:t xml:space="preserve">1. </w:t>
      </w:r>
      <w:r w:rsidR="00950C34">
        <w:rPr>
          <w:noProof/>
        </w:rPr>
        <w:t xml:space="preserve">Enterprises supported </w:t>
      </w:r>
    </w:p>
    <w:p w14:paraId="582801AB" w14:textId="31DFA24D" w:rsidR="00950C34" w:rsidRDefault="005772CD" w:rsidP="005772CD">
      <w:pPr>
        <w:pStyle w:val="Text1"/>
        <w:pBdr>
          <w:top w:val="single" w:sz="4" w:space="1" w:color="auto"/>
          <w:left w:val="single" w:sz="4" w:space="4" w:color="auto"/>
          <w:bottom w:val="single" w:sz="4" w:space="1" w:color="auto"/>
          <w:right w:val="single" w:sz="4" w:space="4" w:color="auto"/>
        </w:pBdr>
        <w:rPr>
          <w:noProof/>
        </w:rPr>
      </w:pPr>
      <w:r>
        <w:rPr>
          <w:noProof/>
        </w:rPr>
        <w:t xml:space="preserve">2. </w:t>
      </w:r>
      <w:r w:rsidR="00950C34">
        <w:rPr>
          <w:noProof/>
        </w:rPr>
        <w:t xml:space="preserve">Number of participants in trainings </w:t>
      </w:r>
    </w:p>
    <w:p w14:paraId="11D4F1F0" w14:textId="2E95CA96" w:rsidR="00950C34" w:rsidRDefault="005772CD" w:rsidP="005772CD">
      <w:pPr>
        <w:pStyle w:val="Text1"/>
        <w:pBdr>
          <w:top w:val="single" w:sz="4" w:space="1" w:color="auto"/>
          <w:left w:val="single" w:sz="4" w:space="4" w:color="auto"/>
          <w:bottom w:val="single" w:sz="4" w:space="1" w:color="auto"/>
          <w:right w:val="single" w:sz="4" w:space="4" w:color="auto"/>
        </w:pBdr>
        <w:rPr>
          <w:noProof/>
        </w:rPr>
      </w:pPr>
      <w:r>
        <w:rPr>
          <w:noProof/>
        </w:rPr>
        <w:t xml:space="preserve">3. </w:t>
      </w:r>
      <w:r w:rsidR="00950C34">
        <w:rPr>
          <w:noProof/>
        </w:rPr>
        <w:t xml:space="preserve">Total investment mobilised </w:t>
      </w:r>
    </w:p>
    <w:p w14:paraId="31523E7C" w14:textId="33800377" w:rsidR="00950C34" w:rsidRDefault="005772CD" w:rsidP="005772CD">
      <w:pPr>
        <w:pStyle w:val="Text1"/>
        <w:pBdr>
          <w:top w:val="single" w:sz="4" w:space="1" w:color="auto"/>
          <w:left w:val="single" w:sz="4" w:space="4" w:color="auto"/>
          <w:bottom w:val="single" w:sz="4" w:space="1" w:color="auto"/>
          <w:right w:val="single" w:sz="4" w:space="4" w:color="auto"/>
        </w:pBdr>
        <w:rPr>
          <w:noProof/>
        </w:rPr>
      </w:pPr>
      <w:r>
        <w:rPr>
          <w:noProof/>
        </w:rPr>
        <w:t xml:space="preserve">4. </w:t>
      </w:r>
      <w:r w:rsidR="00950C34">
        <w:rPr>
          <w:noProof/>
        </w:rPr>
        <w:t>Number of jobs created or maintained</w:t>
      </w:r>
    </w:p>
    <w:p w14:paraId="3B33DAA9" w14:textId="77777777" w:rsidR="00950C34" w:rsidRDefault="00950C34" w:rsidP="00950C34">
      <w:pPr>
        <w:pStyle w:val="Text1"/>
        <w:pBdr>
          <w:top w:val="single" w:sz="4" w:space="1" w:color="auto"/>
          <w:left w:val="single" w:sz="4" w:space="4" w:color="auto"/>
          <w:bottom w:val="single" w:sz="4" w:space="1" w:color="auto"/>
          <w:right w:val="single" w:sz="4" w:space="4" w:color="auto"/>
        </w:pBdr>
        <w:rPr>
          <w:noProof/>
        </w:rPr>
      </w:pPr>
    </w:p>
    <w:p w14:paraId="4F586766" w14:textId="77777777" w:rsidR="00950C34" w:rsidRDefault="00950C34" w:rsidP="00950C34">
      <w:pPr>
        <w:pStyle w:val="ManualHeading2"/>
        <w:rPr>
          <w:bCs/>
          <w:noProof/>
          <w:szCs w:val="24"/>
        </w:rPr>
      </w:pPr>
      <w:bookmarkStart w:id="23" w:name="_Toc514938025"/>
      <w:bookmarkStart w:id="24" w:name="_Toc520485034"/>
      <w:r w:rsidRPr="0021790A">
        <w:rPr>
          <w:noProof/>
        </w:rPr>
        <w:t>1.5.</w:t>
      </w:r>
      <w:r w:rsidRPr="0021790A">
        <w:rPr>
          <w:noProof/>
        </w:rPr>
        <w:tab/>
      </w:r>
      <w:r>
        <w:rPr>
          <w:noProof/>
        </w:rPr>
        <w:t>Grounds for the proposal/initiative</w:t>
      </w:r>
      <w:bookmarkEnd w:id="23"/>
      <w:bookmarkEnd w:id="24"/>
      <w:r>
        <w:rPr>
          <w:noProof/>
        </w:rPr>
        <w:t xml:space="preserve"> </w:t>
      </w:r>
    </w:p>
    <w:p w14:paraId="0D83A460" w14:textId="77777777" w:rsidR="00950C34" w:rsidRDefault="00950C34" w:rsidP="00950C34">
      <w:pPr>
        <w:pStyle w:val="ManualHeading3"/>
        <w:rPr>
          <w:noProof/>
        </w:rPr>
      </w:pPr>
      <w:bookmarkStart w:id="25" w:name="_Toc514938026"/>
      <w:bookmarkStart w:id="26" w:name="_Toc520485035"/>
      <w:r w:rsidRPr="0021790A">
        <w:rPr>
          <w:noProof/>
        </w:rPr>
        <w:t>1.5.1.</w:t>
      </w:r>
      <w:r w:rsidRPr="0021790A">
        <w:rPr>
          <w:noProof/>
        </w:rPr>
        <w:tab/>
      </w:r>
      <w:r>
        <w:rPr>
          <w:noProof/>
        </w:rPr>
        <w:t>Requirement(s) to be met in the short or long term including a detailed timeline for roll-out of the implementation of the initiative</w:t>
      </w:r>
      <w:bookmarkEnd w:id="25"/>
      <w:bookmarkEnd w:id="26"/>
    </w:p>
    <w:p w14:paraId="0E45B512" w14:textId="77777777" w:rsidR="00950C34" w:rsidRDefault="00950C34" w:rsidP="00950C34">
      <w:pPr>
        <w:pStyle w:val="Text1"/>
        <w:pBdr>
          <w:top w:val="single" w:sz="4" w:space="1" w:color="auto"/>
          <w:left w:val="single" w:sz="4" w:space="4" w:color="auto"/>
          <w:bottom w:val="single" w:sz="4" w:space="1" w:color="auto"/>
          <w:right w:val="single" w:sz="4" w:space="4" w:color="auto"/>
        </w:pBdr>
        <w:rPr>
          <w:noProof/>
        </w:rPr>
      </w:pPr>
      <w:r>
        <w:rPr>
          <w:noProof/>
        </w:rPr>
        <w:t>The Regulation should be fully applicable shortly after its adoption, i.e. the day following  its publication in the Official Journal of the European Union. However, some actions will start as of the date of adoption of the proposal by the Commission:</w:t>
      </w:r>
    </w:p>
    <w:p w14:paraId="23401DE0" w14:textId="77777777" w:rsidR="00950C34" w:rsidRDefault="00950C34" w:rsidP="00950C34">
      <w:pPr>
        <w:pStyle w:val="Text1"/>
        <w:pBdr>
          <w:top w:val="single" w:sz="4" w:space="1" w:color="auto"/>
          <w:left w:val="single" w:sz="4" w:space="4" w:color="auto"/>
          <w:bottom w:val="single" w:sz="4" w:space="1" w:color="auto"/>
          <w:right w:val="single" w:sz="4" w:space="4" w:color="auto"/>
        </w:pBdr>
        <w:rPr>
          <w:noProof/>
        </w:rPr>
      </w:pPr>
      <w:r>
        <w:rPr>
          <w:noProof/>
        </w:rPr>
        <w:t>- The Commission will start integrating the STEP objectives in the ongoing implementation of programmes, such as under Horizon Europe or the Innovation Fund.</w:t>
      </w:r>
    </w:p>
    <w:p w14:paraId="6DC6E5E6" w14:textId="77777777" w:rsidR="00950C34" w:rsidRDefault="00950C34" w:rsidP="00950C34">
      <w:pPr>
        <w:pStyle w:val="Text1"/>
        <w:pBdr>
          <w:top w:val="single" w:sz="4" w:space="1" w:color="auto"/>
          <w:left w:val="single" w:sz="4" w:space="4" w:color="auto"/>
          <w:bottom w:val="single" w:sz="4" w:space="1" w:color="auto"/>
          <w:right w:val="single" w:sz="4" w:space="4" w:color="auto"/>
        </w:pBdr>
        <w:rPr>
          <w:noProof/>
        </w:rPr>
      </w:pPr>
      <w:r>
        <w:rPr>
          <w:noProof/>
        </w:rPr>
        <w:t>- The Commission is establishing the One-Stop-Shop as of now to act as the central coordinator among EU instruments for the purpose of the Platform. The structure will grow over time to integrate additional resources.</w:t>
      </w:r>
    </w:p>
    <w:p w14:paraId="026EAC5C" w14:textId="77777777" w:rsidR="00950C34" w:rsidRDefault="00950C34" w:rsidP="00950C34">
      <w:pPr>
        <w:pStyle w:val="Text1"/>
        <w:pBdr>
          <w:top w:val="single" w:sz="4" w:space="1" w:color="auto"/>
          <w:left w:val="single" w:sz="4" w:space="4" w:color="auto"/>
          <w:bottom w:val="single" w:sz="4" w:space="1" w:color="auto"/>
          <w:right w:val="single" w:sz="4" w:space="4" w:color="auto"/>
        </w:pBdr>
        <w:rPr>
          <w:noProof/>
        </w:rPr>
      </w:pPr>
      <w:r>
        <w:rPr>
          <w:noProof/>
        </w:rPr>
        <w:t>The two actions above should be able to produce results as of end 2023.</w:t>
      </w:r>
    </w:p>
    <w:p w14:paraId="6AD6E603" w14:textId="77777777" w:rsidR="00950C34" w:rsidRDefault="00950C34" w:rsidP="00950C34">
      <w:pPr>
        <w:pStyle w:val="Text1"/>
        <w:pBdr>
          <w:top w:val="single" w:sz="4" w:space="1" w:color="auto"/>
          <w:left w:val="single" w:sz="4" w:space="4" w:color="auto"/>
          <w:bottom w:val="single" w:sz="4" w:space="1" w:color="auto"/>
          <w:right w:val="single" w:sz="4" w:space="4" w:color="auto"/>
        </w:pBdr>
        <w:rPr>
          <w:noProof/>
        </w:rPr>
      </w:pPr>
      <w:r>
        <w:rPr>
          <w:noProof/>
        </w:rPr>
        <w:t>Subject to the adoption of this proposal by the co-legislators, the Commission intends to deploy very quickly the additional resources in the selected programmes so that beneficiaries could start receiving financial support or implementing additional EU guarantee as of 2024.</w:t>
      </w:r>
    </w:p>
    <w:p w14:paraId="514301D1" w14:textId="77777777" w:rsidR="00950C34" w:rsidRDefault="00950C34" w:rsidP="00950C34">
      <w:pPr>
        <w:pStyle w:val="ManualHeading3"/>
        <w:rPr>
          <w:noProof/>
        </w:rPr>
      </w:pPr>
      <w:bookmarkStart w:id="27" w:name="_Toc514938029"/>
      <w:bookmarkStart w:id="28" w:name="_Toc520485036"/>
      <w:r>
        <w:rPr>
          <w:noProof/>
        </w:rPr>
        <w:t>1.5.2.</w:t>
      </w:r>
      <w:r>
        <w:rPr>
          <w:noProof/>
        </w:rPr>
        <w:tab/>
      </w:r>
      <w:r w:rsidRPr="6002F3E2">
        <w:rPr>
          <w:noProof/>
        </w:rPr>
        <w:t>Added value of Union involvement (it may result from different factors, e.g. coordination gains, legal certainty, greater effectiveness or complementarities). For the purposes of this point 'added value of Union involvement' is the value resulting from Union intervention, which is additional to the value that would have been otherwise created by Member States alone.</w:t>
      </w:r>
      <w:bookmarkEnd w:id="27"/>
      <w:bookmarkEnd w:id="28"/>
    </w:p>
    <w:p w14:paraId="12A9A218" w14:textId="77777777" w:rsidR="00950C34" w:rsidRDefault="00950C34" w:rsidP="00950C34">
      <w:pPr>
        <w:pStyle w:val="Text1"/>
        <w:pBdr>
          <w:top w:val="single" w:sz="4" w:space="1" w:color="auto"/>
          <w:left w:val="single" w:sz="4" w:space="4" w:color="auto"/>
          <w:bottom w:val="single" w:sz="4" w:space="1" w:color="auto"/>
          <w:right w:val="single" w:sz="4" w:space="4" w:color="auto"/>
        </w:pBdr>
        <w:rPr>
          <w:noProof/>
        </w:rPr>
      </w:pPr>
      <w:r>
        <w:rPr>
          <w:noProof/>
        </w:rPr>
        <w:t xml:space="preserve">The EU as whole is at the forefront for implementing the actions required to pursue  the green and digital transitions. By acting together, Member States are better able to pool resources for achieving these objectives and reinforce the effectiveness of the actions. </w:t>
      </w:r>
    </w:p>
    <w:p w14:paraId="10BC2D2B" w14:textId="77777777" w:rsidR="00950C34" w:rsidRDefault="00950C34" w:rsidP="00950C34">
      <w:pPr>
        <w:pStyle w:val="Text1"/>
        <w:pBdr>
          <w:top w:val="single" w:sz="4" w:space="1" w:color="auto"/>
          <w:left w:val="single" w:sz="4" w:space="4" w:color="auto"/>
          <w:bottom w:val="single" w:sz="4" w:space="1" w:color="auto"/>
          <w:right w:val="single" w:sz="4" w:space="4" w:color="auto"/>
        </w:pBdr>
        <w:rPr>
          <w:noProof/>
        </w:rPr>
      </w:pPr>
      <w:r>
        <w:rPr>
          <w:noProof/>
        </w:rPr>
        <w:t>Sustaining the green and digital transitions with a strong industrial base requires a coordinated action among Member States, also in view of the global competition to attract capital and investments.</w:t>
      </w:r>
    </w:p>
    <w:p w14:paraId="1E1D71D0" w14:textId="77777777" w:rsidR="00950C34" w:rsidRDefault="00950C34" w:rsidP="00950C34">
      <w:pPr>
        <w:pStyle w:val="ManualHeading3"/>
        <w:rPr>
          <w:noProof/>
        </w:rPr>
      </w:pPr>
      <w:bookmarkStart w:id="29" w:name="_Toc514938030"/>
      <w:bookmarkStart w:id="30" w:name="_Toc520485037"/>
      <w:r>
        <w:rPr>
          <w:noProof/>
        </w:rPr>
        <w:t>1.5.3.</w:t>
      </w:r>
      <w:r>
        <w:rPr>
          <w:noProof/>
        </w:rPr>
        <w:tab/>
      </w:r>
      <w:r w:rsidRPr="6002F3E2">
        <w:rPr>
          <w:noProof/>
        </w:rPr>
        <w:t>Lessons learned from similar experiences in the past</w:t>
      </w:r>
      <w:bookmarkEnd w:id="29"/>
      <w:bookmarkEnd w:id="30"/>
    </w:p>
    <w:p w14:paraId="6AA3EBF6" w14:textId="77777777" w:rsidR="00950C34" w:rsidRDefault="00950C34" w:rsidP="00950C34">
      <w:pPr>
        <w:pStyle w:val="Text1"/>
        <w:pBdr>
          <w:top w:val="single" w:sz="4" w:space="1" w:color="auto"/>
          <w:left w:val="single" w:sz="4" w:space="4" w:color="auto"/>
          <w:bottom w:val="single" w:sz="4" w:space="1" w:color="auto"/>
          <w:right w:val="single" w:sz="4" w:space="4" w:color="auto"/>
        </w:pBdr>
        <w:rPr>
          <w:noProof/>
        </w:rPr>
      </w:pPr>
      <w:r>
        <w:rPr>
          <w:noProof/>
        </w:rPr>
        <w:t>The EU has adopted in previous years regulatory changes to accelerate the deployment of EU funds, for instance CARE and FAST CARE are examples where the cohesion funds have been subject to targeted changes to face emerging crisis.</w:t>
      </w:r>
    </w:p>
    <w:p w14:paraId="2DA02D6F" w14:textId="77777777" w:rsidR="00950C34" w:rsidRDefault="00950C34" w:rsidP="00950C34">
      <w:pPr>
        <w:pStyle w:val="Text1"/>
        <w:pBdr>
          <w:top w:val="single" w:sz="4" w:space="1" w:color="auto"/>
          <w:left w:val="single" w:sz="4" w:space="4" w:color="auto"/>
          <w:bottom w:val="single" w:sz="4" w:space="1" w:color="auto"/>
          <w:right w:val="single" w:sz="4" w:space="4" w:color="auto"/>
        </w:pBdr>
        <w:rPr>
          <w:noProof/>
        </w:rPr>
      </w:pPr>
      <w:r>
        <w:rPr>
          <w:noProof/>
        </w:rPr>
        <w:t>The EU has also adopted recently the REPowerEU Regulation to reinforce the firepower of an existing instrument, the Recovery and Resilience Facility, and flexibilise at the same time the possibility to use other funds for the REPowerEU purposes.</w:t>
      </w:r>
    </w:p>
    <w:p w14:paraId="74FBD8D5" w14:textId="77777777" w:rsidR="00950C34" w:rsidRDefault="00950C34" w:rsidP="00950C34">
      <w:pPr>
        <w:pStyle w:val="Text1"/>
        <w:pBdr>
          <w:top w:val="single" w:sz="4" w:space="1" w:color="auto"/>
          <w:left w:val="single" w:sz="4" w:space="4" w:color="auto"/>
          <w:bottom w:val="single" w:sz="4" w:space="1" w:color="auto"/>
          <w:right w:val="single" w:sz="4" w:space="4" w:color="auto"/>
        </w:pBdr>
        <w:rPr>
          <w:noProof/>
        </w:rPr>
      </w:pPr>
      <w:r>
        <w:rPr>
          <w:noProof/>
        </w:rPr>
        <w:t>These experiences have been taken into account in the design of this proposal.</w:t>
      </w:r>
    </w:p>
    <w:p w14:paraId="7CBA5797" w14:textId="77777777" w:rsidR="00950C34" w:rsidRDefault="00950C34" w:rsidP="00950C34">
      <w:pPr>
        <w:pStyle w:val="ManualHeading3"/>
        <w:rPr>
          <w:noProof/>
        </w:rPr>
      </w:pPr>
      <w:bookmarkStart w:id="31" w:name="_Toc514938033"/>
      <w:bookmarkStart w:id="32" w:name="_Toc520485038"/>
      <w:r>
        <w:rPr>
          <w:noProof/>
        </w:rPr>
        <w:t>1.5.4.</w:t>
      </w:r>
      <w:r>
        <w:rPr>
          <w:noProof/>
        </w:rPr>
        <w:tab/>
      </w:r>
      <w:r w:rsidRPr="6002F3E2">
        <w:rPr>
          <w:noProof/>
        </w:rPr>
        <w:t>Compatibility with the Multiannual Financial Framework and possible synergies with other appropriate instruments</w:t>
      </w:r>
      <w:bookmarkEnd w:id="31"/>
      <w:bookmarkEnd w:id="32"/>
    </w:p>
    <w:p w14:paraId="13BF3192" w14:textId="77777777" w:rsidR="00950C34" w:rsidRDefault="00950C34" w:rsidP="00950C34">
      <w:pPr>
        <w:pStyle w:val="Text1"/>
        <w:pBdr>
          <w:top w:val="single" w:sz="4" w:space="1" w:color="auto"/>
          <w:left w:val="single" w:sz="4" w:space="4" w:color="auto"/>
          <w:bottom w:val="single" w:sz="4" w:space="1" w:color="auto"/>
          <w:right w:val="single" w:sz="4" w:space="4" w:color="auto"/>
        </w:pBdr>
        <w:rPr>
          <w:noProof/>
        </w:rPr>
      </w:pPr>
      <w:r w:rsidRPr="31719606">
        <w:rPr>
          <w:noProof/>
        </w:rPr>
        <w:t>This Regulation creates the necessary conditions for a more effective, efficient and targeted use of existing EU funds in the name of greater support to STEP projects. The EU has put in place over the last years a comprehensive set of instruments to support the decarbonisation and digitalisation of Europe.</w:t>
      </w:r>
    </w:p>
    <w:p w14:paraId="28DD6F4E" w14:textId="77777777" w:rsidR="00950C34" w:rsidRDefault="00950C34" w:rsidP="00950C34">
      <w:pPr>
        <w:pStyle w:val="Text1"/>
        <w:pBdr>
          <w:top w:val="single" w:sz="4" w:space="1" w:color="auto"/>
          <w:left w:val="single" w:sz="4" w:space="4" w:color="auto"/>
          <w:bottom w:val="single" w:sz="4" w:space="1" w:color="auto"/>
          <w:right w:val="single" w:sz="4" w:space="4" w:color="auto"/>
        </w:pBdr>
        <w:rPr>
          <w:noProof/>
        </w:rPr>
      </w:pPr>
      <w:r>
        <w:rPr>
          <w:noProof/>
        </w:rPr>
        <w:t>T</w:t>
      </w:r>
      <w:r w:rsidRPr="6002F3E2">
        <w:rPr>
          <w:noProof/>
        </w:rPr>
        <w:t>he choice of streamlining and making a better use of existing instruments over creating a brand new instrument has two main advantages. First, timing. With the creation of a new instrument</w:t>
      </w:r>
      <w:r>
        <w:rPr>
          <w:noProof/>
        </w:rPr>
        <w:t xml:space="preserve"> potentiallly</w:t>
      </w:r>
      <w:r w:rsidRPr="6002F3E2">
        <w:rPr>
          <w:noProof/>
        </w:rPr>
        <w:t xml:space="preserve"> taking </w:t>
      </w:r>
      <w:r>
        <w:rPr>
          <w:noProof/>
        </w:rPr>
        <w:t>a long time</w:t>
      </w:r>
      <w:r w:rsidRPr="6002F3E2">
        <w:rPr>
          <w:noProof/>
        </w:rPr>
        <w:t xml:space="preserve">, bringing existing instruments together can be done much more quickly. This would be an indisputable advantage for the beneficiaries of EU funding as they would have the chance to reap the benefits of EU funding more swiftly. Second, blending different sources of financing </w:t>
      </w:r>
      <w:r>
        <w:rPr>
          <w:noProof/>
        </w:rPr>
        <w:t>–</w:t>
      </w:r>
      <w:r w:rsidRPr="6002F3E2">
        <w:rPr>
          <w:noProof/>
        </w:rPr>
        <w:t xml:space="preserve"> under</w:t>
      </w:r>
      <w:r>
        <w:rPr>
          <w:noProof/>
        </w:rPr>
        <w:t xml:space="preserve"> </w:t>
      </w:r>
      <w:r w:rsidRPr="6002F3E2">
        <w:rPr>
          <w:noProof/>
        </w:rPr>
        <w:t>direct</w:t>
      </w:r>
      <w:r>
        <w:rPr>
          <w:noProof/>
        </w:rPr>
        <w:t>, indirect</w:t>
      </w:r>
      <w:r w:rsidRPr="6002F3E2">
        <w:rPr>
          <w:noProof/>
        </w:rPr>
        <w:t xml:space="preserve"> and shared management –</w:t>
      </w:r>
      <w:r>
        <w:rPr>
          <w:noProof/>
        </w:rPr>
        <w:t xml:space="preserve"> </w:t>
      </w:r>
      <w:r w:rsidRPr="6002F3E2">
        <w:rPr>
          <w:noProof/>
        </w:rPr>
        <w:t>could also lead to a more efficient use of resources.</w:t>
      </w:r>
    </w:p>
    <w:p w14:paraId="5203BED4" w14:textId="77777777" w:rsidR="00950C34" w:rsidRDefault="00950C34" w:rsidP="00950C34">
      <w:pPr>
        <w:pStyle w:val="Text1"/>
        <w:pBdr>
          <w:top w:val="single" w:sz="4" w:space="1" w:color="auto"/>
          <w:left w:val="single" w:sz="4" w:space="4" w:color="auto"/>
          <w:bottom w:val="single" w:sz="4" w:space="1" w:color="auto"/>
          <w:right w:val="single" w:sz="4" w:space="4" w:color="auto"/>
        </w:pBdr>
        <w:rPr>
          <w:noProof/>
        </w:rPr>
      </w:pPr>
      <w:r w:rsidRPr="31719606">
        <w:rPr>
          <w:noProof/>
        </w:rPr>
        <w:t>While the STEP proposal is fully embedded in the exising MFF and the current instruments, it also requires additional resources to achieve the objectives. As such, as part of the mid-term review of the MFF, the Commission is proposing targeted reinforcements for the STEP.</w:t>
      </w:r>
    </w:p>
    <w:p w14:paraId="74BCAD65" w14:textId="77777777" w:rsidR="00950C34" w:rsidRDefault="00950C34" w:rsidP="00950C34">
      <w:pPr>
        <w:pStyle w:val="Text1"/>
        <w:pBdr>
          <w:top w:val="single" w:sz="4" w:space="1" w:color="auto"/>
          <w:left w:val="single" w:sz="4" w:space="4" w:color="auto"/>
          <w:bottom w:val="single" w:sz="4" w:space="1" w:color="auto"/>
          <w:right w:val="single" w:sz="4" w:space="4" w:color="auto"/>
        </w:pBdr>
        <w:rPr>
          <w:noProof/>
        </w:rPr>
      </w:pPr>
    </w:p>
    <w:p w14:paraId="0554E87E" w14:textId="77777777" w:rsidR="00950C34" w:rsidRDefault="00950C34" w:rsidP="00950C34">
      <w:pPr>
        <w:pStyle w:val="ManualHeading3"/>
        <w:rPr>
          <w:noProof/>
        </w:rPr>
      </w:pPr>
      <w:bookmarkStart w:id="33" w:name="_Toc514938036"/>
      <w:bookmarkStart w:id="34" w:name="_Toc520485039"/>
      <w:r w:rsidRPr="0021790A">
        <w:rPr>
          <w:noProof/>
        </w:rPr>
        <w:t>1.5.5.</w:t>
      </w:r>
      <w:r w:rsidRPr="0021790A">
        <w:rPr>
          <w:noProof/>
        </w:rPr>
        <w:tab/>
      </w:r>
      <w:r>
        <w:rPr>
          <w:noProof/>
        </w:rPr>
        <w:t>Assessment of the different available financing options, including scope for redeployment</w:t>
      </w:r>
      <w:bookmarkEnd w:id="33"/>
      <w:bookmarkEnd w:id="34"/>
    </w:p>
    <w:p w14:paraId="2567D35C" w14:textId="77777777" w:rsidR="00950C34" w:rsidRDefault="00950C34" w:rsidP="00950C34">
      <w:pPr>
        <w:pStyle w:val="Text1"/>
        <w:pBdr>
          <w:top w:val="single" w:sz="4" w:space="1" w:color="auto"/>
          <w:left w:val="single" w:sz="4" w:space="4" w:color="auto"/>
          <w:bottom w:val="single" w:sz="4" w:space="1" w:color="auto"/>
          <w:right w:val="single" w:sz="4" w:space="4" w:color="auto"/>
        </w:pBdr>
        <w:rPr>
          <w:noProof/>
        </w:rPr>
      </w:pPr>
      <w:r w:rsidRPr="6002F3E2">
        <w:rPr>
          <w:noProof/>
        </w:rPr>
        <w:t>N/A</w:t>
      </w:r>
    </w:p>
    <w:p w14:paraId="1B2442FF" w14:textId="77777777" w:rsidR="00950C34" w:rsidRDefault="00950C34" w:rsidP="00950C34">
      <w:pPr>
        <w:pStyle w:val="Text1"/>
        <w:pBdr>
          <w:top w:val="single" w:sz="4" w:space="1" w:color="auto"/>
          <w:left w:val="single" w:sz="4" w:space="4" w:color="auto"/>
          <w:bottom w:val="single" w:sz="4" w:space="1" w:color="auto"/>
          <w:right w:val="single" w:sz="4" w:space="4" w:color="auto"/>
        </w:pBdr>
        <w:rPr>
          <w:noProof/>
        </w:rPr>
      </w:pPr>
    </w:p>
    <w:p w14:paraId="592AEA8E" w14:textId="77777777" w:rsidR="00950C34" w:rsidRPr="00AF322C" w:rsidRDefault="00950C34" w:rsidP="00950C34">
      <w:pPr>
        <w:pStyle w:val="Text1"/>
        <w:rPr>
          <w:noProof/>
        </w:rPr>
      </w:pPr>
    </w:p>
    <w:p w14:paraId="5E753315" w14:textId="77777777" w:rsidR="00950C34" w:rsidRDefault="00950C34" w:rsidP="00950C34">
      <w:pPr>
        <w:pStyle w:val="ManualHeading2"/>
        <w:rPr>
          <w:noProof/>
        </w:rPr>
      </w:pPr>
      <w:r w:rsidRPr="0B07273F">
        <w:rPr>
          <w:noProof/>
        </w:rPr>
        <w:br w:type="page"/>
      </w:r>
      <w:bookmarkStart w:id="35" w:name="_Toc514938039"/>
      <w:bookmarkStart w:id="36" w:name="_Toc520485040"/>
      <w:r>
        <w:rPr>
          <w:noProof/>
        </w:rPr>
        <w:t>1.6.</w:t>
      </w:r>
      <w:r>
        <w:rPr>
          <w:noProof/>
        </w:rPr>
        <w:tab/>
      </w:r>
      <w:r w:rsidRPr="0B07273F">
        <w:rPr>
          <w:noProof/>
        </w:rPr>
        <w:t>Duration and financial impact of the proposal/initiative</w:t>
      </w:r>
      <w:bookmarkEnd w:id="35"/>
      <w:bookmarkEnd w:id="36"/>
    </w:p>
    <w:p w14:paraId="5135A33D" w14:textId="77777777" w:rsidR="00950C34" w:rsidRDefault="00950C34" w:rsidP="00950C34">
      <w:pPr>
        <w:pStyle w:val="Text1"/>
        <w:rPr>
          <w:noProof/>
        </w:rPr>
      </w:pPr>
      <w:r w:rsidRPr="6002F3E2">
        <w:rPr>
          <w:rFonts w:ascii="Wingdings" w:eastAsia="Wingdings" w:hAnsi="Wingdings" w:cs="Wingdings"/>
          <w:noProof/>
        </w:rPr>
        <w:t></w:t>
      </w:r>
      <w:r w:rsidRPr="6002F3E2">
        <w:rPr>
          <w:i/>
          <w:iCs/>
          <w:noProof/>
        </w:rPr>
        <w:t xml:space="preserve"> </w:t>
      </w:r>
      <w:r w:rsidRPr="6002F3E2">
        <w:rPr>
          <w:b/>
          <w:bCs/>
          <w:i/>
          <w:iCs/>
          <w:noProof/>
        </w:rPr>
        <w:t xml:space="preserve"> </w:t>
      </w:r>
      <w:r w:rsidRPr="6002F3E2">
        <w:rPr>
          <w:b/>
          <w:bCs/>
          <w:noProof/>
        </w:rPr>
        <w:t xml:space="preserve">limited duration </w:t>
      </w:r>
    </w:p>
    <w:p w14:paraId="11C4499C" w14:textId="77777777" w:rsidR="00950C34" w:rsidRDefault="00950C34" w:rsidP="006271C1">
      <w:pPr>
        <w:pStyle w:val="ListDash2"/>
        <w:rPr>
          <w:noProof/>
        </w:rPr>
      </w:pPr>
      <w:r w:rsidRPr="6002F3E2">
        <w:rPr>
          <w:rFonts w:ascii="Wingdings" w:eastAsia="Wingdings" w:hAnsi="Wingdings" w:cs="Wingdings"/>
          <w:noProof/>
        </w:rPr>
        <w:t></w:t>
      </w:r>
      <w:r w:rsidRPr="6002F3E2">
        <w:rPr>
          <w:noProof/>
        </w:rPr>
        <w:t>in effect from [DD/MM]YYYY to 31/12/2030</w:t>
      </w:r>
    </w:p>
    <w:p w14:paraId="32488F1C" w14:textId="77777777" w:rsidR="00950C34" w:rsidRDefault="00950C34" w:rsidP="006271C1">
      <w:pPr>
        <w:pStyle w:val="ListDash2"/>
        <w:rPr>
          <w:noProof/>
        </w:rPr>
      </w:pPr>
      <w:r w:rsidRPr="6002F3E2">
        <w:rPr>
          <w:rFonts w:ascii="Wingdings" w:eastAsia="Wingdings" w:hAnsi="Wingdings" w:cs="Wingdings"/>
          <w:noProof/>
        </w:rPr>
        <w:t></w:t>
      </w:r>
      <w:r>
        <w:rPr>
          <w:noProof/>
        </w:rPr>
        <w:tab/>
      </w:r>
      <w:r w:rsidRPr="6002F3E2">
        <w:rPr>
          <w:noProof/>
        </w:rPr>
        <w:t xml:space="preserve">Financial impact from 2023 to 2027 for commitment appropriations and from 2023 to 2030 for payment appropriations. </w:t>
      </w:r>
    </w:p>
    <w:p w14:paraId="24A6E9CF" w14:textId="77777777" w:rsidR="00950C34" w:rsidRDefault="00950C34" w:rsidP="00950C34">
      <w:pPr>
        <w:pStyle w:val="Text1"/>
        <w:rPr>
          <w:noProof/>
        </w:rPr>
      </w:pPr>
      <w:r>
        <w:rPr>
          <w:rFonts w:ascii="Wingdings" w:eastAsia="Wingdings" w:hAnsi="Wingdings" w:cs="Wingdings"/>
          <w:noProof/>
        </w:rPr>
        <w:t></w:t>
      </w:r>
      <w:r>
        <w:rPr>
          <w:b/>
          <w:i/>
          <w:noProof/>
        </w:rPr>
        <w:t xml:space="preserve"> </w:t>
      </w:r>
      <w:r>
        <w:rPr>
          <w:b/>
          <w:noProof/>
        </w:rPr>
        <w:t>unlimited duration</w:t>
      </w:r>
    </w:p>
    <w:p w14:paraId="32646C5D" w14:textId="77777777" w:rsidR="00950C34" w:rsidRDefault="00950C34" w:rsidP="006271C1">
      <w:pPr>
        <w:pStyle w:val="ListDash1"/>
        <w:rPr>
          <w:noProof/>
        </w:rPr>
      </w:pPr>
      <w:r>
        <w:rPr>
          <w:noProof/>
        </w:rPr>
        <w:t>Implementation with a start-up period from YYYY to YYYY,</w:t>
      </w:r>
    </w:p>
    <w:p w14:paraId="519DEE2C" w14:textId="77777777" w:rsidR="00950C34" w:rsidRDefault="00950C34" w:rsidP="006271C1">
      <w:pPr>
        <w:pStyle w:val="ListDash1"/>
        <w:rPr>
          <w:noProof/>
        </w:rPr>
      </w:pPr>
      <w:r>
        <w:rPr>
          <w:noProof/>
        </w:rPr>
        <w:t>followed by full-scale operation.</w:t>
      </w:r>
    </w:p>
    <w:p w14:paraId="32C6E547" w14:textId="77777777" w:rsidR="00950C34" w:rsidRDefault="00950C34" w:rsidP="00950C34">
      <w:pPr>
        <w:pStyle w:val="ManualHeading2"/>
        <w:rPr>
          <w:bCs/>
          <w:noProof/>
          <w:szCs w:val="24"/>
        </w:rPr>
      </w:pPr>
      <w:bookmarkStart w:id="37" w:name="_Toc514938040"/>
      <w:bookmarkStart w:id="38" w:name="_Toc520485041"/>
      <w:r w:rsidRPr="0021790A">
        <w:rPr>
          <w:noProof/>
        </w:rPr>
        <w:t>1.7.</w:t>
      </w:r>
      <w:r w:rsidRPr="0021790A">
        <w:rPr>
          <w:noProof/>
        </w:rPr>
        <w:tab/>
      </w:r>
      <w:r>
        <w:rPr>
          <w:noProof/>
        </w:rPr>
        <w:t>Method(s) of budget implementation planned</w:t>
      </w:r>
      <w:r>
        <w:rPr>
          <w:rStyle w:val="FootnoteReference"/>
          <w:noProof/>
        </w:rPr>
        <w:footnoteReference w:id="74"/>
      </w:r>
      <w:bookmarkEnd w:id="37"/>
      <w:bookmarkEnd w:id="38"/>
      <w:r>
        <w:rPr>
          <w:rStyle w:val="FootnoteReference"/>
          <w:noProof/>
        </w:rPr>
        <w:t xml:space="preserve"> </w:t>
      </w:r>
    </w:p>
    <w:p w14:paraId="13569FB9" w14:textId="77777777" w:rsidR="00950C34" w:rsidRDefault="00950C34" w:rsidP="00950C34">
      <w:pPr>
        <w:pStyle w:val="Text1"/>
        <w:rPr>
          <w:noProof/>
        </w:rPr>
      </w:pPr>
      <w:r>
        <w:rPr>
          <w:rFonts w:ascii="Wingdings" w:eastAsia="Wingdings" w:hAnsi="Wingdings" w:cs="Wingdings"/>
          <w:noProof/>
        </w:rPr>
        <w:t></w:t>
      </w:r>
      <w:r>
        <w:rPr>
          <w:i/>
          <w:noProof/>
        </w:rPr>
        <w:t xml:space="preserve"> </w:t>
      </w:r>
      <w:r>
        <w:rPr>
          <w:b/>
          <w:noProof/>
        </w:rPr>
        <w:t>Direct management</w:t>
      </w:r>
      <w:r>
        <w:rPr>
          <w:noProof/>
        </w:rPr>
        <w:t xml:space="preserve"> by the Commission</w:t>
      </w:r>
    </w:p>
    <w:p w14:paraId="7D3A4841" w14:textId="77777777" w:rsidR="00950C34" w:rsidRDefault="00950C34" w:rsidP="006271C1">
      <w:pPr>
        <w:pStyle w:val="ListDash2"/>
        <w:rPr>
          <w:rFonts w:cs="EUAlbertina"/>
          <w:noProof/>
        </w:rPr>
      </w:pPr>
      <w:r>
        <w:rPr>
          <w:rFonts w:ascii="Wingdings" w:eastAsia="Wingdings" w:hAnsi="Wingdings" w:cs="Wingdings"/>
          <w:noProof/>
        </w:rPr>
        <w:t></w:t>
      </w:r>
      <w:r>
        <w:rPr>
          <w:noProof/>
        </w:rPr>
        <w:t xml:space="preserve"> by its departments, including by its staff in the Union delegations; </w:t>
      </w:r>
    </w:p>
    <w:p w14:paraId="3FF2F3D4" w14:textId="77777777" w:rsidR="00950C34" w:rsidRDefault="00950C34" w:rsidP="006271C1">
      <w:pPr>
        <w:pStyle w:val="ListDash2"/>
        <w:rPr>
          <w:noProof/>
        </w:rPr>
      </w:pPr>
      <w:r>
        <w:rPr>
          <w:rFonts w:ascii="Wingdings" w:eastAsia="Wingdings" w:hAnsi="Wingdings" w:cs="Wingdings"/>
          <w:noProof/>
        </w:rPr>
        <w:t></w:t>
      </w:r>
      <w:r>
        <w:rPr>
          <w:noProof/>
        </w:rPr>
        <w:tab/>
        <w:t xml:space="preserve">by the executive agencies </w:t>
      </w:r>
    </w:p>
    <w:p w14:paraId="6680DC90" w14:textId="77777777" w:rsidR="00950C34" w:rsidRDefault="00950C34" w:rsidP="00950C34">
      <w:pPr>
        <w:pStyle w:val="Text1"/>
        <w:rPr>
          <w:noProof/>
        </w:rPr>
      </w:pPr>
      <w:r w:rsidRPr="6002F3E2">
        <w:rPr>
          <w:rFonts w:ascii="Wingdings" w:eastAsia="Wingdings" w:hAnsi="Wingdings" w:cs="Wingdings"/>
          <w:noProof/>
        </w:rPr>
        <w:t></w:t>
      </w:r>
      <w:r w:rsidRPr="6002F3E2">
        <w:rPr>
          <w:b/>
          <w:bCs/>
          <w:i/>
          <w:iCs/>
          <w:noProof/>
        </w:rPr>
        <w:t xml:space="preserve"> </w:t>
      </w:r>
      <w:r w:rsidRPr="6002F3E2">
        <w:rPr>
          <w:b/>
          <w:bCs/>
          <w:noProof/>
        </w:rPr>
        <w:t>Shared management</w:t>
      </w:r>
      <w:r w:rsidRPr="6002F3E2">
        <w:rPr>
          <w:noProof/>
        </w:rPr>
        <w:t xml:space="preserve"> with the Member States </w:t>
      </w:r>
    </w:p>
    <w:p w14:paraId="789A6444" w14:textId="77777777" w:rsidR="00950C34" w:rsidRDefault="00950C34" w:rsidP="00950C34">
      <w:pPr>
        <w:pStyle w:val="Text1"/>
        <w:rPr>
          <w:noProof/>
        </w:rPr>
      </w:pPr>
      <w:r w:rsidRPr="6A26A8F9">
        <w:rPr>
          <w:rFonts w:ascii="Wingdings" w:eastAsia="Wingdings" w:hAnsi="Wingdings" w:cs="Wingdings"/>
          <w:noProof/>
        </w:rPr>
        <w:t></w:t>
      </w:r>
      <w:r>
        <w:rPr>
          <w:i/>
          <w:noProof/>
        </w:rPr>
        <w:t xml:space="preserve"> </w:t>
      </w:r>
      <w:r>
        <w:rPr>
          <w:b/>
          <w:noProof/>
        </w:rPr>
        <w:t>Indirect management</w:t>
      </w:r>
      <w:r>
        <w:rPr>
          <w:noProof/>
        </w:rPr>
        <w:t xml:space="preserve"> by entrusting budget implementation tasks to:</w:t>
      </w:r>
    </w:p>
    <w:p w14:paraId="56056A61" w14:textId="77777777" w:rsidR="00950C34" w:rsidRDefault="00950C34" w:rsidP="006271C1">
      <w:pPr>
        <w:pStyle w:val="ListDash2"/>
        <w:rPr>
          <w:noProof/>
        </w:rPr>
      </w:pPr>
      <w:r>
        <w:rPr>
          <w:rFonts w:ascii="Wingdings" w:eastAsia="Wingdings" w:hAnsi="Wingdings" w:cs="Wingdings"/>
          <w:noProof/>
        </w:rPr>
        <w:t></w:t>
      </w:r>
      <w:r>
        <w:rPr>
          <w:noProof/>
        </w:rPr>
        <w:t xml:space="preserve"> third countries or the bodies they have designated;</w:t>
      </w:r>
    </w:p>
    <w:p w14:paraId="28CEF7D0" w14:textId="77777777" w:rsidR="00950C34" w:rsidRDefault="00950C34" w:rsidP="006271C1">
      <w:pPr>
        <w:pStyle w:val="ListDash2"/>
        <w:rPr>
          <w:noProof/>
        </w:rPr>
      </w:pPr>
      <w:r>
        <w:rPr>
          <w:rFonts w:ascii="Wingdings" w:eastAsia="Wingdings" w:hAnsi="Wingdings" w:cs="Wingdings"/>
          <w:noProof/>
        </w:rPr>
        <w:t></w:t>
      </w:r>
      <w:r>
        <w:rPr>
          <w:noProof/>
        </w:rPr>
        <w:t xml:space="preserve"> international organisations and their agencies (to be specified);</w:t>
      </w:r>
    </w:p>
    <w:p w14:paraId="2705A19C" w14:textId="77777777" w:rsidR="00950C34" w:rsidRDefault="00950C34" w:rsidP="006271C1">
      <w:pPr>
        <w:pStyle w:val="ListDash2"/>
        <w:rPr>
          <w:noProof/>
        </w:rPr>
      </w:pPr>
      <w:r>
        <w:rPr>
          <w:rFonts w:ascii="Wingdings" w:eastAsia="Wingdings" w:hAnsi="Wingdings" w:cs="Wingdings"/>
          <w:noProof/>
        </w:rPr>
        <w:t></w:t>
      </w:r>
      <w:r>
        <w:rPr>
          <w:noProof/>
        </w:rPr>
        <w:t>the EIB and the European Investment Fund;</w:t>
      </w:r>
    </w:p>
    <w:p w14:paraId="1E15963F" w14:textId="77777777" w:rsidR="00950C34" w:rsidRDefault="00950C34" w:rsidP="006271C1">
      <w:pPr>
        <w:pStyle w:val="ListDash2"/>
        <w:rPr>
          <w:noProof/>
        </w:rPr>
      </w:pPr>
      <w:r>
        <w:rPr>
          <w:rFonts w:ascii="Wingdings" w:eastAsia="Wingdings" w:hAnsi="Wingdings" w:cs="Wingdings"/>
          <w:noProof/>
        </w:rPr>
        <w:t></w:t>
      </w:r>
      <w:r>
        <w:rPr>
          <w:noProof/>
        </w:rPr>
        <w:t xml:space="preserve"> bodies referred to in Articles 70 and 71 of the Financial Regulation;</w:t>
      </w:r>
    </w:p>
    <w:p w14:paraId="3D31A7AF" w14:textId="77777777" w:rsidR="00950C34" w:rsidRDefault="00950C34" w:rsidP="006271C1">
      <w:pPr>
        <w:pStyle w:val="ListDash2"/>
        <w:rPr>
          <w:noProof/>
        </w:rPr>
      </w:pPr>
      <w:r>
        <w:rPr>
          <w:rFonts w:ascii="Wingdings" w:eastAsia="Wingdings" w:hAnsi="Wingdings" w:cs="Wingdings"/>
          <w:noProof/>
        </w:rPr>
        <w:t></w:t>
      </w:r>
      <w:r>
        <w:rPr>
          <w:noProof/>
        </w:rPr>
        <w:t xml:space="preserve"> public law bodies;</w:t>
      </w:r>
    </w:p>
    <w:p w14:paraId="34FAB247" w14:textId="77777777" w:rsidR="00950C34" w:rsidRDefault="00950C34" w:rsidP="006271C1">
      <w:pPr>
        <w:pStyle w:val="ListDash2"/>
        <w:rPr>
          <w:noProof/>
        </w:rPr>
      </w:pPr>
      <w:r>
        <w:rPr>
          <w:rFonts w:ascii="Wingdings" w:eastAsia="Wingdings" w:hAnsi="Wingdings" w:cs="Wingdings"/>
          <w:noProof/>
        </w:rPr>
        <w:t></w:t>
      </w:r>
      <w:r>
        <w:rPr>
          <w:noProof/>
        </w:rPr>
        <w:t xml:space="preserve"> bodies governed by private law with a public service mission to the extent that they are provided with adequate financial guarantees;</w:t>
      </w:r>
    </w:p>
    <w:p w14:paraId="10960F22" w14:textId="77777777" w:rsidR="00950C34" w:rsidRDefault="00950C34" w:rsidP="006271C1">
      <w:pPr>
        <w:pStyle w:val="ListDash2"/>
        <w:rPr>
          <w:noProof/>
        </w:rPr>
      </w:pPr>
      <w:r>
        <w:rPr>
          <w:rFonts w:ascii="Wingdings" w:eastAsia="Wingdings" w:hAnsi="Wingdings" w:cs="Wingdings"/>
          <w:noProof/>
        </w:rPr>
        <w:t></w:t>
      </w:r>
      <w:r>
        <w:rPr>
          <w:noProof/>
        </w:rPr>
        <w:t xml:space="preserve"> bodies governed by the private law of a Member State that are entrusted with the implementation of a public-private partnership and that are provided with adequate financial guarantees;</w:t>
      </w:r>
    </w:p>
    <w:p w14:paraId="67CF4DD0" w14:textId="77777777" w:rsidR="00950C34" w:rsidRDefault="00950C34" w:rsidP="006271C1">
      <w:pPr>
        <w:pStyle w:val="ListDash2"/>
        <w:rPr>
          <w:noProof/>
        </w:rPr>
      </w:pPr>
      <w:r>
        <w:rPr>
          <w:rFonts w:ascii="Wingdings" w:eastAsia="Wingdings" w:hAnsi="Wingdings" w:cs="Wingdings"/>
          <w:noProof/>
        </w:rPr>
        <w:t></w:t>
      </w:r>
      <w:r>
        <w:rPr>
          <w:noProof/>
        </w:rPr>
        <w:t xml:space="preserve"> bodies or persons entrusted with the implementation of specific actions in the CFSP pursuant to Title V of the TEU, and identified in the relevant basic act.</w:t>
      </w:r>
    </w:p>
    <w:p w14:paraId="16E902D3" w14:textId="77777777" w:rsidR="00950C34" w:rsidRDefault="00950C34" w:rsidP="006271C1">
      <w:pPr>
        <w:pStyle w:val="ListDash2"/>
        <w:rPr>
          <w:i/>
          <w:noProof/>
          <w:sz w:val="18"/>
          <w:u w:val="single"/>
        </w:rPr>
      </w:pPr>
      <w:r>
        <w:rPr>
          <w:i/>
          <w:noProof/>
          <w:sz w:val="18"/>
        </w:rPr>
        <w:t>If more than one management mode is indicated, please provide details in the ‘Comments’ section.</w:t>
      </w:r>
    </w:p>
    <w:p w14:paraId="041E1F77" w14:textId="77777777" w:rsidR="00950C34" w:rsidRDefault="00950C34" w:rsidP="00950C34">
      <w:pPr>
        <w:pStyle w:val="ManualHeading1"/>
        <w:rPr>
          <w:bCs/>
          <w:noProof/>
          <w:szCs w:val="24"/>
        </w:rPr>
      </w:pPr>
      <w:bookmarkStart w:id="39" w:name="_Toc514938041"/>
      <w:bookmarkStart w:id="40" w:name="_Toc520485042"/>
      <w:r w:rsidRPr="0021790A">
        <w:rPr>
          <w:noProof/>
        </w:rPr>
        <w:t>2.</w:t>
      </w:r>
      <w:r w:rsidRPr="0021790A">
        <w:rPr>
          <w:noProof/>
        </w:rPr>
        <w:tab/>
      </w:r>
      <w:r>
        <w:rPr>
          <w:noProof/>
        </w:rPr>
        <w:t>MANAGEMENT MEASURES</w:t>
      </w:r>
      <w:bookmarkEnd w:id="39"/>
      <w:bookmarkEnd w:id="40"/>
      <w:r>
        <w:rPr>
          <w:noProof/>
        </w:rPr>
        <w:t xml:space="preserve"> </w:t>
      </w:r>
    </w:p>
    <w:p w14:paraId="12A9BE4C" w14:textId="77777777" w:rsidR="00950C34" w:rsidRDefault="00950C34" w:rsidP="00950C34">
      <w:pPr>
        <w:pStyle w:val="ManualHeading2"/>
        <w:rPr>
          <w:noProof/>
        </w:rPr>
      </w:pPr>
      <w:bookmarkStart w:id="41" w:name="_Toc514938042"/>
      <w:bookmarkStart w:id="42" w:name="_Toc520485043"/>
      <w:r w:rsidRPr="0021790A">
        <w:rPr>
          <w:noProof/>
        </w:rPr>
        <w:t>2.1.</w:t>
      </w:r>
      <w:r w:rsidRPr="0021790A">
        <w:rPr>
          <w:noProof/>
        </w:rPr>
        <w:tab/>
      </w:r>
      <w:r>
        <w:rPr>
          <w:noProof/>
        </w:rPr>
        <w:t>Monitoring and reporting rules</w:t>
      </w:r>
      <w:bookmarkEnd w:id="41"/>
      <w:bookmarkEnd w:id="42"/>
      <w:r>
        <w:rPr>
          <w:noProof/>
        </w:rPr>
        <w:t xml:space="preserve"> </w:t>
      </w:r>
    </w:p>
    <w:p w14:paraId="14F62794" w14:textId="77777777" w:rsidR="00950C34" w:rsidRDefault="00950C34" w:rsidP="00950C34">
      <w:pPr>
        <w:pStyle w:val="Text1"/>
        <w:rPr>
          <w:i/>
          <w:noProof/>
          <w:sz w:val="20"/>
        </w:rPr>
      </w:pPr>
      <w:r>
        <w:rPr>
          <w:i/>
          <w:noProof/>
          <w:sz w:val="20"/>
        </w:rPr>
        <w:t>Specify frequency and conditions.</w:t>
      </w:r>
    </w:p>
    <w:p w14:paraId="4259148F" w14:textId="77777777" w:rsidR="00950C34" w:rsidRDefault="00950C34" w:rsidP="00950C34">
      <w:pPr>
        <w:pStyle w:val="Text1"/>
        <w:pBdr>
          <w:top w:val="single" w:sz="4" w:space="1" w:color="auto"/>
          <w:left w:val="single" w:sz="4" w:space="4" w:color="auto"/>
          <w:bottom w:val="single" w:sz="4" w:space="1" w:color="auto"/>
          <w:right w:val="single" w:sz="4" w:space="4" w:color="auto"/>
        </w:pBdr>
        <w:rPr>
          <w:noProof/>
        </w:rPr>
      </w:pPr>
      <w:r w:rsidRPr="31719606">
        <w:rPr>
          <w:noProof/>
          <w:lang w:val="en-IE"/>
        </w:rPr>
        <w:t xml:space="preserve">In accordance with Article 7 </w:t>
      </w:r>
      <w:r w:rsidRPr="31719606">
        <w:rPr>
          <w:noProof/>
        </w:rPr>
        <w:t xml:space="preserve">of the STEP Regulation, the Commission shall provide an annual report to the European Parliament and the Council on the implementation of the STEP. The annual report shall provide consolidated information on the progress made in implementing the STEP objectives under each of the programmes referred to in Article 2, including: </w:t>
      </w:r>
    </w:p>
    <w:p w14:paraId="6E7689D6" w14:textId="322E3312" w:rsidR="00950C34" w:rsidRDefault="005772CD" w:rsidP="005772CD">
      <w:pPr>
        <w:pStyle w:val="Text1"/>
        <w:pBdr>
          <w:top w:val="single" w:sz="4" w:space="1" w:color="auto"/>
          <w:left w:val="single" w:sz="4" w:space="4" w:color="auto"/>
          <w:bottom w:val="single" w:sz="4" w:space="1" w:color="auto"/>
          <w:right w:val="single" w:sz="4" w:space="4" w:color="auto"/>
        </w:pBdr>
        <w:rPr>
          <w:noProof/>
        </w:rPr>
      </w:pPr>
      <w:r>
        <w:rPr>
          <w:noProof/>
        </w:rPr>
        <w:t xml:space="preserve">(a) </w:t>
      </w:r>
      <w:r w:rsidR="00950C34" w:rsidRPr="31719606">
        <w:rPr>
          <w:noProof/>
        </w:rPr>
        <w:t xml:space="preserve">overall STEP expenditure financed under the respective programmes </w:t>
      </w:r>
    </w:p>
    <w:p w14:paraId="5492D96B" w14:textId="6F3B91F4" w:rsidR="00950C34" w:rsidRDefault="005772CD" w:rsidP="005772CD">
      <w:pPr>
        <w:pStyle w:val="Text1"/>
        <w:pBdr>
          <w:top w:val="single" w:sz="4" w:space="1" w:color="auto"/>
          <w:left w:val="single" w:sz="4" w:space="4" w:color="auto"/>
          <w:bottom w:val="single" w:sz="4" w:space="1" w:color="auto"/>
          <w:right w:val="single" w:sz="4" w:space="4" w:color="auto"/>
        </w:pBdr>
        <w:rPr>
          <w:noProof/>
          <w:lang w:val="en-IE"/>
        </w:rPr>
      </w:pPr>
      <w:r>
        <w:rPr>
          <w:noProof/>
        </w:rPr>
        <w:t xml:space="preserve">(b) </w:t>
      </w:r>
      <w:r w:rsidR="00950C34" w:rsidRPr="31719606">
        <w:rPr>
          <w:noProof/>
        </w:rPr>
        <w:t xml:space="preserve">the performance of the STEP investments based on the common indicators </w:t>
      </w:r>
    </w:p>
    <w:p w14:paraId="20ABAF52" w14:textId="77777777" w:rsidR="00950C34" w:rsidRPr="00084C78" w:rsidRDefault="00950C34" w:rsidP="00950C34">
      <w:pPr>
        <w:pStyle w:val="Text1"/>
        <w:pBdr>
          <w:top w:val="single" w:sz="4" w:space="1" w:color="auto"/>
          <w:left w:val="single" w:sz="4" w:space="4" w:color="auto"/>
          <w:bottom w:val="single" w:sz="4" w:space="1" w:color="auto"/>
          <w:right w:val="single" w:sz="4" w:space="4" w:color="auto"/>
        </w:pBdr>
        <w:rPr>
          <w:noProof/>
          <w:lang w:val="en-IE"/>
        </w:rPr>
      </w:pPr>
      <w:r w:rsidRPr="31719606">
        <w:rPr>
          <w:noProof/>
        </w:rPr>
        <w:t xml:space="preserve">In addition, in accordance with Article 8 of the STEP Regulation, the Commission will draw up an evaluation report on the implementation of the Fund no later than 31/12/2025 and submit it to the European Parlimament and the Council. </w:t>
      </w:r>
      <w:r w:rsidRPr="31719606">
        <w:rPr>
          <w:noProof/>
          <w:lang w:val="en-IE"/>
        </w:rPr>
        <w:t>The evaluation report shall, in particular, assess to which extent the objectives have been achieved, the efficiency of the use of the resources and the European added value. It shall also consider the continued relevance of all objectives and actions.</w:t>
      </w:r>
    </w:p>
    <w:p w14:paraId="7571A145" w14:textId="77777777" w:rsidR="00950C34" w:rsidRPr="00190B30" w:rsidRDefault="00950C34" w:rsidP="00950C34">
      <w:pPr>
        <w:pStyle w:val="Text1"/>
        <w:pBdr>
          <w:top w:val="single" w:sz="4" w:space="1" w:color="auto"/>
          <w:left w:val="single" w:sz="4" w:space="4" w:color="auto"/>
          <w:bottom w:val="single" w:sz="4" w:space="1" w:color="auto"/>
          <w:right w:val="single" w:sz="4" w:space="4" w:color="auto"/>
        </w:pBdr>
        <w:rPr>
          <w:noProof/>
          <w:lang w:val="en-IE"/>
        </w:rPr>
      </w:pPr>
    </w:p>
    <w:p w14:paraId="2344D505" w14:textId="77777777" w:rsidR="00950C34" w:rsidRDefault="00950C34" w:rsidP="00950C34">
      <w:pPr>
        <w:pStyle w:val="ManualHeading2"/>
        <w:rPr>
          <w:bCs/>
          <w:noProof/>
          <w:szCs w:val="24"/>
        </w:rPr>
      </w:pPr>
      <w:bookmarkStart w:id="43" w:name="_Toc514938045"/>
      <w:bookmarkStart w:id="44" w:name="_Toc520485044"/>
      <w:r w:rsidRPr="0021790A">
        <w:rPr>
          <w:noProof/>
        </w:rPr>
        <w:t>2.2.</w:t>
      </w:r>
      <w:r w:rsidRPr="0021790A">
        <w:rPr>
          <w:noProof/>
        </w:rPr>
        <w:tab/>
      </w:r>
      <w:r>
        <w:rPr>
          <w:noProof/>
        </w:rPr>
        <w:t>Management and control system(s)</w:t>
      </w:r>
      <w:bookmarkEnd w:id="43"/>
      <w:bookmarkEnd w:id="44"/>
      <w:r>
        <w:rPr>
          <w:noProof/>
        </w:rPr>
        <w:t xml:space="preserve"> </w:t>
      </w:r>
    </w:p>
    <w:p w14:paraId="22ACEB86" w14:textId="77777777" w:rsidR="00950C34" w:rsidRPr="00721674" w:rsidRDefault="00950C34" w:rsidP="00950C34">
      <w:pPr>
        <w:pStyle w:val="ManualHeading3"/>
        <w:rPr>
          <w:noProof/>
        </w:rPr>
      </w:pPr>
      <w:bookmarkStart w:id="45" w:name="_Toc514938046"/>
      <w:bookmarkStart w:id="46" w:name="_Toc520485045"/>
      <w:r w:rsidRPr="0021790A">
        <w:rPr>
          <w:noProof/>
        </w:rPr>
        <w:t>2.2.1.</w:t>
      </w:r>
      <w:r w:rsidRPr="0021790A">
        <w:rPr>
          <w:noProof/>
        </w:rPr>
        <w:tab/>
      </w:r>
      <w:r>
        <w:rPr>
          <w:noProof/>
        </w:rPr>
        <w:t>Justification of the management mode(s), the funding implementation mechanism(s), the payment modalities and the control strategy proposed</w:t>
      </w:r>
      <w:bookmarkEnd w:id="45"/>
      <w:bookmarkEnd w:id="46"/>
    </w:p>
    <w:p w14:paraId="5ED42AD3" w14:textId="77777777" w:rsidR="00950C34" w:rsidRDefault="00950C34" w:rsidP="00950C34">
      <w:pPr>
        <w:pStyle w:val="Text1"/>
        <w:pBdr>
          <w:top w:val="single" w:sz="4" w:space="1" w:color="auto"/>
          <w:left w:val="single" w:sz="4" w:space="4" w:color="auto"/>
          <w:bottom w:val="single" w:sz="4" w:space="1" w:color="auto"/>
          <w:right w:val="single" w:sz="4" w:space="4" w:color="auto"/>
        </w:pBdr>
        <w:rPr>
          <w:noProof/>
        </w:rPr>
      </w:pPr>
      <w:r w:rsidRPr="31719606">
        <w:rPr>
          <w:noProof/>
        </w:rPr>
        <w:t xml:space="preserve">The STEP shall be implemented in accordance with the management mode, payment modalities and control strategy applicable to the programmes referred to in Article 3 of the Regulation. </w:t>
      </w:r>
    </w:p>
    <w:p w14:paraId="0C7BD4DF" w14:textId="77777777" w:rsidR="00950C34" w:rsidRDefault="00950C34" w:rsidP="00950C34">
      <w:pPr>
        <w:pStyle w:val="ManualHeading3"/>
        <w:rPr>
          <w:bCs/>
          <w:noProof/>
          <w:szCs w:val="24"/>
        </w:rPr>
      </w:pPr>
      <w:bookmarkStart w:id="47" w:name="_Toc514938047"/>
      <w:bookmarkStart w:id="48" w:name="_Toc520485046"/>
      <w:r w:rsidRPr="0021790A">
        <w:rPr>
          <w:noProof/>
        </w:rPr>
        <w:t>2.2.2.</w:t>
      </w:r>
      <w:r w:rsidRPr="0021790A">
        <w:rPr>
          <w:noProof/>
        </w:rPr>
        <w:tab/>
      </w:r>
      <w:r>
        <w:rPr>
          <w:noProof/>
        </w:rPr>
        <w:t>Information concerning the risks identified and the internal control system(s) set up to mitigate them</w:t>
      </w:r>
      <w:bookmarkEnd w:id="47"/>
      <w:bookmarkEnd w:id="48"/>
    </w:p>
    <w:p w14:paraId="05A217ED" w14:textId="77777777" w:rsidR="00950C34" w:rsidRDefault="00950C34" w:rsidP="00950C34">
      <w:pPr>
        <w:pStyle w:val="Text1"/>
        <w:pBdr>
          <w:top w:val="single" w:sz="4" w:space="1" w:color="auto"/>
          <w:left w:val="single" w:sz="4" w:space="4" w:color="auto"/>
          <w:bottom w:val="single" w:sz="4" w:space="1" w:color="auto"/>
          <w:right w:val="single" w:sz="4" w:space="4" w:color="auto"/>
        </w:pBdr>
        <w:rPr>
          <w:noProof/>
        </w:rPr>
      </w:pPr>
      <w:r w:rsidRPr="31719606">
        <w:rPr>
          <w:noProof/>
        </w:rPr>
        <w:t>The STEP will rely on existing EU instruments, including their control set-ups, and as such should not result in additional risks.</w:t>
      </w:r>
    </w:p>
    <w:p w14:paraId="367C9951" w14:textId="77777777" w:rsidR="00950C34" w:rsidRDefault="00950C34" w:rsidP="00950C34">
      <w:pPr>
        <w:pStyle w:val="ManualHeading3"/>
        <w:rPr>
          <w:noProof/>
        </w:rPr>
      </w:pPr>
      <w:bookmarkStart w:id="49" w:name="_Toc514938048"/>
      <w:bookmarkStart w:id="50" w:name="_Toc520485047"/>
      <w:r w:rsidRPr="0021790A">
        <w:rPr>
          <w:noProof/>
        </w:rPr>
        <w:t>2.2.3.</w:t>
      </w:r>
      <w:r w:rsidRPr="0021790A">
        <w:rPr>
          <w:noProof/>
        </w:rPr>
        <w:tab/>
      </w:r>
      <w:r>
        <w:rPr>
          <w:noProof/>
        </w:rPr>
        <w:t>Estimation and justification of the cost-effectiveness of the controls (ratio of "control costs ÷ value of the related funds managed"), and assessment of the expected levels of risk of error (at payment &amp; at closure)</w:t>
      </w:r>
      <w:bookmarkEnd w:id="49"/>
      <w:bookmarkEnd w:id="50"/>
      <w:r>
        <w:rPr>
          <w:noProof/>
        </w:rPr>
        <w:t xml:space="preserve"> </w:t>
      </w:r>
    </w:p>
    <w:p w14:paraId="6512976F" w14:textId="77777777" w:rsidR="00950C34" w:rsidRDefault="00950C34" w:rsidP="00950C34">
      <w:pPr>
        <w:pStyle w:val="Text1"/>
        <w:pBdr>
          <w:top w:val="single" w:sz="4" w:space="1" w:color="auto"/>
          <w:left w:val="single" w:sz="4" w:space="4" w:color="auto"/>
          <w:bottom w:val="single" w:sz="4" w:space="1" w:color="auto"/>
          <w:right w:val="single" w:sz="4" w:space="4" w:color="auto"/>
        </w:pBdr>
        <w:rPr>
          <w:noProof/>
        </w:rPr>
      </w:pPr>
      <w:r w:rsidRPr="6002F3E2">
        <w:rPr>
          <w:noProof/>
        </w:rPr>
        <w:t xml:space="preserve">The budget will be implemented in accordance with the management mode, payment modalities and control strategy applicable to the programmes referred </w:t>
      </w:r>
      <w:r w:rsidRPr="008B025B">
        <w:rPr>
          <w:noProof/>
        </w:rPr>
        <w:t xml:space="preserve">to in </w:t>
      </w:r>
      <w:r w:rsidRPr="00450B69">
        <w:rPr>
          <w:noProof/>
        </w:rPr>
        <w:t>Article 3</w:t>
      </w:r>
      <w:r w:rsidRPr="008B025B">
        <w:rPr>
          <w:noProof/>
        </w:rPr>
        <w:t xml:space="preserve"> of</w:t>
      </w:r>
      <w:r w:rsidRPr="6002F3E2">
        <w:rPr>
          <w:noProof/>
        </w:rPr>
        <w:t xml:space="preserve"> the regulation. This approach guarantees an efficient implementation of funds, using proven control systems that are already established.</w:t>
      </w:r>
    </w:p>
    <w:p w14:paraId="15486374" w14:textId="77777777" w:rsidR="00950C34" w:rsidRDefault="00950C34" w:rsidP="00950C34">
      <w:pPr>
        <w:pStyle w:val="Text1"/>
        <w:pBdr>
          <w:top w:val="single" w:sz="4" w:space="1" w:color="auto"/>
          <w:left w:val="single" w:sz="4" w:space="4" w:color="auto"/>
          <w:bottom w:val="single" w:sz="4" w:space="1" w:color="auto"/>
          <w:right w:val="single" w:sz="4" w:space="4" w:color="auto"/>
        </w:pBdr>
        <w:rPr>
          <w:noProof/>
        </w:rPr>
      </w:pPr>
    </w:p>
    <w:p w14:paraId="151C22B9" w14:textId="77777777" w:rsidR="00950C34" w:rsidRDefault="00950C34" w:rsidP="00950C34">
      <w:pPr>
        <w:pStyle w:val="ManualHeading2"/>
        <w:rPr>
          <w:bCs/>
          <w:noProof/>
          <w:szCs w:val="24"/>
        </w:rPr>
      </w:pPr>
      <w:bookmarkStart w:id="51" w:name="_Toc514938049"/>
      <w:bookmarkStart w:id="52" w:name="_Toc520485048"/>
      <w:r w:rsidRPr="0021790A">
        <w:rPr>
          <w:noProof/>
        </w:rPr>
        <w:t>2.3.</w:t>
      </w:r>
      <w:r w:rsidRPr="0021790A">
        <w:rPr>
          <w:noProof/>
        </w:rPr>
        <w:tab/>
      </w:r>
      <w:r>
        <w:rPr>
          <w:noProof/>
        </w:rPr>
        <w:t>Measures to prevent fraud and irregularities</w:t>
      </w:r>
      <w:bookmarkEnd w:id="51"/>
      <w:bookmarkEnd w:id="52"/>
      <w:r>
        <w:rPr>
          <w:noProof/>
        </w:rPr>
        <w:t xml:space="preserve"> </w:t>
      </w:r>
    </w:p>
    <w:p w14:paraId="736CD4EB" w14:textId="77777777" w:rsidR="00950C34" w:rsidRDefault="00950C34" w:rsidP="00950C34">
      <w:pPr>
        <w:pStyle w:val="Text1"/>
        <w:rPr>
          <w:i/>
          <w:noProof/>
          <w:sz w:val="20"/>
        </w:rPr>
      </w:pPr>
      <w:r>
        <w:rPr>
          <w:i/>
          <w:noProof/>
          <w:sz w:val="20"/>
        </w:rPr>
        <w:t>Specify existing or envisaged prevention and protection measures, e.g. from the Anti-Fraud Strategy.</w:t>
      </w:r>
    </w:p>
    <w:p w14:paraId="313120AD" w14:textId="77777777" w:rsidR="00950C34" w:rsidRDefault="00950C34" w:rsidP="00950C34">
      <w:pPr>
        <w:pStyle w:val="Text1"/>
        <w:pBdr>
          <w:top w:val="single" w:sz="4" w:space="1" w:color="auto"/>
          <w:left w:val="single" w:sz="4" w:space="4" w:color="auto"/>
          <w:bottom w:val="single" w:sz="4" w:space="1" w:color="auto"/>
          <w:right w:val="single" w:sz="4" w:space="4" w:color="auto"/>
        </w:pBdr>
        <w:rPr>
          <w:noProof/>
        </w:rPr>
      </w:pPr>
      <w:r>
        <w:rPr>
          <w:noProof/>
        </w:rPr>
        <w:t xml:space="preserve">The Platform shall be implemented through the programmes referred to in </w:t>
      </w:r>
      <w:r w:rsidRPr="00450B69">
        <w:rPr>
          <w:noProof/>
        </w:rPr>
        <w:t>Article 3</w:t>
      </w:r>
      <w:r w:rsidRPr="008B025B">
        <w:rPr>
          <w:noProof/>
        </w:rPr>
        <w:t xml:space="preserve"> of the</w:t>
      </w:r>
      <w:r>
        <w:rPr>
          <w:noProof/>
        </w:rPr>
        <w:t xml:space="preserve"> Regulation. The prevention and protection measures will be those already in place for those programmes.</w:t>
      </w:r>
    </w:p>
    <w:p w14:paraId="44BF5681" w14:textId="77777777" w:rsidR="00950C34" w:rsidRDefault="00950C34" w:rsidP="00950C34">
      <w:pPr>
        <w:pStyle w:val="Text1"/>
        <w:pBdr>
          <w:top w:val="single" w:sz="4" w:space="1" w:color="auto"/>
          <w:left w:val="single" w:sz="4" w:space="4" w:color="auto"/>
          <w:bottom w:val="single" w:sz="4" w:space="1" w:color="auto"/>
          <w:right w:val="single" w:sz="4" w:space="4" w:color="auto"/>
        </w:pBdr>
        <w:rPr>
          <w:noProof/>
        </w:rPr>
      </w:pPr>
    </w:p>
    <w:p w14:paraId="7B665B8A" w14:textId="77777777" w:rsidR="00950C34" w:rsidRDefault="00950C34" w:rsidP="00950C34">
      <w:pPr>
        <w:rPr>
          <w:noProof/>
        </w:rPr>
        <w:sectPr w:rsidR="00950C34" w:rsidSect="00742C1D">
          <w:pgSz w:w="11907" w:h="16840" w:code="9"/>
          <w:pgMar w:top="1134" w:right="1418" w:bottom="1134" w:left="1418" w:header="709" w:footer="709" w:gutter="0"/>
          <w:cols w:space="708"/>
          <w:docGrid w:linePitch="360"/>
        </w:sectPr>
      </w:pPr>
    </w:p>
    <w:p w14:paraId="20D2C4AE" w14:textId="77777777" w:rsidR="00950C34" w:rsidRDefault="00950C34" w:rsidP="00950C34">
      <w:pPr>
        <w:pStyle w:val="ManualHeading1"/>
        <w:rPr>
          <w:bCs/>
          <w:noProof/>
          <w:szCs w:val="24"/>
        </w:rPr>
      </w:pPr>
      <w:bookmarkStart w:id="53" w:name="_Toc514938050"/>
      <w:bookmarkStart w:id="54" w:name="_Toc520485049"/>
      <w:r w:rsidRPr="0021790A">
        <w:rPr>
          <w:noProof/>
        </w:rPr>
        <w:t>3.</w:t>
      </w:r>
      <w:r w:rsidRPr="0021790A">
        <w:rPr>
          <w:noProof/>
        </w:rPr>
        <w:tab/>
      </w:r>
      <w:r>
        <w:rPr>
          <w:noProof/>
        </w:rPr>
        <w:t>ESTIMATED FINANCIAL IMPACT OF THE PROPOSAL/INITIATIVE</w:t>
      </w:r>
      <w:bookmarkEnd w:id="53"/>
      <w:bookmarkEnd w:id="54"/>
      <w:r>
        <w:rPr>
          <w:noProof/>
        </w:rPr>
        <w:t xml:space="preserve"> </w:t>
      </w:r>
    </w:p>
    <w:p w14:paraId="50D01150" w14:textId="77777777" w:rsidR="00950C34" w:rsidRDefault="00950C34" w:rsidP="00950C34">
      <w:pPr>
        <w:pStyle w:val="ManualHeading2"/>
        <w:rPr>
          <w:noProof/>
        </w:rPr>
      </w:pPr>
      <w:bookmarkStart w:id="55" w:name="_Toc514938051"/>
      <w:bookmarkStart w:id="56" w:name="_Toc520485050"/>
      <w:r w:rsidRPr="0021790A">
        <w:rPr>
          <w:noProof/>
        </w:rPr>
        <w:t>3.1.</w:t>
      </w:r>
      <w:r w:rsidRPr="0021790A">
        <w:rPr>
          <w:noProof/>
        </w:rPr>
        <w:tab/>
      </w:r>
      <w:r>
        <w:rPr>
          <w:noProof/>
        </w:rPr>
        <w:t>Heading(s) of the multiannual financial framework and expenditure budget line(s) affected</w:t>
      </w:r>
      <w:bookmarkEnd w:id="55"/>
      <w:bookmarkEnd w:id="56"/>
      <w:r>
        <w:rPr>
          <w:noProof/>
        </w:rPr>
        <w:t xml:space="preserve"> </w:t>
      </w:r>
    </w:p>
    <w:p w14:paraId="59351C8D" w14:textId="77777777" w:rsidR="00950C34" w:rsidRDefault="00950C34" w:rsidP="006271C1">
      <w:pPr>
        <w:pStyle w:val="ListBullet1"/>
        <w:rPr>
          <w:noProof/>
        </w:rPr>
      </w:pPr>
      <w:r>
        <w:rPr>
          <w:noProof/>
        </w:rPr>
        <w:t xml:space="preserve">Existing budget lines </w:t>
      </w:r>
    </w:p>
    <w:p w14:paraId="65953C0A" w14:textId="77777777" w:rsidR="00950C34" w:rsidRPr="009B753E" w:rsidRDefault="00950C34" w:rsidP="00950C34">
      <w:pPr>
        <w:pStyle w:val="Text1"/>
        <w:rPr>
          <w:i/>
          <w:noProof/>
        </w:rPr>
      </w:pPr>
      <w:r w:rsidRPr="009B753E">
        <w:rPr>
          <w:i/>
          <w:noProof/>
          <w:u w:val="single"/>
        </w:rPr>
        <w:t>In order</w:t>
      </w:r>
      <w:r w:rsidRPr="009B753E">
        <w:rPr>
          <w:i/>
          <w:noProof/>
        </w:rPr>
        <w:t xml:space="preserve"> of multiannual financial framework headings and budget lines.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950C34" w14:paraId="3DDA0C9F" w14:textId="77777777" w:rsidTr="00FA7B33">
        <w:tc>
          <w:tcPr>
            <w:tcW w:w="1080" w:type="dxa"/>
            <w:vMerge w:val="restart"/>
            <w:vAlign w:val="center"/>
          </w:tcPr>
          <w:p w14:paraId="292D3E46" w14:textId="77777777" w:rsidR="00950C34" w:rsidRPr="003A769F" w:rsidRDefault="00950C34" w:rsidP="00FA7B33">
            <w:pPr>
              <w:spacing w:before="60" w:after="60"/>
              <w:jc w:val="center"/>
              <w:rPr>
                <w:noProof/>
                <w:lang w:val="en-IE"/>
              </w:rPr>
            </w:pPr>
            <w:r w:rsidRPr="003A769F">
              <w:rPr>
                <w:noProof/>
                <w:sz w:val="18"/>
                <w:lang w:val="en-IE"/>
              </w:rPr>
              <w:t>Heading of multiannual financial framework</w:t>
            </w:r>
          </w:p>
        </w:tc>
        <w:tc>
          <w:tcPr>
            <w:tcW w:w="3960" w:type="dxa"/>
            <w:vAlign w:val="center"/>
          </w:tcPr>
          <w:p w14:paraId="47BAD9D2" w14:textId="77777777" w:rsidR="00950C34" w:rsidRDefault="00950C34" w:rsidP="00FA7B33">
            <w:pPr>
              <w:spacing w:before="60" w:after="60"/>
              <w:jc w:val="center"/>
              <w:rPr>
                <w:noProof/>
              </w:rPr>
            </w:pPr>
            <w:r>
              <w:rPr>
                <w:noProof/>
                <w:sz w:val="20"/>
              </w:rPr>
              <w:t>Budget line</w:t>
            </w:r>
          </w:p>
        </w:tc>
        <w:tc>
          <w:tcPr>
            <w:tcW w:w="1080" w:type="dxa"/>
            <w:vAlign w:val="center"/>
          </w:tcPr>
          <w:p w14:paraId="664337AF" w14:textId="77777777" w:rsidR="00950C34" w:rsidRDefault="00950C34" w:rsidP="00FA7B33">
            <w:pPr>
              <w:spacing w:before="60" w:after="60"/>
              <w:jc w:val="center"/>
              <w:rPr>
                <w:noProof/>
              </w:rPr>
            </w:pPr>
            <w:r>
              <w:rPr>
                <w:noProof/>
                <w:sz w:val="18"/>
              </w:rPr>
              <w:t xml:space="preserve">Type of </w:t>
            </w:r>
            <w:r>
              <w:rPr>
                <w:noProof/>
                <w:sz w:val="22"/>
              </w:rPr>
              <w:br/>
            </w:r>
            <w:r>
              <w:rPr>
                <w:noProof/>
                <w:sz w:val="18"/>
              </w:rPr>
              <w:t>expenditure</w:t>
            </w:r>
          </w:p>
        </w:tc>
        <w:tc>
          <w:tcPr>
            <w:tcW w:w="4440" w:type="dxa"/>
            <w:gridSpan w:val="4"/>
            <w:vAlign w:val="center"/>
          </w:tcPr>
          <w:p w14:paraId="3BBC3214" w14:textId="77777777" w:rsidR="00950C34" w:rsidRDefault="00950C34" w:rsidP="00FA7B33">
            <w:pPr>
              <w:spacing w:before="60" w:after="60"/>
              <w:jc w:val="center"/>
              <w:rPr>
                <w:noProof/>
              </w:rPr>
            </w:pPr>
            <w:r>
              <w:rPr>
                <w:noProof/>
                <w:sz w:val="20"/>
              </w:rPr>
              <w:t xml:space="preserve">Contribution </w:t>
            </w:r>
          </w:p>
        </w:tc>
      </w:tr>
      <w:tr w:rsidR="00950C34" w:rsidRPr="00FF5DD8" w14:paraId="363E80BB" w14:textId="77777777" w:rsidTr="00FA7B33">
        <w:tc>
          <w:tcPr>
            <w:tcW w:w="1080" w:type="dxa"/>
            <w:vMerge/>
            <w:vAlign w:val="center"/>
          </w:tcPr>
          <w:p w14:paraId="7123040E" w14:textId="77777777" w:rsidR="00950C34" w:rsidRPr="00FF5DD8" w:rsidRDefault="00950C34" w:rsidP="00FA7B33">
            <w:pPr>
              <w:jc w:val="center"/>
              <w:rPr>
                <w:noProof/>
              </w:rPr>
            </w:pPr>
          </w:p>
        </w:tc>
        <w:tc>
          <w:tcPr>
            <w:tcW w:w="3960" w:type="dxa"/>
            <w:vAlign w:val="center"/>
          </w:tcPr>
          <w:p w14:paraId="675F742F" w14:textId="77777777" w:rsidR="00950C34" w:rsidRPr="00FF5DD8" w:rsidRDefault="00950C34" w:rsidP="00FA7B33">
            <w:pPr>
              <w:rPr>
                <w:noProof/>
              </w:rPr>
            </w:pPr>
            <w:r w:rsidRPr="00FF5DD8">
              <w:rPr>
                <w:noProof/>
                <w:sz w:val="20"/>
              </w:rPr>
              <w:t xml:space="preserve">Number </w:t>
            </w:r>
            <w:r w:rsidRPr="00FF5DD8">
              <w:rPr>
                <w:noProof/>
                <w:sz w:val="22"/>
              </w:rPr>
              <w:br/>
            </w:r>
          </w:p>
        </w:tc>
        <w:tc>
          <w:tcPr>
            <w:tcW w:w="1080" w:type="dxa"/>
            <w:vAlign w:val="center"/>
          </w:tcPr>
          <w:p w14:paraId="53F92CE1" w14:textId="77777777" w:rsidR="00950C34" w:rsidRPr="00FF5DD8" w:rsidRDefault="00950C34" w:rsidP="00FA7B33">
            <w:pPr>
              <w:jc w:val="center"/>
              <w:rPr>
                <w:noProof/>
              </w:rPr>
            </w:pPr>
            <w:r w:rsidRPr="00FF5DD8">
              <w:rPr>
                <w:noProof/>
                <w:sz w:val="18"/>
              </w:rPr>
              <w:t>Diff./Non-diff.</w:t>
            </w:r>
            <w:r w:rsidRPr="00FF5DD8">
              <w:rPr>
                <w:rStyle w:val="FootnoteReference"/>
                <w:noProof/>
                <w:sz w:val="18"/>
              </w:rPr>
              <w:footnoteReference w:id="75"/>
            </w:r>
          </w:p>
        </w:tc>
        <w:tc>
          <w:tcPr>
            <w:tcW w:w="956" w:type="dxa"/>
            <w:vAlign w:val="center"/>
          </w:tcPr>
          <w:p w14:paraId="193B8C9B" w14:textId="77777777" w:rsidR="00950C34" w:rsidRPr="00FF5DD8" w:rsidRDefault="00950C34" w:rsidP="00FA7B33">
            <w:pPr>
              <w:jc w:val="center"/>
              <w:rPr>
                <w:b/>
                <w:noProof/>
                <w:sz w:val="18"/>
              </w:rPr>
            </w:pPr>
            <w:r w:rsidRPr="00FF5DD8">
              <w:rPr>
                <w:noProof/>
                <w:sz w:val="18"/>
              </w:rPr>
              <w:t xml:space="preserve">from </w:t>
            </w:r>
            <w:r>
              <w:rPr>
                <w:noProof/>
                <w:sz w:val="18"/>
              </w:rPr>
              <w:t>EEA-</w:t>
            </w:r>
            <w:r w:rsidRPr="00FF5DD8">
              <w:rPr>
                <w:noProof/>
                <w:sz w:val="18"/>
              </w:rPr>
              <w:t>EFTA countries</w:t>
            </w:r>
            <w:r w:rsidRPr="00FF5DD8">
              <w:rPr>
                <w:rStyle w:val="FootnoteReference"/>
                <w:noProof/>
                <w:sz w:val="18"/>
              </w:rPr>
              <w:footnoteReference w:id="76"/>
            </w:r>
          </w:p>
        </w:tc>
        <w:tc>
          <w:tcPr>
            <w:tcW w:w="1080" w:type="dxa"/>
            <w:vAlign w:val="center"/>
          </w:tcPr>
          <w:p w14:paraId="1C8DDA1F" w14:textId="77777777" w:rsidR="00950C34" w:rsidRPr="003A769F" w:rsidRDefault="00950C34" w:rsidP="00FA7B33">
            <w:pPr>
              <w:jc w:val="center"/>
              <w:rPr>
                <w:noProof/>
                <w:sz w:val="18"/>
                <w:lang w:val="en-IE"/>
              </w:rPr>
            </w:pPr>
            <w:r w:rsidRPr="003A769F">
              <w:rPr>
                <w:noProof/>
                <w:sz w:val="18"/>
                <w:lang w:val="en-IE"/>
              </w:rPr>
              <w:t>from candidate countries and potential candidates</w:t>
            </w:r>
            <w:r w:rsidRPr="00FF5DD8">
              <w:rPr>
                <w:rStyle w:val="FootnoteReference"/>
                <w:noProof/>
                <w:sz w:val="18"/>
              </w:rPr>
              <w:footnoteReference w:id="77"/>
            </w:r>
          </w:p>
        </w:tc>
        <w:tc>
          <w:tcPr>
            <w:tcW w:w="956" w:type="dxa"/>
            <w:vAlign w:val="center"/>
          </w:tcPr>
          <w:p w14:paraId="08F59981" w14:textId="77777777" w:rsidR="00950C34" w:rsidRPr="00FF5DD8" w:rsidRDefault="00950C34" w:rsidP="00FA7B33">
            <w:pPr>
              <w:jc w:val="center"/>
              <w:rPr>
                <w:noProof/>
                <w:sz w:val="18"/>
              </w:rPr>
            </w:pPr>
            <w:r>
              <w:rPr>
                <w:noProof/>
                <w:sz w:val="18"/>
              </w:rPr>
              <w:t>f</w:t>
            </w:r>
            <w:r w:rsidRPr="00FF5DD8">
              <w:rPr>
                <w:noProof/>
                <w:sz w:val="18"/>
              </w:rPr>
              <w:t>rom</w:t>
            </w:r>
            <w:r>
              <w:rPr>
                <w:noProof/>
                <w:sz w:val="18"/>
              </w:rPr>
              <w:t xml:space="preserve"> other </w:t>
            </w:r>
            <w:r w:rsidRPr="00FF5DD8">
              <w:rPr>
                <w:noProof/>
                <w:sz w:val="18"/>
              </w:rPr>
              <w:t>third countries</w:t>
            </w:r>
          </w:p>
        </w:tc>
        <w:tc>
          <w:tcPr>
            <w:tcW w:w="1448" w:type="dxa"/>
            <w:vAlign w:val="center"/>
          </w:tcPr>
          <w:p w14:paraId="510E8CDB" w14:textId="77777777" w:rsidR="00950C34" w:rsidRPr="00FF5DD8" w:rsidRDefault="00950C34" w:rsidP="00FA7B33">
            <w:pPr>
              <w:jc w:val="center"/>
              <w:rPr>
                <w:noProof/>
              </w:rPr>
            </w:pPr>
            <w:r w:rsidRPr="00154373">
              <w:rPr>
                <w:noProof/>
                <w:sz w:val="18"/>
                <w:szCs w:val="18"/>
                <w:lang w:val="en-IE"/>
              </w:rPr>
              <w:t>other assigned revenue</w:t>
            </w:r>
          </w:p>
        </w:tc>
      </w:tr>
      <w:tr w:rsidR="00950C34" w:rsidRPr="00F43077" w14:paraId="36A521DD" w14:textId="77777777" w:rsidTr="00FA7B33">
        <w:tc>
          <w:tcPr>
            <w:tcW w:w="1080" w:type="dxa"/>
            <w:vAlign w:val="center"/>
          </w:tcPr>
          <w:p w14:paraId="16DD513D" w14:textId="77777777" w:rsidR="00950C34" w:rsidRPr="00C17B39" w:rsidRDefault="00950C34" w:rsidP="00FA7B33">
            <w:pPr>
              <w:jc w:val="center"/>
              <w:rPr>
                <w:noProof/>
                <w:sz w:val="20"/>
                <w:szCs w:val="20"/>
              </w:rPr>
            </w:pPr>
            <w:r w:rsidRPr="00C17B39">
              <w:rPr>
                <w:noProof/>
                <w:sz w:val="20"/>
                <w:szCs w:val="20"/>
              </w:rPr>
              <w:t>1</w:t>
            </w:r>
          </w:p>
        </w:tc>
        <w:tc>
          <w:tcPr>
            <w:tcW w:w="3960" w:type="dxa"/>
            <w:vAlign w:val="center"/>
          </w:tcPr>
          <w:p w14:paraId="438259B1" w14:textId="77777777" w:rsidR="00950C34" w:rsidRPr="00C17B39" w:rsidRDefault="00950C34" w:rsidP="00FA7B33">
            <w:pPr>
              <w:spacing w:before="60"/>
              <w:rPr>
                <w:noProof/>
                <w:sz w:val="20"/>
                <w:szCs w:val="20"/>
              </w:rPr>
            </w:pPr>
            <w:r w:rsidRPr="00C17B39">
              <w:rPr>
                <w:noProof/>
                <w:sz w:val="20"/>
                <w:szCs w:val="20"/>
              </w:rPr>
              <w:t>01.020210 Cluster “Health” (Horizon Europe)</w:t>
            </w:r>
          </w:p>
        </w:tc>
        <w:tc>
          <w:tcPr>
            <w:tcW w:w="1080" w:type="dxa"/>
            <w:vAlign w:val="center"/>
          </w:tcPr>
          <w:p w14:paraId="7AB7AE8B" w14:textId="77777777" w:rsidR="00950C34" w:rsidRPr="00C17B39" w:rsidRDefault="00950C34" w:rsidP="00FA7B33">
            <w:pPr>
              <w:jc w:val="center"/>
              <w:rPr>
                <w:noProof/>
                <w:sz w:val="20"/>
                <w:szCs w:val="20"/>
              </w:rPr>
            </w:pPr>
            <w:r w:rsidRPr="00C17B39">
              <w:rPr>
                <w:noProof/>
                <w:sz w:val="20"/>
                <w:szCs w:val="20"/>
              </w:rPr>
              <w:t>Diff</w:t>
            </w:r>
          </w:p>
        </w:tc>
        <w:tc>
          <w:tcPr>
            <w:tcW w:w="956" w:type="dxa"/>
            <w:vAlign w:val="center"/>
          </w:tcPr>
          <w:p w14:paraId="73B00321" w14:textId="77777777" w:rsidR="00950C34" w:rsidRPr="00C17B39" w:rsidRDefault="00950C34" w:rsidP="00FA7B33">
            <w:pPr>
              <w:jc w:val="center"/>
              <w:rPr>
                <w:noProof/>
                <w:sz w:val="20"/>
                <w:szCs w:val="20"/>
              </w:rPr>
            </w:pPr>
            <w:r w:rsidRPr="00C17B39">
              <w:rPr>
                <w:noProof/>
                <w:sz w:val="20"/>
                <w:szCs w:val="20"/>
              </w:rPr>
              <w:t>Yes</w:t>
            </w:r>
          </w:p>
        </w:tc>
        <w:tc>
          <w:tcPr>
            <w:tcW w:w="1080" w:type="dxa"/>
            <w:vAlign w:val="center"/>
          </w:tcPr>
          <w:p w14:paraId="4274F3E9" w14:textId="77777777" w:rsidR="00950C34" w:rsidRPr="00C17B39" w:rsidRDefault="00950C34" w:rsidP="00FA7B33">
            <w:pPr>
              <w:jc w:val="center"/>
              <w:rPr>
                <w:noProof/>
                <w:sz w:val="20"/>
                <w:szCs w:val="20"/>
              </w:rPr>
            </w:pPr>
            <w:r w:rsidRPr="00C17B39">
              <w:rPr>
                <w:noProof/>
                <w:sz w:val="20"/>
                <w:szCs w:val="20"/>
              </w:rPr>
              <w:t>Yes</w:t>
            </w:r>
          </w:p>
        </w:tc>
        <w:tc>
          <w:tcPr>
            <w:tcW w:w="956" w:type="dxa"/>
            <w:vAlign w:val="center"/>
          </w:tcPr>
          <w:p w14:paraId="1BBE1347" w14:textId="77777777" w:rsidR="00950C34" w:rsidRPr="00C17B39" w:rsidRDefault="00950C34" w:rsidP="00FA7B33">
            <w:pPr>
              <w:jc w:val="center"/>
              <w:rPr>
                <w:noProof/>
                <w:sz w:val="20"/>
                <w:szCs w:val="20"/>
              </w:rPr>
            </w:pPr>
            <w:r w:rsidRPr="00C17B39">
              <w:rPr>
                <w:noProof/>
                <w:sz w:val="20"/>
                <w:szCs w:val="20"/>
              </w:rPr>
              <w:t>Yes</w:t>
            </w:r>
          </w:p>
        </w:tc>
        <w:tc>
          <w:tcPr>
            <w:tcW w:w="1448" w:type="dxa"/>
            <w:vAlign w:val="center"/>
          </w:tcPr>
          <w:p w14:paraId="65F65844" w14:textId="77777777" w:rsidR="00950C34" w:rsidRPr="00C17B39" w:rsidRDefault="00950C34" w:rsidP="00FA7B33">
            <w:pPr>
              <w:jc w:val="center"/>
              <w:rPr>
                <w:noProof/>
                <w:sz w:val="20"/>
                <w:szCs w:val="20"/>
              </w:rPr>
            </w:pPr>
            <w:r w:rsidRPr="00C17B39">
              <w:rPr>
                <w:noProof/>
                <w:sz w:val="20"/>
                <w:szCs w:val="20"/>
              </w:rPr>
              <w:t>Yes</w:t>
            </w:r>
          </w:p>
        </w:tc>
      </w:tr>
      <w:tr w:rsidR="00950C34" w:rsidRPr="00F43077" w14:paraId="4D5F203E" w14:textId="77777777" w:rsidTr="00FA7B33">
        <w:tc>
          <w:tcPr>
            <w:tcW w:w="1080" w:type="dxa"/>
            <w:vAlign w:val="center"/>
          </w:tcPr>
          <w:p w14:paraId="7810EA1B" w14:textId="77777777" w:rsidR="00950C34" w:rsidRPr="00C17B39" w:rsidRDefault="00950C34" w:rsidP="00FA7B33">
            <w:pPr>
              <w:jc w:val="center"/>
              <w:rPr>
                <w:noProof/>
                <w:sz w:val="20"/>
                <w:szCs w:val="20"/>
              </w:rPr>
            </w:pPr>
            <w:r w:rsidRPr="00C17B39">
              <w:rPr>
                <w:noProof/>
                <w:sz w:val="20"/>
                <w:szCs w:val="20"/>
              </w:rPr>
              <w:t>1</w:t>
            </w:r>
          </w:p>
        </w:tc>
        <w:tc>
          <w:tcPr>
            <w:tcW w:w="3960" w:type="dxa"/>
            <w:vAlign w:val="center"/>
          </w:tcPr>
          <w:p w14:paraId="3BF2114F" w14:textId="77777777" w:rsidR="00950C34" w:rsidRPr="00C17B39" w:rsidRDefault="00950C34" w:rsidP="00FA7B33">
            <w:pPr>
              <w:rPr>
                <w:noProof/>
                <w:sz w:val="20"/>
                <w:szCs w:val="20"/>
              </w:rPr>
            </w:pPr>
            <w:r w:rsidRPr="00C17B39">
              <w:rPr>
                <w:noProof/>
                <w:sz w:val="20"/>
                <w:szCs w:val="20"/>
              </w:rPr>
              <w:t>01.020220 Cluster ‘Culture, Creativity and Inclusive Society’ (Horizon Europe)</w:t>
            </w:r>
          </w:p>
        </w:tc>
        <w:tc>
          <w:tcPr>
            <w:tcW w:w="1080" w:type="dxa"/>
            <w:vAlign w:val="center"/>
          </w:tcPr>
          <w:p w14:paraId="508ED525" w14:textId="77777777" w:rsidR="00950C34" w:rsidRPr="00C17B39" w:rsidRDefault="00950C34" w:rsidP="00FA7B33">
            <w:pPr>
              <w:jc w:val="center"/>
              <w:rPr>
                <w:noProof/>
                <w:sz w:val="20"/>
                <w:szCs w:val="20"/>
              </w:rPr>
            </w:pPr>
            <w:r w:rsidRPr="00C17B39">
              <w:rPr>
                <w:noProof/>
                <w:sz w:val="20"/>
                <w:szCs w:val="20"/>
              </w:rPr>
              <w:t>Diff</w:t>
            </w:r>
          </w:p>
        </w:tc>
        <w:tc>
          <w:tcPr>
            <w:tcW w:w="956" w:type="dxa"/>
            <w:vAlign w:val="center"/>
          </w:tcPr>
          <w:p w14:paraId="1293D74B" w14:textId="77777777" w:rsidR="00950C34" w:rsidRPr="00F43077" w:rsidRDefault="00950C34" w:rsidP="00FA7B33">
            <w:pPr>
              <w:jc w:val="center"/>
              <w:rPr>
                <w:noProof/>
                <w:sz w:val="20"/>
                <w:szCs w:val="20"/>
              </w:rPr>
            </w:pPr>
            <w:r w:rsidRPr="00F43077">
              <w:rPr>
                <w:noProof/>
                <w:sz w:val="20"/>
                <w:szCs w:val="20"/>
              </w:rPr>
              <w:t>Yes</w:t>
            </w:r>
          </w:p>
        </w:tc>
        <w:tc>
          <w:tcPr>
            <w:tcW w:w="1080" w:type="dxa"/>
            <w:vAlign w:val="center"/>
          </w:tcPr>
          <w:p w14:paraId="4CB70C78" w14:textId="77777777" w:rsidR="00950C34" w:rsidRPr="00F43077" w:rsidRDefault="00950C34" w:rsidP="00FA7B33">
            <w:pPr>
              <w:jc w:val="center"/>
              <w:rPr>
                <w:noProof/>
                <w:sz w:val="20"/>
                <w:szCs w:val="20"/>
              </w:rPr>
            </w:pPr>
            <w:r w:rsidRPr="00F43077">
              <w:rPr>
                <w:noProof/>
                <w:sz w:val="20"/>
                <w:szCs w:val="20"/>
              </w:rPr>
              <w:t>Yes</w:t>
            </w:r>
          </w:p>
        </w:tc>
        <w:tc>
          <w:tcPr>
            <w:tcW w:w="956" w:type="dxa"/>
            <w:vAlign w:val="center"/>
          </w:tcPr>
          <w:p w14:paraId="25664896" w14:textId="77777777" w:rsidR="00950C34" w:rsidRPr="00F43077" w:rsidRDefault="00950C34" w:rsidP="00FA7B33">
            <w:pPr>
              <w:jc w:val="center"/>
              <w:rPr>
                <w:noProof/>
                <w:sz w:val="20"/>
                <w:szCs w:val="20"/>
              </w:rPr>
            </w:pPr>
            <w:r w:rsidRPr="00F43077">
              <w:rPr>
                <w:noProof/>
                <w:sz w:val="20"/>
                <w:szCs w:val="20"/>
              </w:rPr>
              <w:t>Yes</w:t>
            </w:r>
          </w:p>
        </w:tc>
        <w:tc>
          <w:tcPr>
            <w:tcW w:w="1448" w:type="dxa"/>
            <w:vAlign w:val="center"/>
          </w:tcPr>
          <w:p w14:paraId="5FFB7908" w14:textId="77777777" w:rsidR="00950C34" w:rsidRPr="00F43077" w:rsidRDefault="00950C34" w:rsidP="00FA7B33">
            <w:pPr>
              <w:jc w:val="center"/>
              <w:rPr>
                <w:noProof/>
                <w:sz w:val="20"/>
                <w:szCs w:val="20"/>
              </w:rPr>
            </w:pPr>
            <w:r w:rsidRPr="00F43077">
              <w:rPr>
                <w:noProof/>
                <w:sz w:val="20"/>
                <w:szCs w:val="20"/>
              </w:rPr>
              <w:t>Yes</w:t>
            </w:r>
          </w:p>
        </w:tc>
      </w:tr>
      <w:tr w:rsidR="00950C34" w:rsidRPr="00F43077" w14:paraId="385C5D43" w14:textId="77777777" w:rsidTr="00FA7B33">
        <w:tc>
          <w:tcPr>
            <w:tcW w:w="1080" w:type="dxa"/>
            <w:vAlign w:val="center"/>
          </w:tcPr>
          <w:p w14:paraId="5564B96C" w14:textId="77777777" w:rsidR="00950C34" w:rsidRPr="00C17B39" w:rsidRDefault="00950C34" w:rsidP="00FA7B33">
            <w:pPr>
              <w:jc w:val="center"/>
              <w:rPr>
                <w:noProof/>
                <w:sz w:val="20"/>
                <w:szCs w:val="20"/>
              </w:rPr>
            </w:pPr>
            <w:r w:rsidRPr="00C17B39">
              <w:rPr>
                <w:noProof/>
                <w:sz w:val="20"/>
                <w:szCs w:val="20"/>
              </w:rPr>
              <w:t>1</w:t>
            </w:r>
          </w:p>
        </w:tc>
        <w:tc>
          <w:tcPr>
            <w:tcW w:w="3960" w:type="dxa"/>
            <w:vAlign w:val="center"/>
          </w:tcPr>
          <w:p w14:paraId="142A4857" w14:textId="77777777" w:rsidR="00950C34" w:rsidRPr="00C17B39" w:rsidRDefault="00950C34" w:rsidP="00FA7B33">
            <w:pPr>
              <w:rPr>
                <w:noProof/>
                <w:sz w:val="20"/>
                <w:szCs w:val="20"/>
              </w:rPr>
            </w:pPr>
            <w:r w:rsidRPr="00C17B39">
              <w:rPr>
                <w:noProof/>
                <w:sz w:val="20"/>
                <w:szCs w:val="20"/>
              </w:rPr>
              <w:t>01.020230 Cluster ‘Civil Security for Society’ (Horizon Europe)</w:t>
            </w:r>
          </w:p>
        </w:tc>
        <w:tc>
          <w:tcPr>
            <w:tcW w:w="1080" w:type="dxa"/>
            <w:vAlign w:val="center"/>
          </w:tcPr>
          <w:p w14:paraId="3525FEDC" w14:textId="77777777" w:rsidR="00950C34" w:rsidRPr="00C17B39" w:rsidRDefault="00950C34" w:rsidP="00FA7B33">
            <w:pPr>
              <w:jc w:val="center"/>
              <w:rPr>
                <w:noProof/>
                <w:sz w:val="20"/>
                <w:szCs w:val="20"/>
              </w:rPr>
            </w:pPr>
            <w:r w:rsidRPr="00C17B39">
              <w:rPr>
                <w:noProof/>
                <w:sz w:val="20"/>
                <w:szCs w:val="20"/>
              </w:rPr>
              <w:t>Diff</w:t>
            </w:r>
          </w:p>
        </w:tc>
        <w:tc>
          <w:tcPr>
            <w:tcW w:w="956" w:type="dxa"/>
            <w:vAlign w:val="center"/>
          </w:tcPr>
          <w:p w14:paraId="0DAEFBD1" w14:textId="77777777" w:rsidR="00950C34" w:rsidRPr="00F43077" w:rsidRDefault="00950C34" w:rsidP="00FA7B33">
            <w:pPr>
              <w:jc w:val="center"/>
              <w:rPr>
                <w:noProof/>
                <w:sz w:val="20"/>
                <w:szCs w:val="20"/>
              </w:rPr>
            </w:pPr>
            <w:r w:rsidRPr="00F43077">
              <w:rPr>
                <w:noProof/>
                <w:sz w:val="20"/>
                <w:szCs w:val="20"/>
              </w:rPr>
              <w:t>Yes</w:t>
            </w:r>
          </w:p>
        </w:tc>
        <w:tc>
          <w:tcPr>
            <w:tcW w:w="1080" w:type="dxa"/>
            <w:vAlign w:val="center"/>
          </w:tcPr>
          <w:p w14:paraId="0CFF35C1" w14:textId="77777777" w:rsidR="00950C34" w:rsidRPr="00F43077" w:rsidRDefault="00950C34" w:rsidP="00FA7B33">
            <w:pPr>
              <w:jc w:val="center"/>
              <w:rPr>
                <w:noProof/>
                <w:sz w:val="20"/>
                <w:szCs w:val="20"/>
              </w:rPr>
            </w:pPr>
            <w:r w:rsidRPr="00F43077">
              <w:rPr>
                <w:noProof/>
                <w:sz w:val="20"/>
                <w:szCs w:val="20"/>
              </w:rPr>
              <w:t>Yes</w:t>
            </w:r>
          </w:p>
        </w:tc>
        <w:tc>
          <w:tcPr>
            <w:tcW w:w="956" w:type="dxa"/>
            <w:vAlign w:val="center"/>
          </w:tcPr>
          <w:p w14:paraId="35BDE2C3" w14:textId="77777777" w:rsidR="00950C34" w:rsidRPr="00F43077" w:rsidRDefault="00950C34" w:rsidP="00FA7B33">
            <w:pPr>
              <w:jc w:val="center"/>
              <w:rPr>
                <w:noProof/>
                <w:sz w:val="20"/>
                <w:szCs w:val="20"/>
              </w:rPr>
            </w:pPr>
            <w:r w:rsidRPr="00F43077">
              <w:rPr>
                <w:noProof/>
                <w:sz w:val="20"/>
                <w:szCs w:val="20"/>
              </w:rPr>
              <w:t>Yes</w:t>
            </w:r>
          </w:p>
        </w:tc>
        <w:tc>
          <w:tcPr>
            <w:tcW w:w="1448" w:type="dxa"/>
            <w:vAlign w:val="center"/>
          </w:tcPr>
          <w:p w14:paraId="50B12EC7" w14:textId="77777777" w:rsidR="00950C34" w:rsidRPr="00F43077" w:rsidRDefault="00950C34" w:rsidP="00FA7B33">
            <w:pPr>
              <w:jc w:val="center"/>
              <w:rPr>
                <w:noProof/>
                <w:sz w:val="20"/>
                <w:szCs w:val="20"/>
              </w:rPr>
            </w:pPr>
            <w:r w:rsidRPr="00F43077">
              <w:rPr>
                <w:noProof/>
                <w:sz w:val="20"/>
                <w:szCs w:val="20"/>
              </w:rPr>
              <w:t>Yes</w:t>
            </w:r>
          </w:p>
        </w:tc>
      </w:tr>
      <w:tr w:rsidR="00950C34" w:rsidRPr="00F43077" w14:paraId="5F2CD2F2" w14:textId="77777777" w:rsidTr="00FA7B33">
        <w:tc>
          <w:tcPr>
            <w:tcW w:w="1080" w:type="dxa"/>
            <w:vAlign w:val="center"/>
          </w:tcPr>
          <w:p w14:paraId="4A72AC6E" w14:textId="77777777" w:rsidR="00950C34" w:rsidRPr="00C17B39" w:rsidRDefault="00950C34" w:rsidP="00FA7B33">
            <w:pPr>
              <w:jc w:val="center"/>
              <w:rPr>
                <w:noProof/>
                <w:sz w:val="20"/>
                <w:szCs w:val="20"/>
              </w:rPr>
            </w:pPr>
            <w:r w:rsidRPr="00C17B39">
              <w:rPr>
                <w:noProof/>
                <w:sz w:val="20"/>
                <w:szCs w:val="20"/>
              </w:rPr>
              <w:t>1</w:t>
            </w:r>
          </w:p>
        </w:tc>
        <w:tc>
          <w:tcPr>
            <w:tcW w:w="3960" w:type="dxa"/>
            <w:vAlign w:val="center"/>
          </w:tcPr>
          <w:p w14:paraId="2C4DD0AD" w14:textId="77777777" w:rsidR="00950C34" w:rsidRPr="00C17B39" w:rsidRDefault="00950C34" w:rsidP="00FA7B33">
            <w:pPr>
              <w:rPr>
                <w:noProof/>
                <w:sz w:val="20"/>
                <w:szCs w:val="20"/>
              </w:rPr>
            </w:pPr>
            <w:r w:rsidRPr="00C17B39">
              <w:rPr>
                <w:noProof/>
                <w:sz w:val="20"/>
                <w:szCs w:val="20"/>
              </w:rPr>
              <w:t>01.020240 Cluster ‘Digital, Industry and Space’ (Horizon Europe)</w:t>
            </w:r>
          </w:p>
        </w:tc>
        <w:tc>
          <w:tcPr>
            <w:tcW w:w="1080" w:type="dxa"/>
            <w:vAlign w:val="center"/>
          </w:tcPr>
          <w:p w14:paraId="404B5916" w14:textId="77777777" w:rsidR="00950C34" w:rsidRPr="00C17B39" w:rsidRDefault="00950C34" w:rsidP="00FA7B33">
            <w:pPr>
              <w:jc w:val="center"/>
              <w:rPr>
                <w:noProof/>
                <w:sz w:val="20"/>
                <w:szCs w:val="20"/>
              </w:rPr>
            </w:pPr>
            <w:r w:rsidRPr="00C17B39">
              <w:rPr>
                <w:noProof/>
                <w:sz w:val="20"/>
                <w:szCs w:val="20"/>
              </w:rPr>
              <w:t>Diff</w:t>
            </w:r>
          </w:p>
        </w:tc>
        <w:tc>
          <w:tcPr>
            <w:tcW w:w="956" w:type="dxa"/>
            <w:vAlign w:val="center"/>
          </w:tcPr>
          <w:p w14:paraId="25A56B79" w14:textId="77777777" w:rsidR="00950C34" w:rsidRPr="00F43077" w:rsidRDefault="00950C34" w:rsidP="00FA7B33">
            <w:pPr>
              <w:jc w:val="center"/>
              <w:rPr>
                <w:noProof/>
                <w:sz w:val="20"/>
                <w:szCs w:val="20"/>
              </w:rPr>
            </w:pPr>
            <w:r w:rsidRPr="00F43077">
              <w:rPr>
                <w:noProof/>
                <w:sz w:val="20"/>
                <w:szCs w:val="20"/>
              </w:rPr>
              <w:t>Yes</w:t>
            </w:r>
          </w:p>
        </w:tc>
        <w:tc>
          <w:tcPr>
            <w:tcW w:w="1080" w:type="dxa"/>
            <w:vAlign w:val="center"/>
          </w:tcPr>
          <w:p w14:paraId="5618C990" w14:textId="77777777" w:rsidR="00950C34" w:rsidRPr="00F43077" w:rsidRDefault="00950C34" w:rsidP="00FA7B33">
            <w:pPr>
              <w:jc w:val="center"/>
              <w:rPr>
                <w:noProof/>
                <w:sz w:val="20"/>
                <w:szCs w:val="20"/>
              </w:rPr>
            </w:pPr>
            <w:r w:rsidRPr="00F43077">
              <w:rPr>
                <w:noProof/>
                <w:sz w:val="20"/>
                <w:szCs w:val="20"/>
              </w:rPr>
              <w:t>Yes</w:t>
            </w:r>
          </w:p>
        </w:tc>
        <w:tc>
          <w:tcPr>
            <w:tcW w:w="956" w:type="dxa"/>
            <w:vAlign w:val="center"/>
          </w:tcPr>
          <w:p w14:paraId="0FF97388" w14:textId="77777777" w:rsidR="00950C34" w:rsidRPr="00F43077" w:rsidRDefault="00950C34" w:rsidP="00FA7B33">
            <w:pPr>
              <w:jc w:val="center"/>
              <w:rPr>
                <w:noProof/>
                <w:sz w:val="20"/>
                <w:szCs w:val="20"/>
              </w:rPr>
            </w:pPr>
            <w:r w:rsidRPr="00F43077">
              <w:rPr>
                <w:noProof/>
                <w:sz w:val="20"/>
                <w:szCs w:val="20"/>
              </w:rPr>
              <w:t>Yes</w:t>
            </w:r>
          </w:p>
        </w:tc>
        <w:tc>
          <w:tcPr>
            <w:tcW w:w="1448" w:type="dxa"/>
            <w:vAlign w:val="center"/>
          </w:tcPr>
          <w:p w14:paraId="6FD1D031" w14:textId="77777777" w:rsidR="00950C34" w:rsidRPr="00F43077" w:rsidRDefault="00950C34" w:rsidP="00FA7B33">
            <w:pPr>
              <w:jc w:val="center"/>
              <w:rPr>
                <w:noProof/>
                <w:sz w:val="20"/>
                <w:szCs w:val="20"/>
              </w:rPr>
            </w:pPr>
            <w:r w:rsidRPr="00F43077">
              <w:rPr>
                <w:noProof/>
                <w:sz w:val="20"/>
                <w:szCs w:val="20"/>
              </w:rPr>
              <w:t>Yes</w:t>
            </w:r>
          </w:p>
        </w:tc>
      </w:tr>
      <w:tr w:rsidR="00950C34" w:rsidRPr="00F43077" w14:paraId="4C8F6173" w14:textId="77777777" w:rsidTr="00FA7B33">
        <w:tc>
          <w:tcPr>
            <w:tcW w:w="1080" w:type="dxa"/>
            <w:vAlign w:val="center"/>
          </w:tcPr>
          <w:p w14:paraId="55A58486" w14:textId="77777777" w:rsidR="00950C34" w:rsidRPr="00C17B39" w:rsidRDefault="00950C34" w:rsidP="00FA7B33">
            <w:pPr>
              <w:jc w:val="center"/>
              <w:rPr>
                <w:noProof/>
                <w:sz w:val="20"/>
                <w:szCs w:val="20"/>
              </w:rPr>
            </w:pPr>
            <w:r w:rsidRPr="00C17B39">
              <w:rPr>
                <w:noProof/>
                <w:sz w:val="20"/>
                <w:szCs w:val="20"/>
              </w:rPr>
              <w:t>1</w:t>
            </w:r>
          </w:p>
        </w:tc>
        <w:tc>
          <w:tcPr>
            <w:tcW w:w="3960" w:type="dxa"/>
            <w:vAlign w:val="center"/>
          </w:tcPr>
          <w:p w14:paraId="49D9F720" w14:textId="77777777" w:rsidR="00950C34" w:rsidRPr="00C17B39" w:rsidRDefault="00950C34" w:rsidP="00FA7B33">
            <w:pPr>
              <w:rPr>
                <w:noProof/>
                <w:sz w:val="20"/>
                <w:szCs w:val="20"/>
              </w:rPr>
            </w:pPr>
            <w:r w:rsidRPr="00C17B39">
              <w:rPr>
                <w:noProof/>
                <w:sz w:val="20"/>
                <w:szCs w:val="20"/>
              </w:rPr>
              <w:t>01.020250 Cluster ‘Climate, Energy and Mobility’ (Horizon Europe)</w:t>
            </w:r>
          </w:p>
        </w:tc>
        <w:tc>
          <w:tcPr>
            <w:tcW w:w="1080" w:type="dxa"/>
            <w:vAlign w:val="center"/>
          </w:tcPr>
          <w:p w14:paraId="49EA566C" w14:textId="77777777" w:rsidR="00950C34" w:rsidRPr="00C17B39" w:rsidRDefault="00950C34" w:rsidP="00FA7B33">
            <w:pPr>
              <w:jc w:val="center"/>
              <w:rPr>
                <w:noProof/>
                <w:sz w:val="20"/>
                <w:szCs w:val="20"/>
              </w:rPr>
            </w:pPr>
            <w:r w:rsidRPr="00C17B39">
              <w:rPr>
                <w:noProof/>
                <w:sz w:val="20"/>
                <w:szCs w:val="20"/>
              </w:rPr>
              <w:t>Diff</w:t>
            </w:r>
          </w:p>
        </w:tc>
        <w:tc>
          <w:tcPr>
            <w:tcW w:w="956" w:type="dxa"/>
            <w:vAlign w:val="center"/>
          </w:tcPr>
          <w:p w14:paraId="3E02583B" w14:textId="77777777" w:rsidR="00950C34" w:rsidRPr="00F43077" w:rsidRDefault="00950C34" w:rsidP="00FA7B33">
            <w:pPr>
              <w:jc w:val="center"/>
              <w:rPr>
                <w:noProof/>
                <w:sz w:val="20"/>
                <w:szCs w:val="20"/>
              </w:rPr>
            </w:pPr>
            <w:r w:rsidRPr="00F43077">
              <w:rPr>
                <w:noProof/>
                <w:sz w:val="20"/>
                <w:szCs w:val="20"/>
              </w:rPr>
              <w:t>Yes</w:t>
            </w:r>
          </w:p>
        </w:tc>
        <w:tc>
          <w:tcPr>
            <w:tcW w:w="1080" w:type="dxa"/>
            <w:vAlign w:val="center"/>
          </w:tcPr>
          <w:p w14:paraId="7AFFB7F5" w14:textId="77777777" w:rsidR="00950C34" w:rsidRPr="00F43077" w:rsidRDefault="00950C34" w:rsidP="00FA7B33">
            <w:pPr>
              <w:jc w:val="center"/>
              <w:rPr>
                <w:noProof/>
                <w:sz w:val="20"/>
                <w:szCs w:val="20"/>
              </w:rPr>
            </w:pPr>
            <w:r w:rsidRPr="00F43077">
              <w:rPr>
                <w:noProof/>
                <w:sz w:val="20"/>
                <w:szCs w:val="20"/>
              </w:rPr>
              <w:t>Yes</w:t>
            </w:r>
          </w:p>
        </w:tc>
        <w:tc>
          <w:tcPr>
            <w:tcW w:w="956" w:type="dxa"/>
            <w:vAlign w:val="center"/>
          </w:tcPr>
          <w:p w14:paraId="3F411AC1" w14:textId="77777777" w:rsidR="00950C34" w:rsidRPr="00F43077" w:rsidRDefault="00950C34" w:rsidP="00FA7B33">
            <w:pPr>
              <w:jc w:val="center"/>
              <w:rPr>
                <w:noProof/>
                <w:sz w:val="20"/>
                <w:szCs w:val="20"/>
              </w:rPr>
            </w:pPr>
            <w:r w:rsidRPr="00F43077">
              <w:rPr>
                <w:noProof/>
                <w:sz w:val="20"/>
                <w:szCs w:val="20"/>
              </w:rPr>
              <w:t>Yes</w:t>
            </w:r>
          </w:p>
        </w:tc>
        <w:tc>
          <w:tcPr>
            <w:tcW w:w="1448" w:type="dxa"/>
            <w:vAlign w:val="center"/>
          </w:tcPr>
          <w:p w14:paraId="3FAC358E" w14:textId="77777777" w:rsidR="00950C34" w:rsidRPr="00F43077" w:rsidRDefault="00950C34" w:rsidP="00FA7B33">
            <w:pPr>
              <w:jc w:val="center"/>
              <w:rPr>
                <w:noProof/>
                <w:sz w:val="20"/>
                <w:szCs w:val="20"/>
              </w:rPr>
            </w:pPr>
            <w:r w:rsidRPr="00F43077">
              <w:rPr>
                <w:noProof/>
                <w:sz w:val="20"/>
                <w:szCs w:val="20"/>
              </w:rPr>
              <w:t>Yes</w:t>
            </w:r>
          </w:p>
        </w:tc>
      </w:tr>
      <w:tr w:rsidR="00950C34" w:rsidRPr="00F43077" w14:paraId="440F57C0" w14:textId="77777777" w:rsidTr="00FA7B33">
        <w:tc>
          <w:tcPr>
            <w:tcW w:w="1080" w:type="dxa"/>
            <w:vAlign w:val="center"/>
          </w:tcPr>
          <w:p w14:paraId="339A62F4" w14:textId="77777777" w:rsidR="00950C34" w:rsidRPr="00C17B39" w:rsidRDefault="00950C34" w:rsidP="00FA7B33">
            <w:pPr>
              <w:jc w:val="center"/>
              <w:rPr>
                <w:noProof/>
                <w:sz w:val="20"/>
                <w:szCs w:val="20"/>
              </w:rPr>
            </w:pPr>
            <w:r w:rsidRPr="00C17B39">
              <w:rPr>
                <w:noProof/>
                <w:sz w:val="20"/>
                <w:szCs w:val="20"/>
              </w:rPr>
              <w:t>1</w:t>
            </w:r>
          </w:p>
        </w:tc>
        <w:tc>
          <w:tcPr>
            <w:tcW w:w="3960" w:type="dxa"/>
            <w:vAlign w:val="center"/>
          </w:tcPr>
          <w:p w14:paraId="44D2ECE1" w14:textId="77777777" w:rsidR="00950C34" w:rsidRPr="00C17B39" w:rsidRDefault="00950C34" w:rsidP="00FA7B33">
            <w:pPr>
              <w:rPr>
                <w:noProof/>
                <w:sz w:val="20"/>
                <w:szCs w:val="20"/>
              </w:rPr>
            </w:pPr>
            <w:r w:rsidRPr="00C17B39">
              <w:rPr>
                <w:noProof/>
                <w:sz w:val="20"/>
                <w:szCs w:val="20"/>
              </w:rPr>
              <w:t>01.020260 Cluster ‘Food, Bioeconomy, Natural Resources, Agriculture and Environment’ (Horizon Europe)</w:t>
            </w:r>
          </w:p>
        </w:tc>
        <w:tc>
          <w:tcPr>
            <w:tcW w:w="1080" w:type="dxa"/>
            <w:vAlign w:val="center"/>
          </w:tcPr>
          <w:p w14:paraId="6AD63D17" w14:textId="77777777" w:rsidR="00950C34" w:rsidRPr="00C17B39" w:rsidRDefault="00950C34" w:rsidP="00FA7B33">
            <w:pPr>
              <w:jc w:val="center"/>
              <w:rPr>
                <w:noProof/>
                <w:sz w:val="20"/>
                <w:szCs w:val="20"/>
              </w:rPr>
            </w:pPr>
            <w:r w:rsidRPr="00C17B39">
              <w:rPr>
                <w:noProof/>
                <w:sz w:val="20"/>
                <w:szCs w:val="20"/>
              </w:rPr>
              <w:t>Diff</w:t>
            </w:r>
          </w:p>
        </w:tc>
        <w:tc>
          <w:tcPr>
            <w:tcW w:w="956" w:type="dxa"/>
            <w:vAlign w:val="center"/>
          </w:tcPr>
          <w:p w14:paraId="37F294E4" w14:textId="77777777" w:rsidR="00950C34" w:rsidRPr="00F43077" w:rsidRDefault="00950C34" w:rsidP="00FA7B33">
            <w:pPr>
              <w:jc w:val="center"/>
              <w:rPr>
                <w:noProof/>
                <w:sz w:val="20"/>
                <w:szCs w:val="20"/>
              </w:rPr>
            </w:pPr>
            <w:r w:rsidRPr="00F43077">
              <w:rPr>
                <w:noProof/>
                <w:sz w:val="20"/>
                <w:szCs w:val="20"/>
              </w:rPr>
              <w:t>Yes</w:t>
            </w:r>
          </w:p>
        </w:tc>
        <w:tc>
          <w:tcPr>
            <w:tcW w:w="1080" w:type="dxa"/>
            <w:vAlign w:val="center"/>
          </w:tcPr>
          <w:p w14:paraId="7046BA47" w14:textId="77777777" w:rsidR="00950C34" w:rsidRPr="00F43077" w:rsidRDefault="00950C34" w:rsidP="00FA7B33">
            <w:pPr>
              <w:jc w:val="center"/>
              <w:rPr>
                <w:noProof/>
                <w:sz w:val="20"/>
                <w:szCs w:val="20"/>
              </w:rPr>
            </w:pPr>
            <w:r w:rsidRPr="00F43077">
              <w:rPr>
                <w:noProof/>
                <w:sz w:val="20"/>
                <w:szCs w:val="20"/>
              </w:rPr>
              <w:t>Yes</w:t>
            </w:r>
          </w:p>
        </w:tc>
        <w:tc>
          <w:tcPr>
            <w:tcW w:w="956" w:type="dxa"/>
            <w:vAlign w:val="center"/>
          </w:tcPr>
          <w:p w14:paraId="6465329F" w14:textId="77777777" w:rsidR="00950C34" w:rsidRPr="00F43077" w:rsidRDefault="00950C34" w:rsidP="00FA7B33">
            <w:pPr>
              <w:jc w:val="center"/>
              <w:rPr>
                <w:noProof/>
                <w:sz w:val="20"/>
                <w:szCs w:val="20"/>
              </w:rPr>
            </w:pPr>
            <w:r w:rsidRPr="00F43077">
              <w:rPr>
                <w:noProof/>
                <w:sz w:val="20"/>
                <w:szCs w:val="20"/>
              </w:rPr>
              <w:t>Yes</w:t>
            </w:r>
          </w:p>
        </w:tc>
        <w:tc>
          <w:tcPr>
            <w:tcW w:w="1448" w:type="dxa"/>
            <w:vAlign w:val="center"/>
          </w:tcPr>
          <w:p w14:paraId="1953EF48" w14:textId="77777777" w:rsidR="00950C34" w:rsidRPr="00F43077" w:rsidRDefault="00950C34" w:rsidP="00FA7B33">
            <w:pPr>
              <w:jc w:val="center"/>
              <w:rPr>
                <w:noProof/>
                <w:sz w:val="20"/>
                <w:szCs w:val="20"/>
              </w:rPr>
            </w:pPr>
            <w:r w:rsidRPr="00F43077">
              <w:rPr>
                <w:noProof/>
                <w:sz w:val="20"/>
                <w:szCs w:val="20"/>
              </w:rPr>
              <w:t>Yes</w:t>
            </w:r>
          </w:p>
        </w:tc>
      </w:tr>
      <w:tr w:rsidR="00950C34" w:rsidRPr="00776904" w14:paraId="5880712D" w14:textId="77777777" w:rsidTr="00FA7B33">
        <w:tc>
          <w:tcPr>
            <w:tcW w:w="1080" w:type="dxa"/>
            <w:vAlign w:val="center"/>
          </w:tcPr>
          <w:p w14:paraId="1BA63C3D" w14:textId="77777777" w:rsidR="00950C34" w:rsidRPr="00C17B39" w:rsidRDefault="00950C34" w:rsidP="00FA7B33">
            <w:pPr>
              <w:jc w:val="center"/>
              <w:rPr>
                <w:noProof/>
                <w:sz w:val="20"/>
                <w:szCs w:val="20"/>
              </w:rPr>
            </w:pPr>
            <w:r w:rsidRPr="00C17B39">
              <w:rPr>
                <w:noProof/>
                <w:sz w:val="20"/>
                <w:szCs w:val="20"/>
              </w:rPr>
              <w:t>1</w:t>
            </w:r>
          </w:p>
        </w:tc>
        <w:tc>
          <w:tcPr>
            <w:tcW w:w="3960" w:type="dxa"/>
            <w:vAlign w:val="center"/>
          </w:tcPr>
          <w:p w14:paraId="5361C1AE" w14:textId="77777777" w:rsidR="00950C34" w:rsidRPr="00C17B39" w:rsidRDefault="00950C34" w:rsidP="00FA7B33">
            <w:pPr>
              <w:rPr>
                <w:noProof/>
                <w:sz w:val="20"/>
                <w:szCs w:val="20"/>
              </w:rPr>
            </w:pPr>
            <w:r w:rsidRPr="00C17B39">
              <w:rPr>
                <w:noProof/>
                <w:sz w:val="20"/>
                <w:szCs w:val="20"/>
              </w:rPr>
              <w:t>01.0200301 European Innovation Council (Horizon Europe)</w:t>
            </w:r>
          </w:p>
        </w:tc>
        <w:tc>
          <w:tcPr>
            <w:tcW w:w="1080" w:type="dxa"/>
            <w:vAlign w:val="center"/>
          </w:tcPr>
          <w:p w14:paraId="68502206" w14:textId="77777777" w:rsidR="00950C34" w:rsidRPr="00C17B39" w:rsidRDefault="00950C34" w:rsidP="00FA7B33">
            <w:pPr>
              <w:jc w:val="center"/>
              <w:rPr>
                <w:noProof/>
                <w:sz w:val="20"/>
                <w:szCs w:val="20"/>
              </w:rPr>
            </w:pPr>
            <w:r w:rsidRPr="00C17B39">
              <w:rPr>
                <w:noProof/>
                <w:sz w:val="20"/>
                <w:szCs w:val="20"/>
              </w:rPr>
              <w:t>Diff</w:t>
            </w:r>
          </w:p>
        </w:tc>
        <w:tc>
          <w:tcPr>
            <w:tcW w:w="956" w:type="dxa"/>
            <w:vAlign w:val="center"/>
          </w:tcPr>
          <w:p w14:paraId="65363D02" w14:textId="77777777" w:rsidR="00950C34" w:rsidRPr="00F43077" w:rsidRDefault="00950C34" w:rsidP="00FA7B33">
            <w:pPr>
              <w:jc w:val="center"/>
              <w:rPr>
                <w:noProof/>
                <w:sz w:val="20"/>
                <w:szCs w:val="20"/>
              </w:rPr>
            </w:pPr>
            <w:r w:rsidRPr="00F43077">
              <w:rPr>
                <w:noProof/>
                <w:sz w:val="20"/>
                <w:szCs w:val="20"/>
              </w:rPr>
              <w:t>Yes</w:t>
            </w:r>
          </w:p>
        </w:tc>
        <w:tc>
          <w:tcPr>
            <w:tcW w:w="1080" w:type="dxa"/>
            <w:vAlign w:val="center"/>
          </w:tcPr>
          <w:p w14:paraId="6CCF6717" w14:textId="77777777" w:rsidR="00950C34" w:rsidRPr="00F43077" w:rsidRDefault="00950C34" w:rsidP="00FA7B33">
            <w:pPr>
              <w:jc w:val="center"/>
              <w:rPr>
                <w:noProof/>
                <w:sz w:val="20"/>
                <w:szCs w:val="20"/>
              </w:rPr>
            </w:pPr>
            <w:r w:rsidRPr="00F43077">
              <w:rPr>
                <w:noProof/>
                <w:sz w:val="20"/>
                <w:szCs w:val="20"/>
              </w:rPr>
              <w:t>Yes</w:t>
            </w:r>
          </w:p>
        </w:tc>
        <w:tc>
          <w:tcPr>
            <w:tcW w:w="956" w:type="dxa"/>
            <w:vAlign w:val="center"/>
          </w:tcPr>
          <w:p w14:paraId="6BB2D6BD" w14:textId="77777777" w:rsidR="00950C34" w:rsidRPr="00F43077" w:rsidRDefault="00950C34" w:rsidP="00FA7B33">
            <w:pPr>
              <w:jc w:val="center"/>
              <w:rPr>
                <w:noProof/>
                <w:sz w:val="20"/>
                <w:szCs w:val="20"/>
              </w:rPr>
            </w:pPr>
            <w:r w:rsidRPr="00F43077">
              <w:rPr>
                <w:noProof/>
                <w:sz w:val="20"/>
                <w:szCs w:val="20"/>
              </w:rPr>
              <w:t>Yes</w:t>
            </w:r>
          </w:p>
        </w:tc>
        <w:tc>
          <w:tcPr>
            <w:tcW w:w="1448" w:type="dxa"/>
            <w:vAlign w:val="center"/>
          </w:tcPr>
          <w:p w14:paraId="46E4F464" w14:textId="77777777" w:rsidR="00950C34" w:rsidRPr="00F43077" w:rsidRDefault="00950C34" w:rsidP="00FA7B33">
            <w:pPr>
              <w:jc w:val="center"/>
              <w:rPr>
                <w:noProof/>
                <w:sz w:val="20"/>
                <w:szCs w:val="20"/>
              </w:rPr>
            </w:pPr>
            <w:r w:rsidRPr="00F43077">
              <w:rPr>
                <w:noProof/>
                <w:sz w:val="20"/>
                <w:szCs w:val="20"/>
              </w:rPr>
              <w:t>Yes</w:t>
            </w:r>
          </w:p>
        </w:tc>
      </w:tr>
      <w:tr w:rsidR="00950C34" w:rsidRPr="00F43077" w14:paraId="405329BA" w14:textId="77777777" w:rsidTr="00FA7B33">
        <w:tc>
          <w:tcPr>
            <w:tcW w:w="1080" w:type="dxa"/>
            <w:vAlign w:val="center"/>
          </w:tcPr>
          <w:p w14:paraId="5282A4D0" w14:textId="77777777" w:rsidR="00950C34" w:rsidRPr="00C17B39" w:rsidRDefault="00950C34" w:rsidP="00FA7B33">
            <w:pPr>
              <w:jc w:val="center"/>
              <w:rPr>
                <w:noProof/>
                <w:sz w:val="20"/>
                <w:szCs w:val="20"/>
              </w:rPr>
            </w:pPr>
            <w:r w:rsidRPr="00C17B39">
              <w:rPr>
                <w:noProof/>
                <w:sz w:val="20"/>
                <w:szCs w:val="20"/>
              </w:rPr>
              <w:t>1</w:t>
            </w:r>
          </w:p>
        </w:tc>
        <w:tc>
          <w:tcPr>
            <w:tcW w:w="3960" w:type="dxa"/>
            <w:vAlign w:val="center"/>
          </w:tcPr>
          <w:p w14:paraId="78F994C1" w14:textId="77777777" w:rsidR="00950C34" w:rsidRPr="00C17B39" w:rsidRDefault="00950C34" w:rsidP="00FA7B33">
            <w:pPr>
              <w:spacing w:before="60"/>
              <w:rPr>
                <w:noProof/>
                <w:sz w:val="20"/>
                <w:szCs w:val="20"/>
              </w:rPr>
            </w:pPr>
            <w:r w:rsidRPr="00C17B39">
              <w:rPr>
                <w:noProof/>
                <w:sz w:val="20"/>
                <w:szCs w:val="20"/>
              </w:rPr>
              <w:t>02.0202 (InvestEU - provisioning)</w:t>
            </w:r>
          </w:p>
        </w:tc>
        <w:tc>
          <w:tcPr>
            <w:tcW w:w="1080" w:type="dxa"/>
            <w:vAlign w:val="center"/>
          </w:tcPr>
          <w:p w14:paraId="19CC9E1C" w14:textId="77777777" w:rsidR="00950C34" w:rsidRPr="00C17B39" w:rsidRDefault="00950C34" w:rsidP="00FA7B33">
            <w:pPr>
              <w:jc w:val="center"/>
              <w:rPr>
                <w:noProof/>
                <w:sz w:val="20"/>
                <w:szCs w:val="20"/>
              </w:rPr>
            </w:pPr>
            <w:r w:rsidRPr="00C17B39">
              <w:rPr>
                <w:noProof/>
                <w:sz w:val="20"/>
                <w:szCs w:val="20"/>
              </w:rPr>
              <w:t>Diff</w:t>
            </w:r>
          </w:p>
        </w:tc>
        <w:tc>
          <w:tcPr>
            <w:tcW w:w="956" w:type="dxa"/>
            <w:vAlign w:val="center"/>
          </w:tcPr>
          <w:p w14:paraId="59DA6486" w14:textId="77777777" w:rsidR="00950C34" w:rsidRPr="00F43077" w:rsidRDefault="00950C34" w:rsidP="00FA7B33">
            <w:pPr>
              <w:jc w:val="center"/>
              <w:rPr>
                <w:noProof/>
                <w:sz w:val="20"/>
                <w:szCs w:val="20"/>
              </w:rPr>
            </w:pPr>
            <w:r w:rsidRPr="00F43077">
              <w:rPr>
                <w:noProof/>
                <w:sz w:val="20"/>
                <w:szCs w:val="20"/>
              </w:rPr>
              <w:t>Yes</w:t>
            </w:r>
          </w:p>
        </w:tc>
        <w:tc>
          <w:tcPr>
            <w:tcW w:w="1080" w:type="dxa"/>
            <w:vAlign w:val="center"/>
          </w:tcPr>
          <w:p w14:paraId="2A4F460B" w14:textId="77777777" w:rsidR="00950C34" w:rsidRPr="00F43077" w:rsidRDefault="00950C34" w:rsidP="00FA7B33">
            <w:pPr>
              <w:jc w:val="center"/>
              <w:rPr>
                <w:noProof/>
                <w:sz w:val="20"/>
                <w:szCs w:val="20"/>
              </w:rPr>
            </w:pPr>
            <w:r w:rsidRPr="00F43077">
              <w:rPr>
                <w:noProof/>
                <w:sz w:val="20"/>
                <w:szCs w:val="20"/>
              </w:rPr>
              <w:t>No</w:t>
            </w:r>
          </w:p>
        </w:tc>
        <w:tc>
          <w:tcPr>
            <w:tcW w:w="956" w:type="dxa"/>
            <w:vAlign w:val="center"/>
          </w:tcPr>
          <w:p w14:paraId="3E3ED3E9" w14:textId="77777777" w:rsidR="00950C34" w:rsidRPr="00F43077" w:rsidRDefault="00950C34" w:rsidP="00FA7B33">
            <w:pPr>
              <w:jc w:val="center"/>
              <w:rPr>
                <w:noProof/>
                <w:sz w:val="20"/>
                <w:szCs w:val="20"/>
              </w:rPr>
            </w:pPr>
            <w:r w:rsidRPr="00F43077">
              <w:rPr>
                <w:noProof/>
                <w:sz w:val="20"/>
                <w:szCs w:val="20"/>
              </w:rPr>
              <w:t>No</w:t>
            </w:r>
          </w:p>
        </w:tc>
        <w:tc>
          <w:tcPr>
            <w:tcW w:w="1448" w:type="dxa"/>
            <w:vAlign w:val="center"/>
          </w:tcPr>
          <w:p w14:paraId="0B54692A" w14:textId="77777777" w:rsidR="00950C34" w:rsidRPr="00F43077" w:rsidRDefault="00950C34" w:rsidP="00FA7B33">
            <w:pPr>
              <w:jc w:val="center"/>
              <w:rPr>
                <w:noProof/>
                <w:sz w:val="20"/>
                <w:szCs w:val="20"/>
              </w:rPr>
            </w:pPr>
            <w:r w:rsidRPr="00F43077">
              <w:rPr>
                <w:noProof/>
                <w:sz w:val="20"/>
                <w:szCs w:val="20"/>
              </w:rPr>
              <w:t>Yes</w:t>
            </w:r>
          </w:p>
        </w:tc>
      </w:tr>
      <w:tr w:rsidR="00950C34" w14:paraId="3F467A3E" w14:textId="77777777" w:rsidTr="00FA7B33">
        <w:tc>
          <w:tcPr>
            <w:tcW w:w="1080" w:type="dxa"/>
            <w:vAlign w:val="center"/>
          </w:tcPr>
          <w:p w14:paraId="5174AA9F" w14:textId="77777777" w:rsidR="00950C34" w:rsidRDefault="00950C34" w:rsidP="00FA7B33">
            <w:pPr>
              <w:rPr>
                <w:noProof/>
              </w:rPr>
            </w:pPr>
            <w:r w:rsidRPr="0E051759">
              <w:rPr>
                <w:noProof/>
              </w:rPr>
              <w:t>2a</w:t>
            </w:r>
          </w:p>
        </w:tc>
        <w:tc>
          <w:tcPr>
            <w:tcW w:w="3960" w:type="dxa"/>
            <w:vAlign w:val="center"/>
          </w:tcPr>
          <w:p w14:paraId="03C27EBE" w14:textId="77777777" w:rsidR="00950C34" w:rsidRPr="008518A2" w:rsidRDefault="00950C34" w:rsidP="00FA7B33">
            <w:pPr>
              <w:spacing w:before="60"/>
              <w:rPr>
                <w:noProof/>
                <w:sz w:val="20"/>
                <w:szCs w:val="20"/>
              </w:rPr>
            </w:pPr>
          </w:p>
          <w:p w14:paraId="5784DE7E" w14:textId="77777777" w:rsidR="00950C34" w:rsidRPr="008518A2" w:rsidRDefault="00950C34" w:rsidP="00FA7B33">
            <w:pPr>
              <w:spacing w:before="60"/>
              <w:rPr>
                <w:noProof/>
                <w:sz w:val="20"/>
                <w:szCs w:val="20"/>
              </w:rPr>
            </w:pPr>
            <w:r w:rsidRPr="008518A2">
              <w:rPr>
                <w:noProof/>
                <w:sz w:val="20"/>
                <w:szCs w:val="20"/>
              </w:rPr>
              <w:t>05.02.01 European Regional Development Fund (ERDF) Operational Expenditure</w:t>
            </w:r>
          </w:p>
          <w:p w14:paraId="1F586CB4" w14:textId="77777777" w:rsidR="00950C34" w:rsidRPr="008518A2" w:rsidRDefault="00950C34" w:rsidP="00FA7B33">
            <w:pPr>
              <w:spacing w:before="60"/>
              <w:rPr>
                <w:noProof/>
                <w:sz w:val="20"/>
                <w:szCs w:val="20"/>
              </w:rPr>
            </w:pPr>
            <w:r w:rsidRPr="008518A2">
              <w:rPr>
                <w:noProof/>
                <w:sz w:val="20"/>
                <w:szCs w:val="20"/>
              </w:rPr>
              <w:t>05.03.01 Cohesion Fund (CF) Operational Expenditure</w:t>
            </w:r>
          </w:p>
          <w:p w14:paraId="1E4F0292" w14:textId="77777777" w:rsidR="00950C34" w:rsidRPr="008518A2" w:rsidRDefault="00950C34" w:rsidP="00FA7B33">
            <w:pPr>
              <w:spacing w:before="60"/>
              <w:rPr>
                <w:noProof/>
                <w:sz w:val="20"/>
                <w:szCs w:val="20"/>
              </w:rPr>
            </w:pPr>
            <w:r w:rsidRPr="008518A2">
              <w:rPr>
                <w:noProof/>
                <w:sz w:val="20"/>
                <w:szCs w:val="20"/>
              </w:rPr>
              <w:t>07.02.01 European Social Fund Plus (ESF+) shared management strand – Operational Expenditure</w:t>
            </w:r>
          </w:p>
        </w:tc>
        <w:tc>
          <w:tcPr>
            <w:tcW w:w="1080" w:type="dxa"/>
            <w:vAlign w:val="center"/>
          </w:tcPr>
          <w:p w14:paraId="582251F6" w14:textId="77777777" w:rsidR="00950C34" w:rsidRPr="008518A2" w:rsidRDefault="00950C34" w:rsidP="00FA7B33">
            <w:pPr>
              <w:jc w:val="center"/>
              <w:rPr>
                <w:noProof/>
                <w:sz w:val="20"/>
                <w:szCs w:val="20"/>
              </w:rPr>
            </w:pPr>
            <w:r w:rsidRPr="008518A2">
              <w:rPr>
                <w:noProof/>
                <w:sz w:val="20"/>
                <w:szCs w:val="20"/>
              </w:rPr>
              <w:t>Diff.</w:t>
            </w:r>
          </w:p>
        </w:tc>
        <w:tc>
          <w:tcPr>
            <w:tcW w:w="956" w:type="dxa"/>
            <w:vAlign w:val="center"/>
          </w:tcPr>
          <w:p w14:paraId="37AF29AD" w14:textId="77777777" w:rsidR="00950C34" w:rsidRPr="005F3D7C" w:rsidRDefault="00950C34" w:rsidP="00FA7B33">
            <w:pPr>
              <w:jc w:val="center"/>
              <w:rPr>
                <w:noProof/>
                <w:sz w:val="20"/>
                <w:szCs w:val="20"/>
              </w:rPr>
            </w:pPr>
            <w:r w:rsidRPr="00C17B39">
              <w:rPr>
                <w:noProof/>
                <w:sz w:val="20"/>
                <w:szCs w:val="20"/>
              </w:rPr>
              <w:t>No</w:t>
            </w:r>
          </w:p>
        </w:tc>
        <w:tc>
          <w:tcPr>
            <w:tcW w:w="1080" w:type="dxa"/>
            <w:vAlign w:val="center"/>
          </w:tcPr>
          <w:p w14:paraId="55DEAD7C" w14:textId="77777777" w:rsidR="00950C34" w:rsidRPr="005F3D7C" w:rsidRDefault="00950C34" w:rsidP="00FA7B33">
            <w:pPr>
              <w:jc w:val="center"/>
              <w:rPr>
                <w:noProof/>
                <w:sz w:val="20"/>
                <w:szCs w:val="20"/>
              </w:rPr>
            </w:pPr>
            <w:r w:rsidRPr="00C17B39">
              <w:rPr>
                <w:noProof/>
                <w:sz w:val="20"/>
                <w:szCs w:val="20"/>
              </w:rPr>
              <w:t>No</w:t>
            </w:r>
          </w:p>
        </w:tc>
        <w:tc>
          <w:tcPr>
            <w:tcW w:w="956" w:type="dxa"/>
            <w:vAlign w:val="center"/>
          </w:tcPr>
          <w:p w14:paraId="5AB24D81" w14:textId="77777777" w:rsidR="00950C34" w:rsidRPr="005F3D7C" w:rsidRDefault="00950C34" w:rsidP="00FA7B33">
            <w:pPr>
              <w:jc w:val="center"/>
              <w:rPr>
                <w:noProof/>
                <w:sz w:val="20"/>
                <w:szCs w:val="20"/>
              </w:rPr>
            </w:pPr>
            <w:r w:rsidRPr="00C17B39">
              <w:rPr>
                <w:noProof/>
                <w:sz w:val="20"/>
                <w:szCs w:val="20"/>
              </w:rPr>
              <w:t>No</w:t>
            </w:r>
          </w:p>
        </w:tc>
        <w:tc>
          <w:tcPr>
            <w:tcW w:w="1448" w:type="dxa"/>
            <w:vAlign w:val="center"/>
          </w:tcPr>
          <w:p w14:paraId="05543771" w14:textId="77777777" w:rsidR="00950C34" w:rsidRPr="005F3D7C" w:rsidRDefault="00950C34" w:rsidP="00FA7B33">
            <w:pPr>
              <w:jc w:val="center"/>
              <w:rPr>
                <w:noProof/>
                <w:sz w:val="20"/>
                <w:szCs w:val="20"/>
              </w:rPr>
            </w:pPr>
          </w:p>
          <w:p w14:paraId="0ADF9AE8" w14:textId="77777777" w:rsidR="00950C34" w:rsidRPr="005F3D7C" w:rsidRDefault="00950C34" w:rsidP="00FA7B33">
            <w:pPr>
              <w:jc w:val="center"/>
              <w:rPr>
                <w:noProof/>
                <w:sz w:val="20"/>
                <w:szCs w:val="20"/>
              </w:rPr>
            </w:pPr>
            <w:r w:rsidRPr="005F3D7C">
              <w:rPr>
                <w:noProof/>
                <w:sz w:val="20"/>
                <w:szCs w:val="20"/>
              </w:rPr>
              <w:t xml:space="preserve">External assigned revenue from NGEU for the JTF </w:t>
            </w:r>
          </w:p>
        </w:tc>
      </w:tr>
      <w:tr w:rsidR="00950C34" w14:paraId="54D689F5" w14:textId="77777777" w:rsidTr="00FA7B33">
        <w:tc>
          <w:tcPr>
            <w:tcW w:w="1080" w:type="dxa"/>
            <w:vAlign w:val="center"/>
          </w:tcPr>
          <w:p w14:paraId="0DCC6CB3" w14:textId="77777777" w:rsidR="00950C34" w:rsidRPr="0E051759" w:rsidRDefault="00950C34" w:rsidP="00FA7B33">
            <w:pPr>
              <w:jc w:val="center"/>
              <w:rPr>
                <w:noProof/>
              </w:rPr>
            </w:pPr>
            <w:r w:rsidRPr="0E051759">
              <w:rPr>
                <w:noProof/>
              </w:rPr>
              <w:t>3</w:t>
            </w:r>
          </w:p>
        </w:tc>
        <w:tc>
          <w:tcPr>
            <w:tcW w:w="3960" w:type="dxa"/>
            <w:vAlign w:val="center"/>
          </w:tcPr>
          <w:p w14:paraId="7672D023" w14:textId="77777777" w:rsidR="00950C34" w:rsidRPr="008518A2" w:rsidRDefault="00950C34" w:rsidP="00FA7B33">
            <w:pPr>
              <w:spacing w:before="60"/>
              <w:rPr>
                <w:noProof/>
                <w:sz w:val="20"/>
                <w:szCs w:val="20"/>
              </w:rPr>
            </w:pPr>
            <w:r w:rsidRPr="008518A2">
              <w:rPr>
                <w:noProof/>
                <w:sz w:val="20"/>
                <w:szCs w:val="20"/>
              </w:rPr>
              <w:t>09.03.01 Just Transition Fund (JTF) - Operational Expenditure</w:t>
            </w:r>
          </w:p>
        </w:tc>
        <w:tc>
          <w:tcPr>
            <w:tcW w:w="1080" w:type="dxa"/>
            <w:vAlign w:val="center"/>
          </w:tcPr>
          <w:p w14:paraId="2DA7C900" w14:textId="77777777" w:rsidR="00950C34" w:rsidRPr="008518A2" w:rsidRDefault="00950C34" w:rsidP="00FA7B33">
            <w:pPr>
              <w:jc w:val="center"/>
              <w:rPr>
                <w:noProof/>
                <w:sz w:val="20"/>
                <w:szCs w:val="20"/>
              </w:rPr>
            </w:pPr>
            <w:r w:rsidRPr="008518A2">
              <w:rPr>
                <w:noProof/>
                <w:sz w:val="20"/>
                <w:szCs w:val="20"/>
              </w:rPr>
              <w:t>Diff</w:t>
            </w:r>
          </w:p>
        </w:tc>
        <w:tc>
          <w:tcPr>
            <w:tcW w:w="956" w:type="dxa"/>
            <w:vAlign w:val="center"/>
          </w:tcPr>
          <w:p w14:paraId="18D6C943" w14:textId="77777777" w:rsidR="00950C34" w:rsidRPr="00C17B39" w:rsidRDefault="00950C34" w:rsidP="00FA7B33">
            <w:pPr>
              <w:jc w:val="center"/>
              <w:rPr>
                <w:noProof/>
                <w:sz w:val="20"/>
                <w:szCs w:val="20"/>
              </w:rPr>
            </w:pPr>
            <w:r>
              <w:rPr>
                <w:noProof/>
                <w:sz w:val="20"/>
                <w:szCs w:val="20"/>
              </w:rPr>
              <w:t>No</w:t>
            </w:r>
          </w:p>
        </w:tc>
        <w:tc>
          <w:tcPr>
            <w:tcW w:w="1080" w:type="dxa"/>
            <w:vAlign w:val="center"/>
          </w:tcPr>
          <w:p w14:paraId="02F3D507" w14:textId="77777777" w:rsidR="00950C34" w:rsidRPr="00C17B39" w:rsidRDefault="00950C34" w:rsidP="00FA7B33">
            <w:pPr>
              <w:jc w:val="center"/>
              <w:rPr>
                <w:noProof/>
                <w:sz w:val="20"/>
                <w:szCs w:val="20"/>
              </w:rPr>
            </w:pPr>
            <w:r w:rsidRPr="00C17B39">
              <w:rPr>
                <w:noProof/>
                <w:sz w:val="20"/>
                <w:szCs w:val="20"/>
              </w:rPr>
              <w:t>No</w:t>
            </w:r>
          </w:p>
        </w:tc>
        <w:tc>
          <w:tcPr>
            <w:tcW w:w="956" w:type="dxa"/>
            <w:vAlign w:val="center"/>
          </w:tcPr>
          <w:p w14:paraId="5F401E2B" w14:textId="77777777" w:rsidR="00950C34" w:rsidRPr="00C17B39" w:rsidRDefault="00950C34" w:rsidP="00FA7B33">
            <w:pPr>
              <w:jc w:val="center"/>
              <w:rPr>
                <w:noProof/>
                <w:sz w:val="20"/>
                <w:szCs w:val="20"/>
              </w:rPr>
            </w:pPr>
            <w:r w:rsidRPr="00C17B39">
              <w:rPr>
                <w:noProof/>
                <w:sz w:val="20"/>
                <w:szCs w:val="20"/>
              </w:rPr>
              <w:t>No</w:t>
            </w:r>
          </w:p>
        </w:tc>
        <w:tc>
          <w:tcPr>
            <w:tcW w:w="1448" w:type="dxa"/>
            <w:vAlign w:val="center"/>
          </w:tcPr>
          <w:p w14:paraId="39D25368" w14:textId="77777777" w:rsidR="00950C34" w:rsidRPr="00C17B39" w:rsidRDefault="00950C34" w:rsidP="00FA7B33">
            <w:pPr>
              <w:jc w:val="center"/>
              <w:rPr>
                <w:noProof/>
                <w:sz w:val="20"/>
                <w:szCs w:val="20"/>
              </w:rPr>
            </w:pPr>
            <w:r w:rsidRPr="00C17B39">
              <w:rPr>
                <w:noProof/>
                <w:sz w:val="20"/>
                <w:szCs w:val="20"/>
              </w:rPr>
              <w:t>Yes</w:t>
            </w:r>
          </w:p>
        </w:tc>
      </w:tr>
    </w:tbl>
    <w:p w14:paraId="4577594A" w14:textId="77777777" w:rsidR="00950C34" w:rsidRDefault="00950C34" w:rsidP="006271C1">
      <w:pPr>
        <w:pStyle w:val="ListBullet1"/>
        <w:rPr>
          <w:noProof/>
        </w:rPr>
      </w:pPr>
      <w:r>
        <w:rPr>
          <w:noProof/>
        </w:rPr>
        <w:t xml:space="preserve">New budget lines requested </w:t>
      </w:r>
    </w:p>
    <w:p w14:paraId="0EA94B32" w14:textId="77777777" w:rsidR="00950C34" w:rsidRDefault="00950C34" w:rsidP="00950C34">
      <w:pPr>
        <w:pStyle w:val="Text1"/>
        <w:rPr>
          <w:i/>
          <w:noProof/>
          <w:sz w:val="20"/>
        </w:rPr>
      </w:pPr>
      <w:r>
        <w:rPr>
          <w:i/>
          <w:noProof/>
          <w:u w:val="single"/>
        </w:rPr>
        <w:t>In order</w:t>
      </w:r>
      <w:r>
        <w:rPr>
          <w:i/>
          <w:noProof/>
        </w:rPr>
        <w:t xml:space="preserve"> of multiannual financial framework headings and budget lines.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950C34" w14:paraId="412C7172" w14:textId="77777777" w:rsidTr="00FA7B33">
        <w:tc>
          <w:tcPr>
            <w:tcW w:w="1080" w:type="dxa"/>
            <w:vMerge w:val="restart"/>
            <w:vAlign w:val="center"/>
          </w:tcPr>
          <w:p w14:paraId="0FB67271" w14:textId="77777777" w:rsidR="00950C34" w:rsidRPr="003A769F" w:rsidRDefault="00950C34" w:rsidP="00FA7B33">
            <w:pPr>
              <w:spacing w:before="60" w:after="60"/>
              <w:jc w:val="center"/>
              <w:rPr>
                <w:noProof/>
                <w:sz w:val="18"/>
                <w:szCs w:val="18"/>
                <w:lang w:val="en-IE"/>
              </w:rPr>
            </w:pPr>
            <w:r w:rsidRPr="003A769F">
              <w:rPr>
                <w:noProof/>
                <w:sz w:val="18"/>
                <w:lang w:val="en-IE"/>
              </w:rPr>
              <w:t>Heading of multiannual financial framework</w:t>
            </w:r>
          </w:p>
        </w:tc>
        <w:tc>
          <w:tcPr>
            <w:tcW w:w="3960" w:type="dxa"/>
            <w:vAlign w:val="center"/>
          </w:tcPr>
          <w:p w14:paraId="65511225" w14:textId="77777777" w:rsidR="00950C34" w:rsidRDefault="00950C34" w:rsidP="00FA7B33">
            <w:pPr>
              <w:spacing w:before="60" w:after="60"/>
              <w:jc w:val="center"/>
              <w:rPr>
                <w:noProof/>
              </w:rPr>
            </w:pPr>
            <w:r>
              <w:rPr>
                <w:noProof/>
                <w:sz w:val="20"/>
              </w:rPr>
              <w:t>Budget line</w:t>
            </w:r>
          </w:p>
        </w:tc>
        <w:tc>
          <w:tcPr>
            <w:tcW w:w="1080" w:type="dxa"/>
            <w:vAlign w:val="center"/>
          </w:tcPr>
          <w:p w14:paraId="7231FF03" w14:textId="77777777" w:rsidR="00950C34" w:rsidRDefault="00950C34" w:rsidP="00FA7B33">
            <w:pPr>
              <w:spacing w:before="60" w:after="60"/>
              <w:jc w:val="center"/>
              <w:rPr>
                <w:noProof/>
              </w:rPr>
            </w:pPr>
            <w:r>
              <w:rPr>
                <w:noProof/>
                <w:sz w:val="18"/>
              </w:rPr>
              <w:t>Type of</w:t>
            </w:r>
            <w:r>
              <w:rPr>
                <w:noProof/>
                <w:sz w:val="22"/>
              </w:rPr>
              <w:br/>
            </w:r>
            <w:r>
              <w:rPr>
                <w:noProof/>
                <w:sz w:val="18"/>
              </w:rPr>
              <w:t>expenditure</w:t>
            </w:r>
          </w:p>
        </w:tc>
        <w:tc>
          <w:tcPr>
            <w:tcW w:w="4440" w:type="dxa"/>
            <w:gridSpan w:val="4"/>
            <w:vAlign w:val="center"/>
          </w:tcPr>
          <w:p w14:paraId="031113AC" w14:textId="77777777" w:rsidR="00950C34" w:rsidRDefault="00950C34" w:rsidP="00FA7B33">
            <w:pPr>
              <w:spacing w:before="60" w:after="60"/>
              <w:jc w:val="center"/>
              <w:rPr>
                <w:noProof/>
              </w:rPr>
            </w:pPr>
            <w:r>
              <w:rPr>
                <w:noProof/>
                <w:sz w:val="20"/>
              </w:rPr>
              <w:t xml:space="preserve">Contribution </w:t>
            </w:r>
          </w:p>
        </w:tc>
      </w:tr>
      <w:tr w:rsidR="00950C34" w14:paraId="66013A13" w14:textId="77777777" w:rsidTr="00FA7B33">
        <w:tc>
          <w:tcPr>
            <w:tcW w:w="1080" w:type="dxa"/>
            <w:vMerge/>
            <w:vAlign w:val="center"/>
          </w:tcPr>
          <w:p w14:paraId="6108F297" w14:textId="77777777" w:rsidR="00950C34" w:rsidRDefault="00950C34" w:rsidP="00FA7B33">
            <w:pPr>
              <w:jc w:val="center"/>
              <w:rPr>
                <w:noProof/>
              </w:rPr>
            </w:pPr>
          </w:p>
        </w:tc>
        <w:tc>
          <w:tcPr>
            <w:tcW w:w="3960" w:type="dxa"/>
            <w:vAlign w:val="center"/>
          </w:tcPr>
          <w:p w14:paraId="2F4F62F9" w14:textId="77777777" w:rsidR="00950C34" w:rsidRDefault="00950C34" w:rsidP="00FA7B33">
            <w:pPr>
              <w:rPr>
                <w:noProof/>
              </w:rPr>
            </w:pPr>
            <w:r>
              <w:rPr>
                <w:noProof/>
                <w:sz w:val="20"/>
              </w:rPr>
              <w:t xml:space="preserve">Number </w:t>
            </w:r>
            <w:r>
              <w:rPr>
                <w:noProof/>
                <w:sz w:val="22"/>
              </w:rPr>
              <w:br/>
            </w:r>
          </w:p>
        </w:tc>
        <w:tc>
          <w:tcPr>
            <w:tcW w:w="1080" w:type="dxa"/>
            <w:vAlign w:val="center"/>
          </w:tcPr>
          <w:p w14:paraId="1394B550" w14:textId="77777777" w:rsidR="00950C34" w:rsidRDefault="00950C34" w:rsidP="00FA7B33">
            <w:pPr>
              <w:jc w:val="center"/>
              <w:rPr>
                <w:noProof/>
              </w:rPr>
            </w:pPr>
            <w:r>
              <w:rPr>
                <w:noProof/>
                <w:sz w:val="18"/>
              </w:rPr>
              <w:t>Diff./Non-diff.</w:t>
            </w:r>
          </w:p>
        </w:tc>
        <w:tc>
          <w:tcPr>
            <w:tcW w:w="956" w:type="dxa"/>
            <w:vAlign w:val="center"/>
          </w:tcPr>
          <w:p w14:paraId="4AFC8325" w14:textId="77777777" w:rsidR="00950C34" w:rsidRDefault="00950C34" w:rsidP="00FA7B33">
            <w:pPr>
              <w:jc w:val="center"/>
              <w:rPr>
                <w:noProof/>
                <w:sz w:val="18"/>
              </w:rPr>
            </w:pPr>
            <w:r>
              <w:rPr>
                <w:noProof/>
                <w:sz w:val="18"/>
              </w:rPr>
              <w:t>from EFTA countries</w:t>
            </w:r>
          </w:p>
        </w:tc>
        <w:tc>
          <w:tcPr>
            <w:tcW w:w="1080" w:type="dxa"/>
            <w:vAlign w:val="center"/>
          </w:tcPr>
          <w:p w14:paraId="54400E6A" w14:textId="77777777" w:rsidR="00950C34" w:rsidRPr="003A769F" w:rsidRDefault="00950C34" w:rsidP="00FA7B33">
            <w:pPr>
              <w:jc w:val="center"/>
              <w:rPr>
                <w:noProof/>
                <w:sz w:val="18"/>
                <w:lang w:val="en-IE"/>
              </w:rPr>
            </w:pPr>
            <w:r w:rsidRPr="003A769F">
              <w:rPr>
                <w:noProof/>
                <w:sz w:val="18"/>
                <w:lang w:val="en-IE"/>
              </w:rPr>
              <w:t>from candidate countries and potential candidates</w:t>
            </w:r>
          </w:p>
        </w:tc>
        <w:tc>
          <w:tcPr>
            <w:tcW w:w="956" w:type="dxa"/>
            <w:vAlign w:val="center"/>
          </w:tcPr>
          <w:p w14:paraId="3875C888" w14:textId="77777777" w:rsidR="00950C34" w:rsidRPr="00FF5DD8" w:rsidRDefault="00950C34" w:rsidP="00FA7B33">
            <w:pPr>
              <w:jc w:val="center"/>
              <w:rPr>
                <w:noProof/>
                <w:sz w:val="18"/>
              </w:rPr>
            </w:pPr>
            <w:r w:rsidRPr="00FF5DD8">
              <w:rPr>
                <w:noProof/>
                <w:sz w:val="18"/>
              </w:rPr>
              <w:t>from  other third countries</w:t>
            </w:r>
          </w:p>
        </w:tc>
        <w:tc>
          <w:tcPr>
            <w:tcW w:w="1448" w:type="dxa"/>
            <w:vAlign w:val="center"/>
          </w:tcPr>
          <w:p w14:paraId="199AE2F3" w14:textId="77777777" w:rsidR="00950C34" w:rsidRPr="00FF5DD8" w:rsidRDefault="00950C34" w:rsidP="00FA7B33">
            <w:pPr>
              <w:jc w:val="center"/>
              <w:rPr>
                <w:noProof/>
              </w:rPr>
            </w:pPr>
            <w:r w:rsidRPr="00154373">
              <w:rPr>
                <w:noProof/>
                <w:sz w:val="18"/>
                <w:szCs w:val="18"/>
                <w:lang w:val="en-IE"/>
              </w:rPr>
              <w:t xml:space="preserve">other assigned revenue </w:t>
            </w:r>
          </w:p>
        </w:tc>
      </w:tr>
      <w:tr w:rsidR="00950C34" w14:paraId="3D02971D" w14:textId="77777777" w:rsidTr="00FA7B33">
        <w:tc>
          <w:tcPr>
            <w:tcW w:w="1080" w:type="dxa"/>
            <w:vAlign w:val="center"/>
          </w:tcPr>
          <w:p w14:paraId="581DD4C6" w14:textId="77777777" w:rsidR="00950C34" w:rsidRPr="008518A2" w:rsidRDefault="00950C34" w:rsidP="00FA7B33">
            <w:pPr>
              <w:spacing w:before="60"/>
              <w:rPr>
                <w:noProof/>
                <w:sz w:val="20"/>
                <w:szCs w:val="20"/>
              </w:rPr>
            </w:pPr>
            <w:r w:rsidRPr="008518A2">
              <w:rPr>
                <w:noProof/>
                <w:sz w:val="20"/>
                <w:szCs w:val="20"/>
              </w:rPr>
              <w:t>3</w:t>
            </w:r>
          </w:p>
        </w:tc>
        <w:tc>
          <w:tcPr>
            <w:tcW w:w="3960" w:type="dxa"/>
            <w:vAlign w:val="center"/>
          </w:tcPr>
          <w:p w14:paraId="0B78A306" w14:textId="77777777" w:rsidR="00950C34" w:rsidRPr="008518A2" w:rsidRDefault="00950C34" w:rsidP="00FA7B33">
            <w:pPr>
              <w:spacing w:before="60"/>
              <w:rPr>
                <w:noProof/>
                <w:sz w:val="20"/>
                <w:szCs w:val="20"/>
              </w:rPr>
            </w:pPr>
            <w:r w:rsidRPr="008518A2">
              <w:rPr>
                <w:noProof/>
                <w:sz w:val="20"/>
                <w:szCs w:val="20"/>
              </w:rPr>
              <w:t>09.05.01 Innovation Fund (IF) - operational expenditure</w:t>
            </w:r>
          </w:p>
          <w:p w14:paraId="2E12D0A8" w14:textId="77777777" w:rsidR="00950C34" w:rsidRPr="008518A2" w:rsidRDefault="00950C34" w:rsidP="00FA7B33">
            <w:pPr>
              <w:spacing w:before="60"/>
              <w:rPr>
                <w:noProof/>
                <w:sz w:val="20"/>
                <w:szCs w:val="20"/>
              </w:rPr>
            </w:pPr>
            <w:r w:rsidRPr="008518A2">
              <w:rPr>
                <w:noProof/>
                <w:sz w:val="20"/>
                <w:szCs w:val="20"/>
              </w:rPr>
              <w:t>09.01.04.01 Support expenditure for the Innovation Fund</w:t>
            </w:r>
          </w:p>
          <w:p w14:paraId="22DB8EB5" w14:textId="77777777" w:rsidR="00950C34" w:rsidRPr="008518A2" w:rsidRDefault="00950C34" w:rsidP="00FA7B33">
            <w:pPr>
              <w:spacing w:before="60"/>
              <w:rPr>
                <w:noProof/>
                <w:sz w:val="20"/>
                <w:szCs w:val="20"/>
              </w:rPr>
            </w:pPr>
            <w:r w:rsidRPr="008518A2">
              <w:rPr>
                <w:noProof/>
                <w:sz w:val="20"/>
                <w:szCs w:val="20"/>
              </w:rPr>
              <w:t>09.01.04.74 European Climate, Infrastructure and Environment Executive Agency – Contribution from the Innovation Fund</w:t>
            </w:r>
          </w:p>
          <w:p w14:paraId="5BFE68C7" w14:textId="77777777" w:rsidR="00950C34" w:rsidRPr="008518A2" w:rsidRDefault="00950C34" w:rsidP="00FA7B33">
            <w:pPr>
              <w:spacing w:before="60" w:after="60"/>
              <w:rPr>
                <w:noProof/>
                <w:sz w:val="20"/>
                <w:szCs w:val="20"/>
              </w:rPr>
            </w:pPr>
          </w:p>
        </w:tc>
        <w:tc>
          <w:tcPr>
            <w:tcW w:w="1080" w:type="dxa"/>
            <w:vAlign w:val="center"/>
          </w:tcPr>
          <w:p w14:paraId="4A068EE2" w14:textId="77777777" w:rsidR="00950C34" w:rsidRPr="008518A2" w:rsidRDefault="00950C34" w:rsidP="00FA7B33">
            <w:pPr>
              <w:spacing w:before="60"/>
              <w:rPr>
                <w:noProof/>
                <w:sz w:val="20"/>
                <w:szCs w:val="20"/>
              </w:rPr>
            </w:pPr>
            <w:r w:rsidRPr="008518A2">
              <w:rPr>
                <w:noProof/>
                <w:sz w:val="20"/>
                <w:szCs w:val="20"/>
              </w:rPr>
              <w:t>Diff. and Non-diff.</w:t>
            </w:r>
          </w:p>
          <w:p w14:paraId="78A43FDA" w14:textId="77777777" w:rsidR="00950C34" w:rsidRPr="008518A2" w:rsidRDefault="00950C34" w:rsidP="00FA7B33">
            <w:pPr>
              <w:spacing w:before="60"/>
              <w:rPr>
                <w:noProof/>
                <w:sz w:val="20"/>
                <w:szCs w:val="20"/>
              </w:rPr>
            </w:pPr>
          </w:p>
        </w:tc>
        <w:tc>
          <w:tcPr>
            <w:tcW w:w="956" w:type="dxa"/>
            <w:vAlign w:val="center"/>
          </w:tcPr>
          <w:p w14:paraId="50328089" w14:textId="77777777" w:rsidR="00950C34" w:rsidRPr="008D0E8A" w:rsidRDefault="00950C34" w:rsidP="00FA7B33">
            <w:pPr>
              <w:spacing w:before="60"/>
              <w:rPr>
                <w:noProof/>
                <w:sz w:val="20"/>
                <w:szCs w:val="20"/>
              </w:rPr>
            </w:pPr>
            <w:r>
              <w:rPr>
                <w:noProof/>
                <w:sz w:val="20"/>
                <w:szCs w:val="20"/>
              </w:rPr>
              <w:t>No</w:t>
            </w:r>
          </w:p>
        </w:tc>
        <w:tc>
          <w:tcPr>
            <w:tcW w:w="1080" w:type="dxa"/>
            <w:vAlign w:val="center"/>
          </w:tcPr>
          <w:p w14:paraId="3C79E8CD" w14:textId="77777777" w:rsidR="00950C34" w:rsidRPr="008518A2" w:rsidRDefault="00950C34" w:rsidP="00FA7B33">
            <w:pPr>
              <w:spacing w:before="60"/>
              <w:rPr>
                <w:noProof/>
                <w:sz w:val="20"/>
                <w:szCs w:val="20"/>
              </w:rPr>
            </w:pPr>
            <w:r w:rsidRPr="003A327B">
              <w:rPr>
                <w:noProof/>
                <w:sz w:val="20"/>
                <w:szCs w:val="20"/>
              </w:rPr>
              <w:t>No</w:t>
            </w:r>
          </w:p>
        </w:tc>
        <w:tc>
          <w:tcPr>
            <w:tcW w:w="956" w:type="dxa"/>
            <w:vAlign w:val="center"/>
          </w:tcPr>
          <w:p w14:paraId="2BE4E2EE" w14:textId="77777777" w:rsidR="00950C34" w:rsidRPr="008518A2" w:rsidRDefault="00950C34" w:rsidP="00FA7B33">
            <w:pPr>
              <w:spacing w:before="60"/>
              <w:rPr>
                <w:noProof/>
                <w:sz w:val="20"/>
                <w:szCs w:val="20"/>
              </w:rPr>
            </w:pPr>
            <w:r w:rsidRPr="003A327B">
              <w:rPr>
                <w:noProof/>
                <w:sz w:val="20"/>
                <w:szCs w:val="20"/>
              </w:rPr>
              <w:t>No</w:t>
            </w:r>
          </w:p>
        </w:tc>
        <w:tc>
          <w:tcPr>
            <w:tcW w:w="1448" w:type="dxa"/>
            <w:vAlign w:val="center"/>
          </w:tcPr>
          <w:p w14:paraId="06E291DE" w14:textId="77777777" w:rsidR="00950C34" w:rsidRPr="008D0E8A" w:rsidRDefault="00950C34" w:rsidP="00FA7B33">
            <w:pPr>
              <w:spacing w:before="60"/>
              <w:rPr>
                <w:noProof/>
                <w:sz w:val="20"/>
                <w:szCs w:val="20"/>
              </w:rPr>
            </w:pPr>
            <w:r w:rsidRPr="003A327B">
              <w:rPr>
                <w:noProof/>
                <w:sz w:val="20"/>
                <w:szCs w:val="20"/>
              </w:rPr>
              <w:t>Yes</w:t>
            </w:r>
          </w:p>
        </w:tc>
      </w:tr>
    </w:tbl>
    <w:p w14:paraId="276C067C" w14:textId="77777777" w:rsidR="00950C34" w:rsidRDefault="00950C34" w:rsidP="00950C34">
      <w:pPr>
        <w:rPr>
          <w:noProof/>
        </w:rPr>
        <w:sectPr w:rsidR="00950C34" w:rsidSect="00742C1D">
          <w:pgSz w:w="11907" w:h="16840" w:code="1"/>
          <w:pgMar w:top="1134" w:right="1418" w:bottom="1134" w:left="1418" w:header="709" w:footer="709" w:gutter="0"/>
          <w:cols w:space="708"/>
          <w:docGrid w:linePitch="360"/>
        </w:sectPr>
      </w:pPr>
    </w:p>
    <w:p w14:paraId="76417971" w14:textId="77777777" w:rsidR="00950C34" w:rsidRDefault="00950C34" w:rsidP="00950C34">
      <w:pPr>
        <w:pStyle w:val="ManualHeading2"/>
        <w:rPr>
          <w:noProof/>
        </w:rPr>
      </w:pPr>
      <w:bookmarkStart w:id="57" w:name="_Toc514938052"/>
      <w:bookmarkStart w:id="58" w:name="_Toc520485051"/>
      <w:r>
        <w:rPr>
          <w:noProof/>
        </w:rPr>
        <w:t>3.2.</w:t>
      </w:r>
      <w:r>
        <w:rPr>
          <w:noProof/>
        </w:rPr>
        <w:tab/>
      </w:r>
      <w:r w:rsidRPr="45B6FBC6">
        <w:rPr>
          <w:noProof/>
        </w:rPr>
        <w:t>Estimated financial impact of the proposal on appropriations</w:t>
      </w:r>
      <w:bookmarkEnd w:id="57"/>
      <w:bookmarkEnd w:id="58"/>
      <w:r w:rsidRPr="45B6FBC6">
        <w:rPr>
          <w:noProof/>
        </w:rPr>
        <w:t xml:space="preserve"> </w:t>
      </w:r>
    </w:p>
    <w:p w14:paraId="48DCDF4F" w14:textId="77777777" w:rsidR="00950C34" w:rsidRDefault="00950C34" w:rsidP="00950C34">
      <w:pPr>
        <w:pStyle w:val="ManualHeading3"/>
        <w:rPr>
          <w:noProof/>
        </w:rPr>
      </w:pPr>
      <w:bookmarkStart w:id="59" w:name="_Toc514938053"/>
      <w:bookmarkStart w:id="60" w:name="_Toc520485052"/>
      <w:r w:rsidRPr="0021790A">
        <w:rPr>
          <w:noProof/>
        </w:rPr>
        <w:t>3.2.1.</w:t>
      </w:r>
      <w:r w:rsidRPr="0021790A">
        <w:rPr>
          <w:noProof/>
        </w:rPr>
        <w:tab/>
      </w:r>
      <w:r>
        <w:rPr>
          <w:noProof/>
        </w:rPr>
        <w:t>Summary of estimated impact on operational appropriations</w:t>
      </w:r>
      <w:bookmarkEnd w:id="59"/>
      <w:bookmarkEnd w:id="60"/>
      <w:r>
        <w:rPr>
          <w:noProof/>
        </w:rPr>
        <w:t xml:space="preserve"> </w:t>
      </w:r>
    </w:p>
    <w:p w14:paraId="5C6FABE5" w14:textId="77777777" w:rsidR="00950C34" w:rsidRDefault="00950C34" w:rsidP="006271C1">
      <w:pPr>
        <w:pStyle w:val="ListDash1"/>
        <w:rPr>
          <w:noProof/>
        </w:rPr>
      </w:pPr>
      <w:r w:rsidRPr="15113AC1">
        <w:rPr>
          <w:rFonts w:ascii="Wingdings" w:eastAsia="Wingdings" w:hAnsi="Wingdings" w:cs="Wingdings"/>
          <w:noProof/>
        </w:rPr>
        <w:t></w:t>
      </w:r>
      <w:r>
        <w:rPr>
          <w:noProof/>
        </w:rPr>
        <w:tab/>
      </w:r>
      <w:r w:rsidRPr="15113AC1">
        <w:rPr>
          <w:noProof/>
        </w:rPr>
        <w:t xml:space="preserve">The proposal/initiative does not require the use of operational appropriations </w:t>
      </w:r>
    </w:p>
    <w:p w14:paraId="432253FF" w14:textId="77777777" w:rsidR="00950C34" w:rsidRDefault="00950C34" w:rsidP="006271C1">
      <w:pPr>
        <w:pStyle w:val="ListDash1"/>
        <w:rPr>
          <w:noProof/>
        </w:rPr>
      </w:pPr>
      <w:r w:rsidRPr="078E3620">
        <w:rPr>
          <w:rFonts w:ascii="Wingdings" w:eastAsia="Wingdings" w:hAnsi="Wingdings" w:cs="Wingdings"/>
          <w:noProof/>
        </w:rPr>
        <w:t></w:t>
      </w:r>
      <w:r w:rsidRPr="078E3620">
        <w:rPr>
          <w:rFonts w:ascii="Wingdings" w:eastAsia="Wingdings" w:hAnsi="Wingdings" w:cs="Wingdings"/>
          <w:noProof/>
        </w:rPr>
        <w:t></w:t>
      </w:r>
      <w:r w:rsidRPr="078E3620">
        <w:rPr>
          <w:noProof/>
        </w:rPr>
        <w:t>The proposal/initiative requires the use of operational appropriations, as explained below:</w:t>
      </w:r>
    </w:p>
    <w:p w14:paraId="16FD3561" w14:textId="77777777" w:rsidR="00950C34" w:rsidRPr="003A769F" w:rsidRDefault="00950C34" w:rsidP="00950C34">
      <w:pPr>
        <w:jc w:val="right"/>
        <w:rPr>
          <w:noProof/>
          <w:sz w:val="18"/>
          <w:szCs w:val="18"/>
          <w:lang w:val="en-IE"/>
        </w:rPr>
      </w:pPr>
      <w:r w:rsidRPr="003A769F">
        <w:rPr>
          <w:noProof/>
          <w:sz w:val="18"/>
          <w:szCs w:val="18"/>
          <w:lang w:val="en-IE"/>
        </w:rPr>
        <w:t>EUR million (to three decimal places)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950C34" w14:paraId="290920F8" w14:textId="77777777" w:rsidTr="00FA7B33">
        <w:trPr>
          <w:jc w:val="center"/>
        </w:trPr>
        <w:tc>
          <w:tcPr>
            <w:tcW w:w="4744" w:type="dxa"/>
            <w:shd w:val="clear" w:color="auto" w:fill="auto"/>
            <w:vAlign w:val="center"/>
          </w:tcPr>
          <w:p w14:paraId="0AF5989E" w14:textId="77777777" w:rsidR="00950C34" w:rsidRPr="003A769F" w:rsidRDefault="00950C34" w:rsidP="00FA7B33">
            <w:pPr>
              <w:spacing w:before="60" w:after="60"/>
              <w:jc w:val="center"/>
              <w:rPr>
                <w:b/>
                <w:noProof/>
                <w:lang w:val="en-IE"/>
              </w:rPr>
            </w:pPr>
            <w:r w:rsidRPr="003A769F">
              <w:rPr>
                <w:b/>
                <w:noProof/>
                <w:sz w:val="22"/>
                <w:lang w:val="en-IE"/>
              </w:rPr>
              <w:t xml:space="preserve">Heading of multiannual financial </w:t>
            </w:r>
            <w:r w:rsidRPr="003A769F">
              <w:rPr>
                <w:noProof/>
                <w:sz w:val="22"/>
                <w:lang w:val="en-IE"/>
              </w:rPr>
              <w:br/>
            </w:r>
            <w:r w:rsidRPr="003A769F">
              <w:rPr>
                <w:b/>
                <w:noProof/>
                <w:sz w:val="22"/>
                <w:lang w:val="en-IE"/>
              </w:rPr>
              <w:t xml:space="preserve">framework </w:t>
            </w:r>
          </w:p>
        </w:tc>
        <w:tc>
          <w:tcPr>
            <w:tcW w:w="1080" w:type="dxa"/>
            <w:vAlign w:val="center"/>
          </w:tcPr>
          <w:p w14:paraId="0AEC98BA" w14:textId="77777777" w:rsidR="00950C34" w:rsidRDefault="00950C34" w:rsidP="00FA7B33">
            <w:pPr>
              <w:spacing w:before="60" w:after="60"/>
              <w:jc w:val="center"/>
              <w:rPr>
                <w:noProof/>
              </w:rPr>
            </w:pPr>
            <w:r>
              <w:rPr>
                <w:noProof/>
                <w:sz w:val="22"/>
              </w:rPr>
              <w:t>Number</w:t>
            </w:r>
          </w:p>
        </w:tc>
        <w:tc>
          <w:tcPr>
            <w:tcW w:w="7817" w:type="dxa"/>
            <w:vAlign w:val="center"/>
          </w:tcPr>
          <w:p w14:paraId="31ABDB4F" w14:textId="77777777" w:rsidR="00950C34" w:rsidRDefault="00950C34" w:rsidP="00FA7B33">
            <w:pPr>
              <w:spacing w:before="60" w:after="60"/>
              <w:rPr>
                <w:noProof/>
              </w:rPr>
            </w:pPr>
            <w:r>
              <w:rPr>
                <w:noProof/>
              </w:rPr>
              <w:t>1</w:t>
            </w:r>
          </w:p>
        </w:tc>
      </w:tr>
    </w:tbl>
    <w:p w14:paraId="5E429791" w14:textId="77777777" w:rsidR="00950C34" w:rsidRDefault="00950C34" w:rsidP="00950C34">
      <w:pPr>
        <w:rPr>
          <w:noProof/>
          <w:sz w:val="16"/>
        </w:rPr>
      </w:pPr>
    </w:p>
    <w:tbl>
      <w:tblPr>
        <w:tblW w:w="1396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
        <w:gridCol w:w="3739"/>
        <w:gridCol w:w="1478"/>
        <w:gridCol w:w="702"/>
        <w:gridCol w:w="114"/>
        <w:gridCol w:w="977"/>
        <w:gridCol w:w="7"/>
        <w:gridCol w:w="1108"/>
        <w:gridCol w:w="26"/>
        <w:gridCol w:w="1227"/>
        <w:gridCol w:w="48"/>
        <w:gridCol w:w="1232"/>
        <w:gridCol w:w="113"/>
        <w:gridCol w:w="1349"/>
        <w:gridCol w:w="43"/>
        <w:gridCol w:w="1799"/>
      </w:tblGrid>
      <w:tr w:rsidR="00950C34" w14:paraId="3AF0DDB7" w14:textId="77777777" w:rsidTr="00FA7B33">
        <w:trPr>
          <w:trHeight w:val="300"/>
        </w:trPr>
        <w:tc>
          <w:tcPr>
            <w:tcW w:w="3745" w:type="dxa"/>
            <w:gridSpan w:val="2"/>
            <w:vAlign w:val="center"/>
          </w:tcPr>
          <w:p w14:paraId="3BBD8ED6" w14:textId="77777777" w:rsidR="00950C34" w:rsidRDefault="00950C34" w:rsidP="00FA7B33">
            <w:pPr>
              <w:jc w:val="center"/>
              <w:rPr>
                <w:noProof/>
                <w:sz w:val="22"/>
              </w:rPr>
            </w:pPr>
            <w:r>
              <w:rPr>
                <w:noProof/>
                <w:sz w:val="22"/>
              </w:rPr>
              <w:t>Horizon Europe</w:t>
            </w:r>
          </w:p>
        </w:tc>
        <w:tc>
          <w:tcPr>
            <w:tcW w:w="1478" w:type="dxa"/>
          </w:tcPr>
          <w:p w14:paraId="721D7690" w14:textId="77777777" w:rsidR="00950C34" w:rsidRDefault="00950C34" w:rsidP="00FA7B33">
            <w:pPr>
              <w:rPr>
                <w:noProof/>
                <w:sz w:val="20"/>
              </w:rPr>
            </w:pPr>
          </w:p>
        </w:tc>
        <w:tc>
          <w:tcPr>
            <w:tcW w:w="702" w:type="dxa"/>
          </w:tcPr>
          <w:p w14:paraId="6F5A75CF" w14:textId="77777777" w:rsidR="00950C34" w:rsidRDefault="00950C34" w:rsidP="00FA7B33">
            <w:pPr>
              <w:jc w:val="center"/>
              <w:rPr>
                <w:noProof/>
                <w:sz w:val="20"/>
              </w:rPr>
            </w:pPr>
          </w:p>
        </w:tc>
        <w:tc>
          <w:tcPr>
            <w:tcW w:w="1098" w:type="dxa"/>
            <w:gridSpan w:val="3"/>
            <w:vAlign w:val="center"/>
          </w:tcPr>
          <w:p w14:paraId="7C667E02" w14:textId="77777777" w:rsidR="00950C34" w:rsidRDefault="00950C34" w:rsidP="00FA7B33">
            <w:pPr>
              <w:jc w:val="center"/>
              <w:rPr>
                <w:noProof/>
                <w:sz w:val="20"/>
              </w:rPr>
            </w:pPr>
            <w:r>
              <w:rPr>
                <w:noProof/>
                <w:sz w:val="20"/>
              </w:rPr>
              <w:t>2023</w:t>
            </w:r>
          </w:p>
        </w:tc>
        <w:tc>
          <w:tcPr>
            <w:tcW w:w="1134" w:type="dxa"/>
            <w:gridSpan w:val="2"/>
            <w:vAlign w:val="center"/>
          </w:tcPr>
          <w:p w14:paraId="02FCFDA7" w14:textId="77777777" w:rsidR="00950C34" w:rsidRDefault="00950C34" w:rsidP="00FA7B33">
            <w:pPr>
              <w:jc w:val="center"/>
              <w:rPr>
                <w:noProof/>
                <w:sz w:val="20"/>
              </w:rPr>
            </w:pPr>
            <w:r>
              <w:rPr>
                <w:noProof/>
                <w:sz w:val="20"/>
              </w:rPr>
              <w:t>2024</w:t>
            </w:r>
          </w:p>
        </w:tc>
        <w:tc>
          <w:tcPr>
            <w:tcW w:w="1275" w:type="dxa"/>
            <w:gridSpan w:val="2"/>
            <w:vAlign w:val="center"/>
          </w:tcPr>
          <w:p w14:paraId="3E9BAAF0" w14:textId="77777777" w:rsidR="00950C34" w:rsidRDefault="00950C34" w:rsidP="00FA7B33">
            <w:pPr>
              <w:jc w:val="center"/>
              <w:rPr>
                <w:noProof/>
                <w:sz w:val="20"/>
              </w:rPr>
            </w:pPr>
            <w:r>
              <w:rPr>
                <w:noProof/>
                <w:sz w:val="20"/>
              </w:rPr>
              <w:t>2025</w:t>
            </w:r>
          </w:p>
        </w:tc>
        <w:tc>
          <w:tcPr>
            <w:tcW w:w="1232" w:type="dxa"/>
            <w:vAlign w:val="center"/>
          </w:tcPr>
          <w:p w14:paraId="74F986AA" w14:textId="77777777" w:rsidR="00950C34" w:rsidRDefault="00950C34" w:rsidP="00FA7B33">
            <w:pPr>
              <w:jc w:val="center"/>
              <w:rPr>
                <w:noProof/>
                <w:sz w:val="20"/>
              </w:rPr>
            </w:pPr>
            <w:r w:rsidRPr="008F27C3">
              <w:rPr>
                <w:noProof/>
                <w:sz w:val="20"/>
              </w:rPr>
              <w:t>2026</w:t>
            </w:r>
          </w:p>
        </w:tc>
        <w:tc>
          <w:tcPr>
            <w:tcW w:w="1462" w:type="dxa"/>
            <w:gridSpan w:val="2"/>
            <w:vAlign w:val="center"/>
          </w:tcPr>
          <w:p w14:paraId="23B0118F" w14:textId="77777777" w:rsidR="00950C34" w:rsidRPr="00EA3C12" w:rsidRDefault="00950C34" w:rsidP="00FA7B33">
            <w:pPr>
              <w:jc w:val="center"/>
              <w:rPr>
                <w:noProof/>
                <w:sz w:val="18"/>
                <w:lang w:val="en-IE"/>
              </w:rPr>
            </w:pPr>
            <w:r w:rsidRPr="008F27C3">
              <w:rPr>
                <w:noProof/>
                <w:sz w:val="18"/>
                <w:lang w:val="en-IE"/>
              </w:rPr>
              <w:t>2027</w:t>
            </w:r>
          </w:p>
        </w:tc>
        <w:tc>
          <w:tcPr>
            <w:tcW w:w="1842" w:type="dxa"/>
            <w:gridSpan w:val="2"/>
            <w:vAlign w:val="center"/>
          </w:tcPr>
          <w:p w14:paraId="349E60B5" w14:textId="77777777" w:rsidR="00950C34" w:rsidRDefault="00950C34" w:rsidP="00FA7B33">
            <w:pPr>
              <w:jc w:val="center"/>
              <w:rPr>
                <w:b/>
                <w:noProof/>
                <w:sz w:val="20"/>
              </w:rPr>
            </w:pPr>
            <w:r>
              <w:rPr>
                <w:b/>
                <w:noProof/>
                <w:sz w:val="20"/>
              </w:rPr>
              <w:t>TOTAL</w:t>
            </w:r>
          </w:p>
        </w:tc>
      </w:tr>
      <w:tr w:rsidR="00950C34" w:rsidRPr="00FD3751" w14:paraId="6F1D5D34" w14:textId="77777777" w:rsidTr="00FA7B33">
        <w:trPr>
          <w:trHeight w:val="213"/>
        </w:trPr>
        <w:tc>
          <w:tcPr>
            <w:tcW w:w="13968" w:type="dxa"/>
            <w:gridSpan w:val="16"/>
            <w:tcBorders>
              <w:top w:val="single" w:sz="4" w:space="0" w:color="auto"/>
              <w:left w:val="single" w:sz="4" w:space="0" w:color="auto"/>
              <w:bottom w:val="single" w:sz="4" w:space="0" w:color="auto"/>
              <w:right w:val="single" w:sz="4" w:space="0" w:color="auto"/>
            </w:tcBorders>
            <w:vAlign w:val="center"/>
          </w:tcPr>
          <w:p w14:paraId="457686C7" w14:textId="77777777" w:rsidR="00950C34" w:rsidRPr="00FD3751" w:rsidRDefault="00950C34" w:rsidP="00FA7B33">
            <w:pPr>
              <w:jc w:val="left"/>
              <w:rPr>
                <w:b/>
                <w:bCs/>
                <w:noProof/>
                <w:sz w:val="20"/>
              </w:rPr>
            </w:pPr>
            <w:r w:rsidRPr="00C17B39">
              <w:rPr>
                <w:b/>
                <w:bCs/>
                <w:noProof/>
                <w:sz w:val="21"/>
              </w:rPr>
              <w:t xml:space="preserve">Operational appropriations </w:t>
            </w:r>
            <w:r w:rsidRPr="00C17B39">
              <w:rPr>
                <w:b/>
                <w:bCs/>
                <w:noProof/>
                <w:sz w:val="21"/>
                <w:u w:val="single"/>
              </w:rPr>
              <w:t>redeployed</w:t>
            </w:r>
            <w:r w:rsidRPr="00C17B39">
              <w:rPr>
                <w:b/>
                <w:bCs/>
                <w:noProof/>
                <w:sz w:val="21"/>
              </w:rPr>
              <w:t xml:space="preserve"> from Horizon Europe Pillar II to the European Innovation Council</w:t>
            </w:r>
          </w:p>
        </w:tc>
      </w:tr>
      <w:tr w:rsidR="00950C34" w14:paraId="7E01AFD4" w14:textId="77777777" w:rsidTr="00FA7B33">
        <w:trPr>
          <w:trHeight w:val="277"/>
        </w:trPr>
        <w:tc>
          <w:tcPr>
            <w:tcW w:w="3745" w:type="dxa"/>
            <w:gridSpan w:val="2"/>
            <w:vAlign w:val="center"/>
          </w:tcPr>
          <w:p w14:paraId="548D76B8" w14:textId="77777777" w:rsidR="00950C34" w:rsidRPr="00C17B39" w:rsidRDefault="00950C34" w:rsidP="00FA7B33">
            <w:pPr>
              <w:rPr>
                <w:noProof/>
                <w:sz w:val="18"/>
                <w:szCs w:val="18"/>
              </w:rPr>
            </w:pPr>
            <w:r w:rsidRPr="00C17B39">
              <w:rPr>
                <w:noProof/>
                <w:sz w:val="18"/>
                <w:szCs w:val="18"/>
              </w:rPr>
              <w:t>01.020210 Cluster “Health”</w:t>
            </w:r>
          </w:p>
        </w:tc>
        <w:tc>
          <w:tcPr>
            <w:tcW w:w="1478" w:type="dxa"/>
            <w:vAlign w:val="center"/>
          </w:tcPr>
          <w:p w14:paraId="52106129" w14:textId="77777777" w:rsidR="00950C34" w:rsidRDefault="00950C34" w:rsidP="00FA7B33">
            <w:pPr>
              <w:spacing w:before="20" w:after="20"/>
              <w:rPr>
                <w:noProof/>
                <w:sz w:val="18"/>
              </w:rPr>
            </w:pPr>
            <w:r>
              <w:rPr>
                <w:noProof/>
                <w:sz w:val="18"/>
              </w:rPr>
              <w:t>Commitments</w:t>
            </w:r>
          </w:p>
        </w:tc>
        <w:tc>
          <w:tcPr>
            <w:tcW w:w="702" w:type="dxa"/>
            <w:vAlign w:val="center"/>
          </w:tcPr>
          <w:p w14:paraId="596C4672" w14:textId="77777777" w:rsidR="00950C34" w:rsidRDefault="00950C34" w:rsidP="00FA7B33">
            <w:pPr>
              <w:spacing w:before="20" w:after="20"/>
              <w:jc w:val="center"/>
              <w:rPr>
                <w:noProof/>
                <w:sz w:val="14"/>
              </w:rPr>
            </w:pPr>
            <w:r>
              <w:rPr>
                <w:noProof/>
                <w:sz w:val="14"/>
              </w:rPr>
              <w:t>(1a)</w:t>
            </w:r>
          </w:p>
        </w:tc>
        <w:tc>
          <w:tcPr>
            <w:tcW w:w="1098" w:type="dxa"/>
            <w:gridSpan w:val="3"/>
            <w:vAlign w:val="center"/>
          </w:tcPr>
          <w:p w14:paraId="29D77A7A" w14:textId="77777777" w:rsidR="00950C34" w:rsidRPr="00C17B39" w:rsidRDefault="00950C34" w:rsidP="00FA7B33">
            <w:pPr>
              <w:spacing w:before="20" w:after="20"/>
              <w:jc w:val="right"/>
              <w:rPr>
                <w:noProof/>
                <w:sz w:val="18"/>
                <w:szCs w:val="18"/>
              </w:rPr>
            </w:pPr>
          </w:p>
        </w:tc>
        <w:tc>
          <w:tcPr>
            <w:tcW w:w="1134" w:type="dxa"/>
            <w:gridSpan w:val="2"/>
            <w:vAlign w:val="center"/>
          </w:tcPr>
          <w:p w14:paraId="4A8265D9" w14:textId="77777777" w:rsidR="00950C34" w:rsidRPr="00C17B39" w:rsidRDefault="00950C34" w:rsidP="00FA7B33">
            <w:pPr>
              <w:spacing w:before="20" w:after="20"/>
              <w:jc w:val="right"/>
              <w:rPr>
                <w:noProof/>
                <w:sz w:val="18"/>
                <w:szCs w:val="18"/>
              </w:rPr>
            </w:pPr>
          </w:p>
        </w:tc>
        <w:tc>
          <w:tcPr>
            <w:tcW w:w="1275" w:type="dxa"/>
            <w:gridSpan w:val="2"/>
            <w:vAlign w:val="center"/>
          </w:tcPr>
          <w:p w14:paraId="078A1345" w14:textId="77777777" w:rsidR="00950C34" w:rsidRPr="00C17B39" w:rsidRDefault="00950C34" w:rsidP="00FA7B33">
            <w:pPr>
              <w:spacing w:before="20" w:after="20"/>
              <w:jc w:val="right"/>
              <w:rPr>
                <w:noProof/>
                <w:sz w:val="18"/>
                <w:szCs w:val="18"/>
              </w:rPr>
            </w:pPr>
            <w:r>
              <w:rPr>
                <w:noProof/>
                <w:sz w:val="18"/>
                <w:szCs w:val="18"/>
              </w:rPr>
              <w:t>-</w:t>
            </w:r>
            <w:r w:rsidRPr="00C17B39">
              <w:rPr>
                <w:noProof/>
                <w:sz w:val="18"/>
                <w:szCs w:val="18"/>
              </w:rPr>
              <w:t>14,700</w:t>
            </w:r>
          </w:p>
        </w:tc>
        <w:tc>
          <w:tcPr>
            <w:tcW w:w="1232" w:type="dxa"/>
            <w:vAlign w:val="center"/>
          </w:tcPr>
          <w:p w14:paraId="571204F3" w14:textId="77777777" w:rsidR="00950C34" w:rsidRPr="00C17B39" w:rsidRDefault="00950C34" w:rsidP="00FA7B33">
            <w:pPr>
              <w:spacing w:before="20" w:after="20"/>
              <w:jc w:val="right"/>
              <w:rPr>
                <w:noProof/>
                <w:sz w:val="18"/>
                <w:szCs w:val="18"/>
              </w:rPr>
            </w:pPr>
            <w:r>
              <w:rPr>
                <w:noProof/>
                <w:sz w:val="18"/>
                <w:szCs w:val="18"/>
              </w:rPr>
              <w:t>-</w:t>
            </w:r>
            <w:r w:rsidRPr="00C17B39">
              <w:rPr>
                <w:noProof/>
                <w:sz w:val="18"/>
                <w:szCs w:val="18"/>
              </w:rPr>
              <w:t>44,200</w:t>
            </w:r>
          </w:p>
        </w:tc>
        <w:tc>
          <w:tcPr>
            <w:tcW w:w="1462" w:type="dxa"/>
            <w:gridSpan w:val="2"/>
            <w:vAlign w:val="center"/>
          </w:tcPr>
          <w:p w14:paraId="6954B1AC" w14:textId="77777777" w:rsidR="00950C34" w:rsidRPr="00C17B39" w:rsidRDefault="00950C34" w:rsidP="00FA7B33">
            <w:pPr>
              <w:spacing w:before="20" w:after="20"/>
              <w:jc w:val="right"/>
              <w:rPr>
                <w:b/>
                <w:noProof/>
                <w:sz w:val="18"/>
                <w:szCs w:val="18"/>
              </w:rPr>
            </w:pPr>
            <w:r>
              <w:rPr>
                <w:noProof/>
                <w:sz w:val="18"/>
                <w:szCs w:val="18"/>
              </w:rPr>
              <w:t>-</w:t>
            </w:r>
            <w:r w:rsidRPr="00C17B39">
              <w:rPr>
                <w:noProof/>
                <w:sz w:val="18"/>
                <w:szCs w:val="18"/>
              </w:rPr>
              <w:t>59,100</w:t>
            </w:r>
          </w:p>
        </w:tc>
        <w:tc>
          <w:tcPr>
            <w:tcW w:w="1842" w:type="dxa"/>
            <w:gridSpan w:val="2"/>
            <w:vAlign w:val="center"/>
          </w:tcPr>
          <w:p w14:paraId="7130F3B1" w14:textId="77777777" w:rsidR="00950C34" w:rsidRDefault="00950C34" w:rsidP="00FA7B33">
            <w:pPr>
              <w:spacing w:before="20" w:after="20"/>
              <w:jc w:val="center"/>
              <w:rPr>
                <w:b/>
                <w:bCs/>
                <w:noProof/>
                <w:sz w:val="20"/>
                <w:szCs w:val="20"/>
              </w:rPr>
            </w:pPr>
            <w:r>
              <w:rPr>
                <w:b/>
                <w:bCs/>
                <w:noProof/>
                <w:sz w:val="20"/>
                <w:szCs w:val="20"/>
              </w:rPr>
              <w:t>-118,000</w:t>
            </w:r>
          </w:p>
        </w:tc>
      </w:tr>
      <w:tr w:rsidR="00950C34" w14:paraId="64DC25DD" w14:textId="77777777" w:rsidTr="00FA7B33">
        <w:trPr>
          <w:trHeight w:val="519"/>
        </w:trPr>
        <w:tc>
          <w:tcPr>
            <w:tcW w:w="3745" w:type="dxa"/>
            <w:gridSpan w:val="2"/>
            <w:vAlign w:val="center"/>
          </w:tcPr>
          <w:p w14:paraId="21C352D3" w14:textId="77777777" w:rsidR="00950C34" w:rsidRPr="00C17B39" w:rsidRDefault="00950C34" w:rsidP="00FA7B33">
            <w:pPr>
              <w:rPr>
                <w:noProof/>
                <w:sz w:val="18"/>
                <w:szCs w:val="18"/>
              </w:rPr>
            </w:pPr>
            <w:r w:rsidRPr="00C17B39">
              <w:rPr>
                <w:noProof/>
                <w:sz w:val="18"/>
                <w:szCs w:val="18"/>
              </w:rPr>
              <w:t>01.020220 Cluster ‘Culture, Creativity and Inclusive Society’</w:t>
            </w:r>
          </w:p>
        </w:tc>
        <w:tc>
          <w:tcPr>
            <w:tcW w:w="1478" w:type="dxa"/>
            <w:vAlign w:val="center"/>
          </w:tcPr>
          <w:p w14:paraId="5D4D3767" w14:textId="77777777" w:rsidR="00950C34" w:rsidRDefault="00950C34" w:rsidP="00FA7B33">
            <w:pPr>
              <w:spacing w:before="20" w:after="20"/>
              <w:rPr>
                <w:noProof/>
                <w:sz w:val="18"/>
              </w:rPr>
            </w:pPr>
            <w:r>
              <w:rPr>
                <w:noProof/>
                <w:sz w:val="18"/>
              </w:rPr>
              <w:t>Commitments</w:t>
            </w:r>
          </w:p>
        </w:tc>
        <w:tc>
          <w:tcPr>
            <w:tcW w:w="702" w:type="dxa"/>
            <w:vAlign w:val="center"/>
          </w:tcPr>
          <w:p w14:paraId="76534095" w14:textId="77777777" w:rsidR="00950C34" w:rsidRDefault="00950C34" w:rsidP="00FA7B33">
            <w:pPr>
              <w:spacing w:before="20" w:after="20"/>
              <w:jc w:val="center"/>
              <w:rPr>
                <w:noProof/>
                <w:sz w:val="14"/>
              </w:rPr>
            </w:pPr>
            <w:r>
              <w:rPr>
                <w:noProof/>
                <w:sz w:val="14"/>
              </w:rPr>
              <w:t>(1a)</w:t>
            </w:r>
          </w:p>
        </w:tc>
        <w:tc>
          <w:tcPr>
            <w:tcW w:w="1098" w:type="dxa"/>
            <w:gridSpan w:val="3"/>
            <w:vAlign w:val="center"/>
          </w:tcPr>
          <w:p w14:paraId="72E18FFC" w14:textId="77777777" w:rsidR="00950C34" w:rsidRPr="00C17B39" w:rsidRDefault="00950C34" w:rsidP="00FA7B33">
            <w:pPr>
              <w:spacing w:before="20" w:after="20"/>
              <w:jc w:val="right"/>
              <w:rPr>
                <w:noProof/>
                <w:sz w:val="18"/>
                <w:szCs w:val="18"/>
              </w:rPr>
            </w:pPr>
          </w:p>
        </w:tc>
        <w:tc>
          <w:tcPr>
            <w:tcW w:w="1134" w:type="dxa"/>
            <w:gridSpan w:val="2"/>
            <w:vAlign w:val="center"/>
          </w:tcPr>
          <w:p w14:paraId="525D9A20" w14:textId="77777777" w:rsidR="00950C34" w:rsidRPr="00C17B39" w:rsidRDefault="00950C34" w:rsidP="00FA7B33">
            <w:pPr>
              <w:spacing w:before="20" w:after="20"/>
              <w:jc w:val="right"/>
              <w:rPr>
                <w:noProof/>
                <w:sz w:val="18"/>
                <w:szCs w:val="18"/>
              </w:rPr>
            </w:pPr>
          </w:p>
        </w:tc>
        <w:tc>
          <w:tcPr>
            <w:tcW w:w="1275" w:type="dxa"/>
            <w:gridSpan w:val="2"/>
            <w:vAlign w:val="center"/>
          </w:tcPr>
          <w:p w14:paraId="6BEEA6E6" w14:textId="77777777" w:rsidR="00950C34" w:rsidRPr="00C17B39" w:rsidRDefault="00950C34" w:rsidP="00FA7B33">
            <w:pPr>
              <w:spacing w:before="20" w:after="20"/>
              <w:jc w:val="right"/>
              <w:rPr>
                <w:noProof/>
                <w:sz w:val="18"/>
                <w:szCs w:val="18"/>
              </w:rPr>
            </w:pPr>
            <w:r>
              <w:rPr>
                <w:noProof/>
                <w:sz w:val="18"/>
                <w:szCs w:val="18"/>
              </w:rPr>
              <w:t>-</w:t>
            </w:r>
            <w:r w:rsidRPr="00C17B39">
              <w:rPr>
                <w:noProof/>
                <w:sz w:val="18"/>
                <w:szCs w:val="18"/>
              </w:rPr>
              <w:t>4,400</w:t>
            </w:r>
          </w:p>
        </w:tc>
        <w:tc>
          <w:tcPr>
            <w:tcW w:w="1232" w:type="dxa"/>
            <w:vAlign w:val="center"/>
          </w:tcPr>
          <w:p w14:paraId="3D85A743" w14:textId="77777777" w:rsidR="00950C34" w:rsidRPr="00C17B39" w:rsidRDefault="00950C34" w:rsidP="00FA7B33">
            <w:pPr>
              <w:spacing w:before="20" w:after="20"/>
              <w:jc w:val="right"/>
              <w:rPr>
                <w:noProof/>
                <w:sz w:val="18"/>
                <w:szCs w:val="18"/>
              </w:rPr>
            </w:pPr>
            <w:r>
              <w:rPr>
                <w:noProof/>
                <w:sz w:val="18"/>
                <w:szCs w:val="18"/>
              </w:rPr>
              <w:t>-</w:t>
            </w:r>
            <w:r w:rsidRPr="00C17B39">
              <w:rPr>
                <w:noProof/>
                <w:sz w:val="18"/>
                <w:szCs w:val="18"/>
              </w:rPr>
              <w:t>13,300</w:t>
            </w:r>
          </w:p>
        </w:tc>
        <w:tc>
          <w:tcPr>
            <w:tcW w:w="1462" w:type="dxa"/>
            <w:gridSpan w:val="2"/>
            <w:vAlign w:val="center"/>
          </w:tcPr>
          <w:p w14:paraId="4B6E89C9" w14:textId="77777777" w:rsidR="00950C34" w:rsidRPr="00C17B39" w:rsidRDefault="00950C34" w:rsidP="00FA7B33">
            <w:pPr>
              <w:spacing w:before="20" w:after="20"/>
              <w:jc w:val="right"/>
              <w:rPr>
                <w:b/>
                <w:noProof/>
                <w:sz w:val="18"/>
                <w:szCs w:val="18"/>
              </w:rPr>
            </w:pPr>
            <w:r>
              <w:rPr>
                <w:noProof/>
                <w:sz w:val="18"/>
                <w:szCs w:val="18"/>
              </w:rPr>
              <w:t>-</w:t>
            </w:r>
            <w:r w:rsidRPr="00C17B39">
              <w:rPr>
                <w:noProof/>
                <w:sz w:val="18"/>
                <w:szCs w:val="18"/>
              </w:rPr>
              <w:t>18,300</w:t>
            </w:r>
          </w:p>
        </w:tc>
        <w:tc>
          <w:tcPr>
            <w:tcW w:w="1842" w:type="dxa"/>
            <w:gridSpan w:val="2"/>
            <w:vAlign w:val="center"/>
          </w:tcPr>
          <w:p w14:paraId="6AA8B2B1" w14:textId="77777777" w:rsidR="00950C34" w:rsidRDefault="00950C34" w:rsidP="00FA7B33">
            <w:pPr>
              <w:spacing w:before="20" w:after="20"/>
              <w:jc w:val="center"/>
              <w:rPr>
                <w:b/>
                <w:bCs/>
                <w:noProof/>
                <w:sz w:val="20"/>
                <w:szCs w:val="20"/>
              </w:rPr>
            </w:pPr>
            <w:r>
              <w:rPr>
                <w:b/>
                <w:bCs/>
                <w:noProof/>
                <w:sz w:val="20"/>
                <w:szCs w:val="20"/>
              </w:rPr>
              <w:t>-36,000</w:t>
            </w:r>
          </w:p>
        </w:tc>
      </w:tr>
      <w:tr w:rsidR="00950C34" w14:paraId="4D29F0CC" w14:textId="77777777" w:rsidTr="00FA7B33">
        <w:trPr>
          <w:trHeight w:val="277"/>
        </w:trPr>
        <w:tc>
          <w:tcPr>
            <w:tcW w:w="3745" w:type="dxa"/>
            <w:gridSpan w:val="2"/>
            <w:vAlign w:val="center"/>
          </w:tcPr>
          <w:p w14:paraId="6CA568E6" w14:textId="77777777" w:rsidR="00950C34" w:rsidRPr="00C17B39" w:rsidRDefault="00950C34" w:rsidP="00FA7B33">
            <w:pPr>
              <w:rPr>
                <w:noProof/>
                <w:sz w:val="18"/>
                <w:szCs w:val="18"/>
              </w:rPr>
            </w:pPr>
            <w:r w:rsidRPr="00C17B39">
              <w:rPr>
                <w:noProof/>
                <w:sz w:val="18"/>
                <w:szCs w:val="18"/>
              </w:rPr>
              <w:t>01.020230 Cluster ‘Civil Security for Society’</w:t>
            </w:r>
          </w:p>
        </w:tc>
        <w:tc>
          <w:tcPr>
            <w:tcW w:w="1478" w:type="dxa"/>
            <w:vAlign w:val="center"/>
          </w:tcPr>
          <w:p w14:paraId="20B622B0" w14:textId="77777777" w:rsidR="00950C34" w:rsidRDefault="00950C34" w:rsidP="00FA7B33">
            <w:pPr>
              <w:spacing w:before="20" w:after="20"/>
              <w:rPr>
                <w:noProof/>
                <w:sz w:val="18"/>
              </w:rPr>
            </w:pPr>
            <w:r>
              <w:rPr>
                <w:noProof/>
                <w:sz w:val="18"/>
              </w:rPr>
              <w:t>Commitments</w:t>
            </w:r>
          </w:p>
        </w:tc>
        <w:tc>
          <w:tcPr>
            <w:tcW w:w="702" w:type="dxa"/>
            <w:vAlign w:val="center"/>
          </w:tcPr>
          <w:p w14:paraId="065D7968" w14:textId="77777777" w:rsidR="00950C34" w:rsidRDefault="00950C34" w:rsidP="00FA7B33">
            <w:pPr>
              <w:spacing w:before="20" w:after="20"/>
              <w:jc w:val="center"/>
              <w:rPr>
                <w:noProof/>
                <w:sz w:val="14"/>
              </w:rPr>
            </w:pPr>
            <w:r>
              <w:rPr>
                <w:noProof/>
                <w:sz w:val="14"/>
              </w:rPr>
              <w:t>(1a)</w:t>
            </w:r>
          </w:p>
        </w:tc>
        <w:tc>
          <w:tcPr>
            <w:tcW w:w="1098" w:type="dxa"/>
            <w:gridSpan w:val="3"/>
            <w:vAlign w:val="center"/>
          </w:tcPr>
          <w:p w14:paraId="4B07387D" w14:textId="77777777" w:rsidR="00950C34" w:rsidRPr="00C17B39" w:rsidRDefault="00950C34" w:rsidP="00FA7B33">
            <w:pPr>
              <w:spacing w:before="20" w:after="20"/>
              <w:jc w:val="right"/>
              <w:rPr>
                <w:noProof/>
                <w:sz w:val="18"/>
                <w:szCs w:val="18"/>
              </w:rPr>
            </w:pPr>
          </w:p>
        </w:tc>
        <w:tc>
          <w:tcPr>
            <w:tcW w:w="1134" w:type="dxa"/>
            <w:gridSpan w:val="2"/>
            <w:vAlign w:val="center"/>
          </w:tcPr>
          <w:p w14:paraId="6F0EE59B" w14:textId="77777777" w:rsidR="00950C34" w:rsidRPr="00C17B39" w:rsidRDefault="00950C34" w:rsidP="00FA7B33">
            <w:pPr>
              <w:spacing w:before="20" w:after="20"/>
              <w:jc w:val="right"/>
              <w:rPr>
                <w:noProof/>
                <w:sz w:val="18"/>
                <w:szCs w:val="18"/>
              </w:rPr>
            </w:pPr>
          </w:p>
        </w:tc>
        <w:tc>
          <w:tcPr>
            <w:tcW w:w="1275" w:type="dxa"/>
            <w:gridSpan w:val="2"/>
            <w:vAlign w:val="center"/>
          </w:tcPr>
          <w:p w14:paraId="298B4F1D" w14:textId="77777777" w:rsidR="00950C34" w:rsidRPr="00C17B39" w:rsidRDefault="00950C34" w:rsidP="00FA7B33">
            <w:pPr>
              <w:spacing w:before="20" w:after="20"/>
              <w:jc w:val="right"/>
              <w:rPr>
                <w:noProof/>
                <w:sz w:val="18"/>
                <w:szCs w:val="18"/>
              </w:rPr>
            </w:pPr>
            <w:r>
              <w:rPr>
                <w:noProof/>
                <w:sz w:val="18"/>
                <w:szCs w:val="18"/>
              </w:rPr>
              <w:t>-</w:t>
            </w:r>
            <w:r w:rsidRPr="00C17B39">
              <w:rPr>
                <w:noProof/>
                <w:sz w:val="18"/>
                <w:szCs w:val="18"/>
              </w:rPr>
              <w:t>3,300</w:t>
            </w:r>
          </w:p>
        </w:tc>
        <w:tc>
          <w:tcPr>
            <w:tcW w:w="1232" w:type="dxa"/>
            <w:vAlign w:val="center"/>
          </w:tcPr>
          <w:p w14:paraId="6066E346" w14:textId="77777777" w:rsidR="00950C34" w:rsidRPr="00C17B39" w:rsidRDefault="00950C34" w:rsidP="00FA7B33">
            <w:pPr>
              <w:spacing w:before="20" w:after="20"/>
              <w:jc w:val="right"/>
              <w:rPr>
                <w:noProof/>
                <w:sz w:val="18"/>
                <w:szCs w:val="18"/>
              </w:rPr>
            </w:pPr>
            <w:r>
              <w:rPr>
                <w:noProof/>
                <w:sz w:val="18"/>
                <w:szCs w:val="18"/>
              </w:rPr>
              <w:t>-</w:t>
            </w:r>
            <w:r w:rsidRPr="00C17B39">
              <w:rPr>
                <w:noProof/>
                <w:sz w:val="18"/>
                <w:szCs w:val="18"/>
              </w:rPr>
              <w:t>10,000</w:t>
            </w:r>
          </w:p>
        </w:tc>
        <w:tc>
          <w:tcPr>
            <w:tcW w:w="1462" w:type="dxa"/>
            <w:gridSpan w:val="2"/>
            <w:vAlign w:val="center"/>
          </w:tcPr>
          <w:p w14:paraId="6629E92A" w14:textId="77777777" w:rsidR="00950C34" w:rsidRPr="00C17B39" w:rsidRDefault="00950C34" w:rsidP="00FA7B33">
            <w:pPr>
              <w:spacing w:before="20" w:after="20"/>
              <w:jc w:val="right"/>
              <w:rPr>
                <w:b/>
                <w:noProof/>
                <w:sz w:val="18"/>
                <w:szCs w:val="18"/>
              </w:rPr>
            </w:pPr>
            <w:r>
              <w:rPr>
                <w:noProof/>
                <w:sz w:val="18"/>
                <w:szCs w:val="18"/>
              </w:rPr>
              <w:t>-</w:t>
            </w:r>
            <w:r w:rsidRPr="00C17B39">
              <w:rPr>
                <w:noProof/>
                <w:sz w:val="18"/>
                <w:szCs w:val="18"/>
              </w:rPr>
              <w:t>13,700</w:t>
            </w:r>
          </w:p>
        </w:tc>
        <w:tc>
          <w:tcPr>
            <w:tcW w:w="1842" w:type="dxa"/>
            <w:gridSpan w:val="2"/>
            <w:vAlign w:val="center"/>
          </w:tcPr>
          <w:p w14:paraId="70E2F04F" w14:textId="77777777" w:rsidR="00950C34" w:rsidRDefault="00950C34" w:rsidP="00FA7B33">
            <w:pPr>
              <w:spacing w:before="20" w:after="20"/>
              <w:jc w:val="center"/>
              <w:rPr>
                <w:b/>
                <w:bCs/>
                <w:noProof/>
                <w:sz w:val="20"/>
                <w:szCs w:val="20"/>
              </w:rPr>
            </w:pPr>
            <w:r>
              <w:rPr>
                <w:b/>
                <w:bCs/>
                <w:noProof/>
                <w:sz w:val="20"/>
                <w:szCs w:val="20"/>
              </w:rPr>
              <w:t>-27,000</w:t>
            </w:r>
          </w:p>
        </w:tc>
      </w:tr>
      <w:tr w:rsidR="00950C34" w14:paraId="7569D3C5" w14:textId="77777777" w:rsidTr="00FA7B33">
        <w:trPr>
          <w:trHeight w:val="277"/>
        </w:trPr>
        <w:tc>
          <w:tcPr>
            <w:tcW w:w="3745" w:type="dxa"/>
            <w:gridSpan w:val="2"/>
            <w:vAlign w:val="center"/>
          </w:tcPr>
          <w:p w14:paraId="5D07A3BD" w14:textId="77777777" w:rsidR="00950C34" w:rsidRPr="00C17B39" w:rsidRDefault="00950C34" w:rsidP="00FA7B33">
            <w:pPr>
              <w:rPr>
                <w:noProof/>
                <w:sz w:val="18"/>
                <w:szCs w:val="18"/>
              </w:rPr>
            </w:pPr>
            <w:r w:rsidRPr="00C17B39">
              <w:rPr>
                <w:noProof/>
                <w:sz w:val="18"/>
                <w:szCs w:val="18"/>
              </w:rPr>
              <w:t>01.020240 Cluster ‘Digital, Industry and Space’</w:t>
            </w:r>
          </w:p>
        </w:tc>
        <w:tc>
          <w:tcPr>
            <w:tcW w:w="1478" w:type="dxa"/>
            <w:vAlign w:val="center"/>
          </w:tcPr>
          <w:p w14:paraId="09217D81" w14:textId="77777777" w:rsidR="00950C34" w:rsidRDefault="00950C34" w:rsidP="00FA7B33">
            <w:pPr>
              <w:spacing w:before="20" w:after="20"/>
              <w:rPr>
                <w:noProof/>
                <w:sz w:val="18"/>
              </w:rPr>
            </w:pPr>
            <w:r>
              <w:rPr>
                <w:noProof/>
                <w:sz w:val="18"/>
              </w:rPr>
              <w:t>Commitments</w:t>
            </w:r>
          </w:p>
        </w:tc>
        <w:tc>
          <w:tcPr>
            <w:tcW w:w="702" w:type="dxa"/>
            <w:vAlign w:val="center"/>
          </w:tcPr>
          <w:p w14:paraId="64D86A4B" w14:textId="77777777" w:rsidR="00950C34" w:rsidRDefault="00950C34" w:rsidP="00FA7B33">
            <w:pPr>
              <w:spacing w:before="20" w:after="20"/>
              <w:jc w:val="center"/>
              <w:rPr>
                <w:noProof/>
                <w:sz w:val="14"/>
              </w:rPr>
            </w:pPr>
            <w:r>
              <w:rPr>
                <w:noProof/>
                <w:sz w:val="14"/>
              </w:rPr>
              <w:t>(1a)</w:t>
            </w:r>
          </w:p>
        </w:tc>
        <w:tc>
          <w:tcPr>
            <w:tcW w:w="1098" w:type="dxa"/>
            <w:gridSpan w:val="3"/>
            <w:vAlign w:val="center"/>
          </w:tcPr>
          <w:p w14:paraId="5D72B46F" w14:textId="77777777" w:rsidR="00950C34" w:rsidRPr="00C17B39" w:rsidRDefault="00950C34" w:rsidP="00FA7B33">
            <w:pPr>
              <w:spacing w:before="20" w:after="20"/>
              <w:jc w:val="right"/>
              <w:rPr>
                <w:noProof/>
                <w:sz w:val="18"/>
                <w:szCs w:val="18"/>
              </w:rPr>
            </w:pPr>
          </w:p>
        </w:tc>
        <w:tc>
          <w:tcPr>
            <w:tcW w:w="1134" w:type="dxa"/>
            <w:gridSpan w:val="2"/>
            <w:vAlign w:val="center"/>
          </w:tcPr>
          <w:p w14:paraId="1480E377" w14:textId="77777777" w:rsidR="00950C34" w:rsidRPr="00C17B39" w:rsidRDefault="00950C34" w:rsidP="00FA7B33">
            <w:pPr>
              <w:spacing w:before="20" w:after="20"/>
              <w:jc w:val="right"/>
              <w:rPr>
                <w:noProof/>
                <w:sz w:val="18"/>
                <w:szCs w:val="18"/>
              </w:rPr>
            </w:pPr>
          </w:p>
        </w:tc>
        <w:tc>
          <w:tcPr>
            <w:tcW w:w="1275" w:type="dxa"/>
            <w:gridSpan w:val="2"/>
            <w:vAlign w:val="center"/>
          </w:tcPr>
          <w:p w14:paraId="2FA2F73E" w14:textId="77777777" w:rsidR="00950C34" w:rsidRPr="00C17B39" w:rsidRDefault="00950C34" w:rsidP="00FA7B33">
            <w:pPr>
              <w:spacing w:before="20" w:after="20"/>
              <w:jc w:val="right"/>
              <w:rPr>
                <w:noProof/>
                <w:sz w:val="18"/>
                <w:szCs w:val="18"/>
              </w:rPr>
            </w:pPr>
            <w:r>
              <w:rPr>
                <w:noProof/>
                <w:sz w:val="18"/>
                <w:szCs w:val="18"/>
              </w:rPr>
              <w:t>-</w:t>
            </w:r>
            <w:r w:rsidRPr="00C17B39">
              <w:rPr>
                <w:noProof/>
                <w:sz w:val="18"/>
                <w:szCs w:val="18"/>
              </w:rPr>
              <w:t>29,200</w:t>
            </w:r>
          </w:p>
        </w:tc>
        <w:tc>
          <w:tcPr>
            <w:tcW w:w="1232" w:type="dxa"/>
            <w:vAlign w:val="center"/>
          </w:tcPr>
          <w:p w14:paraId="19F3C30B" w14:textId="77777777" w:rsidR="00950C34" w:rsidRPr="00C17B39" w:rsidRDefault="00950C34" w:rsidP="00FA7B33">
            <w:pPr>
              <w:spacing w:before="20" w:after="20"/>
              <w:jc w:val="right"/>
              <w:rPr>
                <w:noProof/>
                <w:sz w:val="18"/>
                <w:szCs w:val="18"/>
              </w:rPr>
            </w:pPr>
            <w:r>
              <w:rPr>
                <w:noProof/>
                <w:sz w:val="18"/>
                <w:szCs w:val="18"/>
              </w:rPr>
              <w:t>-</w:t>
            </w:r>
            <w:r w:rsidRPr="00C17B39">
              <w:rPr>
                <w:noProof/>
                <w:sz w:val="18"/>
                <w:szCs w:val="18"/>
              </w:rPr>
              <w:t>87,500</w:t>
            </w:r>
          </w:p>
        </w:tc>
        <w:tc>
          <w:tcPr>
            <w:tcW w:w="1462" w:type="dxa"/>
            <w:gridSpan w:val="2"/>
            <w:vAlign w:val="center"/>
          </w:tcPr>
          <w:p w14:paraId="378E3558" w14:textId="77777777" w:rsidR="00950C34" w:rsidRPr="00C17B39" w:rsidRDefault="00950C34" w:rsidP="00FA7B33">
            <w:pPr>
              <w:spacing w:before="20" w:after="20"/>
              <w:jc w:val="right"/>
              <w:rPr>
                <w:b/>
                <w:noProof/>
                <w:sz w:val="18"/>
                <w:szCs w:val="18"/>
              </w:rPr>
            </w:pPr>
            <w:r>
              <w:rPr>
                <w:noProof/>
                <w:sz w:val="18"/>
                <w:szCs w:val="18"/>
              </w:rPr>
              <w:t>-</w:t>
            </w:r>
            <w:r w:rsidRPr="00C17B39">
              <w:rPr>
                <w:noProof/>
                <w:sz w:val="18"/>
                <w:szCs w:val="18"/>
              </w:rPr>
              <w:t>116,300</w:t>
            </w:r>
          </w:p>
        </w:tc>
        <w:tc>
          <w:tcPr>
            <w:tcW w:w="1842" w:type="dxa"/>
            <w:gridSpan w:val="2"/>
            <w:vAlign w:val="center"/>
          </w:tcPr>
          <w:p w14:paraId="65A13B39" w14:textId="77777777" w:rsidR="00950C34" w:rsidRDefault="00950C34" w:rsidP="00FA7B33">
            <w:pPr>
              <w:spacing w:before="20" w:after="20"/>
              <w:jc w:val="center"/>
              <w:rPr>
                <w:b/>
                <w:bCs/>
                <w:noProof/>
                <w:sz w:val="20"/>
                <w:szCs w:val="20"/>
              </w:rPr>
            </w:pPr>
            <w:r>
              <w:rPr>
                <w:b/>
                <w:bCs/>
                <w:noProof/>
                <w:sz w:val="20"/>
                <w:szCs w:val="20"/>
              </w:rPr>
              <w:t>-233,000</w:t>
            </w:r>
          </w:p>
        </w:tc>
      </w:tr>
      <w:tr w:rsidR="00950C34" w14:paraId="00FF9101" w14:textId="77777777" w:rsidTr="00FA7B33">
        <w:trPr>
          <w:trHeight w:val="277"/>
        </w:trPr>
        <w:tc>
          <w:tcPr>
            <w:tcW w:w="3745" w:type="dxa"/>
            <w:gridSpan w:val="2"/>
            <w:vAlign w:val="center"/>
          </w:tcPr>
          <w:p w14:paraId="77EE1324" w14:textId="77777777" w:rsidR="00950C34" w:rsidRPr="00C17B39" w:rsidRDefault="00950C34" w:rsidP="00FA7B33">
            <w:pPr>
              <w:rPr>
                <w:noProof/>
                <w:sz w:val="18"/>
                <w:szCs w:val="18"/>
              </w:rPr>
            </w:pPr>
            <w:r w:rsidRPr="00C17B39">
              <w:rPr>
                <w:noProof/>
                <w:sz w:val="18"/>
                <w:szCs w:val="18"/>
              </w:rPr>
              <w:t>01.020250 Cluster ‘Climate, Energy and Mobility’</w:t>
            </w:r>
          </w:p>
        </w:tc>
        <w:tc>
          <w:tcPr>
            <w:tcW w:w="1478" w:type="dxa"/>
            <w:vAlign w:val="center"/>
          </w:tcPr>
          <w:p w14:paraId="03613F8C" w14:textId="77777777" w:rsidR="00950C34" w:rsidRDefault="00950C34" w:rsidP="00FA7B33">
            <w:pPr>
              <w:spacing w:before="20" w:after="20"/>
              <w:rPr>
                <w:noProof/>
                <w:sz w:val="18"/>
              </w:rPr>
            </w:pPr>
            <w:r>
              <w:rPr>
                <w:noProof/>
                <w:sz w:val="18"/>
              </w:rPr>
              <w:t>Commitments</w:t>
            </w:r>
          </w:p>
        </w:tc>
        <w:tc>
          <w:tcPr>
            <w:tcW w:w="702" w:type="dxa"/>
            <w:vAlign w:val="center"/>
          </w:tcPr>
          <w:p w14:paraId="44CF8DE3" w14:textId="77777777" w:rsidR="00950C34" w:rsidRDefault="00950C34" w:rsidP="00FA7B33">
            <w:pPr>
              <w:spacing w:before="20" w:after="20"/>
              <w:jc w:val="center"/>
              <w:rPr>
                <w:noProof/>
                <w:sz w:val="14"/>
              </w:rPr>
            </w:pPr>
            <w:r>
              <w:rPr>
                <w:noProof/>
                <w:sz w:val="14"/>
              </w:rPr>
              <w:t>(1a)</w:t>
            </w:r>
          </w:p>
        </w:tc>
        <w:tc>
          <w:tcPr>
            <w:tcW w:w="1098" w:type="dxa"/>
            <w:gridSpan w:val="3"/>
            <w:vAlign w:val="center"/>
          </w:tcPr>
          <w:p w14:paraId="698327DC" w14:textId="77777777" w:rsidR="00950C34" w:rsidRPr="00C17B39" w:rsidRDefault="00950C34" w:rsidP="00FA7B33">
            <w:pPr>
              <w:spacing w:before="20" w:after="20"/>
              <w:jc w:val="right"/>
              <w:rPr>
                <w:noProof/>
                <w:sz w:val="18"/>
                <w:szCs w:val="18"/>
              </w:rPr>
            </w:pPr>
          </w:p>
        </w:tc>
        <w:tc>
          <w:tcPr>
            <w:tcW w:w="1134" w:type="dxa"/>
            <w:gridSpan w:val="2"/>
            <w:vAlign w:val="center"/>
          </w:tcPr>
          <w:p w14:paraId="679D206D" w14:textId="77777777" w:rsidR="00950C34" w:rsidRPr="00C17B39" w:rsidRDefault="00950C34" w:rsidP="00FA7B33">
            <w:pPr>
              <w:spacing w:before="20" w:after="20"/>
              <w:jc w:val="right"/>
              <w:rPr>
                <w:noProof/>
                <w:sz w:val="18"/>
                <w:szCs w:val="18"/>
              </w:rPr>
            </w:pPr>
          </w:p>
        </w:tc>
        <w:tc>
          <w:tcPr>
            <w:tcW w:w="1275" w:type="dxa"/>
            <w:gridSpan w:val="2"/>
            <w:vAlign w:val="center"/>
          </w:tcPr>
          <w:p w14:paraId="11F1D8F5" w14:textId="77777777" w:rsidR="00950C34" w:rsidRPr="00C17B39" w:rsidRDefault="00950C34" w:rsidP="00FA7B33">
            <w:pPr>
              <w:spacing w:before="20" w:after="20"/>
              <w:jc w:val="right"/>
              <w:rPr>
                <w:noProof/>
                <w:sz w:val="18"/>
                <w:szCs w:val="18"/>
              </w:rPr>
            </w:pPr>
            <w:r>
              <w:rPr>
                <w:noProof/>
                <w:sz w:val="18"/>
                <w:szCs w:val="18"/>
              </w:rPr>
              <w:t>-</w:t>
            </w:r>
            <w:r w:rsidRPr="00C17B39">
              <w:rPr>
                <w:noProof/>
                <w:sz w:val="18"/>
                <w:szCs w:val="18"/>
              </w:rPr>
              <w:t>29,200</w:t>
            </w:r>
          </w:p>
        </w:tc>
        <w:tc>
          <w:tcPr>
            <w:tcW w:w="1232" w:type="dxa"/>
            <w:vAlign w:val="center"/>
          </w:tcPr>
          <w:p w14:paraId="061CDCF0" w14:textId="77777777" w:rsidR="00950C34" w:rsidRPr="00C17B39" w:rsidRDefault="00950C34" w:rsidP="00FA7B33">
            <w:pPr>
              <w:spacing w:before="20" w:after="20"/>
              <w:jc w:val="right"/>
              <w:rPr>
                <w:noProof/>
                <w:sz w:val="18"/>
                <w:szCs w:val="18"/>
              </w:rPr>
            </w:pPr>
            <w:r>
              <w:rPr>
                <w:noProof/>
                <w:sz w:val="18"/>
                <w:szCs w:val="18"/>
              </w:rPr>
              <w:t>-</w:t>
            </w:r>
            <w:r w:rsidRPr="00C17B39">
              <w:rPr>
                <w:noProof/>
                <w:sz w:val="18"/>
                <w:szCs w:val="18"/>
              </w:rPr>
              <w:t>87,500</w:t>
            </w:r>
          </w:p>
        </w:tc>
        <w:tc>
          <w:tcPr>
            <w:tcW w:w="1462" w:type="dxa"/>
            <w:gridSpan w:val="2"/>
            <w:vAlign w:val="center"/>
          </w:tcPr>
          <w:p w14:paraId="1C54A3EE" w14:textId="77777777" w:rsidR="00950C34" w:rsidRPr="00C17B39" w:rsidRDefault="00950C34" w:rsidP="00FA7B33">
            <w:pPr>
              <w:spacing w:before="20" w:after="20"/>
              <w:jc w:val="right"/>
              <w:rPr>
                <w:b/>
                <w:noProof/>
                <w:sz w:val="18"/>
                <w:szCs w:val="18"/>
              </w:rPr>
            </w:pPr>
            <w:r>
              <w:rPr>
                <w:noProof/>
                <w:sz w:val="18"/>
                <w:szCs w:val="18"/>
              </w:rPr>
              <w:t>-</w:t>
            </w:r>
            <w:r w:rsidRPr="00C17B39">
              <w:rPr>
                <w:noProof/>
                <w:sz w:val="18"/>
                <w:szCs w:val="18"/>
              </w:rPr>
              <w:t>116,300</w:t>
            </w:r>
          </w:p>
        </w:tc>
        <w:tc>
          <w:tcPr>
            <w:tcW w:w="1842" w:type="dxa"/>
            <w:gridSpan w:val="2"/>
            <w:vAlign w:val="center"/>
          </w:tcPr>
          <w:p w14:paraId="76219289" w14:textId="77777777" w:rsidR="00950C34" w:rsidRDefault="00950C34" w:rsidP="00FA7B33">
            <w:pPr>
              <w:spacing w:before="20" w:after="20"/>
              <w:jc w:val="center"/>
              <w:rPr>
                <w:b/>
                <w:bCs/>
                <w:noProof/>
                <w:sz w:val="20"/>
                <w:szCs w:val="20"/>
              </w:rPr>
            </w:pPr>
            <w:r>
              <w:rPr>
                <w:b/>
                <w:bCs/>
                <w:noProof/>
                <w:sz w:val="20"/>
                <w:szCs w:val="20"/>
              </w:rPr>
              <w:t>-233,000</w:t>
            </w:r>
          </w:p>
        </w:tc>
      </w:tr>
      <w:tr w:rsidR="00950C34" w14:paraId="24817262" w14:textId="77777777" w:rsidTr="00FA7B33">
        <w:trPr>
          <w:trHeight w:val="277"/>
        </w:trPr>
        <w:tc>
          <w:tcPr>
            <w:tcW w:w="3745" w:type="dxa"/>
            <w:gridSpan w:val="2"/>
            <w:vAlign w:val="center"/>
          </w:tcPr>
          <w:p w14:paraId="676A70F5" w14:textId="77777777" w:rsidR="00950C34" w:rsidRPr="00C17B39" w:rsidRDefault="00950C34" w:rsidP="00FA7B33">
            <w:pPr>
              <w:rPr>
                <w:noProof/>
                <w:sz w:val="18"/>
                <w:szCs w:val="18"/>
              </w:rPr>
            </w:pPr>
            <w:r w:rsidRPr="00C17B39">
              <w:rPr>
                <w:noProof/>
                <w:sz w:val="18"/>
                <w:szCs w:val="18"/>
              </w:rPr>
              <w:t>01.020260 Cluster ‘Food, Bioeconomy, Natural Resources, Agriculture and Environment’</w:t>
            </w:r>
          </w:p>
        </w:tc>
        <w:tc>
          <w:tcPr>
            <w:tcW w:w="1478" w:type="dxa"/>
            <w:vAlign w:val="center"/>
          </w:tcPr>
          <w:p w14:paraId="797C5D8A" w14:textId="77777777" w:rsidR="00950C34" w:rsidRDefault="00950C34" w:rsidP="00FA7B33">
            <w:pPr>
              <w:spacing w:before="20" w:after="20"/>
              <w:rPr>
                <w:noProof/>
                <w:sz w:val="18"/>
              </w:rPr>
            </w:pPr>
            <w:r>
              <w:rPr>
                <w:noProof/>
                <w:sz w:val="18"/>
              </w:rPr>
              <w:t>Commitments</w:t>
            </w:r>
          </w:p>
        </w:tc>
        <w:tc>
          <w:tcPr>
            <w:tcW w:w="702" w:type="dxa"/>
            <w:vAlign w:val="center"/>
          </w:tcPr>
          <w:p w14:paraId="331D6A13" w14:textId="77777777" w:rsidR="00950C34" w:rsidRDefault="00950C34" w:rsidP="00FA7B33">
            <w:pPr>
              <w:spacing w:before="20" w:after="20"/>
              <w:jc w:val="center"/>
              <w:rPr>
                <w:noProof/>
                <w:sz w:val="14"/>
              </w:rPr>
            </w:pPr>
            <w:r>
              <w:rPr>
                <w:noProof/>
                <w:sz w:val="14"/>
              </w:rPr>
              <w:t>(1a)</w:t>
            </w:r>
          </w:p>
        </w:tc>
        <w:tc>
          <w:tcPr>
            <w:tcW w:w="1098" w:type="dxa"/>
            <w:gridSpan w:val="3"/>
            <w:vAlign w:val="center"/>
          </w:tcPr>
          <w:p w14:paraId="0A7B26F5" w14:textId="77777777" w:rsidR="00950C34" w:rsidRPr="00C17B39" w:rsidRDefault="00950C34" w:rsidP="00FA7B33">
            <w:pPr>
              <w:spacing w:before="20" w:after="20"/>
              <w:jc w:val="right"/>
              <w:rPr>
                <w:noProof/>
                <w:sz w:val="18"/>
                <w:szCs w:val="18"/>
              </w:rPr>
            </w:pPr>
          </w:p>
        </w:tc>
        <w:tc>
          <w:tcPr>
            <w:tcW w:w="1134" w:type="dxa"/>
            <w:gridSpan w:val="2"/>
            <w:vAlign w:val="center"/>
          </w:tcPr>
          <w:p w14:paraId="3192467E" w14:textId="77777777" w:rsidR="00950C34" w:rsidRPr="00C17B39" w:rsidRDefault="00950C34" w:rsidP="00FA7B33">
            <w:pPr>
              <w:spacing w:before="20" w:after="20"/>
              <w:jc w:val="right"/>
              <w:rPr>
                <w:noProof/>
                <w:sz w:val="18"/>
                <w:szCs w:val="18"/>
              </w:rPr>
            </w:pPr>
          </w:p>
        </w:tc>
        <w:tc>
          <w:tcPr>
            <w:tcW w:w="1275" w:type="dxa"/>
            <w:gridSpan w:val="2"/>
            <w:vAlign w:val="center"/>
          </w:tcPr>
          <w:p w14:paraId="53A7202C" w14:textId="77777777" w:rsidR="00950C34" w:rsidRPr="00C17B39" w:rsidRDefault="00950C34" w:rsidP="00FA7B33">
            <w:pPr>
              <w:spacing w:before="20" w:after="20"/>
              <w:jc w:val="right"/>
              <w:rPr>
                <w:noProof/>
                <w:sz w:val="18"/>
                <w:szCs w:val="18"/>
              </w:rPr>
            </w:pPr>
            <w:r>
              <w:rPr>
                <w:noProof/>
                <w:sz w:val="18"/>
                <w:szCs w:val="18"/>
              </w:rPr>
              <w:t>-</w:t>
            </w:r>
            <w:r w:rsidRPr="00C17B39">
              <w:rPr>
                <w:noProof/>
                <w:sz w:val="18"/>
                <w:szCs w:val="18"/>
              </w:rPr>
              <w:t>19,200</w:t>
            </w:r>
          </w:p>
        </w:tc>
        <w:tc>
          <w:tcPr>
            <w:tcW w:w="1232" w:type="dxa"/>
            <w:vAlign w:val="center"/>
          </w:tcPr>
          <w:p w14:paraId="4D8A0E00" w14:textId="77777777" w:rsidR="00950C34" w:rsidRPr="00C17B39" w:rsidRDefault="00950C34" w:rsidP="00FA7B33">
            <w:pPr>
              <w:spacing w:before="20" w:after="20"/>
              <w:jc w:val="right"/>
              <w:rPr>
                <w:noProof/>
                <w:sz w:val="18"/>
                <w:szCs w:val="18"/>
              </w:rPr>
            </w:pPr>
            <w:r>
              <w:rPr>
                <w:noProof/>
                <w:sz w:val="18"/>
                <w:szCs w:val="18"/>
              </w:rPr>
              <w:t>-</w:t>
            </w:r>
            <w:r w:rsidRPr="00C17B39">
              <w:rPr>
                <w:noProof/>
                <w:sz w:val="18"/>
                <w:szCs w:val="18"/>
              </w:rPr>
              <w:t>57,500</w:t>
            </w:r>
          </w:p>
        </w:tc>
        <w:tc>
          <w:tcPr>
            <w:tcW w:w="1462" w:type="dxa"/>
            <w:gridSpan w:val="2"/>
            <w:vAlign w:val="center"/>
          </w:tcPr>
          <w:p w14:paraId="444803EB" w14:textId="77777777" w:rsidR="00950C34" w:rsidRPr="00C17B39" w:rsidRDefault="00950C34" w:rsidP="00FA7B33">
            <w:pPr>
              <w:spacing w:before="20" w:after="20"/>
              <w:jc w:val="right"/>
              <w:rPr>
                <w:b/>
                <w:noProof/>
                <w:sz w:val="18"/>
                <w:szCs w:val="18"/>
              </w:rPr>
            </w:pPr>
            <w:r>
              <w:rPr>
                <w:noProof/>
                <w:sz w:val="18"/>
                <w:szCs w:val="18"/>
              </w:rPr>
              <w:t>-</w:t>
            </w:r>
            <w:r w:rsidRPr="00C17B39">
              <w:rPr>
                <w:noProof/>
                <w:sz w:val="18"/>
                <w:szCs w:val="18"/>
              </w:rPr>
              <w:t>76,300</w:t>
            </w:r>
          </w:p>
        </w:tc>
        <w:tc>
          <w:tcPr>
            <w:tcW w:w="1842" w:type="dxa"/>
            <w:gridSpan w:val="2"/>
            <w:vAlign w:val="center"/>
          </w:tcPr>
          <w:p w14:paraId="19CB3A1F" w14:textId="77777777" w:rsidR="00950C34" w:rsidRDefault="00950C34" w:rsidP="00FA7B33">
            <w:pPr>
              <w:spacing w:before="20" w:after="20"/>
              <w:jc w:val="center"/>
              <w:rPr>
                <w:b/>
                <w:bCs/>
                <w:noProof/>
                <w:sz w:val="20"/>
                <w:szCs w:val="20"/>
              </w:rPr>
            </w:pPr>
            <w:r>
              <w:rPr>
                <w:b/>
                <w:bCs/>
                <w:noProof/>
                <w:sz w:val="20"/>
                <w:szCs w:val="20"/>
              </w:rPr>
              <w:t>-153,000</w:t>
            </w:r>
          </w:p>
        </w:tc>
      </w:tr>
      <w:tr w:rsidR="00950C34" w14:paraId="2443C3C4" w14:textId="77777777" w:rsidTr="00FA7B33">
        <w:trPr>
          <w:trHeight w:val="277"/>
        </w:trPr>
        <w:tc>
          <w:tcPr>
            <w:tcW w:w="3745" w:type="dxa"/>
            <w:gridSpan w:val="2"/>
            <w:vAlign w:val="center"/>
          </w:tcPr>
          <w:p w14:paraId="150DD925" w14:textId="77777777" w:rsidR="00950C34" w:rsidRPr="00432B85" w:rsidRDefault="00950C34" w:rsidP="00FA7B33">
            <w:pPr>
              <w:rPr>
                <w:noProof/>
                <w:sz w:val="18"/>
                <w:szCs w:val="18"/>
              </w:rPr>
            </w:pPr>
            <w:r w:rsidRPr="00706583">
              <w:rPr>
                <w:noProof/>
                <w:sz w:val="18"/>
                <w:szCs w:val="18"/>
              </w:rPr>
              <w:t>01.020301 European Innovation Council</w:t>
            </w:r>
          </w:p>
        </w:tc>
        <w:tc>
          <w:tcPr>
            <w:tcW w:w="1478" w:type="dxa"/>
            <w:vAlign w:val="center"/>
          </w:tcPr>
          <w:p w14:paraId="4F50151E" w14:textId="77777777" w:rsidR="00950C34" w:rsidRDefault="00950C34" w:rsidP="00FA7B33">
            <w:pPr>
              <w:spacing w:before="20" w:after="20"/>
              <w:rPr>
                <w:noProof/>
                <w:sz w:val="18"/>
              </w:rPr>
            </w:pPr>
            <w:r>
              <w:rPr>
                <w:noProof/>
                <w:sz w:val="18"/>
              </w:rPr>
              <w:t>Commitments</w:t>
            </w:r>
          </w:p>
        </w:tc>
        <w:tc>
          <w:tcPr>
            <w:tcW w:w="702" w:type="dxa"/>
            <w:vAlign w:val="center"/>
          </w:tcPr>
          <w:p w14:paraId="4E46EDF9" w14:textId="77777777" w:rsidR="00950C34" w:rsidRDefault="00950C34" w:rsidP="00FA7B33">
            <w:pPr>
              <w:spacing w:before="20" w:after="20"/>
              <w:jc w:val="center"/>
              <w:rPr>
                <w:noProof/>
                <w:sz w:val="14"/>
              </w:rPr>
            </w:pPr>
            <w:r>
              <w:rPr>
                <w:noProof/>
                <w:sz w:val="14"/>
              </w:rPr>
              <w:t>(1a)</w:t>
            </w:r>
          </w:p>
        </w:tc>
        <w:tc>
          <w:tcPr>
            <w:tcW w:w="1098" w:type="dxa"/>
            <w:gridSpan w:val="3"/>
            <w:vAlign w:val="center"/>
          </w:tcPr>
          <w:p w14:paraId="12244DA4" w14:textId="77777777" w:rsidR="00950C34" w:rsidRPr="00C17B39" w:rsidRDefault="00950C34" w:rsidP="00FA7B33">
            <w:pPr>
              <w:spacing w:before="20" w:after="20"/>
              <w:jc w:val="right"/>
              <w:rPr>
                <w:noProof/>
                <w:sz w:val="18"/>
                <w:szCs w:val="18"/>
              </w:rPr>
            </w:pPr>
          </w:p>
        </w:tc>
        <w:tc>
          <w:tcPr>
            <w:tcW w:w="1134" w:type="dxa"/>
            <w:gridSpan w:val="2"/>
            <w:vAlign w:val="center"/>
          </w:tcPr>
          <w:p w14:paraId="15C33A70" w14:textId="77777777" w:rsidR="00950C34" w:rsidRPr="00C17B39" w:rsidRDefault="00950C34" w:rsidP="00FA7B33">
            <w:pPr>
              <w:spacing w:before="20" w:after="20"/>
              <w:jc w:val="right"/>
              <w:rPr>
                <w:noProof/>
                <w:sz w:val="18"/>
                <w:szCs w:val="18"/>
              </w:rPr>
            </w:pPr>
          </w:p>
        </w:tc>
        <w:tc>
          <w:tcPr>
            <w:tcW w:w="1275" w:type="dxa"/>
            <w:gridSpan w:val="2"/>
            <w:vAlign w:val="center"/>
          </w:tcPr>
          <w:p w14:paraId="7DA59474" w14:textId="77777777" w:rsidR="00950C34" w:rsidRPr="00C17B39" w:rsidRDefault="00950C34" w:rsidP="00FA7B33">
            <w:pPr>
              <w:spacing w:before="20" w:after="20"/>
              <w:jc w:val="right"/>
              <w:rPr>
                <w:noProof/>
                <w:sz w:val="18"/>
                <w:szCs w:val="18"/>
              </w:rPr>
            </w:pPr>
            <w:r>
              <w:rPr>
                <w:noProof/>
                <w:sz w:val="18"/>
                <w:szCs w:val="18"/>
              </w:rPr>
              <w:t>100,000</w:t>
            </w:r>
          </w:p>
        </w:tc>
        <w:tc>
          <w:tcPr>
            <w:tcW w:w="1232" w:type="dxa"/>
            <w:vAlign w:val="center"/>
          </w:tcPr>
          <w:p w14:paraId="543D2811" w14:textId="77777777" w:rsidR="00950C34" w:rsidRPr="00C17B39" w:rsidRDefault="00950C34" w:rsidP="00FA7B33">
            <w:pPr>
              <w:spacing w:before="20" w:after="20"/>
              <w:jc w:val="right"/>
              <w:rPr>
                <w:noProof/>
                <w:sz w:val="18"/>
                <w:szCs w:val="18"/>
              </w:rPr>
            </w:pPr>
            <w:r>
              <w:rPr>
                <w:noProof/>
                <w:sz w:val="18"/>
                <w:szCs w:val="18"/>
              </w:rPr>
              <w:t>300,000</w:t>
            </w:r>
          </w:p>
        </w:tc>
        <w:tc>
          <w:tcPr>
            <w:tcW w:w="1462" w:type="dxa"/>
            <w:gridSpan w:val="2"/>
            <w:vAlign w:val="center"/>
          </w:tcPr>
          <w:p w14:paraId="4936ECD1" w14:textId="77777777" w:rsidR="00950C34" w:rsidRPr="00BE6076" w:rsidRDefault="00950C34" w:rsidP="00FA7B33">
            <w:pPr>
              <w:spacing w:before="20" w:after="20"/>
              <w:jc w:val="right"/>
              <w:rPr>
                <w:noProof/>
                <w:sz w:val="18"/>
                <w:szCs w:val="18"/>
              </w:rPr>
            </w:pPr>
            <w:r>
              <w:rPr>
                <w:noProof/>
                <w:sz w:val="18"/>
                <w:szCs w:val="18"/>
              </w:rPr>
              <w:t>400,000</w:t>
            </w:r>
          </w:p>
        </w:tc>
        <w:tc>
          <w:tcPr>
            <w:tcW w:w="1842" w:type="dxa"/>
            <w:gridSpan w:val="2"/>
            <w:vAlign w:val="center"/>
          </w:tcPr>
          <w:p w14:paraId="5B27E331" w14:textId="77777777" w:rsidR="00950C34" w:rsidRDefault="00950C34" w:rsidP="00FA7B33">
            <w:pPr>
              <w:spacing w:before="20" w:after="20"/>
              <w:jc w:val="center"/>
              <w:rPr>
                <w:b/>
                <w:bCs/>
                <w:noProof/>
                <w:sz w:val="20"/>
                <w:szCs w:val="20"/>
              </w:rPr>
            </w:pPr>
            <w:r>
              <w:rPr>
                <w:b/>
                <w:bCs/>
                <w:noProof/>
                <w:sz w:val="20"/>
                <w:szCs w:val="20"/>
              </w:rPr>
              <w:t>800,000</w:t>
            </w:r>
          </w:p>
        </w:tc>
      </w:tr>
      <w:tr w:rsidR="00950C34" w14:paraId="3862C60F" w14:textId="77777777" w:rsidTr="00FA7B33">
        <w:trPr>
          <w:trHeight w:val="213"/>
        </w:trPr>
        <w:tc>
          <w:tcPr>
            <w:tcW w:w="13968" w:type="dxa"/>
            <w:gridSpan w:val="16"/>
            <w:tcBorders>
              <w:top w:val="single" w:sz="4" w:space="0" w:color="auto"/>
              <w:left w:val="single" w:sz="4" w:space="0" w:color="auto"/>
              <w:bottom w:val="single" w:sz="4" w:space="0" w:color="auto"/>
              <w:right w:val="single" w:sz="4" w:space="0" w:color="auto"/>
            </w:tcBorders>
            <w:vAlign w:val="center"/>
          </w:tcPr>
          <w:p w14:paraId="56B9FE6F" w14:textId="77777777" w:rsidR="00950C34" w:rsidRPr="00FD3751" w:rsidRDefault="00950C34" w:rsidP="00FA7B33">
            <w:pPr>
              <w:jc w:val="left"/>
              <w:rPr>
                <w:b/>
                <w:bCs/>
                <w:noProof/>
                <w:sz w:val="20"/>
              </w:rPr>
            </w:pPr>
            <w:r w:rsidRPr="00C17B39">
              <w:rPr>
                <w:b/>
                <w:bCs/>
                <w:noProof/>
                <w:sz w:val="21"/>
              </w:rPr>
              <w:t xml:space="preserve">Operational appropriations stemming from </w:t>
            </w:r>
            <w:r w:rsidRPr="00C17B39">
              <w:rPr>
                <w:b/>
                <w:bCs/>
                <w:noProof/>
                <w:sz w:val="21"/>
                <w:u w:val="single"/>
              </w:rPr>
              <w:t>decommitments made available again</w:t>
            </w:r>
            <w:r w:rsidRPr="00C17B39">
              <w:rPr>
                <w:b/>
                <w:bCs/>
                <w:noProof/>
                <w:sz w:val="21"/>
              </w:rPr>
              <w:t xml:space="preserve"> (Article 15(3) of the Financial Regulation)</w:t>
            </w:r>
            <w:r>
              <w:rPr>
                <w:b/>
                <w:bCs/>
                <w:noProof/>
                <w:sz w:val="21"/>
              </w:rPr>
              <w:t xml:space="preserve"> (current prices)</w:t>
            </w:r>
          </w:p>
        </w:tc>
      </w:tr>
      <w:tr w:rsidR="00950C34" w14:paraId="041D4798" w14:textId="77777777" w:rsidTr="00FA7B33">
        <w:trPr>
          <w:trHeight w:val="277"/>
        </w:trPr>
        <w:tc>
          <w:tcPr>
            <w:tcW w:w="3745" w:type="dxa"/>
            <w:gridSpan w:val="2"/>
            <w:vAlign w:val="center"/>
          </w:tcPr>
          <w:p w14:paraId="40551034" w14:textId="77777777" w:rsidR="00950C34" w:rsidRDefault="00950C34" w:rsidP="00FA7B33">
            <w:pPr>
              <w:rPr>
                <w:noProof/>
                <w:sz w:val="20"/>
                <w:szCs w:val="20"/>
              </w:rPr>
            </w:pPr>
            <w:r w:rsidRPr="00F43077">
              <w:rPr>
                <w:noProof/>
                <w:sz w:val="20"/>
                <w:szCs w:val="20"/>
              </w:rPr>
              <w:t>01.020301 European Innovation Council</w:t>
            </w:r>
          </w:p>
        </w:tc>
        <w:tc>
          <w:tcPr>
            <w:tcW w:w="1478" w:type="dxa"/>
            <w:vAlign w:val="center"/>
          </w:tcPr>
          <w:p w14:paraId="1A5B842B" w14:textId="77777777" w:rsidR="00950C34" w:rsidRDefault="00950C34" w:rsidP="00FA7B33">
            <w:pPr>
              <w:spacing w:before="20" w:after="20"/>
              <w:rPr>
                <w:noProof/>
                <w:sz w:val="18"/>
              </w:rPr>
            </w:pPr>
            <w:r>
              <w:rPr>
                <w:noProof/>
                <w:sz w:val="18"/>
              </w:rPr>
              <w:t>Commitments</w:t>
            </w:r>
          </w:p>
        </w:tc>
        <w:tc>
          <w:tcPr>
            <w:tcW w:w="702" w:type="dxa"/>
            <w:vAlign w:val="center"/>
          </w:tcPr>
          <w:p w14:paraId="43EA20F7" w14:textId="77777777" w:rsidR="00950C34" w:rsidRDefault="00950C34" w:rsidP="00FA7B33">
            <w:pPr>
              <w:spacing w:before="20" w:after="20"/>
              <w:jc w:val="center"/>
              <w:rPr>
                <w:noProof/>
                <w:sz w:val="14"/>
              </w:rPr>
            </w:pPr>
            <w:r>
              <w:rPr>
                <w:noProof/>
                <w:sz w:val="14"/>
              </w:rPr>
              <w:t>(1a)</w:t>
            </w:r>
          </w:p>
        </w:tc>
        <w:tc>
          <w:tcPr>
            <w:tcW w:w="1098" w:type="dxa"/>
            <w:gridSpan w:val="3"/>
            <w:vAlign w:val="center"/>
          </w:tcPr>
          <w:p w14:paraId="07FF782E" w14:textId="77777777" w:rsidR="00950C34" w:rsidRDefault="00950C34" w:rsidP="00FA7B33">
            <w:pPr>
              <w:spacing w:before="20" w:after="20"/>
              <w:jc w:val="right"/>
              <w:rPr>
                <w:noProof/>
                <w:sz w:val="20"/>
              </w:rPr>
            </w:pPr>
          </w:p>
        </w:tc>
        <w:tc>
          <w:tcPr>
            <w:tcW w:w="1134" w:type="dxa"/>
            <w:gridSpan w:val="2"/>
            <w:vAlign w:val="center"/>
          </w:tcPr>
          <w:p w14:paraId="6EB22505" w14:textId="77777777" w:rsidR="00950C34" w:rsidRPr="00C17B39" w:rsidRDefault="00950C34" w:rsidP="00FA7B33">
            <w:pPr>
              <w:spacing w:before="20" w:after="20"/>
              <w:jc w:val="right"/>
              <w:rPr>
                <w:noProof/>
                <w:sz w:val="18"/>
                <w:szCs w:val="18"/>
              </w:rPr>
            </w:pPr>
            <w:r w:rsidRPr="56D6033E">
              <w:rPr>
                <w:noProof/>
                <w:sz w:val="18"/>
                <w:szCs w:val="18"/>
              </w:rPr>
              <w:t>500,000</w:t>
            </w:r>
          </w:p>
        </w:tc>
        <w:tc>
          <w:tcPr>
            <w:tcW w:w="1275" w:type="dxa"/>
            <w:gridSpan w:val="2"/>
            <w:vAlign w:val="center"/>
          </w:tcPr>
          <w:p w14:paraId="43432661" w14:textId="77777777" w:rsidR="00950C34" w:rsidRPr="00C17B39" w:rsidRDefault="00950C34" w:rsidP="00FA7B33">
            <w:pPr>
              <w:spacing w:before="20" w:after="20"/>
              <w:jc w:val="right"/>
              <w:rPr>
                <w:noProof/>
                <w:sz w:val="18"/>
                <w:szCs w:val="18"/>
              </w:rPr>
            </w:pPr>
            <w:r w:rsidRPr="56D6033E">
              <w:rPr>
                <w:noProof/>
                <w:sz w:val="18"/>
                <w:szCs w:val="18"/>
              </w:rPr>
              <w:t>400,000</w:t>
            </w:r>
          </w:p>
        </w:tc>
        <w:tc>
          <w:tcPr>
            <w:tcW w:w="1232" w:type="dxa"/>
            <w:vAlign w:val="center"/>
          </w:tcPr>
          <w:p w14:paraId="022430EE" w14:textId="77777777" w:rsidR="00950C34" w:rsidRPr="00C17B39" w:rsidRDefault="00950C34" w:rsidP="00FA7B33">
            <w:pPr>
              <w:spacing w:before="20" w:after="20"/>
              <w:jc w:val="right"/>
              <w:rPr>
                <w:noProof/>
                <w:sz w:val="18"/>
                <w:szCs w:val="18"/>
              </w:rPr>
            </w:pPr>
            <w:r w:rsidRPr="56D6033E">
              <w:rPr>
                <w:noProof/>
                <w:sz w:val="18"/>
                <w:szCs w:val="18"/>
              </w:rPr>
              <w:t>200,000</w:t>
            </w:r>
          </w:p>
        </w:tc>
        <w:tc>
          <w:tcPr>
            <w:tcW w:w="1462" w:type="dxa"/>
            <w:gridSpan w:val="2"/>
            <w:vAlign w:val="center"/>
          </w:tcPr>
          <w:p w14:paraId="4175DE32" w14:textId="77777777" w:rsidR="00950C34" w:rsidRPr="00C17B39" w:rsidRDefault="00950C34" w:rsidP="00FA7B33">
            <w:pPr>
              <w:spacing w:before="20" w:after="20"/>
              <w:jc w:val="right"/>
              <w:rPr>
                <w:b/>
                <w:noProof/>
                <w:sz w:val="18"/>
                <w:szCs w:val="18"/>
              </w:rPr>
            </w:pPr>
            <w:r w:rsidRPr="56D6033E">
              <w:rPr>
                <w:noProof/>
                <w:sz w:val="18"/>
                <w:szCs w:val="18"/>
              </w:rPr>
              <w:t>100,000</w:t>
            </w:r>
          </w:p>
        </w:tc>
        <w:tc>
          <w:tcPr>
            <w:tcW w:w="1842" w:type="dxa"/>
            <w:gridSpan w:val="2"/>
            <w:vAlign w:val="center"/>
          </w:tcPr>
          <w:p w14:paraId="61DA05CC" w14:textId="77777777" w:rsidR="00950C34" w:rsidRDefault="00950C34" w:rsidP="00FA7B33">
            <w:pPr>
              <w:spacing w:before="20" w:after="20"/>
              <w:jc w:val="center"/>
              <w:rPr>
                <w:b/>
                <w:bCs/>
                <w:noProof/>
                <w:sz w:val="20"/>
                <w:szCs w:val="20"/>
              </w:rPr>
            </w:pPr>
            <w:r>
              <w:rPr>
                <w:b/>
                <w:bCs/>
                <w:noProof/>
                <w:sz w:val="20"/>
                <w:szCs w:val="20"/>
              </w:rPr>
              <w:t>1 200,000</w:t>
            </w:r>
          </w:p>
        </w:tc>
      </w:tr>
      <w:tr w:rsidR="00950C34" w:rsidRPr="00FD3751" w14:paraId="0A248B25" w14:textId="77777777" w:rsidTr="00FA7B33">
        <w:trPr>
          <w:trHeight w:val="213"/>
        </w:trPr>
        <w:tc>
          <w:tcPr>
            <w:tcW w:w="13968" w:type="dxa"/>
            <w:gridSpan w:val="16"/>
            <w:tcBorders>
              <w:top w:val="single" w:sz="4" w:space="0" w:color="auto"/>
              <w:left w:val="single" w:sz="4" w:space="0" w:color="auto"/>
              <w:bottom w:val="single" w:sz="4" w:space="0" w:color="auto"/>
              <w:right w:val="single" w:sz="4" w:space="0" w:color="auto"/>
            </w:tcBorders>
            <w:vAlign w:val="center"/>
          </w:tcPr>
          <w:p w14:paraId="72503595" w14:textId="77777777" w:rsidR="00950C34" w:rsidRPr="00FD3751" w:rsidRDefault="00950C34" w:rsidP="00FA7B33">
            <w:pPr>
              <w:jc w:val="left"/>
              <w:rPr>
                <w:b/>
                <w:bCs/>
                <w:noProof/>
                <w:sz w:val="20"/>
              </w:rPr>
            </w:pPr>
            <w:r w:rsidRPr="00C17B39">
              <w:rPr>
                <w:b/>
                <w:bCs/>
                <w:noProof/>
                <w:sz w:val="21"/>
              </w:rPr>
              <w:t xml:space="preserve">Operational appropriations stemming from the </w:t>
            </w:r>
            <w:r w:rsidRPr="00495668">
              <w:rPr>
                <w:b/>
                <w:bCs/>
                <w:noProof/>
                <w:sz w:val="21"/>
                <w:u w:val="single"/>
              </w:rPr>
              <w:t>Mid-Term Revision of the Multiannual Financial Framework 2021-2027</w:t>
            </w:r>
          </w:p>
        </w:tc>
      </w:tr>
      <w:tr w:rsidR="00950C34" w14:paraId="041194B7" w14:textId="77777777" w:rsidTr="00FA7B33">
        <w:trPr>
          <w:trHeight w:val="277"/>
        </w:trPr>
        <w:tc>
          <w:tcPr>
            <w:tcW w:w="3745" w:type="dxa"/>
            <w:gridSpan w:val="2"/>
            <w:vAlign w:val="center"/>
          </w:tcPr>
          <w:p w14:paraId="36FAC137" w14:textId="77777777" w:rsidR="00950C34" w:rsidRDefault="00950C34" w:rsidP="00FA7B33">
            <w:pPr>
              <w:rPr>
                <w:noProof/>
                <w:sz w:val="20"/>
                <w:szCs w:val="20"/>
              </w:rPr>
            </w:pPr>
            <w:r w:rsidRPr="00F43077">
              <w:rPr>
                <w:noProof/>
                <w:sz w:val="20"/>
                <w:szCs w:val="20"/>
              </w:rPr>
              <w:t>01.020301 European Innovation Council</w:t>
            </w:r>
          </w:p>
        </w:tc>
        <w:tc>
          <w:tcPr>
            <w:tcW w:w="1478" w:type="dxa"/>
            <w:vAlign w:val="center"/>
          </w:tcPr>
          <w:p w14:paraId="4CD32C5A" w14:textId="77777777" w:rsidR="00950C34" w:rsidRDefault="00950C34" w:rsidP="00FA7B33">
            <w:pPr>
              <w:spacing w:before="20" w:after="20"/>
              <w:rPr>
                <w:noProof/>
                <w:sz w:val="18"/>
              </w:rPr>
            </w:pPr>
            <w:r>
              <w:rPr>
                <w:noProof/>
                <w:sz w:val="18"/>
              </w:rPr>
              <w:t>Commitments</w:t>
            </w:r>
          </w:p>
        </w:tc>
        <w:tc>
          <w:tcPr>
            <w:tcW w:w="702" w:type="dxa"/>
            <w:vAlign w:val="center"/>
          </w:tcPr>
          <w:p w14:paraId="5C595C93" w14:textId="77777777" w:rsidR="00950C34" w:rsidRDefault="00950C34" w:rsidP="00FA7B33">
            <w:pPr>
              <w:spacing w:before="20" w:after="20"/>
              <w:jc w:val="center"/>
              <w:rPr>
                <w:noProof/>
                <w:sz w:val="14"/>
              </w:rPr>
            </w:pPr>
            <w:r>
              <w:rPr>
                <w:noProof/>
                <w:sz w:val="14"/>
              </w:rPr>
              <w:t>(1a)</w:t>
            </w:r>
          </w:p>
        </w:tc>
        <w:tc>
          <w:tcPr>
            <w:tcW w:w="1098" w:type="dxa"/>
            <w:gridSpan w:val="3"/>
            <w:vAlign w:val="center"/>
          </w:tcPr>
          <w:p w14:paraId="6B41521C" w14:textId="77777777" w:rsidR="00950C34" w:rsidRDefault="00950C34" w:rsidP="00FA7B33">
            <w:pPr>
              <w:spacing w:before="20" w:after="20"/>
              <w:jc w:val="right"/>
              <w:rPr>
                <w:noProof/>
                <w:sz w:val="20"/>
              </w:rPr>
            </w:pPr>
          </w:p>
        </w:tc>
        <w:tc>
          <w:tcPr>
            <w:tcW w:w="1134" w:type="dxa"/>
            <w:gridSpan w:val="2"/>
            <w:vAlign w:val="center"/>
          </w:tcPr>
          <w:p w14:paraId="43F7ECCA" w14:textId="77777777" w:rsidR="00950C34" w:rsidRPr="00C17B39" w:rsidRDefault="00950C34" w:rsidP="00FA7B33">
            <w:pPr>
              <w:spacing w:before="20" w:after="20"/>
              <w:jc w:val="right"/>
              <w:rPr>
                <w:rFonts w:eastAsia="Times New Roman"/>
                <w:noProof/>
                <w:sz w:val="18"/>
                <w:szCs w:val="18"/>
              </w:rPr>
            </w:pPr>
            <w:r w:rsidRPr="73214799">
              <w:rPr>
                <w:noProof/>
                <w:sz w:val="18"/>
                <w:szCs w:val="18"/>
              </w:rPr>
              <w:t>125,000</w:t>
            </w:r>
          </w:p>
        </w:tc>
        <w:tc>
          <w:tcPr>
            <w:tcW w:w="1275" w:type="dxa"/>
            <w:gridSpan w:val="2"/>
            <w:vAlign w:val="center"/>
          </w:tcPr>
          <w:p w14:paraId="1943DB86" w14:textId="77777777" w:rsidR="00950C34" w:rsidRPr="00C17B39" w:rsidRDefault="00950C34" w:rsidP="00FA7B33">
            <w:pPr>
              <w:spacing w:before="20" w:after="20"/>
              <w:jc w:val="right"/>
              <w:rPr>
                <w:noProof/>
                <w:sz w:val="18"/>
                <w:szCs w:val="18"/>
              </w:rPr>
            </w:pPr>
            <w:r w:rsidRPr="73214799">
              <w:rPr>
                <w:noProof/>
                <w:sz w:val="18"/>
                <w:szCs w:val="18"/>
              </w:rPr>
              <w:t>125,000</w:t>
            </w:r>
          </w:p>
        </w:tc>
        <w:tc>
          <w:tcPr>
            <w:tcW w:w="1232" w:type="dxa"/>
            <w:vAlign w:val="center"/>
          </w:tcPr>
          <w:p w14:paraId="5B496ADC" w14:textId="77777777" w:rsidR="00950C34" w:rsidRPr="00C17B39" w:rsidRDefault="00950C34" w:rsidP="00FA7B33">
            <w:pPr>
              <w:spacing w:before="20" w:after="20"/>
              <w:jc w:val="right"/>
              <w:rPr>
                <w:rFonts w:eastAsia="Times New Roman"/>
                <w:noProof/>
                <w:sz w:val="18"/>
                <w:szCs w:val="18"/>
              </w:rPr>
            </w:pPr>
            <w:r w:rsidRPr="73214799">
              <w:rPr>
                <w:noProof/>
                <w:sz w:val="18"/>
                <w:szCs w:val="18"/>
              </w:rPr>
              <w:t>125,000</w:t>
            </w:r>
          </w:p>
        </w:tc>
        <w:tc>
          <w:tcPr>
            <w:tcW w:w="1462" w:type="dxa"/>
            <w:gridSpan w:val="2"/>
            <w:vAlign w:val="center"/>
          </w:tcPr>
          <w:p w14:paraId="2A956931" w14:textId="77777777" w:rsidR="00950C34" w:rsidRPr="00BE6076" w:rsidRDefault="00950C34" w:rsidP="00FA7B33">
            <w:pPr>
              <w:spacing w:before="20" w:after="20"/>
              <w:jc w:val="right"/>
              <w:rPr>
                <w:rFonts w:eastAsia="Times New Roman"/>
                <w:noProof/>
                <w:sz w:val="18"/>
                <w:szCs w:val="18"/>
              </w:rPr>
            </w:pPr>
            <w:r w:rsidRPr="73214799">
              <w:rPr>
                <w:noProof/>
                <w:sz w:val="18"/>
                <w:szCs w:val="18"/>
              </w:rPr>
              <w:t>125,000</w:t>
            </w:r>
          </w:p>
        </w:tc>
        <w:tc>
          <w:tcPr>
            <w:tcW w:w="1842" w:type="dxa"/>
            <w:gridSpan w:val="2"/>
            <w:vAlign w:val="center"/>
          </w:tcPr>
          <w:p w14:paraId="40F14C86" w14:textId="77777777" w:rsidR="00950C34" w:rsidRDefault="00950C34" w:rsidP="00FA7B33">
            <w:pPr>
              <w:spacing w:before="20" w:after="20"/>
              <w:jc w:val="center"/>
              <w:rPr>
                <w:b/>
                <w:bCs/>
                <w:noProof/>
                <w:sz w:val="20"/>
                <w:szCs w:val="20"/>
              </w:rPr>
            </w:pPr>
            <w:r w:rsidRPr="62CE18E5">
              <w:rPr>
                <w:b/>
                <w:bCs/>
                <w:noProof/>
                <w:sz w:val="20"/>
                <w:szCs w:val="20"/>
              </w:rPr>
              <w:t>500,000</w:t>
            </w:r>
          </w:p>
        </w:tc>
      </w:tr>
      <w:tr w:rsidR="00950C34" w:rsidRPr="00FD3751" w14:paraId="0281C16F" w14:textId="77777777" w:rsidTr="00FA7B33">
        <w:trPr>
          <w:trHeight w:val="213"/>
        </w:trPr>
        <w:tc>
          <w:tcPr>
            <w:tcW w:w="13968" w:type="dxa"/>
            <w:gridSpan w:val="16"/>
            <w:tcBorders>
              <w:top w:val="single" w:sz="4" w:space="0" w:color="auto"/>
              <w:left w:val="single" w:sz="4" w:space="0" w:color="auto"/>
              <w:bottom w:val="single" w:sz="4" w:space="0" w:color="auto"/>
              <w:right w:val="single" w:sz="4" w:space="0" w:color="auto"/>
            </w:tcBorders>
            <w:vAlign w:val="center"/>
          </w:tcPr>
          <w:p w14:paraId="3182D067" w14:textId="77777777" w:rsidR="00950C34" w:rsidRPr="00FD3751" w:rsidRDefault="00950C34" w:rsidP="00FA7B33">
            <w:pPr>
              <w:jc w:val="left"/>
              <w:rPr>
                <w:b/>
                <w:bCs/>
                <w:noProof/>
                <w:sz w:val="20"/>
              </w:rPr>
            </w:pPr>
            <w:r>
              <w:rPr>
                <w:b/>
                <w:bCs/>
                <w:noProof/>
                <w:sz w:val="21"/>
              </w:rPr>
              <w:t>Estimated o</w:t>
            </w:r>
            <w:r w:rsidRPr="00C17B39">
              <w:rPr>
                <w:b/>
                <w:bCs/>
                <w:noProof/>
                <w:sz w:val="21"/>
              </w:rPr>
              <w:t xml:space="preserve">perational appropriations stemming from </w:t>
            </w:r>
            <w:r>
              <w:rPr>
                <w:b/>
                <w:bCs/>
                <w:noProof/>
                <w:sz w:val="21"/>
              </w:rPr>
              <w:t>repayments from the European Innovation Council Pilot under Horizon 2020</w:t>
            </w:r>
          </w:p>
        </w:tc>
      </w:tr>
      <w:tr w:rsidR="00950C34" w14:paraId="1299463E" w14:textId="77777777" w:rsidTr="00FA7B33">
        <w:trPr>
          <w:trHeight w:val="277"/>
        </w:trPr>
        <w:tc>
          <w:tcPr>
            <w:tcW w:w="3745" w:type="dxa"/>
            <w:gridSpan w:val="2"/>
            <w:vAlign w:val="center"/>
          </w:tcPr>
          <w:p w14:paraId="46E673C6" w14:textId="77777777" w:rsidR="00950C34" w:rsidRDefault="00950C34" w:rsidP="00FA7B33">
            <w:pPr>
              <w:rPr>
                <w:noProof/>
                <w:sz w:val="20"/>
                <w:szCs w:val="20"/>
              </w:rPr>
            </w:pPr>
            <w:r w:rsidRPr="00F43077">
              <w:rPr>
                <w:noProof/>
                <w:sz w:val="20"/>
                <w:szCs w:val="20"/>
              </w:rPr>
              <w:t>01.00301 European Innovation Council</w:t>
            </w:r>
          </w:p>
        </w:tc>
        <w:tc>
          <w:tcPr>
            <w:tcW w:w="1478" w:type="dxa"/>
            <w:vAlign w:val="center"/>
          </w:tcPr>
          <w:p w14:paraId="11F45278" w14:textId="77777777" w:rsidR="00950C34" w:rsidRDefault="00950C34" w:rsidP="00FA7B33">
            <w:pPr>
              <w:spacing w:before="20" w:after="20"/>
              <w:rPr>
                <w:noProof/>
                <w:sz w:val="18"/>
              </w:rPr>
            </w:pPr>
            <w:r>
              <w:rPr>
                <w:noProof/>
                <w:sz w:val="18"/>
              </w:rPr>
              <w:t>Commitments</w:t>
            </w:r>
          </w:p>
        </w:tc>
        <w:tc>
          <w:tcPr>
            <w:tcW w:w="702" w:type="dxa"/>
            <w:vAlign w:val="center"/>
          </w:tcPr>
          <w:p w14:paraId="650C8069" w14:textId="77777777" w:rsidR="00950C34" w:rsidRDefault="00950C34" w:rsidP="00FA7B33">
            <w:pPr>
              <w:spacing w:before="20" w:after="20"/>
              <w:jc w:val="center"/>
              <w:rPr>
                <w:noProof/>
                <w:sz w:val="14"/>
              </w:rPr>
            </w:pPr>
            <w:r>
              <w:rPr>
                <w:noProof/>
                <w:sz w:val="14"/>
              </w:rPr>
              <w:t>(1a)</w:t>
            </w:r>
          </w:p>
        </w:tc>
        <w:tc>
          <w:tcPr>
            <w:tcW w:w="1098" w:type="dxa"/>
            <w:gridSpan w:val="3"/>
            <w:vAlign w:val="center"/>
          </w:tcPr>
          <w:p w14:paraId="2BA72C8A" w14:textId="77777777" w:rsidR="00950C34" w:rsidRDefault="00950C34" w:rsidP="00FA7B33">
            <w:pPr>
              <w:spacing w:before="20" w:after="20"/>
              <w:jc w:val="right"/>
              <w:rPr>
                <w:noProof/>
                <w:sz w:val="20"/>
              </w:rPr>
            </w:pPr>
          </w:p>
        </w:tc>
        <w:tc>
          <w:tcPr>
            <w:tcW w:w="1134" w:type="dxa"/>
            <w:gridSpan w:val="2"/>
            <w:vAlign w:val="center"/>
          </w:tcPr>
          <w:p w14:paraId="47646F4B" w14:textId="77777777" w:rsidR="00950C34" w:rsidRPr="00C17B39" w:rsidRDefault="00950C34" w:rsidP="00FA7B33">
            <w:pPr>
              <w:spacing w:before="20" w:after="20"/>
              <w:jc w:val="center"/>
              <w:rPr>
                <w:noProof/>
                <w:sz w:val="18"/>
                <w:szCs w:val="18"/>
              </w:rPr>
            </w:pPr>
            <w:r w:rsidRPr="00C17B39">
              <w:rPr>
                <w:noProof/>
                <w:sz w:val="18"/>
                <w:szCs w:val="18"/>
                <w:lang w:val="en-IE"/>
              </w:rPr>
              <w:t>p.m.</w:t>
            </w:r>
          </w:p>
        </w:tc>
        <w:tc>
          <w:tcPr>
            <w:tcW w:w="1275" w:type="dxa"/>
            <w:gridSpan w:val="2"/>
            <w:vAlign w:val="center"/>
          </w:tcPr>
          <w:p w14:paraId="730E5CD2" w14:textId="77777777" w:rsidR="00950C34" w:rsidRPr="00C17B39" w:rsidRDefault="00950C34" w:rsidP="00FA7B33">
            <w:pPr>
              <w:spacing w:before="20" w:after="20"/>
              <w:jc w:val="center"/>
              <w:rPr>
                <w:noProof/>
                <w:sz w:val="18"/>
                <w:szCs w:val="18"/>
              </w:rPr>
            </w:pPr>
            <w:r w:rsidRPr="00C17B39">
              <w:rPr>
                <w:noProof/>
                <w:sz w:val="18"/>
                <w:szCs w:val="18"/>
                <w:lang w:val="en-IE"/>
              </w:rPr>
              <w:t>p.m.</w:t>
            </w:r>
          </w:p>
        </w:tc>
        <w:tc>
          <w:tcPr>
            <w:tcW w:w="1232" w:type="dxa"/>
            <w:vAlign w:val="center"/>
          </w:tcPr>
          <w:p w14:paraId="090BD68F" w14:textId="77777777" w:rsidR="00950C34" w:rsidRPr="00C17B39" w:rsidRDefault="00950C34" w:rsidP="00FA7B33">
            <w:pPr>
              <w:spacing w:before="20" w:after="20"/>
              <w:jc w:val="center"/>
              <w:rPr>
                <w:noProof/>
                <w:sz w:val="18"/>
                <w:szCs w:val="18"/>
              </w:rPr>
            </w:pPr>
            <w:r w:rsidRPr="00C17B39">
              <w:rPr>
                <w:noProof/>
                <w:sz w:val="18"/>
                <w:szCs w:val="18"/>
                <w:lang w:val="en-IE"/>
              </w:rPr>
              <w:t>p.m.</w:t>
            </w:r>
          </w:p>
        </w:tc>
        <w:tc>
          <w:tcPr>
            <w:tcW w:w="1462" w:type="dxa"/>
            <w:gridSpan w:val="2"/>
            <w:vAlign w:val="center"/>
          </w:tcPr>
          <w:p w14:paraId="2632DF94" w14:textId="77777777" w:rsidR="00950C34" w:rsidRPr="00C17B39" w:rsidRDefault="00950C34" w:rsidP="00FA7B33">
            <w:pPr>
              <w:spacing w:before="20" w:after="20"/>
              <w:jc w:val="center"/>
              <w:rPr>
                <w:b/>
                <w:noProof/>
                <w:sz w:val="18"/>
                <w:szCs w:val="18"/>
              </w:rPr>
            </w:pPr>
            <w:r w:rsidRPr="00C17B39">
              <w:rPr>
                <w:noProof/>
                <w:sz w:val="18"/>
                <w:szCs w:val="18"/>
                <w:lang w:val="en-IE"/>
              </w:rPr>
              <w:t>p.m.</w:t>
            </w:r>
          </w:p>
        </w:tc>
        <w:tc>
          <w:tcPr>
            <w:tcW w:w="1842" w:type="dxa"/>
            <w:gridSpan w:val="2"/>
            <w:vAlign w:val="center"/>
          </w:tcPr>
          <w:p w14:paraId="08B7EA04" w14:textId="77777777" w:rsidR="00950C34" w:rsidRDefault="00950C34" w:rsidP="00FA7B33">
            <w:pPr>
              <w:spacing w:before="20" w:after="20"/>
              <w:jc w:val="center"/>
              <w:rPr>
                <w:b/>
                <w:bCs/>
                <w:noProof/>
                <w:sz w:val="20"/>
                <w:szCs w:val="20"/>
              </w:rPr>
            </w:pPr>
            <w:r>
              <w:rPr>
                <w:b/>
                <w:bCs/>
                <w:noProof/>
                <w:sz w:val="20"/>
                <w:szCs w:val="20"/>
              </w:rPr>
              <w:t>130,000</w:t>
            </w:r>
          </w:p>
        </w:tc>
      </w:tr>
      <w:tr w:rsidR="00950C34" w:rsidRPr="003A769F" w14:paraId="33B6F781" w14:textId="77777777" w:rsidTr="00FA7B33">
        <w:trPr>
          <w:trHeight w:val="533"/>
        </w:trPr>
        <w:tc>
          <w:tcPr>
            <w:tcW w:w="5925" w:type="dxa"/>
            <w:gridSpan w:val="4"/>
            <w:tcBorders>
              <w:top w:val="single" w:sz="4" w:space="0" w:color="auto"/>
              <w:left w:val="single" w:sz="4" w:space="0" w:color="auto"/>
              <w:bottom w:val="single" w:sz="4" w:space="0" w:color="auto"/>
              <w:right w:val="single" w:sz="4" w:space="0" w:color="auto"/>
            </w:tcBorders>
            <w:vAlign w:val="center"/>
          </w:tcPr>
          <w:p w14:paraId="1D286123" w14:textId="77777777" w:rsidR="00950C34" w:rsidRPr="003A769F" w:rsidRDefault="00950C34" w:rsidP="00FA7B33">
            <w:pPr>
              <w:spacing w:before="20" w:after="20"/>
              <w:rPr>
                <w:noProof/>
                <w:lang w:val="en-IE"/>
              </w:rPr>
            </w:pPr>
            <w:r w:rsidRPr="00BE6076">
              <w:rPr>
                <w:noProof/>
                <w:sz w:val="20"/>
                <w:szCs w:val="20"/>
              </w:rPr>
              <w:t>Appropriations of an administrative nature financed from the envelope of specific programmes</w:t>
            </w:r>
            <w:r w:rsidRPr="005772CD">
              <w:rPr>
                <w:rStyle w:val="FootnoteReference"/>
                <w:noProof/>
                <w:sz w:val="20"/>
                <w:szCs w:val="21"/>
              </w:rPr>
              <w:footnoteReference w:id="78"/>
            </w:r>
          </w:p>
        </w:tc>
        <w:tc>
          <w:tcPr>
            <w:tcW w:w="1098" w:type="dxa"/>
            <w:gridSpan w:val="3"/>
            <w:tcBorders>
              <w:top w:val="single" w:sz="4" w:space="0" w:color="auto"/>
              <w:left w:val="single" w:sz="4" w:space="0" w:color="auto"/>
              <w:bottom w:val="single" w:sz="4" w:space="0" w:color="auto"/>
              <w:right w:val="single" w:sz="4" w:space="0" w:color="auto"/>
            </w:tcBorders>
            <w:vAlign w:val="center"/>
          </w:tcPr>
          <w:p w14:paraId="3123406D" w14:textId="77777777" w:rsidR="00950C34" w:rsidRPr="003A769F" w:rsidRDefault="00950C34" w:rsidP="00FA7B33">
            <w:pPr>
              <w:rPr>
                <w:b/>
                <w:noProof/>
                <w:sz w:val="20"/>
                <w:lang w:val="en-IE"/>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06B5EBB" w14:textId="77777777" w:rsidR="00950C34" w:rsidRPr="00C17B39" w:rsidRDefault="00950C34" w:rsidP="00FA7B33">
            <w:pPr>
              <w:jc w:val="center"/>
              <w:rPr>
                <w:noProof/>
                <w:sz w:val="18"/>
                <w:szCs w:val="18"/>
                <w:lang w:val="en-IE"/>
              </w:rPr>
            </w:pPr>
            <w:r w:rsidRPr="00C17B39">
              <w:rPr>
                <w:noProof/>
                <w:sz w:val="18"/>
                <w:szCs w:val="18"/>
                <w:lang w:val="en-IE"/>
              </w:rPr>
              <w:t>p.m.</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21DEA33" w14:textId="77777777" w:rsidR="00950C34" w:rsidRPr="00C17B39" w:rsidRDefault="00950C34" w:rsidP="00FA7B33">
            <w:pPr>
              <w:jc w:val="center"/>
              <w:rPr>
                <w:noProof/>
                <w:sz w:val="18"/>
                <w:szCs w:val="18"/>
                <w:lang w:val="en-IE"/>
              </w:rPr>
            </w:pPr>
            <w:r w:rsidRPr="00C17B39">
              <w:rPr>
                <w:noProof/>
                <w:sz w:val="18"/>
                <w:szCs w:val="18"/>
                <w:lang w:val="en-IE"/>
              </w:rPr>
              <w:t>p.m.</w:t>
            </w:r>
          </w:p>
        </w:tc>
        <w:tc>
          <w:tcPr>
            <w:tcW w:w="1232" w:type="dxa"/>
            <w:tcBorders>
              <w:top w:val="single" w:sz="4" w:space="0" w:color="auto"/>
              <w:left w:val="single" w:sz="4" w:space="0" w:color="auto"/>
              <w:bottom w:val="single" w:sz="4" w:space="0" w:color="auto"/>
              <w:right w:val="single" w:sz="4" w:space="0" w:color="auto"/>
            </w:tcBorders>
            <w:vAlign w:val="center"/>
          </w:tcPr>
          <w:p w14:paraId="70AE7E31" w14:textId="77777777" w:rsidR="00950C34" w:rsidRPr="00C17B39" w:rsidRDefault="00950C34" w:rsidP="00FA7B33">
            <w:pPr>
              <w:jc w:val="center"/>
              <w:rPr>
                <w:noProof/>
                <w:sz w:val="18"/>
                <w:szCs w:val="18"/>
                <w:lang w:val="en-IE"/>
              </w:rPr>
            </w:pPr>
            <w:r w:rsidRPr="00C17B39">
              <w:rPr>
                <w:noProof/>
                <w:sz w:val="18"/>
                <w:szCs w:val="18"/>
                <w:lang w:val="en-IE"/>
              </w:rPr>
              <w:t>p.m.</w:t>
            </w:r>
          </w:p>
        </w:tc>
        <w:tc>
          <w:tcPr>
            <w:tcW w:w="1462" w:type="dxa"/>
            <w:gridSpan w:val="2"/>
            <w:tcBorders>
              <w:top w:val="single" w:sz="4" w:space="0" w:color="auto"/>
              <w:left w:val="single" w:sz="4" w:space="0" w:color="auto"/>
              <w:bottom w:val="single" w:sz="4" w:space="0" w:color="auto"/>
              <w:right w:val="single" w:sz="4" w:space="0" w:color="auto"/>
            </w:tcBorders>
            <w:vAlign w:val="center"/>
          </w:tcPr>
          <w:p w14:paraId="712C0B91" w14:textId="77777777" w:rsidR="00950C34" w:rsidRPr="003A769F" w:rsidRDefault="00950C34" w:rsidP="00FA7B33">
            <w:pPr>
              <w:jc w:val="center"/>
              <w:rPr>
                <w:b/>
                <w:noProof/>
                <w:sz w:val="20"/>
                <w:lang w:val="en-IE"/>
              </w:rPr>
            </w:pPr>
            <w:r w:rsidRPr="00C17B39">
              <w:rPr>
                <w:noProof/>
                <w:sz w:val="18"/>
                <w:szCs w:val="18"/>
                <w:lang w:val="en-IE"/>
              </w:rPr>
              <w:t>p.m.</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41C4BDED" w14:textId="77777777" w:rsidR="00950C34" w:rsidRPr="003A769F" w:rsidRDefault="00950C34" w:rsidP="00FA7B33">
            <w:pPr>
              <w:jc w:val="center"/>
              <w:rPr>
                <w:b/>
                <w:noProof/>
                <w:sz w:val="20"/>
                <w:lang w:val="en-IE"/>
              </w:rPr>
            </w:pPr>
          </w:p>
        </w:tc>
      </w:tr>
      <w:tr w:rsidR="00950C34" w14:paraId="310EF9D6" w14:textId="77777777" w:rsidTr="00FA7B33">
        <w:trPr>
          <w:trHeight w:val="213"/>
        </w:trPr>
        <w:tc>
          <w:tcPr>
            <w:tcW w:w="13968" w:type="dxa"/>
            <w:gridSpan w:val="16"/>
            <w:tcBorders>
              <w:top w:val="single" w:sz="4" w:space="0" w:color="auto"/>
              <w:left w:val="single" w:sz="4" w:space="0" w:color="auto"/>
              <w:bottom w:val="single" w:sz="4" w:space="0" w:color="auto"/>
              <w:right w:val="single" w:sz="4" w:space="0" w:color="auto"/>
            </w:tcBorders>
            <w:vAlign w:val="center"/>
          </w:tcPr>
          <w:p w14:paraId="0D41D181" w14:textId="77777777" w:rsidR="00950C34" w:rsidRPr="009C45B9" w:rsidRDefault="00950C34" w:rsidP="00FA7B33">
            <w:pPr>
              <w:jc w:val="left"/>
              <w:rPr>
                <w:b/>
                <w:bCs/>
                <w:noProof/>
                <w:sz w:val="20"/>
              </w:rPr>
            </w:pPr>
            <w:r w:rsidRPr="00C17B39">
              <w:rPr>
                <w:b/>
                <w:bCs/>
                <w:noProof/>
                <w:sz w:val="21"/>
              </w:rPr>
              <w:t xml:space="preserve">Total appropriations </w:t>
            </w:r>
            <w:r>
              <w:rPr>
                <w:b/>
                <w:bCs/>
                <w:noProof/>
                <w:sz w:val="21"/>
              </w:rPr>
              <w:t>for</w:t>
            </w:r>
            <w:r w:rsidRPr="00C17B39">
              <w:rPr>
                <w:b/>
                <w:bCs/>
                <w:noProof/>
                <w:sz w:val="21"/>
              </w:rPr>
              <w:t xml:space="preserve"> Horizon Europe</w:t>
            </w:r>
          </w:p>
        </w:tc>
      </w:tr>
      <w:tr w:rsidR="00950C34" w14:paraId="3B585D0A" w14:textId="77777777" w:rsidTr="00FA7B33">
        <w:trPr>
          <w:gridBefore w:val="1"/>
          <w:wBefore w:w="6" w:type="dxa"/>
          <w:trHeight w:val="277"/>
        </w:trPr>
        <w:tc>
          <w:tcPr>
            <w:tcW w:w="3739" w:type="dxa"/>
            <w:vMerge w:val="restart"/>
            <w:vAlign w:val="center"/>
          </w:tcPr>
          <w:p w14:paraId="26935485" w14:textId="77777777" w:rsidR="00950C34" w:rsidRDefault="00950C34" w:rsidP="00FA7B33">
            <w:pPr>
              <w:rPr>
                <w:noProof/>
                <w:sz w:val="20"/>
                <w:szCs w:val="20"/>
              </w:rPr>
            </w:pPr>
            <w:r w:rsidRPr="00F43077">
              <w:rPr>
                <w:noProof/>
                <w:sz w:val="20"/>
                <w:szCs w:val="20"/>
              </w:rPr>
              <w:t>01.020301 European Innovation Council</w:t>
            </w:r>
          </w:p>
        </w:tc>
        <w:tc>
          <w:tcPr>
            <w:tcW w:w="1478" w:type="dxa"/>
            <w:vAlign w:val="center"/>
          </w:tcPr>
          <w:p w14:paraId="7D1E3A9E" w14:textId="77777777" w:rsidR="00950C34" w:rsidRDefault="00950C34" w:rsidP="00FA7B33">
            <w:pPr>
              <w:spacing w:before="20" w:after="20"/>
              <w:rPr>
                <w:noProof/>
                <w:sz w:val="18"/>
              </w:rPr>
            </w:pPr>
            <w:r>
              <w:rPr>
                <w:noProof/>
                <w:sz w:val="18"/>
              </w:rPr>
              <w:t>Commitments</w:t>
            </w:r>
          </w:p>
        </w:tc>
        <w:tc>
          <w:tcPr>
            <w:tcW w:w="816" w:type="dxa"/>
            <w:gridSpan w:val="2"/>
            <w:vAlign w:val="center"/>
          </w:tcPr>
          <w:p w14:paraId="0BBBCA78" w14:textId="77777777" w:rsidR="00950C34" w:rsidRDefault="00950C34" w:rsidP="00FA7B33">
            <w:pPr>
              <w:spacing w:before="20" w:after="20"/>
              <w:jc w:val="center"/>
              <w:rPr>
                <w:noProof/>
                <w:sz w:val="14"/>
              </w:rPr>
            </w:pPr>
            <w:r>
              <w:rPr>
                <w:noProof/>
                <w:sz w:val="14"/>
              </w:rPr>
              <w:t>(1a)</w:t>
            </w:r>
          </w:p>
        </w:tc>
        <w:tc>
          <w:tcPr>
            <w:tcW w:w="977" w:type="dxa"/>
            <w:vAlign w:val="center"/>
          </w:tcPr>
          <w:p w14:paraId="3E5315DE" w14:textId="77777777" w:rsidR="00950C34" w:rsidRDefault="00950C34" w:rsidP="00FA7B33">
            <w:pPr>
              <w:spacing w:before="20" w:after="20"/>
              <w:jc w:val="right"/>
              <w:rPr>
                <w:noProof/>
                <w:sz w:val="20"/>
              </w:rPr>
            </w:pPr>
          </w:p>
        </w:tc>
        <w:tc>
          <w:tcPr>
            <w:tcW w:w="1115" w:type="dxa"/>
            <w:gridSpan w:val="2"/>
            <w:shd w:val="clear" w:color="auto" w:fill="auto"/>
            <w:vAlign w:val="center"/>
          </w:tcPr>
          <w:p w14:paraId="147AA8F0" w14:textId="77777777" w:rsidR="00950C34" w:rsidRPr="00C17B39" w:rsidRDefault="00950C34" w:rsidP="00FA7B33">
            <w:pPr>
              <w:spacing w:before="20" w:after="20"/>
              <w:jc w:val="center"/>
              <w:rPr>
                <w:rFonts w:eastAsia="Times New Roman"/>
                <w:noProof/>
                <w:sz w:val="18"/>
                <w:szCs w:val="18"/>
              </w:rPr>
            </w:pPr>
            <w:r w:rsidRPr="73214799">
              <w:rPr>
                <w:noProof/>
                <w:sz w:val="18"/>
                <w:szCs w:val="18"/>
              </w:rPr>
              <w:t>625,000</w:t>
            </w:r>
          </w:p>
        </w:tc>
        <w:tc>
          <w:tcPr>
            <w:tcW w:w="1253" w:type="dxa"/>
            <w:gridSpan w:val="2"/>
            <w:shd w:val="clear" w:color="auto" w:fill="auto"/>
            <w:vAlign w:val="center"/>
          </w:tcPr>
          <w:p w14:paraId="40AFB702" w14:textId="77777777" w:rsidR="00950C34" w:rsidRPr="00C17B39" w:rsidRDefault="00950C34" w:rsidP="00FA7B33">
            <w:pPr>
              <w:spacing w:before="20" w:after="20"/>
              <w:jc w:val="center"/>
              <w:rPr>
                <w:noProof/>
                <w:sz w:val="18"/>
                <w:szCs w:val="18"/>
              </w:rPr>
            </w:pPr>
            <w:r w:rsidRPr="73214799">
              <w:rPr>
                <w:noProof/>
                <w:sz w:val="18"/>
                <w:szCs w:val="18"/>
              </w:rPr>
              <w:t>625,000</w:t>
            </w:r>
          </w:p>
        </w:tc>
        <w:tc>
          <w:tcPr>
            <w:tcW w:w="1393" w:type="dxa"/>
            <w:gridSpan w:val="3"/>
            <w:shd w:val="clear" w:color="auto" w:fill="auto"/>
            <w:vAlign w:val="center"/>
          </w:tcPr>
          <w:p w14:paraId="300CADEE" w14:textId="77777777" w:rsidR="00950C34" w:rsidRPr="00C17B39" w:rsidRDefault="00950C34" w:rsidP="00FA7B33">
            <w:pPr>
              <w:spacing w:before="20" w:after="20"/>
              <w:jc w:val="center"/>
              <w:rPr>
                <w:noProof/>
                <w:sz w:val="18"/>
                <w:szCs w:val="18"/>
              </w:rPr>
            </w:pPr>
            <w:r w:rsidRPr="73214799">
              <w:rPr>
                <w:noProof/>
                <w:sz w:val="18"/>
                <w:szCs w:val="18"/>
              </w:rPr>
              <w:t>625,000</w:t>
            </w:r>
          </w:p>
        </w:tc>
        <w:tc>
          <w:tcPr>
            <w:tcW w:w="1392" w:type="dxa"/>
            <w:gridSpan w:val="2"/>
            <w:shd w:val="clear" w:color="auto" w:fill="auto"/>
            <w:vAlign w:val="center"/>
          </w:tcPr>
          <w:p w14:paraId="71795402" w14:textId="77777777" w:rsidR="00950C34" w:rsidRPr="00C17B39" w:rsidRDefault="00950C34" w:rsidP="00FA7B33">
            <w:pPr>
              <w:spacing w:before="20" w:after="20"/>
              <w:jc w:val="center"/>
              <w:rPr>
                <w:rFonts w:eastAsia="Times New Roman"/>
                <w:noProof/>
                <w:sz w:val="18"/>
                <w:szCs w:val="18"/>
              </w:rPr>
            </w:pPr>
            <w:r w:rsidRPr="73214799">
              <w:rPr>
                <w:noProof/>
                <w:sz w:val="18"/>
                <w:szCs w:val="18"/>
              </w:rPr>
              <w:t>625,000</w:t>
            </w:r>
          </w:p>
        </w:tc>
        <w:tc>
          <w:tcPr>
            <w:tcW w:w="1799" w:type="dxa"/>
            <w:vAlign w:val="center"/>
          </w:tcPr>
          <w:p w14:paraId="5698B4AE" w14:textId="77777777" w:rsidR="00950C34" w:rsidRDefault="00950C34" w:rsidP="00FA7B33">
            <w:pPr>
              <w:spacing w:before="20" w:after="20"/>
              <w:jc w:val="center"/>
              <w:rPr>
                <w:b/>
                <w:bCs/>
                <w:noProof/>
                <w:sz w:val="20"/>
                <w:szCs w:val="20"/>
              </w:rPr>
            </w:pPr>
            <w:r>
              <w:rPr>
                <w:b/>
                <w:bCs/>
                <w:noProof/>
                <w:sz w:val="20"/>
                <w:szCs w:val="20"/>
              </w:rPr>
              <w:t>2 630,000*</w:t>
            </w:r>
          </w:p>
        </w:tc>
      </w:tr>
      <w:tr w:rsidR="00950C34" w14:paraId="3C01C40F" w14:textId="77777777" w:rsidTr="00FA7B33">
        <w:trPr>
          <w:gridBefore w:val="1"/>
          <w:wBefore w:w="6" w:type="dxa"/>
          <w:trHeight w:val="300"/>
        </w:trPr>
        <w:tc>
          <w:tcPr>
            <w:tcW w:w="3739" w:type="dxa"/>
            <w:vMerge/>
          </w:tcPr>
          <w:p w14:paraId="47F61CB4" w14:textId="77777777" w:rsidR="00950C34" w:rsidRDefault="00950C34" w:rsidP="00FA7B33">
            <w:pPr>
              <w:jc w:val="center"/>
              <w:rPr>
                <w:noProof/>
                <w:sz w:val="20"/>
              </w:rPr>
            </w:pPr>
          </w:p>
        </w:tc>
        <w:tc>
          <w:tcPr>
            <w:tcW w:w="1478" w:type="dxa"/>
            <w:tcBorders>
              <w:top w:val="single" w:sz="4" w:space="0" w:color="auto"/>
              <w:left w:val="single" w:sz="4" w:space="0" w:color="auto"/>
              <w:bottom w:val="single" w:sz="4" w:space="0" w:color="auto"/>
              <w:right w:val="single" w:sz="4" w:space="0" w:color="auto"/>
            </w:tcBorders>
            <w:vAlign w:val="center"/>
          </w:tcPr>
          <w:p w14:paraId="47B7F796" w14:textId="77777777" w:rsidR="00950C34" w:rsidRDefault="00950C34" w:rsidP="00FA7B33">
            <w:pPr>
              <w:spacing w:before="20" w:after="20"/>
              <w:rPr>
                <w:noProof/>
                <w:sz w:val="18"/>
              </w:rPr>
            </w:pPr>
            <w:r>
              <w:rPr>
                <w:noProof/>
                <w:sz w:val="18"/>
              </w:rPr>
              <w:t>Payments</w:t>
            </w:r>
          </w:p>
        </w:tc>
        <w:tc>
          <w:tcPr>
            <w:tcW w:w="816" w:type="dxa"/>
            <w:gridSpan w:val="2"/>
            <w:tcBorders>
              <w:top w:val="single" w:sz="4" w:space="0" w:color="auto"/>
              <w:left w:val="single" w:sz="4" w:space="0" w:color="auto"/>
              <w:bottom w:val="single" w:sz="4" w:space="0" w:color="auto"/>
              <w:right w:val="single" w:sz="4" w:space="0" w:color="auto"/>
            </w:tcBorders>
            <w:vAlign w:val="center"/>
          </w:tcPr>
          <w:p w14:paraId="77A2194B" w14:textId="77777777" w:rsidR="00950C34" w:rsidRDefault="00950C34" w:rsidP="00FA7B33">
            <w:pPr>
              <w:spacing w:before="20" w:after="20"/>
              <w:jc w:val="center"/>
              <w:rPr>
                <w:noProof/>
                <w:sz w:val="14"/>
              </w:rPr>
            </w:pPr>
            <w:r>
              <w:rPr>
                <w:noProof/>
                <w:sz w:val="14"/>
              </w:rPr>
              <w:t>(2a)</w:t>
            </w:r>
          </w:p>
        </w:tc>
        <w:tc>
          <w:tcPr>
            <w:tcW w:w="977" w:type="dxa"/>
            <w:tcBorders>
              <w:top w:val="single" w:sz="4" w:space="0" w:color="auto"/>
              <w:left w:val="single" w:sz="4" w:space="0" w:color="auto"/>
              <w:bottom w:val="single" w:sz="4" w:space="0" w:color="auto"/>
              <w:right w:val="single" w:sz="4" w:space="0" w:color="auto"/>
            </w:tcBorders>
            <w:vAlign w:val="center"/>
          </w:tcPr>
          <w:p w14:paraId="20B1505A" w14:textId="77777777" w:rsidR="00950C34" w:rsidRDefault="00950C34" w:rsidP="00FA7B33">
            <w:pPr>
              <w:spacing w:before="20" w:after="20"/>
              <w:jc w:val="right"/>
              <w:rPr>
                <w:noProof/>
                <w:sz w:val="20"/>
              </w:rPr>
            </w:pPr>
          </w:p>
        </w:tc>
        <w:tc>
          <w:tcPr>
            <w:tcW w:w="1115" w:type="dxa"/>
            <w:gridSpan w:val="2"/>
            <w:tcBorders>
              <w:top w:val="single" w:sz="4" w:space="0" w:color="auto"/>
              <w:left w:val="single" w:sz="4" w:space="0" w:color="auto"/>
              <w:bottom w:val="single" w:sz="4" w:space="0" w:color="auto"/>
              <w:right w:val="single" w:sz="4" w:space="0" w:color="auto"/>
            </w:tcBorders>
            <w:vAlign w:val="center"/>
          </w:tcPr>
          <w:p w14:paraId="4D645B25" w14:textId="77777777" w:rsidR="00950C34" w:rsidRPr="00C17B39" w:rsidRDefault="00950C34" w:rsidP="00FA7B33">
            <w:pPr>
              <w:spacing w:before="20" w:after="20"/>
              <w:jc w:val="center"/>
              <w:rPr>
                <w:noProof/>
                <w:sz w:val="18"/>
                <w:szCs w:val="18"/>
              </w:rPr>
            </w:pPr>
            <w:r w:rsidRPr="73214799">
              <w:rPr>
                <w:noProof/>
                <w:sz w:val="18"/>
                <w:szCs w:val="18"/>
              </w:rPr>
              <w:t>625,000</w:t>
            </w:r>
          </w:p>
        </w:tc>
        <w:tc>
          <w:tcPr>
            <w:tcW w:w="1253" w:type="dxa"/>
            <w:gridSpan w:val="2"/>
            <w:tcBorders>
              <w:top w:val="single" w:sz="4" w:space="0" w:color="auto"/>
              <w:left w:val="single" w:sz="4" w:space="0" w:color="auto"/>
              <w:bottom w:val="single" w:sz="4" w:space="0" w:color="auto"/>
              <w:right w:val="single" w:sz="4" w:space="0" w:color="auto"/>
            </w:tcBorders>
            <w:vAlign w:val="center"/>
          </w:tcPr>
          <w:p w14:paraId="1E097B1A" w14:textId="77777777" w:rsidR="00950C34" w:rsidRPr="00C17B39" w:rsidRDefault="00950C34" w:rsidP="00FA7B33">
            <w:pPr>
              <w:spacing w:before="20" w:after="20"/>
              <w:jc w:val="center"/>
              <w:rPr>
                <w:noProof/>
                <w:sz w:val="18"/>
                <w:szCs w:val="18"/>
              </w:rPr>
            </w:pPr>
            <w:r w:rsidRPr="73214799">
              <w:rPr>
                <w:noProof/>
                <w:sz w:val="18"/>
                <w:szCs w:val="18"/>
              </w:rPr>
              <w:t>625,000</w:t>
            </w:r>
          </w:p>
        </w:tc>
        <w:tc>
          <w:tcPr>
            <w:tcW w:w="1393" w:type="dxa"/>
            <w:gridSpan w:val="3"/>
            <w:tcBorders>
              <w:top w:val="single" w:sz="4" w:space="0" w:color="auto"/>
              <w:left w:val="single" w:sz="4" w:space="0" w:color="auto"/>
              <w:bottom w:val="single" w:sz="4" w:space="0" w:color="auto"/>
              <w:right w:val="single" w:sz="4" w:space="0" w:color="auto"/>
            </w:tcBorders>
            <w:vAlign w:val="center"/>
          </w:tcPr>
          <w:p w14:paraId="6CC4540F" w14:textId="77777777" w:rsidR="00950C34" w:rsidRPr="00C17B39" w:rsidRDefault="00950C34" w:rsidP="00FA7B33">
            <w:pPr>
              <w:spacing w:before="20" w:after="20"/>
              <w:jc w:val="center"/>
              <w:rPr>
                <w:noProof/>
                <w:sz w:val="18"/>
                <w:szCs w:val="18"/>
              </w:rPr>
            </w:pPr>
            <w:r w:rsidRPr="73214799">
              <w:rPr>
                <w:noProof/>
                <w:sz w:val="18"/>
                <w:szCs w:val="18"/>
              </w:rPr>
              <w:t>625,000</w:t>
            </w:r>
          </w:p>
        </w:tc>
        <w:tc>
          <w:tcPr>
            <w:tcW w:w="1392" w:type="dxa"/>
            <w:gridSpan w:val="2"/>
            <w:tcBorders>
              <w:top w:val="single" w:sz="4" w:space="0" w:color="auto"/>
              <w:left w:val="single" w:sz="4" w:space="0" w:color="auto"/>
              <w:bottom w:val="single" w:sz="4" w:space="0" w:color="auto"/>
              <w:right w:val="single" w:sz="4" w:space="0" w:color="auto"/>
            </w:tcBorders>
            <w:vAlign w:val="center"/>
          </w:tcPr>
          <w:p w14:paraId="42D9A575" w14:textId="77777777" w:rsidR="00950C34" w:rsidRPr="00C17B39" w:rsidRDefault="00950C34" w:rsidP="00FA7B33">
            <w:pPr>
              <w:spacing w:before="20" w:after="20"/>
              <w:jc w:val="center"/>
              <w:rPr>
                <w:noProof/>
                <w:sz w:val="18"/>
                <w:szCs w:val="18"/>
              </w:rPr>
            </w:pPr>
            <w:r w:rsidRPr="73214799">
              <w:rPr>
                <w:noProof/>
                <w:sz w:val="18"/>
                <w:szCs w:val="18"/>
              </w:rPr>
              <w:t>625,000</w:t>
            </w:r>
          </w:p>
        </w:tc>
        <w:tc>
          <w:tcPr>
            <w:tcW w:w="1799" w:type="dxa"/>
            <w:tcBorders>
              <w:top w:val="single" w:sz="4" w:space="0" w:color="auto"/>
              <w:left w:val="single" w:sz="4" w:space="0" w:color="auto"/>
              <w:bottom w:val="single" w:sz="4" w:space="0" w:color="auto"/>
              <w:right w:val="single" w:sz="4" w:space="0" w:color="auto"/>
            </w:tcBorders>
            <w:vAlign w:val="center"/>
          </w:tcPr>
          <w:p w14:paraId="32AD4376" w14:textId="77777777" w:rsidR="00950C34" w:rsidRDefault="00950C34" w:rsidP="00FA7B33">
            <w:pPr>
              <w:spacing w:before="20" w:after="20"/>
              <w:jc w:val="center"/>
              <w:rPr>
                <w:b/>
                <w:bCs/>
                <w:noProof/>
                <w:sz w:val="20"/>
                <w:szCs w:val="20"/>
              </w:rPr>
            </w:pPr>
            <w:r>
              <w:rPr>
                <w:b/>
                <w:bCs/>
                <w:noProof/>
                <w:sz w:val="20"/>
                <w:szCs w:val="20"/>
              </w:rPr>
              <w:t>2 630,000*</w:t>
            </w:r>
          </w:p>
        </w:tc>
      </w:tr>
    </w:tbl>
    <w:p w14:paraId="2ACB4426" w14:textId="77777777" w:rsidR="00950C34" w:rsidRDefault="00950C34" w:rsidP="00950C34">
      <w:pPr>
        <w:rPr>
          <w:noProof/>
          <w:sz w:val="16"/>
          <w:szCs w:val="16"/>
        </w:rPr>
      </w:pPr>
      <w:r w:rsidRPr="37FE49D3">
        <w:rPr>
          <w:noProof/>
          <w:sz w:val="16"/>
          <w:szCs w:val="16"/>
        </w:rPr>
        <w:t xml:space="preserve">* of which </w:t>
      </w:r>
      <w:r>
        <w:rPr>
          <w:noProof/>
          <w:sz w:val="16"/>
          <w:szCs w:val="16"/>
        </w:rPr>
        <w:t xml:space="preserve">an estimated amount of </w:t>
      </w:r>
      <w:r w:rsidRPr="37FE49D3">
        <w:rPr>
          <w:noProof/>
          <w:sz w:val="16"/>
          <w:szCs w:val="16"/>
        </w:rPr>
        <w:t>EUR 130 million of assigned revenue stemming from the European Innovation Council Pilot under Horizon 2020</w:t>
      </w:r>
      <w:r>
        <w:rPr>
          <w:noProof/>
          <w:sz w:val="16"/>
          <w:szCs w:val="16"/>
        </w:rPr>
        <w:t>, for which the annual profile cannot be known in advance</w:t>
      </w:r>
      <w:r w:rsidRPr="37FE49D3">
        <w:rPr>
          <w:noProof/>
          <w:sz w:val="16"/>
          <w:szCs w:val="16"/>
        </w:rPr>
        <w:t>.</w:t>
      </w:r>
    </w:p>
    <w:p w14:paraId="53023155" w14:textId="77777777" w:rsidR="00950C34" w:rsidRDefault="00950C34" w:rsidP="00950C34">
      <w:pPr>
        <w:rPr>
          <w:noProof/>
          <w:sz w:val="16"/>
          <w:szCs w:val="16"/>
        </w:rPr>
      </w:pPr>
    </w:p>
    <w:tbl>
      <w:tblPr>
        <w:tblW w:w="1226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4"/>
        <w:gridCol w:w="1296"/>
        <w:gridCol w:w="709"/>
        <w:gridCol w:w="850"/>
        <w:gridCol w:w="851"/>
        <w:gridCol w:w="850"/>
        <w:gridCol w:w="992"/>
        <w:gridCol w:w="851"/>
        <w:gridCol w:w="1985"/>
      </w:tblGrid>
      <w:tr w:rsidR="00950C34" w14:paraId="6EB0E483" w14:textId="77777777" w:rsidTr="00FA7B33">
        <w:tc>
          <w:tcPr>
            <w:tcW w:w="3884" w:type="dxa"/>
            <w:vAlign w:val="center"/>
          </w:tcPr>
          <w:p w14:paraId="162B6751" w14:textId="77777777" w:rsidR="00950C34" w:rsidRDefault="00950C34" w:rsidP="00FA7B33">
            <w:pPr>
              <w:jc w:val="center"/>
              <w:rPr>
                <w:noProof/>
                <w:sz w:val="22"/>
              </w:rPr>
            </w:pPr>
            <w:r w:rsidRPr="078E3620">
              <w:rPr>
                <w:noProof/>
                <w:sz w:val="22"/>
              </w:rPr>
              <w:t>DG: ECFIN</w:t>
            </w:r>
          </w:p>
        </w:tc>
        <w:tc>
          <w:tcPr>
            <w:tcW w:w="1296" w:type="dxa"/>
          </w:tcPr>
          <w:p w14:paraId="1A275550" w14:textId="77777777" w:rsidR="00950C34" w:rsidRDefault="00950C34" w:rsidP="00FA7B33">
            <w:pPr>
              <w:rPr>
                <w:noProof/>
                <w:sz w:val="20"/>
              </w:rPr>
            </w:pPr>
          </w:p>
        </w:tc>
        <w:tc>
          <w:tcPr>
            <w:tcW w:w="709" w:type="dxa"/>
          </w:tcPr>
          <w:p w14:paraId="72008B17" w14:textId="77777777" w:rsidR="00950C34" w:rsidRDefault="00950C34" w:rsidP="00FA7B33">
            <w:pPr>
              <w:jc w:val="center"/>
              <w:rPr>
                <w:noProof/>
                <w:sz w:val="20"/>
              </w:rPr>
            </w:pPr>
          </w:p>
        </w:tc>
        <w:tc>
          <w:tcPr>
            <w:tcW w:w="850" w:type="dxa"/>
            <w:vAlign w:val="center"/>
          </w:tcPr>
          <w:p w14:paraId="19E4F7EE" w14:textId="77777777" w:rsidR="00950C34" w:rsidRDefault="00950C34" w:rsidP="00FA7B33">
            <w:pPr>
              <w:jc w:val="center"/>
              <w:rPr>
                <w:noProof/>
                <w:sz w:val="20"/>
              </w:rPr>
            </w:pPr>
            <w:r>
              <w:rPr>
                <w:noProof/>
                <w:sz w:val="20"/>
              </w:rPr>
              <w:t>2023</w:t>
            </w:r>
          </w:p>
        </w:tc>
        <w:tc>
          <w:tcPr>
            <w:tcW w:w="851" w:type="dxa"/>
            <w:vAlign w:val="center"/>
          </w:tcPr>
          <w:p w14:paraId="000821A2" w14:textId="77777777" w:rsidR="00950C34" w:rsidRDefault="00950C34" w:rsidP="00FA7B33">
            <w:pPr>
              <w:jc w:val="center"/>
              <w:rPr>
                <w:noProof/>
                <w:sz w:val="20"/>
              </w:rPr>
            </w:pPr>
            <w:r>
              <w:rPr>
                <w:noProof/>
                <w:sz w:val="20"/>
              </w:rPr>
              <w:t>2024</w:t>
            </w:r>
          </w:p>
        </w:tc>
        <w:tc>
          <w:tcPr>
            <w:tcW w:w="850" w:type="dxa"/>
            <w:vAlign w:val="center"/>
          </w:tcPr>
          <w:p w14:paraId="52FEF1DB" w14:textId="77777777" w:rsidR="00950C34" w:rsidRDefault="00950C34" w:rsidP="00FA7B33">
            <w:pPr>
              <w:jc w:val="center"/>
              <w:rPr>
                <w:noProof/>
                <w:sz w:val="20"/>
              </w:rPr>
            </w:pPr>
            <w:r>
              <w:rPr>
                <w:noProof/>
                <w:sz w:val="20"/>
              </w:rPr>
              <w:t>2025</w:t>
            </w:r>
          </w:p>
        </w:tc>
        <w:tc>
          <w:tcPr>
            <w:tcW w:w="992" w:type="dxa"/>
            <w:vAlign w:val="center"/>
          </w:tcPr>
          <w:p w14:paraId="19914CA2" w14:textId="77777777" w:rsidR="00950C34" w:rsidRDefault="00950C34" w:rsidP="00FA7B33">
            <w:pPr>
              <w:jc w:val="center"/>
              <w:rPr>
                <w:noProof/>
                <w:sz w:val="20"/>
              </w:rPr>
            </w:pPr>
            <w:r w:rsidRPr="008F27C3">
              <w:rPr>
                <w:noProof/>
                <w:sz w:val="20"/>
              </w:rPr>
              <w:t>2026</w:t>
            </w:r>
          </w:p>
        </w:tc>
        <w:tc>
          <w:tcPr>
            <w:tcW w:w="851" w:type="dxa"/>
            <w:vAlign w:val="center"/>
          </w:tcPr>
          <w:p w14:paraId="76359D71" w14:textId="77777777" w:rsidR="00950C34" w:rsidRPr="008F27C3" w:rsidDel="00A23603" w:rsidRDefault="00950C34" w:rsidP="00FA7B33">
            <w:pPr>
              <w:jc w:val="center"/>
              <w:rPr>
                <w:noProof/>
                <w:sz w:val="18"/>
                <w:lang w:val="en-IE"/>
              </w:rPr>
            </w:pPr>
            <w:r w:rsidRPr="008F27C3">
              <w:rPr>
                <w:noProof/>
                <w:sz w:val="18"/>
                <w:lang w:val="en-IE"/>
              </w:rPr>
              <w:t>2027</w:t>
            </w:r>
          </w:p>
        </w:tc>
        <w:tc>
          <w:tcPr>
            <w:tcW w:w="1985" w:type="dxa"/>
            <w:vAlign w:val="center"/>
          </w:tcPr>
          <w:p w14:paraId="01E5F9E8" w14:textId="77777777" w:rsidR="00950C34" w:rsidRDefault="00950C34" w:rsidP="00FA7B33">
            <w:pPr>
              <w:jc w:val="center"/>
              <w:rPr>
                <w:b/>
                <w:noProof/>
                <w:sz w:val="20"/>
              </w:rPr>
            </w:pPr>
            <w:r>
              <w:rPr>
                <w:b/>
                <w:noProof/>
                <w:sz w:val="20"/>
              </w:rPr>
              <w:t>TOTAL</w:t>
            </w:r>
          </w:p>
        </w:tc>
      </w:tr>
      <w:tr w:rsidR="00950C34" w14:paraId="3D91CC65" w14:textId="77777777" w:rsidTr="00FA7B33">
        <w:trPr>
          <w:trHeight w:val="213"/>
        </w:trPr>
        <w:tc>
          <w:tcPr>
            <w:tcW w:w="5889" w:type="dxa"/>
            <w:gridSpan w:val="3"/>
            <w:vAlign w:val="center"/>
          </w:tcPr>
          <w:p w14:paraId="133B6E61" w14:textId="77777777" w:rsidR="00950C34" w:rsidRDefault="00950C34" w:rsidP="00FA7B33">
            <w:pPr>
              <w:spacing w:before="20" w:after="20"/>
              <w:rPr>
                <w:noProof/>
                <w:sz w:val="21"/>
              </w:rPr>
            </w:pPr>
            <w:r>
              <w:rPr>
                <w:rFonts w:ascii="Wingdings" w:eastAsia="Wingdings" w:hAnsi="Wingdings" w:cs="Wingdings"/>
                <w:noProof/>
                <w:sz w:val="21"/>
              </w:rPr>
              <w:t>□</w:t>
            </w:r>
            <w:r>
              <w:rPr>
                <w:noProof/>
                <w:sz w:val="21"/>
              </w:rPr>
              <w:t xml:space="preserve"> Operational appropriations </w:t>
            </w:r>
          </w:p>
        </w:tc>
        <w:tc>
          <w:tcPr>
            <w:tcW w:w="850" w:type="dxa"/>
            <w:vAlign w:val="center"/>
          </w:tcPr>
          <w:p w14:paraId="6A06424C" w14:textId="77777777" w:rsidR="00950C34" w:rsidRDefault="00950C34" w:rsidP="00FA7B33">
            <w:pPr>
              <w:rPr>
                <w:noProof/>
                <w:sz w:val="20"/>
              </w:rPr>
            </w:pPr>
          </w:p>
        </w:tc>
        <w:tc>
          <w:tcPr>
            <w:tcW w:w="851" w:type="dxa"/>
            <w:vAlign w:val="center"/>
          </w:tcPr>
          <w:p w14:paraId="0D2A4D42" w14:textId="77777777" w:rsidR="00950C34" w:rsidRDefault="00950C34" w:rsidP="00FA7B33">
            <w:pPr>
              <w:rPr>
                <w:noProof/>
                <w:sz w:val="20"/>
              </w:rPr>
            </w:pPr>
          </w:p>
        </w:tc>
        <w:tc>
          <w:tcPr>
            <w:tcW w:w="850" w:type="dxa"/>
            <w:vAlign w:val="center"/>
          </w:tcPr>
          <w:p w14:paraId="2AE282D1" w14:textId="77777777" w:rsidR="00950C34" w:rsidRDefault="00950C34" w:rsidP="00FA7B33">
            <w:pPr>
              <w:rPr>
                <w:noProof/>
                <w:sz w:val="20"/>
              </w:rPr>
            </w:pPr>
          </w:p>
        </w:tc>
        <w:tc>
          <w:tcPr>
            <w:tcW w:w="992" w:type="dxa"/>
            <w:vAlign w:val="center"/>
          </w:tcPr>
          <w:p w14:paraId="4EC15B59" w14:textId="77777777" w:rsidR="00950C34" w:rsidRDefault="00950C34" w:rsidP="00FA7B33">
            <w:pPr>
              <w:rPr>
                <w:noProof/>
                <w:sz w:val="20"/>
              </w:rPr>
            </w:pPr>
          </w:p>
        </w:tc>
        <w:tc>
          <w:tcPr>
            <w:tcW w:w="851" w:type="dxa"/>
            <w:vAlign w:val="center"/>
          </w:tcPr>
          <w:p w14:paraId="6ADA53D9" w14:textId="77777777" w:rsidR="00950C34" w:rsidRDefault="00950C34" w:rsidP="00FA7B33">
            <w:pPr>
              <w:rPr>
                <w:noProof/>
                <w:sz w:val="20"/>
              </w:rPr>
            </w:pPr>
          </w:p>
        </w:tc>
        <w:tc>
          <w:tcPr>
            <w:tcW w:w="1985" w:type="dxa"/>
            <w:vAlign w:val="center"/>
          </w:tcPr>
          <w:p w14:paraId="54CFA8F6" w14:textId="77777777" w:rsidR="00950C34" w:rsidRDefault="00950C34" w:rsidP="00FA7B33">
            <w:pPr>
              <w:jc w:val="center"/>
              <w:rPr>
                <w:b/>
                <w:noProof/>
                <w:sz w:val="20"/>
              </w:rPr>
            </w:pPr>
          </w:p>
        </w:tc>
      </w:tr>
      <w:tr w:rsidR="00950C34" w14:paraId="53AF37A8" w14:textId="77777777" w:rsidTr="00FA7B33">
        <w:trPr>
          <w:trHeight w:val="277"/>
        </w:trPr>
        <w:tc>
          <w:tcPr>
            <w:tcW w:w="3884" w:type="dxa"/>
            <w:vMerge w:val="restart"/>
            <w:tcBorders>
              <w:top w:val="single" w:sz="4" w:space="0" w:color="auto"/>
              <w:left w:val="single" w:sz="4" w:space="0" w:color="auto"/>
              <w:bottom w:val="single" w:sz="4" w:space="0" w:color="auto"/>
              <w:right w:val="single" w:sz="4" w:space="0" w:color="auto"/>
            </w:tcBorders>
            <w:vAlign w:val="center"/>
          </w:tcPr>
          <w:p w14:paraId="1D5B0F2B" w14:textId="77777777" w:rsidR="00950C34" w:rsidRDefault="00950C34" w:rsidP="00FA7B33">
            <w:pPr>
              <w:rPr>
                <w:noProof/>
                <w:sz w:val="20"/>
                <w:szCs w:val="20"/>
              </w:rPr>
            </w:pPr>
            <w:r w:rsidRPr="078E3620">
              <w:rPr>
                <w:noProof/>
                <w:sz w:val="20"/>
                <w:szCs w:val="20"/>
              </w:rPr>
              <w:t>02.0202 - Provisioning of InvestEU Guarantee</w:t>
            </w:r>
          </w:p>
        </w:tc>
        <w:tc>
          <w:tcPr>
            <w:tcW w:w="1296" w:type="dxa"/>
            <w:tcBorders>
              <w:top w:val="single" w:sz="4" w:space="0" w:color="auto"/>
              <w:left w:val="single" w:sz="4" w:space="0" w:color="auto"/>
              <w:bottom w:val="single" w:sz="4" w:space="0" w:color="auto"/>
              <w:right w:val="single" w:sz="4" w:space="0" w:color="auto"/>
            </w:tcBorders>
            <w:vAlign w:val="center"/>
          </w:tcPr>
          <w:p w14:paraId="49619B3E" w14:textId="77777777" w:rsidR="00950C34" w:rsidRDefault="00950C34" w:rsidP="00FA7B33">
            <w:pPr>
              <w:spacing w:before="20" w:after="20"/>
              <w:rPr>
                <w:noProof/>
                <w:sz w:val="18"/>
              </w:rPr>
            </w:pPr>
            <w:r>
              <w:rPr>
                <w:noProof/>
                <w:sz w:val="18"/>
              </w:rPr>
              <w:t>Commitments</w:t>
            </w:r>
          </w:p>
        </w:tc>
        <w:tc>
          <w:tcPr>
            <w:tcW w:w="709" w:type="dxa"/>
            <w:tcBorders>
              <w:top w:val="single" w:sz="4" w:space="0" w:color="auto"/>
              <w:left w:val="single" w:sz="4" w:space="0" w:color="auto"/>
              <w:bottom w:val="single" w:sz="4" w:space="0" w:color="auto"/>
              <w:right w:val="single" w:sz="4" w:space="0" w:color="auto"/>
            </w:tcBorders>
            <w:vAlign w:val="center"/>
          </w:tcPr>
          <w:p w14:paraId="408D8353" w14:textId="77777777" w:rsidR="00950C34" w:rsidRDefault="00950C34" w:rsidP="00FA7B33">
            <w:pPr>
              <w:spacing w:before="20" w:after="20"/>
              <w:jc w:val="center"/>
              <w:rPr>
                <w:noProof/>
                <w:sz w:val="14"/>
              </w:rPr>
            </w:pPr>
            <w:r>
              <w:rPr>
                <w:noProof/>
                <w:sz w:val="14"/>
              </w:rPr>
              <w:t>(1a)</w:t>
            </w:r>
          </w:p>
        </w:tc>
        <w:tc>
          <w:tcPr>
            <w:tcW w:w="850" w:type="dxa"/>
            <w:tcBorders>
              <w:top w:val="single" w:sz="4" w:space="0" w:color="auto"/>
              <w:left w:val="single" w:sz="4" w:space="0" w:color="auto"/>
              <w:bottom w:val="single" w:sz="4" w:space="0" w:color="auto"/>
              <w:right w:val="single" w:sz="4" w:space="0" w:color="auto"/>
            </w:tcBorders>
            <w:vAlign w:val="center"/>
          </w:tcPr>
          <w:p w14:paraId="0FF3CCEA" w14:textId="77777777" w:rsidR="00950C34" w:rsidRDefault="00950C34" w:rsidP="00FA7B33">
            <w:pPr>
              <w:spacing w:before="20" w:after="20"/>
              <w:jc w:val="right"/>
              <w:rPr>
                <w:noProof/>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1708E49C" w14:textId="77777777" w:rsidR="00950C34" w:rsidRPr="008C6F37" w:rsidRDefault="00950C34" w:rsidP="00FA7B33">
            <w:pPr>
              <w:spacing w:before="20" w:after="20"/>
              <w:jc w:val="center"/>
              <w:rPr>
                <w:noProof/>
                <w:sz w:val="18"/>
                <w:szCs w:val="18"/>
              </w:rPr>
            </w:pPr>
            <w:r w:rsidRPr="008C6F37">
              <w:rPr>
                <w:noProof/>
                <w:sz w:val="18"/>
                <w:szCs w:val="18"/>
              </w:rPr>
              <w:t>750,000</w:t>
            </w:r>
          </w:p>
        </w:tc>
        <w:tc>
          <w:tcPr>
            <w:tcW w:w="850" w:type="dxa"/>
            <w:tcBorders>
              <w:top w:val="single" w:sz="4" w:space="0" w:color="auto"/>
              <w:left w:val="single" w:sz="4" w:space="0" w:color="auto"/>
              <w:bottom w:val="single" w:sz="4" w:space="0" w:color="auto"/>
              <w:right w:val="single" w:sz="4" w:space="0" w:color="auto"/>
            </w:tcBorders>
            <w:vAlign w:val="center"/>
          </w:tcPr>
          <w:p w14:paraId="4B36DF9B" w14:textId="77777777" w:rsidR="00950C34" w:rsidRDefault="00950C34" w:rsidP="00FA7B33">
            <w:pPr>
              <w:spacing w:before="20" w:after="20"/>
              <w:jc w:val="center"/>
              <w:rPr>
                <w:noProof/>
              </w:rPr>
            </w:pPr>
            <w:r w:rsidRPr="008C6F37">
              <w:rPr>
                <w:noProof/>
                <w:sz w:val="18"/>
                <w:szCs w:val="18"/>
              </w:rPr>
              <w:t>750,000</w:t>
            </w:r>
          </w:p>
        </w:tc>
        <w:tc>
          <w:tcPr>
            <w:tcW w:w="992" w:type="dxa"/>
            <w:tcBorders>
              <w:top w:val="single" w:sz="4" w:space="0" w:color="auto"/>
              <w:left w:val="single" w:sz="4" w:space="0" w:color="auto"/>
              <w:bottom w:val="single" w:sz="4" w:space="0" w:color="auto"/>
              <w:right w:val="single" w:sz="4" w:space="0" w:color="auto"/>
            </w:tcBorders>
            <w:vAlign w:val="center"/>
          </w:tcPr>
          <w:p w14:paraId="132D1A39" w14:textId="77777777" w:rsidR="00950C34" w:rsidRDefault="00950C34" w:rsidP="00FA7B33">
            <w:pPr>
              <w:spacing w:before="20" w:after="20"/>
              <w:jc w:val="center"/>
              <w:rPr>
                <w:noProof/>
              </w:rPr>
            </w:pPr>
            <w:r w:rsidRPr="008C6F37">
              <w:rPr>
                <w:noProof/>
                <w:sz w:val="18"/>
                <w:szCs w:val="18"/>
              </w:rPr>
              <w:t>750,000</w:t>
            </w:r>
          </w:p>
        </w:tc>
        <w:tc>
          <w:tcPr>
            <w:tcW w:w="851" w:type="dxa"/>
            <w:tcBorders>
              <w:top w:val="single" w:sz="4" w:space="0" w:color="auto"/>
              <w:left w:val="single" w:sz="4" w:space="0" w:color="auto"/>
              <w:bottom w:val="single" w:sz="4" w:space="0" w:color="auto"/>
              <w:right w:val="single" w:sz="4" w:space="0" w:color="auto"/>
            </w:tcBorders>
            <w:vAlign w:val="center"/>
          </w:tcPr>
          <w:p w14:paraId="4453B92D" w14:textId="77777777" w:rsidR="00950C34" w:rsidRDefault="00950C34" w:rsidP="00FA7B33">
            <w:pPr>
              <w:spacing w:before="20" w:after="20"/>
              <w:jc w:val="center"/>
              <w:rPr>
                <w:noProof/>
              </w:rPr>
            </w:pPr>
            <w:r w:rsidRPr="008C6F37">
              <w:rPr>
                <w:noProof/>
                <w:sz w:val="18"/>
                <w:szCs w:val="18"/>
              </w:rPr>
              <w:t>750,000</w:t>
            </w:r>
          </w:p>
        </w:tc>
        <w:tc>
          <w:tcPr>
            <w:tcW w:w="1985" w:type="dxa"/>
            <w:tcBorders>
              <w:top w:val="single" w:sz="4" w:space="0" w:color="auto"/>
              <w:left w:val="single" w:sz="4" w:space="0" w:color="auto"/>
              <w:bottom w:val="single" w:sz="4" w:space="0" w:color="auto"/>
              <w:right w:val="single" w:sz="4" w:space="0" w:color="auto"/>
            </w:tcBorders>
            <w:vAlign w:val="center"/>
          </w:tcPr>
          <w:p w14:paraId="5AF3BD3A" w14:textId="77777777" w:rsidR="00950C34" w:rsidRDefault="00950C34" w:rsidP="00FA7B33">
            <w:pPr>
              <w:spacing w:before="20" w:after="20"/>
              <w:jc w:val="center"/>
              <w:rPr>
                <w:noProof/>
              </w:rPr>
            </w:pPr>
            <w:r w:rsidRPr="07CF7B8C">
              <w:rPr>
                <w:b/>
                <w:bCs/>
                <w:noProof/>
                <w:sz w:val="20"/>
                <w:szCs w:val="20"/>
              </w:rPr>
              <w:t>3000</w:t>
            </w:r>
            <w:r>
              <w:rPr>
                <w:b/>
                <w:bCs/>
                <w:noProof/>
                <w:sz w:val="20"/>
                <w:szCs w:val="20"/>
              </w:rPr>
              <w:t>,000</w:t>
            </w:r>
          </w:p>
        </w:tc>
      </w:tr>
      <w:tr w:rsidR="00950C34" w14:paraId="072522B7" w14:textId="77777777" w:rsidTr="00FA7B33">
        <w:trPr>
          <w:trHeight w:val="300"/>
        </w:trPr>
        <w:tc>
          <w:tcPr>
            <w:tcW w:w="3884" w:type="dxa"/>
            <w:vMerge/>
          </w:tcPr>
          <w:p w14:paraId="03F6FCDB" w14:textId="77777777" w:rsidR="00950C34" w:rsidRDefault="00950C34" w:rsidP="00FA7B33">
            <w:pPr>
              <w:jc w:val="center"/>
              <w:rPr>
                <w:noProof/>
                <w:sz w:val="20"/>
              </w:rPr>
            </w:pPr>
          </w:p>
        </w:tc>
        <w:tc>
          <w:tcPr>
            <w:tcW w:w="1296" w:type="dxa"/>
            <w:tcBorders>
              <w:top w:val="single" w:sz="4" w:space="0" w:color="auto"/>
              <w:left w:val="single" w:sz="4" w:space="0" w:color="auto"/>
              <w:bottom w:val="single" w:sz="4" w:space="0" w:color="auto"/>
              <w:right w:val="single" w:sz="4" w:space="0" w:color="auto"/>
            </w:tcBorders>
            <w:vAlign w:val="center"/>
          </w:tcPr>
          <w:p w14:paraId="354F0259" w14:textId="77777777" w:rsidR="00950C34" w:rsidRDefault="00950C34" w:rsidP="00FA7B33">
            <w:pPr>
              <w:spacing w:before="20" w:after="20"/>
              <w:rPr>
                <w:noProof/>
                <w:sz w:val="18"/>
              </w:rPr>
            </w:pPr>
            <w:r>
              <w:rPr>
                <w:noProof/>
                <w:sz w:val="18"/>
              </w:rPr>
              <w:t>Payments</w:t>
            </w:r>
          </w:p>
        </w:tc>
        <w:tc>
          <w:tcPr>
            <w:tcW w:w="709" w:type="dxa"/>
            <w:tcBorders>
              <w:top w:val="single" w:sz="4" w:space="0" w:color="auto"/>
              <w:left w:val="single" w:sz="4" w:space="0" w:color="auto"/>
              <w:bottom w:val="single" w:sz="4" w:space="0" w:color="auto"/>
              <w:right w:val="single" w:sz="4" w:space="0" w:color="auto"/>
            </w:tcBorders>
            <w:vAlign w:val="center"/>
          </w:tcPr>
          <w:p w14:paraId="3319F14A" w14:textId="77777777" w:rsidR="00950C34" w:rsidRDefault="00950C34" w:rsidP="00FA7B33">
            <w:pPr>
              <w:spacing w:before="20" w:after="20"/>
              <w:jc w:val="center"/>
              <w:rPr>
                <w:noProof/>
                <w:sz w:val="14"/>
              </w:rPr>
            </w:pPr>
            <w:r>
              <w:rPr>
                <w:noProof/>
                <w:sz w:val="14"/>
              </w:rPr>
              <w:t>(2a)</w:t>
            </w:r>
          </w:p>
        </w:tc>
        <w:tc>
          <w:tcPr>
            <w:tcW w:w="850" w:type="dxa"/>
            <w:tcBorders>
              <w:top w:val="single" w:sz="4" w:space="0" w:color="auto"/>
              <w:left w:val="single" w:sz="4" w:space="0" w:color="auto"/>
              <w:bottom w:val="single" w:sz="4" w:space="0" w:color="auto"/>
              <w:right w:val="single" w:sz="4" w:space="0" w:color="auto"/>
            </w:tcBorders>
            <w:vAlign w:val="center"/>
          </w:tcPr>
          <w:p w14:paraId="054A7F60" w14:textId="77777777" w:rsidR="00950C34" w:rsidRDefault="00950C34" w:rsidP="00FA7B33">
            <w:pPr>
              <w:spacing w:before="20" w:after="20"/>
              <w:jc w:val="right"/>
              <w:rPr>
                <w:noProof/>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16053109" w14:textId="77777777" w:rsidR="00950C34" w:rsidRDefault="00950C34" w:rsidP="00FA7B33">
            <w:pPr>
              <w:spacing w:before="20" w:after="20"/>
              <w:jc w:val="center"/>
              <w:rPr>
                <w:rFonts w:eastAsia="Times New Roman"/>
                <w:noProof/>
                <w:color w:val="000000" w:themeColor="text1"/>
                <w:sz w:val="18"/>
                <w:szCs w:val="18"/>
              </w:rPr>
            </w:pPr>
            <w:r w:rsidRPr="00BE6076">
              <w:rPr>
                <w:rFonts w:eastAsia="Segoe UI"/>
                <w:noProof/>
                <w:color w:val="000000" w:themeColor="text1"/>
                <w:sz w:val="18"/>
                <w:szCs w:val="18"/>
              </w:rPr>
              <w:t>750,000</w:t>
            </w:r>
          </w:p>
        </w:tc>
        <w:tc>
          <w:tcPr>
            <w:tcW w:w="850" w:type="dxa"/>
            <w:tcBorders>
              <w:top w:val="single" w:sz="4" w:space="0" w:color="auto"/>
              <w:left w:val="single" w:sz="4" w:space="0" w:color="auto"/>
              <w:bottom w:val="single" w:sz="4" w:space="0" w:color="auto"/>
              <w:right w:val="single" w:sz="4" w:space="0" w:color="auto"/>
            </w:tcBorders>
            <w:vAlign w:val="center"/>
          </w:tcPr>
          <w:p w14:paraId="6036F1B8" w14:textId="77777777" w:rsidR="00950C34" w:rsidRDefault="00950C34" w:rsidP="00FA7B33">
            <w:pPr>
              <w:spacing w:before="20" w:after="20"/>
              <w:jc w:val="center"/>
              <w:rPr>
                <w:rFonts w:eastAsia="Times New Roman"/>
                <w:noProof/>
                <w:color w:val="000000" w:themeColor="text1"/>
                <w:sz w:val="18"/>
                <w:szCs w:val="18"/>
              </w:rPr>
            </w:pPr>
            <w:r w:rsidRPr="00BE6076">
              <w:rPr>
                <w:rFonts w:eastAsia="Segoe UI"/>
                <w:noProof/>
                <w:color w:val="000000" w:themeColor="text1"/>
                <w:sz w:val="18"/>
                <w:szCs w:val="18"/>
              </w:rPr>
              <w:t>750,000</w:t>
            </w:r>
          </w:p>
        </w:tc>
        <w:tc>
          <w:tcPr>
            <w:tcW w:w="992" w:type="dxa"/>
            <w:tcBorders>
              <w:top w:val="single" w:sz="4" w:space="0" w:color="auto"/>
              <w:left w:val="single" w:sz="4" w:space="0" w:color="auto"/>
              <w:bottom w:val="single" w:sz="4" w:space="0" w:color="auto"/>
              <w:right w:val="single" w:sz="4" w:space="0" w:color="auto"/>
            </w:tcBorders>
            <w:vAlign w:val="center"/>
          </w:tcPr>
          <w:p w14:paraId="36E41CAD" w14:textId="77777777" w:rsidR="00950C34" w:rsidRDefault="00950C34" w:rsidP="00FA7B33">
            <w:pPr>
              <w:spacing w:before="20" w:after="20"/>
              <w:jc w:val="center"/>
              <w:rPr>
                <w:rFonts w:eastAsia="Times New Roman"/>
                <w:noProof/>
                <w:color w:val="000000" w:themeColor="text1"/>
                <w:sz w:val="18"/>
                <w:szCs w:val="18"/>
              </w:rPr>
            </w:pPr>
            <w:r w:rsidRPr="00BE6076">
              <w:rPr>
                <w:rFonts w:eastAsia="Segoe UI"/>
                <w:noProof/>
                <w:color w:val="000000" w:themeColor="text1"/>
                <w:sz w:val="18"/>
                <w:szCs w:val="18"/>
              </w:rPr>
              <w:t>750,000</w:t>
            </w:r>
          </w:p>
        </w:tc>
        <w:tc>
          <w:tcPr>
            <w:tcW w:w="851" w:type="dxa"/>
            <w:tcBorders>
              <w:top w:val="single" w:sz="4" w:space="0" w:color="auto"/>
              <w:left w:val="single" w:sz="4" w:space="0" w:color="auto"/>
              <w:bottom w:val="single" w:sz="4" w:space="0" w:color="auto"/>
              <w:right w:val="single" w:sz="4" w:space="0" w:color="auto"/>
            </w:tcBorders>
            <w:vAlign w:val="center"/>
          </w:tcPr>
          <w:p w14:paraId="682CE3D9" w14:textId="77777777" w:rsidR="00950C34" w:rsidRDefault="00950C34" w:rsidP="00FA7B33">
            <w:pPr>
              <w:spacing w:before="20" w:after="20"/>
              <w:jc w:val="center"/>
              <w:rPr>
                <w:rFonts w:eastAsia="Times New Roman"/>
                <w:noProof/>
                <w:color w:val="000000" w:themeColor="text1"/>
                <w:sz w:val="18"/>
                <w:szCs w:val="18"/>
              </w:rPr>
            </w:pPr>
            <w:r w:rsidRPr="00BE6076">
              <w:rPr>
                <w:rFonts w:eastAsia="Segoe UI"/>
                <w:noProof/>
                <w:color w:val="000000" w:themeColor="text1"/>
                <w:sz w:val="18"/>
                <w:szCs w:val="18"/>
              </w:rPr>
              <w:t>750,000</w:t>
            </w:r>
          </w:p>
        </w:tc>
        <w:tc>
          <w:tcPr>
            <w:tcW w:w="1985" w:type="dxa"/>
            <w:tcBorders>
              <w:top w:val="single" w:sz="4" w:space="0" w:color="auto"/>
              <w:left w:val="single" w:sz="4" w:space="0" w:color="auto"/>
              <w:bottom w:val="single" w:sz="4" w:space="0" w:color="auto"/>
              <w:right w:val="single" w:sz="4" w:space="0" w:color="auto"/>
            </w:tcBorders>
            <w:vAlign w:val="center"/>
          </w:tcPr>
          <w:p w14:paraId="1D2DF538" w14:textId="77777777" w:rsidR="00950C34" w:rsidRDefault="00950C34" w:rsidP="00FA7B33">
            <w:pPr>
              <w:spacing w:before="20" w:after="20"/>
              <w:jc w:val="center"/>
              <w:rPr>
                <w:noProof/>
              </w:rPr>
            </w:pPr>
            <w:r w:rsidRPr="47B354B7">
              <w:rPr>
                <w:b/>
                <w:bCs/>
                <w:noProof/>
                <w:sz w:val="20"/>
                <w:szCs w:val="20"/>
              </w:rPr>
              <w:t>3000</w:t>
            </w:r>
            <w:r>
              <w:rPr>
                <w:b/>
                <w:bCs/>
                <w:noProof/>
                <w:sz w:val="20"/>
                <w:szCs w:val="20"/>
              </w:rPr>
              <w:t>,000</w:t>
            </w:r>
          </w:p>
        </w:tc>
      </w:tr>
      <w:tr w:rsidR="00950C34" w:rsidRPr="003A769F" w14:paraId="0E89B29D" w14:textId="77777777" w:rsidTr="00FA7B33">
        <w:trPr>
          <w:trHeight w:val="231"/>
        </w:trPr>
        <w:tc>
          <w:tcPr>
            <w:tcW w:w="5889" w:type="dxa"/>
            <w:gridSpan w:val="3"/>
            <w:tcBorders>
              <w:top w:val="single" w:sz="4" w:space="0" w:color="auto"/>
              <w:left w:val="single" w:sz="4" w:space="0" w:color="auto"/>
              <w:bottom w:val="single" w:sz="4" w:space="0" w:color="auto"/>
              <w:right w:val="single" w:sz="4" w:space="0" w:color="auto"/>
            </w:tcBorders>
            <w:vAlign w:val="center"/>
          </w:tcPr>
          <w:p w14:paraId="36B170E4" w14:textId="77777777" w:rsidR="00950C34" w:rsidRPr="003A769F" w:rsidRDefault="00950C34" w:rsidP="00FA7B33">
            <w:pPr>
              <w:spacing w:before="20" w:after="20"/>
              <w:rPr>
                <w:noProof/>
                <w:lang w:val="en-IE"/>
              </w:rPr>
            </w:pPr>
            <w:r w:rsidRPr="00AF253B">
              <w:rPr>
                <w:noProof/>
                <w:sz w:val="20"/>
                <w:szCs w:val="20"/>
              </w:rPr>
              <w:t>Appropriations of an administrative nature financed from the envelope of specific programmes</w:t>
            </w:r>
            <w:r w:rsidRPr="005772CD">
              <w:rPr>
                <w:rStyle w:val="FootnoteReference"/>
                <w:noProof/>
                <w:sz w:val="20"/>
                <w:szCs w:val="21"/>
              </w:rPr>
              <w:footnoteReference w:id="79"/>
            </w:r>
            <w:r w:rsidRPr="078E3620">
              <w:rPr>
                <w:noProof/>
                <w:sz w:val="21"/>
                <w:szCs w:val="21"/>
                <w:lang w:val="en-IE"/>
              </w:rPr>
              <w:t xml:space="preserve"> </w:t>
            </w:r>
          </w:p>
          <w:p w14:paraId="5044AD53" w14:textId="77777777" w:rsidR="00950C34" w:rsidRPr="003A769F" w:rsidRDefault="00950C34" w:rsidP="00FA7B33">
            <w:pPr>
              <w:spacing w:before="0" w:after="0"/>
              <w:rPr>
                <w:noProof/>
                <w:lang w:val="en-IE"/>
              </w:rPr>
            </w:pPr>
          </w:p>
        </w:tc>
        <w:tc>
          <w:tcPr>
            <w:tcW w:w="850" w:type="dxa"/>
            <w:tcBorders>
              <w:top w:val="single" w:sz="4" w:space="0" w:color="auto"/>
              <w:left w:val="single" w:sz="4" w:space="0" w:color="auto"/>
              <w:bottom w:val="single" w:sz="4" w:space="0" w:color="auto"/>
              <w:right w:val="single" w:sz="4" w:space="0" w:color="auto"/>
            </w:tcBorders>
            <w:vAlign w:val="center"/>
          </w:tcPr>
          <w:p w14:paraId="75BA2277" w14:textId="77777777" w:rsidR="00950C34" w:rsidRPr="003A769F" w:rsidRDefault="00950C34" w:rsidP="00FA7B33">
            <w:pPr>
              <w:rPr>
                <w:b/>
                <w:noProof/>
                <w:sz w:val="20"/>
                <w:lang w:val="en-IE"/>
              </w:rPr>
            </w:pPr>
          </w:p>
        </w:tc>
        <w:tc>
          <w:tcPr>
            <w:tcW w:w="851" w:type="dxa"/>
            <w:tcBorders>
              <w:top w:val="single" w:sz="4" w:space="0" w:color="auto"/>
              <w:left w:val="single" w:sz="4" w:space="0" w:color="auto"/>
              <w:bottom w:val="single" w:sz="4" w:space="0" w:color="auto"/>
              <w:right w:val="single" w:sz="4" w:space="0" w:color="auto"/>
            </w:tcBorders>
            <w:vAlign w:val="center"/>
          </w:tcPr>
          <w:p w14:paraId="00C91CDB" w14:textId="77777777" w:rsidR="00950C34" w:rsidRPr="00BE6076" w:rsidRDefault="00950C34" w:rsidP="00FA7B33">
            <w:pPr>
              <w:jc w:val="center"/>
              <w:rPr>
                <w:noProof/>
                <w:sz w:val="18"/>
                <w:szCs w:val="18"/>
                <w:lang w:val="en-IE"/>
              </w:rPr>
            </w:pPr>
            <w:r w:rsidRPr="00BE6076">
              <w:rPr>
                <w:noProof/>
                <w:sz w:val="18"/>
                <w:szCs w:val="18"/>
                <w:lang w:val="en-IE"/>
              </w:rPr>
              <w:t>p.m.</w:t>
            </w:r>
          </w:p>
        </w:tc>
        <w:tc>
          <w:tcPr>
            <w:tcW w:w="850" w:type="dxa"/>
            <w:tcBorders>
              <w:top w:val="single" w:sz="4" w:space="0" w:color="auto"/>
              <w:left w:val="single" w:sz="4" w:space="0" w:color="auto"/>
              <w:bottom w:val="single" w:sz="4" w:space="0" w:color="auto"/>
              <w:right w:val="single" w:sz="4" w:space="0" w:color="auto"/>
            </w:tcBorders>
            <w:vAlign w:val="center"/>
          </w:tcPr>
          <w:p w14:paraId="3E64A725" w14:textId="77777777" w:rsidR="00950C34" w:rsidRPr="00BE6076" w:rsidRDefault="00950C34" w:rsidP="00FA7B33">
            <w:pPr>
              <w:jc w:val="center"/>
              <w:rPr>
                <w:noProof/>
                <w:sz w:val="18"/>
                <w:szCs w:val="18"/>
                <w:lang w:val="en-IE"/>
              </w:rPr>
            </w:pPr>
            <w:r w:rsidRPr="00BE6076">
              <w:rPr>
                <w:noProof/>
                <w:sz w:val="18"/>
                <w:szCs w:val="18"/>
                <w:lang w:val="en-IE"/>
              </w:rPr>
              <w:t>p.m.</w:t>
            </w:r>
          </w:p>
        </w:tc>
        <w:tc>
          <w:tcPr>
            <w:tcW w:w="992" w:type="dxa"/>
            <w:tcBorders>
              <w:top w:val="single" w:sz="4" w:space="0" w:color="auto"/>
              <w:left w:val="single" w:sz="4" w:space="0" w:color="auto"/>
              <w:bottom w:val="single" w:sz="4" w:space="0" w:color="auto"/>
              <w:right w:val="single" w:sz="4" w:space="0" w:color="auto"/>
            </w:tcBorders>
            <w:vAlign w:val="center"/>
          </w:tcPr>
          <w:p w14:paraId="366D0904" w14:textId="77777777" w:rsidR="00950C34" w:rsidRPr="00BE6076" w:rsidRDefault="00950C34" w:rsidP="00FA7B33">
            <w:pPr>
              <w:jc w:val="center"/>
              <w:rPr>
                <w:noProof/>
                <w:sz w:val="18"/>
                <w:szCs w:val="18"/>
                <w:lang w:val="en-IE"/>
              </w:rPr>
            </w:pPr>
            <w:r w:rsidRPr="00BE6076">
              <w:rPr>
                <w:noProof/>
                <w:sz w:val="18"/>
                <w:szCs w:val="18"/>
                <w:lang w:val="en-IE"/>
              </w:rPr>
              <w:t>p.m.</w:t>
            </w:r>
          </w:p>
        </w:tc>
        <w:tc>
          <w:tcPr>
            <w:tcW w:w="851" w:type="dxa"/>
            <w:tcBorders>
              <w:top w:val="single" w:sz="4" w:space="0" w:color="auto"/>
              <w:left w:val="single" w:sz="4" w:space="0" w:color="auto"/>
              <w:bottom w:val="single" w:sz="4" w:space="0" w:color="auto"/>
              <w:right w:val="single" w:sz="4" w:space="0" w:color="auto"/>
            </w:tcBorders>
            <w:vAlign w:val="center"/>
          </w:tcPr>
          <w:p w14:paraId="0FFFA3D7" w14:textId="77777777" w:rsidR="00950C34" w:rsidRPr="00BE6076" w:rsidRDefault="00950C34" w:rsidP="00FA7B33">
            <w:pPr>
              <w:jc w:val="center"/>
              <w:rPr>
                <w:noProof/>
                <w:sz w:val="18"/>
                <w:szCs w:val="18"/>
                <w:lang w:val="en-IE"/>
              </w:rPr>
            </w:pPr>
            <w:r w:rsidRPr="00BE6076">
              <w:rPr>
                <w:noProof/>
                <w:sz w:val="18"/>
                <w:szCs w:val="18"/>
                <w:lang w:val="en-IE"/>
              </w:rPr>
              <w:t>p.m.</w:t>
            </w:r>
          </w:p>
        </w:tc>
        <w:tc>
          <w:tcPr>
            <w:tcW w:w="1985" w:type="dxa"/>
            <w:tcBorders>
              <w:top w:val="single" w:sz="4" w:space="0" w:color="auto"/>
              <w:left w:val="single" w:sz="4" w:space="0" w:color="auto"/>
              <w:bottom w:val="single" w:sz="4" w:space="0" w:color="auto"/>
              <w:right w:val="single" w:sz="4" w:space="0" w:color="auto"/>
            </w:tcBorders>
            <w:vAlign w:val="center"/>
          </w:tcPr>
          <w:p w14:paraId="5D3D2A39" w14:textId="77777777" w:rsidR="00950C34" w:rsidRPr="003A769F" w:rsidRDefault="00950C34" w:rsidP="00FA7B33">
            <w:pPr>
              <w:jc w:val="center"/>
              <w:rPr>
                <w:b/>
                <w:noProof/>
                <w:sz w:val="20"/>
                <w:lang w:val="en-IE"/>
              </w:rPr>
            </w:pPr>
          </w:p>
        </w:tc>
      </w:tr>
      <w:tr w:rsidR="00950C34" w14:paraId="08E3C203" w14:textId="77777777" w:rsidTr="00FA7B33">
        <w:trPr>
          <w:trHeight w:val="300"/>
        </w:trPr>
        <w:tc>
          <w:tcPr>
            <w:tcW w:w="3884" w:type="dxa"/>
            <w:vMerge w:val="restart"/>
            <w:tcBorders>
              <w:top w:val="single" w:sz="4" w:space="0" w:color="auto"/>
              <w:left w:val="single" w:sz="4" w:space="0" w:color="auto"/>
              <w:bottom w:val="single" w:sz="4" w:space="0" w:color="auto"/>
              <w:right w:val="single" w:sz="4" w:space="0" w:color="auto"/>
            </w:tcBorders>
            <w:vAlign w:val="center"/>
          </w:tcPr>
          <w:p w14:paraId="5395E5B5" w14:textId="77777777" w:rsidR="00950C34" w:rsidRDefault="00950C34" w:rsidP="00FA7B33">
            <w:pPr>
              <w:jc w:val="center"/>
              <w:rPr>
                <w:b/>
                <w:bCs/>
                <w:noProof/>
              </w:rPr>
            </w:pPr>
            <w:r w:rsidRPr="078E3620">
              <w:rPr>
                <w:b/>
                <w:bCs/>
                <w:noProof/>
                <w:sz w:val="22"/>
              </w:rPr>
              <w:t>TOTAL appropriations</w:t>
            </w:r>
            <w:r>
              <w:rPr>
                <w:noProof/>
              </w:rPr>
              <w:br/>
            </w:r>
            <w:r w:rsidRPr="078E3620">
              <w:rPr>
                <w:b/>
                <w:bCs/>
                <w:noProof/>
                <w:sz w:val="22"/>
              </w:rPr>
              <w:t>for DG</w:t>
            </w:r>
            <w:r w:rsidRPr="6AD85F1E">
              <w:rPr>
                <w:rFonts w:eastAsiaTheme="minorEastAsia"/>
                <w:b/>
                <w:noProof/>
                <w:sz w:val="22"/>
              </w:rPr>
              <w:t xml:space="preserve"> ECFIN</w:t>
            </w:r>
          </w:p>
        </w:tc>
        <w:tc>
          <w:tcPr>
            <w:tcW w:w="1296" w:type="dxa"/>
            <w:tcBorders>
              <w:top w:val="single" w:sz="4" w:space="0" w:color="auto"/>
              <w:left w:val="single" w:sz="4" w:space="0" w:color="auto"/>
              <w:bottom w:val="single" w:sz="4" w:space="0" w:color="auto"/>
              <w:right w:val="single" w:sz="4" w:space="0" w:color="auto"/>
            </w:tcBorders>
            <w:vAlign w:val="center"/>
          </w:tcPr>
          <w:p w14:paraId="389A4531" w14:textId="77777777" w:rsidR="00950C34" w:rsidRDefault="00950C34" w:rsidP="00FA7B33">
            <w:pPr>
              <w:rPr>
                <w:noProof/>
                <w:sz w:val="18"/>
              </w:rPr>
            </w:pPr>
            <w:r>
              <w:rPr>
                <w:noProof/>
                <w:sz w:val="18"/>
              </w:rPr>
              <w:t>Commitments</w:t>
            </w:r>
          </w:p>
        </w:tc>
        <w:tc>
          <w:tcPr>
            <w:tcW w:w="709" w:type="dxa"/>
            <w:tcBorders>
              <w:top w:val="single" w:sz="4" w:space="0" w:color="auto"/>
              <w:left w:val="single" w:sz="4" w:space="0" w:color="auto"/>
              <w:bottom w:val="single" w:sz="4" w:space="0" w:color="auto"/>
              <w:right w:val="single" w:sz="4" w:space="0" w:color="auto"/>
            </w:tcBorders>
            <w:vAlign w:val="center"/>
          </w:tcPr>
          <w:p w14:paraId="115D4CFC" w14:textId="77777777" w:rsidR="00950C34" w:rsidRDefault="00950C34" w:rsidP="00FA7B33">
            <w:pPr>
              <w:jc w:val="center"/>
              <w:rPr>
                <w:noProof/>
                <w:sz w:val="14"/>
              </w:rPr>
            </w:pPr>
            <w:r>
              <w:rPr>
                <w:noProof/>
                <w:sz w:val="14"/>
              </w:rPr>
              <w:t>=1a</w:t>
            </w:r>
          </w:p>
        </w:tc>
        <w:tc>
          <w:tcPr>
            <w:tcW w:w="850" w:type="dxa"/>
            <w:tcBorders>
              <w:top w:val="single" w:sz="4" w:space="0" w:color="auto"/>
              <w:left w:val="single" w:sz="4" w:space="0" w:color="auto"/>
              <w:bottom w:val="single" w:sz="4" w:space="0" w:color="auto"/>
              <w:right w:val="single" w:sz="4" w:space="0" w:color="auto"/>
            </w:tcBorders>
            <w:vAlign w:val="center"/>
          </w:tcPr>
          <w:p w14:paraId="435F0D67" w14:textId="77777777" w:rsidR="00950C34" w:rsidRDefault="00950C34" w:rsidP="00FA7B33">
            <w:pPr>
              <w:spacing w:before="20" w:after="20"/>
              <w:jc w:val="right"/>
              <w:rPr>
                <w:noProof/>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3092088D" w14:textId="77777777" w:rsidR="00950C34" w:rsidRPr="00BE6076" w:rsidRDefault="00950C34" w:rsidP="00FA7B33">
            <w:pPr>
              <w:spacing w:before="20" w:after="20"/>
              <w:jc w:val="center"/>
              <w:rPr>
                <w:noProof/>
                <w:sz w:val="18"/>
                <w:szCs w:val="18"/>
              </w:rPr>
            </w:pPr>
            <w:r w:rsidRPr="008C6F37">
              <w:rPr>
                <w:noProof/>
                <w:sz w:val="18"/>
                <w:szCs w:val="18"/>
              </w:rPr>
              <w:t>750,000</w:t>
            </w:r>
          </w:p>
        </w:tc>
        <w:tc>
          <w:tcPr>
            <w:tcW w:w="850" w:type="dxa"/>
            <w:tcBorders>
              <w:top w:val="single" w:sz="4" w:space="0" w:color="auto"/>
              <w:left w:val="single" w:sz="4" w:space="0" w:color="auto"/>
              <w:bottom w:val="single" w:sz="4" w:space="0" w:color="auto"/>
              <w:right w:val="single" w:sz="4" w:space="0" w:color="auto"/>
            </w:tcBorders>
            <w:vAlign w:val="center"/>
          </w:tcPr>
          <w:p w14:paraId="6D5EE4C8" w14:textId="77777777" w:rsidR="00950C34" w:rsidRPr="00BE6076" w:rsidRDefault="00950C34" w:rsidP="00FA7B33">
            <w:pPr>
              <w:spacing w:before="20" w:after="20"/>
              <w:jc w:val="center"/>
              <w:rPr>
                <w:noProof/>
                <w:sz w:val="18"/>
                <w:szCs w:val="18"/>
              </w:rPr>
            </w:pPr>
            <w:r w:rsidRPr="008C6F37">
              <w:rPr>
                <w:noProof/>
                <w:sz w:val="18"/>
                <w:szCs w:val="18"/>
              </w:rPr>
              <w:t>750,000</w:t>
            </w:r>
          </w:p>
        </w:tc>
        <w:tc>
          <w:tcPr>
            <w:tcW w:w="992" w:type="dxa"/>
            <w:tcBorders>
              <w:top w:val="single" w:sz="4" w:space="0" w:color="auto"/>
              <w:left w:val="single" w:sz="4" w:space="0" w:color="auto"/>
              <w:bottom w:val="single" w:sz="4" w:space="0" w:color="auto"/>
              <w:right w:val="single" w:sz="4" w:space="0" w:color="auto"/>
            </w:tcBorders>
            <w:vAlign w:val="center"/>
          </w:tcPr>
          <w:p w14:paraId="6C7BCB82" w14:textId="77777777" w:rsidR="00950C34" w:rsidRPr="00BE6076" w:rsidRDefault="00950C34" w:rsidP="00FA7B33">
            <w:pPr>
              <w:spacing w:before="20" w:after="20"/>
              <w:jc w:val="center"/>
              <w:rPr>
                <w:noProof/>
                <w:sz w:val="18"/>
                <w:szCs w:val="18"/>
              </w:rPr>
            </w:pPr>
            <w:r w:rsidRPr="008C6F37">
              <w:rPr>
                <w:noProof/>
                <w:sz w:val="18"/>
                <w:szCs w:val="18"/>
              </w:rPr>
              <w:t>750,000</w:t>
            </w:r>
          </w:p>
        </w:tc>
        <w:tc>
          <w:tcPr>
            <w:tcW w:w="851" w:type="dxa"/>
            <w:tcBorders>
              <w:top w:val="single" w:sz="4" w:space="0" w:color="auto"/>
              <w:left w:val="single" w:sz="4" w:space="0" w:color="auto"/>
              <w:bottom w:val="single" w:sz="4" w:space="0" w:color="auto"/>
              <w:right w:val="single" w:sz="4" w:space="0" w:color="auto"/>
            </w:tcBorders>
            <w:vAlign w:val="center"/>
          </w:tcPr>
          <w:p w14:paraId="643B27FF" w14:textId="77777777" w:rsidR="00950C34" w:rsidRPr="00BE6076" w:rsidRDefault="00950C34" w:rsidP="00FA7B33">
            <w:pPr>
              <w:spacing w:before="20" w:after="20"/>
              <w:jc w:val="center"/>
              <w:rPr>
                <w:noProof/>
                <w:sz w:val="18"/>
                <w:szCs w:val="18"/>
              </w:rPr>
            </w:pPr>
            <w:r w:rsidRPr="008C6F37">
              <w:rPr>
                <w:noProof/>
                <w:sz w:val="18"/>
                <w:szCs w:val="18"/>
              </w:rPr>
              <w:t>750,000</w:t>
            </w:r>
          </w:p>
        </w:tc>
        <w:tc>
          <w:tcPr>
            <w:tcW w:w="1985" w:type="dxa"/>
            <w:tcBorders>
              <w:top w:val="single" w:sz="4" w:space="0" w:color="auto"/>
              <w:left w:val="single" w:sz="4" w:space="0" w:color="auto"/>
              <w:bottom w:val="single" w:sz="4" w:space="0" w:color="auto"/>
              <w:right w:val="single" w:sz="4" w:space="0" w:color="auto"/>
            </w:tcBorders>
            <w:vAlign w:val="center"/>
          </w:tcPr>
          <w:p w14:paraId="4C7A3F85" w14:textId="77777777" w:rsidR="00950C34" w:rsidRDefault="00950C34" w:rsidP="00FA7B33">
            <w:pPr>
              <w:spacing w:before="20" w:after="20"/>
              <w:jc w:val="center"/>
              <w:rPr>
                <w:noProof/>
              </w:rPr>
            </w:pPr>
            <w:r w:rsidRPr="47B354B7">
              <w:rPr>
                <w:b/>
                <w:bCs/>
                <w:noProof/>
                <w:sz w:val="20"/>
                <w:szCs w:val="20"/>
              </w:rPr>
              <w:t>3000</w:t>
            </w:r>
            <w:r>
              <w:rPr>
                <w:b/>
                <w:bCs/>
                <w:noProof/>
                <w:sz w:val="20"/>
                <w:szCs w:val="20"/>
              </w:rPr>
              <w:t>,000</w:t>
            </w:r>
          </w:p>
        </w:tc>
      </w:tr>
      <w:tr w:rsidR="00950C34" w14:paraId="77AEEB01" w14:textId="77777777" w:rsidTr="00FA7B33">
        <w:trPr>
          <w:trHeight w:val="300"/>
        </w:trPr>
        <w:tc>
          <w:tcPr>
            <w:tcW w:w="3884" w:type="dxa"/>
            <w:vMerge/>
          </w:tcPr>
          <w:p w14:paraId="2496A7C3" w14:textId="77777777" w:rsidR="00950C34" w:rsidRDefault="00950C34" w:rsidP="00FA7B33">
            <w:pPr>
              <w:rPr>
                <w:noProof/>
                <w:sz w:val="20"/>
              </w:rPr>
            </w:pPr>
          </w:p>
        </w:tc>
        <w:tc>
          <w:tcPr>
            <w:tcW w:w="1296" w:type="dxa"/>
            <w:tcBorders>
              <w:top w:val="single" w:sz="4" w:space="0" w:color="auto"/>
              <w:left w:val="single" w:sz="4" w:space="0" w:color="auto"/>
              <w:bottom w:val="single" w:sz="4" w:space="0" w:color="auto"/>
              <w:right w:val="single" w:sz="4" w:space="0" w:color="auto"/>
            </w:tcBorders>
            <w:vAlign w:val="center"/>
          </w:tcPr>
          <w:p w14:paraId="42AE9FEF" w14:textId="77777777" w:rsidR="00950C34" w:rsidRDefault="00950C34" w:rsidP="00FA7B33">
            <w:pPr>
              <w:rPr>
                <w:noProof/>
                <w:sz w:val="18"/>
              </w:rPr>
            </w:pPr>
            <w:r>
              <w:rPr>
                <w:noProof/>
                <w:sz w:val="18"/>
              </w:rPr>
              <w:t>Payments</w:t>
            </w:r>
          </w:p>
        </w:tc>
        <w:tc>
          <w:tcPr>
            <w:tcW w:w="709" w:type="dxa"/>
            <w:tcBorders>
              <w:top w:val="single" w:sz="4" w:space="0" w:color="auto"/>
              <w:left w:val="single" w:sz="4" w:space="0" w:color="auto"/>
              <w:bottom w:val="single" w:sz="4" w:space="0" w:color="auto"/>
              <w:right w:val="single" w:sz="4" w:space="0" w:color="auto"/>
            </w:tcBorders>
            <w:vAlign w:val="center"/>
          </w:tcPr>
          <w:p w14:paraId="403A613A" w14:textId="77777777" w:rsidR="00950C34" w:rsidRDefault="00950C34" w:rsidP="00FA7B33">
            <w:pPr>
              <w:jc w:val="center"/>
              <w:rPr>
                <w:noProof/>
                <w:sz w:val="14"/>
              </w:rPr>
            </w:pPr>
            <w:r>
              <w:rPr>
                <w:noProof/>
                <w:sz w:val="14"/>
              </w:rPr>
              <w:t>=2a</w:t>
            </w:r>
          </w:p>
        </w:tc>
        <w:tc>
          <w:tcPr>
            <w:tcW w:w="850" w:type="dxa"/>
            <w:tcBorders>
              <w:top w:val="single" w:sz="4" w:space="0" w:color="auto"/>
              <w:left w:val="single" w:sz="4" w:space="0" w:color="auto"/>
              <w:bottom w:val="single" w:sz="4" w:space="0" w:color="auto"/>
              <w:right w:val="single" w:sz="4" w:space="0" w:color="auto"/>
            </w:tcBorders>
            <w:vAlign w:val="center"/>
          </w:tcPr>
          <w:p w14:paraId="1AB0B9E6" w14:textId="77777777" w:rsidR="00950C34" w:rsidRDefault="00950C34" w:rsidP="00FA7B33">
            <w:pPr>
              <w:spacing w:before="20" w:after="20"/>
              <w:jc w:val="right"/>
              <w:rPr>
                <w:noProof/>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08D87F81" w14:textId="77777777" w:rsidR="00950C34" w:rsidRDefault="00950C34" w:rsidP="00FA7B33">
            <w:pPr>
              <w:spacing w:before="20" w:after="20"/>
              <w:jc w:val="center"/>
              <w:rPr>
                <w:rFonts w:eastAsia="Times New Roman"/>
                <w:noProof/>
                <w:color w:val="000000" w:themeColor="text1"/>
                <w:sz w:val="18"/>
                <w:szCs w:val="18"/>
              </w:rPr>
            </w:pPr>
            <w:r w:rsidRPr="00BE6076">
              <w:rPr>
                <w:rFonts w:eastAsia="Segoe UI"/>
                <w:noProof/>
                <w:color w:val="000000" w:themeColor="text1"/>
                <w:sz w:val="18"/>
                <w:szCs w:val="18"/>
              </w:rPr>
              <w:t>750,000</w:t>
            </w:r>
          </w:p>
        </w:tc>
        <w:tc>
          <w:tcPr>
            <w:tcW w:w="850" w:type="dxa"/>
            <w:tcBorders>
              <w:top w:val="single" w:sz="4" w:space="0" w:color="auto"/>
              <w:left w:val="single" w:sz="4" w:space="0" w:color="auto"/>
              <w:bottom w:val="single" w:sz="4" w:space="0" w:color="auto"/>
              <w:right w:val="single" w:sz="4" w:space="0" w:color="auto"/>
            </w:tcBorders>
            <w:vAlign w:val="center"/>
          </w:tcPr>
          <w:p w14:paraId="74A02E42" w14:textId="77777777" w:rsidR="00950C34" w:rsidRDefault="00950C34" w:rsidP="00FA7B33">
            <w:pPr>
              <w:spacing w:before="20" w:after="20"/>
              <w:jc w:val="center"/>
              <w:rPr>
                <w:rFonts w:eastAsia="Times New Roman"/>
                <w:noProof/>
                <w:color w:val="000000" w:themeColor="text1"/>
                <w:sz w:val="18"/>
                <w:szCs w:val="18"/>
              </w:rPr>
            </w:pPr>
            <w:r w:rsidRPr="00BE6076">
              <w:rPr>
                <w:rFonts w:eastAsia="Segoe UI"/>
                <w:noProof/>
                <w:color w:val="000000" w:themeColor="text1"/>
                <w:sz w:val="18"/>
                <w:szCs w:val="18"/>
              </w:rPr>
              <w:t>750,000</w:t>
            </w:r>
          </w:p>
        </w:tc>
        <w:tc>
          <w:tcPr>
            <w:tcW w:w="992" w:type="dxa"/>
            <w:tcBorders>
              <w:top w:val="single" w:sz="4" w:space="0" w:color="auto"/>
              <w:left w:val="single" w:sz="4" w:space="0" w:color="auto"/>
              <w:bottom w:val="single" w:sz="4" w:space="0" w:color="auto"/>
              <w:right w:val="single" w:sz="4" w:space="0" w:color="auto"/>
            </w:tcBorders>
            <w:vAlign w:val="center"/>
          </w:tcPr>
          <w:p w14:paraId="401B953C" w14:textId="77777777" w:rsidR="00950C34" w:rsidRDefault="00950C34" w:rsidP="00FA7B33">
            <w:pPr>
              <w:spacing w:before="20" w:after="20"/>
              <w:jc w:val="center"/>
              <w:rPr>
                <w:rFonts w:eastAsia="Times New Roman"/>
                <w:noProof/>
                <w:color w:val="000000" w:themeColor="text1"/>
                <w:sz w:val="18"/>
                <w:szCs w:val="18"/>
              </w:rPr>
            </w:pPr>
            <w:r w:rsidRPr="00BE6076">
              <w:rPr>
                <w:rFonts w:eastAsia="Segoe UI"/>
                <w:noProof/>
                <w:color w:val="000000" w:themeColor="text1"/>
                <w:sz w:val="18"/>
                <w:szCs w:val="18"/>
              </w:rPr>
              <w:t>750,000</w:t>
            </w:r>
          </w:p>
        </w:tc>
        <w:tc>
          <w:tcPr>
            <w:tcW w:w="851" w:type="dxa"/>
            <w:tcBorders>
              <w:top w:val="single" w:sz="4" w:space="0" w:color="auto"/>
              <w:left w:val="single" w:sz="4" w:space="0" w:color="auto"/>
              <w:bottom w:val="single" w:sz="4" w:space="0" w:color="auto"/>
              <w:right w:val="single" w:sz="4" w:space="0" w:color="auto"/>
            </w:tcBorders>
            <w:vAlign w:val="center"/>
          </w:tcPr>
          <w:p w14:paraId="7D38F0FD" w14:textId="77777777" w:rsidR="00950C34" w:rsidRDefault="00950C34" w:rsidP="00FA7B33">
            <w:pPr>
              <w:spacing w:before="20" w:after="20"/>
              <w:jc w:val="center"/>
              <w:rPr>
                <w:rFonts w:eastAsia="Times New Roman"/>
                <w:noProof/>
                <w:color w:val="000000" w:themeColor="text1"/>
                <w:sz w:val="18"/>
                <w:szCs w:val="18"/>
              </w:rPr>
            </w:pPr>
            <w:r w:rsidRPr="00BE6076">
              <w:rPr>
                <w:rFonts w:eastAsia="Segoe UI"/>
                <w:noProof/>
                <w:color w:val="000000" w:themeColor="text1"/>
                <w:sz w:val="18"/>
                <w:szCs w:val="18"/>
              </w:rPr>
              <w:t>750,000</w:t>
            </w:r>
          </w:p>
        </w:tc>
        <w:tc>
          <w:tcPr>
            <w:tcW w:w="1985" w:type="dxa"/>
            <w:tcBorders>
              <w:top w:val="single" w:sz="4" w:space="0" w:color="auto"/>
              <w:left w:val="single" w:sz="4" w:space="0" w:color="auto"/>
              <w:bottom w:val="single" w:sz="4" w:space="0" w:color="auto"/>
              <w:right w:val="single" w:sz="4" w:space="0" w:color="auto"/>
            </w:tcBorders>
            <w:vAlign w:val="center"/>
          </w:tcPr>
          <w:p w14:paraId="0C822415" w14:textId="77777777" w:rsidR="00950C34" w:rsidRDefault="00950C34" w:rsidP="00FA7B33">
            <w:pPr>
              <w:spacing w:before="20" w:after="20"/>
              <w:jc w:val="center"/>
              <w:rPr>
                <w:noProof/>
              </w:rPr>
            </w:pPr>
            <w:r w:rsidRPr="47B354B7">
              <w:rPr>
                <w:b/>
                <w:bCs/>
                <w:noProof/>
                <w:sz w:val="20"/>
                <w:szCs w:val="20"/>
              </w:rPr>
              <w:t>3000</w:t>
            </w:r>
            <w:r>
              <w:rPr>
                <w:b/>
                <w:bCs/>
                <w:noProof/>
                <w:sz w:val="20"/>
                <w:szCs w:val="20"/>
              </w:rPr>
              <w:t>,000</w:t>
            </w:r>
          </w:p>
        </w:tc>
      </w:tr>
    </w:tbl>
    <w:p w14:paraId="0C7A7A1B" w14:textId="77777777" w:rsidR="00950C34" w:rsidRDefault="00950C34" w:rsidP="00950C34">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4"/>
        <w:gridCol w:w="1080"/>
        <w:gridCol w:w="7817"/>
      </w:tblGrid>
      <w:tr w:rsidR="00950C34" w14:paraId="3F309A07" w14:textId="77777777" w:rsidTr="00FA7B33">
        <w:trPr>
          <w:trHeight w:val="300"/>
          <w:jc w:val="center"/>
        </w:trPr>
        <w:tc>
          <w:tcPr>
            <w:tcW w:w="4744" w:type="dxa"/>
            <w:shd w:val="clear" w:color="auto" w:fill="auto"/>
            <w:vAlign w:val="center"/>
          </w:tcPr>
          <w:p w14:paraId="51AB1149" w14:textId="77777777" w:rsidR="00950C34" w:rsidRDefault="00950C34" w:rsidP="00FA7B33">
            <w:pPr>
              <w:spacing w:before="60" w:after="60"/>
              <w:jc w:val="center"/>
              <w:rPr>
                <w:b/>
                <w:bCs/>
                <w:noProof/>
                <w:lang w:val="en-IE"/>
              </w:rPr>
            </w:pPr>
            <w:r w:rsidRPr="0E051759">
              <w:rPr>
                <w:b/>
                <w:bCs/>
                <w:noProof/>
                <w:sz w:val="22"/>
                <w:lang w:val="en-IE"/>
              </w:rPr>
              <w:t xml:space="preserve">Heading of multiannual financial </w:t>
            </w:r>
            <w:r>
              <w:rPr>
                <w:noProof/>
              </w:rPr>
              <w:br/>
            </w:r>
            <w:r w:rsidRPr="0E051759">
              <w:rPr>
                <w:b/>
                <w:bCs/>
                <w:noProof/>
                <w:sz w:val="22"/>
                <w:lang w:val="en-IE"/>
              </w:rPr>
              <w:t xml:space="preserve">framework </w:t>
            </w:r>
          </w:p>
        </w:tc>
        <w:tc>
          <w:tcPr>
            <w:tcW w:w="1080" w:type="dxa"/>
            <w:vAlign w:val="center"/>
          </w:tcPr>
          <w:p w14:paraId="2AC2EF31" w14:textId="77777777" w:rsidR="00950C34" w:rsidRDefault="00950C34" w:rsidP="00FA7B33">
            <w:pPr>
              <w:spacing w:before="60" w:after="60"/>
              <w:jc w:val="center"/>
              <w:rPr>
                <w:noProof/>
              </w:rPr>
            </w:pPr>
            <w:r w:rsidRPr="0E051759">
              <w:rPr>
                <w:noProof/>
                <w:sz w:val="22"/>
              </w:rPr>
              <w:t>Number</w:t>
            </w:r>
          </w:p>
        </w:tc>
        <w:tc>
          <w:tcPr>
            <w:tcW w:w="7817" w:type="dxa"/>
            <w:vAlign w:val="center"/>
          </w:tcPr>
          <w:p w14:paraId="135F0431" w14:textId="77777777" w:rsidR="00950C34" w:rsidRDefault="00950C34" w:rsidP="00FA7B33">
            <w:pPr>
              <w:spacing w:before="60" w:after="60"/>
              <w:rPr>
                <w:noProof/>
              </w:rPr>
            </w:pPr>
            <w:r w:rsidRPr="0E051759">
              <w:rPr>
                <w:noProof/>
              </w:rPr>
              <w:t>3</w:t>
            </w:r>
          </w:p>
        </w:tc>
      </w:tr>
    </w:tbl>
    <w:p w14:paraId="4691CA4C" w14:textId="77777777" w:rsidR="00950C34" w:rsidRDefault="00950C34" w:rsidP="00950C34">
      <w:pPr>
        <w:rPr>
          <w:noProof/>
          <w:sz w:val="16"/>
          <w:szCs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1440"/>
        <w:gridCol w:w="120"/>
        <w:gridCol w:w="534"/>
        <w:gridCol w:w="868"/>
        <w:gridCol w:w="1235"/>
        <w:gridCol w:w="666"/>
        <w:gridCol w:w="1318"/>
        <w:gridCol w:w="666"/>
        <w:gridCol w:w="868"/>
        <w:gridCol w:w="868"/>
        <w:gridCol w:w="1838"/>
      </w:tblGrid>
      <w:tr w:rsidR="00950C34" w14:paraId="54E3B496" w14:textId="77777777" w:rsidTr="00FA7B33">
        <w:trPr>
          <w:trHeight w:val="300"/>
        </w:trPr>
        <w:tc>
          <w:tcPr>
            <w:tcW w:w="3960" w:type="dxa"/>
            <w:vAlign w:val="center"/>
          </w:tcPr>
          <w:p w14:paraId="620A9196" w14:textId="77777777" w:rsidR="00950C34" w:rsidRPr="00193E7E" w:rsidRDefault="00950C34" w:rsidP="00FA7B33">
            <w:pPr>
              <w:jc w:val="center"/>
              <w:rPr>
                <w:rFonts w:eastAsia="Times New Roman"/>
                <w:noProof/>
                <w:sz w:val="22"/>
              </w:rPr>
            </w:pPr>
            <w:r w:rsidRPr="00193E7E">
              <w:rPr>
                <w:rFonts w:eastAsia="Calibri"/>
                <w:noProof/>
                <w:sz w:val="22"/>
              </w:rPr>
              <w:t>DG</w:t>
            </w:r>
            <w:r>
              <w:rPr>
                <w:rFonts w:eastAsia="Calibri"/>
                <w:noProof/>
                <w:sz w:val="22"/>
              </w:rPr>
              <w:t>:</w:t>
            </w:r>
            <w:r w:rsidRPr="00193E7E">
              <w:rPr>
                <w:rFonts w:eastAsia="Calibri"/>
                <w:noProof/>
                <w:sz w:val="22"/>
              </w:rPr>
              <w:t xml:space="preserve"> Regional and Urban Policy</w:t>
            </w:r>
          </w:p>
        </w:tc>
        <w:tc>
          <w:tcPr>
            <w:tcW w:w="1560" w:type="dxa"/>
            <w:gridSpan w:val="2"/>
          </w:tcPr>
          <w:p w14:paraId="4A800860" w14:textId="77777777" w:rsidR="00950C34" w:rsidRDefault="00950C34" w:rsidP="00FA7B33">
            <w:pPr>
              <w:rPr>
                <w:noProof/>
                <w:sz w:val="20"/>
                <w:szCs w:val="20"/>
              </w:rPr>
            </w:pPr>
          </w:p>
        </w:tc>
        <w:tc>
          <w:tcPr>
            <w:tcW w:w="534" w:type="dxa"/>
          </w:tcPr>
          <w:p w14:paraId="2CCE1F65" w14:textId="77777777" w:rsidR="00950C34" w:rsidRDefault="00950C34" w:rsidP="00FA7B33">
            <w:pPr>
              <w:jc w:val="center"/>
              <w:rPr>
                <w:noProof/>
                <w:sz w:val="20"/>
                <w:szCs w:val="20"/>
              </w:rPr>
            </w:pPr>
          </w:p>
        </w:tc>
        <w:tc>
          <w:tcPr>
            <w:tcW w:w="868" w:type="dxa"/>
            <w:vAlign w:val="center"/>
          </w:tcPr>
          <w:p w14:paraId="7A973B55" w14:textId="77777777" w:rsidR="00950C34" w:rsidRDefault="00950C34" w:rsidP="00FA7B33">
            <w:pPr>
              <w:jc w:val="center"/>
              <w:rPr>
                <w:noProof/>
                <w:sz w:val="20"/>
                <w:szCs w:val="20"/>
              </w:rPr>
            </w:pPr>
            <w:r w:rsidRPr="0E051759">
              <w:rPr>
                <w:noProof/>
                <w:sz w:val="20"/>
                <w:szCs w:val="20"/>
              </w:rPr>
              <w:t>2023</w:t>
            </w:r>
          </w:p>
        </w:tc>
        <w:tc>
          <w:tcPr>
            <w:tcW w:w="1235" w:type="dxa"/>
            <w:vAlign w:val="center"/>
          </w:tcPr>
          <w:p w14:paraId="16CC1D53" w14:textId="77777777" w:rsidR="00950C34" w:rsidRDefault="00950C34" w:rsidP="00FA7B33">
            <w:pPr>
              <w:jc w:val="center"/>
              <w:rPr>
                <w:noProof/>
                <w:sz w:val="20"/>
                <w:szCs w:val="20"/>
              </w:rPr>
            </w:pPr>
            <w:r w:rsidRPr="0E051759">
              <w:rPr>
                <w:noProof/>
                <w:sz w:val="20"/>
                <w:szCs w:val="20"/>
              </w:rPr>
              <w:t>2024</w:t>
            </w:r>
          </w:p>
        </w:tc>
        <w:tc>
          <w:tcPr>
            <w:tcW w:w="666" w:type="dxa"/>
            <w:vAlign w:val="center"/>
          </w:tcPr>
          <w:p w14:paraId="2F8DACEE" w14:textId="77777777" w:rsidR="00950C34" w:rsidRDefault="00950C34" w:rsidP="00FA7B33">
            <w:pPr>
              <w:jc w:val="center"/>
              <w:rPr>
                <w:noProof/>
                <w:sz w:val="20"/>
                <w:szCs w:val="20"/>
              </w:rPr>
            </w:pPr>
            <w:r w:rsidRPr="0E051759">
              <w:rPr>
                <w:noProof/>
                <w:sz w:val="20"/>
                <w:szCs w:val="20"/>
              </w:rPr>
              <w:t>2025</w:t>
            </w:r>
          </w:p>
        </w:tc>
        <w:tc>
          <w:tcPr>
            <w:tcW w:w="1318" w:type="dxa"/>
            <w:vAlign w:val="center"/>
          </w:tcPr>
          <w:p w14:paraId="692FEDA4" w14:textId="77777777" w:rsidR="00950C34" w:rsidRDefault="00950C34" w:rsidP="00FA7B33">
            <w:pPr>
              <w:jc w:val="center"/>
              <w:rPr>
                <w:noProof/>
                <w:sz w:val="20"/>
                <w:szCs w:val="20"/>
              </w:rPr>
            </w:pPr>
            <w:r w:rsidRPr="0E051759">
              <w:rPr>
                <w:noProof/>
                <w:sz w:val="20"/>
                <w:szCs w:val="20"/>
              </w:rPr>
              <w:t>2026</w:t>
            </w:r>
          </w:p>
        </w:tc>
        <w:tc>
          <w:tcPr>
            <w:tcW w:w="418" w:type="dxa"/>
            <w:vAlign w:val="center"/>
          </w:tcPr>
          <w:p w14:paraId="6EBC9BD8" w14:textId="77777777" w:rsidR="00950C34" w:rsidRDefault="00950C34" w:rsidP="00FA7B33">
            <w:pPr>
              <w:jc w:val="center"/>
              <w:rPr>
                <w:noProof/>
                <w:sz w:val="18"/>
                <w:szCs w:val="18"/>
                <w:lang w:val="en-IE"/>
              </w:rPr>
            </w:pPr>
            <w:r w:rsidRPr="0E051759">
              <w:rPr>
                <w:noProof/>
                <w:sz w:val="18"/>
                <w:szCs w:val="18"/>
                <w:lang w:val="en-IE"/>
              </w:rPr>
              <w:t>2027</w:t>
            </w:r>
          </w:p>
        </w:tc>
        <w:tc>
          <w:tcPr>
            <w:tcW w:w="868" w:type="dxa"/>
            <w:vAlign w:val="center"/>
          </w:tcPr>
          <w:p w14:paraId="54B3A38E" w14:textId="77777777" w:rsidR="00950C34" w:rsidRDefault="00950C34" w:rsidP="00FA7B33">
            <w:pPr>
              <w:jc w:val="center"/>
              <w:rPr>
                <w:noProof/>
                <w:sz w:val="18"/>
                <w:szCs w:val="18"/>
                <w:lang w:val="en-IE"/>
              </w:rPr>
            </w:pPr>
            <w:r w:rsidRPr="0E051759">
              <w:rPr>
                <w:noProof/>
                <w:sz w:val="18"/>
                <w:szCs w:val="18"/>
                <w:lang w:val="en-IE"/>
              </w:rPr>
              <w:t>2028</w:t>
            </w:r>
          </w:p>
        </w:tc>
        <w:tc>
          <w:tcPr>
            <w:tcW w:w="868" w:type="dxa"/>
            <w:vAlign w:val="center"/>
          </w:tcPr>
          <w:p w14:paraId="0A96629E" w14:textId="77777777" w:rsidR="00950C34" w:rsidRDefault="00950C34" w:rsidP="00FA7B33">
            <w:pPr>
              <w:jc w:val="center"/>
              <w:rPr>
                <w:noProof/>
                <w:sz w:val="18"/>
                <w:szCs w:val="18"/>
                <w:lang w:val="en-IE"/>
              </w:rPr>
            </w:pPr>
            <w:r w:rsidRPr="0E051759">
              <w:rPr>
                <w:noProof/>
                <w:sz w:val="18"/>
                <w:szCs w:val="18"/>
                <w:lang w:val="en-IE"/>
              </w:rPr>
              <w:t>2029</w:t>
            </w:r>
          </w:p>
        </w:tc>
        <w:tc>
          <w:tcPr>
            <w:tcW w:w="1838" w:type="dxa"/>
            <w:vAlign w:val="center"/>
          </w:tcPr>
          <w:p w14:paraId="46520DAE" w14:textId="77777777" w:rsidR="00950C34" w:rsidRDefault="00950C34" w:rsidP="00FA7B33">
            <w:pPr>
              <w:jc w:val="center"/>
              <w:rPr>
                <w:b/>
                <w:bCs/>
                <w:noProof/>
                <w:sz w:val="20"/>
                <w:szCs w:val="20"/>
              </w:rPr>
            </w:pPr>
            <w:r w:rsidRPr="0E051759">
              <w:rPr>
                <w:b/>
                <w:bCs/>
                <w:noProof/>
                <w:sz w:val="20"/>
                <w:szCs w:val="20"/>
              </w:rPr>
              <w:t>TOTAL</w:t>
            </w:r>
          </w:p>
        </w:tc>
      </w:tr>
      <w:tr w:rsidR="00950C34" w14:paraId="5C42305C" w14:textId="77777777" w:rsidTr="00FA7B33">
        <w:trPr>
          <w:trHeight w:val="213"/>
        </w:trPr>
        <w:tc>
          <w:tcPr>
            <w:tcW w:w="6054" w:type="dxa"/>
            <w:gridSpan w:val="4"/>
            <w:vAlign w:val="center"/>
          </w:tcPr>
          <w:p w14:paraId="3E93B94E" w14:textId="77777777" w:rsidR="00950C34" w:rsidRDefault="00950C34" w:rsidP="00FA7B33">
            <w:pPr>
              <w:spacing w:before="20" w:after="20"/>
              <w:rPr>
                <w:noProof/>
                <w:sz w:val="21"/>
                <w:szCs w:val="21"/>
              </w:rPr>
            </w:pPr>
            <w:r w:rsidRPr="0E051759">
              <w:rPr>
                <w:rFonts w:ascii="Wingdings" w:eastAsia="Wingdings" w:hAnsi="Wingdings" w:cs="Wingdings"/>
                <w:noProof/>
                <w:sz w:val="21"/>
                <w:szCs w:val="21"/>
              </w:rPr>
              <w:t>□</w:t>
            </w:r>
            <w:r w:rsidRPr="0E051759">
              <w:rPr>
                <w:noProof/>
                <w:sz w:val="21"/>
                <w:szCs w:val="21"/>
              </w:rPr>
              <w:t xml:space="preserve"> Operational appropriations </w:t>
            </w:r>
          </w:p>
        </w:tc>
        <w:tc>
          <w:tcPr>
            <w:tcW w:w="868" w:type="dxa"/>
            <w:vAlign w:val="center"/>
          </w:tcPr>
          <w:p w14:paraId="4438C4DF" w14:textId="77777777" w:rsidR="00950C34" w:rsidRDefault="00950C34" w:rsidP="00FA7B33">
            <w:pPr>
              <w:rPr>
                <w:noProof/>
                <w:sz w:val="20"/>
                <w:szCs w:val="20"/>
              </w:rPr>
            </w:pPr>
          </w:p>
        </w:tc>
        <w:tc>
          <w:tcPr>
            <w:tcW w:w="1235" w:type="dxa"/>
            <w:vAlign w:val="center"/>
          </w:tcPr>
          <w:p w14:paraId="50E56931" w14:textId="77777777" w:rsidR="00950C34" w:rsidRDefault="00950C34" w:rsidP="00FA7B33">
            <w:pPr>
              <w:rPr>
                <w:noProof/>
                <w:sz w:val="20"/>
                <w:szCs w:val="20"/>
              </w:rPr>
            </w:pPr>
          </w:p>
        </w:tc>
        <w:tc>
          <w:tcPr>
            <w:tcW w:w="666" w:type="dxa"/>
            <w:vAlign w:val="center"/>
          </w:tcPr>
          <w:p w14:paraId="0C014FE6" w14:textId="77777777" w:rsidR="00950C34" w:rsidRDefault="00950C34" w:rsidP="00FA7B33">
            <w:pPr>
              <w:rPr>
                <w:noProof/>
                <w:sz w:val="20"/>
                <w:szCs w:val="20"/>
              </w:rPr>
            </w:pPr>
          </w:p>
        </w:tc>
        <w:tc>
          <w:tcPr>
            <w:tcW w:w="1318" w:type="dxa"/>
            <w:vAlign w:val="center"/>
          </w:tcPr>
          <w:p w14:paraId="2962EEE4" w14:textId="77777777" w:rsidR="00950C34" w:rsidRDefault="00950C34" w:rsidP="00FA7B33">
            <w:pPr>
              <w:rPr>
                <w:noProof/>
                <w:sz w:val="20"/>
                <w:szCs w:val="20"/>
              </w:rPr>
            </w:pPr>
          </w:p>
        </w:tc>
        <w:tc>
          <w:tcPr>
            <w:tcW w:w="418" w:type="dxa"/>
            <w:vAlign w:val="center"/>
          </w:tcPr>
          <w:p w14:paraId="53736D7B" w14:textId="77777777" w:rsidR="00950C34" w:rsidRDefault="00950C34" w:rsidP="00FA7B33">
            <w:pPr>
              <w:rPr>
                <w:noProof/>
                <w:sz w:val="20"/>
                <w:szCs w:val="20"/>
              </w:rPr>
            </w:pPr>
          </w:p>
        </w:tc>
        <w:tc>
          <w:tcPr>
            <w:tcW w:w="868" w:type="dxa"/>
            <w:vAlign w:val="center"/>
          </w:tcPr>
          <w:p w14:paraId="0E3BDA8F" w14:textId="77777777" w:rsidR="00950C34" w:rsidRDefault="00950C34" w:rsidP="00FA7B33">
            <w:pPr>
              <w:rPr>
                <w:noProof/>
                <w:sz w:val="20"/>
                <w:szCs w:val="20"/>
              </w:rPr>
            </w:pPr>
          </w:p>
        </w:tc>
        <w:tc>
          <w:tcPr>
            <w:tcW w:w="868" w:type="dxa"/>
            <w:vAlign w:val="center"/>
          </w:tcPr>
          <w:p w14:paraId="293C4F61" w14:textId="77777777" w:rsidR="00950C34" w:rsidRDefault="00950C34" w:rsidP="00FA7B33">
            <w:pPr>
              <w:rPr>
                <w:b/>
                <w:bCs/>
                <w:noProof/>
                <w:sz w:val="20"/>
                <w:szCs w:val="20"/>
              </w:rPr>
            </w:pPr>
          </w:p>
        </w:tc>
        <w:tc>
          <w:tcPr>
            <w:tcW w:w="1838" w:type="dxa"/>
            <w:vAlign w:val="center"/>
          </w:tcPr>
          <w:p w14:paraId="09BE1542" w14:textId="77777777" w:rsidR="00950C34" w:rsidRDefault="00950C34" w:rsidP="00FA7B33">
            <w:pPr>
              <w:jc w:val="center"/>
              <w:rPr>
                <w:b/>
                <w:bCs/>
                <w:noProof/>
                <w:sz w:val="20"/>
                <w:szCs w:val="20"/>
              </w:rPr>
            </w:pPr>
          </w:p>
        </w:tc>
      </w:tr>
      <w:tr w:rsidR="00950C34" w14:paraId="1AA85FBC" w14:textId="77777777" w:rsidTr="00FA7B33">
        <w:trPr>
          <w:trHeight w:val="277"/>
        </w:trPr>
        <w:tc>
          <w:tcPr>
            <w:tcW w:w="3960" w:type="dxa"/>
            <w:vMerge w:val="restart"/>
            <w:vAlign w:val="center"/>
          </w:tcPr>
          <w:p w14:paraId="724619C7" w14:textId="77777777" w:rsidR="00950C34" w:rsidRDefault="00950C34" w:rsidP="00FA7B33">
            <w:pPr>
              <w:rPr>
                <w:noProof/>
                <w:sz w:val="20"/>
                <w:szCs w:val="20"/>
              </w:rPr>
            </w:pPr>
            <w:r w:rsidRPr="0E051759">
              <w:rPr>
                <w:noProof/>
                <w:sz w:val="20"/>
                <w:szCs w:val="20"/>
              </w:rPr>
              <w:t>09.0301 - Just Transition Fund (JTF) - Operational Expenditure*</w:t>
            </w:r>
          </w:p>
        </w:tc>
        <w:tc>
          <w:tcPr>
            <w:tcW w:w="1440" w:type="dxa"/>
            <w:vAlign w:val="center"/>
          </w:tcPr>
          <w:p w14:paraId="0657D7C4" w14:textId="77777777" w:rsidR="00950C34" w:rsidRDefault="00950C34" w:rsidP="00FA7B33">
            <w:pPr>
              <w:spacing w:before="20" w:after="20"/>
              <w:rPr>
                <w:noProof/>
                <w:sz w:val="18"/>
                <w:szCs w:val="18"/>
              </w:rPr>
            </w:pPr>
            <w:r w:rsidRPr="0E051759">
              <w:rPr>
                <w:noProof/>
                <w:sz w:val="18"/>
                <w:szCs w:val="18"/>
              </w:rPr>
              <w:t>Commitments</w:t>
            </w:r>
          </w:p>
        </w:tc>
        <w:tc>
          <w:tcPr>
            <w:tcW w:w="654" w:type="dxa"/>
            <w:gridSpan w:val="2"/>
            <w:vAlign w:val="center"/>
          </w:tcPr>
          <w:p w14:paraId="72FD200A" w14:textId="77777777" w:rsidR="00950C34" w:rsidRDefault="00950C34" w:rsidP="00FA7B33">
            <w:pPr>
              <w:spacing w:before="20" w:after="20"/>
              <w:jc w:val="center"/>
              <w:rPr>
                <w:noProof/>
                <w:sz w:val="14"/>
                <w:szCs w:val="14"/>
              </w:rPr>
            </w:pPr>
            <w:r w:rsidRPr="0E051759">
              <w:rPr>
                <w:noProof/>
                <w:sz w:val="14"/>
                <w:szCs w:val="14"/>
              </w:rPr>
              <w:t>(1a)</w:t>
            </w:r>
          </w:p>
        </w:tc>
        <w:tc>
          <w:tcPr>
            <w:tcW w:w="868" w:type="dxa"/>
            <w:vAlign w:val="center"/>
          </w:tcPr>
          <w:p w14:paraId="73C3156B" w14:textId="77777777" w:rsidR="00950C34" w:rsidRDefault="00950C34" w:rsidP="00FA7B33">
            <w:pPr>
              <w:spacing w:before="20" w:after="20"/>
              <w:jc w:val="right"/>
              <w:rPr>
                <w:noProof/>
                <w:sz w:val="20"/>
                <w:szCs w:val="20"/>
              </w:rPr>
            </w:pPr>
          </w:p>
        </w:tc>
        <w:tc>
          <w:tcPr>
            <w:tcW w:w="1235" w:type="dxa"/>
            <w:vAlign w:val="center"/>
          </w:tcPr>
          <w:p w14:paraId="1E199865" w14:textId="77777777" w:rsidR="00950C34" w:rsidRDefault="00950C34" w:rsidP="00FA7B33">
            <w:pPr>
              <w:spacing w:before="20" w:after="20"/>
              <w:jc w:val="right"/>
              <w:rPr>
                <w:noProof/>
                <w:sz w:val="20"/>
                <w:szCs w:val="20"/>
              </w:rPr>
            </w:pPr>
            <w:r w:rsidRPr="640A9D14">
              <w:rPr>
                <w:noProof/>
                <w:sz w:val="20"/>
                <w:szCs w:val="20"/>
              </w:rPr>
              <w:t>0,000</w:t>
            </w:r>
          </w:p>
        </w:tc>
        <w:tc>
          <w:tcPr>
            <w:tcW w:w="666" w:type="dxa"/>
            <w:vAlign w:val="center"/>
          </w:tcPr>
          <w:p w14:paraId="56F80B2B" w14:textId="77777777" w:rsidR="00950C34" w:rsidRDefault="00950C34" w:rsidP="00FA7B33">
            <w:pPr>
              <w:spacing w:before="20" w:after="20"/>
              <w:jc w:val="right"/>
              <w:rPr>
                <w:noProof/>
                <w:sz w:val="20"/>
                <w:szCs w:val="20"/>
              </w:rPr>
            </w:pPr>
            <w:r w:rsidRPr="640A9D14">
              <w:rPr>
                <w:noProof/>
                <w:sz w:val="20"/>
                <w:szCs w:val="20"/>
              </w:rPr>
              <w:t>0,000</w:t>
            </w:r>
          </w:p>
        </w:tc>
        <w:tc>
          <w:tcPr>
            <w:tcW w:w="1318" w:type="dxa"/>
            <w:vAlign w:val="center"/>
          </w:tcPr>
          <w:p w14:paraId="04D15E78" w14:textId="77777777" w:rsidR="00950C34" w:rsidRDefault="00950C34" w:rsidP="00FA7B33">
            <w:pPr>
              <w:spacing w:before="20" w:after="20"/>
              <w:jc w:val="right"/>
              <w:rPr>
                <w:noProof/>
                <w:sz w:val="20"/>
                <w:szCs w:val="20"/>
              </w:rPr>
            </w:pPr>
            <w:r w:rsidRPr="640A9D14">
              <w:rPr>
                <w:noProof/>
                <w:sz w:val="20"/>
                <w:szCs w:val="20"/>
              </w:rPr>
              <w:t>0,000</w:t>
            </w:r>
          </w:p>
        </w:tc>
        <w:tc>
          <w:tcPr>
            <w:tcW w:w="418" w:type="dxa"/>
            <w:vAlign w:val="center"/>
          </w:tcPr>
          <w:p w14:paraId="6F21E002" w14:textId="77777777" w:rsidR="00950C34" w:rsidRDefault="00950C34" w:rsidP="00FA7B33">
            <w:pPr>
              <w:spacing w:before="20" w:after="20"/>
              <w:jc w:val="right"/>
              <w:rPr>
                <w:noProof/>
                <w:sz w:val="20"/>
                <w:szCs w:val="20"/>
              </w:rPr>
            </w:pPr>
            <w:r w:rsidRPr="640A9D14">
              <w:rPr>
                <w:noProof/>
                <w:sz w:val="20"/>
                <w:szCs w:val="20"/>
              </w:rPr>
              <w:t>0,000</w:t>
            </w:r>
          </w:p>
        </w:tc>
        <w:tc>
          <w:tcPr>
            <w:tcW w:w="868" w:type="dxa"/>
            <w:vAlign w:val="center"/>
          </w:tcPr>
          <w:p w14:paraId="019B9255" w14:textId="77777777" w:rsidR="00950C34" w:rsidRDefault="00950C34" w:rsidP="00FA7B33">
            <w:pPr>
              <w:spacing w:before="20" w:after="20"/>
              <w:jc w:val="right"/>
              <w:rPr>
                <w:noProof/>
                <w:sz w:val="20"/>
                <w:szCs w:val="20"/>
              </w:rPr>
            </w:pPr>
          </w:p>
        </w:tc>
        <w:tc>
          <w:tcPr>
            <w:tcW w:w="868" w:type="dxa"/>
            <w:vAlign w:val="center"/>
          </w:tcPr>
          <w:p w14:paraId="4849860B" w14:textId="77777777" w:rsidR="00950C34" w:rsidRDefault="00950C34" w:rsidP="00FA7B33">
            <w:pPr>
              <w:spacing w:before="20" w:after="20"/>
              <w:jc w:val="right"/>
              <w:rPr>
                <w:b/>
                <w:bCs/>
                <w:noProof/>
                <w:sz w:val="20"/>
                <w:szCs w:val="20"/>
              </w:rPr>
            </w:pPr>
          </w:p>
        </w:tc>
        <w:tc>
          <w:tcPr>
            <w:tcW w:w="1838" w:type="dxa"/>
            <w:vAlign w:val="center"/>
          </w:tcPr>
          <w:p w14:paraId="47A8328E" w14:textId="77777777" w:rsidR="00950C34" w:rsidRDefault="00950C34" w:rsidP="00FA7B33">
            <w:pPr>
              <w:spacing w:before="20" w:after="20"/>
              <w:jc w:val="center"/>
              <w:rPr>
                <w:b/>
                <w:bCs/>
                <w:noProof/>
                <w:sz w:val="20"/>
                <w:szCs w:val="20"/>
              </w:rPr>
            </w:pPr>
            <w:r w:rsidRPr="640A9D14">
              <w:rPr>
                <w:b/>
                <w:bCs/>
                <w:noProof/>
                <w:sz w:val="20"/>
                <w:szCs w:val="20"/>
              </w:rPr>
              <w:t>0,000</w:t>
            </w:r>
          </w:p>
        </w:tc>
      </w:tr>
      <w:tr w:rsidR="00950C34" w14:paraId="79649406" w14:textId="77777777" w:rsidTr="00FA7B33">
        <w:trPr>
          <w:trHeight w:val="300"/>
        </w:trPr>
        <w:tc>
          <w:tcPr>
            <w:tcW w:w="3960" w:type="dxa"/>
            <w:vMerge/>
          </w:tcPr>
          <w:p w14:paraId="486D6339" w14:textId="77777777" w:rsidR="00950C34" w:rsidRDefault="00950C34" w:rsidP="00FA7B33">
            <w:pPr>
              <w:rPr>
                <w:noProof/>
              </w:rPr>
            </w:pPr>
          </w:p>
        </w:tc>
        <w:tc>
          <w:tcPr>
            <w:tcW w:w="1440" w:type="dxa"/>
            <w:vAlign w:val="center"/>
          </w:tcPr>
          <w:p w14:paraId="278456D4" w14:textId="77777777" w:rsidR="00950C34" w:rsidRDefault="00950C34" w:rsidP="00FA7B33">
            <w:pPr>
              <w:spacing w:before="20" w:after="20"/>
              <w:rPr>
                <w:noProof/>
                <w:sz w:val="18"/>
                <w:szCs w:val="18"/>
              </w:rPr>
            </w:pPr>
            <w:r w:rsidRPr="0E051759">
              <w:rPr>
                <w:noProof/>
                <w:sz w:val="18"/>
                <w:szCs w:val="18"/>
              </w:rPr>
              <w:t>Payments</w:t>
            </w:r>
          </w:p>
        </w:tc>
        <w:tc>
          <w:tcPr>
            <w:tcW w:w="654" w:type="dxa"/>
            <w:gridSpan w:val="2"/>
            <w:vAlign w:val="center"/>
          </w:tcPr>
          <w:p w14:paraId="1B03C3AE" w14:textId="77777777" w:rsidR="00950C34" w:rsidRDefault="00950C34" w:rsidP="00FA7B33">
            <w:pPr>
              <w:spacing w:before="20" w:after="20"/>
              <w:jc w:val="center"/>
              <w:rPr>
                <w:noProof/>
                <w:sz w:val="14"/>
                <w:szCs w:val="14"/>
              </w:rPr>
            </w:pPr>
            <w:r w:rsidRPr="0E051759">
              <w:rPr>
                <w:noProof/>
                <w:sz w:val="14"/>
                <w:szCs w:val="14"/>
              </w:rPr>
              <w:t>(2a)</w:t>
            </w:r>
          </w:p>
        </w:tc>
        <w:tc>
          <w:tcPr>
            <w:tcW w:w="868" w:type="dxa"/>
            <w:vAlign w:val="center"/>
          </w:tcPr>
          <w:p w14:paraId="7A76BAAE" w14:textId="77777777" w:rsidR="00950C34" w:rsidRDefault="00950C34" w:rsidP="00FA7B33">
            <w:pPr>
              <w:spacing w:before="20" w:after="20"/>
              <w:jc w:val="right"/>
              <w:rPr>
                <w:noProof/>
                <w:sz w:val="20"/>
                <w:szCs w:val="20"/>
              </w:rPr>
            </w:pPr>
          </w:p>
        </w:tc>
        <w:tc>
          <w:tcPr>
            <w:tcW w:w="1235" w:type="dxa"/>
            <w:vAlign w:val="center"/>
          </w:tcPr>
          <w:p w14:paraId="37E4A890" w14:textId="77777777" w:rsidR="00950C34" w:rsidRDefault="00950C34" w:rsidP="00FA7B33">
            <w:pPr>
              <w:spacing w:before="20" w:after="20"/>
              <w:jc w:val="right"/>
              <w:rPr>
                <w:noProof/>
                <w:sz w:val="20"/>
                <w:szCs w:val="20"/>
              </w:rPr>
            </w:pPr>
            <w:r w:rsidRPr="640A9D14">
              <w:rPr>
                <w:noProof/>
                <w:sz w:val="20"/>
                <w:szCs w:val="20"/>
              </w:rPr>
              <w:t>5 935,000</w:t>
            </w:r>
          </w:p>
        </w:tc>
        <w:tc>
          <w:tcPr>
            <w:tcW w:w="666" w:type="dxa"/>
            <w:vAlign w:val="center"/>
          </w:tcPr>
          <w:p w14:paraId="5A235FD2" w14:textId="77777777" w:rsidR="00950C34" w:rsidRDefault="00950C34" w:rsidP="00FA7B33">
            <w:pPr>
              <w:spacing w:before="20" w:after="20"/>
              <w:jc w:val="right"/>
              <w:rPr>
                <w:noProof/>
                <w:sz w:val="20"/>
                <w:szCs w:val="20"/>
              </w:rPr>
            </w:pPr>
          </w:p>
        </w:tc>
        <w:tc>
          <w:tcPr>
            <w:tcW w:w="1318" w:type="dxa"/>
            <w:vAlign w:val="center"/>
          </w:tcPr>
          <w:p w14:paraId="1A1FEE62" w14:textId="77777777" w:rsidR="00950C34" w:rsidRDefault="00950C34" w:rsidP="00FA7B33">
            <w:pPr>
              <w:spacing w:before="20" w:after="20"/>
              <w:jc w:val="right"/>
              <w:rPr>
                <w:noProof/>
                <w:sz w:val="20"/>
                <w:szCs w:val="20"/>
              </w:rPr>
            </w:pPr>
            <w:r w:rsidRPr="640A9D14">
              <w:rPr>
                <w:noProof/>
                <w:sz w:val="20"/>
                <w:szCs w:val="20"/>
              </w:rPr>
              <w:t>-5 935,000</w:t>
            </w:r>
          </w:p>
        </w:tc>
        <w:tc>
          <w:tcPr>
            <w:tcW w:w="418" w:type="dxa"/>
            <w:vAlign w:val="center"/>
          </w:tcPr>
          <w:p w14:paraId="5608D914" w14:textId="77777777" w:rsidR="00950C34" w:rsidRDefault="00950C34" w:rsidP="00FA7B33">
            <w:pPr>
              <w:spacing w:before="20" w:after="20"/>
              <w:jc w:val="right"/>
              <w:rPr>
                <w:noProof/>
                <w:sz w:val="20"/>
                <w:szCs w:val="20"/>
              </w:rPr>
            </w:pPr>
          </w:p>
        </w:tc>
        <w:tc>
          <w:tcPr>
            <w:tcW w:w="868" w:type="dxa"/>
            <w:vAlign w:val="center"/>
          </w:tcPr>
          <w:p w14:paraId="2C7CA5F0" w14:textId="77777777" w:rsidR="00950C34" w:rsidRDefault="00950C34" w:rsidP="00FA7B33">
            <w:pPr>
              <w:spacing w:before="20" w:after="20"/>
              <w:jc w:val="right"/>
              <w:rPr>
                <w:noProof/>
                <w:sz w:val="20"/>
                <w:szCs w:val="20"/>
              </w:rPr>
            </w:pPr>
          </w:p>
        </w:tc>
        <w:tc>
          <w:tcPr>
            <w:tcW w:w="868" w:type="dxa"/>
            <w:vAlign w:val="center"/>
          </w:tcPr>
          <w:p w14:paraId="44F6C194" w14:textId="77777777" w:rsidR="00950C34" w:rsidRDefault="00950C34" w:rsidP="00FA7B33">
            <w:pPr>
              <w:spacing w:before="20" w:after="20"/>
              <w:jc w:val="right"/>
              <w:rPr>
                <w:noProof/>
                <w:sz w:val="20"/>
                <w:szCs w:val="20"/>
              </w:rPr>
            </w:pPr>
          </w:p>
        </w:tc>
        <w:tc>
          <w:tcPr>
            <w:tcW w:w="1838" w:type="dxa"/>
            <w:vAlign w:val="center"/>
          </w:tcPr>
          <w:p w14:paraId="496D18FE" w14:textId="77777777" w:rsidR="00950C34" w:rsidRDefault="00950C34" w:rsidP="00FA7B33">
            <w:pPr>
              <w:spacing w:before="20" w:after="20"/>
              <w:jc w:val="center"/>
              <w:rPr>
                <w:b/>
                <w:bCs/>
                <w:noProof/>
                <w:sz w:val="20"/>
                <w:szCs w:val="20"/>
              </w:rPr>
            </w:pPr>
            <w:r w:rsidRPr="640A9D14">
              <w:rPr>
                <w:b/>
                <w:bCs/>
                <w:noProof/>
                <w:sz w:val="20"/>
                <w:szCs w:val="20"/>
              </w:rPr>
              <w:t>0,000</w:t>
            </w:r>
          </w:p>
        </w:tc>
      </w:tr>
      <w:tr w:rsidR="00950C34" w14:paraId="2A36D3B2" w14:textId="77777777" w:rsidTr="00FA7B33">
        <w:trPr>
          <w:trHeight w:val="231"/>
        </w:trPr>
        <w:tc>
          <w:tcPr>
            <w:tcW w:w="6054" w:type="dxa"/>
            <w:gridSpan w:val="4"/>
            <w:vAlign w:val="center"/>
          </w:tcPr>
          <w:p w14:paraId="228F9C86" w14:textId="77777777" w:rsidR="00950C34" w:rsidRDefault="00950C34" w:rsidP="00FA7B33">
            <w:pPr>
              <w:spacing w:before="20" w:after="20"/>
              <w:rPr>
                <w:noProof/>
                <w:lang w:val="en-IE"/>
              </w:rPr>
            </w:pPr>
            <w:r w:rsidRPr="0E051759">
              <w:rPr>
                <w:noProof/>
                <w:sz w:val="21"/>
                <w:szCs w:val="21"/>
                <w:lang w:val="en-IE"/>
              </w:rPr>
              <w:t>Appropriations of an administrative nature financed from the envelope of specific programmes</w:t>
            </w:r>
            <w:r w:rsidRPr="0E051759">
              <w:rPr>
                <w:rStyle w:val="FootnoteReference"/>
                <w:noProof/>
                <w:sz w:val="21"/>
                <w:szCs w:val="21"/>
              </w:rPr>
              <w:footnoteReference w:id="80"/>
            </w:r>
            <w:r w:rsidRPr="0E051759">
              <w:rPr>
                <w:noProof/>
                <w:sz w:val="21"/>
                <w:szCs w:val="21"/>
                <w:lang w:val="en-IE"/>
              </w:rPr>
              <w:t xml:space="preserve"> </w:t>
            </w:r>
          </w:p>
          <w:p w14:paraId="7A747B58" w14:textId="77777777" w:rsidR="00950C34" w:rsidRDefault="00950C34" w:rsidP="00FA7B33">
            <w:pPr>
              <w:spacing w:before="0" w:after="0"/>
              <w:rPr>
                <w:noProof/>
                <w:lang w:val="en-IE"/>
              </w:rPr>
            </w:pPr>
          </w:p>
        </w:tc>
        <w:tc>
          <w:tcPr>
            <w:tcW w:w="868" w:type="dxa"/>
            <w:vAlign w:val="center"/>
          </w:tcPr>
          <w:p w14:paraId="61ACE7C9" w14:textId="77777777" w:rsidR="00950C34" w:rsidRDefault="00950C34" w:rsidP="00FA7B33">
            <w:pPr>
              <w:rPr>
                <w:b/>
                <w:bCs/>
                <w:noProof/>
                <w:sz w:val="20"/>
                <w:szCs w:val="20"/>
                <w:lang w:val="en-IE"/>
              </w:rPr>
            </w:pPr>
          </w:p>
        </w:tc>
        <w:tc>
          <w:tcPr>
            <w:tcW w:w="1235" w:type="dxa"/>
            <w:vAlign w:val="center"/>
          </w:tcPr>
          <w:p w14:paraId="4144FDEF" w14:textId="77777777" w:rsidR="00950C34" w:rsidRDefault="00950C34" w:rsidP="00FA7B33">
            <w:pPr>
              <w:jc w:val="center"/>
              <w:rPr>
                <w:noProof/>
                <w:sz w:val="20"/>
                <w:szCs w:val="20"/>
                <w:lang w:val="en-IE"/>
              </w:rPr>
            </w:pPr>
            <w:r w:rsidRPr="0E051759">
              <w:rPr>
                <w:noProof/>
                <w:sz w:val="20"/>
                <w:szCs w:val="20"/>
                <w:lang w:val="en-IE"/>
              </w:rPr>
              <w:t>p.m.</w:t>
            </w:r>
          </w:p>
        </w:tc>
        <w:tc>
          <w:tcPr>
            <w:tcW w:w="666" w:type="dxa"/>
            <w:vAlign w:val="center"/>
          </w:tcPr>
          <w:p w14:paraId="0ECE9397" w14:textId="77777777" w:rsidR="00950C34" w:rsidRDefault="00950C34" w:rsidP="00FA7B33">
            <w:pPr>
              <w:jc w:val="center"/>
              <w:rPr>
                <w:noProof/>
                <w:sz w:val="20"/>
                <w:szCs w:val="20"/>
                <w:lang w:val="en-IE"/>
              </w:rPr>
            </w:pPr>
            <w:r w:rsidRPr="0E051759">
              <w:rPr>
                <w:noProof/>
                <w:sz w:val="20"/>
                <w:szCs w:val="20"/>
                <w:lang w:val="en-IE"/>
              </w:rPr>
              <w:t>p.m.</w:t>
            </w:r>
          </w:p>
        </w:tc>
        <w:tc>
          <w:tcPr>
            <w:tcW w:w="1318" w:type="dxa"/>
            <w:vAlign w:val="center"/>
          </w:tcPr>
          <w:p w14:paraId="2600D290" w14:textId="77777777" w:rsidR="00950C34" w:rsidRDefault="00950C34" w:rsidP="00FA7B33">
            <w:pPr>
              <w:jc w:val="center"/>
              <w:rPr>
                <w:noProof/>
                <w:sz w:val="20"/>
                <w:szCs w:val="20"/>
                <w:lang w:val="en-IE"/>
              </w:rPr>
            </w:pPr>
            <w:r w:rsidRPr="0E051759">
              <w:rPr>
                <w:noProof/>
                <w:sz w:val="20"/>
                <w:szCs w:val="20"/>
                <w:lang w:val="en-IE"/>
              </w:rPr>
              <w:t>p.m.</w:t>
            </w:r>
          </w:p>
        </w:tc>
        <w:tc>
          <w:tcPr>
            <w:tcW w:w="418" w:type="dxa"/>
            <w:vAlign w:val="center"/>
          </w:tcPr>
          <w:p w14:paraId="089A9577" w14:textId="77777777" w:rsidR="00950C34" w:rsidRDefault="00950C34" w:rsidP="00FA7B33">
            <w:pPr>
              <w:jc w:val="center"/>
              <w:rPr>
                <w:noProof/>
                <w:sz w:val="20"/>
                <w:szCs w:val="20"/>
                <w:lang w:val="en-IE"/>
              </w:rPr>
            </w:pPr>
            <w:r w:rsidRPr="0E051759">
              <w:rPr>
                <w:noProof/>
                <w:sz w:val="20"/>
                <w:szCs w:val="20"/>
                <w:lang w:val="en-IE"/>
              </w:rPr>
              <w:t>p.m.</w:t>
            </w:r>
          </w:p>
        </w:tc>
        <w:tc>
          <w:tcPr>
            <w:tcW w:w="868" w:type="dxa"/>
            <w:vAlign w:val="center"/>
          </w:tcPr>
          <w:p w14:paraId="2D649DB8" w14:textId="77777777" w:rsidR="00950C34" w:rsidRDefault="00950C34" w:rsidP="00FA7B33">
            <w:pPr>
              <w:rPr>
                <w:b/>
                <w:bCs/>
                <w:noProof/>
                <w:sz w:val="20"/>
                <w:szCs w:val="20"/>
                <w:lang w:val="en-IE"/>
              </w:rPr>
            </w:pPr>
          </w:p>
        </w:tc>
        <w:tc>
          <w:tcPr>
            <w:tcW w:w="868" w:type="dxa"/>
            <w:vAlign w:val="center"/>
          </w:tcPr>
          <w:p w14:paraId="08036B1F" w14:textId="77777777" w:rsidR="00950C34" w:rsidRDefault="00950C34" w:rsidP="00FA7B33">
            <w:pPr>
              <w:rPr>
                <w:b/>
                <w:bCs/>
                <w:noProof/>
                <w:sz w:val="20"/>
                <w:szCs w:val="20"/>
                <w:lang w:val="en-IE"/>
              </w:rPr>
            </w:pPr>
          </w:p>
        </w:tc>
        <w:tc>
          <w:tcPr>
            <w:tcW w:w="1838" w:type="dxa"/>
            <w:vAlign w:val="center"/>
          </w:tcPr>
          <w:p w14:paraId="06313E7C" w14:textId="77777777" w:rsidR="00950C34" w:rsidRDefault="00950C34" w:rsidP="00FA7B33">
            <w:pPr>
              <w:jc w:val="center"/>
              <w:rPr>
                <w:b/>
                <w:bCs/>
                <w:noProof/>
                <w:sz w:val="20"/>
                <w:szCs w:val="20"/>
                <w:lang w:val="en-IE"/>
              </w:rPr>
            </w:pPr>
          </w:p>
        </w:tc>
      </w:tr>
      <w:tr w:rsidR="00950C34" w14:paraId="6AFE5F95" w14:textId="77777777" w:rsidTr="00FA7B33">
        <w:trPr>
          <w:trHeight w:val="300"/>
        </w:trPr>
        <w:tc>
          <w:tcPr>
            <w:tcW w:w="3960" w:type="dxa"/>
            <w:vMerge w:val="restart"/>
            <w:vAlign w:val="center"/>
          </w:tcPr>
          <w:p w14:paraId="1464136E" w14:textId="77777777" w:rsidR="00950C34" w:rsidRDefault="00950C34" w:rsidP="00FA7B33">
            <w:pPr>
              <w:jc w:val="center"/>
              <w:rPr>
                <w:rFonts w:eastAsiaTheme="minorEastAsia"/>
                <w:b/>
                <w:bCs/>
                <w:noProof/>
                <w:sz w:val="22"/>
              </w:rPr>
            </w:pPr>
            <w:r w:rsidRPr="0E051759">
              <w:rPr>
                <w:b/>
                <w:bCs/>
                <w:noProof/>
                <w:sz w:val="22"/>
              </w:rPr>
              <w:t>TOTAL appropriations</w:t>
            </w:r>
            <w:r>
              <w:rPr>
                <w:noProof/>
              </w:rPr>
              <w:br/>
            </w:r>
            <w:r w:rsidRPr="0E051759">
              <w:rPr>
                <w:b/>
                <w:bCs/>
                <w:noProof/>
                <w:sz w:val="22"/>
              </w:rPr>
              <w:t>for DG</w:t>
            </w:r>
            <w:r w:rsidRPr="0E051759">
              <w:rPr>
                <w:rFonts w:eastAsiaTheme="minorEastAsia"/>
                <w:b/>
                <w:bCs/>
                <w:noProof/>
                <w:sz w:val="22"/>
              </w:rPr>
              <w:t xml:space="preserve"> Regional and Urban Policy</w:t>
            </w:r>
          </w:p>
        </w:tc>
        <w:tc>
          <w:tcPr>
            <w:tcW w:w="1440" w:type="dxa"/>
            <w:vAlign w:val="center"/>
          </w:tcPr>
          <w:p w14:paraId="5E4A2C8A" w14:textId="77777777" w:rsidR="00950C34" w:rsidRDefault="00950C34" w:rsidP="00FA7B33">
            <w:pPr>
              <w:rPr>
                <w:noProof/>
                <w:sz w:val="18"/>
                <w:szCs w:val="18"/>
              </w:rPr>
            </w:pPr>
            <w:r w:rsidRPr="0E051759">
              <w:rPr>
                <w:noProof/>
                <w:sz w:val="18"/>
                <w:szCs w:val="18"/>
              </w:rPr>
              <w:t>Commitments</w:t>
            </w:r>
          </w:p>
        </w:tc>
        <w:tc>
          <w:tcPr>
            <w:tcW w:w="654" w:type="dxa"/>
            <w:gridSpan w:val="2"/>
            <w:vAlign w:val="center"/>
          </w:tcPr>
          <w:p w14:paraId="5E9B9235" w14:textId="77777777" w:rsidR="00950C34" w:rsidRDefault="00950C34" w:rsidP="00FA7B33">
            <w:pPr>
              <w:jc w:val="center"/>
              <w:rPr>
                <w:noProof/>
                <w:sz w:val="14"/>
                <w:szCs w:val="14"/>
              </w:rPr>
            </w:pPr>
            <w:r w:rsidRPr="0E051759">
              <w:rPr>
                <w:noProof/>
                <w:sz w:val="14"/>
                <w:szCs w:val="14"/>
              </w:rPr>
              <w:t>=1a+1b +3</w:t>
            </w:r>
          </w:p>
        </w:tc>
        <w:tc>
          <w:tcPr>
            <w:tcW w:w="868" w:type="dxa"/>
            <w:vAlign w:val="center"/>
          </w:tcPr>
          <w:p w14:paraId="1144E08F" w14:textId="77777777" w:rsidR="00950C34" w:rsidRDefault="00950C34" w:rsidP="00FA7B33">
            <w:pPr>
              <w:spacing w:before="20" w:after="20"/>
              <w:jc w:val="right"/>
              <w:rPr>
                <w:noProof/>
                <w:sz w:val="20"/>
                <w:szCs w:val="20"/>
              </w:rPr>
            </w:pPr>
          </w:p>
        </w:tc>
        <w:tc>
          <w:tcPr>
            <w:tcW w:w="1235" w:type="dxa"/>
            <w:vAlign w:val="center"/>
          </w:tcPr>
          <w:p w14:paraId="1A67979B" w14:textId="77777777" w:rsidR="00950C34" w:rsidRDefault="00950C34" w:rsidP="00FA7B33">
            <w:pPr>
              <w:spacing w:before="20" w:after="20"/>
              <w:jc w:val="right"/>
              <w:rPr>
                <w:noProof/>
                <w:sz w:val="20"/>
                <w:szCs w:val="20"/>
              </w:rPr>
            </w:pPr>
            <w:r w:rsidRPr="640A9D14">
              <w:rPr>
                <w:noProof/>
                <w:sz w:val="20"/>
                <w:szCs w:val="20"/>
              </w:rPr>
              <w:t>0,000</w:t>
            </w:r>
          </w:p>
        </w:tc>
        <w:tc>
          <w:tcPr>
            <w:tcW w:w="666" w:type="dxa"/>
            <w:vAlign w:val="center"/>
          </w:tcPr>
          <w:p w14:paraId="132FDDFE" w14:textId="77777777" w:rsidR="00950C34" w:rsidRDefault="00950C34" w:rsidP="00FA7B33">
            <w:pPr>
              <w:spacing w:before="20" w:after="20"/>
              <w:jc w:val="right"/>
              <w:rPr>
                <w:noProof/>
                <w:sz w:val="20"/>
                <w:szCs w:val="20"/>
              </w:rPr>
            </w:pPr>
            <w:r w:rsidRPr="640A9D14">
              <w:rPr>
                <w:noProof/>
                <w:sz w:val="20"/>
                <w:szCs w:val="20"/>
              </w:rPr>
              <w:t>0,000</w:t>
            </w:r>
          </w:p>
        </w:tc>
        <w:tc>
          <w:tcPr>
            <w:tcW w:w="1318" w:type="dxa"/>
            <w:vAlign w:val="center"/>
          </w:tcPr>
          <w:p w14:paraId="2E641418" w14:textId="77777777" w:rsidR="00950C34" w:rsidRDefault="00950C34" w:rsidP="00FA7B33">
            <w:pPr>
              <w:spacing w:before="20" w:after="20"/>
              <w:jc w:val="right"/>
              <w:rPr>
                <w:noProof/>
                <w:sz w:val="20"/>
                <w:szCs w:val="20"/>
              </w:rPr>
            </w:pPr>
            <w:r w:rsidRPr="640A9D14">
              <w:rPr>
                <w:noProof/>
                <w:sz w:val="20"/>
                <w:szCs w:val="20"/>
              </w:rPr>
              <w:t>0,000</w:t>
            </w:r>
          </w:p>
        </w:tc>
        <w:tc>
          <w:tcPr>
            <w:tcW w:w="418" w:type="dxa"/>
            <w:vAlign w:val="center"/>
          </w:tcPr>
          <w:p w14:paraId="5063A6BF" w14:textId="77777777" w:rsidR="00950C34" w:rsidRDefault="00950C34" w:rsidP="00FA7B33">
            <w:pPr>
              <w:spacing w:before="20" w:after="20"/>
              <w:jc w:val="right"/>
              <w:rPr>
                <w:noProof/>
                <w:sz w:val="20"/>
                <w:szCs w:val="20"/>
              </w:rPr>
            </w:pPr>
            <w:r w:rsidRPr="640A9D14">
              <w:rPr>
                <w:noProof/>
                <w:sz w:val="20"/>
                <w:szCs w:val="20"/>
              </w:rPr>
              <w:t>0,000</w:t>
            </w:r>
          </w:p>
        </w:tc>
        <w:tc>
          <w:tcPr>
            <w:tcW w:w="868" w:type="dxa"/>
            <w:vAlign w:val="center"/>
          </w:tcPr>
          <w:p w14:paraId="1A00D8E9" w14:textId="77777777" w:rsidR="00950C34" w:rsidRDefault="00950C34" w:rsidP="00FA7B33">
            <w:pPr>
              <w:spacing w:before="20" w:after="20"/>
              <w:jc w:val="right"/>
              <w:rPr>
                <w:noProof/>
                <w:sz w:val="20"/>
                <w:szCs w:val="20"/>
              </w:rPr>
            </w:pPr>
          </w:p>
        </w:tc>
        <w:tc>
          <w:tcPr>
            <w:tcW w:w="868" w:type="dxa"/>
            <w:vAlign w:val="center"/>
          </w:tcPr>
          <w:p w14:paraId="2D8E2F39" w14:textId="77777777" w:rsidR="00950C34" w:rsidRDefault="00950C34" w:rsidP="00FA7B33">
            <w:pPr>
              <w:spacing w:before="20" w:after="20"/>
              <w:jc w:val="right"/>
              <w:rPr>
                <w:b/>
                <w:bCs/>
                <w:noProof/>
                <w:sz w:val="20"/>
                <w:szCs w:val="20"/>
              </w:rPr>
            </w:pPr>
          </w:p>
        </w:tc>
        <w:tc>
          <w:tcPr>
            <w:tcW w:w="1838" w:type="dxa"/>
            <w:vAlign w:val="center"/>
          </w:tcPr>
          <w:p w14:paraId="42B6699C" w14:textId="77777777" w:rsidR="00950C34" w:rsidRDefault="00950C34" w:rsidP="00FA7B33">
            <w:pPr>
              <w:spacing w:before="20" w:after="20"/>
              <w:jc w:val="center"/>
              <w:rPr>
                <w:b/>
                <w:bCs/>
                <w:noProof/>
                <w:sz w:val="20"/>
                <w:szCs w:val="20"/>
              </w:rPr>
            </w:pPr>
            <w:r w:rsidRPr="640A9D14">
              <w:rPr>
                <w:b/>
                <w:bCs/>
                <w:noProof/>
                <w:sz w:val="20"/>
                <w:szCs w:val="20"/>
              </w:rPr>
              <w:t>0,000</w:t>
            </w:r>
          </w:p>
        </w:tc>
      </w:tr>
      <w:tr w:rsidR="00950C34" w14:paraId="0299F60C" w14:textId="77777777" w:rsidTr="00FA7B33">
        <w:trPr>
          <w:trHeight w:val="300"/>
        </w:trPr>
        <w:tc>
          <w:tcPr>
            <w:tcW w:w="3960" w:type="dxa"/>
            <w:vMerge/>
          </w:tcPr>
          <w:p w14:paraId="3BA5D622" w14:textId="77777777" w:rsidR="00950C34" w:rsidRDefault="00950C34" w:rsidP="00FA7B33">
            <w:pPr>
              <w:rPr>
                <w:noProof/>
              </w:rPr>
            </w:pPr>
          </w:p>
        </w:tc>
        <w:tc>
          <w:tcPr>
            <w:tcW w:w="1440" w:type="dxa"/>
            <w:vAlign w:val="center"/>
          </w:tcPr>
          <w:p w14:paraId="6414ABB1" w14:textId="77777777" w:rsidR="00950C34" w:rsidRDefault="00950C34" w:rsidP="00FA7B33">
            <w:pPr>
              <w:rPr>
                <w:noProof/>
                <w:sz w:val="18"/>
                <w:szCs w:val="18"/>
              </w:rPr>
            </w:pPr>
            <w:r w:rsidRPr="0E051759">
              <w:rPr>
                <w:noProof/>
                <w:sz w:val="18"/>
                <w:szCs w:val="18"/>
              </w:rPr>
              <w:t>Payments</w:t>
            </w:r>
          </w:p>
        </w:tc>
        <w:tc>
          <w:tcPr>
            <w:tcW w:w="654" w:type="dxa"/>
            <w:gridSpan w:val="2"/>
            <w:vAlign w:val="center"/>
          </w:tcPr>
          <w:p w14:paraId="080BA13C" w14:textId="77777777" w:rsidR="00950C34" w:rsidRDefault="00950C34" w:rsidP="00FA7B33">
            <w:pPr>
              <w:jc w:val="center"/>
              <w:rPr>
                <w:noProof/>
                <w:sz w:val="14"/>
                <w:szCs w:val="14"/>
              </w:rPr>
            </w:pPr>
            <w:r w:rsidRPr="0E051759">
              <w:rPr>
                <w:noProof/>
                <w:sz w:val="14"/>
                <w:szCs w:val="14"/>
              </w:rPr>
              <w:t>=2a+2b</w:t>
            </w:r>
          </w:p>
          <w:p w14:paraId="41353EE8" w14:textId="77777777" w:rsidR="00950C34" w:rsidRDefault="00950C34" w:rsidP="00FA7B33">
            <w:pPr>
              <w:jc w:val="center"/>
              <w:rPr>
                <w:noProof/>
                <w:sz w:val="14"/>
                <w:szCs w:val="14"/>
              </w:rPr>
            </w:pPr>
            <w:r w:rsidRPr="0E051759">
              <w:rPr>
                <w:noProof/>
                <w:sz w:val="14"/>
                <w:szCs w:val="14"/>
              </w:rPr>
              <w:t>+3</w:t>
            </w:r>
          </w:p>
        </w:tc>
        <w:tc>
          <w:tcPr>
            <w:tcW w:w="868" w:type="dxa"/>
            <w:vAlign w:val="center"/>
          </w:tcPr>
          <w:p w14:paraId="32BB2864" w14:textId="77777777" w:rsidR="00950C34" w:rsidRDefault="00950C34" w:rsidP="00FA7B33">
            <w:pPr>
              <w:spacing w:before="20" w:after="20"/>
              <w:jc w:val="right"/>
              <w:rPr>
                <w:noProof/>
                <w:sz w:val="20"/>
                <w:szCs w:val="20"/>
              </w:rPr>
            </w:pPr>
          </w:p>
        </w:tc>
        <w:tc>
          <w:tcPr>
            <w:tcW w:w="1235" w:type="dxa"/>
            <w:vAlign w:val="center"/>
          </w:tcPr>
          <w:p w14:paraId="51096390" w14:textId="77777777" w:rsidR="00950C34" w:rsidRDefault="00950C34" w:rsidP="00FA7B33">
            <w:pPr>
              <w:spacing w:before="20" w:after="20"/>
              <w:jc w:val="right"/>
              <w:rPr>
                <w:noProof/>
                <w:sz w:val="20"/>
                <w:szCs w:val="20"/>
              </w:rPr>
            </w:pPr>
            <w:r w:rsidRPr="640A9D14">
              <w:rPr>
                <w:noProof/>
                <w:sz w:val="20"/>
                <w:szCs w:val="20"/>
              </w:rPr>
              <w:t>5 935,000</w:t>
            </w:r>
          </w:p>
        </w:tc>
        <w:tc>
          <w:tcPr>
            <w:tcW w:w="666" w:type="dxa"/>
            <w:vAlign w:val="center"/>
          </w:tcPr>
          <w:p w14:paraId="703D5FFB" w14:textId="77777777" w:rsidR="00950C34" w:rsidRDefault="00950C34" w:rsidP="00FA7B33">
            <w:pPr>
              <w:spacing w:before="20" w:after="20"/>
              <w:jc w:val="right"/>
              <w:rPr>
                <w:noProof/>
                <w:sz w:val="20"/>
                <w:szCs w:val="20"/>
              </w:rPr>
            </w:pPr>
            <w:r w:rsidRPr="640A9D14">
              <w:rPr>
                <w:noProof/>
                <w:sz w:val="20"/>
                <w:szCs w:val="20"/>
              </w:rPr>
              <w:t>0,000</w:t>
            </w:r>
          </w:p>
        </w:tc>
        <w:tc>
          <w:tcPr>
            <w:tcW w:w="1318" w:type="dxa"/>
            <w:vAlign w:val="center"/>
          </w:tcPr>
          <w:p w14:paraId="7D9803C3" w14:textId="77777777" w:rsidR="00950C34" w:rsidRDefault="00950C34" w:rsidP="00FA7B33">
            <w:pPr>
              <w:spacing w:before="20" w:after="20"/>
              <w:jc w:val="right"/>
              <w:rPr>
                <w:noProof/>
                <w:sz w:val="20"/>
                <w:szCs w:val="20"/>
              </w:rPr>
            </w:pPr>
            <w:r w:rsidRPr="640A9D14">
              <w:rPr>
                <w:noProof/>
                <w:sz w:val="20"/>
                <w:szCs w:val="20"/>
              </w:rPr>
              <w:t>-5 935,000</w:t>
            </w:r>
          </w:p>
        </w:tc>
        <w:tc>
          <w:tcPr>
            <w:tcW w:w="418" w:type="dxa"/>
            <w:vAlign w:val="center"/>
          </w:tcPr>
          <w:p w14:paraId="4BD5391D" w14:textId="77777777" w:rsidR="00950C34" w:rsidRDefault="00950C34" w:rsidP="00FA7B33">
            <w:pPr>
              <w:spacing w:before="20" w:after="20"/>
              <w:jc w:val="right"/>
              <w:rPr>
                <w:noProof/>
                <w:sz w:val="20"/>
                <w:szCs w:val="20"/>
              </w:rPr>
            </w:pPr>
            <w:r w:rsidRPr="640A9D14">
              <w:rPr>
                <w:noProof/>
                <w:sz w:val="20"/>
                <w:szCs w:val="20"/>
              </w:rPr>
              <w:t>0,000</w:t>
            </w:r>
          </w:p>
        </w:tc>
        <w:tc>
          <w:tcPr>
            <w:tcW w:w="868" w:type="dxa"/>
            <w:vAlign w:val="center"/>
          </w:tcPr>
          <w:p w14:paraId="4DFCEF51" w14:textId="77777777" w:rsidR="00950C34" w:rsidRDefault="00950C34" w:rsidP="00FA7B33">
            <w:pPr>
              <w:spacing w:before="20" w:after="20"/>
              <w:jc w:val="right"/>
              <w:rPr>
                <w:noProof/>
                <w:sz w:val="20"/>
                <w:szCs w:val="20"/>
              </w:rPr>
            </w:pPr>
            <w:r w:rsidRPr="640A9D14">
              <w:rPr>
                <w:noProof/>
                <w:sz w:val="20"/>
                <w:szCs w:val="20"/>
              </w:rPr>
              <w:t>0,000</w:t>
            </w:r>
          </w:p>
        </w:tc>
        <w:tc>
          <w:tcPr>
            <w:tcW w:w="868" w:type="dxa"/>
            <w:vAlign w:val="center"/>
          </w:tcPr>
          <w:p w14:paraId="7B75D1D6" w14:textId="77777777" w:rsidR="00950C34" w:rsidRDefault="00950C34" w:rsidP="00FA7B33">
            <w:pPr>
              <w:spacing w:before="20" w:after="20"/>
              <w:jc w:val="right"/>
              <w:rPr>
                <w:noProof/>
                <w:sz w:val="20"/>
                <w:szCs w:val="20"/>
              </w:rPr>
            </w:pPr>
            <w:r w:rsidRPr="640A9D14">
              <w:rPr>
                <w:noProof/>
                <w:sz w:val="20"/>
                <w:szCs w:val="20"/>
              </w:rPr>
              <w:t>0,000</w:t>
            </w:r>
          </w:p>
        </w:tc>
        <w:tc>
          <w:tcPr>
            <w:tcW w:w="1838" w:type="dxa"/>
            <w:vAlign w:val="center"/>
          </w:tcPr>
          <w:p w14:paraId="71FFEFA8" w14:textId="77777777" w:rsidR="00950C34" w:rsidRDefault="00950C34" w:rsidP="00FA7B33">
            <w:pPr>
              <w:spacing w:before="20" w:after="20"/>
              <w:jc w:val="center"/>
              <w:rPr>
                <w:b/>
                <w:bCs/>
                <w:noProof/>
                <w:sz w:val="20"/>
                <w:szCs w:val="20"/>
              </w:rPr>
            </w:pPr>
            <w:r w:rsidRPr="640A9D14">
              <w:rPr>
                <w:b/>
                <w:bCs/>
                <w:noProof/>
                <w:sz w:val="20"/>
                <w:szCs w:val="20"/>
              </w:rPr>
              <w:t>0,000</w:t>
            </w:r>
          </w:p>
        </w:tc>
      </w:tr>
    </w:tbl>
    <w:p w14:paraId="6780E121" w14:textId="77777777" w:rsidR="00950C34" w:rsidRPr="00B56E8C" w:rsidRDefault="00950C34" w:rsidP="00950C34">
      <w:pPr>
        <w:rPr>
          <w:rFonts w:eastAsia="Calibri"/>
          <w:noProof/>
          <w:sz w:val="20"/>
          <w:szCs w:val="20"/>
        </w:rPr>
      </w:pPr>
      <w:r w:rsidRPr="00B56E8C">
        <w:rPr>
          <w:noProof/>
          <w:sz w:val="20"/>
          <w:szCs w:val="20"/>
        </w:rPr>
        <w:t>*</w:t>
      </w:r>
      <w:r w:rsidRPr="00B56E8C">
        <w:rPr>
          <w:rFonts w:eastAsia="Calibri"/>
          <w:noProof/>
          <w:sz w:val="20"/>
          <w:szCs w:val="20"/>
        </w:rPr>
        <w:t xml:space="preserve"> The additional pre-financing payments for the JTF in 2024 will be financed only from external assigned revenues and will result in a frontloading of NGEU payment appropriations from year 2026 to year 2024. Additional pre-financing amounts to be paid under the ERDF, CF and ESF+ will depend on Member State’s programming decisions and will be entirely financed by MFF resources.</w:t>
      </w:r>
    </w:p>
    <w:p w14:paraId="5649A6BA" w14:textId="77777777" w:rsidR="00950C34" w:rsidRDefault="00950C34" w:rsidP="00950C34">
      <w:pPr>
        <w:rPr>
          <w:noProof/>
        </w:rPr>
      </w:pPr>
    </w:p>
    <w:tbl>
      <w:tblPr>
        <w:tblW w:w="11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8"/>
        <w:gridCol w:w="899"/>
        <w:gridCol w:w="443"/>
        <w:gridCol w:w="135"/>
        <w:gridCol w:w="502"/>
        <w:gridCol w:w="11"/>
        <w:gridCol w:w="750"/>
        <w:gridCol w:w="1215"/>
        <w:gridCol w:w="1080"/>
        <w:gridCol w:w="1095"/>
        <w:gridCol w:w="1245"/>
        <w:gridCol w:w="375"/>
        <w:gridCol w:w="942"/>
      </w:tblGrid>
      <w:tr w:rsidR="00950C34" w14:paraId="561E2A67" w14:textId="77777777" w:rsidTr="00FA7B33">
        <w:trPr>
          <w:gridAfter w:val="1"/>
          <w:wAfter w:w="942" w:type="dxa"/>
          <w:trHeight w:val="300"/>
          <w:jc w:val="center"/>
        </w:trPr>
        <w:tc>
          <w:tcPr>
            <w:tcW w:w="4087" w:type="dxa"/>
            <w:gridSpan w:val="2"/>
            <w:shd w:val="clear" w:color="auto" w:fill="auto"/>
            <w:vAlign w:val="center"/>
          </w:tcPr>
          <w:p w14:paraId="628E0216" w14:textId="77777777" w:rsidR="00950C34" w:rsidRDefault="00950C34" w:rsidP="00FA7B33">
            <w:pPr>
              <w:spacing w:before="60" w:after="60"/>
              <w:jc w:val="center"/>
              <w:rPr>
                <w:b/>
                <w:bCs/>
                <w:noProof/>
                <w:lang w:val="en-IE"/>
              </w:rPr>
            </w:pPr>
            <w:r w:rsidRPr="07F10CD5">
              <w:rPr>
                <w:b/>
                <w:bCs/>
                <w:noProof/>
                <w:sz w:val="22"/>
                <w:lang w:val="en-IE"/>
              </w:rPr>
              <w:t xml:space="preserve">Heading of multiannual financial </w:t>
            </w:r>
            <w:r>
              <w:rPr>
                <w:noProof/>
              </w:rPr>
              <w:br/>
            </w:r>
            <w:r w:rsidRPr="07F10CD5">
              <w:rPr>
                <w:b/>
                <w:bCs/>
                <w:noProof/>
                <w:sz w:val="22"/>
                <w:lang w:val="en-IE"/>
              </w:rPr>
              <w:t xml:space="preserve">framework </w:t>
            </w:r>
          </w:p>
        </w:tc>
        <w:tc>
          <w:tcPr>
            <w:tcW w:w="1080" w:type="dxa"/>
            <w:gridSpan w:val="3"/>
            <w:vAlign w:val="center"/>
          </w:tcPr>
          <w:p w14:paraId="7CF301FF" w14:textId="77777777" w:rsidR="00950C34" w:rsidRDefault="00950C34" w:rsidP="00FA7B33">
            <w:pPr>
              <w:spacing w:before="60" w:after="60"/>
              <w:jc w:val="center"/>
              <w:rPr>
                <w:noProof/>
              </w:rPr>
            </w:pPr>
            <w:r w:rsidRPr="07F10CD5">
              <w:rPr>
                <w:noProof/>
                <w:sz w:val="22"/>
              </w:rPr>
              <w:t>Number</w:t>
            </w:r>
          </w:p>
        </w:tc>
        <w:tc>
          <w:tcPr>
            <w:tcW w:w="5771" w:type="dxa"/>
            <w:gridSpan w:val="7"/>
            <w:vAlign w:val="center"/>
          </w:tcPr>
          <w:p w14:paraId="11A08515" w14:textId="77777777" w:rsidR="00950C34" w:rsidRDefault="00950C34" w:rsidP="00FA7B33">
            <w:pPr>
              <w:spacing w:before="60" w:after="60"/>
              <w:rPr>
                <w:noProof/>
              </w:rPr>
            </w:pPr>
            <w:r w:rsidRPr="07F10CD5">
              <w:rPr>
                <w:noProof/>
              </w:rPr>
              <w:t>3</w:t>
            </w:r>
          </w:p>
        </w:tc>
      </w:tr>
      <w:tr w:rsidR="00950C34" w14:paraId="3ACF94F0" w14:textId="77777777" w:rsidTr="00FA7B33">
        <w:tblPrEx>
          <w:jc w:val="left"/>
        </w:tblPrEx>
        <w:trPr>
          <w:trHeight w:val="300"/>
        </w:trPr>
        <w:tc>
          <w:tcPr>
            <w:tcW w:w="3188" w:type="dxa"/>
            <w:vAlign w:val="center"/>
          </w:tcPr>
          <w:p w14:paraId="5E4D9EF6" w14:textId="77777777" w:rsidR="00950C34" w:rsidRDefault="00950C34" w:rsidP="00FA7B33">
            <w:pPr>
              <w:jc w:val="center"/>
              <w:rPr>
                <w:noProof/>
                <w:sz w:val="22"/>
              </w:rPr>
            </w:pPr>
            <w:r w:rsidRPr="07F10CD5">
              <w:rPr>
                <w:noProof/>
                <w:sz w:val="22"/>
              </w:rPr>
              <w:t>DG: CLIMA</w:t>
            </w:r>
          </w:p>
        </w:tc>
        <w:tc>
          <w:tcPr>
            <w:tcW w:w="1477" w:type="dxa"/>
            <w:gridSpan w:val="3"/>
          </w:tcPr>
          <w:p w14:paraId="62D832A2" w14:textId="77777777" w:rsidR="00950C34" w:rsidRDefault="00950C34" w:rsidP="00FA7B33">
            <w:pPr>
              <w:rPr>
                <w:noProof/>
                <w:sz w:val="20"/>
                <w:szCs w:val="20"/>
              </w:rPr>
            </w:pPr>
          </w:p>
        </w:tc>
        <w:tc>
          <w:tcPr>
            <w:tcW w:w="513" w:type="dxa"/>
            <w:gridSpan w:val="2"/>
          </w:tcPr>
          <w:p w14:paraId="1B1B66F1" w14:textId="77777777" w:rsidR="00950C34" w:rsidRDefault="00950C34" w:rsidP="00FA7B33">
            <w:pPr>
              <w:jc w:val="center"/>
              <w:rPr>
                <w:noProof/>
                <w:sz w:val="20"/>
                <w:szCs w:val="20"/>
              </w:rPr>
            </w:pPr>
          </w:p>
        </w:tc>
        <w:tc>
          <w:tcPr>
            <w:tcW w:w="750" w:type="dxa"/>
            <w:vAlign w:val="center"/>
          </w:tcPr>
          <w:p w14:paraId="0548E938" w14:textId="77777777" w:rsidR="00950C34" w:rsidRDefault="00950C34" w:rsidP="00FA7B33">
            <w:pPr>
              <w:jc w:val="center"/>
              <w:rPr>
                <w:noProof/>
                <w:sz w:val="20"/>
                <w:szCs w:val="20"/>
              </w:rPr>
            </w:pPr>
            <w:r w:rsidRPr="07F10CD5">
              <w:rPr>
                <w:noProof/>
                <w:sz w:val="20"/>
                <w:szCs w:val="20"/>
              </w:rPr>
              <w:t>2023</w:t>
            </w:r>
          </w:p>
        </w:tc>
        <w:tc>
          <w:tcPr>
            <w:tcW w:w="1215" w:type="dxa"/>
            <w:vAlign w:val="center"/>
          </w:tcPr>
          <w:p w14:paraId="5927CFA0" w14:textId="77777777" w:rsidR="00950C34" w:rsidRDefault="00950C34" w:rsidP="00FA7B33">
            <w:pPr>
              <w:jc w:val="center"/>
              <w:rPr>
                <w:noProof/>
                <w:sz w:val="20"/>
                <w:szCs w:val="20"/>
              </w:rPr>
            </w:pPr>
            <w:r w:rsidRPr="07F10CD5">
              <w:rPr>
                <w:noProof/>
                <w:sz w:val="20"/>
                <w:szCs w:val="20"/>
              </w:rPr>
              <w:t>2024</w:t>
            </w:r>
          </w:p>
        </w:tc>
        <w:tc>
          <w:tcPr>
            <w:tcW w:w="1080" w:type="dxa"/>
            <w:vAlign w:val="center"/>
          </w:tcPr>
          <w:p w14:paraId="6755157F" w14:textId="77777777" w:rsidR="00950C34" w:rsidRDefault="00950C34" w:rsidP="00FA7B33">
            <w:pPr>
              <w:jc w:val="center"/>
              <w:rPr>
                <w:noProof/>
                <w:sz w:val="20"/>
                <w:szCs w:val="20"/>
              </w:rPr>
            </w:pPr>
            <w:r w:rsidRPr="07F10CD5">
              <w:rPr>
                <w:noProof/>
                <w:sz w:val="20"/>
                <w:szCs w:val="20"/>
              </w:rPr>
              <w:t>2025</w:t>
            </w:r>
          </w:p>
        </w:tc>
        <w:tc>
          <w:tcPr>
            <w:tcW w:w="1095" w:type="dxa"/>
            <w:vAlign w:val="center"/>
          </w:tcPr>
          <w:p w14:paraId="4626AA50" w14:textId="77777777" w:rsidR="00950C34" w:rsidRDefault="00950C34" w:rsidP="00FA7B33">
            <w:pPr>
              <w:jc w:val="center"/>
              <w:rPr>
                <w:noProof/>
                <w:sz w:val="20"/>
                <w:szCs w:val="20"/>
              </w:rPr>
            </w:pPr>
            <w:r w:rsidRPr="07F10CD5">
              <w:rPr>
                <w:noProof/>
                <w:sz w:val="20"/>
                <w:szCs w:val="20"/>
              </w:rPr>
              <w:t>2026</w:t>
            </w:r>
          </w:p>
        </w:tc>
        <w:tc>
          <w:tcPr>
            <w:tcW w:w="1245" w:type="dxa"/>
            <w:vAlign w:val="center"/>
          </w:tcPr>
          <w:p w14:paraId="54609E98" w14:textId="77777777" w:rsidR="00950C34" w:rsidRDefault="00950C34" w:rsidP="00FA7B33">
            <w:pPr>
              <w:jc w:val="center"/>
              <w:rPr>
                <w:noProof/>
                <w:sz w:val="18"/>
                <w:szCs w:val="18"/>
                <w:lang w:val="en-IE"/>
              </w:rPr>
            </w:pPr>
            <w:r w:rsidRPr="07F10CD5">
              <w:rPr>
                <w:noProof/>
                <w:sz w:val="18"/>
                <w:szCs w:val="18"/>
                <w:lang w:val="en-IE"/>
              </w:rPr>
              <w:t>2027</w:t>
            </w:r>
          </w:p>
        </w:tc>
        <w:tc>
          <w:tcPr>
            <w:tcW w:w="1317" w:type="dxa"/>
            <w:gridSpan w:val="2"/>
            <w:vAlign w:val="center"/>
          </w:tcPr>
          <w:p w14:paraId="19B11DC4" w14:textId="77777777" w:rsidR="00950C34" w:rsidRDefault="00950C34" w:rsidP="00FA7B33">
            <w:pPr>
              <w:jc w:val="center"/>
              <w:rPr>
                <w:b/>
                <w:bCs/>
                <w:noProof/>
                <w:sz w:val="20"/>
                <w:szCs w:val="20"/>
              </w:rPr>
            </w:pPr>
            <w:r w:rsidRPr="07F10CD5">
              <w:rPr>
                <w:b/>
                <w:bCs/>
                <w:noProof/>
                <w:sz w:val="20"/>
                <w:szCs w:val="20"/>
              </w:rPr>
              <w:t>TOTAL</w:t>
            </w:r>
          </w:p>
        </w:tc>
      </w:tr>
      <w:tr w:rsidR="00950C34" w14:paraId="285E6D25" w14:textId="77777777" w:rsidTr="00FA7B33">
        <w:tblPrEx>
          <w:jc w:val="left"/>
        </w:tblPrEx>
        <w:trPr>
          <w:trHeight w:val="213"/>
        </w:trPr>
        <w:tc>
          <w:tcPr>
            <w:tcW w:w="5178" w:type="dxa"/>
            <w:gridSpan w:val="6"/>
            <w:vAlign w:val="center"/>
          </w:tcPr>
          <w:p w14:paraId="48917F86" w14:textId="77777777" w:rsidR="00950C34" w:rsidRDefault="00950C34" w:rsidP="00FA7B33">
            <w:pPr>
              <w:spacing w:before="20" w:after="20"/>
              <w:rPr>
                <w:noProof/>
                <w:sz w:val="21"/>
                <w:szCs w:val="21"/>
              </w:rPr>
            </w:pPr>
            <w:r w:rsidRPr="07F10CD5">
              <w:rPr>
                <w:rFonts w:ascii="Wingdings" w:eastAsia="Wingdings" w:hAnsi="Wingdings" w:cs="Wingdings"/>
                <w:noProof/>
                <w:sz w:val="21"/>
                <w:szCs w:val="21"/>
              </w:rPr>
              <w:t>□</w:t>
            </w:r>
            <w:r w:rsidRPr="07F10CD5">
              <w:rPr>
                <w:noProof/>
                <w:sz w:val="21"/>
                <w:szCs w:val="21"/>
              </w:rPr>
              <w:t xml:space="preserve"> Operational appropriations </w:t>
            </w:r>
          </w:p>
        </w:tc>
        <w:tc>
          <w:tcPr>
            <w:tcW w:w="750" w:type="dxa"/>
            <w:vAlign w:val="center"/>
          </w:tcPr>
          <w:p w14:paraId="10D60456" w14:textId="77777777" w:rsidR="00950C34" w:rsidRDefault="00950C34" w:rsidP="00FA7B33">
            <w:pPr>
              <w:rPr>
                <w:noProof/>
                <w:sz w:val="20"/>
                <w:szCs w:val="20"/>
              </w:rPr>
            </w:pPr>
          </w:p>
        </w:tc>
        <w:tc>
          <w:tcPr>
            <w:tcW w:w="1215" w:type="dxa"/>
            <w:vAlign w:val="center"/>
          </w:tcPr>
          <w:p w14:paraId="7D7103BF" w14:textId="77777777" w:rsidR="00950C34" w:rsidRDefault="00950C34" w:rsidP="00FA7B33">
            <w:pPr>
              <w:rPr>
                <w:noProof/>
                <w:sz w:val="20"/>
                <w:szCs w:val="20"/>
              </w:rPr>
            </w:pPr>
          </w:p>
        </w:tc>
        <w:tc>
          <w:tcPr>
            <w:tcW w:w="1080" w:type="dxa"/>
            <w:vAlign w:val="center"/>
          </w:tcPr>
          <w:p w14:paraId="73A9B28A" w14:textId="77777777" w:rsidR="00950C34" w:rsidRDefault="00950C34" w:rsidP="00FA7B33">
            <w:pPr>
              <w:rPr>
                <w:noProof/>
                <w:sz w:val="20"/>
                <w:szCs w:val="20"/>
              </w:rPr>
            </w:pPr>
          </w:p>
        </w:tc>
        <w:tc>
          <w:tcPr>
            <w:tcW w:w="1095" w:type="dxa"/>
            <w:vAlign w:val="center"/>
          </w:tcPr>
          <w:p w14:paraId="50335796" w14:textId="77777777" w:rsidR="00950C34" w:rsidRDefault="00950C34" w:rsidP="00FA7B33">
            <w:pPr>
              <w:rPr>
                <w:noProof/>
                <w:sz w:val="20"/>
                <w:szCs w:val="20"/>
              </w:rPr>
            </w:pPr>
          </w:p>
        </w:tc>
        <w:tc>
          <w:tcPr>
            <w:tcW w:w="1245" w:type="dxa"/>
            <w:vAlign w:val="center"/>
          </w:tcPr>
          <w:p w14:paraId="5CB3EE48" w14:textId="77777777" w:rsidR="00950C34" w:rsidRDefault="00950C34" w:rsidP="00FA7B33">
            <w:pPr>
              <w:rPr>
                <w:noProof/>
                <w:sz w:val="20"/>
                <w:szCs w:val="20"/>
              </w:rPr>
            </w:pPr>
          </w:p>
        </w:tc>
        <w:tc>
          <w:tcPr>
            <w:tcW w:w="1317" w:type="dxa"/>
            <w:gridSpan w:val="2"/>
            <w:vAlign w:val="center"/>
          </w:tcPr>
          <w:p w14:paraId="7DC9235C" w14:textId="77777777" w:rsidR="00950C34" w:rsidRDefault="00950C34" w:rsidP="00FA7B33">
            <w:pPr>
              <w:jc w:val="center"/>
              <w:rPr>
                <w:b/>
                <w:bCs/>
                <w:noProof/>
                <w:sz w:val="20"/>
                <w:szCs w:val="20"/>
              </w:rPr>
            </w:pPr>
          </w:p>
        </w:tc>
      </w:tr>
      <w:tr w:rsidR="00950C34" w14:paraId="34461E75" w14:textId="77777777" w:rsidTr="00FA7B33">
        <w:tblPrEx>
          <w:jc w:val="left"/>
        </w:tblPrEx>
        <w:trPr>
          <w:trHeight w:val="277"/>
        </w:trPr>
        <w:tc>
          <w:tcPr>
            <w:tcW w:w="3188" w:type="dxa"/>
            <w:vMerge w:val="restart"/>
            <w:vAlign w:val="center"/>
          </w:tcPr>
          <w:p w14:paraId="498DED7F" w14:textId="77777777" w:rsidR="00950C34" w:rsidRDefault="00950C34" w:rsidP="00FA7B33">
            <w:pPr>
              <w:rPr>
                <w:noProof/>
                <w:sz w:val="20"/>
                <w:szCs w:val="20"/>
              </w:rPr>
            </w:pPr>
            <w:r w:rsidRPr="07F10CD5">
              <w:rPr>
                <w:noProof/>
                <w:sz w:val="20"/>
                <w:szCs w:val="20"/>
              </w:rPr>
              <w:t>09.0501 - Innovation Fund (IF) -  operational expenditure</w:t>
            </w:r>
          </w:p>
        </w:tc>
        <w:tc>
          <w:tcPr>
            <w:tcW w:w="1342" w:type="dxa"/>
            <w:gridSpan w:val="2"/>
            <w:vAlign w:val="center"/>
          </w:tcPr>
          <w:p w14:paraId="64DCFECC" w14:textId="77777777" w:rsidR="00950C34" w:rsidRDefault="00950C34" w:rsidP="00FA7B33">
            <w:pPr>
              <w:spacing w:before="20" w:after="20"/>
              <w:rPr>
                <w:noProof/>
                <w:sz w:val="18"/>
                <w:szCs w:val="18"/>
              </w:rPr>
            </w:pPr>
            <w:r w:rsidRPr="07F10CD5">
              <w:rPr>
                <w:noProof/>
                <w:sz w:val="18"/>
                <w:szCs w:val="18"/>
              </w:rPr>
              <w:t>Commitments</w:t>
            </w:r>
          </w:p>
        </w:tc>
        <w:tc>
          <w:tcPr>
            <w:tcW w:w="648" w:type="dxa"/>
            <w:gridSpan w:val="3"/>
            <w:vAlign w:val="center"/>
          </w:tcPr>
          <w:p w14:paraId="0D27B3E6" w14:textId="77777777" w:rsidR="00950C34" w:rsidRDefault="00950C34" w:rsidP="00FA7B33">
            <w:pPr>
              <w:spacing w:before="20" w:after="20"/>
              <w:jc w:val="center"/>
              <w:rPr>
                <w:noProof/>
                <w:sz w:val="14"/>
                <w:szCs w:val="14"/>
              </w:rPr>
            </w:pPr>
            <w:r w:rsidRPr="07F10CD5">
              <w:rPr>
                <w:noProof/>
                <w:sz w:val="14"/>
                <w:szCs w:val="14"/>
              </w:rPr>
              <w:t>(1a)</w:t>
            </w:r>
          </w:p>
        </w:tc>
        <w:tc>
          <w:tcPr>
            <w:tcW w:w="750" w:type="dxa"/>
            <w:vAlign w:val="center"/>
          </w:tcPr>
          <w:p w14:paraId="472D4596" w14:textId="77777777" w:rsidR="00950C34" w:rsidRDefault="00950C34" w:rsidP="00FA7B33">
            <w:pPr>
              <w:spacing w:before="20" w:after="20"/>
              <w:jc w:val="right"/>
              <w:rPr>
                <w:noProof/>
                <w:sz w:val="20"/>
                <w:szCs w:val="20"/>
              </w:rPr>
            </w:pPr>
          </w:p>
        </w:tc>
        <w:tc>
          <w:tcPr>
            <w:tcW w:w="1215" w:type="dxa"/>
            <w:vAlign w:val="center"/>
          </w:tcPr>
          <w:p w14:paraId="2ED36CD3" w14:textId="77777777" w:rsidR="00950C34" w:rsidRDefault="00950C34" w:rsidP="00FA7B33">
            <w:pPr>
              <w:spacing w:before="20" w:after="20"/>
              <w:jc w:val="right"/>
              <w:rPr>
                <w:noProof/>
                <w:sz w:val="20"/>
                <w:szCs w:val="20"/>
              </w:rPr>
            </w:pPr>
            <w:r w:rsidRPr="640A9D14">
              <w:rPr>
                <w:noProof/>
                <w:sz w:val="20"/>
                <w:szCs w:val="20"/>
              </w:rPr>
              <w:t>1 250,000</w:t>
            </w:r>
          </w:p>
        </w:tc>
        <w:tc>
          <w:tcPr>
            <w:tcW w:w="1080" w:type="dxa"/>
            <w:vAlign w:val="center"/>
          </w:tcPr>
          <w:p w14:paraId="0002B29F" w14:textId="77777777" w:rsidR="00950C34" w:rsidRDefault="00950C34" w:rsidP="00FA7B33">
            <w:pPr>
              <w:spacing w:before="20" w:after="20"/>
              <w:jc w:val="right"/>
              <w:rPr>
                <w:noProof/>
                <w:sz w:val="20"/>
                <w:szCs w:val="20"/>
              </w:rPr>
            </w:pPr>
            <w:r w:rsidRPr="640A9D14">
              <w:rPr>
                <w:noProof/>
                <w:sz w:val="20"/>
                <w:szCs w:val="20"/>
              </w:rPr>
              <w:t>1 250,</w:t>
            </w:r>
            <w:r w:rsidRPr="722961E2">
              <w:rPr>
                <w:noProof/>
                <w:sz w:val="20"/>
                <w:szCs w:val="20"/>
              </w:rPr>
              <w:t>000</w:t>
            </w:r>
          </w:p>
        </w:tc>
        <w:tc>
          <w:tcPr>
            <w:tcW w:w="1095" w:type="dxa"/>
            <w:vAlign w:val="center"/>
          </w:tcPr>
          <w:p w14:paraId="028B3AAF" w14:textId="77777777" w:rsidR="00950C34" w:rsidRDefault="00950C34" w:rsidP="00FA7B33">
            <w:pPr>
              <w:spacing w:before="20" w:after="20"/>
              <w:jc w:val="right"/>
              <w:rPr>
                <w:noProof/>
                <w:sz w:val="20"/>
                <w:szCs w:val="20"/>
              </w:rPr>
            </w:pPr>
            <w:r w:rsidRPr="640A9D14">
              <w:rPr>
                <w:noProof/>
                <w:sz w:val="20"/>
                <w:szCs w:val="20"/>
              </w:rPr>
              <w:t>1 250</w:t>
            </w:r>
            <w:r w:rsidRPr="1D38DC0C">
              <w:rPr>
                <w:noProof/>
                <w:sz w:val="20"/>
                <w:szCs w:val="20"/>
              </w:rPr>
              <w:t>,</w:t>
            </w:r>
            <w:r w:rsidRPr="3CDA6C74">
              <w:rPr>
                <w:noProof/>
                <w:sz w:val="20"/>
                <w:szCs w:val="20"/>
              </w:rPr>
              <w:t>000</w:t>
            </w:r>
          </w:p>
        </w:tc>
        <w:tc>
          <w:tcPr>
            <w:tcW w:w="1245" w:type="dxa"/>
            <w:vAlign w:val="center"/>
          </w:tcPr>
          <w:p w14:paraId="3256F28A" w14:textId="77777777" w:rsidR="00950C34" w:rsidRDefault="00950C34" w:rsidP="00FA7B33">
            <w:pPr>
              <w:spacing w:before="20" w:after="20"/>
              <w:jc w:val="right"/>
              <w:rPr>
                <w:noProof/>
                <w:sz w:val="20"/>
                <w:szCs w:val="20"/>
              </w:rPr>
            </w:pPr>
            <w:r w:rsidRPr="640A9D14">
              <w:rPr>
                <w:noProof/>
                <w:sz w:val="20"/>
                <w:szCs w:val="20"/>
              </w:rPr>
              <w:t>1 250</w:t>
            </w:r>
            <w:r w:rsidRPr="3CDA6C74">
              <w:rPr>
                <w:noProof/>
                <w:sz w:val="20"/>
                <w:szCs w:val="20"/>
              </w:rPr>
              <w:t>,</w:t>
            </w:r>
            <w:r w:rsidRPr="640A9D14">
              <w:rPr>
                <w:noProof/>
                <w:sz w:val="20"/>
                <w:szCs w:val="20"/>
              </w:rPr>
              <w:t>000</w:t>
            </w:r>
          </w:p>
        </w:tc>
        <w:tc>
          <w:tcPr>
            <w:tcW w:w="1317" w:type="dxa"/>
            <w:gridSpan w:val="2"/>
            <w:vAlign w:val="center"/>
          </w:tcPr>
          <w:p w14:paraId="4CA36AD4" w14:textId="77777777" w:rsidR="00950C34" w:rsidRDefault="00950C34" w:rsidP="00FA7B33">
            <w:pPr>
              <w:spacing w:before="20" w:after="20"/>
              <w:jc w:val="center"/>
              <w:rPr>
                <w:b/>
                <w:bCs/>
                <w:noProof/>
                <w:sz w:val="20"/>
                <w:szCs w:val="20"/>
              </w:rPr>
            </w:pPr>
            <w:r w:rsidRPr="136D1BA0">
              <w:rPr>
                <w:b/>
                <w:bCs/>
                <w:noProof/>
                <w:sz w:val="20"/>
                <w:szCs w:val="20"/>
              </w:rPr>
              <w:t>5 000,000</w:t>
            </w:r>
          </w:p>
        </w:tc>
      </w:tr>
      <w:tr w:rsidR="00950C34" w14:paraId="50D4517D" w14:textId="77777777" w:rsidTr="00FA7B33">
        <w:tblPrEx>
          <w:jc w:val="left"/>
        </w:tblPrEx>
        <w:trPr>
          <w:trHeight w:val="300"/>
        </w:trPr>
        <w:tc>
          <w:tcPr>
            <w:tcW w:w="3188" w:type="dxa"/>
            <w:vMerge/>
          </w:tcPr>
          <w:p w14:paraId="010B475F" w14:textId="77777777" w:rsidR="00950C34" w:rsidRDefault="00950C34" w:rsidP="00FA7B33">
            <w:pPr>
              <w:rPr>
                <w:noProof/>
              </w:rPr>
            </w:pPr>
          </w:p>
        </w:tc>
        <w:tc>
          <w:tcPr>
            <w:tcW w:w="1342" w:type="dxa"/>
            <w:gridSpan w:val="2"/>
            <w:vAlign w:val="center"/>
          </w:tcPr>
          <w:p w14:paraId="28BDCB53" w14:textId="77777777" w:rsidR="00950C34" w:rsidRDefault="00950C34" w:rsidP="00FA7B33">
            <w:pPr>
              <w:spacing w:before="20" w:after="20"/>
              <w:rPr>
                <w:noProof/>
                <w:sz w:val="18"/>
                <w:szCs w:val="18"/>
              </w:rPr>
            </w:pPr>
            <w:r w:rsidRPr="07F10CD5">
              <w:rPr>
                <w:noProof/>
                <w:sz w:val="18"/>
                <w:szCs w:val="18"/>
              </w:rPr>
              <w:t>Payments</w:t>
            </w:r>
          </w:p>
        </w:tc>
        <w:tc>
          <w:tcPr>
            <w:tcW w:w="648" w:type="dxa"/>
            <w:gridSpan w:val="3"/>
            <w:vAlign w:val="center"/>
          </w:tcPr>
          <w:p w14:paraId="142DF165" w14:textId="77777777" w:rsidR="00950C34" w:rsidRDefault="00950C34" w:rsidP="00FA7B33">
            <w:pPr>
              <w:spacing w:before="20" w:after="20"/>
              <w:jc w:val="center"/>
              <w:rPr>
                <w:noProof/>
                <w:sz w:val="14"/>
                <w:szCs w:val="14"/>
              </w:rPr>
            </w:pPr>
            <w:r w:rsidRPr="07F10CD5">
              <w:rPr>
                <w:noProof/>
                <w:sz w:val="14"/>
                <w:szCs w:val="14"/>
              </w:rPr>
              <w:t>(2a)</w:t>
            </w:r>
          </w:p>
        </w:tc>
        <w:tc>
          <w:tcPr>
            <w:tcW w:w="750" w:type="dxa"/>
            <w:vAlign w:val="center"/>
          </w:tcPr>
          <w:p w14:paraId="41925E2F" w14:textId="77777777" w:rsidR="00950C34" w:rsidRDefault="00950C34" w:rsidP="00FA7B33">
            <w:pPr>
              <w:spacing w:before="20" w:after="20"/>
              <w:jc w:val="right"/>
              <w:rPr>
                <w:noProof/>
                <w:sz w:val="20"/>
                <w:szCs w:val="20"/>
              </w:rPr>
            </w:pPr>
          </w:p>
        </w:tc>
        <w:tc>
          <w:tcPr>
            <w:tcW w:w="1215" w:type="dxa"/>
            <w:vAlign w:val="center"/>
          </w:tcPr>
          <w:p w14:paraId="273412E5" w14:textId="77777777" w:rsidR="00950C34" w:rsidRDefault="00950C34" w:rsidP="00FA7B33">
            <w:pPr>
              <w:spacing w:before="20" w:after="20"/>
              <w:jc w:val="right"/>
              <w:rPr>
                <w:noProof/>
                <w:sz w:val="20"/>
                <w:szCs w:val="20"/>
              </w:rPr>
            </w:pPr>
            <w:r w:rsidRPr="7637E740">
              <w:rPr>
                <w:noProof/>
                <w:sz w:val="20"/>
                <w:szCs w:val="20"/>
              </w:rPr>
              <w:t>500,000</w:t>
            </w:r>
          </w:p>
        </w:tc>
        <w:tc>
          <w:tcPr>
            <w:tcW w:w="1080" w:type="dxa"/>
            <w:vAlign w:val="center"/>
          </w:tcPr>
          <w:p w14:paraId="13C5A6DF" w14:textId="77777777" w:rsidR="00950C34" w:rsidRDefault="00950C34" w:rsidP="00FA7B33">
            <w:pPr>
              <w:spacing w:before="20" w:after="20"/>
              <w:jc w:val="right"/>
              <w:rPr>
                <w:noProof/>
                <w:sz w:val="20"/>
                <w:szCs w:val="20"/>
              </w:rPr>
            </w:pPr>
            <w:r w:rsidRPr="640A9D14">
              <w:rPr>
                <w:noProof/>
                <w:sz w:val="20"/>
                <w:szCs w:val="20"/>
              </w:rPr>
              <w:t>1 125</w:t>
            </w:r>
            <w:r w:rsidRPr="3ED8EEAD">
              <w:rPr>
                <w:noProof/>
                <w:sz w:val="20"/>
                <w:szCs w:val="20"/>
              </w:rPr>
              <w:t>,</w:t>
            </w:r>
            <w:r w:rsidRPr="640A9D14">
              <w:rPr>
                <w:noProof/>
                <w:sz w:val="20"/>
                <w:szCs w:val="20"/>
              </w:rPr>
              <w:t>000</w:t>
            </w:r>
          </w:p>
        </w:tc>
        <w:tc>
          <w:tcPr>
            <w:tcW w:w="1095" w:type="dxa"/>
            <w:vAlign w:val="center"/>
          </w:tcPr>
          <w:p w14:paraId="209F7E06" w14:textId="77777777" w:rsidR="00950C34" w:rsidRDefault="00950C34" w:rsidP="00FA7B33">
            <w:pPr>
              <w:spacing w:before="20" w:after="20"/>
              <w:jc w:val="right"/>
              <w:rPr>
                <w:noProof/>
                <w:sz w:val="20"/>
                <w:szCs w:val="20"/>
              </w:rPr>
            </w:pPr>
            <w:r w:rsidRPr="640A9D14">
              <w:rPr>
                <w:noProof/>
                <w:sz w:val="20"/>
                <w:szCs w:val="20"/>
              </w:rPr>
              <w:t>1 150</w:t>
            </w:r>
            <w:r w:rsidRPr="7550911B">
              <w:rPr>
                <w:noProof/>
                <w:sz w:val="20"/>
                <w:szCs w:val="20"/>
              </w:rPr>
              <w:t>,000</w:t>
            </w:r>
          </w:p>
        </w:tc>
        <w:tc>
          <w:tcPr>
            <w:tcW w:w="1245" w:type="dxa"/>
            <w:vAlign w:val="center"/>
          </w:tcPr>
          <w:p w14:paraId="21B26AD2" w14:textId="77777777" w:rsidR="00950C34" w:rsidRDefault="00950C34" w:rsidP="00FA7B33">
            <w:pPr>
              <w:spacing w:before="20" w:after="20"/>
              <w:jc w:val="right"/>
              <w:rPr>
                <w:noProof/>
                <w:sz w:val="20"/>
                <w:szCs w:val="20"/>
              </w:rPr>
            </w:pPr>
            <w:r w:rsidRPr="7637E740">
              <w:rPr>
                <w:noProof/>
                <w:sz w:val="20"/>
                <w:szCs w:val="20"/>
              </w:rPr>
              <w:t>2 225,000</w:t>
            </w:r>
          </w:p>
        </w:tc>
        <w:tc>
          <w:tcPr>
            <w:tcW w:w="1317" w:type="dxa"/>
            <w:gridSpan w:val="2"/>
            <w:vAlign w:val="center"/>
          </w:tcPr>
          <w:p w14:paraId="54B8CE6F" w14:textId="77777777" w:rsidR="00950C34" w:rsidRDefault="00950C34" w:rsidP="00FA7B33">
            <w:pPr>
              <w:spacing w:before="20" w:after="20"/>
              <w:jc w:val="center"/>
              <w:rPr>
                <w:b/>
                <w:bCs/>
                <w:noProof/>
                <w:sz w:val="20"/>
                <w:szCs w:val="20"/>
              </w:rPr>
            </w:pPr>
            <w:r w:rsidRPr="640A9D14">
              <w:rPr>
                <w:b/>
                <w:bCs/>
                <w:noProof/>
                <w:sz w:val="20"/>
                <w:szCs w:val="20"/>
              </w:rPr>
              <w:t>5 000</w:t>
            </w:r>
            <w:r w:rsidRPr="1AED10B7">
              <w:rPr>
                <w:b/>
                <w:bCs/>
                <w:noProof/>
                <w:sz w:val="20"/>
                <w:szCs w:val="20"/>
              </w:rPr>
              <w:t>,000</w:t>
            </w:r>
          </w:p>
        </w:tc>
      </w:tr>
      <w:tr w:rsidR="00950C34" w14:paraId="752732E7" w14:textId="77777777" w:rsidTr="00FA7B33">
        <w:tblPrEx>
          <w:jc w:val="left"/>
        </w:tblPrEx>
        <w:trPr>
          <w:trHeight w:val="231"/>
        </w:trPr>
        <w:tc>
          <w:tcPr>
            <w:tcW w:w="5178" w:type="dxa"/>
            <w:gridSpan w:val="6"/>
            <w:vAlign w:val="center"/>
          </w:tcPr>
          <w:p w14:paraId="7C470817" w14:textId="77777777" w:rsidR="00950C34" w:rsidRDefault="00950C34" w:rsidP="00FA7B33">
            <w:pPr>
              <w:spacing w:before="20" w:after="20"/>
              <w:rPr>
                <w:noProof/>
                <w:lang w:val="en-IE"/>
              </w:rPr>
            </w:pPr>
            <w:r w:rsidRPr="07F10CD5">
              <w:rPr>
                <w:noProof/>
                <w:sz w:val="21"/>
                <w:szCs w:val="21"/>
                <w:lang w:val="en-IE"/>
              </w:rPr>
              <w:t>Appropriations of an administrative nature financed from the envelope of specific programmes</w:t>
            </w:r>
            <w:r w:rsidRPr="07F10CD5">
              <w:rPr>
                <w:rStyle w:val="FootnoteReference"/>
                <w:noProof/>
                <w:sz w:val="21"/>
                <w:szCs w:val="21"/>
              </w:rPr>
              <w:footnoteReference w:id="81"/>
            </w:r>
            <w:r w:rsidRPr="07F10CD5">
              <w:rPr>
                <w:noProof/>
                <w:sz w:val="21"/>
                <w:szCs w:val="21"/>
                <w:lang w:val="en-IE"/>
              </w:rPr>
              <w:t xml:space="preserve"> </w:t>
            </w:r>
          </w:p>
          <w:p w14:paraId="4C0E58D6" w14:textId="77777777" w:rsidR="00950C34" w:rsidRDefault="00950C34" w:rsidP="00FA7B33">
            <w:pPr>
              <w:spacing w:before="0" w:after="0"/>
              <w:rPr>
                <w:noProof/>
                <w:lang w:val="en-IE"/>
              </w:rPr>
            </w:pPr>
          </w:p>
        </w:tc>
        <w:tc>
          <w:tcPr>
            <w:tcW w:w="750" w:type="dxa"/>
            <w:vAlign w:val="center"/>
          </w:tcPr>
          <w:p w14:paraId="5D72D498" w14:textId="77777777" w:rsidR="00950C34" w:rsidRDefault="00950C34" w:rsidP="00FA7B33">
            <w:pPr>
              <w:rPr>
                <w:b/>
                <w:bCs/>
                <w:noProof/>
                <w:sz w:val="20"/>
                <w:szCs w:val="20"/>
                <w:lang w:val="en-IE"/>
              </w:rPr>
            </w:pPr>
          </w:p>
        </w:tc>
        <w:tc>
          <w:tcPr>
            <w:tcW w:w="1215" w:type="dxa"/>
            <w:vAlign w:val="center"/>
          </w:tcPr>
          <w:p w14:paraId="1952B6AB" w14:textId="77777777" w:rsidR="00950C34" w:rsidRDefault="00950C34" w:rsidP="00FA7B33">
            <w:pPr>
              <w:jc w:val="center"/>
              <w:rPr>
                <w:noProof/>
                <w:sz w:val="20"/>
                <w:szCs w:val="20"/>
                <w:lang w:val="en-IE"/>
              </w:rPr>
            </w:pPr>
            <w:r w:rsidRPr="07F10CD5">
              <w:rPr>
                <w:noProof/>
                <w:sz w:val="20"/>
                <w:szCs w:val="20"/>
                <w:lang w:val="en-IE"/>
              </w:rPr>
              <w:t>p.m.</w:t>
            </w:r>
          </w:p>
        </w:tc>
        <w:tc>
          <w:tcPr>
            <w:tcW w:w="1080" w:type="dxa"/>
            <w:vAlign w:val="center"/>
          </w:tcPr>
          <w:p w14:paraId="153683BB" w14:textId="77777777" w:rsidR="00950C34" w:rsidRDefault="00950C34" w:rsidP="00FA7B33">
            <w:pPr>
              <w:jc w:val="center"/>
              <w:rPr>
                <w:noProof/>
                <w:sz w:val="20"/>
                <w:szCs w:val="20"/>
                <w:lang w:val="en-IE"/>
              </w:rPr>
            </w:pPr>
            <w:r w:rsidRPr="07F10CD5">
              <w:rPr>
                <w:noProof/>
                <w:sz w:val="20"/>
                <w:szCs w:val="20"/>
                <w:lang w:val="en-IE"/>
              </w:rPr>
              <w:t>p.m.</w:t>
            </w:r>
          </w:p>
        </w:tc>
        <w:tc>
          <w:tcPr>
            <w:tcW w:w="1095" w:type="dxa"/>
            <w:vAlign w:val="center"/>
          </w:tcPr>
          <w:p w14:paraId="67686CF4" w14:textId="77777777" w:rsidR="00950C34" w:rsidRDefault="00950C34" w:rsidP="00FA7B33">
            <w:pPr>
              <w:jc w:val="center"/>
              <w:rPr>
                <w:noProof/>
                <w:sz w:val="20"/>
                <w:szCs w:val="20"/>
                <w:lang w:val="en-IE"/>
              </w:rPr>
            </w:pPr>
            <w:r w:rsidRPr="07F10CD5">
              <w:rPr>
                <w:noProof/>
                <w:sz w:val="20"/>
                <w:szCs w:val="20"/>
                <w:lang w:val="en-IE"/>
              </w:rPr>
              <w:t>p.m.</w:t>
            </w:r>
          </w:p>
        </w:tc>
        <w:tc>
          <w:tcPr>
            <w:tcW w:w="1245" w:type="dxa"/>
            <w:vAlign w:val="center"/>
          </w:tcPr>
          <w:p w14:paraId="2C28CC8B" w14:textId="77777777" w:rsidR="00950C34" w:rsidRDefault="00950C34" w:rsidP="00FA7B33">
            <w:pPr>
              <w:jc w:val="center"/>
              <w:rPr>
                <w:noProof/>
                <w:sz w:val="20"/>
                <w:szCs w:val="20"/>
                <w:lang w:val="en-IE"/>
              </w:rPr>
            </w:pPr>
            <w:r w:rsidRPr="07F10CD5">
              <w:rPr>
                <w:noProof/>
                <w:sz w:val="20"/>
                <w:szCs w:val="20"/>
                <w:lang w:val="en-IE"/>
              </w:rPr>
              <w:t>p.m.</w:t>
            </w:r>
          </w:p>
        </w:tc>
        <w:tc>
          <w:tcPr>
            <w:tcW w:w="1317" w:type="dxa"/>
            <w:gridSpan w:val="2"/>
            <w:vAlign w:val="center"/>
          </w:tcPr>
          <w:p w14:paraId="343BCCA9" w14:textId="77777777" w:rsidR="00950C34" w:rsidRDefault="00950C34" w:rsidP="00FA7B33">
            <w:pPr>
              <w:jc w:val="center"/>
              <w:rPr>
                <w:b/>
                <w:bCs/>
                <w:noProof/>
                <w:sz w:val="20"/>
                <w:szCs w:val="20"/>
                <w:lang w:val="en-IE"/>
              </w:rPr>
            </w:pPr>
          </w:p>
        </w:tc>
      </w:tr>
      <w:tr w:rsidR="00950C34" w14:paraId="3D341948" w14:textId="77777777" w:rsidTr="00FA7B33">
        <w:tblPrEx>
          <w:jc w:val="left"/>
        </w:tblPrEx>
        <w:trPr>
          <w:trHeight w:val="300"/>
        </w:trPr>
        <w:tc>
          <w:tcPr>
            <w:tcW w:w="3188" w:type="dxa"/>
            <w:vMerge w:val="restart"/>
            <w:vAlign w:val="center"/>
          </w:tcPr>
          <w:p w14:paraId="7BD8BB01" w14:textId="77777777" w:rsidR="00950C34" w:rsidRDefault="00950C34" w:rsidP="00FA7B33">
            <w:pPr>
              <w:jc w:val="center"/>
              <w:rPr>
                <w:rFonts w:eastAsiaTheme="minorEastAsia"/>
                <w:b/>
                <w:bCs/>
                <w:noProof/>
                <w:sz w:val="22"/>
              </w:rPr>
            </w:pPr>
            <w:r w:rsidRPr="07F10CD5">
              <w:rPr>
                <w:b/>
                <w:bCs/>
                <w:noProof/>
                <w:sz w:val="22"/>
              </w:rPr>
              <w:t>TOTAL appropriations</w:t>
            </w:r>
            <w:r>
              <w:rPr>
                <w:noProof/>
              </w:rPr>
              <w:br/>
            </w:r>
            <w:r w:rsidRPr="07F10CD5">
              <w:rPr>
                <w:b/>
                <w:bCs/>
                <w:noProof/>
                <w:sz w:val="22"/>
              </w:rPr>
              <w:t>for DG</w:t>
            </w:r>
            <w:r w:rsidRPr="07F10CD5">
              <w:rPr>
                <w:rFonts w:eastAsiaTheme="minorEastAsia"/>
                <w:b/>
                <w:bCs/>
                <w:noProof/>
                <w:sz w:val="22"/>
              </w:rPr>
              <w:t xml:space="preserve"> CLIMA</w:t>
            </w:r>
          </w:p>
        </w:tc>
        <w:tc>
          <w:tcPr>
            <w:tcW w:w="1342" w:type="dxa"/>
            <w:gridSpan w:val="2"/>
            <w:vAlign w:val="center"/>
          </w:tcPr>
          <w:p w14:paraId="448B1591" w14:textId="77777777" w:rsidR="00950C34" w:rsidRDefault="00950C34" w:rsidP="00FA7B33">
            <w:pPr>
              <w:rPr>
                <w:noProof/>
                <w:sz w:val="18"/>
                <w:szCs w:val="18"/>
              </w:rPr>
            </w:pPr>
            <w:r w:rsidRPr="07F10CD5">
              <w:rPr>
                <w:noProof/>
                <w:sz w:val="18"/>
                <w:szCs w:val="18"/>
              </w:rPr>
              <w:t>Commitments</w:t>
            </w:r>
          </w:p>
        </w:tc>
        <w:tc>
          <w:tcPr>
            <w:tcW w:w="648" w:type="dxa"/>
            <w:gridSpan w:val="3"/>
            <w:vAlign w:val="center"/>
          </w:tcPr>
          <w:p w14:paraId="26C72D6D" w14:textId="77777777" w:rsidR="00950C34" w:rsidRDefault="00950C34" w:rsidP="00FA7B33">
            <w:pPr>
              <w:jc w:val="center"/>
              <w:rPr>
                <w:noProof/>
                <w:sz w:val="14"/>
                <w:szCs w:val="14"/>
              </w:rPr>
            </w:pPr>
            <w:r w:rsidRPr="07F10CD5">
              <w:rPr>
                <w:noProof/>
                <w:sz w:val="14"/>
                <w:szCs w:val="14"/>
              </w:rPr>
              <w:t>=1a+1b +3</w:t>
            </w:r>
          </w:p>
        </w:tc>
        <w:tc>
          <w:tcPr>
            <w:tcW w:w="750" w:type="dxa"/>
            <w:vAlign w:val="center"/>
          </w:tcPr>
          <w:p w14:paraId="42266898" w14:textId="77777777" w:rsidR="00950C34" w:rsidRDefault="00950C34" w:rsidP="00FA7B33">
            <w:pPr>
              <w:spacing w:before="20" w:after="20"/>
              <w:jc w:val="right"/>
              <w:rPr>
                <w:noProof/>
                <w:sz w:val="20"/>
                <w:szCs w:val="20"/>
              </w:rPr>
            </w:pPr>
          </w:p>
        </w:tc>
        <w:tc>
          <w:tcPr>
            <w:tcW w:w="1215" w:type="dxa"/>
            <w:vAlign w:val="center"/>
          </w:tcPr>
          <w:p w14:paraId="56875952" w14:textId="77777777" w:rsidR="00950C34" w:rsidRDefault="00950C34" w:rsidP="00FA7B33">
            <w:pPr>
              <w:spacing w:before="20" w:after="20"/>
              <w:jc w:val="right"/>
              <w:rPr>
                <w:noProof/>
                <w:sz w:val="20"/>
                <w:szCs w:val="20"/>
              </w:rPr>
            </w:pPr>
            <w:r w:rsidRPr="640A9D14">
              <w:rPr>
                <w:noProof/>
                <w:sz w:val="20"/>
                <w:szCs w:val="20"/>
              </w:rPr>
              <w:t>1 250</w:t>
            </w:r>
            <w:r w:rsidRPr="1AED10B7">
              <w:rPr>
                <w:noProof/>
                <w:sz w:val="20"/>
                <w:szCs w:val="20"/>
              </w:rPr>
              <w:t>,000</w:t>
            </w:r>
          </w:p>
        </w:tc>
        <w:tc>
          <w:tcPr>
            <w:tcW w:w="1080" w:type="dxa"/>
            <w:vAlign w:val="center"/>
          </w:tcPr>
          <w:p w14:paraId="217A9148" w14:textId="77777777" w:rsidR="00950C34" w:rsidRDefault="00950C34" w:rsidP="00FA7B33">
            <w:pPr>
              <w:spacing w:before="20" w:after="20"/>
              <w:jc w:val="right"/>
              <w:rPr>
                <w:noProof/>
                <w:sz w:val="20"/>
                <w:szCs w:val="20"/>
              </w:rPr>
            </w:pPr>
            <w:r w:rsidRPr="640A9D14">
              <w:rPr>
                <w:noProof/>
                <w:sz w:val="20"/>
                <w:szCs w:val="20"/>
              </w:rPr>
              <w:t>1 250</w:t>
            </w:r>
            <w:r w:rsidRPr="1AED10B7">
              <w:rPr>
                <w:noProof/>
                <w:sz w:val="20"/>
                <w:szCs w:val="20"/>
              </w:rPr>
              <w:t>,000</w:t>
            </w:r>
          </w:p>
        </w:tc>
        <w:tc>
          <w:tcPr>
            <w:tcW w:w="1095" w:type="dxa"/>
            <w:vAlign w:val="center"/>
          </w:tcPr>
          <w:p w14:paraId="76243F9C" w14:textId="77777777" w:rsidR="00950C34" w:rsidRDefault="00950C34" w:rsidP="00FA7B33">
            <w:pPr>
              <w:spacing w:before="20" w:after="20"/>
              <w:jc w:val="right"/>
              <w:rPr>
                <w:noProof/>
                <w:sz w:val="20"/>
                <w:szCs w:val="20"/>
              </w:rPr>
            </w:pPr>
            <w:r w:rsidRPr="640A9D14">
              <w:rPr>
                <w:noProof/>
                <w:sz w:val="20"/>
                <w:szCs w:val="20"/>
              </w:rPr>
              <w:t>1 250</w:t>
            </w:r>
            <w:r w:rsidRPr="1AED10B7">
              <w:rPr>
                <w:noProof/>
                <w:sz w:val="20"/>
                <w:szCs w:val="20"/>
              </w:rPr>
              <w:t>,000</w:t>
            </w:r>
          </w:p>
        </w:tc>
        <w:tc>
          <w:tcPr>
            <w:tcW w:w="1245" w:type="dxa"/>
            <w:vAlign w:val="center"/>
          </w:tcPr>
          <w:p w14:paraId="67A9364F" w14:textId="77777777" w:rsidR="00950C34" w:rsidRDefault="00950C34" w:rsidP="00FA7B33">
            <w:pPr>
              <w:spacing w:before="20" w:after="20"/>
              <w:jc w:val="right"/>
              <w:rPr>
                <w:noProof/>
                <w:sz w:val="20"/>
                <w:szCs w:val="20"/>
              </w:rPr>
            </w:pPr>
            <w:r w:rsidRPr="640A9D14">
              <w:rPr>
                <w:noProof/>
                <w:sz w:val="20"/>
                <w:szCs w:val="20"/>
              </w:rPr>
              <w:t>1 250</w:t>
            </w:r>
            <w:r w:rsidRPr="1AED10B7">
              <w:rPr>
                <w:noProof/>
                <w:sz w:val="20"/>
                <w:szCs w:val="20"/>
              </w:rPr>
              <w:t>,</w:t>
            </w:r>
            <w:r w:rsidRPr="498FED0E">
              <w:rPr>
                <w:noProof/>
                <w:sz w:val="20"/>
                <w:szCs w:val="20"/>
              </w:rPr>
              <w:t>000</w:t>
            </w:r>
          </w:p>
        </w:tc>
        <w:tc>
          <w:tcPr>
            <w:tcW w:w="1317" w:type="dxa"/>
            <w:gridSpan w:val="2"/>
            <w:vAlign w:val="center"/>
          </w:tcPr>
          <w:p w14:paraId="6195719A" w14:textId="77777777" w:rsidR="00950C34" w:rsidRDefault="00950C34" w:rsidP="00FA7B33">
            <w:pPr>
              <w:spacing w:before="20" w:after="20"/>
              <w:jc w:val="center"/>
              <w:rPr>
                <w:b/>
                <w:bCs/>
                <w:noProof/>
                <w:sz w:val="20"/>
                <w:szCs w:val="20"/>
              </w:rPr>
            </w:pPr>
            <w:r w:rsidRPr="640A9D14">
              <w:rPr>
                <w:b/>
                <w:bCs/>
                <w:noProof/>
                <w:sz w:val="20"/>
                <w:szCs w:val="20"/>
              </w:rPr>
              <w:t>5 000</w:t>
            </w:r>
            <w:r w:rsidRPr="498FED0E">
              <w:rPr>
                <w:b/>
                <w:bCs/>
                <w:noProof/>
                <w:sz w:val="20"/>
                <w:szCs w:val="20"/>
              </w:rPr>
              <w:t>,000</w:t>
            </w:r>
          </w:p>
        </w:tc>
      </w:tr>
      <w:tr w:rsidR="00950C34" w14:paraId="6094B1CF" w14:textId="77777777" w:rsidTr="00FA7B33">
        <w:tblPrEx>
          <w:jc w:val="left"/>
        </w:tblPrEx>
        <w:trPr>
          <w:trHeight w:val="300"/>
        </w:trPr>
        <w:tc>
          <w:tcPr>
            <w:tcW w:w="3188" w:type="dxa"/>
            <w:vMerge/>
          </w:tcPr>
          <w:p w14:paraId="12BAAE0F" w14:textId="77777777" w:rsidR="00950C34" w:rsidRDefault="00950C34" w:rsidP="00FA7B33">
            <w:pPr>
              <w:rPr>
                <w:noProof/>
              </w:rPr>
            </w:pPr>
          </w:p>
        </w:tc>
        <w:tc>
          <w:tcPr>
            <w:tcW w:w="1342" w:type="dxa"/>
            <w:gridSpan w:val="2"/>
            <w:vAlign w:val="center"/>
          </w:tcPr>
          <w:p w14:paraId="1EB43331" w14:textId="77777777" w:rsidR="00950C34" w:rsidRDefault="00950C34" w:rsidP="00FA7B33">
            <w:pPr>
              <w:rPr>
                <w:noProof/>
                <w:sz w:val="18"/>
                <w:szCs w:val="18"/>
              </w:rPr>
            </w:pPr>
            <w:r w:rsidRPr="07F10CD5">
              <w:rPr>
                <w:noProof/>
                <w:sz w:val="18"/>
                <w:szCs w:val="18"/>
              </w:rPr>
              <w:t>Payments</w:t>
            </w:r>
          </w:p>
        </w:tc>
        <w:tc>
          <w:tcPr>
            <w:tcW w:w="648" w:type="dxa"/>
            <w:gridSpan w:val="3"/>
            <w:vAlign w:val="center"/>
          </w:tcPr>
          <w:p w14:paraId="021CAC0E" w14:textId="77777777" w:rsidR="00950C34" w:rsidRDefault="00950C34" w:rsidP="00FA7B33">
            <w:pPr>
              <w:jc w:val="center"/>
              <w:rPr>
                <w:noProof/>
                <w:sz w:val="14"/>
                <w:szCs w:val="14"/>
              </w:rPr>
            </w:pPr>
            <w:r w:rsidRPr="07F10CD5">
              <w:rPr>
                <w:noProof/>
                <w:sz w:val="14"/>
                <w:szCs w:val="14"/>
              </w:rPr>
              <w:t>=2a+2b</w:t>
            </w:r>
          </w:p>
          <w:p w14:paraId="210152FB" w14:textId="77777777" w:rsidR="00950C34" w:rsidRDefault="00950C34" w:rsidP="00FA7B33">
            <w:pPr>
              <w:jc w:val="center"/>
              <w:rPr>
                <w:noProof/>
                <w:sz w:val="14"/>
                <w:szCs w:val="14"/>
              </w:rPr>
            </w:pPr>
            <w:r w:rsidRPr="07F10CD5">
              <w:rPr>
                <w:noProof/>
                <w:sz w:val="14"/>
                <w:szCs w:val="14"/>
              </w:rPr>
              <w:t>+3</w:t>
            </w:r>
          </w:p>
        </w:tc>
        <w:tc>
          <w:tcPr>
            <w:tcW w:w="750" w:type="dxa"/>
            <w:vAlign w:val="center"/>
          </w:tcPr>
          <w:p w14:paraId="4AD91C03" w14:textId="77777777" w:rsidR="00950C34" w:rsidRDefault="00950C34" w:rsidP="00FA7B33">
            <w:pPr>
              <w:spacing w:before="20" w:after="20"/>
              <w:jc w:val="right"/>
              <w:rPr>
                <w:noProof/>
                <w:sz w:val="20"/>
                <w:szCs w:val="20"/>
              </w:rPr>
            </w:pPr>
          </w:p>
        </w:tc>
        <w:tc>
          <w:tcPr>
            <w:tcW w:w="1215" w:type="dxa"/>
            <w:vAlign w:val="center"/>
          </w:tcPr>
          <w:p w14:paraId="06146BBF" w14:textId="77777777" w:rsidR="00950C34" w:rsidRDefault="00950C34" w:rsidP="00FA7B33">
            <w:pPr>
              <w:spacing w:before="20" w:after="20"/>
              <w:jc w:val="right"/>
              <w:rPr>
                <w:noProof/>
                <w:sz w:val="20"/>
                <w:szCs w:val="20"/>
              </w:rPr>
            </w:pPr>
            <w:r w:rsidRPr="640A9D14">
              <w:rPr>
                <w:noProof/>
                <w:sz w:val="20"/>
                <w:szCs w:val="20"/>
              </w:rPr>
              <w:t>500</w:t>
            </w:r>
            <w:r w:rsidRPr="498FED0E">
              <w:rPr>
                <w:noProof/>
                <w:sz w:val="20"/>
                <w:szCs w:val="20"/>
              </w:rPr>
              <w:t>,</w:t>
            </w:r>
            <w:r w:rsidRPr="7CABDADD">
              <w:rPr>
                <w:noProof/>
                <w:sz w:val="20"/>
                <w:szCs w:val="20"/>
              </w:rPr>
              <w:t>000</w:t>
            </w:r>
          </w:p>
        </w:tc>
        <w:tc>
          <w:tcPr>
            <w:tcW w:w="1080" w:type="dxa"/>
            <w:vAlign w:val="center"/>
          </w:tcPr>
          <w:p w14:paraId="58762AE5" w14:textId="77777777" w:rsidR="00950C34" w:rsidRDefault="00950C34" w:rsidP="00FA7B33">
            <w:pPr>
              <w:spacing w:before="20" w:after="20"/>
              <w:jc w:val="right"/>
              <w:rPr>
                <w:noProof/>
                <w:sz w:val="20"/>
                <w:szCs w:val="20"/>
              </w:rPr>
            </w:pPr>
            <w:r w:rsidRPr="640A9D14">
              <w:rPr>
                <w:noProof/>
                <w:sz w:val="20"/>
                <w:szCs w:val="20"/>
              </w:rPr>
              <w:t>1 125</w:t>
            </w:r>
            <w:r w:rsidRPr="7CABDADD">
              <w:rPr>
                <w:noProof/>
                <w:sz w:val="20"/>
                <w:szCs w:val="20"/>
              </w:rPr>
              <w:t>,000</w:t>
            </w:r>
          </w:p>
        </w:tc>
        <w:tc>
          <w:tcPr>
            <w:tcW w:w="1095" w:type="dxa"/>
            <w:vAlign w:val="center"/>
          </w:tcPr>
          <w:p w14:paraId="485868FC" w14:textId="77777777" w:rsidR="00950C34" w:rsidRDefault="00950C34" w:rsidP="00FA7B33">
            <w:pPr>
              <w:spacing w:before="20" w:after="20"/>
              <w:jc w:val="right"/>
              <w:rPr>
                <w:noProof/>
                <w:sz w:val="20"/>
                <w:szCs w:val="20"/>
              </w:rPr>
            </w:pPr>
            <w:r w:rsidRPr="640A9D14">
              <w:rPr>
                <w:noProof/>
                <w:sz w:val="20"/>
                <w:szCs w:val="20"/>
              </w:rPr>
              <w:t>1 150</w:t>
            </w:r>
            <w:r w:rsidRPr="7CABDADD">
              <w:rPr>
                <w:noProof/>
                <w:sz w:val="20"/>
                <w:szCs w:val="20"/>
              </w:rPr>
              <w:t>,000</w:t>
            </w:r>
          </w:p>
        </w:tc>
        <w:tc>
          <w:tcPr>
            <w:tcW w:w="1245" w:type="dxa"/>
            <w:vAlign w:val="center"/>
          </w:tcPr>
          <w:p w14:paraId="02C06491" w14:textId="77777777" w:rsidR="00950C34" w:rsidRDefault="00950C34" w:rsidP="00FA7B33">
            <w:pPr>
              <w:spacing w:before="20" w:after="20"/>
              <w:jc w:val="right"/>
              <w:rPr>
                <w:noProof/>
                <w:sz w:val="20"/>
                <w:szCs w:val="20"/>
              </w:rPr>
            </w:pPr>
            <w:r w:rsidRPr="5514DCC9">
              <w:rPr>
                <w:noProof/>
                <w:sz w:val="20"/>
                <w:szCs w:val="20"/>
              </w:rPr>
              <w:t>2 225,000</w:t>
            </w:r>
          </w:p>
        </w:tc>
        <w:tc>
          <w:tcPr>
            <w:tcW w:w="1317" w:type="dxa"/>
            <w:gridSpan w:val="2"/>
            <w:vAlign w:val="center"/>
          </w:tcPr>
          <w:p w14:paraId="29DEBA10" w14:textId="77777777" w:rsidR="00950C34" w:rsidRDefault="00950C34" w:rsidP="00FA7B33">
            <w:pPr>
              <w:spacing w:before="20" w:after="20"/>
              <w:jc w:val="center"/>
              <w:rPr>
                <w:b/>
                <w:bCs/>
                <w:noProof/>
                <w:sz w:val="20"/>
                <w:szCs w:val="20"/>
              </w:rPr>
            </w:pPr>
            <w:r w:rsidRPr="640A9D14">
              <w:rPr>
                <w:b/>
                <w:bCs/>
                <w:noProof/>
                <w:sz w:val="20"/>
                <w:szCs w:val="20"/>
              </w:rPr>
              <w:t>5 000</w:t>
            </w:r>
            <w:r w:rsidRPr="0F4088FB">
              <w:rPr>
                <w:b/>
                <w:bCs/>
                <w:noProof/>
                <w:sz w:val="20"/>
                <w:szCs w:val="20"/>
              </w:rPr>
              <w:t>,000</w:t>
            </w:r>
          </w:p>
        </w:tc>
      </w:tr>
    </w:tbl>
    <w:p w14:paraId="4376334E" w14:textId="77777777" w:rsidR="00950C34" w:rsidRDefault="00950C34" w:rsidP="00950C34">
      <w:pPr>
        <w:rPr>
          <w:noProof/>
        </w:rPr>
      </w:pPr>
    </w:p>
    <w:tbl>
      <w:tblPr>
        <w:tblW w:w="14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
        <w:gridCol w:w="1853"/>
        <w:gridCol w:w="1045"/>
        <w:gridCol w:w="45"/>
        <w:gridCol w:w="169"/>
        <w:gridCol w:w="730"/>
        <w:gridCol w:w="20"/>
        <w:gridCol w:w="1480"/>
        <w:gridCol w:w="1980"/>
        <w:gridCol w:w="1699"/>
        <w:gridCol w:w="1839"/>
        <w:gridCol w:w="1918"/>
        <w:gridCol w:w="1325"/>
        <w:gridCol w:w="39"/>
      </w:tblGrid>
      <w:tr w:rsidR="00950C34" w14:paraId="38B7E3A8" w14:textId="77777777" w:rsidTr="00FA7B33">
        <w:trPr>
          <w:gridAfter w:val="1"/>
          <w:wAfter w:w="39" w:type="dxa"/>
          <w:trHeight w:val="300"/>
          <w:jc w:val="center"/>
        </w:trPr>
        <w:tc>
          <w:tcPr>
            <w:tcW w:w="2937" w:type="dxa"/>
            <w:gridSpan w:val="3"/>
            <w:shd w:val="clear" w:color="auto" w:fill="auto"/>
            <w:vAlign w:val="center"/>
          </w:tcPr>
          <w:p w14:paraId="289B20C3" w14:textId="77777777" w:rsidR="00950C34" w:rsidRDefault="00950C34" w:rsidP="00FA7B33">
            <w:pPr>
              <w:spacing w:before="60" w:after="60"/>
              <w:jc w:val="center"/>
              <w:rPr>
                <w:b/>
                <w:bCs/>
                <w:noProof/>
                <w:lang w:val="en-IE"/>
              </w:rPr>
            </w:pPr>
            <w:r w:rsidRPr="0E051759">
              <w:rPr>
                <w:b/>
                <w:bCs/>
                <w:noProof/>
                <w:sz w:val="22"/>
                <w:lang w:val="en-IE"/>
              </w:rPr>
              <w:t xml:space="preserve">Heading of multiannual financial </w:t>
            </w:r>
            <w:r>
              <w:rPr>
                <w:noProof/>
              </w:rPr>
              <w:br/>
            </w:r>
            <w:r w:rsidRPr="0E051759">
              <w:rPr>
                <w:b/>
                <w:bCs/>
                <w:noProof/>
                <w:sz w:val="22"/>
                <w:lang w:val="en-IE"/>
              </w:rPr>
              <w:t xml:space="preserve">framework </w:t>
            </w:r>
          </w:p>
        </w:tc>
        <w:tc>
          <w:tcPr>
            <w:tcW w:w="944" w:type="dxa"/>
            <w:gridSpan w:val="3"/>
            <w:vAlign w:val="center"/>
          </w:tcPr>
          <w:p w14:paraId="6244A21E" w14:textId="77777777" w:rsidR="00950C34" w:rsidRDefault="00950C34" w:rsidP="00FA7B33">
            <w:pPr>
              <w:spacing w:before="60" w:after="60"/>
              <w:jc w:val="center"/>
              <w:rPr>
                <w:noProof/>
              </w:rPr>
            </w:pPr>
            <w:r w:rsidRPr="0E051759">
              <w:rPr>
                <w:noProof/>
                <w:sz w:val="22"/>
              </w:rPr>
              <w:t>Number</w:t>
            </w:r>
          </w:p>
        </w:tc>
        <w:tc>
          <w:tcPr>
            <w:tcW w:w="10261" w:type="dxa"/>
            <w:gridSpan w:val="7"/>
            <w:vAlign w:val="center"/>
          </w:tcPr>
          <w:p w14:paraId="7E0C4B76" w14:textId="77777777" w:rsidR="00950C34" w:rsidRDefault="00950C34" w:rsidP="00FA7B33">
            <w:pPr>
              <w:spacing w:before="60" w:after="60"/>
              <w:rPr>
                <w:noProof/>
              </w:rPr>
            </w:pPr>
            <w:r>
              <w:rPr>
                <w:noProof/>
              </w:rPr>
              <w:t>5</w:t>
            </w:r>
          </w:p>
        </w:tc>
      </w:tr>
      <w:tr w:rsidR="00950C34" w14:paraId="2C543A12" w14:textId="77777777" w:rsidTr="00FA7B33">
        <w:tblPrEx>
          <w:jc w:val="left"/>
        </w:tblPrEx>
        <w:trPr>
          <w:gridBefore w:val="1"/>
          <w:wBefore w:w="39" w:type="dxa"/>
          <w:trHeight w:val="300"/>
        </w:trPr>
        <w:tc>
          <w:tcPr>
            <w:tcW w:w="2943" w:type="dxa"/>
            <w:gridSpan w:val="3"/>
            <w:vAlign w:val="center"/>
          </w:tcPr>
          <w:p w14:paraId="01A56C31" w14:textId="77777777" w:rsidR="00950C34" w:rsidRDefault="00950C34" w:rsidP="00FA7B33">
            <w:pPr>
              <w:rPr>
                <w:noProof/>
                <w:sz w:val="20"/>
                <w:szCs w:val="20"/>
              </w:rPr>
            </w:pPr>
            <w:r>
              <w:rPr>
                <w:noProof/>
                <w:sz w:val="22"/>
              </w:rPr>
              <w:t>European Defence Fund</w:t>
            </w:r>
          </w:p>
        </w:tc>
        <w:tc>
          <w:tcPr>
            <w:tcW w:w="919" w:type="dxa"/>
            <w:gridSpan w:val="3"/>
          </w:tcPr>
          <w:p w14:paraId="42344434" w14:textId="77777777" w:rsidR="00950C34" w:rsidRDefault="00950C34" w:rsidP="00FA7B33">
            <w:pPr>
              <w:jc w:val="center"/>
              <w:rPr>
                <w:noProof/>
                <w:sz w:val="20"/>
                <w:szCs w:val="20"/>
              </w:rPr>
            </w:pPr>
          </w:p>
        </w:tc>
        <w:tc>
          <w:tcPr>
            <w:tcW w:w="1480" w:type="dxa"/>
            <w:vAlign w:val="center"/>
          </w:tcPr>
          <w:p w14:paraId="6A2965C4" w14:textId="77777777" w:rsidR="00950C34" w:rsidRDefault="00950C34" w:rsidP="00FA7B33">
            <w:pPr>
              <w:jc w:val="center"/>
              <w:rPr>
                <w:noProof/>
                <w:sz w:val="20"/>
                <w:szCs w:val="20"/>
              </w:rPr>
            </w:pPr>
            <w:r w:rsidRPr="0E051759">
              <w:rPr>
                <w:noProof/>
                <w:sz w:val="20"/>
                <w:szCs w:val="20"/>
              </w:rPr>
              <w:t>2023</w:t>
            </w:r>
          </w:p>
        </w:tc>
        <w:tc>
          <w:tcPr>
            <w:tcW w:w="1980" w:type="dxa"/>
            <w:vAlign w:val="center"/>
          </w:tcPr>
          <w:p w14:paraId="51320491" w14:textId="77777777" w:rsidR="00950C34" w:rsidRDefault="00950C34" w:rsidP="00FA7B33">
            <w:pPr>
              <w:jc w:val="center"/>
              <w:rPr>
                <w:noProof/>
                <w:sz w:val="20"/>
                <w:szCs w:val="20"/>
              </w:rPr>
            </w:pPr>
            <w:r w:rsidRPr="0E051759">
              <w:rPr>
                <w:noProof/>
                <w:sz w:val="20"/>
                <w:szCs w:val="20"/>
              </w:rPr>
              <w:t>2024</w:t>
            </w:r>
          </w:p>
        </w:tc>
        <w:tc>
          <w:tcPr>
            <w:tcW w:w="1699" w:type="dxa"/>
            <w:vAlign w:val="center"/>
          </w:tcPr>
          <w:p w14:paraId="06E60BE4" w14:textId="77777777" w:rsidR="00950C34" w:rsidRDefault="00950C34" w:rsidP="00FA7B33">
            <w:pPr>
              <w:jc w:val="center"/>
              <w:rPr>
                <w:noProof/>
                <w:sz w:val="20"/>
                <w:szCs w:val="20"/>
              </w:rPr>
            </w:pPr>
            <w:r w:rsidRPr="0E051759">
              <w:rPr>
                <w:noProof/>
                <w:sz w:val="20"/>
                <w:szCs w:val="20"/>
              </w:rPr>
              <w:t>2025</w:t>
            </w:r>
          </w:p>
        </w:tc>
        <w:tc>
          <w:tcPr>
            <w:tcW w:w="1839" w:type="dxa"/>
            <w:vAlign w:val="center"/>
          </w:tcPr>
          <w:p w14:paraId="4262DBCE" w14:textId="77777777" w:rsidR="00950C34" w:rsidRDefault="00950C34" w:rsidP="00FA7B33">
            <w:pPr>
              <w:jc w:val="center"/>
              <w:rPr>
                <w:noProof/>
                <w:sz w:val="20"/>
                <w:szCs w:val="20"/>
              </w:rPr>
            </w:pPr>
            <w:r w:rsidRPr="0E051759">
              <w:rPr>
                <w:noProof/>
                <w:sz w:val="20"/>
                <w:szCs w:val="20"/>
              </w:rPr>
              <w:t>2026</w:t>
            </w:r>
          </w:p>
        </w:tc>
        <w:tc>
          <w:tcPr>
            <w:tcW w:w="1918" w:type="dxa"/>
            <w:vAlign w:val="center"/>
          </w:tcPr>
          <w:p w14:paraId="65974D98" w14:textId="77777777" w:rsidR="00950C34" w:rsidRPr="00BE6076" w:rsidRDefault="00950C34" w:rsidP="00FA7B33">
            <w:pPr>
              <w:jc w:val="center"/>
              <w:rPr>
                <w:noProof/>
                <w:sz w:val="20"/>
                <w:szCs w:val="20"/>
              </w:rPr>
            </w:pPr>
            <w:r w:rsidRPr="00BE6076">
              <w:rPr>
                <w:noProof/>
                <w:sz w:val="20"/>
                <w:szCs w:val="20"/>
              </w:rPr>
              <w:t>2027</w:t>
            </w:r>
          </w:p>
        </w:tc>
        <w:tc>
          <w:tcPr>
            <w:tcW w:w="1364" w:type="dxa"/>
            <w:gridSpan w:val="2"/>
            <w:vAlign w:val="center"/>
          </w:tcPr>
          <w:p w14:paraId="78889F4D" w14:textId="77777777" w:rsidR="00950C34" w:rsidRDefault="00950C34" w:rsidP="00FA7B33">
            <w:pPr>
              <w:jc w:val="center"/>
              <w:rPr>
                <w:b/>
                <w:bCs/>
                <w:noProof/>
                <w:sz w:val="20"/>
                <w:szCs w:val="20"/>
              </w:rPr>
            </w:pPr>
            <w:r w:rsidRPr="0E051759">
              <w:rPr>
                <w:b/>
                <w:bCs/>
                <w:noProof/>
                <w:sz w:val="20"/>
                <w:szCs w:val="20"/>
              </w:rPr>
              <w:t>TOTAL</w:t>
            </w:r>
          </w:p>
        </w:tc>
      </w:tr>
      <w:tr w:rsidR="00950C34" w14:paraId="7D3686D9" w14:textId="77777777" w:rsidTr="00FA7B33">
        <w:tblPrEx>
          <w:jc w:val="left"/>
        </w:tblPrEx>
        <w:trPr>
          <w:gridBefore w:val="1"/>
          <w:wBefore w:w="39" w:type="dxa"/>
          <w:trHeight w:val="213"/>
        </w:trPr>
        <w:tc>
          <w:tcPr>
            <w:tcW w:w="3862" w:type="dxa"/>
            <w:gridSpan w:val="6"/>
            <w:vAlign w:val="center"/>
          </w:tcPr>
          <w:p w14:paraId="36448A00" w14:textId="77777777" w:rsidR="00950C34" w:rsidRDefault="00950C34" w:rsidP="00FA7B33">
            <w:pPr>
              <w:spacing w:before="20" w:after="20"/>
              <w:rPr>
                <w:noProof/>
                <w:sz w:val="21"/>
                <w:szCs w:val="21"/>
              </w:rPr>
            </w:pPr>
            <w:r w:rsidRPr="0E051759">
              <w:rPr>
                <w:rFonts w:ascii="Wingdings" w:eastAsia="Wingdings" w:hAnsi="Wingdings" w:cs="Wingdings"/>
                <w:noProof/>
                <w:sz w:val="21"/>
                <w:szCs w:val="21"/>
              </w:rPr>
              <w:t>□</w:t>
            </w:r>
            <w:r w:rsidRPr="0E051759">
              <w:rPr>
                <w:noProof/>
                <w:sz w:val="21"/>
                <w:szCs w:val="21"/>
              </w:rPr>
              <w:t xml:space="preserve"> Operational appropriations </w:t>
            </w:r>
          </w:p>
        </w:tc>
        <w:tc>
          <w:tcPr>
            <w:tcW w:w="1480" w:type="dxa"/>
            <w:vAlign w:val="center"/>
          </w:tcPr>
          <w:p w14:paraId="7E6EE415" w14:textId="77777777" w:rsidR="00950C34" w:rsidRDefault="00950C34" w:rsidP="00FA7B33">
            <w:pPr>
              <w:rPr>
                <w:noProof/>
                <w:sz w:val="20"/>
                <w:szCs w:val="20"/>
              </w:rPr>
            </w:pPr>
          </w:p>
        </w:tc>
        <w:tc>
          <w:tcPr>
            <w:tcW w:w="1980" w:type="dxa"/>
            <w:vAlign w:val="center"/>
          </w:tcPr>
          <w:p w14:paraId="7F3101C5" w14:textId="77777777" w:rsidR="00950C34" w:rsidRDefault="00950C34" w:rsidP="00FA7B33">
            <w:pPr>
              <w:rPr>
                <w:noProof/>
                <w:sz w:val="20"/>
                <w:szCs w:val="20"/>
              </w:rPr>
            </w:pPr>
          </w:p>
        </w:tc>
        <w:tc>
          <w:tcPr>
            <w:tcW w:w="1699" w:type="dxa"/>
            <w:vAlign w:val="center"/>
          </w:tcPr>
          <w:p w14:paraId="161DE46C" w14:textId="77777777" w:rsidR="00950C34" w:rsidRDefault="00950C34" w:rsidP="00FA7B33">
            <w:pPr>
              <w:rPr>
                <w:noProof/>
                <w:sz w:val="20"/>
                <w:szCs w:val="20"/>
              </w:rPr>
            </w:pPr>
          </w:p>
        </w:tc>
        <w:tc>
          <w:tcPr>
            <w:tcW w:w="1839" w:type="dxa"/>
            <w:vAlign w:val="center"/>
          </w:tcPr>
          <w:p w14:paraId="13D0AE79" w14:textId="77777777" w:rsidR="00950C34" w:rsidRDefault="00950C34" w:rsidP="00FA7B33">
            <w:pPr>
              <w:rPr>
                <w:noProof/>
                <w:sz w:val="20"/>
                <w:szCs w:val="20"/>
              </w:rPr>
            </w:pPr>
          </w:p>
        </w:tc>
        <w:tc>
          <w:tcPr>
            <w:tcW w:w="1918" w:type="dxa"/>
            <w:vAlign w:val="center"/>
          </w:tcPr>
          <w:p w14:paraId="47C20404" w14:textId="77777777" w:rsidR="00950C34" w:rsidRDefault="00950C34" w:rsidP="00FA7B33">
            <w:pPr>
              <w:rPr>
                <w:b/>
                <w:bCs/>
                <w:noProof/>
                <w:sz w:val="20"/>
                <w:szCs w:val="20"/>
              </w:rPr>
            </w:pPr>
          </w:p>
        </w:tc>
        <w:tc>
          <w:tcPr>
            <w:tcW w:w="1364" w:type="dxa"/>
            <w:gridSpan w:val="2"/>
            <w:vAlign w:val="center"/>
          </w:tcPr>
          <w:p w14:paraId="7920DFCC" w14:textId="77777777" w:rsidR="00950C34" w:rsidRDefault="00950C34" w:rsidP="00FA7B33">
            <w:pPr>
              <w:jc w:val="center"/>
              <w:rPr>
                <w:b/>
                <w:bCs/>
                <w:noProof/>
                <w:sz w:val="20"/>
                <w:szCs w:val="20"/>
              </w:rPr>
            </w:pPr>
          </w:p>
        </w:tc>
      </w:tr>
      <w:tr w:rsidR="00950C34" w14:paraId="319FDD37" w14:textId="77777777" w:rsidTr="00FA7B33">
        <w:tblPrEx>
          <w:jc w:val="left"/>
        </w:tblPrEx>
        <w:trPr>
          <w:gridBefore w:val="1"/>
          <w:wBefore w:w="39" w:type="dxa"/>
          <w:trHeight w:val="277"/>
        </w:trPr>
        <w:tc>
          <w:tcPr>
            <w:tcW w:w="1853" w:type="dxa"/>
            <w:vMerge w:val="restart"/>
            <w:vAlign w:val="center"/>
          </w:tcPr>
          <w:p w14:paraId="2FE028D8" w14:textId="77777777" w:rsidR="00950C34" w:rsidRDefault="00950C34" w:rsidP="00FA7B33">
            <w:pPr>
              <w:rPr>
                <w:noProof/>
                <w:sz w:val="20"/>
                <w:szCs w:val="20"/>
              </w:rPr>
            </w:pPr>
            <w:r>
              <w:rPr>
                <w:noProof/>
                <w:sz w:val="20"/>
                <w:szCs w:val="20"/>
              </w:rPr>
              <w:t>13.0301</w:t>
            </w:r>
            <w:r w:rsidRPr="0E051759">
              <w:rPr>
                <w:noProof/>
                <w:sz w:val="20"/>
                <w:szCs w:val="20"/>
              </w:rPr>
              <w:t xml:space="preserve"> </w:t>
            </w:r>
            <w:r>
              <w:rPr>
                <w:noProof/>
                <w:sz w:val="20"/>
                <w:szCs w:val="20"/>
              </w:rPr>
              <w:t>–</w:t>
            </w:r>
            <w:r w:rsidRPr="0E051759">
              <w:rPr>
                <w:noProof/>
                <w:sz w:val="20"/>
                <w:szCs w:val="20"/>
              </w:rPr>
              <w:t xml:space="preserve"> </w:t>
            </w:r>
            <w:r>
              <w:rPr>
                <w:noProof/>
                <w:sz w:val="20"/>
                <w:szCs w:val="20"/>
              </w:rPr>
              <w:t>Defence</w:t>
            </w:r>
          </w:p>
        </w:tc>
        <w:tc>
          <w:tcPr>
            <w:tcW w:w="1259" w:type="dxa"/>
            <w:gridSpan w:val="3"/>
            <w:vAlign w:val="center"/>
          </w:tcPr>
          <w:p w14:paraId="458BC39B" w14:textId="77777777" w:rsidR="00950C34" w:rsidRDefault="00950C34" w:rsidP="00FA7B33">
            <w:pPr>
              <w:spacing w:before="20" w:after="20"/>
              <w:rPr>
                <w:noProof/>
                <w:sz w:val="18"/>
                <w:szCs w:val="18"/>
              </w:rPr>
            </w:pPr>
            <w:r w:rsidRPr="0E051759">
              <w:rPr>
                <w:noProof/>
                <w:sz w:val="18"/>
                <w:szCs w:val="18"/>
              </w:rPr>
              <w:t>Commitments</w:t>
            </w:r>
          </w:p>
        </w:tc>
        <w:tc>
          <w:tcPr>
            <w:tcW w:w="750" w:type="dxa"/>
            <w:gridSpan w:val="2"/>
            <w:vAlign w:val="center"/>
          </w:tcPr>
          <w:p w14:paraId="1DDBE2AF" w14:textId="77777777" w:rsidR="00950C34" w:rsidRDefault="00950C34" w:rsidP="00FA7B33">
            <w:pPr>
              <w:spacing w:before="20" w:after="20"/>
              <w:jc w:val="center"/>
              <w:rPr>
                <w:noProof/>
                <w:sz w:val="14"/>
                <w:szCs w:val="14"/>
              </w:rPr>
            </w:pPr>
            <w:r w:rsidRPr="0E051759">
              <w:rPr>
                <w:noProof/>
                <w:sz w:val="14"/>
                <w:szCs w:val="14"/>
              </w:rPr>
              <w:t>(1a)</w:t>
            </w:r>
          </w:p>
        </w:tc>
        <w:tc>
          <w:tcPr>
            <w:tcW w:w="1480" w:type="dxa"/>
            <w:vAlign w:val="center"/>
          </w:tcPr>
          <w:p w14:paraId="17941118" w14:textId="77777777" w:rsidR="00950C34" w:rsidRDefault="00950C34" w:rsidP="00FA7B33">
            <w:pPr>
              <w:spacing w:before="20" w:after="20"/>
              <w:jc w:val="right"/>
              <w:rPr>
                <w:noProof/>
                <w:sz w:val="20"/>
                <w:szCs w:val="20"/>
              </w:rPr>
            </w:pPr>
          </w:p>
        </w:tc>
        <w:tc>
          <w:tcPr>
            <w:tcW w:w="1980" w:type="dxa"/>
            <w:vAlign w:val="center"/>
          </w:tcPr>
          <w:p w14:paraId="26607E11" w14:textId="77777777" w:rsidR="00950C34" w:rsidRDefault="00950C34" w:rsidP="00FA7B33">
            <w:pPr>
              <w:spacing w:before="20" w:after="20"/>
              <w:jc w:val="center"/>
              <w:rPr>
                <w:noProof/>
                <w:sz w:val="20"/>
                <w:szCs w:val="20"/>
              </w:rPr>
            </w:pPr>
            <w:r>
              <w:rPr>
                <w:noProof/>
                <w:sz w:val="20"/>
                <w:szCs w:val="20"/>
              </w:rPr>
              <w:t>375,000</w:t>
            </w:r>
          </w:p>
        </w:tc>
        <w:tc>
          <w:tcPr>
            <w:tcW w:w="1699" w:type="dxa"/>
            <w:vAlign w:val="center"/>
          </w:tcPr>
          <w:p w14:paraId="5ED11C6E" w14:textId="77777777" w:rsidR="00950C34" w:rsidRDefault="00950C34" w:rsidP="00FA7B33">
            <w:pPr>
              <w:spacing w:before="20" w:after="20"/>
              <w:jc w:val="center"/>
              <w:rPr>
                <w:noProof/>
                <w:sz w:val="20"/>
                <w:szCs w:val="20"/>
              </w:rPr>
            </w:pPr>
            <w:r>
              <w:rPr>
                <w:noProof/>
                <w:sz w:val="20"/>
                <w:szCs w:val="20"/>
              </w:rPr>
              <w:t>376,000</w:t>
            </w:r>
          </w:p>
        </w:tc>
        <w:tc>
          <w:tcPr>
            <w:tcW w:w="1839" w:type="dxa"/>
            <w:vAlign w:val="center"/>
          </w:tcPr>
          <w:p w14:paraId="173C8207" w14:textId="77777777" w:rsidR="00950C34" w:rsidRDefault="00950C34" w:rsidP="00FA7B33">
            <w:pPr>
              <w:spacing w:before="20" w:after="20"/>
              <w:jc w:val="center"/>
              <w:rPr>
                <w:noProof/>
                <w:sz w:val="20"/>
                <w:szCs w:val="20"/>
              </w:rPr>
            </w:pPr>
            <w:r>
              <w:rPr>
                <w:noProof/>
                <w:sz w:val="20"/>
                <w:szCs w:val="20"/>
              </w:rPr>
              <w:t>375,000</w:t>
            </w:r>
          </w:p>
        </w:tc>
        <w:tc>
          <w:tcPr>
            <w:tcW w:w="1918" w:type="dxa"/>
            <w:vAlign w:val="center"/>
          </w:tcPr>
          <w:p w14:paraId="075506C3" w14:textId="77777777" w:rsidR="00950C34" w:rsidRDefault="00950C34" w:rsidP="00FA7B33">
            <w:pPr>
              <w:spacing w:before="20" w:after="20"/>
              <w:jc w:val="center"/>
              <w:rPr>
                <w:b/>
                <w:bCs/>
                <w:noProof/>
                <w:sz w:val="20"/>
                <w:szCs w:val="20"/>
              </w:rPr>
            </w:pPr>
            <w:r>
              <w:rPr>
                <w:noProof/>
                <w:sz w:val="20"/>
                <w:szCs w:val="20"/>
              </w:rPr>
              <w:t>374,000</w:t>
            </w:r>
          </w:p>
        </w:tc>
        <w:tc>
          <w:tcPr>
            <w:tcW w:w="1364" w:type="dxa"/>
            <w:gridSpan w:val="2"/>
            <w:vAlign w:val="center"/>
          </w:tcPr>
          <w:p w14:paraId="63F10D80" w14:textId="77777777" w:rsidR="00950C34" w:rsidRPr="00B055D4" w:rsidRDefault="00950C34" w:rsidP="00FA7B33">
            <w:pPr>
              <w:spacing w:before="20" w:after="20"/>
              <w:jc w:val="center"/>
              <w:rPr>
                <w:b/>
                <w:bCs/>
                <w:noProof/>
                <w:sz w:val="20"/>
                <w:szCs w:val="20"/>
              </w:rPr>
            </w:pPr>
            <w:r>
              <w:rPr>
                <w:b/>
                <w:bCs/>
                <w:noProof/>
                <w:sz w:val="20"/>
                <w:szCs w:val="20"/>
              </w:rPr>
              <w:t>1 500,000</w:t>
            </w:r>
          </w:p>
        </w:tc>
      </w:tr>
      <w:tr w:rsidR="00950C34" w14:paraId="4EF482CE" w14:textId="77777777" w:rsidTr="00FA7B33">
        <w:tblPrEx>
          <w:jc w:val="left"/>
        </w:tblPrEx>
        <w:trPr>
          <w:gridBefore w:val="1"/>
          <w:wBefore w:w="39" w:type="dxa"/>
          <w:trHeight w:val="300"/>
        </w:trPr>
        <w:tc>
          <w:tcPr>
            <w:tcW w:w="1853" w:type="dxa"/>
            <w:vMerge/>
          </w:tcPr>
          <w:p w14:paraId="5CF6482B" w14:textId="77777777" w:rsidR="00950C34" w:rsidRDefault="00950C34" w:rsidP="00FA7B33">
            <w:pPr>
              <w:rPr>
                <w:noProof/>
              </w:rPr>
            </w:pPr>
          </w:p>
        </w:tc>
        <w:tc>
          <w:tcPr>
            <w:tcW w:w="1259" w:type="dxa"/>
            <w:gridSpan w:val="3"/>
            <w:vAlign w:val="center"/>
          </w:tcPr>
          <w:p w14:paraId="6F3B7482" w14:textId="77777777" w:rsidR="00950C34" w:rsidRDefault="00950C34" w:rsidP="00FA7B33">
            <w:pPr>
              <w:spacing w:before="20" w:after="20"/>
              <w:rPr>
                <w:noProof/>
                <w:sz w:val="18"/>
                <w:szCs w:val="18"/>
              </w:rPr>
            </w:pPr>
            <w:r w:rsidRPr="0E051759">
              <w:rPr>
                <w:noProof/>
                <w:sz w:val="18"/>
                <w:szCs w:val="18"/>
              </w:rPr>
              <w:t>Payments</w:t>
            </w:r>
          </w:p>
        </w:tc>
        <w:tc>
          <w:tcPr>
            <w:tcW w:w="750" w:type="dxa"/>
            <w:gridSpan w:val="2"/>
            <w:vAlign w:val="center"/>
          </w:tcPr>
          <w:p w14:paraId="56F185BA" w14:textId="77777777" w:rsidR="00950C34" w:rsidRDefault="00950C34" w:rsidP="00FA7B33">
            <w:pPr>
              <w:spacing w:before="20" w:after="20"/>
              <w:jc w:val="center"/>
              <w:rPr>
                <w:noProof/>
                <w:sz w:val="14"/>
                <w:szCs w:val="14"/>
              </w:rPr>
            </w:pPr>
            <w:r w:rsidRPr="0E051759">
              <w:rPr>
                <w:noProof/>
                <w:sz w:val="14"/>
                <w:szCs w:val="14"/>
              </w:rPr>
              <w:t>(2a)</w:t>
            </w:r>
          </w:p>
        </w:tc>
        <w:tc>
          <w:tcPr>
            <w:tcW w:w="1480" w:type="dxa"/>
            <w:vAlign w:val="center"/>
          </w:tcPr>
          <w:p w14:paraId="0AA41CFF" w14:textId="77777777" w:rsidR="00950C34" w:rsidRDefault="00950C34" w:rsidP="00FA7B33">
            <w:pPr>
              <w:spacing w:before="20" w:after="20"/>
              <w:jc w:val="right"/>
              <w:rPr>
                <w:noProof/>
                <w:sz w:val="20"/>
                <w:szCs w:val="20"/>
              </w:rPr>
            </w:pPr>
          </w:p>
        </w:tc>
        <w:tc>
          <w:tcPr>
            <w:tcW w:w="1980" w:type="dxa"/>
            <w:vAlign w:val="center"/>
          </w:tcPr>
          <w:p w14:paraId="54F90FBE" w14:textId="77777777" w:rsidR="00950C34" w:rsidRDefault="00950C34" w:rsidP="00FA7B33">
            <w:pPr>
              <w:spacing w:before="20" w:after="20"/>
              <w:jc w:val="center"/>
              <w:rPr>
                <w:noProof/>
                <w:sz w:val="20"/>
                <w:szCs w:val="20"/>
              </w:rPr>
            </w:pPr>
            <w:r>
              <w:rPr>
                <w:noProof/>
                <w:sz w:val="20"/>
                <w:szCs w:val="20"/>
              </w:rPr>
              <w:t>375,000</w:t>
            </w:r>
          </w:p>
        </w:tc>
        <w:tc>
          <w:tcPr>
            <w:tcW w:w="1699" w:type="dxa"/>
            <w:vAlign w:val="center"/>
          </w:tcPr>
          <w:p w14:paraId="71DDD332" w14:textId="77777777" w:rsidR="00950C34" w:rsidRDefault="00950C34" w:rsidP="00FA7B33">
            <w:pPr>
              <w:spacing w:before="20" w:after="20"/>
              <w:jc w:val="center"/>
              <w:rPr>
                <w:noProof/>
                <w:sz w:val="20"/>
                <w:szCs w:val="20"/>
              </w:rPr>
            </w:pPr>
            <w:r>
              <w:rPr>
                <w:noProof/>
                <w:sz w:val="20"/>
                <w:szCs w:val="20"/>
              </w:rPr>
              <w:t>376,000</w:t>
            </w:r>
          </w:p>
        </w:tc>
        <w:tc>
          <w:tcPr>
            <w:tcW w:w="1839" w:type="dxa"/>
            <w:vAlign w:val="center"/>
          </w:tcPr>
          <w:p w14:paraId="65FC29EF" w14:textId="77777777" w:rsidR="00950C34" w:rsidRDefault="00950C34" w:rsidP="00FA7B33">
            <w:pPr>
              <w:spacing w:before="20" w:after="20"/>
              <w:jc w:val="center"/>
              <w:rPr>
                <w:noProof/>
                <w:sz w:val="20"/>
                <w:szCs w:val="20"/>
              </w:rPr>
            </w:pPr>
            <w:r>
              <w:rPr>
                <w:noProof/>
                <w:sz w:val="20"/>
                <w:szCs w:val="20"/>
              </w:rPr>
              <w:t>375,000</w:t>
            </w:r>
          </w:p>
        </w:tc>
        <w:tc>
          <w:tcPr>
            <w:tcW w:w="1918" w:type="dxa"/>
            <w:vAlign w:val="center"/>
          </w:tcPr>
          <w:p w14:paraId="15E1B0EF" w14:textId="77777777" w:rsidR="00950C34" w:rsidRDefault="00950C34" w:rsidP="00FA7B33">
            <w:pPr>
              <w:spacing w:before="20" w:after="20"/>
              <w:jc w:val="center"/>
              <w:rPr>
                <w:noProof/>
                <w:sz w:val="20"/>
                <w:szCs w:val="20"/>
              </w:rPr>
            </w:pPr>
            <w:r>
              <w:rPr>
                <w:noProof/>
                <w:sz w:val="20"/>
                <w:szCs w:val="20"/>
              </w:rPr>
              <w:t>374,000</w:t>
            </w:r>
          </w:p>
        </w:tc>
        <w:tc>
          <w:tcPr>
            <w:tcW w:w="1364" w:type="dxa"/>
            <w:gridSpan w:val="2"/>
            <w:vAlign w:val="center"/>
          </w:tcPr>
          <w:p w14:paraId="0E4D8503" w14:textId="77777777" w:rsidR="00950C34" w:rsidRPr="00B055D4" w:rsidRDefault="00950C34" w:rsidP="00FA7B33">
            <w:pPr>
              <w:spacing w:before="20" w:after="20"/>
              <w:jc w:val="center"/>
              <w:rPr>
                <w:b/>
                <w:bCs/>
                <w:noProof/>
                <w:sz w:val="20"/>
                <w:szCs w:val="20"/>
              </w:rPr>
            </w:pPr>
            <w:r>
              <w:rPr>
                <w:b/>
                <w:bCs/>
                <w:noProof/>
                <w:sz w:val="20"/>
                <w:szCs w:val="20"/>
              </w:rPr>
              <w:t>1 500,000</w:t>
            </w:r>
          </w:p>
        </w:tc>
      </w:tr>
      <w:tr w:rsidR="00950C34" w14:paraId="4EC882E6" w14:textId="77777777" w:rsidTr="00FA7B33">
        <w:tblPrEx>
          <w:jc w:val="left"/>
        </w:tblPrEx>
        <w:trPr>
          <w:gridBefore w:val="1"/>
          <w:wBefore w:w="39" w:type="dxa"/>
          <w:trHeight w:val="231"/>
        </w:trPr>
        <w:tc>
          <w:tcPr>
            <w:tcW w:w="3862" w:type="dxa"/>
            <w:gridSpan w:val="6"/>
            <w:vAlign w:val="center"/>
          </w:tcPr>
          <w:p w14:paraId="154AF3F4" w14:textId="77777777" w:rsidR="00950C34" w:rsidRDefault="00950C34" w:rsidP="00FA7B33">
            <w:pPr>
              <w:spacing w:before="20" w:after="20"/>
              <w:rPr>
                <w:noProof/>
                <w:lang w:val="en-IE"/>
              </w:rPr>
            </w:pPr>
            <w:r w:rsidRPr="0E051759">
              <w:rPr>
                <w:noProof/>
                <w:sz w:val="21"/>
                <w:szCs w:val="21"/>
                <w:lang w:val="en-IE"/>
              </w:rPr>
              <w:t>Appropriations of an administrative nature financed from the envelope of specific programmes</w:t>
            </w:r>
            <w:r w:rsidRPr="0E051759">
              <w:rPr>
                <w:rStyle w:val="FootnoteReference"/>
                <w:noProof/>
                <w:sz w:val="21"/>
                <w:szCs w:val="21"/>
              </w:rPr>
              <w:footnoteReference w:id="82"/>
            </w:r>
            <w:r w:rsidRPr="0E051759">
              <w:rPr>
                <w:noProof/>
                <w:sz w:val="21"/>
                <w:szCs w:val="21"/>
                <w:lang w:val="en-IE"/>
              </w:rPr>
              <w:t xml:space="preserve"> </w:t>
            </w:r>
          </w:p>
        </w:tc>
        <w:tc>
          <w:tcPr>
            <w:tcW w:w="1480" w:type="dxa"/>
            <w:vAlign w:val="center"/>
          </w:tcPr>
          <w:p w14:paraId="777D8651" w14:textId="77777777" w:rsidR="00950C34" w:rsidRDefault="00950C34" w:rsidP="00FA7B33">
            <w:pPr>
              <w:rPr>
                <w:b/>
                <w:bCs/>
                <w:noProof/>
                <w:sz w:val="20"/>
                <w:szCs w:val="20"/>
                <w:lang w:val="en-IE"/>
              </w:rPr>
            </w:pPr>
          </w:p>
        </w:tc>
        <w:tc>
          <w:tcPr>
            <w:tcW w:w="1980" w:type="dxa"/>
            <w:vAlign w:val="center"/>
          </w:tcPr>
          <w:p w14:paraId="2596D7D9" w14:textId="77777777" w:rsidR="00950C34" w:rsidRDefault="00950C34" w:rsidP="00FA7B33">
            <w:pPr>
              <w:jc w:val="center"/>
              <w:rPr>
                <w:noProof/>
                <w:sz w:val="20"/>
                <w:szCs w:val="20"/>
                <w:lang w:val="en-IE"/>
              </w:rPr>
            </w:pPr>
            <w:r w:rsidRPr="0E051759">
              <w:rPr>
                <w:noProof/>
                <w:sz w:val="20"/>
                <w:szCs w:val="20"/>
                <w:lang w:val="en-IE"/>
              </w:rPr>
              <w:t>p.m.</w:t>
            </w:r>
          </w:p>
        </w:tc>
        <w:tc>
          <w:tcPr>
            <w:tcW w:w="1699" w:type="dxa"/>
            <w:vAlign w:val="center"/>
          </w:tcPr>
          <w:p w14:paraId="26E37494" w14:textId="77777777" w:rsidR="00950C34" w:rsidRDefault="00950C34" w:rsidP="00FA7B33">
            <w:pPr>
              <w:jc w:val="center"/>
              <w:rPr>
                <w:noProof/>
                <w:sz w:val="20"/>
                <w:szCs w:val="20"/>
                <w:lang w:val="en-IE"/>
              </w:rPr>
            </w:pPr>
            <w:r w:rsidRPr="0E051759">
              <w:rPr>
                <w:noProof/>
                <w:sz w:val="20"/>
                <w:szCs w:val="20"/>
                <w:lang w:val="en-IE"/>
              </w:rPr>
              <w:t>p.m.</w:t>
            </w:r>
          </w:p>
        </w:tc>
        <w:tc>
          <w:tcPr>
            <w:tcW w:w="1839" w:type="dxa"/>
            <w:vAlign w:val="center"/>
          </w:tcPr>
          <w:p w14:paraId="7EFC15F2" w14:textId="77777777" w:rsidR="00950C34" w:rsidRDefault="00950C34" w:rsidP="00FA7B33">
            <w:pPr>
              <w:jc w:val="center"/>
              <w:rPr>
                <w:noProof/>
                <w:sz w:val="20"/>
                <w:szCs w:val="20"/>
                <w:lang w:val="en-IE"/>
              </w:rPr>
            </w:pPr>
            <w:r w:rsidRPr="0E051759">
              <w:rPr>
                <w:noProof/>
                <w:sz w:val="20"/>
                <w:szCs w:val="20"/>
                <w:lang w:val="en-IE"/>
              </w:rPr>
              <w:t>p.m.</w:t>
            </w:r>
          </w:p>
        </w:tc>
        <w:tc>
          <w:tcPr>
            <w:tcW w:w="1918" w:type="dxa"/>
            <w:vAlign w:val="center"/>
          </w:tcPr>
          <w:p w14:paraId="27E2F05B" w14:textId="77777777" w:rsidR="00950C34" w:rsidRDefault="00950C34" w:rsidP="00FA7B33">
            <w:pPr>
              <w:jc w:val="center"/>
              <w:rPr>
                <w:b/>
                <w:bCs/>
                <w:noProof/>
                <w:sz w:val="20"/>
                <w:szCs w:val="20"/>
                <w:lang w:val="en-IE"/>
              </w:rPr>
            </w:pPr>
            <w:r w:rsidRPr="0E051759">
              <w:rPr>
                <w:noProof/>
                <w:sz w:val="20"/>
                <w:szCs w:val="20"/>
                <w:lang w:val="en-IE"/>
              </w:rPr>
              <w:t>p.m.</w:t>
            </w:r>
          </w:p>
        </w:tc>
        <w:tc>
          <w:tcPr>
            <w:tcW w:w="1364" w:type="dxa"/>
            <w:gridSpan w:val="2"/>
            <w:vAlign w:val="center"/>
          </w:tcPr>
          <w:p w14:paraId="482BAE3F" w14:textId="77777777" w:rsidR="00950C34" w:rsidRDefault="00950C34" w:rsidP="00FA7B33">
            <w:pPr>
              <w:jc w:val="center"/>
              <w:rPr>
                <w:b/>
                <w:bCs/>
                <w:noProof/>
                <w:sz w:val="20"/>
                <w:szCs w:val="20"/>
                <w:lang w:val="en-IE"/>
              </w:rPr>
            </w:pPr>
          </w:p>
        </w:tc>
      </w:tr>
      <w:tr w:rsidR="00950C34" w14:paraId="6A711426" w14:textId="77777777" w:rsidTr="00FA7B33">
        <w:tblPrEx>
          <w:jc w:val="left"/>
        </w:tblPrEx>
        <w:trPr>
          <w:gridBefore w:val="1"/>
          <w:wBefore w:w="39" w:type="dxa"/>
          <w:trHeight w:val="300"/>
        </w:trPr>
        <w:tc>
          <w:tcPr>
            <w:tcW w:w="1853" w:type="dxa"/>
            <w:vMerge w:val="restart"/>
            <w:vAlign w:val="center"/>
          </w:tcPr>
          <w:p w14:paraId="7D528D7D" w14:textId="77777777" w:rsidR="00950C34" w:rsidRDefault="00950C34" w:rsidP="00FA7B33">
            <w:pPr>
              <w:jc w:val="center"/>
              <w:rPr>
                <w:rFonts w:eastAsiaTheme="minorEastAsia"/>
                <w:b/>
                <w:bCs/>
                <w:noProof/>
                <w:sz w:val="22"/>
              </w:rPr>
            </w:pPr>
            <w:r w:rsidRPr="0E051759">
              <w:rPr>
                <w:b/>
                <w:bCs/>
                <w:noProof/>
                <w:sz w:val="22"/>
              </w:rPr>
              <w:t>TOTAL appropriations</w:t>
            </w:r>
            <w:r>
              <w:rPr>
                <w:noProof/>
              </w:rPr>
              <w:br/>
            </w:r>
            <w:r w:rsidRPr="0E051759">
              <w:rPr>
                <w:b/>
                <w:bCs/>
                <w:noProof/>
                <w:sz w:val="22"/>
              </w:rPr>
              <w:t xml:space="preserve">for </w:t>
            </w:r>
            <w:r>
              <w:rPr>
                <w:b/>
                <w:bCs/>
                <w:noProof/>
                <w:sz w:val="22"/>
              </w:rPr>
              <w:t>European Defence Fund</w:t>
            </w:r>
          </w:p>
        </w:tc>
        <w:tc>
          <w:tcPr>
            <w:tcW w:w="1259" w:type="dxa"/>
            <w:gridSpan w:val="3"/>
            <w:vAlign w:val="center"/>
          </w:tcPr>
          <w:p w14:paraId="630AEFBE" w14:textId="77777777" w:rsidR="00950C34" w:rsidRDefault="00950C34" w:rsidP="00FA7B33">
            <w:pPr>
              <w:rPr>
                <w:noProof/>
                <w:sz w:val="18"/>
                <w:szCs w:val="18"/>
              </w:rPr>
            </w:pPr>
            <w:r w:rsidRPr="0E051759">
              <w:rPr>
                <w:noProof/>
                <w:sz w:val="18"/>
                <w:szCs w:val="18"/>
              </w:rPr>
              <w:t>Commitments</w:t>
            </w:r>
          </w:p>
        </w:tc>
        <w:tc>
          <w:tcPr>
            <w:tcW w:w="750" w:type="dxa"/>
            <w:gridSpan w:val="2"/>
            <w:vAlign w:val="center"/>
          </w:tcPr>
          <w:p w14:paraId="359C2544" w14:textId="77777777" w:rsidR="00950C34" w:rsidRDefault="00950C34" w:rsidP="00FA7B33">
            <w:pPr>
              <w:jc w:val="center"/>
              <w:rPr>
                <w:noProof/>
                <w:sz w:val="14"/>
                <w:szCs w:val="14"/>
              </w:rPr>
            </w:pPr>
            <w:r w:rsidRPr="0E051759">
              <w:rPr>
                <w:noProof/>
                <w:sz w:val="14"/>
                <w:szCs w:val="14"/>
              </w:rPr>
              <w:t>=1a+1b +3</w:t>
            </w:r>
          </w:p>
        </w:tc>
        <w:tc>
          <w:tcPr>
            <w:tcW w:w="1480" w:type="dxa"/>
            <w:vAlign w:val="center"/>
          </w:tcPr>
          <w:p w14:paraId="424E61FE" w14:textId="77777777" w:rsidR="00950C34" w:rsidRDefault="00950C34" w:rsidP="00FA7B33">
            <w:pPr>
              <w:spacing w:before="20" w:after="20"/>
              <w:jc w:val="right"/>
              <w:rPr>
                <w:noProof/>
                <w:sz w:val="20"/>
                <w:szCs w:val="20"/>
              </w:rPr>
            </w:pPr>
          </w:p>
        </w:tc>
        <w:tc>
          <w:tcPr>
            <w:tcW w:w="1980" w:type="dxa"/>
            <w:vAlign w:val="center"/>
          </w:tcPr>
          <w:p w14:paraId="54122144" w14:textId="77777777" w:rsidR="00950C34" w:rsidRDefault="00950C34" w:rsidP="00FA7B33">
            <w:pPr>
              <w:spacing w:before="20" w:after="20"/>
              <w:jc w:val="center"/>
              <w:rPr>
                <w:noProof/>
                <w:sz w:val="20"/>
                <w:szCs w:val="20"/>
              </w:rPr>
            </w:pPr>
            <w:r>
              <w:rPr>
                <w:noProof/>
                <w:sz w:val="20"/>
                <w:szCs w:val="20"/>
              </w:rPr>
              <w:t>375,000</w:t>
            </w:r>
          </w:p>
        </w:tc>
        <w:tc>
          <w:tcPr>
            <w:tcW w:w="1699" w:type="dxa"/>
            <w:vAlign w:val="center"/>
          </w:tcPr>
          <w:p w14:paraId="56931F4B" w14:textId="77777777" w:rsidR="00950C34" w:rsidRDefault="00950C34" w:rsidP="00FA7B33">
            <w:pPr>
              <w:spacing w:before="20" w:after="20"/>
              <w:jc w:val="center"/>
              <w:rPr>
                <w:noProof/>
                <w:sz w:val="20"/>
                <w:szCs w:val="20"/>
              </w:rPr>
            </w:pPr>
            <w:r>
              <w:rPr>
                <w:noProof/>
                <w:sz w:val="20"/>
                <w:szCs w:val="20"/>
              </w:rPr>
              <w:t>375,000</w:t>
            </w:r>
          </w:p>
        </w:tc>
        <w:tc>
          <w:tcPr>
            <w:tcW w:w="1839" w:type="dxa"/>
            <w:vAlign w:val="center"/>
          </w:tcPr>
          <w:p w14:paraId="6524682B" w14:textId="77777777" w:rsidR="00950C34" w:rsidRDefault="00950C34" w:rsidP="00FA7B33">
            <w:pPr>
              <w:spacing w:before="20" w:after="20"/>
              <w:jc w:val="center"/>
              <w:rPr>
                <w:noProof/>
                <w:sz w:val="20"/>
                <w:szCs w:val="20"/>
              </w:rPr>
            </w:pPr>
            <w:r>
              <w:rPr>
                <w:noProof/>
                <w:sz w:val="20"/>
                <w:szCs w:val="20"/>
              </w:rPr>
              <w:t>375,000</w:t>
            </w:r>
          </w:p>
        </w:tc>
        <w:tc>
          <w:tcPr>
            <w:tcW w:w="1918" w:type="dxa"/>
            <w:vAlign w:val="center"/>
          </w:tcPr>
          <w:p w14:paraId="40BD375A" w14:textId="77777777" w:rsidR="00950C34" w:rsidRDefault="00950C34" w:rsidP="00FA7B33">
            <w:pPr>
              <w:spacing w:before="20" w:after="20"/>
              <w:jc w:val="center"/>
              <w:rPr>
                <w:b/>
                <w:bCs/>
                <w:noProof/>
                <w:sz w:val="20"/>
                <w:szCs w:val="20"/>
              </w:rPr>
            </w:pPr>
            <w:r>
              <w:rPr>
                <w:noProof/>
                <w:sz w:val="20"/>
                <w:szCs w:val="20"/>
              </w:rPr>
              <w:t>375,000</w:t>
            </w:r>
          </w:p>
        </w:tc>
        <w:tc>
          <w:tcPr>
            <w:tcW w:w="1364" w:type="dxa"/>
            <w:gridSpan w:val="2"/>
            <w:vAlign w:val="center"/>
          </w:tcPr>
          <w:p w14:paraId="36014998" w14:textId="77777777" w:rsidR="00950C34" w:rsidRPr="00334F51" w:rsidRDefault="00950C34" w:rsidP="00FA7B33">
            <w:pPr>
              <w:spacing w:before="20" w:after="20"/>
              <w:jc w:val="center"/>
              <w:rPr>
                <w:b/>
                <w:bCs/>
                <w:noProof/>
                <w:sz w:val="20"/>
                <w:szCs w:val="20"/>
              </w:rPr>
            </w:pPr>
            <w:r>
              <w:rPr>
                <w:b/>
                <w:bCs/>
                <w:noProof/>
                <w:sz w:val="20"/>
                <w:szCs w:val="20"/>
              </w:rPr>
              <w:t>1 500,000</w:t>
            </w:r>
          </w:p>
        </w:tc>
      </w:tr>
      <w:tr w:rsidR="00950C34" w14:paraId="72DAD5B0" w14:textId="77777777" w:rsidTr="00FA7B33">
        <w:tblPrEx>
          <w:jc w:val="left"/>
        </w:tblPrEx>
        <w:trPr>
          <w:gridBefore w:val="1"/>
          <w:wBefore w:w="39" w:type="dxa"/>
          <w:trHeight w:val="705"/>
        </w:trPr>
        <w:tc>
          <w:tcPr>
            <w:tcW w:w="1853" w:type="dxa"/>
            <w:vMerge/>
          </w:tcPr>
          <w:p w14:paraId="0F1EDE09" w14:textId="77777777" w:rsidR="00950C34" w:rsidRDefault="00950C34" w:rsidP="00FA7B33">
            <w:pPr>
              <w:rPr>
                <w:noProof/>
              </w:rPr>
            </w:pPr>
          </w:p>
        </w:tc>
        <w:tc>
          <w:tcPr>
            <w:tcW w:w="1259" w:type="dxa"/>
            <w:gridSpan w:val="3"/>
            <w:vAlign w:val="center"/>
          </w:tcPr>
          <w:p w14:paraId="2E38A5C9" w14:textId="77777777" w:rsidR="00950C34" w:rsidRDefault="00950C34" w:rsidP="00FA7B33">
            <w:pPr>
              <w:rPr>
                <w:noProof/>
                <w:sz w:val="18"/>
                <w:szCs w:val="18"/>
              </w:rPr>
            </w:pPr>
            <w:r w:rsidRPr="0E051759">
              <w:rPr>
                <w:noProof/>
                <w:sz w:val="18"/>
                <w:szCs w:val="18"/>
              </w:rPr>
              <w:t>Payments</w:t>
            </w:r>
          </w:p>
        </w:tc>
        <w:tc>
          <w:tcPr>
            <w:tcW w:w="750" w:type="dxa"/>
            <w:gridSpan w:val="2"/>
            <w:vAlign w:val="center"/>
          </w:tcPr>
          <w:p w14:paraId="4E3CD16E" w14:textId="77777777" w:rsidR="00950C34" w:rsidRDefault="00950C34" w:rsidP="00FA7B33">
            <w:pPr>
              <w:jc w:val="center"/>
              <w:rPr>
                <w:noProof/>
                <w:sz w:val="14"/>
                <w:szCs w:val="14"/>
              </w:rPr>
            </w:pPr>
            <w:r w:rsidRPr="0E051759">
              <w:rPr>
                <w:noProof/>
                <w:sz w:val="14"/>
                <w:szCs w:val="14"/>
              </w:rPr>
              <w:t>=2a+2b</w:t>
            </w:r>
          </w:p>
          <w:p w14:paraId="0E3B58C2" w14:textId="77777777" w:rsidR="00950C34" w:rsidRDefault="00950C34" w:rsidP="00FA7B33">
            <w:pPr>
              <w:jc w:val="center"/>
              <w:rPr>
                <w:noProof/>
                <w:sz w:val="14"/>
                <w:szCs w:val="14"/>
              </w:rPr>
            </w:pPr>
            <w:r w:rsidRPr="0E051759">
              <w:rPr>
                <w:noProof/>
                <w:sz w:val="14"/>
                <w:szCs w:val="14"/>
              </w:rPr>
              <w:t>+3</w:t>
            </w:r>
          </w:p>
        </w:tc>
        <w:tc>
          <w:tcPr>
            <w:tcW w:w="1480" w:type="dxa"/>
            <w:vAlign w:val="center"/>
          </w:tcPr>
          <w:p w14:paraId="15C8BE41" w14:textId="77777777" w:rsidR="00950C34" w:rsidRDefault="00950C34" w:rsidP="00FA7B33">
            <w:pPr>
              <w:spacing w:before="20" w:after="20"/>
              <w:jc w:val="right"/>
              <w:rPr>
                <w:noProof/>
                <w:sz w:val="20"/>
                <w:szCs w:val="20"/>
              </w:rPr>
            </w:pPr>
          </w:p>
        </w:tc>
        <w:tc>
          <w:tcPr>
            <w:tcW w:w="1980" w:type="dxa"/>
            <w:vAlign w:val="center"/>
          </w:tcPr>
          <w:p w14:paraId="51378ACB" w14:textId="77777777" w:rsidR="00950C34" w:rsidRDefault="00950C34" w:rsidP="00FA7B33">
            <w:pPr>
              <w:spacing w:before="20" w:after="20"/>
              <w:jc w:val="center"/>
              <w:rPr>
                <w:noProof/>
                <w:sz w:val="20"/>
                <w:szCs w:val="20"/>
              </w:rPr>
            </w:pPr>
            <w:r>
              <w:rPr>
                <w:noProof/>
                <w:sz w:val="20"/>
                <w:szCs w:val="20"/>
              </w:rPr>
              <w:t>375,000</w:t>
            </w:r>
          </w:p>
        </w:tc>
        <w:tc>
          <w:tcPr>
            <w:tcW w:w="1699" w:type="dxa"/>
            <w:vAlign w:val="center"/>
          </w:tcPr>
          <w:p w14:paraId="5AD47D03" w14:textId="77777777" w:rsidR="00950C34" w:rsidRDefault="00950C34" w:rsidP="00FA7B33">
            <w:pPr>
              <w:spacing w:before="20" w:after="20"/>
              <w:jc w:val="center"/>
              <w:rPr>
                <w:noProof/>
                <w:sz w:val="20"/>
                <w:szCs w:val="20"/>
              </w:rPr>
            </w:pPr>
            <w:r>
              <w:rPr>
                <w:noProof/>
                <w:sz w:val="20"/>
                <w:szCs w:val="20"/>
              </w:rPr>
              <w:t>376,000</w:t>
            </w:r>
          </w:p>
        </w:tc>
        <w:tc>
          <w:tcPr>
            <w:tcW w:w="1839" w:type="dxa"/>
            <w:vAlign w:val="center"/>
          </w:tcPr>
          <w:p w14:paraId="24CCD22E" w14:textId="77777777" w:rsidR="00950C34" w:rsidRDefault="00950C34" w:rsidP="00FA7B33">
            <w:pPr>
              <w:spacing w:before="20" w:after="20"/>
              <w:jc w:val="center"/>
              <w:rPr>
                <w:noProof/>
                <w:sz w:val="20"/>
                <w:szCs w:val="20"/>
              </w:rPr>
            </w:pPr>
            <w:r>
              <w:rPr>
                <w:noProof/>
                <w:sz w:val="20"/>
                <w:szCs w:val="20"/>
              </w:rPr>
              <w:t>375,000</w:t>
            </w:r>
          </w:p>
        </w:tc>
        <w:tc>
          <w:tcPr>
            <w:tcW w:w="1918" w:type="dxa"/>
            <w:vAlign w:val="center"/>
          </w:tcPr>
          <w:p w14:paraId="60A7EC60" w14:textId="77777777" w:rsidR="00950C34" w:rsidRDefault="00950C34" w:rsidP="00FA7B33">
            <w:pPr>
              <w:spacing w:before="20" w:after="20"/>
              <w:jc w:val="center"/>
              <w:rPr>
                <w:noProof/>
                <w:sz w:val="20"/>
                <w:szCs w:val="20"/>
              </w:rPr>
            </w:pPr>
            <w:r>
              <w:rPr>
                <w:noProof/>
                <w:sz w:val="20"/>
                <w:szCs w:val="20"/>
              </w:rPr>
              <w:t>374,000</w:t>
            </w:r>
          </w:p>
        </w:tc>
        <w:tc>
          <w:tcPr>
            <w:tcW w:w="1364" w:type="dxa"/>
            <w:gridSpan w:val="2"/>
            <w:vAlign w:val="center"/>
          </w:tcPr>
          <w:p w14:paraId="25240B86" w14:textId="77777777" w:rsidR="00950C34" w:rsidRPr="00334F51" w:rsidRDefault="00950C34" w:rsidP="00FA7B33">
            <w:pPr>
              <w:spacing w:before="20" w:after="20"/>
              <w:jc w:val="center"/>
              <w:rPr>
                <w:b/>
                <w:bCs/>
                <w:noProof/>
                <w:sz w:val="20"/>
                <w:szCs w:val="20"/>
              </w:rPr>
            </w:pPr>
            <w:r>
              <w:rPr>
                <w:b/>
                <w:bCs/>
                <w:noProof/>
                <w:sz w:val="20"/>
                <w:szCs w:val="20"/>
              </w:rPr>
              <w:t>1 500,000</w:t>
            </w:r>
          </w:p>
        </w:tc>
      </w:tr>
    </w:tbl>
    <w:p w14:paraId="5044C21D" w14:textId="77777777" w:rsidR="00950C34" w:rsidRPr="00C132FC" w:rsidRDefault="00950C34" w:rsidP="00950C34">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rsidR="00950C34" w14:paraId="71EA9A49" w14:textId="77777777" w:rsidTr="00FA7B33">
        <w:trPr>
          <w:trHeight w:val="277"/>
        </w:trPr>
        <w:tc>
          <w:tcPr>
            <w:tcW w:w="3960" w:type="dxa"/>
            <w:vMerge w:val="restart"/>
            <w:vAlign w:val="center"/>
          </w:tcPr>
          <w:p w14:paraId="78D7B211" w14:textId="77777777" w:rsidR="00950C34" w:rsidRDefault="00950C34" w:rsidP="00FA7B33">
            <w:pPr>
              <w:spacing w:before="20" w:after="20"/>
              <w:rPr>
                <w:noProof/>
              </w:rPr>
            </w:pPr>
            <w:r>
              <w:rPr>
                <w:noProof/>
                <w:sz w:val="22"/>
              </w:rPr>
              <w:br w:type="page"/>
            </w:r>
            <w:r>
              <w:rPr>
                <w:rFonts w:ascii="Wingdings" w:eastAsia="Wingdings" w:hAnsi="Wingdings" w:cs="Wingdings"/>
                <w:noProof/>
                <w:sz w:val="21"/>
              </w:rPr>
              <w:t>□</w:t>
            </w:r>
            <w:r>
              <w:rPr>
                <w:noProof/>
                <w:sz w:val="21"/>
              </w:rPr>
              <w:t xml:space="preserve"> TOTAL operational appropriations </w:t>
            </w:r>
          </w:p>
        </w:tc>
        <w:tc>
          <w:tcPr>
            <w:tcW w:w="1440" w:type="dxa"/>
            <w:vAlign w:val="center"/>
          </w:tcPr>
          <w:p w14:paraId="05D726B9" w14:textId="77777777" w:rsidR="00950C34" w:rsidRDefault="00950C34" w:rsidP="00FA7B33">
            <w:pPr>
              <w:spacing w:beforeLines="20" w:before="48" w:afterLines="20" w:after="48"/>
              <w:rPr>
                <w:noProof/>
                <w:sz w:val="18"/>
              </w:rPr>
            </w:pPr>
            <w:r>
              <w:rPr>
                <w:noProof/>
                <w:sz w:val="18"/>
              </w:rPr>
              <w:t>Commitments</w:t>
            </w:r>
          </w:p>
        </w:tc>
        <w:tc>
          <w:tcPr>
            <w:tcW w:w="654" w:type="dxa"/>
            <w:vAlign w:val="center"/>
          </w:tcPr>
          <w:p w14:paraId="29F53417" w14:textId="77777777" w:rsidR="00950C34" w:rsidRDefault="00950C34" w:rsidP="00FA7B33">
            <w:pPr>
              <w:spacing w:beforeLines="20" w:before="48" w:afterLines="20" w:after="48"/>
              <w:jc w:val="center"/>
              <w:rPr>
                <w:noProof/>
                <w:sz w:val="14"/>
              </w:rPr>
            </w:pPr>
            <w:r>
              <w:rPr>
                <w:noProof/>
                <w:sz w:val="14"/>
              </w:rPr>
              <w:t>(4)</w:t>
            </w:r>
          </w:p>
        </w:tc>
        <w:tc>
          <w:tcPr>
            <w:tcW w:w="868" w:type="dxa"/>
            <w:vAlign w:val="center"/>
          </w:tcPr>
          <w:p w14:paraId="3EDC28A1" w14:textId="77777777" w:rsidR="00950C34" w:rsidRDefault="00950C34" w:rsidP="00FA7B33">
            <w:pPr>
              <w:spacing w:before="20" w:after="20"/>
              <w:jc w:val="right"/>
              <w:rPr>
                <w:noProof/>
                <w:sz w:val="20"/>
              </w:rPr>
            </w:pPr>
          </w:p>
        </w:tc>
        <w:tc>
          <w:tcPr>
            <w:tcW w:w="868" w:type="dxa"/>
            <w:vAlign w:val="center"/>
          </w:tcPr>
          <w:p w14:paraId="1F0F6CE6" w14:textId="77777777" w:rsidR="00950C34" w:rsidRDefault="00950C34" w:rsidP="00FA7B33">
            <w:pPr>
              <w:spacing w:before="20" w:after="20"/>
              <w:jc w:val="right"/>
              <w:rPr>
                <w:noProof/>
                <w:sz w:val="20"/>
              </w:rPr>
            </w:pPr>
          </w:p>
        </w:tc>
        <w:tc>
          <w:tcPr>
            <w:tcW w:w="868" w:type="dxa"/>
            <w:vAlign w:val="center"/>
          </w:tcPr>
          <w:p w14:paraId="2DD1872D" w14:textId="77777777" w:rsidR="00950C34" w:rsidRDefault="00950C34" w:rsidP="00FA7B33">
            <w:pPr>
              <w:spacing w:before="20" w:after="20"/>
              <w:jc w:val="right"/>
              <w:rPr>
                <w:noProof/>
                <w:sz w:val="20"/>
              </w:rPr>
            </w:pPr>
          </w:p>
        </w:tc>
        <w:tc>
          <w:tcPr>
            <w:tcW w:w="868" w:type="dxa"/>
            <w:vAlign w:val="center"/>
          </w:tcPr>
          <w:p w14:paraId="5A3B9819" w14:textId="77777777" w:rsidR="00950C34" w:rsidRDefault="00950C34" w:rsidP="00FA7B33">
            <w:pPr>
              <w:spacing w:before="20" w:after="20"/>
              <w:jc w:val="right"/>
              <w:rPr>
                <w:noProof/>
                <w:sz w:val="20"/>
              </w:rPr>
            </w:pPr>
          </w:p>
        </w:tc>
        <w:tc>
          <w:tcPr>
            <w:tcW w:w="868" w:type="dxa"/>
            <w:vAlign w:val="center"/>
          </w:tcPr>
          <w:p w14:paraId="3B46CD40" w14:textId="77777777" w:rsidR="00950C34" w:rsidRDefault="00950C34" w:rsidP="00FA7B33">
            <w:pPr>
              <w:spacing w:before="20" w:after="20"/>
              <w:jc w:val="right"/>
              <w:rPr>
                <w:noProof/>
                <w:sz w:val="20"/>
              </w:rPr>
            </w:pPr>
          </w:p>
        </w:tc>
        <w:tc>
          <w:tcPr>
            <w:tcW w:w="868" w:type="dxa"/>
            <w:vAlign w:val="center"/>
          </w:tcPr>
          <w:p w14:paraId="263CE5BF" w14:textId="77777777" w:rsidR="00950C34" w:rsidRDefault="00950C34" w:rsidP="00FA7B33">
            <w:pPr>
              <w:spacing w:before="20" w:after="20"/>
              <w:jc w:val="right"/>
              <w:rPr>
                <w:noProof/>
                <w:sz w:val="20"/>
              </w:rPr>
            </w:pPr>
          </w:p>
        </w:tc>
        <w:tc>
          <w:tcPr>
            <w:tcW w:w="868" w:type="dxa"/>
            <w:vAlign w:val="center"/>
          </w:tcPr>
          <w:p w14:paraId="09468D88" w14:textId="77777777" w:rsidR="00950C34" w:rsidRDefault="00950C34" w:rsidP="00FA7B33">
            <w:pPr>
              <w:spacing w:before="20" w:after="20"/>
              <w:jc w:val="right"/>
              <w:rPr>
                <w:b/>
                <w:noProof/>
                <w:sz w:val="20"/>
              </w:rPr>
            </w:pPr>
          </w:p>
        </w:tc>
        <w:tc>
          <w:tcPr>
            <w:tcW w:w="1777" w:type="dxa"/>
            <w:vAlign w:val="center"/>
          </w:tcPr>
          <w:p w14:paraId="72B05645" w14:textId="77777777" w:rsidR="00950C34" w:rsidRDefault="00950C34" w:rsidP="00FA7B33">
            <w:pPr>
              <w:spacing w:before="20" w:after="20"/>
              <w:jc w:val="right"/>
              <w:rPr>
                <w:b/>
                <w:noProof/>
                <w:sz w:val="20"/>
              </w:rPr>
            </w:pPr>
          </w:p>
        </w:tc>
      </w:tr>
      <w:tr w:rsidR="00950C34" w14:paraId="604AC1C0" w14:textId="77777777" w:rsidTr="00FA7B33">
        <w:tc>
          <w:tcPr>
            <w:tcW w:w="3960" w:type="dxa"/>
            <w:vMerge/>
          </w:tcPr>
          <w:p w14:paraId="502DE139" w14:textId="77777777" w:rsidR="00950C34" w:rsidRDefault="00950C34" w:rsidP="00FA7B33">
            <w:pPr>
              <w:jc w:val="center"/>
              <w:rPr>
                <w:noProof/>
                <w:sz w:val="20"/>
              </w:rPr>
            </w:pPr>
          </w:p>
        </w:tc>
        <w:tc>
          <w:tcPr>
            <w:tcW w:w="1440" w:type="dxa"/>
            <w:vAlign w:val="center"/>
          </w:tcPr>
          <w:p w14:paraId="0B26278B" w14:textId="77777777" w:rsidR="00950C34" w:rsidRDefault="00950C34" w:rsidP="00FA7B33">
            <w:pPr>
              <w:spacing w:beforeLines="20" w:before="48" w:afterLines="20" w:after="48"/>
              <w:rPr>
                <w:noProof/>
                <w:sz w:val="18"/>
              </w:rPr>
            </w:pPr>
            <w:r>
              <w:rPr>
                <w:noProof/>
                <w:sz w:val="18"/>
              </w:rPr>
              <w:t>Payments</w:t>
            </w:r>
          </w:p>
        </w:tc>
        <w:tc>
          <w:tcPr>
            <w:tcW w:w="654" w:type="dxa"/>
            <w:vAlign w:val="center"/>
          </w:tcPr>
          <w:p w14:paraId="51C7BF2F" w14:textId="77777777" w:rsidR="00950C34" w:rsidRDefault="00950C34" w:rsidP="00FA7B33">
            <w:pPr>
              <w:spacing w:beforeLines="20" w:before="48" w:afterLines="20" w:after="48"/>
              <w:jc w:val="center"/>
              <w:rPr>
                <w:noProof/>
                <w:sz w:val="14"/>
              </w:rPr>
            </w:pPr>
            <w:r>
              <w:rPr>
                <w:noProof/>
                <w:sz w:val="14"/>
              </w:rPr>
              <w:t>(5)</w:t>
            </w:r>
          </w:p>
        </w:tc>
        <w:tc>
          <w:tcPr>
            <w:tcW w:w="868" w:type="dxa"/>
            <w:vAlign w:val="center"/>
          </w:tcPr>
          <w:p w14:paraId="76FE570C" w14:textId="77777777" w:rsidR="00950C34" w:rsidRDefault="00950C34" w:rsidP="00FA7B33">
            <w:pPr>
              <w:spacing w:before="20" w:after="20"/>
              <w:jc w:val="right"/>
              <w:rPr>
                <w:noProof/>
                <w:sz w:val="20"/>
              </w:rPr>
            </w:pPr>
          </w:p>
        </w:tc>
        <w:tc>
          <w:tcPr>
            <w:tcW w:w="868" w:type="dxa"/>
            <w:vAlign w:val="center"/>
          </w:tcPr>
          <w:p w14:paraId="165E538F" w14:textId="77777777" w:rsidR="00950C34" w:rsidRDefault="00950C34" w:rsidP="00FA7B33">
            <w:pPr>
              <w:spacing w:before="20" w:after="20"/>
              <w:jc w:val="right"/>
              <w:rPr>
                <w:noProof/>
                <w:sz w:val="20"/>
              </w:rPr>
            </w:pPr>
          </w:p>
        </w:tc>
        <w:tc>
          <w:tcPr>
            <w:tcW w:w="868" w:type="dxa"/>
            <w:vAlign w:val="center"/>
          </w:tcPr>
          <w:p w14:paraId="3BB85384" w14:textId="77777777" w:rsidR="00950C34" w:rsidRDefault="00950C34" w:rsidP="00FA7B33">
            <w:pPr>
              <w:spacing w:before="20" w:after="20"/>
              <w:jc w:val="right"/>
              <w:rPr>
                <w:noProof/>
                <w:sz w:val="20"/>
              </w:rPr>
            </w:pPr>
          </w:p>
        </w:tc>
        <w:tc>
          <w:tcPr>
            <w:tcW w:w="868" w:type="dxa"/>
            <w:vAlign w:val="center"/>
          </w:tcPr>
          <w:p w14:paraId="2968BC22" w14:textId="77777777" w:rsidR="00950C34" w:rsidRDefault="00950C34" w:rsidP="00FA7B33">
            <w:pPr>
              <w:spacing w:before="20" w:after="20"/>
              <w:jc w:val="right"/>
              <w:rPr>
                <w:noProof/>
                <w:sz w:val="20"/>
              </w:rPr>
            </w:pPr>
          </w:p>
        </w:tc>
        <w:tc>
          <w:tcPr>
            <w:tcW w:w="868" w:type="dxa"/>
            <w:vAlign w:val="center"/>
          </w:tcPr>
          <w:p w14:paraId="32061B46" w14:textId="77777777" w:rsidR="00950C34" w:rsidRDefault="00950C34" w:rsidP="00FA7B33">
            <w:pPr>
              <w:spacing w:before="20" w:after="20"/>
              <w:jc w:val="right"/>
              <w:rPr>
                <w:noProof/>
                <w:sz w:val="20"/>
              </w:rPr>
            </w:pPr>
          </w:p>
        </w:tc>
        <w:tc>
          <w:tcPr>
            <w:tcW w:w="868" w:type="dxa"/>
            <w:vAlign w:val="center"/>
          </w:tcPr>
          <w:p w14:paraId="2F512BBD" w14:textId="77777777" w:rsidR="00950C34" w:rsidRDefault="00950C34" w:rsidP="00FA7B33">
            <w:pPr>
              <w:spacing w:before="20" w:after="20"/>
              <w:jc w:val="right"/>
              <w:rPr>
                <w:noProof/>
                <w:sz w:val="20"/>
              </w:rPr>
            </w:pPr>
          </w:p>
        </w:tc>
        <w:tc>
          <w:tcPr>
            <w:tcW w:w="868" w:type="dxa"/>
            <w:vAlign w:val="center"/>
          </w:tcPr>
          <w:p w14:paraId="5807CD4C" w14:textId="77777777" w:rsidR="00950C34" w:rsidRDefault="00950C34" w:rsidP="00FA7B33">
            <w:pPr>
              <w:spacing w:before="20" w:after="20"/>
              <w:jc w:val="right"/>
              <w:rPr>
                <w:b/>
                <w:noProof/>
                <w:sz w:val="20"/>
              </w:rPr>
            </w:pPr>
          </w:p>
        </w:tc>
        <w:tc>
          <w:tcPr>
            <w:tcW w:w="1777" w:type="dxa"/>
            <w:vAlign w:val="center"/>
          </w:tcPr>
          <w:p w14:paraId="3E5BBC12" w14:textId="77777777" w:rsidR="00950C34" w:rsidRDefault="00950C34" w:rsidP="00FA7B33">
            <w:pPr>
              <w:spacing w:before="20" w:after="20"/>
              <w:jc w:val="right"/>
              <w:rPr>
                <w:b/>
                <w:noProof/>
                <w:sz w:val="20"/>
              </w:rPr>
            </w:pPr>
          </w:p>
        </w:tc>
      </w:tr>
      <w:tr w:rsidR="00950C34" w14:paraId="6D0AE824" w14:textId="77777777" w:rsidTr="00FA7B33">
        <w:trPr>
          <w:trHeight w:val="533"/>
        </w:trPr>
        <w:tc>
          <w:tcPr>
            <w:tcW w:w="5400" w:type="dxa"/>
            <w:gridSpan w:val="2"/>
            <w:vAlign w:val="center"/>
          </w:tcPr>
          <w:p w14:paraId="2EF7B9F8" w14:textId="77777777" w:rsidR="00950C34" w:rsidRPr="003A769F" w:rsidRDefault="00950C34" w:rsidP="00FA7B33">
            <w:pPr>
              <w:spacing w:beforeLines="20" w:before="48" w:afterLines="20" w:after="48"/>
              <w:rPr>
                <w:noProof/>
                <w:lang w:val="en-IE"/>
              </w:rPr>
            </w:pPr>
            <w:r>
              <w:rPr>
                <w:rFonts w:ascii="Wingdings" w:eastAsia="Wingdings" w:hAnsi="Wingdings" w:cs="Wingdings"/>
                <w:noProof/>
                <w:sz w:val="21"/>
              </w:rPr>
              <w:t>□</w:t>
            </w:r>
            <w:r w:rsidRPr="003A769F">
              <w:rPr>
                <w:noProof/>
                <w:sz w:val="21"/>
                <w:lang w:val="en-IE"/>
              </w:rPr>
              <w:t xml:space="preserve"> TOTAL appropriations of an administrative nature financed from the envelope for specific programmes </w:t>
            </w:r>
          </w:p>
        </w:tc>
        <w:tc>
          <w:tcPr>
            <w:tcW w:w="654" w:type="dxa"/>
            <w:vAlign w:val="center"/>
          </w:tcPr>
          <w:p w14:paraId="70A6230D" w14:textId="77777777" w:rsidR="00950C34" w:rsidRDefault="00950C34" w:rsidP="00FA7B33">
            <w:pPr>
              <w:spacing w:beforeLines="20" w:before="48" w:afterLines="20" w:after="48"/>
              <w:jc w:val="center"/>
              <w:rPr>
                <w:noProof/>
                <w:sz w:val="14"/>
              </w:rPr>
            </w:pPr>
            <w:r>
              <w:rPr>
                <w:noProof/>
                <w:sz w:val="14"/>
              </w:rPr>
              <w:t>(6)</w:t>
            </w:r>
          </w:p>
        </w:tc>
        <w:tc>
          <w:tcPr>
            <w:tcW w:w="868" w:type="dxa"/>
            <w:vAlign w:val="center"/>
          </w:tcPr>
          <w:p w14:paraId="309BA043" w14:textId="77777777" w:rsidR="00950C34" w:rsidRDefault="00950C34" w:rsidP="00FA7B33">
            <w:pPr>
              <w:spacing w:before="20" w:after="20"/>
              <w:jc w:val="right"/>
              <w:rPr>
                <w:b/>
                <w:noProof/>
                <w:sz w:val="20"/>
              </w:rPr>
            </w:pPr>
          </w:p>
        </w:tc>
        <w:tc>
          <w:tcPr>
            <w:tcW w:w="868" w:type="dxa"/>
            <w:vAlign w:val="center"/>
          </w:tcPr>
          <w:p w14:paraId="5D5FEB9A" w14:textId="77777777" w:rsidR="00950C34" w:rsidRDefault="00950C34" w:rsidP="00FA7B33">
            <w:pPr>
              <w:spacing w:before="20" w:after="20"/>
              <w:jc w:val="right"/>
              <w:rPr>
                <w:b/>
                <w:noProof/>
                <w:sz w:val="20"/>
              </w:rPr>
            </w:pPr>
          </w:p>
        </w:tc>
        <w:tc>
          <w:tcPr>
            <w:tcW w:w="868" w:type="dxa"/>
            <w:vAlign w:val="center"/>
          </w:tcPr>
          <w:p w14:paraId="43DE54CD" w14:textId="77777777" w:rsidR="00950C34" w:rsidRDefault="00950C34" w:rsidP="00FA7B33">
            <w:pPr>
              <w:spacing w:before="20" w:after="20"/>
              <w:jc w:val="right"/>
              <w:rPr>
                <w:b/>
                <w:noProof/>
                <w:sz w:val="20"/>
              </w:rPr>
            </w:pPr>
          </w:p>
        </w:tc>
        <w:tc>
          <w:tcPr>
            <w:tcW w:w="868" w:type="dxa"/>
            <w:vAlign w:val="center"/>
          </w:tcPr>
          <w:p w14:paraId="43681EDB" w14:textId="77777777" w:rsidR="00950C34" w:rsidRDefault="00950C34" w:rsidP="00FA7B33">
            <w:pPr>
              <w:spacing w:before="20" w:after="20"/>
              <w:jc w:val="right"/>
              <w:rPr>
                <w:b/>
                <w:noProof/>
                <w:sz w:val="20"/>
              </w:rPr>
            </w:pPr>
          </w:p>
        </w:tc>
        <w:tc>
          <w:tcPr>
            <w:tcW w:w="868" w:type="dxa"/>
            <w:vAlign w:val="center"/>
          </w:tcPr>
          <w:p w14:paraId="0C747DFF" w14:textId="77777777" w:rsidR="00950C34" w:rsidRDefault="00950C34" w:rsidP="00FA7B33">
            <w:pPr>
              <w:spacing w:before="20" w:after="20"/>
              <w:jc w:val="right"/>
              <w:rPr>
                <w:b/>
                <w:noProof/>
                <w:sz w:val="20"/>
              </w:rPr>
            </w:pPr>
          </w:p>
        </w:tc>
        <w:tc>
          <w:tcPr>
            <w:tcW w:w="868" w:type="dxa"/>
            <w:vAlign w:val="center"/>
          </w:tcPr>
          <w:p w14:paraId="6C124938" w14:textId="77777777" w:rsidR="00950C34" w:rsidRDefault="00950C34" w:rsidP="00FA7B33">
            <w:pPr>
              <w:spacing w:before="20" w:after="20"/>
              <w:jc w:val="right"/>
              <w:rPr>
                <w:b/>
                <w:noProof/>
                <w:sz w:val="20"/>
              </w:rPr>
            </w:pPr>
          </w:p>
        </w:tc>
        <w:tc>
          <w:tcPr>
            <w:tcW w:w="868" w:type="dxa"/>
            <w:vAlign w:val="center"/>
          </w:tcPr>
          <w:p w14:paraId="148FE248" w14:textId="77777777" w:rsidR="00950C34" w:rsidRDefault="00950C34" w:rsidP="00FA7B33">
            <w:pPr>
              <w:spacing w:before="20" w:after="20"/>
              <w:jc w:val="right"/>
              <w:rPr>
                <w:b/>
                <w:noProof/>
                <w:sz w:val="20"/>
              </w:rPr>
            </w:pPr>
          </w:p>
        </w:tc>
        <w:tc>
          <w:tcPr>
            <w:tcW w:w="1777" w:type="dxa"/>
            <w:vAlign w:val="center"/>
          </w:tcPr>
          <w:p w14:paraId="6EE89E39" w14:textId="77777777" w:rsidR="00950C34" w:rsidRDefault="00950C34" w:rsidP="00FA7B33">
            <w:pPr>
              <w:spacing w:before="20" w:after="20"/>
              <w:jc w:val="right"/>
              <w:rPr>
                <w:b/>
                <w:noProof/>
                <w:sz w:val="20"/>
              </w:rPr>
            </w:pPr>
          </w:p>
        </w:tc>
      </w:tr>
      <w:tr w:rsidR="00950C34" w14:paraId="50B1C46E" w14:textId="77777777" w:rsidTr="00FA7B33">
        <w:tc>
          <w:tcPr>
            <w:tcW w:w="3960" w:type="dxa"/>
            <w:vMerge w:val="restart"/>
            <w:shd w:val="thinDiagStripe" w:color="C0C0C0" w:fill="auto"/>
            <w:vAlign w:val="center"/>
          </w:tcPr>
          <w:p w14:paraId="56789B99" w14:textId="77777777" w:rsidR="00950C34" w:rsidRPr="003A769F" w:rsidRDefault="00950C34" w:rsidP="00FA7B33">
            <w:pPr>
              <w:jc w:val="center"/>
              <w:rPr>
                <w:b/>
                <w:noProof/>
                <w:lang w:val="en-IE"/>
              </w:rPr>
            </w:pPr>
            <w:r w:rsidRPr="003A769F">
              <w:rPr>
                <w:b/>
                <w:noProof/>
                <w:sz w:val="22"/>
                <w:lang w:val="en-IE"/>
              </w:rPr>
              <w:t xml:space="preserve">TOTAL appropriations </w:t>
            </w:r>
            <w:r w:rsidRPr="003A769F">
              <w:rPr>
                <w:noProof/>
                <w:sz w:val="22"/>
                <w:lang w:val="en-IE"/>
              </w:rPr>
              <w:br/>
            </w:r>
            <w:r w:rsidRPr="003A769F">
              <w:rPr>
                <w:b/>
                <w:noProof/>
                <w:sz w:val="22"/>
                <w:lang w:val="en-IE"/>
              </w:rPr>
              <w:t>under HEADING &lt;….&gt;</w:t>
            </w:r>
            <w:r w:rsidRPr="003A769F">
              <w:rPr>
                <w:noProof/>
                <w:sz w:val="22"/>
                <w:lang w:val="en-IE"/>
              </w:rPr>
              <w:br/>
              <w:t>of the multiannual financial framework</w:t>
            </w:r>
          </w:p>
        </w:tc>
        <w:tc>
          <w:tcPr>
            <w:tcW w:w="1440" w:type="dxa"/>
            <w:vAlign w:val="center"/>
          </w:tcPr>
          <w:p w14:paraId="6BF6136C" w14:textId="77777777" w:rsidR="00950C34" w:rsidRDefault="00950C34" w:rsidP="00FA7B33">
            <w:pPr>
              <w:rPr>
                <w:noProof/>
                <w:sz w:val="18"/>
              </w:rPr>
            </w:pPr>
            <w:r>
              <w:rPr>
                <w:noProof/>
                <w:sz w:val="18"/>
              </w:rPr>
              <w:t>Commitments</w:t>
            </w:r>
          </w:p>
        </w:tc>
        <w:tc>
          <w:tcPr>
            <w:tcW w:w="654" w:type="dxa"/>
            <w:vAlign w:val="center"/>
          </w:tcPr>
          <w:p w14:paraId="5A540414" w14:textId="77777777" w:rsidR="00950C34" w:rsidRDefault="00950C34" w:rsidP="00FA7B33">
            <w:pPr>
              <w:jc w:val="center"/>
              <w:rPr>
                <w:noProof/>
                <w:sz w:val="14"/>
              </w:rPr>
            </w:pPr>
            <w:r>
              <w:rPr>
                <w:noProof/>
                <w:sz w:val="14"/>
              </w:rPr>
              <w:t>=4+ 6</w:t>
            </w:r>
          </w:p>
        </w:tc>
        <w:tc>
          <w:tcPr>
            <w:tcW w:w="868" w:type="dxa"/>
            <w:vAlign w:val="center"/>
          </w:tcPr>
          <w:p w14:paraId="642D5831" w14:textId="77777777" w:rsidR="00950C34" w:rsidRDefault="00950C34" w:rsidP="00FA7B33">
            <w:pPr>
              <w:spacing w:before="20" w:after="20"/>
              <w:jc w:val="right"/>
              <w:rPr>
                <w:noProof/>
                <w:sz w:val="20"/>
              </w:rPr>
            </w:pPr>
          </w:p>
        </w:tc>
        <w:tc>
          <w:tcPr>
            <w:tcW w:w="868" w:type="dxa"/>
            <w:vAlign w:val="center"/>
          </w:tcPr>
          <w:p w14:paraId="3A9D4357" w14:textId="77777777" w:rsidR="00950C34" w:rsidRDefault="00950C34" w:rsidP="00FA7B33">
            <w:pPr>
              <w:spacing w:before="20" w:after="20"/>
              <w:jc w:val="right"/>
              <w:rPr>
                <w:noProof/>
                <w:sz w:val="20"/>
              </w:rPr>
            </w:pPr>
          </w:p>
        </w:tc>
        <w:tc>
          <w:tcPr>
            <w:tcW w:w="868" w:type="dxa"/>
            <w:vAlign w:val="center"/>
          </w:tcPr>
          <w:p w14:paraId="3E2D3DE4" w14:textId="77777777" w:rsidR="00950C34" w:rsidRDefault="00950C34" w:rsidP="00FA7B33">
            <w:pPr>
              <w:spacing w:before="20" w:after="20"/>
              <w:jc w:val="right"/>
              <w:rPr>
                <w:noProof/>
                <w:sz w:val="20"/>
              </w:rPr>
            </w:pPr>
          </w:p>
        </w:tc>
        <w:tc>
          <w:tcPr>
            <w:tcW w:w="868" w:type="dxa"/>
            <w:vAlign w:val="center"/>
          </w:tcPr>
          <w:p w14:paraId="68AC3322" w14:textId="77777777" w:rsidR="00950C34" w:rsidRDefault="00950C34" w:rsidP="00FA7B33">
            <w:pPr>
              <w:spacing w:before="20" w:after="20"/>
              <w:jc w:val="right"/>
              <w:rPr>
                <w:noProof/>
                <w:sz w:val="20"/>
              </w:rPr>
            </w:pPr>
          </w:p>
        </w:tc>
        <w:tc>
          <w:tcPr>
            <w:tcW w:w="868" w:type="dxa"/>
            <w:vAlign w:val="center"/>
          </w:tcPr>
          <w:p w14:paraId="3132A15A" w14:textId="77777777" w:rsidR="00950C34" w:rsidRDefault="00950C34" w:rsidP="00FA7B33">
            <w:pPr>
              <w:spacing w:before="20" w:after="20"/>
              <w:jc w:val="right"/>
              <w:rPr>
                <w:noProof/>
                <w:sz w:val="20"/>
              </w:rPr>
            </w:pPr>
          </w:p>
        </w:tc>
        <w:tc>
          <w:tcPr>
            <w:tcW w:w="868" w:type="dxa"/>
            <w:vAlign w:val="center"/>
          </w:tcPr>
          <w:p w14:paraId="7E64D927" w14:textId="77777777" w:rsidR="00950C34" w:rsidRDefault="00950C34" w:rsidP="00FA7B33">
            <w:pPr>
              <w:spacing w:before="20" w:after="20"/>
              <w:jc w:val="right"/>
              <w:rPr>
                <w:noProof/>
                <w:sz w:val="20"/>
              </w:rPr>
            </w:pPr>
          </w:p>
        </w:tc>
        <w:tc>
          <w:tcPr>
            <w:tcW w:w="868" w:type="dxa"/>
            <w:vAlign w:val="center"/>
          </w:tcPr>
          <w:p w14:paraId="7DEB96BD" w14:textId="77777777" w:rsidR="00950C34" w:rsidRDefault="00950C34" w:rsidP="00FA7B33">
            <w:pPr>
              <w:spacing w:before="20" w:after="20"/>
              <w:jc w:val="right"/>
              <w:rPr>
                <w:b/>
                <w:noProof/>
                <w:sz w:val="20"/>
              </w:rPr>
            </w:pPr>
          </w:p>
        </w:tc>
        <w:tc>
          <w:tcPr>
            <w:tcW w:w="1777" w:type="dxa"/>
            <w:vAlign w:val="center"/>
          </w:tcPr>
          <w:p w14:paraId="5202CE50" w14:textId="77777777" w:rsidR="00950C34" w:rsidRDefault="00950C34" w:rsidP="00FA7B33">
            <w:pPr>
              <w:spacing w:before="20" w:after="20"/>
              <w:jc w:val="right"/>
              <w:rPr>
                <w:b/>
                <w:noProof/>
                <w:sz w:val="20"/>
              </w:rPr>
            </w:pPr>
          </w:p>
        </w:tc>
      </w:tr>
      <w:tr w:rsidR="00950C34" w14:paraId="3B007D42" w14:textId="77777777" w:rsidTr="00FA7B33">
        <w:tc>
          <w:tcPr>
            <w:tcW w:w="3960" w:type="dxa"/>
            <w:vMerge/>
            <w:shd w:val="thinDiagStripe" w:color="C0C0C0" w:fill="auto"/>
          </w:tcPr>
          <w:p w14:paraId="4EC982FB" w14:textId="77777777" w:rsidR="00950C34" w:rsidRDefault="00950C34" w:rsidP="00FA7B33">
            <w:pPr>
              <w:rPr>
                <w:noProof/>
                <w:sz w:val="20"/>
              </w:rPr>
            </w:pPr>
          </w:p>
        </w:tc>
        <w:tc>
          <w:tcPr>
            <w:tcW w:w="1440" w:type="dxa"/>
            <w:vAlign w:val="center"/>
          </w:tcPr>
          <w:p w14:paraId="23B2BAEA" w14:textId="77777777" w:rsidR="00950C34" w:rsidRDefault="00950C34" w:rsidP="00FA7B33">
            <w:pPr>
              <w:rPr>
                <w:noProof/>
                <w:sz w:val="18"/>
              </w:rPr>
            </w:pPr>
            <w:r>
              <w:rPr>
                <w:noProof/>
                <w:sz w:val="18"/>
              </w:rPr>
              <w:t>Payments</w:t>
            </w:r>
          </w:p>
        </w:tc>
        <w:tc>
          <w:tcPr>
            <w:tcW w:w="654" w:type="dxa"/>
            <w:vAlign w:val="center"/>
          </w:tcPr>
          <w:p w14:paraId="1AB973C8" w14:textId="77777777" w:rsidR="00950C34" w:rsidRDefault="00950C34" w:rsidP="00FA7B33">
            <w:pPr>
              <w:jc w:val="center"/>
              <w:rPr>
                <w:noProof/>
                <w:sz w:val="14"/>
              </w:rPr>
            </w:pPr>
            <w:r>
              <w:rPr>
                <w:noProof/>
                <w:sz w:val="14"/>
              </w:rPr>
              <w:t>=5+ 6</w:t>
            </w:r>
          </w:p>
        </w:tc>
        <w:tc>
          <w:tcPr>
            <w:tcW w:w="868" w:type="dxa"/>
            <w:vAlign w:val="center"/>
          </w:tcPr>
          <w:p w14:paraId="579B9227" w14:textId="77777777" w:rsidR="00950C34" w:rsidRDefault="00950C34" w:rsidP="00FA7B33">
            <w:pPr>
              <w:spacing w:before="20" w:after="20"/>
              <w:jc w:val="right"/>
              <w:rPr>
                <w:noProof/>
                <w:sz w:val="20"/>
              </w:rPr>
            </w:pPr>
          </w:p>
        </w:tc>
        <w:tc>
          <w:tcPr>
            <w:tcW w:w="868" w:type="dxa"/>
            <w:vAlign w:val="center"/>
          </w:tcPr>
          <w:p w14:paraId="0642BB7D" w14:textId="77777777" w:rsidR="00950C34" w:rsidRDefault="00950C34" w:rsidP="00FA7B33">
            <w:pPr>
              <w:spacing w:before="20" w:after="20"/>
              <w:jc w:val="right"/>
              <w:rPr>
                <w:noProof/>
                <w:sz w:val="20"/>
              </w:rPr>
            </w:pPr>
          </w:p>
        </w:tc>
        <w:tc>
          <w:tcPr>
            <w:tcW w:w="868" w:type="dxa"/>
            <w:vAlign w:val="center"/>
          </w:tcPr>
          <w:p w14:paraId="491F4B4E" w14:textId="77777777" w:rsidR="00950C34" w:rsidRDefault="00950C34" w:rsidP="00FA7B33">
            <w:pPr>
              <w:spacing w:before="20" w:after="20"/>
              <w:jc w:val="right"/>
              <w:rPr>
                <w:noProof/>
                <w:sz w:val="20"/>
              </w:rPr>
            </w:pPr>
          </w:p>
        </w:tc>
        <w:tc>
          <w:tcPr>
            <w:tcW w:w="868" w:type="dxa"/>
            <w:vAlign w:val="center"/>
          </w:tcPr>
          <w:p w14:paraId="5098BF35" w14:textId="77777777" w:rsidR="00950C34" w:rsidRDefault="00950C34" w:rsidP="00FA7B33">
            <w:pPr>
              <w:spacing w:before="20" w:after="20"/>
              <w:jc w:val="right"/>
              <w:rPr>
                <w:noProof/>
                <w:sz w:val="20"/>
              </w:rPr>
            </w:pPr>
          </w:p>
        </w:tc>
        <w:tc>
          <w:tcPr>
            <w:tcW w:w="868" w:type="dxa"/>
            <w:vAlign w:val="center"/>
          </w:tcPr>
          <w:p w14:paraId="0EEC4639" w14:textId="77777777" w:rsidR="00950C34" w:rsidRDefault="00950C34" w:rsidP="00FA7B33">
            <w:pPr>
              <w:spacing w:before="20" w:after="20"/>
              <w:jc w:val="right"/>
              <w:rPr>
                <w:noProof/>
                <w:sz w:val="20"/>
              </w:rPr>
            </w:pPr>
          </w:p>
        </w:tc>
        <w:tc>
          <w:tcPr>
            <w:tcW w:w="868" w:type="dxa"/>
            <w:vAlign w:val="center"/>
          </w:tcPr>
          <w:p w14:paraId="194EB6C0" w14:textId="77777777" w:rsidR="00950C34" w:rsidRDefault="00950C34" w:rsidP="00FA7B33">
            <w:pPr>
              <w:spacing w:before="20" w:after="20"/>
              <w:jc w:val="right"/>
              <w:rPr>
                <w:noProof/>
                <w:sz w:val="20"/>
              </w:rPr>
            </w:pPr>
          </w:p>
        </w:tc>
        <w:tc>
          <w:tcPr>
            <w:tcW w:w="868" w:type="dxa"/>
            <w:vAlign w:val="center"/>
          </w:tcPr>
          <w:p w14:paraId="7BC5A682" w14:textId="77777777" w:rsidR="00950C34" w:rsidRDefault="00950C34" w:rsidP="00FA7B33">
            <w:pPr>
              <w:spacing w:before="20" w:after="20"/>
              <w:jc w:val="right"/>
              <w:rPr>
                <w:b/>
                <w:noProof/>
                <w:sz w:val="20"/>
              </w:rPr>
            </w:pPr>
          </w:p>
        </w:tc>
        <w:tc>
          <w:tcPr>
            <w:tcW w:w="1777" w:type="dxa"/>
            <w:vAlign w:val="center"/>
          </w:tcPr>
          <w:p w14:paraId="6891C35C" w14:textId="77777777" w:rsidR="00950C34" w:rsidRDefault="00950C34" w:rsidP="00FA7B33">
            <w:pPr>
              <w:spacing w:before="20" w:after="20"/>
              <w:jc w:val="right"/>
              <w:rPr>
                <w:b/>
                <w:noProof/>
                <w:sz w:val="20"/>
              </w:rPr>
            </w:pPr>
          </w:p>
        </w:tc>
      </w:tr>
    </w:tbl>
    <w:p w14:paraId="1CD228D7" w14:textId="77777777" w:rsidR="00950C34" w:rsidRPr="003A769F" w:rsidRDefault="00950C34" w:rsidP="00950C34">
      <w:pPr>
        <w:spacing w:after="40"/>
        <w:rPr>
          <w:b/>
          <w:noProof/>
          <w:sz w:val="22"/>
          <w:u w:val="single"/>
          <w:lang w:val="en-IE"/>
        </w:rPr>
      </w:pPr>
      <w:r w:rsidRPr="003A769F">
        <w:rPr>
          <w:b/>
          <w:noProof/>
          <w:sz w:val="22"/>
          <w:u w:val="single"/>
          <w:lang w:val="en-IE"/>
        </w:rPr>
        <w:t>If more than one operational heading is affected by the proposal / initiative, repeat the section above:</w:t>
      </w:r>
    </w:p>
    <w:tbl>
      <w:tblPr>
        <w:tblW w:w="0" w:type="auto"/>
        <w:tblInd w:w="-252" w:type="dxa"/>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rsidR="00950C34" w14:paraId="166D1092" w14:textId="77777777" w:rsidTr="00FA7B33">
        <w:trPr>
          <w:trHeight w:val="277"/>
        </w:trPr>
        <w:tc>
          <w:tcPr>
            <w:tcW w:w="3960" w:type="dxa"/>
            <w:vMerge w:val="restart"/>
            <w:tcBorders>
              <w:top w:val="single" w:sz="4" w:space="0" w:color="auto"/>
              <w:left w:val="single" w:sz="4" w:space="0" w:color="auto"/>
              <w:bottom w:val="single" w:sz="4" w:space="0" w:color="FF0000"/>
            </w:tcBorders>
            <w:vAlign w:val="center"/>
          </w:tcPr>
          <w:p w14:paraId="45758E1B" w14:textId="77777777" w:rsidR="00950C34" w:rsidRPr="003A769F" w:rsidRDefault="00950C34" w:rsidP="00FA7B33">
            <w:pPr>
              <w:spacing w:before="20" w:after="20"/>
              <w:rPr>
                <w:noProof/>
                <w:lang w:val="en-IE"/>
              </w:rPr>
            </w:pPr>
            <w:r>
              <w:rPr>
                <w:rFonts w:ascii="Wingdings" w:eastAsia="Wingdings" w:hAnsi="Wingdings" w:cs="Wingdings"/>
                <w:noProof/>
                <w:sz w:val="21"/>
              </w:rPr>
              <w:t>□</w:t>
            </w:r>
            <w:r w:rsidRPr="003A769F">
              <w:rPr>
                <w:noProof/>
                <w:sz w:val="21"/>
                <w:lang w:val="en-IE"/>
              </w:rPr>
              <w:t xml:space="preserve"> TOTAL operational appropriations (all operational headings)</w:t>
            </w:r>
          </w:p>
        </w:tc>
        <w:tc>
          <w:tcPr>
            <w:tcW w:w="1440" w:type="dxa"/>
            <w:tcBorders>
              <w:top w:val="single" w:sz="4" w:space="0" w:color="auto"/>
            </w:tcBorders>
            <w:vAlign w:val="center"/>
          </w:tcPr>
          <w:p w14:paraId="49D97F05" w14:textId="77777777" w:rsidR="00950C34" w:rsidRDefault="00950C34" w:rsidP="00FA7B33">
            <w:pPr>
              <w:spacing w:beforeLines="20" w:before="48" w:afterLines="20" w:after="48"/>
              <w:rPr>
                <w:noProof/>
                <w:sz w:val="18"/>
              </w:rPr>
            </w:pPr>
            <w:r>
              <w:rPr>
                <w:noProof/>
                <w:sz w:val="18"/>
              </w:rPr>
              <w:t>Commitments</w:t>
            </w:r>
          </w:p>
        </w:tc>
        <w:tc>
          <w:tcPr>
            <w:tcW w:w="654" w:type="dxa"/>
            <w:tcBorders>
              <w:top w:val="single" w:sz="4" w:space="0" w:color="auto"/>
            </w:tcBorders>
            <w:vAlign w:val="center"/>
          </w:tcPr>
          <w:p w14:paraId="37EABB28" w14:textId="77777777" w:rsidR="00950C34" w:rsidRDefault="00950C34" w:rsidP="00FA7B33">
            <w:pPr>
              <w:spacing w:beforeLines="20" w:before="48" w:afterLines="20" w:after="48"/>
              <w:jc w:val="center"/>
              <w:rPr>
                <w:noProof/>
                <w:sz w:val="14"/>
              </w:rPr>
            </w:pPr>
            <w:r>
              <w:rPr>
                <w:noProof/>
                <w:sz w:val="14"/>
              </w:rPr>
              <w:t>(4)</w:t>
            </w:r>
          </w:p>
        </w:tc>
        <w:tc>
          <w:tcPr>
            <w:tcW w:w="868" w:type="dxa"/>
            <w:tcBorders>
              <w:top w:val="single" w:sz="4" w:space="0" w:color="auto"/>
            </w:tcBorders>
            <w:vAlign w:val="center"/>
          </w:tcPr>
          <w:p w14:paraId="431ACD4A" w14:textId="77777777" w:rsidR="00950C34" w:rsidRDefault="00950C34" w:rsidP="00FA7B33">
            <w:pPr>
              <w:spacing w:before="20" w:after="20"/>
              <w:jc w:val="right"/>
              <w:rPr>
                <w:noProof/>
                <w:sz w:val="20"/>
              </w:rPr>
            </w:pPr>
          </w:p>
        </w:tc>
        <w:tc>
          <w:tcPr>
            <w:tcW w:w="868" w:type="dxa"/>
            <w:tcBorders>
              <w:top w:val="single" w:sz="4" w:space="0" w:color="auto"/>
            </w:tcBorders>
            <w:vAlign w:val="center"/>
          </w:tcPr>
          <w:p w14:paraId="76426EF7" w14:textId="77777777" w:rsidR="00950C34" w:rsidRDefault="00950C34" w:rsidP="00FA7B33">
            <w:pPr>
              <w:spacing w:before="20" w:after="20"/>
              <w:jc w:val="right"/>
              <w:rPr>
                <w:noProof/>
                <w:sz w:val="20"/>
              </w:rPr>
            </w:pPr>
          </w:p>
        </w:tc>
        <w:tc>
          <w:tcPr>
            <w:tcW w:w="868" w:type="dxa"/>
            <w:tcBorders>
              <w:top w:val="single" w:sz="4" w:space="0" w:color="auto"/>
            </w:tcBorders>
            <w:vAlign w:val="center"/>
          </w:tcPr>
          <w:p w14:paraId="6DA7E6D3" w14:textId="77777777" w:rsidR="00950C34" w:rsidRDefault="00950C34" w:rsidP="00FA7B33">
            <w:pPr>
              <w:spacing w:before="20" w:after="20"/>
              <w:jc w:val="right"/>
              <w:rPr>
                <w:noProof/>
                <w:sz w:val="20"/>
              </w:rPr>
            </w:pPr>
          </w:p>
        </w:tc>
        <w:tc>
          <w:tcPr>
            <w:tcW w:w="868" w:type="dxa"/>
            <w:tcBorders>
              <w:top w:val="single" w:sz="4" w:space="0" w:color="auto"/>
            </w:tcBorders>
            <w:vAlign w:val="center"/>
          </w:tcPr>
          <w:p w14:paraId="5D4F1879" w14:textId="77777777" w:rsidR="00950C34" w:rsidRDefault="00950C34" w:rsidP="00FA7B33">
            <w:pPr>
              <w:spacing w:before="20" w:after="20"/>
              <w:jc w:val="right"/>
              <w:rPr>
                <w:noProof/>
                <w:sz w:val="20"/>
              </w:rPr>
            </w:pPr>
          </w:p>
        </w:tc>
        <w:tc>
          <w:tcPr>
            <w:tcW w:w="868" w:type="dxa"/>
            <w:tcBorders>
              <w:top w:val="single" w:sz="4" w:space="0" w:color="auto"/>
            </w:tcBorders>
            <w:vAlign w:val="center"/>
          </w:tcPr>
          <w:p w14:paraId="3E6AC27B" w14:textId="77777777" w:rsidR="00950C34" w:rsidRDefault="00950C34" w:rsidP="00FA7B33">
            <w:pPr>
              <w:spacing w:before="20" w:after="20"/>
              <w:jc w:val="right"/>
              <w:rPr>
                <w:noProof/>
                <w:sz w:val="20"/>
              </w:rPr>
            </w:pPr>
          </w:p>
        </w:tc>
        <w:tc>
          <w:tcPr>
            <w:tcW w:w="868" w:type="dxa"/>
            <w:tcBorders>
              <w:top w:val="single" w:sz="4" w:space="0" w:color="auto"/>
            </w:tcBorders>
            <w:vAlign w:val="center"/>
          </w:tcPr>
          <w:p w14:paraId="20B3D170" w14:textId="77777777" w:rsidR="00950C34" w:rsidRDefault="00950C34" w:rsidP="00FA7B33">
            <w:pPr>
              <w:spacing w:before="20" w:after="20"/>
              <w:jc w:val="right"/>
              <w:rPr>
                <w:noProof/>
                <w:sz w:val="20"/>
              </w:rPr>
            </w:pPr>
          </w:p>
        </w:tc>
        <w:tc>
          <w:tcPr>
            <w:tcW w:w="868" w:type="dxa"/>
            <w:tcBorders>
              <w:top w:val="single" w:sz="4" w:space="0" w:color="auto"/>
            </w:tcBorders>
            <w:vAlign w:val="center"/>
          </w:tcPr>
          <w:p w14:paraId="2D76669E" w14:textId="77777777" w:rsidR="00950C34" w:rsidRDefault="00950C34" w:rsidP="00FA7B33">
            <w:pPr>
              <w:spacing w:before="20" w:after="20"/>
              <w:jc w:val="right"/>
              <w:rPr>
                <w:b/>
                <w:noProof/>
                <w:sz w:val="20"/>
              </w:rPr>
            </w:pPr>
          </w:p>
        </w:tc>
        <w:tc>
          <w:tcPr>
            <w:tcW w:w="1777" w:type="dxa"/>
            <w:tcBorders>
              <w:top w:val="single" w:sz="4" w:space="0" w:color="auto"/>
              <w:right w:val="single" w:sz="4" w:space="0" w:color="auto"/>
            </w:tcBorders>
            <w:vAlign w:val="center"/>
          </w:tcPr>
          <w:p w14:paraId="324B8654" w14:textId="77777777" w:rsidR="00950C34" w:rsidRDefault="00950C34" w:rsidP="00FA7B33">
            <w:pPr>
              <w:spacing w:before="20" w:after="20"/>
              <w:jc w:val="right"/>
              <w:rPr>
                <w:b/>
                <w:noProof/>
                <w:sz w:val="20"/>
              </w:rPr>
            </w:pPr>
          </w:p>
        </w:tc>
      </w:tr>
      <w:tr w:rsidR="00950C34" w14:paraId="214222FF" w14:textId="77777777" w:rsidTr="00FA7B33">
        <w:tc>
          <w:tcPr>
            <w:tcW w:w="3960" w:type="dxa"/>
            <w:vMerge/>
            <w:tcBorders>
              <w:top w:val="single" w:sz="4" w:space="0" w:color="FF0000"/>
              <w:left w:val="single" w:sz="4" w:space="0" w:color="auto"/>
              <w:bottom w:val="single" w:sz="4" w:space="0" w:color="FF0000"/>
            </w:tcBorders>
          </w:tcPr>
          <w:p w14:paraId="71217286" w14:textId="77777777" w:rsidR="00950C34" w:rsidRDefault="00950C34" w:rsidP="00FA7B33">
            <w:pPr>
              <w:jc w:val="center"/>
              <w:rPr>
                <w:noProof/>
                <w:sz w:val="20"/>
              </w:rPr>
            </w:pPr>
          </w:p>
        </w:tc>
        <w:tc>
          <w:tcPr>
            <w:tcW w:w="1440" w:type="dxa"/>
            <w:vAlign w:val="center"/>
          </w:tcPr>
          <w:p w14:paraId="2B337571" w14:textId="77777777" w:rsidR="00950C34" w:rsidRDefault="00950C34" w:rsidP="00FA7B33">
            <w:pPr>
              <w:spacing w:beforeLines="20" w:before="48" w:afterLines="20" w:after="48"/>
              <w:rPr>
                <w:noProof/>
                <w:sz w:val="18"/>
              </w:rPr>
            </w:pPr>
            <w:r>
              <w:rPr>
                <w:noProof/>
                <w:sz w:val="18"/>
              </w:rPr>
              <w:t>Payments</w:t>
            </w:r>
          </w:p>
        </w:tc>
        <w:tc>
          <w:tcPr>
            <w:tcW w:w="654" w:type="dxa"/>
            <w:vAlign w:val="center"/>
          </w:tcPr>
          <w:p w14:paraId="702D4624" w14:textId="77777777" w:rsidR="00950C34" w:rsidRDefault="00950C34" w:rsidP="00FA7B33">
            <w:pPr>
              <w:spacing w:beforeLines="20" w:before="48" w:afterLines="20" w:after="48"/>
              <w:jc w:val="center"/>
              <w:rPr>
                <w:noProof/>
                <w:sz w:val="14"/>
              </w:rPr>
            </w:pPr>
            <w:r>
              <w:rPr>
                <w:noProof/>
                <w:sz w:val="14"/>
              </w:rPr>
              <w:t>(5)</w:t>
            </w:r>
          </w:p>
        </w:tc>
        <w:tc>
          <w:tcPr>
            <w:tcW w:w="868" w:type="dxa"/>
            <w:vAlign w:val="center"/>
          </w:tcPr>
          <w:p w14:paraId="13E8C7F8" w14:textId="77777777" w:rsidR="00950C34" w:rsidRDefault="00950C34" w:rsidP="00FA7B33">
            <w:pPr>
              <w:spacing w:before="20" w:after="20"/>
              <w:jc w:val="right"/>
              <w:rPr>
                <w:noProof/>
                <w:sz w:val="20"/>
              </w:rPr>
            </w:pPr>
          </w:p>
        </w:tc>
        <w:tc>
          <w:tcPr>
            <w:tcW w:w="868" w:type="dxa"/>
            <w:vAlign w:val="center"/>
          </w:tcPr>
          <w:p w14:paraId="644C365B" w14:textId="77777777" w:rsidR="00950C34" w:rsidRDefault="00950C34" w:rsidP="00FA7B33">
            <w:pPr>
              <w:spacing w:before="20" w:after="20"/>
              <w:jc w:val="right"/>
              <w:rPr>
                <w:noProof/>
                <w:sz w:val="20"/>
              </w:rPr>
            </w:pPr>
          </w:p>
        </w:tc>
        <w:tc>
          <w:tcPr>
            <w:tcW w:w="868" w:type="dxa"/>
            <w:vAlign w:val="center"/>
          </w:tcPr>
          <w:p w14:paraId="5ACE22EA" w14:textId="77777777" w:rsidR="00950C34" w:rsidRDefault="00950C34" w:rsidP="00FA7B33">
            <w:pPr>
              <w:spacing w:before="20" w:after="20"/>
              <w:jc w:val="right"/>
              <w:rPr>
                <w:noProof/>
                <w:sz w:val="20"/>
              </w:rPr>
            </w:pPr>
          </w:p>
        </w:tc>
        <w:tc>
          <w:tcPr>
            <w:tcW w:w="868" w:type="dxa"/>
            <w:vAlign w:val="center"/>
          </w:tcPr>
          <w:p w14:paraId="311E4D64" w14:textId="77777777" w:rsidR="00950C34" w:rsidRDefault="00950C34" w:rsidP="00FA7B33">
            <w:pPr>
              <w:spacing w:before="20" w:after="20"/>
              <w:jc w:val="right"/>
              <w:rPr>
                <w:noProof/>
                <w:sz w:val="20"/>
              </w:rPr>
            </w:pPr>
          </w:p>
        </w:tc>
        <w:tc>
          <w:tcPr>
            <w:tcW w:w="868" w:type="dxa"/>
            <w:vAlign w:val="center"/>
          </w:tcPr>
          <w:p w14:paraId="728BBBC2" w14:textId="77777777" w:rsidR="00950C34" w:rsidRDefault="00950C34" w:rsidP="00FA7B33">
            <w:pPr>
              <w:spacing w:before="20" w:after="20"/>
              <w:jc w:val="right"/>
              <w:rPr>
                <w:noProof/>
                <w:sz w:val="20"/>
              </w:rPr>
            </w:pPr>
          </w:p>
        </w:tc>
        <w:tc>
          <w:tcPr>
            <w:tcW w:w="868" w:type="dxa"/>
            <w:vAlign w:val="center"/>
          </w:tcPr>
          <w:p w14:paraId="75AEF7C9" w14:textId="77777777" w:rsidR="00950C34" w:rsidRDefault="00950C34" w:rsidP="00FA7B33">
            <w:pPr>
              <w:spacing w:before="20" w:after="20"/>
              <w:jc w:val="right"/>
              <w:rPr>
                <w:noProof/>
                <w:sz w:val="20"/>
              </w:rPr>
            </w:pPr>
          </w:p>
        </w:tc>
        <w:tc>
          <w:tcPr>
            <w:tcW w:w="868" w:type="dxa"/>
            <w:vAlign w:val="center"/>
          </w:tcPr>
          <w:p w14:paraId="5464D307" w14:textId="77777777" w:rsidR="00950C34" w:rsidRDefault="00950C34" w:rsidP="00FA7B33">
            <w:pPr>
              <w:spacing w:before="20" w:after="20"/>
              <w:jc w:val="right"/>
              <w:rPr>
                <w:b/>
                <w:noProof/>
                <w:sz w:val="20"/>
              </w:rPr>
            </w:pPr>
          </w:p>
        </w:tc>
        <w:tc>
          <w:tcPr>
            <w:tcW w:w="1777" w:type="dxa"/>
            <w:tcBorders>
              <w:right w:val="single" w:sz="4" w:space="0" w:color="auto"/>
            </w:tcBorders>
            <w:vAlign w:val="center"/>
          </w:tcPr>
          <w:p w14:paraId="3B009ADF" w14:textId="77777777" w:rsidR="00950C34" w:rsidRDefault="00950C34" w:rsidP="00FA7B33">
            <w:pPr>
              <w:spacing w:before="20" w:after="20"/>
              <w:jc w:val="right"/>
              <w:rPr>
                <w:b/>
                <w:noProof/>
                <w:sz w:val="20"/>
              </w:rPr>
            </w:pPr>
          </w:p>
        </w:tc>
      </w:tr>
      <w:tr w:rsidR="00950C34" w14:paraId="70140BDA" w14:textId="77777777" w:rsidTr="00FA7B33">
        <w:tblPrEx>
          <w:tblBorders>
            <w:top w:val="single" w:sz="4" w:space="0" w:color="auto"/>
            <w:left w:val="single" w:sz="4" w:space="0" w:color="auto"/>
            <w:bottom w:val="single" w:sz="4" w:space="0" w:color="auto"/>
            <w:right w:val="single" w:sz="4" w:space="0" w:color="auto"/>
          </w:tblBorders>
        </w:tblPrEx>
        <w:trPr>
          <w:trHeight w:val="533"/>
        </w:trPr>
        <w:tc>
          <w:tcPr>
            <w:tcW w:w="5400" w:type="dxa"/>
            <w:gridSpan w:val="2"/>
            <w:vAlign w:val="center"/>
          </w:tcPr>
          <w:p w14:paraId="01455D25" w14:textId="77777777" w:rsidR="00950C34" w:rsidRPr="003A769F" w:rsidRDefault="00950C34" w:rsidP="00FA7B33">
            <w:pPr>
              <w:spacing w:beforeLines="20" w:before="48" w:afterLines="20" w:after="48"/>
              <w:rPr>
                <w:noProof/>
                <w:lang w:val="en-IE"/>
              </w:rPr>
            </w:pPr>
            <w:r w:rsidRPr="003A769F">
              <w:rPr>
                <w:noProof/>
                <w:sz w:val="21"/>
                <w:lang w:val="en-IE"/>
              </w:rPr>
              <w:t xml:space="preserve"> TOTAL appropriations of an administrative nature financed from the envelope for specific programmes (all operational headings)</w:t>
            </w:r>
          </w:p>
        </w:tc>
        <w:tc>
          <w:tcPr>
            <w:tcW w:w="654" w:type="dxa"/>
            <w:vAlign w:val="center"/>
          </w:tcPr>
          <w:p w14:paraId="5D12F303" w14:textId="77777777" w:rsidR="00950C34" w:rsidRPr="003A769F" w:rsidRDefault="00950C34" w:rsidP="00FA7B33">
            <w:pPr>
              <w:rPr>
                <w:noProof/>
                <w:lang w:val="en-IE"/>
              </w:rPr>
            </w:pPr>
          </w:p>
          <w:p w14:paraId="3B019820" w14:textId="77777777" w:rsidR="00950C34" w:rsidRDefault="00950C34" w:rsidP="00FA7B33">
            <w:pPr>
              <w:spacing w:beforeLines="20" w:before="48" w:afterLines="20" w:after="48"/>
              <w:jc w:val="center"/>
              <w:rPr>
                <w:noProof/>
                <w:sz w:val="14"/>
              </w:rPr>
            </w:pPr>
            <w:r>
              <w:rPr>
                <w:noProof/>
                <w:sz w:val="14"/>
              </w:rPr>
              <w:t>(6)</w:t>
            </w:r>
          </w:p>
        </w:tc>
        <w:tc>
          <w:tcPr>
            <w:tcW w:w="868" w:type="dxa"/>
            <w:vAlign w:val="center"/>
          </w:tcPr>
          <w:p w14:paraId="4735E75B" w14:textId="77777777" w:rsidR="00950C34" w:rsidRDefault="00950C34" w:rsidP="00FA7B33">
            <w:pPr>
              <w:spacing w:before="20" w:after="20"/>
              <w:jc w:val="right"/>
              <w:rPr>
                <w:b/>
                <w:noProof/>
                <w:sz w:val="20"/>
              </w:rPr>
            </w:pPr>
          </w:p>
        </w:tc>
        <w:tc>
          <w:tcPr>
            <w:tcW w:w="868" w:type="dxa"/>
            <w:vAlign w:val="center"/>
          </w:tcPr>
          <w:p w14:paraId="79F95ED4" w14:textId="77777777" w:rsidR="00950C34" w:rsidRDefault="00950C34" w:rsidP="00FA7B33">
            <w:pPr>
              <w:spacing w:before="20" w:after="20"/>
              <w:jc w:val="right"/>
              <w:rPr>
                <w:b/>
                <w:noProof/>
                <w:sz w:val="20"/>
              </w:rPr>
            </w:pPr>
          </w:p>
        </w:tc>
        <w:tc>
          <w:tcPr>
            <w:tcW w:w="868" w:type="dxa"/>
            <w:vAlign w:val="center"/>
          </w:tcPr>
          <w:p w14:paraId="6EB7E3DF" w14:textId="77777777" w:rsidR="00950C34" w:rsidRDefault="00950C34" w:rsidP="00FA7B33">
            <w:pPr>
              <w:spacing w:before="20" w:after="20"/>
              <w:jc w:val="right"/>
              <w:rPr>
                <w:b/>
                <w:noProof/>
                <w:sz w:val="20"/>
              </w:rPr>
            </w:pPr>
          </w:p>
        </w:tc>
        <w:tc>
          <w:tcPr>
            <w:tcW w:w="868" w:type="dxa"/>
            <w:vAlign w:val="center"/>
          </w:tcPr>
          <w:p w14:paraId="1FADE1C4" w14:textId="77777777" w:rsidR="00950C34" w:rsidRDefault="00950C34" w:rsidP="00FA7B33">
            <w:pPr>
              <w:spacing w:before="20" w:after="20"/>
              <w:jc w:val="right"/>
              <w:rPr>
                <w:b/>
                <w:noProof/>
                <w:sz w:val="20"/>
              </w:rPr>
            </w:pPr>
          </w:p>
        </w:tc>
        <w:tc>
          <w:tcPr>
            <w:tcW w:w="868" w:type="dxa"/>
            <w:vAlign w:val="center"/>
          </w:tcPr>
          <w:p w14:paraId="6CBAEA80" w14:textId="77777777" w:rsidR="00950C34" w:rsidRDefault="00950C34" w:rsidP="00FA7B33">
            <w:pPr>
              <w:spacing w:before="20" w:after="20"/>
              <w:jc w:val="right"/>
              <w:rPr>
                <w:b/>
                <w:noProof/>
                <w:sz w:val="20"/>
              </w:rPr>
            </w:pPr>
          </w:p>
        </w:tc>
        <w:tc>
          <w:tcPr>
            <w:tcW w:w="868" w:type="dxa"/>
            <w:vAlign w:val="center"/>
          </w:tcPr>
          <w:p w14:paraId="59C32995" w14:textId="77777777" w:rsidR="00950C34" w:rsidRDefault="00950C34" w:rsidP="00FA7B33">
            <w:pPr>
              <w:spacing w:before="20" w:after="20"/>
              <w:jc w:val="right"/>
              <w:rPr>
                <w:b/>
                <w:noProof/>
                <w:sz w:val="20"/>
              </w:rPr>
            </w:pPr>
          </w:p>
        </w:tc>
        <w:tc>
          <w:tcPr>
            <w:tcW w:w="868" w:type="dxa"/>
            <w:vAlign w:val="center"/>
          </w:tcPr>
          <w:p w14:paraId="2F1F275A" w14:textId="77777777" w:rsidR="00950C34" w:rsidRDefault="00950C34" w:rsidP="00FA7B33">
            <w:pPr>
              <w:spacing w:before="20" w:after="20"/>
              <w:jc w:val="right"/>
              <w:rPr>
                <w:b/>
                <w:noProof/>
                <w:sz w:val="20"/>
              </w:rPr>
            </w:pPr>
          </w:p>
        </w:tc>
        <w:tc>
          <w:tcPr>
            <w:tcW w:w="1777" w:type="dxa"/>
            <w:vAlign w:val="center"/>
          </w:tcPr>
          <w:p w14:paraId="59356296" w14:textId="77777777" w:rsidR="00950C34" w:rsidRDefault="00950C34" w:rsidP="00FA7B33">
            <w:pPr>
              <w:spacing w:before="20" w:after="20"/>
              <w:jc w:val="right"/>
              <w:rPr>
                <w:b/>
                <w:noProof/>
                <w:sz w:val="20"/>
              </w:rPr>
            </w:pPr>
          </w:p>
        </w:tc>
      </w:tr>
      <w:tr w:rsidR="00950C34" w14:paraId="55A31247" w14:textId="77777777" w:rsidTr="00FA7B33">
        <w:tc>
          <w:tcPr>
            <w:tcW w:w="3960" w:type="dxa"/>
            <w:vMerge w:val="restart"/>
            <w:tcBorders>
              <w:top w:val="single" w:sz="4" w:space="0" w:color="FF0000"/>
              <w:left w:val="single" w:sz="4" w:space="0" w:color="auto"/>
              <w:bottom w:val="single" w:sz="4" w:space="0" w:color="FF0000"/>
            </w:tcBorders>
            <w:shd w:val="thinDiagStripe" w:color="C0C0C0" w:fill="auto"/>
            <w:vAlign w:val="center"/>
          </w:tcPr>
          <w:p w14:paraId="4C179199" w14:textId="77777777" w:rsidR="00950C34" w:rsidRPr="003A769F" w:rsidRDefault="00950C34" w:rsidP="00FA7B33">
            <w:pPr>
              <w:jc w:val="center"/>
              <w:rPr>
                <w:b/>
                <w:noProof/>
                <w:lang w:val="en-IE"/>
              </w:rPr>
            </w:pPr>
            <w:r w:rsidRPr="003A769F">
              <w:rPr>
                <w:b/>
                <w:noProof/>
                <w:sz w:val="22"/>
                <w:lang w:val="en-IE"/>
              </w:rPr>
              <w:t xml:space="preserve">TOTAL appropriations </w:t>
            </w:r>
            <w:r w:rsidRPr="003A769F">
              <w:rPr>
                <w:noProof/>
                <w:sz w:val="22"/>
                <w:lang w:val="en-IE"/>
              </w:rPr>
              <w:br/>
            </w:r>
            <w:r w:rsidRPr="003A769F">
              <w:rPr>
                <w:b/>
                <w:noProof/>
                <w:sz w:val="22"/>
                <w:lang w:val="en-IE"/>
              </w:rPr>
              <w:t>under HEADINGS 1 to 6</w:t>
            </w:r>
            <w:r w:rsidRPr="003A769F">
              <w:rPr>
                <w:noProof/>
                <w:sz w:val="22"/>
                <w:lang w:val="en-IE"/>
              </w:rPr>
              <w:br/>
              <w:t>of the multiannual financial framework</w:t>
            </w:r>
            <w:r w:rsidRPr="003A769F">
              <w:rPr>
                <w:noProof/>
                <w:sz w:val="22"/>
                <w:lang w:val="en-IE"/>
              </w:rPr>
              <w:br/>
            </w:r>
            <w:r w:rsidRPr="003A769F">
              <w:rPr>
                <w:noProof/>
                <w:sz w:val="20"/>
                <w:lang w:val="en-IE"/>
              </w:rPr>
              <w:t>(Reference amount)</w:t>
            </w:r>
          </w:p>
        </w:tc>
        <w:tc>
          <w:tcPr>
            <w:tcW w:w="1440" w:type="dxa"/>
            <w:vAlign w:val="center"/>
          </w:tcPr>
          <w:p w14:paraId="3F396789" w14:textId="77777777" w:rsidR="00950C34" w:rsidRDefault="00950C34" w:rsidP="00FA7B33">
            <w:pPr>
              <w:rPr>
                <w:noProof/>
                <w:sz w:val="18"/>
              </w:rPr>
            </w:pPr>
            <w:r>
              <w:rPr>
                <w:noProof/>
                <w:sz w:val="18"/>
              </w:rPr>
              <w:t>Commitments</w:t>
            </w:r>
          </w:p>
        </w:tc>
        <w:tc>
          <w:tcPr>
            <w:tcW w:w="654" w:type="dxa"/>
            <w:vAlign w:val="center"/>
          </w:tcPr>
          <w:p w14:paraId="1845BB27" w14:textId="77777777" w:rsidR="00950C34" w:rsidRDefault="00950C34" w:rsidP="00FA7B33">
            <w:pPr>
              <w:jc w:val="center"/>
              <w:rPr>
                <w:noProof/>
                <w:sz w:val="14"/>
              </w:rPr>
            </w:pPr>
            <w:r>
              <w:rPr>
                <w:noProof/>
                <w:sz w:val="14"/>
              </w:rPr>
              <w:t>=4+ 6</w:t>
            </w:r>
          </w:p>
        </w:tc>
        <w:tc>
          <w:tcPr>
            <w:tcW w:w="868" w:type="dxa"/>
            <w:vAlign w:val="center"/>
          </w:tcPr>
          <w:p w14:paraId="46298C7A" w14:textId="77777777" w:rsidR="00950C34" w:rsidRDefault="00950C34" w:rsidP="00FA7B33">
            <w:pPr>
              <w:spacing w:before="20" w:after="20"/>
              <w:jc w:val="right"/>
              <w:rPr>
                <w:noProof/>
                <w:sz w:val="20"/>
              </w:rPr>
            </w:pPr>
          </w:p>
        </w:tc>
        <w:tc>
          <w:tcPr>
            <w:tcW w:w="868" w:type="dxa"/>
            <w:vAlign w:val="center"/>
          </w:tcPr>
          <w:p w14:paraId="42FEFED5" w14:textId="77777777" w:rsidR="00950C34" w:rsidRDefault="00950C34" w:rsidP="00FA7B33">
            <w:pPr>
              <w:spacing w:before="20" w:after="20"/>
              <w:jc w:val="right"/>
              <w:rPr>
                <w:noProof/>
                <w:sz w:val="20"/>
              </w:rPr>
            </w:pPr>
          </w:p>
        </w:tc>
        <w:tc>
          <w:tcPr>
            <w:tcW w:w="868" w:type="dxa"/>
            <w:vAlign w:val="center"/>
          </w:tcPr>
          <w:p w14:paraId="4B831B67" w14:textId="77777777" w:rsidR="00950C34" w:rsidRDefault="00950C34" w:rsidP="00FA7B33">
            <w:pPr>
              <w:spacing w:before="20" w:after="20"/>
              <w:jc w:val="right"/>
              <w:rPr>
                <w:noProof/>
                <w:sz w:val="20"/>
              </w:rPr>
            </w:pPr>
          </w:p>
        </w:tc>
        <w:tc>
          <w:tcPr>
            <w:tcW w:w="868" w:type="dxa"/>
            <w:vAlign w:val="center"/>
          </w:tcPr>
          <w:p w14:paraId="7FBF1914" w14:textId="77777777" w:rsidR="00950C34" w:rsidRDefault="00950C34" w:rsidP="00FA7B33">
            <w:pPr>
              <w:spacing w:before="20" w:after="20"/>
              <w:jc w:val="right"/>
              <w:rPr>
                <w:noProof/>
                <w:sz w:val="20"/>
              </w:rPr>
            </w:pPr>
          </w:p>
        </w:tc>
        <w:tc>
          <w:tcPr>
            <w:tcW w:w="868" w:type="dxa"/>
            <w:vAlign w:val="center"/>
          </w:tcPr>
          <w:p w14:paraId="61320C39" w14:textId="77777777" w:rsidR="00950C34" w:rsidRDefault="00950C34" w:rsidP="00FA7B33">
            <w:pPr>
              <w:spacing w:before="20" w:after="20"/>
              <w:jc w:val="right"/>
              <w:rPr>
                <w:noProof/>
                <w:sz w:val="20"/>
              </w:rPr>
            </w:pPr>
          </w:p>
        </w:tc>
        <w:tc>
          <w:tcPr>
            <w:tcW w:w="868" w:type="dxa"/>
            <w:vAlign w:val="center"/>
          </w:tcPr>
          <w:p w14:paraId="580BDF91" w14:textId="77777777" w:rsidR="00950C34" w:rsidRDefault="00950C34" w:rsidP="00FA7B33">
            <w:pPr>
              <w:spacing w:before="20" w:after="20"/>
              <w:jc w:val="right"/>
              <w:rPr>
                <w:noProof/>
                <w:sz w:val="20"/>
              </w:rPr>
            </w:pPr>
          </w:p>
        </w:tc>
        <w:tc>
          <w:tcPr>
            <w:tcW w:w="868" w:type="dxa"/>
            <w:vAlign w:val="center"/>
          </w:tcPr>
          <w:p w14:paraId="5A8C96FD" w14:textId="77777777" w:rsidR="00950C34" w:rsidRDefault="00950C34" w:rsidP="00FA7B33">
            <w:pPr>
              <w:spacing w:before="20" w:after="20"/>
              <w:jc w:val="right"/>
              <w:rPr>
                <w:b/>
                <w:noProof/>
                <w:sz w:val="20"/>
              </w:rPr>
            </w:pPr>
          </w:p>
        </w:tc>
        <w:tc>
          <w:tcPr>
            <w:tcW w:w="1777" w:type="dxa"/>
            <w:tcBorders>
              <w:right w:val="single" w:sz="4" w:space="0" w:color="auto"/>
            </w:tcBorders>
            <w:vAlign w:val="center"/>
          </w:tcPr>
          <w:p w14:paraId="5E895587" w14:textId="77777777" w:rsidR="00950C34" w:rsidRDefault="00950C34" w:rsidP="00FA7B33">
            <w:pPr>
              <w:spacing w:before="20" w:after="20"/>
              <w:jc w:val="right"/>
              <w:rPr>
                <w:b/>
                <w:noProof/>
                <w:sz w:val="20"/>
              </w:rPr>
            </w:pPr>
          </w:p>
        </w:tc>
      </w:tr>
      <w:tr w:rsidR="00950C34" w14:paraId="26040B9B" w14:textId="77777777" w:rsidTr="00FA7B33">
        <w:tc>
          <w:tcPr>
            <w:tcW w:w="3960" w:type="dxa"/>
            <w:vMerge/>
            <w:tcBorders>
              <w:top w:val="single" w:sz="4" w:space="0" w:color="FF0000"/>
              <w:left w:val="single" w:sz="4" w:space="0" w:color="auto"/>
              <w:bottom w:val="single" w:sz="4" w:space="0" w:color="auto"/>
            </w:tcBorders>
            <w:shd w:val="thinDiagStripe" w:color="C0C0C0" w:fill="auto"/>
          </w:tcPr>
          <w:p w14:paraId="6C011FC2" w14:textId="77777777" w:rsidR="00950C34" w:rsidRDefault="00950C34" w:rsidP="00FA7B33">
            <w:pPr>
              <w:rPr>
                <w:noProof/>
                <w:sz w:val="20"/>
              </w:rPr>
            </w:pPr>
          </w:p>
        </w:tc>
        <w:tc>
          <w:tcPr>
            <w:tcW w:w="1440" w:type="dxa"/>
            <w:tcBorders>
              <w:bottom w:val="single" w:sz="4" w:space="0" w:color="auto"/>
            </w:tcBorders>
            <w:vAlign w:val="center"/>
          </w:tcPr>
          <w:p w14:paraId="022C39E2" w14:textId="77777777" w:rsidR="00950C34" w:rsidRDefault="00950C34" w:rsidP="00FA7B33">
            <w:pPr>
              <w:rPr>
                <w:noProof/>
                <w:sz w:val="18"/>
              </w:rPr>
            </w:pPr>
            <w:r>
              <w:rPr>
                <w:noProof/>
                <w:sz w:val="18"/>
              </w:rPr>
              <w:t>Payments</w:t>
            </w:r>
          </w:p>
        </w:tc>
        <w:tc>
          <w:tcPr>
            <w:tcW w:w="654" w:type="dxa"/>
            <w:tcBorders>
              <w:bottom w:val="single" w:sz="4" w:space="0" w:color="auto"/>
            </w:tcBorders>
            <w:vAlign w:val="center"/>
          </w:tcPr>
          <w:p w14:paraId="75B555DC" w14:textId="77777777" w:rsidR="00950C34" w:rsidRDefault="00950C34" w:rsidP="00FA7B33">
            <w:pPr>
              <w:jc w:val="center"/>
              <w:rPr>
                <w:noProof/>
                <w:sz w:val="14"/>
              </w:rPr>
            </w:pPr>
            <w:r>
              <w:rPr>
                <w:noProof/>
                <w:sz w:val="14"/>
              </w:rPr>
              <w:t>=5+ 6</w:t>
            </w:r>
          </w:p>
        </w:tc>
        <w:tc>
          <w:tcPr>
            <w:tcW w:w="868" w:type="dxa"/>
            <w:tcBorders>
              <w:bottom w:val="single" w:sz="4" w:space="0" w:color="auto"/>
            </w:tcBorders>
            <w:vAlign w:val="center"/>
          </w:tcPr>
          <w:p w14:paraId="48ABD30F" w14:textId="77777777" w:rsidR="00950C34" w:rsidRDefault="00950C34" w:rsidP="00FA7B33">
            <w:pPr>
              <w:spacing w:before="20" w:after="20"/>
              <w:jc w:val="right"/>
              <w:rPr>
                <w:noProof/>
                <w:sz w:val="20"/>
              </w:rPr>
            </w:pPr>
          </w:p>
        </w:tc>
        <w:tc>
          <w:tcPr>
            <w:tcW w:w="868" w:type="dxa"/>
            <w:tcBorders>
              <w:bottom w:val="single" w:sz="4" w:space="0" w:color="auto"/>
            </w:tcBorders>
            <w:vAlign w:val="center"/>
          </w:tcPr>
          <w:p w14:paraId="02CCB3DB" w14:textId="77777777" w:rsidR="00950C34" w:rsidRDefault="00950C34" w:rsidP="00FA7B33">
            <w:pPr>
              <w:spacing w:before="20" w:after="20"/>
              <w:jc w:val="right"/>
              <w:rPr>
                <w:noProof/>
                <w:sz w:val="20"/>
              </w:rPr>
            </w:pPr>
          </w:p>
        </w:tc>
        <w:tc>
          <w:tcPr>
            <w:tcW w:w="868" w:type="dxa"/>
            <w:tcBorders>
              <w:bottom w:val="single" w:sz="4" w:space="0" w:color="auto"/>
            </w:tcBorders>
            <w:vAlign w:val="center"/>
          </w:tcPr>
          <w:p w14:paraId="021C7E07" w14:textId="77777777" w:rsidR="00950C34" w:rsidRDefault="00950C34" w:rsidP="00FA7B33">
            <w:pPr>
              <w:spacing w:before="20" w:after="20"/>
              <w:jc w:val="right"/>
              <w:rPr>
                <w:noProof/>
                <w:sz w:val="20"/>
              </w:rPr>
            </w:pPr>
          </w:p>
        </w:tc>
        <w:tc>
          <w:tcPr>
            <w:tcW w:w="868" w:type="dxa"/>
            <w:tcBorders>
              <w:bottom w:val="single" w:sz="4" w:space="0" w:color="auto"/>
            </w:tcBorders>
            <w:vAlign w:val="center"/>
          </w:tcPr>
          <w:p w14:paraId="1A1B7F21" w14:textId="77777777" w:rsidR="00950C34" w:rsidRDefault="00950C34" w:rsidP="00FA7B33">
            <w:pPr>
              <w:spacing w:before="20" w:after="20"/>
              <w:jc w:val="right"/>
              <w:rPr>
                <w:noProof/>
                <w:sz w:val="20"/>
              </w:rPr>
            </w:pPr>
          </w:p>
        </w:tc>
        <w:tc>
          <w:tcPr>
            <w:tcW w:w="868" w:type="dxa"/>
            <w:tcBorders>
              <w:bottom w:val="single" w:sz="4" w:space="0" w:color="auto"/>
            </w:tcBorders>
            <w:vAlign w:val="center"/>
          </w:tcPr>
          <w:p w14:paraId="2BE8E263" w14:textId="77777777" w:rsidR="00950C34" w:rsidRDefault="00950C34" w:rsidP="00FA7B33">
            <w:pPr>
              <w:spacing w:before="20" w:after="20"/>
              <w:jc w:val="right"/>
              <w:rPr>
                <w:noProof/>
                <w:sz w:val="20"/>
              </w:rPr>
            </w:pPr>
          </w:p>
        </w:tc>
        <w:tc>
          <w:tcPr>
            <w:tcW w:w="868" w:type="dxa"/>
            <w:tcBorders>
              <w:bottom w:val="single" w:sz="4" w:space="0" w:color="auto"/>
            </w:tcBorders>
            <w:vAlign w:val="center"/>
          </w:tcPr>
          <w:p w14:paraId="2041B42C" w14:textId="77777777" w:rsidR="00950C34" w:rsidRDefault="00950C34" w:rsidP="00FA7B33">
            <w:pPr>
              <w:spacing w:before="20" w:after="20"/>
              <w:jc w:val="right"/>
              <w:rPr>
                <w:noProof/>
                <w:sz w:val="20"/>
              </w:rPr>
            </w:pPr>
          </w:p>
        </w:tc>
        <w:tc>
          <w:tcPr>
            <w:tcW w:w="868" w:type="dxa"/>
            <w:tcBorders>
              <w:bottom w:val="single" w:sz="4" w:space="0" w:color="auto"/>
            </w:tcBorders>
            <w:vAlign w:val="center"/>
          </w:tcPr>
          <w:p w14:paraId="13A9B2D6" w14:textId="77777777" w:rsidR="00950C34" w:rsidRDefault="00950C34" w:rsidP="00FA7B33">
            <w:pPr>
              <w:spacing w:before="20" w:after="20"/>
              <w:jc w:val="right"/>
              <w:rPr>
                <w:b/>
                <w:noProof/>
                <w:sz w:val="20"/>
              </w:rPr>
            </w:pPr>
          </w:p>
        </w:tc>
        <w:tc>
          <w:tcPr>
            <w:tcW w:w="1777" w:type="dxa"/>
            <w:tcBorders>
              <w:bottom w:val="single" w:sz="4" w:space="0" w:color="auto"/>
              <w:right w:val="single" w:sz="4" w:space="0" w:color="auto"/>
            </w:tcBorders>
            <w:vAlign w:val="center"/>
          </w:tcPr>
          <w:p w14:paraId="703E6DB7" w14:textId="77777777" w:rsidR="00950C34" w:rsidRDefault="00950C34" w:rsidP="00FA7B33">
            <w:pPr>
              <w:spacing w:before="20" w:after="20"/>
              <w:jc w:val="right"/>
              <w:rPr>
                <w:b/>
                <w:noProof/>
                <w:sz w:val="20"/>
              </w:rPr>
            </w:pPr>
          </w:p>
        </w:tc>
      </w:tr>
    </w:tbl>
    <w:p w14:paraId="043DF22F" w14:textId="77777777" w:rsidR="00950C34" w:rsidRDefault="00950C34" w:rsidP="00950C34">
      <w:pPr>
        <w:rPr>
          <w:noProof/>
        </w:rPr>
      </w:pPr>
    </w:p>
    <w:p w14:paraId="5780A361" w14:textId="77777777" w:rsidR="00950C34" w:rsidRDefault="00950C34" w:rsidP="00950C34">
      <w:pPr>
        <w:spacing w:before="0" w:after="0"/>
        <w:jc w:val="left"/>
        <w:rPr>
          <w:noProof/>
        </w:rPr>
      </w:pPr>
      <w:r>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462"/>
      </w:tblGrid>
      <w:tr w:rsidR="00950C34" w14:paraId="1AF4985A" w14:textId="77777777" w:rsidTr="00FA7B33">
        <w:trPr>
          <w:jc w:val="center"/>
        </w:trPr>
        <w:tc>
          <w:tcPr>
            <w:tcW w:w="4744" w:type="dxa"/>
            <w:shd w:val="thinDiagStripe" w:color="C0C0C0" w:fill="auto"/>
            <w:vAlign w:val="center"/>
          </w:tcPr>
          <w:p w14:paraId="7D08A3D1" w14:textId="77777777" w:rsidR="00950C34" w:rsidRPr="003A769F" w:rsidRDefault="00950C34" w:rsidP="00FA7B33">
            <w:pPr>
              <w:spacing w:before="60" w:after="60"/>
              <w:jc w:val="center"/>
              <w:rPr>
                <w:b/>
                <w:noProof/>
                <w:lang w:val="en-IE"/>
              </w:rPr>
            </w:pPr>
            <w:r w:rsidRPr="003A769F">
              <w:rPr>
                <w:noProof/>
                <w:sz w:val="22"/>
                <w:lang w:val="en-IE"/>
              </w:rPr>
              <w:br w:type="page"/>
            </w:r>
            <w:r w:rsidRPr="003A769F">
              <w:rPr>
                <w:b/>
                <w:noProof/>
                <w:sz w:val="22"/>
                <w:lang w:val="en-IE"/>
              </w:rPr>
              <w:t xml:space="preserve">Heading of multiannual financial </w:t>
            </w:r>
            <w:r w:rsidRPr="003A769F">
              <w:rPr>
                <w:noProof/>
                <w:sz w:val="22"/>
                <w:lang w:val="en-IE"/>
              </w:rPr>
              <w:br/>
            </w:r>
            <w:r w:rsidRPr="003A769F">
              <w:rPr>
                <w:b/>
                <w:noProof/>
                <w:sz w:val="22"/>
                <w:lang w:val="en-IE"/>
              </w:rPr>
              <w:t xml:space="preserve">framework </w:t>
            </w:r>
          </w:p>
        </w:tc>
        <w:tc>
          <w:tcPr>
            <w:tcW w:w="1080" w:type="dxa"/>
            <w:shd w:val="thinDiagStripe" w:color="C0C0C0" w:fill="auto"/>
            <w:vAlign w:val="center"/>
          </w:tcPr>
          <w:p w14:paraId="4F817220" w14:textId="77777777" w:rsidR="00950C34" w:rsidRDefault="00950C34" w:rsidP="00FA7B33">
            <w:pPr>
              <w:spacing w:before="60" w:after="60"/>
              <w:jc w:val="center"/>
              <w:rPr>
                <w:noProof/>
              </w:rPr>
            </w:pPr>
            <w:r>
              <w:rPr>
                <w:b/>
                <w:noProof/>
                <w:sz w:val="22"/>
              </w:rPr>
              <w:t>7</w:t>
            </w:r>
          </w:p>
        </w:tc>
        <w:tc>
          <w:tcPr>
            <w:tcW w:w="7462" w:type="dxa"/>
            <w:vAlign w:val="center"/>
          </w:tcPr>
          <w:p w14:paraId="3404105D" w14:textId="77777777" w:rsidR="00950C34" w:rsidRDefault="00950C34" w:rsidP="00FA7B33">
            <w:pPr>
              <w:spacing w:before="60" w:after="60"/>
              <w:rPr>
                <w:noProof/>
              </w:rPr>
            </w:pPr>
            <w:r>
              <w:rPr>
                <w:noProof/>
                <w:sz w:val="22"/>
              </w:rPr>
              <w:t>‘Administrative expenditure’</w:t>
            </w:r>
          </w:p>
        </w:tc>
      </w:tr>
    </w:tbl>
    <w:p w14:paraId="348582FF" w14:textId="77777777" w:rsidR="00950C34" w:rsidRPr="003A769F" w:rsidRDefault="00950C34" w:rsidP="00950C34">
      <w:pPr>
        <w:jc w:val="left"/>
        <w:rPr>
          <w:noProof/>
          <w:sz w:val="20"/>
          <w:szCs w:val="20"/>
          <w:lang w:val="en-IE"/>
        </w:rPr>
      </w:pPr>
      <w:r w:rsidRPr="31719606">
        <w:rPr>
          <w:noProof/>
          <w:lang w:val="en-IE"/>
        </w:rPr>
        <w:t xml:space="preserve">This section should be filled in using the 'budget data of an administrative nature' to be firstly introduced in the </w:t>
      </w:r>
      <w:hyperlink r:id="rId21">
        <w:r w:rsidRPr="31719606">
          <w:rPr>
            <w:rStyle w:val="Hyperlink"/>
            <w:noProof/>
            <w:lang w:val="en-IE"/>
          </w:rPr>
          <w:t>Annex to the Legislative Financial Statement</w:t>
        </w:r>
      </w:hyperlink>
      <w:r w:rsidRPr="31719606">
        <w:rPr>
          <w:noProof/>
          <w:lang w:val="en-IE"/>
        </w:rPr>
        <w:t xml:space="preserve"> (Annex 5 to the Commission decision on the internal rules for the implementation of the Commission section of the general budget of the European Union), which is uploaded to DECIDE for interservice consultation purposes.</w:t>
      </w:r>
    </w:p>
    <w:p w14:paraId="00FF435D" w14:textId="77777777" w:rsidR="00950C34" w:rsidRPr="003A769F" w:rsidRDefault="00950C34" w:rsidP="00950C34">
      <w:pPr>
        <w:jc w:val="right"/>
        <w:rPr>
          <w:noProof/>
          <w:sz w:val="20"/>
          <w:lang w:val="en-IE"/>
        </w:rPr>
      </w:pPr>
      <w:r w:rsidRPr="003A769F">
        <w:rPr>
          <w:noProof/>
          <w:sz w:val="20"/>
          <w:lang w:val="en-IE"/>
        </w:rPr>
        <w:t>EUR million (to three decimal places)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697"/>
        <w:gridCol w:w="80"/>
      </w:tblGrid>
      <w:tr w:rsidR="00950C34" w14:paraId="2E8BC0A1" w14:textId="77777777" w:rsidTr="00FA7B33">
        <w:trPr>
          <w:gridAfter w:val="1"/>
          <w:wAfter w:w="80" w:type="dxa"/>
        </w:trPr>
        <w:tc>
          <w:tcPr>
            <w:tcW w:w="3960" w:type="dxa"/>
            <w:tcBorders>
              <w:top w:val="nil"/>
              <w:left w:val="nil"/>
              <w:right w:val="nil"/>
            </w:tcBorders>
            <w:vAlign w:val="center"/>
          </w:tcPr>
          <w:p w14:paraId="5BC7E847" w14:textId="77777777" w:rsidR="00950C34" w:rsidRPr="003A769F" w:rsidRDefault="00950C34" w:rsidP="00FA7B33">
            <w:pPr>
              <w:jc w:val="center"/>
              <w:rPr>
                <w:noProof/>
                <w:lang w:val="en-IE"/>
              </w:rPr>
            </w:pPr>
          </w:p>
        </w:tc>
        <w:tc>
          <w:tcPr>
            <w:tcW w:w="1560" w:type="dxa"/>
            <w:tcBorders>
              <w:top w:val="nil"/>
              <w:left w:val="nil"/>
              <w:right w:val="nil"/>
            </w:tcBorders>
          </w:tcPr>
          <w:p w14:paraId="1F26CD0E" w14:textId="77777777" w:rsidR="00950C34" w:rsidRPr="003A769F" w:rsidRDefault="00950C34" w:rsidP="00FA7B33">
            <w:pPr>
              <w:rPr>
                <w:noProof/>
                <w:sz w:val="20"/>
                <w:lang w:val="en-IE"/>
              </w:rPr>
            </w:pPr>
          </w:p>
        </w:tc>
        <w:tc>
          <w:tcPr>
            <w:tcW w:w="534" w:type="dxa"/>
            <w:tcBorders>
              <w:top w:val="nil"/>
              <w:left w:val="nil"/>
            </w:tcBorders>
          </w:tcPr>
          <w:p w14:paraId="2E954830" w14:textId="77777777" w:rsidR="00950C34" w:rsidRPr="003A769F" w:rsidRDefault="00950C34" w:rsidP="00FA7B33">
            <w:pPr>
              <w:jc w:val="center"/>
              <w:rPr>
                <w:noProof/>
                <w:sz w:val="20"/>
                <w:lang w:val="en-IE"/>
              </w:rPr>
            </w:pPr>
          </w:p>
        </w:tc>
        <w:tc>
          <w:tcPr>
            <w:tcW w:w="868" w:type="dxa"/>
            <w:vAlign w:val="center"/>
          </w:tcPr>
          <w:p w14:paraId="2FFF1276" w14:textId="77777777" w:rsidR="00950C34" w:rsidRDefault="00950C34" w:rsidP="00FA7B33">
            <w:pPr>
              <w:jc w:val="center"/>
              <w:rPr>
                <w:noProof/>
                <w:sz w:val="20"/>
              </w:rPr>
            </w:pPr>
            <w:r>
              <w:rPr>
                <w:noProof/>
                <w:sz w:val="20"/>
              </w:rPr>
              <w:t>2023</w:t>
            </w:r>
          </w:p>
        </w:tc>
        <w:tc>
          <w:tcPr>
            <w:tcW w:w="868" w:type="dxa"/>
            <w:vAlign w:val="center"/>
          </w:tcPr>
          <w:p w14:paraId="6773F51C" w14:textId="77777777" w:rsidR="00950C34" w:rsidRDefault="00950C34" w:rsidP="00FA7B33">
            <w:pPr>
              <w:jc w:val="center"/>
              <w:rPr>
                <w:noProof/>
                <w:sz w:val="20"/>
              </w:rPr>
            </w:pPr>
            <w:r>
              <w:rPr>
                <w:noProof/>
                <w:sz w:val="20"/>
              </w:rPr>
              <w:t>2024</w:t>
            </w:r>
          </w:p>
        </w:tc>
        <w:tc>
          <w:tcPr>
            <w:tcW w:w="868" w:type="dxa"/>
            <w:vAlign w:val="center"/>
          </w:tcPr>
          <w:p w14:paraId="668F0E82" w14:textId="77777777" w:rsidR="00950C34" w:rsidRDefault="00950C34" w:rsidP="00FA7B33">
            <w:pPr>
              <w:jc w:val="center"/>
              <w:rPr>
                <w:noProof/>
                <w:sz w:val="20"/>
              </w:rPr>
            </w:pPr>
            <w:r>
              <w:rPr>
                <w:noProof/>
                <w:sz w:val="20"/>
              </w:rPr>
              <w:t>2025</w:t>
            </w:r>
          </w:p>
        </w:tc>
        <w:tc>
          <w:tcPr>
            <w:tcW w:w="868" w:type="dxa"/>
            <w:vAlign w:val="center"/>
          </w:tcPr>
          <w:p w14:paraId="192C7B2E" w14:textId="77777777" w:rsidR="00950C34" w:rsidRDefault="00950C34" w:rsidP="00FA7B33">
            <w:pPr>
              <w:jc w:val="center"/>
              <w:rPr>
                <w:noProof/>
                <w:sz w:val="20"/>
              </w:rPr>
            </w:pPr>
            <w:r w:rsidRPr="008F27C3">
              <w:rPr>
                <w:noProof/>
                <w:sz w:val="20"/>
              </w:rPr>
              <w:t>2026</w:t>
            </w:r>
          </w:p>
        </w:tc>
        <w:tc>
          <w:tcPr>
            <w:tcW w:w="868" w:type="dxa"/>
            <w:vAlign w:val="center"/>
          </w:tcPr>
          <w:p w14:paraId="5A7E410B" w14:textId="77777777" w:rsidR="00950C34" w:rsidRPr="008F27C3" w:rsidRDefault="00950C34" w:rsidP="00FA7B33">
            <w:pPr>
              <w:jc w:val="center"/>
              <w:rPr>
                <w:noProof/>
                <w:sz w:val="18"/>
                <w:lang w:val="en-IE"/>
              </w:rPr>
            </w:pPr>
            <w:r w:rsidRPr="008F27C3">
              <w:rPr>
                <w:noProof/>
                <w:sz w:val="18"/>
                <w:lang w:val="en-IE"/>
              </w:rPr>
              <w:t>2027</w:t>
            </w:r>
          </w:p>
        </w:tc>
        <w:tc>
          <w:tcPr>
            <w:tcW w:w="868" w:type="dxa"/>
            <w:vAlign w:val="center"/>
          </w:tcPr>
          <w:p w14:paraId="389218B7" w14:textId="77777777" w:rsidR="00950C34" w:rsidRPr="00277A60" w:rsidRDefault="00950C34" w:rsidP="00FA7B33">
            <w:pPr>
              <w:jc w:val="center"/>
              <w:rPr>
                <w:bCs/>
                <w:noProof/>
                <w:sz w:val="18"/>
                <w:lang w:val="en-IE"/>
              </w:rPr>
            </w:pPr>
            <w:r w:rsidRPr="00EA3C12">
              <w:rPr>
                <w:bCs/>
                <w:noProof/>
                <w:sz w:val="18"/>
                <w:lang w:val="en-IE"/>
              </w:rPr>
              <w:t>2028</w:t>
            </w:r>
          </w:p>
        </w:tc>
        <w:tc>
          <w:tcPr>
            <w:tcW w:w="868" w:type="dxa"/>
            <w:vAlign w:val="center"/>
          </w:tcPr>
          <w:p w14:paraId="57CAF687" w14:textId="77777777" w:rsidR="00950C34" w:rsidRPr="00EA3C12" w:rsidRDefault="00950C34" w:rsidP="00FA7B33">
            <w:pPr>
              <w:jc w:val="center"/>
              <w:rPr>
                <w:noProof/>
                <w:sz w:val="18"/>
                <w:lang w:val="en-IE"/>
              </w:rPr>
            </w:pPr>
            <w:r w:rsidRPr="00EA3C12">
              <w:rPr>
                <w:bCs/>
                <w:noProof/>
                <w:sz w:val="18"/>
                <w:lang w:val="en-IE"/>
              </w:rPr>
              <w:t>2029</w:t>
            </w:r>
          </w:p>
        </w:tc>
        <w:tc>
          <w:tcPr>
            <w:tcW w:w="1697" w:type="dxa"/>
            <w:vAlign w:val="center"/>
          </w:tcPr>
          <w:p w14:paraId="20606EEA" w14:textId="77777777" w:rsidR="00950C34" w:rsidRDefault="00950C34" w:rsidP="00FA7B33">
            <w:pPr>
              <w:jc w:val="center"/>
              <w:rPr>
                <w:b/>
                <w:noProof/>
                <w:sz w:val="20"/>
              </w:rPr>
            </w:pPr>
            <w:r>
              <w:rPr>
                <w:b/>
                <w:noProof/>
                <w:sz w:val="20"/>
              </w:rPr>
              <w:t>TOTAL</w:t>
            </w:r>
          </w:p>
        </w:tc>
      </w:tr>
      <w:tr w:rsidR="00950C34" w14:paraId="6B496F44" w14:textId="77777777" w:rsidTr="00FA7B33">
        <w:trPr>
          <w:gridAfter w:val="11"/>
          <w:wAfter w:w="9947" w:type="dxa"/>
        </w:trPr>
        <w:tc>
          <w:tcPr>
            <w:tcW w:w="3960" w:type="dxa"/>
            <w:vAlign w:val="center"/>
          </w:tcPr>
          <w:p w14:paraId="4269AE1D" w14:textId="77777777" w:rsidR="00950C34" w:rsidRDefault="00950C34" w:rsidP="00FA7B33">
            <w:pPr>
              <w:spacing w:before="60" w:after="60"/>
              <w:jc w:val="center"/>
              <w:rPr>
                <w:noProof/>
              </w:rPr>
            </w:pPr>
            <w:r>
              <w:rPr>
                <w:noProof/>
                <w:sz w:val="22"/>
              </w:rPr>
              <w:t>DG: &lt;…….&gt;</w:t>
            </w:r>
          </w:p>
        </w:tc>
      </w:tr>
      <w:tr w:rsidR="00950C34" w14:paraId="47DC351C" w14:textId="77777777" w:rsidTr="00FA7B33">
        <w:trPr>
          <w:trHeight w:val="313"/>
        </w:trPr>
        <w:tc>
          <w:tcPr>
            <w:tcW w:w="6054" w:type="dxa"/>
            <w:gridSpan w:val="3"/>
            <w:vAlign w:val="center"/>
          </w:tcPr>
          <w:p w14:paraId="7B3E70A5" w14:textId="77777777" w:rsidR="00950C34" w:rsidRDefault="00950C34" w:rsidP="00FA7B33">
            <w:pPr>
              <w:spacing w:before="20" w:after="20"/>
              <w:rPr>
                <w:noProof/>
              </w:rPr>
            </w:pPr>
            <w:r w:rsidRPr="31719606">
              <w:rPr>
                <w:rFonts w:ascii="Wingdings" w:eastAsia="Wingdings" w:hAnsi="Wingdings" w:cs="Wingdings"/>
                <w:noProof/>
                <w:sz w:val="22"/>
              </w:rPr>
              <w:t>□</w:t>
            </w:r>
            <w:r w:rsidRPr="31719606">
              <w:rPr>
                <w:noProof/>
                <w:sz w:val="22"/>
              </w:rPr>
              <w:t xml:space="preserve"> Human resources </w:t>
            </w:r>
          </w:p>
        </w:tc>
        <w:tc>
          <w:tcPr>
            <w:tcW w:w="868" w:type="dxa"/>
            <w:vAlign w:val="center"/>
          </w:tcPr>
          <w:p w14:paraId="25746E57" w14:textId="77777777" w:rsidR="00950C34" w:rsidRDefault="00950C34" w:rsidP="00FA7B33">
            <w:pPr>
              <w:spacing w:before="20" w:after="20"/>
              <w:jc w:val="right"/>
              <w:rPr>
                <w:noProof/>
                <w:sz w:val="20"/>
                <w:szCs w:val="20"/>
              </w:rPr>
            </w:pPr>
          </w:p>
        </w:tc>
        <w:tc>
          <w:tcPr>
            <w:tcW w:w="868" w:type="dxa"/>
            <w:vAlign w:val="center"/>
          </w:tcPr>
          <w:p w14:paraId="7EB9D7F1" w14:textId="77777777" w:rsidR="00950C34" w:rsidRPr="00706583" w:rsidRDefault="00950C34" w:rsidP="00FA7B33">
            <w:pPr>
              <w:jc w:val="center"/>
              <w:rPr>
                <w:rFonts w:eastAsia="Times New Roman"/>
                <w:noProof/>
                <w:sz w:val="16"/>
                <w:szCs w:val="16"/>
              </w:rPr>
            </w:pPr>
            <w:r w:rsidRPr="00706583">
              <w:rPr>
                <w:rFonts w:eastAsia="Times New Roman"/>
                <w:noProof/>
                <w:sz w:val="16"/>
                <w:szCs w:val="16"/>
              </w:rPr>
              <w:t>3,026</w:t>
            </w:r>
          </w:p>
        </w:tc>
        <w:tc>
          <w:tcPr>
            <w:tcW w:w="868" w:type="dxa"/>
            <w:vAlign w:val="center"/>
          </w:tcPr>
          <w:p w14:paraId="3A9E3EAC" w14:textId="77777777" w:rsidR="00950C34" w:rsidRPr="00706583" w:rsidRDefault="00950C34" w:rsidP="00FA7B33">
            <w:pPr>
              <w:jc w:val="center"/>
              <w:rPr>
                <w:rFonts w:eastAsia="Times New Roman"/>
                <w:noProof/>
                <w:sz w:val="16"/>
                <w:szCs w:val="16"/>
              </w:rPr>
            </w:pPr>
            <w:r w:rsidRPr="00706583">
              <w:rPr>
                <w:rFonts w:eastAsia="Times New Roman"/>
                <w:noProof/>
                <w:sz w:val="16"/>
                <w:szCs w:val="16"/>
              </w:rPr>
              <w:t>3,026</w:t>
            </w:r>
          </w:p>
        </w:tc>
        <w:tc>
          <w:tcPr>
            <w:tcW w:w="868" w:type="dxa"/>
            <w:vAlign w:val="center"/>
          </w:tcPr>
          <w:p w14:paraId="63D72BB7" w14:textId="77777777" w:rsidR="00950C34" w:rsidRPr="00706583" w:rsidRDefault="00950C34" w:rsidP="00FA7B33">
            <w:pPr>
              <w:jc w:val="center"/>
              <w:rPr>
                <w:rFonts w:eastAsia="Times New Roman"/>
                <w:noProof/>
                <w:sz w:val="16"/>
                <w:szCs w:val="16"/>
              </w:rPr>
            </w:pPr>
            <w:r w:rsidRPr="00706583">
              <w:rPr>
                <w:rFonts w:eastAsia="Times New Roman"/>
                <w:noProof/>
                <w:sz w:val="16"/>
                <w:szCs w:val="16"/>
              </w:rPr>
              <w:t>3,026</w:t>
            </w:r>
          </w:p>
        </w:tc>
        <w:tc>
          <w:tcPr>
            <w:tcW w:w="868" w:type="dxa"/>
            <w:vAlign w:val="center"/>
          </w:tcPr>
          <w:p w14:paraId="50B50683" w14:textId="77777777" w:rsidR="00950C34" w:rsidRPr="00706583" w:rsidRDefault="00950C34" w:rsidP="00FA7B33">
            <w:pPr>
              <w:jc w:val="center"/>
              <w:rPr>
                <w:rFonts w:eastAsia="Times New Roman"/>
                <w:noProof/>
                <w:sz w:val="16"/>
                <w:szCs w:val="16"/>
              </w:rPr>
            </w:pPr>
            <w:r w:rsidRPr="00706583">
              <w:rPr>
                <w:rFonts w:eastAsia="Times New Roman"/>
                <w:noProof/>
                <w:sz w:val="16"/>
                <w:szCs w:val="16"/>
              </w:rPr>
              <w:t>3,026</w:t>
            </w:r>
          </w:p>
        </w:tc>
        <w:tc>
          <w:tcPr>
            <w:tcW w:w="868" w:type="dxa"/>
            <w:vAlign w:val="center"/>
          </w:tcPr>
          <w:p w14:paraId="4BC7B32B" w14:textId="77777777" w:rsidR="00950C34" w:rsidRPr="00706583" w:rsidRDefault="00950C34" w:rsidP="00FA7B33">
            <w:pPr>
              <w:jc w:val="center"/>
              <w:rPr>
                <w:rFonts w:eastAsia="Times New Roman"/>
                <w:noProof/>
                <w:sz w:val="16"/>
                <w:szCs w:val="16"/>
              </w:rPr>
            </w:pPr>
            <w:r w:rsidRPr="00706583">
              <w:rPr>
                <w:rFonts w:eastAsia="Times New Roman"/>
                <w:noProof/>
                <w:sz w:val="16"/>
                <w:szCs w:val="16"/>
              </w:rPr>
              <w:t>1,037</w:t>
            </w:r>
          </w:p>
        </w:tc>
        <w:tc>
          <w:tcPr>
            <w:tcW w:w="868" w:type="dxa"/>
            <w:vAlign w:val="center"/>
          </w:tcPr>
          <w:p w14:paraId="473161D2" w14:textId="77777777" w:rsidR="00950C34" w:rsidRPr="00706583" w:rsidRDefault="00950C34" w:rsidP="00FA7B33">
            <w:pPr>
              <w:jc w:val="center"/>
              <w:rPr>
                <w:rFonts w:eastAsia="Times New Roman"/>
                <w:noProof/>
                <w:sz w:val="16"/>
                <w:szCs w:val="16"/>
              </w:rPr>
            </w:pPr>
            <w:r w:rsidRPr="00706583">
              <w:rPr>
                <w:rFonts w:eastAsia="Times New Roman"/>
                <w:noProof/>
                <w:sz w:val="16"/>
                <w:szCs w:val="16"/>
              </w:rPr>
              <w:t xml:space="preserve">1,037 </w:t>
            </w:r>
          </w:p>
        </w:tc>
        <w:tc>
          <w:tcPr>
            <w:tcW w:w="1777" w:type="dxa"/>
            <w:gridSpan w:val="2"/>
            <w:vAlign w:val="center"/>
          </w:tcPr>
          <w:p w14:paraId="4C829007" w14:textId="77777777" w:rsidR="00950C34" w:rsidRPr="00706583" w:rsidRDefault="00950C34" w:rsidP="00FA7B33">
            <w:pPr>
              <w:jc w:val="center"/>
              <w:rPr>
                <w:rFonts w:eastAsia="Times New Roman"/>
                <w:noProof/>
                <w:sz w:val="16"/>
                <w:szCs w:val="16"/>
              </w:rPr>
            </w:pPr>
            <w:r w:rsidRPr="00706583">
              <w:rPr>
                <w:rFonts w:eastAsia="Times New Roman"/>
                <w:noProof/>
                <w:sz w:val="16"/>
                <w:szCs w:val="16"/>
              </w:rPr>
              <w:t>14,178</w:t>
            </w:r>
          </w:p>
        </w:tc>
      </w:tr>
      <w:tr w:rsidR="00950C34" w14:paraId="680DE3F6" w14:textId="77777777" w:rsidTr="00FA7B33">
        <w:trPr>
          <w:trHeight w:val="351"/>
        </w:trPr>
        <w:tc>
          <w:tcPr>
            <w:tcW w:w="6054" w:type="dxa"/>
            <w:gridSpan w:val="3"/>
            <w:vAlign w:val="center"/>
          </w:tcPr>
          <w:p w14:paraId="65EE4178" w14:textId="77777777" w:rsidR="00950C34" w:rsidRDefault="00950C34" w:rsidP="00FA7B33">
            <w:pPr>
              <w:spacing w:before="20" w:after="20"/>
              <w:rPr>
                <w:noProof/>
              </w:rPr>
            </w:pPr>
            <w:r>
              <w:rPr>
                <w:rFonts w:ascii="Wingdings" w:eastAsia="Wingdings" w:hAnsi="Wingdings" w:cs="Wingdings"/>
                <w:noProof/>
                <w:sz w:val="22"/>
              </w:rPr>
              <w:t>□</w:t>
            </w:r>
            <w:r>
              <w:rPr>
                <w:noProof/>
                <w:sz w:val="22"/>
              </w:rPr>
              <w:t xml:space="preserve"> Other administrative expenditure </w:t>
            </w:r>
          </w:p>
        </w:tc>
        <w:tc>
          <w:tcPr>
            <w:tcW w:w="868" w:type="dxa"/>
            <w:vAlign w:val="center"/>
          </w:tcPr>
          <w:p w14:paraId="005291AF" w14:textId="77777777" w:rsidR="00950C34" w:rsidRDefault="00950C34" w:rsidP="00FA7B33">
            <w:pPr>
              <w:spacing w:before="20" w:after="20"/>
              <w:jc w:val="right"/>
              <w:rPr>
                <w:b/>
                <w:noProof/>
                <w:sz w:val="20"/>
              </w:rPr>
            </w:pPr>
          </w:p>
        </w:tc>
        <w:tc>
          <w:tcPr>
            <w:tcW w:w="868" w:type="dxa"/>
            <w:vAlign w:val="center"/>
          </w:tcPr>
          <w:p w14:paraId="7AAB8810" w14:textId="77777777" w:rsidR="00950C34" w:rsidRDefault="00950C34" w:rsidP="00FA7B33">
            <w:pPr>
              <w:spacing w:before="60" w:after="60" w:line="200" w:lineRule="exact"/>
              <w:jc w:val="center"/>
              <w:rPr>
                <w:rFonts w:eastAsia="Times New Roman"/>
                <w:noProof/>
                <w:color w:val="000000" w:themeColor="text1"/>
                <w:sz w:val="16"/>
                <w:szCs w:val="16"/>
              </w:rPr>
            </w:pPr>
            <w:r w:rsidRPr="00706583">
              <w:rPr>
                <w:rFonts w:eastAsia="Times New Roman"/>
                <w:noProof/>
                <w:color w:val="000000" w:themeColor="text1"/>
                <w:sz w:val="16"/>
                <w:szCs w:val="16"/>
              </w:rPr>
              <w:t>0.257</w:t>
            </w:r>
          </w:p>
        </w:tc>
        <w:tc>
          <w:tcPr>
            <w:tcW w:w="868" w:type="dxa"/>
            <w:vAlign w:val="center"/>
          </w:tcPr>
          <w:p w14:paraId="218FD570" w14:textId="77777777" w:rsidR="00950C34" w:rsidRDefault="00950C34" w:rsidP="00FA7B33">
            <w:pPr>
              <w:spacing w:before="60" w:after="60" w:line="200" w:lineRule="exact"/>
              <w:jc w:val="center"/>
              <w:rPr>
                <w:rFonts w:eastAsia="Times New Roman"/>
                <w:noProof/>
                <w:color w:val="000000" w:themeColor="text1"/>
                <w:sz w:val="16"/>
                <w:szCs w:val="16"/>
              </w:rPr>
            </w:pPr>
            <w:r w:rsidRPr="00706583">
              <w:rPr>
                <w:rFonts w:eastAsia="Times New Roman"/>
                <w:noProof/>
                <w:color w:val="000000" w:themeColor="text1"/>
                <w:sz w:val="16"/>
                <w:szCs w:val="16"/>
              </w:rPr>
              <w:t>0.385</w:t>
            </w:r>
          </w:p>
        </w:tc>
        <w:tc>
          <w:tcPr>
            <w:tcW w:w="868" w:type="dxa"/>
            <w:vAlign w:val="center"/>
          </w:tcPr>
          <w:p w14:paraId="25FBE2B6" w14:textId="77777777" w:rsidR="00950C34" w:rsidRDefault="00950C34" w:rsidP="00FA7B33">
            <w:pPr>
              <w:spacing w:before="60" w:after="60" w:line="200" w:lineRule="exact"/>
              <w:jc w:val="center"/>
              <w:rPr>
                <w:rFonts w:eastAsia="Times New Roman"/>
                <w:noProof/>
                <w:color w:val="000000" w:themeColor="text1"/>
                <w:sz w:val="16"/>
                <w:szCs w:val="16"/>
              </w:rPr>
            </w:pPr>
            <w:r w:rsidRPr="00706583">
              <w:rPr>
                <w:rFonts w:eastAsia="Times New Roman"/>
                <w:noProof/>
                <w:color w:val="000000" w:themeColor="text1"/>
                <w:sz w:val="16"/>
                <w:szCs w:val="16"/>
              </w:rPr>
              <w:t>0.385</w:t>
            </w:r>
          </w:p>
        </w:tc>
        <w:tc>
          <w:tcPr>
            <w:tcW w:w="868" w:type="dxa"/>
            <w:vAlign w:val="center"/>
          </w:tcPr>
          <w:p w14:paraId="4B351C5C" w14:textId="77777777" w:rsidR="00950C34" w:rsidRDefault="00950C34" w:rsidP="00FA7B33">
            <w:pPr>
              <w:spacing w:before="60" w:after="60" w:line="200" w:lineRule="exact"/>
              <w:jc w:val="center"/>
              <w:rPr>
                <w:rFonts w:eastAsia="Times New Roman"/>
                <w:noProof/>
                <w:color w:val="000000" w:themeColor="text1"/>
                <w:sz w:val="16"/>
                <w:szCs w:val="16"/>
              </w:rPr>
            </w:pPr>
            <w:r w:rsidRPr="00706583">
              <w:rPr>
                <w:rFonts w:eastAsia="Times New Roman"/>
                <w:noProof/>
                <w:color w:val="000000" w:themeColor="text1"/>
                <w:sz w:val="16"/>
                <w:szCs w:val="16"/>
              </w:rPr>
              <w:t>0.257</w:t>
            </w:r>
          </w:p>
        </w:tc>
        <w:tc>
          <w:tcPr>
            <w:tcW w:w="868" w:type="dxa"/>
            <w:vAlign w:val="center"/>
          </w:tcPr>
          <w:p w14:paraId="4F8DD0C2" w14:textId="77777777" w:rsidR="00950C34" w:rsidRDefault="00950C34" w:rsidP="00FA7B33">
            <w:pPr>
              <w:spacing w:before="60" w:after="60" w:line="200" w:lineRule="exact"/>
              <w:jc w:val="center"/>
              <w:rPr>
                <w:rFonts w:eastAsia="Times New Roman"/>
                <w:noProof/>
                <w:color w:val="000000" w:themeColor="text1"/>
                <w:sz w:val="16"/>
                <w:szCs w:val="16"/>
              </w:rPr>
            </w:pPr>
            <w:r w:rsidRPr="00706583">
              <w:rPr>
                <w:rFonts w:eastAsia="Times New Roman"/>
                <w:noProof/>
                <w:color w:val="000000" w:themeColor="text1"/>
                <w:sz w:val="16"/>
                <w:szCs w:val="16"/>
              </w:rPr>
              <w:t>0.182</w:t>
            </w:r>
          </w:p>
        </w:tc>
        <w:tc>
          <w:tcPr>
            <w:tcW w:w="868" w:type="dxa"/>
            <w:vAlign w:val="center"/>
          </w:tcPr>
          <w:p w14:paraId="0E8E8C6E" w14:textId="77777777" w:rsidR="00950C34" w:rsidRDefault="00950C34" w:rsidP="00FA7B33">
            <w:pPr>
              <w:spacing w:before="60" w:after="60" w:line="200" w:lineRule="exact"/>
              <w:jc w:val="center"/>
              <w:rPr>
                <w:rFonts w:eastAsia="Times New Roman"/>
                <w:noProof/>
                <w:color w:val="000000" w:themeColor="text1"/>
                <w:sz w:val="16"/>
                <w:szCs w:val="16"/>
              </w:rPr>
            </w:pPr>
            <w:r w:rsidRPr="00706583">
              <w:rPr>
                <w:rFonts w:eastAsia="Times New Roman"/>
                <w:noProof/>
                <w:color w:val="000000" w:themeColor="text1"/>
                <w:sz w:val="16"/>
                <w:szCs w:val="16"/>
              </w:rPr>
              <w:t>0.182</w:t>
            </w:r>
          </w:p>
        </w:tc>
        <w:tc>
          <w:tcPr>
            <w:tcW w:w="1777" w:type="dxa"/>
            <w:gridSpan w:val="2"/>
            <w:vAlign w:val="center"/>
          </w:tcPr>
          <w:p w14:paraId="0DAE054C" w14:textId="77777777" w:rsidR="00950C34" w:rsidRPr="00706583" w:rsidRDefault="00950C34" w:rsidP="00FA7B33">
            <w:pPr>
              <w:jc w:val="center"/>
              <w:rPr>
                <w:rFonts w:eastAsia="Times New Roman"/>
                <w:noProof/>
                <w:sz w:val="16"/>
                <w:szCs w:val="16"/>
              </w:rPr>
            </w:pPr>
            <w:r w:rsidRPr="00706583">
              <w:rPr>
                <w:rFonts w:eastAsia="Times New Roman"/>
                <w:noProof/>
                <w:sz w:val="16"/>
                <w:szCs w:val="16"/>
              </w:rPr>
              <w:t>1,648</w:t>
            </w:r>
          </w:p>
        </w:tc>
      </w:tr>
      <w:tr w:rsidR="00950C34" w14:paraId="13A133AE" w14:textId="77777777" w:rsidTr="00FA7B33">
        <w:tc>
          <w:tcPr>
            <w:tcW w:w="3960" w:type="dxa"/>
            <w:vAlign w:val="center"/>
          </w:tcPr>
          <w:p w14:paraId="77EF4CC6" w14:textId="77777777" w:rsidR="00950C34" w:rsidRDefault="00950C34" w:rsidP="00FA7B33">
            <w:pPr>
              <w:jc w:val="center"/>
              <w:rPr>
                <w:b/>
                <w:noProof/>
              </w:rPr>
            </w:pPr>
            <w:r>
              <w:rPr>
                <w:b/>
                <w:noProof/>
                <w:sz w:val="22"/>
              </w:rPr>
              <w:t xml:space="preserve">TOTAL DG </w:t>
            </w:r>
            <w:r>
              <w:rPr>
                <w:noProof/>
                <w:sz w:val="22"/>
              </w:rPr>
              <w:t>&lt;…….&gt;</w:t>
            </w:r>
          </w:p>
        </w:tc>
        <w:tc>
          <w:tcPr>
            <w:tcW w:w="2094" w:type="dxa"/>
            <w:gridSpan w:val="2"/>
            <w:vAlign w:val="center"/>
          </w:tcPr>
          <w:p w14:paraId="32614429" w14:textId="77777777" w:rsidR="00950C34" w:rsidRDefault="00950C34" w:rsidP="00FA7B33">
            <w:pPr>
              <w:rPr>
                <w:noProof/>
                <w:sz w:val="14"/>
              </w:rPr>
            </w:pPr>
            <w:r>
              <w:rPr>
                <w:noProof/>
                <w:sz w:val="18"/>
              </w:rPr>
              <w:t xml:space="preserve">Appropriations </w:t>
            </w:r>
          </w:p>
        </w:tc>
        <w:tc>
          <w:tcPr>
            <w:tcW w:w="868" w:type="dxa"/>
            <w:vAlign w:val="center"/>
          </w:tcPr>
          <w:p w14:paraId="5880B907" w14:textId="77777777" w:rsidR="00950C34" w:rsidRDefault="00950C34" w:rsidP="00FA7B33">
            <w:pPr>
              <w:spacing w:before="60" w:after="60"/>
              <w:jc w:val="right"/>
              <w:rPr>
                <w:noProof/>
                <w:sz w:val="20"/>
              </w:rPr>
            </w:pPr>
          </w:p>
        </w:tc>
        <w:tc>
          <w:tcPr>
            <w:tcW w:w="868" w:type="dxa"/>
            <w:vAlign w:val="center"/>
          </w:tcPr>
          <w:p w14:paraId="5D471D1B" w14:textId="77777777" w:rsidR="00950C34" w:rsidRDefault="00950C34" w:rsidP="00FA7B33">
            <w:pPr>
              <w:jc w:val="center"/>
              <w:rPr>
                <w:rFonts w:eastAsia="Times New Roman"/>
                <w:noProof/>
                <w:sz w:val="19"/>
                <w:szCs w:val="19"/>
              </w:rPr>
            </w:pPr>
            <w:r w:rsidRPr="56D6033E">
              <w:rPr>
                <w:rFonts w:eastAsia="Times New Roman"/>
                <w:noProof/>
                <w:sz w:val="19"/>
                <w:szCs w:val="19"/>
              </w:rPr>
              <w:t>3,283</w:t>
            </w:r>
          </w:p>
        </w:tc>
        <w:tc>
          <w:tcPr>
            <w:tcW w:w="868" w:type="dxa"/>
            <w:vAlign w:val="center"/>
          </w:tcPr>
          <w:p w14:paraId="0C346D4D" w14:textId="77777777" w:rsidR="00950C34" w:rsidRDefault="00950C34" w:rsidP="00FA7B33">
            <w:pPr>
              <w:jc w:val="center"/>
              <w:rPr>
                <w:rFonts w:eastAsia="Times New Roman"/>
                <w:noProof/>
                <w:sz w:val="19"/>
                <w:szCs w:val="19"/>
              </w:rPr>
            </w:pPr>
            <w:r w:rsidRPr="56D6033E">
              <w:rPr>
                <w:rFonts w:eastAsia="Times New Roman"/>
                <w:noProof/>
                <w:sz w:val="19"/>
                <w:szCs w:val="19"/>
              </w:rPr>
              <w:t>3,411</w:t>
            </w:r>
          </w:p>
        </w:tc>
        <w:tc>
          <w:tcPr>
            <w:tcW w:w="868" w:type="dxa"/>
            <w:vAlign w:val="center"/>
          </w:tcPr>
          <w:p w14:paraId="5251EA4E" w14:textId="77777777" w:rsidR="00950C34" w:rsidRDefault="00950C34" w:rsidP="00FA7B33">
            <w:pPr>
              <w:jc w:val="center"/>
              <w:rPr>
                <w:rFonts w:eastAsia="Times New Roman"/>
                <w:noProof/>
                <w:sz w:val="19"/>
                <w:szCs w:val="19"/>
              </w:rPr>
            </w:pPr>
            <w:r w:rsidRPr="56D6033E">
              <w:rPr>
                <w:rFonts w:eastAsia="Times New Roman"/>
                <w:noProof/>
                <w:sz w:val="19"/>
                <w:szCs w:val="19"/>
              </w:rPr>
              <w:t>3,411</w:t>
            </w:r>
          </w:p>
        </w:tc>
        <w:tc>
          <w:tcPr>
            <w:tcW w:w="868" w:type="dxa"/>
            <w:vAlign w:val="center"/>
          </w:tcPr>
          <w:p w14:paraId="2B96892E" w14:textId="77777777" w:rsidR="00950C34" w:rsidRDefault="00950C34" w:rsidP="00FA7B33">
            <w:pPr>
              <w:jc w:val="center"/>
              <w:rPr>
                <w:rFonts w:eastAsia="Times New Roman"/>
                <w:noProof/>
                <w:sz w:val="19"/>
                <w:szCs w:val="19"/>
              </w:rPr>
            </w:pPr>
            <w:r w:rsidRPr="56D6033E">
              <w:rPr>
                <w:rFonts w:eastAsia="Times New Roman"/>
                <w:noProof/>
                <w:sz w:val="19"/>
                <w:szCs w:val="19"/>
              </w:rPr>
              <w:t>3,283</w:t>
            </w:r>
          </w:p>
        </w:tc>
        <w:tc>
          <w:tcPr>
            <w:tcW w:w="868" w:type="dxa"/>
            <w:vAlign w:val="center"/>
          </w:tcPr>
          <w:p w14:paraId="49197131" w14:textId="77777777" w:rsidR="00950C34" w:rsidRDefault="00950C34" w:rsidP="00FA7B33">
            <w:pPr>
              <w:jc w:val="center"/>
              <w:rPr>
                <w:rFonts w:eastAsia="Times New Roman"/>
                <w:noProof/>
                <w:sz w:val="19"/>
                <w:szCs w:val="19"/>
              </w:rPr>
            </w:pPr>
            <w:r w:rsidRPr="56D6033E">
              <w:rPr>
                <w:rFonts w:eastAsia="Times New Roman"/>
                <w:noProof/>
                <w:sz w:val="19"/>
                <w:szCs w:val="19"/>
              </w:rPr>
              <w:t>1,219</w:t>
            </w:r>
          </w:p>
        </w:tc>
        <w:tc>
          <w:tcPr>
            <w:tcW w:w="868" w:type="dxa"/>
            <w:vAlign w:val="center"/>
          </w:tcPr>
          <w:p w14:paraId="70184994" w14:textId="77777777" w:rsidR="00950C34" w:rsidRDefault="00950C34" w:rsidP="00FA7B33">
            <w:pPr>
              <w:jc w:val="center"/>
              <w:rPr>
                <w:rFonts w:eastAsia="Times New Roman"/>
                <w:noProof/>
                <w:sz w:val="19"/>
                <w:szCs w:val="19"/>
              </w:rPr>
            </w:pPr>
            <w:r w:rsidRPr="56D6033E">
              <w:rPr>
                <w:rFonts w:eastAsia="Times New Roman"/>
                <w:noProof/>
                <w:sz w:val="19"/>
                <w:szCs w:val="19"/>
              </w:rPr>
              <w:t>1,219</w:t>
            </w:r>
          </w:p>
        </w:tc>
        <w:tc>
          <w:tcPr>
            <w:tcW w:w="1777" w:type="dxa"/>
            <w:gridSpan w:val="2"/>
            <w:vAlign w:val="center"/>
          </w:tcPr>
          <w:p w14:paraId="6ECB985E" w14:textId="77777777" w:rsidR="00950C34" w:rsidRDefault="00950C34" w:rsidP="00FA7B33">
            <w:pPr>
              <w:jc w:val="center"/>
              <w:rPr>
                <w:rFonts w:eastAsia="Times New Roman"/>
                <w:noProof/>
                <w:sz w:val="19"/>
                <w:szCs w:val="19"/>
              </w:rPr>
            </w:pPr>
            <w:r w:rsidRPr="56D6033E">
              <w:rPr>
                <w:rFonts w:eastAsia="Times New Roman"/>
                <w:noProof/>
                <w:sz w:val="19"/>
                <w:szCs w:val="19"/>
              </w:rPr>
              <w:t>15,826</w:t>
            </w:r>
          </w:p>
        </w:tc>
      </w:tr>
    </w:tbl>
    <w:p w14:paraId="2A48527C" w14:textId="77777777" w:rsidR="00950C34" w:rsidRDefault="00950C34" w:rsidP="00950C34">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rsidR="00950C34" w14:paraId="56470234" w14:textId="77777777" w:rsidTr="00FA7B33">
        <w:tc>
          <w:tcPr>
            <w:tcW w:w="3960" w:type="dxa"/>
            <w:shd w:val="clear" w:color="auto" w:fill="auto"/>
            <w:vAlign w:val="center"/>
          </w:tcPr>
          <w:p w14:paraId="33912255" w14:textId="77777777" w:rsidR="00950C34" w:rsidRPr="003A769F" w:rsidRDefault="00950C34" w:rsidP="00FA7B33">
            <w:pPr>
              <w:jc w:val="center"/>
              <w:rPr>
                <w:b/>
                <w:noProof/>
                <w:lang w:val="en-IE"/>
              </w:rPr>
            </w:pPr>
            <w:r w:rsidRPr="003A769F">
              <w:rPr>
                <w:b/>
                <w:noProof/>
                <w:sz w:val="22"/>
                <w:lang w:val="en-IE"/>
              </w:rPr>
              <w:t>TOTAL appropriations</w:t>
            </w:r>
            <w:r w:rsidRPr="003A769F">
              <w:rPr>
                <w:noProof/>
                <w:sz w:val="22"/>
                <w:lang w:val="en-IE"/>
              </w:rPr>
              <w:br/>
            </w:r>
            <w:r w:rsidRPr="003A769F">
              <w:rPr>
                <w:b/>
                <w:noProof/>
                <w:sz w:val="22"/>
                <w:lang w:val="en-IE"/>
              </w:rPr>
              <w:t>under HEADING 7</w:t>
            </w:r>
            <w:r w:rsidRPr="003A769F">
              <w:rPr>
                <w:noProof/>
                <w:sz w:val="22"/>
                <w:lang w:val="en-IE"/>
              </w:rPr>
              <w:br/>
              <w:t>of the multiannual financial framework</w:t>
            </w:r>
            <w:r w:rsidRPr="003A769F">
              <w:rPr>
                <w:b/>
                <w:noProof/>
                <w:sz w:val="22"/>
                <w:lang w:val="en-IE"/>
              </w:rPr>
              <w:t xml:space="preserve"> </w:t>
            </w:r>
          </w:p>
        </w:tc>
        <w:tc>
          <w:tcPr>
            <w:tcW w:w="2094" w:type="dxa"/>
            <w:vAlign w:val="center"/>
          </w:tcPr>
          <w:p w14:paraId="61DEF510" w14:textId="77777777" w:rsidR="00950C34" w:rsidRDefault="00950C34" w:rsidP="00FA7B33">
            <w:pPr>
              <w:spacing w:before="40" w:after="40"/>
              <w:rPr>
                <w:noProof/>
              </w:rPr>
            </w:pPr>
            <w:r>
              <w:rPr>
                <w:noProof/>
                <w:sz w:val="18"/>
              </w:rPr>
              <w:t>(Total commitments = Total payments)</w:t>
            </w:r>
          </w:p>
        </w:tc>
        <w:tc>
          <w:tcPr>
            <w:tcW w:w="868" w:type="dxa"/>
            <w:vAlign w:val="center"/>
          </w:tcPr>
          <w:p w14:paraId="416C4D04" w14:textId="77777777" w:rsidR="00950C34" w:rsidRDefault="00950C34" w:rsidP="00FA7B33">
            <w:pPr>
              <w:spacing w:before="20" w:after="20"/>
              <w:jc w:val="right"/>
              <w:rPr>
                <w:noProof/>
                <w:sz w:val="20"/>
              </w:rPr>
            </w:pPr>
          </w:p>
        </w:tc>
        <w:tc>
          <w:tcPr>
            <w:tcW w:w="868" w:type="dxa"/>
            <w:vAlign w:val="center"/>
          </w:tcPr>
          <w:p w14:paraId="72D36300" w14:textId="77777777" w:rsidR="00950C34" w:rsidRDefault="00950C34" w:rsidP="00FA7B33">
            <w:pPr>
              <w:jc w:val="right"/>
              <w:rPr>
                <w:rFonts w:eastAsia="Times New Roman"/>
                <w:noProof/>
                <w:sz w:val="19"/>
                <w:szCs w:val="19"/>
              </w:rPr>
            </w:pPr>
            <w:r w:rsidRPr="56D6033E">
              <w:rPr>
                <w:rFonts w:eastAsia="Times New Roman"/>
                <w:noProof/>
                <w:sz w:val="19"/>
                <w:szCs w:val="19"/>
              </w:rPr>
              <w:t>3,283</w:t>
            </w:r>
          </w:p>
        </w:tc>
        <w:tc>
          <w:tcPr>
            <w:tcW w:w="868" w:type="dxa"/>
            <w:vAlign w:val="center"/>
          </w:tcPr>
          <w:p w14:paraId="3289DAF5" w14:textId="77777777" w:rsidR="00950C34" w:rsidRDefault="00950C34" w:rsidP="00FA7B33">
            <w:pPr>
              <w:jc w:val="right"/>
              <w:rPr>
                <w:rFonts w:eastAsia="Times New Roman"/>
                <w:noProof/>
                <w:sz w:val="19"/>
                <w:szCs w:val="19"/>
              </w:rPr>
            </w:pPr>
            <w:r w:rsidRPr="56D6033E">
              <w:rPr>
                <w:rFonts w:eastAsia="Times New Roman"/>
                <w:noProof/>
                <w:sz w:val="19"/>
                <w:szCs w:val="19"/>
              </w:rPr>
              <w:t>3,411</w:t>
            </w:r>
          </w:p>
        </w:tc>
        <w:tc>
          <w:tcPr>
            <w:tcW w:w="868" w:type="dxa"/>
            <w:vAlign w:val="center"/>
          </w:tcPr>
          <w:p w14:paraId="6DA1A877" w14:textId="77777777" w:rsidR="00950C34" w:rsidRDefault="00950C34" w:rsidP="00FA7B33">
            <w:pPr>
              <w:jc w:val="right"/>
              <w:rPr>
                <w:rFonts w:eastAsia="Times New Roman"/>
                <w:noProof/>
                <w:sz w:val="19"/>
                <w:szCs w:val="19"/>
              </w:rPr>
            </w:pPr>
            <w:r w:rsidRPr="56D6033E">
              <w:rPr>
                <w:rFonts w:eastAsia="Times New Roman"/>
                <w:noProof/>
                <w:sz w:val="19"/>
                <w:szCs w:val="19"/>
              </w:rPr>
              <w:t>3,411</w:t>
            </w:r>
          </w:p>
        </w:tc>
        <w:tc>
          <w:tcPr>
            <w:tcW w:w="868" w:type="dxa"/>
            <w:vAlign w:val="center"/>
          </w:tcPr>
          <w:p w14:paraId="6DC8D7A9" w14:textId="77777777" w:rsidR="00950C34" w:rsidRDefault="00950C34" w:rsidP="00FA7B33">
            <w:pPr>
              <w:jc w:val="right"/>
              <w:rPr>
                <w:rFonts w:eastAsia="Times New Roman"/>
                <w:noProof/>
                <w:sz w:val="19"/>
                <w:szCs w:val="19"/>
              </w:rPr>
            </w:pPr>
            <w:r w:rsidRPr="56D6033E">
              <w:rPr>
                <w:rFonts w:eastAsia="Times New Roman"/>
                <w:noProof/>
                <w:sz w:val="19"/>
                <w:szCs w:val="19"/>
              </w:rPr>
              <w:t>3,283</w:t>
            </w:r>
          </w:p>
        </w:tc>
        <w:tc>
          <w:tcPr>
            <w:tcW w:w="868" w:type="dxa"/>
            <w:vAlign w:val="center"/>
          </w:tcPr>
          <w:p w14:paraId="4D06671B" w14:textId="77777777" w:rsidR="00950C34" w:rsidRDefault="00950C34" w:rsidP="00FA7B33">
            <w:pPr>
              <w:jc w:val="right"/>
              <w:rPr>
                <w:rFonts w:eastAsia="Times New Roman"/>
                <w:noProof/>
                <w:sz w:val="19"/>
                <w:szCs w:val="19"/>
              </w:rPr>
            </w:pPr>
            <w:r w:rsidRPr="56D6033E">
              <w:rPr>
                <w:rFonts w:eastAsia="Times New Roman"/>
                <w:noProof/>
                <w:sz w:val="19"/>
                <w:szCs w:val="19"/>
              </w:rPr>
              <w:t>1,219</w:t>
            </w:r>
          </w:p>
        </w:tc>
        <w:tc>
          <w:tcPr>
            <w:tcW w:w="868" w:type="dxa"/>
            <w:vAlign w:val="center"/>
          </w:tcPr>
          <w:p w14:paraId="09AE4244" w14:textId="77777777" w:rsidR="00950C34" w:rsidRDefault="00950C34" w:rsidP="00FA7B33">
            <w:pPr>
              <w:jc w:val="right"/>
              <w:rPr>
                <w:rFonts w:eastAsia="Times New Roman"/>
                <w:noProof/>
                <w:sz w:val="19"/>
                <w:szCs w:val="19"/>
              </w:rPr>
            </w:pPr>
            <w:r w:rsidRPr="56D6033E">
              <w:rPr>
                <w:rFonts w:eastAsia="Times New Roman"/>
                <w:noProof/>
                <w:sz w:val="19"/>
                <w:szCs w:val="19"/>
              </w:rPr>
              <w:t>1,219</w:t>
            </w:r>
          </w:p>
        </w:tc>
        <w:tc>
          <w:tcPr>
            <w:tcW w:w="1777" w:type="dxa"/>
            <w:vAlign w:val="center"/>
          </w:tcPr>
          <w:p w14:paraId="7D30DACE" w14:textId="77777777" w:rsidR="00950C34" w:rsidRDefault="00950C34" w:rsidP="00FA7B33">
            <w:pPr>
              <w:jc w:val="right"/>
              <w:rPr>
                <w:rFonts w:eastAsia="Times New Roman"/>
                <w:noProof/>
                <w:sz w:val="19"/>
                <w:szCs w:val="19"/>
              </w:rPr>
            </w:pPr>
            <w:r w:rsidRPr="56D6033E">
              <w:rPr>
                <w:rFonts w:eastAsia="Times New Roman"/>
                <w:noProof/>
                <w:sz w:val="19"/>
                <w:szCs w:val="19"/>
              </w:rPr>
              <w:t>15,826</w:t>
            </w:r>
          </w:p>
        </w:tc>
      </w:tr>
    </w:tbl>
    <w:p w14:paraId="7D2C57FC" w14:textId="77777777" w:rsidR="00950C34" w:rsidRPr="003A769F" w:rsidRDefault="00950C34" w:rsidP="00950C34">
      <w:pPr>
        <w:jc w:val="right"/>
        <w:rPr>
          <w:noProof/>
          <w:sz w:val="20"/>
          <w:szCs w:val="20"/>
          <w:lang w:val="en-IE"/>
        </w:rPr>
      </w:pPr>
      <w:r w:rsidRPr="31719606">
        <w:rPr>
          <w:noProof/>
          <w:sz w:val="20"/>
          <w:szCs w:val="20"/>
          <w:lang w:val="en-IE"/>
        </w:rPr>
        <w:t>EUR million (to three decimal places)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697"/>
        <w:gridCol w:w="80"/>
      </w:tblGrid>
      <w:tr w:rsidR="00950C34" w14:paraId="1390A6A5" w14:textId="77777777" w:rsidTr="00FA7B33">
        <w:trPr>
          <w:gridAfter w:val="1"/>
          <w:wAfter w:w="80" w:type="dxa"/>
        </w:trPr>
        <w:tc>
          <w:tcPr>
            <w:tcW w:w="3960" w:type="dxa"/>
            <w:tcBorders>
              <w:top w:val="nil"/>
              <w:left w:val="nil"/>
              <w:right w:val="nil"/>
            </w:tcBorders>
            <w:vAlign w:val="center"/>
          </w:tcPr>
          <w:p w14:paraId="2938493F" w14:textId="77777777" w:rsidR="00950C34" w:rsidRPr="003A769F" w:rsidRDefault="00950C34" w:rsidP="00FA7B33">
            <w:pPr>
              <w:jc w:val="center"/>
              <w:rPr>
                <w:noProof/>
                <w:lang w:val="en-IE"/>
              </w:rPr>
            </w:pPr>
          </w:p>
        </w:tc>
        <w:tc>
          <w:tcPr>
            <w:tcW w:w="1560" w:type="dxa"/>
            <w:tcBorders>
              <w:top w:val="nil"/>
              <w:left w:val="nil"/>
              <w:right w:val="nil"/>
            </w:tcBorders>
          </w:tcPr>
          <w:p w14:paraId="6F5EC289" w14:textId="77777777" w:rsidR="00950C34" w:rsidRPr="003A769F" w:rsidRDefault="00950C34" w:rsidP="00FA7B33">
            <w:pPr>
              <w:rPr>
                <w:noProof/>
                <w:sz w:val="20"/>
                <w:lang w:val="en-IE"/>
              </w:rPr>
            </w:pPr>
          </w:p>
        </w:tc>
        <w:tc>
          <w:tcPr>
            <w:tcW w:w="534" w:type="dxa"/>
            <w:tcBorders>
              <w:top w:val="nil"/>
              <w:left w:val="nil"/>
            </w:tcBorders>
          </w:tcPr>
          <w:p w14:paraId="2159FB01" w14:textId="77777777" w:rsidR="00950C34" w:rsidRPr="003A769F" w:rsidRDefault="00950C34" w:rsidP="00FA7B33">
            <w:pPr>
              <w:jc w:val="center"/>
              <w:rPr>
                <w:noProof/>
                <w:sz w:val="20"/>
                <w:lang w:val="en-IE"/>
              </w:rPr>
            </w:pPr>
          </w:p>
        </w:tc>
        <w:tc>
          <w:tcPr>
            <w:tcW w:w="868" w:type="dxa"/>
            <w:vAlign w:val="center"/>
          </w:tcPr>
          <w:p w14:paraId="13FF2B4F" w14:textId="77777777" w:rsidR="00950C34" w:rsidRDefault="00950C34" w:rsidP="00FA7B33">
            <w:pPr>
              <w:jc w:val="center"/>
              <w:rPr>
                <w:noProof/>
                <w:sz w:val="20"/>
              </w:rPr>
            </w:pPr>
            <w:r>
              <w:rPr>
                <w:noProof/>
                <w:sz w:val="20"/>
              </w:rPr>
              <w:t>2023</w:t>
            </w:r>
          </w:p>
        </w:tc>
        <w:tc>
          <w:tcPr>
            <w:tcW w:w="868" w:type="dxa"/>
            <w:vAlign w:val="center"/>
          </w:tcPr>
          <w:p w14:paraId="3F2D364A" w14:textId="77777777" w:rsidR="00950C34" w:rsidRDefault="00950C34" w:rsidP="00FA7B33">
            <w:pPr>
              <w:jc w:val="center"/>
              <w:rPr>
                <w:noProof/>
                <w:sz w:val="20"/>
              </w:rPr>
            </w:pPr>
            <w:r>
              <w:rPr>
                <w:noProof/>
                <w:sz w:val="20"/>
              </w:rPr>
              <w:t>2024</w:t>
            </w:r>
          </w:p>
        </w:tc>
        <w:tc>
          <w:tcPr>
            <w:tcW w:w="868" w:type="dxa"/>
            <w:vAlign w:val="center"/>
          </w:tcPr>
          <w:p w14:paraId="44887E63" w14:textId="77777777" w:rsidR="00950C34" w:rsidRDefault="00950C34" w:rsidP="00FA7B33">
            <w:pPr>
              <w:jc w:val="center"/>
              <w:rPr>
                <w:noProof/>
                <w:sz w:val="20"/>
              </w:rPr>
            </w:pPr>
            <w:r>
              <w:rPr>
                <w:noProof/>
                <w:sz w:val="20"/>
              </w:rPr>
              <w:t>2025</w:t>
            </w:r>
          </w:p>
        </w:tc>
        <w:tc>
          <w:tcPr>
            <w:tcW w:w="868" w:type="dxa"/>
            <w:vAlign w:val="center"/>
          </w:tcPr>
          <w:p w14:paraId="43657D12" w14:textId="77777777" w:rsidR="00950C34" w:rsidRDefault="00950C34" w:rsidP="00FA7B33">
            <w:pPr>
              <w:jc w:val="center"/>
              <w:rPr>
                <w:noProof/>
                <w:sz w:val="20"/>
              </w:rPr>
            </w:pPr>
            <w:r w:rsidRPr="008F27C3">
              <w:rPr>
                <w:noProof/>
                <w:sz w:val="20"/>
              </w:rPr>
              <w:t>2026</w:t>
            </w:r>
          </w:p>
        </w:tc>
        <w:tc>
          <w:tcPr>
            <w:tcW w:w="868" w:type="dxa"/>
            <w:vAlign w:val="center"/>
          </w:tcPr>
          <w:p w14:paraId="277C04F7" w14:textId="77777777" w:rsidR="00950C34" w:rsidRPr="008F27C3" w:rsidRDefault="00950C34" w:rsidP="00FA7B33">
            <w:pPr>
              <w:jc w:val="center"/>
              <w:rPr>
                <w:noProof/>
                <w:sz w:val="18"/>
                <w:lang w:val="en-IE"/>
              </w:rPr>
            </w:pPr>
            <w:r w:rsidRPr="008F27C3">
              <w:rPr>
                <w:noProof/>
                <w:sz w:val="18"/>
                <w:lang w:val="en-IE"/>
              </w:rPr>
              <w:t>2027</w:t>
            </w:r>
          </w:p>
        </w:tc>
        <w:tc>
          <w:tcPr>
            <w:tcW w:w="868" w:type="dxa"/>
            <w:vAlign w:val="center"/>
          </w:tcPr>
          <w:p w14:paraId="5BD74102" w14:textId="77777777" w:rsidR="00950C34" w:rsidRPr="00355C6B" w:rsidRDefault="00950C34" w:rsidP="00FA7B33">
            <w:pPr>
              <w:jc w:val="center"/>
              <w:rPr>
                <w:bCs/>
                <w:noProof/>
                <w:sz w:val="18"/>
                <w:lang w:val="en-IE"/>
              </w:rPr>
            </w:pPr>
            <w:r w:rsidRPr="00355C6B">
              <w:rPr>
                <w:bCs/>
                <w:noProof/>
                <w:sz w:val="18"/>
                <w:lang w:val="en-IE"/>
              </w:rPr>
              <w:t>2028</w:t>
            </w:r>
          </w:p>
        </w:tc>
        <w:tc>
          <w:tcPr>
            <w:tcW w:w="868" w:type="dxa"/>
            <w:vAlign w:val="center"/>
          </w:tcPr>
          <w:p w14:paraId="6BE5DC4A" w14:textId="77777777" w:rsidR="00950C34" w:rsidRPr="003A769F" w:rsidRDefault="00950C34" w:rsidP="00FA7B33">
            <w:pPr>
              <w:jc w:val="center"/>
              <w:rPr>
                <w:b/>
                <w:noProof/>
                <w:sz w:val="18"/>
                <w:lang w:val="en-IE"/>
              </w:rPr>
            </w:pPr>
            <w:r w:rsidRPr="00355C6B">
              <w:rPr>
                <w:bCs/>
                <w:noProof/>
                <w:sz w:val="18"/>
                <w:lang w:val="en-IE"/>
              </w:rPr>
              <w:t>2029</w:t>
            </w:r>
          </w:p>
        </w:tc>
        <w:tc>
          <w:tcPr>
            <w:tcW w:w="1697" w:type="dxa"/>
            <w:vAlign w:val="center"/>
          </w:tcPr>
          <w:p w14:paraId="6C40F8AB" w14:textId="77777777" w:rsidR="00950C34" w:rsidRDefault="00950C34" w:rsidP="00FA7B33">
            <w:pPr>
              <w:jc w:val="center"/>
              <w:rPr>
                <w:b/>
                <w:noProof/>
                <w:sz w:val="20"/>
              </w:rPr>
            </w:pPr>
            <w:r>
              <w:rPr>
                <w:b/>
                <w:noProof/>
                <w:sz w:val="20"/>
              </w:rPr>
              <w:t>TOTAL</w:t>
            </w:r>
          </w:p>
        </w:tc>
      </w:tr>
      <w:tr w:rsidR="00950C34" w14:paraId="4C35D27A" w14:textId="77777777" w:rsidTr="00FA7B33">
        <w:tc>
          <w:tcPr>
            <w:tcW w:w="3960" w:type="dxa"/>
            <w:vMerge w:val="restart"/>
            <w:shd w:val="clear" w:color="auto" w:fill="C0C0C0"/>
            <w:vAlign w:val="center"/>
          </w:tcPr>
          <w:p w14:paraId="2F55B86C" w14:textId="77777777" w:rsidR="00950C34" w:rsidRPr="003A769F" w:rsidRDefault="00950C34" w:rsidP="00FA7B33">
            <w:pPr>
              <w:jc w:val="center"/>
              <w:rPr>
                <w:b/>
                <w:noProof/>
                <w:lang w:val="en-IE"/>
              </w:rPr>
            </w:pPr>
            <w:r w:rsidRPr="003A769F">
              <w:rPr>
                <w:b/>
                <w:noProof/>
                <w:sz w:val="22"/>
                <w:lang w:val="en-IE"/>
              </w:rPr>
              <w:t xml:space="preserve">TOTAL appropriations </w:t>
            </w:r>
            <w:r w:rsidRPr="003A769F">
              <w:rPr>
                <w:noProof/>
                <w:sz w:val="22"/>
                <w:lang w:val="en-IE"/>
              </w:rPr>
              <w:br/>
            </w:r>
            <w:r w:rsidRPr="003A769F">
              <w:rPr>
                <w:b/>
                <w:noProof/>
                <w:sz w:val="22"/>
                <w:lang w:val="en-IE"/>
              </w:rPr>
              <w:t>under HEADINGS 1 to 7</w:t>
            </w:r>
            <w:r w:rsidRPr="003A769F">
              <w:rPr>
                <w:noProof/>
                <w:sz w:val="22"/>
                <w:lang w:val="en-IE"/>
              </w:rPr>
              <w:br/>
              <w:t>of the multiannual financial framework</w:t>
            </w:r>
            <w:r w:rsidRPr="003A769F">
              <w:rPr>
                <w:b/>
                <w:noProof/>
                <w:sz w:val="22"/>
                <w:lang w:val="en-IE"/>
              </w:rPr>
              <w:t xml:space="preserve"> </w:t>
            </w:r>
          </w:p>
        </w:tc>
        <w:tc>
          <w:tcPr>
            <w:tcW w:w="2094" w:type="dxa"/>
            <w:gridSpan w:val="2"/>
            <w:vAlign w:val="center"/>
          </w:tcPr>
          <w:p w14:paraId="0690CEB8" w14:textId="77777777" w:rsidR="00950C34" w:rsidRDefault="00950C34" w:rsidP="00FA7B33">
            <w:pPr>
              <w:rPr>
                <w:noProof/>
                <w:sz w:val="14"/>
              </w:rPr>
            </w:pPr>
            <w:r>
              <w:rPr>
                <w:noProof/>
                <w:sz w:val="18"/>
              </w:rPr>
              <w:t>Commitments</w:t>
            </w:r>
          </w:p>
        </w:tc>
        <w:tc>
          <w:tcPr>
            <w:tcW w:w="868" w:type="dxa"/>
            <w:vAlign w:val="center"/>
          </w:tcPr>
          <w:p w14:paraId="7C572741" w14:textId="77777777" w:rsidR="00950C34" w:rsidRDefault="00950C34" w:rsidP="00FA7B33">
            <w:pPr>
              <w:spacing w:before="60" w:after="60"/>
              <w:jc w:val="right"/>
              <w:rPr>
                <w:noProof/>
                <w:sz w:val="20"/>
              </w:rPr>
            </w:pPr>
          </w:p>
        </w:tc>
        <w:tc>
          <w:tcPr>
            <w:tcW w:w="868" w:type="dxa"/>
            <w:vAlign w:val="center"/>
          </w:tcPr>
          <w:p w14:paraId="3689F495" w14:textId="77777777" w:rsidR="00950C34" w:rsidRDefault="00950C34" w:rsidP="00FA7B33">
            <w:pPr>
              <w:spacing w:before="60" w:after="60"/>
              <w:jc w:val="right"/>
              <w:rPr>
                <w:noProof/>
                <w:sz w:val="20"/>
              </w:rPr>
            </w:pPr>
          </w:p>
        </w:tc>
        <w:tc>
          <w:tcPr>
            <w:tcW w:w="868" w:type="dxa"/>
            <w:vAlign w:val="center"/>
          </w:tcPr>
          <w:p w14:paraId="6578B74B" w14:textId="77777777" w:rsidR="00950C34" w:rsidRDefault="00950C34" w:rsidP="00FA7B33">
            <w:pPr>
              <w:spacing w:before="60" w:after="60"/>
              <w:jc w:val="right"/>
              <w:rPr>
                <w:noProof/>
                <w:sz w:val="20"/>
              </w:rPr>
            </w:pPr>
          </w:p>
        </w:tc>
        <w:tc>
          <w:tcPr>
            <w:tcW w:w="868" w:type="dxa"/>
            <w:vAlign w:val="center"/>
          </w:tcPr>
          <w:p w14:paraId="631C96CE" w14:textId="77777777" w:rsidR="00950C34" w:rsidRDefault="00950C34" w:rsidP="00FA7B33">
            <w:pPr>
              <w:spacing w:before="60" w:after="60"/>
              <w:jc w:val="right"/>
              <w:rPr>
                <w:noProof/>
                <w:sz w:val="20"/>
              </w:rPr>
            </w:pPr>
          </w:p>
        </w:tc>
        <w:tc>
          <w:tcPr>
            <w:tcW w:w="868" w:type="dxa"/>
            <w:vAlign w:val="center"/>
          </w:tcPr>
          <w:p w14:paraId="5AD23F84" w14:textId="77777777" w:rsidR="00950C34" w:rsidRDefault="00950C34" w:rsidP="00FA7B33">
            <w:pPr>
              <w:spacing w:before="60" w:after="60"/>
              <w:jc w:val="right"/>
              <w:rPr>
                <w:noProof/>
                <w:sz w:val="20"/>
              </w:rPr>
            </w:pPr>
          </w:p>
        </w:tc>
        <w:tc>
          <w:tcPr>
            <w:tcW w:w="868" w:type="dxa"/>
            <w:vAlign w:val="center"/>
          </w:tcPr>
          <w:p w14:paraId="4EDB8D42" w14:textId="77777777" w:rsidR="00950C34" w:rsidRDefault="00950C34" w:rsidP="00FA7B33">
            <w:pPr>
              <w:spacing w:before="60" w:after="60"/>
              <w:jc w:val="right"/>
              <w:rPr>
                <w:noProof/>
                <w:sz w:val="20"/>
              </w:rPr>
            </w:pPr>
          </w:p>
        </w:tc>
        <w:tc>
          <w:tcPr>
            <w:tcW w:w="868" w:type="dxa"/>
            <w:vAlign w:val="center"/>
          </w:tcPr>
          <w:p w14:paraId="57C702CE" w14:textId="77777777" w:rsidR="00950C34" w:rsidRDefault="00950C34" w:rsidP="00FA7B33">
            <w:pPr>
              <w:spacing w:before="60" w:after="60"/>
              <w:jc w:val="right"/>
              <w:rPr>
                <w:b/>
                <w:noProof/>
                <w:sz w:val="20"/>
              </w:rPr>
            </w:pPr>
          </w:p>
        </w:tc>
        <w:tc>
          <w:tcPr>
            <w:tcW w:w="1777" w:type="dxa"/>
            <w:gridSpan w:val="2"/>
            <w:vAlign w:val="center"/>
          </w:tcPr>
          <w:p w14:paraId="08C36CE9" w14:textId="77777777" w:rsidR="00950C34" w:rsidRDefault="00950C34" w:rsidP="00FA7B33">
            <w:pPr>
              <w:spacing w:before="60" w:after="60"/>
              <w:jc w:val="right"/>
              <w:rPr>
                <w:b/>
                <w:noProof/>
                <w:sz w:val="20"/>
              </w:rPr>
            </w:pPr>
          </w:p>
        </w:tc>
      </w:tr>
      <w:tr w:rsidR="00950C34" w14:paraId="2817D08C" w14:textId="77777777" w:rsidTr="00FA7B33">
        <w:tc>
          <w:tcPr>
            <w:tcW w:w="3960" w:type="dxa"/>
            <w:vMerge/>
            <w:shd w:val="clear" w:color="auto" w:fill="C0C0C0"/>
          </w:tcPr>
          <w:p w14:paraId="47D87620" w14:textId="77777777" w:rsidR="00950C34" w:rsidRDefault="00950C34" w:rsidP="00FA7B33">
            <w:pPr>
              <w:rPr>
                <w:noProof/>
                <w:sz w:val="20"/>
              </w:rPr>
            </w:pPr>
          </w:p>
        </w:tc>
        <w:tc>
          <w:tcPr>
            <w:tcW w:w="2094" w:type="dxa"/>
            <w:gridSpan w:val="2"/>
            <w:vAlign w:val="center"/>
          </w:tcPr>
          <w:p w14:paraId="5638815D" w14:textId="77777777" w:rsidR="00950C34" w:rsidRDefault="00950C34" w:rsidP="00FA7B33">
            <w:pPr>
              <w:rPr>
                <w:noProof/>
                <w:sz w:val="14"/>
              </w:rPr>
            </w:pPr>
            <w:r>
              <w:rPr>
                <w:noProof/>
                <w:sz w:val="18"/>
              </w:rPr>
              <w:t>Payments</w:t>
            </w:r>
          </w:p>
        </w:tc>
        <w:tc>
          <w:tcPr>
            <w:tcW w:w="868" w:type="dxa"/>
            <w:vAlign w:val="center"/>
          </w:tcPr>
          <w:p w14:paraId="50C7C186" w14:textId="77777777" w:rsidR="00950C34" w:rsidRDefault="00950C34" w:rsidP="00FA7B33">
            <w:pPr>
              <w:spacing w:before="60" w:after="60"/>
              <w:jc w:val="right"/>
              <w:rPr>
                <w:noProof/>
                <w:sz w:val="20"/>
              </w:rPr>
            </w:pPr>
          </w:p>
        </w:tc>
        <w:tc>
          <w:tcPr>
            <w:tcW w:w="868" w:type="dxa"/>
            <w:vAlign w:val="center"/>
          </w:tcPr>
          <w:p w14:paraId="1A580B5F" w14:textId="77777777" w:rsidR="00950C34" w:rsidRDefault="00950C34" w:rsidP="00FA7B33">
            <w:pPr>
              <w:spacing w:before="60" w:after="60"/>
              <w:jc w:val="right"/>
              <w:rPr>
                <w:noProof/>
                <w:sz w:val="20"/>
              </w:rPr>
            </w:pPr>
          </w:p>
        </w:tc>
        <w:tc>
          <w:tcPr>
            <w:tcW w:w="868" w:type="dxa"/>
            <w:vAlign w:val="center"/>
          </w:tcPr>
          <w:p w14:paraId="3EB8FF3F" w14:textId="77777777" w:rsidR="00950C34" w:rsidRDefault="00950C34" w:rsidP="00FA7B33">
            <w:pPr>
              <w:spacing w:before="60" w:after="60"/>
              <w:jc w:val="right"/>
              <w:rPr>
                <w:noProof/>
                <w:sz w:val="20"/>
              </w:rPr>
            </w:pPr>
          </w:p>
        </w:tc>
        <w:tc>
          <w:tcPr>
            <w:tcW w:w="868" w:type="dxa"/>
            <w:vAlign w:val="center"/>
          </w:tcPr>
          <w:p w14:paraId="5A24F584" w14:textId="77777777" w:rsidR="00950C34" w:rsidRDefault="00950C34" w:rsidP="00FA7B33">
            <w:pPr>
              <w:spacing w:before="60" w:after="60"/>
              <w:jc w:val="right"/>
              <w:rPr>
                <w:noProof/>
                <w:sz w:val="20"/>
              </w:rPr>
            </w:pPr>
          </w:p>
        </w:tc>
        <w:tc>
          <w:tcPr>
            <w:tcW w:w="868" w:type="dxa"/>
            <w:vAlign w:val="center"/>
          </w:tcPr>
          <w:p w14:paraId="56EBBCCB" w14:textId="77777777" w:rsidR="00950C34" w:rsidRDefault="00950C34" w:rsidP="00FA7B33">
            <w:pPr>
              <w:spacing w:before="60" w:after="60"/>
              <w:jc w:val="right"/>
              <w:rPr>
                <w:noProof/>
                <w:sz w:val="20"/>
              </w:rPr>
            </w:pPr>
          </w:p>
        </w:tc>
        <w:tc>
          <w:tcPr>
            <w:tcW w:w="868" w:type="dxa"/>
            <w:vAlign w:val="center"/>
          </w:tcPr>
          <w:p w14:paraId="2CB68A8B" w14:textId="77777777" w:rsidR="00950C34" w:rsidRDefault="00950C34" w:rsidP="00FA7B33">
            <w:pPr>
              <w:spacing w:before="60" w:after="60"/>
              <w:jc w:val="right"/>
              <w:rPr>
                <w:noProof/>
                <w:sz w:val="20"/>
              </w:rPr>
            </w:pPr>
          </w:p>
        </w:tc>
        <w:tc>
          <w:tcPr>
            <w:tcW w:w="868" w:type="dxa"/>
            <w:vAlign w:val="center"/>
          </w:tcPr>
          <w:p w14:paraId="71EDC551" w14:textId="77777777" w:rsidR="00950C34" w:rsidRDefault="00950C34" w:rsidP="00FA7B33">
            <w:pPr>
              <w:spacing w:before="60" w:after="60"/>
              <w:jc w:val="right"/>
              <w:rPr>
                <w:b/>
                <w:noProof/>
                <w:sz w:val="20"/>
              </w:rPr>
            </w:pPr>
          </w:p>
        </w:tc>
        <w:tc>
          <w:tcPr>
            <w:tcW w:w="1777" w:type="dxa"/>
            <w:gridSpan w:val="2"/>
            <w:vAlign w:val="center"/>
          </w:tcPr>
          <w:p w14:paraId="49B7B7ED" w14:textId="77777777" w:rsidR="00950C34" w:rsidRDefault="00950C34" w:rsidP="00FA7B33">
            <w:pPr>
              <w:spacing w:before="60" w:after="60"/>
              <w:jc w:val="right"/>
              <w:rPr>
                <w:b/>
                <w:noProof/>
                <w:sz w:val="20"/>
              </w:rPr>
            </w:pPr>
          </w:p>
        </w:tc>
      </w:tr>
    </w:tbl>
    <w:p w14:paraId="34A84F58" w14:textId="77777777" w:rsidR="00950C34" w:rsidRDefault="00950C34" w:rsidP="00950C34">
      <w:pPr>
        <w:rPr>
          <w:noProof/>
        </w:rPr>
      </w:pPr>
    </w:p>
    <w:p w14:paraId="37F8BD8F" w14:textId="77777777" w:rsidR="00950C34" w:rsidRDefault="00950C34" w:rsidP="00950C34">
      <w:pPr>
        <w:pStyle w:val="ManualHeading3"/>
        <w:rPr>
          <w:bCs/>
          <w:noProof/>
          <w:szCs w:val="24"/>
        </w:rPr>
      </w:pPr>
      <w:bookmarkStart w:id="61" w:name="_Toc514938054"/>
      <w:bookmarkStart w:id="62" w:name="_Toc520485053"/>
      <w:r w:rsidRPr="0021790A">
        <w:rPr>
          <w:noProof/>
        </w:rPr>
        <w:t>3.2.2.</w:t>
      </w:r>
      <w:r w:rsidRPr="0021790A">
        <w:rPr>
          <w:noProof/>
        </w:rPr>
        <w:tab/>
      </w:r>
      <w:r>
        <w:rPr>
          <w:noProof/>
        </w:rPr>
        <w:t>Estimated output funded with operational appropriations</w:t>
      </w:r>
      <w:bookmarkEnd w:id="61"/>
      <w:bookmarkEnd w:id="62"/>
      <w:r>
        <w:rPr>
          <w:noProof/>
        </w:rPr>
        <w:t xml:space="preserve"> </w:t>
      </w:r>
    </w:p>
    <w:p w14:paraId="5C8CE194" w14:textId="77777777" w:rsidR="00950C34" w:rsidRPr="003A769F" w:rsidRDefault="00950C34" w:rsidP="00950C34">
      <w:pPr>
        <w:jc w:val="right"/>
        <w:rPr>
          <w:noProof/>
          <w:sz w:val="20"/>
          <w:lang w:val="en-IE"/>
        </w:rPr>
      </w:pPr>
      <w:r w:rsidRPr="003A769F">
        <w:rPr>
          <w:noProof/>
          <w:sz w:val="20"/>
          <w:lang w:val="en-IE"/>
        </w:rPr>
        <w:t>Commitment appropriations in EUR million (to three decimal places)</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12"/>
        <w:gridCol w:w="420"/>
        <w:gridCol w:w="720"/>
        <w:gridCol w:w="60"/>
        <w:gridCol w:w="480"/>
        <w:gridCol w:w="720"/>
        <w:gridCol w:w="720"/>
        <w:gridCol w:w="900"/>
      </w:tblGrid>
      <w:tr w:rsidR="00950C34" w14:paraId="144D0D07" w14:textId="77777777" w:rsidTr="00FA7B33">
        <w:trPr>
          <w:jc w:val="center"/>
        </w:trPr>
        <w:tc>
          <w:tcPr>
            <w:tcW w:w="1423" w:type="dxa"/>
            <w:vMerge w:val="restart"/>
            <w:vAlign w:val="center"/>
          </w:tcPr>
          <w:p w14:paraId="23B6C14F" w14:textId="77777777" w:rsidR="00950C34" w:rsidRDefault="00950C34" w:rsidP="00FA7B33">
            <w:pPr>
              <w:ind w:right="-29"/>
              <w:jc w:val="center"/>
              <w:rPr>
                <w:b/>
                <w:noProof/>
                <w:sz w:val="18"/>
                <w:szCs w:val="18"/>
              </w:rPr>
            </w:pPr>
            <w:r>
              <w:rPr>
                <w:b/>
                <w:noProof/>
                <w:sz w:val="18"/>
              </w:rPr>
              <w:t xml:space="preserve">Indicate objectives and outputs </w:t>
            </w:r>
          </w:p>
          <w:p w14:paraId="3522C5AC" w14:textId="77777777" w:rsidR="00950C34" w:rsidRDefault="00950C34" w:rsidP="00FA7B33">
            <w:pPr>
              <w:ind w:right="-29"/>
              <w:jc w:val="center"/>
              <w:rPr>
                <w:b/>
                <w:noProof/>
                <w:sz w:val="18"/>
                <w:szCs w:val="18"/>
              </w:rPr>
            </w:pPr>
          </w:p>
          <w:p w14:paraId="12062663" w14:textId="77777777" w:rsidR="00950C34" w:rsidRDefault="00950C34" w:rsidP="00FA7B33">
            <w:pPr>
              <w:ind w:right="-29"/>
              <w:jc w:val="center"/>
              <w:rPr>
                <w:noProof/>
                <w:sz w:val="18"/>
                <w:szCs w:val="18"/>
              </w:rPr>
            </w:pPr>
            <w:r>
              <w:rPr>
                <w:rFonts w:ascii="Wingdings" w:eastAsia="Wingdings" w:hAnsi="Wingdings" w:cs="Wingdings"/>
                <w:noProof/>
                <w:sz w:val="18"/>
              </w:rPr>
              <w:t></w:t>
            </w:r>
          </w:p>
        </w:tc>
        <w:tc>
          <w:tcPr>
            <w:tcW w:w="720" w:type="dxa"/>
            <w:vAlign w:val="center"/>
          </w:tcPr>
          <w:p w14:paraId="10FB61B5" w14:textId="77777777" w:rsidR="00950C34" w:rsidRDefault="00950C34" w:rsidP="00FA7B33">
            <w:pPr>
              <w:ind w:right="-29"/>
              <w:jc w:val="center"/>
              <w:rPr>
                <w:noProof/>
                <w:sz w:val="18"/>
                <w:szCs w:val="18"/>
              </w:rPr>
            </w:pPr>
          </w:p>
        </w:tc>
        <w:tc>
          <w:tcPr>
            <w:tcW w:w="701" w:type="dxa"/>
            <w:vAlign w:val="center"/>
          </w:tcPr>
          <w:p w14:paraId="16E02A02" w14:textId="77777777" w:rsidR="00950C34" w:rsidRDefault="00950C34" w:rsidP="00FA7B33">
            <w:pPr>
              <w:ind w:right="-29"/>
              <w:jc w:val="center"/>
              <w:rPr>
                <w:noProof/>
                <w:sz w:val="18"/>
                <w:szCs w:val="18"/>
              </w:rPr>
            </w:pPr>
          </w:p>
        </w:tc>
        <w:tc>
          <w:tcPr>
            <w:tcW w:w="1224" w:type="dxa"/>
            <w:gridSpan w:val="2"/>
            <w:tcBorders>
              <w:left w:val="nil"/>
            </w:tcBorders>
            <w:vAlign w:val="center"/>
          </w:tcPr>
          <w:p w14:paraId="30B84C9E" w14:textId="77777777" w:rsidR="00950C34" w:rsidRDefault="00950C34" w:rsidP="00FA7B33">
            <w:pPr>
              <w:ind w:right="-29"/>
              <w:jc w:val="center"/>
              <w:rPr>
                <w:noProof/>
                <w:sz w:val="18"/>
                <w:szCs w:val="18"/>
              </w:rPr>
            </w:pPr>
            <w:r>
              <w:rPr>
                <w:noProof/>
                <w:sz w:val="20"/>
              </w:rPr>
              <w:t>2023</w:t>
            </w:r>
          </w:p>
        </w:tc>
        <w:tc>
          <w:tcPr>
            <w:tcW w:w="1260" w:type="dxa"/>
            <w:gridSpan w:val="2"/>
            <w:vAlign w:val="center"/>
          </w:tcPr>
          <w:p w14:paraId="29602496" w14:textId="77777777" w:rsidR="00950C34" w:rsidRDefault="00950C34" w:rsidP="00FA7B33">
            <w:pPr>
              <w:ind w:right="-29"/>
              <w:jc w:val="center"/>
              <w:rPr>
                <w:noProof/>
                <w:sz w:val="18"/>
                <w:szCs w:val="18"/>
              </w:rPr>
            </w:pPr>
            <w:r>
              <w:rPr>
                <w:noProof/>
                <w:sz w:val="20"/>
              </w:rPr>
              <w:t>2024</w:t>
            </w:r>
          </w:p>
        </w:tc>
        <w:tc>
          <w:tcPr>
            <w:tcW w:w="1440" w:type="dxa"/>
            <w:gridSpan w:val="2"/>
            <w:vAlign w:val="center"/>
          </w:tcPr>
          <w:p w14:paraId="68686A81" w14:textId="77777777" w:rsidR="00950C34" w:rsidRDefault="00950C34" w:rsidP="00FA7B33">
            <w:pPr>
              <w:ind w:right="-29"/>
              <w:jc w:val="center"/>
              <w:rPr>
                <w:noProof/>
                <w:sz w:val="18"/>
                <w:szCs w:val="18"/>
              </w:rPr>
            </w:pPr>
            <w:r>
              <w:rPr>
                <w:noProof/>
                <w:sz w:val="20"/>
              </w:rPr>
              <w:t>2025</w:t>
            </w:r>
          </w:p>
        </w:tc>
        <w:tc>
          <w:tcPr>
            <w:tcW w:w="1620" w:type="dxa"/>
            <w:gridSpan w:val="3"/>
            <w:vAlign w:val="center"/>
          </w:tcPr>
          <w:p w14:paraId="08CAB2CE" w14:textId="77777777" w:rsidR="00950C34" w:rsidRDefault="00950C34" w:rsidP="00FA7B33">
            <w:pPr>
              <w:ind w:right="-29"/>
              <w:jc w:val="center"/>
              <w:rPr>
                <w:noProof/>
                <w:sz w:val="18"/>
                <w:szCs w:val="18"/>
              </w:rPr>
            </w:pPr>
            <w:r w:rsidRPr="008F27C3">
              <w:rPr>
                <w:noProof/>
                <w:sz w:val="20"/>
              </w:rPr>
              <w:t>2026</w:t>
            </w:r>
          </w:p>
        </w:tc>
        <w:tc>
          <w:tcPr>
            <w:tcW w:w="1200" w:type="dxa"/>
            <w:gridSpan w:val="3"/>
            <w:vAlign w:val="center"/>
          </w:tcPr>
          <w:p w14:paraId="633A3771" w14:textId="77777777" w:rsidR="00950C34" w:rsidRPr="003A769F" w:rsidRDefault="00950C34" w:rsidP="00FA7B33">
            <w:pPr>
              <w:jc w:val="center"/>
              <w:rPr>
                <w:noProof/>
                <w:sz w:val="18"/>
                <w:szCs w:val="18"/>
                <w:lang w:val="en-IE"/>
              </w:rPr>
            </w:pPr>
            <w:r w:rsidRPr="008F27C3">
              <w:rPr>
                <w:noProof/>
                <w:sz w:val="18"/>
                <w:lang w:val="en-IE"/>
              </w:rPr>
              <w:t>2027</w:t>
            </w:r>
          </w:p>
        </w:tc>
        <w:tc>
          <w:tcPr>
            <w:tcW w:w="1200" w:type="dxa"/>
            <w:gridSpan w:val="3"/>
            <w:vAlign w:val="center"/>
          </w:tcPr>
          <w:p w14:paraId="4B6DC324" w14:textId="77777777" w:rsidR="00950C34" w:rsidRPr="003A769F" w:rsidRDefault="00950C34" w:rsidP="00FA7B33">
            <w:pPr>
              <w:jc w:val="center"/>
              <w:rPr>
                <w:noProof/>
                <w:sz w:val="18"/>
                <w:szCs w:val="18"/>
                <w:lang w:val="en-IE"/>
              </w:rPr>
            </w:pPr>
            <w:r w:rsidRPr="00355C6B">
              <w:rPr>
                <w:bCs/>
                <w:noProof/>
                <w:sz w:val="18"/>
                <w:lang w:val="en-IE"/>
              </w:rPr>
              <w:t>2028</w:t>
            </w:r>
          </w:p>
        </w:tc>
        <w:tc>
          <w:tcPr>
            <w:tcW w:w="1200" w:type="dxa"/>
            <w:gridSpan w:val="2"/>
            <w:vAlign w:val="center"/>
          </w:tcPr>
          <w:p w14:paraId="4CE414CB" w14:textId="77777777" w:rsidR="00950C34" w:rsidRPr="003A769F" w:rsidRDefault="00950C34" w:rsidP="00FA7B33">
            <w:pPr>
              <w:jc w:val="center"/>
              <w:rPr>
                <w:noProof/>
                <w:sz w:val="18"/>
                <w:szCs w:val="18"/>
                <w:lang w:val="en-IE"/>
              </w:rPr>
            </w:pPr>
            <w:r w:rsidRPr="00355C6B">
              <w:rPr>
                <w:bCs/>
                <w:noProof/>
                <w:sz w:val="18"/>
                <w:lang w:val="en-IE"/>
              </w:rPr>
              <w:t>2029</w:t>
            </w:r>
          </w:p>
        </w:tc>
        <w:tc>
          <w:tcPr>
            <w:tcW w:w="1620" w:type="dxa"/>
            <w:gridSpan w:val="2"/>
            <w:tcBorders>
              <w:left w:val="nil"/>
              <w:bottom w:val="nil"/>
            </w:tcBorders>
            <w:vAlign w:val="center"/>
          </w:tcPr>
          <w:p w14:paraId="64FE8BFB" w14:textId="77777777" w:rsidR="00950C34" w:rsidRDefault="00950C34" w:rsidP="00FA7B33">
            <w:pPr>
              <w:ind w:right="-29"/>
              <w:jc w:val="center"/>
              <w:rPr>
                <w:noProof/>
                <w:sz w:val="18"/>
                <w:szCs w:val="18"/>
              </w:rPr>
            </w:pPr>
            <w:r>
              <w:rPr>
                <w:b/>
                <w:noProof/>
                <w:sz w:val="18"/>
              </w:rPr>
              <w:t>TOTAL</w:t>
            </w:r>
          </w:p>
        </w:tc>
      </w:tr>
      <w:tr w:rsidR="00950C34" w14:paraId="5F58E7F7" w14:textId="77777777" w:rsidTr="00FA7B33">
        <w:trPr>
          <w:jc w:val="center"/>
        </w:trPr>
        <w:tc>
          <w:tcPr>
            <w:tcW w:w="1423" w:type="dxa"/>
            <w:vMerge/>
            <w:vAlign w:val="center"/>
          </w:tcPr>
          <w:p w14:paraId="6AF98E25" w14:textId="77777777" w:rsidR="00950C34" w:rsidRDefault="00950C34" w:rsidP="00FA7B33">
            <w:pPr>
              <w:ind w:right="-29"/>
              <w:jc w:val="center"/>
              <w:rPr>
                <w:noProof/>
                <w:sz w:val="18"/>
                <w:szCs w:val="18"/>
              </w:rPr>
            </w:pPr>
          </w:p>
        </w:tc>
        <w:tc>
          <w:tcPr>
            <w:tcW w:w="12185" w:type="dxa"/>
            <w:gridSpan w:val="21"/>
            <w:vAlign w:val="center"/>
          </w:tcPr>
          <w:p w14:paraId="02CF2206" w14:textId="77777777" w:rsidR="00950C34" w:rsidRDefault="00950C34" w:rsidP="00FA7B33">
            <w:pPr>
              <w:spacing w:before="60" w:after="60"/>
              <w:ind w:right="-29"/>
              <w:jc w:val="center"/>
              <w:rPr>
                <w:noProof/>
                <w:sz w:val="18"/>
                <w:szCs w:val="18"/>
              </w:rPr>
            </w:pPr>
            <w:r>
              <w:rPr>
                <w:b/>
                <w:noProof/>
                <w:sz w:val="18"/>
              </w:rPr>
              <w:t>OUTPUTS</w:t>
            </w:r>
          </w:p>
        </w:tc>
      </w:tr>
      <w:tr w:rsidR="00950C34" w14:paraId="4EFFFDCA" w14:textId="77777777" w:rsidTr="00FA7B33">
        <w:trPr>
          <w:cantSplit/>
          <w:trHeight w:val="1134"/>
          <w:jc w:val="center"/>
        </w:trPr>
        <w:tc>
          <w:tcPr>
            <w:tcW w:w="1423" w:type="dxa"/>
            <w:vMerge/>
            <w:vAlign w:val="center"/>
          </w:tcPr>
          <w:p w14:paraId="70C7D9E1" w14:textId="77777777" w:rsidR="00950C34" w:rsidRDefault="00950C34" w:rsidP="00FA7B33">
            <w:pPr>
              <w:rPr>
                <w:noProof/>
                <w:sz w:val="18"/>
                <w:szCs w:val="18"/>
              </w:rPr>
            </w:pPr>
          </w:p>
        </w:tc>
        <w:tc>
          <w:tcPr>
            <w:tcW w:w="720" w:type="dxa"/>
            <w:vAlign w:val="center"/>
          </w:tcPr>
          <w:p w14:paraId="3DFE73D7" w14:textId="77777777" w:rsidR="00950C34" w:rsidRDefault="00950C34" w:rsidP="00FA7B33">
            <w:pPr>
              <w:jc w:val="center"/>
              <w:rPr>
                <w:noProof/>
                <w:sz w:val="18"/>
                <w:szCs w:val="18"/>
              </w:rPr>
            </w:pPr>
            <w:r w:rsidRPr="078E3620">
              <w:rPr>
                <w:noProof/>
                <w:sz w:val="18"/>
                <w:szCs w:val="18"/>
              </w:rPr>
              <w:t>Type</w:t>
            </w:r>
            <w:r w:rsidRPr="078E3620">
              <w:rPr>
                <w:rStyle w:val="FootnoteReference"/>
                <w:noProof/>
                <w:sz w:val="18"/>
                <w:szCs w:val="18"/>
              </w:rPr>
              <w:footnoteReference w:id="83"/>
            </w:r>
          </w:p>
          <w:p w14:paraId="65AED68B" w14:textId="77777777" w:rsidR="00950C34" w:rsidRDefault="00950C34" w:rsidP="00FA7B33">
            <w:pPr>
              <w:spacing w:before="0" w:after="0"/>
              <w:jc w:val="center"/>
              <w:rPr>
                <w:noProof/>
                <w:sz w:val="18"/>
                <w:szCs w:val="18"/>
              </w:rPr>
            </w:pPr>
          </w:p>
        </w:tc>
        <w:tc>
          <w:tcPr>
            <w:tcW w:w="701" w:type="dxa"/>
            <w:vAlign w:val="center"/>
          </w:tcPr>
          <w:p w14:paraId="7F6991B9" w14:textId="77777777" w:rsidR="00950C34" w:rsidRDefault="00950C34" w:rsidP="00FA7B33">
            <w:pPr>
              <w:jc w:val="center"/>
              <w:rPr>
                <w:noProof/>
                <w:sz w:val="18"/>
                <w:szCs w:val="18"/>
              </w:rPr>
            </w:pPr>
            <w:r>
              <w:rPr>
                <w:noProof/>
                <w:sz w:val="18"/>
              </w:rPr>
              <w:t>Average cost</w:t>
            </w:r>
          </w:p>
        </w:tc>
        <w:tc>
          <w:tcPr>
            <w:tcW w:w="504" w:type="dxa"/>
            <w:tcBorders>
              <w:left w:val="nil"/>
              <w:right w:val="dashSmallGap" w:sz="4" w:space="0" w:color="auto"/>
            </w:tcBorders>
            <w:shd w:val="clear" w:color="auto" w:fill="auto"/>
            <w:textDirection w:val="btLr"/>
            <w:vAlign w:val="center"/>
          </w:tcPr>
          <w:p w14:paraId="10085062" w14:textId="77777777" w:rsidR="00950C34" w:rsidRDefault="00950C34" w:rsidP="00FA7B33">
            <w:pPr>
              <w:ind w:left="113" w:right="113"/>
              <w:jc w:val="center"/>
              <w:rPr>
                <w:noProof/>
                <w:sz w:val="18"/>
                <w:szCs w:val="18"/>
              </w:rPr>
            </w:pPr>
            <w:r>
              <w:rPr>
                <w:noProof/>
                <w:sz w:val="18"/>
              </w:rPr>
              <w:t>No</w:t>
            </w:r>
          </w:p>
        </w:tc>
        <w:tc>
          <w:tcPr>
            <w:tcW w:w="720" w:type="dxa"/>
            <w:tcBorders>
              <w:left w:val="dashSmallGap" w:sz="4" w:space="0" w:color="auto"/>
            </w:tcBorders>
            <w:shd w:val="clear" w:color="auto" w:fill="auto"/>
            <w:vAlign w:val="center"/>
          </w:tcPr>
          <w:p w14:paraId="2A0081EA" w14:textId="77777777" w:rsidR="00950C34" w:rsidRDefault="00950C34" w:rsidP="00FA7B33">
            <w:pPr>
              <w:jc w:val="center"/>
              <w:rPr>
                <w:noProof/>
                <w:sz w:val="18"/>
                <w:szCs w:val="18"/>
              </w:rPr>
            </w:pPr>
            <w:r>
              <w:rPr>
                <w:noProof/>
                <w:sz w:val="18"/>
              </w:rPr>
              <w:t>Cost</w:t>
            </w:r>
          </w:p>
        </w:tc>
        <w:tc>
          <w:tcPr>
            <w:tcW w:w="540" w:type="dxa"/>
            <w:tcBorders>
              <w:right w:val="dashSmallGap" w:sz="4" w:space="0" w:color="auto"/>
            </w:tcBorders>
            <w:shd w:val="clear" w:color="auto" w:fill="auto"/>
            <w:textDirection w:val="btLr"/>
            <w:vAlign w:val="center"/>
          </w:tcPr>
          <w:p w14:paraId="7084BE54" w14:textId="77777777" w:rsidR="00950C34" w:rsidRDefault="00950C34" w:rsidP="00FA7B33">
            <w:pPr>
              <w:ind w:left="113" w:right="113"/>
              <w:jc w:val="center"/>
              <w:rPr>
                <w:noProof/>
                <w:sz w:val="18"/>
                <w:szCs w:val="18"/>
              </w:rPr>
            </w:pPr>
            <w:r>
              <w:rPr>
                <w:noProof/>
                <w:sz w:val="18"/>
              </w:rPr>
              <w:t>No</w:t>
            </w:r>
          </w:p>
        </w:tc>
        <w:tc>
          <w:tcPr>
            <w:tcW w:w="720" w:type="dxa"/>
            <w:tcBorders>
              <w:left w:val="dashSmallGap" w:sz="4" w:space="0" w:color="auto"/>
            </w:tcBorders>
            <w:shd w:val="clear" w:color="auto" w:fill="auto"/>
            <w:vAlign w:val="center"/>
          </w:tcPr>
          <w:p w14:paraId="2F8691EE" w14:textId="77777777" w:rsidR="00950C34" w:rsidRDefault="00950C34" w:rsidP="00FA7B33">
            <w:pPr>
              <w:jc w:val="center"/>
              <w:rPr>
                <w:noProof/>
                <w:sz w:val="18"/>
                <w:szCs w:val="18"/>
              </w:rPr>
            </w:pPr>
            <w:r>
              <w:rPr>
                <w:noProof/>
                <w:sz w:val="18"/>
              </w:rPr>
              <w:t>Cost</w:t>
            </w:r>
          </w:p>
        </w:tc>
        <w:tc>
          <w:tcPr>
            <w:tcW w:w="720" w:type="dxa"/>
            <w:tcBorders>
              <w:right w:val="dashSmallGap" w:sz="4" w:space="0" w:color="auto"/>
            </w:tcBorders>
            <w:shd w:val="clear" w:color="auto" w:fill="auto"/>
            <w:textDirection w:val="btLr"/>
            <w:vAlign w:val="center"/>
          </w:tcPr>
          <w:p w14:paraId="58992336" w14:textId="77777777" w:rsidR="00950C34" w:rsidRDefault="00950C34" w:rsidP="00FA7B33">
            <w:pPr>
              <w:ind w:left="113" w:right="113"/>
              <w:jc w:val="center"/>
              <w:rPr>
                <w:noProof/>
                <w:sz w:val="18"/>
                <w:szCs w:val="18"/>
              </w:rPr>
            </w:pPr>
            <w:r>
              <w:rPr>
                <w:noProof/>
                <w:sz w:val="18"/>
              </w:rPr>
              <w:t>No</w:t>
            </w:r>
          </w:p>
        </w:tc>
        <w:tc>
          <w:tcPr>
            <w:tcW w:w="720" w:type="dxa"/>
            <w:tcBorders>
              <w:left w:val="dashSmallGap" w:sz="4" w:space="0" w:color="auto"/>
            </w:tcBorders>
            <w:shd w:val="clear" w:color="auto" w:fill="auto"/>
            <w:vAlign w:val="center"/>
          </w:tcPr>
          <w:p w14:paraId="05E8C0F6" w14:textId="77777777" w:rsidR="00950C34" w:rsidRDefault="00950C34" w:rsidP="00FA7B33">
            <w:pPr>
              <w:jc w:val="center"/>
              <w:rPr>
                <w:noProof/>
                <w:sz w:val="18"/>
                <w:szCs w:val="18"/>
              </w:rPr>
            </w:pPr>
            <w:r>
              <w:rPr>
                <w:noProof/>
                <w:sz w:val="18"/>
              </w:rPr>
              <w:t>Cost</w:t>
            </w:r>
          </w:p>
        </w:tc>
        <w:tc>
          <w:tcPr>
            <w:tcW w:w="900" w:type="dxa"/>
            <w:tcBorders>
              <w:right w:val="dashSmallGap" w:sz="4" w:space="0" w:color="auto"/>
            </w:tcBorders>
            <w:shd w:val="clear" w:color="auto" w:fill="auto"/>
            <w:textDirection w:val="btLr"/>
            <w:vAlign w:val="center"/>
          </w:tcPr>
          <w:p w14:paraId="4D3F57E3" w14:textId="77777777" w:rsidR="00950C34" w:rsidRDefault="00950C34" w:rsidP="00FA7B33">
            <w:pPr>
              <w:ind w:left="113" w:right="113"/>
              <w:jc w:val="center"/>
              <w:rPr>
                <w:noProof/>
                <w:sz w:val="18"/>
                <w:szCs w:val="18"/>
              </w:rPr>
            </w:pPr>
            <w:r>
              <w:rPr>
                <w:noProof/>
                <w:sz w:val="18"/>
              </w:rPr>
              <w:t>No</w:t>
            </w:r>
          </w:p>
        </w:tc>
        <w:tc>
          <w:tcPr>
            <w:tcW w:w="720" w:type="dxa"/>
            <w:gridSpan w:val="2"/>
            <w:tcBorders>
              <w:left w:val="dashSmallGap" w:sz="4" w:space="0" w:color="auto"/>
            </w:tcBorders>
            <w:shd w:val="clear" w:color="auto" w:fill="auto"/>
            <w:vAlign w:val="center"/>
          </w:tcPr>
          <w:p w14:paraId="121B73FD" w14:textId="77777777" w:rsidR="00950C34" w:rsidRDefault="00950C34" w:rsidP="00FA7B33">
            <w:pPr>
              <w:jc w:val="center"/>
              <w:rPr>
                <w:noProof/>
                <w:sz w:val="18"/>
                <w:szCs w:val="18"/>
              </w:rPr>
            </w:pPr>
            <w:r>
              <w:rPr>
                <w:noProof/>
                <w:sz w:val="18"/>
              </w:rPr>
              <w:t>Cost</w:t>
            </w:r>
          </w:p>
        </w:tc>
        <w:tc>
          <w:tcPr>
            <w:tcW w:w="540" w:type="dxa"/>
            <w:tcBorders>
              <w:right w:val="dashSmallGap" w:sz="4" w:space="0" w:color="auto"/>
            </w:tcBorders>
            <w:shd w:val="clear" w:color="auto" w:fill="auto"/>
            <w:textDirection w:val="btLr"/>
            <w:vAlign w:val="center"/>
          </w:tcPr>
          <w:p w14:paraId="423D6031" w14:textId="77777777" w:rsidR="00950C34" w:rsidRDefault="00950C34" w:rsidP="00FA7B33">
            <w:pPr>
              <w:ind w:left="113" w:right="113"/>
              <w:jc w:val="center"/>
              <w:rPr>
                <w:noProof/>
                <w:sz w:val="18"/>
                <w:szCs w:val="18"/>
              </w:rPr>
            </w:pPr>
            <w:r>
              <w:rPr>
                <w:noProof/>
                <w:sz w:val="18"/>
              </w:rPr>
              <w:t>No</w:t>
            </w:r>
          </w:p>
        </w:tc>
        <w:tc>
          <w:tcPr>
            <w:tcW w:w="648" w:type="dxa"/>
            <w:tcBorders>
              <w:left w:val="dashSmallGap" w:sz="4" w:space="0" w:color="auto"/>
            </w:tcBorders>
            <w:shd w:val="clear" w:color="auto" w:fill="auto"/>
            <w:vAlign w:val="center"/>
          </w:tcPr>
          <w:p w14:paraId="47A002E1" w14:textId="77777777" w:rsidR="00950C34" w:rsidRDefault="00950C34" w:rsidP="00FA7B33">
            <w:pPr>
              <w:jc w:val="center"/>
              <w:rPr>
                <w:noProof/>
                <w:sz w:val="18"/>
                <w:szCs w:val="18"/>
              </w:rPr>
            </w:pPr>
            <w:r>
              <w:rPr>
                <w:noProof/>
                <w:sz w:val="18"/>
              </w:rPr>
              <w:t>Cost</w:t>
            </w:r>
          </w:p>
        </w:tc>
        <w:tc>
          <w:tcPr>
            <w:tcW w:w="432" w:type="dxa"/>
            <w:gridSpan w:val="2"/>
            <w:tcBorders>
              <w:right w:val="dashSmallGap" w:sz="4" w:space="0" w:color="auto"/>
            </w:tcBorders>
            <w:shd w:val="clear" w:color="auto" w:fill="auto"/>
            <w:textDirection w:val="btLr"/>
            <w:vAlign w:val="center"/>
          </w:tcPr>
          <w:p w14:paraId="609B4BBA" w14:textId="77777777" w:rsidR="00950C34" w:rsidRDefault="00950C34" w:rsidP="00FA7B33">
            <w:pPr>
              <w:ind w:left="113" w:right="113"/>
              <w:jc w:val="center"/>
              <w:rPr>
                <w:noProof/>
                <w:sz w:val="18"/>
                <w:szCs w:val="18"/>
              </w:rPr>
            </w:pPr>
            <w:r>
              <w:rPr>
                <w:noProof/>
                <w:sz w:val="18"/>
              </w:rPr>
              <w:t>No</w:t>
            </w:r>
          </w:p>
        </w:tc>
        <w:tc>
          <w:tcPr>
            <w:tcW w:w="720" w:type="dxa"/>
            <w:tcBorders>
              <w:left w:val="dashSmallGap" w:sz="4" w:space="0" w:color="auto"/>
            </w:tcBorders>
            <w:shd w:val="clear" w:color="auto" w:fill="auto"/>
            <w:vAlign w:val="center"/>
          </w:tcPr>
          <w:p w14:paraId="40B4FE2E" w14:textId="77777777" w:rsidR="00950C34" w:rsidRDefault="00950C34" w:rsidP="00FA7B33">
            <w:pPr>
              <w:jc w:val="center"/>
              <w:rPr>
                <w:noProof/>
                <w:sz w:val="18"/>
                <w:szCs w:val="18"/>
              </w:rPr>
            </w:pPr>
            <w:r>
              <w:rPr>
                <w:noProof/>
                <w:sz w:val="18"/>
              </w:rPr>
              <w:t>Cost</w:t>
            </w:r>
          </w:p>
        </w:tc>
        <w:tc>
          <w:tcPr>
            <w:tcW w:w="540" w:type="dxa"/>
            <w:gridSpan w:val="2"/>
            <w:tcBorders>
              <w:right w:val="dashSmallGap" w:sz="4" w:space="0" w:color="auto"/>
            </w:tcBorders>
            <w:shd w:val="clear" w:color="auto" w:fill="auto"/>
            <w:textDirection w:val="btLr"/>
            <w:vAlign w:val="center"/>
          </w:tcPr>
          <w:p w14:paraId="7A87FBDB" w14:textId="77777777" w:rsidR="00950C34" w:rsidRDefault="00950C34" w:rsidP="00FA7B33">
            <w:pPr>
              <w:ind w:left="113" w:right="113"/>
              <w:jc w:val="center"/>
              <w:rPr>
                <w:noProof/>
                <w:sz w:val="18"/>
                <w:szCs w:val="18"/>
              </w:rPr>
            </w:pPr>
            <w:r>
              <w:rPr>
                <w:noProof/>
                <w:sz w:val="18"/>
              </w:rPr>
              <w:t>No</w:t>
            </w:r>
          </w:p>
        </w:tc>
        <w:tc>
          <w:tcPr>
            <w:tcW w:w="720" w:type="dxa"/>
            <w:tcBorders>
              <w:left w:val="dashSmallGap" w:sz="4" w:space="0" w:color="auto"/>
            </w:tcBorders>
            <w:shd w:val="clear" w:color="auto" w:fill="auto"/>
            <w:vAlign w:val="center"/>
          </w:tcPr>
          <w:p w14:paraId="4DD5F5E5" w14:textId="77777777" w:rsidR="00950C34" w:rsidRDefault="00950C34" w:rsidP="00FA7B33">
            <w:pPr>
              <w:jc w:val="center"/>
              <w:rPr>
                <w:noProof/>
                <w:sz w:val="18"/>
                <w:szCs w:val="18"/>
              </w:rPr>
            </w:pPr>
            <w:r>
              <w:rPr>
                <w:noProof/>
                <w:sz w:val="18"/>
              </w:rPr>
              <w:t>Cost</w:t>
            </w:r>
          </w:p>
        </w:tc>
        <w:tc>
          <w:tcPr>
            <w:tcW w:w="720" w:type="dxa"/>
            <w:tcBorders>
              <w:right w:val="dashSmallGap" w:sz="4" w:space="0" w:color="auto"/>
            </w:tcBorders>
            <w:shd w:val="clear" w:color="auto" w:fill="auto"/>
            <w:vAlign w:val="center"/>
          </w:tcPr>
          <w:p w14:paraId="24473D6A" w14:textId="77777777" w:rsidR="00950C34" w:rsidRDefault="00950C34" w:rsidP="00FA7B33">
            <w:pPr>
              <w:jc w:val="center"/>
              <w:rPr>
                <w:noProof/>
                <w:sz w:val="18"/>
                <w:szCs w:val="18"/>
              </w:rPr>
            </w:pPr>
            <w:r>
              <w:rPr>
                <w:noProof/>
                <w:sz w:val="18"/>
              </w:rPr>
              <w:t>Total No</w:t>
            </w:r>
          </w:p>
        </w:tc>
        <w:tc>
          <w:tcPr>
            <w:tcW w:w="900" w:type="dxa"/>
            <w:tcBorders>
              <w:left w:val="dashSmallGap" w:sz="4" w:space="0" w:color="auto"/>
            </w:tcBorders>
            <w:shd w:val="clear" w:color="auto" w:fill="auto"/>
            <w:vAlign w:val="center"/>
          </w:tcPr>
          <w:p w14:paraId="5C0BE293" w14:textId="77777777" w:rsidR="00950C34" w:rsidRDefault="00950C34" w:rsidP="00FA7B33">
            <w:pPr>
              <w:jc w:val="center"/>
              <w:rPr>
                <w:noProof/>
                <w:sz w:val="18"/>
                <w:szCs w:val="18"/>
              </w:rPr>
            </w:pPr>
            <w:r>
              <w:rPr>
                <w:noProof/>
                <w:sz w:val="18"/>
              </w:rPr>
              <w:t>Total cost</w:t>
            </w:r>
          </w:p>
        </w:tc>
      </w:tr>
      <w:tr w:rsidR="00950C34" w14:paraId="24DAC235" w14:textId="77777777" w:rsidTr="00FA7B33">
        <w:trPr>
          <w:jc w:val="center"/>
        </w:trPr>
        <w:tc>
          <w:tcPr>
            <w:tcW w:w="2844" w:type="dxa"/>
            <w:gridSpan w:val="3"/>
            <w:vAlign w:val="center"/>
          </w:tcPr>
          <w:p w14:paraId="4DB806CC" w14:textId="77777777" w:rsidR="00950C34" w:rsidRDefault="00950C34" w:rsidP="00FA7B33">
            <w:pPr>
              <w:spacing w:before="60" w:after="60"/>
              <w:ind w:right="-29"/>
              <w:jc w:val="center"/>
              <w:rPr>
                <w:noProof/>
                <w:sz w:val="18"/>
                <w:szCs w:val="18"/>
              </w:rPr>
            </w:pPr>
            <w:r w:rsidRPr="078E3620">
              <w:rPr>
                <w:noProof/>
                <w:sz w:val="18"/>
                <w:szCs w:val="18"/>
              </w:rPr>
              <w:t>SPECIFIC OBJECTIVE No 1</w:t>
            </w:r>
            <w:r w:rsidRPr="078E3620">
              <w:rPr>
                <w:rStyle w:val="FootnoteReference"/>
                <w:noProof/>
                <w:sz w:val="18"/>
                <w:szCs w:val="18"/>
              </w:rPr>
              <w:footnoteReference w:id="84"/>
            </w:r>
            <w:r w:rsidRPr="078E3620">
              <w:rPr>
                <w:noProof/>
                <w:sz w:val="18"/>
                <w:szCs w:val="18"/>
              </w:rPr>
              <w:t>…</w:t>
            </w:r>
          </w:p>
        </w:tc>
        <w:tc>
          <w:tcPr>
            <w:tcW w:w="504" w:type="dxa"/>
            <w:tcBorders>
              <w:top w:val="nil"/>
              <w:left w:val="nil"/>
              <w:bottom w:val="nil"/>
              <w:right w:val="nil"/>
            </w:tcBorders>
          </w:tcPr>
          <w:p w14:paraId="27E9A6D6" w14:textId="77777777" w:rsidR="00950C34" w:rsidRDefault="00950C34" w:rsidP="00FA7B33">
            <w:pPr>
              <w:spacing w:before="60" w:after="60"/>
              <w:ind w:right="-29"/>
              <w:jc w:val="center"/>
              <w:rPr>
                <w:noProof/>
                <w:sz w:val="18"/>
                <w:szCs w:val="18"/>
              </w:rPr>
            </w:pPr>
          </w:p>
        </w:tc>
        <w:tc>
          <w:tcPr>
            <w:tcW w:w="720" w:type="dxa"/>
            <w:tcBorders>
              <w:top w:val="nil"/>
              <w:left w:val="nil"/>
              <w:bottom w:val="nil"/>
              <w:right w:val="nil"/>
            </w:tcBorders>
          </w:tcPr>
          <w:p w14:paraId="49B23AB4" w14:textId="77777777" w:rsidR="00950C34" w:rsidRDefault="00950C34" w:rsidP="00FA7B33">
            <w:pPr>
              <w:spacing w:before="60" w:after="60"/>
              <w:ind w:right="-29"/>
              <w:jc w:val="center"/>
              <w:rPr>
                <w:noProof/>
                <w:sz w:val="18"/>
                <w:szCs w:val="18"/>
              </w:rPr>
            </w:pPr>
          </w:p>
        </w:tc>
        <w:tc>
          <w:tcPr>
            <w:tcW w:w="540" w:type="dxa"/>
            <w:tcBorders>
              <w:top w:val="nil"/>
              <w:left w:val="nil"/>
              <w:bottom w:val="nil"/>
              <w:right w:val="nil"/>
            </w:tcBorders>
          </w:tcPr>
          <w:p w14:paraId="5582F8DC" w14:textId="77777777" w:rsidR="00950C34" w:rsidRDefault="00950C34" w:rsidP="00FA7B33">
            <w:pPr>
              <w:spacing w:before="60" w:after="60"/>
              <w:ind w:right="-29"/>
              <w:jc w:val="center"/>
              <w:rPr>
                <w:noProof/>
                <w:sz w:val="18"/>
                <w:szCs w:val="18"/>
              </w:rPr>
            </w:pPr>
          </w:p>
        </w:tc>
        <w:tc>
          <w:tcPr>
            <w:tcW w:w="720" w:type="dxa"/>
            <w:tcBorders>
              <w:top w:val="nil"/>
              <w:left w:val="nil"/>
              <w:bottom w:val="nil"/>
              <w:right w:val="nil"/>
            </w:tcBorders>
          </w:tcPr>
          <w:p w14:paraId="1C91F839" w14:textId="77777777" w:rsidR="00950C34" w:rsidRDefault="00950C34" w:rsidP="00FA7B33">
            <w:pPr>
              <w:spacing w:before="60" w:after="60"/>
              <w:ind w:right="-29"/>
              <w:jc w:val="center"/>
              <w:rPr>
                <w:noProof/>
                <w:sz w:val="18"/>
                <w:szCs w:val="18"/>
              </w:rPr>
            </w:pPr>
          </w:p>
        </w:tc>
        <w:tc>
          <w:tcPr>
            <w:tcW w:w="720" w:type="dxa"/>
            <w:tcBorders>
              <w:top w:val="nil"/>
              <w:left w:val="nil"/>
              <w:bottom w:val="nil"/>
              <w:right w:val="nil"/>
            </w:tcBorders>
          </w:tcPr>
          <w:p w14:paraId="26EC768E" w14:textId="77777777" w:rsidR="00950C34" w:rsidRDefault="00950C34" w:rsidP="00FA7B33">
            <w:pPr>
              <w:spacing w:before="60" w:after="60"/>
              <w:ind w:right="-29"/>
              <w:jc w:val="center"/>
              <w:rPr>
                <w:noProof/>
                <w:sz w:val="18"/>
                <w:szCs w:val="18"/>
              </w:rPr>
            </w:pPr>
          </w:p>
        </w:tc>
        <w:tc>
          <w:tcPr>
            <w:tcW w:w="720" w:type="dxa"/>
            <w:tcBorders>
              <w:top w:val="nil"/>
              <w:left w:val="nil"/>
              <w:bottom w:val="nil"/>
              <w:right w:val="nil"/>
            </w:tcBorders>
          </w:tcPr>
          <w:p w14:paraId="588CE2E0" w14:textId="77777777" w:rsidR="00950C34" w:rsidRDefault="00950C34" w:rsidP="00FA7B33">
            <w:pPr>
              <w:spacing w:before="60" w:after="60"/>
              <w:ind w:right="-29"/>
              <w:jc w:val="center"/>
              <w:rPr>
                <w:noProof/>
                <w:sz w:val="18"/>
                <w:szCs w:val="18"/>
              </w:rPr>
            </w:pPr>
          </w:p>
        </w:tc>
        <w:tc>
          <w:tcPr>
            <w:tcW w:w="900" w:type="dxa"/>
            <w:tcBorders>
              <w:top w:val="nil"/>
              <w:left w:val="nil"/>
              <w:bottom w:val="nil"/>
              <w:right w:val="nil"/>
            </w:tcBorders>
          </w:tcPr>
          <w:p w14:paraId="2FE89B8B" w14:textId="77777777" w:rsidR="00950C34" w:rsidRDefault="00950C34" w:rsidP="00FA7B33">
            <w:pPr>
              <w:spacing w:before="60" w:after="60"/>
              <w:ind w:right="-29"/>
              <w:jc w:val="center"/>
              <w:rPr>
                <w:noProof/>
                <w:sz w:val="18"/>
                <w:szCs w:val="18"/>
              </w:rPr>
            </w:pPr>
          </w:p>
        </w:tc>
        <w:tc>
          <w:tcPr>
            <w:tcW w:w="720" w:type="dxa"/>
            <w:gridSpan w:val="2"/>
            <w:tcBorders>
              <w:top w:val="nil"/>
              <w:left w:val="nil"/>
              <w:bottom w:val="nil"/>
              <w:right w:val="nil"/>
            </w:tcBorders>
          </w:tcPr>
          <w:p w14:paraId="09A3FA1E" w14:textId="77777777" w:rsidR="00950C34" w:rsidRDefault="00950C34" w:rsidP="00FA7B33">
            <w:pPr>
              <w:spacing w:before="60" w:after="60"/>
              <w:ind w:right="-29"/>
              <w:jc w:val="center"/>
              <w:rPr>
                <w:noProof/>
                <w:sz w:val="18"/>
                <w:szCs w:val="18"/>
              </w:rPr>
            </w:pPr>
          </w:p>
        </w:tc>
        <w:tc>
          <w:tcPr>
            <w:tcW w:w="540" w:type="dxa"/>
            <w:tcBorders>
              <w:top w:val="nil"/>
              <w:left w:val="nil"/>
              <w:bottom w:val="nil"/>
              <w:right w:val="nil"/>
            </w:tcBorders>
          </w:tcPr>
          <w:p w14:paraId="72BF0379" w14:textId="77777777" w:rsidR="00950C34" w:rsidRDefault="00950C34" w:rsidP="00FA7B33">
            <w:pPr>
              <w:spacing w:before="60" w:after="60"/>
              <w:ind w:right="-29"/>
              <w:jc w:val="center"/>
              <w:rPr>
                <w:noProof/>
                <w:sz w:val="18"/>
                <w:szCs w:val="18"/>
              </w:rPr>
            </w:pPr>
          </w:p>
        </w:tc>
        <w:tc>
          <w:tcPr>
            <w:tcW w:w="648" w:type="dxa"/>
            <w:tcBorders>
              <w:top w:val="nil"/>
              <w:left w:val="nil"/>
              <w:bottom w:val="nil"/>
              <w:right w:val="nil"/>
            </w:tcBorders>
          </w:tcPr>
          <w:p w14:paraId="24F52A1A" w14:textId="77777777" w:rsidR="00950C34" w:rsidRDefault="00950C34" w:rsidP="00FA7B33">
            <w:pPr>
              <w:spacing w:before="60" w:after="60"/>
              <w:ind w:right="-29"/>
              <w:jc w:val="center"/>
              <w:rPr>
                <w:noProof/>
                <w:sz w:val="18"/>
                <w:szCs w:val="18"/>
              </w:rPr>
            </w:pPr>
          </w:p>
        </w:tc>
        <w:tc>
          <w:tcPr>
            <w:tcW w:w="432" w:type="dxa"/>
            <w:gridSpan w:val="2"/>
            <w:tcBorders>
              <w:top w:val="nil"/>
              <w:left w:val="nil"/>
              <w:bottom w:val="nil"/>
              <w:right w:val="nil"/>
            </w:tcBorders>
          </w:tcPr>
          <w:p w14:paraId="6C5CE5B5" w14:textId="77777777" w:rsidR="00950C34" w:rsidRDefault="00950C34" w:rsidP="00FA7B33">
            <w:pPr>
              <w:spacing w:before="60" w:after="60"/>
              <w:ind w:right="-29"/>
              <w:jc w:val="center"/>
              <w:rPr>
                <w:noProof/>
                <w:sz w:val="18"/>
                <w:szCs w:val="18"/>
              </w:rPr>
            </w:pPr>
          </w:p>
        </w:tc>
        <w:tc>
          <w:tcPr>
            <w:tcW w:w="720" w:type="dxa"/>
            <w:tcBorders>
              <w:top w:val="nil"/>
              <w:left w:val="nil"/>
              <w:bottom w:val="nil"/>
              <w:right w:val="nil"/>
            </w:tcBorders>
          </w:tcPr>
          <w:p w14:paraId="42E54EC9" w14:textId="77777777" w:rsidR="00950C34" w:rsidRDefault="00950C34" w:rsidP="00FA7B33">
            <w:pPr>
              <w:spacing w:before="60" w:after="60"/>
              <w:ind w:right="-29"/>
              <w:jc w:val="center"/>
              <w:rPr>
                <w:noProof/>
                <w:sz w:val="18"/>
                <w:szCs w:val="18"/>
              </w:rPr>
            </w:pPr>
          </w:p>
        </w:tc>
        <w:tc>
          <w:tcPr>
            <w:tcW w:w="540" w:type="dxa"/>
            <w:gridSpan w:val="2"/>
            <w:tcBorders>
              <w:top w:val="nil"/>
              <w:left w:val="nil"/>
              <w:bottom w:val="nil"/>
              <w:right w:val="nil"/>
            </w:tcBorders>
          </w:tcPr>
          <w:p w14:paraId="720C3C93" w14:textId="77777777" w:rsidR="00950C34" w:rsidRDefault="00950C34" w:rsidP="00FA7B33">
            <w:pPr>
              <w:spacing w:before="60" w:after="60"/>
              <w:ind w:right="-29"/>
              <w:jc w:val="center"/>
              <w:rPr>
                <w:noProof/>
                <w:sz w:val="18"/>
                <w:szCs w:val="18"/>
              </w:rPr>
            </w:pPr>
          </w:p>
        </w:tc>
        <w:tc>
          <w:tcPr>
            <w:tcW w:w="720" w:type="dxa"/>
            <w:tcBorders>
              <w:top w:val="nil"/>
              <w:left w:val="nil"/>
              <w:bottom w:val="nil"/>
              <w:right w:val="nil"/>
            </w:tcBorders>
          </w:tcPr>
          <w:p w14:paraId="5A7CBF26" w14:textId="77777777" w:rsidR="00950C34" w:rsidRDefault="00950C34" w:rsidP="00FA7B33">
            <w:pPr>
              <w:spacing w:before="60" w:after="60"/>
              <w:ind w:right="-29"/>
              <w:jc w:val="center"/>
              <w:rPr>
                <w:noProof/>
                <w:sz w:val="18"/>
                <w:szCs w:val="18"/>
              </w:rPr>
            </w:pPr>
          </w:p>
        </w:tc>
        <w:tc>
          <w:tcPr>
            <w:tcW w:w="720" w:type="dxa"/>
            <w:tcBorders>
              <w:top w:val="nil"/>
              <w:left w:val="nil"/>
              <w:bottom w:val="nil"/>
              <w:right w:val="nil"/>
            </w:tcBorders>
          </w:tcPr>
          <w:p w14:paraId="7EBDF66F" w14:textId="77777777" w:rsidR="00950C34" w:rsidRDefault="00950C34" w:rsidP="00FA7B33">
            <w:pPr>
              <w:spacing w:before="60" w:after="60"/>
              <w:ind w:right="-29"/>
              <w:jc w:val="center"/>
              <w:rPr>
                <w:noProof/>
                <w:sz w:val="18"/>
                <w:szCs w:val="18"/>
              </w:rPr>
            </w:pPr>
          </w:p>
        </w:tc>
        <w:tc>
          <w:tcPr>
            <w:tcW w:w="900" w:type="dxa"/>
            <w:tcBorders>
              <w:top w:val="nil"/>
              <w:left w:val="nil"/>
              <w:bottom w:val="nil"/>
              <w:right w:val="nil"/>
            </w:tcBorders>
          </w:tcPr>
          <w:p w14:paraId="58A3F42A" w14:textId="77777777" w:rsidR="00950C34" w:rsidRDefault="00950C34" w:rsidP="00FA7B33">
            <w:pPr>
              <w:spacing w:before="60" w:after="60"/>
              <w:ind w:right="-29"/>
              <w:jc w:val="center"/>
              <w:rPr>
                <w:noProof/>
                <w:sz w:val="18"/>
                <w:szCs w:val="18"/>
              </w:rPr>
            </w:pPr>
          </w:p>
        </w:tc>
      </w:tr>
      <w:tr w:rsidR="00950C34" w14:paraId="7E382415" w14:textId="77777777" w:rsidTr="00FA7B33">
        <w:trPr>
          <w:trHeight w:hRule="exact" w:val="369"/>
          <w:jc w:val="center"/>
        </w:trPr>
        <w:tc>
          <w:tcPr>
            <w:tcW w:w="1423" w:type="dxa"/>
          </w:tcPr>
          <w:p w14:paraId="775921A6" w14:textId="77777777" w:rsidR="00950C34" w:rsidRDefault="00950C34" w:rsidP="00FA7B33">
            <w:pPr>
              <w:ind w:right="-29"/>
              <w:jc w:val="center"/>
              <w:rPr>
                <w:noProof/>
                <w:sz w:val="18"/>
                <w:szCs w:val="18"/>
              </w:rPr>
            </w:pPr>
            <w:r>
              <w:rPr>
                <w:noProof/>
                <w:sz w:val="18"/>
              </w:rPr>
              <w:t>- Output</w:t>
            </w:r>
          </w:p>
        </w:tc>
        <w:tc>
          <w:tcPr>
            <w:tcW w:w="720" w:type="dxa"/>
          </w:tcPr>
          <w:p w14:paraId="316CD890" w14:textId="77777777" w:rsidR="00950C34" w:rsidRDefault="00950C34" w:rsidP="00FA7B33">
            <w:pPr>
              <w:ind w:right="-29"/>
              <w:jc w:val="center"/>
              <w:rPr>
                <w:noProof/>
                <w:sz w:val="18"/>
                <w:szCs w:val="18"/>
              </w:rPr>
            </w:pPr>
          </w:p>
        </w:tc>
        <w:tc>
          <w:tcPr>
            <w:tcW w:w="701" w:type="dxa"/>
          </w:tcPr>
          <w:p w14:paraId="37BCDE82" w14:textId="77777777" w:rsidR="00950C34" w:rsidRDefault="00950C34" w:rsidP="00FA7B33">
            <w:pPr>
              <w:ind w:right="-29"/>
              <w:jc w:val="center"/>
              <w:rPr>
                <w:noProof/>
                <w:sz w:val="18"/>
                <w:szCs w:val="18"/>
              </w:rPr>
            </w:pPr>
          </w:p>
        </w:tc>
        <w:tc>
          <w:tcPr>
            <w:tcW w:w="504" w:type="dxa"/>
            <w:tcBorders>
              <w:right w:val="dashSmallGap" w:sz="4" w:space="0" w:color="auto"/>
            </w:tcBorders>
          </w:tcPr>
          <w:p w14:paraId="63B10507" w14:textId="77777777" w:rsidR="00950C34" w:rsidRDefault="00950C34" w:rsidP="00FA7B33">
            <w:pPr>
              <w:ind w:right="-29"/>
              <w:jc w:val="center"/>
              <w:rPr>
                <w:noProof/>
                <w:sz w:val="18"/>
                <w:szCs w:val="18"/>
              </w:rPr>
            </w:pPr>
          </w:p>
        </w:tc>
        <w:tc>
          <w:tcPr>
            <w:tcW w:w="720" w:type="dxa"/>
            <w:tcBorders>
              <w:left w:val="dashSmallGap" w:sz="4" w:space="0" w:color="auto"/>
            </w:tcBorders>
          </w:tcPr>
          <w:p w14:paraId="191ADBA6" w14:textId="77777777" w:rsidR="00950C34" w:rsidRDefault="00950C34" w:rsidP="00FA7B33">
            <w:pPr>
              <w:ind w:right="-29"/>
              <w:jc w:val="center"/>
              <w:rPr>
                <w:noProof/>
                <w:sz w:val="18"/>
                <w:szCs w:val="18"/>
              </w:rPr>
            </w:pPr>
          </w:p>
        </w:tc>
        <w:tc>
          <w:tcPr>
            <w:tcW w:w="540" w:type="dxa"/>
            <w:tcBorders>
              <w:right w:val="dashSmallGap" w:sz="4" w:space="0" w:color="auto"/>
            </w:tcBorders>
          </w:tcPr>
          <w:p w14:paraId="36693DAE" w14:textId="77777777" w:rsidR="00950C34" w:rsidRDefault="00950C34" w:rsidP="00FA7B33">
            <w:pPr>
              <w:ind w:right="-29"/>
              <w:jc w:val="center"/>
              <w:rPr>
                <w:noProof/>
                <w:sz w:val="18"/>
                <w:szCs w:val="18"/>
              </w:rPr>
            </w:pPr>
          </w:p>
        </w:tc>
        <w:tc>
          <w:tcPr>
            <w:tcW w:w="720" w:type="dxa"/>
            <w:tcBorders>
              <w:left w:val="dashSmallGap" w:sz="4" w:space="0" w:color="auto"/>
            </w:tcBorders>
          </w:tcPr>
          <w:p w14:paraId="7E7015E6" w14:textId="77777777" w:rsidR="00950C34" w:rsidRDefault="00950C34" w:rsidP="00FA7B33">
            <w:pPr>
              <w:ind w:right="-29"/>
              <w:jc w:val="center"/>
              <w:rPr>
                <w:noProof/>
                <w:sz w:val="18"/>
                <w:szCs w:val="18"/>
              </w:rPr>
            </w:pPr>
          </w:p>
        </w:tc>
        <w:tc>
          <w:tcPr>
            <w:tcW w:w="720" w:type="dxa"/>
            <w:tcBorders>
              <w:right w:val="dashSmallGap" w:sz="4" w:space="0" w:color="auto"/>
            </w:tcBorders>
          </w:tcPr>
          <w:p w14:paraId="2D0502A8" w14:textId="77777777" w:rsidR="00950C34" w:rsidRDefault="00950C34" w:rsidP="00FA7B33">
            <w:pPr>
              <w:ind w:right="-29"/>
              <w:jc w:val="center"/>
              <w:rPr>
                <w:noProof/>
                <w:sz w:val="18"/>
                <w:szCs w:val="18"/>
              </w:rPr>
            </w:pPr>
          </w:p>
        </w:tc>
        <w:tc>
          <w:tcPr>
            <w:tcW w:w="720" w:type="dxa"/>
            <w:tcBorders>
              <w:left w:val="dashSmallGap" w:sz="4" w:space="0" w:color="auto"/>
            </w:tcBorders>
          </w:tcPr>
          <w:p w14:paraId="3443A24D" w14:textId="77777777" w:rsidR="00950C34" w:rsidRDefault="00950C34" w:rsidP="00FA7B33">
            <w:pPr>
              <w:ind w:right="-29"/>
              <w:jc w:val="center"/>
              <w:rPr>
                <w:noProof/>
                <w:sz w:val="18"/>
                <w:szCs w:val="18"/>
              </w:rPr>
            </w:pPr>
          </w:p>
        </w:tc>
        <w:tc>
          <w:tcPr>
            <w:tcW w:w="900" w:type="dxa"/>
            <w:tcBorders>
              <w:right w:val="dashSmallGap" w:sz="4" w:space="0" w:color="auto"/>
            </w:tcBorders>
          </w:tcPr>
          <w:p w14:paraId="21B63173" w14:textId="77777777" w:rsidR="00950C34" w:rsidRDefault="00950C34" w:rsidP="00FA7B33">
            <w:pPr>
              <w:ind w:right="-29"/>
              <w:jc w:val="center"/>
              <w:rPr>
                <w:noProof/>
                <w:sz w:val="18"/>
                <w:szCs w:val="18"/>
              </w:rPr>
            </w:pPr>
          </w:p>
        </w:tc>
        <w:tc>
          <w:tcPr>
            <w:tcW w:w="720" w:type="dxa"/>
            <w:gridSpan w:val="2"/>
            <w:tcBorders>
              <w:left w:val="dashSmallGap" w:sz="4" w:space="0" w:color="auto"/>
            </w:tcBorders>
          </w:tcPr>
          <w:p w14:paraId="6593DB92" w14:textId="77777777" w:rsidR="00950C34" w:rsidRDefault="00950C34" w:rsidP="00FA7B33">
            <w:pPr>
              <w:ind w:right="-29"/>
              <w:jc w:val="center"/>
              <w:rPr>
                <w:noProof/>
                <w:sz w:val="18"/>
                <w:szCs w:val="18"/>
              </w:rPr>
            </w:pPr>
          </w:p>
        </w:tc>
        <w:tc>
          <w:tcPr>
            <w:tcW w:w="540" w:type="dxa"/>
            <w:tcBorders>
              <w:right w:val="dashSmallGap" w:sz="4" w:space="0" w:color="auto"/>
            </w:tcBorders>
          </w:tcPr>
          <w:p w14:paraId="745B6539" w14:textId="77777777" w:rsidR="00950C34" w:rsidRDefault="00950C34" w:rsidP="00FA7B33">
            <w:pPr>
              <w:ind w:right="-29"/>
              <w:jc w:val="center"/>
              <w:rPr>
                <w:noProof/>
                <w:sz w:val="18"/>
                <w:szCs w:val="18"/>
              </w:rPr>
            </w:pPr>
          </w:p>
        </w:tc>
        <w:tc>
          <w:tcPr>
            <w:tcW w:w="648" w:type="dxa"/>
            <w:tcBorders>
              <w:left w:val="dashSmallGap" w:sz="4" w:space="0" w:color="auto"/>
            </w:tcBorders>
          </w:tcPr>
          <w:p w14:paraId="71473F34" w14:textId="77777777" w:rsidR="00950C34" w:rsidRDefault="00950C34" w:rsidP="00FA7B33">
            <w:pPr>
              <w:ind w:right="-29"/>
              <w:jc w:val="center"/>
              <w:rPr>
                <w:noProof/>
                <w:sz w:val="18"/>
                <w:szCs w:val="18"/>
              </w:rPr>
            </w:pPr>
          </w:p>
        </w:tc>
        <w:tc>
          <w:tcPr>
            <w:tcW w:w="432" w:type="dxa"/>
            <w:gridSpan w:val="2"/>
            <w:tcBorders>
              <w:right w:val="dashSmallGap" w:sz="4" w:space="0" w:color="auto"/>
            </w:tcBorders>
          </w:tcPr>
          <w:p w14:paraId="5550A5B3" w14:textId="77777777" w:rsidR="00950C34" w:rsidRDefault="00950C34" w:rsidP="00FA7B33">
            <w:pPr>
              <w:ind w:right="-29"/>
              <w:jc w:val="center"/>
              <w:rPr>
                <w:noProof/>
                <w:sz w:val="18"/>
                <w:szCs w:val="18"/>
              </w:rPr>
            </w:pPr>
          </w:p>
        </w:tc>
        <w:tc>
          <w:tcPr>
            <w:tcW w:w="720" w:type="dxa"/>
            <w:tcBorders>
              <w:left w:val="dashSmallGap" w:sz="4" w:space="0" w:color="auto"/>
            </w:tcBorders>
          </w:tcPr>
          <w:p w14:paraId="11F1AEF4" w14:textId="77777777" w:rsidR="00950C34" w:rsidRDefault="00950C34" w:rsidP="00FA7B33">
            <w:pPr>
              <w:ind w:right="-29"/>
              <w:jc w:val="center"/>
              <w:rPr>
                <w:noProof/>
                <w:sz w:val="18"/>
                <w:szCs w:val="18"/>
              </w:rPr>
            </w:pPr>
          </w:p>
        </w:tc>
        <w:tc>
          <w:tcPr>
            <w:tcW w:w="540" w:type="dxa"/>
            <w:gridSpan w:val="2"/>
            <w:tcBorders>
              <w:right w:val="dashSmallGap" w:sz="4" w:space="0" w:color="auto"/>
            </w:tcBorders>
          </w:tcPr>
          <w:p w14:paraId="7FD181D5" w14:textId="77777777" w:rsidR="00950C34" w:rsidRDefault="00950C34" w:rsidP="00FA7B33">
            <w:pPr>
              <w:ind w:right="-29"/>
              <w:jc w:val="center"/>
              <w:rPr>
                <w:noProof/>
                <w:sz w:val="18"/>
                <w:szCs w:val="18"/>
              </w:rPr>
            </w:pPr>
          </w:p>
        </w:tc>
        <w:tc>
          <w:tcPr>
            <w:tcW w:w="720" w:type="dxa"/>
            <w:tcBorders>
              <w:left w:val="dashSmallGap" w:sz="4" w:space="0" w:color="auto"/>
            </w:tcBorders>
          </w:tcPr>
          <w:p w14:paraId="236EB540" w14:textId="77777777" w:rsidR="00950C34" w:rsidRDefault="00950C34" w:rsidP="00FA7B33">
            <w:pPr>
              <w:ind w:right="-29"/>
              <w:jc w:val="center"/>
              <w:rPr>
                <w:noProof/>
                <w:sz w:val="18"/>
                <w:szCs w:val="18"/>
              </w:rPr>
            </w:pPr>
          </w:p>
        </w:tc>
        <w:tc>
          <w:tcPr>
            <w:tcW w:w="720" w:type="dxa"/>
          </w:tcPr>
          <w:p w14:paraId="692C2F3D" w14:textId="77777777" w:rsidR="00950C34" w:rsidRDefault="00950C34" w:rsidP="00FA7B33">
            <w:pPr>
              <w:ind w:right="-29"/>
              <w:jc w:val="center"/>
              <w:rPr>
                <w:noProof/>
                <w:sz w:val="18"/>
                <w:szCs w:val="18"/>
              </w:rPr>
            </w:pPr>
          </w:p>
        </w:tc>
        <w:tc>
          <w:tcPr>
            <w:tcW w:w="900" w:type="dxa"/>
          </w:tcPr>
          <w:p w14:paraId="5F1D32F1" w14:textId="77777777" w:rsidR="00950C34" w:rsidRDefault="00950C34" w:rsidP="00FA7B33">
            <w:pPr>
              <w:ind w:right="-29"/>
              <w:jc w:val="center"/>
              <w:rPr>
                <w:noProof/>
                <w:sz w:val="18"/>
                <w:szCs w:val="18"/>
              </w:rPr>
            </w:pPr>
          </w:p>
        </w:tc>
      </w:tr>
      <w:tr w:rsidR="00950C34" w14:paraId="2400D7E1" w14:textId="77777777" w:rsidTr="00FA7B33">
        <w:trPr>
          <w:trHeight w:hRule="exact" w:val="369"/>
          <w:jc w:val="center"/>
        </w:trPr>
        <w:tc>
          <w:tcPr>
            <w:tcW w:w="1423" w:type="dxa"/>
          </w:tcPr>
          <w:p w14:paraId="4ACD4658" w14:textId="77777777" w:rsidR="00950C34" w:rsidRDefault="00950C34" w:rsidP="00FA7B33">
            <w:pPr>
              <w:ind w:right="-29"/>
              <w:jc w:val="center"/>
              <w:rPr>
                <w:noProof/>
                <w:sz w:val="18"/>
                <w:szCs w:val="18"/>
              </w:rPr>
            </w:pPr>
            <w:r>
              <w:rPr>
                <w:noProof/>
                <w:sz w:val="18"/>
              </w:rPr>
              <w:t>- Output</w:t>
            </w:r>
          </w:p>
        </w:tc>
        <w:tc>
          <w:tcPr>
            <w:tcW w:w="720" w:type="dxa"/>
          </w:tcPr>
          <w:p w14:paraId="40107C9A" w14:textId="77777777" w:rsidR="00950C34" w:rsidRDefault="00950C34" w:rsidP="00FA7B33">
            <w:pPr>
              <w:ind w:right="-29"/>
              <w:jc w:val="center"/>
              <w:rPr>
                <w:noProof/>
                <w:sz w:val="18"/>
                <w:szCs w:val="18"/>
              </w:rPr>
            </w:pPr>
          </w:p>
        </w:tc>
        <w:tc>
          <w:tcPr>
            <w:tcW w:w="701" w:type="dxa"/>
          </w:tcPr>
          <w:p w14:paraId="53890998" w14:textId="77777777" w:rsidR="00950C34" w:rsidRDefault="00950C34" w:rsidP="00FA7B33">
            <w:pPr>
              <w:ind w:right="-29"/>
              <w:jc w:val="center"/>
              <w:rPr>
                <w:noProof/>
                <w:sz w:val="18"/>
                <w:szCs w:val="18"/>
              </w:rPr>
            </w:pPr>
          </w:p>
        </w:tc>
        <w:tc>
          <w:tcPr>
            <w:tcW w:w="504" w:type="dxa"/>
            <w:tcBorders>
              <w:right w:val="dashSmallGap" w:sz="4" w:space="0" w:color="auto"/>
            </w:tcBorders>
          </w:tcPr>
          <w:p w14:paraId="4B41EA67" w14:textId="77777777" w:rsidR="00950C34" w:rsidRDefault="00950C34" w:rsidP="00FA7B33">
            <w:pPr>
              <w:ind w:right="-29"/>
              <w:jc w:val="center"/>
              <w:rPr>
                <w:noProof/>
                <w:sz w:val="18"/>
                <w:szCs w:val="18"/>
              </w:rPr>
            </w:pPr>
          </w:p>
        </w:tc>
        <w:tc>
          <w:tcPr>
            <w:tcW w:w="720" w:type="dxa"/>
            <w:tcBorders>
              <w:left w:val="dashSmallGap" w:sz="4" w:space="0" w:color="auto"/>
            </w:tcBorders>
          </w:tcPr>
          <w:p w14:paraId="3ACA579F" w14:textId="77777777" w:rsidR="00950C34" w:rsidRDefault="00950C34" w:rsidP="00FA7B33">
            <w:pPr>
              <w:ind w:right="-29"/>
              <w:jc w:val="center"/>
              <w:rPr>
                <w:noProof/>
                <w:sz w:val="18"/>
                <w:szCs w:val="18"/>
              </w:rPr>
            </w:pPr>
          </w:p>
        </w:tc>
        <w:tc>
          <w:tcPr>
            <w:tcW w:w="540" w:type="dxa"/>
            <w:tcBorders>
              <w:right w:val="dashSmallGap" w:sz="4" w:space="0" w:color="auto"/>
            </w:tcBorders>
          </w:tcPr>
          <w:p w14:paraId="7F903F4E" w14:textId="77777777" w:rsidR="00950C34" w:rsidRDefault="00950C34" w:rsidP="00FA7B33">
            <w:pPr>
              <w:ind w:right="-29"/>
              <w:jc w:val="center"/>
              <w:rPr>
                <w:noProof/>
                <w:sz w:val="18"/>
                <w:szCs w:val="18"/>
              </w:rPr>
            </w:pPr>
          </w:p>
        </w:tc>
        <w:tc>
          <w:tcPr>
            <w:tcW w:w="720" w:type="dxa"/>
            <w:tcBorders>
              <w:left w:val="dashSmallGap" w:sz="4" w:space="0" w:color="auto"/>
            </w:tcBorders>
          </w:tcPr>
          <w:p w14:paraId="5BD99DA7" w14:textId="77777777" w:rsidR="00950C34" w:rsidRDefault="00950C34" w:rsidP="00FA7B33">
            <w:pPr>
              <w:ind w:right="-29"/>
              <w:jc w:val="center"/>
              <w:rPr>
                <w:noProof/>
                <w:sz w:val="18"/>
                <w:szCs w:val="18"/>
              </w:rPr>
            </w:pPr>
          </w:p>
        </w:tc>
        <w:tc>
          <w:tcPr>
            <w:tcW w:w="720" w:type="dxa"/>
            <w:tcBorders>
              <w:right w:val="dashSmallGap" w:sz="4" w:space="0" w:color="auto"/>
            </w:tcBorders>
          </w:tcPr>
          <w:p w14:paraId="4681F57F" w14:textId="77777777" w:rsidR="00950C34" w:rsidRDefault="00950C34" w:rsidP="00FA7B33">
            <w:pPr>
              <w:ind w:right="-29"/>
              <w:jc w:val="center"/>
              <w:rPr>
                <w:noProof/>
                <w:sz w:val="18"/>
                <w:szCs w:val="18"/>
              </w:rPr>
            </w:pPr>
          </w:p>
        </w:tc>
        <w:tc>
          <w:tcPr>
            <w:tcW w:w="720" w:type="dxa"/>
            <w:tcBorders>
              <w:left w:val="dashSmallGap" w:sz="4" w:space="0" w:color="auto"/>
            </w:tcBorders>
          </w:tcPr>
          <w:p w14:paraId="02B3DD36" w14:textId="77777777" w:rsidR="00950C34" w:rsidRDefault="00950C34" w:rsidP="00FA7B33">
            <w:pPr>
              <w:ind w:right="-29"/>
              <w:jc w:val="center"/>
              <w:rPr>
                <w:noProof/>
                <w:sz w:val="18"/>
                <w:szCs w:val="18"/>
              </w:rPr>
            </w:pPr>
          </w:p>
        </w:tc>
        <w:tc>
          <w:tcPr>
            <w:tcW w:w="900" w:type="dxa"/>
            <w:tcBorders>
              <w:right w:val="dashSmallGap" w:sz="4" w:space="0" w:color="auto"/>
            </w:tcBorders>
          </w:tcPr>
          <w:p w14:paraId="493A0C73" w14:textId="77777777" w:rsidR="00950C34" w:rsidRDefault="00950C34" w:rsidP="00FA7B33">
            <w:pPr>
              <w:ind w:right="-29"/>
              <w:jc w:val="center"/>
              <w:rPr>
                <w:noProof/>
                <w:sz w:val="18"/>
                <w:szCs w:val="18"/>
              </w:rPr>
            </w:pPr>
          </w:p>
        </w:tc>
        <w:tc>
          <w:tcPr>
            <w:tcW w:w="720" w:type="dxa"/>
            <w:gridSpan w:val="2"/>
            <w:tcBorders>
              <w:left w:val="dashSmallGap" w:sz="4" w:space="0" w:color="auto"/>
            </w:tcBorders>
          </w:tcPr>
          <w:p w14:paraId="52FC7B95" w14:textId="77777777" w:rsidR="00950C34" w:rsidRDefault="00950C34" w:rsidP="00FA7B33">
            <w:pPr>
              <w:ind w:right="-29"/>
              <w:jc w:val="center"/>
              <w:rPr>
                <w:noProof/>
                <w:sz w:val="18"/>
                <w:szCs w:val="18"/>
              </w:rPr>
            </w:pPr>
          </w:p>
        </w:tc>
        <w:tc>
          <w:tcPr>
            <w:tcW w:w="540" w:type="dxa"/>
            <w:tcBorders>
              <w:right w:val="dashSmallGap" w:sz="4" w:space="0" w:color="auto"/>
            </w:tcBorders>
          </w:tcPr>
          <w:p w14:paraId="3B1DF1E0" w14:textId="77777777" w:rsidR="00950C34" w:rsidRDefault="00950C34" w:rsidP="00FA7B33">
            <w:pPr>
              <w:ind w:right="-29"/>
              <w:jc w:val="center"/>
              <w:rPr>
                <w:noProof/>
                <w:sz w:val="18"/>
                <w:szCs w:val="18"/>
              </w:rPr>
            </w:pPr>
          </w:p>
        </w:tc>
        <w:tc>
          <w:tcPr>
            <w:tcW w:w="648" w:type="dxa"/>
            <w:tcBorders>
              <w:left w:val="dashSmallGap" w:sz="4" w:space="0" w:color="auto"/>
            </w:tcBorders>
          </w:tcPr>
          <w:p w14:paraId="06D4E3B0" w14:textId="77777777" w:rsidR="00950C34" w:rsidRDefault="00950C34" w:rsidP="00FA7B33">
            <w:pPr>
              <w:ind w:right="-29"/>
              <w:jc w:val="center"/>
              <w:rPr>
                <w:noProof/>
                <w:sz w:val="18"/>
                <w:szCs w:val="18"/>
              </w:rPr>
            </w:pPr>
          </w:p>
        </w:tc>
        <w:tc>
          <w:tcPr>
            <w:tcW w:w="432" w:type="dxa"/>
            <w:gridSpan w:val="2"/>
            <w:tcBorders>
              <w:right w:val="dashSmallGap" w:sz="4" w:space="0" w:color="auto"/>
            </w:tcBorders>
          </w:tcPr>
          <w:p w14:paraId="302F8B17" w14:textId="77777777" w:rsidR="00950C34" w:rsidRDefault="00950C34" w:rsidP="00FA7B33">
            <w:pPr>
              <w:ind w:right="-29"/>
              <w:jc w:val="center"/>
              <w:rPr>
                <w:noProof/>
                <w:sz w:val="18"/>
                <w:szCs w:val="18"/>
              </w:rPr>
            </w:pPr>
          </w:p>
        </w:tc>
        <w:tc>
          <w:tcPr>
            <w:tcW w:w="720" w:type="dxa"/>
            <w:tcBorders>
              <w:left w:val="dashSmallGap" w:sz="4" w:space="0" w:color="auto"/>
            </w:tcBorders>
          </w:tcPr>
          <w:p w14:paraId="2AF7B504" w14:textId="77777777" w:rsidR="00950C34" w:rsidRDefault="00950C34" w:rsidP="00FA7B33">
            <w:pPr>
              <w:ind w:right="-29"/>
              <w:jc w:val="center"/>
              <w:rPr>
                <w:noProof/>
                <w:sz w:val="18"/>
                <w:szCs w:val="18"/>
              </w:rPr>
            </w:pPr>
          </w:p>
        </w:tc>
        <w:tc>
          <w:tcPr>
            <w:tcW w:w="540" w:type="dxa"/>
            <w:gridSpan w:val="2"/>
            <w:tcBorders>
              <w:right w:val="dashSmallGap" w:sz="4" w:space="0" w:color="auto"/>
            </w:tcBorders>
          </w:tcPr>
          <w:p w14:paraId="7BE8351D" w14:textId="77777777" w:rsidR="00950C34" w:rsidRDefault="00950C34" w:rsidP="00FA7B33">
            <w:pPr>
              <w:ind w:right="-29"/>
              <w:jc w:val="center"/>
              <w:rPr>
                <w:noProof/>
                <w:sz w:val="18"/>
                <w:szCs w:val="18"/>
              </w:rPr>
            </w:pPr>
          </w:p>
        </w:tc>
        <w:tc>
          <w:tcPr>
            <w:tcW w:w="720" w:type="dxa"/>
            <w:tcBorders>
              <w:left w:val="dashSmallGap" w:sz="4" w:space="0" w:color="auto"/>
            </w:tcBorders>
          </w:tcPr>
          <w:p w14:paraId="164A9180" w14:textId="77777777" w:rsidR="00950C34" w:rsidRDefault="00950C34" w:rsidP="00FA7B33">
            <w:pPr>
              <w:ind w:right="-29"/>
              <w:jc w:val="center"/>
              <w:rPr>
                <w:noProof/>
                <w:sz w:val="18"/>
                <w:szCs w:val="18"/>
              </w:rPr>
            </w:pPr>
          </w:p>
        </w:tc>
        <w:tc>
          <w:tcPr>
            <w:tcW w:w="720" w:type="dxa"/>
          </w:tcPr>
          <w:p w14:paraId="45BC87A2" w14:textId="77777777" w:rsidR="00950C34" w:rsidRDefault="00950C34" w:rsidP="00FA7B33">
            <w:pPr>
              <w:ind w:right="-29"/>
              <w:jc w:val="center"/>
              <w:rPr>
                <w:noProof/>
                <w:sz w:val="18"/>
                <w:szCs w:val="18"/>
              </w:rPr>
            </w:pPr>
          </w:p>
        </w:tc>
        <w:tc>
          <w:tcPr>
            <w:tcW w:w="900" w:type="dxa"/>
          </w:tcPr>
          <w:p w14:paraId="6CAC2B2A" w14:textId="77777777" w:rsidR="00950C34" w:rsidRDefault="00950C34" w:rsidP="00FA7B33">
            <w:pPr>
              <w:ind w:right="-29"/>
              <w:jc w:val="center"/>
              <w:rPr>
                <w:noProof/>
                <w:sz w:val="18"/>
                <w:szCs w:val="18"/>
              </w:rPr>
            </w:pPr>
          </w:p>
        </w:tc>
      </w:tr>
      <w:tr w:rsidR="00950C34" w14:paraId="472FC78C" w14:textId="77777777" w:rsidTr="00FA7B33">
        <w:trPr>
          <w:trHeight w:hRule="exact" w:val="369"/>
          <w:jc w:val="center"/>
        </w:trPr>
        <w:tc>
          <w:tcPr>
            <w:tcW w:w="1423" w:type="dxa"/>
          </w:tcPr>
          <w:p w14:paraId="4F66A2B0" w14:textId="77777777" w:rsidR="00950C34" w:rsidRDefault="00950C34" w:rsidP="00FA7B33">
            <w:pPr>
              <w:ind w:right="-29"/>
              <w:jc w:val="center"/>
              <w:rPr>
                <w:noProof/>
                <w:sz w:val="18"/>
                <w:szCs w:val="18"/>
              </w:rPr>
            </w:pPr>
            <w:r>
              <w:rPr>
                <w:noProof/>
                <w:sz w:val="18"/>
              </w:rPr>
              <w:t>- Output</w:t>
            </w:r>
          </w:p>
        </w:tc>
        <w:tc>
          <w:tcPr>
            <w:tcW w:w="720" w:type="dxa"/>
          </w:tcPr>
          <w:p w14:paraId="2F7C0C83" w14:textId="77777777" w:rsidR="00950C34" w:rsidRDefault="00950C34" w:rsidP="00FA7B33">
            <w:pPr>
              <w:ind w:right="-29"/>
              <w:jc w:val="center"/>
              <w:rPr>
                <w:noProof/>
                <w:sz w:val="18"/>
                <w:szCs w:val="18"/>
              </w:rPr>
            </w:pPr>
          </w:p>
        </w:tc>
        <w:tc>
          <w:tcPr>
            <w:tcW w:w="701" w:type="dxa"/>
          </w:tcPr>
          <w:p w14:paraId="44F8B782" w14:textId="77777777" w:rsidR="00950C34" w:rsidRDefault="00950C34" w:rsidP="00FA7B33">
            <w:pPr>
              <w:ind w:right="-29"/>
              <w:jc w:val="center"/>
              <w:rPr>
                <w:noProof/>
                <w:sz w:val="18"/>
                <w:szCs w:val="18"/>
              </w:rPr>
            </w:pPr>
          </w:p>
        </w:tc>
        <w:tc>
          <w:tcPr>
            <w:tcW w:w="504" w:type="dxa"/>
          </w:tcPr>
          <w:p w14:paraId="14A4DFBB" w14:textId="77777777" w:rsidR="00950C34" w:rsidRDefault="00950C34" w:rsidP="00FA7B33">
            <w:pPr>
              <w:ind w:right="-29"/>
              <w:jc w:val="center"/>
              <w:rPr>
                <w:noProof/>
                <w:sz w:val="18"/>
                <w:szCs w:val="18"/>
              </w:rPr>
            </w:pPr>
          </w:p>
        </w:tc>
        <w:tc>
          <w:tcPr>
            <w:tcW w:w="720" w:type="dxa"/>
          </w:tcPr>
          <w:p w14:paraId="1427B2D2" w14:textId="77777777" w:rsidR="00950C34" w:rsidRDefault="00950C34" w:rsidP="00FA7B33">
            <w:pPr>
              <w:ind w:right="-29"/>
              <w:jc w:val="center"/>
              <w:rPr>
                <w:noProof/>
                <w:sz w:val="18"/>
                <w:szCs w:val="18"/>
              </w:rPr>
            </w:pPr>
          </w:p>
        </w:tc>
        <w:tc>
          <w:tcPr>
            <w:tcW w:w="540" w:type="dxa"/>
          </w:tcPr>
          <w:p w14:paraId="5203EA5F" w14:textId="77777777" w:rsidR="00950C34" w:rsidRDefault="00950C34" w:rsidP="00FA7B33">
            <w:pPr>
              <w:ind w:right="-29"/>
              <w:jc w:val="center"/>
              <w:rPr>
                <w:noProof/>
                <w:sz w:val="18"/>
                <w:szCs w:val="18"/>
              </w:rPr>
            </w:pPr>
          </w:p>
        </w:tc>
        <w:tc>
          <w:tcPr>
            <w:tcW w:w="720" w:type="dxa"/>
          </w:tcPr>
          <w:p w14:paraId="7B430E4F" w14:textId="77777777" w:rsidR="00950C34" w:rsidRDefault="00950C34" w:rsidP="00FA7B33">
            <w:pPr>
              <w:ind w:right="-29"/>
              <w:jc w:val="center"/>
              <w:rPr>
                <w:noProof/>
                <w:sz w:val="18"/>
                <w:szCs w:val="18"/>
              </w:rPr>
            </w:pPr>
          </w:p>
        </w:tc>
        <w:tc>
          <w:tcPr>
            <w:tcW w:w="720" w:type="dxa"/>
          </w:tcPr>
          <w:p w14:paraId="5688D7B2" w14:textId="77777777" w:rsidR="00950C34" w:rsidRDefault="00950C34" w:rsidP="00FA7B33">
            <w:pPr>
              <w:ind w:right="-29"/>
              <w:jc w:val="center"/>
              <w:rPr>
                <w:noProof/>
                <w:sz w:val="18"/>
                <w:szCs w:val="18"/>
              </w:rPr>
            </w:pPr>
          </w:p>
        </w:tc>
        <w:tc>
          <w:tcPr>
            <w:tcW w:w="720" w:type="dxa"/>
          </w:tcPr>
          <w:p w14:paraId="5AC7B030" w14:textId="77777777" w:rsidR="00950C34" w:rsidRDefault="00950C34" w:rsidP="00FA7B33">
            <w:pPr>
              <w:ind w:right="-29"/>
              <w:jc w:val="center"/>
              <w:rPr>
                <w:noProof/>
                <w:sz w:val="18"/>
                <w:szCs w:val="18"/>
              </w:rPr>
            </w:pPr>
          </w:p>
        </w:tc>
        <w:tc>
          <w:tcPr>
            <w:tcW w:w="900" w:type="dxa"/>
          </w:tcPr>
          <w:p w14:paraId="39BF0A30" w14:textId="77777777" w:rsidR="00950C34" w:rsidRDefault="00950C34" w:rsidP="00FA7B33">
            <w:pPr>
              <w:ind w:right="-29"/>
              <w:jc w:val="center"/>
              <w:rPr>
                <w:noProof/>
                <w:sz w:val="18"/>
                <w:szCs w:val="18"/>
              </w:rPr>
            </w:pPr>
          </w:p>
        </w:tc>
        <w:tc>
          <w:tcPr>
            <w:tcW w:w="720" w:type="dxa"/>
            <w:gridSpan w:val="2"/>
          </w:tcPr>
          <w:p w14:paraId="70F6AABA" w14:textId="77777777" w:rsidR="00950C34" w:rsidRDefault="00950C34" w:rsidP="00FA7B33">
            <w:pPr>
              <w:ind w:right="-29"/>
              <w:jc w:val="center"/>
              <w:rPr>
                <w:noProof/>
                <w:sz w:val="18"/>
                <w:szCs w:val="18"/>
              </w:rPr>
            </w:pPr>
          </w:p>
        </w:tc>
        <w:tc>
          <w:tcPr>
            <w:tcW w:w="540" w:type="dxa"/>
          </w:tcPr>
          <w:p w14:paraId="420092DD" w14:textId="77777777" w:rsidR="00950C34" w:rsidRDefault="00950C34" w:rsidP="00FA7B33">
            <w:pPr>
              <w:ind w:right="-29"/>
              <w:jc w:val="center"/>
              <w:rPr>
                <w:noProof/>
                <w:sz w:val="18"/>
                <w:szCs w:val="18"/>
              </w:rPr>
            </w:pPr>
          </w:p>
        </w:tc>
        <w:tc>
          <w:tcPr>
            <w:tcW w:w="648" w:type="dxa"/>
          </w:tcPr>
          <w:p w14:paraId="2B0EF457" w14:textId="77777777" w:rsidR="00950C34" w:rsidRDefault="00950C34" w:rsidP="00FA7B33">
            <w:pPr>
              <w:ind w:right="-29"/>
              <w:jc w:val="center"/>
              <w:rPr>
                <w:noProof/>
                <w:sz w:val="18"/>
                <w:szCs w:val="18"/>
              </w:rPr>
            </w:pPr>
          </w:p>
        </w:tc>
        <w:tc>
          <w:tcPr>
            <w:tcW w:w="432" w:type="dxa"/>
            <w:gridSpan w:val="2"/>
          </w:tcPr>
          <w:p w14:paraId="77C06F17" w14:textId="77777777" w:rsidR="00950C34" w:rsidRDefault="00950C34" w:rsidP="00FA7B33">
            <w:pPr>
              <w:ind w:right="-29"/>
              <w:jc w:val="center"/>
              <w:rPr>
                <w:noProof/>
                <w:sz w:val="18"/>
                <w:szCs w:val="18"/>
              </w:rPr>
            </w:pPr>
          </w:p>
        </w:tc>
        <w:tc>
          <w:tcPr>
            <w:tcW w:w="720" w:type="dxa"/>
          </w:tcPr>
          <w:p w14:paraId="2C72BC1E" w14:textId="77777777" w:rsidR="00950C34" w:rsidRDefault="00950C34" w:rsidP="00FA7B33">
            <w:pPr>
              <w:ind w:right="-29"/>
              <w:jc w:val="center"/>
              <w:rPr>
                <w:noProof/>
                <w:sz w:val="18"/>
                <w:szCs w:val="18"/>
              </w:rPr>
            </w:pPr>
          </w:p>
        </w:tc>
        <w:tc>
          <w:tcPr>
            <w:tcW w:w="540" w:type="dxa"/>
            <w:gridSpan w:val="2"/>
          </w:tcPr>
          <w:p w14:paraId="48A7A0FE" w14:textId="77777777" w:rsidR="00950C34" w:rsidRDefault="00950C34" w:rsidP="00FA7B33">
            <w:pPr>
              <w:ind w:right="-29"/>
              <w:jc w:val="center"/>
              <w:rPr>
                <w:noProof/>
                <w:sz w:val="18"/>
                <w:szCs w:val="18"/>
              </w:rPr>
            </w:pPr>
          </w:p>
        </w:tc>
        <w:tc>
          <w:tcPr>
            <w:tcW w:w="720" w:type="dxa"/>
          </w:tcPr>
          <w:p w14:paraId="61D7FECC" w14:textId="77777777" w:rsidR="00950C34" w:rsidRDefault="00950C34" w:rsidP="00FA7B33">
            <w:pPr>
              <w:ind w:right="-29"/>
              <w:jc w:val="center"/>
              <w:rPr>
                <w:noProof/>
                <w:sz w:val="18"/>
                <w:szCs w:val="18"/>
              </w:rPr>
            </w:pPr>
          </w:p>
        </w:tc>
        <w:tc>
          <w:tcPr>
            <w:tcW w:w="720" w:type="dxa"/>
          </w:tcPr>
          <w:p w14:paraId="3656BFBC" w14:textId="77777777" w:rsidR="00950C34" w:rsidRDefault="00950C34" w:rsidP="00FA7B33">
            <w:pPr>
              <w:ind w:right="-29"/>
              <w:jc w:val="center"/>
              <w:rPr>
                <w:noProof/>
                <w:sz w:val="18"/>
                <w:szCs w:val="18"/>
              </w:rPr>
            </w:pPr>
          </w:p>
        </w:tc>
        <w:tc>
          <w:tcPr>
            <w:tcW w:w="900" w:type="dxa"/>
          </w:tcPr>
          <w:p w14:paraId="39067127" w14:textId="77777777" w:rsidR="00950C34" w:rsidRDefault="00950C34" w:rsidP="00FA7B33">
            <w:pPr>
              <w:ind w:right="-29"/>
              <w:jc w:val="center"/>
              <w:rPr>
                <w:noProof/>
                <w:sz w:val="18"/>
                <w:szCs w:val="18"/>
              </w:rPr>
            </w:pPr>
          </w:p>
        </w:tc>
      </w:tr>
      <w:tr w:rsidR="00950C34" w:rsidRPr="003A769F" w14:paraId="4D819737" w14:textId="77777777" w:rsidTr="00FA7B33">
        <w:trPr>
          <w:trHeight w:val="77"/>
          <w:jc w:val="center"/>
        </w:trPr>
        <w:tc>
          <w:tcPr>
            <w:tcW w:w="2844" w:type="dxa"/>
            <w:gridSpan w:val="3"/>
            <w:tcBorders>
              <w:bottom w:val="single" w:sz="12" w:space="0" w:color="auto"/>
            </w:tcBorders>
            <w:vAlign w:val="center"/>
          </w:tcPr>
          <w:p w14:paraId="0F0732A9" w14:textId="77777777" w:rsidR="00950C34" w:rsidRPr="003A769F" w:rsidRDefault="00950C34" w:rsidP="00FA7B33">
            <w:pPr>
              <w:ind w:right="-29"/>
              <w:jc w:val="center"/>
              <w:rPr>
                <w:noProof/>
                <w:sz w:val="18"/>
                <w:szCs w:val="18"/>
                <w:lang w:val="en-IE"/>
              </w:rPr>
            </w:pPr>
            <w:r w:rsidRPr="003A769F">
              <w:rPr>
                <w:noProof/>
                <w:sz w:val="18"/>
                <w:lang w:val="en-IE"/>
              </w:rPr>
              <w:t>Subtotal for specific objective No 1</w:t>
            </w:r>
          </w:p>
        </w:tc>
        <w:tc>
          <w:tcPr>
            <w:tcW w:w="504" w:type="dxa"/>
            <w:tcBorders>
              <w:bottom w:val="single" w:sz="12" w:space="0" w:color="auto"/>
            </w:tcBorders>
          </w:tcPr>
          <w:p w14:paraId="222F26FB" w14:textId="77777777" w:rsidR="00950C34" w:rsidRPr="003A769F" w:rsidRDefault="00950C34" w:rsidP="00FA7B33">
            <w:pPr>
              <w:ind w:right="-29"/>
              <w:jc w:val="center"/>
              <w:rPr>
                <w:noProof/>
                <w:sz w:val="18"/>
                <w:szCs w:val="18"/>
                <w:lang w:val="en-IE"/>
              </w:rPr>
            </w:pPr>
          </w:p>
        </w:tc>
        <w:tc>
          <w:tcPr>
            <w:tcW w:w="720" w:type="dxa"/>
            <w:tcBorders>
              <w:bottom w:val="single" w:sz="12" w:space="0" w:color="auto"/>
            </w:tcBorders>
          </w:tcPr>
          <w:p w14:paraId="05F73DC2" w14:textId="77777777" w:rsidR="00950C34" w:rsidRPr="003A769F" w:rsidRDefault="00950C34" w:rsidP="00FA7B33">
            <w:pPr>
              <w:ind w:right="-29"/>
              <w:jc w:val="center"/>
              <w:rPr>
                <w:noProof/>
                <w:sz w:val="18"/>
                <w:szCs w:val="18"/>
                <w:lang w:val="en-IE"/>
              </w:rPr>
            </w:pPr>
          </w:p>
        </w:tc>
        <w:tc>
          <w:tcPr>
            <w:tcW w:w="540" w:type="dxa"/>
            <w:tcBorders>
              <w:bottom w:val="single" w:sz="12" w:space="0" w:color="auto"/>
            </w:tcBorders>
          </w:tcPr>
          <w:p w14:paraId="7908F565" w14:textId="77777777" w:rsidR="00950C34" w:rsidRPr="003A769F" w:rsidRDefault="00950C34" w:rsidP="00FA7B33">
            <w:pPr>
              <w:ind w:right="-29"/>
              <w:jc w:val="center"/>
              <w:rPr>
                <w:noProof/>
                <w:sz w:val="18"/>
                <w:szCs w:val="18"/>
                <w:lang w:val="en-IE"/>
              </w:rPr>
            </w:pPr>
          </w:p>
        </w:tc>
        <w:tc>
          <w:tcPr>
            <w:tcW w:w="720" w:type="dxa"/>
            <w:tcBorders>
              <w:bottom w:val="single" w:sz="12" w:space="0" w:color="auto"/>
            </w:tcBorders>
          </w:tcPr>
          <w:p w14:paraId="67BB0D30" w14:textId="77777777" w:rsidR="00950C34" w:rsidRPr="003A769F" w:rsidRDefault="00950C34" w:rsidP="00FA7B33">
            <w:pPr>
              <w:ind w:right="-29"/>
              <w:jc w:val="center"/>
              <w:rPr>
                <w:noProof/>
                <w:sz w:val="18"/>
                <w:szCs w:val="18"/>
                <w:lang w:val="en-IE"/>
              </w:rPr>
            </w:pPr>
          </w:p>
        </w:tc>
        <w:tc>
          <w:tcPr>
            <w:tcW w:w="720" w:type="dxa"/>
            <w:tcBorders>
              <w:bottom w:val="single" w:sz="12" w:space="0" w:color="auto"/>
            </w:tcBorders>
          </w:tcPr>
          <w:p w14:paraId="0DF5E10D" w14:textId="77777777" w:rsidR="00950C34" w:rsidRPr="003A769F" w:rsidRDefault="00950C34" w:rsidP="00FA7B33">
            <w:pPr>
              <w:ind w:right="-29"/>
              <w:jc w:val="center"/>
              <w:rPr>
                <w:noProof/>
                <w:sz w:val="18"/>
                <w:szCs w:val="18"/>
                <w:lang w:val="en-IE"/>
              </w:rPr>
            </w:pPr>
          </w:p>
        </w:tc>
        <w:tc>
          <w:tcPr>
            <w:tcW w:w="720" w:type="dxa"/>
            <w:tcBorders>
              <w:bottom w:val="single" w:sz="12" w:space="0" w:color="auto"/>
            </w:tcBorders>
          </w:tcPr>
          <w:p w14:paraId="2CC777CE" w14:textId="77777777" w:rsidR="00950C34" w:rsidRPr="003A769F" w:rsidRDefault="00950C34" w:rsidP="00FA7B33">
            <w:pPr>
              <w:ind w:right="-29"/>
              <w:jc w:val="center"/>
              <w:rPr>
                <w:noProof/>
                <w:sz w:val="18"/>
                <w:szCs w:val="18"/>
                <w:lang w:val="en-IE"/>
              </w:rPr>
            </w:pPr>
          </w:p>
        </w:tc>
        <w:tc>
          <w:tcPr>
            <w:tcW w:w="900" w:type="dxa"/>
            <w:tcBorders>
              <w:bottom w:val="single" w:sz="12" w:space="0" w:color="auto"/>
            </w:tcBorders>
          </w:tcPr>
          <w:p w14:paraId="7B4BE9A2" w14:textId="77777777" w:rsidR="00950C34" w:rsidRPr="003A769F" w:rsidRDefault="00950C34" w:rsidP="00FA7B33">
            <w:pPr>
              <w:ind w:right="-29"/>
              <w:jc w:val="center"/>
              <w:rPr>
                <w:noProof/>
                <w:sz w:val="18"/>
                <w:szCs w:val="18"/>
                <w:lang w:val="en-IE"/>
              </w:rPr>
            </w:pPr>
          </w:p>
        </w:tc>
        <w:tc>
          <w:tcPr>
            <w:tcW w:w="720" w:type="dxa"/>
            <w:gridSpan w:val="2"/>
            <w:tcBorders>
              <w:bottom w:val="single" w:sz="12" w:space="0" w:color="auto"/>
            </w:tcBorders>
          </w:tcPr>
          <w:p w14:paraId="2A4ED6DA" w14:textId="77777777" w:rsidR="00950C34" w:rsidRPr="003A769F" w:rsidRDefault="00950C34" w:rsidP="00FA7B33">
            <w:pPr>
              <w:ind w:right="-29"/>
              <w:jc w:val="center"/>
              <w:rPr>
                <w:noProof/>
                <w:sz w:val="18"/>
                <w:szCs w:val="18"/>
                <w:lang w:val="en-IE"/>
              </w:rPr>
            </w:pPr>
          </w:p>
        </w:tc>
        <w:tc>
          <w:tcPr>
            <w:tcW w:w="540" w:type="dxa"/>
            <w:tcBorders>
              <w:bottom w:val="single" w:sz="12" w:space="0" w:color="auto"/>
            </w:tcBorders>
          </w:tcPr>
          <w:p w14:paraId="2D952B5C" w14:textId="77777777" w:rsidR="00950C34" w:rsidRPr="003A769F" w:rsidRDefault="00950C34" w:rsidP="00FA7B33">
            <w:pPr>
              <w:ind w:right="-29"/>
              <w:jc w:val="center"/>
              <w:rPr>
                <w:noProof/>
                <w:sz w:val="18"/>
                <w:szCs w:val="18"/>
                <w:lang w:val="en-IE"/>
              </w:rPr>
            </w:pPr>
          </w:p>
        </w:tc>
        <w:tc>
          <w:tcPr>
            <w:tcW w:w="648" w:type="dxa"/>
            <w:tcBorders>
              <w:bottom w:val="single" w:sz="12" w:space="0" w:color="auto"/>
            </w:tcBorders>
          </w:tcPr>
          <w:p w14:paraId="4EAD2ACF" w14:textId="77777777" w:rsidR="00950C34" w:rsidRPr="003A769F" w:rsidRDefault="00950C34" w:rsidP="00FA7B33">
            <w:pPr>
              <w:ind w:right="-29"/>
              <w:jc w:val="center"/>
              <w:rPr>
                <w:noProof/>
                <w:sz w:val="18"/>
                <w:szCs w:val="18"/>
                <w:lang w:val="en-IE"/>
              </w:rPr>
            </w:pPr>
          </w:p>
        </w:tc>
        <w:tc>
          <w:tcPr>
            <w:tcW w:w="432" w:type="dxa"/>
            <w:gridSpan w:val="2"/>
            <w:tcBorders>
              <w:bottom w:val="single" w:sz="12" w:space="0" w:color="auto"/>
            </w:tcBorders>
          </w:tcPr>
          <w:p w14:paraId="64501E7D" w14:textId="77777777" w:rsidR="00950C34" w:rsidRPr="003A769F" w:rsidRDefault="00950C34" w:rsidP="00FA7B33">
            <w:pPr>
              <w:ind w:right="-29"/>
              <w:jc w:val="center"/>
              <w:rPr>
                <w:noProof/>
                <w:sz w:val="18"/>
                <w:szCs w:val="18"/>
                <w:lang w:val="en-IE"/>
              </w:rPr>
            </w:pPr>
          </w:p>
        </w:tc>
        <w:tc>
          <w:tcPr>
            <w:tcW w:w="720" w:type="dxa"/>
            <w:tcBorders>
              <w:bottom w:val="single" w:sz="12" w:space="0" w:color="auto"/>
            </w:tcBorders>
          </w:tcPr>
          <w:p w14:paraId="70AE92B3" w14:textId="77777777" w:rsidR="00950C34" w:rsidRPr="003A769F" w:rsidRDefault="00950C34" w:rsidP="00FA7B33">
            <w:pPr>
              <w:ind w:right="-29"/>
              <w:jc w:val="center"/>
              <w:rPr>
                <w:noProof/>
                <w:sz w:val="18"/>
                <w:szCs w:val="18"/>
                <w:lang w:val="en-IE"/>
              </w:rPr>
            </w:pPr>
          </w:p>
        </w:tc>
        <w:tc>
          <w:tcPr>
            <w:tcW w:w="540" w:type="dxa"/>
            <w:gridSpan w:val="2"/>
            <w:tcBorders>
              <w:bottom w:val="single" w:sz="12" w:space="0" w:color="auto"/>
            </w:tcBorders>
          </w:tcPr>
          <w:p w14:paraId="743ECF71" w14:textId="77777777" w:rsidR="00950C34" w:rsidRPr="003A769F" w:rsidRDefault="00950C34" w:rsidP="00FA7B33">
            <w:pPr>
              <w:ind w:right="-29"/>
              <w:jc w:val="center"/>
              <w:rPr>
                <w:noProof/>
                <w:sz w:val="18"/>
                <w:szCs w:val="18"/>
                <w:lang w:val="en-IE"/>
              </w:rPr>
            </w:pPr>
          </w:p>
        </w:tc>
        <w:tc>
          <w:tcPr>
            <w:tcW w:w="720" w:type="dxa"/>
            <w:tcBorders>
              <w:bottom w:val="single" w:sz="12" w:space="0" w:color="auto"/>
            </w:tcBorders>
          </w:tcPr>
          <w:p w14:paraId="28A909FA" w14:textId="77777777" w:rsidR="00950C34" w:rsidRPr="003A769F" w:rsidRDefault="00950C34" w:rsidP="00FA7B33">
            <w:pPr>
              <w:ind w:right="-29"/>
              <w:jc w:val="center"/>
              <w:rPr>
                <w:noProof/>
                <w:sz w:val="18"/>
                <w:szCs w:val="18"/>
                <w:lang w:val="en-IE"/>
              </w:rPr>
            </w:pPr>
          </w:p>
        </w:tc>
        <w:tc>
          <w:tcPr>
            <w:tcW w:w="720" w:type="dxa"/>
            <w:tcBorders>
              <w:bottom w:val="single" w:sz="12" w:space="0" w:color="auto"/>
            </w:tcBorders>
          </w:tcPr>
          <w:p w14:paraId="77F09342" w14:textId="77777777" w:rsidR="00950C34" w:rsidRPr="003A769F" w:rsidRDefault="00950C34" w:rsidP="00FA7B33">
            <w:pPr>
              <w:ind w:right="-29"/>
              <w:jc w:val="center"/>
              <w:rPr>
                <w:noProof/>
                <w:sz w:val="18"/>
                <w:szCs w:val="18"/>
                <w:lang w:val="en-IE"/>
              </w:rPr>
            </w:pPr>
          </w:p>
        </w:tc>
        <w:tc>
          <w:tcPr>
            <w:tcW w:w="900" w:type="dxa"/>
            <w:tcBorders>
              <w:bottom w:val="single" w:sz="12" w:space="0" w:color="auto"/>
            </w:tcBorders>
          </w:tcPr>
          <w:p w14:paraId="634E4A34" w14:textId="77777777" w:rsidR="00950C34" w:rsidRPr="003A769F" w:rsidRDefault="00950C34" w:rsidP="00FA7B33">
            <w:pPr>
              <w:ind w:right="-29"/>
              <w:jc w:val="center"/>
              <w:rPr>
                <w:noProof/>
                <w:sz w:val="18"/>
                <w:szCs w:val="18"/>
                <w:lang w:val="en-IE"/>
              </w:rPr>
            </w:pPr>
          </w:p>
        </w:tc>
      </w:tr>
      <w:tr w:rsidR="00950C34" w14:paraId="6178BC4D" w14:textId="77777777" w:rsidTr="00FA7B33">
        <w:trPr>
          <w:jc w:val="center"/>
        </w:trPr>
        <w:tc>
          <w:tcPr>
            <w:tcW w:w="2844" w:type="dxa"/>
            <w:gridSpan w:val="3"/>
            <w:vAlign w:val="center"/>
          </w:tcPr>
          <w:p w14:paraId="7F92E926" w14:textId="77777777" w:rsidR="00950C34" w:rsidRDefault="00950C34" w:rsidP="00FA7B33">
            <w:pPr>
              <w:spacing w:before="60" w:after="60"/>
              <w:ind w:right="-29"/>
              <w:jc w:val="center"/>
              <w:rPr>
                <w:noProof/>
                <w:sz w:val="18"/>
                <w:szCs w:val="18"/>
              </w:rPr>
            </w:pPr>
            <w:r>
              <w:rPr>
                <w:noProof/>
                <w:sz w:val="18"/>
              </w:rPr>
              <w:t>SPECIFIC OBJECTIVE No 2 ...</w:t>
            </w:r>
          </w:p>
        </w:tc>
        <w:tc>
          <w:tcPr>
            <w:tcW w:w="504" w:type="dxa"/>
            <w:tcBorders>
              <w:top w:val="nil"/>
              <w:left w:val="nil"/>
              <w:bottom w:val="nil"/>
              <w:right w:val="nil"/>
            </w:tcBorders>
          </w:tcPr>
          <w:p w14:paraId="420764A5" w14:textId="77777777" w:rsidR="00950C34" w:rsidRDefault="00950C34" w:rsidP="00FA7B33">
            <w:pPr>
              <w:spacing w:before="60" w:after="60"/>
              <w:ind w:right="-29"/>
              <w:jc w:val="center"/>
              <w:rPr>
                <w:noProof/>
                <w:sz w:val="18"/>
                <w:szCs w:val="18"/>
              </w:rPr>
            </w:pPr>
          </w:p>
        </w:tc>
        <w:tc>
          <w:tcPr>
            <w:tcW w:w="720" w:type="dxa"/>
            <w:tcBorders>
              <w:top w:val="nil"/>
              <w:left w:val="nil"/>
              <w:bottom w:val="nil"/>
              <w:right w:val="nil"/>
            </w:tcBorders>
          </w:tcPr>
          <w:p w14:paraId="30ACE1F0" w14:textId="77777777" w:rsidR="00950C34" w:rsidRDefault="00950C34" w:rsidP="00FA7B33">
            <w:pPr>
              <w:spacing w:before="60" w:after="60"/>
              <w:ind w:right="-29"/>
              <w:jc w:val="center"/>
              <w:rPr>
                <w:noProof/>
                <w:sz w:val="18"/>
                <w:szCs w:val="18"/>
              </w:rPr>
            </w:pPr>
          </w:p>
        </w:tc>
        <w:tc>
          <w:tcPr>
            <w:tcW w:w="540" w:type="dxa"/>
            <w:tcBorders>
              <w:top w:val="nil"/>
              <w:left w:val="nil"/>
              <w:bottom w:val="nil"/>
              <w:right w:val="nil"/>
            </w:tcBorders>
          </w:tcPr>
          <w:p w14:paraId="73647F6A" w14:textId="77777777" w:rsidR="00950C34" w:rsidRDefault="00950C34" w:rsidP="00FA7B33">
            <w:pPr>
              <w:spacing w:before="60" w:after="60"/>
              <w:ind w:right="-29"/>
              <w:jc w:val="center"/>
              <w:rPr>
                <w:noProof/>
                <w:sz w:val="18"/>
                <w:szCs w:val="18"/>
              </w:rPr>
            </w:pPr>
          </w:p>
        </w:tc>
        <w:tc>
          <w:tcPr>
            <w:tcW w:w="720" w:type="dxa"/>
            <w:tcBorders>
              <w:top w:val="nil"/>
              <w:left w:val="nil"/>
              <w:bottom w:val="nil"/>
              <w:right w:val="nil"/>
            </w:tcBorders>
          </w:tcPr>
          <w:p w14:paraId="7178ED6E" w14:textId="77777777" w:rsidR="00950C34" w:rsidRDefault="00950C34" w:rsidP="00FA7B33">
            <w:pPr>
              <w:spacing w:before="60" w:after="60"/>
              <w:ind w:right="-29"/>
              <w:jc w:val="center"/>
              <w:rPr>
                <w:noProof/>
                <w:sz w:val="18"/>
                <w:szCs w:val="18"/>
              </w:rPr>
            </w:pPr>
          </w:p>
        </w:tc>
        <w:tc>
          <w:tcPr>
            <w:tcW w:w="720" w:type="dxa"/>
            <w:tcBorders>
              <w:top w:val="nil"/>
              <w:left w:val="nil"/>
              <w:bottom w:val="nil"/>
              <w:right w:val="nil"/>
            </w:tcBorders>
          </w:tcPr>
          <w:p w14:paraId="473992C4" w14:textId="77777777" w:rsidR="00950C34" w:rsidRDefault="00950C34" w:rsidP="00FA7B33">
            <w:pPr>
              <w:spacing w:before="60" w:after="60"/>
              <w:ind w:right="-29"/>
              <w:jc w:val="center"/>
              <w:rPr>
                <w:noProof/>
                <w:sz w:val="18"/>
                <w:szCs w:val="18"/>
              </w:rPr>
            </w:pPr>
          </w:p>
        </w:tc>
        <w:tc>
          <w:tcPr>
            <w:tcW w:w="720" w:type="dxa"/>
            <w:tcBorders>
              <w:top w:val="nil"/>
              <w:left w:val="nil"/>
              <w:bottom w:val="nil"/>
              <w:right w:val="nil"/>
            </w:tcBorders>
          </w:tcPr>
          <w:p w14:paraId="06C04226" w14:textId="77777777" w:rsidR="00950C34" w:rsidRDefault="00950C34" w:rsidP="00FA7B33">
            <w:pPr>
              <w:spacing w:before="60" w:after="60"/>
              <w:ind w:right="-29"/>
              <w:jc w:val="center"/>
              <w:rPr>
                <w:noProof/>
                <w:sz w:val="18"/>
                <w:szCs w:val="18"/>
              </w:rPr>
            </w:pPr>
          </w:p>
        </w:tc>
        <w:tc>
          <w:tcPr>
            <w:tcW w:w="900" w:type="dxa"/>
            <w:tcBorders>
              <w:top w:val="nil"/>
              <w:left w:val="nil"/>
              <w:bottom w:val="nil"/>
              <w:right w:val="nil"/>
            </w:tcBorders>
          </w:tcPr>
          <w:p w14:paraId="18B65039" w14:textId="77777777" w:rsidR="00950C34" w:rsidRDefault="00950C34" w:rsidP="00FA7B33">
            <w:pPr>
              <w:spacing w:before="60" w:after="60"/>
              <w:ind w:right="-29"/>
              <w:jc w:val="center"/>
              <w:rPr>
                <w:noProof/>
                <w:sz w:val="18"/>
                <w:szCs w:val="18"/>
              </w:rPr>
            </w:pPr>
          </w:p>
        </w:tc>
        <w:tc>
          <w:tcPr>
            <w:tcW w:w="720" w:type="dxa"/>
            <w:gridSpan w:val="2"/>
            <w:tcBorders>
              <w:top w:val="nil"/>
              <w:left w:val="nil"/>
              <w:bottom w:val="nil"/>
              <w:right w:val="nil"/>
            </w:tcBorders>
          </w:tcPr>
          <w:p w14:paraId="253058D3" w14:textId="77777777" w:rsidR="00950C34" w:rsidRDefault="00950C34" w:rsidP="00FA7B33">
            <w:pPr>
              <w:spacing w:before="60" w:after="60"/>
              <w:ind w:right="-29"/>
              <w:jc w:val="center"/>
              <w:rPr>
                <w:noProof/>
                <w:sz w:val="18"/>
                <w:szCs w:val="18"/>
              </w:rPr>
            </w:pPr>
          </w:p>
        </w:tc>
        <w:tc>
          <w:tcPr>
            <w:tcW w:w="540" w:type="dxa"/>
            <w:tcBorders>
              <w:top w:val="nil"/>
              <w:left w:val="nil"/>
              <w:bottom w:val="nil"/>
              <w:right w:val="nil"/>
            </w:tcBorders>
          </w:tcPr>
          <w:p w14:paraId="4ACC6062" w14:textId="77777777" w:rsidR="00950C34" w:rsidRDefault="00950C34" w:rsidP="00FA7B33">
            <w:pPr>
              <w:spacing w:before="60" w:after="60"/>
              <w:ind w:right="-29"/>
              <w:jc w:val="center"/>
              <w:rPr>
                <w:noProof/>
                <w:sz w:val="18"/>
                <w:szCs w:val="18"/>
              </w:rPr>
            </w:pPr>
          </w:p>
        </w:tc>
        <w:tc>
          <w:tcPr>
            <w:tcW w:w="648" w:type="dxa"/>
            <w:tcBorders>
              <w:top w:val="nil"/>
              <w:left w:val="nil"/>
              <w:bottom w:val="nil"/>
              <w:right w:val="nil"/>
            </w:tcBorders>
          </w:tcPr>
          <w:p w14:paraId="1D9A5F41" w14:textId="77777777" w:rsidR="00950C34" w:rsidRDefault="00950C34" w:rsidP="00FA7B33">
            <w:pPr>
              <w:spacing w:before="60" w:after="60"/>
              <w:ind w:right="-29"/>
              <w:jc w:val="center"/>
              <w:rPr>
                <w:noProof/>
                <w:sz w:val="18"/>
                <w:szCs w:val="18"/>
              </w:rPr>
            </w:pPr>
          </w:p>
        </w:tc>
        <w:tc>
          <w:tcPr>
            <w:tcW w:w="432" w:type="dxa"/>
            <w:gridSpan w:val="2"/>
            <w:tcBorders>
              <w:top w:val="nil"/>
              <w:left w:val="nil"/>
              <w:bottom w:val="nil"/>
              <w:right w:val="nil"/>
            </w:tcBorders>
          </w:tcPr>
          <w:p w14:paraId="4644F750" w14:textId="77777777" w:rsidR="00950C34" w:rsidRDefault="00950C34" w:rsidP="00FA7B33">
            <w:pPr>
              <w:spacing w:before="60" w:after="60"/>
              <w:ind w:right="-29"/>
              <w:jc w:val="center"/>
              <w:rPr>
                <w:noProof/>
                <w:sz w:val="18"/>
                <w:szCs w:val="18"/>
              </w:rPr>
            </w:pPr>
          </w:p>
        </w:tc>
        <w:tc>
          <w:tcPr>
            <w:tcW w:w="720" w:type="dxa"/>
            <w:tcBorders>
              <w:top w:val="nil"/>
              <w:left w:val="nil"/>
              <w:bottom w:val="nil"/>
              <w:right w:val="nil"/>
            </w:tcBorders>
          </w:tcPr>
          <w:p w14:paraId="5ED08277" w14:textId="77777777" w:rsidR="00950C34" w:rsidRDefault="00950C34" w:rsidP="00FA7B33">
            <w:pPr>
              <w:spacing w:before="60" w:after="60"/>
              <w:ind w:right="-29"/>
              <w:jc w:val="center"/>
              <w:rPr>
                <w:noProof/>
                <w:sz w:val="18"/>
                <w:szCs w:val="18"/>
              </w:rPr>
            </w:pPr>
          </w:p>
        </w:tc>
        <w:tc>
          <w:tcPr>
            <w:tcW w:w="540" w:type="dxa"/>
            <w:gridSpan w:val="2"/>
            <w:tcBorders>
              <w:top w:val="nil"/>
              <w:left w:val="nil"/>
              <w:bottom w:val="nil"/>
              <w:right w:val="nil"/>
            </w:tcBorders>
          </w:tcPr>
          <w:p w14:paraId="0029F73C" w14:textId="77777777" w:rsidR="00950C34" w:rsidRDefault="00950C34" w:rsidP="00FA7B33">
            <w:pPr>
              <w:spacing w:before="60" w:after="60"/>
              <w:ind w:right="-29"/>
              <w:jc w:val="center"/>
              <w:rPr>
                <w:noProof/>
                <w:sz w:val="18"/>
                <w:szCs w:val="18"/>
              </w:rPr>
            </w:pPr>
          </w:p>
        </w:tc>
        <w:tc>
          <w:tcPr>
            <w:tcW w:w="720" w:type="dxa"/>
            <w:tcBorders>
              <w:top w:val="nil"/>
              <w:left w:val="nil"/>
              <w:bottom w:val="nil"/>
              <w:right w:val="nil"/>
            </w:tcBorders>
          </w:tcPr>
          <w:p w14:paraId="64FE70C4" w14:textId="77777777" w:rsidR="00950C34" w:rsidRDefault="00950C34" w:rsidP="00FA7B33">
            <w:pPr>
              <w:spacing w:before="60" w:after="60"/>
              <w:ind w:right="-29"/>
              <w:jc w:val="center"/>
              <w:rPr>
                <w:noProof/>
                <w:sz w:val="18"/>
                <w:szCs w:val="18"/>
              </w:rPr>
            </w:pPr>
          </w:p>
        </w:tc>
        <w:tc>
          <w:tcPr>
            <w:tcW w:w="720" w:type="dxa"/>
            <w:tcBorders>
              <w:top w:val="nil"/>
              <w:left w:val="nil"/>
              <w:bottom w:val="nil"/>
              <w:right w:val="nil"/>
            </w:tcBorders>
          </w:tcPr>
          <w:p w14:paraId="10390359" w14:textId="77777777" w:rsidR="00950C34" w:rsidRDefault="00950C34" w:rsidP="00FA7B33">
            <w:pPr>
              <w:spacing w:before="60" w:after="60"/>
              <w:ind w:right="-29"/>
              <w:jc w:val="center"/>
              <w:rPr>
                <w:noProof/>
                <w:sz w:val="18"/>
                <w:szCs w:val="18"/>
              </w:rPr>
            </w:pPr>
          </w:p>
        </w:tc>
        <w:tc>
          <w:tcPr>
            <w:tcW w:w="900" w:type="dxa"/>
            <w:tcBorders>
              <w:top w:val="nil"/>
              <w:left w:val="nil"/>
              <w:bottom w:val="nil"/>
              <w:right w:val="nil"/>
            </w:tcBorders>
          </w:tcPr>
          <w:p w14:paraId="76421DA8" w14:textId="77777777" w:rsidR="00950C34" w:rsidRDefault="00950C34" w:rsidP="00FA7B33">
            <w:pPr>
              <w:spacing w:before="60" w:after="60"/>
              <w:ind w:right="-29"/>
              <w:jc w:val="center"/>
              <w:rPr>
                <w:noProof/>
                <w:sz w:val="18"/>
                <w:szCs w:val="18"/>
              </w:rPr>
            </w:pPr>
          </w:p>
        </w:tc>
      </w:tr>
      <w:tr w:rsidR="00950C34" w14:paraId="2EEA1A43" w14:textId="77777777" w:rsidTr="00FA7B33">
        <w:trPr>
          <w:trHeight w:hRule="exact" w:val="369"/>
          <w:jc w:val="center"/>
        </w:trPr>
        <w:tc>
          <w:tcPr>
            <w:tcW w:w="1423" w:type="dxa"/>
          </w:tcPr>
          <w:p w14:paraId="6FDCC2FE" w14:textId="77777777" w:rsidR="00950C34" w:rsidRDefault="00950C34" w:rsidP="00FA7B33">
            <w:pPr>
              <w:ind w:right="-29"/>
              <w:jc w:val="center"/>
              <w:rPr>
                <w:noProof/>
                <w:sz w:val="18"/>
                <w:szCs w:val="18"/>
              </w:rPr>
            </w:pPr>
            <w:r>
              <w:rPr>
                <w:noProof/>
                <w:sz w:val="18"/>
              </w:rPr>
              <w:t>- Output</w:t>
            </w:r>
          </w:p>
        </w:tc>
        <w:tc>
          <w:tcPr>
            <w:tcW w:w="720" w:type="dxa"/>
          </w:tcPr>
          <w:p w14:paraId="03316F22" w14:textId="77777777" w:rsidR="00950C34" w:rsidRDefault="00950C34" w:rsidP="00FA7B33">
            <w:pPr>
              <w:ind w:right="-29"/>
              <w:jc w:val="center"/>
              <w:rPr>
                <w:noProof/>
                <w:sz w:val="18"/>
                <w:szCs w:val="18"/>
              </w:rPr>
            </w:pPr>
          </w:p>
        </w:tc>
        <w:tc>
          <w:tcPr>
            <w:tcW w:w="701" w:type="dxa"/>
          </w:tcPr>
          <w:p w14:paraId="1A810B59" w14:textId="77777777" w:rsidR="00950C34" w:rsidRDefault="00950C34" w:rsidP="00FA7B33">
            <w:pPr>
              <w:ind w:right="-29"/>
              <w:jc w:val="center"/>
              <w:rPr>
                <w:noProof/>
                <w:sz w:val="18"/>
                <w:szCs w:val="18"/>
              </w:rPr>
            </w:pPr>
          </w:p>
        </w:tc>
        <w:tc>
          <w:tcPr>
            <w:tcW w:w="504" w:type="dxa"/>
          </w:tcPr>
          <w:p w14:paraId="639D1E50" w14:textId="77777777" w:rsidR="00950C34" w:rsidRDefault="00950C34" w:rsidP="00FA7B33">
            <w:pPr>
              <w:ind w:right="-29"/>
              <w:jc w:val="center"/>
              <w:rPr>
                <w:noProof/>
                <w:sz w:val="18"/>
                <w:szCs w:val="18"/>
              </w:rPr>
            </w:pPr>
          </w:p>
        </w:tc>
        <w:tc>
          <w:tcPr>
            <w:tcW w:w="720" w:type="dxa"/>
          </w:tcPr>
          <w:p w14:paraId="1DA0D0C3" w14:textId="77777777" w:rsidR="00950C34" w:rsidRDefault="00950C34" w:rsidP="00FA7B33">
            <w:pPr>
              <w:ind w:right="-29"/>
              <w:jc w:val="center"/>
              <w:rPr>
                <w:noProof/>
                <w:sz w:val="18"/>
                <w:szCs w:val="18"/>
              </w:rPr>
            </w:pPr>
          </w:p>
        </w:tc>
        <w:tc>
          <w:tcPr>
            <w:tcW w:w="540" w:type="dxa"/>
          </w:tcPr>
          <w:p w14:paraId="3D757952" w14:textId="77777777" w:rsidR="00950C34" w:rsidRDefault="00950C34" w:rsidP="00FA7B33">
            <w:pPr>
              <w:ind w:right="-29"/>
              <w:jc w:val="center"/>
              <w:rPr>
                <w:noProof/>
                <w:sz w:val="18"/>
                <w:szCs w:val="18"/>
              </w:rPr>
            </w:pPr>
          </w:p>
        </w:tc>
        <w:tc>
          <w:tcPr>
            <w:tcW w:w="720" w:type="dxa"/>
          </w:tcPr>
          <w:p w14:paraId="5EBC0645" w14:textId="77777777" w:rsidR="00950C34" w:rsidRDefault="00950C34" w:rsidP="00FA7B33">
            <w:pPr>
              <w:ind w:right="-29"/>
              <w:jc w:val="center"/>
              <w:rPr>
                <w:noProof/>
                <w:sz w:val="18"/>
                <w:szCs w:val="18"/>
              </w:rPr>
            </w:pPr>
          </w:p>
        </w:tc>
        <w:tc>
          <w:tcPr>
            <w:tcW w:w="720" w:type="dxa"/>
          </w:tcPr>
          <w:p w14:paraId="6E4969D8" w14:textId="77777777" w:rsidR="00950C34" w:rsidRDefault="00950C34" w:rsidP="00FA7B33">
            <w:pPr>
              <w:ind w:right="-29"/>
              <w:jc w:val="center"/>
              <w:rPr>
                <w:noProof/>
                <w:sz w:val="18"/>
                <w:szCs w:val="18"/>
              </w:rPr>
            </w:pPr>
          </w:p>
        </w:tc>
        <w:tc>
          <w:tcPr>
            <w:tcW w:w="720" w:type="dxa"/>
          </w:tcPr>
          <w:p w14:paraId="116E6913" w14:textId="77777777" w:rsidR="00950C34" w:rsidRDefault="00950C34" w:rsidP="00FA7B33">
            <w:pPr>
              <w:ind w:right="-29"/>
              <w:jc w:val="center"/>
              <w:rPr>
                <w:noProof/>
                <w:sz w:val="18"/>
                <w:szCs w:val="18"/>
              </w:rPr>
            </w:pPr>
          </w:p>
        </w:tc>
        <w:tc>
          <w:tcPr>
            <w:tcW w:w="900" w:type="dxa"/>
          </w:tcPr>
          <w:p w14:paraId="53C1BD11" w14:textId="77777777" w:rsidR="00950C34" w:rsidRDefault="00950C34" w:rsidP="00FA7B33">
            <w:pPr>
              <w:ind w:right="-29"/>
              <w:jc w:val="center"/>
              <w:rPr>
                <w:noProof/>
                <w:sz w:val="18"/>
                <w:szCs w:val="18"/>
              </w:rPr>
            </w:pPr>
          </w:p>
        </w:tc>
        <w:tc>
          <w:tcPr>
            <w:tcW w:w="720" w:type="dxa"/>
            <w:gridSpan w:val="2"/>
          </w:tcPr>
          <w:p w14:paraId="4A7F13BC" w14:textId="77777777" w:rsidR="00950C34" w:rsidRDefault="00950C34" w:rsidP="00FA7B33">
            <w:pPr>
              <w:ind w:right="-29"/>
              <w:jc w:val="center"/>
              <w:rPr>
                <w:noProof/>
                <w:sz w:val="18"/>
                <w:szCs w:val="18"/>
              </w:rPr>
            </w:pPr>
          </w:p>
        </w:tc>
        <w:tc>
          <w:tcPr>
            <w:tcW w:w="540" w:type="dxa"/>
          </w:tcPr>
          <w:p w14:paraId="0824F5FB" w14:textId="77777777" w:rsidR="00950C34" w:rsidRDefault="00950C34" w:rsidP="00FA7B33">
            <w:pPr>
              <w:ind w:right="-29"/>
              <w:jc w:val="center"/>
              <w:rPr>
                <w:noProof/>
                <w:sz w:val="18"/>
                <w:szCs w:val="18"/>
              </w:rPr>
            </w:pPr>
          </w:p>
        </w:tc>
        <w:tc>
          <w:tcPr>
            <w:tcW w:w="648" w:type="dxa"/>
          </w:tcPr>
          <w:p w14:paraId="0CFD5A21" w14:textId="77777777" w:rsidR="00950C34" w:rsidRDefault="00950C34" w:rsidP="00FA7B33">
            <w:pPr>
              <w:ind w:right="-29"/>
              <w:jc w:val="center"/>
              <w:rPr>
                <w:noProof/>
                <w:sz w:val="18"/>
                <w:szCs w:val="18"/>
              </w:rPr>
            </w:pPr>
          </w:p>
        </w:tc>
        <w:tc>
          <w:tcPr>
            <w:tcW w:w="432" w:type="dxa"/>
            <w:gridSpan w:val="2"/>
          </w:tcPr>
          <w:p w14:paraId="6E776373" w14:textId="77777777" w:rsidR="00950C34" w:rsidRDefault="00950C34" w:rsidP="00FA7B33">
            <w:pPr>
              <w:ind w:right="-29"/>
              <w:jc w:val="center"/>
              <w:rPr>
                <w:noProof/>
                <w:sz w:val="18"/>
                <w:szCs w:val="18"/>
              </w:rPr>
            </w:pPr>
          </w:p>
        </w:tc>
        <w:tc>
          <w:tcPr>
            <w:tcW w:w="720" w:type="dxa"/>
          </w:tcPr>
          <w:p w14:paraId="752F2D35" w14:textId="77777777" w:rsidR="00950C34" w:rsidRDefault="00950C34" w:rsidP="00FA7B33">
            <w:pPr>
              <w:ind w:right="-29"/>
              <w:jc w:val="center"/>
              <w:rPr>
                <w:noProof/>
                <w:sz w:val="18"/>
                <w:szCs w:val="18"/>
              </w:rPr>
            </w:pPr>
          </w:p>
        </w:tc>
        <w:tc>
          <w:tcPr>
            <w:tcW w:w="540" w:type="dxa"/>
            <w:gridSpan w:val="2"/>
          </w:tcPr>
          <w:p w14:paraId="2DE642F7" w14:textId="77777777" w:rsidR="00950C34" w:rsidRDefault="00950C34" w:rsidP="00FA7B33">
            <w:pPr>
              <w:ind w:right="-29"/>
              <w:jc w:val="center"/>
              <w:rPr>
                <w:noProof/>
                <w:sz w:val="18"/>
                <w:szCs w:val="18"/>
              </w:rPr>
            </w:pPr>
          </w:p>
        </w:tc>
        <w:tc>
          <w:tcPr>
            <w:tcW w:w="720" w:type="dxa"/>
          </w:tcPr>
          <w:p w14:paraId="75A3C92E" w14:textId="77777777" w:rsidR="00950C34" w:rsidRDefault="00950C34" w:rsidP="00FA7B33">
            <w:pPr>
              <w:ind w:right="-29"/>
              <w:jc w:val="center"/>
              <w:rPr>
                <w:noProof/>
                <w:sz w:val="18"/>
                <w:szCs w:val="18"/>
              </w:rPr>
            </w:pPr>
          </w:p>
        </w:tc>
        <w:tc>
          <w:tcPr>
            <w:tcW w:w="720" w:type="dxa"/>
          </w:tcPr>
          <w:p w14:paraId="2769E68B" w14:textId="77777777" w:rsidR="00950C34" w:rsidRDefault="00950C34" w:rsidP="00FA7B33">
            <w:pPr>
              <w:ind w:right="-29"/>
              <w:jc w:val="center"/>
              <w:rPr>
                <w:noProof/>
                <w:sz w:val="18"/>
                <w:szCs w:val="18"/>
              </w:rPr>
            </w:pPr>
          </w:p>
        </w:tc>
        <w:tc>
          <w:tcPr>
            <w:tcW w:w="900" w:type="dxa"/>
          </w:tcPr>
          <w:p w14:paraId="24BE2DA7" w14:textId="77777777" w:rsidR="00950C34" w:rsidRDefault="00950C34" w:rsidP="00FA7B33">
            <w:pPr>
              <w:ind w:right="-29"/>
              <w:jc w:val="center"/>
              <w:rPr>
                <w:noProof/>
                <w:sz w:val="18"/>
                <w:szCs w:val="18"/>
              </w:rPr>
            </w:pPr>
          </w:p>
        </w:tc>
      </w:tr>
      <w:tr w:rsidR="00950C34" w:rsidRPr="003A769F" w14:paraId="1D1C5770" w14:textId="77777777" w:rsidTr="00FA7B33">
        <w:trPr>
          <w:jc w:val="center"/>
        </w:trPr>
        <w:tc>
          <w:tcPr>
            <w:tcW w:w="2844" w:type="dxa"/>
            <w:gridSpan w:val="3"/>
            <w:tcBorders>
              <w:bottom w:val="single" w:sz="12" w:space="0" w:color="auto"/>
            </w:tcBorders>
            <w:vAlign w:val="center"/>
          </w:tcPr>
          <w:p w14:paraId="65FE57D3" w14:textId="77777777" w:rsidR="00950C34" w:rsidRPr="003A769F" w:rsidRDefault="00950C34" w:rsidP="00FA7B33">
            <w:pPr>
              <w:jc w:val="center"/>
              <w:rPr>
                <w:noProof/>
                <w:sz w:val="18"/>
                <w:szCs w:val="18"/>
                <w:lang w:val="en-IE"/>
              </w:rPr>
            </w:pPr>
            <w:r w:rsidRPr="003A769F">
              <w:rPr>
                <w:noProof/>
                <w:sz w:val="18"/>
                <w:lang w:val="en-IE"/>
              </w:rPr>
              <w:t>Subtotal for specific objective No 2</w:t>
            </w:r>
          </w:p>
        </w:tc>
        <w:tc>
          <w:tcPr>
            <w:tcW w:w="504" w:type="dxa"/>
            <w:tcBorders>
              <w:bottom w:val="single" w:sz="12" w:space="0" w:color="auto"/>
            </w:tcBorders>
          </w:tcPr>
          <w:p w14:paraId="697C3189" w14:textId="77777777" w:rsidR="00950C34" w:rsidRPr="003A769F" w:rsidRDefault="00950C34" w:rsidP="00FA7B33">
            <w:pPr>
              <w:ind w:right="-29"/>
              <w:jc w:val="center"/>
              <w:rPr>
                <w:noProof/>
                <w:sz w:val="18"/>
                <w:szCs w:val="18"/>
                <w:lang w:val="en-IE"/>
              </w:rPr>
            </w:pPr>
          </w:p>
        </w:tc>
        <w:tc>
          <w:tcPr>
            <w:tcW w:w="720" w:type="dxa"/>
            <w:tcBorders>
              <w:bottom w:val="single" w:sz="12" w:space="0" w:color="auto"/>
            </w:tcBorders>
          </w:tcPr>
          <w:p w14:paraId="5C854696" w14:textId="77777777" w:rsidR="00950C34" w:rsidRPr="003A769F" w:rsidRDefault="00950C34" w:rsidP="00FA7B33">
            <w:pPr>
              <w:ind w:right="-29"/>
              <w:jc w:val="center"/>
              <w:rPr>
                <w:noProof/>
                <w:sz w:val="18"/>
                <w:szCs w:val="18"/>
                <w:lang w:val="en-IE"/>
              </w:rPr>
            </w:pPr>
          </w:p>
        </w:tc>
        <w:tc>
          <w:tcPr>
            <w:tcW w:w="540" w:type="dxa"/>
            <w:tcBorders>
              <w:bottom w:val="single" w:sz="12" w:space="0" w:color="auto"/>
            </w:tcBorders>
          </w:tcPr>
          <w:p w14:paraId="7FF1BEF5" w14:textId="77777777" w:rsidR="00950C34" w:rsidRPr="003A769F" w:rsidRDefault="00950C34" w:rsidP="00FA7B33">
            <w:pPr>
              <w:ind w:right="-29"/>
              <w:jc w:val="center"/>
              <w:rPr>
                <w:noProof/>
                <w:sz w:val="18"/>
                <w:szCs w:val="18"/>
                <w:lang w:val="en-IE"/>
              </w:rPr>
            </w:pPr>
          </w:p>
        </w:tc>
        <w:tc>
          <w:tcPr>
            <w:tcW w:w="720" w:type="dxa"/>
            <w:tcBorders>
              <w:bottom w:val="single" w:sz="12" w:space="0" w:color="auto"/>
            </w:tcBorders>
          </w:tcPr>
          <w:p w14:paraId="7837AE5E" w14:textId="77777777" w:rsidR="00950C34" w:rsidRPr="003A769F" w:rsidRDefault="00950C34" w:rsidP="00FA7B33">
            <w:pPr>
              <w:ind w:right="-29"/>
              <w:jc w:val="center"/>
              <w:rPr>
                <w:noProof/>
                <w:sz w:val="18"/>
                <w:szCs w:val="18"/>
                <w:lang w:val="en-IE"/>
              </w:rPr>
            </w:pPr>
          </w:p>
        </w:tc>
        <w:tc>
          <w:tcPr>
            <w:tcW w:w="720" w:type="dxa"/>
            <w:tcBorders>
              <w:bottom w:val="single" w:sz="12" w:space="0" w:color="auto"/>
            </w:tcBorders>
          </w:tcPr>
          <w:p w14:paraId="0B29459C" w14:textId="77777777" w:rsidR="00950C34" w:rsidRPr="003A769F" w:rsidRDefault="00950C34" w:rsidP="00FA7B33">
            <w:pPr>
              <w:ind w:right="-29"/>
              <w:jc w:val="center"/>
              <w:rPr>
                <w:noProof/>
                <w:sz w:val="18"/>
                <w:szCs w:val="18"/>
                <w:lang w:val="en-IE"/>
              </w:rPr>
            </w:pPr>
          </w:p>
        </w:tc>
        <w:tc>
          <w:tcPr>
            <w:tcW w:w="720" w:type="dxa"/>
            <w:tcBorders>
              <w:bottom w:val="single" w:sz="12" w:space="0" w:color="auto"/>
            </w:tcBorders>
          </w:tcPr>
          <w:p w14:paraId="49603615" w14:textId="77777777" w:rsidR="00950C34" w:rsidRPr="003A769F" w:rsidRDefault="00950C34" w:rsidP="00FA7B33">
            <w:pPr>
              <w:ind w:right="-29"/>
              <w:jc w:val="center"/>
              <w:rPr>
                <w:noProof/>
                <w:sz w:val="18"/>
                <w:szCs w:val="18"/>
                <w:lang w:val="en-IE"/>
              </w:rPr>
            </w:pPr>
          </w:p>
        </w:tc>
        <w:tc>
          <w:tcPr>
            <w:tcW w:w="951" w:type="dxa"/>
            <w:gridSpan w:val="2"/>
            <w:tcBorders>
              <w:bottom w:val="single" w:sz="12" w:space="0" w:color="auto"/>
            </w:tcBorders>
          </w:tcPr>
          <w:p w14:paraId="0B079741" w14:textId="77777777" w:rsidR="00950C34" w:rsidRPr="003A769F" w:rsidRDefault="00950C34" w:rsidP="00FA7B33">
            <w:pPr>
              <w:ind w:right="-29"/>
              <w:jc w:val="center"/>
              <w:rPr>
                <w:noProof/>
                <w:sz w:val="18"/>
                <w:szCs w:val="18"/>
                <w:lang w:val="en-IE"/>
              </w:rPr>
            </w:pPr>
          </w:p>
        </w:tc>
        <w:tc>
          <w:tcPr>
            <w:tcW w:w="669" w:type="dxa"/>
            <w:tcBorders>
              <w:bottom w:val="single" w:sz="12" w:space="0" w:color="auto"/>
            </w:tcBorders>
          </w:tcPr>
          <w:p w14:paraId="3D424100" w14:textId="77777777" w:rsidR="00950C34" w:rsidRPr="003A769F" w:rsidRDefault="00950C34" w:rsidP="00FA7B33">
            <w:pPr>
              <w:ind w:right="-29"/>
              <w:jc w:val="center"/>
              <w:rPr>
                <w:noProof/>
                <w:sz w:val="18"/>
                <w:szCs w:val="18"/>
                <w:lang w:val="en-IE"/>
              </w:rPr>
            </w:pPr>
          </w:p>
        </w:tc>
        <w:tc>
          <w:tcPr>
            <w:tcW w:w="540" w:type="dxa"/>
            <w:tcBorders>
              <w:bottom w:val="single" w:sz="12" w:space="0" w:color="auto"/>
            </w:tcBorders>
          </w:tcPr>
          <w:p w14:paraId="31C4732B" w14:textId="77777777" w:rsidR="00950C34" w:rsidRPr="003A769F" w:rsidRDefault="00950C34" w:rsidP="00FA7B33">
            <w:pPr>
              <w:ind w:right="-29"/>
              <w:jc w:val="center"/>
              <w:rPr>
                <w:noProof/>
                <w:sz w:val="18"/>
                <w:szCs w:val="18"/>
                <w:lang w:val="en-IE"/>
              </w:rPr>
            </w:pPr>
          </w:p>
        </w:tc>
        <w:tc>
          <w:tcPr>
            <w:tcW w:w="648" w:type="dxa"/>
            <w:tcBorders>
              <w:bottom w:val="single" w:sz="12" w:space="0" w:color="auto"/>
            </w:tcBorders>
          </w:tcPr>
          <w:p w14:paraId="58830E1D" w14:textId="77777777" w:rsidR="00950C34" w:rsidRPr="003A769F" w:rsidRDefault="00950C34" w:rsidP="00FA7B33">
            <w:pPr>
              <w:ind w:right="-29"/>
              <w:jc w:val="center"/>
              <w:rPr>
                <w:noProof/>
                <w:sz w:val="18"/>
                <w:szCs w:val="18"/>
                <w:lang w:val="en-IE"/>
              </w:rPr>
            </w:pPr>
          </w:p>
        </w:tc>
        <w:tc>
          <w:tcPr>
            <w:tcW w:w="432" w:type="dxa"/>
            <w:gridSpan w:val="2"/>
            <w:tcBorders>
              <w:bottom w:val="single" w:sz="12" w:space="0" w:color="auto"/>
            </w:tcBorders>
          </w:tcPr>
          <w:p w14:paraId="36C1520A" w14:textId="77777777" w:rsidR="00950C34" w:rsidRPr="003A769F" w:rsidRDefault="00950C34" w:rsidP="00FA7B33">
            <w:pPr>
              <w:ind w:right="-29"/>
              <w:jc w:val="center"/>
              <w:rPr>
                <w:noProof/>
                <w:sz w:val="18"/>
                <w:szCs w:val="18"/>
                <w:lang w:val="en-IE"/>
              </w:rPr>
            </w:pPr>
          </w:p>
        </w:tc>
        <w:tc>
          <w:tcPr>
            <w:tcW w:w="720" w:type="dxa"/>
            <w:tcBorders>
              <w:bottom w:val="single" w:sz="12" w:space="0" w:color="auto"/>
            </w:tcBorders>
          </w:tcPr>
          <w:p w14:paraId="31752BDD" w14:textId="77777777" w:rsidR="00950C34" w:rsidRPr="003A769F" w:rsidRDefault="00950C34" w:rsidP="00FA7B33">
            <w:pPr>
              <w:ind w:right="-29"/>
              <w:jc w:val="center"/>
              <w:rPr>
                <w:noProof/>
                <w:sz w:val="18"/>
                <w:szCs w:val="18"/>
                <w:lang w:val="en-IE"/>
              </w:rPr>
            </w:pPr>
          </w:p>
        </w:tc>
        <w:tc>
          <w:tcPr>
            <w:tcW w:w="540" w:type="dxa"/>
            <w:gridSpan w:val="2"/>
            <w:tcBorders>
              <w:bottom w:val="single" w:sz="12" w:space="0" w:color="auto"/>
            </w:tcBorders>
          </w:tcPr>
          <w:p w14:paraId="77209C24" w14:textId="77777777" w:rsidR="00950C34" w:rsidRPr="003A769F" w:rsidRDefault="00950C34" w:rsidP="00FA7B33">
            <w:pPr>
              <w:ind w:right="-29"/>
              <w:jc w:val="center"/>
              <w:rPr>
                <w:noProof/>
                <w:sz w:val="18"/>
                <w:szCs w:val="18"/>
                <w:lang w:val="en-IE"/>
              </w:rPr>
            </w:pPr>
          </w:p>
        </w:tc>
        <w:tc>
          <w:tcPr>
            <w:tcW w:w="720" w:type="dxa"/>
            <w:tcBorders>
              <w:bottom w:val="single" w:sz="12" w:space="0" w:color="auto"/>
            </w:tcBorders>
          </w:tcPr>
          <w:p w14:paraId="39130FA2" w14:textId="77777777" w:rsidR="00950C34" w:rsidRPr="003A769F" w:rsidRDefault="00950C34" w:rsidP="00FA7B33">
            <w:pPr>
              <w:ind w:right="-29"/>
              <w:jc w:val="center"/>
              <w:rPr>
                <w:noProof/>
                <w:sz w:val="18"/>
                <w:szCs w:val="18"/>
                <w:lang w:val="en-IE"/>
              </w:rPr>
            </w:pPr>
          </w:p>
        </w:tc>
        <w:tc>
          <w:tcPr>
            <w:tcW w:w="720" w:type="dxa"/>
            <w:tcBorders>
              <w:bottom w:val="single" w:sz="12" w:space="0" w:color="auto"/>
            </w:tcBorders>
          </w:tcPr>
          <w:p w14:paraId="2B4B8BC0" w14:textId="77777777" w:rsidR="00950C34" w:rsidRPr="003A769F" w:rsidRDefault="00950C34" w:rsidP="00FA7B33">
            <w:pPr>
              <w:ind w:right="-29"/>
              <w:jc w:val="center"/>
              <w:rPr>
                <w:noProof/>
                <w:sz w:val="18"/>
                <w:szCs w:val="18"/>
                <w:lang w:val="en-IE"/>
              </w:rPr>
            </w:pPr>
          </w:p>
        </w:tc>
        <w:tc>
          <w:tcPr>
            <w:tcW w:w="900" w:type="dxa"/>
            <w:tcBorders>
              <w:bottom w:val="single" w:sz="12" w:space="0" w:color="auto"/>
            </w:tcBorders>
          </w:tcPr>
          <w:p w14:paraId="0C3D0CAF" w14:textId="77777777" w:rsidR="00950C34" w:rsidRPr="003A769F" w:rsidRDefault="00950C34" w:rsidP="00FA7B33">
            <w:pPr>
              <w:ind w:right="-29"/>
              <w:jc w:val="center"/>
              <w:rPr>
                <w:noProof/>
                <w:sz w:val="18"/>
                <w:szCs w:val="18"/>
                <w:lang w:val="en-IE"/>
              </w:rPr>
            </w:pPr>
          </w:p>
        </w:tc>
      </w:tr>
      <w:tr w:rsidR="00950C34" w14:paraId="173E762B" w14:textId="77777777" w:rsidTr="00FA7B33">
        <w:trPr>
          <w:jc w:val="center"/>
        </w:trPr>
        <w:tc>
          <w:tcPr>
            <w:tcW w:w="2844" w:type="dxa"/>
            <w:gridSpan w:val="3"/>
            <w:tcBorders>
              <w:top w:val="single" w:sz="12" w:space="0" w:color="auto"/>
              <w:left w:val="single" w:sz="12" w:space="0" w:color="auto"/>
              <w:bottom w:val="single" w:sz="12" w:space="0" w:color="auto"/>
            </w:tcBorders>
            <w:vAlign w:val="center"/>
          </w:tcPr>
          <w:p w14:paraId="63533090" w14:textId="77777777" w:rsidR="00950C34" w:rsidRDefault="00950C34" w:rsidP="00FA7B33">
            <w:pPr>
              <w:ind w:right="-29"/>
              <w:jc w:val="center"/>
              <w:rPr>
                <w:noProof/>
                <w:sz w:val="18"/>
                <w:szCs w:val="18"/>
              </w:rPr>
            </w:pPr>
            <w:r>
              <w:rPr>
                <w:b/>
                <w:noProof/>
                <w:sz w:val="18"/>
              </w:rPr>
              <w:t>TOTALS</w:t>
            </w:r>
          </w:p>
        </w:tc>
        <w:tc>
          <w:tcPr>
            <w:tcW w:w="504" w:type="dxa"/>
            <w:tcBorders>
              <w:top w:val="single" w:sz="12" w:space="0" w:color="auto"/>
              <w:bottom w:val="single" w:sz="12" w:space="0" w:color="auto"/>
            </w:tcBorders>
          </w:tcPr>
          <w:p w14:paraId="097AEC18" w14:textId="77777777" w:rsidR="00950C34" w:rsidRDefault="00950C34" w:rsidP="00FA7B33">
            <w:pPr>
              <w:spacing w:before="180" w:after="180"/>
              <w:ind w:right="-29"/>
              <w:jc w:val="center"/>
              <w:rPr>
                <w:noProof/>
                <w:sz w:val="18"/>
                <w:szCs w:val="18"/>
              </w:rPr>
            </w:pPr>
          </w:p>
        </w:tc>
        <w:tc>
          <w:tcPr>
            <w:tcW w:w="720" w:type="dxa"/>
            <w:tcBorders>
              <w:top w:val="single" w:sz="12" w:space="0" w:color="auto"/>
              <w:bottom w:val="single" w:sz="12" w:space="0" w:color="auto"/>
            </w:tcBorders>
          </w:tcPr>
          <w:p w14:paraId="4BBFF7C9" w14:textId="77777777" w:rsidR="00950C34" w:rsidRDefault="00950C34" w:rsidP="00FA7B33">
            <w:pPr>
              <w:spacing w:before="180" w:after="180"/>
              <w:ind w:right="-29"/>
              <w:jc w:val="center"/>
              <w:rPr>
                <w:noProof/>
                <w:sz w:val="18"/>
                <w:szCs w:val="18"/>
              </w:rPr>
            </w:pPr>
          </w:p>
        </w:tc>
        <w:tc>
          <w:tcPr>
            <w:tcW w:w="540" w:type="dxa"/>
            <w:tcBorders>
              <w:top w:val="single" w:sz="12" w:space="0" w:color="auto"/>
              <w:bottom w:val="single" w:sz="12" w:space="0" w:color="auto"/>
            </w:tcBorders>
          </w:tcPr>
          <w:p w14:paraId="1E91B429" w14:textId="77777777" w:rsidR="00950C34" w:rsidRDefault="00950C34" w:rsidP="00FA7B33">
            <w:pPr>
              <w:spacing w:before="180" w:after="180"/>
              <w:ind w:right="-29"/>
              <w:jc w:val="center"/>
              <w:rPr>
                <w:noProof/>
                <w:sz w:val="18"/>
                <w:szCs w:val="18"/>
              </w:rPr>
            </w:pPr>
          </w:p>
        </w:tc>
        <w:tc>
          <w:tcPr>
            <w:tcW w:w="720" w:type="dxa"/>
            <w:tcBorders>
              <w:top w:val="single" w:sz="12" w:space="0" w:color="auto"/>
              <w:bottom w:val="single" w:sz="12" w:space="0" w:color="auto"/>
            </w:tcBorders>
          </w:tcPr>
          <w:p w14:paraId="56B95013" w14:textId="77777777" w:rsidR="00950C34" w:rsidRDefault="00950C34" w:rsidP="00FA7B33">
            <w:pPr>
              <w:spacing w:before="180" w:after="180"/>
              <w:ind w:right="-29"/>
              <w:jc w:val="center"/>
              <w:rPr>
                <w:noProof/>
                <w:sz w:val="18"/>
                <w:szCs w:val="18"/>
              </w:rPr>
            </w:pPr>
          </w:p>
        </w:tc>
        <w:tc>
          <w:tcPr>
            <w:tcW w:w="720" w:type="dxa"/>
            <w:tcBorders>
              <w:top w:val="single" w:sz="12" w:space="0" w:color="auto"/>
              <w:bottom w:val="single" w:sz="12" w:space="0" w:color="auto"/>
            </w:tcBorders>
          </w:tcPr>
          <w:p w14:paraId="1E41D82C" w14:textId="77777777" w:rsidR="00950C34" w:rsidRDefault="00950C34" w:rsidP="00FA7B33">
            <w:pPr>
              <w:spacing w:before="180" w:after="180"/>
              <w:ind w:right="-29"/>
              <w:jc w:val="center"/>
              <w:rPr>
                <w:noProof/>
                <w:sz w:val="18"/>
                <w:szCs w:val="18"/>
              </w:rPr>
            </w:pPr>
          </w:p>
        </w:tc>
        <w:tc>
          <w:tcPr>
            <w:tcW w:w="720" w:type="dxa"/>
            <w:tcBorders>
              <w:top w:val="single" w:sz="12" w:space="0" w:color="auto"/>
              <w:bottom w:val="single" w:sz="12" w:space="0" w:color="auto"/>
            </w:tcBorders>
          </w:tcPr>
          <w:p w14:paraId="5F0EDFB5" w14:textId="77777777" w:rsidR="00950C34" w:rsidRDefault="00950C34" w:rsidP="00FA7B33">
            <w:pPr>
              <w:spacing w:before="180" w:after="180"/>
              <w:ind w:right="-29"/>
              <w:jc w:val="center"/>
              <w:rPr>
                <w:noProof/>
                <w:sz w:val="18"/>
                <w:szCs w:val="18"/>
              </w:rPr>
            </w:pPr>
          </w:p>
        </w:tc>
        <w:tc>
          <w:tcPr>
            <w:tcW w:w="900" w:type="dxa"/>
            <w:tcBorders>
              <w:top w:val="single" w:sz="12" w:space="0" w:color="auto"/>
              <w:bottom w:val="single" w:sz="12" w:space="0" w:color="auto"/>
            </w:tcBorders>
          </w:tcPr>
          <w:p w14:paraId="58A906C8" w14:textId="77777777" w:rsidR="00950C34" w:rsidRDefault="00950C34" w:rsidP="00FA7B33">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14:paraId="6776134D" w14:textId="77777777" w:rsidR="00950C34" w:rsidRDefault="00950C34" w:rsidP="00FA7B33">
            <w:pPr>
              <w:spacing w:before="180" w:after="180"/>
              <w:ind w:right="-29"/>
              <w:jc w:val="center"/>
              <w:rPr>
                <w:noProof/>
                <w:sz w:val="18"/>
                <w:szCs w:val="18"/>
              </w:rPr>
            </w:pPr>
          </w:p>
        </w:tc>
        <w:tc>
          <w:tcPr>
            <w:tcW w:w="540" w:type="dxa"/>
            <w:tcBorders>
              <w:top w:val="single" w:sz="12" w:space="0" w:color="auto"/>
              <w:bottom w:val="single" w:sz="12" w:space="0" w:color="auto"/>
            </w:tcBorders>
          </w:tcPr>
          <w:p w14:paraId="37CF5959" w14:textId="77777777" w:rsidR="00950C34" w:rsidRDefault="00950C34" w:rsidP="00FA7B33">
            <w:pPr>
              <w:spacing w:before="180" w:after="180"/>
              <w:ind w:right="-29"/>
              <w:jc w:val="center"/>
              <w:rPr>
                <w:noProof/>
                <w:sz w:val="18"/>
                <w:szCs w:val="18"/>
              </w:rPr>
            </w:pPr>
          </w:p>
        </w:tc>
        <w:tc>
          <w:tcPr>
            <w:tcW w:w="648" w:type="dxa"/>
            <w:tcBorders>
              <w:top w:val="single" w:sz="12" w:space="0" w:color="auto"/>
              <w:bottom w:val="single" w:sz="12" w:space="0" w:color="auto"/>
            </w:tcBorders>
          </w:tcPr>
          <w:p w14:paraId="28A38626" w14:textId="77777777" w:rsidR="00950C34" w:rsidRDefault="00950C34" w:rsidP="00FA7B33">
            <w:pPr>
              <w:spacing w:before="180" w:after="180"/>
              <w:ind w:right="-29"/>
              <w:jc w:val="center"/>
              <w:rPr>
                <w:noProof/>
                <w:sz w:val="18"/>
                <w:szCs w:val="18"/>
              </w:rPr>
            </w:pPr>
          </w:p>
        </w:tc>
        <w:tc>
          <w:tcPr>
            <w:tcW w:w="432" w:type="dxa"/>
            <w:gridSpan w:val="2"/>
            <w:tcBorders>
              <w:top w:val="single" w:sz="12" w:space="0" w:color="auto"/>
              <w:bottom w:val="single" w:sz="12" w:space="0" w:color="auto"/>
            </w:tcBorders>
          </w:tcPr>
          <w:p w14:paraId="245E18FA" w14:textId="77777777" w:rsidR="00950C34" w:rsidRDefault="00950C34" w:rsidP="00FA7B33">
            <w:pPr>
              <w:spacing w:before="180" w:after="180"/>
              <w:ind w:right="-29"/>
              <w:jc w:val="center"/>
              <w:rPr>
                <w:noProof/>
                <w:sz w:val="18"/>
                <w:szCs w:val="18"/>
              </w:rPr>
            </w:pPr>
          </w:p>
        </w:tc>
        <w:tc>
          <w:tcPr>
            <w:tcW w:w="720" w:type="dxa"/>
            <w:tcBorders>
              <w:top w:val="single" w:sz="12" w:space="0" w:color="auto"/>
              <w:bottom w:val="single" w:sz="12" w:space="0" w:color="auto"/>
            </w:tcBorders>
          </w:tcPr>
          <w:p w14:paraId="48F0F900" w14:textId="77777777" w:rsidR="00950C34" w:rsidRDefault="00950C34" w:rsidP="00FA7B33">
            <w:pPr>
              <w:spacing w:before="180" w:after="180"/>
              <w:ind w:right="-29"/>
              <w:jc w:val="center"/>
              <w:rPr>
                <w:noProof/>
                <w:sz w:val="18"/>
                <w:szCs w:val="18"/>
              </w:rPr>
            </w:pPr>
          </w:p>
        </w:tc>
        <w:tc>
          <w:tcPr>
            <w:tcW w:w="540" w:type="dxa"/>
            <w:gridSpan w:val="2"/>
            <w:tcBorders>
              <w:top w:val="single" w:sz="12" w:space="0" w:color="auto"/>
              <w:bottom w:val="single" w:sz="12" w:space="0" w:color="auto"/>
            </w:tcBorders>
          </w:tcPr>
          <w:p w14:paraId="5F8D4818" w14:textId="77777777" w:rsidR="00950C34" w:rsidRDefault="00950C34" w:rsidP="00FA7B33">
            <w:pPr>
              <w:spacing w:before="180" w:after="180"/>
              <w:ind w:right="-29"/>
              <w:jc w:val="center"/>
              <w:rPr>
                <w:noProof/>
                <w:sz w:val="18"/>
                <w:szCs w:val="18"/>
              </w:rPr>
            </w:pPr>
          </w:p>
        </w:tc>
        <w:tc>
          <w:tcPr>
            <w:tcW w:w="720" w:type="dxa"/>
            <w:tcBorders>
              <w:top w:val="single" w:sz="12" w:space="0" w:color="auto"/>
              <w:bottom w:val="single" w:sz="12" w:space="0" w:color="auto"/>
            </w:tcBorders>
          </w:tcPr>
          <w:p w14:paraId="4A13AB6B" w14:textId="77777777" w:rsidR="00950C34" w:rsidRDefault="00950C34" w:rsidP="00FA7B33">
            <w:pPr>
              <w:spacing w:before="180" w:after="180"/>
              <w:ind w:right="-29"/>
              <w:jc w:val="center"/>
              <w:rPr>
                <w:noProof/>
                <w:sz w:val="18"/>
                <w:szCs w:val="18"/>
              </w:rPr>
            </w:pPr>
          </w:p>
        </w:tc>
        <w:tc>
          <w:tcPr>
            <w:tcW w:w="720" w:type="dxa"/>
            <w:tcBorders>
              <w:top w:val="single" w:sz="12" w:space="0" w:color="auto"/>
              <w:bottom w:val="single" w:sz="12" w:space="0" w:color="auto"/>
            </w:tcBorders>
          </w:tcPr>
          <w:p w14:paraId="6FA3F485" w14:textId="77777777" w:rsidR="00950C34" w:rsidRDefault="00950C34" w:rsidP="00FA7B33">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14:paraId="7FE88B8C" w14:textId="77777777" w:rsidR="00950C34" w:rsidRDefault="00950C34" w:rsidP="00FA7B33">
            <w:pPr>
              <w:spacing w:before="180" w:after="180"/>
              <w:ind w:right="-29"/>
              <w:jc w:val="center"/>
              <w:rPr>
                <w:noProof/>
                <w:sz w:val="18"/>
                <w:szCs w:val="18"/>
              </w:rPr>
            </w:pPr>
          </w:p>
        </w:tc>
      </w:tr>
    </w:tbl>
    <w:p w14:paraId="52481049" w14:textId="77777777" w:rsidR="00950C34" w:rsidRDefault="00950C34" w:rsidP="00950C34">
      <w:pPr>
        <w:rPr>
          <w:noProof/>
        </w:rPr>
        <w:sectPr w:rsidR="00950C34" w:rsidSect="00742C1D">
          <w:headerReference w:type="default" r:id="rId22"/>
          <w:footerReference w:type="default" r:id="rId23"/>
          <w:headerReference w:type="first" r:id="rId24"/>
          <w:footerReference w:type="first" r:id="rId25"/>
          <w:pgSz w:w="16840" w:h="11907" w:orient="landscape" w:code="9"/>
          <w:pgMar w:top="1134" w:right="1418" w:bottom="567" w:left="1418" w:header="709" w:footer="709" w:gutter="0"/>
          <w:cols w:space="708"/>
          <w:docGrid w:linePitch="360"/>
        </w:sectPr>
      </w:pPr>
    </w:p>
    <w:p w14:paraId="31A590FE" w14:textId="77777777" w:rsidR="00950C34" w:rsidRPr="00910A6B" w:rsidRDefault="00950C34" w:rsidP="00950C34">
      <w:pPr>
        <w:pStyle w:val="ManualHeading3"/>
        <w:rPr>
          <w:bCs/>
          <w:noProof/>
          <w:szCs w:val="24"/>
        </w:rPr>
      </w:pPr>
      <w:bookmarkStart w:id="63" w:name="_Toc514938055"/>
      <w:bookmarkStart w:id="64" w:name="_Toc520485054"/>
      <w:r w:rsidRPr="0021790A">
        <w:rPr>
          <w:noProof/>
        </w:rPr>
        <w:t>3.2.3.</w:t>
      </w:r>
      <w:r w:rsidRPr="0021790A">
        <w:rPr>
          <w:noProof/>
        </w:rPr>
        <w:tab/>
      </w:r>
      <w:r>
        <w:rPr>
          <w:noProof/>
        </w:rPr>
        <w:t>Summary of estimated impact on administrative appropriations</w:t>
      </w:r>
      <w:bookmarkEnd w:id="63"/>
      <w:bookmarkEnd w:id="64"/>
      <w:r>
        <w:rPr>
          <w:noProof/>
        </w:rPr>
        <w:t xml:space="preserve"> </w:t>
      </w:r>
    </w:p>
    <w:p w14:paraId="37B83D43" w14:textId="77777777" w:rsidR="00950C34" w:rsidRDefault="00950C34" w:rsidP="006271C1">
      <w:pPr>
        <w:pStyle w:val="ListDash1"/>
        <w:rPr>
          <w:noProof/>
        </w:rPr>
      </w:pPr>
      <w:r w:rsidRPr="15113AC1">
        <w:rPr>
          <w:rFonts w:ascii="Wingdings" w:eastAsia="Wingdings" w:hAnsi="Wingdings" w:cs="Wingdings"/>
          <w:noProof/>
        </w:rPr>
        <w:t></w:t>
      </w:r>
      <w:r>
        <w:rPr>
          <w:noProof/>
        </w:rPr>
        <w:tab/>
      </w:r>
      <w:r w:rsidRPr="15113AC1">
        <w:rPr>
          <w:noProof/>
        </w:rPr>
        <w:t xml:space="preserve">The proposal/initiative does not require the use of appropriations of an administrative nature </w:t>
      </w:r>
    </w:p>
    <w:p w14:paraId="3212F6C7" w14:textId="77777777" w:rsidR="00950C34" w:rsidRDefault="00950C34" w:rsidP="006271C1">
      <w:pPr>
        <w:pStyle w:val="ListDash1"/>
        <w:rPr>
          <w:noProof/>
        </w:rPr>
      </w:pPr>
      <w:r w:rsidRPr="15113AC1">
        <w:rPr>
          <w:rFonts w:ascii="Wingdings" w:eastAsia="Wingdings" w:hAnsi="Wingdings" w:cs="Wingdings"/>
          <w:noProof/>
        </w:rPr>
        <w:t></w:t>
      </w:r>
      <w:r>
        <w:rPr>
          <w:noProof/>
        </w:rPr>
        <w:tab/>
      </w:r>
      <w:r w:rsidRPr="15113AC1">
        <w:rPr>
          <w:noProof/>
        </w:rPr>
        <w:t>The proposal/initiative requires the use of appropriations of an administrative nature, as explained below:</w:t>
      </w:r>
    </w:p>
    <w:p w14:paraId="1C91F60E" w14:textId="77777777" w:rsidR="00950C34" w:rsidRPr="003A769F" w:rsidRDefault="00950C34" w:rsidP="00950C34">
      <w:pPr>
        <w:jc w:val="right"/>
        <w:rPr>
          <w:noProof/>
          <w:sz w:val="20"/>
          <w:lang w:val="en-IE"/>
        </w:rPr>
      </w:pPr>
      <w:r w:rsidRPr="003A769F">
        <w:rPr>
          <w:noProof/>
          <w:sz w:val="20"/>
          <w:lang w:val="en-IE"/>
        </w:rPr>
        <w:t>EUR million (to three decimal places)</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950C34" w14:paraId="44FCCE0B" w14:textId="77777777" w:rsidTr="00FA7B33">
        <w:trPr>
          <w:trHeight w:val="585"/>
        </w:trPr>
        <w:tc>
          <w:tcPr>
            <w:tcW w:w="1980" w:type="dxa"/>
          </w:tcPr>
          <w:p w14:paraId="26992EAF" w14:textId="77777777" w:rsidR="00950C34" w:rsidRPr="003A769F" w:rsidRDefault="00950C34" w:rsidP="00FA7B33">
            <w:pPr>
              <w:spacing w:before="60" w:after="60" w:line="200" w:lineRule="exact"/>
              <w:rPr>
                <w:noProof/>
                <w:sz w:val="16"/>
                <w:szCs w:val="16"/>
                <w:lang w:val="en-IE"/>
              </w:rPr>
            </w:pPr>
          </w:p>
        </w:tc>
        <w:tc>
          <w:tcPr>
            <w:tcW w:w="1080" w:type="dxa"/>
            <w:vAlign w:val="center"/>
          </w:tcPr>
          <w:p w14:paraId="5DA0C0DF" w14:textId="77777777" w:rsidR="00950C34" w:rsidRDefault="00950C34" w:rsidP="00FA7B33">
            <w:pPr>
              <w:spacing w:before="60" w:after="60" w:line="200" w:lineRule="exact"/>
              <w:jc w:val="center"/>
              <w:rPr>
                <w:noProof/>
                <w:sz w:val="16"/>
                <w:szCs w:val="16"/>
              </w:rPr>
            </w:pPr>
            <w:r>
              <w:rPr>
                <w:noProof/>
                <w:sz w:val="16"/>
              </w:rPr>
              <w:t>2023</w:t>
            </w:r>
          </w:p>
        </w:tc>
        <w:tc>
          <w:tcPr>
            <w:tcW w:w="1080" w:type="dxa"/>
            <w:vAlign w:val="center"/>
          </w:tcPr>
          <w:p w14:paraId="7B1407EB" w14:textId="77777777" w:rsidR="00950C34" w:rsidRDefault="00950C34" w:rsidP="00FA7B33">
            <w:pPr>
              <w:spacing w:before="60" w:after="60" w:line="200" w:lineRule="exact"/>
              <w:jc w:val="center"/>
              <w:rPr>
                <w:noProof/>
                <w:sz w:val="16"/>
                <w:szCs w:val="16"/>
              </w:rPr>
            </w:pPr>
            <w:r>
              <w:rPr>
                <w:b/>
                <w:noProof/>
                <w:sz w:val="16"/>
              </w:rPr>
              <w:t>2024</w:t>
            </w:r>
          </w:p>
        </w:tc>
        <w:tc>
          <w:tcPr>
            <w:tcW w:w="1080" w:type="dxa"/>
            <w:vAlign w:val="center"/>
          </w:tcPr>
          <w:p w14:paraId="4A80CB91" w14:textId="77777777" w:rsidR="00950C34" w:rsidRDefault="00950C34" w:rsidP="00FA7B33">
            <w:pPr>
              <w:spacing w:before="60" w:after="60" w:line="200" w:lineRule="exact"/>
              <w:jc w:val="center"/>
              <w:rPr>
                <w:noProof/>
                <w:sz w:val="16"/>
                <w:szCs w:val="16"/>
              </w:rPr>
            </w:pPr>
            <w:r>
              <w:rPr>
                <w:b/>
                <w:noProof/>
                <w:sz w:val="16"/>
              </w:rPr>
              <w:t>2025</w:t>
            </w:r>
          </w:p>
        </w:tc>
        <w:tc>
          <w:tcPr>
            <w:tcW w:w="1080" w:type="dxa"/>
            <w:vAlign w:val="center"/>
          </w:tcPr>
          <w:p w14:paraId="4A0E43A1" w14:textId="77777777" w:rsidR="00950C34" w:rsidRDefault="00950C34" w:rsidP="00FA7B33">
            <w:pPr>
              <w:spacing w:before="60" w:after="60" w:line="200" w:lineRule="exact"/>
              <w:jc w:val="center"/>
              <w:rPr>
                <w:noProof/>
                <w:sz w:val="16"/>
                <w:szCs w:val="16"/>
              </w:rPr>
            </w:pPr>
            <w:r>
              <w:rPr>
                <w:b/>
                <w:noProof/>
                <w:sz w:val="16"/>
              </w:rPr>
              <w:t>2026</w:t>
            </w:r>
          </w:p>
        </w:tc>
        <w:tc>
          <w:tcPr>
            <w:tcW w:w="1080" w:type="dxa"/>
            <w:vAlign w:val="center"/>
          </w:tcPr>
          <w:p w14:paraId="20455C0B" w14:textId="77777777" w:rsidR="00950C34" w:rsidRPr="003A769F" w:rsidDel="004C079D" w:rsidRDefault="00950C34" w:rsidP="00FA7B33">
            <w:pPr>
              <w:spacing w:line="200" w:lineRule="exact"/>
              <w:jc w:val="center"/>
              <w:rPr>
                <w:noProof/>
                <w:sz w:val="16"/>
                <w:lang w:val="en-IE"/>
              </w:rPr>
            </w:pPr>
            <w:r>
              <w:rPr>
                <w:noProof/>
                <w:sz w:val="16"/>
                <w:lang w:val="en-IE"/>
              </w:rPr>
              <w:t>2027</w:t>
            </w:r>
          </w:p>
        </w:tc>
        <w:tc>
          <w:tcPr>
            <w:tcW w:w="1080" w:type="dxa"/>
            <w:vAlign w:val="center"/>
          </w:tcPr>
          <w:p w14:paraId="1FE8E2B2" w14:textId="77777777" w:rsidR="00950C34" w:rsidRDefault="00950C34" w:rsidP="00FA7B33">
            <w:pPr>
              <w:spacing w:line="200" w:lineRule="exact"/>
              <w:jc w:val="center"/>
              <w:rPr>
                <w:b/>
                <w:noProof/>
                <w:sz w:val="16"/>
                <w:szCs w:val="16"/>
                <w:lang w:val="en-IE"/>
              </w:rPr>
            </w:pPr>
            <w:r>
              <w:rPr>
                <w:b/>
                <w:noProof/>
                <w:sz w:val="16"/>
                <w:szCs w:val="16"/>
                <w:lang w:val="en-IE"/>
              </w:rPr>
              <w:t>2028</w:t>
            </w:r>
          </w:p>
        </w:tc>
        <w:tc>
          <w:tcPr>
            <w:tcW w:w="1080" w:type="dxa"/>
            <w:vAlign w:val="center"/>
          </w:tcPr>
          <w:p w14:paraId="444D9231" w14:textId="77777777" w:rsidR="00950C34" w:rsidRPr="003A769F" w:rsidRDefault="00950C34" w:rsidP="00FA7B33">
            <w:pPr>
              <w:spacing w:line="200" w:lineRule="exact"/>
              <w:jc w:val="center"/>
              <w:rPr>
                <w:b/>
                <w:noProof/>
                <w:sz w:val="16"/>
                <w:szCs w:val="16"/>
                <w:lang w:val="en-IE"/>
              </w:rPr>
            </w:pPr>
            <w:r>
              <w:rPr>
                <w:b/>
                <w:noProof/>
                <w:sz w:val="16"/>
                <w:szCs w:val="16"/>
                <w:lang w:val="en-IE"/>
              </w:rPr>
              <w:t>2029</w:t>
            </w:r>
          </w:p>
        </w:tc>
        <w:tc>
          <w:tcPr>
            <w:tcW w:w="1080" w:type="dxa"/>
            <w:vAlign w:val="center"/>
          </w:tcPr>
          <w:p w14:paraId="6EEE3F3C" w14:textId="77777777" w:rsidR="00950C34" w:rsidRDefault="00950C34" w:rsidP="00FA7B33">
            <w:pPr>
              <w:spacing w:before="60" w:after="60" w:line="200" w:lineRule="exact"/>
              <w:jc w:val="center"/>
              <w:rPr>
                <w:b/>
                <w:noProof/>
                <w:sz w:val="16"/>
                <w:szCs w:val="16"/>
              </w:rPr>
            </w:pPr>
            <w:r>
              <w:rPr>
                <w:b/>
                <w:noProof/>
                <w:sz w:val="16"/>
              </w:rPr>
              <w:t>TOTAL</w:t>
            </w:r>
          </w:p>
        </w:tc>
      </w:tr>
    </w:tbl>
    <w:p w14:paraId="31794F8B" w14:textId="77777777" w:rsidR="00950C34" w:rsidRDefault="00950C34" w:rsidP="00950C34">
      <w:pPr>
        <w:spacing w:line="200" w:lineRule="exact"/>
        <w:rPr>
          <w:noProof/>
          <w:sz w:val="16"/>
          <w:szCs w:val="16"/>
        </w:rPr>
      </w:pPr>
    </w:p>
    <w:tbl>
      <w:tblPr>
        <w:tblW w:w="1062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950C34" w:rsidRPr="003A769F" w14:paraId="68186D18" w14:textId="77777777" w:rsidTr="00FA7B33">
        <w:trPr>
          <w:trHeight w:val="585"/>
          <w:jc w:val="center"/>
        </w:trPr>
        <w:tc>
          <w:tcPr>
            <w:tcW w:w="1980" w:type="dxa"/>
            <w:shd w:val="clear" w:color="auto" w:fill="CCCCCC"/>
            <w:vAlign w:val="center"/>
          </w:tcPr>
          <w:p w14:paraId="15ED4F48" w14:textId="77777777" w:rsidR="00950C34" w:rsidRPr="003A769F" w:rsidRDefault="00950C34" w:rsidP="00FA7B33">
            <w:pPr>
              <w:spacing w:before="60" w:after="60" w:line="200" w:lineRule="exact"/>
              <w:jc w:val="center"/>
              <w:rPr>
                <w:b/>
                <w:bCs/>
                <w:noProof/>
                <w:sz w:val="16"/>
                <w:szCs w:val="16"/>
                <w:lang w:val="en-IE"/>
              </w:rPr>
            </w:pPr>
            <w:r w:rsidRPr="45B6FBC6">
              <w:rPr>
                <w:b/>
                <w:bCs/>
                <w:noProof/>
                <w:sz w:val="16"/>
                <w:szCs w:val="16"/>
                <w:lang w:val="en-IE"/>
              </w:rPr>
              <w:t>HEADING 7</w:t>
            </w:r>
            <w:r>
              <w:rPr>
                <w:noProof/>
              </w:rPr>
              <w:br/>
            </w:r>
            <w:r w:rsidRPr="45B6FBC6">
              <w:rPr>
                <w:b/>
                <w:bCs/>
                <w:noProof/>
                <w:sz w:val="16"/>
                <w:szCs w:val="16"/>
                <w:lang w:val="en-IE"/>
              </w:rPr>
              <w:t>of the multiannual financial framework</w:t>
            </w:r>
          </w:p>
        </w:tc>
        <w:tc>
          <w:tcPr>
            <w:tcW w:w="1080" w:type="dxa"/>
            <w:vAlign w:val="center"/>
          </w:tcPr>
          <w:p w14:paraId="4C073115" w14:textId="77777777" w:rsidR="00950C34" w:rsidRPr="003A769F" w:rsidRDefault="00950C34" w:rsidP="00FA7B33">
            <w:pPr>
              <w:spacing w:before="60" w:after="60" w:line="200" w:lineRule="exact"/>
              <w:jc w:val="right"/>
              <w:rPr>
                <w:noProof/>
                <w:sz w:val="16"/>
                <w:szCs w:val="16"/>
                <w:lang w:val="en-IE"/>
              </w:rPr>
            </w:pPr>
          </w:p>
        </w:tc>
        <w:tc>
          <w:tcPr>
            <w:tcW w:w="1080" w:type="dxa"/>
            <w:vAlign w:val="center"/>
          </w:tcPr>
          <w:p w14:paraId="4AF2C7BF" w14:textId="77777777" w:rsidR="00950C34" w:rsidRPr="003A769F" w:rsidRDefault="00950C34" w:rsidP="00FA7B33">
            <w:pPr>
              <w:spacing w:before="60" w:after="60" w:line="200" w:lineRule="exact"/>
              <w:jc w:val="right"/>
              <w:rPr>
                <w:noProof/>
                <w:sz w:val="16"/>
                <w:szCs w:val="16"/>
                <w:lang w:val="en-IE"/>
              </w:rPr>
            </w:pPr>
          </w:p>
        </w:tc>
        <w:tc>
          <w:tcPr>
            <w:tcW w:w="1080" w:type="dxa"/>
            <w:vAlign w:val="center"/>
          </w:tcPr>
          <w:p w14:paraId="5EE5D169" w14:textId="77777777" w:rsidR="00950C34" w:rsidRPr="003A769F" w:rsidRDefault="00950C34" w:rsidP="00FA7B33">
            <w:pPr>
              <w:spacing w:before="60" w:after="60" w:line="200" w:lineRule="exact"/>
              <w:jc w:val="right"/>
              <w:rPr>
                <w:noProof/>
                <w:sz w:val="16"/>
                <w:szCs w:val="16"/>
                <w:lang w:val="en-IE"/>
              </w:rPr>
            </w:pPr>
          </w:p>
        </w:tc>
        <w:tc>
          <w:tcPr>
            <w:tcW w:w="1080" w:type="dxa"/>
            <w:vAlign w:val="center"/>
          </w:tcPr>
          <w:p w14:paraId="319F9FFB" w14:textId="77777777" w:rsidR="00950C34" w:rsidRPr="003A769F" w:rsidRDefault="00950C34" w:rsidP="00FA7B33">
            <w:pPr>
              <w:spacing w:before="60" w:after="60" w:line="200" w:lineRule="exact"/>
              <w:jc w:val="right"/>
              <w:rPr>
                <w:noProof/>
                <w:sz w:val="16"/>
                <w:szCs w:val="16"/>
                <w:lang w:val="en-IE"/>
              </w:rPr>
            </w:pPr>
          </w:p>
        </w:tc>
        <w:tc>
          <w:tcPr>
            <w:tcW w:w="1080" w:type="dxa"/>
            <w:vAlign w:val="center"/>
          </w:tcPr>
          <w:p w14:paraId="53C93D2B" w14:textId="77777777" w:rsidR="00950C34" w:rsidRPr="003A769F" w:rsidRDefault="00950C34" w:rsidP="00FA7B33">
            <w:pPr>
              <w:spacing w:before="60" w:after="60" w:line="200" w:lineRule="exact"/>
              <w:jc w:val="right"/>
              <w:rPr>
                <w:noProof/>
                <w:sz w:val="16"/>
                <w:szCs w:val="16"/>
                <w:lang w:val="en-IE"/>
              </w:rPr>
            </w:pPr>
          </w:p>
        </w:tc>
        <w:tc>
          <w:tcPr>
            <w:tcW w:w="1080" w:type="dxa"/>
            <w:vAlign w:val="center"/>
          </w:tcPr>
          <w:p w14:paraId="6A3C846B" w14:textId="77777777" w:rsidR="00950C34" w:rsidRPr="003A769F" w:rsidRDefault="00950C34" w:rsidP="00FA7B33">
            <w:pPr>
              <w:spacing w:before="60" w:after="60" w:line="200" w:lineRule="exact"/>
              <w:jc w:val="right"/>
              <w:rPr>
                <w:noProof/>
                <w:sz w:val="16"/>
                <w:szCs w:val="16"/>
                <w:lang w:val="en-IE"/>
              </w:rPr>
            </w:pPr>
          </w:p>
        </w:tc>
        <w:tc>
          <w:tcPr>
            <w:tcW w:w="1080" w:type="dxa"/>
            <w:vAlign w:val="center"/>
          </w:tcPr>
          <w:p w14:paraId="2EB0E8FE" w14:textId="77777777" w:rsidR="00950C34" w:rsidRPr="003A769F" w:rsidRDefault="00950C34" w:rsidP="00FA7B33">
            <w:pPr>
              <w:spacing w:before="60" w:after="60" w:line="200" w:lineRule="exact"/>
              <w:jc w:val="right"/>
              <w:rPr>
                <w:b/>
                <w:noProof/>
                <w:sz w:val="16"/>
                <w:szCs w:val="16"/>
                <w:lang w:val="en-IE"/>
              </w:rPr>
            </w:pPr>
          </w:p>
        </w:tc>
        <w:tc>
          <w:tcPr>
            <w:tcW w:w="1080" w:type="dxa"/>
            <w:vAlign w:val="center"/>
          </w:tcPr>
          <w:p w14:paraId="53E7363C" w14:textId="77777777" w:rsidR="00950C34" w:rsidRPr="003A769F" w:rsidRDefault="00950C34" w:rsidP="00FA7B33">
            <w:pPr>
              <w:spacing w:before="60" w:after="60" w:line="200" w:lineRule="exact"/>
              <w:jc w:val="right"/>
              <w:rPr>
                <w:b/>
                <w:noProof/>
                <w:sz w:val="16"/>
                <w:szCs w:val="16"/>
                <w:lang w:val="en-IE"/>
              </w:rPr>
            </w:pPr>
          </w:p>
        </w:tc>
      </w:tr>
      <w:tr w:rsidR="00950C34" w14:paraId="3B75CA7A" w14:textId="77777777" w:rsidTr="00FA7B33">
        <w:trPr>
          <w:trHeight w:val="585"/>
          <w:jc w:val="center"/>
        </w:trPr>
        <w:tc>
          <w:tcPr>
            <w:tcW w:w="1980" w:type="dxa"/>
            <w:vAlign w:val="center"/>
          </w:tcPr>
          <w:p w14:paraId="0C1E0EA2" w14:textId="77777777" w:rsidR="00950C34" w:rsidRDefault="00950C34" w:rsidP="00FA7B33">
            <w:pPr>
              <w:spacing w:before="60" w:after="60" w:line="200" w:lineRule="exact"/>
              <w:ind w:left="72"/>
              <w:jc w:val="left"/>
              <w:rPr>
                <w:noProof/>
                <w:sz w:val="16"/>
                <w:szCs w:val="16"/>
              </w:rPr>
            </w:pPr>
            <w:r>
              <w:rPr>
                <w:noProof/>
                <w:sz w:val="16"/>
              </w:rPr>
              <w:t xml:space="preserve">Human resources </w:t>
            </w:r>
          </w:p>
        </w:tc>
        <w:tc>
          <w:tcPr>
            <w:tcW w:w="1080" w:type="dxa"/>
            <w:vAlign w:val="center"/>
          </w:tcPr>
          <w:p w14:paraId="78241951" w14:textId="77777777" w:rsidR="00950C34" w:rsidRDefault="00950C34" w:rsidP="00FA7B33">
            <w:pPr>
              <w:spacing w:before="60" w:after="60" w:line="200" w:lineRule="exact"/>
              <w:jc w:val="right"/>
              <w:rPr>
                <w:noProof/>
                <w:sz w:val="16"/>
                <w:szCs w:val="16"/>
              </w:rPr>
            </w:pPr>
          </w:p>
        </w:tc>
        <w:tc>
          <w:tcPr>
            <w:tcW w:w="1080" w:type="dxa"/>
            <w:vAlign w:val="center"/>
          </w:tcPr>
          <w:p w14:paraId="1BEC28AC" w14:textId="77777777" w:rsidR="00950C34" w:rsidRDefault="00950C34" w:rsidP="00FA7B33">
            <w:pPr>
              <w:spacing w:before="60" w:after="60" w:line="200" w:lineRule="exact"/>
              <w:jc w:val="center"/>
              <w:rPr>
                <w:noProof/>
                <w:sz w:val="16"/>
                <w:szCs w:val="16"/>
              </w:rPr>
            </w:pPr>
            <w:r w:rsidRPr="31719606">
              <w:rPr>
                <w:noProof/>
                <w:sz w:val="16"/>
                <w:szCs w:val="16"/>
              </w:rPr>
              <w:t>3.026</w:t>
            </w:r>
          </w:p>
        </w:tc>
        <w:tc>
          <w:tcPr>
            <w:tcW w:w="1080" w:type="dxa"/>
            <w:vAlign w:val="center"/>
          </w:tcPr>
          <w:p w14:paraId="4DE105DB" w14:textId="77777777" w:rsidR="00950C34" w:rsidRDefault="00950C34" w:rsidP="00FA7B33">
            <w:pPr>
              <w:spacing w:before="60" w:after="60" w:line="200" w:lineRule="exact"/>
              <w:jc w:val="center"/>
              <w:rPr>
                <w:noProof/>
                <w:sz w:val="16"/>
                <w:szCs w:val="16"/>
              </w:rPr>
            </w:pPr>
            <w:r w:rsidRPr="56D6033E">
              <w:rPr>
                <w:noProof/>
                <w:sz w:val="16"/>
                <w:szCs w:val="16"/>
              </w:rPr>
              <w:t>3.026</w:t>
            </w:r>
          </w:p>
        </w:tc>
        <w:tc>
          <w:tcPr>
            <w:tcW w:w="1080" w:type="dxa"/>
            <w:vAlign w:val="center"/>
          </w:tcPr>
          <w:p w14:paraId="4CAA8550" w14:textId="77777777" w:rsidR="00950C34" w:rsidRDefault="00950C34" w:rsidP="00FA7B33">
            <w:pPr>
              <w:spacing w:before="60" w:after="60" w:line="200" w:lineRule="exact"/>
              <w:jc w:val="center"/>
              <w:rPr>
                <w:noProof/>
                <w:sz w:val="16"/>
                <w:szCs w:val="16"/>
              </w:rPr>
            </w:pPr>
            <w:r w:rsidRPr="56D6033E">
              <w:rPr>
                <w:noProof/>
                <w:sz w:val="16"/>
                <w:szCs w:val="16"/>
              </w:rPr>
              <w:t>3.026</w:t>
            </w:r>
          </w:p>
        </w:tc>
        <w:tc>
          <w:tcPr>
            <w:tcW w:w="1080" w:type="dxa"/>
            <w:vAlign w:val="center"/>
          </w:tcPr>
          <w:p w14:paraId="44C93756" w14:textId="77777777" w:rsidR="00950C34" w:rsidRDefault="00950C34" w:rsidP="00FA7B33">
            <w:pPr>
              <w:spacing w:before="60" w:after="60" w:line="200" w:lineRule="exact"/>
              <w:jc w:val="center"/>
              <w:rPr>
                <w:noProof/>
                <w:sz w:val="16"/>
                <w:szCs w:val="16"/>
              </w:rPr>
            </w:pPr>
            <w:r w:rsidRPr="31719606">
              <w:rPr>
                <w:noProof/>
                <w:sz w:val="16"/>
                <w:szCs w:val="16"/>
              </w:rPr>
              <w:t>3.026</w:t>
            </w:r>
          </w:p>
        </w:tc>
        <w:tc>
          <w:tcPr>
            <w:tcW w:w="1080" w:type="dxa"/>
            <w:vAlign w:val="center"/>
          </w:tcPr>
          <w:p w14:paraId="765CBFF2" w14:textId="77777777" w:rsidR="00950C34" w:rsidRDefault="00950C34" w:rsidP="00FA7B33">
            <w:pPr>
              <w:spacing w:before="60" w:after="60" w:line="200" w:lineRule="exact"/>
              <w:jc w:val="center"/>
              <w:rPr>
                <w:noProof/>
                <w:sz w:val="16"/>
                <w:szCs w:val="16"/>
              </w:rPr>
            </w:pPr>
            <w:r w:rsidRPr="56D6033E">
              <w:rPr>
                <w:noProof/>
                <w:sz w:val="16"/>
                <w:szCs w:val="16"/>
              </w:rPr>
              <w:t>1.037</w:t>
            </w:r>
          </w:p>
        </w:tc>
        <w:tc>
          <w:tcPr>
            <w:tcW w:w="1080" w:type="dxa"/>
            <w:vAlign w:val="center"/>
          </w:tcPr>
          <w:p w14:paraId="5F3CA1B8" w14:textId="77777777" w:rsidR="00950C34" w:rsidRDefault="00950C34" w:rsidP="00FA7B33">
            <w:pPr>
              <w:spacing w:before="60" w:after="60" w:line="200" w:lineRule="exact"/>
              <w:jc w:val="center"/>
              <w:rPr>
                <w:b/>
                <w:bCs/>
                <w:noProof/>
                <w:sz w:val="16"/>
                <w:szCs w:val="16"/>
              </w:rPr>
            </w:pPr>
            <w:r w:rsidRPr="31719606">
              <w:rPr>
                <w:noProof/>
                <w:sz w:val="16"/>
                <w:szCs w:val="16"/>
              </w:rPr>
              <w:t>1.037</w:t>
            </w:r>
          </w:p>
        </w:tc>
        <w:tc>
          <w:tcPr>
            <w:tcW w:w="1080" w:type="dxa"/>
            <w:vAlign w:val="center"/>
          </w:tcPr>
          <w:p w14:paraId="341504F5" w14:textId="77777777" w:rsidR="00950C34" w:rsidRDefault="00950C34" w:rsidP="00FA7B33">
            <w:pPr>
              <w:jc w:val="center"/>
              <w:rPr>
                <w:rFonts w:eastAsia="Times New Roman"/>
                <w:noProof/>
                <w:sz w:val="16"/>
                <w:szCs w:val="16"/>
              </w:rPr>
            </w:pPr>
            <w:r w:rsidRPr="56D6033E">
              <w:rPr>
                <w:rFonts w:eastAsia="Times New Roman"/>
                <w:noProof/>
                <w:sz w:val="16"/>
                <w:szCs w:val="16"/>
              </w:rPr>
              <w:t>14,178</w:t>
            </w:r>
          </w:p>
          <w:p w14:paraId="256C012C" w14:textId="77777777" w:rsidR="00950C34" w:rsidRDefault="00950C34" w:rsidP="00FA7B33">
            <w:pPr>
              <w:jc w:val="center"/>
              <w:rPr>
                <w:rFonts w:eastAsia="Times New Roman"/>
                <w:noProof/>
                <w:sz w:val="16"/>
                <w:szCs w:val="16"/>
              </w:rPr>
            </w:pPr>
          </w:p>
        </w:tc>
      </w:tr>
      <w:tr w:rsidR="00950C34" w14:paraId="4A16BE55" w14:textId="77777777" w:rsidTr="00FA7B33">
        <w:trPr>
          <w:trHeight w:val="585"/>
          <w:jc w:val="center"/>
        </w:trPr>
        <w:tc>
          <w:tcPr>
            <w:tcW w:w="1980" w:type="dxa"/>
            <w:vAlign w:val="center"/>
          </w:tcPr>
          <w:p w14:paraId="30E58DD4" w14:textId="77777777" w:rsidR="00950C34" w:rsidRDefault="00950C34" w:rsidP="00FA7B33">
            <w:pPr>
              <w:spacing w:before="60" w:after="60" w:line="200" w:lineRule="exact"/>
              <w:ind w:left="72"/>
              <w:jc w:val="left"/>
              <w:rPr>
                <w:noProof/>
                <w:sz w:val="16"/>
                <w:szCs w:val="16"/>
              </w:rPr>
            </w:pPr>
            <w:r>
              <w:rPr>
                <w:noProof/>
                <w:sz w:val="16"/>
              </w:rPr>
              <w:t xml:space="preserve">Other administrative expenditure </w:t>
            </w:r>
          </w:p>
        </w:tc>
        <w:tc>
          <w:tcPr>
            <w:tcW w:w="1080" w:type="dxa"/>
            <w:vAlign w:val="center"/>
          </w:tcPr>
          <w:p w14:paraId="717EB9E1" w14:textId="77777777" w:rsidR="00950C34" w:rsidRDefault="00950C34" w:rsidP="00FA7B33">
            <w:pPr>
              <w:spacing w:before="60" w:after="60" w:line="200" w:lineRule="exact"/>
              <w:jc w:val="right"/>
              <w:rPr>
                <w:noProof/>
                <w:sz w:val="16"/>
                <w:szCs w:val="16"/>
              </w:rPr>
            </w:pPr>
          </w:p>
        </w:tc>
        <w:tc>
          <w:tcPr>
            <w:tcW w:w="1080" w:type="dxa"/>
            <w:vAlign w:val="center"/>
          </w:tcPr>
          <w:p w14:paraId="25ADF1F6" w14:textId="77777777" w:rsidR="00950C34" w:rsidRDefault="00950C34" w:rsidP="00FA7B33">
            <w:pPr>
              <w:spacing w:before="60" w:after="60" w:line="200" w:lineRule="exact"/>
              <w:jc w:val="center"/>
              <w:rPr>
                <w:noProof/>
                <w:sz w:val="16"/>
                <w:szCs w:val="16"/>
              </w:rPr>
            </w:pPr>
            <w:r w:rsidRPr="31719606">
              <w:rPr>
                <w:noProof/>
                <w:sz w:val="16"/>
                <w:szCs w:val="16"/>
              </w:rPr>
              <w:t>0.257</w:t>
            </w:r>
          </w:p>
        </w:tc>
        <w:tc>
          <w:tcPr>
            <w:tcW w:w="1080" w:type="dxa"/>
            <w:vAlign w:val="center"/>
          </w:tcPr>
          <w:p w14:paraId="1D2842B6" w14:textId="77777777" w:rsidR="00950C34" w:rsidRDefault="00950C34" w:rsidP="00FA7B33">
            <w:pPr>
              <w:spacing w:before="60" w:after="60" w:line="200" w:lineRule="exact"/>
              <w:jc w:val="center"/>
              <w:rPr>
                <w:noProof/>
                <w:sz w:val="16"/>
                <w:szCs w:val="16"/>
              </w:rPr>
            </w:pPr>
            <w:r w:rsidRPr="56D6033E">
              <w:rPr>
                <w:noProof/>
                <w:sz w:val="16"/>
                <w:szCs w:val="16"/>
              </w:rPr>
              <w:t>0.385</w:t>
            </w:r>
          </w:p>
        </w:tc>
        <w:tc>
          <w:tcPr>
            <w:tcW w:w="1080" w:type="dxa"/>
            <w:vAlign w:val="center"/>
          </w:tcPr>
          <w:p w14:paraId="2C93F984" w14:textId="77777777" w:rsidR="00950C34" w:rsidRDefault="00950C34" w:rsidP="00FA7B33">
            <w:pPr>
              <w:spacing w:before="60" w:after="60" w:line="200" w:lineRule="exact"/>
              <w:jc w:val="center"/>
              <w:rPr>
                <w:noProof/>
                <w:sz w:val="16"/>
                <w:szCs w:val="16"/>
              </w:rPr>
            </w:pPr>
            <w:r w:rsidRPr="56D6033E">
              <w:rPr>
                <w:noProof/>
                <w:sz w:val="16"/>
                <w:szCs w:val="16"/>
              </w:rPr>
              <w:t>0.385</w:t>
            </w:r>
          </w:p>
        </w:tc>
        <w:tc>
          <w:tcPr>
            <w:tcW w:w="1080" w:type="dxa"/>
            <w:vAlign w:val="center"/>
          </w:tcPr>
          <w:p w14:paraId="43D7F5AD" w14:textId="77777777" w:rsidR="00950C34" w:rsidRDefault="00950C34" w:rsidP="00FA7B33">
            <w:pPr>
              <w:spacing w:before="60" w:after="60" w:line="200" w:lineRule="exact"/>
              <w:jc w:val="center"/>
              <w:rPr>
                <w:noProof/>
                <w:sz w:val="16"/>
                <w:szCs w:val="16"/>
              </w:rPr>
            </w:pPr>
            <w:r w:rsidRPr="56D6033E">
              <w:rPr>
                <w:noProof/>
                <w:sz w:val="16"/>
                <w:szCs w:val="16"/>
              </w:rPr>
              <w:t>0.257</w:t>
            </w:r>
          </w:p>
        </w:tc>
        <w:tc>
          <w:tcPr>
            <w:tcW w:w="1080" w:type="dxa"/>
            <w:vAlign w:val="center"/>
          </w:tcPr>
          <w:p w14:paraId="4EF8B494" w14:textId="77777777" w:rsidR="00950C34" w:rsidRDefault="00950C34" w:rsidP="00FA7B33">
            <w:pPr>
              <w:spacing w:before="60" w:after="60" w:line="200" w:lineRule="exact"/>
              <w:jc w:val="center"/>
              <w:rPr>
                <w:noProof/>
                <w:sz w:val="16"/>
                <w:szCs w:val="16"/>
              </w:rPr>
            </w:pPr>
            <w:r w:rsidRPr="56D6033E">
              <w:rPr>
                <w:noProof/>
                <w:sz w:val="16"/>
                <w:szCs w:val="16"/>
              </w:rPr>
              <w:t>0.182</w:t>
            </w:r>
          </w:p>
        </w:tc>
        <w:tc>
          <w:tcPr>
            <w:tcW w:w="1080" w:type="dxa"/>
            <w:vAlign w:val="center"/>
          </w:tcPr>
          <w:p w14:paraId="36347D97" w14:textId="77777777" w:rsidR="00950C34" w:rsidRDefault="00950C34" w:rsidP="00FA7B33">
            <w:pPr>
              <w:spacing w:before="60" w:after="60" w:line="200" w:lineRule="exact"/>
              <w:jc w:val="center"/>
              <w:rPr>
                <w:b/>
                <w:bCs/>
                <w:noProof/>
                <w:sz w:val="16"/>
                <w:szCs w:val="16"/>
              </w:rPr>
            </w:pPr>
            <w:r w:rsidRPr="31719606">
              <w:rPr>
                <w:noProof/>
                <w:sz w:val="16"/>
                <w:szCs w:val="16"/>
              </w:rPr>
              <w:t>0.182</w:t>
            </w:r>
          </w:p>
        </w:tc>
        <w:tc>
          <w:tcPr>
            <w:tcW w:w="1080" w:type="dxa"/>
            <w:vAlign w:val="center"/>
          </w:tcPr>
          <w:p w14:paraId="16C2CBF2" w14:textId="77777777" w:rsidR="00950C34" w:rsidRDefault="00950C34" w:rsidP="00FA7B33">
            <w:pPr>
              <w:spacing w:before="60" w:after="60" w:line="200" w:lineRule="exact"/>
              <w:jc w:val="center"/>
              <w:rPr>
                <w:b/>
                <w:bCs/>
                <w:noProof/>
                <w:sz w:val="16"/>
                <w:szCs w:val="16"/>
              </w:rPr>
            </w:pPr>
            <w:r w:rsidRPr="56D6033E">
              <w:rPr>
                <w:b/>
                <w:bCs/>
                <w:noProof/>
                <w:sz w:val="16"/>
                <w:szCs w:val="16"/>
              </w:rPr>
              <w:t>1.648</w:t>
            </w:r>
          </w:p>
        </w:tc>
      </w:tr>
      <w:tr w:rsidR="00950C34" w:rsidRPr="003A769F" w14:paraId="4B2DB104" w14:textId="77777777" w:rsidTr="00FA7B33">
        <w:trPr>
          <w:trHeight w:val="585"/>
          <w:jc w:val="center"/>
        </w:trPr>
        <w:tc>
          <w:tcPr>
            <w:tcW w:w="1980" w:type="dxa"/>
            <w:shd w:val="clear" w:color="auto" w:fill="CCCCCC"/>
            <w:vAlign w:val="center"/>
          </w:tcPr>
          <w:p w14:paraId="65909E4A" w14:textId="77777777" w:rsidR="00950C34" w:rsidRPr="003A769F" w:rsidRDefault="00950C34" w:rsidP="00FA7B33">
            <w:pPr>
              <w:spacing w:before="60" w:after="60" w:line="200" w:lineRule="exact"/>
              <w:jc w:val="center"/>
              <w:rPr>
                <w:b/>
                <w:noProof/>
                <w:sz w:val="16"/>
                <w:szCs w:val="16"/>
                <w:lang w:val="en-IE"/>
              </w:rPr>
            </w:pPr>
            <w:r w:rsidRPr="003A769F">
              <w:rPr>
                <w:b/>
                <w:noProof/>
                <w:sz w:val="16"/>
                <w:lang w:val="en-IE"/>
              </w:rPr>
              <w:t>Subtotal HEADING 7</w:t>
            </w:r>
            <w:r w:rsidRPr="003A769F">
              <w:rPr>
                <w:noProof/>
                <w:sz w:val="22"/>
                <w:lang w:val="en-IE"/>
              </w:rPr>
              <w:br/>
            </w:r>
            <w:r w:rsidRPr="003A769F">
              <w:rPr>
                <w:b/>
                <w:noProof/>
                <w:sz w:val="16"/>
                <w:lang w:val="en-IE"/>
              </w:rPr>
              <w:t xml:space="preserve">of the multiannual financial framework </w:t>
            </w:r>
          </w:p>
        </w:tc>
        <w:tc>
          <w:tcPr>
            <w:tcW w:w="1080" w:type="dxa"/>
            <w:vAlign w:val="center"/>
          </w:tcPr>
          <w:p w14:paraId="78156DCC" w14:textId="77777777" w:rsidR="00950C34" w:rsidRPr="003A769F" w:rsidRDefault="00950C34" w:rsidP="00FA7B33">
            <w:pPr>
              <w:spacing w:before="60" w:after="60" w:line="200" w:lineRule="exact"/>
              <w:jc w:val="right"/>
              <w:rPr>
                <w:noProof/>
                <w:sz w:val="16"/>
                <w:szCs w:val="16"/>
                <w:lang w:val="en-IE"/>
              </w:rPr>
            </w:pPr>
          </w:p>
        </w:tc>
        <w:tc>
          <w:tcPr>
            <w:tcW w:w="1080" w:type="dxa"/>
            <w:vAlign w:val="center"/>
          </w:tcPr>
          <w:p w14:paraId="6922210B" w14:textId="77777777" w:rsidR="00950C34" w:rsidRPr="003A769F" w:rsidRDefault="00950C34" w:rsidP="00FA7B33">
            <w:pPr>
              <w:spacing w:before="60" w:after="60" w:line="200" w:lineRule="exact"/>
              <w:jc w:val="center"/>
              <w:rPr>
                <w:noProof/>
                <w:sz w:val="16"/>
                <w:szCs w:val="16"/>
                <w:lang w:val="en-IE"/>
              </w:rPr>
            </w:pPr>
            <w:r w:rsidRPr="56D6033E">
              <w:rPr>
                <w:noProof/>
                <w:sz w:val="16"/>
                <w:szCs w:val="16"/>
                <w:lang w:val="en-IE"/>
              </w:rPr>
              <w:t>3.283</w:t>
            </w:r>
          </w:p>
        </w:tc>
        <w:tc>
          <w:tcPr>
            <w:tcW w:w="1080" w:type="dxa"/>
            <w:vAlign w:val="center"/>
          </w:tcPr>
          <w:p w14:paraId="5D5A9F9A" w14:textId="77777777" w:rsidR="00950C34" w:rsidRPr="003A769F" w:rsidRDefault="00950C34" w:rsidP="00FA7B33">
            <w:pPr>
              <w:spacing w:before="60" w:after="60" w:line="200" w:lineRule="exact"/>
              <w:jc w:val="center"/>
              <w:rPr>
                <w:noProof/>
                <w:sz w:val="16"/>
                <w:szCs w:val="16"/>
                <w:lang w:val="en-IE"/>
              </w:rPr>
            </w:pPr>
            <w:r w:rsidRPr="56D6033E">
              <w:rPr>
                <w:noProof/>
                <w:sz w:val="16"/>
                <w:szCs w:val="16"/>
                <w:lang w:val="en-IE"/>
              </w:rPr>
              <w:t>3.411</w:t>
            </w:r>
          </w:p>
        </w:tc>
        <w:tc>
          <w:tcPr>
            <w:tcW w:w="1080" w:type="dxa"/>
            <w:vAlign w:val="center"/>
          </w:tcPr>
          <w:p w14:paraId="78A9B367" w14:textId="77777777" w:rsidR="00950C34" w:rsidRPr="003A769F" w:rsidRDefault="00950C34" w:rsidP="00FA7B33">
            <w:pPr>
              <w:spacing w:before="60" w:after="60" w:line="200" w:lineRule="exact"/>
              <w:jc w:val="center"/>
              <w:rPr>
                <w:noProof/>
                <w:sz w:val="16"/>
                <w:szCs w:val="16"/>
                <w:lang w:val="en-IE"/>
              </w:rPr>
            </w:pPr>
            <w:r w:rsidRPr="56D6033E">
              <w:rPr>
                <w:noProof/>
                <w:sz w:val="16"/>
                <w:szCs w:val="16"/>
                <w:lang w:val="en-IE"/>
              </w:rPr>
              <w:t>3.411</w:t>
            </w:r>
          </w:p>
        </w:tc>
        <w:tc>
          <w:tcPr>
            <w:tcW w:w="1080" w:type="dxa"/>
            <w:vAlign w:val="center"/>
          </w:tcPr>
          <w:p w14:paraId="21547C2B" w14:textId="77777777" w:rsidR="00950C34" w:rsidRPr="003A769F" w:rsidRDefault="00950C34" w:rsidP="00FA7B33">
            <w:pPr>
              <w:spacing w:before="60" w:after="60" w:line="200" w:lineRule="exact"/>
              <w:jc w:val="center"/>
              <w:rPr>
                <w:noProof/>
                <w:sz w:val="16"/>
                <w:szCs w:val="16"/>
                <w:lang w:val="en-IE"/>
              </w:rPr>
            </w:pPr>
            <w:r w:rsidRPr="56D6033E">
              <w:rPr>
                <w:noProof/>
                <w:sz w:val="16"/>
                <w:szCs w:val="16"/>
                <w:lang w:val="en-IE"/>
              </w:rPr>
              <w:t>3.283</w:t>
            </w:r>
          </w:p>
        </w:tc>
        <w:tc>
          <w:tcPr>
            <w:tcW w:w="1080" w:type="dxa"/>
            <w:vAlign w:val="center"/>
          </w:tcPr>
          <w:p w14:paraId="412C39F0" w14:textId="77777777" w:rsidR="00950C34" w:rsidRPr="003A769F" w:rsidRDefault="00950C34" w:rsidP="00FA7B33">
            <w:pPr>
              <w:spacing w:before="60" w:after="60" w:line="200" w:lineRule="exact"/>
              <w:jc w:val="center"/>
              <w:rPr>
                <w:noProof/>
                <w:sz w:val="16"/>
                <w:szCs w:val="16"/>
                <w:lang w:val="en-IE"/>
              </w:rPr>
            </w:pPr>
            <w:r w:rsidRPr="56D6033E">
              <w:rPr>
                <w:noProof/>
                <w:sz w:val="16"/>
                <w:szCs w:val="16"/>
                <w:lang w:val="en-IE"/>
              </w:rPr>
              <w:t>1.219</w:t>
            </w:r>
          </w:p>
        </w:tc>
        <w:tc>
          <w:tcPr>
            <w:tcW w:w="1080" w:type="dxa"/>
            <w:vAlign w:val="center"/>
          </w:tcPr>
          <w:p w14:paraId="58B78E7E" w14:textId="77777777" w:rsidR="00950C34" w:rsidRPr="003A769F" w:rsidRDefault="00950C34" w:rsidP="00FA7B33">
            <w:pPr>
              <w:spacing w:before="60" w:after="60" w:line="200" w:lineRule="exact"/>
              <w:jc w:val="center"/>
              <w:rPr>
                <w:b/>
                <w:bCs/>
                <w:noProof/>
                <w:sz w:val="16"/>
                <w:szCs w:val="16"/>
                <w:lang w:val="en-IE"/>
              </w:rPr>
            </w:pPr>
            <w:r w:rsidRPr="56D6033E">
              <w:rPr>
                <w:b/>
                <w:bCs/>
                <w:noProof/>
                <w:sz w:val="16"/>
                <w:szCs w:val="16"/>
                <w:lang w:val="en-IE"/>
              </w:rPr>
              <w:t>1.219</w:t>
            </w:r>
          </w:p>
        </w:tc>
        <w:tc>
          <w:tcPr>
            <w:tcW w:w="1080" w:type="dxa"/>
            <w:vAlign w:val="center"/>
          </w:tcPr>
          <w:p w14:paraId="14E25D9B" w14:textId="77777777" w:rsidR="00950C34" w:rsidRDefault="00950C34" w:rsidP="00FA7B33">
            <w:pPr>
              <w:jc w:val="center"/>
              <w:rPr>
                <w:rFonts w:eastAsia="Times New Roman"/>
                <w:noProof/>
                <w:sz w:val="16"/>
                <w:szCs w:val="16"/>
              </w:rPr>
            </w:pPr>
            <w:r w:rsidRPr="56D6033E">
              <w:rPr>
                <w:rFonts w:eastAsia="Times New Roman"/>
                <w:noProof/>
                <w:sz w:val="16"/>
                <w:szCs w:val="16"/>
              </w:rPr>
              <w:t>15,826</w:t>
            </w:r>
          </w:p>
        </w:tc>
      </w:tr>
    </w:tbl>
    <w:p w14:paraId="32ECB8A7" w14:textId="77777777" w:rsidR="00950C34" w:rsidRPr="003A769F" w:rsidRDefault="00950C34" w:rsidP="00950C34">
      <w:pPr>
        <w:spacing w:line="200" w:lineRule="exact"/>
        <w:rPr>
          <w:noProof/>
          <w:sz w:val="16"/>
          <w:szCs w:val="16"/>
          <w:lang w:val="en-IE"/>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950C34" w:rsidRPr="003A769F" w14:paraId="32E938DB" w14:textId="77777777" w:rsidTr="00FA7B33">
        <w:trPr>
          <w:trHeight w:val="585"/>
        </w:trPr>
        <w:tc>
          <w:tcPr>
            <w:tcW w:w="1980" w:type="dxa"/>
            <w:shd w:val="clear" w:color="auto" w:fill="CCCCCC"/>
            <w:vAlign w:val="center"/>
          </w:tcPr>
          <w:p w14:paraId="3E749C1C" w14:textId="77777777" w:rsidR="00950C34" w:rsidRPr="003A769F" w:rsidRDefault="00950C34" w:rsidP="00FA7B33">
            <w:pPr>
              <w:spacing w:before="60" w:after="60" w:line="200" w:lineRule="exact"/>
              <w:jc w:val="center"/>
              <w:rPr>
                <w:noProof/>
                <w:sz w:val="16"/>
                <w:szCs w:val="16"/>
                <w:lang w:val="en-IE"/>
              </w:rPr>
            </w:pPr>
            <w:r w:rsidRPr="078E3620">
              <w:rPr>
                <w:b/>
                <w:bCs/>
                <w:noProof/>
                <w:sz w:val="16"/>
                <w:szCs w:val="16"/>
                <w:lang w:val="en-IE"/>
              </w:rPr>
              <w:t>Outside HEADING 7</w:t>
            </w:r>
            <w:r w:rsidRPr="078E3620">
              <w:rPr>
                <w:rStyle w:val="FootnoteReference"/>
                <w:b/>
                <w:bCs/>
                <w:noProof/>
                <w:sz w:val="16"/>
                <w:szCs w:val="16"/>
              </w:rPr>
              <w:footnoteReference w:id="85"/>
            </w:r>
            <w:r w:rsidRPr="003A769F">
              <w:rPr>
                <w:noProof/>
                <w:sz w:val="22"/>
                <w:lang w:val="en-IE"/>
              </w:rPr>
              <w:br/>
            </w:r>
            <w:r w:rsidRPr="078E3620">
              <w:rPr>
                <w:b/>
                <w:bCs/>
                <w:noProof/>
                <w:sz w:val="16"/>
                <w:szCs w:val="16"/>
                <w:lang w:val="en-IE"/>
              </w:rPr>
              <w:t xml:space="preserve">of the multiannual financial framework </w:t>
            </w:r>
          </w:p>
          <w:p w14:paraId="1A95B5EA" w14:textId="77777777" w:rsidR="00950C34" w:rsidRPr="003A769F" w:rsidRDefault="00950C34" w:rsidP="00FA7B33">
            <w:pPr>
              <w:spacing w:before="0" w:after="0" w:line="200" w:lineRule="exact"/>
              <w:jc w:val="center"/>
              <w:rPr>
                <w:b/>
                <w:noProof/>
                <w:sz w:val="16"/>
                <w:szCs w:val="16"/>
                <w:lang w:val="en-IE"/>
              </w:rPr>
            </w:pPr>
          </w:p>
        </w:tc>
        <w:tc>
          <w:tcPr>
            <w:tcW w:w="1080" w:type="dxa"/>
            <w:vAlign w:val="center"/>
          </w:tcPr>
          <w:p w14:paraId="7C70A061" w14:textId="77777777" w:rsidR="00950C34" w:rsidRPr="003A769F" w:rsidRDefault="00950C34" w:rsidP="00FA7B33">
            <w:pPr>
              <w:spacing w:before="60" w:after="60" w:line="200" w:lineRule="exact"/>
              <w:jc w:val="right"/>
              <w:rPr>
                <w:noProof/>
                <w:sz w:val="16"/>
                <w:szCs w:val="16"/>
                <w:lang w:val="en-IE"/>
              </w:rPr>
            </w:pPr>
          </w:p>
        </w:tc>
        <w:tc>
          <w:tcPr>
            <w:tcW w:w="1080" w:type="dxa"/>
            <w:vAlign w:val="center"/>
          </w:tcPr>
          <w:p w14:paraId="07C5A94B" w14:textId="77777777" w:rsidR="00950C34" w:rsidRPr="003A769F" w:rsidRDefault="00950C34" w:rsidP="00FA7B33">
            <w:pPr>
              <w:spacing w:before="60" w:after="60" w:line="200" w:lineRule="exact"/>
              <w:jc w:val="right"/>
              <w:rPr>
                <w:noProof/>
                <w:sz w:val="16"/>
                <w:szCs w:val="16"/>
                <w:lang w:val="en-IE"/>
              </w:rPr>
            </w:pPr>
          </w:p>
        </w:tc>
        <w:tc>
          <w:tcPr>
            <w:tcW w:w="1080" w:type="dxa"/>
            <w:vAlign w:val="center"/>
          </w:tcPr>
          <w:p w14:paraId="44FC660E" w14:textId="77777777" w:rsidR="00950C34" w:rsidRPr="003A769F" w:rsidRDefault="00950C34" w:rsidP="00FA7B33">
            <w:pPr>
              <w:spacing w:before="60" w:after="60" w:line="200" w:lineRule="exact"/>
              <w:jc w:val="right"/>
              <w:rPr>
                <w:noProof/>
                <w:sz w:val="16"/>
                <w:szCs w:val="16"/>
                <w:lang w:val="en-IE"/>
              </w:rPr>
            </w:pPr>
          </w:p>
        </w:tc>
        <w:tc>
          <w:tcPr>
            <w:tcW w:w="1080" w:type="dxa"/>
            <w:vAlign w:val="center"/>
          </w:tcPr>
          <w:p w14:paraId="21E40FB0" w14:textId="77777777" w:rsidR="00950C34" w:rsidRPr="003A769F" w:rsidRDefault="00950C34" w:rsidP="00FA7B33">
            <w:pPr>
              <w:spacing w:before="60" w:after="60" w:line="200" w:lineRule="exact"/>
              <w:jc w:val="right"/>
              <w:rPr>
                <w:noProof/>
                <w:sz w:val="16"/>
                <w:szCs w:val="16"/>
                <w:lang w:val="en-IE"/>
              </w:rPr>
            </w:pPr>
          </w:p>
        </w:tc>
        <w:tc>
          <w:tcPr>
            <w:tcW w:w="1080" w:type="dxa"/>
            <w:vAlign w:val="center"/>
          </w:tcPr>
          <w:p w14:paraId="453A9C4B" w14:textId="77777777" w:rsidR="00950C34" w:rsidRPr="003A769F" w:rsidRDefault="00950C34" w:rsidP="00FA7B33">
            <w:pPr>
              <w:spacing w:before="60" w:after="60" w:line="200" w:lineRule="exact"/>
              <w:jc w:val="right"/>
              <w:rPr>
                <w:noProof/>
                <w:sz w:val="16"/>
                <w:szCs w:val="16"/>
                <w:lang w:val="en-IE"/>
              </w:rPr>
            </w:pPr>
          </w:p>
        </w:tc>
        <w:tc>
          <w:tcPr>
            <w:tcW w:w="1080" w:type="dxa"/>
            <w:vAlign w:val="center"/>
          </w:tcPr>
          <w:p w14:paraId="748ABC6A" w14:textId="77777777" w:rsidR="00950C34" w:rsidRPr="003A769F" w:rsidRDefault="00950C34" w:rsidP="00FA7B33">
            <w:pPr>
              <w:spacing w:before="60" w:after="60" w:line="200" w:lineRule="exact"/>
              <w:jc w:val="right"/>
              <w:rPr>
                <w:noProof/>
                <w:sz w:val="16"/>
                <w:szCs w:val="16"/>
                <w:lang w:val="en-IE"/>
              </w:rPr>
            </w:pPr>
          </w:p>
        </w:tc>
        <w:tc>
          <w:tcPr>
            <w:tcW w:w="1080" w:type="dxa"/>
            <w:vAlign w:val="center"/>
          </w:tcPr>
          <w:p w14:paraId="096B202D" w14:textId="77777777" w:rsidR="00950C34" w:rsidRPr="003A769F" w:rsidRDefault="00950C34" w:rsidP="00FA7B33">
            <w:pPr>
              <w:spacing w:before="60" w:after="60" w:line="200" w:lineRule="exact"/>
              <w:jc w:val="right"/>
              <w:rPr>
                <w:b/>
                <w:noProof/>
                <w:sz w:val="16"/>
                <w:szCs w:val="16"/>
                <w:lang w:val="en-IE"/>
              </w:rPr>
            </w:pPr>
          </w:p>
        </w:tc>
        <w:tc>
          <w:tcPr>
            <w:tcW w:w="1080" w:type="dxa"/>
            <w:vAlign w:val="center"/>
          </w:tcPr>
          <w:p w14:paraId="6DBE26F3" w14:textId="77777777" w:rsidR="00950C34" w:rsidRPr="003A769F" w:rsidRDefault="00950C34" w:rsidP="00FA7B33">
            <w:pPr>
              <w:spacing w:before="60" w:after="60" w:line="200" w:lineRule="exact"/>
              <w:jc w:val="right"/>
              <w:rPr>
                <w:b/>
                <w:noProof/>
                <w:sz w:val="16"/>
                <w:szCs w:val="16"/>
                <w:lang w:val="en-IE"/>
              </w:rPr>
            </w:pPr>
          </w:p>
        </w:tc>
      </w:tr>
      <w:tr w:rsidR="00950C34" w14:paraId="5F91CAAF" w14:textId="77777777" w:rsidTr="00FA7B33">
        <w:trPr>
          <w:trHeight w:val="585"/>
        </w:trPr>
        <w:tc>
          <w:tcPr>
            <w:tcW w:w="1980" w:type="dxa"/>
            <w:vAlign w:val="center"/>
          </w:tcPr>
          <w:p w14:paraId="3836F7B6" w14:textId="77777777" w:rsidR="00950C34" w:rsidRDefault="00950C34" w:rsidP="00FA7B33">
            <w:pPr>
              <w:spacing w:before="60" w:after="60" w:line="200" w:lineRule="exact"/>
              <w:ind w:left="72"/>
              <w:jc w:val="left"/>
              <w:rPr>
                <w:noProof/>
                <w:sz w:val="16"/>
                <w:szCs w:val="16"/>
              </w:rPr>
            </w:pPr>
            <w:r>
              <w:rPr>
                <w:noProof/>
                <w:sz w:val="16"/>
              </w:rPr>
              <w:t xml:space="preserve">Human resources </w:t>
            </w:r>
          </w:p>
        </w:tc>
        <w:tc>
          <w:tcPr>
            <w:tcW w:w="1080" w:type="dxa"/>
            <w:vAlign w:val="center"/>
          </w:tcPr>
          <w:p w14:paraId="2FC9C5E7" w14:textId="77777777" w:rsidR="00950C34" w:rsidRDefault="00950C34" w:rsidP="00FA7B33">
            <w:pPr>
              <w:spacing w:before="60" w:after="60" w:line="200" w:lineRule="exact"/>
              <w:jc w:val="right"/>
              <w:rPr>
                <w:noProof/>
                <w:sz w:val="16"/>
                <w:szCs w:val="16"/>
              </w:rPr>
            </w:pPr>
          </w:p>
        </w:tc>
        <w:tc>
          <w:tcPr>
            <w:tcW w:w="1080" w:type="dxa"/>
            <w:vAlign w:val="center"/>
          </w:tcPr>
          <w:p w14:paraId="6AB9FF04" w14:textId="77777777" w:rsidR="00950C34" w:rsidRDefault="00950C34" w:rsidP="00FA7B33">
            <w:pPr>
              <w:spacing w:before="60" w:after="60" w:line="200" w:lineRule="exact"/>
              <w:jc w:val="right"/>
              <w:rPr>
                <w:noProof/>
                <w:sz w:val="16"/>
                <w:szCs w:val="16"/>
              </w:rPr>
            </w:pPr>
          </w:p>
        </w:tc>
        <w:tc>
          <w:tcPr>
            <w:tcW w:w="1080" w:type="dxa"/>
            <w:vAlign w:val="center"/>
          </w:tcPr>
          <w:p w14:paraId="7C791CF5" w14:textId="77777777" w:rsidR="00950C34" w:rsidRDefault="00950C34" w:rsidP="00FA7B33">
            <w:pPr>
              <w:spacing w:before="60" w:after="60" w:line="200" w:lineRule="exact"/>
              <w:jc w:val="right"/>
              <w:rPr>
                <w:noProof/>
                <w:sz w:val="16"/>
                <w:szCs w:val="16"/>
              </w:rPr>
            </w:pPr>
          </w:p>
        </w:tc>
        <w:tc>
          <w:tcPr>
            <w:tcW w:w="1080" w:type="dxa"/>
            <w:vAlign w:val="center"/>
          </w:tcPr>
          <w:p w14:paraId="4D58E168" w14:textId="77777777" w:rsidR="00950C34" w:rsidRDefault="00950C34" w:rsidP="00FA7B33">
            <w:pPr>
              <w:spacing w:before="60" w:after="60" w:line="200" w:lineRule="exact"/>
              <w:jc w:val="right"/>
              <w:rPr>
                <w:noProof/>
                <w:sz w:val="16"/>
                <w:szCs w:val="16"/>
              </w:rPr>
            </w:pPr>
          </w:p>
        </w:tc>
        <w:tc>
          <w:tcPr>
            <w:tcW w:w="1080" w:type="dxa"/>
            <w:vAlign w:val="center"/>
          </w:tcPr>
          <w:p w14:paraId="65CC3D1A" w14:textId="77777777" w:rsidR="00950C34" w:rsidRDefault="00950C34" w:rsidP="00FA7B33">
            <w:pPr>
              <w:spacing w:before="60" w:after="60" w:line="200" w:lineRule="exact"/>
              <w:jc w:val="right"/>
              <w:rPr>
                <w:noProof/>
                <w:sz w:val="16"/>
                <w:szCs w:val="16"/>
              </w:rPr>
            </w:pPr>
          </w:p>
        </w:tc>
        <w:tc>
          <w:tcPr>
            <w:tcW w:w="1080" w:type="dxa"/>
            <w:vAlign w:val="center"/>
          </w:tcPr>
          <w:p w14:paraId="675104FB" w14:textId="77777777" w:rsidR="00950C34" w:rsidRDefault="00950C34" w:rsidP="00FA7B33">
            <w:pPr>
              <w:spacing w:before="60" w:after="60" w:line="200" w:lineRule="exact"/>
              <w:jc w:val="right"/>
              <w:rPr>
                <w:noProof/>
                <w:sz w:val="16"/>
                <w:szCs w:val="16"/>
              </w:rPr>
            </w:pPr>
          </w:p>
        </w:tc>
        <w:tc>
          <w:tcPr>
            <w:tcW w:w="1080" w:type="dxa"/>
            <w:vAlign w:val="center"/>
          </w:tcPr>
          <w:p w14:paraId="2A38F8A9" w14:textId="77777777" w:rsidR="00950C34" w:rsidRDefault="00950C34" w:rsidP="00FA7B33">
            <w:pPr>
              <w:spacing w:before="60" w:after="60" w:line="200" w:lineRule="exact"/>
              <w:jc w:val="right"/>
              <w:rPr>
                <w:b/>
                <w:noProof/>
                <w:sz w:val="16"/>
                <w:szCs w:val="16"/>
              </w:rPr>
            </w:pPr>
          </w:p>
        </w:tc>
        <w:tc>
          <w:tcPr>
            <w:tcW w:w="1080" w:type="dxa"/>
            <w:vAlign w:val="center"/>
          </w:tcPr>
          <w:p w14:paraId="66A83F50" w14:textId="77777777" w:rsidR="00950C34" w:rsidRDefault="00950C34" w:rsidP="00FA7B33">
            <w:pPr>
              <w:spacing w:before="60" w:after="60" w:line="200" w:lineRule="exact"/>
              <w:jc w:val="right"/>
              <w:rPr>
                <w:b/>
                <w:noProof/>
                <w:sz w:val="16"/>
                <w:szCs w:val="16"/>
              </w:rPr>
            </w:pPr>
          </w:p>
        </w:tc>
      </w:tr>
      <w:tr w:rsidR="00950C34" w:rsidRPr="003A769F" w14:paraId="03A53541" w14:textId="77777777" w:rsidTr="00FA7B33">
        <w:trPr>
          <w:trHeight w:val="585"/>
        </w:trPr>
        <w:tc>
          <w:tcPr>
            <w:tcW w:w="1980" w:type="dxa"/>
            <w:vAlign w:val="center"/>
          </w:tcPr>
          <w:p w14:paraId="7719879E" w14:textId="77777777" w:rsidR="00950C34" w:rsidRPr="003A769F" w:rsidRDefault="00950C34" w:rsidP="00FA7B33">
            <w:pPr>
              <w:spacing w:before="60" w:after="60" w:line="200" w:lineRule="exact"/>
              <w:ind w:left="72"/>
              <w:jc w:val="left"/>
              <w:rPr>
                <w:noProof/>
                <w:sz w:val="16"/>
                <w:szCs w:val="16"/>
                <w:lang w:val="en-IE"/>
              </w:rPr>
            </w:pPr>
            <w:r w:rsidRPr="003A769F">
              <w:rPr>
                <w:noProof/>
                <w:sz w:val="16"/>
                <w:lang w:val="en-IE"/>
              </w:rPr>
              <w:t xml:space="preserve">Other expenditure </w:t>
            </w:r>
            <w:r w:rsidRPr="003A769F">
              <w:rPr>
                <w:noProof/>
                <w:sz w:val="22"/>
                <w:lang w:val="en-IE"/>
              </w:rPr>
              <w:br/>
            </w:r>
            <w:r w:rsidRPr="003A769F">
              <w:rPr>
                <w:noProof/>
                <w:sz w:val="16"/>
                <w:lang w:val="en-IE"/>
              </w:rPr>
              <w:t>of an administrative nature</w:t>
            </w:r>
          </w:p>
        </w:tc>
        <w:tc>
          <w:tcPr>
            <w:tcW w:w="1080" w:type="dxa"/>
            <w:vAlign w:val="center"/>
          </w:tcPr>
          <w:p w14:paraId="2974B5C1" w14:textId="77777777" w:rsidR="00950C34" w:rsidRPr="003A769F" w:rsidRDefault="00950C34" w:rsidP="00FA7B33">
            <w:pPr>
              <w:spacing w:before="60" w:after="60" w:line="200" w:lineRule="exact"/>
              <w:jc w:val="right"/>
              <w:rPr>
                <w:noProof/>
                <w:sz w:val="16"/>
                <w:szCs w:val="16"/>
                <w:lang w:val="en-IE"/>
              </w:rPr>
            </w:pPr>
          </w:p>
        </w:tc>
        <w:tc>
          <w:tcPr>
            <w:tcW w:w="1080" w:type="dxa"/>
            <w:vAlign w:val="center"/>
          </w:tcPr>
          <w:p w14:paraId="7D6D829A" w14:textId="77777777" w:rsidR="00950C34" w:rsidRPr="003A769F" w:rsidRDefault="00950C34" w:rsidP="00FA7B33">
            <w:pPr>
              <w:spacing w:before="60" w:after="60" w:line="200" w:lineRule="exact"/>
              <w:jc w:val="right"/>
              <w:rPr>
                <w:noProof/>
                <w:sz w:val="16"/>
                <w:szCs w:val="16"/>
                <w:lang w:val="en-IE"/>
              </w:rPr>
            </w:pPr>
          </w:p>
        </w:tc>
        <w:tc>
          <w:tcPr>
            <w:tcW w:w="1080" w:type="dxa"/>
            <w:vAlign w:val="center"/>
          </w:tcPr>
          <w:p w14:paraId="6D3857D0" w14:textId="77777777" w:rsidR="00950C34" w:rsidRPr="003A769F" w:rsidRDefault="00950C34" w:rsidP="00FA7B33">
            <w:pPr>
              <w:spacing w:before="60" w:after="60" w:line="200" w:lineRule="exact"/>
              <w:jc w:val="right"/>
              <w:rPr>
                <w:noProof/>
                <w:sz w:val="16"/>
                <w:szCs w:val="16"/>
                <w:lang w:val="en-IE"/>
              </w:rPr>
            </w:pPr>
          </w:p>
        </w:tc>
        <w:tc>
          <w:tcPr>
            <w:tcW w:w="1080" w:type="dxa"/>
            <w:vAlign w:val="center"/>
          </w:tcPr>
          <w:p w14:paraId="258DA8CC" w14:textId="77777777" w:rsidR="00950C34" w:rsidRPr="003A769F" w:rsidRDefault="00950C34" w:rsidP="00FA7B33">
            <w:pPr>
              <w:spacing w:before="60" w:after="60" w:line="200" w:lineRule="exact"/>
              <w:jc w:val="right"/>
              <w:rPr>
                <w:noProof/>
                <w:sz w:val="16"/>
                <w:szCs w:val="16"/>
                <w:lang w:val="en-IE"/>
              </w:rPr>
            </w:pPr>
          </w:p>
        </w:tc>
        <w:tc>
          <w:tcPr>
            <w:tcW w:w="1080" w:type="dxa"/>
            <w:vAlign w:val="center"/>
          </w:tcPr>
          <w:p w14:paraId="469152AE" w14:textId="77777777" w:rsidR="00950C34" w:rsidRPr="003A769F" w:rsidRDefault="00950C34" w:rsidP="00FA7B33">
            <w:pPr>
              <w:spacing w:before="60" w:after="60" w:line="200" w:lineRule="exact"/>
              <w:jc w:val="right"/>
              <w:rPr>
                <w:noProof/>
                <w:sz w:val="16"/>
                <w:szCs w:val="16"/>
                <w:lang w:val="en-IE"/>
              </w:rPr>
            </w:pPr>
          </w:p>
        </w:tc>
        <w:tc>
          <w:tcPr>
            <w:tcW w:w="1080" w:type="dxa"/>
            <w:vAlign w:val="center"/>
          </w:tcPr>
          <w:p w14:paraId="501DBC5F" w14:textId="77777777" w:rsidR="00950C34" w:rsidRPr="003A769F" w:rsidRDefault="00950C34" w:rsidP="00FA7B33">
            <w:pPr>
              <w:spacing w:before="60" w:after="60" w:line="200" w:lineRule="exact"/>
              <w:jc w:val="right"/>
              <w:rPr>
                <w:noProof/>
                <w:sz w:val="16"/>
                <w:szCs w:val="16"/>
                <w:lang w:val="en-IE"/>
              </w:rPr>
            </w:pPr>
          </w:p>
        </w:tc>
        <w:tc>
          <w:tcPr>
            <w:tcW w:w="1080" w:type="dxa"/>
            <w:vAlign w:val="center"/>
          </w:tcPr>
          <w:p w14:paraId="1FD05637" w14:textId="77777777" w:rsidR="00950C34" w:rsidRPr="003A769F" w:rsidRDefault="00950C34" w:rsidP="00FA7B33">
            <w:pPr>
              <w:spacing w:before="60" w:after="60" w:line="200" w:lineRule="exact"/>
              <w:jc w:val="right"/>
              <w:rPr>
                <w:b/>
                <w:noProof/>
                <w:sz w:val="16"/>
                <w:szCs w:val="16"/>
                <w:lang w:val="en-IE"/>
              </w:rPr>
            </w:pPr>
          </w:p>
        </w:tc>
        <w:tc>
          <w:tcPr>
            <w:tcW w:w="1080" w:type="dxa"/>
            <w:vAlign w:val="center"/>
          </w:tcPr>
          <w:p w14:paraId="16883D52" w14:textId="77777777" w:rsidR="00950C34" w:rsidRPr="003A769F" w:rsidRDefault="00950C34" w:rsidP="00FA7B33">
            <w:pPr>
              <w:spacing w:before="60" w:after="60" w:line="200" w:lineRule="exact"/>
              <w:jc w:val="right"/>
              <w:rPr>
                <w:b/>
                <w:noProof/>
                <w:sz w:val="16"/>
                <w:szCs w:val="16"/>
                <w:lang w:val="en-IE"/>
              </w:rPr>
            </w:pPr>
          </w:p>
        </w:tc>
      </w:tr>
      <w:tr w:rsidR="00950C34" w:rsidRPr="003A769F" w14:paraId="4C8628C5" w14:textId="77777777" w:rsidTr="00FA7B33">
        <w:trPr>
          <w:trHeight w:val="585"/>
        </w:trPr>
        <w:tc>
          <w:tcPr>
            <w:tcW w:w="1980" w:type="dxa"/>
            <w:shd w:val="clear" w:color="auto" w:fill="CCCCCC"/>
            <w:vAlign w:val="center"/>
          </w:tcPr>
          <w:p w14:paraId="73F8B682" w14:textId="77777777" w:rsidR="00950C34" w:rsidRPr="003A769F" w:rsidRDefault="00950C34" w:rsidP="00FA7B33">
            <w:pPr>
              <w:spacing w:before="60" w:after="60" w:line="200" w:lineRule="exact"/>
              <w:jc w:val="center"/>
              <w:rPr>
                <w:b/>
                <w:noProof/>
                <w:sz w:val="16"/>
                <w:szCs w:val="16"/>
                <w:lang w:val="en-IE"/>
              </w:rPr>
            </w:pPr>
            <w:r w:rsidRPr="003A769F">
              <w:rPr>
                <w:b/>
                <w:noProof/>
                <w:sz w:val="16"/>
                <w:lang w:val="en-IE"/>
              </w:rPr>
              <w:t xml:space="preserve">Subtotal </w:t>
            </w:r>
            <w:r w:rsidRPr="003A769F">
              <w:rPr>
                <w:noProof/>
                <w:sz w:val="22"/>
                <w:lang w:val="en-IE"/>
              </w:rPr>
              <w:br/>
            </w:r>
            <w:r w:rsidRPr="003A769F">
              <w:rPr>
                <w:b/>
                <w:noProof/>
                <w:sz w:val="16"/>
                <w:lang w:val="en-IE"/>
              </w:rPr>
              <w:t>outside HEADING 7</w:t>
            </w:r>
            <w:r w:rsidRPr="003A769F">
              <w:rPr>
                <w:noProof/>
                <w:sz w:val="22"/>
                <w:lang w:val="en-IE"/>
              </w:rPr>
              <w:br/>
            </w:r>
            <w:r w:rsidRPr="003A769F">
              <w:rPr>
                <w:b/>
                <w:noProof/>
                <w:sz w:val="16"/>
                <w:lang w:val="en-IE"/>
              </w:rPr>
              <w:t xml:space="preserve">of the multiannual financial framework </w:t>
            </w:r>
          </w:p>
        </w:tc>
        <w:tc>
          <w:tcPr>
            <w:tcW w:w="1080" w:type="dxa"/>
            <w:vAlign w:val="center"/>
          </w:tcPr>
          <w:p w14:paraId="277E8666" w14:textId="77777777" w:rsidR="00950C34" w:rsidRPr="003A769F" w:rsidRDefault="00950C34" w:rsidP="00FA7B33">
            <w:pPr>
              <w:spacing w:before="60" w:after="60" w:line="200" w:lineRule="exact"/>
              <w:jc w:val="right"/>
              <w:rPr>
                <w:noProof/>
                <w:sz w:val="16"/>
                <w:szCs w:val="16"/>
                <w:lang w:val="en-IE"/>
              </w:rPr>
            </w:pPr>
          </w:p>
        </w:tc>
        <w:tc>
          <w:tcPr>
            <w:tcW w:w="1080" w:type="dxa"/>
            <w:vAlign w:val="center"/>
          </w:tcPr>
          <w:p w14:paraId="3BF6C38F" w14:textId="77777777" w:rsidR="00950C34" w:rsidRPr="003A769F" w:rsidRDefault="00950C34" w:rsidP="00FA7B33">
            <w:pPr>
              <w:spacing w:before="60" w:after="60" w:line="200" w:lineRule="exact"/>
              <w:jc w:val="right"/>
              <w:rPr>
                <w:noProof/>
                <w:sz w:val="16"/>
                <w:szCs w:val="16"/>
                <w:lang w:val="en-IE"/>
              </w:rPr>
            </w:pPr>
          </w:p>
        </w:tc>
        <w:tc>
          <w:tcPr>
            <w:tcW w:w="1080" w:type="dxa"/>
            <w:vAlign w:val="center"/>
          </w:tcPr>
          <w:p w14:paraId="04B909E3" w14:textId="77777777" w:rsidR="00950C34" w:rsidRPr="003A769F" w:rsidRDefault="00950C34" w:rsidP="00FA7B33">
            <w:pPr>
              <w:spacing w:before="60" w:after="60" w:line="200" w:lineRule="exact"/>
              <w:jc w:val="right"/>
              <w:rPr>
                <w:noProof/>
                <w:sz w:val="16"/>
                <w:szCs w:val="16"/>
                <w:lang w:val="en-IE"/>
              </w:rPr>
            </w:pPr>
          </w:p>
        </w:tc>
        <w:tc>
          <w:tcPr>
            <w:tcW w:w="1080" w:type="dxa"/>
            <w:vAlign w:val="center"/>
          </w:tcPr>
          <w:p w14:paraId="49BD0123" w14:textId="77777777" w:rsidR="00950C34" w:rsidRPr="003A769F" w:rsidRDefault="00950C34" w:rsidP="00FA7B33">
            <w:pPr>
              <w:spacing w:before="60" w:after="60" w:line="200" w:lineRule="exact"/>
              <w:jc w:val="right"/>
              <w:rPr>
                <w:noProof/>
                <w:sz w:val="16"/>
                <w:szCs w:val="16"/>
                <w:lang w:val="en-IE"/>
              </w:rPr>
            </w:pPr>
          </w:p>
        </w:tc>
        <w:tc>
          <w:tcPr>
            <w:tcW w:w="1080" w:type="dxa"/>
            <w:vAlign w:val="center"/>
          </w:tcPr>
          <w:p w14:paraId="72E173FA" w14:textId="77777777" w:rsidR="00950C34" w:rsidRPr="003A769F" w:rsidRDefault="00950C34" w:rsidP="00FA7B33">
            <w:pPr>
              <w:spacing w:before="60" w:after="60" w:line="200" w:lineRule="exact"/>
              <w:jc w:val="right"/>
              <w:rPr>
                <w:noProof/>
                <w:sz w:val="16"/>
                <w:szCs w:val="16"/>
                <w:lang w:val="en-IE"/>
              </w:rPr>
            </w:pPr>
          </w:p>
        </w:tc>
        <w:tc>
          <w:tcPr>
            <w:tcW w:w="1080" w:type="dxa"/>
            <w:vAlign w:val="center"/>
          </w:tcPr>
          <w:p w14:paraId="4E2B3CF9" w14:textId="77777777" w:rsidR="00950C34" w:rsidRPr="003A769F" w:rsidRDefault="00950C34" w:rsidP="00FA7B33">
            <w:pPr>
              <w:spacing w:before="60" w:after="60" w:line="200" w:lineRule="exact"/>
              <w:jc w:val="right"/>
              <w:rPr>
                <w:noProof/>
                <w:sz w:val="16"/>
                <w:szCs w:val="16"/>
                <w:lang w:val="en-IE"/>
              </w:rPr>
            </w:pPr>
          </w:p>
        </w:tc>
        <w:tc>
          <w:tcPr>
            <w:tcW w:w="1080" w:type="dxa"/>
            <w:vAlign w:val="center"/>
          </w:tcPr>
          <w:p w14:paraId="6BCEFFBC" w14:textId="77777777" w:rsidR="00950C34" w:rsidRPr="003A769F" w:rsidRDefault="00950C34" w:rsidP="00FA7B33">
            <w:pPr>
              <w:spacing w:before="60" w:after="60" w:line="200" w:lineRule="exact"/>
              <w:jc w:val="right"/>
              <w:rPr>
                <w:b/>
                <w:noProof/>
                <w:sz w:val="16"/>
                <w:szCs w:val="16"/>
                <w:lang w:val="en-IE"/>
              </w:rPr>
            </w:pPr>
          </w:p>
        </w:tc>
        <w:tc>
          <w:tcPr>
            <w:tcW w:w="1080" w:type="dxa"/>
            <w:vAlign w:val="center"/>
          </w:tcPr>
          <w:p w14:paraId="7F35C2FC" w14:textId="77777777" w:rsidR="00950C34" w:rsidRPr="003A769F" w:rsidRDefault="00950C34" w:rsidP="00FA7B33">
            <w:pPr>
              <w:spacing w:before="60" w:after="60" w:line="200" w:lineRule="exact"/>
              <w:jc w:val="right"/>
              <w:rPr>
                <w:b/>
                <w:noProof/>
                <w:sz w:val="16"/>
                <w:szCs w:val="16"/>
                <w:lang w:val="en-IE"/>
              </w:rPr>
            </w:pPr>
          </w:p>
        </w:tc>
      </w:tr>
    </w:tbl>
    <w:p w14:paraId="51D6E4B5" w14:textId="77777777" w:rsidR="00950C34" w:rsidRPr="003A769F" w:rsidRDefault="00950C34" w:rsidP="00950C34">
      <w:pPr>
        <w:spacing w:line="200" w:lineRule="exact"/>
        <w:rPr>
          <w:noProof/>
          <w:sz w:val="16"/>
          <w:szCs w:val="16"/>
          <w:lang w:val="en-IE"/>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950C34" w14:paraId="74F64B95" w14:textId="77777777" w:rsidTr="00FA7B33">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14:paraId="3C10D71C" w14:textId="77777777" w:rsidR="00950C34" w:rsidRDefault="00950C34" w:rsidP="00FA7B33">
            <w:pPr>
              <w:spacing w:before="60" w:after="60" w:line="200" w:lineRule="exact"/>
              <w:jc w:val="center"/>
              <w:rPr>
                <w:noProof/>
                <w:sz w:val="16"/>
                <w:szCs w:val="16"/>
              </w:rPr>
            </w:pPr>
            <w:r>
              <w:rPr>
                <w:b/>
                <w:noProof/>
                <w:sz w:val="16"/>
              </w:rPr>
              <w:t>TOTAL</w:t>
            </w:r>
          </w:p>
        </w:tc>
        <w:tc>
          <w:tcPr>
            <w:tcW w:w="1080" w:type="dxa"/>
            <w:tcBorders>
              <w:top w:val="single" w:sz="12" w:space="0" w:color="auto"/>
              <w:left w:val="single" w:sz="2" w:space="0" w:color="auto"/>
              <w:bottom w:val="single" w:sz="12" w:space="0" w:color="auto"/>
              <w:right w:val="single" w:sz="2" w:space="0" w:color="auto"/>
            </w:tcBorders>
            <w:vAlign w:val="center"/>
          </w:tcPr>
          <w:p w14:paraId="6D192177" w14:textId="77777777" w:rsidR="00950C34" w:rsidRDefault="00950C34" w:rsidP="00FA7B33">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7825B954" w14:textId="77777777" w:rsidR="00950C34" w:rsidRDefault="00950C34" w:rsidP="00FA7B33">
            <w:pPr>
              <w:jc w:val="right"/>
              <w:rPr>
                <w:rFonts w:eastAsia="Times New Roman"/>
                <w:noProof/>
                <w:sz w:val="19"/>
                <w:szCs w:val="19"/>
              </w:rPr>
            </w:pPr>
            <w:r w:rsidRPr="56D6033E">
              <w:rPr>
                <w:rFonts w:eastAsia="Times New Roman"/>
                <w:noProof/>
                <w:sz w:val="19"/>
                <w:szCs w:val="19"/>
              </w:rPr>
              <w:t>3,283</w:t>
            </w:r>
          </w:p>
        </w:tc>
        <w:tc>
          <w:tcPr>
            <w:tcW w:w="1080" w:type="dxa"/>
            <w:tcBorders>
              <w:top w:val="single" w:sz="12" w:space="0" w:color="auto"/>
              <w:left w:val="single" w:sz="2" w:space="0" w:color="auto"/>
              <w:bottom w:val="single" w:sz="12" w:space="0" w:color="auto"/>
              <w:right w:val="single" w:sz="2" w:space="0" w:color="auto"/>
            </w:tcBorders>
            <w:vAlign w:val="center"/>
          </w:tcPr>
          <w:p w14:paraId="5A43C952" w14:textId="77777777" w:rsidR="00950C34" w:rsidRDefault="00950C34" w:rsidP="00FA7B33">
            <w:pPr>
              <w:jc w:val="right"/>
              <w:rPr>
                <w:rFonts w:eastAsia="Times New Roman"/>
                <w:noProof/>
                <w:sz w:val="19"/>
                <w:szCs w:val="19"/>
              </w:rPr>
            </w:pPr>
            <w:r w:rsidRPr="56D6033E">
              <w:rPr>
                <w:rFonts w:eastAsia="Times New Roman"/>
                <w:noProof/>
                <w:sz w:val="19"/>
                <w:szCs w:val="19"/>
              </w:rPr>
              <w:t>3,411</w:t>
            </w:r>
          </w:p>
        </w:tc>
        <w:tc>
          <w:tcPr>
            <w:tcW w:w="1080" w:type="dxa"/>
            <w:tcBorders>
              <w:top w:val="single" w:sz="12" w:space="0" w:color="auto"/>
              <w:left w:val="single" w:sz="2" w:space="0" w:color="auto"/>
              <w:bottom w:val="single" w:sz="12" w:space="0" w:color="auto"/>
              <w:right w:val="single" w:sz="2" w:space="0" w:color="auto"/>
            </w:tcBorders>
            <w:vAlign w:val="center"/>
          </w:tcPr>
          <w:p w14:paraId="758F27BA" w14:textId="77777777" w:rsidR="00950C34" w:rsidRDefault="00950C34" w:rsidP="00FA7B33">
            <w:pPr>
              <w:jc w:val="right"/>
              <w:rPr>
                <w:rFonts w:eastAsia="Times New Roman"/>
                <w:noProof/>
                <w:sz w:val="19"/>
                <w:szCs w:val="19"/>
              </w:rPr>
            </w:pPr>
            <w:r w:rsidRPr="56D6033E">
              <w:rPr>
                <w:rFonts w:eastAsia="Times New Roman"/>
                <w:noProof/>
                <w:sz w:val="19"/>
                <w:szCs w:val="19"/>
              </w:rPr>
              <w:t>3,411</w:t>
            </w:r>
          </w:p>
        </w:tc>
        <w:tc>
          <w:tcPr>
            <w:tcW w:w="1080" w:type="dxa"/>
            <w:tcBorders>
              <w:top w:val="single" w:sz="12" w:space="0" w:color="auto"/>
              <w:left w:val="single" w:sz="2" w:space="0" w:color="auto"/>
              <w:bottom w:val="single" w:sz="12" w:space="0" w:color="auto"/>
              <w:right w:val="single" w:sz="2" w:space="0" w:color="auto"/>
            </w:tcBorders>
            <w:vAlign w:val="center"/>
          </w:tcPr>
          <w:p w14:paraId="0FF3FBB7" w14:textId="77777777" w:rsidR="00950C34" w:rsidRDefault="00950C34" w:rsidP="00FA7B33">
            <w:pPr>
              <w:jc w:val="right"/>
              <w:rPr>
                <w:rFonts w:eastAsia="Times New Roman"/>
                <w:noProof/>
                <w:sz w:val="19"/>
                <w:szCs w:val="19"/>
              </w:rPr>
            </w:pPr>
            <w:r w:rsidRPr="56D6033E">
              <w:rPr>
                <w:rFonts w:eastAsia="Times New Roman"/>
                <w:noProof/>
                <w:sz w:val="19"/>
                <w:szCs w:val="19"/>
              </w:rPr>
              <w:t>3,283</w:t>
            </w:r>
          </w:p>
        </w:tc>
        <w:tc>
          <w:tcPr>
            <w:tcW w:w="1080" w:type="dxa"/>
            <w:tcBorders>
              <w:top w:val="single" w:sz="12" w:space="0" w:color="auto"/>
              <w:left w:val="single" w:sz="2" w:space="0" w:color="auto"/>
              <w:bottom w:val="single" w:sz="12" w:space="0" w:color="auto"/>
              <w:right w:val="single" w:sz="2" w:space="0" w:color="auto"/>
            </w:tcBorders>
            <w:vAlign w:val="center"/>
          </w:tcPr>
          <w:p w14:paraId="1E0C59C0" w14:textId="77777777" w:rsidR="00950C34" w:rsidRDefault="00950C34" w:rsidP="00FA7B33">
            <w:pPr>
              <w:jc w:val="right"/>
              <w:rPr>
                <w:rFonts w:eastAsia="Times New Roman"/>
                <w:noProof/>
                <w:sz w:val="19"/>
                <w:szCs w:val="19"/>
              </w:rPr>
            </w:pPr>
            <w:r w:rsidRPr="56D6033E">
              <w:rPr>
                <w:rFonts w:eastAsia="Times New Roman"/>
                <w:noProof/>
                <w:sz w:val="19"/>
                <w:szCs w:val="19"/>
              </w:rPr>
              <w:t>1,219</w:t>
            </w:r>
          </w:p>
        </w:tc>
        <w:tc>
          <w:tcPr>
            <w:tcW w:w="1080" w:type="dxa"/>
            <w:tcBorders>
              <w:top w:val="single" w:sz="12" w:space="0" w:color="auto"/>
              <w:left w:val="single" w:sz="2" w:space="0" w:color="auto"/>
              <w:bottom w:val="single" w:sz="12" w:space="0" w:color="auto"/>
              <w:right w:val="single" w:sz="2" w:space="0" w:color="auto"/>
            </w:tcBorders>
            <w:vAlign w:val="center"/>
          </w:tcPr>
          <w:p w14:paraId="5ADBCC0D" w14:textId="77777777" w:rsidR="00950C34" w:rsidRDefault="00950C34" w:rsidP="00FA7B33">
            <w:pPr>
              <w:jc w:val="right"/>
              <w:rPr>
                <w:rFonts w:eastAsia="Times New Roman"/>
                <w:noProof/>
                <w:sz w:val="19"/>
                <w:szCs w:val="19"/>
              </w:rPr>
            </w:pPr>
            <w:r w:rsidRPr="56D6033E">
              <w:rPr>
                <w:rFonts w:eastAsia="Times New Roman"/>
                <w:noProof/>
                <w:sz w:val="19"/>
                <w:szCs w:val="19"/>
              </w:rPr>
              <w:t>1,219</w:t>
            </w:r>
          </w:p>
        </w:tc>
        <w:tc>
          <w:tcPr>
            <w:tcW w:w="1080" w:type="dxa"/>
            <w:tcBorders>
              <w:top w:val="single" w:sz="12" w:space="0" w:color="auto"/>
              <w:left w:val="single" w:sz="2" w:space="0" w:color="auto"/>
              <w:bottom w:val="single" w:sz="12" w:space="0" w:color="auto"/>
              <w:right w:val="single" w:sz="12" w:space="0" w:color="auto"/>
            </w:tcBorders>
            <w:vAlign w:val="center"/>
          </w:tcPr>
          <w:p w14:paraId="3D2FFC7E" w14:textId="77777777" w:rsidR="00950C34" w:rsidRDefault="00950C34" w:rsidP="00FA7B33">
            <w:pPr>
              <w:jc w:val="right"/>
              <w:rPr>
                <w:rFonts w:eastAsia="Times New Roman"/>
                <w:noProof/>
                <w:sz w:val="19"/>
                <w:szCs w:val="19"/>
              </w:rPr>
            </w:pPr>
            <w:r w:rsidRPr="56D6033E">
              <w:rPr>
                <w:rFonts w:eastAsia="Times New Roman"/>
                <w:noProof/>
                <w:sz w:val="19"/>
                <w:szCs w:val="19"/>
              </w:rPr>
              <w:t>15,826</w:t>
            </w:r>
          </w:p>
        </w:tc>
      </w:tr>
    </w:tbl>
    <w:p w14:paraId="27BE7CDB" w14:textId="77777777" w:rsidR="00950C34" w:rsidRPr="003A769F" w:rsidRDefault="00950C34" w:rsidP="00950C34">
      <w:pPr>
        <w:rPr>
          <w:noProof/>
          <w:sz w:val="18"/>
          <w:lang w:val="en-IE"/>
        </w:rPr>
      </w:pPr>
      <w:r w:rsidRPr="003A769F">
        <w:rPr>
          <w:noProof/>
          <w:sz w:val="18"/>
          <w:lang w:val="en-IE"/>
        </w:rPr>
        <w:t>The appropriations required for human resources and other expenditure of an administrative nature will be met by appropriations from the DG that are already assigned to management of the action and/or have been redeployed within the DG, together if necessary with any additional allocation which may be granted to the managing DG under the annual allocation procedure and in the light of budgetary constraints.</w:t>
      </w:r>
    </w:p>
    <w:p w14:paraId="51C89C6C" w14:textId="77777777" w:rsidR="00950C34" w:rsidRPr="003A769F" w:rsidRDefault="00950C34" w:rsidP="00950C34">
      <w:pPr>
        <w:rPr>
          <w:noProof/>
          <w:sz w:val="18"/>
          <w:lang w:val="en-IE"/>
        </w:rPr>
        <w:sectPr w:rsidR="00950C34" w:rsidRPr="003A769F" w:rsidSect="00742C1D">
          <w:headerReference w:type="default" r:id="rId26"/>
          <w:footerReference w:type="default" r:id="rId27"/>
          <w:headerReference w:type="first" r:id="rId28"/>
          <w:footerReference w:type="first" r:id="rId29"/>
          <w:pgSz w:w="11907" w:h="16840"/>
          <w:pgMar w:top="1134" w:right="1418" w:bottom="1134" w:left="1418" w:header="709" w:footer="709" w:gutter="0"/>
          <w:cols w:space="708"/>
          <w:docGrid w:linePitch="360"/>
        </w:sectPr>
      </w:pPr>
    </w:p>
    <w:p w14:paraId="1825C449" w14:textId="77777777" w:rsidR="00950C34" w:rsidRDefault="00950C34" w:rsidP="00950C34">
      <w:pPr>
        <w:pStyle w:val="ManualHeading4"/>
        <w:rPr>
          <w:bCs/>
          <w:noProof/>
          <w:szCs w:val="24"/>
        </w:rPr>
      </w:pPr>
      <w:r w:rsidRPr="0021790A">
        <w:rPr>
          <w:noProof/>
        </w:rPr>
        <w:t>3.2.3.1.</w:t>
      </w:r>
      <w:r w:rsidRPr="0021790A">
        <w:rPr>
          <w:noProof/>
        </w:rPr>
        <w:tab/>
      </w:r>
      <w:r>
        <w:rPr>
          <w:noProof/>
        </w:rPr>
        <w:t xml:space="preserve">Estimated requirements of human resources </w:t>
      </w:r>
    </w:p>
    <w:p w14:paraId="7BE7F151" w14:textId="77777777" w:rsidR="00950C34" w:rsidRDefault="00950C34" w:rsidP="006271C1">
      <w:pPr>
        <w:pStyle w:val="ListDash1"/>
        <w:rPr>
          <w:noProof/>
        </w:rPr>
      </w:pPr>
      <w:r w:rsidRPr="15113AC1">
        <w:rPr>
          <w:rFonts w:ascii="Wingdings" w:eastAsia="Wingdings" w:hAnsi="Wingdings" w:cs="Wingdings"/>
          <w:noProof/>
        </w:rPr>
        <w:t></w:t>
      </w:r>
      <w:r>
        <w:rPr>
          <w:noProof/>
        </w:rPr>
        <w:tab/>
      </w:r>
      <w:r w:rsidRPr="15113AC1">
        <w:rPr>
          <w:noProof/>
        </w:rPr>
        <w:t xml:space="preserve">The proposal/initiative does not require the use of human resources. </w:t>
      </w:r>
    </w:p>
    <w:p w14:paraId="0C21B79A" w14:textId="77777777" w:rsidR="00950C34" w:rsidRDefault="00950C34" w:rsidP="006271C1">
      <w:pPr>
        <w:pStyle w:val="ListDash1"/>
        <w:rPr>
          <w:noProof/>
        </w:rPr>
      </w:pPr>
      <w:r w:rsidRPr="15113AC1">
        <w:rPr>
          <w:rFonts w:ascii="Wingdings" w:eastAsia="Wingdings" w:hAnsi="Wingdings" w:cs="Wingdings"/>
          <w:noProof/>
        </w:rPr>
        <w:t></w:t>
      </w:r>
      <w:r>
        <w:rPr>
          <w:noProof/>
        </w:rPr>
        <w:tab/>
      </w:r>
      <w:r w:rsidRPr="15113AC1">
        <w:rPr>
          <w:noProof/>
        </w:rPr>
        <w:t>The proposal/initiative requires the use of human resources, as explained below:</w:t>
      </w:r>
    </w:p>
    <w:p w14:paraId="048D3623" w14:textId="77777777" w:rsidR="00950C34" w:rsidRPr="003A769F" w:rsidRDefault="00950C34" w:rsidP="00950C34">
      <w:pPr>
        <w:spacing w:after="60"/>
        <w:jc w:val="right"/>
        <w:rPr>
          <w:i/>
          <w:noProof/>
          <w:sz w:val="20"/>
          <w:lang w:val="en-IE"/>
        </w:rPr>
      </w:pPr>
      <w:r w:rsidRPr="003A769F">
        <w:rPr>
          <w:i/>
          <w:noProof/>
          <w:sz w:val="20"/>
          <w:lang w:val="en-IE"/>
        </w:rPr>
        <w:t>Estimate to be expressed in full time equivalent units</w:t>
      </w:r>
    </w:p>
    <w:tbl>
      <w:tblPr>
        <w:tblW w:w="988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
        <w:gridCol w:w="2376"/>
        <w:gridCol w:w="2378"/>
        <w:gridCol w:w="731"/>
        <w:gridCol w:w="731"/>
        <w:gridCol w:w="731"/>
        <w:gridCol w:w="731"/>
        <w:gridCol w:w="731"/>
        <w:gridCol w:w="731"/>
        <w:gridCol w:w="731"/>
      </w:tblGrid>
      <w:tr w:rsidR="00950C34" w:rsidRPr="003A769F" w14:paraId="0DB6F8F7" w14:textId="77777777" w:rsidTr="00FA7B33">
        <w:trPr>
          <w:gridBefore w:val="1"/>
          <w:wBefore w:w="15" w:type="dxa"/>
          <w:trHeight w:val="289"/>
          <w:jc w:val="center"/>
        </w:trPr>
        <w:tc>
          <w:tcPr>
            <w:tcW w:w="4754" w:type="dxa"/>
            <w:gridSpan w:val="2"/>
            <w:shd w:val="clear" w:color="auto" w:fill="auto"/>
          </w:tcPr>
          <w:p w14:paraId="3862901E" w14:textId="77777777" w:rsidR="00950C34" w:rsidRDefault="00950C34" w:rsidP="00FA7B33">
            <w:pPr>
              <w:pStyle w:val="Text1"/>
              <w:spacing w:before="40" w:after="40"/>
              <w:ind w:left="0"/>
              <w:jc w:val="center"/>
              <w:rPr>
                <w:i/>
                <w:noProof/>
                <w:sz w:val="16"/>
                <w:szCs w:val="16"/>
              </w:rPr>
            </w:pPr>
          </w:p>
        </w:tc>
        <w:tc>
          <w:tcPr>
            <w:tcW w:w="731" w:type="dxa"/>
            <w:shd w:val="clear" w:color="auto" w:fill="auto"/>
            <w:vAlign w:val="center"/>
          </w:tcPr>
          <w:p w14:paraId="383F999A" w14:textId="77777777" w:rsidR="00950C34" w:rsidRDefault="00950C34" w:rsidP="00FA7B33">
            <w:pPr>
              <w:spacing w:before="20" w:after="20"/>
              <w:jc w:val="center"/>
              <w:rPr>
                <w:noProof/>
                <w:sz w:val="16"/>
                <w:szCs w:val="16"/>
              </w:rPr>
            </w:pPr>
            <w:r>
              <w:rPr>
                <w:noProof/>
                <w:sz w:val="16"/>
              </w:rPr>
              <w:t>2023</w:t>
            </w:r>
          </w:p>
        </w:tc>
        <w:tc>
          <w:tcPr>
            <w:tcW w:w="731" w:type="dxa"/>
            <w:shd w:val="clear" w:color="auto" w:fill="auto"/>
            <w:vAlign w:val="center"/>
          </w:tcPr>
          <w:p w14:paraId="7AF48674" w14:textId="77777777" w:rsidR="00950C34" w:rsidRDefault="00950C34" w:rsidP="00FA7B33">
            <w:pPr>
              <w:spacing w:before="20" w:after="20"/>
              <w:jc w:val="center"/>
              <w:rPr>
                <w:noProof/>
                <w:sz w:val="16"/>
                <w:szCs w:val="16"/>
              </w:rPr>
            </w:pPr>
            <w:r w:rsidRPr="00EA3C12">
              <w:rPr>
                <w:noProof/>
                <w:sz w:val="16"/>
              </w:rPr>
              <w:t>2024</w:t>
            </w:r>
          </w:p>
        </w:tc>
        <w:tc>
          <w:tcPr>
            <w:tcW w:w="731" w:type="dxa"/>
            <w:shd w:val="clear" w:color="auto" w:fill="auto"/>
            <w:vAlign w:val="center"/>
          </w:tcPr>
          <w:p w14:paraId="11D7045C" w14:textId="77777777" w:rsidR="00950C34" w:rsidRDefault="00950C34" w:rsidP="00FA7B33">
            <w:pPr>
              <w:spacing w:before="20" w:after="20"/>
              <w:jc w:val="center"/>
              <w:rPr>
                <w:noProof/>
                <w:sz w:val="16"/>
                <w:szCs w:val="16"/>
              </w:rPr>
            </w:pPr>
            <w:r w:rsidRPr="00EA3C12">
              <w:rPr>
                <w:noProof/>
                <w:sz w:val="16"/>
                <w:szCs w:val="16"/>
              </w:rPr>
              <w:t>2025</w:t>
            </w:r>
          </w:p>
        </w:tc>
        <w:tc>
          <w:tcPr>
            <w:tcW w:w="731" w:type="dxa"/>
            <w:shd w:val="clear" w:color="auto" w:fill="auto"/>
            <w:vAlign w:val="center"/>
          </w:tcPr>
          <w:p w14:paraId="00CEE669" w14:textId="77777777" w:rsidR="00950C34" w:rsidRDefault="00950C34" w:rsidP="00FA7B33">
            <w:pPr>
              <w:spacing w:before="20" w:after="20"/>
              <w:jc w:val="center"/>
              <w:rPr>
                <w:noProof/>
                <w:sz w:val="16"/>
                <w:szCs w:val="16"/>
              </w:rPr>
            </w:pPr>
            <w:r w:rsidRPr="00EA3C12">
              <w:rPr>
                <w:noProof/>
                <w:sz w:val="16"/>
                <w:szCs w:val="16"/>
              </w:rPr>
              <w:t>2026</w:t>
            </w:r>
          </w:p>
        </w:tc>
        <w:tc>
          <w:tcPr>
            <w:tcW w:w="731" w:type="dxa"/>
            <w:shd w:val="clear" w:color="auto" w:fill="auto"/>
            <w:vAlign w:val="center"/>
          </w:tcPr>
          <w:p w14:paraId="1C6A0B56" w14:textId="77777777" w:rsidR="00950C34" w:rsidRPr="0083514C" w:rsidDel="00EE09E9" w:rsidRDefault="00950C34" w:rsidP="00FA7B33">
            <w:pPr>
              <w:jc w:val="center"/>
              <w:rPr>
                <w:noProof/>
                <w:sz w:val="16"/>
                <w:lang w:val="en-IE"/>
              </w:rPr>
            </w:pPr>
            <w:r w:rsidRPr="0083514C">
              <w:rPr>
                <w:noProof/>
                <w:sz w:val="16"/>
                <w:lang w:val="en-IE"/>
              </w:rPr>
              <w:t>2027</w:t>
            </w:r>
          </w:p>
        </w:tc>
        <w:tc>
          <w:tcPr>
            <w:tcW w:w="731" w:type="dxa"/>
            <w:shd w:val="clear" w:color="auto" w:fill="auto"/>
            <w:vAlign w:val="center"/>
          </w:tcPr>
          <w:p w14:paraId="2B4196C5" w14:textId="77777777" w:rsidR="00950C34" w:rsidRPr="00277A60" w:rsidRDefault="00950C34" w:rsidP="00FA7B33">
            <w:pPr>
              <w:jc w:val="center"/>
              <w:rPr>
                <w:noProof/>
                <w:sz w:val="16"/>
                <w:szCs w:val="16"/>
                <w:lang w:val="en-IE"/>
              </w:rPr>
            </w:pPr>
            <w:r w:rsidRPr="00EA3C12">
              <w:rPr>
                <w:noProof/>
                <w:sz w:val="16"/>
                <w:szCs w:val="16"/>
                <w:lang w:val="en-IE"/>
              </w:rPr>
              <w:t>2028</w:t>
            </w:r>
          </w:p>
        </w:tc>
        <w:tc>
          <w:tcPr>
            <w:tcW w:w="731" w:type="dxa"/>
            <w:shd w:val="clear" w:color="auto" w:fill="auto"/>
            <w:vAlign w:val="center"/>
          </w:tcPr>
          <w:p w14:paraId="0E41CF36" w14:textId="77777777" w:rsidR="00950C34" w:rsidRPr="00EA3C12" w:rsidRDefault="00950C34" w:rsidP="00FA7B33">
            <w:pPr>
              <w:jc w:val="center"/>
              <w:rPr>
                <w:noProof/>
                <w:sz w:val="16"/>
                <w:szCs w:val="16"/>
                <w:lang w:val="en-IE"/>
              </w:rPr>
            </w:pPr>
            <w:r w:rsidRPr="00EA3C12">
              <w:rPr>
                <w:noProof/>
                <w:sz w:val="16"/>
                <w:szCs w:val="16"/>
                <w:lang w:val="en-IE"/>
              </w:rPr>
              <w:t>2029</w:t>
            </w:r>
          </w:p>
        </w:tc>
      </w:tr>
      <w:tr w:rsidR="00950C34" w:rsidRPr="003A769F" w14:paraId="3E2A7035" w14:textId="77777777" w:rsidTr="00FA7B33">
        <w:trPr>
          <w:gridBefore w:val="1"/>
          <w:wBefore w:w="15" w:type="dxa"/>
          <w:trHeight w:val="289"/>
          <w:jc w:val="center"/>
        </w:trPr>
        <w:tc>
          <w:tcPr>
            <w:tcW w:w="9871" w:type="dxa"/>
            <w:gridSpan w:val="9"/>
            <w:shd w:val="clear" w:color="auto" w:fill="auto"/>
          </w:tcPr>
          <w:p w14:paraId="3F79C940" w14:textId="77777777" w:rsidR="00950C34" w:rsidRPr="003A769F" w:rsidRDefault="00950C34" w:rsidP="00FA7B33">
            <w:pPr>
              <w:jc w:val="left"/>
              <w:rPr>
                <w:noProof/>
                <w:sz w:val="16"/>
                <w:szCs w:val="16"/>
                <w:lang w:val="en-IE"/>
              </w:rPr>
            </w:pPr>
            <w:r>
              <w:rPr>
                <w:rFonts w:ascii="Wingdings" w:eastAsia="Wingdings" w:hAnsi="Wingdings" w:cs="Wingdings"/>
                <w:b/>
                <w:noProof/>
                <w:sz w:val="16"/>
              </w:rPr>
              <w:t>□</w:t>
            </w:r>
            <w:r w:rsidRPr="003A769F">
              <w:rPr>
                <w:b/>
                <w:noProof/>
                <w:sz w:val="16"/>
                <w:lang w:val="en-IE"/>
              </w:rPr>
              <w:t xml:space="preserve"> Establishment plan posts (officials and temporary staff)</w:t>
            </w:r>
          </w:p>
        </w:tc>
      </w:tr>
      <w:tr w:rsidR="00950C34" w:rsidRPr="003A769F" w14:paraId="271E796C" w14:textId="77777777" w:rsidTr="00FA7B33">
        <w:trPr>
          <w:gridBefore w:val="1"/>
          <w:wBefore w:w="15" w:type="dxa"/>
          <w:trHeight w:val="289"/>
          <w:jc w:val="center"/>
        </w:trPr>
        <w:tc>
          <w:tcPr>
            <w:tcW w:w="4754" w:type="dxa"/>
            <w:gridSpan w:val="2"/>
            <w:shd w:val="clear" w:color="auto" w:fill="auto"/>
            <w:vAlign w:val="center"/>
          </w:tcPr>
          <w:p w14:paraId="7D1F7C37" w14:textId="77777777" w:rsidR="00950C34" w:rsidRPr="00DB369B" w:rsidRDefault="00950C34" w:rsidP="00FA7B33">
            <w:pPr>
              <w:pStyle w:val="Text1"/>
              <w:spacing w:beforeLines="20" w:before="48" w:afterLines="20" w:after="48"/>
              <w:ind w:left="134"/>
              <w:jc w:val="left"/>
              <w:rPr>
                <w:b/>
                <w:noProof/>
                <w:sz w:val="16"/>
                <w:szCs w:val="16"/>
              </w:rPr>
            </w:pPr>
            <w:r w:rsidRPr="00401F20">
              <w:rPr>
                <w:noProof/>
                <w:sz w:val="16"/>
              </w:rPr>
              <w:t>20 01 02 01</w:t>
            </w:r>
            <w:r w:rsidRPr="00DB369B">
              <w:rPr>
                <w:rFonts w:ascii="Arial Narrow" w:hAnsi="Arial Narrow"/>
                <w:noProof/>
                <w:color w:val="000000"/>
                <w:sz w:val="20"/>
                <w:szCs w:val="20"/>
              </w:rPr>
              <w:t xml:space="preserve"> </w:t>
            </w:r>
            <w:r w:rsidRPr="00DB369B">
              <w:rPr>
                <w:noProof/>
                <w:sz w:val="16"/>
              </w:rPr>
              <w:t>(Headquarters and Commission’s Representation Offices)</w:t>
            </w:r>
          </w:p>
        </w:tc>
        <w:tc>
          <w:tcPr>
            <w:tcW w:w="731" w:type="dxa"/>
            <w:shd w:val="clear" w:color="auto" w:fill="auto"/>
            <w:vAlign w:val="center"/>
          </w:tcPr>
          <w:p w14:paraId="3BED3774" w14:textId="77777777" w:rsidR="00950C34" w:rsidRPr="003A769F" w:rsidRDefault="00950C34" w:rsidP="00FA7B33">
            <w:pPr>
              <w:spacing w:beforeLines="20" w:before="48" w:afterLines="20" w:after="48"/>
              <w:jc w:val="center"/>
              <w:rPr>
                <w:noProof/>
                <w:sz w:val="16"/>
                <w:szCs w:val="16"/>
                <w:lang w:val="en-IE"/>
              </w:rPr>
            </w:pPr>
          </w:p>
        </w:tc>
        <w:tc>
          <w:tcPr>
            <w:tcW w:w="731" w:type="dxa"/>
            <w:shd w:val="clear" w:color="auto" w:fill="auto"/>
            <w:vAlign w:val="center"/>
          </w:tcPr>
          <w:p w14:paraId="16751F28" w14:textId="77777777" w:rsidR="00950C34" w:rsidRPr="003A769F" w:rsidRDefault="00950C34" w:rsidP="00FA7B33">
            <w:pPr>
              <w:spacing w:beforeLines="20" w:before="48" w:afterLines="20" w:after="48"/>
              <w:jc w:val="center"/>
              <w:rPr>
                <w:noProof/>
                <w:sz w:val="16"/>
                <w:szCs w:val="16"/>
                <w:lang w:val="en-IE"/>
              </w:rPr>
            </w:pPr>
            <w:r w:rsidRPr="0B07273F">
              <w:rPr>
                <w:noProof/>
                <w:sz w:val="16"/>
                <w:szCs w:val="16"/>
                <w:lang w:val="en-IE"/>
              </w:rPr>
              <w:t>15</w:t>
            </w:r>
          </w:p>
        </w:tc>
        <w:tc>
          <w:tcPr>
            <w:tcW w:w="731" w:type="dxa"/>
            <w:shd w:val="clear" w:color="auto" w:fill="auto"/>
            <w:vAlign w:val="center"/>
          </w:tcPr>
          <w:p w14:paraId="2638F5FC" w14:textId="77777777" w:rsidR="00950C34" w:rsidRPr="003A769F" w:rsidRDefault="00950C34" w:rsidP="00FA7B33">
            <w:pPr>
              <w:spacing w:beforeLines="20" w:before="48" w:afterLines="20" w:after="48"/>
              <w:jc w:val="center"/>
              <w:rPr>
                <w:noProof/>
                <w:sz w:val="16"/>
                <w:szCs w:val="16"/>
                <w:lang w:val="en-IE"/>
              </w:rPr>
            </w:pPr>
            <w:r>
              <w:rPr>
                <w:noProof/>
                <w:sz w:val="16"/>
                <w:szCs w:val="16"/>
                <w:lang w:val="en-IE"/>
              </w:rPr>
              <w:t>15</w:t>
            </w:r>
          </w:p>
        </w:tc>
        <w:tc>
          <w:tcPr>
            <w:tcW w:w="731" w:type="dxa"/>
            <w:shd w:val="clear" w:color="auto" w:fill="auto"/>
            <w:vAlign w:val="center"/>
          </w:tcPr>
          <w:p w14:paraId="72417DB7" w14:textId="77777777" w:rsidR="00950C34" w:rsidRPr="003A769F" w:rsidRDefault="00950C34" w:rsidP="00FA7B33">
            <w:pPr>
              <w:spacing w:beforeLines="20" w:before="48" w:afterLines="20" w:after="48"/>
              <w:jc w:val="center"/>
              <w:rPr>
                <w:noProof/>
                <w:sz w:val="16"/>
                <w:szCs w:val="16"/>
                <w:lang w:val="en-IE"/>
              </w:rPr>
            </w:pPr>
            <w:r>
              <w:rPr>
                <w:noProof/>
                <w:sz w:val="16"/>
                <w:szCs w:val="16"/>
                <w:lang w:val="en-IE"/>
              </w:rPr>
              <w:t>15</w:t>
            </w:r>
          </w:p>
        </w:tc>
        <w:tc>
          <w:tcPr>
            <w:tcW w:w="731" w:type="dxa"/>
            <w:shd w:val="clear" w:color="auto" w:fill="auto"/>
            <w:vAlign w:val="center"/>
          </w:tcPr>
          <w:p w14:paraId="5580C606" w14:textId="77777777" w:rsidR="00950C34" w:rsidRPr="003A769F" w:rsidRDefault="00950C34" w:rsidP="00FA7B33">
            <w:pPr>
              <w:spacing w:beforeLines="20" w:before="48" w:afterLines="20" w:after="48"/>
              <w:jc w:val="center"/>
              <w:rPr>
                <w:noProof/>
                <w:sz w:val="16"/>
                <w:szCs w:val="16"/>
                <w:lang w:val="en-IE"/>
              </w:rPr>
            </w:pPr>
            <w:r w:rsidRPr="0B07273F">
              <w:rPr>
                <w:noProof/>
                <w:sz w:val="16"/>
                <w:szCs w:val="16"/>
                <w:lang w:val="en-IE"/>
              </w:rPr>
              <w:t>15</w:t>
            </w:r>
          </w:p>
        </w:tc>
        <w:tc>
          <w:tcPr>
            <w:tcW w:w="731" w:type="dxa"/>
            <w:shd w:val="clear" w:color="auto" w:fill="auto"/>
            <w:vAlign w:val="center"/>
          </w:tcPr>
          <w:p w14:paraId="4839A76D" w14:textId="77777777" w:rsidR="00950C34" w:rsidRPr="003A769F" w:rsidRDefault="00950C34" w:rsidP="00FA7B33">
            <w:pPr>
              <w:spacing w:beforeLines="20" w:before="48" w:afterLines="20" w:after="48"/>
              <w:jc w:val="center"/>
              <w:rPr>
                <w:noProof/>
                <w:sz w:val="16"/>
                <w:szCs w:val="16"/>
                <w:lang w:val="en-IE"/>
              </w:rPr>
            </w:pPr>
            <w:r>
              <w:rPr>
                <w:noProof/>
                <w:sz w:val="16"/>
                <w:szCs w:val="16"/>
                <w:lang w:val="en-IE"/>
              </w:rPr>
              <w:t>5</w:t>
            </w:r>
          </w:p>
        </w:tc>
        <w:tc>
          <w:tcPr>
            <w:tcW w:w="731" w:type="dxa"/>
            <w:shd w:val="clear" w:color="auto" w:fill="auto"/>
            <w:vAlign w:val="center"/>
          </w:tcPr>
          <w:p w14:paraId="66D8D2DE" w14:textId="77777777" w:rsidR="00950C34" w:rsidRPr="003A769F" w:rsidRDefault="00950C34" w:rsidP="00FA7B33">
            <w:pPr>
              <w:spacing w:beforeLines="20" w:before="48" w:afterLines="20" w:after="48"/>
              <w:jc w:val="center"/>
              <w:rPr>
                <w:noProof/>
                <w:sz w:val="16"/>
                <w:szCs w:val="16"/>
                <w:lang w:val="en-IE"/>
              </w:rPr>
            </w:pPr>
            <w:r>
              <w:rPr>
                <w:noProof/>
                <w:sz w:val="16"/>
                <w:szCs w:val="16"/>
                <w:lang w:val="en-IE"/>
              </w:rPr>
              <w:t>5</w:t>
            </w:r>
          </w:p>
        </w:tc>
      </w:tr>
      <w:tr w:rsidR="00950C34" w14:paraId="2E2B153B" w14:textId="77777777" w:rsidTr="00FA7B33">
        <w:trPr>
          <w:gridBefore w:val="1"/>
          <w:wBefore w:w="15" w:type="dxa"/>
          <w:trHeight w:val="289"/>
          <w:jc w:val="center"/>
        </w:trPr>
        <w:tc>
          <w:tcPr>
            <w:tcW w:w="4754" w:type="dxa"/>
            <w:gridSpan w:val="2"/>
            <w:shd w:val="clear" w:color="auto" w:fill="auto"/>
            <w:vAlign w:val="center"/>
          </w:tcPr>
          <w:p w14:paraId="5724F7DA" w14:textId="77777777" w:rsidR="00950C34" w:rsidRPr="00DB369B" w:rsidRDefault="00950C34" w:rsidP="00FA7B33">
            <w:pPr>
              <w:pStyle w:val="Text1"/>
              <w:spacing w:beforeLines="20" w:before="48" w:afterLines="20" w:after="48"/>
              <w:ind w:left="134"/>
              <w:jc w:val="left"/>
              <w:rPr>
                <w:noProof/>
                <w:sz w:val="16"/>
              </w:rPr>
            </w:pPr>
            <w:r w:rsidRPr="00401F20">
              <w:rPr>
                <w:noProof/>
                <w:sz w:val="16"/>
              </w:rPr>
              <w:t xml:space="preserve">20 01 02 03 </w:t>
            </w:r>
            <w:r w:rsidRPr="00DB369B">
              <w:rPr>
                <w:noProof/>
                <w:sz w:val="16"/>
              </w:rPr>
              <w:t>(Delegations)</w:t>
            </w:r>
          </w:p>
        </w:tc>
        <w:tc>
          <w:tcPr>
            <w:tcW w:w="731" w:type="dxa"/>
            <w:shd w:val="clear" w:color="auto" w:fill="auto"/>
            <w:vAlign w:val="center"/>
          </w:tcPr>
          <w:p w14:paraId="40455B4F" w14:textId="77777777" w:rsidR="00950C34" w:rsidRDefault="00950C34" w:rsidP="00FA7B33">
            <w:pPr>
              <w:spacing w:beforeLines="20" w:before="48" w:afterLines="20" w:after="48"/>
              <w:jc w:val="center"/>
              <w:rPr>
                <w:noProof/>
                <w:sz w:val="16"/>
                <w:szCs w:val="16"/>
              </w:rPr>
            </w:pPr>
          </w:p>
        </w:tc>
        <w:tc>
          <w:tcPr>
            <w:tcW w:w="731" w:type="dxa"/>
            <w:shd w:val="clear" w:color="auto" w:fill="auto"/>
            <w:vAlign w:val="center"/>
          </w:tcPr>
          <w:p w14:paraId="3FCCBBDE" w14:textId="77777777" w:rsidR="00950C34" w:rsidRDefault="00950C34" w:rsidP="00FA7B33">
            <w:pPr>
              <w:spacing w:beforeLines="20" w:before="48" w:afterLines="20" w:after="48"/>
              <w:jc w:val="center"/>
              <w:rPr>
                <w:noProof/>
                <w:sz w:val="16"/>
                <w:szCs w:val="16"/>
              </w:rPr>
            </w:pPr>
          </w:p>
        </w:tc>
        <w:tc>
          <w:tcPr>
            <w:tcW w:w="731" w:type="dxa"/>
            <w:shd w:val="clear" w:color="auto" w:fill="auto"/>
            <w:vAlign w:val="center"/>
          </w:tcPr>
          <w:p w14:paraId="2C500925" w14:textId="77777777" w:rsidR="00950C34" w:rsidRDefault="00950C34" w:rsidP="00FA7B33">
            <w:pPr>
              <w:spacing w:beforeLines="20" w:before="48" w:afterLines="20" w:after="48"/>
              <w:jc w:val="center"/>
              <w:rPr>
                <w:noProof/>
                <w:sz w:val="16"/>
                <w:szCs w:val="16"/>
              </w:rPr>
            </w:pPr>
          </w:p>
        </w:tc>
        <w:tc>
          <w:tcPr>
            <w:tcW w:w="731" w:type="dxa"/>
            <w:shd w:val="clear" w:color="auto" w:fill="auto"/>
            <w:vAlign w:val="center"/>
          </w:tcPr>
          <w:p w14:paraId="157B8D96" w14:textId="77777777" w:rsidR="00950C34" w:rsidRDefault="00950C34" w:rsidP="00FA7B33">
            <w:pPr>
              <w:spacing w:beforeLines="20" w:before="48" w:afterLines="20" w:after="48"/>
              <w:jc w:val="center"/>
              <w:rPr>
                <w:noProof/>
                <w:sz w:val="16"/>
                <w:szCs w:val="16"/>
              </w:rPr>
            </w:pPr>
          </w:p>
        </w:tc>
        <w:tc>
          <w:tcPr>
            <w:tcW w:w="731" w:type="dxa"/>
            <w:shd w:val="clear" w:color="auto" w:fill="auto"/>
            <w:vAlign w:val="center"/>
          </w:tcPr>
          <w:p w14:paraId="3FF36F5C" w14:textId="77777777" w:rsidR="00950C34" w:rsidRDefault="00950C34" w:rsidP="00FA7B33">
            <w:pPr>
              <w:spacing w:beforeLines="20" w:before="48" w:afterLines="20" w:after="48"/>
              <w:jc w:val="center"/>
              <w:rPr>
                <w:noProof/>
                <w:sz w:val="16"/>
                <w:szCs w:val="16"/>
              </w:rPr>
            </w:pPr>
          </w:p>
        </w:tc>
        <w:tc>
          <w:tcPr>
            <w:tcW w:w="731" w:type="dxa"/>
            <w:shd w:val="clear" w:color="auto" w:fill="auto"/>
            <w:vAlign w:val="center"/>
          </w:tcPr>
          <w:p w14:paraId="7903FB47" w14:textId="77777777" w:rsidR="00950C34" w:rsidRDefault="00950C34" w:rsidP="00FA7B33">
            <w:pPr>
              <w:spacing w:beforeLines="20" w:before="48" w:afterLines="20" w:after="48"/>
              <w:jc w:val="center"/>
              <w:rPr>
                <w:noProof/>
                <w:sz w:val="16"/>
                <w:szCs w:val="16"/>
              </w:rPr>
            </w:pPr>
          </w:p>
        </w:tc>
        <w:tc>
          <w:tcPr>
            <w:tcW w:w="731" w:type="dxa"/>
            <w:shd w:val="clear" w:color="auto" w:fill="auto"/>
            <w:vAlign w:val="center"/>
          </w:tcPr>
          <w:p w14:paraId="28CBD159" w14:textId="77777777" w:rsidR="00950C34" w:rsidRDefault="00950C34" w:rsidP="00FA7B33">
            <w:pPr>
              <w:spacing w:beforeLines="20" w:before="48" w:afterLines="20" w:after="48"/>
              <w:jc w:val="center"/>
              <w:rPr>
                <w:noProof/>
                <w:sz w:val="16"/>
                <w:szCs w:val="16"/>
              </w:rPr>
            </w:pPr>
          </w:p>
        </w:tc>
      </w:tr>
      <w:tr w:rsidR="00950C34" w14:paraId="6764C895" w14:textId="77777777" w:rsidTr="00FA7B33">
        <w:trPr>
          <w:gridBefore w:val="1"/>
          <w:wBefore w:w="15" w:type="dxa"/>
          <w:trHeight w:val="289"/>
          <w:jc w:val="center"/>
        </w:trPr>
        <w:tc>
          <w:tcPr>
            <w:tcW w:w="4754" w:type="dxa"/>
            <w:gridSpan w:val="2"/>
            <w:shd w:val="clear" w:color="auto" w:fill="auto"/>
            <w:vAlign w:val="center"/>
          </w:tcPr>
          <w:p w14:paraId="45DA405D" w14:textId="77777777" w:rsidR="00950C34" w:rsidRPr="00DB369B" w:rsidRDefault="00950C34" w:rsidP="00FA7B33">
            <w:pPr>
              <w:pStyle w:val="Text1"/>
              <w:spacing w:beforeLines="20" w:before="48" w:afterLines="20" w:after="48"/>
              <w:ind w:left="134"/>
              <w:jc w:val="left"/>
              <w:rPr>
                <w:noProof/>
                <w:sz w:val="16"/>
                <w:szCs w:val="16"/>
              </w:rPr>
            </w:pPr>
            <w:r w:rsidRPr="00401F20">
              <w:rPr>
                <w:noProof/>
                <w:sz w:val="16"/>
              </w:rPr>
              <w:t>01 01 01 01</w:t>
            </w:r>
            <w:r w:rsidRPr="00DB369B">
              <w:rPr>
                <w:rFonts w:ascii="Arial Narrow" w:hAnsi="Arial Narrow"/>
                <w:noProof/>
                <w:color w:val="000000"/>
                <w:sz w:val="20"/>
                <w:szCs w:val="20"/>
              </w:rPr>
              <w:t xml:space="preserve"> </w:t>
            </w:r>
            <w:r w:rsidRPr="00DB369B">
              <w:rPr>
                <w:noProof/>
                <w:sz w:val="16"/>
              </w:rPr>
              <w:t xml:space="preserve"> (Indirect research)</w:t>
            </w:r>
          </w:p>
        </w:tc>
        <w:tc>
          <w:tcPr>
            <w:tcW w:w="731" w:type="dxa"/>
            <w:shd w:val="clear" w:color="auto" w:fill="auto"/>
            <w:vAlign w:val="center"/>
          </w:tcPr>
          <w:p w14:paraId="60E41802" w14:textId="77777777" w:rsidR="00950C34" w:rsidRDefault="00950C34" w:rsidP="00FA7B33">
            <w:pPr>
              <w:spacing w:beforeLines="20" w:before="48" w:afterLines="20" w:after="48"/>
              <w:jc w:val="center"/>
              <w:rPr>
                <w:noProof/>
                <w:sz w:val="16"/>
                <w:szCs w:val="16"/>
              </w:rPr>
            </w:pPr>
          </w:p>
        </w:tc>
        <w:tc>
          <w:tcPr>
            <w:tcW w:w="731" w:type="dxa"/>
            <w:shd w:val="clear" w:color="auto" w:fill="auto"/>
            <w:vAlign w:val="center"/>
          </w:tcPr>
          <w:p w14:paraId="2979F7F8" w14:textId="77777777" w:rsidR="00950C34" w:rsidRDefault="00950C34" w:rsidP="00FA7B33">
            <w:pPr>
              <w:spacing w:beforeLines="20" w:before="48" w:afterLines="20" w:after="48"/>
              <w:jc w:val="center"/>
              <w:rPr>
                <w:noProof/>
                <w:sz w:val="16"/>
                <w:szCs w:val="16"/>
              </w:rPr>
            </w:pPr>
          </w:p>
        </w:tc>
        <w:tc>
          <w:tcPr>
            <w:tcW w:w="731" w:type="dxa"/>
            <w:shd w:val="clear" w:color="auto" w:fill="auto"/>
            <w:vAlign w:val="center"/>
          </w:tcPr>
          <w:p w14:paraId="472AA682" w14:textId="77777777" w:rsidR="00950C34" w:rsidRDefault="00950C34" w:rsidP="00FA7B33">
            <w:pPr>
              <w:spacing w:beforeLines="20" w:before="48" w:afterLines="20" w:after="48"/>
              <w:jc w:val="center"/>
              <w:rPr>
                <w:noProof/>
                <w:sz w:val="16"/>
                <w:szCs w:val="16"/>
              </w:rPr>
            </w:pPr>
          </w:p>
        </w:tc>
        <w:tc>
          <w:tcPr>
            <w:tcW w:w="731" w:type="dxa"/>
            <w:shd w:val="clear" w:color="auto" w:fill="auto"/>
            <w:vAlign w:val="center"/>
          </w:tcPr>
          <w:p w14:paraId="4A4292A8" w14:textId="77777777" w:rsidR="00950C34" w:rsidRDefault="00950C34" w:rsidP="00FA7B33">
            <w:pPr>
              <w:spacing w:beforeLines="20" w:before="48" w:afterLines="20" w:after="48"/>
              <w:jc w:val="center"/>
              <w:rPr>
                <w:noProof/>
                <w:sz w:val="16"/>
                <w:szCs w:val="16"/>
              </w:rPr>
            </w:pPr>
          </w:p>
        </w:tc>
        <w:tc>
          <w:tcPr>
            <w:tcW w:w="731" w:type="dxa"/>
            <w:shd w:val="clear" w:color="auto" w:fill="auto"/>
            <w:vAlign w:val="center"/>
          </w:tcPr>
          <w:p w14:paraId="7701112B" w14:textId="77777777" w:rsidR="00950C34" w:rsidRDefault="00950C34" w:rsidP="00FA7B33">
            <w:pPr>
              <w:spacing w:beforeLines="20" w:before="48" w:afterLines="20" w:after="48"/>
              <w:jc w:val="center"/>
              <w:rPr>
                <w:noProof/>
                <w:sz w:val="16"/>
                <w:szCs w:val="16"/>
              </w:rPr>
            </w:pPr>
          </w:p>
        </w:tc>
        <w:tc>
          <w:tcPr>
            <w:tcW w:w="731" w:type="dxa"/>
            <w:shd w:val="clear" w:color="auto" w:fill="auto"/>
            <w:vAlign w:val="center"/>
          </w:tcPr>
          <w:p w14:paraId="7EFC8C2A" w14:textId="77777777" w:rsidR="00950C34" w:rsidRDefault="00950C34" w:rsidP="00FA7B33">
            <w:pPr>
              <w:spacing w:beforeLines="20" w:before="48" w:afterLines="20" w:after="48"/>
              <w:jc w:val="center"/>
              <w:rPr>
                <w:noProof/>
                <w:sz w:val="16"/>
                <w:szCs w:val="16"/>
              </w:rPr>
            </w:pPr>
          </w:p>
        </w:tc>
        <w:tc>
          <w:tcPr>
            <w:tcW w:w="731" w:type="dxa"/>
            <w:shd w:val="clear" w:color="auto" w:fill="auto"/>
            <w:vAlign w:val="center"/>
          </w:tcPr>
          <w:p w14:paraId="399A16AD" w14:textId="77777777" w:rsidR="00950C34" w:rsidRDefault="00950C34" w:rsidP="00FA7B33">
            <w:pPr>
              <w:spacing w:beforeLines="20" w:before="48" w:afterLines="20" w:after="48"/>
              <w:jc w:val="center"/>
              <w:rPr>
                <w:noProof/>
                <w:sz w:val="16"/>
                <w:szCs w:val="16"/>
              </w:rPr>
            </w:pPr>
          </w:p>
        </w:tc>
      </w:tr>
      <w:tr w:rsidR="00950C34" w14:paraId="6F506755" w14:textId="77777777" w:rsidTr="00FA7B33">
        <w:trPr>
          <w:gridBefore w:val="1"/>
          <w:wBefore w:w="15" w:type="dxa"/>
          <w:trHeight w:val="289"/>
          <w:jc w:val="center"/>
        </w:trPr>
        <w:tc>
          <w:tcPr>
            <w:tcW w:w="4754" w:type="dxa"/>
            <w:gridSpan w:val="2"/>
            <w:shd w:val="clear" w:color="auto" w:fill="auto"/>
            <w:vAlign w:val="center"/>
          </w:tcPr>
          <w:p w14:paraId="206FDEE3" w14:textId="77777777" w:rsidR="00950C34" w:rsidRDefault="00950C34" w:rsidP="00FA7B33">
            <w:pPr>
              <w:pStyle w:val="Text1"/>
              <w:spacing w:beforeLines="20" w:before="48" w:afterLines="20" w:after="48"/>
              <w:ind w:left="134"/>
              <w:jc w:val="left"/>
              <w:rPr>
                <w:noProof/>
                <w:sz w:val="16"/>
                <w:szCs w:val="16"/>
              </w:rPr>
            </w:pPr>
            <w:r w:rsidRPr="004843C4">
              <w:rPr>
                <w:noProof/>
                <w:sz w:val="16"/>
              </w:rPr>
              <w:t xml:space="preserve"> 01 0</w:t>
            </w:r>
            <w:r w:rsidRPr="00401F20">
              <w:rPr>
                <w:noProof/>
                <w:sz w:val="16"/>
              </w:rPr>
              <w:t>1</w:t>
            </w:r>
            <w:r w:rsidRPr="004843C4">
              <w:rPr>
                <w:noProof/>
                <w:sz w:val="16"/>
              </w:rPr>
              <w:t xml:space="preserve"> 01</w:t>
            </w:r>
            <w:r w:rsidRPr="00401F20">
              <w:rPr>
                <w:noProof/>
                <w:sz w:val="16"/>
              </w:rPr>
              <w:t xml:space="preserve"> </w:t>
            </w:r>
            <w:r w:rsidRPr="004843C4">
              <w:rPr>
                <w:noProof/>
                <w:sz w:val="16"/>
              </w:rPr>
              <w:t>11 (Direct research)</w:t>
            </w:r>
          </w:p>
        </w:tc>
        <w:tc>
          <w:tcPr>
            <w:tcW w:w="731" w:type="dxa"/>
            <w:shd w:val="clear" w:color="auto" w:fill="auto"/>
            <w:vAlign w:val="center"/>
          </w:tcPr>
          <w:p w14:paraId="7EC66D5F" w14:textId="77777777" w:rsidR="00950C34" w:rsidRDefault="00950C34" w:rsidP="00FA7B33">
            <w:pPr>
              <w:spacing w:beforeLines="20" w:before="48" w:afterLines="20" w:after="48"/>
              <w:jc w:val="center"/>
              <w:rPr>
                <w:noProof/>
                <w:sz w:val="16"/>
                <w:szCs w:val="16"/>
              </w:rPr>
            </w:pPr>
          </w:p>
        </w:tc>
        <w:tc>
          <w:tcPr>
            <w:tcW w:w="731" w:type="dxa"/>
            <w:shd w:val="clear" w:color="auto" w:fill="auto"/>
            <w:vAlign w:val="center"/>
          </w:tcPr>
          <w:p w14:paraId="1D5EDD95" w14:textId="77777777" w:rsidR="00950C34" w:rsidRDefault="00950C34" w:rsidP="00FA7B33">
            <w:pPr>
              <w:spacing w:beforeLines="20" w:before="48" w:afterLines="20" w:after="48"/>
              <w:jc w:val="center"/>
              <w:rPr>
                <w:noProof/>
                <w:sz w:val="16"/>
                <w:szCs w:val="16"/>
              </w:rPr>
            </w:pPr>
          </w:p>
        </w:tc>
        <w:tc>
          <w:tcPr>
            <w:tcW w:w="731" w:type="dxa"/>
            <w:shd w:val="clear" w:color="auto" w:fill="auto"/>
            <w:vAlign w:val="center"/>
          </w:tcPr>
          <w:p w14:paraId="5B677192" w14:textId="77777777" w:rsidR="00950C34" w:rsidRDefault="00950C34" w:rsidP="00FA7B33">
            <w:pPr>
              <w:spacing w:beforeLines="20" w:before="48" w:afterLines="20" w:after="48"/>
              <w:jc w:val="center"/>
              <w:rPr>
                <w:noProof/>
                <w:sz w:val="16"/>
                <w:szCs w:val="16"/>
              </w:rPr>
            </w:pPr>
          </w:p>
        </w:tc>
        <w:tc>
          <w:tcPr>
            <w:tcW w:w="731" w:type="dxa"/>
            <w:shd w:val="clear" w:color="auto" w:fill="auto"/>
            <w:vAlign w:val="center"/>
          </w:tcPr>
          <w:p w14:paraId="2A7CE314" w14:textId="77777777" w:rsidR="00950C34" w:rsidRDefault="00950C34" w:rsidP="00FA7B33">
            <w:pPr>
              <w:spacing w:beforeLines="20" w:before="48" w:afterLines="20" w:after="48"/>
              <w:jc w:val="center"/>
              <w:rPr>
                <w:noProof/>
                <w:sz w:val="16"/>
                <w:szCs w:val="16"/>
              </w:rPr>
            </w:pPr>
          </w:p>
        </w:tc>
        <w:tc>
          <w:tcPr>
            <w:tcW w:w="731" w:type="dxa"/>
            <w:shd w:val="clear" w:color="auto" w:fill="auto"/>
            <w:vAlign w:val="center"/>
          </w:tcPr>
          <w:p w14:paraId="14204578" w14:textId="77777777" w:rsidR="00950C34" w:rsidRDefault="00950C34" w:rsidP="00FA7B33">
            <w:pPr>
              <w:spacing w:beforeLines="20" w:before="48" w:afterLines="20" w:after="48"/>
              <w:jc w:val="center"/>
              <w:rPr>
                <w:noProof/>
                <w:sz w:val="16"/>
                <w:szCs w:val="16"/>
              </w:rPr>
            </w:pPr>
          </w:p>
        </w:tc>
        <w:tc>
          <w:tcPr>
            <w:tcW w:w="731" w:type="dxa"/>
            <w:shd w:val="clear" w:color="auto" w:fill="auto"/>
            <w:vAlign w:val="center"/>
          </w:tcPr>
          <w:p w14:paraId="3515BFD8" w14:textId="77777777" w:rsidR="00950C34" w:rsidRDefault="00950C34" w:rsidP="00FA7B33">
            <w:pPr>
              <w:spacing w:beforeLines="20" w:before="48" w:afterLines="20" w:after="48"/>
              <w:jc w:val="center"/>
              <w:rPr>
                <w:noProof/>
                <w:sz w:val="16"/>
                <w:szCs w:val="16"/>
              </w:rPr>
            </w:pPr>
          </w:p>
        </w:tc>
        <w:tc>
          <w:tcPr>
            <w:tcW w:w="731" w:type="dxa"/>
            <w:shd w:val="clear" w:color="auto" w:fill="auto"/>
            <w:vAlign w:val="center"/>
          </w:tcPr>
          <w:p w14:paraId="1E6DA49A" w14:textId="77777777" w:rsidR="00950C34" w:rsidRDefault="00950C34" w:rsidP="00FA7B33">
            <w:pPr>
              <w:spacing w:beforeLines="20" w:before="48" w:afterLines="20" w:after="48"/>
              <w:jc w:val="center"/>
              <w:rPr>
                <w:noProof/>
                <w:sz w:val="16"/>
                <w:szCs w:val="16"/>
              </w:rPr>
            </w:pPr>
          </w:p>
        </w:tc>
      </w:tr>
      <w:tr w:rsidR="00950C34" w14:paraId="54EF8514" w14:textId="77777777" w:rsidTr="00FA7B33">
        <w:trPr>
          <w:gridBefore w:val="1"/>
          <w:wBefore w:w="15" w:type="dxa"/>
          <w:trHeight w:val="289"/>
          <w:jc w:val="center"/>
        </w:trPr>
        <w:tc>
          <w:tcPr>
            <w:tcW w:w="4754" w:type="dxa"/>
            <w:gridSpan w:val="2"/>
            <w:shd w:val="clear" w:color="auto" w:fill="auto"/>
            <w:vAlign w:val="center"/>
          </w:tcPr>
          <w:p w14:paraId="7A991B57" w14:textId="77777777" w:rsidR="00950C34" w:rsidRPr="004843C4" w:rsidRDefault="00950C34" w:rsidP="00FA7B33">
            <w:pPr>
              <w:pStyle w:val="Text1"/>
              <w:spacing w:beforeLines="20" w:before="48" w:afterLines="20" w:after="48"/>
              <w:ind w:left="134"/>
              <w:jc w:val="left"/>
              <w:rPr>
                <w:noProof/>
                <w:sz w:val="16"/>
              </w:rPr>
            </w:pPr>
            <w:r w:rsidRPr="00401F20">
              <w:rPr>
                <w:noProof/>
                <w:sz w:val="16"/>
              </w:rPr>
              <w:t>Other budget lines (specify)</w:t>
            </w:r>
          </w:p>
        </w:tc>
        <w:tc>
          <w:tcPr>
            <w:tcW w:w="731" w:type="dxa"/>
            <w:shd w:val="clear" w:color="auto" w:fill="auto"/>
            <w:vAlign w:val="center"/>
          </w:tcPr>
          <w:p w14:paraId="5EBAD55C" w14:textId="77777777" w:rsidR="00950C34" w:rsidRDefault="00950C34" w:rsidP="00FA7B33">
            <w:pPr>
              <w:spacing w:beforeLines="20" w:before="48" w:afterLines="20" w:after="48"/>
              <w:jc w:val="center"/>
              <w:rPr>
                <w:noProof/>
                <w:sz w:val="16"/>
                <w:szCs w:val="16"/>
              </w:rPr>
            </w:pPr>
          </w:p>
        </w:tc>
        <w:tc>
          <w:tcPr>
            <w:tcW w:w="731" w:type="dxa"/>
            <w:shd w:val="clear" w:color="auto" w:fill="auto"/>
            <w:vAlign w:val="center"/>
          </w:tcPr>
          <w:p w14:paraId="409814E5" w14:textId="77777777" w:rsidR="00950C34" w:rsidRDefault="00950C34" w:rsidP="00FA7B33">
            <w:pPr>
              <w:spacing w:beforeLines="20" w:before="48" w:afterLines="20" w:after="48"/>
              <w:jc w:val="center"/>
              <w:rPr>
                <w:noProof/>
                <w:sz w:val="16"/>
                <w:szCs w:val="16"/>
              </w:rPr>
            </w:pPr>
          </w:p>
        </w:tc>
        <w:tc>
          <w:tcPr>
            <w:tcW w:w="731" w:type="dxa"/>
            <w:shd w:val="clear" w:color="auto" w:fill="auto"/>
            <w:vAlign w:val="center"/>
          </w:tcPr>
          <w:p w14:paraId="2566734E" w14:textId="77777777" w:rsidR="00950C34" w:rsidRDefault="00950C34" w:rsidP="00FA7B33">
            <w:pPr>
              <w:spacing w:beforeLines="20" w:before="48" w:afterLines="20" w:after="48"/>
              <w:jc w:val="center"/>
              <w:rPr>
                <w:noProof/>
                <w:sz w:val="16"/>
                <w:szCs w:val="16"/>
              </w:rPr>
            </w:pPr>
          </w:p>
        </w:tc>
        <w:tc>
          <w:tcPr>
            <w:tcW w:w="731" w:type="dxa"/>
            <w:shd w:val="clear" w:color="auto" w:fill="auto"/>
            <w:vAlign w:val="center"/>
          </w:tcPr>
          <w:p w14:paraId="66623034" w14:textId="77777777" w:rsidR="00950C34" w:rsidRDefault="00950C34" w:rsidP="00FA7B33">
            <w:pPr>
              <w:spacing w:beforeLines="20" w:before="48" w:afterLines="20" w:after="48"/>
              <w:jc w:val="center"/>
              <w:rPr>
                <w:noProof/>
                <w:sz w:val="16"/>
                <w:szCs w:val="16"/>
              </w:rPr>
            </w:pPr>
          </w:p>
        </w:tc>
        <w:tc>
          <w:tcPr>
            <w:tcW w:w="731" w:type="dxa"/>
            <w:shd w:val="clear" w:color="auto" w:fill="auto"/>
            <w:vAlign w:val="center"/>
          </w:tcPr>
          <w:p w14:paraId="5FE035EC" w14:textId="77777777" w:rsidR="00950C34" w:rsidRDefault="00950C34" w:rsidP="00FA7B33">
            <w:pPr>
              <w:spacing w:beforeLines="20" w:before="48" w:afterLines="20" w:after="48"/>
              <w:jc w:val="center"/>
              <w:rPr>
                <w:noProof/>
                <w:sz w:val="16"/>
                <w:szCs w:val="16"/>
              </w:rPr>
            </w:pPr>
          </w:p>
        </w:tc>
        <w:tc>
          <w:tcPr>
            <w:tcW w:w="731" w:type="dxa"/>
            <w:shd w:val="clear" w:color="auto" w:fill="auto"/>
            <w:vAlign w:val="center"/>
          </w:tcPr>
          <w:p w14:paraId="37818251" w14:textId="77777777" w:rsidR="00950C34" w:rsidRDefault="00950C34" w:rsidP="00FA7B33">
            <w:pPr>
              <w:spacing w:beforeLines="20" w:before="48" w:afterLines="20" w:after="48"/>
              <w:jc w:val="center"/>
              <w:rPr>
                <w:noProof/>
                <w:sz w:val="16"/>
                <w:szCs w:val="16"/>
              </w:rPr>
            </w:pPr>
          </w:p>
        </w:tc>
        <w:tc>
          <w:tcPr>
            <w:tcW w:w="731" w:type="dxa"/>
            <w:shd w:val="clear" w:color="auto" w:fill="auto"/>
            <w:vAlign w:val="center"/>
          </w:tcPr>
          <w:p w14:paraId="7E712042" w14:textId="77777777" w:rsidR="00950C34" w:rsidRDefault="00950C34" w:rsidP="00FA7B33">
            <w:pPr>
              <w:spacing w:beforeLines="20" w:before="48" w:afterLines="20" w:after="48"/>
              <w:jc w:val="center"/>
              <w:rPr>
                <w:noProof/>
                <w:sz w:val="16"/>
                <w:szCs w:val="16"/>
              </w:rPr>
            </w:pPr>
          </w:p>
        </w:tc>
      </w:tr>
      <w:tr w:rsidR="00950C34" w:rsidRPr="003A769F" w14:paraId="4DE2ECD2" w14:textId="77777777" w:rsidTr="00FA7B33">
        <w:trPr>
          <w:trHeight w:val="248"/>
          <w:jc w:val="center"/>
        </w:trPr>
        <w:tc>
          <w:tcPr>
            <w:tcW w:w="9886" w:type="dxa"/>
            <w:gridSpan w:val="10"/>
            <w:shd w:val="clear" w:color="auto" w:fill="auto"/>
            <w:vAlign w:val="center"/>
          </w:tcPr>
          <w:p w14:paraId="03D128E9" w14:textId="77777777" w:rsidR="00950C34" w:rsidRDefault="00950C34" w:rsidP="00FA7B33">
            <w:pPr>
              <w:pStyle w:val="Text1"/>
              <w:spacing w:before="60" w:after="60"/>
              <w:ind w:left="0"/>
              <w:jc w:val="left"/>
              <w:rPr>
                <w:b/>
                <w:noProof/>
                <w:sz w:val="16"/>
                <w:szCs w:val="16"/>
              </w:rPr>
            </w:pPr>
            <w:r w:rsidRPr="078E3620">
              <w:rPr>
                <w:rFonts w:ascii="Wingdings" w:eastAsia="Wingdings" w:hAnsi="Wingdings" w:cs="Wingdings"/>
                <w:b/>
                <w:bCs/>
                <w:noProof/>
                <w:sz w:val="16"/>
                <w:szCs w:val="16"/>
              </w:rPr>
              <w:t>□</w:t>
            </w:r>
            <w:r w:rsidRPr="078E3620">
              <w:rPr>
                <w:b/>
                <w:bCs/>
                <w:noProof/>
                <w:sz w:val="16"/>
                <w:szCs w:val="16"/>
              </w:rPr>
              <w:t xml:space="preserve"> External staff (in Full Time Equivalent unit: FTE)</w:t>
            </w:r>
            <w:r w:rsidRPr="078E3620">
              <w:rPr>
                <w:rStyle w:val="FootnoteReference"/>
                <w:b/>
                <w:bCs/>
                <w:noProof/>
                <w:sz w:val="16"/>
                <w:szCs w:val="16"/>
              </w:rPr>
              <w:footnoteReference w:id="86"/>
            </w:r>
          </w:p>
          <w:p w14:paraId="0A1B218E" w14:textId="77777777" w:rsidR="00950C34" w:rsidRDefault="00950C34" w:rsidP="00FA7B33">
            <w:pPr>
              <w:pStyle w:val="Text1"/>
              <w:spacing w:before="0" w:after="0"/>
              <w:ind w:left="0"/>
              <w:jc w:val="left"/>
              <w:rPr>
                <w:noProof/>
                <w:sz w:val="16"/>
                <w:szCs w:val="16"/>
              </w:rPr>
            </w:pPr>
          </w:p>
        </w:tc>
      </w:tr>
      <w:tr w:rsidR="00950C34" w:rsidRPr="003A769F" w14:paraId="41C1FC8C" w14:textId="77777777" w:rsidTr="00FA7B33">
        <w:trPr>
          <w:gridBefore w:val="1"/>
          <w:wBefore w:w="15" w:type="dxa"/>
          <w:trHeight w:val="289"/>
          <w:jc w:val="center"/>
        </w:trPr>
        <w:tc>
          <w:tcPr>
            <w:tcW w:w="4754" w:type="dxa"/>
            <w:gridSpan w:val="2"/>
            <w:shd w:val="clear" w:color="auto" w:fill="auto"/>
            <w:vAlign w:val="center"/>
          </w:tcPr>
          <w:p w14:paraId="15A422E3" w14:textId="77777777" w:rsidR="00950C34" w:rsidRPr="00DB369B" w:rsidRDefault="00950C34" w:rsidP="00FA7B33">
            <w:pPr>
              <w:pStyle w:val="Text1"/>
              <w:spacing w:beforeLines="20" w:before="48" w:afterLines="20" w:after="48"/>
              <w:ind w:left="136"/>
              <w:jc w:val="left"/>
              <w:rPr>
                <w:b/>
                <w:noProof/>
                <w:sz w:val="16"/>
                <w:szCs w:val="16"/>
              </w:rPr>
            </w:pPr>
            <w:r w:rsidRPr="00401F20">
              <w:rPr>
                <w:noProof/>
                <w:sz w:val="16"/>
              </w:rPr>
              <w:t>20 02 01</w:t>
            </w:r>
            <w:r w:rsidRPr="00DB369B">
              <w:rPr>
                <w:rFonts w:ascii="Arial Narrow" w:hAnsi="Arial Narrow"/>
                <w:noProof/>
                <w:color w:val="000000"/>
                <w:sz w:val="20"/>
                <w:szCs w:val="20"/>
              </w:rPr>
              <w:t xml:space="preserve"> </w:t>
            </w:r>
            <w:r w:rsidRPr="00DB369B">
              <w:rPr>
                <w:noProof/>
                <w:sz w:val="16"/>
              </w:rPr>
              <w:t>(AC, END, INT from the ‘global envelope’)</w:t>
            </w:r>
          </w:p>
        </w:tc>
        <w:tc>
          <w:tcPr>
            <w:tcW w:w="731" w:type="dxa"/>
            <w:shd w:val="clear" w:color="auto" w:fill="auto"/>
            <w:vAlign w:val="center"/>
          </w:tcPr>
          <w:p w14:paraId="54DB15D6" w14:textId="77777777" w:rsidR="00950C34" w:rsidRPr="003A769F" w:rsidRDefault="00950C34" w:rsidP="00FA7B33">
            <w:pPr>
              <w:spacing w:beforeLines="20" w:before="48" w:afterLines="20" w:after="48"/>
              <w:jc w:val="center"/>
              <w:rPr>
                <w:noProof/>
                <w:sz w:val="16"/>
                <w:szCs w:val="16"/>
                <w:lang w:val="en-IE"/>
              </w:rPr>
            </w:pPr>
          </w:p>
        </w:tc>
        <w:tc>
          <w:tcPr>
            <w:tcW w:w="731" w:type="dxa"/>
            <w:shd w:val="clear" w:color="auto" w:fill="auto"/>
            <w:vAlign w:val="center"/>
          </w:tcPr>
          <w:p w14:paraId="73E1957F" w14:textId="77777777" w:rsidR="00950C34" w:rsidRPr="003A769F" w:rsidRDefault="00950C34" w:rsidP="00FA7B33">
            <w:pPr>
              <w:spacing w:beforeLines="20" w:before="48" w:afterLines="20" w:after="48"/>
              <w:jc w:val="center"/>
              <w:rPr>
                <w:noProof/>
                <w:sz w:val="16"/>
                <w:szCs w:val="16"/>
                <w:lang w:val="en-IE"/>
              </w:rPr>
            </w:pPr>
            <w:r w:rsidRPr="0B07273F">
              <w:rPr>
                <w:noProof/>
                <w:sz w:val="16"/>
                <w:szCs w:val="16"/>
                <w:lang w:val="en-IE"/>
              </w:rPr>
              <w:t>5</w:t>
            </w:r>
          </w:p>
        </w:tc>
        <w:tc>
          <w:tcPr>
            <w:tcW w:w="731" w:type="dxa"/>
            <w:shd w:val="clear" w:color="auto" w:fill="auto"/>
            <w:vAlign w:val="center"/>
          </w:tcPr>
          <w:p w14:paraId="3031126A" w14:textId="77777777" w:rsidR="00950C34" w:rsidRPr="003A769F" w:rsidRDefault="00950C34" w:rsidP="00FA7B33">
            <w:pPr>
              <w:spacing w:beforeLines="20" w:before="48" w:afterLines="20" w:after="48"/>
              <w:jc w:val="center"/>
              <w:rPr>
                <w:noProof/>
                <w:sz w:val="16"/>
                <w:szCs w:val="16"/>
                <w:lang w:val="en-IE"/>
              </w:rPr>
            </w:pPr>
            <w:r w:rsidRPr="0B07273F">
              <w:rPr>
                <w:noProof/>
                <w:sz w:val="16"/>
                <w:szCs w:val="16"/>
                <w:lang w:val="en-IE"/>
              </w:rPr>
              <w:t>5</w:t>
            </w:r>
          </w:p>
        </w:tc>
        <w:tc>
          <w:tcPr>
            <w:tcW w:w="731" w:type="dxa"/>
            <w:shd w:val="clear" w:color="auto" w:fill="auto"/>
            <w:vAlign w:val="center"/>
          </w:tcPr>
          <w:p w14:paraId="659C27ED" w14:textId="77777777" w:rsidR="00950C34" w:rsidRPr="003A769F" w:rsidRDefault="00950C34" w:rsidP="00FA7B33">
            <w:pPr>
              <w:spacing w:beforeLines="20" w:before="48" w:afterLines="20" w:after="48"/>
              <w:jc w:val="center"/>
              <w:rPr>
                <w:noProof/>
                <w:sz w:val="16"/>
                <w:szCs w:val="16"/>
                <w:lang w:val="en-IE"/>
              </w:rPr>
            </w:pPr>
            <w:r w:rsidRPr="0B07273F">
              <w:rPr>
                <w:noProof/>
                <w:sz w:val="16"/>
                <w:szCs w:val="16"/>
                <w:lang w:val="en-IE"/>
              </w:rPr>
              <w:t>5</w:t>
            </w:r>
          </w:p>
        </w:tc>
        <w:tc>
          <w:tcPr>
            <w:tcW w:w="731" w:type="dxa"/>
            <w:shd w:val="clear" w:color="auto" w:fill="auto"/>
            <w:vAlign w:val="center"/>
          </w:tcPr>
          <w:p w14:paraId="32B48A83" w14:textId="77777777" w:rsidR="00950C34" w:rsidRPr="003A769F" w:rsidRDefault="00950C34" w:rsidP="00FA7B33">
            <w:pPr>
              <w:spacing w:beforeLines="20" w:before="48" w:afterLines="20" w:after="48"/>
              <w:jc w:val="center"/>
              <w:rPr>
                <w:noProof/>
                <w:sz w:val="16"/>
                <w:szCs w:val="16"/>
                <w:lang w:val="en-IE"/>
              </w:rPr>
            </w:pPr>
            <w:r w:rsidRPr="0B07273F">
              <w:rPr>
                <w:noProof/>
                <w:sz w:val="16"/>
                <w:szCs w:val="16"/>
                <w:lang w:val="en-IE"/>
              </w:rPr>
              <w:t>5</w:t>
            </w:r>
          </w:p>
        </w:tc>
        <w:tc>
          <w:tcPr>
            <w:tcW w:w="731" w:type="dxa"/>
            <w:shd w:val="clear" w:color="auto" w:fill="auto"/>
            <w:vAlign w:val="center"/>
          </w:tcPr>
          <w:p w14:paraId="53328E25" w14:textId="77777777" w:rsidR="00950C34" w:rsidRPr="003A769F" w:rsidRDefault="00950C34" w:rsidP="00FA7B33">
            <w:pPr>
              <w:spacing w:beforeLines="20" w:before="48" w:afterLines="20" w:after="48"/>
              <w:jc w:val="center"/>
              <w:rPr>
                <w:noProof/>
                <w:sz w:val="16"/>
                <w:szCs w:val="16"/>
                <w:lang w:val="en-IE"/>
              </w:rPr>
            </w:pPr>
            <w:r w:rsidRPr="0B07273F">
              <w:rPr>
                <w:noProof/>
                <w:sz w:val="16"/>
                <w:szCs w:val="16"/>
                <w:lang w:val="en-IE"/>
              </w:rPr>
              <w:t>2</w:t>
            </w:r>
          </w:p>
        </w:tc>
        <w:tc>
          <w:tcPr>
            <w:tcW w:w="731" w:type="dxa"/>
            <w:shd w:val="clear" w:color="auto" w:fill="auto"/>
            <w:vAlign w:val="center"/>
          </w:tcPr>
          <w:p w14:paraId="5583F104" w14:textId="77777777" w:rsidR="00950C34" w:rsidRPr="003A769F" w:rsidRDefault="00950C34" w:rsidP="00FA7B33">
            <w:pPr>
              <w:spacing w:beforeLines="20" w:before="48" w:afterLines="20" w:after="48"/>
              <w:jc w:val="center"/>
              <w:rPr>
                <w:noProof/>
                <w:sz w:val="16"/>
                <w:szCs w:val="16"/>
                <w:lang w:val="en-IE"/>
              </w:rPr>
            </w:pPr>
            <w:r w:rsidRPr="0B07273F">
              <w:rPr>
                <w:noProof/>
                <w:sz w:val="16"/>
                <w:szCs w:val="16"/>
                <w:lang w:val="en-IE"/>
              </w:rPr>
              <w:t>2</w:t>
            </w:r>
          </w:p>
        </w:tc>
      </w:tr>
      <w:tr w:rsidR="00950C34" w:rsidRPr="003A769F" w14:paraId="67901186" w14:textId="77777777" w:rsidTr="00FA7B33">
        <w:trPr>
          <w:gridBefore w:val="1"/>
          <w:wBefore w:w="15" w:type="dxa"/>
          <w:trHeight w:val="289"/>
          <w:jc w:val="center"/>
        </w:trPr>
        <w:tc>
          <w:tcPr>
            <w:tcW w:w="4754" w:type="dxa"/>
            <w:gridSpan w:val="2"/>
            <w:shd w:val="clear" w:color="auto" w:fill="auto"/>
            <w:vAlign w:val="center"/>
          </w:tcPr>
          <w:p w14:paraId="4A025562" w14:textId="77777777" w:rsidR="00950C34" w:rsidRPr="00DB369B" w:rsidRDefault="00950C34" w:rsidP="00FA7B33">
            <w:pPr>
              <w:pStyle w:val="Text1"/>
              <w:spacing w:beforeLines="20" w:before="48" w:afterLines="20" w:after="48"/>
              <w:ind w:left="136"/>
              <w:jc w:val="left"/>
              <w:rPr>
                <w:noProof/>
                <w:sz w:val="16"/>
              </w:rPr>
            </w:pPr>
            <w:r w:rsidRPr="00401F20">
              <w:rPr>
                <w:noProof/>
                <w:sz w:val="16"/>
              </w:rPr>
              <w:t xml:space="preserve">20 02 03 </w:t>
            </w:r>
            <w:r w:rsidRPr="00DB369B">
              <w:rPr>
                <w:noProof/>
                <w:sz w:val="16"/>
              </w:rPr>
              <w:t>(AC, AL, END, INT and JPD in the delegations)</w:t>
            </w:r>
          </w:p>
        </w:tc>
        <w:tc>
          <w:tcPr>
            <w:tcW w:w="731" w:type="dxa"/>
            <w:shd w:val="clear" w:color="auto" w:fill="auto"/>
            <w:vAlign w:val="center"/>
          </w:tcPr>
          <w:p w14:paraId="5692783A" w14:textId="77777777" w:rsidR="00950C34" w:rsidRPr="003A769F" w:rsidRDefault="00950C34" w:rsidP="00FA7B33">
            <w:pPr>
              <w:spacing w:beforeLines="20" w:before="48" w:afterLines="20" w:after="48"/>
              <w:jc w:val="center"/>
              <w:rPr>
                <w:noProof/>
                <w:sz w:val="16"/>
                <w:szCs w:val="16"/>
                <w:lang w:val="en-IE"/>
              </w:rPr>
            </w:pPr>
          </w:p>
        </w:tc>
        <w:tc>
          <w:tcPr>
            <w:tcW w:w="731" w:type="dxa"/>
            <w:shd w:val="clear" w:color="auto" w:fill="auto"/>
            <w:vAlign w:val="center"/>
          </w:tcPr>
          <w:p w14:paraId="4C1B2AED" w14:textId="77777777" w:rsidR="00950C34" w:rsidRPr="003A769F" w:rsidRDefault="00950C34" w:rsidP="00FA7B33">
            <w:pPr>
              <w:spacing w:beforeLines="20" w:before="48" w:afterLines="20" w:after="48"/>
              <w:jc w:val="center"/>
              <w:rPr>
                <w:noProof/>
                <w:sz w:val="16"/>
                <w:szCs w:val="16"/>
                <w:lang w:val="en-IE"/>
              </w:rPr>
            </w:pPr>
          </w:p>
        </w:tc>
        <w:tc>
          <w:tcPr>
            <w:tcW w:w="731" w:type="dxa"/>
            <w:shd w:val="clear" w:color="auto" w:fill="auto"/>
            <w:vAlign w:val="center"/>
          </w:tcPr>
          <w:p w14:paraId="494AA87A" w14:textId="77777777" w:rsidR="00950C34" w:rsidRPr="003A769F" w:rsidRDefault="00950C34" w:rsidP="00FA7B33">
            <w:pPr>
              <w:spacing w:beforeLines="20" w:before="48" w:afterLines="20" w:after="48"/>
              <w:jc w:val="center"/>
              <w:rPr>
                <w:noProof/>
                <w:sz w:val="16"/>
                <w:szCs w:val="16"/>
                <w:lang w:val="en-IE"/>
              </w:rPr>
            </w:pPr>
          </w:p>
        </w:tc>
        <w:tc>
          <w:tcPr>
            <w:tcW w:w="731" w:type="dxa"/>
            <w:shd w:val="clear" w:color="auto" w:fill="auto"/>
            <w:vAlign w:val="center"/>
          </w:tcPr>
          <w:p w14:paraId="502E3D1E" w14:textId="77777777" w:rsidR="00950C34" w:rsidRPr="003A769F" w:rsidRDefault="00950C34" w:rsidP="00FA7B33">
            <w:pPr>
              <w:spacing w:beforeLines="20" w:before="48" w:afterLines="20" w:after="48"/>
              <w:jc w:val="center"/>
              <w:rPr>
                <w:noProof/>
                <w:sz w:val="16"/>
                <w:szCs w:val="16"/>
                <w:lang w:val="en-IE"/>
              </w:rPr>
            </w:pPr>
          </w:p>
        </w:tc>
        <w:tc>
          <w:tcPr>
            <w:tcW w:w="731" w:type="dxa"/>
            <w:shd w:val="clear" w:color="auto" w:fill="auto"/>
            <w:vAlign w:val="center"/>
          </w:tcPr>
          <w:p w14:paraId="18EB77DA" w14:textId="77777777" w:rsidR="00950C34" w:rsidRPr="003A769F" w:rsidRDefault="00950C34" w:rsidP="00FA7B33">
            <w:pPr>
              <w:spacing w:beforeLines="20" w:before="48" w:afterLines="20" w:after="48"/>
              <w:jc w:val="center"/>
              <w:rPr>
                <w:noProof/>
                <w:sz w:val="16"/>
                <w:szCs w:val="16"/>
                <w:lang w:val="en-IE"/>
              </w:rPr>
            </w:pPr>
          </w:p>
        </w:tc>
        <w:tc>
          <w:tcPr>
            <w:tcW w:w="731" w:type="dxa"/>
            <w:shd w:val="clear" w:color="auto" w:fill="auto"/>
            <w:vAlign w:val="center"/>
          </w:tcPr>
          <w:p w14:paraId="1C619268" w14:textId="77777777" w:rsidR="00950C34" w:rsidRPr="003A769F" w:rsidRDefault="00950C34" w:rsidP="00FA7B33">
            <w:pPr>
              <w:spacing w:beforeLines="20" w:before="48" w:afterLines="20" w:after="48"/>
              <w:jc w:val="center"/>
              <w:rPr>
                <w:noProof/>
                <w:sz w:val="16"/>
                <w:szCs w:val="16"/>
                <w:lang w:val="en-IE"/>
              </w:rPr>
            </w:pPr>
          </w:p>
        </w:tc>
        <w:tc>
          <w:tcPr>
            <w:tcW w:w="731" w:type="dxa"/>
            <w:shd w:val="clear" w:color="auto" w:fill="auto"/>
            <w:vAlign w:val="center"/>
          </w:tcPr>
          <w:p w14:paraId="663A59B3" w14:textId="77777777" w:rsidR="00950C34" w:rsidRPr="003A769F" w:rsidRDefault="00950C34" w:rsidP="00FA7B33">
            <w:pPr>
              <w:spacing w:beforeLines="20" w:before="48" w:afterLines="20" w:after="48"/>
              <w:jc w:val="center"/>
              <w:rPr>
                <w:noProof/>
                <w:sz w:val="16"/>
                <w:szCs w:val="16"/>
                <w:lang w:val="en-IE"/>
              </w:rPr>
            </w:pPr>
          </w:p>
        </w:tc>
      </w:tr>
      <w:tr w:rsidR="00950C34" w:rsidRPr="00401F20" w14:paraId="32B8734A" w14:textId="77777777" w:rsidTr="00FA7B33">
        <w:trPr>
          <w:gridBefore w:val="1"/>
          <w:wBefore w:w="15" w:type="dxa"/>
          <w:trHeight w:val="289"/>
          <w:jc w:val="center"/>
        </w:trPr>
        <w:tc>
          <w:tcPr>
            <w:tcW w:w="2376" w:type="dxa"/>
            <w:vMerge w:val="restart"/>
            <w:shd w:val="clear" w:color="auto" w:fill="auto"/>
            <w:vAlign w:val="center"/>
          </w:tcPr>
          <w:p w14:paraId="1CFD384B" w14:textId="77777777" w:rsidR="00950C34" w:rsidRPr="004843C4" w:rsidRDefault="00950C34" w:rsidP="00FA7B33">
            <w:pPr>
              <w:pStyle w:val="Text1"/>
              <w:spacing w:beforeLines="20" w:before="48" w:afterLines="20" w:after="48"/>
              <w:ind w:left="136"/>
              <w:jc w:val="left"/>
              <w:rPr>
                <w:b/>
                <w:noProof/>
                <w:sz w:val="16"/>
                <w:szCs w:val="16"/>
              </w:rPr>
            </w:pPr>
            <w:r w:rsidRPr="078E3620">
              <w:rPr>
                <w:b/>
                <w:bCs/>
                <w:noProof/>
                <w:sz w:val="16"/>
                <w:szCs w:val="16"/>
              </w:rPr>
              <w:t>XX</w:t>
            </w:r>
            <w:r w:rsidRPr="004843C4">
              <w:rPr>
                <w:noProof/>
                <w:sz w:val="16"/>
                <w:szCs w:val="16"/>
              </w:rPr>
              <w:t xml:space="preserve"> 01  </w:t>
            </w:r>
            <w:r w:rsidRPr="00401F20">
              <w:rPr>
                <w:noProof/>
                <w:sz w:val="16"/>
                <w:szCs w:val="16"/>
              </w:rPr>
              <w:t xml:space="preserve">xx </w:t>
            </w:r>
            <w:r w:rsidRPr="078E3620">
              <w:rPr>
                <w:b/>
                <w:bCs/>
                <w:noProof/>
                <w:sz w:val="16"/>
                <w:szCs w:val="16"/>
              </w:rPr>
              <w:t xml:space="preserve">yy zz </w:t>
            </w:r>
            <w:r w:rsidRPr="56D6033E">
              <w:rPr>
                <w:b/>
                <w:bCs/>
                <w:i/>
                <w:iCs/>
                <w:noProof/>
                <w:sz w:val="16"/>
                <w:szCs w:val="16"/>
              </w:rPr>
              <w:t xml:space="preserve"> </w:t>
            </w:r>
            <w:r w:rsidRPr="56D6033E">
              <w:rPr>
                <w:rStyle w:val="FootnoteReference"/>
                <w:b/>
                <w:bCs/>
                <w:i/>
                <w:iCs/>
                <w:noProof/>
                <w:sz w:val="16"/>
                <w:szCs w:val="16"/>
              </w:rPr>
              <w:footnoteReference w:id="87"/>
            </w:r>
          </w:p>
          <w:p w14:paraId="39655D54" w14:textId="77777777" w:rsidR="00950C34" w:rsidRPr="004843C4" w:rsidRDefault="00950C34" w:rsidP="00FA7B33">
            <w:pPr>
              <w:pStyle w:val="Text1"/>
              <w:spacing w:beforeLines="20" w:before="48" w:afterLines="20" w:after="48"/>
              <w:ind w:left="136"/>
              <w:jc w:val="left"/>
              <w:rPr>
                <w:b/>
                <w:noProof/>
                <w:sz w:val="16"/>
                <w:szCs w:val="16"/>
              </w:rPr>
            </w:pPr>
          </w:p>
        </w:tc>
        <w:tc>
          <w:tcPr>
            <w:tcW w:w="2378" w:type="dxa"/>
            <w:shd w:val="clear" w:color="auto" w:fill="auto"/>
            <w:vAlign w:val="center"/>
          </w:tcPr>
          <w:p w14:paraId="00BA2F52" w14:textId="77777777" w:rsidR="00950C34" w:rsidRPr="00401F20" w:rsidRDefault="00950C34" w:rsidP="00FA7B33">
            <w:pPr>
              <w:pStyle w:val="Text1"/>
              <w:spacing w:beforeLines="20" w:before="48" w:afterLines="20" w:after="48"/>
              <w:ind w:left="136"/>
              <w:jc w:val="left"/>
              <w:rPr>
                <w:b/>
                <w:noProof/>
                <w:sz w:val="16"/>
                <w:szCs w:val="16"/>
              </w:rPr>
            </w:pPr>
            <w:r w:rsidRPr="00401F20">
              <w:rPr>
                <w:noProof/>
                <w:sz w:val="16"/>
              </w:rPr>
              <w:t>- at Headquarters</w:t>
            </w:r>
          </w:p>
          <w:p w14:paraId="01B5FB10" w14:textId="77777777" w:rsidR="00950C34" w:rsidRPr="00401F20" w:rsidRDefault="00950C34" w:rsidP="00FA7B33">
            <w:pPr>
              <w:pStyle w:val="Text1"/>
              <w:spacing w:beforeLines="20" w:before="48" w:afterLines="20" w:after="48"/>
              <w:ind w:left="136"/>
              <w:jc w:val="left"/>
              <w:rPr>
                <w:b/>
                <w:noProof/>
                <w:sz w:val="16"/>
                <w:szCs w:val="16"/>
              </w:rPr>
            </w:pPr>
          </w:p>
        </w:tc>
        <w:tc>
          <w:tcPr>
            <w:tcW w:w="731" w:type="dxa"/>
            <w:shd w:val="clear" w:color="auto" w:fill="auto"/>
            <w:vAlign w:val="center"/>
          </w:tcPr>
          <w:p w14:paraId="3D6D56FA" w14:textId="77777777" w:rsidR="00950C34" w:rsidRPr="00401F20" w:rsidRDefault="00950C34" w:rsidP="00FA7B33">
            <w:pPr>
              <w:pStyle w:val="Text1"/>
              <w:spacing w:beforeLines="20" w:before="48" w:afterLines="20" w:after="48"/>
              <w:ind w:left="0"/>
              <w:rPr>
                <w:noProof/>
                <w:sz w:val="16"/>
                <w:szCs w:val="16"/>
              </w:rPr>
            </w:pPr>
          </w:p>
        </w:tc>
        <w:tc>
          <w:tcPr>
            <w:tcW w:w="731" w:type="dxa"/>
            <w:shd w:val="clear" w:color="auto" w:fill="auto"/>
            <w:vAlign w:val="center"/>
          </w:tcPr>
          <w:p w14:paraId="26AE82B5" w14:textId="77777777" w:rsidR="00950C34" w:rsidRPr="00401F20" w:rsidRDefault="00950C34" w:rsidP="00FA7B33">
            <w:pPr>
              <w:spacing w:beforeLines="20" w:before="48" w:afterLines="20" w:after="48"/>
              <w:jc w:val="center"/>
              <w:rPr>
                <w:noProof/>
                <w:sz w:val="16"/>
                <w:szCs w:val="16"/>
              </w:rPr>
            </w:pPr>
          </w:p>
        </w:tc>
        <w:tc>
          <w:tcPr>
            <w:tcW w:w="731" w:type="dxa"/>
            <w:shd w:val="clear" w:color="auto" w:fill="auto"/>
            <w:vAlign w:val="center"/>
          </w:tcPr>
          <w:p w14:paraId="0FD928BB" w14:textId="77777777" w:rsidR="00950C34" w:rsidRPr="00401F20" w:rsidRDefault="00950C34" w:rsidP="00FA7B33">
            <w:pPr>
              <w:spacing w:beforeLines="20" w:before="48" w:afterLines="20" w:after="48"/>
              <w:jc w:val="center"/>
              <w:rPr>
                <w:noProof/>
                <w:sz w:val="16"/>
                <w:szCs w:val="16"/>
              </w:rPr>
            </w:pPr>
          </w:p>
        </w:tc>
        <w:tc>
          <w:tcPr>
            <w:tcW w:w="731" w:type="dxa"/>
            <w:shd w:val="clear" w:color="auto" w:fill="auto"/>
            <w:vAlign w:val="center"/>
          </w:tcPr>
          <w:p w14:paraId="18FC52A5" w14:textId="77777777" w:rsidR="00950C34" w:rsidRPr="00401F20" w:rsidRDefault="00950C34" w:rsidP="00FA7B33">
            <w:pPr>
              <w:spacing w:beforeLines="20" w:before="48" w:afterLines="20" w:after="48"/>
              <w:jc w:val="center"/>
              <w:rPr>
                <w:noProof/>
                <w:sz w:val="16"/>
                <w:szCs w:val="16"/>
              </w:rPr>
            </w:pPr>
          </w:p>
        </w:tc>
        <w:tc>
          <w:tcPr>
            <w:tcW w:w="731" w:type="dxa"/>
            <w:shd w:val="clear" w:color="auto" w:fill="auto"/>
            <w:vAlign w:val="center"/>
          </w:tcPr>
          <w:p w14:paraId="22FB4D13" w14:textId="77777777" w:rsidR="00950C34" w:rsidRPr="00401F20" w:rsidRDefault="00950C34" w:rsidP="00FA7B33">
            <w:pPr>
              <w:spacing w:beforeLines="20" w:before="48" w:afterLines="20" w:after="48"/>
              <w:jc w:val="center"/>
              <w:rPr>
                <w:noProof/>
                <w:sz w:val="16"/>
                <w:szCs w:val="16"/>
              </w:rPr>
            </w:pPr>
          </w:p>
        </w:tc>
        <w:tc>
          <w:tcPr>
            <w:tcW w:w="731" w:type="dxa"/>
            <w:shd w:val="clear" w:color="auto" w:fill="auto"/>
            <w:vAlign w:val="center"/>
          </w:tcPr>
          <w:p w14:paraId="1DC8902C" w14:textId="77777777" w:rsidR="00950C34" w:rsidRPr="00401F20" w:rsidRDefault="00950C34" w:rsidP="00FA7B33">
            <w:pPr>
              <w:spacing w:beforeLines="20" w:before="48" w:afterLines="20" w:after="48"/>
              <w:jc w:val="center"/>
              <w:rPr>
                <w:noProof/>
                <w:sz w:val="16"/>
                <w:szCs w:val="16"/>
              </w:rPr>
            </w:pPr>
          </w:p>
        </w:tc>
        <w:tc>
          <w:tcPr>
            <w:tcW w:w="731" w:type="dxa"/>
            <w:shd w:val="clear" w:color="auto" w:fill="auto"/>
            <w:vAlign w:val="center"/>
          </w:tcPr>
          <w:p w14:paraId="324F994A" w14:textId="77777777" w:rsidR="00950C34" w:rsidRPr="00401F20" w:rsidRDefault="00950C34" w:rsidP="00FA7B33">
            <w:pPr>
              <w:spacing w:beforeLines="20" w:before="48" w:afterLines="20" w:after="48"/>
              <w:jc w:val="center"/>
              <w:rPr>
                <w:noProof/>
                <w:sz w:val="16"/>
                <w:szCs w:val="16"/>
              </w:rPr>
            </w:pPr>
          </w:p>
        </w:tc>
      </w:tr>
      <w:tr w:rsidR="00950C34" w:rsidRPr="00401F20" w14:paraId="4AC13734" w14:textId="77777777" w:rsidTr="00FA7B33">
        <w:trPr>
          <w:gridBefore w:val="1"/>
          <w:wBefore w:w="15" w:type="dxa"/>
          <w:trHeight w:val="289"/>
          <w:jc w:val="center"/>
        </w:trPr>
        <w:tc>
          <w:tcPr>
            <w:tcW w:w="2376" w:type="dxa"/>
            <w:vMerge/>
            <w:vAlign w:val="center"/>
          </w:tcPr>
          <w:p w14:paraId="692BBBB1" w14:textId="77777777" w:rsidR="00950C34" w:rsidRPr="00401F20" w:rsidRDefault="00950C34" w:rsidP="00FA7B33">
            <w:pPr>
              <w:pStyle w:val="Text1"/>
              <w:spacing w:beforeLines="20" w:before="48" w:afterLines="20" w:after="48"/>
              <w:ind w:left="136"/>
              <w:jc w:val="left"/>
              <w:rPr>
                <w:b/>
                <w:noProof/>
                <w:sz w:val="16"/>
                <w:szCs w:val="16"/>
              </w:rPr>
            </w:pPr>
          </w:p>
        </w:tc>
        <w:tc>
          <w:tcPr>
            <w:tcW w:w="2378" w:type="dxa"/>
            <w:shd w:val="clear" w:color="auto" w:fill="auto"/>
            <w:vAlign w:val="center"/>
          </w:tcPr>
          <w:p w14:paraId="4DCC5F06" w14:textId="77777777" w:rsidR="00950C34" w:rsidRPr="00401F20" w:rsidRDefault="00950C34" w:rsidP="00FA7B33">
            <w:pPr>
              <w:pStyle w:val="Text1"/>
              <w:spacing w:beforeLines="20" w:before="48" w:afterLines="20" w:after="48"/>
              <w:ind w:left="136"/>
              <w:jc w:val="left"/>
              <w:rPr>
                <w:b/>
                <w:noProof/>
                <w:sz w:val="16"/>
                <w:szCs w:val="16"/>
              </w:rPr>
            </w:pPr>
            <w:r w:rsidRPr="00401F20">
              <w:rPr>
                <w:noProof/>
                <w:sz w:val="16"/>
              </w:rPr>
              <w:t xml:space="preserve">- in Delegations </w:t>
            </w:r>
          </w:p>
        </w:tc>
        <w:tc>
          <w:tcPr>
            <w:tcW w:w="731" w:type="dxa"/>
            <w:shd w:val="clear" w:color="auto" w:fill="auto"/>
            <w:vAlign w:val="center"/>
          </w:tcPr>
          <w:p w14:paraId="34664E55" w14:textId="77777777" w:rsidR="00950C34" w:rsidRPr="00401F20" w:rsidRDefault="00950C34" w:rsidP="00FA7B33">
            <w:pPr>
              <w:pStyle w:val="Text1"/>
              <w:spacing w:beforeLines="20" w:before="48" w:afterLines="20" w:after="48"/>
              <w:ind w:left="0"/>
              <w:rPr>
                <w:noProof/>
                <w:sz w:val="16"/>
                <w:szCs w:val="16"/>
              </w:rPr>
            </w:pPr>
          </w:p>
        </w:tc>
        <w:tc>
          <w:tcPr>
            <w:tcW w:w="731" w:type="dxa"/>
            <w:shd w:val="clear" w:color="auto" w:fill="auto"/>
            <w:vAlign w:val="center"/>
          </w:tcPr>
          <w:p w14:paraId="53D7F4F6" w14:textId="77777777" w:rsidR="00950C34" w:rsidRPr="00401F20" w:rsidRDefault="00950C34" w:rsidP="00FA7B33">
            <w:pPr>
              <w:spacing w:beforeLines="20" w:before="48" w:afterLines="20" w:after="48"/>
              <w:jc w:val="center"/>
              <w:rPr>
                <w:noProof/>
                <w:sz w:val="16"/>
                <w:szCs w:val="16"/>
              </w:rPr>
            </w:pPr>
          </w:p>
        </w:tc>
        <w:tc>
          <w:tcPr>
            <w:tcW w:w="731" w:type="dxa"/>
            <w:shd w:val="clear" w:color="auto" w:fill="auto"/>
            <w:vAlign w:val="center"/>
          </w:tcPr>
          <w:p w14:paraId="1EDD524B" w14:textId="77777777" w:rsidR="00950C34" w:rsidRPr="00401F20" w:rsidRDefault="00950C34" w:rsidP="00FA7B33">
            <w:pPr>
              <w:spacing w:beforeLines="20" w:before="48" w:afterLines="20" w:after="48"/>
              <w:jc w:val="center"/>
              <w:rPr>
                <w:noProof/>
                <w:sz w:val="16"/>
                <w:szCs w:val="16"/>
              </w:rPr>
            </w:pPr>
          </w:p>
        </w:tc>
        <w:tc>
          <w:tcPr>
            <w:tcW w:w="731" w:type="dxa"/>
            <w:shd w:val="clear" w:color="auto" w:fill="auto"/>
            <w:vAlign w:val="center"/>
          </w:tcPr>
          <w:p w14:paraId="2BAAC151" w14:textId="77777777" w:rsidR="00950C34" w:rsidRPr="00401F20" w:rsidRDefault="00950C34" w:rsidP="00FA7B33">
            <w:pPr>
              <w:spacing w:beforeLines="20" w:before="48" w:afterLines="20" w:after="48"/>
              <w:jc w:val="center"/>
              <w:rPr>
                <w:noProof/>
                <w:sz w:val="16"/>
                <w:szCs w:val="16"/>
              </w:rPr>
            </w:pPr>
          </w:p>
        </w:tc>
        <w:tc>
          <w:tcPr>
            <w:tcW w:w="731" w:type="dxa"/>
            <w:shd w:val="clear" w:color="auto" w:fill="auto"/>
            <w:vAlign w:val="center"/>
          </w:tcPr>
          <w:p w14:paraId="50C7117F" w14:textId="77777777" w:rsidR="00950C34" w:rsidRPr="00401F20" w:rsidRDefault="00950C34" w:rsidP="00FA7B33">
            <w:pPr>
              <w:spacing w:beforeLines="20" w:before="48" w:afterLines="20" w:after="48"/>
              <w:jc w:val="center"/>
              <w:rPr>
                <w:noProof/>
                <w:sz w:val="16"/>
                <w:szCs w:val="16"/>
              </w:rPr>
            </w:pPr>
          </w:p>
        </w:tc>
        <w:tc>
          <w:tcPr>
            <w:tcW w:w="731" w:type="dxa"/>
            <w:shd w:val="clear" w:color="auto" w:fill="auto"/>
            <w:vAlign w:val="center"/>
          </w:tcPr>
          <w:p w14:paraId="7FF72381" w14:textId="77777777" w:rsidR="00950C34" w:rsidRPr="00401F20" w:rsidRDefault="00950C34" w:rsidP="00FA7B33">
            <w:pPr>
              <w:spacing w:beforeLines="20" w:before="48" w:afterLines="20" w:after="48"/>
              <w:jc w:val="center"/>
              <w:rPr>
                <w:noProof/>
                <w:sz w:val="16"/>
                <w:szCs w:val="16"/>
              </w:rPr>
            </w:pPr>
          </w:p>
        </w:tc>
        <w:tc>
          <w:tcPr>
            <w:tcW w:w="731" w:type="dxa"/>
            <w:shd w:val="clear" w:color="auto" w:fill="auto"/>
            <w:vAlign w:val="center"/>
          </w:tcPr>
          <w:p w14:paraId="4719FB0F" w14:textId="77777777" w:rsidR="00950C34" w:rsidRPr="00401F20" w:rsidRDefault="00950C34" w:rsidP="00FA7B33">
            <w:pPr>
              <w:spacing w:beforeLines="20" w:before="48" w:afterLines="20" w:after="48"/>
              <w:jc w:val="center"/>
              <w:rPr>
                <w:noProof/>
                <w:sz w:val="16"/>
                <w:szCs w:val="16"/>
              </w:rPr>
            </w:pPr>
          </w:p>
        </w:tc>
      </w:tr>
      <w:tr w:rsidR="00950C34" w:rsidRPr="003A769F" w14:paraId="496E1471" w14:textId="77777777" w:rsidTr="00FA7B33">
        <w:trPr>
          <w:gridBefore w:val="1"/>
          <w:wBefore w:w="15" w:type="dxa"/>
          <w:trHeight w:val="289"/>
          <w:jc w:val="center"/>
        </w:trPr>
        <w:tc>
          <w:tcPr>
            <w:tcW w:w="4754" w:type="dxa"/>
            <w:gridSpan w:val="2"/>
            <w:shd w:val="clear" w:color="auto" w:fill="auto"/>
            <w:vAlign w:val="center"/>
          </w:tcPr>
          <w:p w14:paraId="716FAE0A" w14:textId="77777777" w:rsidR="00950C34" w:rsidRPr="004843C4" w:rsidRDefault="00950C34" w:rsidP="00FA7B33">
            <w:pPr>
              <w:pStyle w:val="Text1"/>
              <w:spacing w:beforeLines="20" w:before="48" w:afterLines="20" w:after="48"/>
              <w:ind w:left="136"/>
              <w:jc w:val="left"/>
              <w:rPr>
                <w:noProof/>
                <w:sz w:val="16"/>
                <w:szCs w:val="16"/>
              </w:rPr>
            </w:pPr>
            <w:r w:rsidRPr="00401F20">
              <w:rPr>
                <w:noProof/>
                <w:sz w:val="16"/>
              </w:rPr>
              <w:t>01 01 01 02</w:t>
            </w:r>
            <w:r w:rsidRPr="004843C4">
              <w:rPr>
                <w:rFonts w:ascii="Arial Narrow" w:hAnsi="Arial Narrow"/>
                <w:noProof/>
                <w:color w:val="000000"/>
                <w:sz w:val="20"/>
                <w:szCs w:val="20"/>
              </w:rPr>
              <w:t xml:space="preserve"> </w:t>
            </w:r>
            <w:r w:rsidRPr="004843C4">
              <w:rPr>
                <w:noProof/>
                <w:sz w:val="16"/>
                <w:szCs w:val="16"/>
              </w:rPr>
              <w:t>(AC, END, INT - Indirect research)</w:t>
            </w:r>
          </w:p>
        </w:tc>
        <w:tc>
          <w:tcPr>
            <w:tcW w:w="731" w:type="dxa"/>
            <w:shd w:val="clear" w:color="auto" w:fill="auto"/>
            <w:vAlign w:val="center"/>
          </w:tcPr>
          <w:p w14:paraId="6474A1E7" w14:textId="77777777" w:rsidR="00950C34" w:rsidRPr="003A769F" w:rsidRDefault="00950C34" w:rsidP="00FA7B33">
            <w:pPr>
              <w:spacing w:beforeLines="20" w:before="48" w:afterLines="20" w:after="48"/>
              <w:jc w:val="center"/>
              <w:rPr>
                <w:noProof/>
                <w:sz w:val="16"/>
                <w:szCs w:val="16"/>
                <w:lang w:val="en-IE"/>
              </w:rPr>
            </w:pPr>
          </w:p>
        </w:tc>
        <w:tc>
          <w:tcPr>
            <w:tcW w:w="731" w:type="dxa"/>
            <w:shd w:val="clear" w:color="auto" w:fill="auto"/>
            <w:vAlign w:val="center"/>
          </w:tcPr>
          <w:p w14:paraId="697406E3" w14:textId="77777777" w:rsidR="00950C34" w:rsidRPr="003A769F" w:rsidRDefault="00950C34" w:rsidP="00FA7B33">
            <w:pPr>
              <w:spacing w:beforeLines="20" w:before="48" w:afterLines="20" w:after="48"/>
              <w:jc w:val="center"/>
              <w:rPr>
                <w:noProof/>
                <w:sz w:val="16"/>
                <w:szCs w:val="16"/>
                <w:lang w:val="en-IE"/>
              </w:rPr>
            </w:pPr>
          </w:p>
        </w:tc>
        <w:tc>
          <w:tcPr>
            <w:tcW w:w="731" w:type="dxa"/>
            <w:shd w:val="clear" w:color="auto" w:fill="auto"/>
            <w:vAlign w:val="center"/>
          </w:tcPr>
          <w:p w14:paraId="233928DB" w14:textId="77777777" w:rsidR="00950C34" w:rsidRPr="003A769F" w:rsidRDefault="00950C34" w:rsidP="00FA7B33">
            <w:pPr>
              <w:spacing w:beforeLines="20" w:before="48" w:afterLines="20" w:after="48"/>
              <w:jc w:val="center"/>
              <w:rPr>
                <w:noProof/>
                <w:sz w:val="16"/>
                <w:szCs w:val="16"/>
                <w:lang w:val="en-IE"/>
              </w:rPr>
            </w:pPr>
          </w:p>
        </w:tc>
        <w:tc>
          <w:tcPr>
            <w:tcW w:w="731" w:type="dxa"/>
            <w:shd w:val="clear" w:color="auto" w:fill="auto"/>
            <w:vAlign w:val="center"/>
          </w:tcPr>
          <w:p w14:paraId="62E10CBC" w14:textId="77777777" w:rsidR="00950C34" w:rsidRPr="003A769F" w:rsidRDefault="00950C34" w:rsidP="00FA7B33">
            <w:pPr>
              <w:spacing w:beforeLines="20" w:before="48" w:afterLines="20" w:after="48"/>
              <w:jc w:val="center"/>
              <w:rPr>
                <w:noProof/>
                <w:sz w:val="16"/>
                <w:szCs w:val="16"/>
                <w:lang w:val="en-IE"/>
              </w:rPr>
            </w:pPr>
          </w:p>
        </w:tc>
        <w:tc>
          <w:tcPr>
            <w:tcW w:w="731" w:type="dxa"/>
            <w:shd w:val="clear" w:color="auto" w:fill="auto"/>
            <w:vAlign w:val="center"/>
          </w:tcPr>
          <w:p w14:paraId="6EB26475" w14:textId="77777777" w:rsidR="00950C34" w:rsidRPr="003A769F" w:rsidRDefault="00950C34" w:rsidP="00FA7B33">
            <w:pPr>
              <w:spacing w:beforeLines="20" w:before="48" w:afterLines="20" w:after="48"/>
              <w:jc w:val="center"/>
              <w:rPr>
                <w:noProof/>
                <w:sz w:val="16"/>
                <w:szCs w:val="16"/>
                <w:lang w:val="en-IE"/>
              </w:rPr>
            </w:pPr>
          </w:p>
        </w:tc>
        <w:tc>
          <w:tcPr>
            <w:tcW w:w="731" w:type="dxa"/>
            <w:shd w:val="clear" w:color="auto" w:fill="auto"/>
            <w:vAlign w:val="center"/>
          </w:tcPr>
          <w:p w14:paraId="4CC4C661" w14:textId="77777777" w:rsidR="00950C34" w:rsidRPr="003A769F" w:rsidRDefault="00950C34" w:rsidP="00FA7B33">
            <w:pPr>
              <w:spacing w:beforeLines="20" w:before="48" w:afterLines="20" w:after="48"/>
              <w:jc w:val="center"/>
              <w:rPr>
                <w:noProof/>
                <w:sz w:val="16"/>
                <w:szCs w:val="16"/>
                <w:lang w:val="en-IE"/>
              </w:rPr>
            </w:pPr>
          </w:p>
        </w:tc>
        <w:tc>
          <w:tcPr>
            <w:tcW w:w="731" w:type="dxa"/>
            <w:shd w:val="clear" w:color="auto" w:fill="auto"/>
            <w:vAlign w:val="center"/>
          </w:tcPr>
          <w:p w14:paraId="33FB440A" w14:textId="77777777" w:rsidR="00950C34" w:rsidRPr="003A769F" w:rsidRDefault="00950C34" w:rsidP="00FA7B33">
            <w:pPr>
              <w:spacing w:beforeLines="20" w:before="48" w:afterLines="20" w:after="48"/>
              <w:jc w:val="center"/>
              <w:rPr>
                <w:noProof/>
                <w:sz w:val="16"/>
                <w:szCs w:val="16"/>
                <w:lang w:val="en-IE"/>
              </w:rPr>
            </w:pPr>
          </w:p>
        </w:tc>
      </w:tr>
      <w:tr w:rsidR="00950C34" w:rsidRPr="003A769F" w14:paraId="07A708FA" w14:textId="77777777" w:rsidTr="00FA7B33">
        <w:trPr>
          <w:gridBefore w:val="1"/>
          <w:wBefore w:w="15" w:type="dxa"/>
          <w:trHeight w:val="289"/>
          <w:jc w:val="center"/>
        </w:trPr>
        <w:tc>
          <w:tcPr>
            <w:tcW w:w="4754" w:type="dxa"/>
            <w:gridSpan w:val="2"/>
            <w:shd w:val="clear" w:color="auto" w:fill="auto"/>
            <w:vAlign w:val="center"/>
          </w:tcPr>
          <w:p w14:paraId="1F13009B" w14:textId="77777777" w:rsidR="00950C34" w:rsidRPr="00401F20" w:rsidRDefault="00950C34" w:rsidP="00FA7B33">
            <w:pPr>
              <w:pStyle w:val="Text1"/>
              <w:spacing w:beforeLines="20" w:before="48" w:afterLines="20" w:after="48"/>
              <w:ind w:left="136"/>
              <w:jc w:val="left"/>
              <w:rPr>
                <w:noProof/>
                <w:color w:val="FF0000"/>
                <w:sz w:val="16"/>
                <w:szCs w:val="16"/>
              </w:rPr>
            </w:pPr>
            <w:r w:rsidRPr="00401F20">
              <w:rPr>
                <w:noProof/>
                <w:sz w:val="16"/>
              </w:rPr>
              <w:t xml:space="preserve"> 01 01</w:t>
            </w:r>
            <w:r w:rsidRPr="004843C4">
              <w:rPr>
                <w:noProof/>
                <w:sz w:val="16"/>
              </w:rPr>
              <w:t xml:space="preserve"> 0</w:t>
            </w:r>
            <w:r w:rsidRPr="00401F20">
              <w:rPr>
                <w:noProof/>
                <w:sz w:val="16"/>
              </w:rPr>
              <w:t xml:space="preserve">1 </w:t>
            </w:r>
            <w:r w:rsidRPr="004843C4">
              <w:rPr>
                <w:noProof/>
                <w:sz w:val="16"/>
              </w:rPr>
              <w:t>12 (AC, END, INT - Direct research)</w:t>
            </w:r>
          </w:p>
        </w:tc>
        <w:tc>
          <w:tcPr>
            <w:tcW w:w="731" w:type="dxa"/>
            <w:shd w:val="clear" w:color="auto" w:fill="auto"/>
            <w:vAlign w:val="center"/>
          </w:tcPr>
          <w:p w14:paraId="370AEDB6" w14:textId="77777777" w:rsidR="00950C34" w:rsidRPr="003A769F" w:rsidRDefault="00950C34" w:rsidP="00FA7B33">
            <w:pPr>
              <w:spacing w:beforeLines="20" w:before="48" w:afterLines="20" w:after="48"/>
              <w:jc w:val="center"/>
              <w:rPr>
                <w:noProof/>
                <w:sz w:val="16"/>
                <w:szCs w:val="16"/>
                <w:lang w:val="en-IE"/>
              </w:rPr>
            </w:pPr>
          </w:p>
        </w:tc>
        <w:tc>
          <w:tcPr>
            <w:tcW w:w="731" w:type="dxa"/>
            <w:shd w:val="clear" w:color="auto" w:fill="auto"/>
            <w:vAlign w:val="center"/>
          </w:tcPr>
          <w:p w14:paraId="394E29D2" w14:textId="77777777" w:rsidR="00950C34" w:rsidRPr="003A769F" w:rsidRDefault="00950C34" w:rsidP="00FA7B33">
            <w:pPr>
              <w:spacing w:beforeLines="20" w:before="48" w:afterLines="20" w:after="48"/>
              <w:jc w:val="center"/>
              <w:rPr>
                <w:noProof/>
                <w:sz w:val="16"/>
                <w:szCs w:val="16"/>
                <w:lang w:val="en-IE"/>
              </w:rPr>
            </w:pPr>
          </w:p>
        </w:tc>
        <w:tc>
          <w:tcPr>
            <w:tcW w:w="731" w:type="dxa"/>
            <w:shd w:val="clear" w:color="auto" w:fill="auto"/>
            <w:vAlign w:val="center"/>
          </w:tcPr>
          <w:p w14:paraId="06A73ACE" w14:textId="77777777" w:rsidR="00950C34" w:rsidRPr="003A769F" w:rsidRDefault="00950C34" w:rsidP="00FA7B33">
            <w:pPr>
              <w:spacing w:beforeLines="20" w:before="48" w:afterLines="20" w:after="48"/>
              <w:jc w:val="center"/>
              <w:rPr>
                <w:noProof/>
                <w:sz w:val="16"/>
                <w:szCs w:val="16"/>
                <w:lang w:val="en-IE"/>
              </w:rPr>
            </w:pPr>
          </w:p>
        </w:tc>
        <w:tc>
          <w:tcPr>
            <w:tcW w:w="731" w:type="dxa"/>
            <w:shd w:val="clear" w:color="auto" w:fill="auto"/>
            <w:vAlign w:val="center"/>
          </w:tcPr>
          <w:p w14:paraId="58879852" w14:textId="77777777" w:rsidR="00950C34" w:rsidRPr="003A769F" w:rsidRDefault="00950C34" w:rsidP="00FA7B33">
            <w:pPr>
              <w:spacing w:beforeLines="20" w:before="48" w:afterLines="20" w:after="48"/>
              <w:jc w:val="center"/>
              <w:rPr>
                <w:noProof/>
                <w:sz w:val="16"/>
                <w:szCs w:val="16"/>
                <w:lang w:val="en-IE"/>
              </w:rPr>
            </w:pPr>
          </w:p>
        </w:tc>
        <w:tc>
          <w:tcPr>
            <w:tcW w:w="731" w:type="dxa"/>
            <w:shd w:val="clear" w:color="auto" w:fill="auto"/>
            <w:vAlign w:val="center"/>
          </w:tcPr>
          <w:p w14:paraId="64EB776D" w14:textId="77777777" w:rsidR="00950C34" w:rsidRPr="003A769F" w:rsidRDefault="00950C34" w:rsidP="00FA7B33">
            <w:pPr>
              <w:spacing w:beforeLines="20" w:before="48" w:afterLines="20" w:after="48"/>
              <w:jc w:val="center"/>
              <w:rPr>
                <w:noProof/>
                <w:sz w:val="16"/>
                <w:szCs w:val="16"/>
                <w:lang w:val="en-IE"/>
              </w:rPr>
            </w:pPr>
          </w:p>
        </w:tc>
        <w:tc>
          <w:tcPr>
            <w:tcW w:w="731" w:type="dxa"/>
            <w:shd w:val="clear" w:color="auto" w:fill="auto"/>
            <w:vAlign w:val="center"/>
          </w:tcPr>
          <w:p w14:paraId="3851712E" w14:textId="77777777" w:rsidR="00950C34" w:rsidRPr="003A769F" w:rsidRDefault="00950C34" w:rsidP="00FA7B33">
            <w:pPr>
              <w:spacing w:beforeLines="20" w:before="48" w:afterLines="20" w:after="48"/>
              <w:jc w:val="center"/>
              <w:rPr>
                <w:noProof/>
                <w:sz w:val="16"/>
                <w:szCs w:val="16"/>
                <w:lang w:val="en-IE"/>
              </w:rPr>
            </w:pPr>
          </w:p>
        </w:tc>
        <w:tc>
          <w:tcPr>
            <w:tcW w:w="731" w:type="dxa"/>
            <w:shd w:val="clear" w:color="auto" w:fill="auto"/>
            <w:vAlign w:val="center"/>
          </w:tcPr>
          <w:p w14:paraId="276FD0B9" w14:textId="77777777" w:rsidR="00950C34" w:rsidRPr="003A769F" w:rsidRDefault="00950C34" w:rsidP="00FA7B33">
            <w:pPr>
              <w:spacing w:beforeLines="20" w:before="48" w:afterLines="20" w:after="48"/>
              <w:jc w:val="center"/>
              <w:rPr>
                <w:noProof/>
                <w:sz w:val="16"/>
                <w:szCs w:val="16"/>
                <w:lang w:val="en-IE"/>
              </w:rPr>
            </w:pPr>
          </w:p>
        </w:tc>
      </w:tr>
      <w:tr w:rsidR="00950C34" w:rsidRPr="00401F20" w14:paraId="5F439C2A" w14:textId="77777777" w:rsidTr="00FA7B33">
        <w:trPr>
          <w:gridBefore w:val="1"/>
          <w:wBefore w:w="15" w:type="dxa"/>
          <w:trHeight w:val="289"/>
          <w:jc w:val="center"/>
        </w:trPr>
        <w:tc>
          <w:tcPr>
            <w:tcW w:w="4754" w:type="dxa"/>
            <w:gridSpan w:val="2"/>
            <w:shd w:val="clear" w:color="auto" w:fill="auto"/>
            <w:vAlign w:val="center"/>
          </w:tcPr>
          <w:p w14:paraId="2E10020A" w14:textId="77777777" w:rsidR="00950C34" w:rsidRPr="00401F20" w:rsidRDefault="00950C34" w:rsidP="00FA7B33">
            <w:pPr>
              <w:pStyle w:val="Text1"/>
              <w:spacing w:beforeLines="20" w:before="48" w:afterLines="20" w:after="48"/>
              <w:ind w:left="136"/>
              <w:jc w:val="left"/>
              <w:rPr>
                <w:noProof/>
                <w:sz w:val="16"/>
              </w:rPr>
            </w:pPr>
            <w:r w:rsidRPr="00401F20">
              <w:rPr>
                <w:noProof/>
                <w:sz w:val="16"/>
              </w:rPr>
              <w:t>Other budget lines (specify)</w:t>
            </w:r>
          </w:p>
        </w:tc>
        <w:tc>
          <w:tcPr>
            <w:tcW w:w="731" w:type="dxa"/>
            <w:shd w:val="clear" w:color="auto" w:fill="auto"/>
            <w:vAlign w:val="center"/>
          </w:tcPr>
          <w:p w14:paraId="372AFB59" w14:textId="77777777" w:rsidR="00950C34" w:rsidRPr="004843C4" w:rsidRDefault="00950C34" w:rsidP="00FA7B33">
            <w:pPr>
              <w:spacing w:beforeLines="20" w:before="48" w:afterLines="20" w:after="48"/>
              <w:jc w:val="center"/>
              <w:rPr>
                <w:noProof/>
                <w:sz w:val="16"/>
                <w:szCs w:val="16"/>
              </w:rPr>
            </w:pPr>
          </w:p>
        </w:tc>
        <w:tc>
          <w:tcPr>
            <w:tcW w:w="731" w:type="dxa"/>
            <w:shd w:val="clear" w:color="auto" w:fill="auto"/>
            <w:vAlign w:val="center"/>
          </w:tcPr>
          <w:p w14:paraId="06F94447" w14:textId="77777777" w:rsidR="00950C34" w:rsidRPr="004843C4" w:rsidRDefault="00950C34" w:rsidP="00FA7B33">
            <w:pPr>
              <w:spacing w:beforeLines="20" w:before="48" w:afterLines="20" w:after="48"/>
              <w:jc w:val="center"/>
              <w:rPr>
                <w:noProof/>
                <w:sz w:val="16"/>
                <w:szCs w:val="16"/>
              </w:rPr>
            </w:pPr>
          </w:p>
        </w:tc>
        <w:tc>
          <w:tcPr>
            <w:tcW w:w="731" w:type="dxa"/>
            <w:shd w:val="clear" w:color="auto" w:fill="auto"/>
            <w:vAlign w:val="center"/>
          </w:tcPr>
          <w:p w14:paraId="23BCFB16" w14:textId="77777777" w:rsidR="00950C34" w:rsidRPr="00401F20" w:rsidRDefault="00950C34" w:rsidP="00FA7B33">
            <w:pPr>
              <w:spacing w:beforeLines="20" w:before="48" w:afterLines="20" w:after="48"/>
              <w:jc w:val="center"/>
              <w:rPr>
                <w:noProof/>
                <w:sz w:val="16"/>
                <w:szCs w:val="16"/>
              </w:rPr>
            </w:pPr>
          </w:p>
        </w:tc>
        <w:tc>
          <w:tcPr>
            <w:tcW w:w="731" w:type="dxa"/>
            <w:shd w:val="clear" w:color="auto" w:fill="auto"/>
            <w:vAlign w:val="center"/>
          </w:tcPr>
          <w:p w14:paraId="23F943AD" w14:textId="77777777" w:rsidR="00950C34" w:rsidRPr="00401F20" w:rsidRDefault="00950C34" w:rsidP="00FA7B33">
            <w:pPr>
              <w:spacing w:beforeLines="20" w:before="48" w:afterLines="20" w:after="48"/>
              <w:jc w:val="center"/>
              <w:rPr>
                <w:noProof/>
                <w:sz w:val="16"/>
                <w:szCs w:val="16"/>
              </w:rPr>
            </w:pPr>
          </w:p>
        </w:tc>
        <w:tc>
          <w:tcPr>
            <w:tcW w:w="731" w:type="dxa"/>
            <w:shd w:val="clear" w:color="auto" w:fill="auto"/>
            <w:vAlign w:val="center"/>
          </w:tcPr>
          <w:p w14:paraId="2CA5FEAB" w14:textId="77777777" w:rsidR="00950C34" w:rsidRPr="00401F20" w:rsidRDefault="00950C34" w:rsidP="00FA7B33">
            <w:pPr>
              <w:spacing w:beforeLines="20" w:before="48" w:afterLines="20" w:after="48"/>
              <w:jc w:val="center"/>
              <w:rPr>
                <w:noProof/>
                <w:sz w:val="16"/>
                <w:szCs w:val="16"/>
              </w:rPr>
            </w:pPr>
          </w:p>
        </w:tc>
        <w:tc>
          <w:tcPr>
            <w:tcW w:w="731" w:type="dxa"/>
            <w:shd w:val="clear" w:color="auto" w:fill="auto"/>
            <w:vAlign w:val="center"/>
          </w:tcPr>
          <w:p w14:paraId="7727B026" w14:textId="77777777" w:rsidR="00950C34" w:rsidRPr="00401F20" w:rsidRDefault="00950C34" w:rsidP="00FA7B33">
            <w:pPr>
              <w:spacing w:beforeLines="20" w:before="48" w:afterLines="20" w:after="48"/>
              <w:jc w:val="center"/>
              <w:rPr>
                <w:noProof/>
                <w:sz w:val="16"/>
                <w:szCs w:val="16"/>
              </w:rPr>
            </w:pPr>
          </w:p>
        </w:tc>
        <w:tc>
          <w:tcPr>
            <w:tcW w:w="731" w:type="dxa"/>
            <w:shd w:val="clear" w:color="auto" w:fill="auto"/>
            <w:vAlign w:val="center"/>
          </w:tcPr>
          <w:p w14:paraId="489D8D54" w14:textId="77777777" w:rsidR="00950C34" w:rsidRPr="00401F20" w:rsidRDefault="00950C34" w:rsidP="00FA7B33">
            <w:pPr>
              <w:spacing w:beforeLines="20" w:before="48" w:afterLines="20" w:after="48"/>
              <w:jc w:val="center"/>
              <w:rPr>
                <w:noProof/>
                <w:sz w:val="16"/>
                <w:szCs w:val="16"/>
              </w:rPr>
            </w:pPr>
          </w:p>
        </w:tc>
      </w:tr>
      <w:tr w:rsidR="00950C34" w:rsidRPr="00401F20" w14:paraId="4C5B1AD8" w14:textId="77777777" w:rsidTr="00FA7B33">
        <w:trPr>
          <w:gridBefore w:val="1"/>
          <w:wBefore w:w="15" w:type="dxa"/>
          <w:trHeight w:val="289"/>
          <w:jc w:val="center"/>
        </w:trPr>
        <w:tc>
          <w:tcPr>
            <w:tcW w:w="4754" w:type="dxa"/>
            <w:gridSpan w:val="2"/>
            <w:tcBorders>
              <w:top w:val="double" w:sz="4" w:space="0" w:color="auto"/>
            </w:tcBorders>
            <w:shd w:val="clear" w:color="auto" w:fill="auto"/>
            <w:vAlign w:val="center"/>
          </w:tcPr>
          <w:p w14:paraId="3FCAF07E" w14:textId="77777777" w:rsidR="00950C34" w:rsidRPr="00401F20" w:rsidRDefault="00950C34" w:rsidP="00FA7B33">
            <w:pPr>
              <w:pStyle w:val="Text1"/>
              <w:spacing w:beforeLines="20" w:before="48" w:afterLines="20" w:after="48"/>
              <w:ind w:left="136"/>
              <w:jc w:val="left"/>
              <w:rPr>
                <w:noProof/>
                <w:sz w:val="16"/>
                <w:szCs w:val="16"/>
              </w:rPr>
            </w:pPr>
            <w:r w:rsidRPr="00401F20">
              <w:rPr>
                <w:b/>
                <w:noProof/>
                <w:sz w:val="16"/>
              </w:rPr>
              <w:t>TOTAL</w:t>
            </w:r>
          </w:p>
        </w:tc>
        <w:tc>
          <w:tcPr>
            <w:tcW w:w="731" w:type="dxa"/>
            <w:tcBorders>
              <w:top w:val="double" w:sz="4" w:space="0" w:color="auto"/>
            </w:tcBorders>
            <w:shd w:val="clear" w:color="auto" w:fill="auto"/>
            <w:vAlign w:val="center"/>
          </w:tcPr>
          <w:p w14:paraId="6778E790" w14:textId="77777777" w:rsidR="00950C34" w:rsidRPr="00401F20" w:rsidRDefault="00950C34" w:rsidP="00FA7B33">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14:paraId="24587EB1" w14:textId="77777777" w:rsidR="00950C34" w:rsidRPr="00401F20" w:rsidRDefault="00950C34" w:rsidP="00FA7B33">
            <w:pPr>
              <w:spacing w:beforeLines="20" w:before="48" w:afterLines="20" w:after="48"/>
              <w:jc w:val="center"/>
              <w:rPr>
                <w:b/>
                <w:bCs/>
                <w:noProof/>
                <w:sz w:val="16"/>
                <w:szCs w:val="16"/>
              </w:rPr>
            </w:pPr>
            <w:r w:rsidRPr="0B07273F">
              <w:rPr>
                <w:b/>
                <w:bCs/>
                <w:noProof/>
                <w:sz w:val="16"/>
                <w:szCs w:val="16"/>
              </w:rPr>
              <w:t>20</w:t>
            </w:r>
          </w:p>
        </w:tc>
        <w:tc>
          <w:tcPr>
            <w:tcW w:w="731" w:type="dxa"/>
            <w:tcBorders>
              <w:top w:val="double" w:sz="4" w:space="0" w:color="auto"/>
            </w:tcBorders>
            <w:shd w:val="clear" w:color="auto" w:fill="auto"/>
            <w:vAlign w:val="center"/>
          </w:tcPr>
          <w:p w14:paraId="72011E0B" w14:textId="77777777" w:rsidR="00950C34" w:rsidRPr="00401F20" w:rsidRDefault="00950C34" w:rsidP="00FA7B33">
            <w:pPr>
              <w:spacing w:beforeLines="20" w:before="48" w:afterLines="20" w:after="48"/>
              <w:jc w:val="center"/>
              <w:rPr>
                <w:b/>
                <w:bCs/>
                <w:noProof/>
                <w:sz w:val="16"/>
                <w:szCs w:val="16"/>
              </w:rPr>
            </w:pPr>
            <w:r w:rsidRPr="0B07273F">
              <w:rPr>
                <w:b/>
                <w:bCs/>
                <w:noProof/>
                <w:sz w:val="16"/>
                <w:szCs w:val="16"/>
              </w:rPr>
              <w:t>20</w:t>
            </w:r>
          </w:p>
        </w:tc>
        <w:tc>
          <w:tcPr>
            <w:tcW w:w="731" w:type="dxa"/>
            <w:tcBorders>
              <w:top w:val="double" w:sz="4" w:space="0" w:color="auto"/>
            </w:tcBorders>
            <w:shd w:val="clear" w:color="auto" w:fill="auto"/>
            <w:vAlign w:val="center"/>
          </w:tcPr>
          <w:p w14:paraId="2FEA92B8" w14:textId="77777777" w:rsidR="00950C34" w:rsidRPr="00401F20" w:rsidRDefault="00950C34" w:rsidP="00FA7B33">
            <w:pPr>
              <w:spacing w:beforeLines="20" w:before="48" w:afterLines="20" w:after="48"/>
              <w:jc w:val="center"/>
              <w:rPr>
                <w:b/>
                <w:bCs/>
                <w:noProof/>
                <w:sz w:val="16"/>
                <w:szCs w:val="16"/>
              </w:rPr>
            </w:pPr>
            <w:r w:rsidRPr="0B07273F">
              <w:rPr>
                <w:b/>
                <w:bCs/>
                <w:noProof/>
                <w:sz w:val="16"/>
                <w:szCs w:val="16"/>
              </w:rPr>
              <w:t>20</w:t>
            </w:r>
          </w:p>
        </w:tc>
        <w:tc>
          <w:tcPr>
            <w:tcW w:w="731" w:type="dxa"/>
            <w:tcBorders>
              <w:top w:val="double" w:sz="4" w:space="0" w:color="auto"/>
            </w:tcBorders>
            <w:shd w:val="clear" w:color="auto" w:fill="auto"/>
            <w:vAlign w:val="center"/>
          </w:tcPr>
          <w:p w14:paraId="550B6719" w14:textId="77777777" w:rsidR="00950C34" w:rsidRPr="00401F20" w:rsidRDefault="00950C34" w:rsidP="00FA7B33">
            <w:pPr>
              <w:spacing w:beforeLines="20" w:before="48" w:afterLines="20" w:after="48"/>
              <w:jc w:val="center"/>
              <w:rPr>
                <w:b/>
                <w:bCs/>
                <w:noProof/>
                <w:sz w:val="16"/>
                <w:szCs w:val="16"/>
              </w:rPr>
            </w:pPr>
            <w:r w:rsidRPr="0B07273F">
              <w:rPr>
                <w:b/>
                <w:bCs/>
                <w:noProof/>
                <w:sz w:val="16"/>
                <w:szCs w:val="16"/>
              </w:rPr>
              <w:t>20</w:t>
            </w:r>
          </w:p>
        </w:tc>
        <w:tc>
          <w:tcPr>
            <w:tcW w:w="731" w:type="dxa"/>
            <w:tcBorders>
              <w:top w:val="double" w:sz="4" w:space="0" w:color="auto"/>
            </w:tcBorders>
            <w:shd w:val="clear" w:color="auto" w:fill="auto"/>
            <w:vAlign w:val="center"/>
          </w:tcPr>
          <w:p w14:paraId="317F0426" w14:textId="77777777" w:rsidR="00950C34" w:rsidRPr="00401F20" w:rsidRDefault="00950C34" w:rsidP="00FA7B33">
            <w:pPr>
              <w:spacing w:beforeLines="20" w:before="48" w:afterLines="20" w:after="48"/>
              <w:jc w:val="center"/>
              <w:rPr>
                <w:b/>
                <w:bCs/>
                <w:noProof/>
                <w:sz w:val="16"/>
                <w:szCs w:val="16"/>
              </w:rPr>
            </w:pPr>
            <w:r w:rsidRPr="0B07273F">
              <w:rPr>
                <w:b/>
                <w:bCs/>
                <w:noProof/>
                <w:sz w:val="16"/>
                <w:szCs w:val="16"/>
              </w:rPr>
              <w:t>7</w:t>
            </w:r>
          </w:p>
        </w:tc>
        <w:tc>
          <w:tcPr>
            <w:tcW w:w="731" w:type="dxa"/>
            <w:tcBorders>
              <w:top w:val="double" w:sz="4" w:space="0" w:color="auto"/>
            </w:tcBorders>
            <w:shd w:val="clear" w:color="auto" w:fill="auto"/>
            <w:vAlign w:val="center"/>
          </w:tcPr>
          <w:p w14:paraId="70CEE604" w14:textId="77777777" w:rsidR="00950C34" w:rsidRPr="00401F20" w:rsidRDefault="00950C34" w:rsidP="00FA7B33">
            <w:pPr>
              <w:spacing w:beforeLines="20" w:before="48" w:afterLines="20" w:after="48"/>
              <w:jc w:val="center"/>
              <w:rPr>
                <w:b/>
                <w:bCs/>
                <w:noProof/>
                <w:sz w:val="16"/>
                <w:szCs w:val="16"/>
              </w:rPr>
            </w:pPr>
            <w:r w:rsidRPr="0B07273F">
              <w:rPr>
                <w:b/>
                <w:bCs/>
                <w:noProof/>
                <w:sz w:val="16"/>
                <w:szCs w:val="16"/>
              </w:rPr>
              <w:t>7</w:t>
            </w:r>
          </w:p>
        </w:tc>
      </w:tr>
    </w:tbl>
    <w:p w14:paraId="5E219FD1" w14:textId="77777777" w:rsidR="00950C34" w:rsidRDefault="00950C34" w:rsidP="00950C34">
      <w:pPr>
        <w:pStyle w:val="Text1"/>
        <w:spacing w:before="60" w:after="60"/>
        <w:ind w:left="851"/>
        <w:rPr>
          <w:noProof/>
          <w:sz w:val="18"/>
          <w:szCs w:val="18"/>
        </w:rPr>
      </w:pPr>
      <w:r w:rsidRPr="00401F20">
        <w:rPr>
          <w:b/>
          <w:noProof/>
          <w:sz w:val="18"/>
          <w:szCs w:val="18"/>
        </w:rPr>
        <w:t>XX</w:t>
      </w:r>
      <w:r w:rsidRPr="00401F20">
        <w:rPr>
          <w:noProof/>
          <w:sz w:val="18"/>
          <w:szCs w:val="18"/>
        </w:rPr>
        <w:t xml:space="preserve"> is the policy area or budget title concerned.</w:t>
      </w:r>
    </w:p>
    <w:p w14:paraId="4AFCFC7A" w14:textId="77777777" w:rsidR="00950C34" w:rsidRDefault="00950C34" w:rsidP="00950C34">
      <w:pPr>
        <w:pStyle w:val="Text1"/>
        <w:rPr>
          <w:noProof/>
          <w:sz w:val="18"/>
          <w:szCs w:val="18"/>
        </w:rPr>
      </w:pPr>
      <w:r>
        <w:rPr>
          <w:noProof/>
          <w:sz w:val="18"/>
        </w:rPr>
        <w:t>The human resources required will be met by staff from the DG who are already assigned to management of the action and/or have been redeployed within the DG, together if necessary with any additional allocation which may be granted to the managing DG under the annual allocation procedure and in the light of budgetary constraints.</w:t>
      </w:r>
    </w:p>
    <w:p w14:paraId="666EAF35" w14:textId="77777777" w:rsidR="00950C34" w:rsidRPr="003A769F" w:rsidRDefault="00950C34" w:rsidP="00950C34">
      <w:pPr>
        <w:rPr>
          <w:noProof/>
          <w:sz w:val="20"/>
          <w:lang w:val="en-IE"/>
        </w:rPr>
      </w:pPr>
      <w:r w:rsidRPr="003A769F">
        <w:rPr>
          <w:noProof/>
          <w:sz w:val="20"/>
          <w:lang w:val="en-IE"/>
        </w:rPr>
        <w:t>Description of tasks to be carried out:</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950C34" w14:paraId="572EC456" w14:textId="77777777" w:rsidTr="00FA7B33">
        <w:tc>
          <w:tcPr>
            <w:tcW w:w="3240" w:type="dxa"/>
          </w:tcPr>
          <w:p w14:paraId="3F446AC2" w14:textId="77777777" w:rsidR="00950C34" w:rsidRDefault="00950C34" w:rsidP="00FA7B33">
            <w:pPr>
              <w:rPr>
                <w:noProof/>
                <w:sz w:val="20"/>
              </w:rPr>
            </w:pPr>
            <w:r>
              <w:rPr>
                <w:noProof/>
                <w:sz w:val="20"/>
              </w:rPr>
              <w:t>Officials and temporary staff</w:t>
            </w:r>
          </w:p>
        </w:tc>
        <w:tc>
          <w:tcPr>
            <w:tcW w:w="7200" w:type="dxa"/>
          </w:tcPr>
          <w:p w14:paraId="3EC05A89" w14:textId="77777777" w:rsidR="00950C34" w:rsidRDefault="00950C34" w:rsidP="00FA7B33">
            <w:pPr>
              <w:rPr>
                <w:noProof/>
                <w:sz w:val="20"/>
                <w:szCs w:val="20"/>
              </w:rPr>
            </w:pPr>
            <w:r w:rsidRPr="00706583">
              <w:rPr>
                <w:rFonts w:eastAsiaTheme="minorEastAsia"/>
                <w:noProof/>
                <w:sz w:val="20"/>
                <w:szCs w:val="20"/>
              </w:rPr>
              <w:t>15 FTEs (12 AD and 3 AST) will be required to set up and start the first activities of the one-stop-shop in 2024. The same number of FTEs will be needed until the end of the current MFF period, before decreasing to 5 FTEs in 2028 and 2029</w:t>
            </w:r>
          </w:p>
          <w:p w14:paraId="745E0D3D" w14:textId="77777777" w:rsidR="00950C34" w:rsidRPr="00706583" w:rsidRDefault="00950C34" w:rsidP="00FA7B33">
            <w:pPr>
              <w:rPr>
                <w:noProof/>
                <w:sz w:val="20"/>
                <w:szCs w:val="20"/>
              </w:rPr>
            </w:pPr>
            <w:r w:rsidRPr="00706583">
              <w:rPr>
                <w:rFonts w:eastAsiaTheme="minorEastAsia"/>
                <w:noProof/>
                <w:sz w:val="20"/>
                <w:szCs w:val="20"/>
              </w:rPr>
              <w:t>The One-Stop-Shop will consist of an additional unit to be established within DG BUDG in the Commission. However, these needs will be covered through internal redeployment</w:t>
            </w:r>
            <w:r w:rsidRPr="24F723DD">
              <w:rPr>
                <w:rFonts w:eastAsiaTheme="minorEastAsia"/>
                <w:noProof/>
                <w:sz w:val="20"/>
                <w:szCs w:val="20"/>
              </w:rPr>
              <w:t xml:space="preserve"> within the Commission</w:t>
            </w:r>
            <w:r w:rsidRPr="00706583">
              <w:rPr>
                <w:rFonts w:eastAsiaTheme="minorEastAsia"/>
                <w:noProof/>
                <w:sz w:val="20"/>
                <w:szCs w:val="20"/>
              </w:rPr>
              <w:t>.</w:t>
            </w:r>
          </w:p>
        </w:tc>
      </w:tr>
      <w:tr w:rsidR="00950C34" w14:paraId="1764FC96" w14:textId="77777777" w:rsidTr="00FA7B33">
        <w:tc>
          <w:tcPr>
            <w:tcW w:w="3240" w:type="dxa"/>
          </w:tcPr>
          <w:p w14:paraId="382EF5BA" w14:textId="77777777" w:rsidR="00950C34" w:rsidRDefault="00950C34" w:rsidP="00FA7B33">
            <w:pPr>
              <w:spacing w:before="60" w:after="60"/>
              <w:rPr>
                <w:noProof/>
                <w:sz w:val="20"/>
                <w:szCs w:val="20"/>
              </w:rPr>
            </w:pPr>
            <w:r w:rsidRPr="45B6FBC6">
              <w:rPr>
                <w:noProof/>
                <w:sz w:val="20"/>
                <w:szCs w:val="20"/>
              </w:rPr>
              <w:t>External staff</w:t>
            </w:r>
          </w:p>
        </w:tc>
        <w:tc>
          <w:tcPr>
            <w:tcW w:w="7200" w:type="dxa"/>
          </w:tcPr>
          <w:p w14:paraId="7C95BC47" w14:textId="77777777" w:rsidR="00950C34" w:rsidRDefault="00950C34" w:rsidP="00FA7B33">
            <w:pPr>
              <w:rPr>
                <w:noProof/>
                <w:sz w:val="20"/>
                <w:szCs w:val="20"/>
              </w:rPr>
            </w:pPr>
            <w:r w:rsidRPr="24F723DD">
              <w:rPr>
                <w:noProof/>
                <w:sz w:val="20"/>
                <w:szCs w:val="20"/>
              </w:rPr>
              <w:t>2 Contract Agents and 3 Seconded National Experts until 2027 and 2 Contract Agents afterwards. The 2 contract agents will be covered from internal redeployment within the Commission.</w:t>
            </w:r>
          </w:p>
        </w:tc>
      </w:tr>
    </w:tbl>
    <w:p w14:paraId="183AC5A9" w14:textId="77777777" w:rsidR="00950C34" w:rsidRDefault="00950C34" w:rsidP="00950C34">
      <w:pPr>
        <w:rPr>
          <w:noProof/>
        </w:rPr>
        <w:sectPr w:rsidR="00950C34" w:rsidSect="00742C1D">
          <w:pgSz w:w="11907" w:h="16840"/>
          <w:pgMar w:top="1134" w:right="1418" w:bottom="1134" w:left="1418" w:header="709" w:footer="709" w:gutter="0"/>
          <w:cols w:space="708"/>
          <w:docGrid w:linePitch="360"/>
        </w:sectPr>
      </w:pPr>
    </w:p>
    <w:p w14:paraId="21BD9C98" w14:textId="77777777" w:rsidR="00950C34" w:rsidRDefault="00950C34" w:rsidP="00950C34">
      <w:pPr>
        <w:pStyle w:val="ManualHeading3"/>
        <w:rPr>
          <w:noProof/>
        </w:rPr>
      </w:pPr>
      <w:bookmarkStart w:id="65" w:name="_Toc514938056"/>
      <w:bookmarkStart w:id="66" w:name="_Toc520485055"/>
      <w:r w:rsidRPr="0021790A">
        <w:rPr>
          <w:noProof/>
        </w:rPr>
        <w:t>3.2.4.</w:t>
      </w:r>
      <w:r w:rsidRPr="0021790A">
        <w:rPr>
          <w:noProof/>
        </w:rPr>
        <w:tab/>
      </w:r>
      <w:r>
        <w:rPr>
          <w:noProof/>
        </w:rPr>
        <w:t>Compatibility with the current multiannual financial framework</w:t>
      </w:r>
      <w:bookmarkEnd w:id="65"/>
      <w:bookmarkEnd w:id="66"/>
      <w:r>
        <w:rPr>
          <w:noProof/>
        </w:rPr>
        <w:t xml:space="preserve"> </w:t>
      </w:r>
    </w:p>
    <w:p w14:paraId="022D2F8A" w14:textId="77777777" w:rsidR="00950C34" w:rsidRDefault="00950C34" w:rsidP="00950C34">
      <w:pPr>
        <w:pStyle w:val="Text1"/>
        <w:rPr>
          <w:noProof/>
        </w:rPr>
      </w:pPr>
      <w:r w:rsidRPr="00386FF5">
        <w:rPr>
          <w:noProof/>
        </w:rPr>
        <w:t>The proposal/initiative</w:t>
      </w:r>
      <w:r w:rsidRPr="007974DD">
        <w:rPr>
          <w:noProof/>
        </w:rPr>
        <w:t>:</w:t>
      </w:r>
    </w:p>
    <w:p w14:paraId="1A857D14" w14:textId="77777777" w:rsidR="00950C34" w:rsidRDefault="00950C34" w:rsidP="006271C1">
      <w:pPr>
        <w:pStyle w:val="ListDash1"/>
        <w:rPr>
          <w:noProof/>
        </w:rPr>
      </w:pPr>
      <w:r w:rsidRPr="15113AC1">
        <w:rPr>
          <w:rFonts w:ascii="Wingdings" w:eastAsia="Wingdings" w:hAnsi="Wingdings" w:cs="Wingdings"/>
          <w:noProof/>
        </w:rPr>
        <w:t></w:t>
      </w:r>
      <w:r>
        <w:rPr>
          <w:noProof/>
        </w:rPr>
        <w:tab/>
      </w:r>
      <w:r w:rsidRPr="15113AC1">
        <w:rPr>
          <w:noProof/>
        </w:rPr>
        <w:t>can be fully financed through redeployment within the relevant heading of the Multiannual Financial Framework (MFF).</w:t>
      </w:r>
    </w:p>
    <w:p w14:paraId="0E1C27BC" w14:textId="77777777" w:rsidR="00950C34" w:rsidRDefault="00950C34" w:rsidP="00950C34">
      <w:pPr>
        <w:pStyle w:val="Text1"/>
        <w:pBdr>
          <w:top w:val="single" w:sz="4" w:space="1" w:color="auto"/>
          <w:left w:val="single" w:sz="4" w:space="4" w:color="auto"/>
          <w:bottom w:val="single" w:sz="4" w:space="1" w:color="auto"/>
          <w:right w:val="single" w:sz="4" w:space="4" w:color="auto"/>
        </w:pBdr>
        <w:rPr>
          <w:noProof/>
          <w:sz w:val="20"/>
        </w:rPr>
      </w:pPr>
      <w:r>
        <w:rPr>
          <w:noProof/>
          <w:sz w:val="20"/>
        </w:rPr>
        <w:t>Explain what reprogramming is required, specifying the budget lines concerned and the corresponding amounts.</w:t>
      </w:r>
      <w:r w:rsidRPr="004D66CD">
        <w:rPr>
          <w:noProof/>
        </w:rPr>
        <w:t xml:space="preserve"> </w:t>
      </w:r>
      <w:r w:rsidRPr="008F1C23">
        <w:rPr>
          <w:noProof/>
          <w:sz w:val="20"/>
        </w:rPr>
        <w:t>Please provide an excel table in the case of major reprogramming</w:t>
      </w:r>
      <w:r w:rsidRPr="007974DD">
        <w:rPr>
          <w:noProof/>
          <w:sz w:val="20"/>
        </w:rPr>
        <w:t>.</w:t>
      </w:r>
    </w:p>
    <w:p w14:paraId="692D1C01" w14:textId="77777777" w:rsidR="00950C34" w:rsidRDefault="00950C34" w:rsidP="006271C1">
      <w:pPr>
        <w:pStyle w:val="ListDash1"/>
        <w:rPr>
          <w:noProof/>
        </w:rPr>
      </w:pPr>
      <w:r w:rsidRPr="15113AC1">
        <w:rPr>
          <w:rFonts w:ascii="Wingdings" w:eastAsia="Wingdings" w:hAnsi="Wingdings" w:cs="Wingdings"/>
          <w:noProof/>
        </w:rPr>
        <w:t></w:t>
      </w:r>
      <w:r>
        <w:rPr>
          <w:noProof/>
        </w:rPr>
        <w:tab/>
      </w:r>
      <w:r w:rsidRPr="15113AC1">
        <w:rPr>
          <w:noProof/>
        </w:rPr>
        <w:t>requires use of the unallocated margin under the relevant heading of the MFF and/or use of the special instruments as defined in the MFF Regulation.</w:t>
      </w:r>
    </w:p>
    <w:p w14:paraId="029841DC" w14:textId="77777777" w:rsidR="00950C34" w:rsidRDefault="00950C34" w:rsidP="00950C34">
      <w:pPr>
        <w:pStyle w:val="Text1"/>
        <w:pBdr>
          <w:top w:val="single" w:sz="4" w:space="1" w:color="auto"/>
          <w:left w:val="single" w:sz="4" w:space="4" w:color="auto"/>
          <w:bottom w:val="single" w:sz="4" w:space="1" w:color="auto"/>
          <w:right w:val="single" w:sz="4" w:space="4" w:color="auto"/>
        </w:pBdr>
        <w:rPr>
          <w:noProof/>
          <w:sz w:val="20"/>
        </w:rPr>
      </w:pPr>
      <w:r>
        <w:rPr>
          <w:noProof/>
          <w:sz w:val="20"/>
        </w:rPr>
        <w:t>Explain what is required, specifying the headings and budget lines concerned, the corresponding amounts, and the instruments proposed to be used.</w:t>
      </w:r>
    </w:p>
    <w:p w14:paraId="26235330" w14:textId="77777777" w:rsidR="00950C34" w:rsidRDefault="00950C34" w:rsidP="006271C1">
      <w:pPr>
        <w:pStyle w:val="ListDash1"/>
        <w:rPr>
          <w:noProof/>
        </w:rPr>
      </w:pPr>
      <w:bookmarkStart w:id="67" w:name="_Hlk136598313"/>
      <w:r w:rsidRPr="15113AC1">
        <w:rPr>
          <w:rFonts w:ascii="Wingdings" w:eastAsia="Wingdings" w:hAnsi="Wingdings" w:cs="Wingdings"/>
          <w:noProof/>
        </w:rPr>
        <w:t></w:t>
      </w:r>
      <w:bookmarkEnd w:id="67"/>
      <w:r w:rsidRPr="15113AC1">
        <w:rPr>
          <w:i/>
          <w:iCs/>
          <w:noProof/>
        </w:rPr>
        <w:t xml:space="preserve"> </w:t>
      </w:r>
      <w:r w:rsidRPr="15113AC1">
        <w:rPr>
          <w:noProof/>
        </w:rPr>
        <w:t>requires a revision of the MFF.</w:t>
      </w:r>
    </w:p>
    <w:p w14:paraId="343B301B" w14:textId="77777777" w:rsidR="00950C34" w:rsidRDefault="00950C34" w:rsidP="00950C34">
      <w:pPr>
        <w:pStyle w:val="Text1"/>
        <w:pBdr>
          <w:top w:val="single" w:sz="4" w:space="1" w:color="auto"/>
          <w:left w:val="single" w:sz="4" w:space="4" w:color="auto"/>
          <w:bottom w:val="single" w:sz="4" w:space="1" w:color="auto"/>
          <w:right w:val="single" w:sz="4" w:space="4" w:color="auto"/>
        </w:pBdr>
        <w:rPr>
          <w:noProof/>
          <w:sz w:val="20"/>
        </w:rPr>
      </w:pPr>
      <w:r>
        <w:rPr>
          <w:noProof/>
          <w:sz w:val="20"/>
        </w:rPr>
        <w:t>B1’s input needed</w:t>
      </w:r>
    </w:p>
    <w:p w14:paraId="5DB15A37" w14:textId="77777777" w:rsidR="00950C34" w:rsidRDefault="00950C34" w:rsidP="00950C34">
      <w:pPr>
        <w:pStyle w:val="ManualHeading3"/>
        <w:rPr>
          <w:bCs/>
          <w:noProof/>
          <w:szCs w:val="24"/>
        </w:rPr>
      </w:pPr>
      <w:bookmarkStart w:id="68" w:name="_Toc514938058"/>
      <w:bookmarkStart w:id="69" w:name="_Toc520485056"/>
      <w:r w:rsidRPr="0021790A">
        <w:rPr>
          <w:noProof/>
        </w:rPr>
        <w:t>3.2.5.</w:t>
      </w:r>
      <w:r w:rsidRPr="0021790A">
        <w:rPr>
          <w:noProof/>
        </w:rPr>
        <w:tab/>
      </w:r>
      <w:r>
        <w:rPr>
          <w:noProof/>
        </w:rPr>
        <w:t>Third-party contributions</w:t>
      </w:r>
      <w:bookmarkEnd w:id="68"/>
      <w:bookmarkEnd w:id="69"/>
      <w:r>
        <w:rPr>
          <w:noProof/>
        </w:rPr>
        <w:t xml:space="preserve"> </w:t>
      </w:r>
    </w:p>
    <w:p w14:paraId="77DEEB16" w14:textId="77777777" w:rsidR="00950C34" w:rsidRPr="00386FF5" w:rsidRDefault="00950C34" w:rsidP="00950C34">
      <w:pPr>
        <w:pStyle w:val="Text1"/>
        <w:rPr>
          <w:noProof/>
        </w:rPr>
      </w:pPr>
      <w:r w:rsidRPr="007974DD">
        <w:rPr>
          <w:noProof/>
        </w:rPr>
        <w:t>The proposal/initiative:</w:t>
      </w:r>
    </w:p>
    <w:p w14:paraId="3DED958A" w14:textId="77777777" w:rsidR="00950C34" w:rsidRDefault="00950C34" w:rsidP="006271C1">
      <w:pPr>
        <w:pStyle w:val="ListDash1"/>
        <w:rPr>
          <w:noProof/>
        </w:rPr>
      </w:pPr>
      <w:r w:rsidRPr="15113AC1">
        <w:rPr>
          <w:rFonts w:ascii="Wingdings" w:eastAsia="Wingdings" w:hAnsi="Wingdings" w:cs="Wingdings"/>
          <w:noProof/>
        </w:rPr>
        <w:t></w:t>
      </w:r>
      <w:r>
        <w:rPr>
          <w:noProof/>
        </w:rPr>
        <w:tab/>
      </w:r>
      <w:r w:rsidRPr="15113AC1">
        <w:rPr>
          <w:noProof/>
        </w:rPr>
        <w:t>does not provide for co-financing by third parties</w:t>
      </w:r>
    </w:p>
    <w:p w14:paraId="5E8EB45C" w14:textId="77777777" w:rsidR="00950C34" w:rsidRDefault="00950C34" w:rsidP="006271C1">
      <w:pPr>
        <w:pStyle w:val="ListDash1"/>
        <w:rPr>
          <w:noProof/>
        </w:rPr>
      </w:pPr>
      <w:r w:rsidRPr="15113AC1">
        <w:rPr>
          <w:rFonts w:ascii="Wingdings" w:eastAsia="Wingdings" w:hAnsi="Wingdings" w:cs="Wingdings"/>
          <w:noProof/>
        </w:rPr>
        <w:t></w:t>
      </w:r>
      <w:r>
        <w:rPr>
          <w:noProof/>
        </w:rPr>
        <w:tab/>
      </w:r>
      <w:r w:rsidRPr="15113AC1">
        <w:rPr>
          <w:noProof/>
        </w:rPr>
        <w:t>provides for the co-financing by third parties estimated below:</w:t>
      </w:r>
    </w:p>
    <w:p w14:paraId="23AA1679" w14:textId="77777777" w:rsidR="00950C34" w:rsidRPr="003A769F" w:rsidRDefault="00950C34" w:rsidP="00950C34">
      <w:pPr>
        <w:jc w:val="right"/>
        <w:rPr>
          <w:noProof/>
          <w:sz w:val="20"/>
          <w:lang w:val="en-IE"/>
        </w:rPr>
      </w:pPr>
      <w:r w:rsidRPr="003A769F">
        <w:rPr>
          <w:noProof/>
          <w:sz w:val="20"/>
          <w:lang w:val="en-IE"/>
        </w:rPr>
        <w:t>Appropriations in EUR million (to three decimal places)</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950C34" w14:paraId="470F1685" w14:textId="77777777" w:rsidTr="00FA7B33">
        <w:trPr>
          <w:cantSplit/>
        </w:trPr>
        <w:tc>
          <w:tcPr>
            <w:tcW w:w="2340" w:type="dxa"/>
          </w:tcPr>
          <w:p w14:paraId="4F2CECC2" w14:textId="77777777" w:rsidR="00950C34" w:rsidRPr="003A769F" w:rsidRDefault="00950C34" w:rsidP="00FA7B33">
            <w:pPr>
              <w:spacing w:before="60" w:after="60"/>
              <w:rPr>
                <w:noProof/>
                <w:sz w:val="20"/>
                <w:lang w:val="en-IE"/>
              </w:rPr>
            </w:pPr>
          </w:p>
        </w:tc>
        <w:tc>
          <w:tcPr>
            <w:tcW w:w="964" w:type="dxa"/>
            <w:vAlign w:val="center"/>
          </w:tcPr>
          <w:p w14:paraId="0983AF4A" w14:textId="77777777" w:rsidR="00950C34" w:rsidRDefault="00950C34" w:rsidP="00FA7B33">
            <w:pPr>
              <w:jc w:val="center"/>
              <w:rPr>
                <w:noProof/>
                <w:sz w:val="20"/>
              </w:rPr>
            </w:pPr>
            <w:r w:rsidRPr="078E3620">
              <w:rPr>
                <w:noProof/>
                <w:sz w:val="20"/>
                <w:szCs w:val="20"/>
              </w:rPr>
              <w:t>Year</w:t>
            </w:r>
            <w:r>
              <w:rPr>
                <w:noProof/>
                <w:sz w:val="22"/>
              </w:rPr>
              <w:br/>
            </w:r>
            <w:r w:rsidRPr="078E3620">
              <w:rPr>
                <w:b/>
                <w:bCs/>
                <w:noProof/>
                <w:sz w:val="20"/>
                <w:szCs w:val="20"/>
              </w:rPr>
              <w:t>N</w:t>
            </w:r>
            <w:r w:rsidRPr="078E3620">
              <w:rPr>
                <w:rStyle w:val="FootnoteReference"/>
                <w:b/>
                <w:bCs/>
                <w:noProof/>
                <w:sz w:val="20"/>
                <w:szCs w:val="20"/>
              </w:rPr>
              <w:footnoteReference w:id="88"/>
            </w:r>
          </w:p>
        </w:tc>
        <w:tc>
          <w:tcPr>
            <w:tcW w:w="964" w:type="dxa"/>
            <w:vAlign w:val="center"/>
          </w:tcPr>
          <w:p w14:paraId="1BE85113" w14:textId="77777777" w:rsidR="00950C34" w:rsidRDefault="00950C34" w:rsidP="00FA7B33">
            <w:pPr>
              <w:jc w:val="center"/>
              <w:rPr>
                <w:noProof/>
                <w:sz w:val="20"/>
              </w:rPr>
            </w:pPr>
            <w:r>
              <w:rPr>
                <w:noProof/>
                <w:sz w:val="20"/>
              </w:rPr>
              <w:t>Year</w:t>
            </w:r>
            <w:r>
              <w:rPr>
                <w:noProof/>
                <w:sz w:val="22"/>
              </w:rPr>
              <w:br/>
            </w:r>
            <w:r>
              <w:rPr>
                <w:b/>
                <w:noProof/>
                <w:sz w:val="20"/>
              </w:rPr>
              <w:t>N+1</w:t>
            </w:r>
          </w:p>
        </w:tc>
        <w:tc>
          <w:tcPr>
            <w:tcW w:w="964" w:type="dxa"/>
            <w:vAlign w:val="center"/>
          </w:tcPr>
          <w:p w14:paraId="3A7AF94E" w14:textId="77777777" w:rsidR="00950C34" w:rsidRDefault="00950C34" w:rsidP="00FA7B33">
            <w:pPr>
              <w:jc w:val="center"/>
              <w:rPr>
                <w:noProof/>
                <w:sz w:val="20"/>
              </w:rPr>
            </w:pPr>
            <w:r>
              <w:rPr>
                <w:noProof/>
                <w:sz w:val="20"/>
              </w:rPr>
              <w:t>Year</w:t>
            </w:r>
            <w:r>
              <w:rPr>
                <w:noProof/>
                <w:sz w:val="22"/>
              </w:rPr>
              <w:br/>
            </w:r>
            <w:r>
              <w:rPr>
                <w:b/>
                <w:noProof/>
                <w:sz w:val="20"/>
              </w:rPr>
              <w:t>N+2</w:t>
            </w:r>
          </w:p>
        </w:tc>
        <w:tc>
          <w:tcPr>
            <w:tcW w:w="964" w:type="dxa"/>
            <w:vAlign w:val="center"/>
          </w:tcPr>
          <w:p w14:paraId="1ABAF00B" w14:textId="77777777" w:rsidR="00950C34" w:rsidRDefault="00950C34" w:rsidP="00FA7B33">
            <w:pPr>
              <w:jc w:val="center"/>
              <w:rPr>
                <w:noProof/>
                <w:sz w:val="20"/>
              </w:rPr>
            </w:pPr>
            <w:r>
              <w:rPr>
                <w:noProof/>
                <w:sz w:val="20"/>
              </w:rPr>
              <w:t>Year</w:t>
            </w:r>
            <w:r>
              <w:rPr>
                <w:noProof/>
                <w:sz w:val="22"/>
              </w:rPr>
              <w:br/>
            </w:r>
            <w:r>
              <w:rPr>
                <w:b/>
                <w:noProof/>
                <w:sz w:val="20"/>
              </w:rPr>
              <w:t>N+3</w:t>
            </w:r>
          </w:p>
        </w:tc>
        <w:tc>
          <w:tcPr>
            <w:tcW w:w="2892" w:type="dxa"/>
            <w:gridSpan w:val="3"/>
            <w:vAlign w:val="center"/>
          </w:tcPr>
          <w:p w14:paraId="10978D26" w14:textId="77777777" w:rsidR="00950C34" w:rsidRPr="003A769F" w:rsidRDefault="00950C34" w:rsidP="00FA7B33">
            <w:pPr>
              <w:jc w:val="center"/>
              <w:rPr>
                <w:b/>
                <w:noProof/>
                <w:sz w:val="20"/>
                <w:lang w:val="en-IE"/>
              </w:rPr>
            </w:pPr>
            <w:r w:rsidRPr="003A769F">
              <w:rPr>
                <w:noProof/>
                <w:sz w:val="20"/>
                <w:lang w:val="en-IE"/>
              </w:rPr>
              <w:t>Enter as many years as necessary to show the duration of the impact (see point 1.6)</w:t>
            </w:r>
          </w:p>
        </w:tc>
        <w:tc>
          <w:tcPr>
            <w:tcW w:w="1158" w:type="dxa"/>
            <w:vAlign w:val="center"/>
          </w:tcPr>
          <w:p w14:paraId="210E924B" w14:textId="77777777" w:rsidR="00950C34" w:rsidRDefault="00950C34" w:rsidP="00FA7B33">
            <w:pPr>
              <w:spacing w:before="60" w:after="60"/>
              <w:jc w:val="center"/>
              <w:rPr>
                <w:noProof/>
                <w:sz w:val="20"/>
              </w:rPr>
            </w:pPr>
            <w:r>
              <w:rPr>
                <w:noProof/>
                <w:sz w:val="20"/>
              </w:rPr>
              <w:t>Total</w:t>
            </w:r>
          </w:p>
        </w:tc>
      </w:tr>
      <w:tr w:rsidR="00950C34" w:rsidRPr="003A769F" w14:paraId="2607B8FF" w14:textId="77777777" w:rsidTr="00FA7B33">
        <w:trPr>
          <w:cantSplit/>
        </w:trPr>
        <w:tc>
          <w:tcPr>
            <w:tcW w:w="2340" w:type="dxa"/>
          </w:tcPr>
          <w:p w14:paraId="28DFCCE7" w14:textId="77777777" w:rsidR="00950C34" w:rsidRPr="003A769F" w:rsidRDefault="00950C34" w:rsidP="00FA7B33">
            <w:pPr>
              <w:rPr>
                <w:noProof/>
                <w:lang w:val="en-IE"/>
              </w:rPr>
            </w:pPr>
            <w:r w:rsidRPr="003A769F">
              <w:rPr>
                <w:noProof/>
                <w:sz w:val="20"/>
                <w:lang w:val="en-IE"/>
              </w:rPr>
              <w:t>Specify the co-financing body</w:t>
            </w:r>
            <w:r w:rsidRPr="003A769F">
              <w:rPr>
                <w:i/>
                <w:noProof/>
                <w:sz w:val="20"/>
                <w:lang w:val="en-IE"/>
              </w:rPr>
              <w:t xml:space="preserve"> </w:t>
            </w:r>
          </w:p>
        </w:tc>
        <w:tc>
          <w:tcPr>
            <w:tcW w:w="964" w:type="dxa"/>
            <w:vAlign w:val="center"/>
          </w:tcPr>
          <w:p w14:paraId="2CC47291" w14:textId="77777777" w:rsidR="00950C34" w:rsidRPr="003A769F" w:rsidRDefault="00950C34" w:rsidP="00FA7B33">
            <w:pPr>
              <w:spacing w:before="60" w:after="60"/>
              <w:jc w:val="center"/>
              <w:rPr>
                <w:noProof/>
                <w:sz w:val="20"/>
                <w:lang w:val="en-IE"/>
              </w:rPr>
            </w:pPr>
          </w:p>
        </w:tc>
        <w:tc>
          <w:tcPr>
            <w:tcW w:w="964" w:type="dxa"/>
            <w:vAlign w:val="center"/>
          </w:tcPr>
          <w:p w14:paraId="076BE472" w14:textId="77777777" w:rsidR="00950C34" w:rsidRPr="003A769F" w:rsidRDefault="00950C34" w:rsidP="00FA7B33">
            <w:pPr>
              <w:spacing w:before="60" w:after="60"/>
              <w:jc w:val="center"/>
              <w:rPr>
                <w:noProof/>
                <w:sz w:val="20"/>
                <w:lang w:val="en-IE"/>
              </w:rPr>
            </w:pPr>
          </w:p>
        </w:tc>
        <w:tc>
          <w:tcPr>
            <w:tcW w:w="964" w:type="dxa"/>
            <w:vAlign w:val="center"/>
          </w:tcPr>
          <w:p w14:paraId="51278CA1" w14:textId="77777777" w:rsidR="00950C34" w:rsidRPr="003A769F" w:rsidRDefault="00950C34" w:rsidP="00FA7B33">
            <w:pPr>
              <w:spacing w:before="60" w:after="60"/>
              <w:jc w:val="center"/>
              <w:rPr>
                <w:noProof/>
                <w:sz w:val="20"/>
                <w:lang w:val="en-IE"/>
              </w:rPr>
            </w:pPr>
          </w:p>
        </w:tc>
        <w:tc>
          <w:tcPr>
            <w:tcW w:w="964" w:type="dxa"/>
            <w:vAlign w:val="center"/>
          </w:tcPr>
          <w:p w14:paraId="754AE490" w14:textId="77777777" w:rsidR="00950C34" w:rsidRPr="003A769F" w:rsidRDefault="00950C34" w:rsidP="00FA7B33">
            <w:pPr>
              <w:spacing w:before="60" w:after="60"/>
              <w:jc w:val="center"/>
              <w:rPr>
                <w:noProof/>
                <w:sz w:val="20"/>
                <w:lang w:val="en-IE"/>
              </w:rPr>
            </w:pPr>
          </w:p>
        </w:tc>
        <w:tc>
          <w:tcPr>
            <w:tcW w:w="964" w:type="dxa"/>
            <w:vAlign w:val="center"/>
          </w:tcPr>
          <w:p w14:paraId="552F4D9D" w14:textId="77777777" w:rsidR="00950C34" w:rsidRPr="003A769F" w:rsidRDefault="00950C34" w:rsidP="00FA7B33">
            <w:pPr>
              <w:spacing w:before="60" w:after="60"/>
              <w:jc w:val="center"/>
              <w:rPr>
                <w:noProof/>
                <w:sz w:val="20"/>
                <w:lang w:val="en-IE"/>
              </w:rPr>
            </w:pPr>
          </w:p>
        </w:tc>
        <w:tc>
          <w:tcPr>
            <w:tcW w:w="964" w:type="dxa"/>
            <w:vAlign w:val="center"/>
          </w:tcPr>
          <w:p w14:paraId="12C1700E" w14:textId="77777777" w:rsidR="00950C34" w:rsidRPr="003A769F" w:rsidRDefault="00950C34" w:rsidP="00FA7B33">
            <w:pPr>
              <w:spacing w:before="60" w:after="60"/>
              <w:jc w:val="center"/>
              <w:rPr>
                <w:noProof/>
                <w:sz w:val="20"/>
                <w:lang w:val="en-IE"/>
              </w:rPr>
            </w:pPr>
          </w:p>
        </w:tc>
        <w:tc>
          <w:tcPr>
            <w:tcW w:w="964" w:type="dxa"/>
            <w:vAlign w:val="center"/>
          </w:tcPr>
          <w:p w14:paraId="21F491C5" w14:textId="77777777" w:rsidR="00950C34" w:rsidRPr="003A769F" w:rsidRDefault="00950C34" w:rsidP="00FA7B33">
            <w:pPr>
              <w:spacing w:before="60" w:after="60"/>
              <w:jc w:val="center"/>
              <w:rPr>
                <w:noProof/>
                <w:sz w:val="20"/>
                <w:lang w:val="en-IE"/>
              </w:rPr>
            </w:pPr>
          </w:p>
        </w:tc>
        <w:tc>
          <w:tcPr>
            <w:tcW w:w="1158" w:type="dxa"/>
            <w:vAlign w:val="center"/>
          </w:tcPr>
          <w:p w14:paraId="3E88ED63" w14:textId="77777777" w:rsidR="00950C34" w:rsidRPr="003A769F" w:rsidRDefault="00950C34" w:rsidP="00FA7B33">
            <w:pPr>
              <w:spacing w:before="60" w:after="60"/>
              <w:jc w:val="center"/>
              <w:rPr>
                <w:noProof/>
                <w:sz w:val="20"/>
                <w:lang w:val="en-IE"/>
              </w:rPr>
            </w:pPr>
          </w:p>
        </w:tc>
      </w:tr>
      <w:tr w:rsidR="00950C34" w14:paraId="066DD509" w14:textId="77777777" w:rsidTr="00FA7B33">
        <w:trPr>
          <w:cantSplit/>
        </w:trPr>
        <w:tc>
          <w:tcPr>
            <w:tcW w:w="2340" w:type="dxa"/>
          </w:tcPr>
          <w:p w14:paraId="1150D3CC" w14:textId="77777777" w:rsidR="00950C34" w:rsidRDefault="00950C34" w:rsidP="00FA7B33">
            <w:pPr>
              <w:spacing w:before="60" w:after="60"/>
              <w:jc w:val="left"/>
              <w:rPr>
                <w:noProof/>
                <w:sz w:val="20"/>
              </w:rPr>
            </w:pPr>
            <w:r>
              <w:rPr>
                <w:noProof/>
                <w:sz w:val="20"/>
              </w:rPr>
              <w:t xml:space="preserve">TOTAL appropriations co-financed </w:t>
            </w:r>
          </w:p>
        </w:tc>
        <w:tc>
          <w:tcPr>
            <w:tcW w:w="964" w:type="dxa"/>
            <w:vAlign w:val="center"/>
          </w:tcPr>
          <w:p w14:paraId="64DA05AF" w14:textId="77777777" w:rsidR="00950C34" w:rsidRDefault="00950C34" w:rsidP="00FA7B33">
            <w:pPr>
              <w:spacing w:before="60" w:after="60"/>
              <w:jc w:val="center"/>
              <w:rPr>
                <w:noProof/>
                <w:sz w:val="20"/>
              </w:rPr>
            </w:pPr>
          </w:p>
        </w:tc>
        <w:tc>
          <w:tcPr>
            <w:tcW w:w="964" w:type="dxa"/>
            <w:vAlign w:val="center"/>
          </w:tcPr>
          <w:p w14:paraId="1B18FCD8" w14:textId="77777777" w:rsidR="00950C34" w:rsidRDefault="00950C34" w:rsidP="00FA7B33">
            <w:pPr>
              <w:spacing w:before="60" w:after="60"/>
              <w:jc w:val="center"/>
              <w:rPr>
                <w:noProof/>
                <w:sz w:val="20"/>
              </w:rPr>
            </w:pPr>
          </w:p>
        </w:tc>
        <w:tc>
          <w:tcPr>
            <w:tcW w:w="964" w:type="dxa"/>
            <w:vAlign w:val="center"/>
          </w:tcPr>
          <w:p w14:paraId="28A89E05" w14:textId="77777777" w:rsidR="00950C34" w:rsidRDefault="00950C34" w:rsidP="00FA7B33">
            <w:pPr>
              <w:spacing w:before="60" w:after="60"/>
              <w:jc w:val="center"/>
              <w:rPr>
                <w:noProof/>
                <w:sz w:val="20"/>
              </w:rPr>
            </w:pPr>
          </w:p>
        </w:tc>
        <w:tc>
          <w:tcPr>
            <w:tcW w:w="964" w:type="dxa"/>
            <w:vAlign w:val="center"/>
          </w:tcPr>
          <w:p w14:paraId="67C2FE74" w14:textId="77777777" w:rsidR="00950C34" w:rsidRDefault="00950C34" w:rsidP="00FA7B33">
            <w:pPr>
              <w:spacing w:before="60" w:after="60"/>
              <w:jc w:val="center"/>
              <w:rPr>
                <w:noProof/>
                <w:sz w:val="20"/>
              </w:rPr>
            </w:pPr>
          </w:p>
        </w:tc>
        <w:tc>
          <w:tcPr>
            <w:tcW w:w="964" w:type="dxa"/>
            <w:vAlign w:val="center"/>
          </w:tcPr>
          <w:p w14:paraId="3EA8A3C6" w14:textId="77777777" w:rsidR="00950C34" w:rsidRDefault="00950C34" w:rsidP="00FA7B33">
            <w:pPr>
              <w:spacing w:before="60" w:after="60"/>
              <w:jc w:val="center"/>
              <w:rPr>
                <w:noProof/>
                <w:sz w:val="20"/>
              </w:rPr>
            </w:pPr>
          </w:p>
        </w:tc>
        <w:tc>
          <w:tcPr>
            <w:tcW w:w="964" w:type="dxa"/>
            <w:vAlign w:val="center"/>
          </w:tcPr>
          <w:p w14:paraId="669FB187" w14:textId="77777777" w:rsidR="00950C34" w:rsidRDefault="00950C34" w:rsidP="00FA7B33">
            <w:pPr>
              <w:spacing w:before="60" w:after="60"/>
              <w:jc w:val="center"/>
              <w:rPr>
                <w:noProof/>
                <w:sz w:val="20"/>
              </w:rPr>
            </w:pPr>
          </w:p>
        </w:tc>
        <w:tc>
          <w:tcPr>
            <w:tcW w:w="964" w:type="dxa"/>
            <w:vAlign w:val="center"/>
          </w:tcPr>
          <w:p w14:paraId="176A76A4" w14:textId="77777777" w:rsidR="00950C34" w:rsidRDefault="00950C34" w:rsidP="00FA7B33">
            <w:pPr>
              <w:spacing w:before="60" w:after="60"/>
              <w:jc w:val="center"/>
              <w:rPr>
                <w:noProof/>
                <w:sz w:val="20"/>
              </w:rPr>
            </w:pPr>
          </w:p>
        </w:tc>
        <w:tc>
          <w:tcPr>
            <w:tcW w:w="1158" w:type="dxa"/>
            <w:vAlign w:val="center"/>
          </w:tcPr>
          <w:p w14:paraId="6A5628F3" w14:textId="77777777" w:rsidR="00950C34" w:rsidRDefault="00950C34" w:rsidP="00FA7B33">
            <w:pPr>
              <w:spacing w:before="60" w:after="60"/>
              <w:jc w:val="center"/>
              <w:rPr>
                <w:noProof/>
                <w:sz w:val="20"/>
              </w:rPr>
            </w:pPr>
          </w:p>
        </w:tc>
      </w:tr>
    </w:tbl>
    <w:p w14:paraId="3E927D2E" w14:textId="77777777" w:rsidR="00950C34" w:rsidRDefault="00950C34" w:rsidP="00950C34">
      <w:pPr>
        <w:rPr>
          <w:noProof/>
        </w:rPr>
      </w:pPr>
      <w:r>
        <w:rPr>
          <w:noProof/>
        </w:rPr>
        <w:br/>
      </w:r>
    </w:p>
    <w:p w14:paraId="14D92F6C" w14:textId="77777777" w:rsidR="00950C34" w:rsidRDefault="00950C34" w:rsidP="00950C34">
      <w:pPr>
        <w:pStyle w:val="ManualHeading2"/>
        <w:rPr>
          <w:bCs/>
          <w:noProof/>
          <w:szCs w:val="24"/>
        </w:rPr>
      </w:pPr>
      <w:r>
        <w:rPr>
          <w:noProof/>
        </w:rPr>
        <w:br w:type="page"/>
      </w:r>
      <w:bookmarkStart w:id="70" w:name="_Toc514938059"/>
      <w:bookmarkStart w:id="71" w:name="_Toc520485057"/>
      <w:r w:rsidRPr="0021790A">
        <w:rPr>
          <w:noProof/>
        </w:rPr>
        <w:t>3.3.</w:t>
      </w:r>
      <w:r w:rsidRPr="0021790A">
        <w:rPr>
          <w:noProof/>
        </w:rPr>
        <w:tab/>
      </w:r>
      <w:r>
        <w:rPr>
          <w:noProof/>
        </w:rPr>
        <w:t>Estimated impact on revenue</w:t>
      </w:r>
      <w:bookmarkEnd w:id="70"/>
      <w:bookmarkEnd w:id="71"/>
      <w:r>
        <w:rPr>
          <w:noProof/>
        </w:rPr>
        <w:t xml:space="preserve"> </w:t>
      </w:r>
    </w:p>
    <w:p w14:paraId="6AFCF050" w14:textId="77777777" w:rsidR="00950C34" w:rsidRDefault="00950C34" w:rsidP="006271C1">
      <w:pPr>
        <w:pStyle w:val="ListDash1"/>
        <w:rPr>
          <w:noProof/>
        </w:rPr>
      </w:pPr>
      <w:r w:rsidRPr="15113AC1">
        <w:rPr>
          <w:rFonts w:ascii="Wingdings" w:eastAsia="Wingdings" w:hAnsi="Wingdings" w:cs="Wingdings"/>
          <w:noProof/>
        </w:rPr>
        <w:t></w:t>
      </w:r>
      <w:r>
        <w:rPr>
          <w:noProof/>
        </w:rPr>
        <w:tab/>
      </w:r>
      <w:r w:rsidRPr="15113AC1">
        <w:rPr>
          <w:noProof/>
        </w:rPr>
        <w:t>The proposal/initiative has no financial impact on revenue.</w:t>
      </w:r>
    </w:p>
    <w:p w14:paraId="049C221B" w14:textId="77777777" w:rsidR="00950C34" w:rsidRDefault="00950C34" w:rsidP="006271C1">
      <w:pPr>
        <w:pStyle w:val="ListDash1"/>
        <w:rPr>
          <w:noProof/>
        </w:rPr>
      </w:pPr>
      <w:r w:rsidRPr="15113AC1">
        <w:rPr>
          <w:rFonts w:ascii="Wingdings" w:eastAsia="Wingdings" w:hAnsi="Wingdings" w:cs="Wingdings"/>
          <w:noProof/>
        </w:rPr>
        <w:t></w:t>
      </w:r>
      <w:r>
        <w:rPr>
          <w:noProof/>
        </w:rPr>
        <w:tab/>
      </w:r>
      <w:r w:rsidRPr="15113AC1">
        <w:rPr>
          <w:noProof/>
        </w:rPr>
        <w:t>The proposal/initiative has the following financial impact:</w:t>
      </w:r>
    </w:p>
    <w:p w14:paraId="74D50ECB" w14:textId="77777777" w:rsidR="00950C34" w:rsidRDefault="00950C34" w:rsidP="006271C1">
      <w:pPr>
        <w:pStyle w:val="ListNumberLevel3"/>
        <w:tabs>
          <w:tab w:val="clear" w:pos="2126"/>
          <w:tab w:val="num" w:pos="1843"/>
        </w:tabs>
        <w:rPr>
          <w:noProof/>
        </w:rPr>
      </w:pPr>
      <w:r>
        <w:rPr>
          <w:rFonts w:ascii="Wingdings" w:eastAsia="Wingdings" w:hAnsi="Wingdings" w:cs="Wingdings"/>
          <w:noProof/>
        </w:rPr>
        <w:t></w:t>
      </w:r>
      <w:r>
        <w:rPr>
          <w:noProof/>
        </w:rPr>
        <w:tab/>
        <w:t xml:space="preserve">on own resources </w:t>
      </w:r>
    </w:p>
    <w:p w14:paraId="2CA5694C" w14:textId="77777777" w:rsidR="00950C34" w:rsidRDefault="00950C34" w:rsidP="006271C1">
      <w:pPr>
        <w:pStyle w:val="ListNumberLevel3"/>
        <w:tabs>
          <w:tab w:val="clear" w:pos="2126"/>
          <w:tab w:val="num" w:pos="1843"/>
        </w:tabs>
        <w:rPr>
          <w:noProof/>
        </w:rPr>
      </w:pPr>
      <w:r>
        <w:rPr>
          <w:rFonts w:ascii="Wingdings" w:eastAsia="Wingdings" w:hAnsi="Wingdings" w:cs="Wingdings"/>
          <w:noProof/>
        </w:rPr>
        <w:t></w:t>
      </w:r>
      <w:r>
        <w:rPr>
          <w:noProof/>
        </w:rPr>
        <w:tab/>
        <w:t>on other revenue</w:t>
      </w:r>
    </w:p>
    <w:p w14:paraId="60C563A5" w14:textId="77777777" w:rsidR="00950C34" w:rsidRDefault="00950C34" w:rsidP="006271C1">
      <w:pPr>
        <w:pStyle w:val="ListNumberLevel3"/>
        <w:rPr>
          <w:noProof/>
        </w:rPr>
      </w:pPr>
      <w:r w:rsidRPr="009B753E">
        <w:rPr>
          <w:noProof/>
        </w:rPr>
        <w:t xml:space="preserve">please indicate, if the revenue is assigned to expenditure lines </w:t>
      </w:r>
      <w:r w:rsidRPr="009B753E">
        <w:rPr>
          <w:rFonts w:ascii="Wingdings" w:eastAsia="Wingdings" w:hAnsi="Wingdings" w:cs="Wingdings"/>
          <w:noProof/>
        </w:rPr>
        <w:t></w:t>
      </w:r>
      <w:r>
        <w:rPr>
          <w:noProof/>
        </w:rPr>
        <w:tab/>
      </w:r>
    </w:p>
    <w:p w14:paraId="0F8CA562" w14:textId="77777777" w:rsidR="00950C34" w:rsidRPr="003A769F" w:rsidRDefault="00950C34" w:rsidP="00950C34">
      <w:pPr>
        <w:ind w:left="4320"/>
        <w:rPr>
          <w:i/>
          <w:noProof/>
          <w:sz w:val="20"/>
          <w:lang w:val="en-IE"/>
        </w:rPr>
      </w:pPr>
      <w:r w:rsidRPr="003A769F">
        <w:rPr>
          <w:noProof/>
          <w:lang w:val="en-IE"/>
        </w:rPr>
        <w:t xml:space="preserve">     EUR million (to three decimal places)</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rsidR="00950C34" w:rsidRPr="003A769F" w14:paraId="0BF2BBFA" w14:textId="77777777" w:rsidTr="00FA7B33">
        <w:trPr>
          <w:trHeight w:val="388"/>
        </w:trPr>
        <w:tc>
          <w:tcPr>
            <w:tcW w:w="2144" w:type="dxa"/>
            <w:vMerge w:val="restart"/>
            <w:vAlign w:val="center"/>
          </w:tcPr>
          <w:p w14:paraId="21B15E6B" w14:textId="77777777" w:rsidR="00950C34" w:rsidRDefault="00950C34" w:rsidP="00FA7B33">
            <w:pPr>
              <w:spacing w:before="40" w:after="40"/>
              <w:rPr>
                <w:noProof/>
                <w:sz w:val="18"/>
              </w:rPr>
            </w:pPr>
            <w:r>
              <w:rPr>
                <w:noProof/>
                <w:sz w:val="18"/>
              </w:rPr>
              <w:t>Budget revenue line:</w:t>
            </w:r>
          </w:p>
        </w:tc>
        <w:tc>
          <w:tcPr>
            <w:tcW w:w="1325" w:type="dxa"/>
            <w:vMerge w:val="restart"/>
            <w:vAlign w:val="center"/>
          </w:tcPr>
          <w:p w14:paraId="2C800318" w14:textId="77777777" w:rsidR="00950C34" w:rsidRPr="003A769F" w:rsidRDefault="00950C34" w:rsidP="00FA7B33">
            <w:pPr>
              <w:jc w:val="center"/>
              <w:rPr>
                <w:noProof/>
                <w:sz w:val="18"/>
                <w:lang w:val="en-IE"/>
              </w:rPr>
            </w:pPr>
            <w:r w:rsidRPr="003A769F">
              <w:rPr>
                <w:noProof/>
                <w:sz w:val="18"/>
                <w:lang w:val="en-IE"/>
              </w:rPr>
              <w:t>Appropriations available for the current financial year</w:t>
            </w:r>
          </w:p>
        </w:tc>
        <w:tc>
          <w:tcPr>
            <w:tcW w:w="7151" w:type="dxa"/>
            <w:gridSpan w:val="7"/>
            <w:vAlign w:val="center"/>
          </w:tcPr>
          <w:p w14:paraId="4603697D" w14:textId="77777777" w:rsidR="00950C34" w:rsidRPr="003A769F" w:rsidRDefault="00950C34" w:rsidP="00FA7B33">
            <w:pPr>
              <w:jc w:val="center"/>
              <w:rPr>
                <w:noProof/>
                <w:sz w:val="18"/>
                <w:lang w:val="en-IE"/>
              </w:rPr>
            </w:pPr>
            <w:r w:rsidRPr="078E3620">
              <w:rPr>
                <w:noProof/>
                <w:sz w:val="18"/>
                <w:szCs w:val="18"/>
                <w:lang w:val="en-IE"/>
              </w:rPr>
              <w:t>Impact of the proposal/initiative</w:t>
            </w:r>
            <w:r w:rsidRPr="078E3620">
              <w:rPr>
                <w:rStyle w:val="FootnoteReference"/>
                <w:noProof/>
                <w:sz w:val="18"/>
                <w:szCs w:val="18"/>
              </w:rPr>
              <w:footnoteReference w:id="89"/>
            </w:r>
          </w:p>
        </w:tc>
      </w:tr>
      <w:tr w:rsidR="00950C34" w:rsidRPr="003A769F" w14:paraId="2018BB3C" w14:textId="77777777" w:rsidTr="00FA7B33">
        <w:trPr>
          <w:trHeight w:val="388"/>
        </w:trPr>
        <w:tc>
          <w:tcPr>
            <w:tcW w:w="2144" w:type="dxa"/>
            <w:vMerge/>
          </w:tcPr>
          <w:p w14:paraId="7A2217F2" w14:textId="77777777" w:rsidR="00950C34" w:rsidRPr="003A769F" w:rsidRDefault="00950C34" w:rsidP="00FA7B33">
            <w:pPr>
              <w:spacing w:before="40" w:after="40"/>
              <w:rPr>
                <w:noProof/>
                <w:sz w:val="18"/>
                <w:lang w:val="en-IE"/>
              </w:rPr>
            </w:pPr>
          </w:p>
        </w:tc>
        <w:tc>
          <w:tcPr>
            <w:tcW w:w="1325" w:type="dxa"/>
            <w:vMerge/>
          </w:tcPr>
          <w:p w14:paraId="08FD8C9D" w14:textId="77777777" w:rsidR="00950C34" w:rsidRPr="003A769F" w:rsidRDefault="00950C34" w:rsidP="00FA7B33">
            <w:pPr>
              <w:spacing w:beforeLines="40" w:before="96" w:afterLines="40" w:after="96"/>
              <w:rPr>
                <w:i/>
                <w:noProof/>
                <w:sz w:val="18"/>
                <w:lang w:val="en-IE"/>
              </w:rPr>
            </w:pPr>
          </w:p>
        </w:tc>
        <w:tc>
          <w:tcPr>
            <w:tcW w:w="1031" w:type="dxa"/>
            <w:vAlign w:val="center"/>
          </w:tcPr>
          <w:p w14:paraId="02081385" w14:textId="77777777" w:rsidR="00950C34" w:rsidRDefault="00950C34" w:rsidP="00FA7B33">
            <w:pPr>
              <w:jc w:val="center"/>
              <w:rPr>
                <w:noProof/>
                <w:sz w:val="18"/>
              </w:rPr>
            </w:pPr>
            <w:r>
              <w:rPr>
                <w:noProof/>
                <w:sz w:val="18"/>
              </w:rPr>
              <w:t>Year</w:t>
            </w:r>
            <w:r>
              <w:rPr>
                <w:noProof/>
                <w:sz w:val="22"/>
              </w:rPr>
              <w:br/>
            </w:r>
            <w:r>
              <w:rPr>
                <w:b/>
                <w:noProof/>
                <w:sz w:val="18"/>
              </w:rPr>
              <w:t>N</w:t>
            </w:r>
          </w:p>
        </w:tc>
        <w:tc>
          <w:tcPr>
            <w:tcW w:w="900" w:type="dxa"/>
            <w:vAlign w:val="center"/>
          </w:tcPr>
          <w:p w14:paraId="0AE17670" w14:textId="77777777" w:rsidR="00950C34" w:rsidRDefault="00950C34" w:rsidP="00FA7B33">
            <w:pPr>
              <w:jc w:val="center"/>
              <w:rPr>
                <w:noProof/>
                <w:sz w:val="18"/>
              </w:rPr>
            </w:pPr>
            <w:r>
              <w:rPr>
                <w:noProof/>
                <w:sz w:val="18"/>
              </w:rPr>
              <w:t>Year</w:t>
            </w:r>
            <w:r>
              <w:rPr>
                <w:noProof/>
                <w:sz w:val="22"/>
              </w:rPr>
              <w:br/>
            </w:r>
            <w:r>
              <w:rPr>
                <w:b/>
                <w:noProof/>
                <w:sz w:val="18"/>
              </w:rPr>
              <w:t>N+1</w:t>
            </w:r>
          </w:p>
        </w:tc>
        <w:tc>
          <w:tcPr>
            <w:tcW w:w="900" w:type="dxa"/>
            <w:vAlign w:val="center"/>
          </w:tcPr>
          <w:p w14:paraId="0689651C" w14:textId="77777777" w:rsidR="00950C34" w:rsidRDefault="00950C34" w:rsidP="00FA7B33">
            <w:pPr>
              <w:jc w:val="center"/>
              <w:rPr>
                <w:noProof/>
                <w:sz w:val="18"/>
              </w:rPr>
            </w:pPr>
            <w:r>
              <w:rPr>
                <w:noProof/>
                <w:sz w:val="18"/>
              </w:rPr>
              <w:t>Year</w:t>
            </w:r>
            <w:r>
              <w:rPr>
                <w:noProof/>
                <w:sz w:val="22"/>
              </w:rPr>
              <w:br/>
            </w:r>
            <w:r>
              <w:rPr>
                <w:b/>
                <w:noProof/>
                <w:sz w:val="18"/>
              </w:rPr>
              <w:t>N+2</w:t>
            </w:r>
          </w:p>
        </w:tc>
        <w:tc>
          <w:tcPr>
            <w:tcW w:w="1080" w:type="dxa"/>
            <w:vAlign w:val="center"/>
          </w:tcPr>
          <w:p w14:paraId="5FF8930A" w14:textId="77777777" w:rsidR="00950C34" w:rsidRDefault="00950C34" w:rsidP="00FA7B33">
            <w:pPr>
              <w:jc w:val="center"/>
              <w:rPr>
                <w:noProof/>
                <w:sz w:val="18"/>
              </w:rPr>
            </w:pPr>
            <w:r>
              <w:rPr>
                <w:noProof/>
                <w:sz w:val="18"/>
              </w:rPr>
              <w:t>Year</w:t>
            </w:r>
            <w:r>
              <w:rPr>
                <w:noProof/>
                <w:sz w:val="22"/>
              </w:rPr>
              <w:br/>
            </w:r>
            <w:r>
              <w:rPr>
                <w:b/>
                <w:noProof/>
                <w:sz w:val="18"/>
              </w:rPr>
              <w:t>N+3</w:t>
            </w:r>
          </w:p>
        </w:tc>
        <w:tc>
          <w:tcPr>
            <w:tcW w:w="3240" w:type="dxa"/>
            <w:gridSpan w:val="3"/>
            <w:vAlign w:val="center"/>
          </w:tcPr>
          <w:p w14:paraId="5E2DDA33" w14:textId="77777777" w:rsidR="00950C34" w:rsidRPr="003A769F" w:rsidRDefault="00950C34" w:rsidP="00FA7B33">
            <w:pPr>
              <w:jc w:val="center"/>
              <w:rPr>
                <w:b/>
                <w:noProof/>
                <w:sz w:val="18"/>
                <w:lang w:val="en-IE"/>
              </w:rPr>
            </w:pPr>
            <w:r w:rsidRPr="003A769F">
              <w:rPr>
                <w:noProof/>
                <w:sz w:val="18"/>
                <w:lang w:val="en-IE"/>
              </w:rPr>
              <w:t>Enter as many years as necessary to show the duration of the impact (see point 1.6)</w:t>
            </w:r>
          </w:p>
        </w:tc>
      </w:tr>
      <w:tr w:rsidR="00950C34" w14:paraId="2A319F22" w14:textId="77777777" w:rsidTr="00FA7B33">
        <w:trPr>
          <w:trHeight w:val="388"/>
        </w:trPr>
        <w:tc>
          <w:tcPr>
            <w:tcW w:w="2144" w:type="dxa"/>
            <w:vAlign w:val="center"/>
          </w:tcPr>
          <w:p w14:paraId="6FD3A511" w14:textId="77777777" w:rsidR="00950C34" w:rsidRDefault="00950C34" w:rsidP="00FA7B33">
            <w:pPr>
              <w:spacing w:before="40" w:after="40"/>
              <w:rPr>
                <w:noProof/>
                <w:sz w:val="18"/>
              </w:rPr>
            </w:pPr>
            <w:r>
              <w:rPr>
                <w:noProof/>
                <w:sz w:val="18"/>
              </w:rPr>
              <w:t>Article ………….</w:t>
            </w:r>
          </w:p>
        </w:tc>
        <w:tc>
          <w:tcPr>
            <w:tcW w:w="1325" w:type="dxa"/>
          </w:tcPr>
          <w:p w14:paraId="257066D4" w14:textId="77777777" w:rsidR="00950C34" w:rsidRDefault="00950C34" w:rsidP="00FA7B33">
            <w:pPr>
              <w:spacing w:beforeLines="40" w:before="96" w:afterLines="40" w:after="96"/>
              <w:jc w:val="center"/>
              <w:rPr>
                <w:i/>
                <w:noProof/>
                <w:sz w:val="18"/>
              </w:rPr>
            </w:pPr>
          </w:p>
        </w:tc>
        <w:tc>
          <w:tcPr>
            <w:tcW w:w="1031" w:type="dxa"/>
          </w:tcPr>
          <w:p w14:paraId="64258AFC" w14:textId="77777777" w:rsidR="00950C34" w:rsidRDefault="00950C34" w:rsidP="00FA7B33">
            <w:pPr>
              <w:spacing w:beforeLines="40" w:before="96" w:afterLines="40" w:after="96"/>
              <w:jc w:val="center"/>
              <w:rPr>
                <w:noProof/>
                <w:sz w:val="18"/>
              </w:rPr>
            </w:pPr>
          </w:p>
        </w:tc>
        <w:tc>
          <w:tcPr>
            <w:tcW w:w="900" w:type="dxa"/>
          </w:tcPr>
          <w:p w14:paraId="0F51D9B0" w14:textId="77777777" w:rsidR="00950C34" w:rsidRDefault="00950C34" w:rsidP="00FA7B33">
            <w:pPr>
              <w:spacing w:beforeLines="40" w:before="96" w:afterLines="40" w:after="96"/>
              <w:jc w:val="center"/>
              <w:rPr>
                <w:noProof/>
                <w:sz w:val="18"/>
              </w:rPr>
            </w:pPr>
          </w:p>
        </w:tc>
        <w:tc>
          <w:tcPr>
            <w:tcW w:w="900" w:type="dxa"/>
          </w:tcPr>
          <w:p w14:paraId="5218FD3E" w14:textId="77777777" w:rsidR="00950C34" w:rsidRDefault="00950C34" w:rsidP="00FA7B33">
            <w:pPr>
              <w:spacing w:beforeLines="40" w:before="96" w:afterLines="40" w:after="96"/>
              <w:jc w:val="center"/>
              <w:rPr>
                <w:noProof/>
                <w:sz w:val="18"/>
              </w:rPr>
            </w:pPr>
          </w:p>
        </w:tc>
        <w:tc>
          <w:tcPr>
            <w:tcW w:w="1080" w:type="dxa"/>
          </w:tcPr>
          <w:p w14:paraId="23B8183B" w14:textId="77777777" w:rsidR="00950C34" w:rsidRDefault="00950C34" w:rsidP="00FA7B33">
            <w:pPr>
              <w:spacing w:beforeLines="40" w:before="96" w:afterLines="40" w:after="96"/>
              <w:jc w:val="center"/>
              <w:rPr>
                <w:noProof/>
                <w:sz w:val="18"/>
              </w:rPr>
            </w:pPr>
          </w:p>
        </w:tc>
        <w:tc>
          <w:tcPr>
            <w:tcW w:w="1080" w:type="dxa"/>
          </w:tcPr>
          <w:p w14:paraId="688647B4" w14:textId="77777777" w:rsidR="00950C34" w:rsidRDefault="00950C34" w:rsidP="00FA7B33">
            <w:pPr>
              <w:spacing w:beforeLines="40" w:before="96" w:afterLines="40" w:after="96"/>
              <w:jc w:val="center"/>
              <w:rPr>
                <w:noProof/>
                <w:sz w:val="18"/>
              </w:rPr>
            </w:pPr>
          </w:p>
        </w:tc>
        <w:tc>
          <w:tcPr>
            <w:tcW w:w="1080" w:type="dxa"/>
          </w:tcPr>
          <w:p w14:paraId="0279AE0B" w14:textId="77777777" w:rsidR="00950C34" w:rsidRDefault="00950C34" w:rsidP="00FA7B33">
            <w:pPr>
              <w:spacing w:beforeLines="40" w:before="96" w:afterLines="40" w:after="96"/>
              <w:jc w:val="center"/>
              <w:rPr>
                <w:noProof/>
                <w:sz w:val="18"/>
              </w:rPr>
            </w:pPr>
          </w:p>
        </w:tc>
        <w:tc>
          <w:tcPr>
            <w:tcW w:w="1080" w:type="dxa"/>
          </w:tcPr>
          <w:p w14:paraId="111693D2" w14:textId="77777777" w:rsidR="00950C34" w:rsidRDefault="00950C34" w:rsidP="00FA7B33">
            <w:pPr>
              <w:spacing w:beforeLines="40" w:before="96" w:afterLines="40" w:after="96"/>
              <w:jc w:val="center"/>
              <w:rPr>
                <w:noProof/>
                <w:sz w:val="18"/>
              </w:rPr>
            </w:pPr>
          </w:p>
        </w:tc>
      </w:tr>
    </w:tbl>
    <w:p w14:paraId="4CB29C8A" w14:textId="77777777" w:rsidR="00950C34" w:rsidRDefault="00950C34" w:rsidP="00950C34">
      <w:pPr>
        <w:pStyle w:val="Text1"/>
        <w:rPr>
          <w:noProof/>
          <w:sz w:val="20"/>
        </w:rPr>
      </w:pPr>
      <w:r>
        <w:rPr>
          <w:noProof/>
          <w:sz w:val="20"/>
        </w:rPr>
        <w:t>For assigned revenue, specify the budget expenditure line(s) affected.</w:t>
      </w:r>
    </w:p>
    <w:p w14:paraId="7B2C3504" w14:textId="77777777" w:rsidR="00950C34" w:rsidRDefault="00950C34" w:rsidP="00950C34">
      <w:pPr>
        <w:pStyle w:val="Text1"/>
        <w:pBdr>
          <w:top w:val="single" w:sz="4" w:space="1" w:color="auto"/>
          <w:left w:val="single" w:sz="4" w:space="4" w:color="auto"/>
          <w:bottom w:val="single" w:sz="4" w:space="1" w:color="auto"/>
          <w:right w:val="single" w:sz="4" w:space="4" w:color="auto"/>
        </w:pBdr>
        <w:rPr>
          <w:noProof/>
        </w:rPr>
      </w:pPr>
    </w:p>
    <w:p w14:paraId="69FAE751" w14:textId="77777777" w:rsidR="00950C34" w:rsidRDefault="00950C34" w:rsidP="00950C34">
      <w:pPr>
        <w:pStyle w:val="Text1"/>
        <w:rPr>
          <w:noProof/>
          <w:sz w:val="20"/>
        </w:rPr>
      </w:pPr>
      <w:r>
        <w:rPr>
          <w:noProof/>
          <w:sz w:val="20"/>
        </w:rPr>
        <w:t xml:space="preserve">Other remarks (e.g. method/formula used for calculating </w:t>
      </w:r>
      <w:r w:rsidRPr="009B753E">
        <w:rPr>
          <w:noProof/>
          <w:sz w:val="20"/>
        </w:rPr>
        <w:t>the impact on revenue or any other information).</w:t>
      </w:r>
    </w:p>
    <w:p w14:paraId="5988FAD9" w14:textId="77777777" w:rsidR="00950C34" w:rsidRDefault="00950C34" w:rsidP="00950C34">
      <w:pPr>
        <w:pStyle w:val="Text1"/>
        <w:pBdr>
          <w:top w:val="single" w:sz="4" w:space="1" w:color="auto"/>
          <w:left w:val="single" w:sz="4" w:space="4" w:color="auto"/>
          <w:bottom w:val="single" w:sz="4" w:space="1" w:color="auto"/>
          <w:right w:val="single" w:sz="4" w:space="4" w:color="auto"/>
        </w:pBdr>
        <w:rPr>
          <w:noProof/>
        </w:rPr>
      </w:pPr>
    </w:p>
    <w:p w14:paraId="770C2A4D" w14:textId="77777777" w:rsidR="00950C34" w:rsidRPr="0061707B" w:rsidRDefault="00950C34" w:rsidP="00950C34">
      <w:pPr>
        <w:rPr>
          <w:noProof/>
        </w:rPr>
      </w:pPr>
    </w:p>
    <w:sectPr w:rsidR="00950C34" w:rsidRPr="0061707B" w:rsidSect="00742C1D">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58495" w14:textId="77777777" w:rsidR="006F2996" w:rsidRDefault="006F2996">
      <w:pPr>
        <w:spacing w:before="0" w:after="0"/>
      </w:pPr>
      <w:r>
        <w:separator/>
      </w:r>
    </w:p>
  </w:endnote>
  <w:endnote w:type="continuationSeparator" w:id="0">
    <w:p w14:paraId="62ACCC47" w14:textId="77777777" w:rsidR="006F2996" w:rsidRDefault="006F2996">
      <w:pPr>
        <w:spacing w:before="0" w:after="0"/>
      </w:pPr>
      <w:r>
        <w:continuationSeparator/>
      </w:r>
    </w:p>
  </w:endnote>
  <w:endnote w:type="continuationNotice" w:id="1">
    <w:p w14:paraId="2FBD2AF0" w14:textId="77777777" w:rsidR="006F2996" w:rsidRDefault="006F299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UAlbertina">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C0FD2" w14:textId="754E3034" w:rsidR="00C65CAE" w:rsidRPr="00742C1D" w:rsidRDefault="00742C1D" w:rsidP="00742C1D">
    <w:pPr>
      <w:pStyle w:val="Footer"/>
      <w:rPr>
        <w:rFonts w:ascii="Arial" w:hAnsi="Arial" w:cs="Arial"/>
        <w:b/>
        <w:sz w:val="48"/>
      </w:rPr>
    </w:pPr>
    <w:r w:rsidRPr="00742C1D">
      <w:rPr>
        <w:rFonts w:ascii="Arial" w:hAnsi="Arial" w:cs="Arial"/>
        <w:b/>
        <w:sz w:val="48"/>
      </w:rPr>
      <w:t>EN</w:t>
    </w:r>
    <w:r w:rsidRPr="00742C1D">
      <w:rPr>
        <w:rFonts w:ascii="Arial" w:hAnsi="Arial" w:cs="Arial"/>
        <w:b/>
        <w:sz w:val="48"/>
      </w:rPr>
      <w:tab/>
    </w:r>
    <w:r w:rsidRPr="00742C1D">
      <w:rPr>
        <w:rFonts w:ascii="Arial" w:hAnsi="Arial" w:cs="Arial"/>
        <w:b/>
        <w:sz w:val="48"/>
      </w:rPr>
      <w:tab/>
    </w:r>
    <w:r w:rsidRPr="00742C1D">
      <w:tab/>
    </w:r>
    <w:r w:rsidRPr="00742C1D">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7621C" w14:textId="0725576F" w:rsidR="00C65CAE" w:rsidRPr="00742C1D" w:rsidRDefault="00742C1D" w:rsidP="00742C1D">
    <w:pPr>
      <w:pStyle w:val="Footer"/>
      <w:rPr>
        <w:rFonts w:ascii="Arial" w:hAnsi="Arial" w:cs="Arial"/>
        <w:b/>
        <w:sz w:val="48"/>
      </w:rPr>
    </w:pPr>
    <w:r w:rsidRPr="00742C1D">
      <w:rPr>
        <w:rFonts w:ascii="Arial" w:hAnsi="Arial" w:cs="Arial"/>
        <w:b/>
        <w:sz w:val="48"/>
      </w:rPr>
      <w:t>EN</w:t>
    </w:r>
    <w:r w:rsidRPr="00742C1D">
      <w:rPr>
        <w:rFonts w:ascii="Arial" w:hAnsi="Arial" w:cs="Arial"/>
        <w:b/>
        <w:sz w:val="48"/>
      </w:rPr>
      <w:tab/>
    </w:r>
    <w:r w:rsidRPr="00742C1D">
      <w:rPr>
        <w:rFonts w:ascii="Arial" w:hAnsi="Arial" w:cs="Arial"/>
        <w:b/>
        <w:sz w:val="48"/>
      </w:rPr>
      <w:tab/>
    </w:r>
    <w:r w:rsidRPr="00742C1D">
      <w:tab/>
    </w:r>
    <w:r w:rsidRPr="00742C1D">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8CB8A" w14:textId="77777777" w:rsidR="00742C1D" w:rsidRPr="00742C1D" w:rsidRDefault="00742C1D" w:rsidP="00742C1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0FC83" w14:textId="4DDE3C03" w:rsidR="00742C1D" w:rsidRPr="00742C1D" w:rsidRDefault="00742C1D" w:rsidP="00742C1D">
    <w:pPr>
      <w:pStyle w:val="Footer"/>
      <w:rPr>
        <w:rFonts w:ascii="Arial" w:hAnsi="Arial" w:cs="Arial"/>
        <w:b/>
        <w:sz w:val="48"/>
      </w:rPr>
    </w:pPr>
    <w:r w:rsidRPr="00742C1D">
      <w:rPr>
        <w:rFonts w:ascii="Arial" w:hAnsi="Arial" w:cs="Arial"/>
        <w:b/>
        <w:sz w:val="48"/>
      </w:rPr>
      <w:t>EN</w:t>
    </w:r>
    <w:r w:rsidRPr="00742C1D">
      <w:rPr>
        <w:rFonts w:ascii="Arial" w:hAnsi="Arial" w:cs="Arial"/>
        <w:b/>
        <w:sz w:val="48"/>
      </w:rPr>
      <w:tab/>
    </w:r>
    <w:r>
      <w:fldChar w:fldCharType="begin"/>
    </w:r>
    <w:r>
      <w:instrText xml:space="preserve"> PAGE  \* MERGEFORMAT </w:instrText>
    </w:r>
    <w:r>
      <w:fldChar w:fldCharType="separate"/>
    </w:r>
    <w:r>
      <w:rPr>
        <w:noProof/>
      </w:rPr>
      <w:t>8</w:t>
    </w:r>
    <w:r>
      <w:fldChar w:fldCharType="end"/>
    </w:r>
    <w:r>
      <w:tab/>
    </w:r>
    <w:r w:rsidRPr="00742C1D">
      <w:tab/>
    </w:r>
    <w:r w:rsidRPr="00742C1D">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3BAD0" w14:textId="77777777" w:rsidR="00742C1D" w:rsidRPr="00742C1D" w:rsidRDefault="00742C1D" w:rsidP="00742C1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3E41F" w14:textId="3BF8D36A" w:rsidR="00742C1D" w:rsidRPr="00742C1D" w:rsidRDefault="00742C1D" w:rsidP="00742C1D">
    <w:pPr>
      <w:pStyle w:val="FooterLandscape"/>
      <w:rPr>
        <w:rFonts w:ascii="Arial" w:hAnsi="Arial" w:cs="Arial"/>
        <w:b/>
        <w:sz w:val="48"/>
      </w:rPr>
    </w:pPr>
    <w:r w:rsidRPr="00742C1D">
      <w:rPr>
        <w:rFonts w:ascii="Arial" w:hAnsi="Arial" w:cs="Arial"/>
        <w:b/>
        <w:sz w:val="48"/>
      </w:rPr>
      <w:t>EN</w:t>
    </w:r>
    <w:r w:rsidRPr="00742C1D">
      <w:rPr>
        <w:rFonts w:ascii="Arial" w:hAnsi="Arial" w:cs="Arial"/>
        <w:b/>
        <w:sz w:val="48"/>
      </w:rPr>
      <w:tab/>
    </w:r>
    <w:r>
      <w:fldChar w:fldCharType="begin"/>
    </w:r>
    <w:r>
      <w:instrText xml:space="preserve"> PAGE  \* MERGEFORMAT </w:instrText>
    </w:r>
    <w:r>
      <w:fldChar w:fldCharType="separate"/>
    </w:r>
    <w:r>
      <w:rPr>
        <w:noProof/>
      </w:rPr>
      <w:t>8</w:t>
    </w:r>
    <w:r>
      <w:fldChar w:fldCharType="end"/>
    </w:r>
    <w:r>
      <w:tab/>
    </w:r>
    <w:r w:rsidRPr="00742C1D">
      <w:tab/>
    </w:r>
    <w:r w:rsidRPr="00742C1D">
      <w:rPr>
        <w:rFonts w:ascii="Arial" w:hAnsi="Arial" w:cs="Arial"/>
        <w:b/>
        <w:sz w:val="48"/>
      </w:rPr>
      <w:t>EN</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E5897" w14:textId="77777777" w:rsidR="00742C1D" w:rsidRPr="00742C1D" w:rsidRDefault="00742C1D" w:rsidP="00742C1D">
    <w:pPr>
      <w:pStyle w:val="FooterLandscap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66942" w14:textId="54889F33" w:rsidR="005772CD" w:rsidRPr="00742C1D" w:rsidRDefault="00742C1D" w:rsidP="00742C1D">
    <w:pPr>
      <w:pStyle w:val="Footer"/>
      <w:rPr>
        <w:rFonts w:ascii="Arial" w:hAnsi="Arial" w:cs="Arial"/>
        <w:b/>
        <w:sz w:val="48"/>
      </w:rPr>
    </w:pPr>
    <w:r w:rsidRPr="00742C1D">
      <w:rPr>
        <w:rFonts w:ascii="Arial" w:hAnsi="Arial" w:cs="Arial"/>
        <w:b/>
        <w:sz w:val="48"/>
      </w:rPr>
      <w:t>EN</w:t>
    </w:r>
    <w:r w:rsidRPr="00742C1D">
      <w:rPr>
        <w:rFonts w:ascii="Arial" w:hAnsi="Arial" w:cs="Arial"/>
        <w:b/>
        <w:sz w:val="48"/>
      </w:rPr>
      <w:tab/>
    </w:r>
    <w:r>
      <w:fldChar w:fldCharType="begin"/>
    </w:r>
    <w:r>
      <w:instrText xml:space="preserve"> PAGE  \* MERGEFORMAT </w:instrText>
    </w:r>
    <w:r>
      <w:fldChar w:fldCharType="separate"/>
    </w:r>
    <w:r>
      <w:rPr>
        <w:noProof/>
      </w:rPr>
      <w:t>21</w:t>
    </w:r>
    <w:r>
      <w:fldChar w:fldCharType="end"/>
    </w:r>
    <w:r>
      <w:tab/>
    </w:r>
    <w:r w:rsidRPr="00742C1D">
      <w:tab/>
    </w:r>
    <w:r w:rsidRPr="00742C1D">
      <w:rPr>
        <w:rFonts w:ascii="Arial" w:hAnsi="Arial" w:cs="Arial"/>
        <w:b/>
        <w:sz w:val="48"/>
      </w:rPr>
      <w:t>EN</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EFFBE" w14:textId="77777777" w:rsidR="00742C1D" w:rsidRPr="00742C1D" w:rsidRDefault="00742C1D" w:rsidP="00742C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EF162" w14:textId="77777777" w:rsidR="006F2996" w:rsidRDefault="006F2996">
      <w:pPr>
        <w:spacing w:before="0" w:after="0"/>
      </w:pPr>
      <w:r>
        <w:separator/>
      </w:r>
    </w:p>
  </w:footnote>
  <w:footnote w:type="continuationSeparator" w:id="0">
    <w:p w14:paraId="2789BFA5" w14:textId="77777777" w:rsidR="006F2996" w:rsidRDefault="006F2996">
      <w:pPr>
        <w:spacing w:before="0" w:after="0"/>
      </w:pPr>
      <w:r>
        <w:continuationSeparator/>
      </w:r>
    </w:p>
  </w:footnote>
  <w:footnote w:type="continuationNotice" w:id="1">
    <w:p w14:paraId="494EAE05" w14:textId="77777777" w:rsidR="006F2996" w:rsidRDefault="006F2996">
      <w:pPr>
        <w:spacing w:before="0" w:after="0"/>
      </w:pPr>
    </w:p>
  </w:footnote>
  <w:footnote w:id="2">
    <w:p w14:paraId="5CD47861" w14:textId="77777777" w:rsidR="00ED5935" w:rsidRPr="00ED5935" w:rsidRDefault="00ED5935">
      <w:pPr>
        <w:pStyle w:val="FootnoteText"/>
        <w:rPr>
          <w:lang w:val="en-US"/>
        </w:rPr>
      </w:pPr>
      <w:r>
        <w:rPr>
          <w:rStyle w:val="FootnoteReference"/>
        </w:rPr>
        <w:footnoteRef/>
      </w:r>
      <w:r>
        <w:rPr>
          <w:lang w:val="en-US"/>
        </w:rPr>
        <w:tab/>
      </w:r>
      <w:r w:rsidR="002276C4">
        <w:rPr>
          <w:lang w:val="en-US"/>
        </w:rPr>
        <w:t xml:space="preserve">Communication on The Single Market at 30, </w:t>
      </w:r>
      <w:r>
        <w:rPr>
          <w:lang w:val="en-US"/>
        </w:rPr>
        <w:t xml:space="preserve">COM(2023) 162 final. </w:t>
      </w:r>
    </w:p>
  </w:footnote>
  <w:footnote w:id="3">
    <w:p w14:paraId="5E1B008C" w14:textId="77777777" w:rsidR="008F5F73" w:rsidRPr="008F5F73" w:rsidRDefault="008F5F73">
      <w:pPr>
        <w:pStyle w:val="FootnoteText"/>
        <w:rPr>
          <w:lang w:val="en-US"/>
        </w:rPr>
      </w:pPr>
      <w:r>
        <w:rPr>
          <w:rStyle w:val="FootnoteReference"/>
        </w:rPr>
        <w:footnoteRef/>
      </w:r>
      <w:r>
        <w:rPr>
          <w:lang w:val="en-US"/>
        </w:rPr>
        <w:tab/>
      </w:r>
      <w:hyperlink r:id="rId1" w:history="1">
        <w:r w:rsidRPr="009121B8">
          <w:rPr>
            <w:rStyle w:val="Hyperlink"/>
            <w:lang w:val="en-US"/>
          </w:rPr>
          <w:t>https://next-generation-eu.europa.eu/index_en</w:t>
        </w:r>
      </w:hyperlink>
      <w:r>
        <w:rPr>
          <w:lang w:val="en-US"/>
        </w:rPr>
        <w:t xml:space="preserve"> </w:t>
      </w:r>
    </w:p>
  </w:footnote>
  <w:footnote w:id="4">
    <w:p w14:paraId="4CF0D67F" w14:textId="77777777" w:rsidR="00545783" w:rsidRPr="00545783" w:rsidRDefault="00545783">
      <w:pPr>
        <w:pStyle w:val="FootnoteText"/>
        <w:rPr>
          <w:lang w:val="en-US"/>
        </w:rPr>
      </w:pPr>
      <w:r>
        <w:rPr>
          <w:rStyle w:val="FootnoteReference"/>
        </w:rPr>
        <w:footnoteRef/>
      </w:r>
      <w:r>
        <w:rPr>
          <w:lang w:val="en-US"/>
        </w:rPr>
        <w:tab/>
      </w:r>
      <w:r w:rsidR="00065494">
        <w:rPr>
          <w:lang w:val="en-US"/>
        </w:rPr>
        <w:t xml:space="preserve">Communication on A Green Deal Industrial Plan for the Net-Zero Age, </w:t>
      </w:r>
      <w:r>
        <w:rPr>
          <w:lang w:val="en-US"/>
        </w:rPr>
        <w:t xml:space="preserve">COM(2023) 62 final. </w:t>
      </w:r>
    </w:p>
  </w:footnote>
  <w:footnote w:id="5">
    <w:p w14:paraId="4E61A598" w14:textId="77777777" w:rsidR="00D43CB4" w:rsidRPr="00D43CB4" w:rsidRDefault="00D43CB4">
      <w:pPr>
        <w:pStyle w:val="FootnoteText"/>
        <w:rPr>
          <w:lang w:val="en-US"/>
        </w:rPr>
      </w:pPr>
      <w:r>
        <w:rPr>
          <w:rStyle w:val="FootnoteReference"/>
        </w:rPr>
        <w:footnoteRef/>
      </w:r>
      <w:r>
        <w:rPr>
          <w:lang w:val="en-US"/>
        </w:rPr>
        <w:tab/>
      </w:r>
      <w:r w:rsidR="00941409">
        <w:rPr>
          <w:lang w:val="en-US"/>
        </w:rPr>
        <w:t xml:space="preserve">Communication on A New European Innovation Agenda, </w:t>
      </w:r>
      <w:r w:rsidR="007D0C80">
        <w:rPr>
          <w:lang w:val="en-US"/>
        </w:rPr>
        <w:t xml:space="preserve">COM(2022) 332 final. </w:t>
      </w:r>
    </w:p>
  </w:footnote>
  <w:footnote w:id="6">
    <w:p w14:paraId="131AA1CC" w14:textId="77777777" w:rsidR="00C4764D" w:rsidRPr="00C4764D" w:rsidRDefault="00C4764D">
      <w:pPr>
        <w:pStyle w:val="FootnoteText"/>
        <w:rPr>
          <w:lang w:val="en-US"/>
        </w:rPr>
      </w:pPr>
      <w:r>
        <w:rPr>
          <w:rStyle w:val="FootnoteReference"/>
        </w:rPr>
        <w:footnoteRef/>
      </w:r>
      <w:r>
        <w:rPr>
          <w:lang w:val="en-US"/>
        </w:rPr>
        <w:tab/>
      </w:r>
      <w:r w:rsidR="00941409">
        <w:rPr>
          <w:lang w:val="en-US"/>
        </w:rPr>
        <w:t>Communication on a Temporary Crisis and Transition Framework for State Aid</w:t>
      </w:r>
      <w:r w:rsidR="00B11884">
        <w:rPr>
          <w:lang w:val="en-US"/>
        </w:rPr>
        <w:t xml:space="preserve"> measures (</w:t>
      </w:r>
      <w:r w:rsidRPr="00727E54">
        <w:rPr>
          <w:lang w:val="en-US"/>
        </w:rPr>
        <w:t>O</w:t>
      </w:r>
      <w:r w:rsidR="00727E54" w:rsidRPr="00727E54">
        <w:rPr>
          <w:lang w:val="en-US"/>
        </w:rPr>
        <w:t>J C 101, 17.3.2023, p. 3</w:t>
      </w:r>
      <w:r w:rsidR="00B11884">
        <w:rPr>
          <w:lang w:val="en-US"/>
        </w:rPr>
        <w:t>)</w:t>
      </w:r>
      <w:r w:rsidR="00727E54">
        <w:rPr>
          <w:lang w:val="en-US"/>
        </w:rPr>
        <w:t>.</w:t>
      </w:r>
    </w:p>
  </w:footnote>
  <w:footnote w:id="7">
    <w:p w14:paraId="7FBDBFF6" w14:textId="77777777" w:rsidR="00CF6548" w:rsidRPr="00E941D3" w:rsidRDefault="00CF6548">
      <w:pPr>
        <w:pStyle w:val="FootnoteText"/>
        <w:rPr>
          <w:lang w:val="en-IE"/>
        </w:rPr>
      </w:pPr>
      <w:r>
        <w:rPr>
          <w:rStyle w:val="FootnoteReference"/>
        </w:rPr>
        <w:footnoteRef/>
      </w:r>
      <w:r w:rsidRPr="00E941D3">
        <w:rPr>
          <w:lang w:val="en-IE"/>
        </w:rPr>
        <w:tab/>
      </w:r>
      <w:r w:rsidR="00E941D3" w:rsidRPr="00E941D3">
        <w:rPr>
          <w:lang w:val="en-IE"/>
        </w:rPr>
        <w:t xml:space="preserve">Regulation (EU) 2023/435 as regards REPowerEU </w:t>
      </w:r>
      <w:r w:rsidR="00E941D3">
        <w:rPr>
          <w:lang w:val="en-IE"/>
        </w:rPr>
        <w:t>(</w:t>
      </w:r>
      <w:r w:rsidRPr="00E941D3">
        <w:rPr>
          <w:lang w:val="en-IE"/>
        </w:rPr>
        <w:t>OJ L 63, 28.2.2023, p. 1</w:t>
      </w:r>
      <w:r w:rsidR="00E941D3">
        <w:rPr>
          <w:lang w:val="en-IE"/>
        </w:rPr>
        <w:t xml:space="preserve">). </w:t>
      </w:r>
    </w:p>
  </w:footnote>
  <w:footnote w:id="8">
    <w:p w14:paraId="2D7A2AB1" w14:textId="77777777" w:rsidR="00856F4C" w:rsidRPr="00856F4C" w:rsidRDefault="00856F4C">
      <w:pPr>
        <w:pStyle w:val="FootnoteText"/>
        <w:rPr>
          <w:lang w:val="en-US"/>
        </w:rPr>
      </w:pPr>
      <w:r>
        <w:rPr>
          <w:rStyle w:val="FootnoteReference"/>
        </w:rPr>
        <w:footnoteRef/>
      </w:r>
      <w:r>
        <w:rPr>
          <w:lang w:val="en-US"/>
        </w:rPr>
        <w:tab/>
      </w:r>
      <w:hyperlink r:id="rId2" w:history="1">
        <w:r w:rsidRPr="009121B8">
          <w:rPr>
            <w:rStyle w:val="Hyperlink"/>
            <w:lang w:val="en-US"/>
          </w:rPr>
          <w:t>https://state-of-the-union.ec.europa.eu/state-union-2022_en</w:t>
        </w:r>
      </w:hyperlink>
      <w:r>
        <w:rPr>
          <w:lang w:val="en-US"/>
        </w:rPr>
        <w:t xml:space="preserve"> </w:t>
      </w:r>
    </w:p>
  </w:footnote>
  <w:footnote w:id="9">
    <w:p w14:paraId="42C4988D" w14:textId="77777777" w:rsidR="007D40A7" w:rsidRPr="00B8421D" w:rsidRDefault="007D40A7" w:rsidP="007D40A7">
      <w:pPr>
        <w:pStyle w:val="FootnoteText"/>
        <w:rPr>
          <w:lang w:val="en-US"/>
        </w:rPr>
      </w:pPr>
      <w:r>
        <w:rPr>
          <w:rStyle w:val="FootnoteReference"/>
        </w:rPr>
        <w:footnoteRef/>
      </w:r>
      <w:r>
        <w:rPr>
          <w:lang w:val="en-US"/>
        </w:rPr>
        <w:tab/>
        <w:t xml:space="preserve">Speech of 4 December 2022, </w:t>
      </w:r>
      <w:hyperlink r:id="rId3" w:history="1">
        <w:r w:rsidRPr="009121B8">
          <w:rPr>
            <w:rStyle w:val="Hyperlink"/>
            <w:lang w:val="en-US"/>
          </w:rPr>
          <w:t>https://ec.europa.eu/commission/presscorner/detail/es/speech_22_7487</w:t>
        </w:r>
      </w:hyperlink>
    </w:p>
  </w:footnote>
  <w:footnote w:id="10">
    <w:p w14:paraId="0B1D214F" w14:textId="77777777" w:rsidR="006D2F83" w:rsidRPr="006D2F83" w:rsidRDefault="006D2F83">
      <w:pPr>
        <w:pStyle w:val="FootnoteText"/>
        <w:rPr>
          <w:lang w:val="en-US"/>
        </w:rPr>
      </w:pPr>
      <w:r>
        <w:rPr>
          <w:rStyle w:val="FootnoteReference"/>
        </w:rPr>
        <w:footnoteRef/>
      </w:r>
      <w:r>
        <w:rPr>
          <w:lang w:val="en-US"/>
        </w:rPr>
        <w:tab/>
      </w:r>
      <w:r w:rsidR="283CEB1F">
        <w:rPr>
          <w:lang w:val="en-US"/>
        </w:rPr>
        <w:t>European Council conclusions of 23 March 2023, EUCO 4/23</w:t>
      </w:r>
    </w:p>
  </w:footnote>
  <w:footnote w:id="11">
    <w:p w14:paraId="77937D22" w14:textId="77777777" w:rsidR="00687097" w:rsidRPr="00687097" w:rsidRDefault="00687097">
      <w:pPr>
        <w:pStyle w:val="FootnoteText"/>
        <w:rPr>
          <w:lang w:val="en-US"/>
        </w:rPr>
      </w:pPr>
      <w:r>
        <w:rPr>
          <w:rStyle w:val="FootnoteReference"/>
        </w:rPr>
        <w:footnoteRef/>
      </w:r>
      <w:r>
        <w:rPr>
          <w:lang w:val="en-US"/>
        </w:rPr>
        <w:tab/>
        <w:t xml:space="preserve">COM(2023) 62 final. </w:t>
      </w:r>
    </w:p>
  </w:footnote>
  <w:footnote w:id="12">
    <w:p w14:paraId="70346C59" w14:textId="77777777" w:rsidR="00080E40" w:rsidRPr="006E37DD" w:rsidRDefault="00080E40">
      <w:pPr>
        <w:pStyle w:val="FootnoteText"/>
        <w:rPr>
          <w:lang w:val="en-IE"/>
        </w:rPr>
      </w:pPr>
      <w:r w:rsidRPr="001D3939">
        <w:rPr>
          <w:rStyle w:val="FootnoteReference"/>
        </w:rPr>
        <w:footnoteRef/>
      </w:r>
      <w:r w:rsidR="001D3939">
        <w:tab/>
      </w:r>
      <w:r w:rsidRPr="006E37DD">
        <w:rPr>
          <w:lang w:val="en-IE"/>
        </w:rPr>
        <w:t xml:space="preserve">Based on a carbon price of </w:t>
      </w:r>
      <w:r>
        <w:rPr>
          <w:lang w:val="en-IE"/>
        </w:rPr>
        <w:t>EUR 80 / ton CO2eq</w:t>
      </w:r>
    </w:p>
  </w:footnote>
  <w:footnote w:id="13">
    <w:p w14:paraId="262D7ADC" w14:textId="77777777" w:rsidR="006538B9" w:rsidRPr="00ED1A1D" w:rsidRDefault="006538B9" w:rsidP="006538B9">
      <w:pPr>
        <w:pStyle w:val="FootnoteText"/>
        <w:rPr>
          <w:lang w:val="en-IE"/>
        </w:rPr>
      </w:pPr>
      <w:r>
        <w:rPr>
          <w:rStyle w:val="FootnoteReference"/>
        </w:rPr>
        <w:footnoteRef/>
      </w:r>
      <w:r w:rsidRPr="00E614E9">
        <w:rPr>
          <w:lang w:val="en-IE"/>
        </w:rPr>
        <w:tab/>
        <w:t>T</w:t>
      </w:r>
      <w:r w:rsidRPr="00E614E9">
        <w:rPr>
          <w:rStyle w:val="FootnoteReference"/>
          <w:vertAlign w:val="baseline"/>
        </w:rPr>
        <w:t>he additional REACT-EU resources stemming from the NextGenerationEU have increased the funding available in 2021 and 2022</w:t>
      </w:r>
      <w:r w:rsidRPr="00E614E9">
        <w:rPr>
          <w:lang w:val="en-IE"/>
        </w:rPr>
        <w:t xml:space="preserve"> (</w:t>
      </w:r>
      <w:r w:rsidRPr="00E614E9">
        <w:rPr>
          <w:rStyle w:val="FootnoteReference"/>
          <w:vertAlign w:val="baseline"/>
        </w:rPr>
        <w:t>without national co-financing required</w:t>
      </w:r>
      <w:r w:rsidRPr="00E614E9">
        <w:rPr>
          <w:lang w:val="en-IE"/>
        </w:rPr>
        <w:t>)</w:t>
      </w:r>
      <w:r w:rsidRPr="00E614E9">
        <w:rPr>
          <w:rStyle w:val="FootnoteReference"/>
          <w:vertAlign w:val="baseline"/>
        </w:rPr>
        <w:t xml:space="preserve"> to provide Member States with rapid assistance for fostering crisis repair and resilient recovery.</w:t>
      </w:r>
      <w:r w:rsidRPr="00E614E9">
        <w:rPr>
          <w:lang w:val="en-IE"/>
        </w:rPr>
        <w:t xml:space="preserve"> Other measures include the Cohesion’s Action for Refugees in Europe (CARE)</w:t>
      </w:r>
      <w:r>
        <w:rPr>
          <w:lang w:val="en-IE"/>
        </w:rPr>
        <w:t xml:space="preserve"> package, and the Supporting Affordable Energy initiative (SAFE). </w:t>
      </w:r>
      <w:r w:rsidRPr="00ED1A1D">
        <w:rPr>
          <w:lang w:val="en-IE"/>
        </w:rPr>
        <w:t xml:space="preserve">See </w:t>
      </w:r>
      <w:r w:rsidRPr="00ED1A1D">
        <w:rPr>
          <w:rStyle w:val="FootnoteReference"/>
          <w:vertAlign w:val="baseline"/>
          <w:lang w:val="en-IE"/>
        </w:rPr>
        <w:t>Regulation (EU) 2022/562 as regards Cohesion’s Action for Refugees in Europe (CARE) (OJ L 109</w:t>
      </w:r>
      <w:r w:rsidRPr="003D3B1E">
        <w:rPr>
          <w:lang w:val="en-IE"/>
        </w:rPr>
        <w:t>, 8.4.2022, p. 1)</w:t>
      </w:r>
      <w:r>
        <w:rPr>
          <w:lang w:val="en-IE"/>
        </w:rPr>
        <w:t>;</w:t>
      </w:r>
      <w:r w:rsidRPr="003D3B1E">
        <w:rPr>
          <w:lang w:val="en-IE"/>
        </w:rPr>
        <w:t xml:space="preserve"> Regulation (EU) 2022/2039 as regards Flexible Assistance for Territories (FAST-CARE) (OJ L 275, 25.10.2022, p. 23</w:t>
      </w:r>
      <w:r>
        <w:rPr>
          <w:lang w:val="en-IE"/>
        </w:rPr>
        <w:t>);</w:t>
      </w:r>
      <w:r w:rsidRPr="003D3B1E">
        <w:rPr>
          <w:lang w:val="en-IE"/>
        </w:rPr>
        <w:t xml:space="preserve"> and Regulation (EU) 2023/435 as regards REPowerEU (OJ L 63, 28.2.2023, p. 1).</w:t>
      </w:r>
      <w:r w:rsidRPr="00ED1A1D">
        <w:rPr>
          <w:rStyle w:val="Emphasis"/>
          <w:rFonts w:ascii="Roboto" w:hAnsi="Roboto"/>
          <w:color w:val="333333"/>
          <w:sz w:val="21"/>
          <w:szCs w:val="21"/>
          <w:shd w:val="clear" w:color="auto" w:fill="FFFFFF"/>
          <w:lang w:val="en-IE"/>
        </w:rPr>
        <w:t xml:space="preserve"> </w:t>
      </w:r>
    </w:p>
  </w:footnote>
  <w:footnote w:id="14">
    <w:p w14:paraId="39CF0C62" w14:textId="77777777" w:rsidR="009A6793" w:rsidRPr="00AA759B" w:rsidRDefault="009A6793" w:rsidP="00682EE0">
      <w:pPr>
        <w:pStyle w:val="FootnoteText"/>
        <w:rPr>
          <w:lang w:val="en-IE"/>
        </w:rPr>
      </w:pPr>
      <w:r w:rsidRPr="00E552F2">
        <w:rPr>
          <w:rStyle w:val="FootnoteReference"/>
        </w:rPr>
        <w:footnoteRef/>
      </w:r>
      <w:r w:rsidR="00E552F2">
        <w:tab/>
      </w:r>
      <w:r>
        <w:rPr>
          <w:lang w:val="en-IE"/>
        </w:rPr>
        <w:t xml:space="preserve">The figure is based on EIC Accelerator funding awards in </w:t>
      </w:r>
      <w:r w:rsidRPr="00AA759B">
        <w:rPr>
          <w:lang w:val="en-IE"/>
        </w:rPr>
        <w:t>2021-22</w:t>
      </w:r>
      <w:r w:rsidR="00F668E9">
        <w:rPr>
          <w:lang w:val="en-IE"/>
        </w:rPr>
        <w:t>.</w:t>
      </w:r>
    </w:p>
  </w:footnote>
  <w:footnote w:id="15">
    <w:p w14:paraId="571AE9DC" w14:textId="77777777" w:rsidR="002852C4" w:rsidRPr="00FA2E45" w:rsidRDefault="002852C4">
      <w:pPr>
        <w:pStyle w:val="FootnoteText"/>
        <w:rPr>
          <w:lang w:val="en-US"/>
        </w:rPr>
      </w:pPr>
      <w:r>
        <w:rPr>
          <w:rStyle w:val="FootnoteReference"/>
        </w:rPr>
        <w:footnoteRef/>
      </w:r>
      <w:r>
        <w:rPr>
          <w:lang w:val="en-US"/>
        </w:rPr>
        <w:tab/>
      </w:r>
      <w:r w:rsidR="00827D99">
        <w:rPr>
          <w:lang w:val="en-US"/>
        </w:rPr>
        <w:t xml:space="preserve">In accordance with the New European Innovation Agenda, </w:t>
      </w:r>
      <w:r w:rsidR="00AF3B82" w:rsidRPr="00514B5E">
        <w:rPr>
          <w:lang w:val="en-US"/>
        </w:rPr>
        <w:t>deep t</w:t>
      </w:r>
      <w:r w:rsidR="00AF3B82" w:rsidRPr="000F12A6">
        <w:rPr>
          <w:lang w:val="en-US"/>
        </w:rPr>
        <w:t>ech innovation</w:t>
      </w:r>
      <w:r w:rsidR="00AF3B82">
        <w:rPr>
          <w:lang w:val="en-US"/>
        </w:rPr>
        <w:t xml:space="preserve"> has </w:t>
      </w:r>
      <w:r w:rsidR="00AF3B82" w:rsidRPr="00514B5E">
        <w:rPr>
          <w:lang w:val="en-US"/>
        </w:rPr>
        <w:t xml:space="preserve">the potential to </w:t>
      </w:r>
      <w:r w:rsidR="00467DBD">
        <w:rPr>
          <w:lang w:val="en-US"/>
        </w:rPr>
        <w:t>drive innovation across the economy and society</w:t>
      </w:r>
      <w:r w:rsidR="00AF3B82" w:rsidRPr="00FA2E45">
        <w:rPr>
          <w:lang w:val="en-US"/>
        </w:rPr>
        <w:t>.</w:t>
      </w:r>
      <w:r w:rsidR="00CA128B">
        <w:rPr>
          <w:lang w:val="en-US"/>
        </w:rPr>
        <w:t xml:space="preserve"> The Communication on </w:t>
      </w:r>
      <w:r w:rsidR="00DF132C">
        <w:rPr>
          <w:lang w:val="en-US"/>
        </w:rPr>
        <w:t xml:space="preserve">the long-term competitiveness of the EU highlighted </w:t>
      </w:r>
      <w:r w:rsidR="00264F21">
        <w:rPr>
          <w:lang w:val="en-US"/>
        </w:rPr>
        <w:t>clean technology, biotechnology and digital as</w:t>
      </w:r>
      <w:r w:rsidR="009A63F6">
        <w:rPr>
          <w:lang w:val="en-US"/>
        </w:rPr>
        <w:t xml:space="preserve"> </w:t>
      </w:r>
      <w:r w:rsidR="00501878">
        <w:rPr>
          <w:lang w:val="en-US"/>
        </w:rPr>
        <w:t>key relevant areas for the future</w:t>
      </w:r>
      <w:r w:rsidR="00B9648E">
        <w:rPr>
          <w:lang w:val="en-US"/>
        </w:rPr>
        <w:t xml:space="preserve"> due to its high-growth </w:t>
      </w:r>
      <w:r w:rsidR="003A6566">
        <w:rPr>
          <w:lang w:val="en-US"/>
        </w:rPr>
        <w:t>p</w:t>
      </w:r>
      <w:r w:rsidR="00B9648E">
        <w:rPr>
          <w:lang w:val="en-US"/>
        </w:rPr>
        <w:t xml:space="preserve">otential and higher labour productivity. </w:t>
      </w:r>
      <w:r w:rsidR="00CC1AF2">
        <w:rPr>
          <w:lang w:val="en-US"/>
        </w:rPr>
        <w:t xml:space="preserve"> </w:t>
      </w:r>
    </w:p>
  </w:footnote>
  <w:footnote w:id="16">
    <w:p w14:paraId="3E8A8A18" w14:textId="77777777" w:rsidR="00CE6970" w:rsidRPr="00B74B88" w:rsidRDefault="00CE6970" w:rsidP="00CE6970">
      <w:pPr>
        <w:pStyle w:val="FootnoteText"/>
        <w:rPr>
          <w:lang w:val="en-US"/>
        </w:rPr>
      </w:pPr>
      <w:r>
        <w:rPr>
          <w:rStyle w:val="FootnoteReference"/>
        </w:rPr>
        <w:footnoteRef/>
      </w:r>
      <w:r>
        <w:rPr>
          <w:lang w:val="en-US"/>
        </w:rPr>
        <w:tab/>
      </w:r>
      <w:r w:rsidR="00B530B8">
        <w:rPr>
          <w:lang w:val="en-US"/>
        </w:rPr>
        <w:t xml:space="preserve">Communication on the Long-term competitiveness of the EU: looking beyond 2030, </w:t>
      </w:r>
      <w:r>
        <w:rPr>
          <w:lang w:val="en-US"/>
        </w:rPr>
        <w:t>COM(2023) 168</w:t>
      </w:r>
      <w:r w:rsidR="00AD4FBE">
        <w:rPr>
          <w:lang w:val="en-US"/>
        </w:rPr>
        <w:t xml:space="preserve"> final</w:t>
      </w:r>
      <w:r>
        <w:rPr>
          <w:lang w:val="en-US"/>
        </w:rPr>
        <w:t xml:space="preserve">. </w:t>
      </w:r>
    </w:p>
  </w:footnote>
  <w:footnote w:id="17">
    <w:p w14:paraId="63E08725" w14:textId="77777777" w:rsidR="00246DB6" w:rsidRPr="00246DB6" w:rsidRDefault="00246DB6">
      <w:pPr>
        <w:pStyle w:val="FootnoteText"/>
        <w:rPr>
          <w:lang w:val="en-US"/>
        </w:rPr>
      </w:pPr>
      <w:r>
        <w:rPr>
          <w:rStyle w:val="FootnoteReference"/>
        </w:rPr>
        <w:footnoteRef/>
      </w:r>
      <w:r>
        <w:rPr>
          <w:lang w:val="en-US"/>
        </w:rPr>
        <w:tab/>
      </w:r>
      <w:r w:rsidR="00C9235E">
        <w:rPr>
          <w:lang w:val="en-US"/>
        </w:rPr>
        <w:t xml:space="preserve">Proposal </w:t>
      </w:r>
      <w:r w:rsidR="004D5F92">
        <w:rPr>
          <w:lang w:val="en-US"/>
        </w:rPr>
        <w:t>for a regulation establishing a</w:t>
      </w:r>
      <w:r w:rsidR="00E75995">
        <w:rPr>
          <w:lang w:val="en-US"/>
        </w:rPr>
        <w:t xml:space="preserve"> framework of measures for strengthening Europe’s net-zero technology products manufacturing ecosystem</w:t>
      </w:r>
      <w:r w:rsidR="008862AA">
        <w:rPr>
          <w:lang w:val="en-US"/>
        </w:rPr>
        <w:t xml:space="preserve">, </w:t>
      </w:r>
      <w:r>
        <w:rPr>
          <w:lang w:val="en-US"/>
        </w:rPr>
        <w:t>COM(2023) 161 final.</w:t>
      </w:r>
    </w:p>
  </w:footnote>
  <w:footnote w:id="18">
    <w:p w14:paraId="37AD7AC5" w14:textId="77777777" w:rsidR="000E3BB7" w:rsidRPr="000E3BB7" w:rsidRDefault="000E3BB7" w:rsidP="000E3BB7">
      <w:pPr>
        <w:pStyle w:val="FootnoteText"/>
        <w:rPr>
          <w:lang w:val="en-US"/>
        </w:rPr>
      </w:pPr>
      <w:r>
        <w:rPr>
          <w:rStyle w:val="FootnoteReference"/>
        </w:rPr>
        <w:footnoteRef/>
      </w:r>
      <w:r>
        <w:rPr>
          <w:lang w:val="en-US"/>
        </w:rPr>
        <w:tab/>
      </w:r>
      <w:r w:rsidR="00DB4976">
        <w:rPr>
          <w:lang w:val="en-US"/>
        </w:rPr>
        <w:t xml:space="preserve">Progress report on </w:t>
      </w:r>
      <w:r w:rsidR="00E8199D">
        <w:rPr>
          <w:lang w:val="en-US"/>
        </w:rPr>
        <w:t>competitiveness</w:t>
      </w:r>
      <w:r w:rsidR="00DB4976">
        <w:rPr>
          <w:lang w:val="en-US"/>
        </w:rPr>
        <w:t xml:space="preserve"> of clean energy technologies, </w:t>
      </w:r>
      <w:r>
        <w:rPr>
          <w:lang w:val="en-US"/>
        </w:rPr>
        <w:t xml:space="preserve">COM(2022) 643 final. </w:t>
      </w:r>
    </w:p>
  </w:footnote>
  <w:footnote w:id="19">
    <w:p w14:paraId="154BB9BA" w14:textId="77777777" w:rsidR="00605223" w:rsidRPr="00C64BAF" w:rsidRDefault="00605223">
      <w:pPr>
        <w:pStyle w:val="FootnoteText"/>
        <w:rPr>
          <w:lang w:val="en-IE"/>
        </w:rPr>
      </w:pPr>
      <w:r>
        <w:rPr>
          <w:rStyle w:val="FootnoteReference"/>
        </w:rPr>
        <w:footnoteRef/>
      </w:r>
      <w:r w:rsidRPr="00C64BAF">
        <w:rPr>
          <w:lang w:val="en-IE"/>
        </w:rPr>
        <w:tab/>
      </w:r>
      <w:r w:rsidR="00A44005" w:rsidRPr="00C64BAF">
        <w:rPr>
          <w:lang w:val="en-IE"/>
        </w:rPr>
        <w:t>Gong</w:t>
      </w:r>
      <w:r w:rsidR="000B3546">
        <w:rPr>
          <w:lang w:val="en-IE"/>
        </w:rPr>
        <w:t xml:space="preserve"> J.</w:t>
      </w:r>
      <w:r w:rsidR="00A44005" w:rsidRPr="00C64BAF">
        <w:rPr>
          <w:lang w:val="en-IE"/>
        </w:rPr>
        <w:t xml:space="preserve">, </w:t>
      </w:r>
      <w:r w:rsidR="00C64BAF" w:rsidRPr="00C64BAF">
        <w:rPr>
          <w:lang w:val="en-IE"/>
        </w:rPr>
        <w:t>Romet-Lemonne</w:t>
      </w:r>
      <w:r w:rsidR="000B3546">
        <w:rPr>
          <w:lang w:val="en-IE"/>
        </w:rPr>
        <w:t xml:space="preserve"> </w:t>
      </w:r>
      <w:r w:rsidR="000B3546" w:rsidRPr="00C64BAF">
        <w:rPr>
          <w:lang w:val="en-IE"/>
        </w:rPr>
        <w:t>J-L</w:t>
      </w:r>
      <w:r w:rsidR="000B3546">
        <w:rPr>
          <w:lang w:val="en-IE"/>
        </w:rPr>
        <w:t>.</w:t>
      </w:r>
      <w:r w:rsidR="00C64BAF" w:rsidRPr="00C64BAF">
        <w:rPr>
          <w:lang w:val="en-IE"/>
        </w:rPr>
        <w:t>, House</w:t>
      </w:r>
      <w:r w:rsidR="00C64BAF">
        <w:rPr>
          <w:lang w:val="en-IE"/>
        </w:rPr>
        <w:t>r</w:t>
      </w:r>
      <w:r w:rsidR="000B3546">
        <w:rPr>
          <w:lang w:val="en-IE"/>
        </w:rPr>
        <w:t xml:space="preserve"> B.</w:t>
      </w:r>
      <w:r w:rsidR="00C64BAF">
        <w:rPr>
          <w:lang w:val="en-IE"/>
        </w:rPr>
        <w:t xml:space="preserve">, </w:t>
      </w:r>
      <w:r w:rsidR="00485F09">
        <w:rPr>
          <w:lang w:val="en-IE"/>
        </w:rPr>
        <w:t xml:space="preserve">‘Bridging the gap between innovation and later-stage financing for biotech in Europe’, </w:t>
      </w:r>
      <w:r w:rsidR="00592ACF" w:rsidRPr="00696437">
        <w:rPr>
          <w:i/>
          <w:iCs/>
          <w:lang w:val="en-IE"/>
        </w:rPr>
        <w:t>Nature Reviews Drug Discovery 22</w:t>
      </w:r>
      <w:r w:rsidR="00644ACB" w:rsidRPr="00644ACB">
        <w:rPr>
          <w:lang w:val="en-IE"/>
        </w:rPr>
        <w:t>,</w:t>
      </w:r>
      <w:r w:rsidR="00644ACB">
        <w:rPr>
          <w:i/>
          <w:iCs/>
          <w:lang w:val="en-IE"/>
        </w:rPr>
        <w:t xml:space="preserve"> </w:t>
      </w:r>
      <w:r w:rsidR="00592ACF">
        <w:rPr>
          <w:lang w:val="en-IE"/>
        </w:rPr>
        <w:t>2023</w:t>
      </w:r>
      <w:r w:rsidR="00644ACB">
        <w:rPr>
          <w:lang w:val="en-IE"/>
        </w:rPr>
        <w:t>, pp.</w:t>
      </w:r>
      <w:r w:rsidR="00F316FD">
        <w:rPr>
          <w:lang w:val="en-IE"/>
        </w:rPr>
        <w:t xml:space="preserve"> 438-439</w:t>
      </w:r>
      <w:r w:rsidR="00592ACF">
        <w:rPr>
          <w:lang w:val="en-IE"/>
        </w:rPr>
        <w:t xml:space="preserve">. </w:t>
      </w:r>
    </w:p>
  </w:footnote>
  <w:footnote w:id="20">
    <w:p w14:paraId="1520C61A" w14:textId="77777777" w:rsidR="00B766D2" w:rsidRPr="00B766D2" w:rsidRDefault="00B766D2">
      <w:pPr>
        <w:pStyle w:val="FootnoteText"/>
        <w:rPr>
          <w:lang w:val="en-US"/>
        </w:rPr>
      </w:pPr>
      <w:r>
        <w:rPr>
          <w:rStyle w:val="FootnoteReference"/>
        </w:rPr>
        <w:footnoteRef/>
      </w:r>
      <w:r>
        <w:rPr>
          <w:lang w:val="en-US"/>
        </w:rPr>
        <w:tab/>
      </w:r>
      <w:r w:rsidR="00725A19">
        <w:rPr>
          <w:lang w:val="en-US"/>
        </w:rPr>
        <w:t xml:space="preserve">Proposal for a regulation establishing a framework for ensuring a secure and sustainable supply of critical raw materials, </w:t>
      </w:r>
      <w:r>
        <w:rPr>
          <w:lang w:val="en-US"/>
        </w:rPr>
        <w:t xml:space="preserve">COM(2023) 160 final. </w:t>
      </w:r>
    </w:p>
  </w:footnote>
  <w:footnote w:id="21">
    <w:p w14:paraId="255C8965" w14:textId="77777777" w:rsidR="00CC1EF2" w:rsidRPr="00CC1EF2" w:rsidRDefault="00CC1EF2">
      <w:pPr>
        <w:pStyle w:val="FootnoteText"/>
        <w:rPr>
          <w:lang w:val="en-US"/>
        </w:rPr>
      </w:pPr>
      <w:r>
        <w:rPr>
          <w:rStyle w:val="FootnoteReference"/>
        </w:rPr>
        <w:footnoteRef/>
      </w:r>
      <w:r>
        <w:rPr>
          <w:lang w:val="en-US"/>
        </w:rPr>
        <w:tab/>
      </w:r>
      <w:r w:rsidR="00442B28">
        <w:rPr>
          <w:lang w:val="en-US"/>
        </w:rPr>
        <w:t xml:space="preserve">Proposal for a regulation establishing a framework of measures for strengthening Europe’s semiconductor ecosystem, </w:t>
      </w:r>
      <w:r w:rsidR="001F1D28">
        <w:rPr>
          <w:lang w:val="en-US"/>
        </w:rPr>
        <w:t xml:space="preserve">COM(2022) 46 final. </w:t>
      </w:r>
    </w:p>
  </w:footnote>
  <w:footnote w:id="22">
    <w:p w14:paraId="6A0FB923" w14:textId="77777777" w:rsidR="00F07D09" w:rsidRPr="00F07D09" w:rsidRDefault="00F07D09">
      <w:pPr>
        <w:pStyle w:val="FootnoteText"/>
        <w:rPr>
          <w:lang w:val="en-US"/>
        </w:rPr>
      </w:pPr>
      <w:r w:rsidRPr="00E552F2">
        <w:rPr>
          <w:rStyle w:val="FootnoteReference"/>
        </w:rPr>
        <w:footnoteRef/>
      </w:r>
      <w:r>
        <w:rPr>
          <w:lang w:val="en-US"/>
        </w:rPr>
        <w:tab/>
      </w:r>
      <w:r w:rsidR="00A133DC">
        <w:rPr>
          <w:lang w:val="en-US"/>
        </w:rPr>
        <w:t xml:space="preserve">Communication on the Fit for 55, </w:t>
      </w:r>
      <w:r>
        <w:rPr>
          <w:lang w:val="en-US"/>
        </w:rPr>
        <w:t>COM(2021) 550 final</w:t>
      </w:r>
      <w:r w:rsidR="00A133DC">
        <w:rPr>
          <w:lang w:val="en-US"/>
        </w:rPr>
        <w:t>;</w:t>
      </w:r>
      <w:r>
        <w:rPr>
          <w:lang w:val="en-US"/>
        </w:rPr>
        <w:t xml:space="preserve"> and </w:t>
      </w:r>
      <w:r w:rsidR="007046C1">
        <w:rPr>
          <w:lang w:val="en-US"/>
        </w:rPr>
        <w:t>accompanying</w:t>
      </w:r>
      <w:r>
        <w:rPr>
          <w:lang w:val="en-US"/>
        </w:rPr>
        <w:t xml:space="preserve"> </w:t>
      </w:r>
      <w:r w:rsidR="00235D43">
        <w:rPr>
          <w:lang w:val="en-US"/>
        </w:rPr>
        <w:t xml:space="preserve">proposals. </w:t>
      </w:r>
    </w:p>
  </w:footnote>
  <w:footnote w:id="23">
    <w:p w14:paraId="783E5E8F" w14:textId="77777777" w:rsidR="0072691D" w:rsidRPr="00483FFA" w:rsidRDefault="0072691D">
      <w:pPr>
        <w:pStyle w:val="FootnoteText"/>
        <w:rPr>
          <w:lang w:val="es-ES"/>
        </w:rPr>
      </w:pPr>
      <w:r>
        <w:rPr>
          <w:rStyle w:val="FootnoteReference"/>
        </w:rPr>
        <w:footnoteRef/>
      </w:r>
      <w:r w:rsidRPr="00483FFA">
        <w:rPr>
          <w:lang w:val="es-ES"/>
        </w:rPr>
        <w:tab/>
      </w:r>
      <w:r w:rsidRPr="00FA2E45">
        <w:rPr>
          <w:lang w:val="es-ES"/>
        </w:rPr>
        <w:t>OJ L 224, 24.6.2021, p. 31</w:t>
      </w:r>
      <w:r w:rsidR="00B16910" w:rsidRPr="00FA2E45">
        <w:rPr>
          <w:lang w:val="es-ES"/>
        </w:rPr>
        <w:t>.</w:t>
      </w:r>
    </w:p>
  </w:footnote>
  <w:footnote w:id="24">
    <w:p w14:paraId="0BBE94E8" w14:textId="77777777" w:rsidR="0072691D" w:rsidRPr="00483FFA" w:rsidRDefault="0072691D">
      <w:pPr>
        <w:pStyle w:val="FootnoteText"/>
        <w:rPr>
          <w:lang w:val="es-ES"/>
        </w:rPr>
      </w:pPr>
      <w:r>
        <w:rPr>
          <w:rStyle w:val="FootnoteReference"/>
        </w:rPr>
        <w:footnoteRef/>
      </w:r>
      <w:r w:rsidRPr="00483FFA">
        <w:rPr>
          <w:lang w:val="es-ES"/>
        </w:rPr>
        <w:tab/>
      </w:r>
      <w:r w:rsidRPr="00FA2E45">
        <w:rPr>
          <w:lang w:val="es-ES"/>
        </w:rPr>
        <w:t xml:space="preserve">OJ L 231, 30.6.2021, p. 1. </w:t>
      </w:r>
    </w:p>
  </w:footnote>
  <w:footnote w:id="25">
    <w:p w14:paraId="29632CA0" w14:textId="77777777" w:rsidR="001B5AE4" w:rsidRPr="0052010C" w:rsidRDefault="001B5AE4" w:rsidP="001B5AE4">
      <w:pPr>
        <w:pStyle w:val="FootnoteText"/>
        <w:rPr>
          <w:lang w:val="es-ES"/>
        </w:rPr>
      </w:pPr>
      <w:r w:rsidRPr="00E552F2">
        <w:rPr>
          <w:rStyle w:val="FootnoteReference"/>
        </w:rPr>
        <w:footnoteRef/>
      </w:r>
      <w:r w:rsidRPr="00127242">
        <w:rPr>
          <w:lang w:val="es-ES"/>
        </w:rPr>
        <w:tab/>
      </w:r>
      <w:r w:rsidRPr="0052010C">
        <w:rPr>
          <w:lang w:val="es-ES"/>
        </w:rPr>
        <w:t>OJ L 231, 30.6.2021, p. 21</w:t>
      </w:r>
      <w:r>
        <w:rPr>
          <w:lang w:val="es-ES"/>
        </w:rPr>
        <w:t>.</w:t>
      </w:r>
    </w:p>
  </w:footnote>
  <w:footnote w:id="26">
    <w:p w14:paraId="5CB3AD45" w14:textId="77777777" w:rsidR="00E33E84" w:rsidRPr="00127242" w:rsidRDefault="00E33E84" w:rsidP="00E33E84">
      <w:pPr>
        <w:pStyle w:val="FootnoteText"/>
        <w:rPr>
          <w:lang w:val="es-ES"/>
        </w:rPr>
      </w:pPr>
      <w:r w:rsidRPr="00E552F2">
        <w:rPr>
          <w:rStyle w:val="FootnoteReference"/>
        </w:rPr>
        <w:footnoteRef/>
      </w:r>
      <w:r w:rsidRPr="00127242">
        <w:rPr>
          <w:lang w:val="es-ES"/>
        </w:rPr>
        <w:tab/>
        <w:t>OJ L 231, 30.6.2021, p. 159.</w:t>
      </w:r>
    </w:p>
  </w:footnote>
  <w:footnote w:id="27">
    <w:p w14:paraId="740B2447" w14:textId="77777777" w:rsidR="00F51255" w:rsidRPr="00127242" w:rsidRDefault="00F51255">
      <w:pPr>
        <w:pStyle w:val="FootnoteText"/>
        <w:rPr>
          <w:lang w:val="es-ES"/>
        </w:rPr>
      </w:pPr>
      <w:r w:rsidRPr="00E552F2">
        <w:rPr>
          <w:rStyle w:val="FootnoteReference"/>
        </w:rPr>
        <w:footnoteRef/>
      </w:r>
      <w:r w:rsidRPr="00127242">
        <w:rPr>
          <w:lang w:val="es-ES"/>
        </w:rPr>
        <w:tab/>
        <w:t>OJ L 57, 18.2.2021, p. 17</w:t>
      </w:r>
      <w:r w:rsidR="00127242" w:rsidRPr="00127242">
        <w:rPr>
          <w:lang w:val="es-ES"/>
        </w:rPr>
        <w:t>.</w:t>
      </w:r>
    </w:p>
  </w:footnote>
  <w:footnote w:id="28">
    <w:p w14:paraId="6A7BAD6E" w14:textId="77777777" w:rsidR="00CA5792" w:rsidRPr="0052010C" w:rsidRDefault="00CA5792">
      <w:pPr>
        <w:pStyle w:val="FootnoteText"/>
        <w:rPr>
          <w:lang w:val="es-ES"/>
        </w:rPr>
      </w:pPr>
      <w:r>
        <w:rPr>
          <w:rStyle w:val="FootnoteReference"/>
        </w:rPr>
        <w:footnoteRef/>
      </w:r>
      <w:r w:rsidRPr="0052010C">
        <w:rPr>
          <w:lang w:val="es-ES"/>
        </w:rPr>
        <w:tab/>
      </w:r>
      <w:r w:rsidRPr="00127242">
        <w:rPr>
          <w:lang w:val="es-ES"/>
        </w:rPr>
        <w:t>OJ L 107, 26.3.2021, p. 30</w:t>
      </w:r>
      <w:r w:rsidR="00127242" w:rsidRPr="00127242">
        <w:rPr>
          <w:lang w:val="es-ES"/>
        </w:rPr>
        <w:t>.</w:t>
      </w:r>
    </w:p>
  </w:footnote>
  <w:footnote w:id="29">
    <w:p w14:paraId="25B935B2" w14:textId="77777777" w:rsidR="0052010C" w:rsidRPr="0052010C" w:rsidRDefault="0052010C">
      <w:pPr>
        <w:pStyle w:val="FootnoteText"/>
        <w:rPr>
          <w:lang w:val="es-ES"/>
        </w:rPr>
      </w:pPr>
      <w:r>
        <w:rPr>
          <w:rStyle w:val="FootnoteReference"/>
        </w:rPr>
        <w:footnoteRef/>
      </w:r>
      <w:r w:rsidRPr="0052010C">
        <w:rPr>
          <w:lang w:val="es-ES"/>
        </w:rPr>
        <w:tab/>
      </w:r>
      <w:r w:rsidRPr="00127242">
        <w:rPr>
          <w:lang w:val="es-ES"/>
        </w:rPr>
        <w:t>OJ L 166, 11.5.2021, p. 1</w:t>
      </w:r>
      <w:r w:rsidR="00127242" w:rsidRPr="00127242">
        <w:rPr>
          <w:lang w:val="es-ES"/>
        </w:rPr>
        <w:t>.</w:t>
      </w:r>
    </w:p>
  </w:footnote>
  <w:footnote w:id="30">
    <w:p w14:paraId="4D4DB43F" w14:textId="77777777" w:rsidR="00127242" w:rsidRPr="00483FFA" w:rsidRDefault="00127242">
      <w:pPr>
        <w:pStyle w:val="FootnoteText"/>
        <w:rPr>
          <w:lang w:val="es-ES"/>
        </w:rPr>
      </w:pPr>
      <w:r>
        <w:rPr>
          <w:rStyle w:val="FootnoteReference"/>
        </w:rPr>
        <w:footnoteRef/>
      </w:r>
      <w:r w:rsidRPr="00483FFA">
        <w:rPr>
          <w:lang w:val="es-ES"/>
        </w:rPr>
        <w:tab/>
        <w:t>OJ L 170, 12.5.2021, p. 1.</w:t>
      </w:r>
    </w:p>
  </w:footnote>
  <w:footnote w:id="31">
    <w:p w14:paraId="3908B2C6" w14:textId="77777777" w:rsidR="00E3425D" w:rsidRPr="006E37DD" w:rsidRDefault="00E3425D">
      <w:pPr>
        <w:pStyle w:val="FootnoteText"/>
        <w:rPr>
          <w:lang w:val="nl-BE"/>
        </w:rPr>
      </w:pPr>
      <w:r w:rsidRPr="001D3939">
        <w:rPr>
          <w:rStyle w:val="FootnoteReference"/>
        </w:rPr>
        <w:footnoteRef/>
      </w:r>
      <w:r w:rsidR="001D3939">
        <w:rPr>
          <w:lang w:val="nl-BE"/>
        </w:rPr>
        <w:tab/>
      </w:r>
      <w:r w:rsidR="000C0DDF" w:rsidRPr="006E37DD">
        <w:rPr>
          <w:lang w:val="nl-BE"/>
        </w:rPr>
        <w:t xml:space="preserve">OJ </w:t>
      </w:r>
      <w:r w:rsidR="001B06B4" w:rsidRPr="006E37DD">
        <w:rPr>
          <w:lang w:val="nl-BE"/>
        </w:rPr>
        <w:t>L</w:t>
      </w:r>
      <w:r w:rsidR="00787970" w:rsidRPr="006E37DD">
        <w:rPr>
          <w:lang w:val="nl-BE"/>
        </w:rPr>
        <w:t xml:space="preserve"> </w:t>
      </w:r>
      <w:r w:rsidR="00FC49E2" w:rsidRPr="006E37DD">
        <w:rPr>
          <w:lang w:val="nl-BE"/>
        </w:rPr>
        <w:t>170</w:t>
      </w:r>
      <w:r w:rsidR="00787970" w:rsidRPr="006E37DD">
        <w:rPr>
          <w:lang w:val="nl-BE"/>
        </w:rPr>
        <w:t xml:space="preserve">, </w:t>
      </w:r>
      <w:r w:rsidR="0055337D" w:rsidRPr="006E37DD">
        <w:rPr>
          <w:lang w:val="nl-BE"/>
        </w:rPr>
        <w:t xml:space="preserve">12.5.2021, p. </w:t>
      </w:r>
      <w:r w:rsidR="00F445DB" w:rsidRPr="006E37DD">
        <w:rPr>
          <w:lang w:val="nl-BE"/>
        </w:rPr>
        <w:t>149.</w:t>
      </w:r>
    </w:p>
  </w:footnote>
  <w:footnote w:id="32">
    <w:p w14:paraId="1DBF2043" w14:textId="77777777" w:rsidR="001B5AE4" w:rsidRPr="00B87889" w:rsidRDefault="001B5AE4" w:rsidP="001B5AE4">
      <w:pPr>
        <w:pStyle w:val="FootnoteText"/>
        <w:rPr>
          <w:lang w:val="en-IE"/>
        </w:rPr>
      </w:pPr>
      <w:r w:rsidRPr="00E552F2">
        <w:rPr>
          <w:rStyle w:val="FootnoteReference"/>
        </w:rPr>
        <w:footnoteRef/>
      </w:r>
      <w:r w:rsidRPr="00B87889">
        <w:rPr>
          <w:lang w:val="en-IE"/>
        </w:rPr>
        <w:tab/>
        <w:t>OJ L 275 25.10.2003, p. 32.</w:t>
      </w:r>
    </w:p>
  </w:footnote>
  <w:footnote w:id="33">
    <w:p w14:paraId="48456502" w14:textId="77777777" w:rsidR="00C03EE4" w:rsidRPr="00223907" w:rsidRDefault="00C03EE4" w:rsidP="00C03EE4">
      <w:pPr>
        <w:pStyle w:val="FootnoteText"/>
        <w:tabs>
          <w:tab w:val="left" w:pos="815"/>
        </w:tabs>
        <w:rPr>
          <w:lang w:val="en-IE"/>
        </w:rPr>
      </w:pPr>
      <w:r w:rsidRPr="00E552F2">
        <w:rPr>
          <w:rStyle w:val="FootnoteReference"/>
        </w:rPr>
        <w:footnoteRef/>
      </w:r>
      <w:r w:rsidR="00E552F2">
        <w:rPr>
          <w:lang w:val="en-IE"/>
        </w:rPr>
        <w:tab/>
      </w:r>
      <w:r w:rsidRPr="00223907">
        <w:rPr>
          <w:lang w:val="en-IE"/>
        </w:rPr>
        <w:t>OJ L 107, 26.3.2021, p.1.</w:t>
      </w:r>
    </w:p>
  </w:footnote>
  <w:footnote w:id="34">
    <w:p w14:paraId="2940E02F" w14:textId="77777777" w:rsidR="00942E65" w:rsidRPr="00092FF7" w:rsidRDefault="00942E65" w:rsidP="00942E65">
      <w:pPr>
        <w:pStyle w:val="FootnoteText"/>
        <w:rPr>
          <w:lang w:val="en-US"/>
        </w:rPr>
      </w:pPr>
      <w:r>
        <w:rPr>
          <w:rStyle w:val="FootnoteReference"/>
        </w:rPr>
        <w:footnoteRef/>
      </w:r>
      <w:r>
        <w:rPr>
          <w:lang w:val="en-US"/>
        </w:rPr>
        <w:tab/>
      </w:r>
      <w:r w:rsidR="008F649F">
        <w:rPr>
          <w:lang w:val="en-US"/>
        </w:rPr>
        <w:t>I</w:t>
      </w:r>
      <w:r w:rsidR="00B06748">
        <w:rPr>
          <w:lang w:val="en-US"/>
        </w:rPr>
        <w:t xml:space="preserve">n particular </w:t>
      </w:r>
      <w:r w:rsidR="003D4720">
        <w:rPr>
          <w:lang w:val="en-US"/>
        </w:rPr>
        <w:t>ERDF</w:t>
      </w:r>
      <w:r w:rsidR="00BF7A6B">
        <w:rPr>
          <w:lang w:val="en-US"/>
        </w:rPr>
        <w:t xml:space="preserve"> </w:t>
      </w:r>
      <w:r w:rsidR="003D4720">
        <w:rPr>
          <w:lang w:val="en-US"/>
        </w:rPr>
        <w:t>and CF</w:t>
      </w:r>
      <w:r w:rsidR="00BF7A6B">
        <w:rPr>
          <w:lang w:val="en-US"/>
        </w:rPr>
        <w:t xml:space="preserve"> (</w:t>
      </w:r>
      <w:r>
        <w:rPr>
          <w:lang w:val="en-US"/>
        </w:rPr>
        <w:t>SWD(2018) 282 final</w:t>
      </w:r>
      <w:r w:rsidR="00BF7A6B">
        <w:rPr>
          <w:lang w:val="en-US"/>
        </w:rPr>
        <w:t>)</w:t>
      </w:r>
      <w:r w:rsidR="009E0956">
        <w:rPr>
          <w:lang w:val="en-US"/>
        </w:rPr>
        <w:t>,</w:t>
      </w:r>
      <w:r w:rsidR="0083667F">
        <w:rPr>
          <w:lang w:val="en-US"/>
        </w:rPr>
        <w:t xml:space="preserve"> </w:t>
      </w:r>
      <w:r w:rsidR="003D4720">
        <w:rPr>
          <w:lang w:val="en-US"/>
        </w:rPr>
        <w:t>ESF+</w:t>
      </w:r>
      <w:r w:rsidR="0083667F">
        <w:rPr>
          <w:lang w:val="en-US"/>
        </w:rPr>
        <w:t xml:space="preserve"> (SWD(2018) 289 final)</w:t>
      </w:r>
      <w:r w:rsidR="009E0956">
        <w:rPr>
          <w:lang w:val="en-US"/>
        </w:rPr>
        <w:t>,</w:t>
      </w:r>
      <w:r w:rsidR="00BF7A6B">
        <w:rPr>
          <w:lang w:val="en-US"/>
        </w:rPr>
        <w:t xml:space="preserve"> InvestEU (</w:t>
      </w:r>
      <w:r w:rsidR="00F06903">
        <w:rPr>
          <w:lang w:val="en-US"/>
        </w:rPr>
        <w:t>SWD(2018) 3</w:t>
      </w:r>
      <w:r w:rsidR="00690A2F">
        <w:rPr>
          <w:lang w:val="en-US"/>
        </w:rPr>
        <w:t>14 final)</w:t>
      </w:r>
      <w:r w:rsidR="009E0956">
        <w:rPr>
          <w:lang w:val="en-US"/>
        </w:rPr>
        <w:t>,</w:t>
      </w:r>
      <w:r w:rsidR="00B06748">
        <w:rPr>
          <w:lang w:val="en-US"/>
        </w:rPr>
        <w:t xml:space="preserve"> and Horizon Europe (SWD(2018) 307 final)</w:t>
      </w:r>
      <w:r>
        <w:rPr>
          <w:lang w:val="en-US"/>
        </w:rPr>
        <w:t>.</w:t>
      </w:r>
    </w:p>
  </w:footnote>
  <w:footnote w:id="35">
    <w:p w14:paraId="38E5387A" w14:textId="77777777" w:rsidR="001F1CB4" w:rsidRPr="00DD1772" w:rsidRDefault="001F1CB4" w:rsidP="001F1CB4">
      <w:pPr>
        <w:pStyle w:val="FootnoteText"/>
        <w:rPr>
          <w:lang w:val="en-US"/>
        </w:rPr>
      </w:pPr>
      <w:r>
        <w:rPr>
          <w:rStyle w:val="FootnoteReference"/>
        </w:rPr>
        <w:footnoteRef/>
      </w:r>
      <w:r>
        <w:rPr>
          <w:lang w:val="en-US"/>
        </w:rPr>
        <w:tab/>
        <w:t>SWD(2023) 161 final, SWD(2022) 187 final, SWD(2020) 176 final, SWD(2022) 147 final, and SWD(2021) 247 final</w:t>
      </w:r>
      <w:r w:rsidR="00F44277">
        <w:rPr>
          <w:lang w:val="en-US"/>
        </w:rPr>
        <w:t>,</w:t>
      </w:r>
      <w:r>
        <w:rPr>
          <w:lang w:val="en-US"/>
        </w:rPr>
        <w:t xml:space="preserve"> </w:t>
      </w:r>
      <w:r w:rsidR="003D4566">
        <w:rPr>
          <w:lang w:val="en-US"/>
        </w:rPr>
        <w:t>and SWD(2023)68 final</w:t>
      </w:r>
      <w:r w:rsidR="00F44277">
        <w:rPr>
          <w:lang w:val="en-US"/>
        </w:rPr>
        <w:t>,</w:t>
      </w:r>
      <w:r>
        <w:rPr>
          <w:lang w:val="en-US"/>
        </w:rPr>
        <w:t xml:space="preserve"> respectively. </w:t>
      </w:r>
    </w:p>
  </w:footnote>
  <w:footnote w:id="36">
    <w:p w14:paraId="4CB46C26" w14:textId="77777777" w:rsidR="003628A0" w:rsidRPr="0033313D" w:rsidRDefault="003628A0" w:rsidP="003628A0">
      <w:pPr>
        <w:pStyle w:val="FootnoteText"/>
        <w:rPr>
          <w:rStyle w:val="FootnoteReference"/>
          <w:vertAlign w:val="baseline"/>
          <w:lang w:val="en-IE"/>
        </w:rPr>
      </w:pPr>
      <w:r>
        <w:rPr>
          <w:rStyle w:val="FootnoteReference"/>
        </w:rPr>
        <w:footnoteRef/>
      </w:r>
      <w:r w:rsidRPr="0033313D">
        <w:rPr>
          <w:lang w:val="en-IE"/>
        </w:rPr>
        <w:tab/>
        <w:t>T</w:t>
      </w:r>
      <w:r w:rsidRPr="0033313D">
        <w:rPr>
          <w:rStyle w:val="FootnoteReference"/>
          <w:vertAlign w:val="baseline"/>
          <w:lang w:val="en-IE"/>
        </w:rPr>
        <w:t>he additional REACT-EU resources stemming from the NextGenerationEU have increased the funding available in 2021 and 2022</w:t>
      </w:r>
      <w:r w:rsidRPr="0033313D">
        <w:rPr>
          <w:lang w:val="en-IE"/>
        </w:rPr>
        <w:t xml:space="preserve"> (</w:t>
      </w:r>
      <w:r w:rsidRPr="0033313D">
        <w:rPr>
          <w:rStyle w:val="FootnoteReference"/>
          <w:vertAlign w:val="baseline"/>
          <w:lang w:val="en-IE"/>
        </w:rPr>
        <w:t>without national co-financing required</w:t>
      </w:r>
      <w:r w:rsidRPr="0033313D">
        <w:rPr>
          <w:lang w:val="en-IE"/>
        </w:rPr>
        <w:t>)</w:t>
      </w:r>
      <w:r w:rsidRPr="0033313D">
        <w:rPr>
          <w:rStyle w:val="FootnoteReference"/>
          <w:vertAlign w:val="baseline"/>
          <w:lang w:val="en-IE"/>
        </w:rPr>
        <w:t xml:space="preserve"> to provide Member States with rapid assistance for fostering crisis repair and resilient recovery.</w:t>
      </w:r>
      <w:r w:rsidRPr="0033313D">
        <w:rPr>
          <w:lang w:val="en-IE"/>
        </w:rPr>
        <w:t xml:space="preserve"> Other measures include the Cohesion’s Action for Refugees in Europe (CARE)</w:t>
      </w:r>
      <w:r>
        <w:rPr>
          <w:lang w:val="en-IE"/>
        </w:rPr>
        <w:t xml:space="preserve"> package, and the Supporting Affordable Energy initiative (SAFE). </w:t>
      </w:r>
    </w:p>
    <w:p w14:paraId="40A5C0C0" w14:textId="77777777" w:rsidR="003628A0" w:rsidRPr="0033313D" w:rsidRDefault="003628A0" w:rsidP="003628A0">
      <w:pPr>
        <w:pStyle w:val="FootnoteText"/>
        <w:rPr>
          <w:lang w:val="en-IE"/>
        </w:rPr>
      </w:pPr>
    </w:p>
  </w:footnote>
  <w:footnote w:id="37">
    <w:p w14:paraId="31E06283" w14:textId="77777777" w:rsidR="009A478F" w:rsidRPr="009A478F" w:rsidRDefault="009A478F">
      <w:pPr>
        <w:pStyle w:val="FootnoteText"/>
        <w:rPr>
          <w:lang w:val="en-US"/>
        </w:rPr>
      </w:pPr>
      <w:r>
        <w:rPr>
          <w:rStyle w:val="FootnoteReference"/>
        </w:rPr>
        <w:footnoteRef/>
      </w:r>
      <w:r>
        <w:rPr>
          <w:lang w:val="en-US"/>
        </w:rPr>
        <w:tab/>
      </w:r>
      <w:r>
        <w:t xml:space="preserve">OJ C [...], [...], p. [...] </w:t>
      </w:r>
    </w:p>
  </w:footnote>
  <w:footnote w:id="38">
    <w:p w14:paraId="0830107D" w14:textId="77777777" w:rsidR="009A478F" w:rsidRPr="009A478F" w:rsidRDefault="009A478F">
      <w:pPr>
        <w:pStyle w:val="FootnoteText"/>
        <w:rPr>
          <w:lang w:val="en-US"/>
        </w:rPr>
      </w:pPr>
      <w:r>
        <w:rPr>
          <w:rStyle w:val="FootnoteReference"/>
        </w:rPr>
        <w:footnoteRef/>
      </w:r>
      <w:r>
        <w:rPr>
          <w:lang w:val="en-US"/>
        </w:rPr>
        <w:tab/>
      </w:r>
      <w:r>
        <w:t xml:space="preserve">OJ C [...], [...], p. [...] </w:t>
      </w:r>
    </w:p>
  </w:footnote>
  <w:footnote w:id="39">
    <w:p w14:paraId="36F5372B" w14:textId="77777777" w:rsidR="004D2CCA" w:rsidRPr="00756DD3" w:rsidRDefault="004D2CCA" w:rsidP="00756DD3">
      <w:pPr>
        <w:pStyle w:val="FootnoteText"/>
        <w:rPr>
          <w:lang w:val="en-US"/>
        </w:rPr>
      </w:pPr>
      <w:r w:rsidRPr="00E552F2">
        <w:rPr>
          <w:rStyle w:val="FootnoteReference"/>
        </w:rPr>
        <w:footnoteRef/>
      </w:r>
      <w:r w:rsidRPr="00756DD3">
        <w:rPr>
          <w:lang w:val="en-US"/>
        </w:rPr>
        <w:tab/>
        <w:t>Communication on The European Green Deal, COM(2019) 640 final. See also European Parliament resolution of 15 January 2020, and European Council conclusions of 11 December 2020.</w:t>
      </w:r>
    </w:p>
  </w:footnote>
  <w:footnote w:id="40">
    <w:p w14:paraId="78524974" w14:textId="77777777" w:rsidR="004D2CCA" w:rsidRDefault="004D2CCA" w:rsidP="00756DD3">
      <w:pPr>
        <w:pStyle w:val="FootnoteText"/>
        <w:rPr>
          <w:lang w:val="en-IE"/>
        </w:rPr>
      </w:pPr>
      <w:r w:rsidRPr="00E552F2">
        <w:rPr>
          <w:rStyle w:val="FootnoteReference"/>
        </w:rPr>
        <w:footnoteRef/>
      </w:r>
      <w:r w:rsidR="00E552F2">
        <w:rPr>
          <w:lang w:val="en-US"/>
        </w:rPr>
        <w:tab/>
      </w:r>
      <w:r w:rsidRPr="00756DD3">
        <w:rPr>
          <w:lang w:val="en-US"/>
        </w:rPr>
        <w:t>Decision (EU) 2022/2481 of the European Parliament and of the Council of 14 December 2022 establishing the Digital Decade Policy Programme 2030 (OJ L 323, 19.12.2022, p. 4).</w:t>
      </w:r>
    </w:p>
  </w:footnote>
  <w:footnote w:id="41">
    <w:p w14:paraId="07D8E95F" w14:textId="77777777" w:rsidR="00EC216F" w:rsidRPr="00545783" w:rsidRDefault="00EC216F" w:rsidP="00EC216F">
      <w:pPr>
        <w:pStyle w:val="FootnoteText"/>
        <w:rPr>
          <w:lang w:val="en-US"/>
        </w:rPr>
      </w:pPr>
      <w:r>
        <w:rPr>
          <w:rStyle w:val="FootnoteReference"/>
        </w:rPr>
        <w:footnoteRef/>
      </w:r>
      <w:r>
        <w:rPr>
          <w:lang w:val="en-US"/>
        </w:rPr>
        <w:tab/>
        <w:t xml:space="preserve">Communication on A Green Deal Industrial Plan for the Net-Zero Age, COM(2023) 62 final. </w:t>
      </w:r>
    </w:p>
  </w:footnote>
  <w:footnote w:id="42">
    <w:p w14:paraId="277D894D" w14:textId="77777777" w:rsidR="00EB43FF" w:rsidRPr="006E37DD" w:rsidRDefault="00EB43FF">
      <w:pPr>
        <w:pStyle w:val="FootnoteText"/>
        <w:rPr>
          <w:lang w:val="en-IE"/>
        </w:rPr>
      </w:pPr>
      <w:r w:rsidRPr="001D3939">
        <w:rPr>
          <w:rStyle w:val="FootnoteReference"/>
        </w:rPr>
        <w:footnoteRef/>
      </w:r>
      <w:r w:rsidR="001D3939">
        <w:tab/>
      </w:r>
      <w:r w:rsidR="00EC4CD0" w:rsidRPr="006E37DD">
        <w:rPr>
          <w:lang w:val="en-IE"/>
        </w:rPr>
        <w:t>COM(2023) 160 final</w:t>
      </w:r>
    </w:p>
  </w:footnote>
  <w:footnote w:id="43">
    <w:p w14:paraId="160913C2" w14:textId="77777777" w:rsidR="00C2756A" w:rsidRPr="006E37DD" w:rsidRDefault="00C2756A">
      <w:pPr>
        <w:pStyle w:val="FootnoteText"/>
        <w:rPr>
          <w:lang w:val="en-IE"/>
        </w:rPr>
      </w:pPr>
      <w:r w:rsidRPr="001D3939">
        <w:rPr>
          <w:rStyle w:val="FootnoteReference"/>
        </w:rPr>
        <w:footnoteRef/>
      </w:r>
      <w:r w:rsidR="001D3939">
        <w:tab/>
      </w:r>
      <w:r w:rsidR="00B222DB" w:rsidRPr="006E37DD">
        <w:rPr>
          <w:lang w:val="en-IE"/>
        </w:rPr>
        <w:t>COM(2023) 161 final</w:t>
      </w:r>
    </w:p>
  </w:footnote>
  <w:footnote w:id="44">
    <w:p w14:paraId="7547C992" w14:textId="77777777" w:rsidR="00EC216F" w:rsidRPr="00C4764D" w:rsidRDefault="00EC216F" w:rsidP="00EC216F">
      <w:pPr>
        <w:pStyle w:val="FootnoteText"/>
        <w:rPr>
          <w:lang w:val="en-US"/>
        </w:rPr>
      </w:pPr>
      <w:r>
        <w:rPr>
          <w:rStyle w:val="FootnoteReference"/>
        </w:rPr>
        <w:footnoteRef/>
      </w:r>
      <w:r>
        <w:rPr>
          <w:lang w:val="en-US"/>
        </w:rPr>
        <w:tab/>
        <w:t>Communication on a Temporary Crisis and Transition Framework for State Aid measures (</w:t>
      </w:r>
      <w:r w:rsidRPr="00727E54">
        <w:rPr>
          <w:lang w:val="en-US"/>
        </w:rPr>
        <w:t>OJ C 101, 17.3.2023, p. 3</w:t>
      </w:r>
      <w:r>
        <w:rPr>
          <w:lang w:val="en-US"/>
        </w:rPr>
        <w:t>).</w:t>
      </w:r>
    </w:p>
  </w:footnote>
  <w:footnote w:id="45">
    <w:p w14:paraId="5E0CECE9" w14:textId="77777777" w:rsidR="00EC216F" w:rsidRPr="00E941D3" w:rsidRDefault="00EC216F" w:rsidP="00EC216F">
      <w:pPr>
        <w:pStyle w:val="FootnoteText"/>
        <w:rPr>
          <w:lang w:val="en-IE"/>
        </w:rPr>
      </w:pPr>
      <w:r>
        <w:rPr>
          <w:rStyle w:val="FootnoteReference"/>
        </w:rPr>
        <w:footnoteRef/>
      </w:r>
      <w:r w:rsidRPr="00E941D3">
        <w:rPr>
          <w:lang w:val="en-IE"/>
        </w:rPr>
        <w:tab/>
        <w:t xml:space="preserve">Regulation (EU) 2023/435 as regards REPowerEU </w:t>
      </w:r>
      <w:r>
        <w:rPr>
          <w:lang w:val="en-IE"/>
        </w:rPr>
        <w:t>(</w:t>
      </w:r>
      <w:r w:rsidRPr="00E941D3">
        <w:rPr>
          <w:lang w:val="en-IE"/>
        </w:rPr>
        <w:t>OJ L 63, 28.2.2023, p. 1</w:t>
      </w:r>
      <w:r>
        <w:rPr>
          <w:lang w:val="en-IE"/>
        </w:rPr>
        <w:t xml:space="preserve">). </w:t>
      </w:r>
    </w:p>
  </w:footnote>
  <w:footnote w:id="46">
    <w:p w14:paraId="30E97EB0" w14:textId="77777777" w:rsidR="00EE4D6E" w:rsidRPr="00027AE6" w:rsidRDefault="00EE4D6E" w:rsidP="00EE4D6E">
      <w:pPr>
        <w:pStyle w:val="FootnoteText"/>
        <w:rPr>
          <w:lang w:val="en-US"/>
        </w:rPr>
      </w:pPr>
      <w:r>
        <w:rPr>
          <w:rStyle w:val="FootnoteReference"/>
        </w:rPr>
        <w:footnoteRef/>
      </w:r>
      <w:r>
        <w:rPr>
          <w:lang w:val="en-US"/>
        </w:rPr>
        <w:tab/>
        <w:t xml:space="preserve">Communication on a European Skills Agenda for sustainable competitiveness, social fairness and resilience, COM(2020) 274 final. </w:t>
      </w:r>
    </w:p>
  </w:footnote>
  <w:footnote w:id="47">
    <w:p w14:paraId="08ADE9D4" w14:textId="77777777" w:rsidR="00B03B14" w:rsidRPr="00394384" w:rsidRDefault="00B03B14" w:rsidP="00B03B14">
      <w:pPr>
        <w:pStyle w:val="FootnoteText"/>
        <w:rPr>
          <w:lang w:val="en-US"/>
        </w:rPr>
      </w:pPr>
      <w:r>
        <w:rPr>
          <w:rStyle w:val="FootnoteReference"/>
        </w:rPr>
        <w:footnoteRef/>
      </w:r>
      <w:r>
        <w:rPr>
          <w:lang w:val="en-US"/>
        </w:rPr>
        <w:tab/>
        <w:t xml:space="preserve">Directive 2003/87/EC establishing a scheme for greenhouse gas emission allowance </w:t>
      </w:r>
      <w:r w:rsidRPr="00E50C17">
        <w:rPr>
          <w:lang w:val="en-US"/>
        </w:rPr>
        <w:t>trading (OJ L 275, 25.10.2003, p. 32).</w:t>
      </w:r>
      <w:r>
        <w:rPr>
          <w:rStyle w:val="Emphasis"/>
          <w:rFonts w:ascii="Roboto" w:hAnsi="Roboto"/>
          <w:color w:val="333333"/>
          <w:sz w:val="21"/>
          <w:szCs w:val="21"/>
          <w:shd w:val="clear" w:color="auto" w:fill="FFFFFF"/>
        </w:rPr>
        <w:t xml:space="preserve"> </w:t>
      </w:r>
    </w:p>
  </w:footnote>
  <w:footnote w:id="48">
    <w:p w14:paraId="12F00CDC" w14:textId="77777777" w:rsidR="00263B20" w:rsidRPr="004B04C8" w:rsidRDefault="00263B20">
      <w:pPr>
        <w:pStyle w:val="FootnoteText"/>
        <w:rPr>
          <w:lang w:val="en-US"/>
        </w:rPr>
      </w:pPr>
      <w:r>
        <w:rPr>
          <w:rStyle w:val="FootnoteReference"/>
        </w:rPr>
        <w:footnoteRef/>
      </w:r>
      <w:r>
        <w:rPr>
          <w:lang w:val="en-US"/>
        </w:rPr>
        <w:tab/>
        <w:t xml:space="preserve">Regulation (EU) 2021/523 establishing the InvestEU </w:t>
      </w:r>
      <w:r w:rsidR="0052540C">
        <w:rPr>
          <w:lang w:val="en-US"/>
        </w:rPr>
        <w:t xml:space="preserve">Programme </w:t>
      </w:r>
      <w:r w:rsidR="004B04C8">
        <w:rPr>
          <w:lang w:val="en-US"/>
        </w:rPr>
        <w:t>(</w:t>
      </w:r>
      <w:r w:rsidR="004B04C8" w:rsidRPr="004B04C8">
        <w:rPr>
          <w:lang w:val="en-US"/>
        </w:rPr>
        <w:t>OJ L 107, 26.3.2021, p. 30</w:t>
      </w:r>
      <w:r w:rsidR="004B04C8">
        <w:rPr>
          <w:lang w:val="en-US"/>
        </w:rPr>
        <w:t>).</w:t>
      </w:r>
    </w:p>
  </w:footnote>
  <w:footnote w:id="49">
    <w:p w14:paraId="1E2A1928" w14:textId="77777777" w:rsidR="00EB395C" w:rsidRPr="001A68AE" w:rsidRDefault="00EB395C">
      <w:pPr>
        <w:pStyle w:val="FootnoteText"/>
        <w:rPr>
          <w:lang w:val="en-US"/>
        </w:rPr>
      </w:pPr>
      <w:r w:rsidRPr="00E552F2">
        <w:rPr>
          <w:rStyle w:val="FootnoteReference"/>
        </w:rPr>
        <w:footnoteRef/>
      </w:r>
      <w:r w:rsidRPr="004B04C8">
        <w:rPr>
          <w:lang w:val="en-US"/>
        </w:rPr>
        <w:tab/>
        <w:t>Regulation (EU) 2021/695 establishing Horizon Europe</w:t>
      </w:r>
      <w:r w:rsidR="002847E2" w:rsidRPr="004B04C8">
        <w:rPr>
          <w:lang w:val="en-US"/>
        </w:rPr>
        <w:t xml:space="preserve"> </w:t>
      </w:r>
      <w:r w:rsidR="004B04C8">
        <w:rPr>
          <w:lang w:val="en-US"/>
        </w:rPr>
        <w:t>(</w:t>
      </w:r>
      <w:r w:rsidR="002847E2" w:rsidRPr="004B04C8">
        <w:rPr>
          <w:lang w:val="en-US"/>
        </w:rPr>
        <w:t>OJ L 170, 12.5.2021, p. 1</w:t>
      </w:r>
      <w:r w:rsidR="004B04C8">
        <w:rPr>
          <w:lang w:val="en-US"/>
        </w:rPr>
        <w:t>).</w:t>
      </w:r>
    </w:p>
  </w:footnote>
  <w:footnote w:id="50">
    <w:p w14:paraId="5013E713" w14:textId="77777777" w:rsidR="00B03B14" w:rsidRPr="000A11CE" w:rsidRDefault="00B03B14" w:rsidP="00B03B14">
      <w:pPr>
        <w:pStyle w:val="FootnoteText"/>
        <w:rPr>
          <w:lang w:val="en-IE"/>
        </w:rPr>
      </w:pPr>
      <w:r w:rsidRPr="001D3939">
        <w:rPr>
          <w:rStyle w:val="FootnoteReference"/>
        </w:rPr>
        <w:footnoteRef/>
      </w:r>
      <w:r w:rsidR="001D3939">
        <w:tab/>
      </w:r>
      <w:r w:rsidRPr="000A11CE">
        <w:rPr>
          <w:rStyle w:val="normaltextrun"/>
          <w:bdr w:val="none" w:sz="0" w:space="0" w:color="auto" w:frame="1"/>
        </w:rPr>
        <w:t xml:space="preserve">Regulation (EU) </w:t>
      </w:r>
      <w:r w:rsidR="00C66B08" w:rsidRPr="000A11CE">
        <w:rPr>
          <w:rStyle w:val="normaltextrun"/>
          <w:bdr w:val="none" w:sz="0" w:space="0" w:color="auto" w:frame="1"/>
        </w:rPr>
        <w:t>2021</w:t>
      </w:r>
      <w:r w:rsidRPr="000A11CE">
        <w:rPr>
          <w:rStyle w:val="normaltextrun"/>
          <w:bdr w:val="none" w:sz="0" w:space="0" w:color="auto" w:frame="1"/>
        </w:rPr>
        <w:t>/</w:t>
      </w:r>
      <w:r w:rsidR="00C66B08" w:rsidRPr="000A11CE">
        <w:rPr>
          <w:rStyle w:val="normaltextrun"/>
          <w:bdr w:val="none" w:sz="0" w:space="0" w:color="auto" w:frame="1"/>
        </w:rPr>
        <w:t>697</w:t>
      </w:r>
      <w:r w:rsidRPr="000A11CE">
        <w:rPr>
          <w:rStyle w:val="normaltextrun"/>
          <w:bdr w:val="none" w:sz="0" w:space="0" w:color="auto" w:frame="1"/>
        </w:rPr>
        <w:t xml:space="preserve"> establishing the European Defense Fund</w:t>
      </w:r>
      <w:r w:rsidR="00C66B08" w:rsidRPr="000A11CE">
        <w:rPr>
          <w:rStyle w:val="normaltextrun"/>
          <w:bdr w:val="none" w:sz="0" w:space="0" w:color="auto" w:frame="1"/>
        </w:rPr>
        <w:t xml:space="preserve"> (</w:t>
      </w:r>
      <w:r w:rsidR="00C66B08" w:rsidRPr="000A11CE">
        <w:rPr>
          <w:lang w:val="en-US"/>
        </w:rPr>
        <w:t>OJ L 170, 12.5.2021, p. 149</w:t>
      </w:r>
      <w:r w:rsidRPr="000A11CE">
        <w:rPr>
          <w:lang w:val="en-US"/>
        </w:rPr>
        <w:t>.</w:t>
      </w:r>
      <w:r w:rsidR="00C66B08" w:rsidRPr="000A11CE">
        <w:rPr>
          <w:lang w:val="en-US"/>
        </w:rPr>
        <w:t>)</w:t>
      </w:r>
    </w:p>
  </w:footnote>
  <w:footnote w:id="51">
    <w:p w14:paraId="2694B20C" w14:textId="77777777" w:rsidR="00E65D3F" w:rsidRPr="00E50AEA" w:rsidRDefault="00E65D3F">
      <w:pPr>
        <w:pStyle w:val="FootnoteText"/>
        <w:rPr>
          <w:lang w:val="en-IE"/>
        </w:rPr>
      </w:pPr>
      <w:r>
        <w:rPr>
          <w:rStyle w:val="FootnoteReference"/>
        </w:rPr>
        <w:footnoteRef/>
      </w:r>
      <w:r w:rsidRPr="00E50AEA">
        <w:rPr>
          <w:lang w:val="en-IE"/>
        </w:rPr>
        <w:tab/>
      </w:r>
      <w:r w:rsidR="007C6C4C" w:rsidRPr="00E50AEA">
        <w:rPr>
          <w:lang w:val="en-IE"/>
        </w:rPr>
        <w:t xml:space="preserve">Regulation (EU) 2021/694 establishing the Digital Europe Programme </w:t>
      </w:r>
      <w:r w:rsidR="00394384" w:rsidRPr="00394384">
        <w:rPr>
          <w:lang w:val="en-IE"/>
        </w:rPr>
        <w:t>(</w:t>
      </w:r>
      <w:r w:rsidR="004B0896" w:rsidRPr="00394384">
        <w:rPr>
          <w:lang w:val="en-IE"/>
        </w:rPr>
        <w:t>OJ L 166, 11.5.2021, p. 1</w:t>
      </w:r>
      <w:r w:rsidR="00E50AEA" w:rsidRPr="00394384">
        <w:rPr>
          <w:lang w:val="en-IE"/>
        </w:rPr>
        <w:t>).</w:t>
      </w:r>
      <w:r w:rsidR="00E50AEA" w:rsidRPr="00E50AEA">
        <w:rPr>
          <w:rStyle w:val="Emphasis"/>
          <w:rFonts w:ascii="Roboto" w:hAnsi="Roboto"/>
          <w:color w:val="333333"/>
          <w:sz w:val="21"/>
          <w:szCs w:val="21"/>
          <w:shd w:val="clear" w:color="auto" w:fill="FFFFFF"/>
          <w:lang w:val="en-IE"/>
        </w:rPr>
        <w:t xml:space="preserve"> </w:t>
      </w:r>
    </w:p>
  </w:footnote>
  <w:footnote w:id="52">
    <w:p w14:paraId="317F50A6" w14:textId="77777777" w:rsidR="006303BF" w:rsidRPr="00723C69" w:rsidRDefault="006303BF">
      <w:pPr>
        <w:pStyle w:val="FootnoteText"/>
        <w:rPr>
          <w:lang w:val="en-IE"/>
        </w:rPr>
      </w:pPr>
      <w:r>
        <w:rPr>
          <w:rStyle w:val="FootnoteReference"/>
        </w:rPr>
        <w:footnoteRef/>
      </w:r>
      <w:r w:rsidRPr="00723C69">
        <w:rPr>
          <w:lang w:val="en-IE"/>
        </w:rPr>
        <w:tab/>
        <w:t>Regulation (EU)</w:t>
      </w:r>
      <w:r w:rsidR="00723C69" w:rsidRPr="00723C69">
        <w:rPr>
          <w:lang w:val="en-IE"/>
        </w:rPr>
        <w:t xml:space="preserve"> 2021/522 establishing a Programme for th</w:t>
      </w:r>
      <w:r w:rsidR="00723C69">
        <w:rPr>
          <w:lang w:val="en-IE"/>
        </w:rPr>
        <w:t>e Union’s action in the field of health</w:t>
      </w:r>
      <w:r w:rsidR="00824914">
        <w:rPr>
          <w:lang w:val="en-IE"/>
        </w:rPr>
        <w:t xml:space="preserve">, EU4Health </w:t>
      </w:r>
      <w:r w:rsidR="00824914" w:rsidRPr="00394384">
        <w:rPr>
          <w:lang w:val="en-IE"/>
        </w:rPr>
        <w:t>Programme (</w:t>
      </w:r>
      <w:r w:rsidR="00E50AEA" w:rsidRPr="00394384">
        <w:rPr>
          <w:lang w:val="en-IE"/>
        </w:rPr>
        <w:t>OJ L 107, 26.3.2021, p. 1).</w:t>
      </w:r>
      <w:r w:rsidR="00E50AEA">
        <w:rPr>
          <w:rStyle w:val="Emphasis"/>
          <w:rFonts w:ascii="Roboto" w:hAnsi="Roboto"/>
          <w:color w:val="333333"/>
          <w:sz w:val="21"/>
          <w:szCs w:val="21"/>
          <w:shd w:val="clear" w:color="auto" w:fill="FFFFFF"/>
        </w:rPr>
        <w:t xml:space="preserve"> </w:t>
      </w:r>
    </w:p>
  </w:footnote>
  <w:footnote w:id="53">
    <w:p w14:paraId="7C45C56B" w14:textId="77777777" w:rsidR="00A8491E" w:rsidRPr="00A8491E" w:rsidRDefault="00A8491E">
      <w:pPr>
        <w:pStyle w:val="FootnoteText"/>
        <w:rPr>
          <w:lang w:val="en-US"/>
        </w:rPr>
      </w:pPr>
      <w:r>
        <w:rPr>
          <w:rStyle w:val="FootnoteReference"/>
        </w:rPr>
        <w:footnoteRef/>
      </w:r>
      <w:r>
        <w:rPr>
          <w:lang w:val="en-US"/>
        </w:rPr>
        <w:tab/>
      </w:r>
      <w:r w:rsidR="00922741">
        <w:rPr>
          <w:lang w:val="en-US"/>
        </w:rPr>
        <w:t xml:space="preserve">Regulation (EU, Euratom) 2018/1046 on the financial rules applicable to the general budget of the Union </w:t>
      </w:r>
      <w:r w:rsidR="00BE1107" w:rsidRPr="00BE1107">
        <w:rPr>
          <w:lang w:val="en-US"/>
        </w:rPr>
        <w:t>(OJ L 193, 30.7.2018, p. 1).</w:t>
      </w:r>
      <w:r w:rsidR="00BE1107">
        <w:rPr>
          <w:i/>
          <w:iCs/>
          <w:lang w:val="en-US"/>
        </w:rPr>
        <w:t xml:space="preserve"> </w:t>
      </w:r>
    </w:p>
  </w:footnote>
  <w:footnote w:id="54">
    <w:p w14:paraId="1BB3A743" w14:textId="77777777" w:rsidR="001A4452" w:rsidRPr="00E83E44" w:rsidRDefault="001A4452">
      <w:pPr>
        <w:pStyle w:val="FootnoteText"/>
        <w:rPr>
          <w:rStyle w:val="FootnoteReference"/>
        </w:rPr>
      </w:pPr>
      <w:r>
        <w:rPr>
          <w:rStyle w:val="FootnoteReference"/>
        </w:rPr>
        <w:footnoteRef/>
      </w:r>
      <w:r>
        <w:rPr>
          <w:lang w:val="en-US"/>
        </w:rPr>
        <w:tab/>
        <w:t>Regulation (EU) 2021/241 establishing the Recovery and Resilience Facility</w:t>
      </w:r>
      <w:r w:rsidR="00E83E44">
        <w:rPr>
          <w:lang w:val="en-US"/>
        </w:rPr>
        <w:t xml:space="preserve"> </w:t>
      </w:r>
      <w:r w:rsidR="00E83E44" w:rsidRPr="00E83E44">
        <w:rPr>
          <w:lang w:val="en-US"/>
        </w:rPr>
        <w:t>(OJ L 57, 18.2.2021, p. 17</w:t>
      </w:r>
      <w:r w:rsidR="00E83E44">
        <w:rPr>
          <w:lang w:val="en-US"/>
        </w:rPr>
        <w:t xml:space="preserve">). </w:t>
      </w:r>
      <w:r w:rsidRPr="00E83E44">
        <w:rPr>
          <w:rStyle w:val="FootnoteReference"/>
        </w:rPr>
        <w:t xml:space="preserve"> </w:t>
      </w:r>
    </w:p>
  </w:footnote>
  <w:footnote w:id="55">
    <w:p w14:paraId="562485E3" w14:textId="77777777" w:rsidR="00E40117" w:rsidRPr="00E40117" w:rsidRDefault="00E40117">
      <w:pPr>
        <w:pStyle w:val="FootnoteText"/>
        <w:rPr>
          <w:lang w:val="en-US"/>
        </w:rPr>
      </w:pPr>
      <w:r>
        <w:rPr>
          <w:rStyle w:val="FootnoteReference"/>
        </w:rPr>
        <w:footnoteRef/>
      </w:r>
      <w:r>
        <w:rPr>
          <w:lang w:val="en-US"/>
        </w:rPr>
        <w:tab/>
        <w:t xml:space="preserve">Directive 2003/87/EC establishing a scheme for greenhouse gas emission allowance </w:t>
      </w:r>
      <w:r w:rsidRPr="00E50C17">
        <w:rPr>
          <w:lang w:val="en-US"/>
        </w:rPr>
        <w:t>trading (</w:t>
      </w:r>
      <w:r w:rsidR="00E50C17" w:rsidRPr="00E50C17">
        <w:rPr>
          <w:lang w:val="en-US"/>
        </w:rPr>
        <w:t>OJ L 275, 25.10.2003, p. 32).</w:t>
      </w:r>
      <w:r w:rsidR="00E50C17">
        <w:rPr>
          <w:rStyle w:val="Emphasis"/>
          <w:rFonts w:ascii="Roboto" w:hAnsi="Roboto"/>
          <w:color w:val="333333"/>
          <w:sz w:val="21"/>
          <w:szCs w:val="21"/>
          <w:shd w:val="clear" w:color="auto" w:fill="FFFFFF"/>
        </w:rPr>
        <w:t xml:space="preserve"> </w:t>
      </w:r>
    </w:p>
  </w:footnote>
  <w:footnote w:id="56">
    <w:p w14:paraId="5231396B" w14:textId="77777777" w:rsidR="002C7991" w:rsidRPr="00FA2E45" w:rsidRDefault="00550165">
      <w:pPr>
        <w:pStyle w:val="FootnoteText"/>
        <w:rPr>
          <w:lang w:val="en-IE"/>
        </w:rPr>
      </w:pPr>
      <w:r w:rsidRPr="00E552F2">
        <w:rPr>
          <w:rStyle w:val="FootnoteReference"/>
        </w:rPr>
        <w:footnoteRef/>
      </w:r>
      <w:r w:rsidR="00E552F2">
        <w:rPr>
          <w:lang w:val="en-IE"/>
        </w:rPr>
        <w:tab/>
      </w:r>
      <w:r w:rsidR="00762C4A" w:rsidRPr="00FA2E45">
        <w:rPr>
          <w:lang w:val="en-IE"/>
        </w:rPr>
        <w:t xml:space="preserve">Regulation (EU) </w:t>
      </w:r>
      <w:r w:rsidR="001A68AE" w:rsidRPr="00FA2E45">
        <w:rPr>
          <w:lang w:val="en-IE"/>
        </w:rPr>
        <w:t>2021/1060 laying down common provisions (</w:t>
      </w:r>
      <w:r w:rsidRPr="00FA2E45">
        <w:rPr>
          <w:lang w:val="en-IE"/>
        </w:rPr>
        <w:t>OJ L 231, 30.6.2021, p. 159</w:t>
      </w:r>
      <w:r w:rsidR="001A68AE" w:rsidRPr="00FA2E45">
        <w:rPr>
          <w:lang w:val="en-IE"/>
        </w:rPr>
        <w:t xml:space="preserve">). </w:t>
      </w:r>
    </w:p>
  </w:footnote>
  <w:footnote w:id="57">
    <w:p w14:paraId="4574A38C" w14:textId="77777777" w:rsidR="00D83446" w:rsidRPr="00FA2E45" w:rsidRDefault="00D83446" w:rsidP="00D83446">
      <w:pPr>
        <w:pStyle w:val="FootnoteText"/>
        <w:rPr>
          <w:lang w:val="en-IE"/>
        </w:rPr>
      </w:pPr>
      <w:r w:rsidRPr="00E552F2">
        <w:rPr>
          <w:rStyle w:val="FootnoteReference"/>
        </w:rPr>
        <w:footnoteRef/>
      </w:r>
      <w:r w:rsidR="00E552F2">
        <w:rPr>
          <w:lang w:val="en-IE"/>
        </w:rPr>
        <w:tab/>
      </w:r>
      <w:r w:rsidR="00AA288F" w:rsidRPr="00FA2E45">
        <w:rPr>
          <w:lang w:val="en-IE"/>
        </w:rPr>
        <w:t xml:space="preserve">Regulation (EU) 2021/1058 </w:t>
      </w:r>
      <w:r w:rsidR="00F77C1E" w:rsidRPr="00FA2E45">
        <w:rPr>
          <w:lang w:val="en-IE"/>
        </w:rPr>
        <w:t>on the European Regional Development Fund and on the Cohesion Fund (</w:t>
      </w:r>
      <w:r w:rsidR="00401850" w:rsidRPr="00FA2E45">
        <w:rPr>
          <w:lang w:val="en-IE"/>
        </w:rPr>
        <w:t>OJ L 224, 24.6.2021, p. 31</w:t>
      </w:r>
      <w:r w:rsidR="00F77C1E" w:rsidRPr="00FA2E45">
        <w:rPr>
          <w:lang w:val="en-IE"/>
        </w:rPr>
        <w:t xml:space="preserve">). </w:t>
      </w:r>
    </w:p>
  </w:footnote>
  <w:footnote w:id="58">
    <w:p w14:paraId="26B31E5B" w14:textId="77777777" w:rsidR="00B63912" w:rsidRPr="00B63912" w:rsidRDefault="00B63912">
      <w:pPr>
        <w:pStyle w:val="FootnoteText"/>
        <w:rPr>
          <w:lang w:val="en-US"/>
        </w:rPr>
      </w:pPr>
      <w:r>
        <w:rPr>
          <w:rStyle w:val="FootnoteReference"/>
        </w:rPr>
        <w:footnoteRef/>
      </w:r>
      <w:r>
        <w:rPr>
          <w:lang w:val="en-US"/>
        </w:rPr>
        <w:tab/>
        <w:t xml:space="preserve">Regulation (EU) 2021/1056 establishing the Just Transition Fund </w:t>
      </w:r>
      <w:r w:rsidRPr="00FA2E45">
        <w:rPr>
          <w:lang w:val="en-IE"/>
        </w:rPr>
        <w:t>(</w:t>
      </w:r>
      <w:r w:rsidR="00A81546" w:rsidRPr="00FA2E45">
        <w:rPr>
          <w:lang w:val="en-IE"/>
        </w:rPr>
        <w:t xml:space="preserve">OJ L 231, 30.6.2021, p. 1). </w:t>
      </w:r>
    </w:p>
  </w:footnote>
  <w:footnote w:id="59">
    <w:p w14:paraId="40A0637F" w14:textId="77777777" w:rsidR="005203C7" w:rsidRPr="005203C7" w:rsidRDefault="005203C7">
      <w:pPr>
        <w:pStyle w:val="FootnoteText"/>
        <w:rPr>
          <w:lang w:val="en-US"/>
        </w:rPr>
      </w:pPr>
      <w:r>
        <w:rPr>
          <w:rStyle w:val="FootnoteReference"/>
        </w:rPr>
        <w:footnoteRef/>
      </w:r>
      <w:r>
        <w:rPr>
          <w:lang w:val="en-US"/>
        </w:rPr>
        <w:tab/>
        <w:t>Regulation (EU) 2021/1057 establishing the European Social Fund Plus (ESF+) (OJ L 231 30.6.2021, p.21).</w:t>
      </w:r>
    </w:p>
  </w:footnote>
  <w:footnote w:id="60">
    <w:p w14:paraId="6415E231" w14:textId="77777777" w:rsidR="00E22AA3" w:rsidRPr="00A73B27" w:rsidRDefault="00E22AA3" w:rsidP="00E22AA3">
      <w:pPr>
        <w:pStyle w:val="FootnoteText"/>
        <w:rPr>
          <w:lang w:val="en-US"/>
        </w:rPr>
      </w:pPr>
      <w:r>
        <w:rPr>
          <w:rStyle w:val="FootnoteReference"/>
        </w:rPr>
        <w:footnoteRef/>
      </w:r>
      <w:r>
        <w:rPr>
          <w:lang w:val="en-US"/>
        </w:rPr>
        <w:tab/>
        <w:t xml:space="preserve">Regulation (EU) 2021/1057 establishing the European Social Fund Plus (ESF+) </w:t>
      </w:r>
      <w:r w:rsidRPr="00926419">
        <w:rPr>
          <w:lang w:val="en-US"/>
        </w:rPr>
        <w:t>(OJ L 231, 30.6.2021, p. 21</w:t>
      </w:r>
      <w:r>
        <w:rPr>
          <w:lang w:val="en-US"/>
        </w:rPr>
        <w:t xml:space="preserve">). </w:t>
      </w:r>
    </w:p>
  </w:footnote>
  <w:footnote w:id="61">
    <w:p w14:paraId="36935096" w14:textId="77777777" w:rsidR="00551487" w:rsidRPr="00551487" w:rsidRDefault="00551487">
      <w:pPr>
        <w:pStyle w:val="FootnoteText"/>
        <w:rPr>
          <w:lang w:val="en-US"/>
        </w:rPr>
      </w:pPr>
      <w:r>
        <w:rPr>
          <w:rStyle w:val="FootnoteReference"/>
        </w:rPr>
        <w:footnoteRef/>
      </w:r>
      <w:r>
        <w:rPr>
          <w:lang w:val="en-US"/>
        </w:rPr>
        <w:tab/>
      </w:r>
      <w:r w:rsidRPr="00E614E9">
        <w:rPr>
          <w:lang w:val="en-IE"/>
        </w:rPr>
        <w:t xml:space="preserve">Regulation (EU) 2021/1060 </w:t>
      </w:r>
      <w:r>
        <w:rPr>
          <w:lang w:val="en-IE"/>
        </w:rPr>
        <w:t xml:space="preserve">laying down common provisions </w:t>
      </w:r>
      <w:r w:rsidR="00B54C2D" w:rsidRPr="00B54C2D">
        <w:rPr>
          <w:lang w:val="en-IE"/>
        </w:rPr>
        <w:t>(OJ L 231, 30.6.2021, p. 159).</w:t>
      </w:r>
      <w:r w:rsidR="00B54C2D">
        <w:rPr>
          <w:i/>
          <w:iCs/>
          <w:lang w:val="en-IE"/>
        </w:rPr>
        <w:t xml:space="preserve"> </w:t>
      </w:r>
    </w:p>
  </w:footnote>
  <w:footnote w:id="62">
    <w:p w14:paraId="4C875BB7" w14:textId="77777777" w:rsidR="00A13512" w:rsidRPr="00474080" w:rsidRDefault="00A13512" w:rsidP="00A13512">
      <w:pPr>
        <w:pStyle w:val="FootnoteText"/>
        <w:rPr>
          <w:lang w:val="en-US"/>
        </w:rPr>
      </w:pPr>
      <w:r>
        <w:rPr>
          <w:rStyle w:val="FootnoteReference"/>
        </w:rPr>
        <w:footnoteRef/>
      </w:r>
      <w:r>
        <w:rPr>
          <w:lang w:val="en-US"/>
        </w:rPr>
        <w:tab/>
        <w:t xml:space="preserve">Regulation (EU) 1303/2013 laying down common provisions </w:t>
      </w:r>
      <w:r w:rsidRPr="004D455A">
        <w:rPr>
          <w:lang w:val="en-IE"/>
        </w:rPr>
        <w:t>(OJ L 347, 20.12.2013, p. 320).</w:t>
      </w:r>
      <w:r>
        <w:rPr>
          <w:rStyle w:val="Emphasis"/>
          <w:rFonts w:ascii="Roboto" w:hAnsi="Roboto"/>
          <w:color w:val="333333"/>
          <w:sz w:val="21"/>
          <w:szCs w:val="21"/>
          <w:shd w:val="clear" w:color="auto" w:fill="FFFFFF"/>
        </w:rPr>
        <w:t xml:space="preserve"> </w:t>
      </w:r>
    </w:p>
  </w:footnote>
  <w:footnote w:id="63">
    <w:p w14:paraId="7FD6516B" w14:textId="77777777" w:rsidR="00A13512" w:rsidRPr="006A52DC" w:rsidRDefault="00A13512" w:rsidP="00A13512">
      <w:pPr>
        <w:pStyle w:val="FootnoteText"/>
        <w:rPr>
          <w:lang w:val="en-US"/>
        </w:rPr>
      </w:pPr>
      <w:r>
        <w:rPr>
          <w:rStyle w:val="FootnoteReference"/>
        </w:rPr>
        <w:footnoteRef/>
      </w:r>
      <w:r>
        <w:rPr>
          <w:lang w:val="en-US"/>
        </w:rPr>
        <w:tab/>
        <w:t>Regulation (EU) 223/2014 on the Fund for European Aid on the Most Deprived (</w:t>
      </w:r>
      <w:r w:rsidRPr="006A52DC">
        <w:rPr>
          <w:lang w:val="en-IE"/>
        </w:rPr>
        <w:t>OJ L 72, 12.3.2014, p. 1</w:t>
      </w:r>
      <w:r>
        <w:rPr>
          <w:lang w:val="en-IE"/>
        </w:rPr>
        <w:t xml:space="preserve">). </w:t>
      </w:r>
    </w:p>
  </w:footnote>
  <w:footnote w:id="64">
    <w:p w14:paraId="5BFE832F" w14:textId="77777777" w:rsidR="00BD0621" w:rsidRPr="00FA2E45" w:rsidRDefault="00BD0621">
      <w:pPr>
        <w:pStyle w:val="FootnoteText"/>
        <w:rPr>
          <w:lang w:val="en-US"/>
        </w:rPr>
      </w:pPr>
      <w:r>
        <w:rPr>
          <w:rStyle w:val="FootnoteReference"/>
        </w:rPr>
        <w:footnoteRef/>
      </w:r>
      <w:r>
        <w:rPr>
          <w:lang w:val="en-US"/>
        </w:rPr>
        <w:tab/>
        <w:t>Regulation …/… of the European Parliament and of the Council …</w:t>
      </w:r>
      <w:r w:rsidR="00866FE2">
        <w:rPr>
          <w:lang w:val="en-US"/>
        </w:rPr>
        <w:t xml:space="preserve"> [</w:t>
      </w:r>
      <w:r w:rsidR="00804D91">
        <w:rPr>
          <w:lang w:val="en-US"/>
        </w:rPr>
        <w:t>insert full title and OJ reference</w:t>
      </w:r>
      <w:r w:rsidR="007D3746">
        <w:rPr>
          <w:lang w:val="en-US"/>
        </w:rPr>
        <w:t xml:space="preserve">]. </w:t>
      </w:r>
      <w:r w:rsidR="00866FE2">
        <w:rPr>
          <w:lang w:val="en-US"/>
        </w:rPr>
        <w:t xml:space="preserve"> </w:t>
      </w:r>
    </w:p>
  </w:footnote>
  <w:footnote w:id="65">
    <w:p w14:paraId="4DFB9217" w14:textId="77777777" w:rsidR="00DA5F25" w:rsidRPr="006A52DC" w:rsidRDefault="00DA5F25" w:rsidP="00DA5F25">
      <w:pPr>
        <w:pStyle w:val="FootnoteText"/>
        <w:rPr>
          <w:lang w:val="en-US"/>
        </w:rPr>
      </w:pPr>
      <w:r>
        <w:rPr>
          <w:rStyle w:val="FootnoteReference"/>
        </w:rPr>
        <w:footnoteRef/>
      </w:r>
      <w:r>
        <w:rPr>
          <w:lang w:val="en-US"/>
        </w:rPr>
        <w:tab/>
        <w:t xml:space="preserve">Regulation …/… of the European Parliament and of the Council … [insert full title and OJ reference].  </w:t>
      </w:r>
    </w:p>
  </w:footnote>
  <w:footnote w:id="66">
    <w:p w14:paraId="47206B66" w14:textId="77777777" w:rsidR="00B40EA3" w:rsidRPr="006A52DC" w:rsidRDefault="00B40EA3" w:rsidP="00B40EA3">
      <w:pPr>
        <w:pStyle w:val="FootnoteText"/>
        <w:rPr>
          <w:lang w:val="en-US"/>
        </w:rPr>
      </w:pPr>
      <w:r>
        <w:rPr>
          <w:rStyle w:val="FootnoteReference"/>
        </w:rPr>
        <w:footnoteRef/>
      </w:r>
      <w:r>
        <w:rPr>
          <w:lang w:val="en-US"/>
        </w:rPr>
        <w:tab/>
        <w:t xml:space="preserve">Regulation …/… of the European Parliament and of the Council … [insert full title and OJ reference].  </w:t>
      </w:r>
    </w:p>
  </w:footnote>
  <w:footnote w:id="67">
    <w:p w14:paraId="41C5093D" w14:textId="77777777" w:rsidR="00B40EA3" w:rsidRPr="006A52DC" w:rsidRDefault="00B40EA3" w:rsidP="00B40EA3">
      <w:pPr>
        <w:pStyle w:val="FootnoteText"/>
        <w:rPr>
          <w:lang w:val="en-US"/>
        </w:rPr>
      </w:pPr>
      <w:r>
        <w:rPr>
          <w:rStyle w:val="FootnoteReference"/>
        </w:rPr>
        <w:footnoteRef/>
      </w:r>
      <w:r>
        <w:rPr>
          <w:lang w:val="en-US"/>
        </w:rPr>
        <w:tab/>
        <w:t xml:space="preserve">Regulation …/… of the European Parliament and of the Council … [insert full title and OJ reference].  </w:t>
      </w:r>
    </w:p>
  </w:footnote>
  <w:footnote w:id="68">
    <w:p w14:paraId="3F003331" w14:textId="77777777" w:rsidR="00A60475" w:rsidRPr="006A52DC" w:rsidRDefault="00A60475" w:rsidP="00A60475">
      <w:pPr>
        <w:pStyle w:val="FootnoteText"/>
        <w:rPr>
          <w:lang w:val="en-US"/>
        </w:rPr>
      </w:pPr>
      <w:r>
        <w:rPr>
          <w:rStyle w:val="FootnoteReference"/>
        </w:rPr>
        <w:footnoteRef/>
      </w:r>
      <w:r>
        <w:rPr>
          <w:lang w:val="en-US"/>
        </w:rPr>
        <w:tab/>
        <w:t xml:space="preserve">Regulation …/… of the European Parliament and of the Council … [insert full title and OJ reference].  </w:t>
      </w:r>
    </w:p>
  </w:footnote>
  <w:footnote w:id="69">
    <w:p w14:paraId="05B8A3F7" w14:textId="77777777" w:rsidR="00A60475" w:rsidRPr="006A52DC" w:rsidRDefault="00A60475" w:rsidP="00A60475">
      <w:pPr>
        <w:pStyle w:val="FootnoteText"/>
        <w:rPr>
          <w:lang w:val="en-US"/>
        </w:rPr>
      </w:pPr>
      <w:r>
        <w:rPr>
          <w:rStyle w:val="FootnoteReference"/>
        </w:rPr>
        <w:footnoteRef/>
      </w:r>
      <w:r>
        <w:rPr>
          <w:lang w:val="en-US"/>
        </w:rPr>
        <w:tab/>
        <w:t xml:space="preserve">Regulation …/… of the European Parliament and of the Council … [insert full title and OJ reference].  </w:t>
      </w:r>
    </w:p>
  </w:footnote>
  <w:footnote w:id="70">
    <w:p w14:paraId="1776E0F2" w14:textId="77777777" w:rsidR="0088471C" w:rsidRPr="006A52DC" w:rsidRDefault="0088471C" w:rsidP="0088471C">
      <w:pPr>
        <w:pStyle w:val="FootnoteText"/>
        <w:rPr>
          <w:lang w:val="en-US"/>
        </w:rPr>
      </w:pPr>
      <w:r>
        <w:rPr>
          <w:rStyle w:val="FootnoteReference"/>
        </w:rPr>
        <w:footnoteRef/>
      </w:r>
      <w:r>
        <w:rPr>
          <w:lang w:val="en-US"/>
        </w:rPr>
        <w:tab/>
        <w:t xml:space="preserve">Regulation …/… of the European Parliament and of the Council … [insert full title and OJ reference].  </w:t>
      </w:r>
    </w:p>
  </w:footnote>
  <w:footnote w:id="71">
    <w:p w14:paraId="46A06FD1" w14:textId="77777777" w:rsidR="000D1210" w:rsidRPr="00FA2E45" w:rsidRDefault="000D1210" w:rsidP="000D1210">
      <w:pPr>
        <w:pStyle w:val="FootnoteText"/>
        <w:rPr>
          <w:lang w:val="en-US"/>
        </w:rPr>
      </w:pPr>
      <w:r>
        <w:rPr>
          <w:rStyle w:val="FootnoteReference"/>
        </w:rPr>
        <w:footnoteRef/>
      </w:r>
      <w:r>
        <w:rPr>
          <w:lang w:val="en-US"/>
        </w:rPr>
        <w:tab/>
        <w:t xml:space="preserve">Regulation …/… of the European Parliament and of the Council … [insert full title and OJ reference].  </w:t>
      </w:r>
    </w:p>
  </w:footnote>
  <w:footnote w:id="72">
    <w:p w14:paraId="13EE7ED8" w14:textId="77777777" w:rsidR="00E36578" w:rsidRPr="006A52DC" w:rsidRDefault="00E36578" w:rsidP="00E36578">
      <w:pPr>
        <w:pStyle w:val="FootnoteText"/>
        <w:rPr>
          <w:lang w:val="en-US"/>
        </w:rPr>
      </w:pPr>
      <w:r>
        <w:rPr>
          <w:rStyle w:val="FootnoteReference"/>
        </w:rPr>
        <w:footnoteRef/>
      </w:r>
      <w:r>
        <w:rPr>
          <w:lang w:val="en-US"/>
        </w:rPr>
        <w:tab/>
        <w:t xml:space="preserve">Regulation …/… of the European Parliament and of the Council … [insert full title and OJ reference].  </w:t>
      </w:r>
    </w:p>
  </w:footnote>
  <w:footnote w:id="73">
    <w:p w14:paraId="3F84D6BF" w14:textId="77777777" w:rsidR="00950C34" w:rsidRDefault="00950C34" w:rsidP="00950C34">
      <w:pPr>
        <w:pStyle w:val="FootnoteText"/>
        <w:rPr>
          <w:szCs w:val="24"/>
        </w:rPr>
      </w:pPr>
      <w:r>
        <w:rPr>
          <w:rStyle w:val="FootnoteReference"/>
        </w:rPr>
        <w:footnoteRef/>
      </w:r>
      <w:r>
        <w:tab/>
        <w:t>As referred to in Article 58(2)(a) or (b) of the Financial Regulation.</w:t>
      </w:r>
    </w:p>
  </w:footnote>
  <w:footnote w:id="74">
    <w:p w14:paraId="662F32A7" w14:textId="77777777" w:rsidR="00950C34" w:rsidRDefault="00950C34" w:rsidP="00950C34">
      <w:pPr>
        <w:pStyle w:val="FootnoteText"/>
        <w:jc w:val="left"/>
        <w:rPr>
          <w:szCs w:val="24"/>
        </w:rPr>
      </w:pPr>
      <w:r>
        <w:rPr>
          <w:rStyle w:val="FootnoteReference"/>
        </w:rPr>
        <w:footnoteRef/>
      </w:r>
      <w:r>
        <w:tab/>
        <w:t xml:space="preserve">Details of budget implementation methods and references to the Financial Regulation may be found on the BUDGpedia site: </w:t>
      </w:r>
      <w:hyperlink r:id="rId4" w:history="1">
        <w:r w:rsidRPr="00974254">
          <w:rPr>
            <w:rStyle w:val="Hyperlink"/>
          </w:rPr>
          <w:t>https://myintracomm.ec.europa.eu/corp/budget/financial-rules/budget-implementation/Pages/implementation-methods.aspx</w:t>
        </w:r>
      </w:hyperlink>
    </w:p>
  </w:footnote>
  <w:footnote w:id="75">
    <w:p w14:paraId="3BB725A2" w14:textId="77777777" w:rsidR="00950C34" w:rsidRDefault="00950C34" w:rsidP="00950C34">
      <w:pPr>
        <w:pStyle w:val="FootnoteText"/>
        <w:rPr>
          <w:szCs w:val="24"/>
        </w:rPr>
      </w:pPr>
      <w:r>
        <w:rPr>
          <w:rStyle w:val="FootnoteReference"/>
        </w:rPr>
        <w:footnoteRef/>
      </w:r>
      <w:r>
        <w:tab/>
        <w:t>Diff. = Differentiated appropriations / Non-diff. = Non-differentiated appropriations.</w:t>
      </w:r>
    </w:p>
  </w:footnote>
  <w:footnote w:id="76">
    <w:p w14:paraId="7C2B8014" w14:textId="77777777" w:rsidR="00950C34" w:rsidRDefault="00950C34" w:rsidP="00950C34">
      <w:pPr>
        <w:pStyle w:val="FootnoteText"/>
        <w:rPr>
          <w:szCs w:val="24"/>
        </w:rPr>
      </w:pPr>
      <w:r>
        <w:rPr>
          <w:rStyle w:val="FootnoteReference"/>
        </w:rPr>
        <w:footnoteRef/>
      </w:r>
      <w:r>
        <w:tab/>
        <w:t xml:space="preserve">EFTA: European Free Trade Association. </w:t>
      </w:r>
    </w:p>
  </w:footnote>
  <w:footnote w:id="77">
    <w:p w14:paraId="2BDD835E" w14:textId="77777777" w:rsidR="00950C34" w:rsidRDefault="00950C34" w:rsidP="00950C34">
      <w:pPr>
        <w:pStyle w:val="FootnoteText"/>
        <w:rPr>
          <w:szCs w:val="24"/>
        </w:rPr>
      </w:pPr>
      <w:r>
        <w:rPr>
          <w:rStyle w:val="FootnoteReference"/>
        </w:rPr>
        <w:footnoteRef/>
      </w:r>
      <w:r>
        <w:tab/>
        <w:t>Candidate countries and, where applicable, potential candidates from the Western Balkans.</w:t>
      </w:r>
    </w:p>
  </w:footnote>
  <w:footnote w:id="78">
    <w:p w14:paraId="6C05699D" w14:textId="77777777" w:rsidR="00950C34" w:rsidRDefault="00950C34" w:rsidP="00950C34">
      <w:pPr>
        <w:pStyle w:val="FootnoteText"/>
      </w:pPr>
      <w:r w:rsidRPr="00CB7CD3">
        <w:rPr>
          <w:rStyle w:val="FootnoteReference"/>
        </w:rPr>
        <w:footnoteRef/>
      </w:r>
      <w:r w:rsidRPr="007974DD">
        <w:rPr>
          <w:sz w:val="18"/>
          <w:szCs w:val="18"/>
        </w:rPr>
        <w:tab/>
        <w:t xml:space="preserve">Technical and/or administrative assistance and expenditure are not detailed but included in the overall amounts indicated under operational lines. They should roughly correspond to the same percentages compared to administrative lines as the one occurred in the 2021-2024 period.   </w:t>
      </w:r>
    </w:p>
  </w:footnote>
  <w:footnote w:id="79">
    <w:p w14:paraId="26B19C48" w14:textId="77777777" w:rsidR="00950C34" w:rsidRDefault="00950C34" w:rsidP="00950C34">
      <w:pPr>
        <w:pStyle w:val="FootnoteText"/>
      </w:pPr>
      <w:r w:rsidRPr="00CB7CD3">
        <w:rPr>
          <w:rStyle w:val="FootnoteReference"/>
        </w:rPr>
        <w:footnoteRef/>
      </w:r>
      <w:r w:rsidRPr="007974DD">
        <w:rPr>
          <w:sz w:val="18"/>
          <w:szCs w:val="18"/>
        </w:rPr>
        <w:tab/>
        <w:t xml:space="preserve">Technical and/or administrative assistance and expenditure are not detailed but included in the overall amounts indicated under operational lines. They should roughly correspond to the same percentages compared to administrative lines as the one occurred in the 2021-2024 period.   </w:t>
      </w:r>
    </w:p>
  </w:footnote>
  <w:footnote w:id="80">
    <w:p w14:paraId="06C52D88" w14:textId="1D6F4AFC" w:rsidR="00950C34" w:rsidRDefault="00950C34" w:rsidP="00950C34">
      <w:pPr>
        <w:pStyle w:val="FootnoteText"/>
      </w:pPr>
      <w:r w:rsidRPr="005772CD">
        <w:rPr>
          <w:rStyle w:val="FootnoteReference"/>
        </w:rPr>
        <w:footnoteRef/>
      </w:r>
      <w:r w:rsidR="005772CD">
        <w:rPr>
          <w:sz w:val="18"/>
          <w:szCs w:val="18"/>
        </w:rPr>
        <w:tab/>
      </w:r>
      <w:r w:rsidRPr="0E051759">
        <w:rPr>
          <w:sz w:val="18"/>
          <w:szCs w:val="18"/>
        </w:rPr>
        <w:t xml:space="preserve">Technical and/or administrative assistance and expenditure are not detailed but included in the overall amounts indicated under operational lines. They should roughly correspond to the same percentages compared to administrative lines as the one occurred in the 2021-2024 period.   </w:t>
      </w:r>
    </w:p>
  </w:footnote>
  <w:footnote w:id="81">
    <w:p w14:paraId="557076CC" w14:textId="4AD30E1C" w:rsidR="00950C34" w:rsidRDefault="00950C34" w:rsidP="00950C34">
      <w:pPr>
        <w:pStyle w:val="FootnoteText"/>
      </w:pPr>
      <w:r w:rsidRPr="005772CD">
        <w:rPr>
          <w:rStyle w:val="FootnoteReference"/>
        </w:rPr>
        <w:footnoteRef/>
      </w:r>
      <w:r w:rsidR="005772CD">
        <w:rPr>
          <w:sz w:val="18"/>
          <w:szCs w:val="18"/>
        </w:rPr>
        <w:tab/>
      </w:r>
      <w:r w:rsidRPr="07F10CD5">
        <w:rPr>
          <w:sz w:val="18"/>
          <w:szCs w:val="18"/>
        </w:rPr>
        <w:t xml:space="preserve">Technical and/or administrative assistance and expenditure are not detailed but included in the overall amounts indicated under operational lines. They should roughly correspond to the same percentages compared to administrative lines as the one occurred in the 2021-2024 period.   </w:t>
      </w:r>
    </w:p>
  </w:footnote>
  <w:footnote w:id="82">
    <w:p w14:paraId="568A5962" w14:textId="05997AC6" w:rsidR="00950C34" w:rsidRDefault="00950C34" w:rsidP="00950C34">
      <w:pPr>
        <w:pStyle w:val="FootnoteText"/>
      </w:pPr>
      <w:r w:rsidRPr="005772CD">
        <w:rPr>
          <w:rStyle w:val="FootnoteReference"/>
        </w:rPr>
        <w:footnoteRef/>
      </w:r>
      <w:r w:rsidR="005772CD">
        <w:rPr>
          <w:sz w:val="18"/>
          <w:szCs w:val="18"/>
        </w:rPr>
        <w:tab/>
      </w:r>
      <w:r w:rsidRPr="0E051759">
        <w:rPr>
          <w:sz w:val="18"/>
          <w:szCs w:val="18"/>
        </w:rPr>
        <w:t xml:space="preserve">Technical and/or administrative assistance and expenditure are not detailed but included in the overall amounts indicated under operational lines. They should roughly correspond to the same percentages compared to administrative lines as the one occurred in the 2021-2024 period.   </w:t>
      </w:r>
    </w:p>
  </w:footnote>
  <w:footnote w:id="83">
    <w:p w14:paraId="1493E650" w14:textId="77777777" w:rsidR="00950C34" w:rsidRDefault="00950C34" w:rsidP="00950C34">
      <w:pPr>
        <w:pStyle w:val="FootnoteText"/>
        <w:rPr>
          <w:szCs w:val="24"/>
        </w:rPr>
      </w:pPr>
      <w:r>
        <w:rPr>
          <w:rStyle w:val="FootnoteReference"/>
        </w:rPr>
        <w:footnoteRef/>
      </w:r>
      <w:r>
        <w:tab/>
        <w:t>Outputs are products and services to be supplied (e.g.: number of student exchanges financed, number of km of roads built, etc.).</w:t>
      </w:r>
    </w:p>
  </w:footnote>
  <w:footnote w:id="84">
    <w:p w14:paraId="08F73926" w14:textId="77777777" w:rsidR="00950C34" w:rsidRDefault="00950C34" w:rsidP="00950C34">
      <w:pPr>
        <w:pStyle w:val="FootnoteText"/>
        <w:rPr>
          <w:szCs w:val="24"/>
        </w:rPr>
      </w:pPr>
      <w:r>
        <w:rPr>
          <w:rStyle w:val="FootnoteReference"/>
        </w:rPr>
        <w:footnoteRef/>
      </w:r>
      <w:r>
        <w:tab/>
        <w:t xml:space="preserve">As described in point 1.4.2. ‘Specific objective(s)…’ </w:t>
      </w:r>
    </w:p>
  </w:footnote>
  <w:footnote w:id="85">
    <w:p w14:paraId="0F580F1F" w14:textId="77777777" w:rsidR="00950C34" w:rsidRDefault="00950C34" w:rsidP="00950C34">
      <w:pPr>
        <w:pStyle w:val="FootnoteText"/>
      </w:pPr>
      <w:r w:rsidRPr="00CB7CD3">
        <w:rPr>
          <w:rStyle w:val="FootnoteReference"/>
        </w:rPr>
        <w:footnoteRef/>
      </w:r>
      <w:r w:rsidRPr="007974DD">
        <w:rPr>
          <w:sz w:val="18"/>
          <w:szCs w:val="18"/>
        </w:rPr>
        <w:tab/>
        <w:t>Technical and/or administrative assistance and expenditure in support of the implementation of EU programmes and/or actions (former ‘BA’ lines), indirect research, direct research.</w:t>
      </w:r>
    </w:p>
  </w:footnote>
  <w:footnote w:id="86">
    <w:p w14:paraId="4048C119" w14:textId="77777777" w:rsidR="00950C34" w:rsidRDefault="00950C34" w:rsidP="00950C34">
      <w:pPr>
        <w:pStyle w:val="FootnoteText"/>
      </w:pPr>
      <w:r>
        <w:rPr>
          <w:rStyle w:val="FootnoteReference"/>
        </w:rPr>
        <w:footnoteRef/>
      </w:r>
      <w:r>
        <w:tab/>
        <w:t xml:space="preserve">AC= Contract Staff; AL = Local Staff; END= Seconded National Expert; INT = agency staff; JPD= Junior Professionals in Delegations. </w:t>
      </w:r>
    </w:p>
  </w:footnote>
  <w:footnote w:id="87">
    <w:p w14:paraId="4224B5B2" w14:textId="77777777" w:rsidR="00950C34" w:rsidRDefault="00950C34" w:rsidP="00950C34">
      <w:pPr>
        <w:pStyle w:val="FootnoteText"/>
      </w:pPr>
      <w:r>
        <w:rPr>
          <w:rStyle w:val="FootnoteReference"/>
        </w:rPr>
        <w:footnoteRef/>
      </w:r>
      <w:r>
        <w:tab/>
        <w:t>Sub-ceiling for external staff covered by operational appropriations (former ‘BA’ lines).</w:t>
      </w:r>
    </w:p>
  </w:footnote>
  <w:footnote w:id="88">
    <w:p w14:paraId="155B50CC" w14:textId="77777777" w:rsidR="00950C34" w:rsidRDefault="00950C34" w:rsidP="00950C34">
      <w:pPr>
        <w:pStyle w:val="FootnoteText"/>
      </w:pPr>
      <w:r w:rsidRPr="00CB7CD3">
        <w:rPr>
          <w:rStyle w:val="FootnoteReference"/>
        </w:rPr>
        <w:footnoteRef/>
      </w:r>
      <w:r>
        <w:tab/>
        <w:t>Year N is the year in which implementation of the proposal/initiative starts. Please replace "N" by the expected first year of implementation (for instance: 2021). The same for the following years.</w:t>
      </w:r>
    </w:p>
  </w:footnote>
  <w:footnote w:id="89">
    <w:p w14:paraId="6B37617F" w14:textId="77777777" w:rsidR="00950C34" w:rsidRDefault="00950C34" w:rsidP="00950C34">
      <w:pPr>
        <w:pStyle w:val="FootnoteText"/>
        <w:rPr>
          <w:szCs w:val="24"/>
        </w:rPr>
      </w:pPr>
      <w:r>
        <w:rPr>
          <w:rStyle w:val="FootnoteReference"/>
        </w:rPr>
        <w:footnoteRef/>
      </w:r>
      <w:r>
        <w:tab/>
        <w:t xml:space="preserve">As regards traditional own resources (customs duties, sugar levies), the amounts indicated must be net amounts, i.e. gross amounts after deduction of </w:t>
      </w:r>
      <w:r w:rsidRPr="009B753E">
        <w:t>20</w:t>
      </w:r>
      <w:r>
        <w:t> % for collection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F9F70" w14:textId="77777777" w:rsidR="00742C1D" w:rsidRPr="00742C1D" w:rsidRDefault="00742C1D" w:rsidP="00742C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E86C4" w14:textId="77777777" w:rsidR="00742C1D" w:rsidRPr="00742C1D" w:rsidRDefault="00742C1D" w:rsidP="00742C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BC10B" w14:textId="77777777" w:rsidR="00742C1D" w:rsidRPr="00742C1D" w:rsidRDefault="00742C1D" w:rsidP="00742C1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E1229" w14:textId="77777777" w:rsidR="00742C1D" w:rsidRPr="00742C1D" w:rsidRDefault="00742C1D" w:rsidP="00742C1D">
    <w:pPr>
      <w:pStyle w:val="HeaderLandscap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1E0B0" w14:textId="77777777" w:rsidR="00742C1D" w:rsidRPr="00742C1D" w:rsidRDefault="00742C1D" w:rsidP="00742C1D">
    <w:pPr>
      <w:pStyle w:val="HeaderLandscap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1B86B" w14:textId="77777777" w:rsidR="005772CD" w:rsidRPr="005772CD" w:rsidRDefault="005772CD" w:rsidP="00742C1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E371A" w14:textId="77777777" w:rsidR="00742C1D" w:rsidRPr="00742C1D" w:rsidRDefault="00742C1D" w:rsidP="00742C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014AD79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6234FC9A"/>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B094A972"/>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4C1AE50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4880156"/>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A13E4D1C"/>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5D7AA86C"/>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62C6A95"/>
    <w:multiLevelType w:val="singleLevel"/>
    <w:tmpl w:val="02BAFA82"/>
    <w:name w:val="List Bullet 1"/>
    <w:lvl w:ilvl="0">
      <w:start w:val="1"/>
      <w:numFmt w:val="bullet"/>
      <w:pStyle w:val="ListBullet1"/>
      <w:lvlText w:val=""/>
      <w:lvlJc w:val="left"/>
      <w:pPr>
        <w:tabs>
          <w:tab w:val="num" w:pos="1134"/>
        </w:tabs>
        <w:ind w:left="1134" w:hanging="283"/>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2D820C1F"/>
    <w:multiLevelType w:val="singleLevel"/>
    <w:tmpl w:val="7896AADE"/>
    <w:name w:val="List Dash"/>
    <w:lvl w:ilvl="0">
      <w:start w:val="1"/>
      <w:numFmt w:val="bullet"/>
      <w:pStyle w:val="ListDash"/>
      <w:lvlText w:val="–"/>
      <w:lvlJc w:val="left"/>
      <w:pPr>
        <w:tabs>
          <w:tab w:val="num" w:pos="283"/>
        </w:tabs>
        <w:ind w:left="283" w:hanging="283"/>
      </w:pPr>
      <w:rPr>
        <w:rFonts w:ascii="Times New Roman" w:hAnsi="Times New Roman"/>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89D74ED"/>
    <w:multiLevelType w:val="singleLevel"/>
    <w:tmpl w:val="C2E2F936"/>
    <w:name w:val="List Dash 2"/>
    <w:lvl w:ilvl="0">
      <w:start w:val="1"/>
      <w:numFmt w:val="bullet"/>
      <w:pStyle w:val="ListDash2"/>
      <w:lvlText w:val="–"/>
      <w:lvlJc w:val="left"/>
      <w:pPr>
        <w:tabs>
          <w:tab w:val="num" w:pos="1134"/>
        </w:tabs>
        <w:ind w:left="1134" w:hanging="283"/>
      </w:pPr>
      <w:rPr>
        <w:rFonts w:ascii="Times New Roman" w:hAnsi="Times New Roman"/>
      </w:rPr>
    </w:lvl>
  </w:abstractNum>
  <w:abstractNum w:abstractNumId="18" w15:restartNumberingAfterBreak="0">
    <w:nsid w:val="4D0C058A"/>
    <w:multiLevelType w:val="singleLevel"/>
    <w:tmpl w:val="BAE8D90E"/>
    <w:name w:val="List Dash 1"/>
    <w:lvl w:ilvl="0">
      <w:start w:val="1"/>
      <w:numFmt w:val="bullet"/>
      <w:pStyle w:val="ListDash1"/>
      <w:lvlText w:val="–"/>
      <w:lvlJc w:val="left"/>
      <w:pPr>
        <w:tabs>
          <w:tab w:val="num" w:pos="1134"/>
        </w:tabs>
        <w:ind w:left="1134" w:hanging="283"/>
      </w:pPr>
      <w:rPr>
        <w:rFonts w:ascii="Times New Roman" w:hAnsi="Times New Roman"/>
      </w:r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5" w15:restartNumberingAfterBreak="0">
    <w:nsid w:val="71F06166"/>
    <w:multiLevelType w:val="multilevel"/>
    <w:tmpl w:val="C08066D2"/>
    <w:name w:val="0,3405529"/>
    <w:lvl w:ilvl="0">
      <w:start w:val="1"/>
      <w:numFmt w:val="decimal"/>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559441288">
    <w:abstractNumId w:val="6"/>
  </w:num>
  <w:num w:numId="2" w16cid:durableId="2024045776">
    <w:abstractNumId w:val="5"/>
  </w:num>
  <w:num w:numId="3" w16cid:durableId="980378091">
    <w:abstractNumId w:val="4"/>
  </w:num>
  <w:num w:numId="4" w16cid:durableId="863787206">
    <w:abstractNumId w:val="3"/>
  </w:num>
  <w:num w:numId="5" w16cid:durableId="674655079">
    <w:abstractNumId w:val="22"/>
    <w:lvlOverride w:ilvl="0">
      <w:startOverride w:val="1"/>
    </w:lvlOverride>
  </w:num>
  <w:num w:numId="6" w16cid:durableId="14306865">
    <w:abstractNumId w:val="22"/>
    <w:lvlOverride w:ilvl="0">
      <w:startOverride w:val="1"/>
    </w:lvlOverride>
  </w:num>
  <w:num w:numId="7" w16cid:durableId="46806723">
    <w:abstractNumId w:val="22"/>
    <w:lvlOverride w:ilvl="0">
      <w:startOverride w:val="1"/>
    </w:lvlOverride>
  </w:num>
  <w:num w:numId="8" w16cid:durableId="235895570">
    <w:abstractNumId w:val="22"/>
    <w:lvlOverride w:ilvl="0">
      <w:startOverride w:val="1"/>
    </w:lvlOverride>
  </w:num>
  <w:num w:numId="9" w16cid:durableId="611131581">
    <w:abstractNumId w:val="22"/>
    <w:lvlOverride w:ilvl="0">
      <w:startOverride w:val="1"/>
    </w:lvlOverride>
  </w:num>
  <w:num w:numId="10" w16cid:durableId="52699676">
    <w:abstractNumId w:val="7"/>
  </w:num>
  <w:num w:numId="11" w16cid:durableId="342128951">
    <w:abstractNumId w:val="12"/>
  </w:num>
  <w:num w:numId="12" w16cid:durableId="102845761">
    <w:abstractNumId w:val="18"/>
  </w:num>
  <w:num w:numId="13" w16cid:durableId="12805817">
    <w:abstractNumId w:val="17"/>
  </w:num>
  <w:num w:numId="14" w16cid:durableId="680090094">
    <w:abstractNumId w:val="25"/>
  </w:num>
  <w:num w:numId="15" w16cid:durableId="1828202201">
    <w:abstractNumId w:val="2"/>
  </w:num>
  <w:num w:numId="16" w16cid:durableId="822236400">
    <w:abstractNumId w:val="1"/>
  </w:num>
  <w:num w:numId="17" w16cid:durableId="566262886">
    <w:abstractNumId w:val="0"/>
  </w:num>
  <w:num w:numId="18" w16cid:durableId="474688450">
    <w:abstractNumId w:val="22"/>
  </w:num>
  <w:num w:numId="19" w16cid:durableId="1300115121">
    <w:abstractNumId w:val="13"/>
  </w:num>
  <w:num w:numId="20" w16cid:durableId="657684413">
    <w:abstractNumId w:val="24"/>
  </w:num>
  <w:num w:numId="21" w16cid:durableId="1242250910">
    <w:abstractNumId w:val="11"/>
  </w:num>
  <w:num w:numId="22" w16cid:durableId="1281187003">
    <w:abstractNumId w:val="14"/>
  </w:num>
  <w:num w:numId="23" w16cid:durableId="1627662909">
    <w:abstractNumId w:val="15"/>
  </w:num>
  <w:num w:numId="24" w16cid:durableId="1138377589">
    <w:abstractNumId w:val="9"/>
  </w:num>
  <w:num w:numId="25" w16cid:durableId="813717245">
    <w:abstractNumId w:val="23"/>
  </w:num>
  <w:num w:numId="26" w16cid:durableId="1584487956">
    <w:abstractNumId w:val="8"/>
  </w:num>
  <w:num w:numId="27" w16cid:durableId="107162638">
    <w:abstractNumId w:val="16"/>
  </w:num>
  <w:num w:numId="28" w16cid:durableId="509299229">
    <w:abstractNumId w:val="20"/>
  </w:num>
  <w:num w:numId="29" w16cid:durableId="568657671">
    <w:abstractNumId w:val="21"/>
  </w:num>
  <w:num w:numId="30" w16cid:durableId="446196604">
    <w:abstractNumId w:val="10"/>
  </w:num>
  <w:num w:numId="31" w16cid:durableId="427702061">
    <w:abstractNumId w:val="19"/>
  </w:num>
  <w:num w:numId="32" w16cid:durableId="1949463586">
    <w:abstractNumId w:val="2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attachedTemplate r:id="rId1"/>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R_RefLast" w:val="0"/>
    <w:docVar w:name="DQCDateTime" w:val="2023-06-20 11:43:01"/>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9753D022-105D-4279-9DE7-DD386D4E9EE8"/>
    <w:docVar w:name="LW_COVERPAGE_TYPE" w:val="1"/>
    <w:docVar w:name="LW_CROSSREFERENCE" w:val="&lt;UNUSED&gt;"/>
    <w:docVar w:name="LW_DocType" w:val="COM"/>
    <w:docVar w:name="LW_EMISSION" w:val="20.6.2023"/>
    <w:docVar w:name="LW_EMISSION_ISODATE" w:val="2023-06-20"/>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199"/>
    <w:docVar w:name="LW_REF.II.NEW.CP_YEAR" w:val="2023"/>
    <w:docVar w:name="LW_REF.INST.NEW" w:val="COM"/>
    <w:docVar w:name="LW_REF.INST.NEW_ADOPTED" w:val="final"/>
    <w:docVar w:name="LW_REF.INST.NEW_TEXT" w:val="(2023) 335"/>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establishing the Strategic Technologies for Europe Platform (\u8216?STEP\u8217?) and amending Directive 2003/87/EC, Regulations (EU) 2021/1058, (EU) 2021/1056, (EU) 2021/1057, (EU) No 1303/2013, (EU) No 223/2014, (EU) 2021/1060, (EU) 2021/523, (EU) 2021/695, (EU) 2021/697 and (EU) 2021/241"/>
    <w:docVar w:name="LW_TYPE.DOC.CP" w:val="REGULATION OF THE EUROPEAN PARLIAMENT AND OF THE COUNCIL"/>
    <w:docVar w:name="LwApiVersions" w:val="LW4CoDe 1.23.2.0; LW 8.0, Build 20211117"/>
  </w:docVars>
  <w:rsids>
    <w:rsidRoot w:val="002C7991"/>
    <w:rsid w:val="00000429"/>
    <w:rsid w:val="00000B8A"/>
    <w:rsid w:val="00001B2B"/>
    <w:rsid w:val="00001CD4"/>
    <w:rsid w:val="00001DF9"/>
    <w:rsid w:val="0000217F"/>
    <w:rsid w:val="000024E1"/>
    <w:rsid w:val="0000285D"/>
    <w:rsid w:val="00003062"/>
    <w:rsid w:val="0000336F"/>
    <w:rsid w:val="000039AF"/>
    <w:rsid w:val="00003BD6"/>
    <w:rsid w:val="00004244"/>
    <w:rsid w:val="00004462"/>
    <w:rsid w:val="000046D6"/>
    <w:rsid w:val="00004729"/>
    <w:rsid w:val="00004FFA"/>
    <w:rsid w:val="000052FD"/>
    <w:rsid w:val="00005679"/>
    <w:rsid w:val="000056A4"/>
    <w:rsid w:val="0000577A"/>
    <w:rsid w:val="00005889"/>
    <w:rsid w:val="00005B0B"/>
    <w:rsid w:val="00005BB5"/>
    <w:rsid w:val="00005D7D"/>
    <w:rsid w:val="00005D92"/>
    <w:rsid w:val="00005DD9"/>
    <w:rsid w:val="000060F2"/>
    <w:rsid w:val="00006AAC"/>
    <w:rsid w:val="00006BB9"/>
    <w:rsid w:val="00007CCA"/>
    <w:rsid w:val="00010E08"/>
    <w:rsid w:val="000110DD"/>
    <w:rsid w:val="000110F9"/>
    <w:rsid w:val="000115EF"/>
    <w:rsid w:val="00011A98"/>
    <w:rsid w:val="0001215B"/>
    <w:rsid w:val="000125BB"/>
    <w:rsid w:val="00012631"/>
    <w:rsid w:val="000127FA"/>
    <w:rsid w:val="000129EB"/>
    <w:rsid w:val="000129FE"/>
    <w:rsid w:val="00012DCD"/>
    <w:rsid w:val="0001327C"/>
    <w:rsid w:val="0001328A"/>
    <w:rsid w:val="00014440"/>
    <w:rsid w:val="00014601"/>
    <w:rsid w:val="00014892"/>
    <w:rsid w:val="00015E5B"/>
    <w:rsid w:val="00016BE0"/>
    <w:rsid w:val="00016FE6"/>
    <w:rsid w:val="00017232"/>
    <w:rsid w:val="0001729D"/>
    <w:rsid w:val="000173FA"/>
    <w:rsid w:val="00017B81"/>
    <w:rsid w:val="000206AF"/>
    <w:rsid w:val="00020F23"/>
    <w:rsid w:val="00021625"/>
    <w:rsid w:val="00021D6F"/>
    <w:rsid w:val="00021F6E"/>
    <w:rsid w:val="000223E9"/>
    <w:rsid w:val="00022477"/>
    <w:rsid w:val="00022D3D"/>
    <w:rsid w:val="00022E92"/>
    <w:rsid w:val="000233AE"/>
    <w:rsid w:val="00023B2F"/>
    <w:rsid w:val="000244E4"/>
    <w:rsid w:val="00024703"/>
    <w:rsid w:val="00024770"/>
    <w:rsid w:val="00024F7C"/>
    <w:rsid w:val="00025010"/>
    <w:rsid w:val="000250C3"/>
    <w:rsid w:val="0002537E"/>
    <w:rsid w:val="000254AF"/>
    <w:rsid w:val="000256B4"/>
    <w:rsid w:val="000256E9"/>
    <w:rsid w:val="0002581C"/>
    <w:rsid w:val="00025E93"/>
    <w:rsid w:val="00026DAB"/>
    <w:rsid w:val="00026E1B"/>
    <w:rsid w:val="00026EF8"/>
    <w:rsid w:val="00026F2D"/>
    <w:rsid w:val="00027297"/>
    <w:rsid w:val="0002744D"/>
    <w:rsid w:val="00027750"/>
    <w:rsid w:val="00027996"/>
    <w:rsid w:val="00027AE6"/>
    <w:rsid w:val="00027C0B"/>
    <w:rsid w:val="00027ECA"/>
    <w:rsid w:val="0003027A"/>
    <w:rsid w:val="0003030D"/>
    <w:rsid w:val="0003052D"/>
    <w:rsid w:val="00030662"/>
    <w:rsid w:val="000307AD"/>
    <w:rsid w:val="000309D5"/>
    <w:rsid w:val="00030EAF"/>
    <w:rsid w:val="00030FC8"/>
    <w:rsid w:val="0003101E"/>
    <w:rsid w:val="000313CA"/>
    <w:rsid w:val="0003236E"/>
    <w:rsid w:val="00032AD8"/>
    <w:rsid w:val="00032B23"/>
    <w:rsid w:val="0003301E"/>
    <w:rsid w:val="0003306D"/>
    <w:rsid w:val="00033CD9"/>
    <w:rsid w:val="00033FE8"/>
    <w:rsid w:val="00034033"/>
    <w:rsid w:val="0003473F"/>
    <w:rsid w:val="00034B8F"/>
    <w:rsid w:val="00035259"/>
    <w:rsid w:val="0003525B"/>
    <w:rsid w:val="00035488"/>
    <w:rsid w:val="000354C5"/>
    <w:rsid w:val="000354D2"/>
    <w:rsid w:val="000358A1"/>
    <w:rsid w:val="000359CE"/>
    <w:rsid w:val="00035CF3"/>
    <w:rsid w:val="00035FD9"/>
    <w:rsid w:val="00036355"/>
    <w:rsid w:val="000364E0"/>
    <w:rsid w:val="000365A8"/>
    <w:rsid w:val="0003677D"/>
    <w:rsid w:val="000368EE"/>
    <w:rsid w:val="00036D92"/>
    <w:rsid w:val="00036F31"/>
    <w:rsid w:val="0003721B"/>
    <w:rsid w:val="0003727C"/>
    <w:rsid w:val="00037817"/>
    <w:rsid w:val="00037A30"/>
    <w:rsid w:val="00040305"/>
    <w:rsid w:val="00040332"/>
    <w:rsid w:val="00040906"/>
    <w:rsid w:val="00040A70"/>
    <w:rsid w:val="00040C78"/>
    <w:rsid w:val="00041137"/>
    <w:rsid w:val="0004115F"/>
    <w:rsid w:val="000411AF"/>
    <w:rsid w:val="0004161D"/>
    <w:rsid w:val="00041897"/>
    <w:rsid w:val="00041A4F"/>
    <w:rsid w:val="000420BE"/>
    <w:rsid w:val="000422C0"/>
    <w:rsid w:val="00042AD3"/>
    <w:rsid w:val="00042B8E"/>
    <w:rsid w:val="00042CB0"/>
    <w:rsid w:val="00042CDE"/>
    <w:rsid w:val="0004387D"/>
    <w:rsid w:val="00043A0B"/>
    <w:rsid w:val="00043A6C"/>
    <w:rsid w:val="00043BEE"/>
    <w:rsid w:val="00043DD9"/>
    <w:rsid w:val="000441B3"/>
    <w:rsid w:val="0004432E"/>
    <w:rsid w:val="00044A34"/>
    <w:rsid w:val="00044F00"/>
    <w:rsid w:val="00045596"/>
    <w:rsid w:val="000457BC"/>
    <w:rsid w:val="00045AAE"/>
    <w:rsid w:val="00045DD3"/>
    <w:rsid w:val="000462EF"/>
    <w:rsid w:val="00046416"/>
    <w:rsid w:val="000466A0"/>
    <w:rsid w:val="000466D9"/>
    <w:rsid w:val="00046980"/>
    <w:rsid w:val="00046D47"/>
    <w:rsid w:val="00047025"/>
    <w:rsid w:val="00047105"/>
    <w:rsid w:val="00047229"/>
    <w:rsid w:val="00047655"/>
    <w:rsid w:val="0004777C"/>
    <w:rsid w:val="000477BA"/>
    <w:rsid w:val="0005014D"/>
    <w:rsid w:val="000501B5"/>
    <w:rsid w:val="0005041C"/>
    <w:rsid w:val="00050A1B"/>
    <w:rsid w:val="00050BDD"/>
    <w:rsid w:val="00050F67"/>
    <w:rsid w:val="00050FE7"/>
    <w:rsid w:val="000512F2"/>
    <w:rsid w:val="00051637"/>
    <w:rsid w:val="00051DC4"/>
    <w:rsid w:val="0005251C"/>
    <w:rsid w:val="00052E60"/>
    <w:rsid w:val="00052F5B"/>
    <w:rsid w:val="00052FF9"/>
    <w:rsid w:val="00053174"/>
    <w:rsid w:val="00053796"/>
    <w:rsid w:val="00053A26"/>
    <w:rsid w:val="000540BE"/>
    <w:rsid w:val="00054846"/>
    <w:rsid w:val="00054D38"/>
    <w:rsid w:val="0005569D"/>
    <w:rsid w:val="0005580E"/>
    <w:rsid w:val="00055826"/>
    <w:rsid w:val="00055AD5"/>
    <w:rsid w:val="000561A3"/>
    <w:rsid w:val="00056577"/>
    <w:rsid w:val="00056903"/>
    <w:rsid w:val="0005690B"/>
    <w:rsid w:val="00056939"/>
    <w:rsid w:val="00056C90"/>
    <w:rsid w:val="00056E9F"/>
    <w:rsid w:val="000571C4"/>
    <w:rsid w:val="0005743C"/>
    <w:rsid w:val="00057E64"/>
    <w:rsid w:val="00057EC9"/>
    <w:rsid w:val="00060505"/>
    <w:rsid w:val="00060C8F"/>
    <w:rsid w:val="0006104A"/>
    <w:rsid w:val="0006135B"/>
    <w:rsid w:val="000615AF"/>
    <w:rsid w:val="00061814"/>
    <w:rsid w:val="00061864"/>
    <w:rsid w:val="00061E98"/>
    <w:rsid w:val="0006271D"/>
    <w:rsid w:val="00062735"/>
    <w:rsid w:val="00062882"/>
    <w:rsid w:val="00062A17"/>
    <w:rsid w:val="00062A74"/>
    <w:rsid w:val="00063441"/>
    <w:rsid w:val="0006377A"/>
    <w:rsid w:val="00063ECE"/>
    <w:rsid w:val="00064294"/>
    <w:rsid w:val="0006432E"/>
    <w:rsid w:val="000643B5"/>
    <w:rsid w:val="0006482A"/>
    <w:rsid w:val="00064864"/>
    <w:rsid w:val="00064D29"/>
    <w:rsid w:val="00065494"/>
    <w:rsid w:val="000659CA"/>
    <w:rsid w:val="00065E5F"/>
    <w:rsid w:val="00066A48"/>
    <w:rsid w:val="00066B56"/>
    <w:rsid w:val="00066D6A"/>
    <w:rsid w:val="0006700B"/>
    <w:rsid w:val="000670CD"/>
    <w:rsid w:val="0006724A"/>
    <w:rsid w:val="00067875"/>
    <w:rsid w:val="00067924"/>
    <w:rsid w:val="000706CF"/>
    <w:rsid w:val="00070AB4"/>
    <w:rsid w:val="00070F5A"/>
    <w:rsid w:val="00071391"/>
    <w:rsid w:val="0007180C"/>
    <w:rsid w:val="000718F6"/>
    <w:rsid w:val="00071B85"/>
    <w:rsid w:val="00071C1F"/>
    <w:rsid w:val="00071F8E"/>
    <w:rsid w:val="000721B2"/>
    <w:rsid w:val="0007275C"/>
    <w:rsid w:val="00072A30"/>
    <w:rsid w:val="00072AA8"/>
    <w:rsid w:val="00072C73"/>
    <w:rsid w:val="00072DA1"/>
    <w:rsid w:val="00072EDE"/>
    <w:rsid w:val="00072F76"/>
    <w:rsid w:val="00073ABE"/>
    <w:rsid w:val="00073CBE"/>
    <w:rsid w:val="00073D23"/>
    <w:rsid w:val="00073D5F"/>
    <w:rsid w:val="00073E5F"/>
    <w:rsid w:val="00073F03"/>
    <w:rsid w:val="00073F85"/>
    <w:rsid w:val="00074614"/>
    <w:rsid w:val="00074BEB"/>
    <w:rsid w:val="0007503E"/>
    <w:rsid w:val="00075177"/>
    <w:rsid w:val="000751AB"/>
    <w:rsid w:val="00075867"/>
    <w:rsid w:val="00075FB7"/>
    <w:rsid w:val="000760BA"/>
    <w:rsid w:val="00076207"/>
    <w:rsid w:val="000765B5"/>
    <w:rsid w:val="00076889"/>
    <w:rsid w:val="00076B39"/>
    <w:rsid w:val="000774E5"/>
    <w:rsid w:val="0007777C"/>
    <w:rsid w:val="00077848"/>
    <w:rsid w:val="00077875"/>
    <w:rsid w:val="000778A0"/>
    <w:rsid w:val="000778DE"/>
    <w:rsid w:val="00077CBD"/>
    <w:rsid w:val="00077FC8"/>
    <w:rsid w:val="000801A5"/>
    <w:rsid w:val="0008027C"/>
    <w:rsid w:val="00080434"/>
    <w:rsid w:val="0008055A"/>
    <w:rsid w:val="00080665"/>
    <w:rsid w:val="00080725"/>
    <w:rsid w:val="00080776"/>
    <w:rsid w:val="00080849"/>
    <w:rsid w:val="0008095A"/>
    <w:rsid w:val="00080D32"/>
    <w:rsid w:val="00080E40"/>
    <w:rsid w:val="000816E6"/>
    <w:rsid w:val="00081739"/>
    <w:rsid w:val="00081CB7"/>
    <w:rsid w:val="00081D8B"/>
    <w:rsid w:val="00082640"/>
    <w:rsid w:val="00082758"/>
    <w:rsid w:val="0008288F"/>
    <w:rsid w:val="00082DAF"/>
    <w:rsid w:val="00082E1A"/>
    <w:rsid w:val="00082F58"/>
    <w:rsid w:val="000833B9"/>
    <w:rsid w:val="000834F8"/>
    <w:rsid w:val="000835B4"/>
    <w:rsid w:val="0008394C"/>
    <w:rsid w:val="00083954"/>
    <w:rsid w:val="00083A54"/>
    <w:rsid w:val="00083E62"/>
    <w:rsid w:val="00084046"/>
    <w:rsid w:val="0008418D"/>
    <w:rsid w:val="0008420B"/>
    <w:rsid w:val="00084218"/>
    <w:rsid w:val="000847C0"/>
    <w:rsid w:val="00084AFE"/>
    <w:rsid w:val="00084C03"/>
    <w:rsid w:val="00084D1D"/>
    <w:rsid w:val="00085452"/>
    <w:rsid w:val="00085AEF"/>
    <w:rsid w:val="00085F3C"/>
    <w:rsid w:val="00086594"/>
    <w:rsid w:val="00086676"/>
    <w:rsid w:val="0008674E"/>
    <w:rsid w:val="000869CD"/>
    <w:rsid w:val="00086A9A"/>
    <w:rsid w:val="00086D44"/>
    <w:rsid w:val="00086DAB"/>
    <w:rsid w:val="00086DF8"/>
    <w:rsid w:val="00087068"/>
    <w:rsid w:val="000873AD"/>
    <w:rsid w:val="00087CA8"/>
    <w:rsid w:val="00087DCF"/>
    <w:rsid w:val="00087F38"/>
    <w:rsid w:val="00090145"/>
    <w:rsid w:val="00090335"/>
    <w:rsid w:val="00090441"/>
    <w:rsid w:val="000904E9"/>
    <w:rsid w:val="000906D6"/>
    <w:rsid w:val="00090E4E"/>
    <w:rsid w:val="00091178"/>
    <w:rsid w:val="00091372"/>
    <w:rsid w:val="00091423"/>
    <w:rsid w:val="00091703"/>
    <w:rsid w:val="00091CCE"/>
    <w:rsid w:val="0009279B"/>
    <w:rsid w:val="000927A8"/>
    <w:rsid w:val="000928A7"/>
    <w:rsid w:val="00092A35"/>
    <w:rsid w:val="00092FF7"/>
    <w:rsid w:val="000930C5"/>
    <w:rsid w:val="00093135"/>
    <w:rsid w:val="00094174"/>
    <w:rsid w:val="00094293"/>
    <w:rsid w:val="00094502"/>
    <w:rsid w:val="000949D2"/>
    <w:rsid w:val="0009508B"/>
    <w:rsid w:val="00095981"/>
    <w:rsid w:val="00095AFE"/>
    <w:rsid w:val="000961F1"/>
    <w:rsid w:val="00096481"/>
    <w:rsid w:val="000967D6"/>
    <w:rsid w:val="000978FB"/>
    <w:rsid w:val="00097ABF"/>
    <w:rsid w:val="00097CC6"/>
    <w:rsid w:val="00097EE7"/>
    <w:rsid w:val="000A0446"/>
    <w:rsid w:val="000A0839"/>
    <w:rsid w:val="000A0BCE"/>
    <w:rsid w:val="000A11CE"/>
    <w:rsid w:val="000A12B7"/>
    <w:rsid w:val="000A16DF"/>
    <w:rsid w:val="000A1748"/>
    <w:rsid w:val="000A1C16"/>
    <w:rsid w:val="000A2447"/>
    <w:rsid w:val="000A28CA"/>
    <w:rsid w:val="000A2CDD"/>
    <w:rsid w:val="000A306B"/>
    <w:rsid w:val="000A353D"/>
    <w:rsid w:val="000A36A1"/>
    <w:rsid w:val="000A37BF"/>
    <w:rsid w:val="000A38AA"/>
    <w:rsid w:val="000A395D"/>
    <w:rsid w:val="000A4378"/>
    <w:rsid w:val="000A4EFF"/>
    <w:rsid w:val="000A502A"/>
    <w:rsid w:val="000A55D9"/>
    <w:rsid w:val="000A56A2"/>
    <w:rsid w:val="000A579B"/>
    <w:rsid w:val="000A5B08"/>
    <w:rsid w:val="000A63D4"/>
    <w:rsid w:val="000A6745"/>
    <w:rsid w:val="000A6B40"/>
    <w:rsid w:val="000A7ECA"/>
    <w:rsid w:val="000B066C"/>
    <w:rsid w:val="000B0964"/>
    <w:rsid w:val="000B18D2"/>
    <w:rsid w:val="000B1C0D"/>
    <w:rsid w:val="000B1CD6"/>
    <w:rsid w:val="000B1F31"/>
    <w:rsid w:val="000B26AB"/>
    <w:rsid w:val="000B26BD"/>
    <w:rsid w:val="000B27B8"/>
    <w:rsid w:val="000B2F1D"/>
    <w:rsid w:val="000B2F39"/>
    <w:rsid w:val="000B352A"/>
    <w:rsid w:val="000B3546"/>
    <w:rsid w:val="000B3788"/>
    <w:rsid w:val="000B3869"/>
    <w:rsid w:val="000B3ABF"/>
    <w:rsid w:val="000B3AD0"/>
    <w:rsid w:val="000B3BB2"/>
    <w:rsid w:val="000B3C90"/>
    <w:rsid w:val="000B3CA5"/>
    <w:rsid w:val="000B3CBB"/>
    <w:rsid w:val="000B3ED4"/>
    <w:rsid w:val="000B435E"/>
    <w:rsid w:val="000B45B1"/>
    <w:rsid w:val="000B55AC"/>
    <w:rsid w:val="000B56B9"/>
    <w:rsid w:val="000B584A"/>
    <w:rsid w:val="000B5C98"/>
    <w:rsid w:val="000B615A"/>
    <w:rsid w:val="000B69ED"/>
    <w:rsid w:val="000B700F"/>
    <w:rsid w:val="000B70D7"/>
    <w:rsid w:val="000B72DE"/>
    <w:rsid w:val="000B78A0"/>
    <w:rsid w:val="000C0265"/>
    <w:rsid w:val="000C032A"/>
    <w:rsid w:val="000C05B6"/>
    <w:rsid w:val="000C093C"/>
    <w:rsid w:val="000C0B0B"/>
    <w:rsid w:val="000C0B5F"/>
    <w:rsid w:val="000C0DDF"/>
    <w:rsid w:val="000C0E88"/>
    <w:rsid w:val="000C122C"/>
    <w:rsid w:val="000C1745"/>
    <w:rsid w:val="000C1A07"/>
    <w:rsid w:val="000C1E14"/>
    <w:rsid w:val="000C2042"/>
    <w:rsid w:val="000C277F"/>
    <w:rsid w:val="000C2EEE"/>
    <w:rsid w:val="000C30E0"/>
    <w:rsid w:val="000C32DB"/>
    <w:rsid w:val="000C38BC"/>
    <w:rsid w:val="000C39C6"/>
    <w:rsid w:val="000C3D34"/>
    <w:rsid w:val="000C4135"/>
    <w:rsid w:val="000C41F4"/>
    <w:rsid w:val="000C42A0"/>
    <w:rsid w:val="000C4660"/>
    <w:rsid w:val="000C475F"/>
    <w:rsid w:val="000C4CAD"/>
    <w:rsid w:val="000C4FDC"/>
    <w:rsid w:val="000C5103"/>
    <w:rsid w:val="000C556F"/>
    <w:rsid w:val="000C5D25"/>
    <w:rsid w:val="000C5E76"/>
    <w:rsid w:val="000C620E"/>
    <w:rsid w:val="000C6596"/>
    <w:rsid w:val="000C691C"/>
    <w:rsid w:val="000C71B1"/>
    <w:rsid w:val="000C75BA"/>
    <w:rsid w:val="000C787A"/>
    <w:rsid w:val="000C7D69"/>
    <w:rsid w:val="000D05C5"/>
    <w:rsid w:val="000D0CCD"/>
    <w:rsid w:val="000D10BC"/>
    <w:rsid w:val="000D11DA"/>
    <w:rsid w:val="000D1210"/>
    <w:rsid w:val="000D1482"/>
    <w:rsid w:val="000D1AF3"/>
    <w:rsid w:val="000D1D5E"/>
    <w:rsid w:val="000D20FD"/>
    <w:rsid w:val="000D26BB"/>
    <w:rsid w:val="000D2774"/>
    <w:rsid w:val="000D2D75"/>
    <w:rsid w:val="000D35C2"/>
    <w:rsid w:val="000D36B2"/>
    <w:rsid w:val="000D3ED3"/>
    <w:rsid w:val="000D420B"/>
    <w:rsid w:val="000D4A8C"/>
    <w:rsid w:val="000D5229"/>
    <w:rsid w:val="000D5485"/>
    <w:rsid w:val="000D57E9"/>
    <w:rsid w:val="000D5926"/>
    <w:rsid w:val="000D5C10"/>
    <w:rsid w:val="000D5D7C"/>
    <w:rsid w:val="000D639F"/>
    <w:rsid w:val="000D742C"/>
    <w:rsid w:val="000D750F"/>
    <w:rsid w:val="000D7B5F"/>
    <w:rsid w:val="000D7DD9"/>
    <w:rsid w:val="000E00B6"/>
    <w:rsid w:val="000E01E3"/>
    <w:rsid w:val="000E0204"/>
    <w:rsid w:val="000E0286"/>
    <w:rsid w:val="000E0337"/>
    <w:rsid w:val="000E0AA4"/>
    <w:rsid w:val="000E0BCD"/>
    <w:rsid w:val="000E0C44"/>
    <w:rsid w:val="000E163B"/>
    <w:rsid w:val="000E1CCF"/>
    <w:rsid w:val="000E2C87"/>
    <w:rsid w:val="000E3BB7"/>
    <w:rsid w:val="000E3CCC"/>
    <w:rsid w:val="000E40B0"/>
    <w:rsid w:val="000E43BC"/>
    <w:rsid w:val="000E440E"/>
    <w:rsid w:val="000E4957"/>
    <w:rsid w:val="000E508A"/>
    <w:rsid w:val="000E53A1"/>
    <w:rsid w:val="000E56C5"/>
    <w:rsid w:val="000E59D2"/>
    <w:rsid w:val="000E6029"/>
    <w:rsid w:val="000E6401"/>
    <w:rsid w:val="000E68A2"/>
    <w:rsid w:val="000E6A58"/>
    <w:rsid w:val="000E6BDB"/>
    <w:rsid w:val="000E73E2"/>
    <w:rsid w:val="000E7475"/>
    <w:rsid w:val="000E7B31"/>
    <w:rsid w:val="000E7CD3"/>
    <w:rsid w:val="000E7DD6"/>
    <w:rsid w:val="000E7F86"/>
    <w:rsid w:val="000F021C"/>
    <w:rsid w:val="000F047B"/>
    <w:rsid w:val="000F0C92"/>
    <w:rsid w:val="000F0D73"/>
    <w:rsid w:val="000F0DB5"/>
    <w:rsid w:val="000F0E26"/>
    <w:rsid w:val="000F106E"/>
    <w:rsid w:val="000F12A6"/>
    <w:rsid w:val="000F1594"/>
    <w:rsid w:val="000F1ADF"/>
    <w:rsid w:val="000F1BBC"/>
    <w:rsid w:val="000F21F8"/>
    <w:rsid w:val="000F2306"/>
    <w:rsid w:val="000F24A3"/>
    <w:rsid w:val="000F2721"/>
    <w:rsid w:val="000F2AAE"/>
    <w:rsid w:val="000F2D9D"/>
    <w:rsid w:val="000F370D"/>
    <w:rsid w:val="000F3A41"/>
    <w:rsid w:val="000F3DDC"/>
    <w:rsid w:val="000F3F08"/>
    <w:rsid w:val="000F42FB"/>
    <w:rsid w:val="000F47C3"/>
    <w:rsid w:val="000F506A"/>
    <w:rsid w:val="000F51CE"/>
    <w:rsid w:val="000F5299"/>
    <w:rsid w:val="000F536A"/>
    <w:rsid w:val="000F53B5"/>
    <w:rsid w:val="000F61F5"/>
    <w:rsid w:val="000F6415"/>
    <w:rsid w:val="000F6815"/>
    <w:rsid w:val="000F6A5A"/>
    <w:rsid w:val="000F7F34"/>
    <w:rsid w:val="000F7F4C"/>
    <w:rsid w:val="00100216"/>
    <w:rsid w:val="001004FA"/>
    <w:rsid w:val="0010090D"/>
    <w:rsid w:val="00100C0E"/>
    <w:rsid w:val="00100D0A"/>
    <w:rsid w:val="00100E77"/>
    <w:rsid w:val="00101C11"/>
    <w:rsid w:val="00102222"/>
    <w:rsid w:val="0010294F"/>
    <w:rsid w:val="00102B47"/>
    <w:rsid w:val="00102F6B"/>
    <w:rsid w:val="00103174"/>
    <w:rsid w:val="00103DB0"/>
    <w:rsid w:val="0010407C"/>
    <w:rsid w:val="00104620"/>
    <w:rsid w:val="00104B05"/>
    <w:rsid w:val="00104D29"/>
    <w:rsid w:val="00104F15"/>
    <w:rsid w:val="0010506E"/>
    <w:rsid w:val="001056EB"/>
    <w:rsid w:val="00105894"/>
    <w:rsid w:val="00105B5E"/>
    <w:rsid w:val="0010605E"/>
    <w:rsid w:val="0010677F"/>
    <w:rsid w:val="00106C95"/>
    <w:rsid w:val="00106D44"/>
    <w:rsid w:val="00107B8C"/>
    <w:rsid w:val="00107BA1"/>
    <w:rsid w:val="00107D10"/>
    <w:rsid w:val="001100FF"/>
    <w:rsid w:val="001102E9"/>
    <w:rsid w:val="00110325"/>
    <w:rsid w:val="001107F5"/>
    <w:rsid w:val="00111870"/>
    <w:rsid w:val="001120CE"/>
    <w:rsid w:val="00112319"/>
    <w:rsid w:val="00112549"/>
    <w:rsid w:val="001126D0"/>
    <w:rsid w:val="00112713"/>
    <w:rsid w:val="00112B01"/>
    <w:rsid w:val="00112E9A"/>
    <w:rsid w:val="00113A1F"/>
    <w:rsid w:val="00113AF3"/>
    <w:rsid w:val="00113B42"/>
    <w:rsid w:val="00113B6D"/>
    <w:rsid w:val="00113E65"/>
    <w:rsid w:val="00114913"/>
    <w:rsid w:val="00114B97"/>
    <w:rsid w:val="00114CFE"/>
    <w:rsid w:val="00114E9C"/>
    <w:rsid w:val="0011528F"/>
    <w:rsid w:val="00115527"/>
    <w:rsid w:val="00115A29"/>
    <w:rsid w:val="00115F35"/>
    <w:rsid w:val="00116336"/>
    <w:rsid w:val="00116592"/>
    <w:rsid w:val="00116630"/>
    <w:rsid w:val="00116B3F"/>
    <w:rsid w:val="00116D0B"/>
    <w:rsid w:val="0011717B"/>
    <w:rsid w:val="00117690"/>
    <w:rsid w:val="00117797"/>
    <w:rsid w:val="00117960"/>
    <w:rsid w:val="00117B4E"/>
    <w:rsid w:val="001202EE"/>
    <w:rsid w:val="0012066C"/>
    <w:rsid w:val="001208EC"/>
    <w:rsid w:val="0012092D"/>
    <w:rsid w:val="00120FDE"/>
    <w:rsid w:val="00121358"/>
    <w:rsid w:val="00121419"/>
    <w:rsid w:val="001215A5"/>
    <w:rsid w:val="00121942"/>
    <w:rsid w:val="00121DBE"/>
    <w:rsid w:val="00122013"/>
    <w:rsid w:val="001225B6"/>
    <w:rsid w:val="0012308A"/>
    <w:rsid w:val="001230DE"/>
    <w:rsid w:val="0012319B"/>
    <w:rsid w:val="001234A9"/>
    <w:rsid w:val="00123B12"/>
    <w:rsid w:val="0012490C"/>
    <w:rsid w:val="00125133"/>
    <w:rsid w:val="001251CF"/>
    <w:rsid w:val="00125901"/>
    <w:rsid w:val="0012596B"/>
    <w:rsid w:val="00125BF4"/>
    <w:rsid w:val="00125D45"/>
    <w:rsid w:val="0012608A"/>
    <w:rsid w:val="001262C0"/>
    <w:rsid w:val="001264D3"/>
    <w:rsid w:val="00126685"/>
    <w:rsid w:val="00126B4F"/>
    <w:rsid w:val="00126F70"/>
    <w:rsid w:val="0012715A"/>
    <w:rsid w:val="00127242"/>
    <w:rsid w:val="00127269"/>
    <w:rsid w:val="00127CF5"/>
    <w:rsid w:val="001300D3"/>
    <w:rsid w:val="00131061"/>
    <w:rsid w:val="001312EE"/>
    <w:rsid w:val="001322DE"/>
    <w:rsid w:val="00132820"/>
    <w:rsid w:val="001330DC"/>
    <w:rsid w:val="001331B3"/>
    <w:rsid w:val="001334B4"/>
    <w:rsid w:val="00133740"/>
    <w:rsid w:val="00133F07"/>
    <w:rsid w:val="0013401B"/>
    <w:rsid w:val="0013415E"/>
    <w:rsid w:val="0013450C"/>
    <w:rsid w:val="00134A62"/>
    <w:rsid w:val="00134B58"/>
    <w:rsid w:val="00134B73"/>
    <w:rsid w:val="00134FAA"/>
    <w:rsid w:val="00135A6A"/>
    <w:rsid w:val="00135EBD"/>
    <w:rsid w:val="00135F6D"/>
    <w:rsid w:val="00136836"/>
    <w:rsid w:val="00136B4F"/>
    <w:rsid w:val="00136DA7"/>
    <w:rsid w:val="00136E5F"/>
    <w:rsid w:val="00136E67"/>
    <w:rsid w:val="001373B6"/>
    <w:rsid w:val="0013753F"/>
    <w:rsid w:val="00137561"/>
    <w:rsid w:val="00137613"/>
    <w:rsid w:val="001377FE"/>
    <w:rsid w:val="00137917"/>
    <w:rsid w:val="0013797C"/>
    <w:rsid w:val="00137D36"/>
    <w:rsid w:val="00137DB5"/>
    <w:rsid w:val="0014001D"/>
    <w:rsid w:val="00140093"/>
    <w:rsid w:val="00140313"/>
    <w:rsid w:val="00140833"/>
    <w:rsid w:val="00140A0F"/>
    <w:rsid w:val="00141F4C"/>
    <w:rsid w:val="001422E4"/>
    <w:rsid w:val="00142A37"/>
    <w:rsid w:val="001433C1"/>
    <w:rsid w:val="00143406"/>
    <w:rsid w:val="0014340E"/>
    <w:rsid w:val="001435C0"/>
    <w:rsid w:val="00143637"/>
    <w:rsid w:val="00143814"/>
    <w:rsid w:val="00143A81"/>
    <w:rsid w:val="00143DA6"/>
    <w:rsid w:val="00144151"/>
    <w:rsid w:val="001442C8"/>
    <w:rsid w:val="0014446D"/>
    <w:rsid w:val="0014470D"/>
    <w:rsid w:val="00144EF1"/>
    <w:rsid w:val="00145359"/>
    <w:rsid w:val="00145616"/>
    <w:rsid w:val="00145664"/>
    <w:rsid w:val="00145936"/>
    <w:rsid w:val="00145CE0"/>
    <w:rsid w:val="00145D81"/>
    <w:rsid w:val="00146080"/>
    <w:rsid w:val="001462E8"/>
    <w:rsid w:val="001465B2"/>
    <w:rsid w:val="00146628"/>
    <w:rsid w:val="00146F2C"/>
    <w:rsid w:val="00147866"/>
    <w:rsid w:val="00147F86"/>
    <w:rsid w:val="00150119"/>
    <w:rsid w:val="0015034B"/>
    <w:rsid w:val="001507EE"/>
    <w:rsid w:val="00150A9F"/>
    <w:rsid w:val="00150AD1"/>
    <w:rsid w:val="00150BBA"/>
    <w:rsid w:val="00150BD2"/>
    <w:rsid w:val="00150C33"/>
    <w:rsid w:val="00151118"/>
    <w:rsid w:val="001516EB"/>
    <w:rsid w:val="00151920"/>
    <w:rsid w:val="00151B1D"/>
    <w:rsid w:val="00151D2C"/>
    <w:rsid w:val="001521BA"/>
    <w:rsid w:val="00152289"/>
    <w:rsid w:val="0015280A"/>
    <w:rsid w:val="00152A9E"/>
    <w:rsid w:val="00152D43"/>
    <w:rsid w:val="00152FE0"/>
    <w:rsid w:val="001532C9"/>
    <w:rsid w:val="00154629"/>
    <w:rsid w:val="00154A7D"/>
    <w:rsid w:val="0015553F"/>
    <w:rsid w:val="00155F51"/>
    <w:rsid w:val="00156712"/>
    <w:rsid w:val="00156744"/>
    <w:rsid w:val="001569A8"/>
    <w:rsid w:val="00156A99"/>
    <w:rsid w:val="00156E3D"/>
    <w:rsid w:val="001572B2"/>
    <w:rsid w:val="00157541"/>
    <w:rsid w:val="00157979"/>
    <w:rsid w:val="00157BE6"/>
    <w:rsid w:val="00157CA1"/>
    <w:rsid w:val="00160435"/>
    <w:rsid w:val="0016081A"/>
    <w:rsid w:val="00160BFC"/>
    <w:rsid w:val="00160D6F"/>
    <w:rsid w:val="00160EE2"/>
    <w:rsid w:val="00161052"/>
    <w:rsid w:val="001613AE"/>
    <w:rsid w:val="0016151B"/>
    <w:rsid w:val="0016160D"/>
    <w:rsid w:val="00161691"/>
    <w:rsid w:val="001617B1"/>
    <w:rsid w:val="00161F56"/>
    <w:rsid w:val="00162114"/>
    <w:rsid w:val="00162573"/>
    <w:rsid w:val="0016259E"/>
    <w:rsid w:val="001626F4"/>
    <w:rsid w:val="00162C9E"/>
    <w:rsid w:val="00162EC1"/>
    <w:rsid w:val="00163E10"/>
    <w:rsid w:val="00163E57"/>
    <w:rsid w:val="001642EC"/>
    <w:rsid w:val="00164582"/>
    <w:rsid w:val="0016463A"/>
    <w:rsid w:val="00164EE0"/>
    <w:rsid w:val="001656FC"/>
    <w:rsid w:val="00165E94"/>
    <w:rsid w:val="00165EDD"/>
    <w:rsid w:val="0016663D"/>
    <w:rsid w:val="001669DC"/>
    <w:rsid w:val="00166DA8"/>
    <w:rsid w:val="00166DF3"/>
    <w:rsid w:val="00166E6F"/>
    <w:rsid w:val="0016716D"/>
    <w:rsid w:val="0016717B"/>
    <w:rsid w:val="00167B39"/>
    <w:rsid w:val="00167D25"/>
    <w:rsid w:val="00167D34"/>
    <w:rsid w:val="00167F5D"/>
    <w:rsid w:val="0017028B"/>
    <w:rsid w:val="001702D5"/>
    <w:rsid w:val="0017087A"/>
    <w:rsid w:val="00170C89"/>
    <w:rsid w:val="00170ECB"/>
    <w:rsid w:val="00171095"/>
    <w:rsid w:val="001710B8"/>
    <w:rsid w:val="00171196"/>
    <w:rsid w:val="00171656"/>
    <w:rsid w:val="00171B07"/>
    <w:rsid w:val="00171B2B"/>
    <w:rsid w:val="00171CE1"/>
    <w:rsid w:val="0017237D"/>
    <w:rsid w:val="001727E6"/>
    <w:rsid w:val="00172847"/>
    <w:rsid w:val="00172A4D"/>
    <w:rsid w:val="00172BC8"/>
    <w:rsid w:val="001733F3"/>
    <w:rsid w:val="0017352D"/>
    <w:rsid w:val="00174073"/>
    <w:rsid w:val="001743FF"/>
    <w:rsid w:val="0017441E"/>
    <w:rsid w:val="00174646"/>
    <w:rsid w:val="0017489D"/>
    <w:rsid w:val="00174C3E"/>
    <w:rsid w:val="001750E1"/>
    <w:rsid w:val="00175389"/>
    <w:rsid w:val="0017559A"/>
    <w:rsid w:val="001755A8"/>
    <w:rsid w:val="00175930"/>
    <w:rsid w:val="00175B91"/>
    <w:rsid w:val="00175DCA"/>
    <w:rsid w:val="0017659C"/>
    <w:rsid w:val="00176C78"/>
    <w:rsid w:val="00176E33"/>
    <w:rsid w:val="00177948"/>
    <w:rsid w:val="00177C8F"/>
    <w:rsid w:val="00177E3B"/>
    <w:rsid w:val="00180377"/>
    <w:rsid w:val="001807DA"/>
    <w:rsid w:val="00180BC7"/>
    <w:rsid w:val="00180D80"/>
    <w:rsid w:val="001811F9"/>
    <w:rsid w:val="00181676"/>
    <w:rsid w:val="001816F6"/>
    <w:rsid w:val="00181D02"/>
    <w:rsid w:val="00181FD5"/>
    <w:rsid w:val="00182388"/>
    <w:rsid w:val="00182545"/>
    <w:rsid w:val="00182922"/>
    <w:rsid w:val="00182963"/>
    <w:rsid w:val="00182D0F"/>
    <w:rsid w:val="00182F71"/>
    <w:rsid w:val="00183254"/>
    <w:rsid w:val="0018351E"/>
    <w:rsid w:val="00183769"/>
    <w:rsid w:val="00183AE9"/>
    <w:rsid w:val="00183EC3"/>
    <w:rsid w:val="00184367"/>
    <w:rsid w:val="00184BCD"/>
    <w:rsid w:val="00185185"/>
    <w:rsid w:val="001851D6"/>
    <w:rsid w:val="001853C2"/>
    <w:rsid w:val="00186438"/>
    <w:rsid w:val="00186655"/>
    <w:rsid w:val="0018690B"/>
    <w:rsid w:val="00186B53"/>
    <w:rsid w:val="001870D0"/>
    <w:rsid w:val="00187960"/>
    <w:rsid w:val="00187E68"/>
    <w:rsid w:val="00187E79"/>
    <w:rsid w:val="001902A4"/>
    <w:rsid w:val="001903DE"/>
    <w:rsid w:val="0019052E"/>
    <w:rsid w:val="00190936"/>
    <w:rsid w:val="00190AF1"/>
    <w:rsid w:val="00190D2C"/>
    <w:rsid w:val="00190D6C"/>
    <w:rsid w:val="00190DD8"/>
    <w:rsid w:val="001911D9"/>
    <w:rsid w:val="00191AD7"/>
    <w:rsid w:val="0019243C"/>
    <w:rsid w:val="001927A9"/>
    <w:rsid w:val="00192E7F"/>
    <w:rsid w:val="00193301"/>
    <w:rsid w:val="001936BE"/>
    <w:rsid w:val="00193860"/>
    <w:rsid w:val="00193DF5"/>
    <w:rsid w:val="001943BD"/>
    <w:rsid w:val="00194C7A"/>
    <w:rsid w:val="00195C3D"/>
    <w:rsid w:val="00195DE2"/>
    <w:rsid w:val="00196126"/>
    <w:rsid w:val="00196C74"/>
    <w:rsid w:val="001970BE"/>
    <w:rsid w:val="001A016E"/>
    <w:rsid w:val="001A0A73"/>
    <w:rsid w:val="001A0ADD"/>
    <w:rsid w:val="001A0E05"/>
    <w:rsid w:val="001A0EC1"/>
    <w:rsid w:val="001A11E0"/>
    <w:rsid w:val="001A146E"/>
    <w:rsid w:val="001A16D1"/>
    <w:rsid w:val="001A18B7"/>
    <w:rsid w:val="001A1ADF"/>
    <w:rsid w:val="001A1B81"/>
    <w:rsid w:val="001A1CFE"/>
    <w:rsid w:val="001A229B"/>
    <w:rsid w:val="001A24C0"/>
    <w:rsid w:val="001A2C53"/>
    <w:rsid w:val="001A2C64"/>
    <w:rsid w:val="001A2CF6"/>
    <w:rsid w:val="001A2F48"/>
    <w:rsid w:val="001A32EA"/>
    <w:rsid w:val="001A35BE"/>
    <w:rsid w:val="001A3B25"/>
    <w:rsid w:val="001A4452"/>
    <w:rsid w:val="001A4D4F"/>
    <w:rsid w:val="001A5273"/>
    <w:rsid w:val="001A5312"/>
    <w:rsid w:val="001A551E"/>
    <w:rsid w:val="001A55E2"/>
    <w:rsid w:val="001A5A34"/>
    <w:rsid w:val="001A5D1F"/>
    <w:rsid w:val="001A5EE2"/>
    <w:rsid w:val="001A615C"/>
    <w:rsid w:val="001A622E"/>
    <w:rsid w:val="001A6622"/>
    <w:rsid w:val="001A6767"/>
    <w:rsid w:val="001A683C"/>
    <w:rsid w:val="001A684C"/>
    <w:rsid w:val="001A68AE"/>
    <w:rsid w:val="001A6B66"/>
    <w:rsid w:val="001A786E"/>
    <w:rsid w:val="001A7A9E"/>
    <w:rsid w:val="001A7CE2"/>
    <w:rsid w:val="001A7E0F"/>
    <w:rsid w:val="001B00EF"/>
    <w:rsid w:val="001B0594"/>
    <w:rsid w:val="001B06B4"/>
    <w:rsid w:val="001B0DEB"/>
    <w:rsid w:val="001B165F"/>
    <w:rsid w:val="001B1ADB"/>
    <w:rsid w:val="001B1D23"/>
    <w:rsid w:val="001B2192"/>
    <w:rsid w:val="001B230F"/>
    <w:rsid w:val="001B26F3"/>
    <w:rsid w:val="001B28F9"/>
    <w:rsid w:val="001B30D6"/>
    <w:rsid w:val="001B3360"/>
    <w:rsid w:val="001B3A84"/>
    <w:rsid w:val="001B3B71"/>
    <w:rsid w:val="001B3D48"/>
    <w:rsid w:val="001B4129"/>
    <w:rsid w:val="001B495A"/>
    <w:rsid w:val="001B4EC6"/>
    <w:rsid w:val="001B4F15"/>
    <w:rsid w:val="001B4F19"/>
    <w:rsid w:val="001B5042"/>
    <w:rsid w:val="001B5960"/>
    <w:rsid w:val="001B5A9F"/>
    <w:rsid w:val="001B5AE4"/>
    <w:rsid w:val="001B5BF8"/>
    <w:rsid w:val="001B5E84"/>
    <w:rsid w:val="001B5F21"/>
    <w:rsid w:val="001B6303"/>
    <w:rsid w:val="001B6941"/>
    <w:rsid w:val="001B6E35"/>
    <w:rsid w:val="001B6F54"/>
    <w:rsid w:val="001B73A3"/>
    <w:rsid w:val="001B7570"/>
    <w:rsid w:val="001B7D21"/>
    <w:rsid w:val="001B7F37"/>
    <w:rsid w:val="001C0880"/>
    <w:rsid w:val="001C0B35"/>
    <w:rsid w:val="001C0B62"/>
    <w:rsid w:val="001C0BF0"/>
    <w:rsid w:val="001C0D83"/>
    <w:rsid w:val="001C0DCD"/>
    <w:rsid w:val="001C2334"/>
    <w:rsid w:val="001C2486"/>
    <w:rsid w:val="001C2574"/>
    <w:rsid w:val="001C2740"/>
    <w:rsid w:val="001C28A6"/>
    <w:rsid w:val="001C28D3"/>
    <w:rsid w:val="001C2A6D"/>
    <w:rsid w:val="001C2AAE"/>
    <w:rsid w:val="001C2B6D"/>
    <w:rsid w:val="001C2D2E"/>
    <w:rsid w:val="001C38DE"/>
    <w:rsid w:val="001C48BE"/>
    <w:rsid w:val="001C4A3C"/>
    <w:rsid w:val="001C4D81"/>
    <w:rsid w:val="001C4E8C"/>
    <w:rsid w:val="001C51D9"/>
    <w:rsid w:val="001C54CB"/>
    <w:rsid w:val="001C6346"/>
    <w:rsid w:val="001C6377"/>
    <w:rsid w:val="001C66EF"/>
    <w:rsid w:val="001C6A70"/>
    <w:rsid w:val="001C6DE4"/>
    <w:rsid w:val="001C71BA"/>
    <w:rsid w:val="001C7337"/>
    <w:rsid w:val="001C7B90"/>
    <w:rsid w:val="001C7F3C"/>
    <w:rsid w:val="001D0294"/>
    <w:rsid w:val="001D0712"/>
    <w:rsid w:val="001D081E"/>
    <w:rsid w:val="001D0A3B"/>
    <w:rsid w:val="001D0DFB"/>
    <w:rsid w:val="001D1020"/>
    <w:rsid w:val="001D10D6"/>
    <w:rsid w:val="001D134C"/>
    <w:rsid w:val="001D13E5"/>
    <w:rsid w:val="001D14B9"/>
    <w:rsid w:val="001D15E4"/>
    <w:rsid w:val="001D235D"/>
    <w:rsid w:val="001D2908"/>
    <w:rsid w:val="001D2A69"/>
    <w:rsid w:val="001D2F18"/>
    <w:rsid w:val="001D3183"/>
    <w:rsid w:val="001D37B9"/>
    <w:rsid w:val="001D38F2"/>
    <w:rsid w:val="001D3939"/>
    <w:rsid w:val="001D3D87"/>
    <w:rsid w:val="001D3FAA"/>
    <w:rsid w:val="001D4462"/>
    <w:rsid w:val="001D4AAA"/>
    <w:rsid w:val="001D531A"/>
    <w:rsid w:val="001D54BB"/>
    <w:rsid w:val="001D55CB"/>
    <w:rsid w:val="001D5775"/>
    <w:rsid w:val="001D6052"/>
    <w:rsid w:val="001D6594"/>
    <w:rsid w:val="001D6B42"/>
    <w:rsid w:val="001D6C5C"/>
    <w:rsid w:val="001D6D41"/>
    <w:rsid w:val="001D6D97"/>
    <w:rsid w:val="001D7022"/>
    <w:rsid w:val="001D722D"/>
    <w:rsid w:val="001D7359"/>
    <w:rsid w:val="001D7BE3"/>
    <w:rsid w:val="001D7D21"/>
    <w:rsid w:val="001D7E74"/>
    <w:rsid w:val="001E00AC"/>
    <w:rsid w:val="001E031E"/>
    <w:rsid w:val="001E06C0"/>
    <w:rsid w:val="001E0707"/>
    <w:rsid w:val="001E0754"/>
    <w:rsid w:val="001E096F"/>
    <w:rsid w:val="001E1A78"/>
    <w:rsid w:val="001E2918"/>
    <w:rsid w:val="001E2E10"/>
    <w:rsid w:val="001E3688"/>
    <w:rsid w:val="001E3E6D"/>
    <w:rsid w:val="001E3ECA"/>
    <w:rsid w:val="001E400D"/>
    <w:rsid w:val="001E4187"/>
    <w:rsid w:val="001E4195"/>
    <w:rsid w:val="001E432E"/>
    <w:rsid w:val="001E4717"/>
    <w:rsid w:val="001E4878"/>
    <w:rsid w:val="001E4B99"/>
    <w:rsid w:val="001E4F9F"/>
    <w:rsid w:val="001E5072"/>
    <w:rsid w:val="001E524B"/>
    <w:rsid w:val="001E5413"/>
    <w:rsid w:val="001E59FA"/>
    <w:rsid w:val="001E5A7F"/>
    <w:rsid w:val="001E5BC3"/>
    <w:rsid w:val="001E5FB9"/>
    <w:rsid w:val="001E65A8"/>
    <w:rsid w:val="001E6A7F"/>
    <w:rsid w:val="001E6AF7"/>
    <w:rsid w:val="001E7C89"/>
    <w:rsid w:val="001F09C1"/>
    <w:rsid w:val="001F0A34"/>
    <w:rsid w:val="001F0CD0"/>
    <w:rsid w:val="001F0D4B"/>
    <w:rsid w:val="001F0D51"/>
    <w:rsid w:val="001F1CB4"/>
    <w:rsid w:val="001F1D28"/>
    <w:rsid w:val="001F1EC7"/>
    <w:rsid w:val="001F1FE0"/>
    <w:rsid w:val="001F2092"/>
    <w:rsid w:val="001F264F"/>
    <w:rsid w:val="001F27F5"/>
    <w:rsid w:val="001F2BFD"/>
    <w:rsid w:val="001F3103"/>
    <w:rsid w:val="001F3810"/>
    <w:rsid w:val="001F4059"/>
    <w:rsid w:val="001F439F"/>
    <w:rsid w:val="001F4A60"/>
    <w:rsid w:val="001F4F4D"/>
    <w:rsid w:val="001F523C"/>
    <w:rsid w:val="001F52CC"/>
    <w:rsid w:val="001F55E0"/>
    <w:rsid w:val="001F5613"/>
    <w:rsid w:val="001F62A5"/>
    <w:rsid w:val="001F63A4"/>
    <w:rsid w:val="001F6D7D"/>
    <w:rsid w:val="001F6F09"/>
    <w:rsid w:val="001F76FF"/>
    <w:rsid w:val="001F7717"/>
    <w:rsid w:val="001F7801"/>
    <w:rsid w:val="001F7B3E"/>
    <w:rsid w:val="00200180"/>
    <w:rsid w:val="00200440"/>
    <w:rsid w:val="00200BD4"/>
    <w:rsid w:val="00200C13"/>
    <w:rsid w:val="00200F2B"/>
    <w:rsid w:val="00201169"/>
    <w:rsid w:val="0020117E"/>
    <w:rsid w:val="002013C7"/>
    <w:rsid w:val="00201B5E"/>
    <w:rsid w:val="00201EEC"/>
    <w:rsid w:val="00202042"/>
    <w:rsid w:val="0020216F"/>
    <w:rsid w:val="002023AD"/>
    <w:rsid w:val="002024A0"/>
    <w:rsid w:val="00202C54"/>
    <w:rsid w:val="002032FC"/>
    <w:rsid w:val="00203367"/>
    <w:rsid w:val="0020397C"/>
    <w:rsid w:val="00203C55"/>
    <w:rsid w:val="00203DFC"/>
    <w:rsid w:val="0020408D"/>
    <w:rsid w:val="0020422B"/>
    <w:rsid w:val="002044D1"/>
    <w:rsid w:val="002049CC"/>
    <w:rsid w:val="00204D30"/>
    <w:rsid w:val="0020519C"/>
    <w:rsid w:val="00205590"/>
    <w:rsid w:val="00205899"/>
    <w:rsid w:val="002060A4"/>
    <w:rsid w:val="002061C5"/>
    <w:rsid w:val="002061CE"/>
    <w:rsid w:val="00206E1D"/>
    <w:rsid w:val="00206F63"/>
    <w:rsid w:val="00207098"/>
    <w:rsid w:val="002076DD"/>
    <w:rsid w:val="0021023F"/>
    <w:rsid w:val="00210A0D"/>
    <w:rsid w:val="00210CBC"/>
    <w:rsid w:val="00210E04"/>
    <w:rsid w:val="00210FA8"/>
    <w:rsid w:val="00211057"/>
    <w:rsid w:val="00211921"/>
    <w:rsid w:val="00211E4A"/>
    <w:rsid w:val="00211EAE"/>
    <w:rsid w:val="00211FBD"/>
    <w:rsid w:val="00212602"/>
    <w:rsid w:val="00212645"/>
    <w:rsid w:val="00212D7C"/>
    <w:rsid w:val="00213486"/>
    <w:rsid w:val="00213816"/>
    <w:rsid w:val="00213863"/>
    <w:rsid w:val="0021387C"/>
    <w:rsid w:val="00213F13"/>
    <w:rsid w:val="00214756"/>
    <w:rsid w:val="002148B2"/>
    <w:rsid w:val="002148FD"/>
    <w:rsid w:val="0021521F"/>
    <w:rsid w:val="00215356"/>
    <w:rsid w:val="0021687F"/>
    <w:rsid w:val="002175BA"/>
    <w:rsid w:val="00217C2E"/>
    <w:rsid w:val="00217CE3"/>
    <w:rsid w:val="002206C5"/>
    <w:rsid w:val="00220A33"/>
    <w:rsid w:val="00220D1D"/>
    <w:rsid w:val="002215B5"/>
    <w:rsid w:val="00221602"/>
    <w:rsid w:val="00221AC3"/>
    <w:rsid w:val="0022203B"/>
    <w:rsid w:val="002224FF"/>
    <w:rsid w:val="00222D84"/>
    <w:rsid w:val="00222FB4"/>
    <w:rsid w:val="002231ED"/>
    <w:rsid w:val="002235AC"/>
    <w:rsid w:val="00223907"/>
    <w:rsid w:val="00223C78"/>
    <w:rsid w:val="00223E3E"/>
    <w:rsid w:val="002243F7"/>
    <w:rsid w:val="00224412"/>
    <w:rsid w:val="002247C2"/>
    <w:rsid w:val="00225342"/>
    <w:rsid w:val="00225474"/>
    <w:rsid w:val="00225C56"/>
    <w:rsid w:val="00225E0C"/>
    <w:rsid w:val="002268D8"/>
    <w:rsid w:val="00226A35"/>
    <w:rsid w:val="00226D85"/>
    <w:rsid w:val="00226F1C"/>
    <w:rsid w:val="002271E8"/>
    <w:rsid w:val="002272D6"/>
    <w:rsid w:val="00227382"/>
    <w:rsid w:val="002275FB"/>
    <w:rsid w:val="002276C4"/>
    <w:rsid w:val="00227D38"/>
    <w:rsid w:val="002300D8"/>
    <w:rsid w:val="0023019F"/>
    <w:rsid w:val="00230E94"/>
    <w:rsid w:val="00230F1E"/>
    <w:rsid w:val="00230FD3"/>
    <w:rsid w:val="002310E8"/>
    <w:rsid w:val="002312B7"/>
    <w:rsid w:val="0023167E"/>
    <w:rsid w:val="002319A1"/>
    <w:rsid w:val="002321E2"/>
    <w:rsid w:val="0023230C"/>
    <w:rsid w:val="00232AB5"/>
    <w:rsid w:val="00233418"/>
    <w:rsid w:val="00233624"/>
    <w:rsid w:val="00233756"/>
    <w:rsid w:val="00233798"/>
    <w:rsid w:val="00233C1B"/>
    <w:rsid w:val="00233DCE"/>
    <w:rsid w:val="00234A1E"/>
    <w:rsid w:val="00234BF3"/>
    <w:rsid w:val="002351A8"/>
    <w:rsid w:val="00235231"/>
    <w:rsid w:val="0023563D"/>
    <w:rsid w:val="00235A56"/>
    <w:rsid w:val="00235D43"/>
    <w:rsid w:val="002361D3"/>
    <w:rsid w:val="002369DA"/>
    <w:rsid w:val="00237516"/>
    <w:rsid w:val="002376C8"/>
    <w:rsid w:val="00237C0F"/>
    <w:rsid w:val="00237CBC"/>
    <w:rsid w:val="00237D9E"/>
    <w:rsid w:val="002401DF"/>
    <w:rsid w:val="002408DC"/>
    <w:rsid w:val="00240A34"/>
    <w:rsid w:val="00240B4D"/>
    <w:rsid w:val="002412C7"/>
    <w:rsid w:val="00241355"/>
    <w:rsid w:val="0024139A"/>
    <w:rsid w:val="00241426"/>
    <w:rsid w:val="0024160F"/>
    <w:rsid w:val="002416E9"/>
    <w:rsid w:val="00241B9A"/>
    <w:rsid w:val="00241FE2"/>
    <w:rsid w:val="00242034"/>
    <w:rsid w:val="0024259A"/>
    <w:rsid w:val="002425DB"/>
    <w:rsid w:val="002426E4"/>
    <w:rsid w:val="00242FEA"/>
    <w:rsid w:val="00243379"/>
    <w:rsid w:val="00243544"/>
    <w:rsid w:val="002436CA"/>
    <w:rsid w:val="002436E4"/>
    <w:rsid w:val="00243798"/>
    <w:rsid w:val="00243858"/>
    <w:rsid w:val="00243A0A"/>
    <w:rsid w:val="00243A3C"/>
    <w:rsid w:val="00243BF2"/>
    <w:rsid w:val="00243D02"/>
    <w:rsid w:val="00243D90"/>
    <w:rsid w:val="00244258"/>
    <w:rsid w:val="00244364"/>
    <w:rsid w:val="00244809"/>
    <w:rsid w:val="00244ACF"/>
    <w:rsid w:val="00244ECE"/>
    <w:rsid w:val="00244F8B"/>
    <w:rsid w:val="00245352"/>
    <w:rsid w:val="00245397"/>
    <w:rsid w:val="00245505"/>
    <w:rsid w:val="00245937"/>
    <w:rsid w:val="00245BC5"/>
    <w:rsid w:val="00245E6E"/>
    <w:rsid w:val="00246193"/>
    <w:rsid w:val="002463B6"/>
    <w:rsid w:val="002464C2"/>
    <w:rsid w:val="002465EC"/>
    <w:rsid w:val="002467C2"/>
    <w:rsid w:val="0024692F"/>
    <w:rsid w:val="00246C6D"/>
    <w:rsid w:val="00246DB6"/>
    <w:rsid w:val="00247549"/>
    <w:rsid w:val="002504E1"/>
    <w:rsid w:val="00250B35"/>
    <w:rsid w:val="00251076"/>
    <w:rsid w:val="0025128F"/>
    <w:rsid w:val="002512C1"/>
    <w:rsid w:val="00251604"/>
    <w:rsid w:val="00251A85"/>
    <w:rsid w:val="00251CE5"/>
    <w:rsid w:val="0025200C"/>
    <w:rsid w:val="00252BD5"/>
    <w:rsid w:val="002533BE"/>
    <w:rsid w:val="00253552"/>
    <w:rsid w:val="0025358A"/>
    <w:rsid w:val="0025480C"/>
    <w:rsid w:val="00254D3E"/>
    <w:rsid w:val="00255173"/>
    <w:rsid w:val="002557F8"/>
    <w:rsid w:val="00255982"/>
    <w:rsid w:val="0025681B"/>
    <w:rsid w:val="002570CF"/>
    <w:rsid w:val="002573C9"/>
    <w:rsid w:val="00257C33"/>
    <w:rsid w:val="00257C9D"/>
    <w:rsid w:val="00257F05"/>
    <w:rsid w:val="002603F6"/>
    <w:rsid w:val="00260759"/>
    <w:rsid w:val="00260895"/>
    <w:rsid w:val="0026092F"/>
    <w:rsid w:val="00260CBE"/>
    <w:rsid w:val="00260ED8"/>
    <w:rsid w:val="00261877"/>
    <w:rsid w:val="00261B7C"/>
    <w:rsid w:val="00262938"/>
    <w:rsid w:val="00263074"/>
    <w:rsid w:val="002637DE"/>
    <w:rsid w:val="00263A05"/>
    <w:rsid w:val="00263A12"/>
    <w:rsid w:val="00263B20"/>
    <w:rsid w:val="00263B99"/>
    <w:rsid w:val="00263DA4"/>
    <w:rsid w:val="00264090"/>
    <w:rsid w:val="00264225"/>
    <w:rsid w:val="00264345"/>
    <w:rsid w:val="0026451B"/>
    <w:rsid w:val="002647CC"/>
    <w:rsid w:val="00264962"/>
    <w:rsid w:val="00264AC6"/>
    <w:rsid w:val="00264EEE"/>
    <w:rsid w:val="00264F21"/>
    <w:rsid w:val="00266184"/>
    <w:rsid w:val="002662A2"/>
    <w:rsid w:val="0026685B"/>
    <w:rsid w:val="0026698B"/>
    <w:rsid w:val="00267415"/>
    <w:rsid w:val="002676AF"/>
    <w:rsid w:val="002676DF"/>
    <w:rsid w:val="00267AC5"/>
    <w:rsid w:val="00267F64"/>
    <w:rsid w:val="00270003"/>
    <w:rsid w:val="0027004D"/>
    <w:rsid w:val="00270420"/>
    <w:rsid w:val="00270B97"/>
    <w:rsid w:val="0027112F"/>
    <w:rsid w:val="00271BC4"/>
    <w:rsid w:val="00271E82"/>
    <w:rsid w:val="002722D5"/>
    <w:rsid w:val="00272990"/>
    <w:rsid w:val="00272B26"/>
    <w:rsid w:val="00272BC7"/>
    <w:rsid w:val="002730C7"/>
    <w:rsid w:val="002736E7"/>
    <w:rsid w:val="00273C2B"/>
    <w:rsid w:val="002741CE"/>
    <w:rsid w:val="00274245"/>
    <w:rsid w:val="00274345"/>
    <w:rsid w:val="00274418"/>
    <w:rsid w:val="0027487F"/>
    <w:rsid w:val="002749F8"/>
    <w:rsid w:val="00274E07"/>
    <w:rsid w:val="00274EF5"/>
    <w:rsid w:val="00274F11"/>
    <w:rsid w:val="002764D5"/>
    <w:rsid w:val="00276BBB"/>
    <w:rsid w:val="00277336"/>
    <w:rsid w:val="00277515"/>
    <w:rsid w:val="002779B9"/>
    <w:rsid w:val="00277A7E"/>
    <w:rsid w:val="00277A92"/>
    <w:rsid w:val="00277E1F"/>
    <w:rsid w:val="00280113"/>
    <w:rsid w:val="0028037B"/>
    <w:rsid w:val="00280B2E"/>
    <w:rsid w:val="00280D25"/>
    <w:rsid w:val="002810FF"/>
    <w:rsid w:val="002819AB"/>
    <w:rsid w:val="002819BD"/>
    <w:rsid w:val="00281A68"/>
    <w:rsid w:val="002821C1"/>
    <w:rsid w:val="00282B03"/>
    <w:rsid w:val="00283025"/>
    <w:rsid w:val="002830D3"/>
    <w:rsid w:val="002832F2"/>
    <w:rsid w:val="00283928"/>
    <w:rsid w:val="00283D92"/>
    <w:rsid w:val="0028435C"/>
    <w:rsid w:val="002845DD"/>
    <w:rsid w:val="00284604"/>
    <w:rsid w:val="002847E2"/>
    <w:rsid w:val="00284F36"/>
    <w:rsid w:val="002852C4"/>
    <w:rsid w:val="002854D8"/>
    <w:rsid w:val="0028686F"/>
    <w:rsid w:val="00286DBA"/>
    <w:rsid w:val="00286E69"/>
    <w:rsid w:val="0028713F"/>
    <w:rsid w:val="0028770E"/>
    <w:rsid w:val="00287C61"/>
    <w:rsid w:val="0029003B"/>
    <w:rsid w:val="002908F2"/>
    <w:rsid w:val="00290BAC"/>
    <w:rsid w:val="00290C44"/>
    <w:rsid w:val="00290C56"/>
    <w:rsid w:val="00290C7A"/>
    <w:rsid w:val="00290F05"/>
    <w:rsid w:val="00290F08"/>
    <w:rsid w:val="00290F4C"/>
    <w:rsid w:val="002910AA"/>
    <w:rsid w:val="0029131D"/>
    <w:rsid w:val="00291322"/>
    <w:rsid w:val="00291382"/>
    <w:rsid w:val="0029199C"/>
    <w:rsid w:val="00291A59"/>
    <w:rsid w:val="002923E1"/>
    <w:rsid w:val="00292582"/>
    <w:rsid w:val="00292671"/>
    <w:rsid w:val="00292726"/>
    <w:rsid w:val="002927D3"/>
    <w:rsid w:val="002929B7"/>
    <w:rsid w:val="002929C2"/>
    <w:rsid w:val="00292B54"/>
    <w:rsid w:val="00292C5D"/>
    <w:rsid w:val="00292D56"/>
    <w:rsid w:val="0029332E"/>
    <w:rsid w:val="002933E1"/>
    <w:rsid w:val="00293941"/>
    <w:rsid w:val="00293BC9"/>
    <w:rsid w:val="00293E73"/>
    <w:rsid w:val="002944A6"/>
    <w:rsid w:val="002949F7"/>
    <w:rsid w:val="00294A08"/>
    <w:rsid w:val="00294B37"/>
    <w:rsid w:val="00295536"/>
    <w:rsid w:val="0029555B"/>
    <w:rsid w:val="00295851"/>
    <w:rsid w:val="00295958"/>
    <w:rsid w:val="00295EB3"/>
    <w:rsid w:val="00295EBF"/>
    <w:rsid w:val="00296436"/>
    <w:rsid w:val="00296591"/>
    <w:rsid w:val="00296FDE"/>
    <w:rsid w:val="00297213"/>
    <w:rsid w:val="00297D79"/>
    <w:rsid w:val="002A06A5"/>
    <w:rsid w:val="002A1DBC"/>
    <w:rsid w:val="002A1DC1"/>
    <w:rsid w:val="002A1E28"/>
    <w:rsid w:val="002A234C"/>
    <w:rsid w:val="002A254A"/>
    <w:rsid w:val="002A2721"/>
    <w:rsid w:val="002A2BA6"/>
    <w:rsid w:val="002A2CCA"/>
    <w:rsid w:val="002A2D62"/>
    <w:rsid w:val="002A2E67"/>
    <w:rsid w:val="002A2EE0"/>
    <w:rsid w:val="002A2F66"/>
    <w:rsid w:val="002A3AB1"/>
    <w:rsid w:val="002A3B4C"/>
    <w:rsid w:val="002A4717"/>
    <w:rsid w:val="002A48AF"/>
    <w:rsid w:val="002A48BA"/>
    <w:rsid w:val="002A63C6"/>
    <w:rsid w:val="002A6568"/>
    <w:rsid w:val="002A67A1"/>
    <w:rsid w:val="002A6C36"/>
    <w:rsid w:val="002A6E48"/>
    <w:rsid w:val="002A6FCE"/>
    <w:rsid w:val="002A730B"/>
    <w:rsid w:val="002A75A0"/>
    <w:rsid w:val="002A7671"/>
    <w:rsid w:val="002A77A2"/>
    <w:rsid w:val="002A7811"/>
    <w:rsid w:val="002A7A24"/>
    <w:rsid w:val="002A7B45"/>
    <w:rsid w:val="002B02B3"/>
    <w:rsid w:val="002B0E0F"/>
    <w:rsid w:val="002B0F2E"/>
    <w:rsid w:val="002B0F96"/>
    <w:rsid w:val="002B14B7"/>
    <w:rsid w:val="002B14D5"/>
    <w:rsid w:val="002B1F94"/>
    <w:rsid w:val="002B21A2"/>
    <w:rsid w:val="002B2421"/>
    <w:rsid w:val="002B2886"/>
    <w:rsid w:val="002B28C8"/>
    <w:rsid w:val="002B2A16"/>
    <w:rsid w:val="002B338F"/>
    <w:rsid w:val="002B4425"/>
    <w:rsid w:val="002B4499"/>
    <w:rsid w:val="002B4F40"/>
    <w:rsid w:val="002B4FAC"/>
    <w:rsid w:val="002B50F6"/>
    <w:rsid w:val="002B541C"/>
    <w:rsid w:val="002B54DE"/>
    <w:rsid w:val="002B569E"/>
    <w:rsid w:val="002B56B4"/>
    <w:rsid w:val="002B5832"/>
    <w:rsid w:val="002B5CAF"/>
    <w:rsid w:val="002B5D60"/>
    <w:rsid w:val="002B5E66"/>
    <w:rsid w:val="002B5EA0"/>
    <w:rsid w:val="002B630A"/>
    <w:rsid w:val="002B6685"/>
    <w:rsid w:val="002B6E4C"/>
    <w:rsid w:val="002B74B2"/>
    <w:rsid w:val="002B74C2"/>
    <w:rsid w:val="002C0031"/>
    <w:rsid w:val="002C08E1"/>
    <w:rsid w:val="002C147B"/>
    <w:rsid w:val="002C14ED"/>
    <w:rsid w:val="002C16C2"/>
    <w:rsid w:val="002C171A"/>
    <w:rsid w:val="002C1947"/>
    <w:rsid w:val="002C1E3E"/>
    <w:rsid w:val="002C1F12"/>
    <w:rsid w:val="002C28D7"/>
    <w:rsid w:val="002C2F70"/>
    <w:rsid w:val="002C3289"/>
    <w:rsid w:val="002C3402"/>
    <w:rsid w:val="002C36B8"/>
    <w:rsid w:val="002C37A4"/>
    <w:rsid w:val="002C3A0C"/>
    <w:rsid w:val="002C3E15"/>
    <w:rsid w:val="002C4A66"/>
    <w:rsid w:val="002C4C6F"/>
    <w:rsid w:val="002C4FF2"/>
    <w:rsid w:val="002C52A7"/>
    <w:rsid w:val="002C54B5"/>
    <w:rsid w:val="002C5792"/>
    <w:rsid w:val="002C5927"/>
    <w:rsid w:val="002C5AE1"/>
    <w:rsid w:val="002C60CB"/>
    <w:rsid w:val="002C69CA"/>
    <w:rsid w:val="002C6B7B"/>
    <w:rsid w:val="002C6C3D"/>
    <w:rsid w:val="002C6E38"/>
    <w:rsid w:val="002C72CF"/>
    <w:rsid w:val="002C78C2"/>
    <w:rsid w:val="002C7991"/>
    <w:rsid w:val="002C7AB5"/>
    <w:rsid w:val="002C7BD9"/>
    <w:rsid w:val="002D0B71"/>
    <w:rsid w:val="002D0BC8"/>
    <w:rsid w:val="002D0C4A"/>
    <w:rsid w:val="002D0E2E"/>
    <w:rsid w:val="002D1810"/>
    <w:rsid w:val="002D18ED"/>
    <w:rsid w:val="002D1CCA"/>
    <w:rsid w:val="002D228F"/>
    <w:rsid w:val="002D262B"/>
    <w:rsid w:val="002D26EE"/>
    <w:rsid w:val="002D2760"/>
    <w:rsid w:val="002D284C"/>
    <w:rsid w:val="002D2944"/>
    <w:rsid w:val="002D2B63"/>
    <w:rsid w:val="002D2EC2"/>
    <w:rsid w:val="002D330D"/>
    <w:rsid w:val="002D3458"/>
    <w:rsid w:val="002D389E"/>
    <w:rsid w:val="002D38EF"/>
    <w:rsid w:val="002D3B17"/>
    <w:rsid w:val="002D3E89"/>
    <w:rsid w:val="002D5376"/>
    <w:rsid w:val="002D54D6"/>
    <w:rsid w:val="002D57EA"/>
    <w:rsid w:val="002D5813"/>
    <w:rsid w:val="002D597E"/>
    <w:rsid w:val="002D5A90"/>
    <w:rsid w:val="002D60F7"/>
    <w:rsid w:val="002D6516"/>
    <w:rsid w:val="002D6BC4"/>
    <w:rsid w:val="002D6BED"/>
    <w:rsid w:val="002D6ED4"/>
    <w:rsid w:val="002D730F"/>
    <w:rsid w:val="002D73C0"/>
    <w:rsid w:val="002D7B0D"/>
    <w:rsid w:val="002E03D2"/>
    <w:rsid w:val="002E04F8"/>
    <w:rsid w:val="002E09EE"/>
    <w:rsid w:val="002E111C"/>
    <w:rsid w:val="002E1272"/>
    <w:rsid w:val="002E15D6"/>
    <w:rsid w:val="002E17AE"/>
    <w:rsid w:val="002E2540"/>
    <w:rsid w:val="002E25B1"/>
    <w:rsid w:val="002E28B9"/>
    <w:rsid w:val="002E2A50"/>
    <w:rsid w:val="002E2E59"/>
    <w:rsid w:val="002E2E76"/>
    <w:rsid w:val="002E3006"/>
    <w:rsid w:val="002E3036"/>
    <w:rsid w:val="002E358F"/>
    <w:rsid w:val="002E3652"/>
    <w:rsid w:val="002E3837"/>
    <w:rsid w:val="002E384C"/>
    <w:rsid w:val="002E39E4"/>
    <w:rsid w:val="002E3F34"/>
    <w:rsid w:val="002E4238"/>
    <w:rsid w:val="002E42D7"/>
    <w:rsid w:val="002E49F6"/>
    <w:rsid w:val="002E4C5A"/>
    <w:rsid w:val="002E4D56"/>
    <w:rsid w:val="002E5542"/>
    <w:rsid w:val="002E5C18"/>
    <w:rsid w:val="002E6216"/>
    <w:rsid w:val="002E6329"/>
    <w:rsid w:val="002E666B"/>
    <w:rsid w:val="002E6AEB"/>
    <w:rsid w:val="002E6EAF"/>
    <w:rsid w:val="002E75BF"/>
    <w:rsid w:val="002E7621"/>
    <w:rsid w:val="002E7F8C"/>
    <w:rsid w:val="002F00DE"/>
    <w:rsid w:val="002F0797"/>
    <w:rsid w:val="002F0B31"/>
    <w:rsid w:val="002F126C"/>
    <w:rsid w:val="002F12B1"/>
    <w:rsid w:val="002F1355"/>
    <w:rsid w:val="002F155B"/>
    <w:rsid w:val="002F165B"/>
    <w:rsid w:val="002F1F22"/>
    <w:rsid w:val="002F1FA9"/>
    <w:rsid w:val="002F20CA"/>
    <w:rsid w:val="002F21B2"/>
    <w:rsid w:val="002F2526"/>
    <w:rsid w:val="002F2BF1"/>
    <w:rsid w:val="002F2FC3"/>
    <w:rsid w:val="002F353D"/>
    <w:rsid w:val="002F3708"/>
    <w:rsid w:val="002F3DC1"/>
    <w:rsid w:val="002F3FE5"/>
    <w:rsid w:val="002F4950"/>
    <w:rsid w:val="002F4B10"/>
    <w:rsid w:val="002F4B79"/>
    <w:rsid w:val="002F4E77"/>
    <w:rsid w:val="002F5008"/>
    <w:rsid w:val="002F5A4A"/>
    <w:rsid w:val="002F5B2A"/>
    <w:rsid w:val="002F5DEF"/>
    <w:rsid w:val="002F6BA0"/>
    <w:rsid w:val="002F7624"/>
    <w:rsid w:val="002F77B7"/>
    <w:rsid w:val="002F7B26"/>
    <w:rsid w:val="002F7D42"/>
    <w:rsid w:val="0030002B"/>
    <w:rsid w:val="00300116"/>
    <w:rsid w:val="00300451"/>
    <w:rsid w:val="00300C2A"/>
    <w:rsid w:val="00300C3E"/>
    <w:rsid w:val="00300CF9"/>
    <w:rsid w:val="00301D8F"/>
    <w:rsid w:val="00301DD4"/>
    <w:rsid w:val="00302D53"/>
    <w:rsid w:val="00303C08"/>
    <w:rsid w:val="00303D37"/>
    <w:rsid w:val="0030467F"/>
    <w:rsid w:val="00304CCE"/>
    <w:rsid w:val="00304D1B"/>
    <w:rsid w:val="00305020"/>
    <w:rsid w:val="00305311"/>
    <w:rsid w:val="003056BF"/>
    <w:rsid w:val="00305959"/>
    <w:rsid w:val="00305A82"/>
    <w:rsid w:val="00305BBC"/>
    <w:rsid w:val="00305C0F"/>
    <w:rsid w:val="00305F29"/>
    <w:rsid w:val="00306087"/>
    <w:rsid w:val="0030609F"/>
    <w:rsid w:val="00306340"/>
    <w:rsid w:val="00306794"/>
    <w:rsid w:val="00306B38"/>
    <w:rsid w:val="00306DC8"/>
    <w:rsid w:val="0030706D"/>
    <w:rsid w:val="00307950"/>
    <w:rsid w:val="00307990"/>
    <w:rsid w:val="00307A61"/>
    <w:rsid w:val="00307E7E"/>
    <w:rsid w:val="00310084"/>
    <w:rsid w:val="003102D7"/>
    <w:rsid w:val="00310594"/>
    <w:rsid w:val="00310AF5"/>
    <w:rsid w:val="00310D85"/>
    <w:rsid w:val="0031121A"/>
    <w:rsid w:val="00311274"/>
    <w:rsid w:val="00311854"/>
    <w:rsid w:val="00311E1F"/>
    <w:rsid w:val="003121D4"/>
    <w:rsid w:val="003125DF"/>
    <w:rsid w:val="0031276E"/>
    <w:rsid w:val="00312FEB"/>
    <w:rsid w:val="00313041"/>
    <w:rsid w:val="003131EA"/>
    <w:rsid w:val="00313370"/>
    <w:rsid w:val="00313CCB"/>
    <w:rsid w:val="003142A7"/>
    <w:rsid w:val="003145F1"/>
    <w:rsid w:val="00314828"/>
    <w:rsid w:val="00314858"/>
    <w:rsid w:val="003149BA"/>
    <w:rsid w:val="00314F44"/>
    <w:rsid w:val="00315A02"/>
    <w:rsid w:val="00315F12"/>
    <w:rsid w:val="00316031"/>
    <w:rsid w:val="0031628C"/>
    <w:rsid w:val="003162CC"/>
    <w:rsid w:val="00316AFD"/>
    <w:rsid w:val="00317378"/>
    <w:rsid w:val="0031755D"/>
    <w:rsid w:val="00317595"/>
    <w:rsid w:val="003177CE"/>
    <w:rsid w:val="003177EF"/>
    <w:rsid w:val="00317858"/>
    <w:rsid w:val="00317889"/>
    <w:rsid w:val="00317A6D"/>
    <w:rsid w:val="00317A8A"/>
    <w:rsid w:val="00317AA2"/>
    <w:rsid w:val="00320563"/>
    <w:rsid w:val="00320A86"/>
    <w:rsid w:val="00320D18"/>
    <w:rsid w:val="003218A7"/>
    <w:rsid w:val="003218B8"/>
    <w:rsid w:val="00321C8E"/>
    <w:rsid w:val="00322382"/>
    <w:rsid w:val="003226BC"/>
    <w:rsid w:val="0032290F"/>
    <w:rsid w:val="00322A52"/>
    <w:rsid w:val="00322B12"/>
    <w:rsid w:val="00323030"/>
    <w:rsid w:val="00323466"/>
    <w:rsid w:val="003234B8"/>
    <w:rsid w:val="0032361B"/>
    <w:rsid w:val="003237AA"/>
    <w:rsid w:val="00323AD5"/>
    <w:rsid w:val="00323D79"/>
    <w:rsid w:val="00323DD4"/>
    <w:rsid w:val="00323FA0"/>
    <w:rsid w:val="00323FE6"/>
    <w:rsid w:val="00324476"/>
    <w:rsid w:val="00324697"/>
    <w:rsid w:val="003248E5"/>
    <w:rsid w:val="003249B9"/>
    <w:rsid w:val="00324E1A"/>
    <w:rsid w:val="00324E65"/>
    <w:rsid w:val="003254CD"/>
    <w:rsid w:val="003255D6"/>
    <w:rsid w:val="003255F9"/>
    <w:rsid w:val="00325D75"/>
    <w:rsid w:val="003263F2"/>
    <w:rsid w:val="00326884"/>
    <w:rsid w:val="00326CAF"/>
    <w:rsid w:val="00326CBC"/>
    <w:rsid w:val="0032750A"/>
    <w:rsid w:val="00327E47"/>
    <w:rsid w:val="00330205"/>
    <w:rsid w:val="003303F3"/>
    <w:rsid w:val="003308D1"/>
    <w:rsid w:val="00330977"/>
    <w:rsid w:val="00330F68"/>
    <w:rsid w:val="0033147A"/>
    <w:rsid w:val="00331D06"/>
    <w:rsid w:val="00332006"/>
    <w:rsid w:val="0033218D"/>
    <w:rsid w:val="00332221"/>
    <w:rsid w:val="0033262C"/>
    <w:rsid w:val="00332E19"/>
    <w:rsid w:val="0033322C"/>
    <w:rsid w:val="00333361"/>
    <w:rsid w:val="003335BF"/>
    <w:rsid w:val="00333667"/>
    <w:rsid w:val="00333900"/>
    <w:rsid w:val="00333DA7"/>
    <w:rsid w:val="003342F0"/>
    <w:rsid w:val="0033555F"/>
    <w:rsid w:val="00335563"/>
    <w:rsid w:val="003356F3"/>
    <w:rsid w:val="00335DDD"/>
    <w:rsid w:val="003361F1"/>
    <w:rsid w:val="003362CA"/>
    <w:rsid w:val="003365EA"/>
    <w:rsid w:val="0033670D"/>
    <w:rsid w:val="00336BCA"/>
    <w:rsid w:val="00336DE1"/>
    <w:rsid w:val="0033735B"/>
    <w:rsid w:val="0033777F"/>
    <w:rsid w:val="00337983"/>
    <w:rsid w:val="003379FC"/>
    <w:rsid w:val="00337C2A"/>
    <w:rsid w:val="00337D2C"/>
    <w:rsid w:val="00340051"/>
    <w:rsid w:val="003400E6"/>
    <w:rsid w:val="00340798"/>
    <w:rsid w:val="00340C3A"/>
    <w:rsid w:val="003410A0"/>
    <w:rsid w:val="00341669"/>
    <w:rsid w:val="00341D6D"/>
    <w:rsid w:val="00341F43"/>
    <w:rsid w:val="00342078"/>
    <w:rsid w:val="00342212"/>
    <w:rsid w:val="00342AFB"/>
    <w:rsid w:val="00343492"/>
    <w:rsid w:val="003434D4"/>
    <w:rsid w:val="00343B48"/>
    <w:rsid w:val="00343B64"/>
    <w:rsid w:val="00343C24"/>
    <w:rsid w:val="00343EA4"/>
    <w:rsid w:val="0034405F"/>
    <w:rsid w:val="00344BC7"/>
    <w:rsid w:val="00344DDD"/>
    <w:rsid w:val="003451D5"/>
    <w:rsid w:val="00345641"/>
    <w:rsid w:val="00345673"/>
    <w:rsid w:val="003460C3"/>
    <w:rsid w:val="003462E4"/>
    <w:rsid w:val="00346343"/>
    <w:rsid w:val="003467B9"/>
    <w:rsid w:val="00347130"/>
    <w:rsid w:val="003471F1"/>
    <w:rsid w:val="003473E8"/>
    <w:rsid w:val="003474AE"/>
    <w:rsid w:val="003507DE"/>
    <w:rsid w:val="00350C86"/>
    <w:rsid w:val="00350DAC"/>
    <w:rsid w:val="0035101B"/>
    <w:rsid w:val="00351360"/>
    <w:rsid w:val="00351994"/>
    <w:rsid w:val="00351D80"/>
    <w:rsid w:val="00351F0A"/>
    <w:rsid w:val="003520C3"/>
    <w:rsid w:val="003527D1"/>
    <w:rsid w:val="00352891"/>
    <w:rsid w:val="00352A8D"/>
    <w:rsid w:val="00352C07"/>
    <w:rsid w:val="00352C86"/>
    <w:rsid w:val="0035301F"/>
    <w:rsid w:val="00353AA0"/>
    <w:rsid w:val="00353B51"/>
    <w:rsid w:val="00353C6F"/>
    <w:rsid w:val="003546EC"/>
    <w:rsid w:val="00354BF7"/>
    <w:rsid w:val="00354ECE"/>
    <w:rsid w:val="0035555E"/>
    <w:rsid w:val="0035588D"/>
    <w:rsid w:val="003559C2"/>
    <w:rsid w:val="00355AA7"/>
    <w:rsid w:val="00355F1C"/>
    <w:rsid w:val="0035600B"/>
    <w:rsid w:val="00356057"/>
    <w:rsid w:val="003575D9"/>
    <w:rsid w:val="003576CF"/>
    <w:rsid w:val="00357AB9"/>
    <w:rsid w:val="00357FB2"/>
    <w:rsid w:val="00360D66"/>
    <w:rsid w:val="00360E6D"/>
    <w:rsid w:val="003612DA"/>
    <w:rsid w:val="00361347"/>
    <w:rsid w:val="00361426"/>
    <w:rsid w:val="00361C57"/>
    <w:rsid w:val="00362101"/>
    <w:rsid w:val="003628A0"/>
    <w:rsid w:val="003628CB"/>
    <w:rsid w:val="00362AFC"/>
    <w:rsid w:val="00362F9D"/>
    <w:rsid w:val="003631C4"/>
    <w:rsid w:val="003638A1"/>
    <w:rsid w:val="003646D4"/>
    <w:rsid w:val="00364D8A"/>
    <w:rsid w:val="00365134"/>
    <w:rsid w:val="00365499"/>
    <w:rsid w:val="003663A3"/>
    <w:rsid w:val="0036672B"/>
    <w:rsid w:val="003668A3"/>
    <w:rsid w:val="00366BBB"/>
    <w:rsid w:val="00367AF0"/>
    <w:rsid w:val="00367B53"/>
    <w:rsid w:val="00367CCB"/>
    <w:rsid w:val="00367EF3"/>
    <w:rsid w:val="0037067B"/>
    <w:rsid w:val="00370BF4"/>
    <w:rsid w:val="00370CCA"/>
    <w:rsid w:val="003713B6"/>
    <w:rsid w:val="00371C82"/>
    <w:rsid w:val="00371DB1"/>
    <w:rsid w:val="00372000"/>
    <w:rsid w:val="003720CD"/>
    <w:rsid w:val="003720EE"/>
    <w:rsid w:val="003724CF"/>
    <w:rsid w:val="0037271A"/>
    <w:rsid w:val="0037352B"/>
    <w:rsid w:val="003748D6"/>
    <w:rsid w:val="00374C0D"/>
    <w:rsid w:val="00374C4C"/>
    <w:rsid w:val="00374E45"/>
    <w:rsid w:val="00375291"/>
    <w:rsid w:val="00375579"/>
    <w:rsid w:val="00375BDF"/>
    <w:rsid w:val="00375D93"/>
    <w:rsid w:val="00375DA9"/>
    <w:rsid w:val="003764B6"/>
    <w:rsid w:val="00376935"/>
    <w:rsid w:val="00376B57"/>
    <w:rsid w:val="00376E34"/>
    <w:rsid w:val="0037734A"/>
    <w:rsid w:val="0037735E"/>
    <w:rsid w:val="0037767C"/>
    <w:rsid w:val="00380490"/>
    <w:rsid w:val="00380A54"/>
    <w:rsid w:val="00380A81"/>
    <w:rsid w:val="00380B97"/>
    <w:rsid w:val="00380CBF"/>
    <w:rsid w:val="00380CCB"/>
    <w:rsid w:val="00380DEA"/>
    <w:rsid w:val="00381655"/>
    <w:rsid w:val="00381682"/>
    <w:rsid w:val="003816DA"/>
    <w:rsid w:val="003827C1"/>
    <w:rsid w:val="00382C4C"/>
    <w:rsid w:val="00382E4A"/>
    <w:rsid w:val="003833D4"/>
    <w:rsid w:val="003836D8"/>
    <w:rsid w:val="00383E28"/>
    <w:rsid w:val="00383F43"/>
    <w:rsid w:val="003841DA"/>
    <w:rsid w:val="003843FD"/>
    <w:rsid w:val="00384582"/>
    <w:rsid w:val="00384ABC"/>
    <w:rsid w:val="00385370"/>
    <w:rsid w:val="003855A5"/>
    <w:rsid w:val="00385703"/>
    <w:rsid w:val="00386180"/>
    <w:rsid w:val="0038680E"/>
    <w:rsid w:val="00387292"/>
    <w:rsid w:val="00387501"/>
    <w:rsid w:val="003877D3"/>
    <w:rsid w:val="00387FCF"/>
    <w:rsid w:val="003907BF"/>
    <w:rsid w:val="0039090E"/>
    <w:rsid w:val="003915C8"/>
    <w:rsid w:val="00391939"/>
    <w:rsid w:val="003923C8"/>
    <w:rsid w:val="00392450"/>
    <w:rsid w:val="00392F97"/>
    <w:rsid w:val="003930DC"/>
    <w:rsid w:val="003937F6"/>
    <w:rsid w:val="003938CA"/>
    <w:rsid w:val="0039395D"/>
    <w:rsid w:val="00393AAF"/>
    <w:rsid w:val="00394018"/>
    <w:rsid w:val="003940FD"/>
    <w:rsid w:val="00394218"/>
    <w:rsid w:val="00394384"/>
    <w:rsid w:val="0039449D"/>
    <w:rsid w:val="00394BF5"/>
    <w:rsid w:val="0039510F"/>
    <w:rsid w:val="00395263"/>
    <w:rsid w:val="00395694"/>
    <w:rsid w:val="003957A1"/>
    <w:rsid w:val="00395BA8"/>
    <w:rsid w:val="003964B6"/>
    <w:rsid w:val="00396777"/>
    <w:rsid w:val="00396853"/>
    <w:rsid w:val="00396A7E"/>
    <w:rsid w:val="003972ED"/>
    <w:rsid w:val="00397543"/>
    <w:rsid w:val="00397A73"/>
    <w:rsid w:val="00397C56"/>
    <w:rsid w:val="00397C66"/>
    <w:rsid w:val="00397F27"/>
    <w:rsid w:val="00397F4D"/>
    <w:rsid w:val="003A05F4"/>
    <w:rsid w:val="003A060E"/>
    <w:rsid w:val="003A06AB"/>
    <w:rsid w:val="003A08D6"/>
    <w:rsid w:val="003A0B10"/>
    <w:rsid w:val="003A0B6B"/>
    <w:rsid w:val="003A0BEF"/>
    <w:rsid w:val="003A0C70"/>
    <w:rsid w:val="003A1011"/>
    <w:rsid w:val="003A1019"/>
    <w:rsid w:val="003A12B8"/>
    <w:rsid w:val="003A1B59"/>
    <w:rsid w:val="003A1D87"/>
    <w:rsid w:val="003A2536"/>
    <w:rsid w:val="003A259C"/>
    <w:rsid w:val="003A26BD"/>
    <w:rsid w:val="003A2855"/>
    <w:rsid w:val="003A2AA4"/>
    <w:rsid w:val="003A2C2C"/>
    <w:rsid w:val="003A33B7"/>
    <w:rsid w:val="003A34E4"/>
    <w:rsid w:val="003A3D5B"/>
    <w:rsid w:val="003A3E37"/>
    <w:rsid w:val="003A44E1"/>
    <w:rsid w:val="003A44EE"/>
    <w:rsid w:val="003A45CF"/>
    <w:rsid w:val="003A4787"/>
    <w:rsid w:val="003A48E1"/>
    <w:rsid w:val="003A4923"/>
    <w:rsid w:val="003A5005"/>
    <w:rsid w:val="003A5298"/>
    <w:rsid w:val="003A6031"/>
    <w:rsid w:val="003A60DE"/>
    <w:rsid w:val="003A617A"/>
    <w:rsid w:val="003A61AA"/>
    <w:rsid w:val="003A63A0"/>
    <w:rsid w:val="003A6566"/>
    <w:rsid w:val="003A65C0"/>
    <w:rsid w:val="003A65F3"/>
    <w:rsid w:val="003A6C3C"/>
    <w:rsid w:val="003A70B1"/>
    <w:rsid w:val="003A72DB"/>
    <w:rsid w:val="003A784A"/>
    <w:rsid w:val="003A7E33"/>
    <w:rsid w:val="003B085D"/>
    <w:rsid w:val="003B14D1"/>
    <w:rsid w:val="003B1926"/>
    <w:rsid w:val="003B19D5"/>
    <w:rsid w:val="003B1A5C"/>
    <w:rsid w:val="003B1B5D"/>
    <w:rsid w:val="003B235E"/>
    <w:rsid w:val="003B2367"/>
    <w:rsid w:val="003B24E4"/>
    <w:rsid w:val="003B2564"/>
    <w:rsid w:val="003B2756"/>
    <w:rsid w:val="003B2A7F"/>
    <w:rsid w:val="003B31B0"/>
    <w:rsid w:val="003B34A4"/>
    <w:rsid w:val="003B3936"/>
    <w:rsid w:val="003B3CE5"/>
    <w:rsid w:val="003B3E67"/>
    <w:rsid w:val="003B3F6A"/>
    <w:rsid w:val="003B40DE"/>
    <w:rsid w:val="003B4173"/>
    <w:rsid w:val="003B41F7"/>
    <w:rsid w:val="003B431F"/>
    <w:rsid w:val="003B4C57"/>
    <w:rsid w:val="003B5CCB"/>
    <w:rsid w:val="003B5D57"/>
    <w:rsid w:val="003B6017"/>
    <w:rsid w:val="003B66EF"/>
    <w:rsid w:val="003B6B7D"/>
    <w:rsid w:val="003B6BCB"/>
    <w:rsid w:val="003B6EC5"/>
    <w:rsid w:val="003B7255"/>
    <w:rsid w:val="003B735C"/>
    <w:rsid w:val="003B7541"/>
    <w:rsid w:val="003B7590"/>
    <w:rsid w:val="003B7A7F"/>
    <w:rsid w:val="003C01E0"/>
    <w:rsid w:val="003C02F9"/>
    <w:rsid w:val="003C0D42"/>
    <w:rsid w:val="003C130C"/>
    <w:rsid w:val="003C18C9"/>
    <w:rsid w:val="003C1C02"/>
    <w:rsid w:val="003C213E"/>
    <w:rsid w:val="003C2409"/>
    <w:rsid w:val="003C2CC8"/>
    <w:rsid w:val="003C2F56"/>
    <w:rsid w:val="003C31F1"/>
    <w:rsid w:val="003C35EB"/>
    <w:rsid w:val="003C38A0"/>
    <w:rsid w:val="003C38A7"/>
    <w:rsid w:val="003C3F68"/>
    <w:rsid w:val="003C448D"/>
    <w:rsid w:val="003C4718"/>
    <w:rsid w:val="003C48A4"/>
    <w:rsid w:val="003C4B15"/>
    <w:rsid w:val="003C4E3B"/>
    <w:rsid w:val="003C4E6E"/>
    <w:rsid w:val="003C51FD"/>
    <w:rsid w:val="003C5510"/>
    <w:rsid w:val="003C5644"/>
    <w:rsid w:val="003C5674"/>
    <w:rsid w:val="003C57AF"/>
    <w:rsid w:val="003C5F20"/>
    <w:rsid w:val="003C6B81"/>
    <w:rsid w:val="003C703D"/>
    <w:rsid w:val="003C70E3"/>
    <w:rsid w:val="003C7245"/>
    <w:rsid w:val="003C74B0"/>
    <w:rsid w:val="003C7AAB"/>
    <w:rsid w:val="003C7AFD"/>
    <w:rsid w:val="003D02C7"/>
    <w:rsid w:val="003D033C"/>
    <w:rsid w:val="003D04E3"/>
    <w:rsid w:val="003D06E5"/>
    <w:rsid w:val="003D128C"/>
    <w:rsid w:val="003D17A9"/>
    <w:rsid w:val="003D1A90"/>
    <w:rsid w:val="003D1D19"/>
    <w:rsid w:val="003D222A"/>
    <w:rsid w:val="003D22A4"/>
    <w:rsid w:val="003D257F"/>
    <w:rsid w:val="003D283F"/>
    <w:rsid w:val="003D2900"/>
    <w:rsid w:val="003D29D7"/>
    <w:rsid w:val="003D2BDC"/>
    <w:rsid w:val="003D310F"/>
    <w:rsid w:val="003D3376"/>
    <w:rsid w:val="003D33F8"/>
    <w:rsid w:val="003D34B6"/>
    <w:rsid w:val="003D34F9"/>
    <w:rsid w:val="003D3A50"/>
    <w:rsid w:val="003D3AF3"/>
    <w:rsid w:val="003D3B1E"/>
    <w:rsid w:val="003D4163"/>
    <w:rsid w:val="003D421C"/>
    <w:rsid w:val="003D439E"/>
    <w:rsid w:val="003D441C"/>
    <w:rsid w:val="003D450E"/>
    <w:rsid w:val="003D4566"/>
    <w:rsid w:val="003D45DF"/>
    <w:rsid w:val="003D4720"/>
    <w:rsid w:val="003D472B"/>
    <w:rsid w:val="003D4803"/>
    <w:rsid w:val="003D4DD8"/>
    <w:rsid w:val="003D50AB"/>
    <w:rsid w:val="003D5354"/>
    <w:rsid w:val="003D5384"/>
    <w:rsid w:val="003D547D"/>
    <w:rsid w:val="003D58D3"/>
    <w:rsid w:val="003D5AF2"/>
    <w:rsid w:val="003D5CC9"/>
    <w:rsid w:val="003D6373"/>
    <w:rsid w:val="003D63CA"/>
    <w:rsid w:val="003D6BCA"/>
    <w:rsid w:val="003D6E2D"/>
    <w:rsid w:val="003D7154"/>
    <w:rsid w:val="003D77BB"/>
    <w:rsid w:val="003D7873"/>
    <w:rsid w:val="003D7A50"/>
    <w:rsid w:val="003D7CF3"/>
    <w:rsid w:val="003D7EC7"/>
    <w:rsid w:val="003E02BE"/>
    <w:rsid w:val="003E06EE"/>
    <w:rsid w:val="003E0905"/>
    <w:rsid w:val="003E0AEE"/>
    <w:rsid w:val="003E0F54"/>
    <w:rsid w:val="003E0F92"/>
    <w:rsid w:val="003E0FA5"/>
    <w:rsid w:val="003E1348"/>
    <w:rsid w:val="003E19D0"/>
    <w:rsid w:val="003E1D2D"/>
    <w:rsid w:val="003E1F67"/>
    <w:rsid w:val="003E21A6"/>
    <w:rsid w:val="003E2364"/>
    <w:rsid w:val="003E307C"/>
    <w:rsid w:val="003E34B3"/>
    <w:rsid w:val="003E3E71"/>
    <w:rsid w:val="003E3F13"/>
    <w:rsid w:val="003E4187"/>
    <w:rsid w:val="003E441A"/>
    <w:rsid w:val="003E4AC0"/>
    <w:rsid w:val="003E50E7"/>
    <w:rsid w:val="003E597A"/>
    <w:rsid w:val="003E5AA5"/>
    <w:rsid w:val="003E5B6A"/>
    <w:rsid w:val="003E5BE2"/>
    <w:rsid w:val="003E6001"/>
    <w:rsid w:val="003E6007"/>
    <w:rsid w:val="003E6240"/>
    <w:rsid w:val="003E65BB"/>
    <w:rsid w:val="003E6ABC"/>
    <w:rsid w:val="003E7B69"/>
    <w:rsid w:val="003E7BE5"/>
    <w:rsid w:val="003F020B"/>
    <w:rsid w:val="003F0638"/>
    <w:rsid w:val="003F06DA"/>
    <w:rsid w:val="003F092B"/>
    <w:rsid w:val="003F094B"/>
    <w:rsid w:val="003F0D41"/>
    <w:rsid w:val="003F0E4B"/>
    <w:rsid w:val="003F14B7"/>
    <w:rsid w:val="003F16CE"/>
    <w:rsid w:val="003F1BA6"/>
    <w:rsid w:val="003F1D35"/>
    <w:rsid w:val="003F23FF"/>
    <w:rsid w:val="003F318D"/>
    <w:rsid w:val="003F33E2"/>
    <w:rsid w:val="003F35EB"/>
    <w:rsid w:val="003F37A5"/>
    <w:rsid w:val="003F3B0B"/>
    <w:rsid w:val="003F3DA7"/>
    <w:rsid w:val="003F413F"/>
    <w:rsid w:val="003F46E7"/>
    <w:rsid w:val="003F47EC"/>
    <w:rsid w:val="003F4925"/>
    <w:rsid w:val="003F4AE4"/>
    <w:rsid w:val="003F4C06"/>
    <w:rsid w:val="003F4F68"/>
    <w:rsid w:val="003F51F6"/>
    <w:rsid w:val="003F541B"/>
    <w:rsid w:val="003F59F6"/>
    <w:rsid w:val="003F5C71"/>
    <w:rsid w:val="003F6411"/>
    <w:rsid w:val="003F6530"/>
    <w:rsid w:val="003F66A3"/>
    <w:rsid w:val="003F6D6A"/>
    <w:rsid w:val="003F731D"/>
    <w:rsid w:val="003F7578"/>
    <w:rsid w:val="003F770F"/>
    <w:rsid w:val="003F776D"/>
    <w:rsid w:val="003F77AD"/>
    <w:rsid w:val="003F7924"/>
    <w:rsid w:val="00400417"/>
    <w:rsid w:val="00400529"/>
    <w:rsid w:val="00400563"/>
    <w:rsid w:val="0040081B"/>
    <w:rsid w:val="0040093C"/>
    <w:rsid w:val="004009C3"/>
    <w:rsid w:val="00400FF9"/>
    <w:rsid w:val="00401500"/>
    <w:rsid w:val="00401850"/>
    <w:rsid w:val="004018E8"/>
    <w:rsid w:val="00401BED"/>
    <w:rsid w:val="00401CCC"/>
    <w:rsid w:val="00401EBC"/>
    <w:rsid w:val="00401EC2"/>
    <w:rsid w:val="00402039"/>
    <w:rsid w:val="004020B2"/>
    <w:rsid w:val="004023D3"/>
    <w:rsid w:val="00402E59"/>
    <w:rsid w:val="004030C4"/>
    <w:rsid w:val="004040C9"/>
    <w:rsid w:val="004043A1"/>
    <w:rsid w:val="00404430"/>
    <w:rsid w:val="00404675"/>
    <w:rsid w:val="00405EAD"/>
    <w:rsid w:val="0040632B"/>
    <w:rsid w:val="0040671C"/>
    <w:rsid w:val="004071F8"/>
    <w:rsid w:val="0040729B"/>
    <w:rsid w:val="0040765B"/>
    <w:rsid w:val="00407770"/>
    <w:rsid w:val="00407957"/>
    <w:rsid w:val="00407C8A"/>
    <w:rsid w:val="00407E92"/>
    <w:rsid w:val="00410231"/>
    <w:rsid w:val="0041024C"/>
    <w:rsid w:val="0041099E"/>
    <w:rsid w:val="00410E7F"/>
    <w:rsid w:val="00410FE0"/>
    <w:rsid w:val="00411171"/>
    <w:rsid w:val="0041184D"/>
    <w:rsid w:val="004118E1"/>
    <w:rsid w:val="004119BE"/>
    <w:rsid w:val="004119CF"/>
    <w:rsid w:val="004123A0"/>
    <w:rsid w:val="00412494"/>
    <w:rsid w:val="00412568"/>
    <w:rsid w:val="00412835"/>
    <w:rsid w:val="00412CE0"/>
    <w:rsid w:val="00412D2A"/>
    <w:rsid w:val="00412D91"/>
    <w:rsid w:val="00412EC9"/>
    <w:rsid w:val="00413427"/>
    <w:rsid w:val="0041354B"/>
    <w:rsid w:val="00413B7F"/>
    <w:rsid w:val="00413C3B"/>
    <w:rsid w:val="00413E0F"/>
    <w:rsid w:val="00414155"/>
    <w:rsid w:val="00414488"/>
    <w:rsid w:val="0041450C"/>
    <w:rsid w:val="00414DEB"/>
    <w:rsid w:val="00414E92"/>
    <w:rsid w:val="004150B3"/>
    <w:rsid w:val="004150C4"/>
    <w:rsid w:val="0041645C"/>
    <w:rsid w:val="0041666A"/>
    <w:rsid w:val="00416B2C"/>
    <w:rsid w:val="00416D80"/>
    <w:rsid w:val="00417715"/>
    <w:rsid w:val="00417779"/>
    <w:rsid w:val="00417FF0"/>
    <w:rsid w:val="0042025D"/>
    <w:rsid w:val="004205BC"/>
    <w:rsid w:val="00420C0D"/>
    <w:rsid w:val="00420EAC"/>
    <w:rsid w:val="004210E1"/>
    <w:rsid w:val="0042146D"/>
    <w:rsid w:val="004216D8"/>
    <w:rsid w:val="00421A70"/>
    <w:rsid w:val="00421F14"/>
    <w:rsid w:val="00421FBE"/>
    <w:rsid w:val="004220C1"/>
    <w:rsid w:val="00422363"/>
    <w:rsid w:val="00422961"/>
    <w:rsid w:val="00422B8A"/>
    <w:rsid w:val="00422C3C"/>
    <w:rsid w:val="00422D10"/>
    <w:rsid w:val="00423819"/>
    <w:rsid w:val="004239D2"/>
    <w:rsid w:val="0042470F"/>
    <w:rsid w:val="004249E6"/>
    <w:rsid w:val="00425620"/>
    <w:rsid w:val="004257A0"/>
    <w:rsid w:val="00425A89"/>
    <w:rsid w:val="00425DD7"/>
    <w:rsid w:val="0042643A"/>
    <w:rsid w:val="00426A24"/>
    <w:rsid w:val="00426A6B"/>
    <w:rsid w:val="0042764B"/>
    <w:rsid w:val="00427682"/>
    <w:rsid w:val="0042787D"/>
    <w:rsid w:val="004278FD"/>
    <w:rsid w:val="00430460"/>
    <w:rsid w:val="00430695"/>
    <w:rsid w:val="00430D24"/>
    <w:rsid w:val="004319B0"/>
    <w:rsid w:val="00431B2C"/>
    <w:rsid w:val="00431BBD"/>
    <w:rsid w:val="00432188"/>
    <w:rsid w:val="00432A08"/>
    <w:rsid w:val="00432C3A"/>
    <w:rsid w:val="00432F5F"/>
    <w:rsid w:val="00432F68"/>
    <w:rsid w:val="00433175"/>
    <w:rsid w:val="00433A22"/>
    <w:rsid w:val="00433FC2"/>
    <w:rsid w:val="00434530"/>
    <w:rsid w:val="00434689"/>
    <w:rsid w:val="00434A05"/>
    <w:rsid w:val="00434FB4"/>
    <w:rsid w:val="00436571"/>
    <w:rsid w:val="00436892"/>
    <w:rsid w:val="0043691E"/>
    <w:rsid w:val="00437041"/>
    <w:rsid w:val="0043713D"/>
    <w:rsid w:val="00437A20"/>
    <w:rsid w:val="00437B6F"/>
    <w:rsid w:val="00437DBA"/>
    <w:rsid w:val="00437E6A"/>
    <w:rsid w:val="00440154"/>
    <w:rsid w:val="00440260"/>
    <w:rsid w:val="00440296"/>
    <w:rsid w:val="00440702"/>
    <w:rsid w:val="00440D47"/>
    <w:rsid w:val="00440D73"/>
    <w:rsid w:val="004414CA"/>
    <w:rsid w:val="004421DD"/>
    <w:rsid w:val="004422EF"/>
    <w:rsid w:val="004427CC"/>
    <w:rsid w:val="00442851"/>
    <w:rsid w:val="004428D1"/>
    <w:rsid w:val="00442A4E"/>
    <w:rsid w:val="00442B28"/>
    <w:rsid w:val="00442E9C"/>
    <w:rsid w:val="00442F84"/>
    <w:rsid w:val="0044306D"/>
    <w:rsid w:val="004434E8"/>
    <w:rsid w:val="004438E5"/>
    <w:rsid w:val="00443AA7"/>
    <w:rsid w:val="00444379"/>
    <w:rsid w:val="0044485C"/>
    <w:rsid w:val="00444F5E"/>
    <w:rsid w:val="00445AAD"/>
    <w:rsid w:val="00445B5F"/>
    <w:rsid w:val="00445FA0"/>
    <w:rsid w:val="004461F4"/>
    <w:rsid w:val="00446261"/>
    <w:rsid w:val="00446359"/>
    <w:rsid w:val="00446415"/>
    <w:rsid w:val="00446C2B"/>
    <w:rsid w:val="00446CAB"/>
    <w:rsid w:val="00446F61"/>
    <w:rsid w:val="004470D6"/>
    <w:rsid w:val="0044728C"/>
    <w:rsid w:val="00447F64"/>
    <w:rsid w:val="00450361"/>
    <w:rsid w:val="0045059A"/>
    <w:rsid w:val="00450615"/>
    <w:rsid w:val="004509EB"/>
    <w:rsid w:val="00450CA0"/>
    <w:rsid w:val="00450DCE"/>
    <w:rsid w:val="004510CB"/>
    <w:rsid w:val="0045142E"/>
    <w:rsid w:val="004514B2"/>
    <w:rsid w:val="00451BBA"/>
    <w:rsid w:val="004526BA"/>
    <w:rsid w:val="00452BC6"/>
    <w:rsid w:val="004531FF"/>
    <w:rsid w:val="0045374B"/>
    <w:rsid w:val="0045465F"/>
    <w:rsid w:val="004549D1"/>
    <w:rsid w:val="00454E78"/>
    <w:rsid w:val="00454F16"/>
    <w:rsid w:val="004554E3"/>
    <w:rsid w:val="004557D8"/>
    <w:rsid w:val="00455A41"/>
    <w:rsid w:val="00455A83"/>
    <w:rsid w:val="00455B38"/>
    <w:rsid w:val="00455D6A"/>
    <w:rsid w:val="004561F2"/>
    <w:rsid w:val="00456764"/>
    <w:rsid w:val="00456B91"/>
    <w:rsid w:val="00456CDF"/>
    <w:rsid w:val="00456F6B"/>
    <w:rsid w:val="004576DE"/>
    <w:rsid w:val="00460731"/>
    <w:rsid w:val="00460790"/>
    <w:rsid w:val="004608AE"/>
    <w:rsid w:val="00460E82"/>
    <w:rsid w:val="00460FE2"/>
    <w:rsid w:val="00461027"/>
    <w:rsid w:val="00461117"/>
    <w:rsid w:val="00461C81"/>
    <w:rsid w:val="00461FB6"/>
    <w:rsid w:val="0046234D"/>
    <w:rsid w:val="0046238B"/>
    <w:rsid w:val="0046255B"/>
    <w:rsid w:val="00462799"/>
    <w:rsid w:val="004627F3"/>
    <w:rsid w:val="004629F7"/>
    <w:rsid w:val="00462AAF"/>
    <w:rsid w:val="00462B90"/>
    <w:rsid w:val="00462F7A"/>
    <w:rsid w:val="00462FB8"/>
    <w:rsid w:val="00463489"/>
    <w:rsid w:val="00463900"/>
    <w:rsid w:val="00464C70"/>
    <w:rsid w:val="00464D29"/>
    <w:rsid w:val="004655D6"/>
    <w:rsid w:val="004657B6"/>
    <w:rsid w:val="0046584C"/>
    <w:rsid w:val="00465A2E"/>
    <w:rsid w:val="00465D8C"/>
    <w:rsid w:val="00466299"/>
    <w:rsid w:val="004666CA"/>
    <w:rsid w:val="004667B9"/>
    <w:rsid w:val="00466F0E"/>
    <w:rsid w:val="00467811"/>
    <w:rsid w:val="00467DBD"/>
    <w:rsid w:val="0047048A"/>
    <w:rsid w:val="00470898"/>
    <w:rsid w:val="00470ABF"/>
    <w:rsid w:val="00471444"/>
    <w:rsid w:val="004714F3"/>
    <w:rsid w:val="0047197E"/>
    <w:rsid w:val="00471D32"/>
    <w:rsid w:val="00471E1B"/>
    <w:rsid w:val="00472300"/>
    <w:rsid w:val="0047269E"/>
    <w:rsid w:val="00472778"/>
    <w:rsid w:val="00472794"/>
    <w:rsid w:val="00472992"/>
    <w:rsid w:val="00472F37"/>
    <w:rsid w:val="00473214"/>
    <w:rsid w:val="004733C0"/>
    <w:rsid w:val="004737CD"/>
    <w:rsid w:val="00473A8A"/>
    <w:rsid w:val="00473C84"/>
    <w:rsid w:val="00474080"/>
    <w:rsid w:val="00474142"/>
    <w:rsid w:val="00474267"/>
    <w:rsid w:val="004743F0"/>
    <w:rsid w:val="00474760"/>
    <w:rsid w:val="00474C9F"/>
    <w:rsid w:val="00474D0C"/>
    <w:rsid w:val="00474D74"/>
    <w:rsid w:val="00474EFC"/>
    <w:rsid w:val="004752CA"/>
    <w:rsid w:val="00475781"/>
    <w:rsid w:val="004759B9"/>
    <w:rsid w:val="00475EBC"/>
    <w:rsid w:val="0047685B"/>
    <w:rsid w:val="00476953"/>
    <w:rsid w:val="00476B28"/>
    <w:rsid w:val="00476E60"/>
    <w:rsid w:val="0047786B"/>
    <w:rsid w:val="00477A43"/>
    <w:rsid w:val="00477DDD"/>
    <w:rsid w:val="00477F00"/>
    <w:rsid w:val="00480097"/>
    <w:rsid w:val="00480905"/>
    <w:rsid w:val="00480D13"/>
    <w:rsid w:val="00480EC9"/>
    <w:rsid w:val="00481722"/>
    <w:rsid w:val="00481E79"/>
    <w:rsid w:val="00482462"/>
    <w:rsid w:val="004825CD"/>
    <w:rsid w:val="004838DD"/>
    <w:rsid w:val="00483BD1"/>
    <w:rsid w:val="00483C48"/>
    <w:rsid w:val="00483FFA"/>
    <w:rsid w:val="00484509"/>
    <w:rsid w:val="004847A6"/>
    <w:rsid w:val="00484C8D"/>
    <w:rsid w:val="0048559A"/>
    <w:rsid w:val="0048576C"/>
    <w:rsid w:val="0048583A"/>
    <w:rsid w:val="00485B61"/>
    <w:rsid w:val="00485F09"/>
    <w:rsid w:val="004860EF"/>
    <w:rsid w:val="0048632A"/>
    <w:rsid w:val="004866DA"/>
    <w:rsid w:val="00486CA9"/>
    <w:rsid w:val="00486DD2"/>
    <w:rsid w:val="004876A4"/>
    <w:rsid w:val="00487A91"/>
    <w:rsid w:val="00487EC8"/>
    <w:rsid w:val="00487F5C"/>
    <w:rsid w:val="00490683"/>
    <w:rsid w:val="00490A5F"/>
    <w:rsid w:val="00490A65"/>
    <w:rsid w:val="00490CCD"/>
    <w:rsid w:val="004910EA"/>
    <w:rsid w:val="004913DB"/>
    <w:rsid w:val="00491A29"/>
    <w:rsid w:val="00492211"/>
    <w:rsid w:val="004922BE"/>
    <w:rsid w:val="00492361"/>
    <w:rsid w:val="00492809"/>
    <w:rsid w:val="0049299B"/>
    <w:rsid w:val="00492A2A"/>
    <w:rsid w:val="00492B6D"/>
    <w:rsid w:val="00492C02"/>
    <w:rsid w:val="00492E09"/>
    <w:rsid w:val="00493068"/>
    <w:rsid w:val="0049370F"/>
    <w:rsid w:val="0049378A"/>
    <w:rsid w:val="00493F1A"/>
    <w:rsid w:val="00494098"/>
    <w:rsid w:val="00494A11"/>
    <w:rsid w:val="00494DC9"/>
    <w:rsid w:val="00495619"/>
    <w:rsid w:val="00495A97"/>
    <w:rsid w:val="00495E07"/>
    <w:rsid w:val="00496227"/>
    <w:rsid w:val="00496AE5"/>
    <w:rsid w:val="00496E38"/>
    <w:rsid w:val="00496F12"/>
    <w:rsid w:val="00497315"/>
    <w:rsid w:val="004973C1"/>
    <w:rsid w:val="004975B2"/>
    <w:rsid w:val="00497642"/>
    <w:rsid w:val="00497885"/>
    <w:rsid w:val="0049795F"/>
    <w:rsid w:val="00497985"/>
    <w:rsid w:val="00497CA1"/>
    <w:rsid w:val="00497EF3"/>
    <w:rsid w:val="004A09B3"/>
    <w:rsid w:val="004A0C5B"/>
    <w:rsid w:val="004A0DB7"/>
    <w:rsid w:val="004A0E8B"/>
    <w:rsid w:val="004A0F90"/>
    <w:rsid w:val="004A2779"/>
    <w:rsid w:val="004A2BA1"/>
    <w:rsid w:val="004A2E0B"/>
    <w:rsid w:val="004A3301"/>
    <w:rsid w:val="004A3414"/>
    <w:rsid w:val="004A3E8E"/>
    <w:rsid w:val="004A4D35"/>
    <w:rsid w:val="004A55E6"/>
    <w:rsid w:val="004A5D3C"/>
    <w:rsid w:val="004A5D4A"/>
    <w:rsid w:val="004A6037"/>
    <w:rsid w:val="004A615B"/>
    <w:rsid w:val="004A6582"/>
    <w:rsid w:val="004A66ED"/>
    <w:rsid w:val="004A7030"/>
    <w:rsid w:val="004A7738"/>
    <w:rsid w:val="004A7864"/>
    <w:rsid w:val="004A79B6"/>
    <w:rsid w:val="004A7B83"/>
    <w:rsid w:val="004A7C32"/>
    <w:rsid w:val="004B03FF"/>
    <w:rsid w:val="004B04C8"/>
    <w:rsid w:val="004B0703"/>
    <w:rsid w:val="004B0896"/>
    <w:rsid w:val="004B0F18"/>
    <w:rsid w:val="004B1769"/>
    <w:rsid w:val="004B1D0D"/>
    <w:rsid w:val="004B27D8"/>
    <w:rsid w:val="004B2B84"/>
    <w:rsid w:val="004B3144"/>
    <w:rsid w:val="004B33A5"/>
    <w:rsid w:val="004B33D0"/>
    <w:rsid w:val="004B356B"/>
    <w:rsid w:val="004B3804"/>
    <w:rsid w:val="004B39A0"/>
    <w:rsid w:val="004B3AAC"/>
    <w:rsid w:val="004B3B3A"/>
    <w:rsid w:val="004B3F44"/>
    <w:rsid w:val="004B3FE6"/>
    <w:rsid w:val="004B44EE"/>
    <w:rsid w:val="004B4700"/>
    <w:rsid w:val="004B49BA"/>
    <w:rsid w:val="004B4A1B"/>
    <w:rsid w:val="004B5042"/>
    <w:rsid w:val="004B50CD"/>
    <w:rsid w:val="004B515D"/>
    <w:rsid w:val="004B531C"/>
    <w:rsid w:val="004B5385"/>
    <w:rsid w:val="004B573C"/>
    <w:rsid w:val="004B593D"/>
    <w:rsid w:val="004B5B9A"/>
    <w:rsid w:val="004B5E03"/>
    <w:rsid w:val="004B602F"/>
    <w:rsid w:val="004B60CB"/>
    <w:rsid w:val="004B62BE"/>
    <w:rsid w:val="004B6377"/>
    <w:rsid w:val="004B63EF"/>
    <w:rsid w:val="004B6607"/>
    <w:rsid w:val="004B668C"/>
    <w:rsid w:val="004B6737"/>
    <w:rsid w:val="004B6961"/>
    <w:rsid w:val="004B69A5"/>
    <w:rsid w:val="004B6C6C"/>
    <w:rsid w:val="004B6F1B"/>
    <w:rsid w:val="004B714F"/>
    <w:rsid w:val="004B763D"/>
    <w:rsid w:val="004B7A4B"/>
    <w:rsid w:val="004B7B9B"/>
    <w:rsid w:val="004C016E"/>
    <w:rsid w:val="004C032E"/>
    <w:rsid w:val="004C072A"/>
    <w:rsid w:val="004C09D2"/>
    <w:rsid w:val="004C0A3D"/>
    <w:rsid w:val="004C0B68"/>
    <w:rsid w:val="004C0D6B"/>
    <w:rsid w:val="004C0F0E"/>
    <w:rsid w:val="004C0F12"/>
    <w:rsid w:val="004C11EC"/>
    <w:rsid w:val="004C126D"/>
    <w:rsid w:val="004C1994"/>
    <w:rsid w:val="004C1ABA"/>
    <w:rsid w:val="004C1C3D"/>
    <w:rsid w:val="004C280C"/>
    <w:rsid w:val="004C28B6"/>
    <w:rsid w:val="004C2CD7"/>
    <w:rsid w:val="004C2EF4"/>
    <w:rsid w:val="004C2FF4"/>
    <w:rsid w:val="004C3295"/>
    <w:rsid w:val="004C38F3"/>
    <w:rsid w:val="004C3D11"/>
    <w:rsid w:val="004C489A"/>
    <w:rsid w:val="004C4C13"/>
    <w:rsid w:val="004C5420"/>
    <w:rsid w:val="004C56F1"/>
    <w:rsid w:val="004C57C1"/>
    <w:rsid w:val="004C5940"/>
    <w:rsid w:val="004C5E57"/>
    <w:rsid w:val="004C611D"/>
    <w:rsid w:val="004C6365"/>
    <w:rsid w:val="004C6371"/>
    <w:rsid w:val="004C66AB"/>
    <w:rsid w:val="004C6896"/>
    <w:rsid w:val="004C7360"/>
    <w:rsid w:val="004C77EB"/>
    <w:rsid w:val="004C7A45"/>
    <w:rsid w:val="004C7C65"/>
    <w:rsid w:val="004D104F"/>
    <w:rsid w:val="004D11DA"/>
    <w:rsid w:val="004D19A2"/>
    <w:rsid w:val="004D1A74"/>
    <w:rsid w:val="004D1B9C"/>
    <w:rsid w:val="004D1C2A"/>
    <w:rsid w:val="004D2CA4"/>
    <w:rsid w:val="004D2CCA"/>
    <w:rsid w:val="004D2EE1"/>
    <w:rsid w:val="004D2F0C"/>
    <w:rsid w:val="004D380E"/>
    <w:rsid w:val="004D3B41"/>
    <w:rsid w:val="004D4012"/>
    <w:rsid w:val="004D455A"/>
    <w:rsid w:val="004D4778"/>
    <w:rsid w:val="004D483E"/>
    <w:rsid w:val="004D4983"/>
    <w:rsid w:val="004D4F70"/>
    <w:rsid w:val="004D51FC"/>
    <w:rsid w:val="004D5386"/>
    <w:rsid w:val="004D5644"/>
    <w:rsid w:val="004D57D2"/>
    <w:rsid w:val="004D5F92"/>
    <w:rsid w:val="004D60E6"/>
    <w:rsid w:val="004D6433"/>
    <w:rsid w:val="004D6A66"/>
    <w:rsid w:val="004D6A6B"/>
    <w:rsid w:val="004D6E8A"/>
    <w:rsid w:val="004D774A"/>
    <w:rsid w:val="004D7982"/>
    <w:rsid w:val="004D7FAE"/>
    <w:rsid w:val="004E003B"/>
    <w:rsid w:val="004E0560"/>
    <w:rsid w:val="004E0905"/>
    <w:rsid w:val="004E0F59"/>
    <w:rsid w:val="004E0FA9"/>
    <w:rsid w:val="004E1434"/>
    <w:rsid w:val="004E1524"/>
    <w:rsid w:val="004E1641"/>
    <w:rsid w:val="004E1CF3"/>
    <w:rsid w:val="004E1D9C"/>
    <w:rsid w:val="004E20E6"/>
    <w:rsid w:val="004E2267"/>
    <w:rsid w:val="004E27B6"/>
    <w:rsid w:val="004E284A"/>
    <w:rsid w:val="004E3619"/>
    <w:rsid w:val="004E373B"/>
    <w:rsid w:val="004E3791"/>
    <w:rsid w:val="004E3EDA"/>
    <w:rsid w:val="004E4089"/>
    <w:rsid w:val="004E42EF"/>
    <w:rsid w:val="004E4311"/>
    <w:rsid w:val="004E437B"/>
    <w:rsid w:val="004E47D9"/>
    <w:rsid w:val="004E494E"/>
    <w:rsid w:val="004E4B63"/>
    <w:rsid w:val="004E4C7F"/>
    <w:rsid w:val="004E5294"/>
    <w:rsid w:val="004E596A"/>
    <w:rsid w:val="004E59D5"/>
    <w:rsid w:val="004E5A1C"/>
    <w:rsid w:val="004E5C98"/>
    <w:rsid w:val="004E6364"/>
    <w:rsid w:val="004E6AC5"/>
    <w:rsid w:val="004E7037"/>
    <w:rsid w:val="004E70BF"/>
    <w:rsid w:val="004E781F"/>
    <w:rsid w:val="004E7A62"/>
    <w:rsid w:val="004E7AA8"/>
    <w:rsid w:val="004E7B0C"/>
    <w:rsid w:val="004E7B4B"/>
    <w:rsid w:val="004F0452"/>
    <w:rsid w:val="004F0DA9"/>
    <w:rsid w:val="004F0DDD"/>
    <w:rsid w:val="004F0E8C"/>
    <w:rsid w:val="004F1467"/>
    <w:rsid w:val="004F187D"/>
    <w:rsid w:val="004F1939"/>
    <w:rsid w:val="004F1A47"/>
    <w:rsid w:val="004F1B99"/>
    <w:rsid w:val="004F20FA"/>
    <w:rsid w:val="004F26AF"/>
    <w:rsid w:val="004F2725"/>
    <w:rsid w:val="004F2825"/>
    <w:rsid w:val="004F2A09"/>
    <w:rsid w:val="004F2A10"/>
    <w:rsid w:val="004F2B5E"/>
    <w:rsid w:val="004F2CC1"/>
    <w:rsid w:val="004F2FA7"/>
    <w:rsid w:val="004F33F4"/>
    <w:rsid w:val="004F3C7B"/>
    <w:rsid w:val="004F3D03"/>
    <w:rsid w:val="004F4479"/>
    <w:rsid w:val="004F450F"/>
    <w:rsid w:val="004F4634"/>
    <w:rsid w:val="004F47C2"/>
    <w:rsid w:val="004F4800"/>
    <w:rsid w:val="004F4EA4"/>
    <w:rsid w:val="004F50BD"/>
    <w:rsid w:val="004F6902"/>
    <w:rsid w:val="004F6A50"/>
    <w:rsid w:val="004F6C6C"/>
    <w:rsid w:val="004F7A5D"/>
    <w:rsid w:val="004F7E58"/>
    <w:rsid w:val="00500AD8"/>
    <w:rsid w:val="00500C7B"/>
    <w:rsid w:val="005010F6"/>
    <w:rsid w:val="00501878"/>
    <w:rsid w:val="00501B52"/>
    <w:rsid w:val="00501C5C"/>
    <w:rsid w:val="00501C7E"/>
    <w:rsid w:val="00501FDB"/>
    <w:rsid w:val="00502200"/>
    <w:rsid w:val="005025D4"/>
    <w:rsid w:val="00502963"/>
    <w:rsid w:val="00502A94"/>
    <w:rsid w:val="00502B6D"/>
    <w:rsid w:val="00502D60"/>
    <w:rsid w:val="005037AF"/>
    <w:rsid w:val="00503DB2"/>
    <w:rsid w:val="00504261"/>
    <w:rsid w:val="005044B0"/>
    <w:rsid w:val="00504577"/>
    <w:rsid w:val="00504D46"/>
    <w:rsid w:val="00504E5C"/>
    <w:rsid w:val="00505299"/>
    <w:rsid w:val="0050573E"/>
    <w:rsid w:val="00505D9F"/>
    <w:rsid w:val="0050601C"/>
    <w:rsid w:val="0050647F"/>
    <w:rsid w:val="00506696"/>
    <w:rsid w:val="0050674A"/>
    <w:rsid w:val="005067C7"/>
    <w:rsid w:val="00506952"/>
    <w:rsid w:val="00506B33"/>
    <w:rsid w:val="00506B98"/>
    <w:rsid w:val="00507356"/>
    <w:rsid w:val="00507A05"/>
    <w:rsid w:val="00507BB7"/>
    <w:rsid w:val="00507C04"/>
    <w:rsid w:val="00507D6E"/>
    <w:rsid w:val="00507E46"/>
    <w:rsid w:val="0051048D"/>
    <w:rsid w:val="00510654"/>
    <w:rsid w:val="005109F6"/>
    <w:rsid w:val="00510DCD"/>
    <w:rsid w:val="0051116B"/>
    <w:rsid w:val="00511856"/>
    <w:rsid w:val="00511C92"/>
    <w:rsid w:val="00511D2F"/>
    <w:rsid w:val="0051208D"/>
    <w:rsid w:val="00512465"/>
    <w:rsid w:val="0051256E"/>
    <w:rsid w:val="00512D3D"/>
    <w:rsid w:val="00512EFC"/>
    <w:rsid w:val="005135C2"/>
    <w:rsid w:val="00513F69"/>
    <w:rsid w:val="00513FE7"/>
    <w:rsid w:val="005146F5"/>
    <w:rsid w:val="005147C9"/>
    <w:rsid w:val="005149AE"/>
    <w:rsid w:val="005149B5"/>
    <w:rsid w:val="00514A46"/>
    <w:rsid w:val="00514AB9"/>
    <w:rsid w:val="00514B5E"/>
    <w:rsid w:val="00514CAF"/>
    <w:rsid w:val="00514F95"/>
    <w:rsid w:val="00515053"/>
    <w:rsid w:val="00515447"/>
    <w:rsid w:val="0051579B"/>
    <w:rsid w:val="00515B43"/>
    <w:rsid w:val="00515EC4"/>
    <w:rsid w:val="0051609E"/>
    <w:rsid w:val="00516273"/>
    <w:rsid w:val="005178BB"/>
    <w:rsid w:val="00517A91"/>
    <w:rsid w:val="00517B4C"/>
    <w:rsid w:val="00517CC4"/>
    <w:rsid w:val="00517D44"/>
    <w:rsid w:val="00517FE6"/>
    <w:rsid w:val="0052001D"/>
    <w:rsid w:val="0052010C"/>
    <w:rsid w:val="00520251"/>
    <w:rsid w:val="005203C7"/>
    <w:rsid w:val="0052075F"/>
    <w:rsid w:val="00520B42"/>
    <w:rsid w:val="0052118F"/>
    <w:rsid w:val="00521A0C"/>
    <w:rsid w:val="00521AE7"/>
    <w:rsid w:val="00521E78"/>
    <w:rsid w:val="00521EF3"/>
    <w:rsid w:val="005226CE"/>
    <w:rsid w:val="00522A58"/>
    <w:rsid w:val="00522B63"/>
    <w:rsid w:val="00522EAA"/>
    <w:rsid w:val="00522F0D"/>
    <w:rsid w:val="005230F8"/>
    <w:rsid w:val="005234F3"/>
    <w:rsid w:val="00523547"/>
    <w:rsid w:val="00523B84"/>
    <w:rsid w:val="00524418"/>
    <w:rsid w:val="0052441C"/>
    <w:rsid w:val="0052468D"/>
    <w:rsid w:val="0052474F"/>
    <w:rsid w:val="00524AA5"/>
    <w:rsid w:val="005250AA"/>
    <w:rsid w:val="0052540C"/>
    <w:rsid w:val="005255BF"/>
    <w:rsid w:val="00525992"/>
    <w:rsid w:val="00525E27"/>
    <w:rsid w:val="00526016"/>
    <w:rsid w:val="005261D4"/>
    <w:rsid w:val="005265A8"/>
    <w:rsid w:val="005265B5"/>
    <w:rsid w:val="00526A94"/>
    <w:rsid w:val="00526BC2"/>
    <w:rsid w:val="00527A92"/>
    <w:rsid w:val="0053004F"/>
    <w:rsid w:val="00530192"/>
    <w:rsid w:val="005301AC"/>
    <w:rsid w:val="005301EF"/>
    <w:rsid w:val="0053020C"/>
    <w:rsid w:val="0053031D"/>
    <w:rsid w:val="00530650"/>
    <w:rsid w:val="00530A5F"/>
    <w:rsid w:val="00530E90"/>
    <w:rsid w:val="00531059"/>
    <w:rsid w:val="005311AA"/>
    <w:rsid w:val="005311BE"/>
    <w:rsid w:val="00531464"/>
    <w:rsid w:val="00531EE3"/>
    <w:rsid w:val="00531F1E"/>
    <w:rsid w:val="00531F6D"/>
    <w:rsid w:val="005326B7"/>
    <w:rsid w:val="0053338E"/>
    <w:rsid w:val="005335B3"/>
    <w:rsid w:val="00533F7B"/>
    <w:rsid w:val="005340D7"/>
    <w:rsid w:val="0053419A"/>
    <w:rsid w:val="005342B3"/>
    <w:rsid w:val="00534DB8"/>
    <w:rsid w:val="00534DDD"/>
    <w:rsid w:val="005355DA"/>
    <w:rsid w:val="005355F1"/>
    <w:rsid w:val="00535724"/>
    <w:rsid w:val="00535782"/>
    <w:rsid w:val="00535CF9"/>
    <w:rsid w:val="00535DFE"/>
    <w:rsid w:val="00536369"/>
    <w:rsid w:val="00536903"/>
    <w:rsid w:val="005369D7"/>
    <w:rsid w:val="00536D3F"/>
    <w:rsid w:val="00536DEF"/>
    <w:rsid w:val="005370F8"/>
    <w:rsid w:val="005371DD"/>
    <w:rsid w:val="005377CC"/>
    <w:rsid w:val="005378CA"/>
    <w:rsid w:val="00537E50"/>
    <w:rsid w:val="00540128"/>
    <w:rsid w:val="00540B62"/>
    <w:rsid w:val="00540DB1"/>
    <w:rsid w:val="00540FAD"/>
    <w:rsid w:val="0054173A"/>
    <w:rsid w:val="00541A32"/>
    <w:rsid w:val="00541AE2"/>
    <w:rsid w:val="005420DC"/>
    <w:rsid w:val="00542FCF"/>
    <w:rsid w:val="00542FF3"/>
    <w:rsid w:val="0054327E"/>
    <w:rsid w:val="00543D27"/>
    <w:rsid w:val="00543ED1"/>
    <w:rsid w:val="00544165"/>
    <w:rsid w:val="00544475"/>
    <w:rsid w:val="005445A7"/>
    <w:rsid w:val="00544915"/>
    <w:rsid w:val="00544A22"/>
    <w:rsid w:val="00544B9D"/>
    <w:rsid w:val="00544FAF"/>
    <w:rsid w:val="00545312"/>
    <w:rsid w:val="00545569"/>
    <w:rsid w:val="00545783"/>
    <w:rsid w:val="00546235"/>
    <w:rsid w:val="0054659A"/>
    <w:rsid w:val="005466F3"/>
    <w:rsid w:val="00546D36"/>
    <w:rsid w:val="00547038"/>
    <w:rsid w:val="00547221"/>
    <w:rsid w:val="005473F4"/>
    <w:rsid w:val="00550165"/>
    <w:rsid w:val="005502E4"/>
    <w:rsid w:val="00550914"/>
    <w:rsid w:val="00551291"/>
    <w:rsid w:val="00551487"/>
    <w:rsid w:val="00551B51"/>
    <w:rsid w:val="0055233A"/>
    <w:rsid w:val="00552403"/>
    <w:rsid w:val="005524F1"/>
    <w:rsid w:val="0055277F"/>
    <w:rsid w:val="00552CC2"/>
    <w:rsid w:val="0055337D"/>
    <w:rsid w:val="00553547"/>
    <w:rsid w:val="0055371E"/>
    <w:rsid w:val="00553A18"/>
    <w:rsid w:val="00553FEE"/>
    <w:rsid w:val="00554012"/>
    <w:rsid w:val="0055459B"/>
    <w:rsid w:val="0055460A"/>
    <w:rsid w:val="005549A0"/>
    <w:rsid w:val="00554AC1"/>
    <w:rsid w:val="00554E80"/>
    <w:rsid w:val="00555048"/>
    <w:rsid w:val="00555221"/>
    <w:rsid w:val="00555CCB"/>
    <w:rsid w:val="00555ED5"/>
    <w:rsid w:val="0055623C"/>
    <w:rsid w:val="005563BA"/>
    <w:rsid w:val="00556638"/>
    <w:rsid w:val="0055683A"/>
    <w:rsid w:val="00556DC7"/>
    <w:rsid w:val="005574DB"/>
    <w:rsid w:val="005579BF"/>
    <w:rsid w:val="005605B9"/>
    <w:rsid w:val="00560684"/>
    <w:rsid w:val="0056093F"/>
    <w:rsid w:val="00560C66"/>
    <w:rsid w:val="00561768"/>
    <w:rsid w:val="00561797"/>
    <w:rsid w:val="005617B0"/>
    <w:rsid w:val="00562278"/>
    <w:rsid w:val="00562A0C"/>
    <w:rsid w:val="00562C02"/>
    <w:rsid w:val="0056332F"/>
    <w:rsid w:val="00563B53"/>
    <w:rsid w:val="005642E3"/>
    <w:rsid w:val="00564A54"/>
    <w:rsid w:val="00564B3F"/>
    <w:rsid w:val="00564DE6"/>
    <w:rsid w:val="00564E91"/>
    <w:rsid w:val="0056521F"/>
    <w:rsid w:val="00566443"/>
    <w:rsid w:val="0056645D"/>
    <w:rsid w:val="0056649E"/>
    <w:rsid w:val="005664BE"/>
    <w:rsid w:val="0056662B"/>
    <w:rsid w:val="00566771"/>
    <w:rsid w:val="00566789"/>
    <w:rsid w:val="005667D5"/>
    <w:rsid w:val="00566974"/>
    <w:rsid w:val="00566A42"/>
    <w:rsid w:val="00567204"/>
    <w:rsid w:val="00567349"/>
    <w:rsid w:val="0056737B"/>
    <w:rsid w:val="00567986"/>
    <w:rsid w:val="00567E84"/>
    <w:rsid w:val="00570582"/>
    <w:rsid w:val="00570DD0"/>
    <w:rsid w:val="00570FDF"/>
    <w:rsid w:val="00571CE5"/>
    <w:rsid w:val="00572017"/>
    <w:rsid w:val="00572269"/>
    <w:rsid w:val="00572379"/>
    <w:rsid w:val="00572698"/>
    <w:rsid w:val="005727AA"/>
    <w:rsid w:val="00572A14"/>
    <w:rsid w:val="00573D2E"/>
    <w:rsid w:val="00574C72"/>
    <w:rsid w:val="00574F9C"/>
    <w:rsid w:val="005751AC"/>
    <w:rsid w:val="005753EB"/>
    <w:rsid w:val="005755CE"/>
    <w:rsid w:val="005755F7"/>
    <w:rsid w:val="005759A0"/>
    <w:rsid w:val="0057663F"/>
    <w:rsid w:val="00576A3C"/>
    <w:rsid w:val="00576BBE"/>
    <w:rsid w:val="00576BC4"/>
    <w:rsid w:val="00576CF4"/>
    <w:rsid w:val="005772CD"/>
    <w:rsid w:val="00577606"/>
    <w:rsid w:val="00577AAE"/>
    <w:rsid w:val="00577B0F"/>
    <w:rsid w:val="00577CEC"/>
    <w:rsid w:val="005798BF"/>
    <w:rsid w:val="005801E5"/>
    <w:rsid w:val="005813E4"/>
    <w:rsid w:val="005817FC"/>
    <w:rsid w:val="00581A2A"/>
    <w:rsid w:val="00581EBD"/>
    <w:rsid w:val="00581FE4"/>
    <w:rsid w:val="0058260A"/>
    <w:rsid w:val="0058260B"/>
    <w:rsid w:val="00582A0C"/>
    <w:rsid w:val="00582B0F"/>
    <w:rsid w:val="00582D53"/>
    <w:rsid w:val="005832F6"/>
    <w:rsid w:val="00583457"/>
    <w:rsid w:val="005836A0"/>
    <w:rsid w:val="00583901"/>
    <w:rsid w:val="00583B39"/>
    <w:rsid w:val="005840AB"/>
    <w:rsid w:val="0058418E"/>
    <w:rsid w:val="00584343"/>
    <w:rsid w:val="00584615"/>
    <w:rsid w:val="00584846"/>
    <w:rsid w:val="0058499A"/>
    <w:rsid w:val="00584CFC"/>
    <w:rsid w:val="00584EA0"/>
    <w:rsid w:val="005850DC"/>
    <w:rsid w:val="00585EC8"/>
    <w:rsid w:val="005869AD"/>
    <w:rsid w:val="0058705B"/>
    <w:rsid w:val="005870A4"/>
    <w:rsid w:val="0058722E"/>
    <w:rsid w:val="00587E77"/>
    <w:rsid w:val="00590260"/>
    <w:rsid w:val="00590F27"/>
    <w:rsid w:val="0059116D"/>
    <w:rsid w:val="00591404"/>
    <w:rsid w:val="00591923"/>
    <w:rsid w:val="00592668"/>
    <w:rsid w:val="005929B4"/>
    <w:rsid w:val="00592A5B"/>
    <w:rsid w:val="00592ACF"/>
    <w:rsid w:val="00592F63"/>
    <w:rsid w:val="00593521"/>
    <w:rsid w:val="00593934"/>
    <w:rsid w:val="00593E97"/>
    <w:rsid w:val="00593FA4"/>
    <w:rsid w:val="005941AE"/>
    <w:rsid w:val="0059421B"/>
    <w:rsid w:val="0059459C"/>
    <w:rsid w:val="005946D6"/>
    <w:rsid w:val="005947D4"/>
    <w:rsid w:val="00594A2B"/>
    <w:rsid w:val="00594B63"/>
    <w:rsid w:val="00594C0F"/>
    <w:rsid w:val="00594CDB"/>
    <w:rsid w:val="005960A2"/>
    <w:rsid w:val="00596980"/>
    <w:rsid w:val="00596A4A"/>
    <w:rsid w:val="00596A98"/>
    <w:rsid w:val="00596CA4"/>
    <w:rsid w:val="00596FA4"/>
    <w:rsid w:val="00597129"/>
    <w:rsid w:val="0059768A"/>
    <w:rsid w:val="00597889"/>
    <w:rsid w:val="00597BE8"/>
    <w:rsid w:val="00597E5F"/>
    <w:rsid w:val="005A00A0"/>
    <w:rsid w:val="005A0416"/>
    <w:rsid w:val="005A1C70"/>
    <w:rsid w:val="005A23AD"/>
    <w:rsid w:val="005A259C"/>
    <w:rsid w:val="005A2BFC"/>
    <w:rsid w:val="005A2C41"/>
    <w:rsid w:val="005A30EE"/>
    <w:rsid w:val="005A3495"/>
    <w:rsid w:val="005A39B4"/>
    <w:rsid w:val="005A435B"/>
    <w:rsid w:val="005A43BC"/>
    <w:rsid w:val="005A48F4"/>
    <w:rsid w:val="005A53DC"/>
    <w:rsid w:val="005A5E1C"/>
    <w:rsid w:val="005A5E34"/>
    <w:rsid w:val="005A67EA"/>
    <w:rsid w:val="005A68B8"/>
    <w:rsid w:val="005A6947"/>
    <w:rsid w:val="005A69F2"/>
    <w:rsid w:val="005A6BA7"/>
    <w:rsid w:val="005A6FE0"/>
    <w:rsid w:val="005A7229"/>
    <w:rsid w:val="005A76DF"/>
    <w:rsid w:val="005B0135"/>
    <w:rsid w:val="005B0237"/>
    <w:rsid w:val="005B036E"/>
    <w:rsid w:val="005B038E"/>
    <w:rsid w:val="005B079E"/>
    <w:rsid w:val="005B0983"/>
    <w:rsid w:val="005B0F27"/>
    <w:rsid w:val="005B0F98"/>
    <w:rsid w:val="005B1150"/>
    <w:rsid w:val="005B14C6"/>
    <w:rsid w:val="005B1543"/>
    <w:rsid w:val="005B15B3"/>
    <w:rsid w:val="005B2A31"/>
    <w:rsid w:val="005B2AF4"/>
    <w:rsid w:val="005B35AC"/>
    <w:rsid w:val="005B363B"/>
    <w:rsid w:val="005B3913"/>
    <w:rsid w:val="005B440D"/>
    <w:rsid w:val="005B4763"/>
    <w:rsid w:val="005B4B55"/>
    <w:rsid w:val="005B4F0C"/>
    <w:rsid w:val="005B526E"/>
    <w:rsid w:val="005B52F0"/>
    <w:rsid w:val="005B5587"/>
    <w:rsid w:val="005B5E46"/>
    <w:rsid w:val="005B5E49"/>
    <w:rsid w:val="005B6080"/>
    <w:rsid w:val="005B621C"/>
    <w:rsid w:val="005B621D"/>
    <w:rsid w:val="005B6774"/>
    <w:rsid w:val="005B687A"/>
    <w:rsid w:val="005B68ED"/>
    <w:rsid w:val="005B6A00"/>
    <w:rsid w:val="005B758D"/>
    <w:rsid w:val="005B76F7"/>
    <w:rsid w:val="005C0068"/>
    <w:rsid w:val="005C0130"/>
    <w:rsid w:val="005C0140"/>
    <w:rsid w:val="005C019C"/>
    <w:rsid w:val="005C01B9"/>
    <w:rsid w:val="005C0353"/>
    <w:rsid w:val="005C0A8F"/>
    <w:rsid w:val="005C0FDA"/>
    <w:rsid w:val="005C1121"/>
    <w:rsid w:val="005C115A"/>
    <w:rsid w:val="005C1196"/>
    <w:rsid w:val="005C1310"/>
    <w:rsid w:val="005C1879"/>
    <w:rsid w:val="005C18DC"/>
    <w:rsid w:val="005C1DB8"/>
    <w:rsid w:val="005C2678"/>
    <w:rsid w:val="005C2693"/>
    <w:rsid w:val="005C28D6"/>
    <w:rsid w:val="005C2F55"/>
    <w:rsid w:val="005C30D9"/>
    <w:rsid w:val="005C3549"/>
    <w:rsid w:val="005C3828"/>
    <w:rsid w:val="005C4365"/>
    <w:rsid w:val="005C4412"/>
    <w:rsid w:val="005C4BF3"/>
    <w:rsid w:val="005C4E59"/>
    <w:rsid w:val="005C4ECC"/>
    <w:rsid w:val="005C5046"/>
    <w:rsid w:val="005C55B7"/>
    <w:rsid w:val="005C57D0"/>
    <w:rsid w:val="005C5D17"/>
    <w:rsid w:val="005C6521"/>
    <w:rsid w:val="005C656F"/>
    <w:rsid w:val="005C7929"/>
    <w:rsid w:val="005C7A9C"/>
    <w:rsid w:val="005C7B15"/>
    <w:rsid w:val="005C7D0B"/>
    <w:rsid w:val="005C7D98"/>
    <w:rsid w:val="005C7FC4"/>
    <w:rsid w:val="005C7FC6"/>
    <w:rsid w:val="005D05C3"/>
    <w:rsid w:val="005D0B72"/>
    <w:rsid w:val="005D17D7"/>
    <w:rsid w:val="005D194E"/>
    <w:rsid w:val="005D1ADD"/>
    <w:rsid w:val="005D1B83"/>
    <w:rsid w:val="005D1CE4"/>
    <w:rsid w:val="005D20E8"/>
    <w:rsid w:val="005D26FE"/>
    <w:rsid w:val="005D286C"/>
    <w:rsid w:val="005D28FF"/>
    <w:rsid w:val="005D2E7B"/>
    <w:rsid w:val="005D313A"/>
    <w:rsid w:val="005D3466"/>
    <w:rsid w:val="005D3C41"/>
    <w:rsid w:val="005D3EA8"/>
    <w:rsid w:val="005D5632"/>
    <w:rsid w:val="005D580E"/>
    <w:rsid w:val="005D5B0F"/>
    <w:rsid w:val="005D5F34"/>
    <w:rsid w:val="005D71F8"/>
    <w:rsid w:val="005D722F"/>
    <w:rsid w:val="005D749C"/>
    <w:rsid w:val="005D7B30"/>
    <w:rsid w:val="005E031D"/>
    <w:rsid w:val="005E0D9E"/>
    <w:rsid w:val="005E1628"/>
    <w:rsid w:val="005E17B9"/>
    <w:rsid w:val="005E1B4E"/>
    <w:rsid w:val="005E1E80"/>
    <w:rsid w:val="005E228C"/>
    <w:rsid w:val="005E2618"/>
    <w:rsid w:val="005E2AF1"/>
    <w:rsid w:val="005E2B53"/>
    <w:rsid w:val="005E2D3D"/>
    <w:rsid w:val="005E2EA7"/>
    <w:rsid w:val="005E2FF4"/>
    <w:rsid w:val="005E394E"/>
    <w:rsid w:val="005E45FE"/>
    <w:rsid w:val="005E4736"/>
    <w:rsid w:val="005E4DB6"/>
    <w:rsid w:val="005E4FFF"/>
    <w:rsid w:val="005E52B8"/>
    <w:rsid w:val="005E5BB3"/>
    <w:rsid w:val="005E5E8D"/>
    <w:rsid w:val="005E620C"/>
    <w:rsid w:val="005E65D4"/>
    <w:rsid w:val="005E66B6"/>
    <w:rsid w:val="005E6852"/>
    <w:rsid w:val="005E6A21"/>
    <w:rsid w:val="005E7054"/>
    <w:rsid w:val="005E7612"/>
    <w:rsid w:val="005E7C6D"/>
    <w:rsid w:val="005F0204"/>
    <w:rsid w:val="005F04DC"/>
    <w:rsid w:val="005F0674"/>
    <w:rsid w:val="005F0BA1"/>
    <w:rsid w:val="005F0CBA"/>
    <w:rsid w:val="005F115F"/>
    <w:rsid w:val="005F1196"/>
    <w:rsid w:val="005F1683"/>
    <w:rsid w:val="005F1731"/>
    <w:rsid w:val="005F188B"/>
    <w:rsid w:val="005F1B5B"/>
    <w:rsid w:val="005F1D84"/>
    <w:rsid w:val="005F2C57"/>
    <w:rsid w:val="005F2D6C"/>
    <w:rsid w:val="005F2DCC"/>
    <w:rsid w:val="005F2E12"/>
    <w:rsid w:val="005F3060"/>
    <w:rsid w:val="005F4250"/>
    <w:rsid w:val="005F452F"/>
    <w:rsid w:val="005F49C8"/>
    <w:rsid w:val="005F52B6"/>
    <w:rsid w:val="005F5840"/>
    <w:rsid w:val="005F584D"/>
    <w:rsid w:val="005F59C1"/>
    <w:rsid w:val="005F59C9"/>
    <w:rsid w:val="005F6097"/>
    <w:rsid w:val="005F60FD"/>
    <w:rsid w:val="005F647D"/>
    <w:rsid w:val="005F6CD5"/>
    <w:rsid w:val="005F7409"/>
    <w:rsid w:val="005F74E1"/>
    <w:rsid w:val="005F7794"/>
    <w:rsid w:val="005F7CDD"/>
    <w:rsid w:val="005F7D3D"/>
    <w:rsid w:val="005F7E20"/>
    <w:rsid w:val="0060028F"/>
    <w:rsid w:val="006003D7"/>
    <w:rsid w:val="00600719"/>
    <w:rsid w:val="006008BD"/>
    <w:rsid w:val="00600E69"/>
    <w:rsid w:val="006011CD"/>
    <w:rsid w:val="00601240"/>
    <w:rsid w:val="006018F5"/>
    <w:rsid w:val="00601B8E"/>
    <w:rsid w:val="00601FDA"/>
    <w:rsid w:val="00602073"/>
    <w:rsid w:val="006020A0"/>
    <w:rsid w:val="0060281B"/>
    <w:rsid w:val="00602845"/>
    <w:rsid w:val="006032C0"/>
    <w:rsid w:val="00603AC8"/>
    <w:rsid w:val="00603AE9"/>
    <w:rsid w:val="00603B51"/>
    <w:rsid w:val="00603DFB"/>
    <w:rsid w:val="00603E09"/>
    <w:rsid w:val="00604210"/>
    <w:rsid w:val="0060432C"/>
    <w:rsid w:val="0060435A"/>
    <w:rsid w:val="00604778"/>
    <w:rsid w:val="00604832"/>
    <w:rsid w:val="006048C7"/>
    <w:rsid w:val="00604B40"/>
    <w:rsid w:val="006051E5"/>
    <w:rsid w:val="00605223"/>
    <w:rsid w:val="006057FD"/>
    <w:rsid w:val="0060590C"/>
    <w:rsid w:val="0060592D"/>
    <w:rsid w:val="00605E42"/>
    <w:rsid w:val="00605EDD"/>
    <w:rsid w:val="006065E8"/>
    <w:rsid w:val="0060738A"/>
    <w:rsid w:val="006073CB"/>
    <w:rsid w:val="00607587"/>
    <w:rsid w:val="006075DF"/>
    <w:rsid w:val="006077EC"/>
    <w:rsid w:val="00607E37"/>
    <w:rsid w:val="00607E66"/>
    <w:rsid w:val="00610160"/>
    <w:rsid w:val="006105FF"/>
    <w:rsid w:val="00610946"/>
    <w:rsid w:val="00610B10"/>
    <w:rsid w:val="0061120F"/>
    <w:rsid w:val="00611F49"/>
    <w:rsid w:val="0061217D"/>
    <w:rsid w:val="006121EF"/>
    <w:rsid w:val="00612289"/>
    <w:rsid w:val="00612297"/>
    <w:rsid w:val="0061276B"/>
    <w:rsid w:val="00613012"/>
    <w:rsid w:val="006130E2"/>
    <w:rsid w:val="00613391"/>
    <w:rsid w:val="00613498"/>
    <w:rsid w:val="00613EDC"/>
    <w:rsid w:val="00614016"/>
    <w:rsid w:val="00614366"/>
    <w:rsid w:val="006143CA"/>
    <w:rsid w:val="006145DB"/>
    <w:rsid w:val="00614876"/>
    <w:rsid w:val="00614ACF"/>
    <w:rsid w:val="0061559A"/>
    <w:rsid w:val="00616486"/>
    <w:rsid w:val="00616651"/>
    <w:rsid w:val="0061673A"/>
    <w:rsid w:val="006171E5"/>
    <w:rsid w:val="0061779A"/>
    <w:rsid w:val="00617C65"/>
    <w:rsid w:val="00617CA5"/>
    <w:rsid w:val="006210D4"/>
    <w:rsid w:val="0062127B"/>
    <w:rsid w:val="006213B2"/>
    <w:rsid w:val="006213EA"/>
    <w:rsid w:val="006214AC"/>
    <w:rsid w:val="00621C0D"/>
    <w:rsid w:val="006222A7"/>
    <w:rsid w:val="00622307"/>
    <w:rsid w:val="00622BA3"/>
    <w:rsid w:val="00622E3D"/>
    <w:rsid w:val="006231C3"/>
    <w:rsid w:val="006231E2"/>
    <w:rsid w:val="00623B8C"/>
    <w:rsid w:val="00624419"/>
    <w:rsid w:val="00624690"/>
    <w:rsid w:val="0062478F"/>
    <w:rsid w:val="00624A27"/>
    <w:rsid w:val="00624A47"/>
    <w:rsid w:val="00624EAA"/>
    <w:rsid w:val="0062529B"/>
    <w:rsid w:val="006259D6"/>
    <w:rsid w:val="00625CC7"/>
    <w:rsid w:val="0062690E"/>
    <w:rsid w:val="00626BC8"/>
    <w:rsid w:val="00626C8F"/>
    <w:rsid w:val="006271C1"/>
    <w:rsid w:val="00627222"/>
    <w:rsid w:val="00627A6F"/>
    <w:rsid w:val="00627D5C"/>
    <w:rsid w:val="006303BF"/>
    <w:rsid w:val="00630750"/>
    <w:rsid w:val="00630EDC"/>
    <w:rsid w:val="006312AD"/>
    <w:rsid w:val="006318F5"/>
    <w:rsid w:val="006319EB"/>
    <w:rsid w:val="00631A54"/>
    <w:rsid w:val="00631C95"/>
    <w:rsid w:val="00631DDE"/>
    <w:rsid w:val="00632540"/>
    <w:rsid w:val="00632AA7"/>
    <w:rsid w:val="00633114"/>
    <w:rsid w:val="006331F7"/>
    <w:rsid w:val="006333A0"/>
    <w:rsid w:val="00633497"/>
    <w:rsid w:val="00633516"/>
    <w:rsid w:val="0063366D"/>
    <w:rsid w:val="00634365"/>
    <w:rsid w:val="0063441C"/>
    <w:rsid w:val="006347BE"/>
    <w:rsid w:val="00634B60"/>
    <w:rsid w:val="006363DD"/>
    <w:rsid w:val="00636BCF"/>
    <w:rsid w:val="00636E58"/>
    <w:rsid w:val="0063708C"/>
    <w:rsid w:val="00637611"/>
    <w:rsid w:val="006379E7"/>
    <w:rsid w:val="00637FA5"/>
    <w:rsid w:val="00640FD9"/>
    <w:rsid w:val="00641ED3"/>
    <w:rsid w:val="006424D5"/>
    <w:rsid w:val="0064285D"/>
    <w:rsid w:val="00642BA7"/>
    <w:rsid w:val="00642D75"/>
    <w:rsid w:val="00642E75"/>
    <w:rsid w:val="006437F6"/>
    <w:rsid w:val="00643E03"/>
    <w:rsid w:val="00644024"/>
    <w:rsid w:val="0064413F"/>
    <w:rsid w:val="00644200"/>
    <w:rsid w:val="0064466E"/>
    <w:rsid w:val="006447AA"/>
    <w:rsid w:val="0064499B"/>
    <w:rsid w:val="00644ACB"/>
    <w:rsid w:val="00645877"/>
    <w:rsid w:val="00645EC1"/>
    <w:rsid w:val="00645F73"/>
    <w:rsid w:val="00645F99"/>
    <w:rsid w:val="006461A8"/>
    <w:rsid w:val="00646266"/>
    <w:rsid w:val="00646499"/>
    <w:rsid w:val="00646F0A"/>
    <w:rsid w:val="006472DE"/>
    <w:rsid w:val="00647392"/>
    <w:rsid w:val="0064741B"/>
    <w:rsid w:val="00647556"/>
    <w:rsid w:val="00647A40"/>
    <w:rsid w:val="00647A84"/>
    <w:rsid w:val="00647D82"/>
    <w:rsid w:val="00647E9D"/>
    <w:rsid w:val="006501DD"/>
    <w:rsid w:val="00650278"/>
    <w:rsid w:val="00650314"/>
    <w:rsid w:val="00650387"/>
    <w:rsid w:val="006504D8"/>
    <w:rsid w:val="00650559"/>
    <w:rsid w:val="00650C28"/>
    <w:rsid w:val="00650D35"/>
    <w:rsid w:val="00650D56"/>
    <w:rsid w:val="006512B6"/>
    <w:rsid w:val="0065132B"/>
    <w:rsid w:val="0065133B"/>
    <w:rsid w:val="006515E0"/>
    <w:rsid w:val="00651C94"/>
    <w:rsid w:val="00651E2E"/>
    <w:rsid w:val="00651F44"/>
    <w:rsid w:val="006520B0"/>
    <w:rsid w:val="006523F7"/>
    <w:rsid w:val="00652593"/>
    <w:rsid w:val="00652924"/>
    <w:rsid w:val="00652BB6"/>
    <w:rsid w:val="0065314B"/>
    <w:rsid w:val="006538B9"/>
    <w:rsid w:val="00653A86"/>
    <w:rsid w:val="00653BC3"/>
    <w:rsid w:val="00653D34"/>
    <w:rsid w:val="006541B5"/>
    <w:rsid w:val="00654C62"/>
    <w:rsid w:val="00654DD9"/>
    <w:rsid w:val="00654F3D"/>
    <w:rsid w:val="00655C6B"/>
    <w:rsid w:val="00655F53"/>
    <w:rsid w:val="006561FA"/>
    <w:rsid w:val="00656263"/>
    <w:rsid w:val="0065637C"/>
    <w:rsid w:val="0065646B"/>
    <w:rsid w:val="00656586"/>
    <w:rsid w:val="00656AC1"/>
    <w:rsid w:val="0065769C"/>
    <w:rsid w:val="00657929"/>
    <w:rsid w:val="0065796D"/>
    <w:rsid w:val="006610BF"/>
    <w:rsid w:val="006611F8"/>
    <w:rsid w:val="00661B9C"/>
    <w:rsid w:val="006622DE"/>
    <w:rsid w:val="0066269A"/>
    <w:rsid w:val="00662BB3"/>
    <w:rsid w:val="0066386B"/>
    <w:rsid w:val="00663CAE"/>
    <w:rsid w:val="00663DAA"/>
    <w:rsid w:val="006643AD"/>
    <w:rsid w:val="006649BE"/>
    <w:rsid w:val="00664E10"/>
    <w:rsid w:val="006651BC"/>
    <w:rsid w:val="006654D3"/>
    <w:rsid w:val="00665B87"/>
    <w:rsid w:val="00666C57"/>
    <w:rsid w:val="00666EB6"/>
    <w:rsid w:val="00667619"/>
    <w:rsid w:val="00667899"/>
    <w:rsid w:val="00667986"/>
    <w:rsid w:val="00667B41"/>
    <w:rsid w:val="00667BB5"/>
    <w:rsid w:val="006703CC"/>
    <w:rsid w:val="006704BC"/>
    <w:rsid w:val="006707EA"/>
    <w:rsid w:val="00670840"/>
    <w:rsid w:val="00670B5A"/>
    <w:rsid w:val="00670BB8"/>
    <w:rsid w:val="00670F9D"/>
    <w:rsid w:val="00670FE2"/>
    <w:rsid w:val="00671A0E"/>
    <w:rsid w:val="00671C85"/>
    <w:rsid w:val="00671FC1"/>
    <w:rsid w:val="00671FF2"/>
    <w:rsid w:val="00672BB5"/>
    <w:rsid w:val="00672FCE"/>
    <w:rsid w:val="00673897"/>
    <w:rsid w:val="00673D68"/>
    <w:rsid w:val="00673F94"/>
    <w:rsid w:val="00674519"/>
    <w:rsid w:val="00674D76"/>
    <w:rsid w:val="00675187"/>
    <w:rsid w:val="006758D5"/>
    <w:rsid w:val="006760A1"/>
    <w:rsid w:val="006760F4"/>
    <w:rsid w:val="006763B1"/>
    <w:rsid w:val="006764AA"/>
    <w:rsid w:val="00676C67"/>
    <w:rsid w:val="00676FA8"/>
    <w:rsid w:val="0067755E"/>
    <w:rsid w:val="00677815"/>
    <w:rsid w:val="006779B9"/>
    <w:rsid w:val="00680118"/>
    <w:rsid w:val="006808D3"/>
    <w:rsid w:val="00680A19"/>
    <w:rsid w:val="00680D71"/>
    <w:rsid w:val="0068116B"/>
    <w:rsid w:val="00681585"/>
    <w:rsid w:val="0068191E"/>
    <w:rsid w:val="00681961"/>
    <w:rsid w:val="00681F07"/>
    <w:rsid w:val="006829B5"/>
    <w:rsid w:val="00682A40"/>
    <w:rsid w:val="00682BB1"/>
    <w:rsid w:val="00682C71"/>
    <w:rsid w:val="00682D07"/>
    <w:rsid w:val="00682EE0"/>
    <w:rsid w:val="00683099"/>
    <w:rsid w:val="00683468"/>
    <w:rsid w:val="0068363A"/>
    <w:rsid w:val="00683D2F"/>
    <w:rsid w:val="0068421B"/>
    <w:rsid w:val="00684282"/>
    <w:rsid w:val="00684A28"/>
    <w:rsid w:val="00685061"/>
    <w:rsid w:val="006851FE"/>
    <w:rsid w:val="006856A0"/>
    <w:rsid w:val="00685702"/>
    <w:rsid w:val="00685968"/>
    <w:rsid w:val="006865C8"/>
    <w:rsid w:val="00686E15"/>
    <w:rsid w:val="00687097"/>
    <w:rsid w:val="00687375"/>
    <w:rsid w:val="0068783C"/>
    <w:rsid w:val="0068794D"/>
    <w:rsid w:val="00687CA0"/>
    <w:rsid w:val="00687D6A"/>
    <w:rsid w:val="00687FD1"/>
    <w:rsid w:val="006903AB"/>
    <w:rsid w:val="006903BE"/>
    <w:rsid w:val="0069049D"/>
    <w:rsid w:val="00690A02"/>
    <w:rsid w:val="00690A2F"/>
    <w:rsid w:val="0069106F"/>
    <w:rsid w:val="0069126E"/>
    <w:rsid w:val="006912E0"/>
    <w:rsid w:val="0069144A"/>
    <w:rsid w:val="00691472"/>
    <w:rsid w:val="0069200F"/>
    <w:rsid w:val="00692156"/>
    <w:rsid w:val="006922DA"/>
    <w:rsid w:val="00692817"/>
    <w:rsid w:val="00692AA4"/>
    <w:rsid w:val="00692E66"/>
    <w:rsid w:val="006931EF"/>
    <w:rsid w:val="00693EAF"/>
    <w:rsid w:val="00694C02"/>
    <w:rsid w:val="0069583C"/>
    <w:rsid w:val="00695EED"/>
    <w:rsid w:val="006960F3"/>
    <w:rsid w:val="00696437"/>
    <w:rsid w:val="00696464"/>
    <w:rsid w:val="00696465"/>
    <w:rsid w:val="006969D8"/>
    <w:rsid w:val="00696B00"/>
    <w:rsid w:val="00696B21"/>
    <w:rsid w:val="00696C53"/>
    <w:rsid w:val="0069775D"/>
    <w:rsid w:val="00697C32"/>
    <w:rsid w:val="00697EF2"/>
    <w:rsid w:val="006A00CF"/>
    <w:rsid w:val="006A04F1"/>
    <w:rsid w:val="006A0DEF"/>
    <w:rsid w:val="006A1716"/>
    <w:rsid w:val="006A1B43"/>
    <w:rsid w:val="006A1CFB"/>
    <w:rsid w:val="006A2218"/>
    <w:rsid w:val="006A25BC"/>
    <w:rsid w:val="006A2C85"/>
    <w:rsid w:val="006A3129"/>
    <w:rsid w:val="006A394E"/>
    <w:rsid w:val="006A3C1C"/>
    <w:rsid w:val="006A3F83"/>
    <w:rsid w:val="006A4863"/>
    <w:rsid w:val="006A4B6D"/>
    <w:rsid w:val="006A4B85"/>
    <w:rsid w:val="006A4CB5"/>
    <w:rsid w:val="006A4FB6"/>
    <w:rsid w:val="006A5510"/>
    <w:rsid w:val="006A5921"/>
    <w:rsid w:val="006A5A1B"/>
    <w:rsid w:val="006A5DC7"/>
    <w:rsid w:val="006A600C"/>
    <w:rsid w:val="006A60E3"/>
    <w:rsid w:val="006A6255"/>
    <w:rsid w:val="006A65DF"/>
    <w:rsid w:val="006A68E7"/>
    <w:rsid w:val="006A6CF7"/>
    <w:rsid w:val="006A7205"/>
    <w:rsid w:val="006A7327"/>
    <w:rsid w:val="006A7583"/>
    <w:rsid w:val="006A7612"/>
    <w:rsid w:val="006A7731"/>
    <w:rsid w:val="006A77C7"/>
    <w:rsid w:val="006A7B60"/>
    <w:rsid w:val="006A7D37"/>
    <w:rsid w:val="006A7EE1"/>
    <w:rsid w:val="006B00E6"/>
    <w:rsid w:val="006B011D"/>
    <w:rsid w:val="006B0819"/>
    <w:rsid w:val="006B0A62"/>
    <w:rsid w:val="006B1051"/>
    <w:rsid w:val="006B1144"/>
    <w:rsid w:val="006B1912"/>
    <w:rsid w:val="006B1B22"/>
    <w:rsid w:val="006B2054"/>
    <w:rsid w:val="006B232A"/>
    <w:rsid w:val="006B2C7B"/>
    <w:rsid w:val="006B2DDF"/>
    <w:rsid w:val="006B32D7"/>
    <w:rsid w:val="006B3E5B"/>
    <w:rsid w:val="006B3F8A"/>
    <w:rsid w:val="006B4090"/>
    <w:rsid w:val="006B417D"/>
    <w:rsid w:val="006B4D22"/>
    <w:rsid w:val="006B50E4"/>
    <w:rsid w:val="006B51A0"/>
    <w:rsid w:val="006B5AA6"/>
    <w:rsid w:val="006B615E"/>
    <w:rsid w:val="006B626B"/>
    <w:rsid w:val="006B64A2"/>
    <w:rsid w:val="006B6818"/>
    <w:rsid w:val="006B6AD5"/>
    <w:rsid w:val="006B7091"/>
    <w:rsid w:val="006B71D8"/>
    <w:rsid w:val="006B72DC"/>
    <w:rsid w:val="006B7735"/>
    <w:rsid w:val="006B7950"/>
    <w:rsid w:val="006B7B54"/>
    <w:rsid w:val="006B7D91"/>
    <w:rsid w:val="006B7E8C"/>
    <w:rsid w:val="006C00AE"/>
    <w:rsid w:val="006C01A9"/>
    <w:rsid w:val="006C05E4"/>
    <w:rsid w:val="006C0778"/>
    <w:rsid w:val="006C0931"/>
    <w:rsid w:val="006C15E1"/>
    <w:rsid w:val="006C24D5"/>
    <w:rsid w:val="006C2797"/>
    <w:rsid w:val="006C2A5B"/>
    <w:rsid w:val="006C2DA2"/>
    <w:rsid w:val="006C2F1B"/>
    <w:rsid w:val="006C3012"/>
    <w:rsid w:val="006C324D"/>
    <w:rsid w:val="006C356F"/>
    <w:rsid w:val="006C385E"/>
    <w:rsid w:val="006C3A2F"/>
    <w:rsid w:val="006C3E1C"/>
    <w:rsid w:val="006C414C"/>
    <w:rsid w:val="006C438B"/>
    <w:rsid w:val="006C4CAE"/>
    <w:rsid w:val="006C5096"/>
    <w:rsid w:val="006C5205"/>
    <w:rsid w:val="006C58CC"/>
    <w:rsid w:val="006C5C79"/>
    <w:rsid w:val="006C5ED3"/>
    <w:rsid w:val="006C60F1"/>
    <w:rsid w:val="006C6692"/>
    <w:rsid w:val="006C66CA"/>
    <w:rsid w:val="006C6A44"/>
    <w:rsid w:val="006C6B72"/>
    <w:rsid w:val="006D0584"/>
    <w:rsid w:val="006D0AB6"/>
    <w:rsid w:val="006D0D05"/>
    <w:rsid w:val="006D1604"/>
    <w:rsid w:val="006D22C4"/>
    <w:rsid w:val="006D2AA9"/>
    <w:rsid w:val="006D2AE7"/>
    <w:rsid w:val="006D2F83"/>
    <w:rsid w:val="006D3431"/>
    <w:rsid w:val="006D375E"/>
    <w:rsid w:val="006D3921"/>
    <w:rsid w:val="006D4471"/>
    <w:rsid w:val="006D4A89"/>
    <w:rsid w:val="006D4B82"/>
    <w:rsid w:val="006D5BE6"/>
    <w:rsid w:val="006D629E"/>
    <w:rsid w:val="006D643A"/>
    <w:rsid w:val="006D645A"/>
    <w:rsid w:val="006D6892"/>
    <w:rsid w:val="006D6B2A"/>
    <w:rsid w:val="006D746B"/>
    <w:rsid w:val="006D74AE"/>
    <w:rsid w:val="006D76EF"/>
    <w:rsid w:val="006D7BB3"/>
    <w:rsid w:val="006E0A42"/>
    <w:rsid w:val="006E0AC0"/>
    <w:rsid w:val="006E0CEC"/>
    <w:rsid w:val="006E0F32"/>
    <w:rsid w:val="006E10DD"/>
    <w:rsid w:val="006E11E0"/>
    <w:rsid w:val="006E129F"/>
    <w:rsid w:val="006E13A8"/>
    <w:rsid w:val="006E15E0"/>
    <w:rsid w:val="006E1F34"/>
    <w:rsid w:val="006E236D"/>
    <w:rsid w:val="006E2E63"/>
    <w:rsid w:val="006E327A"/>
    <w:rsid w:val="006E37DD"/>
    <w:rsid w:val="006E39EC"/>
    <w:rsid w:val="006E3DED"/>
    <w:rsid w:val="006E3FC7"/>
    <w:rsid w:val="006E48A2"/>
    <w:rsid w:val="006E4BD5"/>
    <w:rsid w:val="006E4E2B"/>
    <w:rsid w:val="006E4FB6"/>
    <w:rsid w:val="006E4FC2"/>
    <w:rsid w:val="006E5049"/>
    <w:rsid w:val="006E5077"/>
    <w:rsid w:val="006E52A9"/>
    <w:rsid w:val="006E593D"/>
    <w:rsid w:val="006E5B3B"/>
    <w:rsid w:val="006E5CBA"/>
    <w:rsid w:val="006E5E48"/>
    <w:rsid w:val="006E6074"/>
    <w:rsid w:val="006E62B9"/>
    <w:rsid w:val="006E673E"/>
    <w:rsid w:val="006E69DD"/>
    <w:rsid w:val="006E6B76"/>
    <w:rsid w:val="006E6DC5"/>
    <w:rsid w:val="006E7123"/>
    <w:rsid w:val="006E72BC"/>
    <w:rsid w:val="006E7F9D"/>
    <w:rsid w:val="006F008D"/>
    <w:rsid w:val="006F04E1"/>
    <w:rsid w:val="006F0542"/>
    <w:rsid w:val="006F05C5"/>
    <w:rsid w:val="006F0C28"/>
    <w:rsid w:val="006F11A5"/>
    <w:rsid w:val="006F1245"/>
    <w:rsid w:val="006F1304"/>
    <w:rsid w:val="006F13BB"/>
    <w:rsid w:val="006F144F"/>
    <w:rsid w:val="006F1C65"/>
    <w:rsid w:val="006F26E6"/>
    <w:rsid w:val="006F2727"/>
    <w:rsid w:val="006F2996"/>
    <w:rsid w:val="006F29E4"/>
    <w:rsid w:val="006F2DB6"/>
    <w:rsid w:val="006F330D"/>
    <w:rsid w:val="006F41AB"/>
    <w:rsid w:val="006F4826"/>
    <w:rsid w:val="006F494C"/>
    <w:rsid w:val="006F499D"/>
    <w:rsid w:val="006F49F5"/>
    <w:rsid w:val="006F5B01"/>
    <w:rsid w:val="006F6632"/>
    <w:rsid w:val="006F72EB"/>
    <w:rsid w:val="006F7471"/>
    <w:rsid w:val="006F752F"/>
    <w:rsid w:val="006F778F"/>
    <w:rsid w:val="006F7DAB"/>
    <w:rsid w:val="006F7E27"/>
    <w:rsid w:val="007001B9"/>
    <w:rsid w:val="0070091A"/>
    <w:rsid w:val="00700961"/>
    <w:rsid w:val="00700A18"/>
    <w:rsid w:val="00700B26"/>
    <w:rsid w:val="00700CC6"/>
    <w:rsid w:val="007013AF"/>
    <w:rsid w:val="007016AF"/>
    <w:rsid w:val="00701725"/>
    <w:rsid w:val="00701D30"/>
    <w:rsid w:val="00701F5A"/>
    <w:rsid w:val="007022FD"/>
    <w:rsid w:val="00702720"/>
    <w:rsid w:val="0070278C"/>
    <w:rsid w:val="007027C4"/>
    <w:rsid w:val="00702901"/>
    <w:rsid w:val="00702A91"/>
    <w:rsid w:val="00702E83"/>
    <w:rsid w:val="00703EDA"/>
    <w:rsid w:val="007046C1"/>
    <w:rsid w:val="00704A8C"/>
    <w:rsid w:val="00704E2E"/>
    <w:rsid w:val="00705547"/>
    <w:rsid w:val="007056D1"/>
    <w:rsid w:val="007057B0"/>
    <w:rsid w:val="00705B08"/>
    <w:rsid w:val="00705C38"/>
    <w:rsid w:val="00705C85"/>
    <w:rsid w:val="00705E3D"/>
    <w:rsid w:val="00705EAB"/>
    <w:rsid w:val="00705F36"/>
    <w:rsid w:val="00705FC4"/>
    <w:rsid w:val="0070663E"/>
    <w:rsid w:val="0070688A"/>
    <w:rsid w:val="007069B1"/>
    <w:rsid w:val="00706FB7"/>
    <w:rsid w:val="00707372"/>
    <w:rsid w:val="00707385"/>
    <w:rsid w:val="0070794A"/>
    <w:rsid w:val="0070794B"/>
    <w:rsid w:val="00707F7A"/>
    <w:rsid w:val="00710226"/>
    <w:rsid w:val="0071028E"/>
    <w:rsid w:val="00710D7F"/>
    <w:rsid w:val="0071110E"/>
    <w:rsid w:val="00711220"/>
    <w:rsid w:val="0071152A"/>
    <w:rsid w:val="0071175F"/>
    <w:rsid w:val="00711C49"/>
    <w:rsid w:val="00711C51"/>
    <w:rsid w:val="00711CC9"/>
    <w:rsid w:val="00711DF3"/>
    <w:rsid w:val="007122EC"/>
    <w:rsid w:val="00712462"/>
    <w:rsid w:val="007124E4"/>
    <w:rsid w:val="00712510"/>
    <w:rsid w:val="00712542"/>
    <w:rsid w:val="0071254B"/>
    <w:rsid w:val="00712597"/>
    <w:rsid w:val="00712CBE"/>
    <w:rsid w:val="00712E77"/>
    <w:rsid w:val="00712F62"/>
    <w:rsid w:val="00713006"/>
    <w:rsid w:val="00713091"/>
    <w:rsid w:val="00713108"/>
    <w:rsid w:val="007136B2"/>
    <w:rsid w:val="00713B7C"/>
    <w:rsid w:val="00713D83"/>
    <w:rsid w:val="00713F11"/>
    <w:rsid w:val="00714A56"/>
    <w:rsid w:val="0071524D"/>
    <w:rsid w:val="00715EF0"/>
    <w:rsid w:val="007165DE"/>
    <w:rsid w:val="007168AE"/>
    <w:rsid w:val="00716D87"/>
    <w:rsid w:val="007170B4"/>
    <w:rsid w:val="00717116"/>
    <w:rsid w:val="00717206"/>
    <w:rsid w:val="0071728C"/>
    <w:rsid w:val="00717B16"/>
    <w:rsid w:val="0072000C"/>
    <w:rsid w:val="007203BE"/>
    <w:rsid w:val="007208B1"/>
    <w:rsid w:val="00720D10"/>
    <w:rsid w:val="00720FF5"/>
    <w:rsid w:val="007211A5"/>
    <w:rsid w:val="00721A10"/>
    <w:rsid w:val="00721CE2"/>
    <w:rsid w:val="00722406"/>
    <w:rsid w:val="007224B8"/>
    <w:rsid w:val="00722647"/>
    <w:rsid w:val="00722EF8"/>
    <w:rsid w:val="007231FB"/>
    <w:rsid w:val="00723486"/>
    <w:rsid w:val="007237BB"/>
    <w:rsid w:val="00723C69"/>
    <w:rsid w:val="00723F14"/>
    <w:rsid w:val="00724595"/>
    <w:rsid w:val="007245FE"/>
    <w:rsid w:val="007249F4"/>
    <w:rsid w:val="00725081"/>
    <w:rsid w:val="007253C3"/>
    <w:rsid w:val="00725683"/>
    <w:rsid w:val="007258E0"/>
    <w:rsid w:val="00725A19"/>
    <w:rsid w:val="00725E78"/>
    <w:rsid w:val="0072691D"/>
    <w:rsid w:val="00726ACB"/>
    <w:rsid w:val="00726B71"/>
    <w:rsid w:val="00726EB2"/>
    <w:rsid w:val="00726F32"/>
    <w:rsid w:val="00727281"/>
    <w:rsid w:val="0072772B"/>
    <w:rsid w:val="00727E54"/>
    <w:rsid w:val="00730091"/>
    <w:rsid w:val="00730146"/>
    <w:rsid w:val="00730165"/>
    <w:rsid w:val="007303DA"/>
    <w:rsid w:val="007303E1"/>
    <w:rsid w:val="007305EC"/>
    <w:rsid w:val="00730DBB"/>
    <w:rsid w:val="007310A5"/>
    <w:rsid w:val="0073164B"/>
    <w:rsid w:val="007319CE"/>
    <w:rsid w:val="00731EAC"/>
    <w:rsid w:val="00731F50"/>
    <w:rsid w:val="00732049"/>
    <w:rsid w:val="00732331"/>
    <w:rsid w:val="0073241A"/>
    <w:rsid w:val="007324C3"/>
    <w:rsid w:val="00732693"/>
    <w:rsid w:val="0073299F"/>
    <w:rsid w:val="00732AF8"/>
    <w:rsid w:val="00733624"/>
    <w:rsid w:val="0073396E"/>
    <w:rsid w:val="00734413"/>
    <w:rsid w:val="00735258"/>
    <w:rsid w:val="00735395"/>
    <w:rsid w:val="00735AA6"/>
    <w:rsid w:val="00735BE3"/>
    <w:rsid w:val="00735CFD"/>
    <w:rsid w:val="00736117"/>
    <w:rsid w:val="00736265"/>
    <w:rsid w:val="007364FF"/>
    <w:rsid w:val="00736723"/>
    <w:rsid w:val="0073694E"/>
    <w:rsid w:val="00736A9C"/>
    <w:rsid w:val="00736D0B"/>
    <w:rsid w:val="007372D5"/>
    <w:rsid w:val="00737BD4"/>
    <w:rsid w:val="00737C27"/>
    <w:rsid w:val="00740A69"/>
    <w:rsid w:val="00740BFF"/>
    <w:rsid w:val="00740D40"/>
    <w:rsid w:val="00740F64"/>
    <w:rsid w:val="00740FB0"/>
    <w:rsid w:val="007412BD"/>
    <w:rsid w:val="00741B4C"/>
    <w:rsid w:val="00742290"/>
    <w:rsid w:val="0074287B"/>
    <w:rsid w:val="00742AEB"/>
    <w:rsid w:val="00742C1D"/>
    <w:rsid w:val="00742C88"/>
    <w:rsid w:val="00742D61"/>
    <w:rsid w:val="0074361D"/>
    <w:rsid w:val="00743868"/>
    <w:rsid w:val="007441F6"/>
    <w:rsid w:val="0074423B"/>
    <w:rsid w:val="007447A9"/>
    <w:rsid w:val="007449C2"/>
    <w:rsid w:val="00745581"/>
    <w:rsid w:val="00745D92"/>
    <w:rsid w:val="00745EC2"/>
    <w:rsid w:val="007461FD"/>
    <w:rsid w:val="00746332"/>
    <w:rsid w:val="00746652"/>
    <w:rsid w:val="007468CF"/>
    <w:rsid w:val="00746CDE"/>
    <w:rsid w:val="0074767D"/>
    <w:rsid w:val="007476B7"/>
    <w:rsid w:val="007477BA"/>
    <w:rsid w:val="00747904"/>
    <w:rsid w:val="00747B5E"/>
    <w:rsid w:val="0075028B"/>
    <w:rsid w:val="00750800"/>
    <w:rsid w:val="00750B4D"/>
    <w:rsid w:val="00750CBA"/>
    <w:rsid w:val="007515BD"/>
    <w:rsid w:val="0075265E"/>
    <w:rsid w:val="0075277F"/>
    <w:rsid w:val="007528EB"/>
    <w:rsid w:val="00752C2D"/>
    <w:rsid w:val="00752E14"/>
    <w:rsid w:val="007531A5"/>
    <w:rsid w:val="0075415E"/>
    <w:rsid w:val="0075431A"/>
    <w:rsid w:val="007543DB"/>
    <w:rsid w:val="00754B16"/>
    <w:rsid w:val="00754FCE"/>
    <w:rsid w:val="007551BD"/>
    <w:rsid w:val="00755388"/>
    <w:rsid w:val="00755A3D"/>
    <w:rsid w:val="00755C3E"/>
    <w:rsid w:val="00756075"/>
    <w:rsid w:val="00756741"/>
    <w:rsid w:val="00756C7A"/>
    <w:rsid w:val="00756CA6"/>
    <w:rsid w:val="00756DD3"/>
    <w:rsid w:val="00756F87"/>
    <w:rsid w:val="00756FA0"/>
    <w:rsid w:val="007578FB"/>
    <w:rsid w:val="00757A51"/>
    <w:rsid w:val="00757B52"/>
    <w:rsid w:val="00757D16"/>
    <w:rsid w:val="00757D7E"/>
    <w:rsid w:val="00760147"/>
    <w:rsid w:val="007603FF"/>
    <w:rsid w:val="0076167C"/>
    <w:rsid w:val="007616B9"/>
    <w:rsid w:val="00761B88"/>
    <w:rsid w:val="00761BA2"/>
    <w:rsid w:val="00761E20"/>
    <w:rsid w:val="00762586"/>
    <w:rsid w:val="00762C4A"/>
    <w:rsid w:val="00762E43"/>
    <w:rsid w:val="00762E6D"/>
    <w:rsid w:val="0076300E"/>
    <w:rsid w:val="00763164"/>
    <w:rsid w:val="007634C2"/>
    <w:rsid w:val="00763765"/>
    <w:rsid w:val="00763871"/>
    <w:rsid w:val="00764080"/>
    <w:rsid w:val="007641A4"/>
    <w:rsid w:val="007644BE"/>
    <w:rsid w:val="007649EA"/>
    <w:rsid w:val="00764A18"/>
    <w:rsid w:val="00764E5B"/>
    <w:rsid w:val="00765BC7"/>
    <w:rsid w:val="00766396"/>
    <w:rsid w:val="00766691"/>
    <w:rsid w:val="0076726D"/>
    <w:rsid w:val="007672FC"/>
    <w:rsid w:val="00767327"/>
    <w:rsid w:val="00767CF2"/>
    <w:rsid w:val="00770913"/>
    <w:rsid w:val="00770B1F"/>
    <w:rsid w:val="00770FE4"/>
    <w:rsid w:val="00771D53"/>
    <w:rsid w:val="00771E5F"/>
    <w:rsid w:val="0077216F"/>
    <w:rsid w:val="00772B96"/>
    <w:rsid w:val="007731E6"/>
    <w:rsid w:val="00773DD8"/>
    <w:rsid w:val="007741FC"/>
    <w:rsid w:val="007744E5"/>
    <w:rsid w:val="00774880"/>
    <w:rsid w:val="007748EF"/>
    <w:rsid w:val="00774E0F"/>
    <w:rsid w:val="007757F1"/>
    <w:rsid w:val="00775B6E"/>
    <w:rsid w:val="00776410"/>
    <w:rsid w:val="007765B3"/>
    <w:rsid w:val="0077670F"/>
    <w:rsid w:val="007769CA"/>
    <w:rsid w:val="00776E69"/>
    <w:rsid w:val="007775FE"/>
    <w:rsid w:val="00777970"/>
    <w:rsid w:val="00777E02"/>
    <w:rsid w:val="00777ED0"/>
    <w:rsid w:val="007804AB"/>
    <w:rsid w:val="007805F2"/>
    <w:rsid w:val="00780849"/>
    <w:rsid w:val="00780946"/>
    <w:rsid w:val="00780A91"/>
    <w:rsid w:val="00780AF0"/>
    <w:rsid w:val="0078116B"/>
    <w:rsid w:val="0078121D"/>
    <w:rsid w:val="007813C3"/>
    <w:rsid w:val="00781959"/>
    <w:rsid w:val="00781BFC"/>
    <w:rsid w:val="00781EE0"/>
    <w:rsid w:val="00782128"/>
    <w:rsid w:val="0078237E"/>
    <w:rsid w:val="0078244A"/>
    <w:rsid w:val="00782612"/>
    <w:rsid w:val="00782E22"/>
    <w:rsid w:val="00783231"/>
    <w:rsid w:val="00783256"/>
    <w:rsid w:val="0078325A"/>
    <w:rsid w:val="00783772"/>
    <w:rsid w:val="00783C15"/>
    <w:rsid w:val="00783DF2"/>
    <w:rsid w:val="00783E65"/>
    <w:rsid w:val="00784248"/>
    <w:rsid w:val="007845F6"/>
    <w:rsid w:val="0078475F"/>
    <w:rsid w:val="0078485C"/>
    <w:rsid w:val="0078548C"/>
    <w:rsid w:val="00785AC9"/>
    <w:rsid w:val="00785BEF"/>
    <w:rsid w:val="00786A88"/>
    <w:rsid w:val="00786C97"/>
    <w:rsid w:val="00786ED5"/>
    <w:rsid w:val="0078738F"/>
    <w:rsid w:val="00787970"/>
    <w:rsid w:val="0078799F"/>
    <w:rsid w:val="00787A43"/>
    <w:rsid w:val="00787EA7"/>
    <w:rsid w:val="00790644"/>
    <w:rsid w:val="00790827"/>
    <w:rsid w:val="00790D03"/>
    <w:rsid w:val="0079163B"/>
    <w:rsid w:val="00792BA2"/>
    <w:rsid w:val="00792BCB"/>
    <w:rsid w:val="00792CA3"/>
    <w:rsid w:val="00792E69"/>
    <w:rsid w:val="00792EC8"/>
    <w:rsid w:val="007935CA"/>
    <w:rsid w:val="00793777"/>
    <w:rsid w:val="00793B67"/>
    <w:rsid w:val="00793BEF"/>
    <w:rsid w:val="00793C5B"/>
    <w:rsid w:val="00793C9B"/>
    <w:rsid w:val="007941DB"/>
    <w:rsid w:val="0079445D"/>
    <w:rsid w:val="0079475F"/>
    <w:rsid w:val="00794AEA"/>
    <w:rsid w:val="00794C16"/>
    <w:rsid w:val="00795509"/>
    <w:rsid w:val="00795A9F"/>
    <w:rsid w:val="00795CA2"/>
    <w:rsid w:val="0079619F"/>
    <w:rsid w:val="00796245"/>
    <w:rsid w:val="0079624A"/>
    <w:rsid w:val="00796FDE"/>
    <w:rsid w:val="007972B7"/>
    <w:rsid w:val="00797329"/>
    <w:rsid w:val="00797C97"/>
    <w:rsid w:val="00797F53"/>
    <w:rsid w:val="007A025D"/>
    <w:rsid w:val="007A0455"/>
    <w:rsid w:val="007A0880"/>
    <w:rsid w:val="007A0F8D"/>
    <w:rsid w:val="007A1106"/>
    <w:rsid w:val="007A162D"/>
    <w:rsid w:val="007A1677"/>
    <w:rsid w:val="007A1969"/>
    <w:rsid w:val="007A1C04"/>
    <w:rsid w:val="007A2407"/>
    <w:rsid w:val="007A269B"/>
    <w:rsid w:val="007A3798"/>
    <w:rsid w:val="007A3BBD"/>
    <w:rsid w:val="007A4167"/>
    <w:rsid w:val="007A4182"/>
    <w:rsid w:val="007A46BB"/>
    <w:rsid w:val="007A4993"/>
    <w:rsid w:val="007A51D3"/>
    <w:rsid w:val="007A5A36"/>
    <w:rsid w:val="007A5B08"/>
    <w:rsid w:val="007A5CAB"/>
    <w:rsid w:val="007A5CB0"/>
    <w:rsid w:val="007A5D81"/>
    <w:rsid w:val="007A5DE6"/>
    <w:rsid w:val="007A6484"/>
    <w:rsid w:val="007A6AAF"/>
    <w:rsid w:val="007A749B"/>
    <w:rsid w:val="007A75F0"/>
    <w:rsid w:val="007A7B89"/>
    <w:rsid w:val="007A7BCC"/>
    <w:rsid w:val="007B0151"/>
    <w:rsid w:val="007B04E5"/>
    <w:rsid w:val="007B09F9"/>
    <w:rsid w:val="007B0C94"/>
    <w:rsid w:val="007B1904"/>
    <w:rsid w:val="007B1A56"/>
    <w:rsid w:val="007B252D"/>
    <w:rsid w:val="007B27EF"/>
    <w:rsid w:val="007B32A9"/>
    <w:rsid w:val="007B395F"/>
    <w:rsid w:val="007B3C5C"/>
    <w:rsid w:val="007B4199"/>
    <w:rsid w:val="007B45D7"/>
    <w:rsid w:val="007B4773"/>
    <w:rsid w:val="007B4BC7"/>
    <w:rsid w:val="007B4D2D"/>
    <w:rsid w:val="007B4F5C"/>
    <w:rsid w:val="007B52E3"/>
    <w:rsid w:val="007B542F"/>
    <w:rsid w:val="007B5872"/>
    <w:rsid w:val="007B5FEA"/>
    <w:rsid w:val="007B66A5"/>
    <w:rsid w:val="007B679F"/>
    <w:rsid w:val="007B6A36"/>
    <w:rsid w:val="007B724F"/>
    <w:rsid w:val="007B7397"/>
    <w:rsid w:val="007B74F2"/>
    <w:rsid w:val="007B7591"/>
    <w:rsid w:val="007B7753"/>
    <w:rsid w:val="007C0EBA"/>
    <w:rsid w:val="007C1379"/>
    <w:rsid w:val="007C1953"/>
    <w:rsid w:val="007C19B4"/>
    <w:rsid w:val="007C26B8"/>
    <w:rsid w:val="007C2A7A"/>
    <w:rsid w:val="007C2AC4"/>
    <w:rsid w:val="007C2EF1"/>
    <w:rsid w:val="007C3F84"/>
    <w:rsid w:val="007C4732"/>
    <w:rsid w:val="007C568D"/>
    <w:rsid w:val="007C5CFD"/>
    <w:rsid w:val="007C5FE1"/>
    <w:rsid w:val="007C614C"/>
    <w:rsid w:val="007C64AC"/>
    <w:rsid w:val="007C674E"/>
    <w:rsid w:val="007C6B77"/>
    <w:rsid w:val="007C6C4C"/>
    <w:rsid w:val="007C6FDF"/>
    <w:rsid w:val="007C71C4"/>
    <w:rsid w:val="007C75C1"/>
    <w:rsid w:val="007C7742"/>
    <w:rsid w:val="007C7950"/>
    <w:rsid w:val="007D007C"/>
    <w:rsid w:val="007D00CB"/>
    <w:rsid w:val="007D01D4"/>
    <w:rsid w:val="007D0C80"/>
    <w:rsid w:val="007D141E"/>
    <w:rsid w:val="007D193B"/>
    <w:rsid w:val="007D20DA"/>
    <w:rsid w:val="007D23AD"/>
    <w:rsid w:val="007D2812"/>
    <w:rsid w:val="007D2C03"/>
    <w:rsid w:val="007D3013"/>
    <w:rsid w:val="007D33D6"/>
    <w:rsid w:val="007D3746"/>
    <w:rsid w:val="007D3DBB"/>
    <w:rsid w:val="007D40A7"/>
    <w:rsid w:val="007D425D"/>
    <w:rsid w:val="007D42E8"/>
    <w:rsid w:val="007D4755"/>
    <w:rsid w:val="007D48D7"/>
    <w:rsid w:val="007D4C07"/>
    <w:rsid w:val="007D4C4C"/>
    <w:rsid w:val="007D4F94"/>
    <w:rsid w:val="007D577A"/>
    <w:rsid w:val="007D57EB"/>
    <w:rsid w:val="007D5D87"/>
    <w:rsid w:val="007D62AF"/>
    <w:rsid w:val="007D6430"/>
    <w:rsid w:val="007D67A3"/>
    <w:rsid w:val="007D6A7E"/>
    <w:rsid w:val="007D6D44"/>
    <w:rsid w:val="007D6E13"/>
    <w:rsid w:val="007D70D1"/>
    <w:rsid w:val="007D753A"/>
    <w:rsid w:val="007D7B76"/>
    <w:rsid w:val="007D7B8B"/>
    <w:rsid w:val="007D7C31"/>
    <w:rsid w:val="007E027F"/>
    <w:rsid w:val="007E0495"/>
    <w:rsid w:val="007E08BD"/>
    <w:rsid w:val="007E0A9D"/>
    <w:rsid w:val="007E0DFE"/>
    <w:rsid w:val="007E1084"/>
    <w:rsid w:val="007E14CE"/>
    <w:rsid w:val="007E1865"/>
    <w:rsid w:val="007E28AA"/>
    <w:rsid w:val="007E2A98"/>
    <w:rsid w:val="007E3551"/>
    <w:rsid w:val="007E3BF6"/>
    <w:rsid w:val="007E47EE"/>
    <w:rsid w:val="007E4903"/>
    <w:rsid w:val="007E4C30"/>
    <w:rsid w:val="007E51B6"/>
    <w:rsid w:val="007E5555"/>
    <w:rsid w:val="007E5B0F"/>
    <w:rsid w:val="007E5B55"/>
    <w:rsid w:val="007E5CCA"/>
    <w:rsid w:val="007E680E"/>
    <w:rsid w:val="007E6955"/>
    <w:rsid w:val="007E6ABA"/>
    <w:rsid w:val="007E6B19"/>
    <w:rsid w:val="007E74DA"/>
    <w:rsid w:val="007E7610"/>
    <w:rsid w:val="007E76CB"/>
    <w:rsid w:val="007E7BF7"/>
    <w:rsid w:val="007E7D3F"/>
    <w:rsid w:val="007F03B2"/>
    <w:rsid w:val="007F05F2"/>
    <w:rsid w:val="007F0FB7"/>
    <w:rsid w:val="007F166D"/>
    <w:rsid w:val="007F19D7"/>
    <w:rsid w:val="007F1B85"/>
    <w:rsid w:val="007F1C03"/>
    <w:rsid w:val="007F237A"/>
    <w:rsid w:val="007F257A"/>
    <w:rsid w:val="007F2626"/>
    <w:rsid w:val="007F2A99"/>
    <w:rsid w:val="007F2ECE"/>
    <w:rsid w:val="007F30AB"/>
    <w:rsid w:val="007F3143"/>
    <w:rsid w:val="007F4263"/>
    <w:rsid w:val="007F42BC"/>
    <w:rsid w:val="007F43FD"/>
    <w:rsid w:val="007F4F86"/>
    <w:rsid w:val="007F5065"/>
    <w:rsid w:val="007F507C"/>
    <w:rsid w:val="007F509A"/>
    <w:rsid w:val="007F562A"/>
    <w:rsid w:val="007F5736"/>
    <w:rsid w:val="007F5B5C"/>
    <w:rsid w:val="007F5E9A"/>
    <w:rsid w:val="007F62D3"/>
    <w:rsid w:val="007F65CB"/>
    <w:rsid w:val="007F668F"/>
    <w:rsid w:val="007F7251"/>
    <w:rsid w:val="007F748F"/>
    <w:rsid w:val="0080042D"/>
    <w:rsid w:val="00800590"/>
    <w:rsid w:val="008005FA"/>
    <w:rsid w:val="0080090F"/>
    <w:rsid w:val="008009F3"/>
    <w:rsid w:val="00800ACF"/>
    <w:rsid w:val="00801117"/>
    <w:rsid w:val="00801FD1"/>
    <w:rsid w:val="00802223"/>
    <w:rsid w:val="0080250B"/>
    <w:rsid w:val="008026A6"/>
    <w:rsid w:val="00802BEC"/>
    <w:rsid w:val="00802F59"/>
    <w:rsid w:val="008035CA"/>
    <w:rsid w:val="0080367E"/>
    <w:rsid w:val="0080376A"/>
    <w:rsid w:val="00803875"/>
    <w:rsid w:val="00803A63"/>
    <w:rsid w:val="00803CA0"/>
    <w:rsid w:val="0080457D"/>
    <w:rsid w:val="008049D9"/>
    <w:rsid w:val="00804D91"/>
    <w:rsid w:val="00804E06"/>
    <w:rsid w:val="00804EC9"/>
    <w:rsid w:val="00804EE7"/>
    <w:rsid w:val="00805445"/>
    <w:rsid w:val="00805495"/>
    <w:rsid w:val="008066D2"/>
    <w:rsid w:val="0080733B"/>
    <w:rsid w:val="008077BC"/>
    <w:rsid w:val="008079BC"/>
    <w:rsid w:val="00807D16"/>
    <w:rsid w:val="00807D8F"/>
    <w:rsid w:val="008100DA"/>
    <w:rsid w:val="008104F6"/>
    <w:rsid w:val="00810635"/>
    <w:rsid w:val="00810715"/>
    <w:rsid w:val="00811C05"/>
    <w:rsid w:val="00811C1E"/>
    <w:rsid w:val="00811DBB"/>
    <w:rsid w:val="00811F8F"/>
    <w:rsid w:val="008120A3"/>
    <w:rsid w:val="00812409"/>
    <w:rsid w:val="008128EE"/>
    <w:rsid w:val="00812981"/>
    <w:rsid w:val="00813290"/>
    <w:rsid w:val="008133EB"/>
    <w:rsid w:val="00813697"/>
    <w:rsid w:val="00813989"/>
    <w:rsid w:val="00813B28"/>
    <w:rsid w:val="00813D38"/>
    <w:rsid w:val="00813D3D"/>
    <w:rsid w:val="00814008"/>
    <w:rsid w:val="00814083"/>
    <w:rsid w:val="00814521"/>
    <w:rsid w:val="00815125"/>
    <w:rsid w:val="008151DA"/>
    <w:rsid w:val="0081545B"/>
    <w:rsid w:val="00815A24"/>
    <w:rsid w:val="00815ABB"/>
    <w:rsid w:val="00815C1E"/>
    <w:rsid w:val="00815FFF"/>
    <w:rsid w:val="00816441"/>
    <w:rsid w:val="008165FE"/>
    <w:rsid w:val="008168DE"/>
    <w:rsid w:val="00816D3E"/>
    <w:rsid w:val="008173F5"/>
    <w:rsid w:val="00817449"/>
    <w:rsid w:val="0081748A"/>
    <w:rsid w:val="00817495"/>
    <w:rsid w:val="00817521"/>
    <w:rsid w:val="008175BB"/>
    <w:rsid w:val="008176E9"/>
    <w:rsid w:val="008200B4"/>
    <w:rsid w:val="00820177"/>
    <w:rsid w:val="008201CA"/>
    <w:rsid w:val="00820AE7"/>
    <w:rsid w:val="0082115E"/>
    <w:rsid w:val="008213E1"/>
    <w:rsid w:val="00821D8D"/>
    <w:rsid w:val="00822109"/>
    <w:rsid w:val="0082237C"/>
    <w:rsid w:val="00822ADA"/>
    <w:rsid w:val="0082304A"/>
    <w:rsid w:val="0082333B"/>
    <w:rsid w:val="008233F7"/>
    <w:rsid w:val="0082344F"/>
    <w:rsid w:val="008237A9"/>
    <w:rsid w:val="00824312"/>
    <w:rsid w:val="0082437A"/>
    <w:rsid w:val="008244AB"/>
    <w:rsid w:val="00824914"/>
    <w:rsid w:val="0082497B"/>
    <w:rsid w:val="0082510B"/>
    <w:rsid w:val="008251E2"/>
    <w:rsid w:val="00825506"/>
    <w:rsid w:val="00825B39"/>
    <w:rsid w:val="0082631C"/>
    <w:rsid w:val="00826B04"/>
    <w:rsid w:val="00826DF8"/>
    <w:rsid w:val="00826E20"/>
    <w:rsid w:val="00826EC2"/>
    <w:rsid w:val="00827D25"/>
    <w:rsid w:val="00827D99"/>
    <w:rsid w:val="00827E6E"/>
    <w:rsid w:val="00827F9B"/>
    <w:rsid w:val="00830B00"/>
    <w:rsid w:val="0083152C"/>
    <w:rsid w:val="00831697"/>
    <w:rsid w:val="00831750"/>
    <w:rsid w:val="008317FF"/>
    <w:rsid w:val="00831D09"/>
    <w:rsid w:val="008320E0"/>
    <w:rsid w:val="00832D50"/>
    <w:rsid w:val="00832E72"/>
    <w:rsid w:val="00833065"/>
    <w:rsid w:val="008330B9"/>
    <w:rsid w:val="008334E5"/>
    <w:rsid w:val="00833742"/>
    <w:rsid w:val="00834507"/>
    <w:rsid w:val="008345CC"/>
    <w:rsid w:val="0083466C"/>
    <w:rsid w:val="008348C3"/>
    <w:rsid w:val="008349CC"/>
    <w:rsid w:val="00835172"/>
    <w:rsid w:val="00835375"/>
    <w:rsid w:val="008353E9"/>
    <w:rsid w:val="008356BF"/>
    <w:rsid w:val="00835795"/>
    <w:rsid w:val="00835A33"/>
    <w:rsid w:val="0083667F"/>
    <w:rsid w:val="00836804"/>
    <w:rsid w:val="008368F9"/>
    <w:rsid w:val="0083743F"/>
    <w:rsid w:val="008374E5"/>
    <w:rsid w:val="008376D0"/>
    <w:rsid w:val="008402B1"/>
    <w:rsid w:val="00841282"/>
    <w:rsid w:val="00841810"/>
    <w:rsid w:val="00841C42"/>
    <w:rsid w:val="00841EF7"/>
    <w:rsid w:val="00842404"/>
    <w:rsid w:val="00842768"/>
    <w:rsid w:val="008430F7"/>
    <w:rsid w:val="008433AD"/>
    <w:rsid w:val="00843448"/>
    <w:rsid w:val="00843492"/>
    <w:rsid w:val="008439C9"/>
    <w:rsid w:val="00843A89"/>
    <w:rsid w:val="0084424A"/>
    <w:rsid w:val="008443B8"/>
    <w:rsid w:val="00844CF4"/>
    <w:rsid w:val="008450D9"/>
    <w:rsid w:val="008451FA"/>
    <w:rsid w:val="0084550D"/>
    <w:rsid w:val="0084569B"/>
    <w:rsid w:val="00845A9F"/>
    <w:rsid w:val="00845F3F"/>
    <w:rsid w:val="0084662F"/>
    <w:rsid w:val="00846D05"/>
    <w:rsid w:val="008474E3"/>
    <w:rsid w:val="008477F9"/>
    <w:rsid w:val="00847AFC"/>
    <w:rsid w:val="00847DBB"/>
    <w:rsid w:val="00850D1B"/>
    <w:rsid w:val="00850F64"/>
    <w:rsid w:val="008510A4"/>
    <w:rsid w:val="00851AE7"/>
    <w:rsid w:val="00851D10"/>
    <w:rsid w:val="00851E0F"/>
    <w:rsid w:val="008520C4"/>
    <w:rsid w:val="008520FB"/>
    <w:rsid w:val="00852613"/>
    <w:rsid w:val="00852AA0"/>
    <w:rsid w:val="00853067"/>
    <w:rsid w:val="00853103"/>
    <w:rsid w:val="00853446"/>
    <w:rsid w:val="00853ACD"/>
    <w:rsid w:val="00853E1D"/>
    <w:rsid w:val="00853E4C"/>
    <w:rsid w:val="0085467B"/>
    <w:rsid w:val="008546A0"/>
    <w:rsid w:val="008546E3"/>
    <w:rsid w:val="00854C95"/>
    <w:rsid w:val="008557F1"/>
    <w:rsid w:val="00855848"/>
    <w:rsid w:val="00855889"/>
    <w:rsid w:val="00855AF0"/>
    <w:rsid w:val="00855FB7"/>
    <w:rsid w:val="00856F4C"/>
    <w:rsid w:val="00857648"/>
    <w:rsid w:val="00857983"/>
    <w:rsid w:val="00857D4A"/>
    <w:rsid w:val="00857DCE"/>
    <w:rsid w:val="00860021"/>
    <w:rsid w:val="008603D0"/>
    <w:rsid w:val="0086052E"/>
    <w:rsid w:val="00860FCB"/>
    <w:rsid w:val="008610B0"/>
    <w:rsid w:val="00861158"/>
    <w:rsid w:val="00861360"/>
    <w:rsid w:val="008617A5"/>
    <w:rsid w:val="00861A7B"/>
    <w:rsid w:val="00861C49"/>
    <w:rsid w:val="00861C74"/>
    <w:rsid w:val="00861D58"/>
    <w:rsid w:val="00862198"/>
    <w:rsid w:val="00862333"/>
    <w:rsid w:val="008626BC"/>
    <w:rsid w:val="0086390E"/>
    <w:rsid w:val="00863AED"/>
    <w:rsid w:val="00863DC1"/>
    <w:rsid w:val="00864159"/>
    <w:rsid w:val="00864434"/>
    <w:rsid w:val="008648DA"/>
    <w:rsid w:val="00864D72"/>
    <w:rsid w:val="00864DDD"/>
    <w:rsid w:val="008653E1"/>
    <w:rsid w:val="0086577D"/>
    <w:rsid w:val="00865814"/>
    <w:rsid w:val="00865AB4"/>
    <w:rsid w:val="00865B72"/>
    <w:rsid w:val="00865B97"/>
    <w:rsid w:val="00865E7D"/>
    <w:rsid w:val="0086630C"/>
    <w:rsid w:val="00866EC0"/>
    <w:rsid w:val="00866FE2"/>
    <w:rsid w:val="00867012"/>
    <w:rsid w:val="008674F8"/>
    <w:rsid w:val="0086770E"/>
    <w:rsid w:val="00867838"/>
    <w:rsid w:val="008679D6"/>
    <w:rsid w:val="00867ADE"/>
    <w:rsid w:val="00867B13"/>
    <w:rsid w:val="008704AA"/>
    <w:rsid w:val="00870602"/>
    <w:rsid w:val="008708B7"/>
    <w:rsid w:val="0087097D"/>
    <w:rsid w:val="00870D25"/>
    <w:rsid w:val="00870EA0"/>
    <w:rsid w:val="00871285"/>
    <w:rsid w:val="008712B8"/>
    <w:rsid w:val="00871332"/>
    <w:rsid w:val="008714AA"/>
    <w:rsid w:val="00872250"/>
    <w:rsid w:val="00872752"/>
    <w:rsid w:val="00872B3B"/>
    <w:rsid w:val="00872E2A"/>
    <w:rsid w:val="008731E7"/>
    <w:rsid w:val="008738A5"/>
    <w:rsid w:val="0087399F"/>
    <w:rsid w:val="00873A1D"/>
    <w:rsid w:val="0087408A"/>
    <w:rsid w:val="00874EF3"/>
    <w:rsid w:val="00875463"/>
    <w:rsid w:val="0087564B"/>
    <w:rsid w:val="008758CA"/>
    <w:rsid w:val="00875AB3"/>
    <w:rsid w:val="00875CBC"/>
    <w:rsid w:val="00876D5D"/>
    <w:rsid w:val="00876E61"/>
    <w:rsid w:val="0087706A"/>
    <w:rsid w:val="0087752F"/>
    <w:rsid w:val="00877871"/>
    <w:rsid w:val="008779BF"/>
    <w:rsid w:val="00877B1A"/>
    <w:rsid w:val="00877CF2"/>
    <w:rsid w:val="00880014"/>
    <w:rsid w:val="00880602"/>
    <w:rsid w:val="008806BD"/>
    <w:rsid w:val="008807B5"/>
    <w:rsid w:val="00880DA3"/>
    <w:rsid w:val="00880E55"/>
    <w:rsid w:val="0088116E"/>
    <w:rsid w:val="008820C6"/>
    <w:rsid w:val="00882397"/>
    <w:rsid w:val="00882D0C"/>
    <w:rsid w:val="00882E52"/>
    <w:rsid w:val="00882FAC"/>
    <w:rsid w:val="0088314D"/>
    <w:rsid w:val="0088327B"/>
    <w:rsid w:val="00883314"/>
    <w:rsid w:val="00883357"/>
    <w:rsid w:val="0088346F"/>
    <w:rsid w:val="00883557"/>
    <w:rsid w:val="008839FF"/>
    <w:rsid w:val="00883C40"/>
    <w:rsid w:val="00883DC4"/>
    <w:rsid w:val="00884234"/>
    <w:rsid w:val="00884690"/>
    <w:rsid w:val="0088471C"/>
    <w:rsid w:val="00885A96"/>
    <w:rsid w:val="00885AD4"/>
    <w:rsid w:val="00885F8D"/>
    <w:rsid w:val="008862AA"/>
    <w:rsid w:val="008862B5"/>
    <w:rsid w:val="008866AD"/>
    <w:rsid w:val="00886FF8"/>
    <w:rsid w:val="0088792B"/>
    <w:rsid w:val="00887958"/>
    <w:rsid w:val="00887C40"/>
    <w:rsid w:val="008901DC"/>
    <w:rsid w:val="00890362"/>
    <w:rsid w:val="008903DD"/>
    <w:rsid w:val="008907EC"/>
    <w:rsid w:val="00890AB8"/>
    <w:rsid w:val="00890B2D"/>
    <w:rsid w:val="00890EDB"/>
    <w:rsid w:val="00890FC4"/>
    <w:rsid w:val="00891057"/>
    <w:rsid w:val="008917CF"/>
    <w:rsid w:val="008918F7"/>
    <w:rsid w:val="00891CBE"/>
    <w:rsid w:val="00891E18"/>
    <w:rsid w:val="00892216"/>
    <w:rsid w:val="00892D29"/>
    <w:rsid w:val="00893356"/>
    <w:rsid w:val="0089353B"/>
    <w:rsid w:val="00893BD0"/>
    <w:rsid w:val="00893D1E"/>
    <w:rsid w:val="008948F7"/>
    <w:rsid w:val="008949BA"/>
    <w:rsid w:val="00894A3B"/>
    <w:rsid w:val="00894E35"/>
    <w:rsid w:val="00894E5F"/>
    <w:rsid w:val="008950CA"/>
    <w:rsid w:val="00895131"/>
    <w:rsid w:val="00895604"/>
    <w:rsid w:val="00895C2E"/>
    <w:rsid w:val="00895F55"/>
    <w:rsid w:val="008960A4"/>
    <w:rsid w:val="008966DD"/>
    <w:rsid w:val="00896AB5"/>
    <w:rsid w:val="00896D87"/>
    <w:rsid w:val="00896E7B"/>
    <w:rsid w:val="008971E4"/>
    <w:rsid w:val="00897294"/>
    <w:rsid w:val="0089737D"/>
    <w:rsid w:val="008974F9"/>
    <w:rsid w:val="0089765C"/>
    <w:rsid w:val="0089784F"/>
    <w:rsid w:val="00897B43"/>
    <w:rsid w:val="00897B67"/>
    <w:rsid w:val="00897EEB"/>
    <w:rsid w:val="008A0186"/>
    <w:rsid w:val="008A0A65"/>
    <w:rsid w:val="008A0BD2"/>
    <w:rsid w:val="008A0C6B"/>
    <w:rsid w:val="008A0D35"/>
    <w:rsid w:val="008A1732"/>
    <w:rsid w:val="008A198A"/>
    <w:rsid w:val="008A1AF5"/>
    <w:rsid w:val="008A1B18"/>
    <w:rsid w:val="008A1D12"/>
    <w:rsid w:val="008A224D"/>
    <w:rsid w:val="008A2421"/>
    <w:rsid w:val="008A3134"/>
    <w:rsid w:val="008A3162"/>
    <w:rsid w:val="008A3D63"/>
    <w:rsid w:val="008A46D7"/>
    <w:rsid w:val="008A4B69"/>
    <w:rsid w:val="008A552F"/>
    <w:rsid w:val="008A5D9C"/>
    <w:rsid w:val="008A6A03"/>
    <w:rsid w:val="008A6A10"/>
    <w:rsid w:val="008A6F99"/>
    <w:rsid w:val="008A7430"/>
    <w:rsid w:val="008A75F1"/>
    <w:rsid w:val="008A798B"/>
    <w:rsid w:val="008A7F35"/>
    <w:rsid w:val="008B01BC"/>
    <w:rsid w:val="008B044C"/>
    <w:rsid w:val="008B0A06"/>
    <w:rsid w:val="008B0AD2"/>
    <w:rsid w:val="008B0E4F"/>
    <w:rsid w:val="008B0EA7"/>
    <w:rsid w:val="008B113E"/>
    <w:rsid w:val="008B12D3"/>
    <w:rsid w:val="008B1505"/>
    <w:rsid w:val="008B19FA"/>
    <w:rsid w:val="008B1A5F"/>
    <w:rsid w:val="008B1CE0"/>
    <w:rsid w:val="008B21CA"/>
    <w:rsid w:val="008B265B"/>
    <w:rsid w:val="008B27C1"/>
    <w:rsid w:val="008B2EC8"/>
    <w:rsid w:val="008B2EF9"/>
    <w:rsid w:val="008B2F83"/>
    <w:rsid w:val="008B3381"/>
    <w:rsid w:val="008B35EA"/>
    <w:rsid w:val="008B3B0C"/>
    <w:rsid w:val="008B40D2"/>
    <w:rsid w:val="008B41CD"/>
    <w:rsid w:val="008B547B"/>
    <w:rsid w:val="008B5A56"/>
    <w:rsid w:val="008B5A9E"/>
    <w:rsid w:val="008B5CAC"/>
    <w:rsid w:val="008B65B6"/>
    <w:rsid w:val="008B6CCD"/>
    <w:rsid w:val="008B72CA"/>
    <w:rsid w:val="008B737B"/>
    <w:rsid w:val="008B7AB0"/>
    <w:rsid w:val="008C0068"/>
    <w:rsid w:val="008C0482"/>
    <w:rsid w:val="008C0642"/>
    <w:rsid w:val="008C094E"/>
    <w:rsid w:val="008C0B56"/>
    <w:rsid w:val="008C0BB2"/>
    <w:rsid w:val="008C0CC3"/>
    <w:rsid w:val="008C0E08"/>
    <w:rsid w:val="008C0E2B"/>
    <w:rsid w:val="008C0EE9"/>
    <w:rsid w:val="008C16CF"/>
    <w:rsid w:val="008C1CB4"/>
    <w:rsid w:val="008C217F"/>
    <w:rsid w:val="008C2C44"/>
    <w:rsid w:val="008C2F6C"/>
    <w:rsid w:val="008C350A"/>
    <w:rsid w:val="008C39D1"/>
    <w:rsid w:val="008C423E"/>
    <w:rsid w:val="008C495F"/>
    <w:rsid w:val="008C4A97"/>
    <w:rsid w:val="008C5543"/>
    <w:rsid w:val="008C5759"/>
    <w:rsid w:val="008C58FA"/>
    <w:rsid w:val="008C5D24"/>
    <w:rsid w:val="008C5FA2"/>
    <w:rsid w:val="008C65B5"/>
    <w:rsid w:val="008C70C1"/>
    <w:rsid w:val="008C7459"/>
    <w:rsid w:val="008C7736"/>
    <w:rsid w:val="008C7879"/>
    <w:rsid w:val="008C7BDD"/>
    <w:rsid w:val="008C7ECB"/>
    <w:rsid w:val="008D004D"/>
    <w:rsid w:val="008D009F"/>
    <w:rsid w:val="008D018A"/>
    <w:rsid w:val="008D01CF"/>
    <w:rsid w:val="008D08E2"/>
    <w:rsid w:val="008D0AEE"/>
    <w:rsid w:val="008D1622"/>
    <w:rsid w:val="008D1734"/>
    <w:rsid w:val="008D1791"/>
    <w:rsid w:val="008D1A64"/>
    <w:rsid w:val="008D1C0D"/>
    <w:rsid w:val="008D2D43"/>
    <w:rsid w:val="008D43ED"/>
    <w:rsid w:val="008D4BB5"/>
    <w:rsid w:val="008D4F4A"/>
    <w:rsid w:val="008D5170"/>
    <w:rsid w:val="008D56BC"/>
    <w:rsid w:val="008D5745"/>
    <w:rsid w:val="008D57A9"/>
    <w:rsid w:val="008D6646"/>
    <w:rsid w:val="008D6AE5"/>
    <w:rsid w:val="008D6B9A"/>
    <w:rsid w:val="008D6E38"/>
    <w:rsid w:val="008D7318"/>
    <w:rsid w:val="008D773C"/>
    <w:rsid w:val="008D7758"/>
    <w:rsid w:val="008D7769"/>
    <w:rsid w:val="008D7D1C"/>
    <w:rsid w:val="008D7ED2"/>
    <w:rsid w:val="008E16C2"/>
    <w:rsid w:val="008E1CDC"/>
    <w:rsid w:val="008E1E26"/>
    <w:rsid w:val="008E1E9F"/>
    <w:rsid w:val="008E1F12"/>
    <w:rsid w:val="008E225C"/>
    <w:rsid w:val="008E2616"/>
    <w:rsid w:val="008E266D"/>
    <w:rsid w:val="008E27AC"/>
    <w:rsid w:val="008E2960"/>
    <w:rsid w:val="008E2CDF"/>
    <w:rsid w:val="008E2DB1"/>
    <w:rsid w:val="008E3CA8"/>
    <w:rsid w:val="008E4515"/>
    <w:rsid w:val="008E47CF"/>
    <w:rsid w:val="008E4D11"/>
    <w:rsid w:val="008E4D9E"/>
    <w:rsid w:val="008E5285"/>
    <w:rsid w:val="008E52D0"/>
    <w:rsid w:val="008E61E2"/>
    <w:rsid w:val="008E62AC"/>
    <w:rsid w:val="008E640E"/>
    <w:rsid w:val="008E6547"/>
    <w:rsid w:val="008E66C0"/>
    <w:rsid w:val="008E6D87"/>
    <w:rsid w:val="008E6F22"/>
    <w:rsid w:val="008E7122"/>
    <w:rsid w:val="008E72AC"/>
    <w:rsid w:val="008E73AC"/>
    <w:rsid w:val="008F03BD"/>
    <w:rsid w:val="008F04A1"/>
    <w:rsid w:val="008F06A3"/>
    <w:rsid w:val="008F13AB"/>
    <w:rsid w:val="008F1638"/>
    <w:rsid w:val="008F177B"/>
    <w:rsid w:val="008F18C8"/>
    <w:rsid w:val="008F1A70"/>
    <w:rsid w:val="008F1F42"/>
    <w:rsid w:val="008F214B"/>
    <w:rsid w:val="008F29E2"/>
    <w:rsid w:val="008F2B50"/>
    <w:rsid w:val="008F2DDA"/>
    <w:rsid w:val="008F35F3"/>
    <w:rsid w:val="008F3897"/>
    <w:rsid w:val="008F3B4C"/>
    <w:rsid w:val="008F3F96"/>
    <w:rsid w:val="008F41D3"/>
    <w:rsid w:val="008F4844"/>
    <w:rsid w:val="008F4BFC"/>
    <w:rsid w:val="008F4D54"/>
    <w:rsid w:val="008F4EA0"/>
    <w:rsid w:val="008F5052"/>
    <w:rsid w:val="008F524F"/>
    <w:rsid w:val="008F5B0F"/>
    <w:rsid w:val="008F5D77"/>
    <w:rsid w:val="008F5F73"/>
    <w:rsid w:val="008F613B"/>
    <w:rsid w:val="008F61A4"/>
    <w:rsid w:val="008F649F"/>
    <w:rsid w:val="008F66EF"/>
    <w:rsid w:val="008F6CCB"/>
    <w:rsid w:val="008F7CAC"/>
    <w:rsid w:val="008F7DE7"/>
    <w:rsid w:val="008F7EFF"/>
    <w:rsid w:val="0090037C"/>
    <w:rsid w:val="0090039F"/>
    <w:rsid w:val="00900456"/>
    <w:rsid w:val="00900467"/>
    <w:rsid w:val="00900481"/>
    <w:rsid w:val="0090076B"/>
    <w:rsid w:val="00900F86"/>
    <w:rsid w:val="009011E2"/>
    <w:rsid w:val="009019CE"/>
    <w:rsid w:val="00901AF7"/>
    <w:rsid w:val="00901D71"/>
    <w:rsid w:val="00901FE9"/>
    <w:rsid w:val="009021C0"/>
    <w:rsid w:val="009022D1"/>
    <w:rsid w:val="0090252C"/>
    <w:rsid w:val="009026E0"/>
    <w:rsid w:val="00902DEA"/>
    <w:rsid w:val="00902DEC"/>
    <w:rsid w:val="00902E9A"/>
    <w:rsid w:val="00903310"/>
    <w:rsid w:val="0090361E"/>
    <w:rsid w:val="00903C19"/>
    <w:rsid w:val="00903DF4"/>
    <w:rsid w:val="00904398"/>
    <w:rsid w:val="00904C96"/>
    <w:rsid w:val="00904E54"/>
    <w:rsid w:val="009053F4"/>
    <w:rsid w:val="009055DD"/>
    <w:rsid w:val="00905623"/>
    <w:rsid w:val="00905624"/>
    <w:rsid w:val="00905E92"/>
    <w:rsid w:val="00906068"/>
    <w:rsid w:val="00906443"/>
    <w:rsid w:val="00906D7C"/>
    <w:rsid w:val="00906DA7"/>
    <w:rsid w:val="00906DD8"/>
    <w:rsid w:val="00907110"/>
    <w:rsid w:val="00907438"/>
    <w:rsid w:val="009074F9"/>
    <w:rsid w:val="0090771F"/>
    <w:rsid w:val="0090782C"/>
    <w:rsid w:val="00907BDD"/>
    <w:rsid w:val="00910246"/>
    <w:rsid w:val="00910940"/>
    <w:rsid w:val="0091162C"/>
    <w:rsid w:val="009120B6"/>
    <w:rsid w:val="009121AB"/>
    <w:rsid w:val="0091289A"/>
    <w:rsid w:val="009128E2"/>
    <w:rsid w:val="00912F46"/>
    <w:rsid w:val="00913621"/>
    <w:rsid w:val="00913E39"/>
    <w:rsid w:val="009149A6"/>
    <w:rsid w:val="00914FB0"/>
    <w:rsid w:val="00914FB1"/>
    <w:rsid w:val="00915179"/>
    <w:rsid w:val="009151C2"/>
    <w:rsid w:val="00915795"/>
    <w:rsid w:val="0091587B"/>
    <w:rsid w:val="00915BDA"/>
    <w:rsid w:val="009169EA"/>
    <w:rsid w:val="00916A8C"/>
    <w:rsid w:val="00916BEF"/>
    <w:rsid w:val="00916FA1"/>
    <w:rsid w:val="0091701C"/>
    <w:rsid w:val="00917779"/>
    <w:rsid w:val="00917789"/>
    <w:rsid w:val="00920487"/>
    <w:rsid w:val="009206AD"/>
    <w:rsid w:val="009207C0"/>
    <w:rsid w:val="00921510"/>
    <w:rsid w:val="009217C4"/>
    <w:rsid w:val="0092185D"/>
    <w:rsid w:val="00921FC9"/>
    <w:rsid w:val="00922741"/>
    <w:rsid w:val="00922C6F"/>
    <w:rsid w:val="009238E1"/>
    <w:rsid w:val="00923ECE"/>
    <w:rsid w:val="0092435A"/>
    <w:rsid w:val="009248C7"/>
    <w:rsid w:val="00924A2C"/>
    <w:rsid w:val="00924A98"/>
    <w:rsid w:val="00924CE9"/>
    <w:rsid w:val="00924FFD"/>
    <w:rsid w:val="0092551A"/>
    <w:rsid w:val="00925835"/>
    <w:rsid w:val="00925B6B"/>
    <w:rsid w:val="00926111"/>
    <w:rsid w:val="009261AD"/>
    <w:rsid w:val="00926419"/>
    <w:rsid w:val="009264F9"/>
    <w:rsid w:val="0092694C"/>
    <w:rsid w:val="00926CDE"/>
    <w:rsid w:val="00926D3E"/>
    <w:rsid w:val="00927194"/>
    <w:rsid w:val="0092774B"/>
    <w:rsid w:val="009278D1"/>
    <w:rsid w:val="00927CC4"/>
    <w:rsid w:val="00927FE1"/>
    <w:rsid w:val="0093032E"/>
    <w:rsid w:val="0093043C"/>
    <w:rsid w:val="00930C90"/>
    <w:rsid w:val="00930EE7"/>
    <w:rsid w:val="00930FF5"/>
    <w:rsid w:val="009321DF"/>
    <w:rsid w:val="00932747"/>
    <w:rsid w:val="00932E40"/>
    <w:rsid w:val="009330F0"/>
    <w:rsid w:val="0093317E"/>
    <w:rsid w:val="00933263"/>
    <w:rsid w:val="00933890"/>
    <w:rsid w:val="00933CDD"/>
    <w:rsid w:val="009346C4"/>
    <w:rsid w:val="0093481A"/>
    <w:rsid w:val="00934D71"/>
    <w:rsid w:val="00935260"/>
    <w:rsid w:val="009352ED"/>
    <w:rsid w:val="00935525"/>
    <w:rsid w:val="00936496"/>
    <w:rsid w:val="00936562"/>
    <w:rsid w:val="0093743F"/>
    <w:rsid w:val="0093752F"/>
    <w:rsid w:val="00937626"/>
    <w:rsid w:val="009376E8"/>
    <w:rsid w:val="00937786"/>
    <w:rsid w:val="00937A0A"/>
    <w:rsid w:val="00937B01"/>
    <w:rsid w:val="00937BCE"/>
    <w:rsid w:val="0094016F"/>
    <w:rsid w:val="009402A9"/>
    <w:rsid w:val="0094057C"/>
    <w:rsid w:val="00940B78"/>
    <w:rsid w:val="00940BBE"/>
    <w:rsid w:val="00941131"/>
    <w:rsid w:val="009411FF"/>
    <w:rsid w:val="00941409"/>
    <w:rsid w:val="00941542"/>
    <w:rsid w:val="009416BB"/>
    <w:rsid w:val="00941715"/>
    <w:rsid w:val="00941908"/>
    <w:rsid w:val="00941966"/>
    <w:rsid w:val="00941E21"/>
    <w:rsid w:val="009421F9"/>
    <w:rsid w:val="00942254"/>
    <w:rsid w:val="0094251B"/>
    <w:rsid w:val="00942647"/>
    <w:rsid w:val="00942A01"/>
    <w:rsid w:val="00942B97"/>
    <w:rsid w:val="00942E65"/>
    <w:rsid w:val="00943B12"/>
    <w:rsid w:val="00943BE3"/>
    <w:rsid w:val="00943E9F"/>
    <w:rsid w:val="009443D3"/>
    <w:rsid w:val="009447F3"/>
    <w:rsid w:val="00944B6B"/>
    <w:rsid w:val="00944C19"/>
    <w:rsid w:val="00944EAD"/>
    <w:rsid w:val="0094528A"/>
    <w:rsid w:val="0094534F"/>
    <w:rsid w:val="009454C4"/>
    <w:rsid w:val="00945726"/>
    <w:rsid w:val="00945AA8"/>
    <w:rsid w:val="00946803"/>
    <w:rsid w:val="0094796D"/>
    <w:rsid w:val="00947BD7"/>
    <w:rsid w:val="00947D90"/>
    <w:rsid w:val="00947F2A"/>
    <w:rsid w:val="00947FE3"/>
    <w:rsid w:val="009504DB"/>
    <w:rsid w:val="00950746"/>
    <w:rsid w:val="00950874"/>
    <w:rsid w:val="00950C34"/>
    <w:rsid w:val="009510BF"/>
    <w:rsid w:val="009511D1"/>
    <w:rsid w:val="009511DB"/>
    <w:rsid w:val="0095120D"/>
    <w:rsid w:val="009512CB"/>
    <w:rsid w:val="009512E3"/>
    <w:rsid w:val="00951433"/>
    <w:rsid w:val="009514C5"/>
    <w:rsid w:val="009514F7"/>
    <w:rsid w:val="00951569"/>
    <w:rsid w:val="009515E1"/>
    <w:rsid w:val="009521A7"/>
    <w:rsid w:val="009522A7"/>
    <w:rsid w:val="0095294F"/>
    <w:rsid w:val="00952CA6"/>
    <w:rsid w:val="009531D3"/>
    <w:rsid w:val="00953498"/>
    <w:rsid w:val="009538B5"/>
    <w:rsid w:val="00953A86"/>
    <w:rsid w:val="00953B03"/>
    <w:rsid w:val="00953BBA"/>
    <w:rsid w:val="00953BBF"/>
    <w:rsid w:val="00954696"/>
    <w:rsid w:val="009546EC"/>
    <w:rsid w:val="00954E60"/>
    <w:rsid w:val="00955C18"/>
    <w:rsid w:val="00955DFB"/>
    <w:rsid w:val="00955E9C"/>
    <w:rsid w:val="0095612E"/>
    <w:rsid w:val="009562A9"/>
    <w:rsid w:val="00956411"/>
    <w:rsid w:val="00956922"/>
    <w:rsid w:val="00956AB9"/>
    <w:rsid w:val="00956D6E"/>
    <w:rsid w:val="00956DB7"/>
    <w:rsid w:val="009572F2"/>
    <w:rsid w:val="0095761A"/>
    <w:rsid w:val="00957942"/>
    <w:rsid w:val="00957B79"/>
    <w:rsid w:val="00957BED"/>
    <w:rsid w:val="00957C5F"/>
    <w:rsid w:val="009606C8"/>
    <w:rsid w:val="009611DD"/>
    <w:rsid w:val="0096222C"/>
    <w:rsid w:val="00962A05"/>
    <w:rsid w:val="00962A54"/>
    <w:rsid w:val="00962F29"/>
    <w:rsid w:val="00962FF7"/>
    <w:rsid w:val="009636F1"/>
    <w:rsid w:val="0096391A"/>
    <w:rsid w:val="00963D5E"/>
    <w:rsid w:val="00964116"/>
    <w:rsid w:val="00964D92"/>
    <w:rsid w:val="00964DFA"/>
    <w:rsid w:val="00964E62"/>
    <w:rsid w:val="00964F57"/>
    <w:rsid w:val="00965138"/>
    <w:rsid w:val="00965458"/>
    <w:rsid w:val="009657ED"/>
    <w:rsid w:val="00965AF3"/>
    <w:rsid w:val="00965E47"/>
    <w:rsid w:val="0096624F"/>
    <w:rsid w:val="009662E8"/>
    <w:rsid w:val="00966464"/>
    <w:rsid w:val="00966756"/>
    <w:rsid w:val="009672B5"/>
    <w:rsid w:val="00967541"/>
    <w:rsid w:val="0096784D"/>
    <w:rsid w:val="00967979"/>
    <w:rsid w:val="00967AD3"/>
    <w:rsid w:val="00970179"/>
    <w:rsid w:val="009702FA"/>
    <w:rsid w:val="00970305"/>
    <w:rsid w:val="0097049A"/>
    <w:rsid w:val="00970676"/>
    <w:rsid w:val="009710A0"/>
    <w:rsid w:val="00971743"/>
    <w:rsid w:val="0097266F"/>
    <w:rsid w:val="00973311"/>
    <w:rsid w:val="00973591"/>
    <w:rsid w:val="0097360C"/>
    <w:rsid w:val="0097399C"/>
    <w:rsid w:val="00973C6C"/>
    <w:rsid w:val="00973C75"/>
    <w:rsid w:val="00973D94"/>
    <w:rsid w:val="00974304"/>
    <w:rsid w:val="0097497B"/>
    <w:rsid w:val="00974D08"/>
    <w:rsid w:val="00975789"/>
    <w:rsid w:val="0097587C"/>
    <w:rsid w:val="009762A0"/>
    <w:rsid w:val="00976842"/>
    <w:rsid w:val="00976918"/>
    <w:rsid w:val="009769AF"/>
    <w:rsid w:val="0097707E"/>
    <w:rsid w:val="00977A3F"/>
    <w:rsid w:val="009805B2"/>
    <w:rsid w:val="009805D5"/>
    <w:rsid w:val="00980719"/>
    <w:rsid w:val="00980826"/>
    <w:rsid w:val="00981445"/>
    <w:rsid w:val="00981EF0"/>
    <w:rsid w:val="009821AF"/>
    <w:rsid w:val="0098221A"/>
    <w:rsid w:val="009826DF"/>
    <w:rsid w:val="0098287C"/>
    <w:rsid w:val="00982B83"/>
    <w:rsid w:val="00982FCD"/>
    <w:rsid w:val="00983167"/>
    <w:rsid w:val="00983C70"/>
    <w:rsid w:val="00984076"/>
    <w:rsid w:val="00984101"/>
    <w:rsid w:val="009841FF"/>
    <w:rsid w:val="00984891"/>
    <w:rsid w:val="009849A1"/>
    <w:rsid w:val="009849AF"/>
    <w:rsid w:val="009850E9"/>
    <w:rsid w:val="009853AB"/>
    <w:rsid w:val="00985555"/>
    <w:rsid w:val="00986142"/>
    <w:rsid w:val="009867D2"/>
    <w:rsid w:val="009869BB"/>
    <w:rsid w:val="00986B1E"/>
    <w:rsid w:val="00986DDD"/>
    <w:rsid w:val="00987055"/>
    <w:rsid w:val="009872E3"/>
    <w:rsid w:val="00987B2C"/>
    <w:rsid w:val="00987BBD"/>
    <w:rsid w:val="00990063"/>
    <w:rsid w:val="0099007D"/>
    <w:rsid w:val="00990A75"/>
    <w:rsid w:val="00990D8B"/>
    <w:rsid w:val="00990E47"/>
    <w:rsid w:val="00991009"/>
    <w:rsid w:val="0099163F"/>
    <w:rsid w:val="00991A2C"/>
    <w:rsid w:val="009920AE"/>
    <w:rsid w:val="00992361"/>
    <w:rsid w:val="00992511"/>
    <w:rsid w:val="009928A9"/>
    <w:rsid w:val="009929E2"/>
    <w:rsid w:val="00992C1F"/>
    <w:rsid w:val="00992E50"/>
    <w:rsid w:val="00992F74"/>
    <w:rsid w:val="0099319B"/>
    <w:rsid w:val="00993542"/>
    <w:rsid w:val="00993AD6"/>
    <w:rsid w:val="00993C7E"/>
    <w:rsid w:val="00993D94"/>
    <w:rsid w:val="009947FF"/>
    <w:rsid w:val="0099509C"/>
    <w:rsid w:val="00995C25"/>
    <w:rsid w:val="00995F66"/>
    <w:rsid w:val="0099672B"/>
    <w:rsid w:val="009968F4"/>
    <w:rsid w:val="00996EC5"/>
    <w:rsid w:val="00996F69"/>
    <w:rsid w:val="00997349"/>
    <w:rsid w:val="009976B0"/>
    <w:rsid w:val="00997D01"/>
    <w:rsid w:val="00997DA9"/>
    <w:rsid w:val="00997F0F"/>
    <w:rsid w:val="00997FBE"/>
    <w:rsid w:val="009A062F"/>
    <w:rsid w:val="009A091C"/>
    <w:rsid w:val="009A09B8"/>
    <w:rsid w:val="009A1047"/>
    <w:rsid w:val="009A1230"/>
    <w:rsid w:val="009A154F"/>
    <w:rsid w:val="009A1880"/>
    <w:rsid w:val="009A2960"/>
    <w:rsid w:val="009A2B1D"/>
    <w:rsid w:val="009A336E"/>
    <w:rsid w:val="009A3452"/>
    <w:rsid w:val="009A35B5"/>
    <w:rsid w:val="009A3ABA"/>
    <w:rsid w:val="009A3AD2"/>
    <w:rsid w:val="009A3ADC"/>
    <w:rsid w:val="009A3D2A"/>
    <w:rsid w:val="009A4369"/>
    <w:rsid w:val="009A4693"/>
    <w:rsid w:val="009A478F"/>
    <w:rsid w:val="009A48BB"/>
    <w:rsid w:val="009A4B99"/>
    <w:rsid w:val="009A5001"/>
    <w:rsid w:val="009A5185"/>
    <w:rsid w:val="009A537D"/>
    <w:rsid w:val="009A596C"/>
    <w:rsid w:val="009A59C9"/>
    <w:rsid w:val="009A5A50"/>
    <w:rsid w:val="009A5BE7"/>
    <w:rsid w:val="009A5D9C"/>
    <w:rsid w:val="009A63F6"/>
    <w:rsid w:val="009A6403"/>
    <w:rsid w:val="009A659F"/>
    <w:rsid w:val="009A6793"/>
    <w:rsid w:val="009A700C"/>
    <w:rsid w:val="009A7315"/>
    <w:rsid w:val="009A7ADD"/>
    <w:rsid w:val="009B002A"/>
    <w:rsid w:val="009B0800"/>
    <w:rsid w:val="009B0920"/>
    <w:rsid w:val="009B0945"/>
    <w:rsid w:val="009B0B4F"/>
    <w:rsid w:val="009B0E5E"/>
    <w:rsid w:val="009B10EA"/>
    <w:rsid w:val="009B1304"/>
    <w:rsid w:val="009B1928"/>
    <w:rsid w:val="009B1B1E"/>
    <w:rsid w:val="009B1B7F"/>
    <w:rsid w:val="009B1DD2"/>
    <w:rsid w:val="009B225D"/>
    <w:rsid w:val="009B2389"/>
    <w:rsid w:val="009B285E"/>
    <w:rsid w:val="009B2873"/>
    <w:rsid w:val="009B2A1F"/>
    <w:rsid w:val="009B2E86"/>
    <w:rsid w:val="009B2EA6"/>
    <w:rsid w:val="009B314B"/>
    <w:rsid w:val="009B330F"/>
    <w:rsid w:val="009B3567"/>
    <w:rsid w:val="009B3998"/>
    <w:rsid w:val="009B3BF5"/>
    <w:rsid w:val="009B3BFA"/>
    <w:rsid w:val="009B40E9"/>
    <w:rsid w:val="009B43DA"/>
    <w:rsid w:val="009B475B"/>
    <w:rsid w:val="009B4769"/>
    <w:rsid w:val="009B4835"/>
    <w:rsid w:val="009B48DE"/>
    <w:rsid w:val="009B4A0E"/>
    <w:rsid w:val="009B4B12"/>
    <w:rsid w:val="009B5076"/>
    <w:rsid w:val="009B584B"/>
    <w:rsid w:val="009B5B15"/>
    <w:rsid w:val="009B5B74"/>
    <w:rsid w:val="009B5C9C"/>
    <w:rsid w:val="009B5D53"/>
    <w:rsid w:val="009B5DDB"/>
    <w:rsid w:val="009B5E61"/>
    <w:rsid w:val="009B6308"/>
    <w:rsid w:val="009B64FA"/>
    <w:rsid w:val="009B6546"/>
    <w:rsid w:val="009B66D0"/>
    <w:rsid w:val="009B68BB"/>
    <w:rsid w:val="009B6BEA"/>
    <w:rsid w:val="009B6C09"/>
    <w:rsid w:val="009B79A5"/>
    <w:rsid w:val="009B7F0A"/>
    <w:rsid w:val="009B7F31"/>
    <w:rsid w:val="009C02E3"/>
    <w:rsid w:val="009C03FF"/>
    <w:rsid w:val="009C048F"/>
    <w:rsid w:val="009C062F"/>
    <w:rsid w:val="009C0C3B"/>
    <w:rsid w:val="009C0C8A"/>
    <w:rsid w:val="009C0E6F"/>
    <w:rsid w:val="009C146B"/>
    <w:rsid w:val="009C1742"/>
    <w:rsid w:val="009C24E7"/>
    <w:rsid w:val="009C24ED"/>
    <w:rsid w:val="009C3045"/>
    <w:rsid w:val="009C3046"/>
    <w:rsid w:val="009C435C"/>
    <w:rsid w:val="009C468A"/>
    <w:rsid w:val="009C48D8"/>
    <w:rsid w:val="009C5223"/>
    <w:rsid w:val="009C5598"/>
    <w:rsid w:val="009C5853"/>
    <w:rsid w:val="009C5A32"/>
    <w:rsid w:val="009C5E2C"/>
    <w:rsid w:val="009C5E72"/>
    <w:rsid w:val="009C5E8C"/>
    <w:rsid w:val="009C5F4B"/>
    <w:rsid w:val="009C6285"/>
    <w:rsid w:val="009C69CB"/>
    <w:rsid w:val="009C6C5B"/>
    <w:rsid w:val="009C6FE7"/>
    <w:rsid w:val="009C741E"/>
    <w:rsid w:val="009C79DB"/>
    <w:rsid w:val="009C7E89"/>
    <w:rsid w:val="009C7F79"/>
    <w:rsid w:val="009D0787"/>
    <w:rsid w:val="009D0ADA"/>
    <w:rsid w:val="009D1197"/>
    <w:rsid w:val="009D11C0"/>
    <w:rsid w:val="009D18C8"/>
    <w:rsid w:val="009D1994"/>
    <w:rsid w:val="009D1A56"/>
    <w:rsid w:val="009D1DCB"/>
    <w:rsid w:val="009D2739"/>
    <w:rsid w:val="009D2923"/>
    <w:rsid w:val="009D2B58"/>
    <w:rsid w:val="009D2CFC"/>
    <w:rsid w:val="009D2E5B"/>
    <w:rsid w:val="009D2EBA"/>
    <w:rsid w:val="009D37EF"/>
    <w:rsid w:val="009D3B04"/>
    <w:rsid w:val="009D402A"/>
    <w:rsid w:val="009D42F8"/>
    <w:rsid w:val="009D4603"/>
    <w:rsid w:val="009D4970"/>
    <w:rsid w:val="009D4A74"/>
    <w:rsid w:val="009D51EB"/>
    <w:rsid w:val="009D5CDC"/>
    <w:rsid w:val="009D5DF7"/>
    <w:rsid w:val="009D5E0C"/>
    <w:rsid w:val="009D6086"/>
    <w:rsid w:val="009D60D2"/>
    <w:rsid w:val="009D6325"/>
    <w:rsid w:val="009D682E"/>
    <w:rsid w:val="009D6A34"/>
    <w:rsid w:val="009D6B80"/>
    <w:rsid w:val="009D6FC2"/>
    <w:rsid w:val="009D6FCB"/>
    <w:rsid w:val="009D73CA"/>
    <w:rsid w:val="009D744B"/>
    <w:rsid w:val="009D74DA"/>
    <w:rsid w:val="009D7640"/>
    <w:rsid w:val="009D7A74"/>
    <w:rsid w:val="009D7B9D"/>
    <w:rsid w:val="009E091B"/>
    <w:rsid w:val="009E0956"/>
    <w:rsid w:val="009E0969"/>
    <w:rsid w:val="009E0CA6"/>
    <w:rsid w:val="009E127F"/>
    <w:rsid w:val="009E136D"/>
    <w:rsid w:val="009E14DB"/>
    <w:rsid w:val="009E152F"/>
    <w:rsid w:val="009E1807"/>
    <w:rsid w:val="009E1AEA"/>
    <w:rsid w:val="009E1C34"/>
    <w:rsid w:val="009E1F6F"/>
    <w:rsid w:val="009E204E"/>
    <w:rsid w:val="009E2487"/>
    <w:rsid w:val="009E2822"/>
    <w:rsid w:val="009E2AFA"/>
    <w:rsid w:val="009E2EE0"/>
    <w:rsid w:val="009E3480"/>
    <w:rsid w:val="009E3501"/>
    <w:rsid w:val="009E364F"/>
    <w:rsid w:val="009E3A49"/>
    <w:rsid w:val="009E3B03"/>
    <w:rsid w:val="009E460C"/>
    <w:rsid w:val="009E47AD"/>
    <w:rsid w:val="009E4933"/>
    <w:rsid w:val="009E54CF"/>
    <w:rsid w:val="009E5AA0"/>
    <w:rsid w:val="009E5F42"/>
    <w:rsid w:val="009E61FF"/>
    <w:rsid w:val="009E6277"/>
    <w:rsid w:val="009E7152"/>
    <w:rsid w:val="009E73B6"/>
    <w:rsid w:val="009E7A3F"/>
    <w:rsid w:val="009E7B81"/>
    <w:rsid w:val="009F0344"/>
    <w:rsid w:val="009F091A"/>
    <w:rsid w:val="009F09EB"/>
    <w:rsid w:val="009F0A82"/>
    <w:rsid w:val="009F0BFC"/>
    <w:rsid w:val="009F0CA0"/>
    <w:rsid w:val="009F0FD9"/>
    <w:rsid w:val="009F1437"/>
    <w:rsid w:val="009F15EE"/>
    <w:rsid w:val="009F18DB"/>
    <w:rsid w:val="009F1DA7"/>
    <w:rsid w:val="009F1DBB"/>
    <w:rsid w:val="009F1FD1"/>
    <w:rsid w:val="009F23F3"/>
    <w:rsid w:val="009F2872"/>
    <w:rsid w:val="009F2C9D"/>
    <w:rsid w:val="009F325A"/>
    <w:rsid w:val="009F33C2"/>
    <w:rsid w:val="009F3817"/>
    <w:rsid w:val="009F4550"/>
    <w:rsid w:val="009F48C3"/>
    <w:rsid w:val="009F493C"/>
    <w:rsid w:val="009F4A55"/>
    <w:rsid w:val="009F4D8E"/>
    <w:rsid w:val="009F5178"/>
    <w:rsid w:val="009F5474"/>
    <w:rsid w:val="009F5C82"/>
    <w:rsid w:val="009F6764"/>
    <w:rsid w:val="009F6894"/>
    <w:rsid w:val="009F69D4"/>
    <w:rsid w:val="009F7072"/>
    <w:rsid w:val="009F756A"/>
    <w:rsid w:val="009F7595"/>
    <w:rsid w:val="009F7873"/>
    <w:rsid w:val="009F7E04"/>
    <w:rsid w:val="00A003D9"/>
    <w:rsid w:val="00A006B7"/>
    <w:rsid w:val="00A01280"/>
    <w:rsid w:val="00A01506"/>
    <w:rsid w:val="00A015B4"/>
    <w:rsid w:val="00A019BD"/>
    <w:rsid w:val="00A01A23"/>
    <w:rsid w:val="00A01C5E"/>
    <w:rsid w:val="00A01ECB"/>
    <w:rsid w:val="00A01F39"/>
    <w:rsid w:val="00A01FE0"/>
    <w:rsid w:val="00A02634"/>
    <w:rsid w:val="00A02A3B"/>
    <w:rsid w:val="00A02D27"/>
    <w:rsid w:val="00A02E03"/>
    <w:rsid w:val="00A03555"/>
    <w:rsid w:val="00A0376A"/>
    <w:rsid w:val="00A03AA4"/>
    <w:rsid w:val="00A0411C"/>
    <w:rsid w:val="00A04A2F"/>
    <w:rsid w:val="00A04B71"/>
    <w:rsid w:val="00A051D2"/>
    <w:rsid w:val="00A057C6"/>
    <w:rsid w:val="00A058FA"/>
    <w:rsid w:val="00A05CF0"/>
    <w:rsid w:val="00A066B6"/>
    <w:rsid w:val="00A06AC9"/>
    <w:rsid w:val="00A06D13"/>
    <w:rsid w:val="00A06D68"/>
    <w:rsid w:val="00A0728F"/>
    <w:rsid w:val="00A07B5F"/>
    <w:rsid w:val="00A07ECD"/>
    <w:rsid w:val="00A10895"/>
    <w:rsid w:val="00A10E30"/>
    <w:rsid w:val="00A113D8"/>
    <w:rsid w:val="00A11660"/>
    <w:rsid w:val="00A11849"/>
    <w:rsid w:val="00A11945"/>
    <w:rsid w:val="00A11DDC"/>
    <w:rsid w:val="00A11E57"/>
    <w:rsid w:val="00A12019"/>
    <w:rsid w:val="00A12B83"/>
    <w:rsid w:val="00A12D2F"/>
    <w:rsid w:val="00A12F06"/>
    <w:rsid w:val="00A13267"/>
    <w:rsid w:val="00A133DC"/>
    <w:rsid w:val="00A13512"/>
    <w:rsid w:val="00A1376C"/>
    <w:rsid w:val="00A1389D"/>
    <w:rsid w:val="00A1423B"/>
    <w:rsid w:val="00A1444D"/>
    <w:rsid w:val="00A1452D"/>
    <w:rsid w:val="00A14625"/>
    <w:rsid w:val="00A14DEA"/>
    <w:rsid w:val="00A150A4"/>
    <w:rsid w:val="00A150C6"/>
    <w:rsid w:val="00A15607"/>
    <w:rsid w:val="00A15750"/>
    <w:rsid w:val="00A15A69"/>
    <w:rsid w:val="00A15CB3"/>
    <w:rsid w:val="00A160AB"/>
    <w:rsid w:val="00A1621F"/>
    <w:rsid w:val="00A16B81"/>
    <w:rsid w:val="00A16FFF"/>
    <w:rsid w:val="00A17059"/>
    <w:rsid w:val="00A173E7"/>
    <w:rsid w:val="00A17618"/>
    <w:rsid w:val="00A17857"/>
    <w:rsid w:val="00A1795D"/>
    <w:rsid w:val="00A17E49"/>
    <w:rsid w:val="00A2047F"/>
    <w:rsid w:val="00A205FB"/>
    <w:rsid w:val="00A20B51"/>
    <w:rsid w:val="00A21038"/>
    <w:rsid w:val="00A21387"/>
    <w:rsid w:val="00A21467"/>
    <w:rsid w:val="00A2188A"/>
    <w:rsid w:val="00A218E3"/>
    <w:rsid w:val="00A2246F"/>
    <w:rsid w:val="00A22632"/>
    <w:rsid w:val="00A22E22"/>
    <w:rsid w:val="00A2345E"/>
    <w:rsid w:val="00A24001"/>
    <w:rsid w:val="00A241AD"/>
    <w:rsid w:val="00A243F3"/>
    <w:rsid w:val="00A2498C"/>
    <w:rsid w:val="00A24F7A"/>
    <w:rsid w:val="00A24FA7"/>
    <w:rsid w:val="00A256C1"/>
    <w:rsid w:val="00A25B18"/>
    <w:rsid w:val="00A25DFA"/>
    <w:rsid w:val="00A25F90"/>
    <w:rsid w:val="00A2607D"/>
    <w:rsid w:val="00A263E2"/>
    <w:rsid w:val="00A267FF"/>
    <w:rsid w:val="00A26AC3"/>
    <w:rsid w:val="00A26B31"/>
    <w:rsid w:val="00A2757E"/>
    <w:rsid w:val="00A2774D"/>
    <w:rsid w:val="00A278C5"/>
    <w:rsid w:val="00A27C84"/>
    <w:rsid w:val="00A30B7F"/>
    <w:rsid w:val="00A30DE5"/>
    <w:rsid w:val="00A30E97"/>
    <w:rsid w:val="00A3191F"/>
    <w:rsid w:val="00A33EF7"/>
    <w:rsid w:val="00A3437E"/>
    <w:rsid w:val="00A34778"/>
    <w:rsid w:val="00A34E8F"/>
    <w:rsid w:val="00A352A5"/>
    <w:rsid w:val="00A353A5"/>
    <w:rsid w:val="00A35484"/>
    <w:rsid w:val="00A35BA8"/>
    <w:rsid w:val="00A35DF7"/>
    <w:rsid w:val="00A364A9"/>
    <w:rsid w:val="00A36EC1"/>
    <w:rsid w:val="00A36ECF"/>
    <w:rsid w:val="00A36EE4"/>
    <w:rsid w:val="00A37022"/>
    <w:rsid w:val="00A370B0"/>
    <w:rsid w:val="00A372EF"/>
    <w:rsid w:val="00A37447"/>
    <w:rsid w:val="00A375B1"/>
    <w:rsid w:val="00A37808"/>
    <w:rsid w:val="00A379B8"/>
    <w:rsid w:val="00A37C8D"/>
    <w:rsid w:val="00A37F4C"/>
    <w:rsid w:val="00A408C1"/>
    <w:rsid w:val="00A40AF1"/>
    <w:rsid w:val="00A40C00"/>
    <w:rsid w:val="00A413EC"/>
    <w:rsid w:val="00A41565"/>
    <w:rsid w:val="00A41612"/>
    <w:rsid w:val="00A41BA0"/>
    <w:rsid w:val="00A420F5"/>
    <w:rsid w:val="00A4236C"/>
    <w:rsid w:val="00A423B1"/>
    <w:rsid w:val="00A423D2"/>
    <w:rsid w:val="00A426DB"/>
    <w:rsid w:val="00A42A04"/>
    <w:rsid w:val="00A42A3D"/>
    <w:rsid w:val="00A42B61"/>
    <w:rsid w:val="00A42CA6"/>
    <w:rsid w:val="00A42D24"/>
    <w:rsid w:val="00A436C3"/>
    <w:rsid w:val="00A43C6B"/>
    <w:rsid w:val="00A43CA5"/>
    <w:rsid w:val="00A43DDA"/>
    <w:rsid w:val="00A43EA5"/>
    <w:rsid w:val="00A44005"/>
    <w:rsid w:val="00A4417F"/>
    <w:rsid w:val="00A448DD"/>
    <w:rsid w:val="00A44A0F"/>
    <w:rsid w:val="00A44B50"/>
    <w:rsid w:val="00A44CA2"/>
    <w:rsid w:val="00A45004"/>
    <w:rsid w:val="00A45170"/>
    <w:rsid w:val="00A454B1"/>
    <w:rsid w:val="00A45590"/>
    <w:rsid w:val="00A456AD"/>
    <w:rsid w:val="00A45D2F"/>
    <w:rsid w:val="00A45ED0"/>
    <w:rsid w:val="00A4634A"/>
    <w:rsid w:val="00A46684"/>
    <w:rsid w:val="00A46D2F"/>
    <w:rsid w:val="00A46D5F"/>
    <w:rsid w:val="00A46DF6"/>
    <w:rsid w:val="00A47043"/>
    <w:rsid w:val="00A474AB"/>
    <w:rsid w:val="00A476E7"/>
    <w:rsid w:val="00A47725"/>
    <w:rsid w:val="00A47984"/>
    <w:rsid w:val="00A47AE9"/>
    <w:rsid w:val="00A500F0"/>
    <w:rsid w:val="00A514BF"/>
    <w:rsid w:val="00A51732"/>
    <w:rsid w:val="00A51792"/>
    <w:rsid w:val="00A51D23"/>
    <w:rsid w:val="00A51F00"/>
    <w:rsid w:val="00A52896"/>
    <w:rsid w:val="00A52B65"/>
    <w:rsid w:val="00A52C15"/>
    <w:rsid w:val="00A52C7B"/>
    <w:rsid w:val="00A53193"/>
    <w:rsid w:val="00A532FA"/>
    <w:rsid w:val="00A535BD"/>
    <w:rsid w:val="00A538EB"/>
    <w:rsid w:val="00A54058"/>
    <w:rsid w:val="00A542B8"/>
    <w:rsid w:val="00A54550"/>
    <w:rsid w:val="00A545F8"/>
    <w:rsid w:val="00A553D1"/>
    <w:rsid w:val="00A55592"/>
    <w:rsid w:val="00A565D5"/>
    <w:rsid w:val="00A56A35"/>
    <w:rsid w:val="00A56CF6"/>
    <w:rsid w:val="00A572AC"/>
    <w:rsid w:val="00A576A0"/>
    <w:rsid w:val="00A602FA"/>
    <w:rsid w:val="00A60475"/>
    <w:rsid w:val="00A6064F"/>
    <w:rsid w:val="00A61375"/>
    <w:rsid w:val="00A613B5"/>
    <w:rsid w:val="00A61769"/>
    <w:rsid w:val="00A617BC"/>
    <w:rsid w:val="00A61A64"/>
    <w:rsid w:val="00A61B06"/>
    <w:rsid w:val="00A61B1A"/>
    <w:rsid w:val="00A62091"/>
    <w:rsid w:val="00A62283"/>
    <w:rsid w:val="00A622DD"/>
    <w:rsid w:val="00A62824"/>
    <w:rsid w:val="00A62D0D"/>
    <w:rsid w:val="00A63301"/>
    <w:rsid w:val="00A638D4"/>
    <w:rsid w:val="00A644D8"/>
    <w:rsid w:val="00A64C2B"/>
    <w:rsid w:val="00A6500C"/>
    <w:rsid w:val="00A6512A"/>
    <w:rsid w:val="00A65175"/>
    <w:rsid w:val="00A651A1"/>
    <w:rsid w:val="00A65890"/>
    <w:rsid w:val="00A65CAF"/>
    <w:rsid w:val="00A65D56"/>
    <w:rsid w:val="00A66050"/>
    <w:rsid w:val="00A66175"/>
    <w:rsid w:val="00A66BC4"/>
    <w:rsid w:val="00A66F18"/>
    <w:rsid w:val="00A66F64"/>
    <w:rsid w:val="00A673E4"/>
    <w:rsid w:val="00A67E32"/>
    <w:rsid w:val="00A70070"/>
    <w:rsid w:val="00A70220"/>
    <w:rsid w:val="00A7022E"/>
    <w:rsid w:val="00A70401"/>
    <w:rsid w:val="00A7089A"/>
    <w:rsid w:val="00A708CE"/>
    <w:rsid w:val="00A71119"/>
    <w:rsid w:val="00A71AEC"/>
    <w:rsid w:val="00A71C5B"/>
    <w:rsid w:val="00A71CD3"/>
    <w:rsid w:val="00A71F18"/>
    <w:rsid w:val="00A71F8B"/>
    <w:rsid w:val="00A72385"/>
    <w:rsid w:val="00A72E41"/>
    <w:rsid w:val="00A73021"/>
    <w:rsid w:val="00A73520"/>
    <w:rsid w:val="00A73804"/>
    <w:rsid w:val="00A73B27"/>
    <w:rsid w:val="00A73C13"/>
    <w:rsid w:val="00A73D08"/>
    <w:rsid w:val="00A73F8D"/>
    <w:rsid w:val="00A741B8"/>
    <w:rsid w:val="00A7420C"/>
    <w:rsid w:val="00A74257"/>
    <w:rsid w:val="00A745BF"/>
    <w:rsid w:val="00A74A84"/>
    <w:rsid w:val="00A750FF"/>
    <w:rsid w:val="00A755C1"/>
    <w:rsid w:val="00A756D8"/>
    <w:rsid w:val="00A75863"/>
    <w:rsid w:val="00A75BDF"/>
    <w:rsid w:val="00A75BE8"/>
    <w:rsid w:val="00A75DD4"/>
    <w:rsid w:val="00A75F17"/>
    <w:rsid w:val="00A76437"/>
    <w:rsid w:val="00A764DB"/>
    <w:rsid w:val="00A76557"/>
    <w:rsid w:val="00A7676A"/>
    <w:rsid w:val="00A76B6D"/>
    <w:rsid w:val="00A7700C"/>
    <w:rsid w:val="00A77093"/>
    <w:rsid w:val="00A775AB"/>
    <w:rsid w:val="00A77600"/>
    <w:rsid w:val="00A77A58"/>
    <w:rsid w:val="00A77DA3"/>
    <w:rsid w:val="00A77DE5"/>
    <w:rsid w:val="00A8078A"/>
    <w:rsid w:val="00A80C7B"/>
    <w:rsid w:val="00A80E89"/>
    <w:rsid w:val="00A80FA3"/>
    <w:rsid w:val="00A81546"/>
    <w:rsid w:val="00A81707"/>
    <w:rsid w:val="00A81920"/>
    <w:rsid w:val="00A81DEA"/>
    <w:rsid w:val="00A8254C"/>
    <w:rsid w:val="00A82E19"/>
    <w:rsid w:val="00A82F23"/>
    <w:rsid w:val="00A834A8"/>
    <w:rsid w:val="00A83764"/>
    <w:rsid w:val="00A839D8"/>
    <w:rsid w:val="00A83A12"/>
    <w:rsid w:val="00A83B88"/>
    <w:rsid w:val="00A83F5A"/>
    <w:rsid w:val="00A8405F"/>
    <w:rsid w:val="00A845B6"/>
    <w:rsid w:val="00A84728"/>
    <w:rsid w:val="00A8491E"/>
    <w:rsid w:val="00A84CD3"/>
    <w:rsid w:val="00A852E5"/>
    <w:rsid w:val="00A8538F"/>
    <w:rsid w:val="00A858F7"/>
    <w:rsid w:val="00A858FD"/>
    <w:rsid w:val="00A85D45"/>
    <w:rsid w:val="00A85E8D"/>
    <w:rsid w:val="00A860B1"/>
    <w:rsid w:val="00A86149"/>
    <w:rsid w:val="00A86295"/>
    <w:rsid w:val="00A86473"/>
    <w:rsid w:val="00A86981"/>
    <w:rsid w:val="00A86A07"/>
    <w:rsid w:val="00A86BA7"/>
    <w:rsid w:val="00A86CDB"/>
    <w:rsid w:val="00A87038"/>
    <w:rsid w:val="00A8717F"/>
    <w:rsid w:val="00A87C8D"/>
    <w:rsid w:val="00A87DCB"/>
    <w:rsid w:val="00A87FB2"/>
    <w:rsid w:val="00A90078"/>
    <w:rsid w:val="00A90AEE"/>
    <w:rsid w:val="00A910AC"/>
    <w:rsid w:val="00A91A79"/>
    <w:rsid w:val="00A91D81"/>
    <w:rsid w:val="00A92154"/>
    <w:rsid w:val="00A9249C"/>
    <w:rsid w:val="00A93063"/>
    <w:rsid w:val="00A9358A"/>
    <w:rsid w:val="00A9376D"/>
    <w:rsid w:val="00A93E1E"/>
    <w:rsid w:val="00A94068"/>
    <w:rsid w:val="00A952F3"/>
    <w:rsid w:val="00A95C93"/>
    <w:rsid w:val="00A96155"/>
    <w:rsid w:val="00A961C7"/>
    <w:rsid w:val="00A9624C"/>
    <w:rsid w:val="00A96478"/>
    <w:rsid w:val="00A96491"/>
    <w:rsid w:val="00A96B0C"/>
    <w:rsid w:val="00A96F27"/>
    <w:rsid w:val="00A96F39"/>
    <w:rsid w:val="00A96FE3"/>
    <w:rsid w:val="00A97051"/>
    <w:rsid w:val="00A972D0"/>
    <w:rsid w:val="00A97A3F"/>
    <w:rsid w:val="00A97B0D"/>
    <w:rsid w:val="00AA00E1"/>
    <w:rsid w:val="00AA027C"/>
    <w:rsid w:val="00AA0423"/>
    <w:rsid w:val="00AA0584"/>
    <w:rsid w:val="00AA12CA"/>
    <w:rsid w:val="00AA1935"/>
    <w:rsid w:val="00AA2192"/>
    <w:rsid w:val="00AA26B5"/>
    <w:rsid w:val="00AA288F"/>
    <w:rsid w:val="00AA3572"/>
    <w:rsid w:val="00AA4365"/>
    <w:rsid w:val="00AA45BE"/>
    <w:rsid w:val="00AA4706"/>
    <w:rsid w:val="00AA4BC5"/>
    <w:rsid w:val="00AA4DA6"/>
    <w:rsid w:val="00AA5070"/>
    <w:rsid w:val="00AA5336"/>
    <w:rsid w:val="00AA5395"/>
    <w:rsid w:val="00AA556A"/>
    <w:rsid w:val="00AA5866"/>
    <w:rsid w:val="00AA5BCC"/>
    <w:rsid w:val="00AA6091"/>
    <w:rsid w:val="00AA618A"/>
    <w:rsid w:val="00AA62F5"/>
    <w:rsid w:val="00AA6F09"/>
    <w:rsid w:val="00AA7503"/>
    <w:rsid w:val="00AA765B"/>
    <w:rsid w:val="00AA7A80"/>
    <w:rsid w:val="00AB0174"/>
    <w:rsid w:val="00AB04D7"/>
    <w:rsid w:val="00AB09FA"/>
    <w:rsid w:val="00AB0AA7"/>
    <w:rsid w:val="00AB0E62"/>
    <w:rsid w:val="00AB1019"/>
    <w:rsid w:val="00AB1299"/>
    <w:rsid w:val="00AB1415"/>
    <w:rsid w:val="00AB1780"/>
    <w:rsid w:val="00AB18F9"/>
    <w:rsid w:val="00AB1B72"/>
    <w:rsid w:val="00AB1DFA"/>
    <w:rsid w:val="00AB2927"/>
    <w:rsid w:val="00AB2A9D"/>
    <w:rsid w:val="00AB2D06"/>
    <w:rsid w:val="00AB2DDA"/>
    <w:rsid w:val="00AB2FDF"/>
    <w:rsid w:val="00AB31C6"/>
    <w:rsid w:val="00AB3219"/>
    <w:rsid w:val="00AB325B"/>
    <w:rsid w:val="00AB35BD"/>
    <w:rsid w:val="00AB3E2B"/>
    <w:rsid w:val="00AB3F29"/>
    <w:rsid w:val="00AB43A5"/>
    <w:rsid w:val="00AB45D8"/>
    <w:rsid w:val="00AB461D"/>
    <w:rsid w:val="00AB47B1"/>
    <w:rsid w:val="00AB47BB"/>
    <w:rsid w:val="00AB4BBC"/>
    <w:rsid w:val="00AB5197"/>
    <w:rsid w:val="00AB51AE"/>
    <w:rsid w:val="00AB5398"/>
    <w:rsid w:val="00AB548B"/>
    <w:rsid w:val="00AB580E"/>
    <w:rsid w:val="00AB5922"/>
    <w:rsid w:val="00AB657D"/>
    <w:rsid w:val="00AB6916"/>
    <w:rsid w:val="00AB692B"/>
    <w:rsid w:val="00AB6CC0"/>
    <w:rsid w:val="00AC03F2"/>
    <w:rsid w:val="00AC04DB"/>
    <w:rsid w:val="00AC05E3"/>
    <w:rsid w:val="00AC09E8"/>
    <w:rsid w:val="00AC0CF9"/>
    <w:rsid w:val="00AC0D77"/>
    <w:rsid w:val="00AC0F99"/>
    <w:rsid w:val="00AC1271"/>
    <w:rsid w:val="00AC14CF"/>
    <w:rsid w:val="00AC1ABE"/>
    <w:rsid w:val="00AC3577"/>
    <w:rsid w:val="00AC362D"/>
    <w:rsid w:val="00AC381A"/>
    <w:rsid w:val="00AC3CB0"/>
    <w:rsid w:val="00AC3D2C"/>
    <w:rsid w:val="00AC45C6"/>
    <w:rsid w:val="00AC4797"/>
    <w:rsid w:val="00AC493A"/>
    <w:rsid w:val="00AC4C86"/>
    <w:rsid w:val="00AC5C94"/>
    <w:rsid w:val="00AC5E43"/>
    <w:rsid w:val="00AC6230"/>
    <w:rsid w:val="00AC65BC"/>
    <w:rsid w:val="00AC6A8B"/>
    <w:rsid w:val="00AC6C77"/>
    <w:rsid w:val="00AD038E"/>
    <w:rsid w:val="00AD0ABD"/>
    <w:rsid w:val="00AD0D68"/>
    <w:rsid w:val="00AD0E9E"/>
    <w:rsid w:val="00AD1668"/>
    <w:rsid w:val="00AD1B85"/>
    <w:rsid w:val="00AD1D86"/>
    <w:rsid w:val="00AD1DD7"/>
    <w:rsid w:val="00AD2111"/>
    <w:rsid w:val="00AD2234"/>
    <w:rsid w:val="00AD269C"/>
    <w:rsid w:val="00AD296F"/>
    <w:rsid w:val="00AD3083"/>
    <w:rsid w:val="00AD3617"/>
    <w:rsid w:val="00AD368A"/>
    <w:rsid w:val="00AD3D66"/>
    <w:rsid w:val="00AD4489"/>
    <w:rsid w:val="00AD4FBE"/>
    <w:rsid w:val="00AD509E"/>
    <w:rsid w:val="00AD5398"/>
    <w:rsid w:val="00AD53C7"/>
    <w:rsid w:val="00AD55C8"/>
    <w:rsid w:val="00AD5675"/>
    <w:rsid w:val="00AD5E12"/>
    <w:rsid w:val="00AD5E81"/>
    <w:rsid w:val="00AD6311"/>
    <w:rsid w:val="00AD6464"/>
    <w:rsid w:val="00AD7010"/>
    <w:rsid w:val="00AD723F"/>
    <w:rsid w:val="00AD7516"/>
    <w:rsid w:val="00AD77C2"/>
    <w:rsid w:val="00AD7CF2"/>
    <w:rsid w:val="00AD7F47"/>
    <w:rsid w:val="00AE0A4C"/>
    <w:rsid w:val="00AE12FD"/>
    <w:rsid w:val="00AE144A"/>
    <w:rsid w:val="00AE1AE1"/>
    <w:rsid w:val="00AE1DDC"/>
    <w:rsid w:val="00AE1FAA"/>
    <w:rsid w:val="00AE2079"/>
    <w:rsid w:val="00AE23B4"/>
    <w:rsid w:val="00AE298A"/>
    <w:rsid w:val="00AE2A37"/>
    <w:rsid w:val="00AE3081"/>
    <w:rsid w:val="00AE323A"/>
    <w:rsid w:val="00AE3476"/>
    <w:rsid w:val="00AE3967"/>
    <w:rsid w:val="00AE405F"/>
    <w:rsid w:val="00AE4D0F"/>
    <w:rsid w:val="00AE4E6C"/>
    <w:rsid w:val="00AE59F9"/>
    <w:rsid w:val="00AE5AB8"/>
    <w:rsid w:val="00AE5B3A"/>
    <w:rsid w:val="00AE65A1"/>
    <w:rsid w:val="00AE6B96"/>
    <w:rsid w:val="00AE7554"/>
    <w:rsid w:val="00AE7BAE"/>
    <w:rsid w:val="00AF0C96"/>
    <w:rsid w:val="00AF173D"/>
    <w:rsid w:val="00AF1B47"/>
    <w:rsid w:val="00AF1D8D"/>
    <w:rsid w:val="00AF1DBB"/>
    <w:rsid w:val="00AF2626"/>
    <w:rsid w:val="00AF2B24"/>
    <w:rsid w:val="00AF38A0"/>
    <w:rsid w:val="00AF3B82"/>
    <w:rsid w:val="00AF3BDF"/>
    <w:rsid w:val="00AF3C20"/>
    <w:rsid w:val="00AF4255"/>
    <w:rsid w:val="00AF4746"/>
    <w:rsid w:val="00AF4F2F"/>
    <w:rsid w:val="00AF50DF"/>
    <w:rsid w:val="00AF5390"/>
    <w:rsid w:val="00AF60BD"/>
    <w:rsid w:val="00AF6163"/>
    <w:rsid w:val="00AF68C3"/>
    <w:rsid w:val="00AF6C75"/>
    <w:rsid w:val="00AF76BA"/>
    <w:rsid w:val="00AF7BA5"/>
    <w:rsid w:val="00B00017"/>
    <w:rsid w:val="00B00B54"/>
    <w:rsid w:val="00B00C7D"/>
    <w:rsid w:val="00B00E58"/>
    <w:rsid w:val="00B00FB2"/>
    <w:rsid w:val="00B0139C"/>
    <w:rsid w:val="00B0174A"/>
    <w:rsid w:val="00B01838"/>
    <w:rsid w:val="00B01861"/>
    <w:rsid w:val="00B0210B"/>
    <w:rsid w:val="00B02299"/>
    <w:rsid w:val="00B02674"/>
    <w:rsid w:val="00B027BB"/>
    <w:rsid w:val="00B02B06"/>
    <w:rsid w:val="00B02D4F"/>
    <w:rsid w:val="00B033A4"/>
    <w:rsid w:val="00B039D6"/>
    <w:rsid w:val="00B03B14"/>
    <w:rsid w:val="00B03CD5"/>
    <w:rsid w:val="00B0451F"/>
    <w:rsid w:val="00B046FD"/>
    <w:rsid w:val="00B04A60"/>
    <w:rsid w:val="00B04B5D"/>
    <w:rsid w:val="00B0561E"/>
    <w:rsid w:val="00B05A16"/>
    <w:rsid w:val="00B05D6F"/>
    <w:rsid w:val="00B05D78"/>
    <w:rsid w:val="00B061CF"/>
    <w:rsid w:val="00B0637C"/>
    <w:rsid w:val="00B06748"/>
    <w:rsid w:val="00B069AD"/>
    <w:rsid w:val="00B06B0E"/>
    <w:rsid w:val="00B0728A"/>
    <w:rsid w:val="00B07BB2"/>
    <w:rsid w:val="00B07C80"/>
    <w:rsid w:val="00B10235"/>
    <w:rsid w:val="00B106D8"/>
    <w:rsid w:val="00B10783"/>
    <w:rsid w:val="00B109B0"/>
    <w:rsid w:val="00B10D9E"/>
    <w:rsid w:val="00B11584"/>
    <w:rsid w:val="00B11884"/>
    <w:rsid w:val="00B11910"/>
    <w:rsid w:val="00B12063"/>
    <w:rsid w:val="00B12159"/>
    <w:rsid w:val="00B12283"/>
    <w:rsid w:val="00B1260B"/>
    <w:rsid w:val="00B12643"/>
    <w:rsid w:val="00B12EBC"/>
    <w:rsid w:val="00B13336"/>
    <w:rsid w:val="00B13343"/>
    <w:rsid w:val="00B14106"/>
    <w:rsid w:val="00B14427"/>
    <w:rsid w:val="00B149F6"/>
    <w:rsid w:val="00B14CA1"/>
    <w:rsid w:val="00B14D9B"/>
    <w:rsid w:val="00B150B4"/>
    <w:rsid w:val="00B1515B"/>
    <w:rsid w:val="00B15321"/>
    <w:rsid w:val="00B15A3E"/>
    <w:rsid w:val="00B15A83"/>
    <w:rsid w:val="00B15F83"/>
    <w:rsid w:val="00B16910"/>
    <w:rsid w:val="00B16D55"/>
    <w:rsid w:val="00B16D93"/>
    <w:rsid w:val="00B16F22"/>
    <w:rsid w:val="00B17262"/>
    <w:rsid w:val="00B172B8"/>
    <w:rsid w:val="00B17764"/>
    <w:rsid w:val="00B178E4"/>
    <w:rsid w:val="00B20433"/>
    <w:rsid w:val="00B2093B"/>
    <w:rsid w:val="00B20B47"/>
    <w:rsid w:val="00B20EC4"/>
    <w:rsid w:val="00B20EED"/>
    <w:rsid w:val="00B21176"/>
    <w:rsid w:val="00B212C2"/>
    <w:rsid w:val="00B222DB"/>
    <w:rsid w:val="00B2265B"/>
    <w:rsid w:val="00B2294A"/>
    <w:rsid w:val="00B22A4E"/>
    <w:rsid w:val="00B22CD3"/>
    <w:rsid w:val="00B22EA0"/>
    <w:rsid w:val="00B235A6"/>
    <w:rsid w:val="00B23890"/>
    <w:rsid w:val="00B239C5"/>
    <w:rsid w:val="00B23AA0"/>
    <w:rsid w:val="00B23B42"/>
    <w:rsid w:val="00B23EE5"/>
    <w:rsid w:val="00B24050"/>
    <w:rsid w:val="00B242B4"/>
    <w:rsid w:val="00B2437A"/>
    <w:rsid w:val="00B24840"/>
    <w:rsid w:val="00B25733"/>
    <w:rsid w:val="00B26127"/>
    <w:rsid w:val="00B26970"/>
    <w:rsid w:val="00B2697E"/>
    <w:rsid w:val="00B269C9"/>
    <w:rsid w:val="00B270AB"/>
    <w:rsid w:val="00B2736E"/>
    <w:rsid w:val="00B276E5"/>
    <w:rsid w:val="00B27CC9"/>
    <w:rsid w:val="00B30C4B"/>
    <w:rsid w:val="00B310FE"/>
    <w:rsid w:val="00B31158"/>
    <w:rsid w:val="00B3137C"/>
    <w:rsid w:val="00B315A5"/>
    <w:rsid w:val="00B31AE0"/>
    <w:rsid w:val="00B320D4"/>
    <w:rsid w:val="00B321B6"/>
    <w:rsid w:val="00B323CF"/>
    <w:rsid w:val="00B32A34"/>
    <w:rsid w:val="00B32A4D"/>
    <w:rsid w:val="00B32AA4"/>
    <w:rsid w:val="00B32B9F"/>
    <w:rsid w:val="00B32FB3"/>
    <w:rsid w:val="00B33731"/>
    <w:rsid w:val="00B33783"/>
    <w:rsid w:val="00B33AB2"/>
    <w:rsid w:val="00B33B28"/>
    <w:rsid w:val="00B33B31"/>
    <w:rsid w:val="00B33B8A"/>
    <w:rsid w:val="00B33C92"/>
    <w:rsid w:val="00B33E7F"/>
    <w:rsid w:val="00B33ED6"/>
    <w:rsid w:val="00B33F16"/>
    <w:rsid w:val="00B3404C"/>
    <w:rsid w:val="00B34181"/>
    <w:rsid w:val="00B34411"/>
    <w:rsid w:val="00B34BF8"/>
    <w:rsid w:val="00B34C8A"/>
    <w:rsid w:val="00B351DC"/>
    <w:rsid w:val="00B355F2"/>
    <w:rsid w:val="00B35DDA"/>
    <w:rsid w:val="00B3645E"/>
    <w:rsid w:val="00B3677C"/>
    <w:rsid w:val="00B3723F"/>
    <w:rsid w:val="00B3752F"/>
    <w:rsid w:val="00B37982"/>
    <w:rsid w:val="00B37D92"/>
    <w:rsid w:val="00B37EB7"/>
    <w:rsid w:val="00B40094"/>
    <w:rsid w:val="00B403C9"/>
    <w:rsid w:val="00B404F3"/>
    <w:rsid w:val="00B407C7"/>
    <w:rsid w:val="00B40BDA"/>
    <w:rsid w:val="00B40EA3"/>
    <w:rsid w:val="00B410B0"/>
    <w:rsid w:val="00B411E5"/>
    <w:rsid w:val="00B41267"/>
    <w:rsid w:val="00B41788"/>
    <w:rsid w:val="00B41870"/>
    <w:rsid w:val="00B434A3"/>
    <w:rsid w:val="00B4357D"/>
    <w:rsid w:val="00B438B5"/>
    <w:rsid w:val="00B443F3"/>
    <w:rsid w:val="00B44411"/>
    <w:rsid w:val="00B4447C"/>
    <w:rsid w:val="00B444A6"/>
    <w:rsid w:val="00B446D1"/>
    <w:rsid w:val="00B4499A"/>
    <w:rsid w:val="00B44CB6"/>
    <w:rsid w:val="00B450DF"/>
    <w:rsid w:val="00B45150"/>
    <w:rsid w:val="00B45213"/>
    <w:rsid w:val="00B45279"/>
    <w:rsid w:val="00B4573F"/>
    <w:rsid w:val="00B459A3"/>
    <w:rsid w:val="00B460A2"/>
    <w:rsid w:val="00B46236"/>
    <w:rsid w:val="00B4639A"/>
    <w:rsid w:val="00B4640C"/>
    <w:rsid w:val="00B47639"/>
    <w:rsid w:val="00B47DD7"/>
    <w:rsid w:val="00B5008B"/>
    <w:rsid w:val="00B50321"/>
    <w:rsid w:val="00B50323"/>
    <w:rsid w:val="00B509B7"/>
    <w:rsid w:val="00B50A62"/>
    <w:rsid w:val="00B510F4"/>
    <w:rsid w:val="00B5116B"/>
    <w:rsid w:val="00B5172C"/>
    <w:rsid w:val="00B51AB6"/>
    <w:rsid w:val="00B51E2A"/>
    <w:rsid w:val="00B520C8"/>
    <w:rsid w:val="00B525C1"/>
    <w:rsid w:val="00B527D3"/>
    <w:rsid w:val="00B52860"/>
    <w:rsid w:val="00B52E32"/>
    <w:rsid w:val="00B530B8"/>
    <w:rsid w:val="00B53122"/>
    <w:rsid w:val="00B53380"/>
    <w:rsid w:val="00B53794"/>
    <w:rsid w:val="00B5390B"/>
    <w:rsid w:val="00B539C3"/>
    <w:rsid w:val="00B53C27"/>
    <w:rsid w:val="00B540D4"/>
    <w:rsid w:val="00B5416C"/>
    <w:rsid w:val="00B54C1F"/>
    <w:rsid w:val="00B54C2D"/>
    <w:rsid w:val="00B54EB0"/>
    <w:rsid w:val="00B55604"/>
    <w:rsid w:val="00B55859"/>
    <w:rsid w:val="00B55860"/>
    <w:rsid w:val="00B5746F"/>
    <w:rsid w:val="00B579AB"/>
    <w:rsid w:val="00B601E4"/>
    <w:rsid w:val="00B60398"/>
    <w:rsid w:val="00B60524"/>
    <w:rsid w:val="00B6059A"/>
    <w:rsid w:val="00B60B5F"/>
    <w:rsid w:val="00B6124E"/>
    <w:rsid w:val="00B61490"/>
    <w:rsid w:val="00B61704"/>
    <w:rsid w:val="00B618A2"/>
    <w:rsid w:val="00B619B6"/>
    <w:rsid w:val="00B61A15"/>
    <w:rsid w:val="00B61BB2"/>
    <w:rsid w:val="00B61DC0"/>
    <w:rsid w:val="00B61E3F"/>
    <w:rsid w:val="00B61EB3"/>
    <w:rsid w:val="00B6291A"/>
    <w:rsid w:val="00B62A60"/>
    <w:rsid w:val="00B62ADF"/>
    <w:rsid w:val="00B633F2"/>
    <w:rsid w:val="00B634D5"/>
    <w:rsid w:val="00B6370E"/>
    <w:rsid w:val="00B63912"/>
    <w:rsid w:val="00B64213"/>
    <w:rsid w:val="00B6432A"/>
    <w:rsid w:val="00B64631"/>
    <w:rsid w:val="00B65051"/>
    <w:rsid w:val="00B652A5"/>
    <w:rsid w:val="00B653AC"/>
    <w:rsid w:val="00B653B6"/>
    <w:rsid w:val="00B654A8"/>
    <w:rsid w:val="00B65983"/>
    <w:rsid w:val="00B65BD7"/>
    <w:rsid w:val="00B66038"/>
    <w:rsid w:val="00B6618F"/>
    <w:rsid w:val="00B6648A"/>
    <w:rsid w:val="00B66583"/>
    <w:rsid w:val="00B66704"/>
    <w:rsid w:val="00B66B1F"/>
    <w:rsid w:val="00B6775E"/>
    <w:rsid w:val="00B67760"/>
    <w:rsid w:val="00B6780E"/>
    <w:rsid w:val="00B7003A"/>
    <w:rsid w:val="00B7038E"/>
    <w:rsid w:val="00B7069B"/>
    <w:rsid w:val="00B70C93"/>
    <w:rsid w:val="00B716AC"/>
    <w:rsid w:val="00B71DF8"/>
    <w:rsid w:val="00B71E15"/>
    <w:rsid w:val="00B72027"/>
    <w:rsid w:val="00B721DC"/>
    <w:rsid w:val="00B722BF"/>
    <w:rsid w:val="00B727A3"/>
    <w:rsid w:val="00B72BF2"/>
    <w:rsid w:val="00B730BB"/>
    <w:rsid w:val="00B7384C"/>
    <w:rsid w:val="00B73F3A"/>
    <w:rsid w:val="00B74040"/>
    <w:rsid w:val="00B74460"/>
    <w:rsid w:val="00B7477C"/>
    <w:rsid w:val="00B74DF3"/>
    <w:rsid w:val="00B7523F"/>
    <w:rsid w:val="00B75A88"/>
    <w:rsid w:val="00B75B9D"/>
    <w:rsid w:val="00B75BAA"/>
    <w:rsid w:val="00B75C19"/>
    <w:rsid w:val="00B75D75"/>
    <w:rsid w:val="00B76380"/>
    <w:rsid w:val="00B766BF"/>
    <w:rsid w:val="00B766D2"/>
    <w:rsid w:val="00B766FD"/>
    <w:rsid w:val="00B770FE"/>
    <w:rsid w:val="00B771CA"/>
    <w:rsid w:val="00B77840"/>
    <w:rsid w:val="00B778DC"/>
    <w:rsid w:val="00B77D00"/>
    <w:rsid w:val="00B800D3"/>
    <w:rsid w:val="00B801EB"/>
    <w:rsid w:val="00B8046F"/>
    <w:rsid w:val="00B804ED"/>
    <w:rsid w:val="00B8051D"/>
    <w:rsid w:val="00B80D14"/>
    <w:rsid w:val="00B80F7D"/>
    <w:rsid w:val="00B8204B"/>
    <w:rsid w:val="00B825EB"/>
    <w:rsid w:val="00B82A11"/>
    <w:rsid w:val="00B83116"/>
    <w:rsid w:val="00B831F3"/>
    <w:rsid w:val="00B8347B"/>
    <w:rsid w:val="00B83DE1"/>
    <w:rsid w:val="00B83F09"/>
    <w:rsid w:val="00B840B0"/>
    <w:rsid w:val="00B8421D"/>
    <w:rsid w:val="00B84578"/>
    <w:rsid w:val="00B84894"/>
    <w:rsid w:val="00B84CEC"/>
    <w:rsid w:val="00B85077"/>
    <w:rsid w:val="00B850F5"/>
    <w:rsid w:val="00B85133"/>
    <w:rsid w:val="00B8544A"/>
    <w:rsid w:val="00B8549B"/>
    <w:rsid w:val="00B85591"/>
    <w:rsid w:val="00B860D4"/>
    <w:rsid w:val="00B8610B"/>
    <w:rsid w:val="00B86169"/>
    <w:rsid w:val="00B862FE"/>
    <w:rsid w:val="00B86464"/>
    <w:rsid w:val="00B86496"/>
    <w:rsid w:val="00B86854"/>
    <w:rsid w:val="00B86B60"/>
    <w:rsid w:val="00B86E99"/>
    <w:rsid w:val="00B86FEF"/>
    <w:rsid w:val="00B8702F"/>
    <w:rsid w:val="00B87473"/>
    <w:rsid w:val="00B87490"/>
    <w:rsid w:val="00B87889"/>
    <w:rsid w:val="00B87F49"/>
    <w:rsid w:val="00B87F7F"/>
    <w:rsid w:val="00B90181"/>
    <w:rsid w:val="00B90672"/>
    <w:rsid w:val="00B907B5"/>
    <w:rsid w:val="00B90F21"/>
    <w:rsid w:val="00B91031"/>
    <w:rsid w:val="00B91144"/>
    <w:rsid w:val="00B9200F"/>
    <w:rsid w:val="00B92435"/>
    <w:rsid w:val="00B92C1B"/>
    <w:rsid w:val="00B93365"/>
    <w:rsid w:val="00B93996"/>
    <w:rsid w:val="00B93AFE"/>
    <w:rsid w:val="00B94080"/>
    <w:rsid w:val="00B94203"/>
    <w:rsid w:val="00B94430"/>
    <w:rsid w:val="00B9467A"/>
    <w:rsid w:val="00B946C8"/>
    <w:rsid w:val="00B9492D"/>
    <w:rsid w:val="00B94AC8"/>
    <w:rsid w:val="00B950BB"/>
    <w:rsid w:val="00B958F5"/>
    <w:rsid w:val="00B95973"/>
    <w:rsid w:val="00B9648E"/>
    <w:rsid w:val="00B96604"/>
    <w:rsid w:val="00B96672"/>
    <w:rsid w:val="00B96F59"/>
    <w:rsid w:val="00B96FA9"/>
    <w:rsid w:val="00B970EE"/>
    <w:rsid w:val="00B97151"/>
    <w:rsid w:val="00B97C7A"/>
    <w:rsid w:val="00BA127B"/>
    <w:rsid w:val="00BA157C"/>
    <w:rsid w:val="00BA15A4"/>
    <w:rsid w:val="00BA2248"/>
    <w:rsid w:val="00BA23F5"/>
    <w:rsid w:val="00BA276A"/>
    <w:rsid w:val="00BA29AD"/>
    <w:rsid w:val="00BA2A86"/>
    <w:rsid w:val="00BA2C31"/>
    <w:rsid w:val="00BA3223"/>
    <w:rsid w:val="00BA3A00"/>
    <w:rsid w:val="00BA3A0B"/>
    <w:rsid w:val="00BA3D0A"/>
    <w:rsid w:val="00BA4C30"/>
    <w:rsid w:val="00BA4D0C"/>
    <w:rsid w:val="00BA4FCA"/>
    <w:rsid w:val="00BA54A7"/>
    <w:rsid w:val="00BA636F"/>
    <w:rsid w:val="00BA6424"/>
    <w:rsid w:val="00BA647D"/>
    <w:rsid w:val="00BA67CB"/>
    <w:rsid w:val="00BA67F7"/>
    <w:rsid w:val="00BA696F"/>
    <w:rsid w:val="00BA69AE"/>
    <w:rsid w:val="00BA6D06"/>
    <w:rsid w:val="00BA6D44"/>
    <w:rsid w:val="00BA7146"/>
    <w:rsid w:val="00BA757A"/>
    <w:rsid w:val="00BA77A2"/>
    <w:rsid w:val="00BA7E99"/>
    <w:rsid w:val="00BB0122"/>
    <w:rsid w:val="00BB03C2"/>
    <w:rsid w:val="00BB0E6A"/>
    <w:rsid w:val="00BB15A5"/>
    <w:rsid w:val="00BB19A8"/>
    <w:rsid w:val="00BB1AE1"/>
    <w:rsid w:val="00BB1D9D"/>
    <w:rsid w:val="00BB1E6A"/>
    <w:rsid w:val="00BB1EE8"/>
    <w:rsid w:val="00BB2251"/>
    <w:rsid w:val="00BB24F9"/>
    <w:rsid w:val="00BB256D"/>
    <w:rsid w:val="00BB266A"/>
    <w:rsid w:val="00BB2785"/>
    <w:rsid w:val="00BB29CE"/>
    <w:rsid w:val="00BB2E72"/>
    <w:rsid w:val="00BB3749"/>
    <w:rsid w:val="00BB41AA"/>
    <w:rsid w:val="00BB42B1"/>
    <w:rsid w:val="00BB4BFA"/>
    <w:rsid w:val="00BB50D6"/>
    <w:rsid w:val="00BB5489"/>
    <w:rsid w:val="00BB56E1"/>
    <w:rsid w:val="00BB5A9D"/>
    <w:rsid w:val="00BB5EC1"/>
    <w:rsid w:val="00BB688C"/>
    <w:rsid w:val="00BB6A57"/>
    <w:rsid w:val="00BB757C"/>
    <w:rsid w:val="00BB7A5B"/>
    <w:rsid w:val="00BC0719"/>
    <w:rsid w:val="00BC0A7D"/>
    <w:rsid w:val="00BC15C2"/>
    <w:rsid w:val="00BC1A8C"/>
    <w:rsid w:val="00BC1F97"/>
    <w:rsid w:val="00BC20F4"/>
    <w:rsid w:val="00BC2436"/>
    <w:rsid w:val="00BC2AF6"/>
    <w:rsid w:val="00BC2D8B"/>
    <w:rsid w:val="00BC3352"/>
    <w:rsid w:val="00BC33BF"/>
    <w:rsid w:val="00BC3A3B"/>
    <w:rsid w:val="00BC456A"/>
    <w:rsid w:val="00BC4625"/>
    <w:rsid w:val="00BC463E"/>
    <w:rsid w:val="00BC4A03"/>
    <w:rsid w:val="00BC4CC2"/>
    <w:rsid w:val="00BC5541"/>
    <w:rsid w:val="00BC5B3B"/>
    <w:rsid w:val="00BC5CF7"/>
    <w:rsid w:val="00BC5EC3"/>
    <w:rsid w:val="00BC5FA4"/>
    <w:rsid w:val="00BC640D"/>
    <w:rsid w:val="00BC6588"/>
    <w:rsid w:val="00BC6A8D"/>
    <w:rsid w:val="00BC7CDF"/>
    <w:rsid w:val="00BC7F18"/>
    <w:rsid w:val="00BD01D7"/>
    <w:rsid w:val="00BD0621"/>
    <w:rsid w:val="00BD064A"/>
    <w:rsid w:val="00BD0D5C"/>
    <w:rsid w:val="00BD0DAB"/>
    <w:rsid w:val="00BD106B"/>
    <w:rsid w:val="00BD1137"/>
    <w:rsid w:val="00BD147E"/>
    <w:rsid w:val="00BD14B4"/>
    <w:rsid w:val="00BD2046"/>
    <w:rsid w:val="00BD262C"/>
    <w:rsid w:val="00BD27FC"/>
    <w:rsid w:val="00BD2A65"/>
    <w:rsid w:val="00BD3263"/>
    <w:rsid w:val="00BD3E02"/>
    <w:rsid w:val="00BD43F9"/>
    <w:rsid w:val="00BD4517"/>
    <w:rsid w:val="00BD5019"/>
    <w:rsid w:val="00BD5080"/>
    <w:rsid w:val="00BD5766"/>
    <w:rsid w:val="00BD5927"/>
    <w:rsid w:val="00BD5B0B"/>
    <w:rsid w:val="00BD5B38"/>
    <w:rsid w:val="00BD5B8B"/>
    <w:rsid w:val="00BD6E63"/>
    <w:rsid w:val="00BD7189"/>
    <w:rsid w:val="00BD7899"/>
    <w:rsid w:val="00BD78B0"/>
    <w:rsid w:val="00BE00AF"/>
    <w:rsid w:val="00BE0134"/>
    <w:rsid w:val="00BE03C9"/>
    <w:rsid w:val="00BE04BC"/>
    <w:rsid w:val="00BE0572"/>
    <w:rsid w:val="00BE0B33"/>
    <w:rsid w:val="00BE0D35"/>
    <w:rsid w:val="00BE0FE8"/>
    <w:rsid w:val="00BE103B"/>
    <w:rsid w:val="00BE1107"/>
    <w:rsid w:val="00BE129C"/>
    <w:rsid w:val="00BE12BB"/>
    <w:rsid w:val="00BE1550"/>
    <w:rsid w:val="00BE2029"/>
    <w:rsid w:val="00BE220B"/>
    <w:rsid w:val="00BE23A1"/>
    <w:rsid w:val="00BE26EC"/>
    <w:rsid w:val="00BE2838"/>
    <w:rsid w:val="00BE292C"/>
    <w:rsid w:val="00BE2E16"/>
    <w:rsid w:val="00BE2F34"/>
    <w:rsid w:val="00BE30EC"/>
    <w:rsid w:val="00BE419F"/>
    <w:rsid w:val="00BE45F4"/>
    <w:rsid w:val="00BE4651"/>
    <w:rsid w:val="00BE5013"/>
    <w:rsid w:val="00BE6678"/>
    <w:rsid w:val="00BE676A"/>
    <w:rsid w:val="00BE67F2"/>
    <w:rsid w:val="00BE6A4F"/>
    <w:rsid w:val="00BE6DB7"/>
    <w:rsid w:val="00BE7C20"/>
    <w:rsid w:val="00BF0523"/>
    <w:rsid w:val="00BF05CE"/>
    <w:rsid w:val="00BF08C5"/>
    <w:rsid w:val="00BF09DA"/>
    <w:rsid w:val="00BF0CDE"/>
    <w:rsid w:val="00BF1661"/>
    <w:rsid w:val="00BF167E"/>
    <w:rsid w:val="00BF1A20"/>
    <w:rsid w:val="00BF1EDB"/>
    <w:rsid w:val="00BF1F7B"/>
    <w:rsid w:val="00BF1FBF"/>
    <w:rsid w:val="00BF20BF"/>
    <w:rsid w:val="00BF234F"/>
    <w:rsid w:val="00BF411A"/>
    <w:rsid w:val="00BF4185"/>
    <w:rsid w:val="00BF4204"/>
    <w:rsid w:val="00BF4845"/>
    <w:rsid w:val="00BF4C18"/>
    <w:rsid w:val="00BF4E8E"/>
    <w:rsid w:val="00BF5568"/>
    <w:rsid w:val="00BF5686"/>
    <w:rsid w:val="00BF601B"/>
    <w:rsid w:val="00BF61F5"/>
    <w:rsid w:val="00BF6649"/>
    <w:rsid w:val="00BF66EF"/>
    <w:rsid w:val="00BF678C"/>
    <w:rsid w:val="00BF6933"/>
    <w:rsid w:val="00BF6D21"/>
    <w:rsid w:val="00BF70B2"/>
    <w:rsid w:val="00BF71C3"/>
    <w:rsid w:val="00BF74A5"/>
    <w:rsid w:val="00BF77F1"/>
    <w:rsid w:val="00BF7A6B"/>
    <w:rsid w:val="00BF7BC3"/>
    <w:rsid w:val="00C012BA"/>
    <w:rsid w:val="00C019DE"/>
    <w:rsid w:val="00C022AB"/>
    <w:rsid w:val="00C0262A"/>
    <w:rsid w:val="00C02A17"/>
    <w:rsid w:val="00C033FA"/>
    <w:rsid w:val="00C037BF"/>
    <w:rsid w:val="00C038EE"/>
    <w:rsid w:val="00C03E92"/>
    <w:rsid w:val="00C03EE4"/>
    <w:rsid w:val="00C04087"/>
    <w:rsid w:val="00C040E8"/>
    <w:rsid w:val="00C04103"/>
    <w:rsid w:val="00C0481E"/>
    <w:rsid w:val="00C04FFC"/>
    <w:rsid w:val="00C0582B"/>
    <w:rsid w:val="00C05980"/>
    <w:rsid w:val="00C05A6B"/>
    <w:rsid w:val="00C05A6C"/>
    <w:rsid w:val="00C05B9C"/>
    <w:rsid w:val="00C05C14"/>
    <w:rsid w:val="00C05DED"/>
    <w:rsid w:val="00C05E6C"/>
    <w:rsid w:val="00C0669D"/>
    <w:rsid w:val="00C06937"/>
    <w:rsid w:val="00C07115"/>
    <w:rsid w:val="00C0746B"/>
    <w:rsid w:val="00C077B6"/>
    <w:rsid w:val="00C07920"/>
    <w:rsid w:val="00C0796C"/>
    <w:rsid w:val="00C07A11"/>
    <w:rsid w:val="00C07AF5"/>
    <w:rsid w:val="00C07D03"/>
    <w:rsid w:val="00C07F42"/>
    <w:rsid w:val="00C1059D"/>
    <w:rsid w:val="00C107A3"/>
    <w:rsid w:val="00C115B2"/>
    <w:rsid w:val="00C118D2"/>
    <w:rsid w:val="00C11A02"/>
    <w:rsid w:val="00C11FF1"/>
    <w:rsid w:val="00C12670"/>
    <w:rsid w:val="00C126DD"/>
    <w:rsid w:val="00C12796"/>
    <w:rsid w:val="00C12937"/>
    <w:rsid w:val="00C12CCC"/>
    <w:rsid w:val="00C13620"/>
    <w:rsid w:val="00C13627"/>
    <w:rsid w:val="00C13E7E"/>
    <w:rsid w:val="00C1472F"/>
    <w:rsid w:val="00C1484A"/>
    <w:rsid w:val="00C14E81"/>
    <w:rsid w:val="00C14F74"/>
    <w:rsid w:val="00C1554C"/>
    <w:rsid w:val="00C15560"/>
    <w:rsid w:val="00C15AA1"/>
    <w:rsid w:val="00C15C45"/>
    <w:rsid w:val="00C15FF0"/>
    <w:rsid w:val="00C16789"/>
    <w:rsid w:val="00C16D28"/>
    <w:rsid w:val="00C16E5B"/>
    <w:rsid w:val="00C173CF"/>
    <w:rsid w:val="00C17FCA"/>
    <w:rsid w:val="00C20BC1"/>
    <w:rsid w:val="00C210D7"/>
    <w:rsid w:val="00C211EE"/>
    <w:rsid w:val="00C2196B"/>
    <w:rsid w:val="00C22407"/>
    <w:rsid w:val="00C228EF"/>
    <w:rsid w:val="00C231A2"/>
    <w:rsid w:val="00C244A0"/>
    <w:rsid w:val="00C244E2"/>
    <w:rsid w:val="00C24611"/>
    <w:rsid w:val="00C24C3A"/>
    <w:rsid w:val="00C24C78"/>
    <w:rsid w:val="00C2553E"/>
    <w:rsid w:val="00C25931"/>
    <w:rsid w:val="00C25C05"/>
    <w:rsid w:val="00C25C1F"/>
    <w:rsid w:val="00C25C62"/>
    <w:rsid w:val="00C2614B"/>
    <w:rsid w:val="00C26417"/>
    <w:rsid w:val="00C2695F"/>
    <w:rsid w:val="00C26A5B"/>
    <w:rsid w:val="00C2756A"/>
    <w:rsid w:val="00C278AE"/>
    <w:rsid w:val="00C27C15"/>
    <w:rsid w:val="00C27FEF"/>
    <w:rsid w:val="00C3006D"/>
    <w:rsid w:val="00C303A3"/>
    <w:rsid w:val="00C306F1"/>
    <w:rsid w:val="00C307E1"/>
    <w:rsid w:val="00C308FA"/>
    <w:rsid w:val="00C30941"/>
    <w:rsid w:val="00C30A5B"/>
    <w:rsid w:val="00C30EB2"/>
    <w:rsid w:val="00C3196B"/>
    <w:rsid w:val="00C31D2B"/>
    <w:rsid w:val="00C3206A"/>
    <w:rsid w:val="00C3211E"/>
    <w:rsid w:val="00C321B0"/>
    <w:rsid w:val="00C32737"/>
    <w:rsid w:val="00C329D1"/>
    <w:rsid w:val="00C33CB5"/>
    <w:rsid w:val="00C33F32"/>
    <w:rsid w:val="00C3412F"/>
    <w:rsid w:val="00C343F2"/>
    <w:rsid w:val="00C346BF"/>
    <w:rsid w:val="00C3472A"/>
    <w:rsid w:val="00C34C5B"/>
    <w:rsid w:val="00C35534"/>
    <w:rsid w:val="00C356DC"/>
    <w:rsid w:val="00C356F7"/>
    <w:rsid w:val="00C35D59"/>
    <w:rsid w:val="00C35E02"/>
    <w:rsid w:val="00C36763"/>
    <w:rsid w:val="00C3693E"/>
    <w:rsid w:val="00C36949"/>
    <w:rsid w:val="00C37302"/>
    <w:rsid w:val="00C37E53"/>
    <w:rsid w:val="00C404E1"/>
    <w:rsid w:val="00C408B4"/>
    <w:rsid w:val="00C40F98"/>
    <w:rsid w:val="00C415DA"/>
    <w:rsid w:val="00C41CBF"/>
    <w:rsid w:val="00C41DB7"/>
    <w:rsid w:val="00C41EC9"/>
    <w:rsid w:val="00C41EDB"/>
    <w:rsid w:val="00C424A5"/>
    <w:rsid w:val="00C4274C"/>
    <w:rsid w:val="00C42BFC"/>
    <w:rsid w:val="00C42DD0"/>
    <w:rsid w:val="00C42DD5"/>
    <w:rsid w:val="00C42E39"/>
    <w:rsid w:val="00C43402"/>
    <w:rsid w:val="00C43598"/>
    <w:rsid w:val="00C43CEA"/>
    <w:rsid w:val="00C43D70"/>
    <w:rsid w:val="00C44565"/>
    <w:rsid w:val="00C447A5"/>
    <w:rsid w:val="00C449F8"/>
    <w:rsid w:val="00C44C95"/>
    <w:rsid w:val="00C44DB3"/>
    <w:rsid w:val="00C450CC"/>
    <w:rsid w:val="00C454FF"/>
    <w:rsid w:val="00C45540"/>
    <w:rsid w:val="00C459C3"/>
    <w:rsid w:val="00C45B06"/>
    <w:rsid w:val="00C46038"/>
    <w:rsid w:val="00C460D7"/>
    <w:rsid w:val="00C46302"/>
    <w:rsid w:val="00C46539"/>
    <w:rsid w:val="00C4654E"/>
    <w:rsid w:val="00C46676"/>
    <w:rsid w:val="00C46CC0"/>
    <w:rsid w:val="00C4764D"/>
    <w:rsid w:val="00C47A73"/>
    <w:rsid w:val="00C47CF5"/>
    <w:rsid w:val="00C47F4E"/>
    <w:rsid w:val="00C47F5F"/>
    <w:rsid w:val="00C501C0"/>
    <w:rsid w:val="00C506C3"/>
    <w:rsid w:val="00C508D0"/>
    <w:rsid w:val="00C50965"/>
    <w:rsid w:val="00C50D52"/>
    <w:rsid w:val="00C50E90"/>
    <w:rsid w:val="00C50F6F"/>
    <w:rsid w:val="00C5107C"/>
    <w:rsid w:val="00C513FA"/>
    <w:rsid w:val="00C514C3"/>
    <w:rsid w:val="00C51678"/>
    <w:rsid w:val="00C517D8"/>
    <w:rsid w:val="00C51BED"/>
    <w:rsid w:val="00C51C69"/>
    <w:rsid w:val="00C52642"/>
    <w:rsid w:val="00C5294C"/>
    <w:rsid w:val="00C52A33"/>
    <w:rsid w:val="00C52A81"/>
    <w:rsid w:val="00C52FA5"/>
    <w:rsid w:val="00C53254"/>
    <w:rsid w:val="00C53517"/>
    <w:rsid w:val="00C53B01"/>
    <w:rsid w:val="00C53D59"/>
    <w:rsid w:val="00C53ECE"/>
    <w:rsid w:val="00C5406B"/>
    <w:rsid w:val="00C544C0"/>
    <w:rsid w:val="00C546DD"/>
    <w:rsid w:val="00C54899"/>
    <w:rsid w:val="00C54D44"/>
    <w:rsid w:val="00C551BD"/>
    <w:rsid w:val="00C55685"/>
    <w:rsid w:val="00C56314"/>
    <w:rsid w:val="00C5647E"/>
    <w:rsid w:val="00C56A8D"/>
    <w:rsid w:val="00C56D50"/>
    <w:rsid w:val="00C571A8"/>
    <w:rsid w:val="00C57590"/>
    <w:rsid w:val="00C576B6"/>
    <w:rsid w:val="00C5770C"/>
    <w:rsid w:val="00C57801"/>
    <w:rsid w:val="00C57A97"/>
    <w:rsid w:val="00C57BA6"/>
    <w:rsid w:val="00C57D88"/>
    <w:rsid w:val="00C606F6"/>
    <w:rsid w:val="00C60AB7"/>
    <w:rsid w:val="00C60BF6"/>
    <w:rsid w:val="00C60F94"/>
    <w:rsid w:val="00C60FFB"/>
    <w:rsid w:val="00C6149C"/>
    <w:rsid w:val="00C61A4E"/>
    <w:rsid w:val="00C61D60"/>
    <w:rsid w:val="00C61EE0"/>
    <w:rsid w:val="00C62235"/>
    <w:rsid w:val="00C6288F"/>
    <w:rsid w:val="00C62AE2"/>
    <w:rsid w:val="00C638CF"/>
    <w:rsid w:val="00C63B15"/>
    <w:rsid w:val="00C64086"/>
    <w:rsid w:val="00C640AF"/>
    <w:rsid w:val="00C641DE"/>
    <w:rsid w:val="00C6425B"/>
    <w:rsid w:val="00C64603"/>
    <w:rsid w:val="00C64A76"/>
    <w:rsid w:val="00C64BAF"/>
    <w:rsid w:val="00C64E63"/>
    <w:rsid w:val="00C655DE"/>
    <w:rsid w:val="00C6582C"/>
    <w:rsid w:val="00C65B52"/>
    <w:rsid w:val="00C65BE0"/>
    <w:rsid w:val="00C65CAE"/>
    <w:rsid w:val="00C65DE6"/>
    <w:rsid w:val="00C65EA9"/>
    <w:rsid w:val="00C6601E"/>
    <w:rsid w:val="00C664FA"/>
    <w:rsid w:val="00C66581"/>
    <w:rsid w:val="00C6672A"/>
    <w:rsid w:val="00C66B08"/>
    <w:rsid w:val="00C6700C"/>
    <w:rsid w:val="00C67049"/>
    <w:rsid w:val="00C67709"/>
    <w:rsid w:val="00C67786"/>
    <w:rsid w:val="00C677CD"/>
    <w:rsid w:val="00C67819"/>
    <w:rsid w:val="00C702C9"/>
    <w:rsid w:val="00C70489"/>
    <w:rsid w:val="00C708A9"/>
    <w:rsid w:val="00C70D7E"/>
    <w:rsid w:val="00C711A3"/>
    <w:rsid w:val="00C7136F"/>
    <w:rsid w:val="00C715DA"/>
    <w:rsid w:val="00C72297"/>
    <w:rsid w:val="00C724C3"/>
    <w:rsid w:val="00C72544"/>
    <w:rsid w:val="00C72890"/>
    <w:rsid w:val="00C72E01"/>
    <w:rsid w:val="00C72EC9"/>
    <w:rsid w:val="00C72FF1"/>
    <w:rsid w:val="00C730FB"/>
    <w:rsid w:val="00C73400"/>
    <w:rsid w:val="00C737D3"/>
    <w:rsid w:val="00C73C35"/>
    <w:rsid w:val="00C73C93"/>
    <w:rsid w:val="00C73F3C"/>
    <w:rsid w:val="00C73FB4"/>
    <w:rsid w:val="00C7415B"/>
    <w:rsid w:val="00C74184"/>
    <w:rsid w:val="00C742B8"/>
    <w:rsid w:val="00C74460"/>
    <w:rsid w:val="00C7446E"/>
    <w:rsid w:val="00C74D46"/>
    <w:rsid w:val="00C7584D"/>
    <w:rsid w:val="00C75CFB"/>
    <w:rsid w:val="00C75F2A"/>
    <w:rsid w:val="00C75F87"/>
    <w:rsid w:val="00C76010"/>
    <w:rsid w:val="00C76281"/>
    <w:rsid w:val="00C7642C"/>
    <w:rsid w:val="00C7657A"/>
    <w:rsid w:val="00C77026"/>
    <w:rsid w:val="00C770B7"/>
    <w:rsid w:val="00C77236"/>
    <w:rsid w:val="00C776F1"/>
    <w:rsid w:val="00C779C4"/>
    <w:rsid w:val="00C77B96"/>
    <w:rsid w:val="00C77B9E"/>
    <w:rsid w:val="00C80101"/>
    <w:rsid w:val="00C802E3"/>
    <w:rsid w:val="00C80ACA"/>
    <w:rsid w:val="00C80B1B"/>
    <w:rsid w:val="00C80B21"/>
    <w:rsid w:val="00C80F99"/>
    <w:rsid w:val="00C81019"/>
    <w:rsid w:val="00C81160"/>
    <w:rsid w:val="00C81381"/>
    <w:rsid w:val="00C81714"/>
    <w:rsid w:val="00C820DE"/>
    <w:rsid w:val="00C822A3"/>
    <w:rsid w:val="00C8234B"/>
    <w:rsid w:val="00C825F1"/>
    <w:rsid w:val="00C828AB"/>
    <w:rsid w:val="00C82BAA"/>
    <w:rsid w:val="00C82D5B"/>
    <w:rsid w:val="00C82DCC"/>
    <w:rsid w:val="00C82EB0"/>
    <w:rsid w:val="00C83009"/>
    <w:rsid w:val="00C8358B"/>
    <w:rsid w:val="00C836D9"/>
    <w:rsid w:val="00C838CF"/>
    <w:rsid w:val="00C838F6"/>
    <w:rsid w:val="00C83C9D"/>
    <w:rsid w:val="00C846F2"/>
    <w:rsid w:val="00C8479B"/>
    <w:rsid w:val="00C84C95"/>
    <w:rsid w:val="00C84E33"/>
    <w:rsid w:val="00C85991"/>
    <w:rsid w:val="00C85C57"/>
    <w:rsid w:val="00C85EAE"/>
    <w:rsid w:val="00C86B66"/>
    <w:rsid w:val="00C870F5"/>
    <w:rsid w:val="00C87603"/>
    <w:rsid w:val="00C8791A"/>
    <w:rsid w:val="00C90031"/>
    <w:rsid w:val="00C904A8"/>
    <w:rsid w:val="00C90584"/>
    <w:rsid w:val="00C90BE8"/>
    <w:rsid w:val="00C90C31"/>
    <w:rsid w:val="00C915EB"/>
    <w:rsid w:val="00C91704"/>
    <w:rsid w:val="00C91D20"/>
    <w:rsid w:val="00C9235E"/>
    <w:rsid w:val="00C930B5"/>
    <w:rsid w:val="00C935DE"/>
    <w:rsid w:val="00C93740"/>
    <w:rsid w:val="00C939F2"/>
    <w:rsid w:val="00C93A10"/>
    <w:rsid w:val="00C94213"/>
    <w:rsid w:val="00C94677"/>
    <w:rsid w:val="00C947C5"/>
    <w:rsid w:val="00C94972"/>
    <w:rsid w:val="00C94FD7"/>
    <w:rsid w:val="00C95621"/>
    <w:rsid w:val="00C957FB"/>
    <w:rsid w:val="00C95802"/>
    <w:rsid w:val="00C95D42"/>
    <w:rsid w:val="00C96053"/>
    <w:rsid w:val="00C96474"/>
    <w:rsid w:val="00C96522"/>
    <w:rsid w:val="00C96734"/>
    <w:rsid w:val="00C96D34"/>
    <w:rsid w:val="00C96E8D"/>
    <w:rsid w:val="00C9702E"/>
    <w:rsid w:val="00C97311"/>
    <w:rsid w:val="00C97645"/>
    <w:rsid w:val="00C979C3"/>
    <w:rsid w:val="00CA0291"/>
    <w:rsid w:val="00CA0E3E"/>
    <w:rsid w:val="00CA108C"/>
    <w:rsid w:val="00CA109A"/>
    <w:rsid w:val="00CA124C"/>
    <w:rsid w:val="00CA128B"/>
    <w:rsid w:val="00CA19D7"/>
    <w:rsid w:val="00CA1DBA"/>
    <w:rsid w:val="00CA25C0"/>
    <w:rsid w:val="00CA3C51"/>
    <w:rsid w:val="00CA3CDE"/>
    <w:rsid w:val="00CA4744"/>
    <w:rsid w:val="00CA48A7"/>
    <w:rsid w:val="00CA4A12"/>
    <w:rsid w:val="00CA4A4E"/>
    <w:rsid w:val="00CA4C49"/>
    <w:rsid w:val="00CA5792"/>
    <w:rsid w:val="00CA5B3E"/>
    <w:rsid w:val="00CA5E96"/>
    <w:rsid w:val="00CA6424"/>
    <w:rsid w:val="00CA654A"/>
    <w:rsid w:val="00CA65ED"/>
    <w:rsid w:val="00CA6970"/>
    <w:rsid w:val="00CA76F5"/>
    <w:rsid w:val="00CA7705"/>
    <w:rsid w:val="00CA7A0B"/>
    <w:rsid w:val="00CB0026"/>
    <w:rsid w:val="00CB0B74"/>
    <w:rsid w:val="00CB0DAE"/>
    <w:rsid w:val="00CB0FEE"/>
    <w:rsid w:val="00CB1222"/>
    <w:rsid w:val="00CB16CA"/>
    <w:rsid w:val="00CB1C58"/>
    <w:rsid w:val="00CB218D"/>
    <w:rsid w:val="00CB2585"/>
    <w:rsid w:val="00CB263F"/>
    <w:rsid w:val="00CB2D12"/>
    <w:rsid w:val="00CB3996"/>
    <w:rsid w:val="00CB3A8E"/>
    <w:rsid w:val="00CB3DDD"/>
    <w:rsid w:val="00CB42C0"/>
    <w:rsid w:val="00CB481B"/>
    <w:rsid w:val="00CB55D9"/>
    <w:rsid w:val="00CB5689"/>
    <w:rsid w:val="00CB5E5B"/>
    <w:rsid w:val="00CB6089"/>
    <w:rsid w:val="00CB6300"/>
    <w:rsid w:val="00CB640A"/>
    <w:rsid w:val="00CB646B"/>
    <w:rsid w:val="00CB67CA"/>
    <w:rsid w:val="00CB68D5"/>
    <w:rsid w:val="00CB6C58"/>
    <w:rsid w:val="00CB6F50"/>
    <w:rsid w:val="00CB7077"/>
    <w:rsid w:val="00CB74DA"/>
    <w:rsid w:val="00CB7A7B"/>
    <w:rsid w:val="00CC08E1"/>
    <w:rsid w:val="00CC0ABA"/>
    <w:rsid w:val="00CC0C98"/>
    <w:rsid w:val="00CC0EFC"/>
    <w:rsid w:val="00CC1181"/>
    <w:rsid w:val="00CC14BA"/>
    <w:rsid w:val="00CC166E"/>
    <w:rsid w:val="00CC1AF2"/>
    <w:rsid w:val="00CC1EF2"/>
    <w:rsid w:val="00CC1F1E"/>
    <w:rsid w:val="00CC1F35"/>
    <w:rsid w:val="00CC1F78"/>
    <w:rsid w:val="00CC2316"/>
    <w:rsid w:val="00CC3107"/>
    <w:rsid w:val="00CC32AD"/>
    <w:rsid w:val="00CC3392"/>
    <w:rsid w:val="00CC33F9"/>
    <w:rsid w:val="00CC392D"/>
    <w:rsid w:val="00CC3EB2"/>
    <w:rsid w:val="00CC3FE4"/>
    <w:rsid w:val="00CC48B9"/>
    <w:rsid w:val="00CC4CBE"/>
    <w:rsid w:val="00CC55C8"/>
    <w:rsid w:val="00CC5830"/>
    <w:rsid w:val="00CC628E"/>
    <w:rsid w:val="00CC62BE"/>
    <w:rsid w:val="00CC6506"/>
    <w:rsid w:val="00CC67C3"/>
    <w:rsid w:val="00CC6803"/>
    <w:rsid w:val="00CC6878"/>
    <w:rsid w:val="00CC6FCB"/>
    <w:rsid w:val="00CC73AD"/>
    <w:rsid w:val="00CC7F64"/>
    <w:rsid w:val="00CD0399"/>
    <w:rsid w:val="00CD03C0"/>
    <w:rsid w:val="00CD048D"/>
    <w:rsid w:val="00CD05AE"/>
    <w:rsid w:val="00CD0899"/>
    <w:rsid w:val="00CD0972"/>
    <w:rsid w:val="00CD0B3E"/>
    <w:rsid w:val="00CD0BCD"/>
    <w:rsid w:val="00CD0C71"/>
    <w:rsid w:val="00CD0ED1"/>
    <w:rsid w:val="00CD16B2"/>
    <w:rsid w:val="00CD23FA"/>
    <w:rsid w:val="00CD2987"/>
    <w:rsid w:val="00CD2DD5"/>
    <w:rsid w:val="00CD3356"/>
    <w:rsid w:val="00CD35C2"/>
    <w:rsid w:val="00CD3F7F"/>
    <w:rsid w:val="00CD4193"/>
    <w:rsid w:val="00CD41F1"/>
    <w:rsid w:val="00CD4E33"/>
    <w:rsid w:val="00CD4F36"/>
    <w:rsid w:val="00CD7278"/>
    <w:rsid w:val="00CD785F"/>
    <w:rsid w:val="00CD7B4B"/>
    <w:rsid w:val="00CE044F"/>
    <w:rsid w:val="00CE06B6"/>
    <w:rsid w:val="00CE12DF"/>
    <w:rsid w:val="00CE1E62"/>
    <w:rsid w:val="00CE1EB4"/>
    <w:rsid w:val="00CE2069"/>
    <w:rsid w:val="00CE212F"/>
    <w:rsid w:val="00CE2233"/>
    <w:rsid w:val="00CE2465"/>
    <w:rsid w:val="00CE27C8"/>
    <w:rsid w:val="00CE2A10"/>
    <w:rsid w:val="00CE2A58"/>
    <w:rsid w:val="00CE2B66"/>
    <w:rsid w:val="00CE32D5"/>
    <w:rsid w:val="00CE33B6"/>
    <w:rsid w:val="00CE3643"/>
    <w:rsid w:val="00CE37C0"/>
    <w:rsid w:val="00CE388B"/>
    <w:rsid w:val="00CE3908"/>
    <w:rsid w:val="00CE4BC9"/>
    <w:rsid w:val="00CE50B3"/>
    <w:rsid w:val="00CE50E2"/>
    <w:rsid w:val="00CE5106"/>
    <w:rsid w:val="00CE5231"/>
    <w:rsid w:val="00CE5503"/>
    <w:rsid w:val="00CE58FC"/>
    <w:rsid w:val="00CE5A67"/>
    <w:rsid w:val="00CE5B31"/>
    <w:rsid w:val="00CE67AF"/>
    <w:rsid w:val="00CE6970"/>
    <w:rsid w:val="00CE6E4D"/>
    <w:rsid w:val="00CE6EC3"/>
    <w:rsid w:val="00CE704E"/>
    <w:rsid w:val="00CE74B4"/>
    <w:rsid w:val="00CE74D2"/>
    <w:rsid w:val="00CE7D53"/>
    <w:rsid w:val="00CE7F0F"/>
    <w:rsid w:val="00CF0588"/>
    <w:rsid w:val="00CF0847"/>
    <w:rsid w:val="00CF0A49"/>
    <w:rsid w:val="00CF0E76"/>
    <w:rsid w:val="00CF1A7B"/>
    <w:rsid w:val="00CF1C78"/>
    <w:rsid w:val="00CF1DDC"/>
    <w:rsid w:val="00CF1E59"/>
    <w:rsid w:val="00CF1FDA"/>
    <w:rsid w:val="00CF2E43"/>
    <w:rsid w:val="00CF3396"/>
    <w:rsid w:val="00CF341F"/>
    <w:rsid w:val="00CF3890"/>
    <w:rsid w:val="00CF3DA1"/>
    <w:rsid w:val="00CF41F8"/>
    <w:rsid w:val="00CF4340"/>
    <w:rsid w:val="00CF4875"/>
    <w:rsid w:val="00CF49E2"/>
    <w:rsid w:val="00CF507E"/>
    <w:rsid w:val="00CF548A"/>
    <w:rsid w:val="00CF61EA"/>
    <w:rsid w:val="00CF6528"/>
    <w:rsid w:val="00CF6548"/>
    <w:rsid w:val="00CF7C92"/>
    <w:rsid w:val="00CF7F9D"/>
    <w:rsid w:val="00D00060"/>
    <w:rsid w:val="00D00318"/>
    <w:rsid w:val="00D00687"/>
    <w:rsid w:val="00D00FFB"/>
    <w:rsid w:val="00D0108E"/>
    <w:rsid w:val="00D01998"/>
    <w:rsid w:val="00D01AC2"/>
    <w:rsid w:val="00D01B52"/>
    <w:rsid w:val="00D01EF2"/>
    <w:rsid w:val="00D0213E"/>
    <w:rsid w:val="00D026A5"/>
    <w:rsid w:val="00D0335B"/>
    <w:rsid w:val="00D035AE"/>
    <w:rsid w:val="00D03645"/>
    <w:rsid w:val="00D036B3"/>
    <w:rsid w:val="00D036CA"/>
    <w:rsid w:val="00D037B8"/>
    <w:rsid w:val="00D037CE"/>
    <w:rsid w:val="00D03B0B"/>
    <w:rsid w:val="00D03CB0"/>
    <w:rsid w:val="00D04A5F"/>
    <w:rsid w:val="00D04AED"/>
    <w:rsid w:val="00D0549F"/>
    <w:rsid w:val="00D054EB"/>
    <w:rsid w:val="00D05596"/>
    <w:rsid w:val="00D061CD"/>
    <w:rsid w:val="00D06766"/>
    <w:rsid w:val="00D06940"/>
    <w:rsid w:val="00D0696B"/>
    <w:rsid w:val="00D06F23"/>
    <w:rsid w:val="00D06F36"/>
    <w:rsid w:val="00D0781A"/>
    <w:rsid w:val="00D07A3D"/>
    <w:rsid w:val="00D10736"/>
    <w:rsid w:val="00D107B6"/>
    <w:rsid w:val="00D10813"/>
    <w:rsid w:val="00D10B02"/>
    <w:rsid w:val="00D10BCD"/>
    <w:rsid w:val="00D10D61"/>
    <w:rsid w:val="00D116D3"/>
    <w:rsid w:val="00D118E0"/>
    <w:rsid w:val="00D11942"/>
    <w:rsid w:val="00D119E6"/>
    <w:rsid w:val="00D11FA0"/>
    <w:rsid w:val="00D12471"/>
    <w:rsid w:val="00D12A5F"/>
    <w:rsid w:val="00D12B73"/>
    <w:rsid w:val="00D1322B"/>
    <w:rsid w:val="00D13250"/>
    <w:rsid w:val="00D1327C"/>
    <w:rsid w:val="00D135E0"/>
    <w:rsid w:val="00D1379F"/>
    <w:rsid w:val="00D13904"/>
    <w:rsid w:val="00D14242"/>
    <w:rsid w:val="00D14BA0"/>
    <w:rsid w:val="00D15246"/>
    <w:rsid w:val="00D15D3B"/>
    <w:rsid w:val="00D15DD4"/>
    <w:rsid w:val="00D16169"/>
    <w:rsid w:val="00D16264"/>
    <w:rsid w:val="00D1672B"/>
    <w:rsid w:val="00D16849"/>
    <w:rsid w:val="00D16C90"/>
    <w:rsid w:val="00D16FD4"/>
    <w:rsid w:val="00D17004"/>
    <w:rsid w:val="00D178A0"/>
    <w:rsid w:val="00D17B61"/>
    <w:rsid w:val="00D203BC"/>
    <w:rsid w:val="00D204F4"/>
    <w:rsid w:val="00D2066B"/>
    <w:rsid w:val="00D20930"/>
    <w:rsid w:val="00D20B3A"/>
    <w:rsid w:val="00D20CB3"/>
    <w:rsid w:val="00D20D65"/>
    <w:rsid w:val="00D20D8D"/>
    <w:rsid w:val="00D20DEF"/>
    <w:rsid w:val="00D210F8"/>
    <w:rsid w:val="00D21335"/>
    <w:rsid w:val="00D21995"/>
    <w:rsid w:val="00D21E96"/>
    <w:rsid w:val="00D21EEB"/>
    <w:rsid w:val="00D21FE5"/>
    <w:rsid w:val="00D22078"/>
    <w:rsid w:val="00D22536"/>
    <w:rsid w:val="00D225A5"/>
    <w:rsid w:val="00D22CB8"/>
    <w:rsid w:val="00D230EB"/>
    <w:rsid w:val="00D233F3"/>
    <w:rsid w:val="00D23592"/>
    <w:rsid w:val="00D23D7B"/>
    <w:rsid w:val="00D246CB"/>
    <w:rsid w:val="00D24737"/>
    <w:rsid w:val="00D24C87"/>
    <w:rsid w:val="00D24F47"/>
    <w:rsid w:val="00D25272"/>
    <w:rsid w:val="00D25A92"/>
    <w:rsid w:val="00D26787"/>
    <w:rsid w:val="00D268C5"/>
    <w:rsid w:val="00D268DE"/>
    <w:rsid w:val="00D27963"/>
    <w:rsid w:val="00D27F50"/>
    <w:rsid w:val="00D30134"/>
    <w:rsid w:val="00D30173"/>
    <w:rsid w:val="00D30A56"/>
    <w:rsid w:val="00D31278"/>
    <w:rsid w:val="00D31445"/>
    <w:rsid w:val="00D314EE"/>
    <w:rsid w:val="00D318CE"/>
    <w:rsid w:val="00D31D58"/>
    <w:rsid w:val="00D3263E"/>
    <w:rsid w:val="00D327AB"/>
    <w:rsid w:val="00D32922"/>
    <w:rsid w:val="00D32C41"/>
    <w:rsid w:val="00D33A67"/>
    <w:rsid w:val="00D33AB1"/>
    <w:rsid w:val="00D34555"/>
    <w:rsid w:val="00D34B48"/>
    <w:rsid w:val="00D351DF"/>
    <w:rsid w:val="00D35361"/>
    <w:rsid w:val="00D35B75"/>
    <w:rsid w:val="00D36120"/>
    <w:rsid w:val="00D364D3"/>
    <w:rsid w:val="00D36610"/>
    <w:rsid w:val="00D3690A"/>
    <w:rsid w:val="00D36AF3"/>
    <w:rsid w:val="00D36B24"/>
    <w:rsid w:val="00D36B28"/>
    <w:rsid w:val="00D36E99"/>
    <w:rsid w:val="00D36F58"/>
    <w:rsid w:val="00D37018"/>
    <w:rsid w:val="00D37440"/>
    <w:rsid w:val="00D37B15"/>
    <w:rsid w:val="00D37F3F"/>
    <w:rsid w:val="00D402A0"/>
    <w:rsid w:val="00D40330"/>
    <w:rsid w:val="00D404D6"/>
    <w:rsid w:val="00D4067B"/>
    <w:rsid w:val="00D40888"/>
    <w:rsid w:val="00D40A47"/>
    <w:rsid w:val="00D40E4B"/>
    <w:rsid w:val="00D41095"/>
    <w:rsid w:val="00D411EF"/>
    <w:rsid w:val="00D42047"/>
    <w:rsid w:val="00D420DB"/>
    <w:rsid w:val="00D42542"/>
    <w:rsid w:val="00D42951"/>
    <w:rsid w:val="00D433D7"/>
    <w:rsid w:val="00D4397F"/>
    <w:rsid w:val="00D43B5E"/>
    <w:rsid w:val="00D43CB4"/>
    <w:rsid w:val="00D43CD9"/>
    <w:rsid w:val="00D43F9A"/>
    <w:rsid w:val="00D44984"/>
    <w:rsid w:val="00D44D1F"/>
    <w:rsid w:val="00D44D27"/>
    <w:rsid w:val="00D450D3"/>
    <w:rsid w:val="00D4543F"/>
    <w:rsid w:val="00D4578D"/>
    <w:rsid w:val="00D45AD2"/>
    <w:rsid w:val="00D45BCD"/>
    <w:rsid w:val="00D46067"/>
    <w:rsid w:val="00D46474"/>
    <w:rsid w:val="00D46F10"/>
    <w:rsid w:val="00D4708B"/>
    <w:rsid w:val="00D47413"/>
    <w:rsid w:val="00D478CB"/>
    <w:rsid w:val="00D5007E"/>
    <w:rsid w:val="00D50132"/>
    <w:rsid w:val="00D50223"/>
    <w:rsid w:val="00D5057A"/>
    <w:rsid w:val="00D51113"/>
    <w:rsid w:val="00D51478"/>
    <w:rsid w:val="00D516BF"/>
    <w:rsid w:val="00D51A4E"/>
    <w:rsid w:val="00D521E7"/>
    <w:rsid w:val="00D52D7D"/>
    <w:rsid w:val="00D52F74"/>
    <w:rsid w:val="00D532BB"/>
    <w:rsid w:val="00D53DF1"/>
    <w:rsid w:val="00D53EBC"/>
    <w:rsid w:val="00D5417E"/>
    <w:rsid w:val="00D54A35"/>
    <w:rsid w:val="00D54A4C"/>
    <w:rsid w:val="00D54DD8"/>
    <w:rsid w:val="00D54E81"/>
    <w:rsid w:val="00D54F0C"/>
    <w:rsid w:val="00D559C9"/>
    <w:rsid w:val="00D55BCF"/>
    <w:rsid w:val="00D55C11"/>
    <w:rsid w:val="00D568A4"/>
    <w:rsid w:val="00D56AF2"/>
    <w:rsid w:val="00D56CFB"/>
    <w:rsid w:val="00D56F87"/>
    <w:rsid w:val="00D56FD0"/>
    <w:rsid w:val="00D57298"/>
    <w:rsid w:val="00D57391"/>
    <w:rsid w:val="00D57490"/>
    <w:rsid w:val="00D57503"/>
    <w:rsid w:val="00D57A96"/>
    <w:rsid w:val="00D57EB7"/>
    <w:rsid w:val="00D57FD8"/>
    <w:rsid w:val="00D60086"/>
    <w:rsid w:val="00D603D2"/>
    <w:rsid w:val="00D608E8"/>
    <w:rsid w:val="00D60991"/>
    <w:rsid w:val="00D60B36"/>
    <w:rsid w:val="00D60E1F"/>
    <w:rsid w:val="00D61008"/>
    <w:rsid w:val="00D6101B"/>
    <w:rsid w:val="00D61944"/>
    <w:rsid w:val="00D61A46"/>
    <w:rsid w:val="00D61DE4"/>
    <w:rsid w:val="00D61EA6"/>
    <w:rsid w:val="00D61ED7"/>
    <w:rsid w:val="00D62487"/>
    <w:rsid w:val="00D626CE"/>
    <w:rsid w:val="00D627BD"/>
    <w:rsid w:val="00D62915"/>
    <w:rsid w:val="00D62AD1"/>
    <w:rsid w:val="00D63072"/>
    <w:rsid w:val="00D633B7"/>
    <w:rsid w:val="00D6403D"/>
    <w:rsid w:val="00D64312"/>
    <w:rsid w:val="00D64439"/>
    <w:rsid w:val="00D645A7"/>
    <w:rsid w:val="00D6462D"/>
    <w:rsid w:val="00D646E1"/>
    <w:rsid w:val="00D655FB"/>
    <w:rsid w:val="00D65855"/>
    <w:rsid w:val="00D65910"/>
    <w:rsid w:val="00D663DD"/>
    <w:rsid w:val="00D665BE"/>
    <w:rsid w:val="00D66762"/>
    <w:rsid w:val="00D667E3"/>
    <w:rsid w:val="00D66E14"/>
    <w:rsid w:val="00D670F7"/>
    <w:rsid w:val="00D67223"/>
    <w:rsid w:val="00D67254"/>
    <w:rsid w:val="00D676E9"/>
    <w:rsid w:val="00D677A6"/>
    <w:rsid w:val="00D67820"/>
    <w:rsid w:val="00D67FD5"/>
    <w:rsid w:val="00D7044B"/>
    <w:rsid w:val="00D709CA"/>
    <w:rsid w:val="00D70A29"/>
    <w:rsid w:val="00D70D0F"/>
    <w:rsid w:val="00D70D81"/>
    <w:rsid w:val="00D71152"/>
    <w:rsid w:val="00D71745"/>
    <w:rsid w:val="00D71AB0"/>
    <w:rsid w:val="00D71E1D"/>
    <w:rsid w:val="00D72122"/>
    <w:rsid w:val="00D721A6"/>
    <w:rsid w:val="00D72D43"/>
    <w:rsid w:val="00D72DD5"/>
    <w:rsid w:val="00D730D7"/>
    <w:rsid w:val="00D73234"/>
    <w:rsid w:val="00D732AE"/>
    <w:rsid w:val="00D733EF"/>
    <w:rsid w:val="00D735BA"/>
    <w:rsid w:val="00D73CB6"/>
    <w:rsid w:val="00D73D11"/>
    <w:rsid w:val="00D744CB"/>
    <w:rsid w:val="00D74939"/>
    <w:rsid w:val="00D74DD6"/>
    <w:rsid w:val="00D75078"/>
    <w:rsid w:val="00D75157"/>
    <w:rsid w:val="00D755B5"/>
    <w:rsid w:val="00D75A90"/>
    <w:rsid w:val="00D75F0E"/>
    <w:rsid w:val="00D767EA"/>
    <w:rsid w:val="00D76804"/>
    <w:rsid w:val="00D76A6E"/>
    <w:rsid w:val="00D76B4A"/>
    <w:rsid w:val="00D76C9B"/>
    <w:rsid w:val="00D77678"/>
    <w:rsid w:val="00D776E3"/>
    <w:rsid w:val="00D779C8"/>
    <w:rsid w:val="00D77A54"/>
    <w:rsid w:val="00D77F12"/>
    <w:rsid w:val="00D77F27"/>
    <w:rsid w:val="00D80880"/>
    <w:rsid w:val="00D80D3F"/>
    <w:rsid w:val="00D80FFA"/>
    <w:rsid w:val="00D8208E"/>
    <w:rsid w:val="00D82234"/>
    <w:rsid w:val="00D82907"/>
    <w:rsid w:val="00D82CB5"/>
    <w:rsid w:val="00D83446"/>
    <w:rsid w:val="00D8355B"/>
    <w:rsid w:val="00D839CC"/>
    <w:rsid w:val="00D839CF"/>
    <w:rsid w:val="00D83C9C"/>
    <w:rsid w:val="00D83EE0"/>
    <w:rsid w:val="00D841EF"/>
    <w:rsid w:val="00D84707"/>
    <w:rsid w:val="00D84B67"/>
    <w:rsid w:val="00D84F8E"/>
    <w:rsid w:val="00D85276"/>
    <w:rsid w:val="00D8554C"/>
    <w:rsid w:val="00D862A9"/>
    <w:rsid w:val="00D863FC"/>
    <w:rsid w:val="00D864A7"/>
    <w:rsid w:val="00D8677D"/>
    <w:rsid w:val="00D86862"/>
    <w:rsid w:val="00D873D4"/>
    <w:rsid w:val="00D8752C"/>
    <w:rsid w:val="00D87E34"/>
    <w:rsid w:val="00D901CE"/>
    <w:rsid w:val="00D90512"/>
    <w:rsid w:val="00D905B6"/>
    <w:rsid w:val="00D9138A"/>
    <w:rsid w:val="00D913FD"/>
    <w:rsid w:val="00D91559"/>
    <w:rsid w:val="00D92C1D"/>
    <w:rsid w:val="00D92C36"/>
    <w:rsid w:val="00D93169"/>
    <w:rsid w:val="00D931FA"/>
    <w:rsid w:val="00D9355C"/>
    <w:rsid w:val="00D9369C"/>
    <w:rsid w:val="00D93972"/>
    <w:rsid w:val="00D93A49"/>
    <w:rsid w:val="00D93A4E"/>
    <w:rsid w:val="00D93B91"/>
    <w:rsid w:val="00D93DB9"/>
    <w:rsid w:val="00D94039"/>
    <w:rsid w:val="00D940C3"/>
    <w:rsid w:val="00D94659"/>
    <w:rsid w:val="00D94A77"/>
    <w:rsid w:val="00D94B38"/>
    <w:rsid w:val="00D9560E"/>
    <w:rsid w:val="00D9569C"/>
    <w:rsid w:val="00D956A3"/>
    <w:rsid w:val="00D956B8"/>
    <w:rsid w:val="00D956CE"/>
    <w:rsid w:val="00D95CAC"/>
    <w:rsid w:val="00D96226"/>
    <w:rsid w:val="00D9648E"/>
    <w:rsid w:val="00D97947"/>
    <w:rsid w:val="00D97A75"/>
    <w:rsid w:val="00D97AB3"/>
    <w:rsid w:val="00D97B29"/>
    <w:rsid w:val="00D97B91"/>
    <w:rsid w:val="00DA0264"/>
    <w:rsid w:val="00DA04FE"/>
    <w:rsid w:val="00DA0C5C"/>
    <w:rsid w:val="00DA0CEF"/>
    <w:rsid w:val="00DA0D97"/>
    <w:rsid w:val="00DA1136"/>
    <w:rsid w:val="00DA158A"/>
    <w:rsid w:val="00DA1787"/>
    <w:rsid w:val="00DA17C3"/>
    <w:rsid w:val="00DA1989"/>
    <w:rsid w:val="00DA2325"/>
    <w:rsid w:val="00DA23CD"/>
    <w:rsid w:val="00DA2EC5"/>
    <w:rsid w:val="00DA2F19"/>
    <w:rsid w:val="00DA2FDF"/>
    <w:rsid w:val="00DA3204"/>
    <w:rsid w:val="00DA32E9"/>
    <w:rsid w:val="00DA33FB"/>
    <w:rsid w:val="00DA3AE2"/>
    <w:rsid w:val="00DA3F05"/>
    <w:rsid w:val="00DA404E"/>
    <w:rsid w:val="00DA42A5"/>
    <w:rsid w:val="00DA448E"/>
    <w:rsid w:val="00DA4739"/>
    <w:rsid w:val="00DA4810"/>
    <w:rsid w:val="00DA482E"/>
    <w:rsid w:val="00DA4D9D"/>
    <w:rsid w:val="00DA571D"/>
    <w:rsid w:val="00DA5E38"/>
    <w:rsid w:val="00DA5F25"/>
    <w:rsid w:val="00DA6002"/>
    <w:rsid w:val="00DA66A3"/>
    <w:rsid w:val="00DA6995"/>
    <w:rsid w:val="00DA6D16"/>
    <w:rsid w:val="00DA6D45"/>
    <w:rsid w:val="00DA6DC6"/>
    <w:rsid w:val="00DA6EAC"/>
    <w:rsid w:val="00DA6F85"/>
    <w:rsid w:val="00DA76FC"/>
    <w:rsid w:val="00DA7B57"/>
    <w:rsid w:val="00DA7C14"/>
    <w:rsid w:val="00DB0159"/>
    <w:rsid w:val="00DB047B"/>
    <w:rsid w:val="00DB0680"/>
    <w:rsid w:val="00DB07ED"/>
    <w:rsid w:val="00DB0A9E"/>
    <w:rsid w:val="00DB0DFF"/>
    <w:rsid w:val="00DB0E30"/>
    <w:rsid w:val="00DB1709"/>
    <w:rsid w:val="00DB1DE7"/>
    <w:rsid w:val="00DB1EAE"/>
    <w:rsid w:val="00DB2405"/>
    <w:rsid w:val="00DB242D"/>
    <w:rsid w:val="00DB2447"/>
    <w:rsid w:val="00DB2BBA"/>
    <w:rsid w:val="00DB2C4B"/>
    <w:rsid w:val="00DB2E2D"/>
    <w:rsid w:val="00DB2FD3"/>
    <w:rsid w:val="00DB3165"/>
    <w:rsid w:val="00DB3316"/>
    <w:rsid w:val="00DB3666"/>
    <w:rsid w:val="00DB3773"/>
    <w:rsid w:val="00DB3AF8"/>
    <w:rsid w:val="00DB450C"/>
    <w:rsid w:val="00DB4976"/>
    <w:rsid w:val="00DB4B54"/>
    <w:rsid w:val="00DB4CA1"/>
    <w:rsid w:val="00DB4D7F"/>
    <w:rsid w:val="00DB5806"/>
    <w:rsid w:val="00DB59A0"/>
    <w:rsid w:val="00DB5C1F"/>
    <w:rsid w:val="00DB5CAA"/>
    <w:rsid w:val="00DB5E12"/>
    <w:rsid w:val="00DB5EC9"/>
    <w:rsid w:val="00DB601C"/>
    <w:rsid w:val="00DB66E6"/>
    <w:rsid w:val="00DB67D4"/>
    <w:rsid w:val="00DB684A"/>
    <w:rsid w:val="00DB6D33"/>
    <w:rsid w:val="00DB6F9D"/>
    <w:rsid w:val="00DB757E"/>
    <w:rsid w:val="00DC0071"/>
    <w:rsid w:val="00DC0233"/>
    <w:rsid w:val="00DC0270"/>
    <w:rsid w:val="00DC0421"/>
    <w:rsid w:val="00DC100E"/>
    <w:rsid w:val="00DC121B"/>
    <w:rsid w:val="00DC1390"/>
    <w:rsid w:val="00DC1553"/>
    <w:rsid w:val="00DC1634"/>
    <w:rsid w:val="00DC1E54"/>
    <w:rsid w:val="00DC1F26"/>
    <w:rsid w:val="00DC21D1"/>
    <w:rsid w:val="00DC26D9"/>
    <w:rsid w:val="00DC2AF5"/>
    <w:rsid w:val="00DC2F4D"/>
    <w:rsid w:val="00DC3E30"/>
    <w:rsid w:val="00DC3FD1"/>
    <w:rsid w:val="00DC3FED"/>
    <w:rsid w:val="00DC41A8"/>
    <w:rsid w:val="00DC4500"/>
    <w:rsid w:val="00DC4DBE"/>
    <w:rsid w:val="00DC4F1B"/>
    <w:rsid w:val="00DC5481"/>
    <w:rsid w:val="00DC54DD"/>
    <w:rsid w:val="00DC551F"/>
    <w:rsid w:val="00DC55D8"/>
    <w:rsid w:val="00DC5C22"/>
    <w:rsid w:val="00DC5C4F"/>
    <w:rsid w:val="00DC60EC"/>
    <w:rsid w:val="00DC644B"/>
    <w:rsid w:val="00DC6901"/>
    <w:rsid w:val="00DC6AF6"/>
    <w:rsid w:val="00DC6DFE"/>
    <w:rsid w:val="00DC6EB1"/>
    <w:rsid w:val="00DC724B"/>
    <w:rsid w:val="00DC73D6"/>
    <w:rsid w:val="00DC757C"/>
    <w:rsid w:val="00DC75A5"/>
    <w:rsid w:val="00DC78FA"/>
    <w:rsid w:val="00DC7914"/>
    <w:rsid w:val="00DC79A1"/>
    <w:rsid w:val="00DD0138"/>
    <w:rsid w:val="00DD0265"/>
    <w:rsid w:val="00DD0C4D"/>
    <w:rsid w:val="00DD0DCF"/>
    <w:rsid w:val="00DD0FA3"/>
    <w:rsid w:val="00DD11BF"/>
    <w:rsid w:val="00DD1710"/>
    <w:rsid w:val="00DD1772"/>
    <w:rsid w:val="00DD1912"/>
    <w:rsid w:val="00DD19B3"/>
    <w:rsid w:val="00DD1A6B"/>
    <w:rsid w:val="00DD2081"/>
    <w:rsid w:val="00DD237F"/>
    <w:rsid w:val="00DD2600"/>
    <w:rsid w:val="00DD26EE"/>
    <w:rsid w:val="00DD379D"/>
    <w:rsid w:val="00DD3F69"/>
    <w:rsid w:val="00DD5843"/>
    <w:rsid w:val="00DD5BCC"/>
    <w:rsid w:val="00DD5DF2"/>
    <w:rsid w:val="00DD611D"/>
    <w:rsid w:val="00DD6644"/>
    <w:rsid w:val="00DD666C"/>
    <w:rsid w:val="00DD676D"/>
    <w:rsid w:val="00DD6855"/>
    <w:rsid w:val="00DD68E7"/>
    <w:rsid w:val="00DD6F2A"/>
    <w:rsid w:val="00DD7E88"/>
    <w:rsid w:val="00DE015A"/>
    <w:rsid w:val="00DE098C"/>
    <w:rsid w:val="00DE0A7F"/>
    <w:rsid w:val="00DE0C60"/>
    <w:rsid w:val="00DE1274"/>
    <w:rsid w:val="00DE14D1"/>
    <w:rsid w:val="00DE1B81"/>
    <w:rsid w:val="00DE209D"/>
    <w:rsid w:val="00DE294B"/>
    <w:rsid w:val="00DE3631"/>
    <w:rsid w:val="00DE384E"/>
    <w:rsid w:val="00DE3A76"/>
    <w:rsid w:val="00DE48BF"/>
    <w:rsid w:val="00DE4C09"/>
    <w:rsid w:val="00DE4C62"/>
    <w:rsid w:val="00DE4D98"/>
    <w:rsid w:val="00DE4F3A"/>
    <w:rsid w:val="00DE50B0"/>
    <w:rsid w:val="00DE5960"/>
    <w:rsid w:val="00DE5A04"/>
    <w:rsid w:val="00DE5A27"/>
    <w:rsid w:val="00DE5FDD"/>
    <w:rsid w:val="00DE6501"/>
    <w:rsid w:val="00DE66FC"/>
    <w:rsid w:val="00DE6FAF"/>
    <w:rsid w:val="00DE7885"/>
    <w:rsid w:val="00DE7959"/>
    <w:rsid w:val="00DE7A11"/>
    <w:rsid w:val="00DE7C5B"/>
    <w:rsid w:val="00DF029F"/>
    <w:rsid w:val="00DF05DA"/>
    <w:rsid w:val="00DF08E5"/>
    <w:rsid w:val="00DF0CB7"/>
    <w:rsid w:val="00DF1275"/>
    <w:rsid w:val="00DF132C"/>
    <w:rsid w:val="00DF1469"/>
    <w:rsid w:val="00DF1585"/>
    <w:rsid w:val="00DF1900"/>
    <w:rsid w:val="00DF1CE5"/>
    <w:rsid w:val="00DF2C64"/>
    <w:rsid w:val="00DF35EB"/>
    <w:rsid w:val="00DF3A0B"/>
    <w:rsid w:val="00DF44C3"/>
    <w:rsid w:val="00DF4CA5"/>
    <w:rsid w:val="00DF4D1D"/>
    <w:rsid w:val="00DF5417"/>
    <w:rsid w:val="00DF5516"/>
    <w:rsid w:val="00DF581E"/>
    <w:rsid w:val="00DF583B"/>
    <w:rsid w:val="00DF59AF"/>
    <w:rsid w:val="00DF5B40"/>
    <w:rsid w:val="00DF5BF2"/>
    <w:rsid w:val="00DF5DBE"/>
    <w:rsid w:val="00DF602E"/>
    <w:rsid w:val="00DF6277"/>
    <w:rsid w:val="00DF62F1"/>
    <w:rsid w:val="00DF66CA"/>
    <w:rsid w:val="00DF70E7"/>
    <w:rsid w:val="00DF70F4"/>
    <w:rsid w:val="00DF71C8"/>
    <w:rsid w:val="00DF77CD"/>
    <w:rsid w:val="00DF79E0"/>
    <w:rsid w:val="00DF7C73"/>
    <w:rsid w:val="00DF7E96"/>
    <w:rsid w:val="00DF7E9C"/>
    <w:rsid w:val="00DF7F38"/>
    <w:rsid w:val="00E009D1"/>
    <w:rsid w:val="00E00D99"/>
    <w:rsid w:val="00E00EE8"/>
    <w:rsid w:val="00E00EF9"/>
    <w:rsid w:val="00E00F11"/>
    <w:rsid w:val="00E00F74"/>
    <w:rsid w:val="00E00FBB"/>
    <w:rsid w:val="00E0128A"/>
    <w:rsid w:val="00E01AE8"/>
    <w:rsid w:val="00E01E1F"/>
    <w:rsid w:val="00E020CB"/>
    <w:rsid w:val="00E02574"/>
    <w:rsid w:val="00E029C3"/>
    <w:rsid w:val="00E0323D"/>
    <w:rsid w:val="00E0365B"/>
    <w:rsid w:val="00E03BCA"/>
    <w:rsid w:val="00E03E63"/>
    <w:rsid w:val="00E03F6F"/>
    <w:rsid w:val="00E042A4"/>
    <w:rsid w:val="00E04FDA"/>
    <w:rsid w:val="00E052AE"/>
    <w:rsid w:val="00E05800"/>
    <w:rsid w:val="00E05906"/>
    <w:rsid w:val="00E069FC"/>
    <w:rsid w:val="00E0791F"/>
    <w:rsid w:val="00E07972"/>
    <w:rsid w:val="00E07C1A"/>
    <w:rsid w:val="00E1027C"/>
    <w:rsid w:val="00E104CF"/>
    <w:rsid w:val="00E10518"/>
    <w:rsid w:val="00E117DA"/>
    <w:rsid w:val="00E120B2"/>
    <w:rsid w:val="00E1229C"/>
    <w:rsid w:val="00E122B7"/>
    <w:rsid w:val="00E12355"/>
    <w:rsid w:val="00E1308C"/>
    <w:rsid w:val="00E13101"/>
    <w:rsid w:val="00E13387"/>
    <w:rsid w:val="00E13682"/>
    <w:rsid w:val="00E138FE"/>
    <w:rsid w:val="00E13B78"/>
    <w:rsid w:val="00E145F3"/>
    <w:rsid w:val="00E1463C"/>
    <w:rsid w:val="00E1473A"/>
    <w:rsid w:val="00E147D1"/>
    <w:rsid w:val="00E15AC0"/>
    <w:rsid w:val="00E16A4A"/>
    <w:rsid w:val="00E16E37"/>
    <w:rsid w:val="00E16F2E"/>
    <w:rsid w:val="00E17404"/>
    <w:rsid w:val="00E177DC"/>
    <w:rsid w:val="00E17FA8"/>
    <w:rsid w:val="00E17FE5"/>
    <w:rsid w:val="00E2028E"/>
    <w:rsid w:val="00E20713"/>
    <w:rsid w:val="00E20AB7"/>
    <w:rsid w:val="00E20BE9"/>
    <w:rsid w:val="00E20DD4"/>
    <w:rsid w:val="00E20E14"/>
    <w:rsid w:val="00E210C4"/>
    <w:rsid w:val="00E213CB"/>
    <w:rsid w:val="00E21E09"/>
    <w:rsid w:val="00E220F4"/>
    <w:rsid w:val="00E22293"/>
    <w:rsid w:val="00E2242E"/>
    <w:rsid w:val="00E224C1"/>
    <w:rsid w:val="00E22537"/>
    <w:rsid w:val="00E227E8"/>
    <w:rsid w:val="00E228C7"/>
    <w:rsid w:val="00E22A54"/>
    <w:rsid w:val="00E22AA3"/>
    <w:rsid w:val="00E23107"/>
    <w:rsid w:val="00E23137"/>
    <w:rsid w:val="00E23211"/>
    <w:rsid w:val="00E236DE"/>
    <w:rsid w:val="00E23A64"/>
    <w:rsid w:val="00E23D6A"/>
    <w:rsid w:val="00E247EA"/>
    <w:rsid w:val="00E24BCE"/>
    <w:rsid w:val="00E24D17"/>
    <w:rsid w:val="00E2515B"/>
    <w:rsid w:val="00E25750"/>
    <w:rsid w:val="00E2577E"/>
    <w:rsid w:val="00E25B74"/>
    <w:rsid w:val="00E25EDC"/>
    <w:rsid w:val="00E26665"/>
    <w:rsid w:val="00E26C02"/>
    <w:rsid w:val="00E26E20"/>
    <w:rsid w:val="00E26F95"/>
    <w:rsid w:val="00E2709D"/>
    <w:rsid w:val="00E270DE"/>
    <w:rsid w:val="00E27698"/>
    <w:rsid w:val="00E278C5"/>
    <w:rsid w:val="00E27C25"/>
    <w:rsid w:val="00E27D8D"/>
    <w:rsid w:val="00E305E5"/>
    <w:rsid w:val="00E311E6"/>
    <w:rsid w:val="00E312D9"/>
    <w:rsid w:val="00E31834"/>
    <w:rsid w:val="00E318B1"/>
    <w:rsid w:val="00E32164"/>
    <w:rsid w:val="00E325C9"/>
    <w:rsid w:val="00E32F88"/>
    <w:rsid w:val="00E32FAD"/>
    <w:rsid w:val="00E32FEE"/>
    <w:rsid w:val="00E330F2"/>
    <w:rsid w:val="00E335BE"/>
    <w:rsid w:val="00E336D6"/>
    <w:rsid w:val="00E33D27"/>
    <w:rsid w:val="00E33E84"/>
    <w:rsid w:val="00E3425D"/>
    <w:rsid w:val="00E3434D"/>
    <w:rsid w:val="00E3459D"/>
    <w:rsid w:val="00E3484D"/>
    <w:rsid w:val="00E354CA"/>
    <w:rsid w:val="00E35722"/>
    <w:rsid w:val="00E35DB5"/>
    <w:rsid w:val="00E35EB1"/>
    <w:rsid w:val="00E361E6"/>
    <w:rsid w:val="00E36578"/>
    <w:rsid w:val="00E36B1E"/>
    <w:rsid w:val="00E36F21"/>
    <w:rsid w:val="00E37A36"/>
    <w:rsid w:val="00E37A70"/>
    <w:rsid w:val="00E37B06"/>
    <w:rsid w:val="00E37B89"/>
    <w:rsid w:val="00E37CED"/>
    <w:rsid w:val="00E40117"/>
    <w:rsid w:val="00E4013B"/>
    <w:rsid w:val="00E40984"/>
    <w:rsid w:val="00E40E4F"/>
    <w:rsid w:val="00E40E56"/>
    <w:rsid w:val="00E40EFD"/>
    <w:rsid w:val="00E41496"/>
    <w:rsid w:val="00E417C2"/>
    <w:rsid w:val="00E41A1E"/>
    <w:rsid w:val="00E41F6F"/>
    <w:rsid w:val="00E41FBF"/>
    <w:rsid w:val="00E42F62"/>
    <w:rsid w:val="00E43079"/>
    <w:rsid w:val="00E431BF"/>
    <w:rsid w:val="00E43284"/>
    <w:rsid w:val="00E439AD"/>
    <w:rsid w:val="00E43A2F"/>
    <w:rsid w:val="00E445CD"/>
    <w:rsid w:val="00E44AFB"/>
    <w:rsid w:val="00E450F1"/>
    <w:rsid w:val="00E451DF"/>
    <w:rsid w:val="00E4521B"/>
    <w:rsid w:val="00E456DF"/>
    <w:rsid w:val="00E45935"/>
    <w:rsid w:val="00E46011"/>
    <w:rsid w:val="00E460B4"/>
    <w:rsid w:val="00E461B1"/>
    <w:rsid w:val="00E4688C"/>
    <w:rsid w:val="00E46A85"/>
    <w:rsid w:val="00E47666"/>
    <w:rsid w:val="00E478BC"/>
    <w:rsid w:val="00E47C1E"/>
    <w:rsid w:val="00E500DD"/>
    <w:rsid w:val="00E5030A"/>
    <w:rsid w:val="00E50718"/>
    <w:rsid w:val="00E50A06"/>
    <w:rsid w:val="00E50AEA"/>
    <w:rsid w:val="00E50C17"/>
    <w:rsid w:val="00E50EC7"/>
    <w:rsid w:val="00E51665"/>
    <w:rsid w:val="00E516B2"/>
    <w:rsid w:val="00E51A66"/>
    <w:rsid w:val="00E51CF0"/>
    <w:rsid w:val="00E52168"/>
    <w:rsid w:val="00E52408"/>
    <w:rsid w:val="00E52981"/>
    <w:rsid w:val="00E52985"/>
    <w:rsid w:val="00E52DD4"/>
    <w:rsid w:val="00E533F5"/>
    <w:rsid w:val="00E53437"/>
    <w:rsid w:val="00E535A1"/>
    <w:rsid w:val="00E539B7"/>
    <w:rsid w:val="00E53FD9"/>
    <w:rsid w:val="00E543AD"/>
    <w:rsid w:val="00E543C7"/>
    <w:rsid w:val="00E54516"/>
    <w:rsid w:val="00E545E7"/>
    <w:rsid w:val="00E546FD"/>
    <w:rsid w:val="00E548C5"/>
    <w:rsid w:val="00E54941"/>
    <w:rsid w:val="00E552F2"/>
    <w:rsid w:val="00E558AD"/>
    <w:rsid w:val="00E55954"/>
    <w:rsid w:val="00E55BE5"/>
    <w:rsid w:val="00E55F85"/>
    <w:rsid w:val="00E5611C"/>
    <w:rsid w:val="00E568C7"/>
    <w:rsid w:val="00E568D1"/>
    <w:rsid w:val="00E56CCB"/>
    <w:rsid w:val="00E56D91"/>
    <w:rsid w:val="00E56E20"/>
    <w:rsid w:val="00E573E9"/>
    <w:rsid w:val="00E5752C"/>
    <w:rsid w:val="00E5779A"/>
    <w:rsid w:val="00E57BA2"/>
    <w:rsid w:val="00E57E62"/>
    <w:rsid w:val="00E60584"/>
    <w:rsid w:val="00E60775"/>
    <w:rsid w:val="00E60802"/>
    <w:rsid w:val="00E608A1"/>
    <w:rsid w:val="00E6090A"/>
    <w:rsid w:val="00E611B2"/>
    <w:rsid w:val="00E614E9"/>
    <w:rsid w:val="00E6175C"/>
    <w:rsid w:val="00E619F9"/>
    <w:rsid w:val="00E61FB6"/>
    <w:rsid w:val="00E62641"/>
    <w:rsid w:val="00E62763"/>
    <w:rsid w:val="00E628DC"/>
    <w:rsid w:val="00E62CA6"/>
    <w:rsid w:val="00E62D3E"/>
    <w:rsid w:val="00E62F3A"/>
    <w:rsid w:val="00E630DB"/>
    <w:rsid w:val="00E63CDA"/>
    <w:rsid w:val="00E63D69"/>
    <w:rsid w:val="00E63EDA"/>
    <w:rsid w:val="00E64863"/>
    <w:rsid w:val="00E648CE"/>
    <w:rsid w:val="00E64A77"/>
    <w:rsid w:val="00E65152"/>
    <w:rsid w:val="00E6550C"/>
    <w:rsid w:val="00E65D3F"/>
    <w:rsid w:val="00E66649"/>
    <w:rsid w:val="00E6751B"/>
    <w:rsid w:val="00E675BD"/>
    <w:rsid w:val="00E6786B"/>
    <w:rsid w:val="00E67E9F"/>
    <w:rsid w:val="00E700A5"/>
    <w:rsid w:val="00E70372"/>
    <w:rsid w:val="00E706A1"/>
    <w:rsid w:val="00E709DA"/>
    <w:rsid w:val="00E70ACD"/>
    <w:rsid w:val="00E70B51"/>
    <w:rsid w:val="00E7152C"/>
    <w:rsid w:val="00E7157F"/>
    <w:rsid w:val="00E71D42"/>
    <w:rsid w:val="00E72812"/>
    <w:rsid w:val="00E72940"/>
    <w:rsid w:val="00E729A3"/>
    <w:rsid w:val="00E72D07"/>
    <w:rsid w:val="00E73378"/>
    <w:rsid w:val="00E7349A"/>
    <w:rsid w:val="00E735EE"/>
    <w:rsid w:val="00E73AE8"/>
    <w:rsid w:val="00E73FDC"/>
    <w:rsid w:val="00E74259"/>
    <w:rsid w:val="00E748EE"/>
    <w:rsid w:val="00E7502D"/>
    <w:rsid w:val="00E7532F"/>
    <w:rsid w:val="00E75537"/>
    <w:rsid w:val="00E75995"/>
    <w:rsid w:val="00E75F51"/>
    <w:rsid w:val="00E76183"/>
    <w:rsid w:val="00E76347"/>
    <w:rsid w:val="00E76507"/>
    <w:rsid w:val="00E7683D"/>
    <w:rsid w:val="00E76AAC"/>
    <w:rsid w:val="00E773F9"/>
    <w:rsid w:val="00E779A1"/>
    <w:rsid w:val="00E779CD"/>
    <w:rsid w:val="00E77F3F"/>
    <w:rsid w:val="00E800DC"/>
    <w:rsid w:val="00E808AE"/>
    <w:rsid w:val="00E809FD"/>
    <w:rsid w:val="00E80B91"/>
    <w:rsid w:val="00E80C70"/>
    <w:rsid w:val="00E80D13"/>
    <w:rsid w:val="00E8199D"/>
    <w:rsid w:val="00E81A53"/>
    <w:rsid w:val="00E81B7F"/>
    <w:rsid w:val="00E81D1D"/>
    <w:rsid w:val="00E821D1"/>
    <w:rsid w:val="00E82216"/>
    <w:rsid w:val="00E8263D"/>
    <w:rsid w:val="00E827A6"/>
    <w:rsid w:val="00E828E4"/>
    <w:rsid w:val="00E82BD7"/>
    <w:rsid w:val="00E83087"/>
    <w:rsid w:val="00E8336C"/>
    <w:rsid w:val="00E83BCB"/>
    <w:rsid w:val="00E83E44"/>
    <w:rsid w:val="00E83EC2"/>
    <w:rsid w:val="00E84177"/>
    <w:rsid w:val="00E84346"/>
    <w:rsid w:val="00E847C4"/>
    <w:rsid w:val="00E84810"/>
    <w:rsid w:val="00E84893"/>
    <w:rsid w:val="00E8489F"/>
    <w:rsid w:val="00E848E5"/>
    <w:rsid w:val="00E84A3E"/>
    <w:rsid w:val="00E84E5E"/>
    <w:rsid w:val="00E857F3"/>
    <w:rsid w:val="00E8598D"/>
    <w:rsid w:val="00E85C9B"/>
    <w:rsid w:val="00E863DC"/>
    <w:rsid w:val="00E864C3"/>
    <w:rsid w:val="00E86ACC"/>
    <w:rsid w:val="00E86B3C"/>
    <w:rsid w:val="00E878F1"/>
    <w:rsid w:val="00E8794E"/>
    <w:rsid w:val="00E87A62"/>
    <w:rsid w:val="00E87BCB"/>
    <w:rsid w:val="00E9052D"/>
    <w:rsid w:val="00E90838"/>
    <w:rsid w:val="00E9094E"/>
    <w:rsid w:val="00E90DE8"/>
    <w:rsid w:val="00E90F11"/>
    <w:rsid w:val="00E91B3E"/>
    <w:rsid w:val="00E91F89"/>
    <w:rsid w:val="00E92096"/>
    <w:rsid w:val="00E9230B"/>
    <w:rsid w:val="00E928BF"/>
    <w:rsid w:val="00E92D28"/>
    <w:rsid w:val="00E93278"/>
    <w:rsid w:val="00E938EE"/>
    <w:rsid w:val="00E93A91"/>
    <w:rsid w:val="00E941D3"/>
    <w:rsid w:val="00E94200"/>
    <w:rsid w:val="00E951AC"/>
    <w:rsid w:val="00E956AC"/>
    <w:rsid w:val="00E959B5"/>
    <w:rsid w:val="00E959BF"/>
    <w:rsid w:val="00E965A2"/>
    <w:rsid w:val="00E965BB"/>
    <w:rsid w:val="00E96A82"/>
    <w:rsid w:val="00E96BA5"/>
    <w:rsid w:val="00E96DE1"/>
    <w:rsid w:val="00E96E50"/>
    <w:rsid w:val="00E96F00"/>
    <w:rsid w:val="00E97861"/>
    <w:rsid w:val="00EA05EA"/>
    <w:rsid w:val="00EA07DF"/>
    <w:rsid w:val="00EA0DAF"/>
    <w:rsid w:val="00EA0EF6"/>
    <w:rsid w:val="00EA1646"/>
    <w:rsid w:val="00EA1A54"/>
    <w:rsid w:val="00EA1FD0"/>
    <w:rsid w:val="00EA23AC"/>
    <w:rsid w:val="00EA28DC"/>
    <w:rsid w:val="00EA2C63"/>
    <w:rsid w:val="00EA3554"/>
    <w:rsid w:val="00EA357C"/>
    <w:rsid w:val="00EA35B6"/>
    <w:rsid w:val="00EA35DE"/>
    <w:rsid w:val="00EA3D2D"/>
    <w:rsid w:val="00EA42FD"/>
    <w:rsid w:val="00EA5047"/>
    <w:rsid w:val="00EA53D0"/>
    <w:rsid w:val="00EA57ED"/>
    <w:rsid w:val="00EA59F9"/>
    <w:rsid w:val="00EA60C1"/>
    <w:rsid w:val="00EA6208"/>
    <w:rsid w:val="00EA6368"/>
    <w:rsid w:val="00EA667F"/>
    <w:rsid w:val="00EA686F"/>
    <w:rsid w:val="00EA68A9"/>
    <w:rsid w:val="00EA6C97"/>
    <w:rsid w:val="00EA6FC1"/>
    <w:rsid w:val="00EA70EF"/>
    <w:rsid w:val="00EA7E3B"/>
    <w:rsid w:val="00EB070D"/>
    <w:rsid w:val="00EB09A5"/>
    <w:rsid w:val="00EB0A1A"/>
    <w:rsid w:val="00EB0D68"/>
    <w:rsid w:val="00EB1171"/>
    <w:rsid w:val="00EB1177"/>
    <w:rsid w:val="00EB1249"/>
    <w:rsid w:val="00EB126D"/>
    <w:rsid w:val="00EB12FC"/>
    <w:rsid w:val="00EB1597"/>
    <w:rsid w:val="00EB1697"/>
    <w:rsid w:val="00EB18F5"/>
    <w:rsid w:val="00EB196B"/>
    <w:rsid w:val="00EB1981"/>
    <w:rsid w:val="00EB1B27"/>
    <w:rsid w:val="00EB1B3E"/>
    <w:rsid w:val="00EB2300"/>
    <w:rsid w:val="00EB274A"/>
    <w:rsid w:val="00EB2B9A"/>
    <w:rsid w:val="00EB2BA0"/>
    <w:rsid w:val="00EB2C0B"/>
    <w:rsid w:val="00EB32FE"/>
    <w:rsid w:val="00EB375F"/>
    <w:rsid w:val="00EB395C"/>
    <w:rsid w:val="00EB43AB"/>
    <w:rsid w:val="00EB43FF"/>
    <w:rsid w:val="00EB441C"/>
    <w:rsid w:val="00EB459A"/>
    <w:rsid w:val="00EB5AA3"/>
    <w:rsid w:val="00EB5E36"/>
    <w:rsid w:val="00EB5FDD"/>
    <w:rsid w:val="00EB64A2"/>
    <w:rsid w:val="00EB64AC"/>
    <w:rsid w:val="00EB6750"/>
    <w:rsid w:val="00EB68EA"/>
    <w:rsid w:val="00EB742D"/>
    <w:rsid w:val="00EB789B"/>
    <w:rsid w:val="00EB7DA0"/>
    <w:rsid w:val="00EC014C"/>
    <w:rsid w:val="00EC0223"/>
    <w:rsid w:val="00EC0324"/>
    <w:rsid w:val="00EC036E"/>
    <w:rsid w:val="00EC0676"/>
    <w:rsid w:val="00EC078F"/>
    <w:rsid w:val="00EC084B"/>
    <w:rsid w:val="00EC0DB6"/>
    <w:rsid w:val="00EC0DFB"/>
    <w:rsid w:val="00EC0FBF"/>
    <w:rsid w:val="00EC1503"/>
    <w:rsid w:val="00EC179C"/>
    <w:rsid w:val="00EC1B28"/>
    <w:rsid w:val="00EC1DD2"/>
    <w:rsid w:val="00EC216F"/>
    <w:rsid w:val="00EC229B"/>
    <w:rsid w:val="00EC28BD"/>
    <w:rsid w:val="00EC2BD0"/>
    <w:rsid w:val="00EC3310"/>
    <w:rsid w:val="00EC389D"/>
    <w:rsid w:val="00EC4C7E"/>
    <w:rsid w:val="00EC4CD0"/>
    <w:rsid w:val="00EC6453"/>
    <w:rsid w:val="00EC6807"/>
    <w:rsid w:val="00EC6A10"/>
    <w:rsid w:val="00EC6FCB"/>
    <w:rsid w:val="00EC778A"/>
    <w:rsid w:val="00EC7CEA"/>
    <w:rsid w:val="00EC7F24"/>
    <w:rsid w:val="00EC7F94"/>
    <w:rsid w:val="00ED0976"/>
    <w:rsid w:val="00ED0B14"/>
    <w:rsid w:val="00ED0E67"/>
    <w:rsid w:val="00ED0F3C"/>
    <w:rsid w:val="00ED0F5E"/>
    <w:rsid w:val="00ED1230"/>
    <w:rsid w:val="00ED1365"/>
    <w:rsid w:val="00ED161D"/>
    <w:rsid w:val="00ED1713"/>
    <w:rsid w:val="00ED19CF"/>
    <w:rsid w:val="00ED1A1D"/>
    <w:rsid w:val="00ED1B08"/>
    <w:rsid w:val="00ED1B68"/>
    <w:rsid w:val="00ED1C47"/>
    <w:rsid w:val="00ED1C90"/>
    <w:rsid w:val="00ED1CA3"/>
    <w:rsid w:val="00ED1D94"/>
    <w:rsid w:val="00ED1DB0"/>
    <w:rsid w:val="00ED2128"/>
    <w:rsid w:val="00ED228C"/>
    <w:rsid w:val="00ED23FF"/>
    <w:rsid w:val="00ED2489"/>
    <w:rsid w:val="00ED24A3"/>
    <w:rsid w:val="00ED265F"/>
    <w:rsid w:val="00ED26BD"/>
    <w:rsid w:val="00ED2800"/>
    <w:rsid w:val="00ED280E"/>
    <w:rsid w:val="00ED3384"/>
    <w:rsid w:val="00ED350A"/>
    <w:rsid w:val="00ED3681"/>
    <w:rsid w:val="00ED391F"/>
    <w:rsid w:val="00ED39D5"/>
    <w:rsid w:val="00ED3BE5"/>
    <w:rsid w:val="00ED466C"/>
    <w:rsid w:val="00ED4A4F"/>
    <w:rsid w:val="00ED51A2"/>
    <w:rsid w:val="00ED5935"/>
    <w:rsid w:val="00ED5A29"/>
    <w:rsid w:val="00ED5EE7"/>
    <w:rsid w:val="00ED62BA"/>
    <w:rsid w:val="00ED6423"/>
    <w:rsid w:val="00ED6596"/>
    <w:rsid w:val="00ED6A36"/>
    <w:rsid w:val="00ED6A58"/>
    <w:rsid w:val="00ED6C95"/>
    <w:rsid w:val="00ED72DF"/>
    <w:rsid w:val="00ED7335"/>
    <w:rsid w:val="00ED775E"/>
    <w:rsid w:val="00ED78B0"/>
    <w:rsid w:val="00ED79A3"/>
    <w:rsid w:val="00ED79A7"/>
    <w:rsid w:val="00ED79F3"/>
    <w:rsid w:val="00EE04CB"/>
    <w:rsid w:val="00EE0542"/>
    <w:rsid w:val="00EE056C"/>
    <w:rsid w:val="00EE07A5"/>
    <w:rsid w:val="00EE0A0A"/>
    <w:rsid w:val="00EE1235"/>
    <w:rsid w:val="00EE1889"/>
    <w:rsid w:val="00EE1C3B"/>
    <w:rsid w:val="00EE1E50"/>
    <w:rsid w:val="00EE211F"/>
    <w:rsid w:val="00EE2204"/>
    <w:rsid w:val="00EE22B7"/>
    <w:rsid w:val="00EE22D0"/>
    <w:rsid w:val="00EE26AD"/>
    <w:rsid w:val="00EE2777"/>
    <w:rsid w:val="00EE2910"/>
    <w:rsid w:val="00EE29E3"/>
    <w:rsid w:val="00EE2A6E"/>
    <w:rsid w:val="00EE2B67"/>
    <w:rsid w:val="00EE2B8E"/>
    <w:rsid w:val="00EE2B95"/>
    <w:rsid w:val="00EE2C51"/>
    <w:rsid w:val="00EE2F9B"/>
    <w:rsid w:val="00EE3156"/>
    <w:rsid w:val="00EE386F"/>
    <w:rsid w:val="00EE3E4C"/>
    <w:rsid w:val="00EE3F32"/>
    <w:rsid w:val="00EE3FE6"/>
    <w:rsid w:val="00EE4096"/>
    <w:rsid w:val="00EE426C"/>
    <w:rsid w:val="00EE42C1"/>
    <w:rsid w:val="00EE4D5F"/>
    <w:rsid w:val="00EE4D6E"/>
    <w:rsid w:val="00EE52AF"/>
    <w:rsid w:val="00EE550D"/>
    <w:rsid w:val="00EE5C59"/>
    <w:rsid w:val="00EE60B8"/>
    <w:rsid w:val="00EE63F7"/>
    <w:rsid w:val="00EE6944"/>
    <w:rsid w:val="00EE6D97"/>
    <w:rsid w:val="00EE6FF2"/>
    <w:rsid w:val="00EE73CC"/>
    <w:rsid w:val="00EE79D4"/>
    <w:rsid w:val="00EF0414"/>
    <w:rsid w:val="00EF0720"/>
    <w:rsid w:val="00EF0B1D"/>
    <w:rsid w:val="00EF1455"/>
    <w:rsid w:val="00EF1A91"/>
    <w:rsid w:val="00EF1D79"/>
    <w:rsid w:val="00EF227F"/>
    <w:rsid w:val="00EF23D2"/>
    <w:rsid w:val="00EF26E3"/>
    <w:rsid w:val="00EF270A"/>
    <w:rsid w:val="00EF2890"/>
    <w:rsid w:val="00EF2B50"/>
    <w:rsid w:val="00EF2DA2"/>
    <w:rsid w:val="00EF2E15"/>
    <w:rsid w:val="00EF2FA2"/>
    <w:rsid w:val="00EF31CC"/>
    <w:rsid w:val="00EF327F"/>
    <w:rsid w:val="00EF3B46"/>
    <w:rsid w:val="00EF3EFD"/>
    <w:rsid w:val="00EF40F8"/>
    <w:rsid w:val="00EF4130"/>
    <w:rsid w:val="00EF4596"/>
    <w:rsid w:val="00EF4A63"/>
    <w:rsid w:val="00EF4E30"/>
    <w:rsid w:val="00EF53E2"/>
    <w:rsid w:val="00EF5585"/>
    <w:rsid w:val="00EF5BDC"/>
    <w:rsid w:val="00EF5BF6"/>
    <w:rsid w:val="00EF5CFA"/>
    <w:rsid w:val="00EF5D87"/>
    <w:rsid w:val="00EF5E44"/>
    <w:rsid w:val="00EF6089"/>
    <w:rsid w:val="00EF63F3"/>
    <w:rsid w:val="00EF6825"/>
    <w:rsid w:val="00EF6998"/>
    <w:rsid w:val="00EF6FDC"/>
    <w:rsid w:val="00EF71D0"/>
    <w:rsid w:val="00EF74CE"/>
    <w:rsid w:val="00F00166"/>
    <w:rsid w:val="00F00286"/>
    <w:rsid w:val="00F00BA9"/>
    <w:rsid w:val="00F00BF1"/>
    <w:rsid w:val="00F0118E"/>
    <w:rsid w:val="00F0167E"/>
    <w:rsid w:val="00F019E4"/>
    <w:rsid w:val="00F01CBD"/>
    <w:rsid w:val="00F01FA9"/>
    <w:rsid w:val="00F0238A"/>
    <w:rsid w:val="00F029EC"/>
    <w:rsid w:val="00F02EDE"/>
    <w:rsid w:val="00F02F72"/>
    <w:rsid w:val="00F03108"/>
    <w:rsid w:val="00F034A8"/>
    <w:rsid w:val="00F034DE"/>
    <w:rsid w:val="00F03A79"/>
    <w:rsid w:val="00F03DA5"/>
    <w:rsid w:val="00F03E38"/>
    <w:rsid w:val="00F0416E"/>
    <w:rsid w:val="00F04210"/>
    <w:rsid w:val="00F044A2"/>
    <w:rsid w:val="00F04601"/>
    <w:rsid w:val="00F04868"/>
    <w:rsid w:val="00F0487C"/>
    <w:rsid w:val="00F049A2"/>
    <w:rsid w:val="00F04D79"/>
    <w:rsid w:val="00F04DC8"/>
    <w:rsid w:val="00F04FCE"/>
    <w:rsid w:val="00F05228"/>
    <w:rsid w:val="00F05296"/>
    <w:rsid w:val="00F05B72"/>
    <w:rsid w:val="00F06505"/>
    <w:rsid w:val="00F06622"/>
    <w:rsid w:val="00F06903"/>
    <w:rsid w:val="00F06963"/>
    <w:rsid w:val="00F06BCC"/>
    <w:rsid w:val="00F06D1A"/>
    <w:rsid w:val="00F06DBC"/>
    <w:rsid w:val="00F06F63"/>
    <w:rsid w:val="00F07541"/>
    <w:rsid w:val="00F078E0"/>
    <w:rsid w:val="00F07D09"/>
    <w:rsid w:val="00F103D4"/>
    <w:rsid w:val="00F104B5"/>
    <w:rsid w:val="00F10510"/>
    <w:rsid w:val="00F10820"/>
    <w:rsid w:val="00F108F5"/>
    <w:rsid w:val="00F10BA1"/>
    <w:rsid w:val="00F10F54"/>
    <w:rsid w:val="00F11BDA"/>
    <w:rsid w:val="00F12E79"/>
    <w:rsid w:val="00F13388"/>
    <w:rsid w:val="00F13784"/>
    <w:rsid w:val="00F13AE2"/>
    <w:rsid w:val="00F13C1F"/>
    <w:rsid w:val="00F140EF"/>
    <w:rsid w:val="00F14813"/>
    <w:rsid w:val="00F14831"/>
    <w:rsid w:val="00F1492B"/>
    <w:rsid w:val="00F14DEC"/>
    <w:rsid w:val="00F14E39"/>
    <w:rsid w:val="00F1534F"/>
    <w:rsid w:val="00F153E0"/>
    <w:rsid w:val="00F1559A"/>
    <w:rsid w:val="00F15691"/>
    <w:rsid w:val="00F159FF"/>
    <w:rsid w:val="00F15AA3"/>
    <w:rsid w:val="00F15F66"/>
    <w:rsid w:val="00F1627C"/>
    <w:rsid w:val="00F164E8"/>
    <w:rsid w:val="00F16822"/>
    <w:rsid w:val="00F1695B"/>
    <w:rsid w:val="00F16E19"/>
    <w:rsid w:val="00F17299"/>
    <w:rsid w:val="00F17651"/>
    <w:rsid w:val="00F17A61"/>
    <w:rsid w:val="00F17D0B"/>
    <w:rsid w:val="00F202CF"/>
    <w:rsid w:val="00F2089B"/>
    <w:rsid w:val="00F2134B"/>
    <w:rsid w:val="00F21459"/>
    <w:rsid w:val="00F2174F"/>
    <w:rsid w:val="00F2181C"/>
    <w:rsid w:val="00F22ED6"/>
    <w:rsid w:val="00F231C8"/>
    <w:rsid w:val="00F23242"/>
    <w:rsid w:val="00F2382E"/>
    <w:rsid w:val="00F246CA"/>
    <w:rsid w:val="00F2483D"/>
    <w:rsid w:val="00F24909"/>
    <w:rsid w:val="00F24BC8"/>
    <w:rsid w:val="00F24D2F"/>
    <w:rsid w:val="00F24EFC"/>
    <w:rsid w:val="00F24F5A"/>
    <w:rsid w:val="00F25198"/>
    <w:rsid w:val="00F253F5"/>
    <w:rsid w:val="00F2586A"/>
    <w:rsid w:val="00F25D04"/>
    <w:rsid w:val="00F2610E"/>
    <w:rsid w:val="00F26189"/>
    <w:rsid w:val="00F26304"/>
    <w:rsid w:val="00F26406"/>
    <w:rsid w:val="00F26F21"/>
    <w:rsid w:val="00F27442"/>
    <w:rsid w:val="00F274F2"/>
    <w:rsid w:val="00F275EA"/>
    <w:rsid w:val="00F279DE"/>
    <w:rsid w:val="00F27A0F"/>
    <w:rsid w:val="00F27CAE"/>
    <w:rsid w:val="00F30739"/>
    <w:rsid w:val="00F30789"/>
    <w:rsid w:val="00F315A8"/>
    <w:rsid w:val="00F316BA"/>
    <w:rsid w:val="00F316FD"/>
    <w:rsid w:val="00F31C01"/>
    <w:rsid w:val="00F32C5A"/>
    <w:rsid w:val="00F33621"/>
    <w:rsid w:val="00F338E3"/>
    <w:rsid w:val="00F33C62"/>
    <w:rsid w:val="00F343F1"/>
    <w:rsid w:val="00F3452A"/>
    <w:rsid w:val="00F34943"/>
    <w:rsid w:val="00F34BAD"/>
    <w:rsid w:val="00F35032"/>
    <w:rsid w:val="00F35538"/>
    <w:rsid w:val="00F355A0"/>
    <w:rsid w:val="00F35A76"/>
    <w:rsid w:val="00F35E68"/>
    <w:rsid w:val="00F35E85"/>
    <w:rsid w:val="00F3650E"/>
    <w:rsid w:val="00F369AC"/>
    <w:rsid w:val="00F36B34"/>
    <w:rsid w:val="00F36CB3"/>
    <w:rsid w:val="00F37154"/>
    <w:rsid w:val="00F3732F"/>
    <w:rsid w:val="00F375E3"/>
    <w:rsid w:val="00F3788D"/>
    <w:rsid w:val="00F37B9F"/>
    <w:rsid w:val="00F37F66"/>
    <w:rsid w:val="00F401AE"/>
    <w:rsid w:val="00F403E5"/>
    <w:rsid w:val="00F406E3"/>
    <w:rsid w:val="00F40713"/>
    <w:rsid w:val="00F4073C"/>
    <w:rsid w:val="00F407C5"/>
    <w:rsid w:val="00F407F2"/>
    <w:rsid w:val="00F4144F"/>
    <w:rsid w:val="00F41812"/>
    <w:rsid w:val="00F4189E"/>
    <w:rsid w:val="00F420BF"/>
    <w:rsid w:val="00F420C8"/>
    <w:rsid w:val="00F42144"/>
    <w:rsid w:val="00F421A3"/>
    <w:rsid w:val="00F423F8"/>
    <w:rsid w:val="00F42D64"/>
    <w:rsid w:val="00F436B1"/>
    <w:rsid w:val="00F43A7E"/>
    <w:rsid w:val="00F43FA1"/>
    <w:rsid w:val="00F43FA3"/>
    <w:rsid w:val="00F44277"/>
    <w:rsid w:val="00F443BD"/>
    <w:rsid w:val="00F44559"/>
    <w:rsid w:val="00F445DB"/>
    <w:rsid w:val="00F448A8"/>
    <w:rsid w:val="00F44BE6"/>
    <w:rsid w:val="00F44F6D"/>
    <w:rsid w:val="00F44F81"/>
    <w:rsid w:val="00F45165"/>
    <w:rsid w:val="00F453E0"/>
    <w:rsid w:val="00F45856"/>
    <w:rsid w:val="00F459A0"/>
    <w:rsid w:val="00F45E15"/>
    <w:rsid w:val="00F45F39"/>
    <w:rsid w:val="00F4634A"/>
    <w:rsid w:val="00F4640B"/>
    <w:rsid w:val="00F466A2"/>
    <w:rsid w:val="00F47306"/>
    <w:rsid w:val="00F4735A"/>
    <w:rsid w:val="00F47A14"/>
    <w:rsid w:val="00F47AAB"/>
    <w:rsid w:val="00F47BE9"/>
    <w:rsid w:val="00F501D7"/>
    <w:rsid w:val="00F50448"/>
    <w:rsid w:val="00F507CE"/>
    <w:rsid w:val="00F508E1"/>
    <w:rsid w:val="00F50C99"/>
    <w:rsid w:val="00F51255"/>
    <w:rsid w:val="00F51730"/>
    <w:rsid w:val="00F517D4"/>
    <w:rsid w:val="00F5181D"/>
    <w:rsid w:val="00F51BB1"/>
    <w:rsid w:val="00F522F8"/>
    <w:rsid w:val="00F52435"/>
    <w:rsid w:val="00F52A58"/>
    <w:rsid w:val="00F52AA9"/>
    <w:rsid w:val="00F530D4"/>
    <w:rsid w:val="00F53110"/>
    <w:rsid w:val="00F5313B"/>
    <w:rsid w:val="00F53302"/>
    <w:rsid w:val="00F535BC"/>
    <w:rsid w:val="00F53704"/>
    <w:rsid w:val="00F53A06"/>
    <w:rsid w:val="00F53A7D"/>
    <w:rsid w:val="00F53AC3"/>
    <w:rsid w:val="00F53F51"/>
    <w:rsid w:val="00F540ED"/>
    <w:rsid w:val="00F554F0"/>
    <w:rsid w:val="00F5552E"/>
    <w:rsid w:val="00F555CA"/>
    <w:rsid w:val="00F55764"/>
    <w:rsid w:val="00F55AB1"/>
    <w:rsid w:val="00F55EE9"/>
    <w:rsid w:val="00F55FB4"/>
    <w:rsid w:val="00F5619E"/>
    <w:rsid w:val="00F5650A"/>
    <w:rsid w:val="00F56A99"/>
    <w:rsid w:val="00F56D01"/>
    <w:rsid w:val="00F57190"/>
    <w:rsid w:val="00F57FFD"/>
    <w:rsid w:val="00F6026C"/>
    <w:rsid w:val="00F608B7"/>
    <w:rsid w:val="00F60B8A"/>
    <w:rsid w:val="00F60B8C"/>
    <w:rsid w:val="00F60D07"/>
    <w:rsid w:val="00F60F13"/>
    <w:rsid w:val="00F619F9"/>
    <w:rsid w:val="00F61CBD"/>
    <w:rsid w:val="00F61CF0"/>
    <w:rsid w:val="00F6203A"/>
    <w:rsid w:val="00F622CD"/>
    <w:rsid w:val="00F6257F"/>
    <w:rsid w:val="00F627B7"/>
    <w:rsid w:val="00F62934"/>
    <w:rsid w:val="00F62B83"/>
    <w:rsid w:val="00F63071"/>
    <w:rsid w:val="00F630A5"/>
    <w:rsid w:val="00F630F1"/>
    <w:rsid w:val="00F6319B"/>
    <w:rsid w:val="00F636C2"/>
    <w:rsid w:val="00F63796"/>
    <w:rsid w:val="00F63DAB"/>
    <w:rsid w:val="00F63F52"/>
    <w:rsid w:val="00F642E4"/>
    <w:rsid w:val="00F649DE"/>
    <w:rsid w:val="00F64A03"/>
    <w:rsid w:val="00F64FE2"/>
    <w:rsid w:val="00F65196"/>
    <w:rsid w:val="00F65541"/>
    <w:rsid w:val="00F6569C"/>
    <w:rsid w:val="00F65902"/>
    <w:rsid w:val="00F65913"/>
    <w:rsid w:val="00F65D27"/>
    <w:rsid w:val="00F668C9"/>
    <w:rsid w:val="00F668E9"/>
    <w:rsid w:val="00F66ECB"/>
    <w:rsid w:val="00F66F21"/>
    <w:rsid w:val="00F6702A"/>
    <w:rsid w:val="00F673E2"/>
    <w:rsid w:val="00F674DE"/>
    <w:rsid w:val="00F67619"/>
    <w:rsid w:val="00F679FA"/>
    <w:rsid w:val="00F67A2D"/>
    <w:rsid w:val="00F67B77"/>
    <w:rsid w:val="00F67CF0"/>
    <w:rsid w:val="00F67F2F"/>
    <w:rsid w:val="00F70A92"/>
    <w:rsid w:val="00F71607"/>
    <w:rsid w:val="00F71AD3"/>
    <w:rsid w:val="00F71D62"/>
    <w:rsid w:val="00F71D92"/>
    <w:rsid w:val="00F72478"/>
    <w:rsid w:val="00F7269E"/>
    <w:rsid w:val="00F72BF1"/>
    <w:rsid w:val="00F72FB9"/>
    <w:rsid w:val="00F7305C"/>
    <w:rsid w:val="00F73096"/>
    <w:rsid w:val="00F732CA"/>
    <w:rsid w:val="00F738DE"/>
    <w:rsid w:val="00F73A13"/>
    <w:rsid w:val="00F7457C"/>
    <w:rsid w:val="00F74A19"/>
    <w:rsid w:val="00F74DAF"/>
    <w:rsid w:val="00F751CD"/>
    <w:rsid w:val="00F75B28"/>
    <w:rsid w:val="00F75CD3"/>
    <w:rsid w:val="00F763FC"/>
    <w:rsid w:val="00F7688B"/>
    <w:rsid w:val="00F76D2D"/>
    <w:rsid w:val="00F771E5"/>
    <w:rsid w:val="00F7731D"/>
    <w:rsid w:val="00F77547"/>
    <w:rsid w:val="00F776DF"/>
    <w:rsid w:val="00F77C1E"/>
    <w:rsid w:val="00F80876"/>
    <w:rsid w:val="00F80E8E"/>
    <w:rsid w:val="00F80E93"/>
    <w:rsid w:val="00F8101D"/>
    <w:rsid w:val="00F81749"/>
    <w:rsid w:val="00F820DC"/>
    <w:rsid w:val="00F823BE"/>
    <w:rsid w:val="00F82559"/>
    <w:rsid w:val="00F82A10"/>
    <w:rsid w:val="00F82FA8"/>
    <w:rsid w:val="00F8386D"/>
    <w:rsid w:val="00F83D09"/>
    <w:rsid w:val="00F8406C"/>
    <w:rsid w:val="00F841C1"/>
    <w:rsid w:val="00F84263"/>
    <w:rsid w:val="00F844C6"/>
    <w:rsid w:val="00F848A8"/>
    <w:rsid w:val="00F855F9"/>
    <w:rsid w:val="00F85652"/>
    <w:rsid w:val="00F85902"/>
    <w:rsid w:val="00F8616F"/>
    <w:rsid w:val="00F86208"/>
    <w:rsid w:val="00F87500"/>
    <w:rsid w:val="00F87653"/>
    <w:rsid w:val="00F87F22"/>
    <w:rsid w:val="00F90BA0"/>
    <w:rsid w:val="00F91138"/>
    <w:rsid w:val="00F91162"/>
    <w:rsid w:val="00F9126D"/>
    <w:rsid w:val="00F912F0"/>
    <w:rsid w:val="00F915F2"/>
    <w:rsid w:val="00F91660"/>
    <w:rsid w:val="00F925AC"/>
    <w:rsid w:val="00F92625"/>
    <w:rsid w:val="00F92A68"/>
    <w:rsid w:val="00F92B20"/>
    <w:rsid w:val="00F92D47"/>
    <w:rsid w:val="00F93040"/>
    <w:rsid w:val="00F93788"/>
    <w:rsid w:val="00F939A3"/>
    <w:rsid w:val="00F93E4E"/>
    <w:rsid w:val="00F9434F"/>
    <w:rsid w:val="00F943B4"/>
    <w:rsid w:val="00F94769"/>
    <w:rsid w:val="00F94B3E"/>
    <w:rsid w:val="00F94D51"/>
    <w:rsid w:val="00F950E1"/>
    <w:rsid w:val="00F95A51"/>
    <w:rsid w:val="00F9654B"/>
    <w:rsid w:val="00F96806"/>
    <w:rsid w:val="00F96811"/>
    <w:rsid w:val="00F96940"/>
    <w:rsid w:val="00F97166"/>
    <w:rsid w:val="00F973F7"/>
    <w:rsid w:val="00F974A0"/>
    <w:rsid w:val="00F9776A"/>
    <w:rsid w:val="00F97930"/>
    <w:rsid w:val="00FA009B"/>
    <w:rsid w:val="00FA0342"/>
    <w:rsid w:val="00FA0413"/>
    <w:rsid w:val="00FA05DC"/>
    <w:rsid w:val="00FA0600"/>
    <w:rsid w:val="00FA0C45"/>
    <w:rsid w:val="00FA0EC4"/>
    <w:rsid w:val="00FA1440"/>
    <w:rsid w:val="00FA18F9"/>
    <w:rsid w:val="00FA209E"/>
    <w:rsid w:val="00FA20EB"/>
    <w:rsid w:val="00FA2267"/>
    <w:rsid w:val="00FA233A"/>
    <w:rsid w:val="00FA2588"/>
    <w:rsid w:val="00FA28E5"/>
    <w:rsid w:val="00FA2B8D"/>
    <w:rsid w:val="00FA2E45"/>
    <w:rsid w:val="00FA2F4F"/>
    <w:rsid w:val="00FA35CB"/>
    <w:rsid w:val="00FA368F"/>
    <w:rsid w:val="00FA39CD"/>
    <w:rsid w:val="00FA3D69"/>
    <w:rsid w:val="00FA4928"/>
    <w:rsid w:val="00FA4E17"/>
    <w:rsid w:val="00FA526A"/>
    <w:rsid w:val="00FA637F"/>
    <w:rsid w:val="00FA67AC"/>
    <w:rsid w:val="00FA6A63"/>
    <w:rsid w:val="00FA71BA"/>
    <w:rsid w:val="00FA73B9"/>
    <w:rsid w:val="00FA75F3"/>
    <w:rsid w:val="00FA79A1"/>
    <w:rsid w:val="00FA7C25"/>
    <w:rsid w:val="00FA7C85"/>
    <w:rsid w:val="00FA7CCD"/>
    <w:rsid w:val="00FA7E03"/>
    <w:rsid w:val="00FB00FA"/>
    <w:rsid w:val="00FB0244"/>
    <w:rsid w:val="00FB038B"/>
    <w:rsid w:val="00FB070B"/>
    <w:rsid w:val="00FB072A"/>
    <w:rsid w:val="00FB079B"/>
    <w:rsid w:val="00FB08B0"/>
    <w:rsid w:val="00FB1264"/>
    <w:rsid w:val="00FB1529"/>
    <w:rsid w:val="00FB1DC5"/>
    <w:rsid w:val="00FB2052"/>
    <w:rsid w:val="00FB20AA"/>
    <w:rsid w:val="00FB23E1"/>
    <w:rsid w:val="00FB23F7"/>
    <w:rsid w:val="00FB24AE"/>
    <w:rsid w:val="00FB2B4B"/>
    <w:rsid w:val="00FB2EB9"/>
    <w:rsid w:val="00FB2F9D"/>
    <w:rsid w:val="00FB312F"/>
    <w:rsid w:val="00FB3744"/>
    <w:rsid w:val="00FB3B97"/>
    <w:rsid w:val="00FB3BC5"/>
    <w:rsid w:val="00FB3FC4"/>
    <w:rsid w:val="00FB41C8"/>
    <w:rsid w:val="00FB4245"/>
    <w:rsid w:val="00FB47CC"/>
    <w:rsid w:val="00FB4C11"/>
    <w:rsid w:val="00FB4DB3"/>
    <w:rsid w:val="00FB4E2A"/>
    <w:rsid w:val="00FB4EFA"/>
    <w:rsid w:val="00FB4F3B"/>
    <w:rsid w:val="00FB5B93"/>
    <w:rsid w:val="00FB664B"/>
    <w:rsid w:val="00FB6669"/>
    <w:rsid w:val="00FB7373"/>
    <w:rsid w:val="00FB73A9"/>
    <w:rsid w:val="00FB744A"/>
    <w:rsid w:val="00FB7595"/>
    <w:rsid w:val="00FB771B"/>
    <w:rsid w:val="00FB7B64"/>
    <w:rsid w:val="00FB7BE2"/>
    <w:rsid w:val="00FC01DB"/>
    <w:rsid w:val="00FC042E"/>
    <w:rsid w:val="00FC07AB"/>
    <w:rsid w:val="00FC0E9E"/>
    <w:rsid w:val="00FC1722"/>
    <w:rsid w:val="00FC1748"/>
    <w:rsid w:val="00FC1920"/>
    <w:rsid w:val="00FC1F6F"/>
    <w:rsid w:val="00FC2E4E"/>
    <w:rsid w:val="00FC3105"/>
    <w:rsid w:val="00FC321E"/>
    <w:rsid w:val="00FC3733"/>
    <w:rsid w:val="00FC3830"/>
    <w:rsid w:val="00FC3902"/>
    <w:rsid w:val="00FC3C3B"/>
    <w:rsid w:val="00FC44A1"/>
    <w:rsid w:val="00FC475C"/>
    <w:rsid w:val="00FC49E2"/>
    <w:rsid w:val="00FC513A"/>
    <w:rsid w:val="00FC6BEE"/>
    <w:rsid w:val="00FC73F2"/>
    <w:rsid w:val="00FC754C"/>
    <w:rsid w:val="00FC7B3F"/>
    <w:rsid w:val="00FD006F"/>
    <w:rsid w:val="00FD0349"/>
    <w:rsid w:val="00FD0C21"/>
    <w:rsid w:val="00FD0F82"/>
    <w:rsid w:val="00FD1A60"/>
    <w:rsid w:val="00FD1BAE"/>
    <w:rsid w:val="00FD1EA5"/>
    <w:rsid w:val="00FD210E"/>
    <w:rsid w:val="00FD32B2"/>
    <w:rsid w:val="00FD382A"/>
    <w:rsid w:val="00FD43A2"/>
    <w:rsid w:val="00FD46D1"/>
    <w:rsid w:val="00FD4DE3"/>
    <w:rsid w:val="00FD4F1B"/>
    <w:rsid w:val="00FD4F5E"/>
    <w:rsid w:val="00FD5394"/>
    <w:rsid w:val="00FD5861"/>
    <w:rsid w:val="00FD6004"/>
    <w:rsid w:val="00FD60BA"/>
    <w:rsid w:val="00FD60D1"/>
    <w:rsid w:val="00FD64F7"/>
    <w:rsid w:val="00FD656D"/>
    <w:rsid w:val="00FD6853"/>
    <w:rsid w:val="00FD6918"/>
    <w:rsid w:val="00FD6DE3"/>
    <w:rsid w:val="00FD6E6E"/>
    <w:rsid w:val="00FD7097"/>
    <w:rsid w:val="00FD72B6"/>
    <w:rsid w:val="00FD7F4A"/>
    <w:rsid w:val="00FE0785"/>
    <w:rsid w:val="00FE0CB9"/>
    <w:rsid w:val="00FE0EB4"/>
    <w:rsid w:val="00FE1312"/>
    <w:rsid w:val="00FE1728"/>
    <w:rsid w:val="00FE1B84"/>
    <w:rsid w:val="00FE2DE4"/>
    <w:rsid w:val="00FE353D"/>
    <w:rsid w:val="00FE358B"/>
    <w:rsid w:val="00FE3908"/>
    <w:rsid w:val="00FE3981"/>
    <w:rsid w:val="00FE40D4"/>
    <w:rsid w:val="00FE439C"/>
    <w:rsid w:val="00FE474C"/>
    <w:rsid w:val="00FE4958"/>
    <w:rsid w:val="00FE4A44"/>
    <w:rsid w:val="00FE508B"/>
    <w:rsid w:val="00FE5292"/>
    <w:rsid w:val="00FE52A0"/>
    <w:rsid w:val="00FE5EA1"/>
    <w:rsid w:val="00FE62DB"/>
    <w:rsid w:val="00FE6306"/>
    <w:rsid w:val="00FE662E"/>
    <w:rsid w:val="00FE768F"/>
    <w:rsid w:val="00FE77B8"/>
    <w:rsid w:val="00FE785A"/>
    <w:rsid w:val="00FE7CFF"/>
    <w:rsid w:val="00FE7D96"/>
    <w:rsid w:val="00FF021B"/>
    <w:rsid w:val="00FF059A"/>
    <w:rsid w:val="00FF05E9"/>
    <w:rsid w:val="00FF0AA5"/>
    <w:rsid w:val="00FF17D0"/>
    <w:rsid w:val="00FF183D"/>
    <w:rsid w:val="00FF1A6B"/>
    <w:rsid w:val="00FF2D19"/>
    <w:rsid w:val="00FF30F1"/>
    <w:rsid w:val="00FF3361"/>
    <w:rsid w:val="00FF3644"/>
    <w:rsid w:val="00FF389B"/>
    <w:rsid w:val="00FF3AF2"/>
    <w:rsid w:val="00FF46B2"/>
    <w:rsid w:val="00FF4E20"/>
    <w:rsid w:val="00FF4F3E"/>
    <w:rsid w:val="00FF5516"/>
    <w:rsid w:val="00FF5531"/>
    <w:rsid w:val="00FF5652"/>
    <w:rsid w:val="00FF591B"/>
    <w:rsid w:val="00FF6857"/>
    <w:rsid w:val="00FF6B27"/>
    <w:rsid w:val="00FF6BB3"/>
    <w:rsid w:val="00FF6C1F"/>
    <w:rsid w:val="00FF6DF8"/>
    <w:rsid w:val="00FF7242"/>
    <w:rsid w:val="00FF72C5"/>
    <w:rsid w:val="00FF738E"/>
    <w:rsid w:val="00FF73DD"/>
    <w:rsid w:val="0104F111"/>
    <w:rsid w:val="02189DCF"/>
    <w:rsid w:val="022F4A77"/>
    <w:rsid w:val="024209E6"/>
    <w:rsid w:val="031AD215"/>
    <w:rsid w:val="03564F32"/>
    <w:rsid w:val="038AD498"/>
    <w:rsid w:val="03AC12D9"/>
    <w:rsid w:val="0407A851"/>
    <w:rsid w:val="040D138C"/>
    <w:rsid w:val="04264AA7"/>
    <w:rsid w:val="04524369"/>
    <w:rsid w:val="0630C8D9"/>
    <w:rsid w:val="065258B3"/>
    <w:rsid w:val="06B3B732"/>
    <w:rsid w:val="07222894"/>
    <w:rsid w:val="080B1FB1"/>
    <w:rsid w:val="0819180D"/>
    <w:rsid w:val="0851DDF9"/>
    <w:rsid w:val="085C9FAD"/>
    <w:rsid w:val="085F4ED4"/>
    <w:rsid w:val="0888F019"/>
    <w:rsid w:val="0920D47E"/>
    <w:rsid w:val="09432ABC"/>
    <w:rsid w:val="09EE8752"/>
    <w:rsid w:val="0A64CE73"/>
    <w:rsid w:val="0AEDE413"/>
    <w:rsid w:val="0B4099E0"/>
    <w:rsid w:val="0B7EF45B"/>
    <w:rsid w:val="0BBBBE37"/>
    <w:rsid w:val="0C1091C2"/>
    <w:rsid w:val="0C984FA8"/>
    <w:rsid w:val="0CFB3451"/>
    <w:rsid w:val="0D1EB0B6"/>
    <w:rsid w:val="0D357B33"/>
    <w:rsid w:val="0D5C8AB5"/>
    <w:rsid w:val="0D9CF50D"/>
    <w:rsid w:val="0E5B05F4"/>
    <w:rsid w:val="0E8CE719"/>
    <w:rsid w:val="0EA7ACFA"/>
    <w:rsid w:val="0EDC3260"/>
    <w:rsid w:val="0EE0D02C"/>
    <w:rsid w:val="0EF398A6"/>
    <w:rsid w:val="0F3D4BB8"/>
    <w:rsid w:val="0F42FF08"/>
    <w:rsid w:val="10041129"/>
    <w:rsid w:val="1071A9CD"/>
    <w:rsid w:val="107DB7F0"/>
    <w:rsid w:val="109D2296"/>
    <w:rsid w:val="10DBC868"/>
    <w:rsid w:val="114B108A"/>
    <w:rsid w:val="1158CB55"/>
    <w:rsid w:val="117391F3"/>
    <w:rsid w:val="119FDCF1"/>
    <w:rsid w:val="11ADC745"/>
    <w:rsid w:val="11B450F3"/>
    <w:rsid w:val="1210D49A"/>
    <w:rsid w:val="12600AF0"/>
    <w:rsid w:val="126B9E2E"/>
    <w:rsid w:val="13847A15"/>
    <w:rsid w:val="1435C0C4"/>
    <w:rsid w:val="144F1FCB"/>
    <w:rsid w:val="1519AB9B"/>
    <w:rsid w:val="152C207B"/>
    <w:rsid w:val="15548373"/>
    <w:rsid w:val="15679446"/>
    <w:rsid w:val="157FB5AD"/>
    <w:rsid w:val="157FF94A"/>
    <w:rsid w:val="15DBBAB6"/>
    <w:rsid w:val="15F9B55F"/>
    <w:rsid w:val="168A1C17"/>
    <w:rsid w:val="16995FC3"/>
    <w:rsid w:val="16C16A00"/>
    <w:rsid w:val="16C37FF0"/>
    <w:rsid w:val="16DF29FC"/>
    <w:rsid w:val="171D40CD"/>
    <w:rsid w:val="17ECC3BB"/>
    <w:rsid w:val="18BDDC85"/>
    <w:rsid w:val="18D61F3E"/>
    <w:rsid w:val="192A0DA1"/>
    <w:rsid w:val="1946535A"/>
    <w:rsid w:val="19FC52BA"/>
    <w:rsid w:val="1A4DFC69"/>
    <w:rsid w:val="1A77E13A"/>
    <w:rsid w:val="1ADA2C34"/>
    <w:rsid w:val="1BA7AF40"/>
    <w:rsid w:val="1BAC0BD9"/>
    <w:rsid w:val="1BB0DA2E"/>
    <w:rsid w:val="1BE18CC7"/>
    <w:rsid w:val="1C6C3BB0"/>
    <w:rsid w:val="1C77BFAD"/>
    <w:rsid w:val="1C8CC712"/>
    <w:rsid w:val="1D031BF8"/>
    <w:rsid w:val="1D853922"/>
    <w:rsid w:val="1DE34C27"/>
    <w:rsid w:val="1E14FB2F"/>
    <w:rsid w:val="1E325BAB"/>
    <w:rsid w:val="1E337E3F"/>
    <w:rsid w:val="1E5DF76C"/>
    <w:rsid w:val="1E7FD726"/>
    <w:rsid w:val="1EFD7E4D"/>
    <w:rsid w:val="1F70F895"/>
    <w:rsid w:val="1F7AE92B"/>
    <w:rsid w:val="202B100C"/>
    <w:rsid w:val="203640DF"/>
    <w:rsid w:val="2045FC9C"/>
    <w:rsid w:val="205E6682"/>
    <w:rsid w:val="206488B7"/>
    <w:rsid w:val="20F3A099"/>
    <w:rsid w:val="21BD7907"/>
    <w:rsid w:val="22334F04"/>
    <w:rsid w:val="237825E6"/>
    <w:rsid w:val="23C8BD12"/>
    <w:rsid w:val="23E1ABB0"/>
    <w:rsid w:val="23FE43D9"/>
    <w:rsid w:val="240D1B96"/>
    <w:rsid w:val="242450EF"/>
    <w:rsid w:val="24D6ADB1"/>
    <w:rsid w:val="25E6BE0B"/>
    <w:rsid w:val="266301D6"/>
    <w:rsid w:val="266EC1E5"/>
    <w:rsid w:val="269E7CC6"/>
    <w:rsid w:val="26DC7353"/>
    <w:rsid w:val="26E9FD40"/>
    <w:rsid w:val="2713E49A"/>
    <w:rsid w:val="2793AA9C"/>
    <w:rsid w:val="27A64992"/>
    <w:rsid w:val="27B6DE2F"/>
    <w:rsid w:val="27F6BD54"/>
    <w:rsid w:val="281E139E"/>
    <w:rsid w:val="282E0295"/>
    <w:rsid w:val="283CEB1F"/>
    <w:rsid w:val="285F2913"/>
    <w:rsid w:val="28CBF380"/>
    <w:rsid w:val="28D8E5CC"/>
    <w:rsid w:val="2930349E"/>
    <w:rsid w:val="293D0239"/>
    <w:rsid w:val="294F01C5"/>
    <w:rsid w:val="2998AC43"/>
    <w:rsid w:val="2A5AA58E"/>
    <w:rsid w:val="2AB4E482"/>
    <w:rsid w:val="2AB51B6F"/>
    <w:rsid w:val="2AF9A333"/>
    <w:rsid w:val="2AFF024D"/>
    <w:rsid w:val="2B0239BF"/>
    <w:rsid w:val="2B501204"/>
    <w:rsid w:val="2B5F81E8"/>
    <w:rsid w:val="2BB6176B"/>
    <w:rsid w:val="2BD2D3E4"/>
    <w:rsid w:val="2BE37B79"/>
    <w:rsid w:val="2BF858D0"/>
    <w:rsid w:val="2C263833"/>
    <w:rsid w:val="2C53138B"/>
    <w:rsid w:val="2C5D618D"/>
    <w:rsid w:val="2C7AF5D2"/>
    <w:rsid w:val="2C9944BC"/>
    <w:rsid w:val="2D7E3032"/>
    <w:rsid w:val="2D90B982"/>
    <w:rsid w:val="2E884122"/>
    <w:rsid w:val="2E99808A"/>
    <w:rsid w:val="2F7E00E4"/>
    <w:rsid w:val="2F9E0508"/>
    <w:rsid w:val="2FFF95BB"/>
    <w:rsid w:val="3033CCD8"/>
    <w:rsid w:val="305B2B30"/>
    <w:rsid w:val="30AF105B"/>
    <w:rsid w:val="31526490"/>
    <w:rsid w:val="32495B55"/>
    <w:rsid w:val="32804C8D"/>
    <w:rsid w:val="32972D47"/>
    <w:rsid w:val="32D5CBE5"/>
    <w:rsid w:val="32E8F704"/>
    <w:rsid w:val="3325C58C"/>
    <w:rsid w:val="33959825"/>
    <w:rsid w:val="33BDD533"/>
    <w:rsid w:val="340457C7"/>
    <w:rsid w:val="3437D1C6"/>
    <w:rsid w:val="35D2B396"/>
    <w:rsid w:val="35E96B0F"/>
    <w:rsid w:val="363810FE"/>
    <w:rsid w:val="37413F98"/>
    <w:rsid w:val="37EF2389"/>
    <w:rsid w:val="38354CC8"/>
    <w:rsid w:val="388BF5CE"/>
    <w:rsid w:val="394406E6"/>
    <w:rsid w:val="399F8E6F"/>
    <w:rsid w:val="39E48F5C"/>
    <w:rsid w:val="39E917EA"/>
    <w:rsid w:val="3A42AA2A"/>
    <w:rsid w:val="3AC7D21D"/>
    <w:rsid w:val="3AD5CDCB"/>
    <w:rsid w:val="3B0149B3"/>
    <w:rsid w:val="3B3BA1EB"/>
    <w:rsid w:val="3B5E3E9B"/>
    <w:rsid w:val="3B68CCC4"/>
    <w:rsid w:val="3B8124B7"/>
    <w:rsid w:val="3B9B5B55"/>
    <w:rsid w:val="3BBA8071"/>
    <w:rsid w:val="3C34AE13"/>
    <w:rsid w:val="3CCFDE0C"/>
    <w:rsid w:val="3CED98F5"/>
    <w:rsid w:val="3DD37627"/>
    <w:rsid w:val="3E513C54"/>
    <w:rsid w:val="3EAE7564"/>
    <w:rsid w:val="3EFD5856"/>
    <w:rsid w:val="3F421B1E"/>
    <w:rsid w:val="3FB53E7F"/>
    <w:rsid w:val="3FCA593D"/>
    <w:rsid w:val="406F6706"/>
    <w:rsid w:val="40AC6025"/>
    <w:rsid w:val="40B0A60D"/>
    <w:rsid w:val="40E17D03"/>
    <w:rsid w:val="40F1BD3D"/>
    <w:rsid w:val="40FE4DDB"/>
    <w:rsid w:val="41B6D267"/>
    <w:rsid w:val="422525C6"/>
    <w:rsid w:val="42A311C6"/>
    <w:rsid w:val="42E91BB2"/>
    <w:rsid w:val="430E1CED"/>
    <w:rsid w:val="43139A91"/>
    <w:rsid w:val="4349E6C1"/>
    <w:rsid w:val="4398C786"/>
    <w:rsid w:val="43A7C8B8"/>
    <w:rsid w:val="43D1E809"/>
    <w:rsid w:val="43E400E7"/>
    <w:rsid w:val="44176DB6"/>
    <w:rsid w:val="4500B13B"/>
    <w:rsid w:val="451C8B08"/>
    <w:rsid w:val="45A4C48B"/>
    <w:rsid w:val="4626FAEA"/>
    <w:rsid w:val="464FE505"/>
    <w:rsid w:val="472FBA0A"/>
    <w:rsid w:val="4772A2A1"/>
    <w:rsid w:val="47740C1C"/>
    <w:rsid w:val="486082DA"/>
    <w:rsid w:val="486C69CE"/>
    <w:rsid w:val="486DBAA7"/>
    <w:rsid w:val="48847CEA"/>
    <w:rsid w:val="48849180"/>
    <w:rsid w:val="48EE6246"/>
    <w:rsid w:val="49150D27"/>
    <w:rsid w:val="497C121D"/>
    <w:rsid w:val="49884628"/>
    <w:rsid w:val="4A009D75"/>
    <w:rsid w:val="4A648715"/>
    <w:rsid w:val="4AEF3A52"/>
    <w:rsid w:val="4B43EC97"/>
    <w:rsid w:val="4B4561CD"/>
    <w:rsid w:val="4BCA47F6"/>
    <w:rsid w:val="4C0D3357"/>
    <w:rsid w:val="4C13F0F2"/>
    <w:rsid w:val="4CF06C99"/>
    <w:rsid w:val="4D7D62BA"/>
    <w:rsid w:val="4D9E258D"/>
    <w:rsid w:val="4EA5DA59"/>
    <w:rsid w:val="4EF1A15D"/>
    <w:rsid w:val="4F186DB0"/>
    <w:rsid w:val="4F1FD851"/>
    <w:rsid w:val="4F368D9F"/>
    <w:rsid w:val="4F9E5BCF"/>
    <w:rsid w:val="4FCD0BD9"/>
    <w:rsid w:val="50214B22"/>
    <w:rsid w:val="5022C8AE"/>
    <w:rsid w:val="50B9FFEC"/>
    <w:rsid w:val="50E58B5E"/>
    <w:rsid w:val="510099EE"/>
    <w:rsid w:val="51448542"/>
    <w:rsid w:val="51540AF6"/>
    <w:rsid w:val="51659F13"/>
    <w:rsid w:val="51911E32"/>
    <w:rsid w:val="51988BF9"/>
    <w:rsid w:val="51F63262"/>
    <w:rsid w:val="528FAB8D"/>
    <w:rsid w:val="52D56499"/>
    <w:rsid w:val="5358D132"/>
    <w:rsid w:val="538F1316"/>
    <w:rsid w:val="5392835D"/>
    <w:rsid w:val="53A3AA1C"/>
    <w:rsid w:val="53E382C6"/>
    <w:rsid w:val="5454E9FE"/>
    <w:rsid w:val="545E0A62"/>
    <w:rsid w:val="54847C1F"/>
    <w:rsid w:val="557DB9E6"/>
    <w:rsid w:val="559BF461"/>
    <w:rsid w:val="55EECEA3"/>
    <w:rsid w:val="56484EF5"/>
    <w:rsid w:val="5684918E"/>
    <w:rsid w:val="570FA20C"/>
    <w:rsid w:val="5710B08B"/>
    <w:rsid w:val="57492C51"/>
    <w:rsid w:val="577F3660"/>
    <w:rsid w:val="578DA09A"/>
    <w:rsid w:val="57E9DFC3"/>
    <w:rsid w:val="57FE732F"/>
    <w:rsid w:val="582DB478"/>
    <w:rsid w:val="5846F2D7"/>
    <w:rsid w:val="584A758F"/>
    <w:rsid w:val="58609991"/>
    <w:rsid w:val="5867C298"/>
    <w:rsid w:val="595E7975"/>
    <w:rsid w:val="59985468"/>
    <w:rsid w:val="59C3BB90"/>
    <w:rsid w:val="5A1464C1"/>
    <w:rsid w:val="5A36CBF1"/>
    <w:rsid w:val="5A88921D"/>
    <w:rsid w:val="5ACEED54"/>
    <w:rsid w:val="5BA92D05"/>
    <w:rsid w:val="5C8925DD"/>
    <w:rsid w:val="5C89A1C0"/>
    <w:rsid w:val="5D3D47E9"/>
    <w:rsid w:val="5E1159A5"/>
    <w:rsid w:val="5E4943E5"/>
    <w:rsid w:val="5E668976"/>
    <w:rsid w:val="5EACDEF3"/>
    <w:rsid w:val="5EC1FA3D"/>
    <w:rsid w:val="5EE60E1A"/>
    <w:rsid w:val="5F505403"/>
    <w:rsid w:val="60281648"/>
    <w:rsid w:val="60937A48"/>
    <w:rsid w:val="60E8BAF6"/>
    <w:rsid w:val="6179DD47"/>
    <w:rsid w:val="62104B99"/>
    <w:rsid w:val="622A2B5A"/>
    <w:rsid w:val="622DEC18"/>
    <w:rsid w:val="62604337"/>
    <w:rsid w:val="62DC2220"/>
    <w:rsid w:val="6344A776"/>
    <w:rsid w:val="639D2615"/>
    <w:rsid w:val="6404D7A8"/>
    <w:rsid w:val="644D777E"/>
    <w:rsid w:val="6495CC7B"/>
    <w:rsid w:val="64EF71F2"/>
    <w:rsid w:val="65B2CE37"/>
    <w:rsid w:val="65BA9227"/>
    <w:rsid w:val="65CDEBC7"/>
    <w:rsid w:val="66756C2B"/>
    <w:rsid w:val="66E9981B"/>
    <w:rsid w:val="6712A2FC"/>
    <w:rsid w:val="67AE7661"/>
    <w:rsid w:val="67CF70BA"/>
    <w:rsid w:val="67EB7EF4"/>
    <w:rsid w:val="6880C8FF"/>
    <w:rsid w:val="68CC09D0"/>
    <w:rsid w:val="68D473F8"/>
    <w:rsid w:val="693558AB"/>
    <w:rsid w:val="6949EC00"/>
    <w:rsid w:val="698D6087"/>
    <w:rsid w:val="69E16904"/>
    <w:rsid w:val="6A11077A"/>
    <w:rsid w:val="6A1239E8"/>
    <w:rsid w:val="6A2138DD"/>
    <w:rsid w:val="6A32A824"/>
    <w:rsid w:val="6A379CF2"/>
    <w:rsid w:val="6A62BD1B"/>
    <w:rsid w:val="6A75A536"/>
    <w:rsid w:val="6AB5D8C3"/>
    <w:rsid w:val="6AE978F4"/>
    <w:rsid w:val="6B14C8FF"/>
    <w:rsid w:val="6B94A4FB"/>
    <w:rsid w:val="6C318FC3"/>
    <w:rsid w:val="6C60371F"/>
    <w:rsid w:val="6C88A0AE"/>
    <w:rsid w:val="6D15DBE9"/>
    <w:rsid w:val="6DE4E379"/>
    <w:rsid w:val="6E41DA9D"/>
    <w:rsid w:val="6EA166E0"/>
    <w:rsid w:val="6F05BE4D"/>
    <w:rsid w:val="7036C97F"/>
    <w:rsid w:val="709A650E"/>
    <w:rsid w:val="70B90F89"/>
    <w:rsid w:val="70FEB930"/>
    <w:rsid w:val="710A2987"/>
    <w:rsid w:val="7223B2DB"/>
    <w:rsid w:val="72374CDB"/>
    <w:rsid w:val="7263C056"/>
    <w:rsid w:val="72A5F9E8"/>
    <w:rsid w:val="72B6280B"/>
    <w:rsid w:val="72CD9A95"/>
    <w:rsid w:val="72FACAE8"/>
    <w:rsid w:val="732DD98D"/>
    <w:rsid w:val="732EB33E"/>
    <w:rsid w:val="73370B03"/>
    <w:rsid w:val="73BA6E7F"/>
    <w:rsid w:val="73D5E2A5"/>
    <w:rsid w:val="74722A03"/>
    <w:rsid w:val="74AC25EA"/>
    <w:rsid w:val="74B9F677"/>
    <w:rsid w:val="74FCD9E7"/>
    <w:rsid w:val="763339E1"/>
    <w:rsid w:val="765918F8"/>
    <w:rsid w:val="76A8FC66"/>
    <w:rsid w:val="76A907D5"/>
    <w:rsid w:val="76AFF521"/>
    <w:rsid w:val="76CA078F"/>
    <w:rsid w:val="76EC51CA"/>
    <w:rsid w:val="770F5E97"/>
    <w:rsid w:val="774F1C02"/>
    <w:rsid w:val="77858F92"/>
    <w:rsid w:val="77922C78"/>
    <w:rsid w:val="77A1FA5B"/>
    <w:rsid w:val="78204EA1"/>
    <w:rsid w:val="782077AC"/>
    <w:rsid w:val="78D964E1"/>
    <w:rsid w:val="78DF2BBA"/>
    <w:rsid w:val="7924504C"/>
    <w:rsid w:val="796290F8"/>
    <w:rsid w:val="79DB6965"/>
    <w:rsid w:val="7A08B019"/>
    <w:rsid w:val="7A6A20BD"/>
    <w:rsid w:val="7AA0658E"/>
    <w:rsid w:val="7B2CBB09"/>
    <w:rsid w:val="7B711791"/>
    <w:rsid w:val="7B7F5922"/>
    <w:rsid w:val="7BA28122"/>
    <w:rsid w:val="7BD50B73"/>
    <w:rsid w:val="7BF7A687"/>
    <w:rsid w:val="7CC10097"/>
    <w:rsid w:val="7D63CCF0"/>
    <w:rsid w:val="7D9499F1"/>
    <w:rsid w:val="7DA12A07"/>
    <w:rsid w:val="7DF1CD62"/>
    <w:rsid w:val="7DFB9F58"/>
    <w:rsid w:val="7E0004AE"/>
    <w:rsid w:val="7EEC4D18"/>
    <w:rsid w:val="7F1223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1"/>
    <o:shapelayout v:ext="edit">
      <o:idmap v:ext="edit" data="2"/>
    </o:shapelayout>
  </w:shapeDefaults>
  <w:decimalSymbol w:val="."/>
  <w:listSeparator w:val=";"/>
  <w14:docId w14:val="54253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5"/>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5"/>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5"/>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5"/>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efault">
    <w:name w:val="Default"/>
    <w:pPr>
      <w:autoSpaceDE w:val="0"/>
      <w:autoSpaceDN w:val="0"/>
      <w:adjustRightInd w:val="0"/>
      <w:spacing w:after="0" w:line="240" w:lineRule="auto"/>
    </w:pPr>
    <w:rPr>
      <w:rFonts w:ascii="EUAlbertina" w:eastAsia="Times New Roman" w:hAnsi="EUAlbertina" w:cs="EUAlbertina"/>
      <w:color w:val="000000"/>
      <w:sz w:val="24"/>
      <w:szCs w:val="24"/>
      <w:lang w:val="en-GB"/>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Times New Roman" w:hAnsi="Times New Roman" w:cs="Times New Roman"/>
      <w:b/>
      <w:bCs/>
      <w:sz w:val="20"/>
      <w:szCs w:val="20"/>
      <w:lang w:val="en-GB"/>
    </w:rPr>
  </w:style>
  <w:style w:type="paragraph" w:styleId="ListBullet">
    <w:name w:val="List Bullet"/>
    <w:basedOn w:val="Normal"/>
    <w:unhideWhenUsed/>
    <w:pPr>
      <w:numPr>
        <w:numId w:val="1"/>
      </w:numPr>
      <w:contextualSpacing/>
    </w:pPr>
  </w:style>
  <w:style w:type="paragraph" w:styleId="ListBullet2">
    <w:name w:val="List Bullet 2"/>
    <w:basedOn w:val="Normal"/>
    <w:unhideWhenUsed/>
    <w:pPr>
      <w:numPr>
        <w:numId w:val="2"/>
      </w:numPr>
      <w:contextualSpacing/>
    </w:pPr>
  </w:style>
  <w:style w:type="paragraph" w:styleId="ListBullet3">
    <w:name w:val="List Bullet 3"/>
    <w:basedOn w:val="Normal"/>
    <w:unhideWhenUsed/>
    <w:pPr>
      <w:numPr>
        <w:numId w:val="3"/>
      </w:numPr>
      <w:contextualSpacing/>
    </w:pPr>
  </w:style>
  <w:style w:type="paragraph" w:styleId="ListBullet4">
    <w:name w:val="List Bullet 4"/>
    <w:basedOn w:val="Normal"/>
    <w:unhideWhenUsed/>
    <w:pPr>
      <w:numPr>
        <w:numId w:val="4"/>
      </w:numPr>
      <w:contextualSpacing/>
    </w:p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normal">
    <w:name w:val="oj-normal"/>
    <w:basedOn w:val="Normal"/>
    <w:pPr>
      <w:spacing w:before="100" w:beforeAutospacing="1" w:after="100" w:afterAutospacing="1"/>
      <w:jc w:val="left"/>
    </w:pPr>
    <w:rPr>
      <w:rFonts w:eastAsia="Times New Roman"/>
      <w:szCs w:val="24"/>
      <w:lang w:val="en-IE" w:eastAsia="en-IE"/>
    </w:rPr>
  </w:style>
  <w:style w:type="paragraph" w:styleId="BalloonText">
    <w:name w:val="Balloon Text"/>
    <w:basedOn w:val="Normal"/>
    <w:link w:val="BalloonTextChar"/>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lang w:val="en-GB"/>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qFormat/>
    <w:pPr>
      <w:spacing w:before="0" w:after="160" w:line="240" w:lineRule="exact"/>
    </w:pPr>
    <w:rPr>
      <w:rFonts w:asciiTheme="minorHAnsi" w:hAnsiTheme="minorHAnsi" w:cstheme="minorBidi"/>
      <w:sz w:val="22"/>
      <w:vertAlign w:val="superscript"/>
      <w:lang w:val="en-US"/>
    </w:rPr>
  </w:style>
  <w:style w:type="paragraph" w:styleId="ListParagraph">
    <w:name w:val="List Paragraph"/>
    <w:aliases w:val="GSA List,Dot pt,F5 List Paragraph,List Paragraph Char Char Char,Indicator Text,Numbered Para 1,Bullet Points,List Paragraph2,MAIN CONTENT,Normal numbered,List Paragraph1,Issue Action POC,3,POCG Table Text,No Spacing1,Bullet list"/>
    <w:basedOn w:val="Normal"/>
    <w:link w:val="ListParagraphChar"/>
    <w:uiPriority w:val="34"/>
    <w:qFormat/>
    <w:pPr>
      <w:ind w:left="720"/>
      <w:contextualSpacing/>
    </w:pPr>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lang w:val="en-IE" w:eastAsia="en-IE"/>
    </w:rPr>
  </w:style>
  <w:style w:type="character" w:customStyle="1" w:styleId="ListParagraphChar">
    <w:name w:val="List Paragraph Char"/>
    <w:aliases w:val="GSA List Char,Dot pt Char,F5 List Paragraph Char,List Paragraph Char Char Char Char,Indicator Text Char,Numbered Para 1 Char,Bullet Points Char,List Paragraph2 Char,MAIN CONTENT Char,Normal numbered Char,List Paragraph1 Char,3 Char"/>
    <w:link w:val="ListParagraph"/>
    <w:uiPriority w:val="34"/>
    <w:qFormat/>
    <w:locked/>
    <w:rPr>
      <w:rFonts w:ascii="Times New Roman" w:hAnsi="Times New Roman" w:cs="Times New Roman"/>
      <w:sz w:val="24"/>
      <w:lang w:val="en-GB"/>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nhideWhenUsed/>
    <w:rPr>
      <w:color w:val="800080" w:themeColor="followedHyperlink"/>
      <w:u w:val="single"/>
    </w:rPr>
  </w:style>
  <w:style w:type="paragraph" w:customStyle="1" w:styleId="paragraph">
    <w:name w:val="paragraph"/>
    <w:basedOn w:val="Normal"/>
    <w:rsid w:val="00636E58"/>
    <w:pPr>
      <w:spacing w:before="100" w:beforeAutospacing="1" w:after="100" w:afterAutospacing="1"/>
      <w:jc w:val="left"/>
    </w:pPr>
    <w:rPr>
      <w:rFonts w:eastAsia="Times New Roman"/>
      <w:szCs w:val="24"/>
      <w:lang w:val="en-IE" w:eastAsia="en-IE"/>
    </w:rPr>
  </w:style>
  <w:style w:type="character" w:customStyle="1" w:styleId="normaltextrun">
    <w:name w:val="normaltextrun"/>
    <w:basedOn w:val="DefaultParagraphFont"/>
    <w:rsid w:val="00636E58"/>
  </w:style>
  <w:style w:type="character" w:customStyle="1" w:styleId="eop">
    <w:name w:val="eop"/>
    <w:basedOn w:val="DefaultParagraphFont"/>
    <w:rsid w:val="00636E58"/>
  </w:style>
  <w:style w:type="character" w:styleId="Emphasis">
    <w:name w:val="Emphasis"/>
    <w:basedOn w:val="DefaultParagraphFont"/>
    <w:uiPriority w:val="20"/>
    <w:qFormat/>
    <w:rsid w:val="00727E54"/>
    <w:rPr>
      <w:i/>
      <w:iCs/>
    </w:rPr>
  </w:style>
  <w:style w:type="table" w:customStyle="1" w:styleId="TableGrid2">
    <w:name w:val="Table Grid2"/>
    <w:basedOn w:val="TableNormal"/>
    <w:next w:val="TableGrid"/>
    <w:uiPriority w:val="59"/>
    <w:rsid w:val="00B0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rsid w:val="005C7A9C"/>
    <w:rPr>
      <w:color w:val="605E5C"/>
      <w:shd w:val="clear" w:color="auto" w:fill="E1DFDD"/>
    </w:rPr>
  </w:style>
  <w:style w:type="paragraph" w:customStyle="1" w:styleId="FooterCoverPage">
    <w:name w:val="Footer Cover Page"/>
    <w:basedOn w:val="Normal"/>
    <w:link w:val="FooterCoverPageChar"/>
    <w:rsid w:val="00950C34"/>
    <w:pPr>
      <w:tabs>
        <w:tab w:val="center" w:pos="4535"/>
        <w:tab w:val="right" w:pos="9071"/>
        <w:tab w:val="right" w:pos="9921"/>
      </w:tabs>
      <w:spacing w:before="360" w:after="0"/>
      <w:ind w:left="-850" w:right="-850"/>
      <w:jc w:val="left"/>
    </w:pPr>
    <w:rPr>
      <w:lang w:val="fr-BE"/>
    </w:rPr>
  </w:style>
  <w:style w:type="character" w:customStyle="1" w:styleId="FooterCoverPageChar">
    <w:name w:val="Footer Cover Page Char"/>
    <w:basedOn w:val="DefaultParagraphFont"/>
    <w:link w:val="FooterCoverPage"/>
    <w:rsid w:val="00950C34"/>
    <w:rPr>
      <w:rFonts w:ascii="Times New Roman" w:hAnsi="Times New Roman" w:cs="Times New Roman"/>
      <w:sz w:val="24"/>
      <w:lang w:val="fr-BE"/>
    </w:rPr>
  </w:style>
  <w:style w:type="character" w:customStyle="1" w:styleId="FooterSensitivityChar">
    <w:name w:val="Footer Sensitivity Char"/>
    <w:basedOn w:val="DefaultParagraphFont"/>
    <w:rsid w:val="00950C34"/>
    <w:rPr>
      <w:rFonts w:ascii="Times New Roman" w:hAnsi="Times New Roman" w:cs="Times New Roman"/>
      <w:b/>
      <w:sz w:val="32"/>
      <w:lang w:val="en-GB"/>
    </w:rPr>
  </w:style>
  <w:style w:type="paragraph" w:customStyle="1" w:styleId="HeaderCoverPage">
    <w:name w:val="Header Cover Page"/>
    <w:basedOn w:val="Normal"/>
    <w:link w:val="HeaderCoverPageChar"/>
    <w:rsid w:val="00950C34"/>
    <w:pPr>
      <w:tabs>
        <w:tab w:val="center" w:pos="4535"/>
        <w:tab w:val="right" w:pos="9071"/>
      </w:tabs>
      <w:spacing w:before="0"/>
    </w:pPr>
    <w:rPr>
      <w:lang w:val="fr-BE"/>
    </w:rPr>
  </w:style>
  <w:style w:type="character" w:customStyle="1" w:styleId="HeaderCoverPageChar">
    <w:name w:val="Header Cover Page Char"/>
    <w:basedOn w:val="DefaultParagraphFont"/>
    <w:link w:val="HeaderCoverPage"/>
    <w:rsid w:val="00950C34"/>
    <w:rPr>
      <w:rFonts w:ascii="Times New Roman" w:hAnsi="Times New Roman" w:cs="Times New Roman"/>
      <w:sz w:val="24"/>
      <w:lang w:val="fr-BE"/>
    </w:rPr>
  </w:style>
  <w:style w:type="character" w:customStyle="1" w:styleId="HeaderSensitivityChar">
    <w:name w:val="Header Sensitivity Char"/>
    <w:basedOn w:val="DefaultParagraphFont"/>
    <w:rsid w:val="00950C34"/>
    <w:rPr>
      <w:rFonts w:ascii="Times New Roman" w:hAnsi="Times New Roman" w:cs="Times New Roman"/>
      <w:b/>
      <w:sz w:val="32"/>
      <w:lang w:val="en-GB"/>
    </w:rPr>
  </w:style>
  <w:style w:type="character" w:customStyle="1" w:styleId="HeaderSensitivityRightChar">
    <w:name w:val="Header Sensitivity Right Char"/>
    <w:basedOn w:val="DefaultParagraphFont"/>
    <w:rsid w:val="00950C34"/>
    <w:rPr>
      <w:rFonts w:ascii="Times New Roman" w:hAnsi="Times New Roman" w:cs="Times New Roman"/>
      <w:sz w:val="28"/>
      <w:lang w:val="en-GB"/>
    </w:rPr>
  </w:style>
  <w:style w:type="paragraph" w:styleId="ListNumber">
    <w:name w:val="List Number"/>
    <w:basedOn w:val="Normal"/>
    <w:rsid w:val="00950C34"/>
    <w:pPr>
      <w:numPr>
        <w:numId w:val="14"/>
      </w:numPr>
    </w:pPr>
    <w:rPr>
      <w:lang w:eastAsia="en-GB"/>
    </w:rPr>
  </w:style>
  <w:style w:type="paragraph" w:customStyle="1" w:styleId="ListBullet1">
    <w:name w:val="List Bullet 1"/>
    <w:basedOn w:val="Normal"/>
    <w:rsid w:val="00950C34"/>
    <w:pPr>
      <w:numPr>
        <w:numId w:val="10"/>
      </w:numPr>
    </w:pPr>
    <w:rPr>
      <w:lang w:eastAsia="en-GB"/>
    </w:rPr>
  </w:style>
  <w:style w:type="paragraph" w:customStyle="1" w:styleId="ListDash">
    <w:name w:val="List Dash"/>
    <w:basedOn w:val="Normal"/>
    <w:rsid w:val="00950C34"/>
    <w:pPr>
      <w:numPr>
        <w:numId w:val="11"/>
      </w:numPr>
    </w:pPr>
    <w:rPr>
      <w:lang w:eastAsia="en-GB"/>
    </w:rPr>
  </w:style>
  <w:style w:type="paragraph" w:customStyle="1" w:styleId="ListDash1">
    <w:name w:val="List Dash 1"/>
    <w:basedOn w:val="Normal"/>
    <w:rsid w:val="00950C34"/>
    <w:pPr>
      <w:numPr>
        <w:numId w:val="12"/>
      </w:numPr>
    </w:pPr>
    <w:rPr>
      <w:lang w:eastAsia="en-GB"/>
    </w:rPr>
  </w:style>
  <w:style w:type="paragraph" w:customStyle="1" w:styleId="ListDash2">
    <w:name w:val="List Dash 2"/>
    <w:basedOn w:val="Normal"/>
    <w:rsid w:val="00950C34"/>
    <w:pPr>
      <w:numPr>
        <w:numId w:val="13"/>
      </w:numPr>
    </w:pPr>
    <w:rPr>
      <w:lang w:eastAsia="en-GB"/>
    </w:rPr>
  </w:style>
  <w:style w:type="paragraph" w:customStyle="1" w:styleId="ListNumberLevel2">
    <w:name w:val="List Number (Level 2)"/>
    <w:basedOn w:val="Normal"/>
    <w:rsid w:val="00950C34"/>
    <w:pPr>
      <w:numPr>
        <w:ilvl w:val="1"/>
        <w:numId w:val="14"/>
      </w:numPr>
    </w:pPr>
    <w:rPr>
      <w:lang w:eastAsia="en-GB"/>
    </w:rPr>
  </w:style>
  <w:style w:type="paragraph" w:customStyle="1" w:styleId="ListNumberLevel3">
    <w:name w:val="List Number (Level 3)"/>
    <w:basedOn w:val="Normal"/>
    <w:rsid w:val="00950C34"/>
    <w:pPr>
      <w:numPr>
        <w:ilvl w:val="2"/>
        <w:numId w:val="14"/>
      </w:numPr>
    </w:pPr>
    <w:rPr>
      <w:lang w:eastAsia="en-GB"/>
    </w:rPr>
  </w:style>
  <w:style w:type="paragraph" w:customStyle="1" w:styleId="ListNumberLevel4">
    <w:name w:val="List Number (Level 4)"/>
    <w:basedOn w:val="Normal"/>
    <w:rsid w:val="00950C34"/>
    <w:pPr>
      <w:numPr>
        <w:ilvl w:val="3"/>
        <w:numId w:val="14"/>
      </w:numPr>
    </w:pPr>
    <w:rPr>
      <w:lang w:eastAsia="en-GB"/>
    </w:rPr>
  </w:style>
  <w:style w:type="paragraph" w:styleId="Caption">
    <w:name w:val="caption"/>
    <w:basedOn w:val="Normal"/>
    <w:next w:val="Normal"/>
    <w:qFormat/>
    <w:rsid w:val="00950C34"/>
    <w:rPr>
      <w:b/>
      <w:bCs/>
      <w:sz w:val="20"/>
      <w:lang w:eastAsia="en-GB"/>
    </w:rPr>
  </w:style>
  <w:style w:type="paragraph" w:styleId="TableofFigures">
    <w:name w:val="table of figures"/>
    <w:basedOn w:val="Normal"/>
    <w:next w:val="Normal"/>
    <w:rsid w:val="00950C34"/>
    <w:rPr>
      <w:lang w:eastAsia="en-GB"/>
    </w:rPr>
  </w:style>
  <w:style w:type="paragraph" w:styleId="ListNumber2">
    <w:name w:val="List Number 2"/>
    <w:basedOn w:val="Normal"/>
    <w:rsid w:val="00950C34"/>
    <w:pPr>
      <w:numPr>
        <w:numId w:val="15"/>
      </w:numPr>
      <w:contextualSpacing/>
    </w:pPr>
    <w:rPr>
      <w:lang w:eastAsia="en-GB"/>
    </w:rPr>
  </w:style>
  <w:style w:type="paragraph" w:styleId="ListNumber3">
    <w:name w:val="List Number 3"/>
    <w:basedOn w:val="Normal"/>
    <w:rsid w:val="00950C34"/>
    <w:pPr>
      <w:numPr>
        <w:numId w:val="16"/>
      </w:numPr>
      <w:contextualSpacing/>
    </w:pPr>
    <w:rPr>
      <w:lang w:eastAsia="en-GB"/>
    </w:rPr>
  </w:style>
  <w:style w:type="paragraph" w:styleId="ListNumber4">
    <w:name w:val="List Number 4"/>
    <w:basedOn w:val="Normal"/>
    <w:rsid w:val="00950C34"/>
    <w:pPr>
      <w:numPr>
        <w:numId w:val="17"/>
      </w:numPr>
      <w:contextualSpacing/>
    </w:pPr>
    <w:rPr>
      <w:lang w:eastAsia="en-GB"/>
    </w:rPr>
  </w:style>
  <w:style w:type="paragraph" w:customStyle="1" w:styleId="Sous-titreobjet">
    <w:name w:val="Sous-titre objet"/>
    <w:basedOn w:val="Normal"/>
    <w:rsid w:val="00950C34"/>
    <w:pPr>
      <w:spacing w:before="0" w:after="0"/>
      <w:jc w:val="center"/>
    </w:pPr>
    <w:rPr>
      <w:b/>
      <w:lang w:eastAsia="en-GB"/>
    </w:rPr>
  </w:style>
  <w:style w:type="paragraph" w:customStyle="1" w:styleId="Sous-titreobjetPagedecouverture">
    <w:name w:val="Sous-titre objet (Page de couverture)"/>
    <w:basedOn w:val="Sous-titreobjet"/>
    <w:rsid w:val="00950C34"/>
  </w:style>
  <w:style w:type="character" w:customStyle="1" w:styleId="TOCHeadingChar">
    <w:name w:val="TOC Heading Char"/>
    <w:basedOn w:val="DefaultParagraphFont"/>
    <w:uiPriority w:val="39"/>
    <w:rsid w:val="00950C34"/>
    <w:rPr>
      <w:rFonts w:ascii="Times New Roman" w:hAnsi="Times New Roman" w:cs="Times New Roman"/>
      <w:b/>
      <w:sz w:val="28"/>
      <w:lang w:val="en-GB"/>
    </w:rPr>
  </w:style>
  <w:style w:type="character" w:customStyle="1" w:styleId="Mention2">
    <w:name w:val="Mention2"/>
    <w:basedOn w:val="DefaultParagraphFont"/>
    <w:uiPriority w:val="99"/>
    <w:unhideWhenUsed/>
    <w:rsid w:val="00950C34"/>
    <w:rPr>
      <w:color w:val="2B579A"/>
      <w:shd w:val="clear" w:color="auto" w:fill="E1DFDD"/>
    </w:rPr>
  </w:style>
  <w:style w:type="character" w:styleId="UnresolvedMention">
    <w:name w:val="Unresolved Mention"/>
    <w:basedOn w:val="DefaultParagraphFont"/>
    <w:uiPriority w:val="99"/>
    <w:semiHidden/>
    <w:unhideWhenUsed/>
    <w:rsid w:val="008F35F3"/>
    <w:rPr>
      <w:color w:val="605E5C"/>
      <w:shd w:val="clear" w:color="auto" w:fill="E1DFDD"/>
    </w:rPr>
  </w:style>
  <w:style w:type="paragraph" w:styleId="Header">
    <w:name w:val="header"/>
    <w:basedOn w:val="Normal"/>
    <w:link w:val="HeaderChar"/>
    <w:uiPriority w:val="99"/>
    <w:semiHidden/>
    <w:unhideWhenUsed/>
    <w:pPr>
      <w:tabs>
        <w:tab w:val="center" w:pos="4535"/>
        <w:tab w:val="right" w:pos="9071"/>
      </w:tabs>
      <w:spacing w:before="0"/>
    </w:pPr>
  </w:style>
  <w:style w:type="character" w:customStyle="1" w:styleId="HeaderChar">
    <w:name w:val="Header Char"/>
    <w:basedOn w:val="DefaultParagraphFont"/>
    <w:link w:val="Header"/>
    <w:uiPriority w:val="99"/>
    <w:semiHidden/>
    <w:rPr>
      <w:rFonts w:ascii="Times New Roman" w:hAnsi="Times New Roman" w:cs="Times New Roman"/>
      <w:sz w:val="24"/>
      <w:shd w:val="clear" w:color="auto" w:fill="auto"/>
      <w:lang w:val="en-GB"/>
    </w:rPr>
  </w:style>
  <w:style w:type="paragraph" w:styleId="Footer">
    <w:name w:val="footer"/>
    <w:basedOn w:val="Normal"/>
    <w:link w:val="FooterChar"/>
    <w:uiPriority w:val="99"/>
    <w:semiHidden/>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semiHidden/>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link w:val="FootnotesymbolCarZchn"/>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8"/>
      </w:numPr>
    </w:pPr>
  </w:style>
  <w:style w:type="paragraph" w:customStyle="1" w:styleId="Tiret1">
    <w:name w:val="Tiret 1"/>
    <w:basedOn w:val="Point1"/>
    <w:pPr>
      <w:numPr>
        <w:numId w:val="19"/>
      </w:numPr>
    </w:pPr>
  </w:style>
  <w:style w:type="paragraph" w:customStyle="1" w:styleId="Tiret2">
    <w:name w:val="Tiret 2"/>
    <w:basedOn w:val="Point2"/>
    <w:pPr>
      <w:numPr>
        <w:numId w:val="20"/>
      </w:numPr>
    </w:pPr>
  </w:style>
  <w:style w:type="paragraph" w:customStyle="1" w:styleId="Tiret3">
    <w:name w:val="Tiret 3"/>
    <w:basedOn w:val="Point3"/>
    <w:pPr>
      <w:numPr>
        <w:numId w:val="21"/>
      </w:numPr>
    </w:pPr>
  </w:style>
  <w:style w:type="paragraph" w:customStyle="1" w:styleId="Tiret4">
    <w:name w:val="Tiret 4"/>
    <w:basedOn w:val="Point4"/>
    <w:pPr>
      <w:numPr>
        <w:numId w:val="22"/>
      </w:numPr>
    </w:pPr>
  </w:style>
  <w:style w:type="paragraph" w:customStyle="1" w:styleId="Tiret5">
    <w:name w:val="Tiret 5"/>
    <w:basedOn w:val="Point5"/>
    <w:pPr>
      <w:numPr>
        <w:numId w:val="2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4"/>
      </w:numPr>
    </w:pPr>
  </w:style>
  <w:style w:type="paragraph" w:customStyle="1" w:styleId="NumPar2">
    <w:name w:val="NumPar 2"/>
    <w:basedOn w:val="Normal"/>
    <w:next w:val="Text1"/>
    <w:pPr>
      <w:numPr>
        <w:ilvl w:val="1"/>
        <w:numId w:val="24"/>
      </w:numPr>
    </w:pPr>
  </w:style>
  <w:style w:type="paragraph" w:customStyle="1" w:styleId="NumPar3">
    <w:name w:val="NumPar 3"/>
    <w:basedOn w:val="Normal"/>
    <w:next w:val="Text1"/>
    <w:pPr>
      <w:numPr>
        <w:ilvl w:val="2"/>
        <w:numId w:val="24"/>
      </w:numPr>
    </w:pPr>
  </w:style>
  <w:style w:type="paragraph" w:customStyle="1" w:styleId="NumPar4">
    <w:name w:val="NumPar 4"/>
    <w:basedOn w:val="Normal"/>
    <w:next w:val="Text1"/>
    <w:pPr>
      <w:numPr>
        <w:ilvl w:val="3"/>
        <w:numId w:val="24"/>
      </w:numPr>
    </w:pPr>
  </w:style>
  <w:style w:type="paragraph" w:customStyle="1" w:styleId="NumPar5">
    <w:name w:val="NumPar 5"/>
    <w:basedOn w:val="Normal"/>
    <w:next w:val="Text2"/>
    <w:pPr>
      <w:numPr>
        <w:ilvl w:val="4"/>
        <w:numId w:val="24"/>
      </w:numPr>
    </w:pPr>
  </w:style>
  <w:style w:type="paragraph" w:customStyle="1" w:styleId="NumPar6">
    <w:name w:val="NumPar 6"/>
    <w:basedOn w:val="Normal"/>
    <w:next w:val="Text2"/>
    <w:pPr>
      <w:numPr>
        <w:ilvl w:val="5"/>
        <w:numId w:val="24"/>
      </w:numPr>
    </w:pPr>
  </w:style>
  <w:style w:type="paragraph" w:customStyle="1" w:styleId="NumPar7">
    <w:name w:val="NumPar 7"/>
    <w:basedOn w:val="Normal"/>
    <w:next w:val="Text2"/>
    <w:pPr>
      <w:numPr>
        <w:ilvl w:val="6"/>
        <w:numId w:val="2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6"/>
      </w:numPr>
    </w:pPr>
  </w:style>
  <w:style w:type="paragraph" w:customStyle="1" w:styleId="Point1number">
    <w:name w:val="Point 1 (number)"/>
    <w:basedOn w:val="Normal"/>
    <w:pPr>
      <w:numPr>
        <w:ilvl w:val="2"/>
        <w:numId w:val="26"/>
      </w:numPr>
    </w:pPr>
  </w:style>
  <w:style w:type="paragraph" w:customStyle="1" w:styleId="Point2number">
    <w:name w:val="Point 2 (number)"/>
    <w:basedOn w:val="Normal"/>
    <w:pPr>
      <w:numPr>
        <w:ilvl w:val="4"/>
        <w:numId w:val="26"/>
      </w:numPr>
    </w:pPr>
  </w:style>
  <w:style w:type="paragraph" w:customStyle="1" w:styleId="Point3number">
    <w:name w:val="Point 3 (number)"/>
    <w:basedOn w:val="Normal"/>
    <w:pPr>
      <w:numPr>
        <w:ilvl w:val="6"/>
        <w:numId w:val="26"/>
      </w:numPr>
    </w:pPr>
  </w:style>
  <w:style w:type="paragraph" w:customStyle="1" w:styleId="Point0letter">
    <w:name w:val="Point 0 (letter)"/>
    <w:basedOn w:val="Normal"/>
    <w:pPr>
      <w:numPr>
        <w:ilvl w:val="1"/>
        <w:numId w:val="26"/>
      </w:numPr>
    </w:pPr>
  </w:style>
  <w:style w:type="paragraph" w:customStyle="1" w:styleId="Point1letter">
    <w:name w:val="Point 1 (letter)"/>
    <w:basedOn w:val="Normal"/>
    <w:pPr>
      <w:numPr>
        <w:ilvl w:val="3"/>
        <w:numId w:val="26"/>
      </w:numPr>
    </w:pPr>
  </w:style>
  <w:style w:type="paragraph" w:customStyle="1" w:styleId="Point2letter">
    <w:name w:val="Point 2 (letter)"/>
    <w:basedOn w:val="Normal"/>
    <w:pPr>
      <w:numPr>
        <w:ilvl w:val="5"/>
        <w:numId w:val="26"/>
      </w:numPr>
    </w:pPr>
  </w:style>
  <w:style w:type="paragraph" w:customStyle="1" w:styleId="Point3letter">
    <w:name w:val="Point 3 (letter)"/>
    <w:basedOn w:val="Normal"/>
    <w:pPr>
      <w:numPr>
        <w:ilvl w:val="7"/>
        <w:numId w:val="26"/>
      </w:numPr>
    </w:pPr>
  </w:style>
  <w:style w:type="paragraph" w:customStyle="1" w:styleId="Point4letter">
    <w:name w:val="Point 4 (letter)"/>
    <w:basedOn w:val="Normal"/>
    <w:pPr>
      <w:numPr>
        <w:ilvl w:val="8"/>
        <w:numId w:val="26"/>
      </w:numPr>
    </w:pPr>
  </w:style>
  <w:style w:type="paragraph" w:customStyle="1" w:styleId="Bullet0">
    <w:name w:val="Bullet 0"/>
    <w:basedOn w:val="Normal"/>
    <w:pPr>
      <w:numPr>
        <w:numId w:val="27"/>
      </w:numPr>
    </w:pPr>
  </w:style>
  <w:style w:type="paragraph" w:customStyle="1" w:styleId="Bullet1">
    <w:name w:val="Bullet 1"/>
    <w:basedOn w:val="Normal"/>
    <w:pPr>
      <w:numPr>
        <w:numId w:val="28"/>
      </w:numPr>
    </w:pPr>
  </w:style>
  <w:style w:type="paragraph" w:customStyle="1" w:styleId="Bullet2">
    <w:name w:val="Bullet 2"/>
    <w:basedOn w:val="Normal"/>
    <w:pPr>
      <w:numPr>
        <w:numId w:val="29"/>
      </w:numPr>
    </w:pPr>
  </w:style>
  <w:style w:type="paragraph" w:customStyle="1" w:styleId="Bullet3">
    <w:name w:val="Bullet 3"/>
    <w:basedOn w:val="Normal"/>
    <w:pPr>
      <w:numPr>
        <w:numId w:val="30"/>
      </w:numPr>
    </w:pPr>
  </w:style>
  <w:style w:type="paragraph" w:customStyle="1" w:styleId="Bullet4">
    <w:name w:val="Bullet 4"/>
    <w:basedOn w:val="Normal"/>
    <w:pPr>
      <w:numPr>
        <w:numId w:val="3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36356">
      <w:bodyDiv w:val="1"/>
      <w:marLeft w:val="0"/>
      <w:marRight w:val="0"/>
      <w:marTop w:val="0"/>
      <w:marBottom w:val="0"/>
      <w:divBdr>
        <w:top w:val="none" w:sz="0" w:space="0" w:color="auto"/>
        <w:left w:val="none" w:sz="0" w:space="0" w:color="auto"/>
        <w:bottom w:val="none" w:sz="0" w:space="0" w:color="auto"/>
        <w:right w:val="none" w:sz="0" w:space="0" w:color="auto"/>
      </w:divBdr>
    </w:div>
    <w:div w:id="156195174">
      <w:bodyDiv w:val="1"/>
      <w:marLeft w:val="0"/>
      <w:marRight w:val="0"/>
      <w:marTop w:val="0"/>
      <w:marBottom w:val="0"/>
      <w:divBdr>
        <w:top w:val="none" w:sz="0" w:space="0" w:color="auto"/>
        <w:left w:val="none" w:sz="0" w:space="0" w:color="auto"/>
        <w:bottom w:val="none" w:sz="0" w:space="0" w:color="auto"/>
        <w:right w:val="none" w:sz="0" w:space="0" w:color="auto"/>
      </w:divBdr>
    </w:div>
    <w:div w:id="381447192">
      <w:bodyDiv w:val="1"/>
      <w:marLeft w:val="0"/>
      <w:marRight w:val="0"/>
      <w:marTop w:val="0"/>
      <w:marBottom w:val="0"/>
      <w:divBdr>
        <w:top w:val="none" w:sz="0" w:space="0" w:color="auto"/>
        <w:left w:val="none" w:sz="0" w:space="0" w:color="auto"/>
        <w:bottom w:val="none" w:sz="0" w:space="0" w:color="auto"/>
        <w:right w:val="none" w:sz="0" w:space="0" w:color="auto"/>
      </w:divBdr>
    </w:div>
    <w:div w:id="401097632">
      <w:bodyDiv w:val="1"/>
      <w:marLeft w:val="0"/>
      <w:marRight w:val="0"/>
      <w:marTop w:val="0"/>
      <w:marBottom w:val="0"/>
      <w:divBdr>
        <w:top w:val="none" w:sz="0" w:space="0" w:color="auto"/>
        <w:left w:val="none" w:sz="0" w:space="0" w:color="auto"/>
        <w:bottom w:val="none" w:sz="0" w:space="0" w:color="auto"/>
        <w:right w:val="none" w:sz="0" w:space="0" w:color="auto"/>
      </w:divBdr>
    </w:div>
    <w:div w:id="455829528">
      <w:bodyDiv w:val="1"/>
      <w:marLeft w:val="0"/>
      <w:marRight w:val="0"/>
      <w:marTop w:val="0"/>
      <w:marBottom w:val="0"/>
      <w:divBdr>
        <w:top w:val="none" w:sz="0" w:space="0" w:color="auto"/>
        <w:left w:val="none" w:sz="0" w:space="0" w:color="auto"/>
        <w:bottom w:val="none" w:sz="0" w:space="0" w:color="auto"/>
        <w:right w:val="none" w:sz="0" w:space="0" w:color="auto"/>
      </w:divBdr>
    </w:div>
    <w:div w:id="457459747">
      <w:bodyDiv w:val="1"/>
      <w:marLeft w:val="0"/>
      <w:marRight w:val="0"/>
      <w:marTop w:val="0"/>
      <w:marBottom w:val="0"/>
      <w:divBdr>
        <w:top w:val="none" w:sz="0" w:space="0" w:color="auto"/>
        <w:left w:val="none" w:sz="0" w:space="0" w:color="auto"/>
        <w:bottom w:val="none" w:sz="0" w:space="0" w:color="auto"/>
        <w:right w:val="none" w:sz="0" w:space="0" w:color="auto"/>
      </w:divBdr>
    </w:div>
    <w:div w:id="522399631">
      <w:bodyDiv w:val="1"/>
      <w:marLeft w:val="0"/>
      <w:marRight w:val="0"/>
      <w:marTop w:val="0"/>
      <w:marBottom w:val="0"/>
      <w:divBdr>
        <w:top w:val="none" w:sz="0" w:space="0" w:color="auto"/>
        <w:left w:val="none" w:sz="0" w:space="0" w:color="auto"/>
        <w:bottom w:val="none" w:sz="0" w:space="0" w:color="auto"/>
        <w:right w:val="none" w:sz="0" w:space="0" w:color="auto"/>
      </w:divBdr>
    </w:div>
    <w:div w:id="634993454">
      <w:bodyDiv w:val="1"/>
      <w:marLeft w:val="0"/>
      <w:marRight w:val="0"/>
      <w:marTop w:val="0"/>
      <w:marBottom w:val="0"/>
      <w:divBdr>
        <w:top w:val="none" w:sz="0" w:space="0" w:color="auto"/>
        <w:left w:val="none" w:sz="0" w:space="0" w:color="auto"/>
        <w:bottom w:val="none" w:sz="0" w:space="0" w:color="auto"/>
        <w:right w:val="none" w:sz="0" w:space="0" w:color="auto"/>
      </w:divBdr>
      <w:divsChild>
        <w:div w:id="1676609970">
          <w:marLeft w:val="0"/>
          <w:marRight w:val="0"/>
          <w:marTop w:val="0"/>
          <w:marBottom w:val="0"/>
          <w:divBdr>
            <w:top w:val="none" w:sz="0" w:space="0" w:color="auto"/>
            <w:left w:val="none" w:sz="0" w:space="0" w:color="auto"/>
            <w:bottom w:val="none" w:sz="0" w:space="0" w:color="auto"/>
            <w:right w:val="none" w:sz="0" w:space="0" w:color="auto"/>
          </w:divBdr>
        </w:div>
        <w:div w:id="1870097907">
          <w:marLeft w:val="0"/>
          <w:marRight w:val="0"/>
          <w:marTop w:val="0"/>
          <w:marBottom w:val="0"/>
          <w:divBdr>
            <w:top w:val="none" w:sz="0" w:space="0" w:color="auto"/>
            <w:left w:val="none" w:sz="0" w:space="0" w:color="auto"/>
            <w:bottom w:val="none" w:sz="0" w:space="0" w:color="auto"/>
            <w:right w:val="none" w:sz="0" w:space="0" w:color="auto"/>
          </w:divBdr>
        </w:div>
      </w:divsChild>
    </w:div>
    <w:div w:id="851336954">
      <w:bodyDiv w:val="1"/>
      <w:marLeft w:val="0"/>
      <w:marRight w:val="0"/>
      <w:marTop w:val="0"/>
      <w:marBottom w:val="0"/>
      <w:divBdr>
        <w:top w:val="none" w:sz="0" w:space="0" w:color="auto"/>
        <w:left w:val="none" w:sz="0" w:space="0" w:color="auto"/>
        <w:bottom w:val="none" w:sz="0" w:space="0" w:color="auto"/>
        <w:right w:val="none" w:sz="0" w:space="0" w:color="auto"/>
      </w:divBdr>
    </w:div>
    <w:div w:id="865555442">
      <w:bodyDiv w:val="1"/>
      <w:marLeft w:val="0"/>
      <w:marRight w:val="0"/>
      <w:marTop w:val="0"/>
      <w:marBottom w:val="0"/>
      <w:divBdr>
        <w:top w:val="none" w:sz="0" w:space="0" w:color="auto"/>
        <w:left w:val="none" w:sz="0" w:space="0" w:color="auto"/>
        <w:bottom w:val="none" w:sz="0" w:space="0" w:color="auto"/>
        <w:right w:val="none" w:sz="0" w:space="0" w:color="auto"/>
      </w:divBdr>
    </w:div>
    <w:div w:id="999773591">
      <w:bodyDiv w:val="1"/>
      <w:marLeft w:val="0"/>
      <w:marRight w:val="0"/>
      <w:marTop w:val="0"/>
      <w:marBottom w:val="0"/>
      <w:divBdr>
        <w:top w:val="none" w:sz="0" w:space="0" w:color="auto"/>
        <w:left w:val="none" w:sz="0" w:space="0" w:color="auto"/>
        <w:bottom w:val="none" w:sz="0" w:space="0" w:color="auto"/>
        <w:right w:val="none" w:sz="0" w:space="0" w:color="auto"/>
      </w:divBdr>
      <w:divsChild>
        <w:div w:id="17581677">
          <w:marLeft w:val="0"/>
          <w:marRight w:val="0"/>
          <w:marTop w:val="0"/>
          <w:marBottom w:val="0"/>
          <w:divBdr>
            <w:top w:val="none" w:sz="0" w:space="0" w:color="auto"/>
            <w:left w:val="none" w:sz="0" w:space="0" w:color="auto"/>
            <w:bottom w:val="none" w:sz="0" w:space="0" w:color="auto"/>
            <w:right w:val="none" w:sz="0" w:space="0" w:color="auto"/>
          </w:divBdr>
          <w:divsChild>
            <w:div w:id="477647281">
              <w:marLeft w:val="0"/>
              <w:marRight w:val="0"/>
              <w:marTop w:val="0"/>
              <w:marBottom w:val="0"/>
              <w:divBdr>
                <w:top w:val="none" w:sz="0" w:space="0" w:color="auto"/>
                <w:left w:val="none" w:sz="0" w:space="0" w:color="auto"/>
                <w:bottom w:val="none" w:sz="0" w:space="0" w:color="auto"/>
                <w:right w:val="none" w:sz="0" w:space="0" w:color="auto"/>
              </w:divBdr>
            </w:div>
            <w:div w:id="852912319">
              <w:marLeft w:val="0"/>
              <w:marRight w:val="0"/>
              <w:marTop w:val="120"/>
              <w:marBottom w:val="0"/>
              <w:divBdr>
                <w:top w:val="none" w:sz="0" w:space="0" w:color="auto"/>
                <w:left w:val="none" w:sz="0" w:space="0" w:color="auto"/>
                <w:bottom w:val="none" w:sz="0" w:space="0" w:color="auto"/>
                <w:right w:val="none" w:sz="0" w:space="0" w:color="auto"/>
              </w:divBdr>
            </w:div>
          </w:divsChild>
        </w:div>
        <w:div w:id="908854344">
          <w:marLeft w:val="0"/>
          <w:marRight w:val="0"/>
          <w:marTop w:val="0"/>
          <w:marBottom w:val="0"/>
          <w:divBdr>
            <w:top w:val="none" w:sz="0" w:space="0" w:color="auto"/>
            <w:left w:val="none" w:sz="0" w:space="0" w:color="auto"/>
            <w:bottom w:val="none" w:sz="0" w:space="0" w:color="auto"/>
            <w:right w:val="none" w:sz="0" w:space="0" w:color="auto"/>
          </w:divBdr>
          <w:divsChild>
            <w:div w:id="1270239207">
              <w:marLeft w:val="0"/>
              <w:marRight w:val="0"/>
              <w:marTop w:val="120"/>
              <w:marBottom w:val="0"/>
              <w:divBdr>
                <w:top w:val="none" w:sz="0" w:space="0" w:color="auto"/>
                <w:left w:val="none" w:sz="0" w:space="0" w:color="auto"/>
                <w:bottom w:val="none" w:sz="0" w:space="0" w:color="auto"/>
                <w:right w:val="none" w:sz="0" w:space="0" w:color="auto"/>
              </w:divBdr>
            </w:div>
            <w:div w:id="1727604026">
              <w:marLeft w:val="0"/>
              <w:marRight w:val="0"/>
              <w:marTop w:val="0"/>
              <w:marBottom w:val="0"/>
              <w:divBdr>
                <w:top w:val="none" w:sz="0" w:space="0" w:color="auto"/>
                <w:left w:val="none" w:sz="0" w:space="0" w:color="auto"/>
                <w:bottom w:val="none" w:sz="0" w:space="0" w:color="auto"/>
                <w:right w:val="none" w:sz="0" w:space="0" w:color="auto"/>
              </w:divBdr>
            </w:div>
          </w:divsChild>
        </w:div>
        <w:div w:id="951327527">
          <w:marLeft w:val="0"/>
          <w:marRight w:val="0"/>
          <w:marTop w:val="0"/>
          <w:marBottom w:val="0"/>
          <w:divBdr>
            <w:top w:val="none" w:sz="0" w:space="0" w:color="auto"/>
            <w:left w:val="none" w:sz="0" w:space="0" w:color="auto"/>
            <w:bottom w:val="none" w:sz="0" w:space="0" w:color="auto"/>
            <w:right w:val="none" w:sz="0" w:space="0" w:color="auto"/>
          </w:divBdr>
          <w:divsChild>
            <w:div w:id="1434864538">
              <w:marLeft w:val="0"/>
              <w:marRight w:val="0"/>
              <w:marTop w:val="120"/>
              <w:marBottom w:val="0"/>
              <w:divBdr>
                <w:top w:val="none" w:sz="0" w:space="0" w:color="auto"/>
                <w:left w:val="none" w:sz="0" w:space="0" w:color="auto"/>
                <w:bottom w:val="none" w:sz="0" w:space="0" w:color="auto"/>
                <w:right w:val="none" w:sz="0" w:space="0" w:color="auto"/>
              </w:divBdr>
            </w:div>
            <w:div w:id="1963805439">
              <w:marLeft w:val="0"/>
              <w:marRight w:val="0"/>
              <w:marTop w:val="0"/>
              <w:marBottom w:val="0"/>
              <w:divBdr>
                <w:top w:val="none" w:sz="0" w:space="0" w:color="auto"/>
                <w:left w:val="none" w:sz="0" w:space="0" w:color="auto"/>
                <w:bottom w:val="none" w:sz="0" w:space="0" w:color="auto"/>
                <w:right w:val="none" w:sz="0" w:space="0" w:color="auto"/>
              </w:divBdr>
            </w:div>
          </w:divsChild>
        </w:div>
        <w:div w:id="1786922257">
          <w:marLeft w:val="0"/>
          <w:marRight w:val="0"/>
          <w:marTop w:val="0"/>
          <w:marBottom w:val="0"/>
          <w:divBdr>
            <w:top w:val="none" w:sz="0" w:space="0" w:color="auto"/>
            <w:left w:val="none" w:sz="0" w:space="0" w:color="auto"/>
            <w:bottom w:val="none" w:sz="0" w:space="0" w:color="auto"/>
            <w:right w:val="none" w:sz="0" w:space="0" w:color="auto"/>
          </w:divBdr>
          <w:divsChild>
            <w:div w:id="416633251">
              <w:marLeft w:val="0"/>
              <w:marRight w:val="0"/>
              <w:marTop w:val="120"/>
              <w:marBottom w:val="0"/>
              <w:divBdr>
                <w:top w:val="none" w:sz="0" w:space="0" w:color="auto"/>
                <w:left w:val="none" w:sz="0" w:space="0" w:color="auto"/>
                <w:bottom w:val="none" w:sz="0" w:space="0" w:color="auto"/>
                <w:right w:val="none" w:sz="0" w:space="0" w:color="auto"/>
              </w:divBdr>
            </w:div>
            <w:div w:id="2019042906">
              <w:marLeft w:val="0"/>
              <w:marRight w:val="0"/>
              <w:marTop w:val="0"/>
              <w:marBottom w:val="0"/>
              <w:divBdr>
                <w:top w:val="none" w:sz="0" w:space="0" w:color="auto"/>
                <w:left w:val="none" w:sz="0" w:space="0" w:color="auto"/>
                <w:bottom w:val="none" w:sz="0" w:space="0" w:color="auto"/>
                <w:right w:val="none" w:sz="0" w:space="0" w:color="auto"/>
              </w:divBdr>
            </w:div>
          </w:divsChild>
        </w:div>
        <w:div w:id="2055275215">
          <w:marLeft w:val="0"/>
          <w:marRight w:val="0"/>
          <w:marTop w:val="0"/>
          <w:marBottom w:val="0"/>
          <w:divBdr>
            <w:top w:val="none" w:sz="0" w:space="0" w:color="auto"/>
            <w:left w:val="none" w:sz="0" w:space="0" w:color="auto"/>
            <w:bottom w:val="none" w:sz="0" w:space="0" w:color="auto"/>
            <w:right w:val="none" w:sz="0" w:space="0" w:color="auto"/>
          </w:divBdr>
          <w:divsChild>
            <w:div w:id="634917232">
              <w:marLeft w:val="0"/>
              <w:marRight w:val="0"/>
              <w:marTop w:val="0"/>
              <w:marBottom w:val="0"/>
              <w:divBdr>
                <w:top w:val="none" w:sz="0" w:space="0" w:color="auto"/>
                <w:left w:val="none" w:sz="0" w:space="0" w:color="auto"/>
                <w:bottom w:val="none" w:sz="0" w:space="0" w:color="auto"/>
                <w:right w:val="none" w:sz="0" w:space="0" w:color="auto"/>
              </w:divBdr>
            </w:div>
            <w:div w:id="68190231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47749986">
      <w:bodyDiv w:val="1"/>
      <w:marLeft w:val="0"/>
      <w:marRight w:val="0"/>
      <w:marTop w:val="0"/>
      <w:marBottom w:val="0"/>
      <w:divBdr>
        <w:top w:val="none" w:sz="0" w:space="0" w:color="auto"/>
        <w:left w:val="none" w:sz="0" w:space="0" w:color="auto"/>
        <w:bottom w:val="none" w:sz="0" w:space="0" w:color="auto"/>
        <w:right w:val="none" w:sz="0" w:space="0" w:color="auto"/>
      </w:divBdr>
    </w:div>
    <w:div w:id="1371688657">
      <w:bodyDiv w:val="1"/>
      <w:marLeft w:val="0"/>
      <w:marRight w:val="0"/>
      <w:marTop w:val="0"/>
      <w:marBottom w:val="0"/>
      <w:divBdr>
        <w:top w:val="none" w:sz="0" w:space="0" w:color="auto"/>
        <w:left w:val="none" w:sz="0" w:space="0" w:color="auto"/>
        <w:bottom w:val="none" w:sz="0" w:space="0" w:color="auto"/>
        <w:right w:val="none" w:sz="0" w:space="0" w:color="auto"/>
      </w:divBdr>
    </w:div>
    <w:div w:id="1656489611">
      <w:bodyDiv w:val="1"/>
      <w:marLeft w:val="0"/>
      <w:marRight w:val="0"/>
      <w:marTop w:val="0"/>
      <w:marBottom w:val="0"/>
      <w:divBdr>
        <w:top w:val="none" w:sz="0" w:space="0" w:color="auto"/>
        <w:left w:val="none" w:sz="0" w:space="0" w:color="auto"/>
        <w:bottom w:val="none" w:sz="0" w:space="0" w:color="auto"/>
        <w:right w:val="none" w:sz="0" w:space="0" w:color="auto"/>
      </w:divBdr>
      <w:divsChild>
        <w:div w:id="128058695">
          <w:marLeft w:val="0"/>
          <w:marRight w:val="0"/>
          <w:marTop w:val="0"/>
          <w:marBottom w:val="0"/>
          <w:divBdr>
            <w:top w:val="none" w:sz="0" w:space="0" w:color="auto"/>
            <w:left w:val="none" w:sz="0" w:space="0" w:color="auto"/>
            <w:bottom w:val="none" w:sz="0" w:space="0" w:color="auto"/>
            <w:right w:val="none" w:sz="0" w:space="0" w:color="auto"/>
          </w:divBdr>
        </w:div>
        <w:div w:id="265888333">
          <w:marLeft w:val="0"/>
          <w:marRight w:val="0"/>
          <w:marTop w:val="0"/>
          <w:marBottom w:val="0"/>
          <w:divBdr>
            <w:top w:val="none" w:sz="0" w:space="0" w:color="auto"/>
            <w:left w:val="none" w:sz="0" w:space="0" w:color="auto"/>
            <w:bottom w:val="none" w:sz="0" w:space="0" w:color="auto"/>
            <w:right w:val="none" w:sz="0" w:space="0" w:color="auto"/>
          </w:divBdr>
        </w:div>
        <w:div w:id="450369898">
          <w:marLeft w:val="0"/>
          <w:marRight w:val="0"/>
          <w:marTop w:val="0"/>
          <w:marBottom w:val="0"/>
          <w:divBdr>
            <w:top w:val="none" w:sz="0" w:space="0" w:color="auto"/>
            <w:left w:val="none" w:sz="0" w:space="0" w:color="auto"/>
            <w:bottom w:val="none" w:sz="0" w:space="0" w:color="auto"/>
            <w:right w:val="none" w:sz="0" w:space="0" w:color="auto"/>
          </w:divBdr>
        </w:div>
        <w:div w:id="469834258">
          <w:marLeft w:val="0"/>
          <w:marRight w:val="0"/>
          <w:marTop w:val="0"/>
          <w:marBottom w:val="0"/>
          <w:divBdr>
            <w:top w:val="none" w:sz="0" w:space="0" w:color="auto"/>
            <w:left w:val="none" w:sz="0" w:space="0" w:color="auto"/>
            <w:bottom w:val="none" w:sz="0" w:space="0" w:color="auto"/>
            <w:right w:val="none" w:sz="0" w:space="0" w:color="auto"/>
          </w:divBdr>
        </w:div>
        <w:div w:id="598827894">
          <w:marLeft w:val="0"/>
          <w:marRight w:val="0"/>
          <w:marTop w:val="0"/>
          <w:marBottom w:val="0"/>
          <w:divBdr>
            <w:top w:val="none" w:sz="0" w:space="0" w:color="auto"/>
            <w:left w:val="none" w:sz="0" w:space="0" w:color="auto"/>
            <w:bottom w:val="none" w:sz="0" w:space="0" w:color="auto"/>
            <w:right w:val="none" w:sz="0" w:space="0" w:color="auto"/>
          </w:divBdr>
        </w:div>
        <w:div w:id="799691130">
          <w:marLeft w:val="0"/>
          <w:marRight w:val="0"/>
          <w:marTop w:val="0"/>
          <w:marBottom w:val="0"/>
          <w:divBdr>
            <w:top w:val="none" w:sz="0" w:space="0" w:color="auto"/>
            <w:left w:val="none" w:sz="0" w:space="0" w:color="auto"/>
            <w:bottom w:val="none" w:sz="0" w:space="0" w:color="auto"/>
            <w:right w:val="none" w:sz="0" w:space="0" w:color="auto"/>
          </w:divBdr>
          <w:divsChild>
            <w:div w:id="3172733">
              <w:marLeft w:val="0"/>
              <w:marRight w:val="0"/>
              <w:marTop w:val="0"/>
              <w:marBottom w:val="0"/>
              <w:divBdr>
                <w:top w:val="none" w:sz="0" w:space="0" w:color="auto"/>
                <w:left w:val="none" w:sz="0" w:space="0" w:color="auto"/>
                <w:bottom w:val="none" w:sz="0" w:space="0" w:color="auto"/>
                <w:right w:val="none" w:sz="0" w:space="0" w:color="auto"/>
              </w:divBdr>
            </w:div>
            <w:div w:id="88894269">
              <w:marLeft w:val="0"/>
              <w:marRight w:val="0"/>
              <w:marTop w:val="0"/>
              <w:marBottom w:val="0"/>
              <w:divBdr>
                <w:top w:val="none" w:sz="0" w:space="0" w:color="auto"/>
                <w:left w:val="none" w:sz="0" w:space="0" w:color="auto"/>
                <w:bottom w:val="none" w:sz="0" w:space="0" w:color="auto"/>
                <w:right w:val="none" w:sz="0" w:space="0" w:color="auto"/>
              </w:divBdr>
            </w:div>
            <w:div w:id="125586365">
              <w:marLeft w:val="0"/>
              <w:marRight w:val="0"/>
              <w:marTop w:val="0"/>
              <w:marBottom w:val="0"/>
              <w:divBdr>
                <w:top w:val="none" w:sz="0" w:space="0" w:color="auto"/>
                <w:left w:val="none" w:sz="0" w:space="0" w:color="auto"/>
                <w:bottom w:val="none" w:sz="0" w:space="0" w:color="auto"/>
                <w:right w:val="none" w:sz="0" w:space="0" w:color="auto"/>
              </w:divBdr>
            </w:div>
            <w:div w:id="345207470">
              <w:marLeft w:val="0"/>
              <w:marRight w:val="0"/>
              <w:marTop w:val="0"/>
              <w:marBottom w:val="0"/>
              <w:divBdr>
                <w:top w:val="none" w:sz="0" w:space="0" w:color="auto"/>
                <w:left w:val="none" w:sz="0" w:space="0" w:color="auto"/>
                <w:bottom w:val="none" w:sz="0" w:space="0" w:color="auto"/>
                <w:right w:val="none" w:sz="0" w:space="0" w:color="auto"/>
              </w:divBdr>
            </w:div>
            <w:div w:id="359284809">
              <w:marLeft w:val="0"/>
              <w:marRight w:val="0"/>
              <w:marTop w:val="0"/>
              <w:marBottom w:val="0"/>
              <w:divBdr>
                <w:top w:val="none" w:sz="0" w:space="0" w:color="auto"/>
                <w:left w:val="none" w:sz="0" w:space="0" w:color="auto"/>
                <w:bottom w:val="none" w:sz="0" w:space="0" w:color="auto"/>
                <w:right w:val="none" w:sz="0" w:space="0" w:color="auto"/>
              </w:divBdr>
            </w:div>
            <w:div w:id="450901864">
              <w:marLeft w:val="0"/>
              <w:marRight w:val="0"/>
              <w:marTop w:val="0"/>
              <w:marBottom w:val="0"/>
              <w:divBdr>
                <w:top w:val="none" w:sz="0" w:space="0" w:color="auto"/>
                <w:left w:val="none" w:sz="0" w:space="0" w:color="auto"/>
                <w:bottom w:val="none" w:sz="0" w:space="0" w:color="auto"/>
                <w:right w:val="none" w:sz="0" w:space="0" w:color="auto"/>
              </w:divBdr>
            </w:div>
            <w:div w:id="524828493">
              <w:marLeft w:val="0"/>
              <w:marRight w:val="0"/>
              <w:marTop w:val="0"/>
              <w:marBottom w:val="0"/>
              <w:divBdr>
                <w:top w:val="none" w:sz="0" w:space="0" w:color="auto"/>
                <w:left w:val="none" w:sz="0" w:space="0" w:color="auto"/>
                <w:bottom w:val="none" w:sz="0" w:space="0" w:color="auto"/>
                <w:right w:val="none" w:sz="0" w:space="0" w:color="auto"/>
              </w:divBdr>
            </w:div>
            <w:div w:id="693460405">
              <w:marLeft w:val="0"/>
              <w:marRight w:val="0"/>
              <w:marTop w:val="0"/>
              <w:marBottom w:val="0"/>
              <w:divBdr>
                <w:top w:val="none" w:sz="0" w:space="0" w:color="auto"/>
                <w:left w:val="none" w:sz="0" w:space="0" w:color="auto"/>
                <w:bottom w:val="none" w:sz="0" w:space="0" w:color="auto"/>
                <w:right w:val="none" w:sz="0" w:space="0" w:color="auto"/>
              </w:divBdr>
            </w:div>
            <w:div w:id="797604879">
              <w:marLeft w:val="0"/>
              <w:marRight w:val="0"/>
              <w:marTop w:val="0"/>
              <w:marBottom w:val="0"/>
              <w:divBdr>
                <w:top w:val="none" w:sz="0" w:space="0" w:color="auto"/>
                <w:left w:val="none" w:sz="0" w:space="0" w:color="auto"/>
                <w:bottom w:val="none" w:sz="0" w:space="0" w:color="auto"/>
                <w:right w:val="none" w:sz="0" w:space="0" w:color="auto"/>
              </w:divBdr>
            </w:div>
            <w:div w:id="875389843">
              <w:marLeft w:val="0"/>
              <w:marRight w:val="0"/>
              <w:marTop w:val="0"/>
              <w:marBottom w:val="0"/>
              <w:divBdr>
                <w:top w:val="none" w:sz="0" w:space="0" w:color="auto"/>
                <w:left w:val="none" w:sz="0" w:space="0" w:color="auto"/>
                <w:bottom w:val="none" w:sz="0" w:space="0" w:color="auto"/>
                <w:right w:val="none" w:sz="0" w:space="0" w:color="auto"/>
              </w:divBdr>
            </w:div>
            <w:div w:id="912545315">
              <w:marLeft w:val="0"/>
              <w:marRight w:val="0"/>
              <w:marTop w:val="0"/>
              <w:marBottom w:val="0"/>
              <w:divBdr>
                <w:top w:val="none" w:sz="0" w:space="0" w:color="auto"/>
                <w:left w:val="none" w:sz="0" w:space="0" w:color="auto"/>
                <w:bottom w:val="none" w:sz="0" w:space="0" w:color="auto"/>
                <w:right w:val="none" w:sz="0" w:space="0" w:color="auto"/>
              </w:divBdr>
            </w:div>
            <w:div w:id="1002195436">
              <w:marLeft w:val="0"/>
              <w:marRight w:val="0"/>
              <w:marTop w:val="0"/>
              <w:marBottom w:val="0"/>
              <w:divBdr>
                <w:top w:val="none" w:sz="0" w:space="0" w:color="auto"/>
                <w:left w:val="none" w:sz="0" w:space="0" w:color="auto"/>
                <w:bottom w:val="none" w:sz="0" w:space="0" w:color="auto"/>
                <w:right w:val="none" w:sz="0" w:space="0" w:color="auto"/>
              </w:divBdr>
            </w:div>
          </w:divsChild>
        </w:div>
        <w:div w:id="958221902">
          <w:marLeft w:val="0"/>
          <w:marRight w:val="0"/>
          <w:marTop w:val="0"/>
          <w:marBottom w:val="0"/>
          <w:divBdr>
            <w:top w:val="none" w:sz="0" w:space="0" w:color="auto"/>
            <w:left w:val="none" w:sz="0" w:space="0" w:color="auto"/>
            <w:bottom w:val="none" w:sz="0" w:space="0" w:color="auto"/>
            <w:right w:val="none" w:sz="0" w:space="0" w:color="auto"/>
          </w:divBdr>
        </w:div>
        <w:div w:id="1775980554">
          <w:marLeft w:val="0"/>
          <w:marRight w:val="0"/>
          <w:marTop w:val="0"/>
          <w:marBottom w:val="0"/>
          <w:divBdr>
            <w:top w:val="none" w:sz="0" w:space="0" w:color="auto"/>
            <w:left w:val="none" w:sz="0" w:space="0" w:color="auto"/>
            <w:bottom w:val="none" w:sz="0" w:space="0" w:color="auto"/>
            <w:right w:val="none" w:sz="0" w:space="0" w:color="auto"/>
          </w:divBdr>
        </w:div>
        <w:div w:id="2014063722">
          <w:marLeft w:val="0"/>
          <w:marRight w:val="0"/>
          <w:marTop w:val="0"/>
          <w:marBottom w:val="0"/>
          <w:divBdr>
            <w:top w:val="none" w:sz="0" w:space="0" w:color="auto"/>
            <w:left w:val="none" w:sz="0" w:space="0" w:color="auto"/>
            <w:bottom w:val="none" w:sz="0" w:space="0" w:color="auto"/>
            <w:right w:val="none" w:sz="0" w:space="0" w:color="auto"/>
          </w:divBdr>
        </w:div>
      </w:divsChild>
    </w:div>
    <w:div w:id="1774130857">
      <w:bodyDiv w:val="1"/>
      <w:marLeft w:val="0"/>
      <w:marRight w:val="0"/>
      <w:marTop w:val="0"/>
      <w:marBottom w:val="0"/>
      <w:divBdr>
        <w:top w:val="none" w:sz="0" w:space="0" w:color="auto"/>
        <w:left w:val="none" w:sz="0" w:space="0" w:color="auto"/>
        <w:bottom w:val="none" w:sz="0" w:space="0" w:color="auto"/>
        <w:right w:val="none" w:sz="0" w:space="0" w:color="auto"/>
      </w:divBdr>
    </w:div>
    <w:div w:id="180624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3.png"/><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myintracomm.ec.europa.eu/corp/budget/financial-rules/legal-framework/internal-rules/Documents/2022-5-legislative-financial-statement-annex-en.docx"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2.jpeg"/><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5.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header" Target="header7.xml"/><Relationship Id="rId10" Type="http://schemas.openxmlformats.org/officeDocument/2006/relationships/image" Target="media/image1.emf"/><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footer" Target="footer8.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commission/presscorner/detail/es/speech_22_7487" TargetMode="External"/><Relationship Id="rId2" Type="http://schemas.openxmlformats.org/officeDocument/2006/relationships/hyperlink" Target="https://state-of-the-union.ec.europa.eu/state-union-2022_en" TargetMode="External"/><Relationship Id="rId1" Type="http://schemas.openxmlformats.org/officeDocument/2006/relationships/hyperlink" Target="https://next-generation-eu.europa.eu/index_en" TargetMode="External"/><Relationship Id="rId4" Type="http://schemas.openxmlformats.org/officeDocument/2006/relationships/hyperlink" Target="https://myintracomm.ec.europa.eu/corp/budget/financial-rules/budget-implementation/Pages/implementation-methods.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AA5C57F8EADE4E9CD6BB064C0C3195" ma:contentTypeVersion="4" ma:contentTypeDescription="Create a new document." ma:contentTypeScope="" ma:versionID="8d3f262df2c19144d38f5c7022d8e429">
  <xsd:schema xmlns:xsd="http://www.w3.org/2001/XMLSchema" xmlns:xs="http://www.w3.org/2001/XMLSchema" xmlns:p="http://schemas.microsoft.com/office/2006/metadata/properties" xmlns:ns2="0e422b70-e85d-4377-8ee0-b6227433d381" xmlns:ns3="199f642e-5af9-486c-ac06-f366742ef41a" targetNamespace="http://schemas.microsoft.com/office/2006/metadata/properties" ma:root="true" ma:fieldsID="e001ccf31c3063b612113152851e731c" ns2:_="" ns3:_="">
    <xsd:import namespace="0e422b70-e85d-4377-8ee0-b6227433d381"/>
    <xsd:import namespace="199f642e-5af9-486c-ac06-f366742ef41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22b70-e85d-4377-8ee0-b6227433d3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9f642e-5af9-486c-ac06-f366742ef4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07E0B-68BA-48C4-9574-54224C03F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422b70-e85d-4377-8ee0-b6227433d381"/>
    <ds:schemaRef ds:uri="199f642e-5af9-486c-ac06-f366742ef4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942084-E4D6-49C3-ABEF-3766BAA509AF}">
  <ds:schemaRefs>
    <ds:schemaRef ds:uri="http://schemas.microsoft.com/sharepoint/v3/contenttype/forms"/>
  </ds:schemaRefs>
</ds:datastoreItem>
</file>

<file path=customXml/itemProps3.xml><?xml version="1.0" encoding="utf-8"?>
<ds:datastoreItem xmlns:ds="http://schemas.openxmlformats.org/officeDocument/2006/customXml" ds:itemID="{9E771AB2-8D7E-4D9A-A000-86E997342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3</Pages>
  <Words>23979</Words>
  <Characters>134047</Characters>
  <Application>Microsoft Office Word</Application>
  <DocSecurity>0</DocSecurity>
  <Lines>3622</Lines>
  <Paragraphs>1596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156430</CharactersWithSpaces>
  <SharedDoc>false</SharedDoc>
  <HLinks>
    <vt:vector size="18" baseType="variant">
      <vt:variant>
        <vt:i4>7405675</vt:i4>
      </vt:variant>
      <vt:variant>
        <vt:i4>6</vt:i4>
      </vt:variant>
      <vt:variant>
        <vt:i4>0</vt:i4>
      </vt:variant>
      <vt:variant>
        <vt:i4>5</vt:i4>
      </vt:variant>
      <vt:variant>
        <vt:lpwstr>https://ec.europa.eu/commission/presscorner/detail/es/speech_22_7487</vt:lpwstr>
      </vt:variant>
      <vt:variant>
        <vt:lpwstr/>
      </vt:variant>
      <vt:variant>
        <vt:i4>2424858</vt:i4>
      </vt:variant>
      <vt:variant>
        <vt:i4>3</vt:i4>
      </vt:variant>
      <vt:variant>
        <vt:i4>0</vt:i4>
      </vt:variant>
      <vt:variant>
        <vt:i4>5</vt:i4>
      </vt:variant>
      <vt:variant>
        <vt:lpwstr>https://state-of-the-union.ec.europa.eu/state-union-2022_en</vt:lpwstr>
      </vt:variant>
      <vt:variant>
        <vt:lpwstr/>
      </vt:variant>
      <vt:variant>
        <vt:i4>1310771</vt:i4>
      </vt:variant>
      <vt:variant>
        <vt:i4>0</vt:i4>
      </vt:variant>
      <vt:variant>
        <vt:i4>0</vt:i4>
      </vt:variant>
      <vt:variant>
        <vt:i4>5</vt:i4>
      </vt:variant>
      <vt:variant>
        <vt:lpwstr>https://next-generation-eu.europa.eu/index_en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2023-06-20T09:33:00Z</dcterms:created>
  <dcterms:modified xsi:type="dcterms:W3CDTF">2023-06-20T09:43:00Z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2023-06-18T18:45:14Z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fde01bb2-4948-4d12-82a2-9f21e215bb76</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Category">
    <vt:lpwstr>COM/PL/ORG</vt:lpwstr>
  </property>
  <property fmtid="{D5CDD505-2E9C-101B-9397-08002B2CF9AE}" pid="11" name="Last edited using">
    <vt:lpwstr>LW 9.0, Build 20230317</vt:lpwstr>
  </property>
  <property fmtid="{D5CDD505-2E9C-101B-9397-08002B2CF9AE}" pid="12" name="Part">
    <vt:lpwstr>1</vt:lpwstr>
  </property>
  <property fmtid="{D5CDD505-2E9C-101B-9397-08002B2CF9AE}" pid="13" name="Total parts">
    <vt:lpwstr>1</vt:lpwstr>
  </property>
  <property fmtid="{D5CDD505-2E9C-101B-9397-08002B2CF9AE}" pid="14" name="LWTemplateID">
    <vt:lpwstr>SJ-023</vt:lpwstr>
  </property>
  <property fmtid="{D5CDD505-2E9C-101B-9397-08002B2CF9AE}" pid="15" name="DQCStatus">
    <vt:lpwstr>Green (DQC version 03)</vt:lpwstr>
  </property>
</Properties>
</file>