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3594" w14:textId="2DCEB595" w:rsidR="000076A5" w:rsidRPr="000B75D8" w:rsidRDefault="002564A7" w:rsidP="002F01FF">
      <w:pPr>
        <w:pStyle w:val="Pagedecouverture"/>
        <w:rPr>
          <w:noProof/>
        </w:rPr>
      </w:pPr>
      <w:r>
        <w:rPr>
          <w:noProof/>
        </w:rPr>
        <w:pict w14:anchorId="331A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9669CA4-32A9-4221-B5EE-0E1E91365D71" style="width:455.4pt;height:369.6pt">
            <v:imagedata r:id="rId11" o:title=""/>
          </v:shape>
        </w:pict>
      </w:r>
    </w:p>
    <w:p w14:paraId="7DE856B0" w14:textId="77777777" w:rsidR="000076A5" w:rsidRPr="000B75D8" w:rsidRDefault="000076A5" w:rsidP="000076A5">
      <w:pPr>
        <w:rPr>
          <w:noProof/>
        </w:rPr>
        <w:sectPr w:rsidR="000076A5" w:rsidRPr="000B75D8" w:rsidSect="00DA148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539643B" w14:textId="1705E202" w:rsidR="00EE2E5C" w:rsidRPr="000B75D8" w:rsidRDefault="00EE2E5C" w:rsidP="00EE2E5C">
      <w:pPr>
        <w:pStyle w:val="Exposdesmotifstitre"/>
        <w:rPr>
          <w:noProof/>
        </w:rPr>
      </w:pPr>
      <w:r w:rsidRPr="000B75D8">
        <w:rPr>
          <w:noProof/>
        </w:rPr>
        <w:lastRenderedPageBreak/>
        <w:t>EXPLANATORY MEMORANDUM</w:t>
      </w:r>
    </w:p>
    <w:p w14:paraId="7A04FA6F" w14:textId="77777777" w:rsidR="00262DD8" w:rsidRPr="000B75D8" w:rsidRDefault="00262DD8" w:rsidP="002D2E1A">
      <w:pPr>
        <w:rPr>
          <w:noProof/>
        </w:rPr>
      </w:pPr>
    </w:p>
    <w:p w14:paraId="5D2DA0F6" w14:textId="77777777" w:rsidR="000076A5" w:rsidRPr="000B75D8" w:rsidRDefault="000076A5">
      <w:pPr>
        <w:pStyle w:val="ManualHeading1"/>
        <w:rPr>
          <w:noProof/>
        </w:rPr>
      </w:pPr>
      <w:r w:rsidRPr="000B75D8">
        <w:rPr>
          <w:noProof/>
        </w:rPr>
        <w:t>1.</w:t>
      </w:r>
      <w:r w:rsidRPr="000B75D8">
        <w:rPr>
          <w:noProof/>
        </w:rPr>
        <w:tab/>
        <w:t>CONTEXT OF THE PROPOSAL</w:t>
      </w:r>
    </w:p>
    <w:p w14:paraId="0CA1EF34" w14:textId="1E2A7F65" w:rsidR="0071577F" w:rsidRPr="000B75D8" w:rsidRDefault="0071577F" w:rsidP="007549B0">
      <w:pPr>
        <w:pStyle w:val="ManualHeading2"/>
        <w:rPr>
          <w:noProof/>
        </w:rPr>
      </w:pPr>
      <w:r w:rsidRPr="000B75D8">
        <w:rPr>
          <w:noProof/>
        </w:rPr>
        <w:t>1.1.</w:t>
      </w:r>
      <w:r w:rsidRPr="000B75D8">
        <w:rPr>
          <w:noProof/>
        </w:rPr>
        <w:tab/>
      </w:r>
      <w:r w:rsidR="003338BA" w:rsidRPr="000B75D8">
        <w:rPr>
          <w:noProof/>
        </w:rPr>
        <w:t xml:space="preserve">Mid-term review </w:t>
      </w:r>
      <w:r w:rsidR="00194D26" w:rsidRPr="000B75D8">
        <w:rPr>
          <w:noProof/>
        </w:rPr>
        <w:t>and</w:t>
      </w:r>
      <w:r w:rsidR="009C50B9" w:rsidRPr="000B75D8">
        <w:rPr>
          <w:noProof/>
        </w:rPr>
        <w:t xml:space="preserve"> revision </w:t>
      </w:r>
      <w:r w:rsidR="003338BA" w:rsidRPr="000B75D8">
        <w:rPr>
          <w:noProof/>
        </w:rPr>
        <w:t>of the Mu</w:t>
      </w:r>
      <w:r w:rsidR="009C50B9" w:rsidRPr="000B75D8">
        <w:rPr>
          <w:noProof/>
        </w:rPr>
        <w:t>ltiannual Financial Framework</w:t>
      </w:r>
    </w:p>
    <w:p w14:paraId="221484B5" w14:textId="46471EB9" w:rsidR="004C3602" w:rsidRPr="000B75D8" w:rsidRDefault="00BA274B" w:rsidP="004C3602">
      <w:pPr>
        <w:rPr>
          <w:noProof/>
          <w:szCs w:val="24"/>
        </w:rPr>
      </w:pPr>
      <w:r w:rsidRPr="000B75D8">
        <w:rPr>
          <w:noProof/>
          <w:szCs w:val="24"/>
        </w:rPr>
        <w:t>As part of the overall political</w:t>
      </w:r>
      <w:r w:rsidR="004155D7" w:rsidRPr="000B75D8">
        <w:rPr>
          <w:noProof/>
          <w:szCs w:val="24"/>
        </w:rPr>
        <w:t xml:space="preserve"> </w:t>
      </w:r>
      <w:r w:rsidR="004C3602" w:rsidRPr="000B75D8">
        <w:rPr>
          <w:noProof/>
          <w:szCs w:val="24"/>
        </w:rPr>
        <w:t>agreement on the</w:t>
      </w:r>
      <w:r w:rsidR="00673D36" w:rsidRPr="000B75D8">
        <w:rPr>
          <w:noProof/>
          <w:szCs w:val="24"/>
        </w:rPr>
        <w:t xml:space="preserve"> 2021-2027</w:t>
      </w:r>
      <w:r w:rsidR="004C3602" w:rsidRPr="000B75D8">
        <w:rPr>
          <w:noProof/>
          <w:szCs w:val="24"/>
        </w:rPr>
        <w:t xml:space="preserve"> M</w:t>
      </w:r>
      <w:r w:rsidR="00254075" w:rsidRPr="000B75D8">
        <w:rPr>
          <w:noProof/>
          <w:szCs w:val="24"/>
        </w:rPr>
        <w:t>ultiannual Financial Framework</w:t>
      </w:r>
      <w:r w:rsidR="00A92871" w:rsidRPr="000B75D8">
        <w:rPr>
          <w:noProof/>
          <w:szCs w:val="24"/>
        </w:rPr>
        <w:t>,</w:t>
      </w:r>
      <w:r w:rsidR="00254075" w:rsidRPr="000B75D8">
        <w:rPr>
          <w:noProof/>
          <w:szCs w:val="24"/>
        </w:rPr>
        <w:t xml:space="preserve"> </w:t>
      </w:r>
      <w:r w:rsidR="004C3602" w:rsidRPr="000B75D8">
        <w:rPr>
          <w:noProof/>
          <w:szCs w:val="24"/>
        </w:rPr>
        <w:t xml:space="preserve">the Commission issued </w:t>
      </w:r>
      <w:r w:rsidR="00254075" w:rsidRPr="000B75D8">
        <w:rPr>
          <w:noProof/>
          <w:szCs w:val="24"/>
        </w:rPr>
        <w:t xml:space="preserve">in December 2020 </w:t>
      </w:r>
      <w:r w:rsidR="00A92871" w:rsidRPr="000B75D8">
        <w:rPr>
          <w:noProof/>
          <w:szCs w:val="24"/>
        </w:rPr>
        <w:t xml:space="preserve">a </w:t>
      </w:r>
      <w:r w:rsidR="00C41009" w:rsidRPr="000B75D8">
        <w:rPr>
          <w:noProof/>
          <w:szCs w:val="24"/>
        </w:rPr>
        <w:t>declaration</w:t>
      </w:r>
      <w:r w:rsidR="00A92871" w:rsidRPr="000B75D8">
        <w:rPr>
          <w:noProof/>
          <w:szCs w:val="24"/>
        </w:rPr>
        <w:t xml:space="preserve"> undertaking to present b</w:t>
      </w:r>
      <w:r w:rsidR="004C3602" w:rsidRPr="000B75D8">
        <w:rPr>
          <w:noProof/>
          <w:szCs w:val="24"/>
        </w:rPr>
        <w:t xml:space="preserve">y </w:t>
      </w:r>
      <w:r w:rsidR="002D2E1A" w:rsidRPr="000B75D8">
        <w:rPr>
          <w:noProof/>
          <w:szCs w:val="24"/>
        </w:rPr>
        <w:t>1 </w:t>
      </w:r>
      <w:r w:rsidR="004C3602" w:rsidRPr="000B75D8">
        <w:rPr>
          <w:noProof/>
          <w:szCs w:val="24"/>
        </w:rPr>
        <w:t xml:space="preserve">January 2024 a review of the functioning of the </w:t>
      </w:r>
      <w:r w:rsidR="000D7A2E" w:rsidRPr="000B75D8">
        <w:rPr>
          <w:noProof/>
          <w:szCs w:val="24"/>
        </w:rPr>
        <w:t>Multiannual Financial Framework</w:t>
      </w:r>
      <w:r w:rsidR="00A92871" w:rsidRPr="000B75D8">
        <w:rPr>
          <w:noProof/>
          <w:szCs w:val="24"/>
        </w:rPr>
        <w:t xml:space="preserve">, which may be accompanied, </w:t>
      </w:r>
      <w:r w:rsidR="004C3602" w:rsidRPr="000B75D8">
        <w:rPr>
          <w:noProof/>
          <w:szCs w:val="24"/>
        </w:rPr>
        <w:t>as appropriate, by relevant proposals for the revision of</w:t>
      </w:r>
      <w:r w:rsidR="00654D5A" w:rsidRPr="000B75D8">
        <w:rPr>
          <w:noProof/>
          <w:szCs w:val="24"/>
        </w:rPr>
        <w:t xml:space="preserve"> Council </w:t>
      </w:r>
      <w:r w:rsidR="00654D5A" w:rsidRPr="000B75D8">
        <w:rPr>
          <w:noProof/>
        </w:rPr>
        <w:t xml:space="preserve">Regulation </w:t>
      </w:r>
      <w:r w:rsidR="00654D5A" w:rsidRPr="000B75D8">
        <w:rPr>
          <w:noProof/>
          <w:lang w:val="en-US"/>
        </w:rPr>
        <w:t>(EU, Euratom) 2020/2093</w:t>
      </w:r>
      <w:r w:rsidR="009B719B" w:rsidRPr="000B75D8">
        <w:rPr>
          <w:rStyle w:val="FootnoteReference"/>
          <w:noProof/>
          <w:lang w:val="en-US"/>
        </w:rPr>
        <w:footnoteReference w:id="2"/>
      </w:r>
      <w:r w:rsidR="004C3602" w:rsidRPr="000B75D8">
        <w:rPr>
          <w:noProof/>
          <w:szCs w:val="24"/>
        </w:rPr>
        <w:t xml:space="preserve"> </w:t>
      </w:r>
      <w:r w:rsidR="00654D5A" w:rsidRPr="000B75D8">
        <w:rPr>
          <w:noProof/>
          <w:szCs w:val="24"/>
        </w:rPr>
        <w:t>(</w:t>
      </w:r>
      <w:r w:rsidR="004C3602" w:rsidRPr="000B75D8">
        <w:rPr>
          <w:noProof/>
          <w:szCs w:val="24"/>
        </w:rPr>
        <w:t>the MFF Regulation</w:t>
      </w:r>
      <w:r w:rsidR="00654D5A" w:rsidRPr="000B75D8">
        <w:rPr>
          <w:noProof/>
          <w:szCs w:val="24"/>
        </w:rPr>
        <w:t>)</w:t>
      </w:r>
      <w:r w:rsidR="004C3602" w:rsidRPr="000B75D8">
        <w:rPr>
          <w:noProof/>
          <w:szCs w:val="24"/>
        </w:rPr>
        <w:t xml:space="preserve"> in accordance with the procedures set out in the TFEU.</w:t>
      </w:r>
      <w:r w:rsidR="004C3602" w:rsidRPr="000B75D8">
        <w:rPr>
          <w:rStyle w:val="FootnoteReference"/>
          <w:noProof/>
          <w:szCs w:val="24"/>
        </w:rPr>
        <w:footnoteReference w:id="3"/>
      </w:r>
    </w:p>
    <w:p w14:paraId="40AAB445" w14:textId="051F1E07" w:rsidR="00467B97" w:rsidRPr="000B75D8" w:rsidRDefault="00C86918" w:rsidP="007549B0">
      <w:pPr>
        <w:rPr>
          <w:rFonts w:eastAsia="Arial Unicode MS"/>
          <w:noProof/>
        </w:rPr>
      </w:pPr>
      <w:r w:rsidRPr="000B75D8">
        <w:rPr>
          <w:noProof/>
          <w:szCs w:val="24"/>
        </w:rPr>
        <w:t xml:space="preserve">In line with this commitment, </w:t>
      </w:r>
      <w:r w:rsidR="00617944" w:rsidRPr="000B75D8">
        <w:rPr>
          <w:noProof/>
          <w:szCs w:val="24"/>
        </w:rPr>
        <w:t xml:space="preserve">and with the statement adopted </w:t>
      </w:r>
      <w:r w:rsidR="002448CF" w:rsidRPr="000B75D8">
        <w:rPr>
          <w:noProof/>
          <w:szCs w:val="24"/>
        </w:rPr>
        <w:t xml:space="preserve">together with </w:t>
      </w:r>
      <w:r w:rsidR="00617944" w:rsidRPr="000B75D8">
        <w:rPr>
          <w:noProof/>
          <w:szCs w:val="24"/>
        </w:rPr>
        <w:t xml:space="preserve">the 2023 </w:t>
      </w:r>
      <w:r w:rsidR="00C41009" w:rsidRPr="000B75D8">
        <w:rPr>
          <w:noProof/>
          <w:szCs w:val="24"/>
        </w:rPr>
        <w:t>annual</w:t>
      </w:r>
      <w:r w:rsidR="007549B0" w:rsidRPr="000B75D8">
        <w:rPr>
          <w:noProof/>
          <w:szCs w:val="24"/>
        </w:rPr>
        <w:t xml:space="preserve"> </w:t>
      </w:r>
      <w:r w:rsidR="00617944" w:rsidRPr="000B75D8">
        <w:rPr>
          <w:noProof/>
          <w:szCs w:val="24"/>
        </w:rPr>
        <w:t>budget</w:t>
      </w:r>
      <w:r w:rsidR="002804CE" w:rsidRPr="000B75D8">
        <w:rPr>
          <w:rStyle w:val="FootnoteReference"/>
          <w:noProof/>
          <w:szCs w:val="24"/>
        </w:rPr>
        <w:footnoteReference w:id="4"/>
      </w:r>
      <w:r w:rsidR="00617944" w:rsidRPr="000B75D8">
        <w:rPr>
          <w:noProof/>
          <w:szCs w:val="24"/>
        </w:rPr>
        <w:t xml:space="preserve">, </w:t>
      </w:r>
      <w:r w:rsidRPr="000B75D8">
        <w:rPr>
          <w:noProof/>
          <w:szCs w:val="24"/>
        </w:rPr>
        <w:t>the Commission has</w:t>
      </w:r>
      <w:r w:rsidR="004155D7" w:rsidRPr="000B75D8">
        <w:rPr>
          <w:noProof/>
          <w:szCs w:val="24"/>
        </w:rPr>
        <w:t xml:space="preserve"> adopted</w:t>
      </w:r>
      <w:r w:rsidRPr="000B75D8">
        <w:rPr>
          <w:noProof/>
          <w:szCs w:val="24"/>
        </w:rPr>
        <w:t xml:space="preserve"> a Communication on the “Mid-term revision of the Multiannual Financial Framework 2021-2027”</w:t>
      </w:r>
      <w:r w:rsidRPr="000B75D8">
        <w:rPr>
          <w:rStyle w:val="FootnoteReference"/>
          <w:noProof/>
          <w:szCs w:val="24"/>
        </w:rPr>
        <w:footnoteReference w:id="5"/>
      </w:r>
      <w:r w:rsidRPr="000B75D8">
        <w:rPr>
          <w:noProof/>
          <w:szCs w:val="24"/>
        </w:rPr>
        <w:t xml:space="preserve">, assessing the functioning of the Multiannual Financial Framework </w:t>
      </w:r>
      <w:r w:rsidR="00AD0AF6" w:rsidRPr="000B75D8">
        <w:rPr>
          <w:noProof/>
          <w:szCs w:val="24"/>
        </w:rPr>
        <w:t>until now</w:t>
      </w:r>
      <w:r w:rsidR="00617944" w:rsidRPr="000B75D8">
        <w:rPr>
          <w:noProof/>
          <w:szCs w:val="24"/>
        </w:rPr>
        <w:t xml:space="preserve">, including an assessment of </w:t>
      </w:r>
      <w:r w:rsidR="000C4A5A" w:rsidRPr="000B75D8">
        <w:rPr>
          <w:noProof/>
          <w:szCs w:val="24"/>
        </w:rPr>
        <w:t>whether the EU budget can continue to provide common means to address common challenges</w:t>
      </w:r>
      <w:r w:rsidR="00617944" w:rsidRPr="000B75D8">
        <w:rPr>
          <w:noProof/>
          <w:szCs w:val="24"/>
        </w:rPr>
        <w:t>.</w:t>
      </w:r>
      <w:r w:rsidR="000C4A5A" w:rsidRPr="000B75D8">
        <w:rPr>
          <w:rFonts w:eastAsia="Arial Unicode MS"/>
          <w:noProof/>
        </w:rPr>
        <w:t xml:space="preserve"> </w:t>
      </w:r>
      <w:r w:rsidR="005721B3" w:rsidRPr="000B75D8">
        <w:rPr>
          <w:rFonts w:eastAsia="Arial Unicode MS"/>
          <w:noProof/>
        </w:rPr>
        <w:t>This assessment concludes that</w:t>
      </w:r>
      <w:r w:rsidR="00CB1FE2" w:rsidRPr="000B75D8">
        <w:rPr>
          <w:rFonts w:eastAsia="Arial Unicode MS"/>
          <w:noProof/>
        </w:rPr>
        <w:t>,</w:t>
      </w:r>
      <w:r w:rsidR="005079F4" w:rsidRPr="000B75D8">
        <w:rPr>
          <w:rFonts w:eastAsia="Arial Unicode MS"/>
          <w:noProof/>
        </w:rPr>
        <w:t xml:space="preserve"> </w:t>
      </w:r>
      <w:r w:rsidR="00EA0CA3" w:rsidRPr="000B75D8">
        <w:rPr>
          <w:noProof/>
          <w:szCs w:val="24"/>
        </w:rPr>
        <w:t xml:space="preserve">for the Union to deliver on all its objectives, </w:t>
      </w:r>
      <w:r w:rsidR="00387080" w:rsidRPr="000B75D8">
        <w:rPr>
          <w:noProof/>
          <w:szCs w:val="24"/>
        </w:rPr>
        <w:t>including the most urgent ones</w:t>
      </w:r>
      <w:r w:rsidR="00EA0CA3" w:rsidRPr="000B75D8">
        <w:rPr>
          <w:noProof/>
          <w:szCs w:val="24"/>
        </w:rPr>
        <w:t>, until the end of 2027</w:t>
      </w:r>
      <w:r w:rsidR="005721B3" w:rsidRPr="000B75D8">
        <w:rPr>
          <w:rFonts w:eastAsia="Arial Unicode MS"/>
          <w:noProof/>
        </w:rPr>
        <w:t xml:space="preserve">, a targeted revision of the </w:t>
      </w:r>
      <w:r w:rsidR="00673D36" w:rsidRPr="000B75D8">
        <w:rPr>
          <w:rFonts w:eastAsia="Arial Unicode MS"/>
          <w:noProof/>
        </w:rPr>
        <w:t xml:space="preserve">2021-2027 </w:t>
      </w:r>
      <w:r w:rsidR="005721B3" w:rsidRPr="000B75D8">
        <w:rPr>
          <w:rFonts w:eastAsia="Arial Unicode MS"/>
          <w:noProof/>
        </w:rPr>
        <w:t>Multiannual Financial Framework</w:t>
      </w:r>
      <w:r w:rsidR="001736D8" w:rsidRPr="000B75D8">
        <w:rPr>
          <w:rFonts w:eastAsia="Arial Unicode MS"/>
          <w:noProof/>
        </w:rPr>
        <w:t xml:space="preserve"> (MFF)</w:t>
      </w:r>
      <w:r w:rsidR="005721B3" w:rsidRPr="000B75D8">
        <w:rPr>
          <w:rFonts w:eastAsia="Arial Unicode MS"/>
          <w:noProof/>
        </w:rPr>
        <w:t xml:space="preserve"> is necessary.</w:t>
      </w:r>
    </w:p>
    <w:p w14:paraId="2AF49B4D" w14:textId="7C139100" w:rsidR="00B83ABF" w:rsidRPr="000B75D8" w:rsidRDefault="00B83ABF" w:rsidP="007549B0">
      <w:pPr>
        <w:rPr>
          <w:rFonts w:eastAsia="Arial Unicode MS"/>
          <w:noProof/>
        </w:rPr>
      </w:pPr>
      <w:bookmarkStart w:id="0" w:name="_Hlk136511039"/>
      <w:r w:rsidRPr="000B75D8">
        <w:rPr>
          <w:rFonts w:eastAsia="Arial Unicode MS"/>
          <w:noProof/>
          <w:lang w:val="en-IE"/>
        </w:rPr>
        <w:t xml:space="preserve">At the same time, the proposal for </w:t>
      </w:r>
      <w:r w:rsidR="00FB7692" w:rsidRPr="000B75D8">
        <w:rPr>
          <w:rFonts w:eastAsia="Arial Unicode MS"/>
          <w:noProof/>
          <w:lang w:val="en-IE"/>
        </w:rPr>
        <w:t>an</w:t>
      </w:r>
      <w:r w:rsidRPr="000B75D8">
        <w:rPr>
          <w:rFonts w:eastAsia="Arial Unicode MS"/>
          <w:noProof/>
          <w:lang w:val="en-IE"/>
        </w:rPr>
        <w:t xml:space="preserve"> amendment </w:t>
      </w:r>
      <w:r w:rsidR="00FB7692" w:rsidRPr="000B75D8">
        <w:rPr>
          <w:rFonts w:eastAsia="Arial Unicode MS"/>
          <w:noProof/>
          <w:lang w:val="en-IE"/>
        </w:rPr>
        <w:t>to</w:t>
      </w:r>
      <w:r w:rsidRPr="000B75D8">
        <w:rPr>
          <w:rFonts w:eastAsia="Arial Unicode MS"/>
          <w:noProof/>
          <w:lang w:val="en-IE"/>
        </w:rPr>
        <w:t xml:space="preserve"> </w:t>
      </w:r>
      <w:r w:rsidR="002A15BC" w:rsidRPr="000B75D8">
        <w:rPr>
          <w:noProof/>
        </w:rPr>
        <w:t xml:space="preserve">Regulation </w:t>
      </w:r>
      <w:r w:rsidR="002A15BC" w:rsidRPr="000B75D8">
        <w:rPr>
          <w:noProof/>
          <w:lang w:val="en-US"/>
        </w:rPr>
        <w:t>(EU, Euratom) 2020/2093</w:t>
      </w:r>
      <w:r w:rsidR="002A15BC" w:rsidRPr="000B75D8">
        <w:rPr>
          <w:noProof/>
        </w:rPr>
        <w:t xml:space="preserve"> </w:t>
      </w:r>
      <w:r w:rsidRPr="000B75D8">
        <w:rPr>
          <w:rFonts w:eastAsia="Arial Unicode MS"/>
          <w:noProof/>
          <w:lang w:val="en-IE"/>
        </w:rPr>
        <w:t>presented in December 2021</w:t>
      </w:r>
      <w:r w:rsidRPr="000B75D8">
        <w:rPr>
          <w:rStyle w:val="FootnoteReference"/>
          <w:rFonts w:eastAsia="Arial Unicode MS"/>
          <w:noProof/>
          <w:lang w:val="en-IE"/>
        </w:rPr>
        <w:footnoteReference w:id="6"/>
      </w:r>
      <w:r w:rsidRPr="000B75D8">
        <w:rPr>
          <w:rFonts w:eastAsia="Arial Unicode MS"/>
          <w:noProof/>
          <w:lang w:val="en-IE"/>
        </w:rPr>
        <w:t xml:space="preserve"> has become obsolete due to the outcome of </w:t>
      </w:r>
      <w:r w:rsidR="00F739D6" w:rsidRPr="000B75D8">
        <w:rPr>
          <w:rFonts w:eastAsia="Arial Unicode MS"/>
          <w:noProof/>
          <w:lang w:val="en-IE"/>
        </w:rPr>
        <w:t xml:space="preserve">the legislative </w:t>
      </w:r>
      <w:r w:rsidR="007D3114" w:rsidRPr="000B75D8">
        <w:rPr>
          <w:rFonts w:eastAsia="Arial Unicode MS"/>
          <w:noProof/>
          <w:lang w:val="en-IE"/>
        </w:rPr>
        <w:t xml:space="preserve">negotiations on </w:t>
      </w:r>
      <w:r w:rsidRPr="000B75D8">
        <w:rPr>
          <w:rFonts w:eastAsia="Arial Unicode MS"/>
          <w:noProof/>
          <w:lang w:val="en-IE"/>
        </w:rPr>
        <w:t>the Social Climate Fund</w:t>
      </w:r>
      <w:r w:rsidR="005671CB" w:rsidRPr="000B75D8">
        <w:rPr>
          <w:rStyle w:val="FootnoteReference"/>
          <w:rFonts w:eastAsia="Arial Unicode MS"/>
          <w:noProof/>
          <w:lang w:val="en-IE"/>
        </w:rPr>
        <w:footnoteReference w:id="7"/>
      </w:r>
      <w:r w:rsidRPr="000B75D8">
        <w:rPr>
          <w:rFonts w:eastAsia="Arial Unicode MS"/>
          <w:noProof/>
          <w:lang w:val="en-IE"/>
        </w:rPr>
        <w:t xml:space="preserve"> and in the light of the unprecedented and unexpected challenges that have materialised in 2022, notably the fallout of </w:t>
      </w:r>
      <w:r w:rsidR="001736D8" w:rsidRPr="000B75D8">
        <w:rPr>
          <w:rFonts w:eastAsia="Arial Unicode MS"/>
          <w:noProof/>
          <w:lang w:val="en-IE"/>
        </w:rPr>
        <w:t xml:space="preserve">Russia’s </w:t>
      </w:r>
      <w:r w:rsidRPr="000B75D8">
        <w:rPr>
          <w:rFonts w:eastAsia="Arial Unicode MS"/>
          <w:noProof/>
          <w:lang w:val="en-IE"/>
        </w:rPr>
        <w:t>brutal</w:t>
      </w:r>
      <w:r w:rsidR="001736D8" w:rsidRPr="000B75D8">
        <w:rPr>
          <w:rFonts w:eastAsia="Arial Unicode MS"/>
          <w:noProof/>
          <w:lang w:val="en-IE"/>
        </w:rPr>
        <w:t xml:space="preserve"> war of aggression</w:t>
      </w:r>
      <w:r w:rsidRPr="000B75D8">
        <w:rPr>
          <w:rFonts w:eastAsia="Arial Unicode MS"/>
          <w:noProof/>
          <w:lang w:val="en-IE"/>
        </w:rPr>
        <w:t xml:space="preserve"> </w:t>
      </w:r>
      <w:r w:rsidR="001736D8" w:rsidRPr="000B75D8">
        <w:rPr>
          <w:rFonts w:eastAsia="Arial Unicode MS"/>
          <w:noProof/>
          <w:lang w:val="en-IE"/>
        </w:rPr>
        <w:t>against</w:t>
      </w:r>
      <w:r w:rsidRPr="000B75D8">
        <w:rPr>
          <w:rFonts w:eastAsia="Arial Unicode MS"/>
          <w:noProof/>
          <w:lang w:val="en-IE"/>
        </w:rPr>
        <w:t xml:space="preserve"> Ukraine and macroeconomic developments. </w:t>
      </w:r>
      <w:r w:rsidR="00520863" w:rsidRPr="000B75D8">
        <w:rPr>
          <w:rFonts w:eastAsia="Arial Unicode MS"/>
          <w:noProof/>
          <w:lang w:val="en-IE"/>
        </w:rPr>
        <w:t>For these reasons,</w:t>
      </w:r>
      <w:r w:rsidRPr="000B75D8">
        <w:rPr>
          <w:rFonts w:eastAsia="Arial Unicode MS"/>
          <w:noProof/>
          <w:lang w:val="en-IE"/>
        </w:rPr>
        <w:t xml:space="preserve"> the Commission </w:t>
      </w:r>
      <w:r w:rsidR="009540E0" w:rsidRPr="000B75D8">
        <w:rPr>
          <w:rFonts w:eastAsia="Arial Unicode MS"/>
          <w:noProof/>
          <w:lang w:val="en-IE"/>
        </w:rPr>
        <w:t xml:space="preserve">is now </w:t>
      </w:r>
      <w:r w:rsidRPr="000B75D8">
        <w:rPr>
          <w:rFonts w:eastAsia="Arial Unicode MS"/>
          <w:noProof/>
          <w:lang w:val="en-IE"/>
        </w:rPr>
        <w:t>putting forward a new proposal to the European Parliament and the Council</w:t>
      </w:r>
      <w:r w:rsidR="005656DB" w:rsidRPr="000B75D8">
        <w:rPr>
          <w:rFonts w:eastAsia="Arial Unicode MS"/>
          <w:noProof/>
          <w:lang w:val="en-IE"/>
        </w:rPr>
        <w:t>, replacing the earlier proposal, which will be formally withdrawn in due course</w:t>
      </w:r>
      <w:r w:rsidRPr="000B75D8">
        <w:rPr>
          <w:rFonts w:eastAsia="Arial Unicode MS"/>
          <w:noProof/>
          <w:lang w:val="en-IE"/>
        </w:rPr>
        <w:t>.</w:t>
      </w:r>
    </w:p>
    <w:bookmarkEnd w:id="0"/>
    <w:p w14:paraId="214B46B3" w14:textId="77777777" w:rsidR="000076A5" w:rsidRPr="000B75D8" w:rsidRDefault="00995C11" w:rsidP="00EF067B">
      <w:pPr>
        <w:pStyle w:val="ManualHeading2"/>
        <w:rPr>
          <w:noProof/>
        </w:rPr>
      </w:pPr>
      <w:r w:rsidRPr="000B75D8">
        <w:rPr>
          <w:noProof/>
        </w:rPr>
        <w:t>1.2</w:t>
      </w:r>
      <w:r w:rsidRPr="000B75D8">
        <w:rPr>
          <w:noProof/>
        </w:rPr>
        <w:tab/>
        <w:t>Reasons for and objectives of the proposal</w:t>
      </w:r>
    </w:p>
    <w:p w14:paraId="57196EB6" w14:textId="760777F7" w:rsidR="00D77C91" w:rsidRPr="000B75D8" w:rsidRDefault="00D77C91" w:rsidP="7284C04A">
      <w:pPr>
        <w:pBdr>
          <w:top w:val="nil"/>
          <w:left w:val="nil"/>
          <w:bottom w:val="nil"/>
          <w:right w:val="nil"/>
          <w:between w:val="nil"/>
          <w:bar w:val="nil"/>
        </w:pBdr>
        <w:spacing w:before="0" w:after="240"/>
        <w:rPr>
          <w:iCs/>
          <w:noProof/>
          <w:szCs w:val="24"/>
          <w:lang w:val="en-IE"/>
        </w:rPr>
      </w:pPr>
      <w:r w:rsidRPr="000B75D8">
        <w:rPr>
          <w:noProof/>
          <w:szCs w:val="24"/>
        </w:rPr>
        <w:t xml:space="preserve">The Union has faced a series of unprecedented and unexpected challenges since 2020. </w:t>
      </w:r>
      <w:r w:rsidRPr="000B75D8">
        <w:rPr>
          <w:noProof/>
          <w:szCs w:val="24"/>
          <w:lang w:val="en-IE"/>
        </w:rPr>
        <w:t xml:space="preserve">Barely </w:t>
      </w:r>
      <w:r w:rsidR="005656DB" w:rsidRPr="000B75D8">
        <w:rPr>
          <w:noProof/>
          <w:szCs w:val="24"/>
          <w:lang w:val="en-IE"/>
        </w:rPr>
        <w:t>after</w:t>
      </w:r>
      <w:r w:rsidRPr="000B75D8">
        <w:rPr>
          <w:noProof/>
          <w:szCs w:val="24"/>
          <w:lang w:val="en-IE"/>
        </w:rPr>
        <w:t xml:space="preserve"> the</w:t>
      </w:r>
      <w:r w:rsidR="001736D8" w:rsidRPr="000B75D8">
        <w:rPr>
          <w:noProof/>
          <w:szCs w:val="24"/>
          <w:lang w:val="en-IE"/>
        </w:rPr>
        <w:t xml:space="preserve"> COVID-19</w:t>
      </w:r>
      <w:r w:rsidRPr="000B75D8">
        <w:rPr>
          <w:noProof/>
          <w:szCs w:val="24"/>
          <w:lang w:val="en-IE"/>
        </w:rPr>
        <w:t xml:space="preserve"> pandemic, the Union was faced with Russia’s brutal </w:t>
      </w:r>
      <w:r w:rsidR="001736D8" w:rsidRPr="000B75D8">
        <w:rPr>
          <w:noProof/>
          <w:szCs w:val="24"/>
          <w:lang w:val="en-IE"/>
        </w:rPr>
        <w:t>war of aggression against</w:t>
      </w:r>
      <w:r w:rsidRPr="000B75D8">
        <w:rPr>
          <w:noProof/>
          <w:szCs w:val="24"/>
          <w:lang w:val="en-IE"/>
        </w:rPr>
        <w:t xml:space="preserve"> Ukraine, the ensuing energy crisis and </w:t>
      </w:r>
      <w:r w:rsidR="00347F68" w:rsidRPr="000B75D8">
        <w:rPr>
          <w:noProof/>
          <w:szCs w:val="24"/>
          <w:lang w:val="en-IE"/>
        </w:rPr>
        <w:t xml:space="preserve">the </w:t>
      </w:r>
      <w:r w:rsidRPr="000B75D8">
        <w:rPr>
          <w:noProof/>
          <w:szCs w:val="24"/>
          <w:lang w:val="en-IE"/>
        </w:rPr>
        <w:t xml:space="preserve">related spike in inflation and interest rates. These challenges </w:t>
      </w:r>
      <w:r w:rsidRPr="000B75D8">
        <w:rPr>
          <w:noProof/>
          <w:szCs w:val="24"/>
        </w:rPr>
        <w:t xml:space="preserve">could not have been anticipated at the time of the agreement </w:t>
      </w:r>
      <w:r w:rsidR="001736D8" w:rsidRPr="000B75D8">
        <w:rPr>
          <w:noProof/>
          <w:szCs w:val="24"/>
        </w:rPr>
        <w:t>on the</w:t>
      </w:r>
      <w:r w:rsidR="00673D36" w:rsidRPr="000B75D8">
        <w:rPr>
          <w:noProof/>
          <w:szCs w:val="24"/>
        </w:rPr>
        <w:t xml:space="preserve"> </w:t>
      </w:r>
      <w:r w:rsidR="001736D8" w:rsidRPr="000B75D8">
        <w:rPr>
          <w:noProof/>
          <w:szCs w:val="24"/>
        </w:rPr>
        <w:t>MFF</w:t>
      </w:r>
      <w:r w:rsidRPr="000B75D8">
        <w:rPr>
          <w:noProof/>
          <w:szCs w:val="24"/>
        </w:rPr>
        <w:t xml:space="preserve">. </w:t>
      </w:r>
      <w:r w:rsidRPr="000B75D8">
        <w:rPr>
          <w:noProof/>
          <w:szCs w:val="24"/>
          <w:lang w:val="en-IE"/>
        </w:rPr>
        <w:t>The Commission has swiftly acted and us</w:t>
      </w:r>
      <w:r w:rsidR="00641626" w:rsidRPr="000B75D8">
        <w:rPr>
          <w:noProof/>
          <w:szCs w:val="24"/>
          <w:lang w:val="en-IE"/>
        </w:rPr>
        <w:t>ed</w:t>
      </w:r>
      <w:r w:rsidRPr="000B75D8">
        <w:rPr>
          <w:noProof/>
          <w:szCs w:val="24"/>
          <w:lang w:val="en-IE"/>
        </w:rPr>
        <w:t xml:space="preserve"> all means at its disposal, including redeployments and reprogramming, on top of existing budgetary flexibilities. However, the limited budgetary flexibilities embedded in the </w:t>
      </w:r>
      <w:r w:rsidR="001D4E95" w:rsidRPr="000B75D8">
        <w:rPr>
          <w:noProof/>
          <w:szCs w:val="24"/>
          <w:lang w:val="en-IE"/>
        </w:rPr>
        <w:t xml:space="preserve">MFF </w:t>
      </w:r>
      <w:r w:rsidRPr="000B75D8">
        <w:rPr>
          <w:noProof/>
          <w:szCs w:val="24"/>
          <w:lang w:val="en-IE"/>
        </w:rPr>
        <w:t xml:space="preserve">are nearly exhausted and redeployment possibilities are reaching their limits, hindering the EU budget’s capacity to </w:t>
      </w:r>
      <w:r w:rsidRPr="000B75D8">
        <w:rPr>
          <w:iCs/>
          <w:noProof/>
          <w:szCs w:val="24"/>
          <w:lang w:val="en-IE"/>
        </w:rPr>
        <w:t>address even the most urgent challenges.</w:t>
      </w:r>
    </w:p>
    <w:p w14:paraId="316FC064" w14:textId="73966A74" w:rsidR="00A37F63" w:rsidRPr="000B75D8" w:rsidRDefault="00DB7BA5" w:rsidP="7284C04A">
      <w:pPr>
        <w:pBdr>
          <w:top w:val="nil"/>
          <w:left w:val="nil"/>
          <w:bottom w:val="nil"/>
          <w:right w:val="nil"/>
          <w:between w:val="nil"/>
          <w:bar w:val="nil"/>
        </w:pBdr>
        <w:spacing w:before="0" w:after="240"/>
        <w:rPr>
          <w:iCs/>
          <w:noProof/>
          <w:szCs w:val="24"/>
          <w:lang w:val="en-IE"/>
        </w:rPr>
      </w:pPr>
      <w:r w:rsidRPr="000B75D8">
        <w:rPr>
          <w:iCs/>
          <w:noProof/>
          <w:szCs w:val="24"/>
          <w:lang w:val="en-IE"/>
        </w:rPr>
        <w:lastRenderedPageBreak/>
        <w:t xml:space="preserve">The geopolitical </w:t>
      </w:r>
      <w:r w:rsidR="00C5355E" w:rsidRPr="000B75D8">
        <w:rPr>
          <w:iCs/>
          <w:noProof/>
          <w:szCs w:val="24"/>
          <w:lang w:val="en-IE"/>
        </w:rPr>
        <w:t xml:space="preserve">and economic </w:t>
      </w:r>
      <w:r w:rsidR="00C65A9B" w:rsidRPr="000B75D8">
        <w:rPr>
          <w:iCs/>
          <w:noProof/>
          <w:szCs w:val="24"/>
          <w:lang w:val="en-IE"/>
        </w:rPr>
        <w:t>evolution</w:t>
      </w:r>
      <w:r w:rsidRPr="000B75D8">
        <w:rPr>
          <w:iCs/>
          <w:noProof/>
          <w:szCs w:val="24"/>
          <w:lang w:val="en-IE"/>
        </w:rPr>
        <w:t xml:space="preserve"> </w:t>
      </w:r>
      <w:r w:rsidR="00C5355E" w:rsidRPr="000B75D8">
        <w:rPr>
          <w:iCs/>
          <w:noProof/>
          <w:szCs w:val="24"/>
          <w:lang w:val="en-IE"/>
        </w:rPr>
        <w:t xml:space="preserve">have brought </w:t>
      </w:r>
      <w:r w:rsidR="00C65A9B" w:rsidRPr="000B75D8">
        <w:rPr>
          <w:iCs/>
          <w:noProof/>
          <w:szCs w:val="24"/>
          <w:lang w:val="en-IE"/>
        </w:rPr>
        <w:t xml:space="preserve">new </w:t>
      </w:r>
      <w:r w:rsidR="00AA7A52" w:rsidRPr="000B75D8">
        <w:rPr>
          <w:iCs/>
          <w:noProof/>
          <w:szCs w:val="24"/>
          <w:lang w:val="en-IE"/>
        </w:rPr>
        <w:t xml:space="preserve">challenges which require </w:t>
      </w:r>
      <w:r w:rsidR="00F71119" w:rsidRPr="000B75D8">
        <w:rPr>
          <w:iCs/>
          <w:noProof/>
          <w:szCs w:val="24"/>
          <w:lang w:val="en-IE"/>
        </w:rPr>
        <w:t xml:space="preserve">increased </w:t>
      </w:r>
      <w:r w:rsidR="00AA7A52" w:rsidRPr="000B75D8">
        <w:rPr>
          <w:iCs/>
          <w:noProof/>
          <w:szCs w:val="24"/>
          <w:lang w:val="en-IE"/>
        </w:rPr>
        <w:t>EU action</w:t>
      </w:r>
      <w:r w:rsidR="005727F7" w:rsidRPr="000B75D8">
        <w:rPr>
          <w:iCs/>
          <w:noProof/>
          <w:szCs w:val="24"/>
          <w:lang w:val="en-IE"/>
        </w:rPr>
        <w:t xml:space="preserve">. </w:t>
      </w:r>
      <w:r w:rsidR="005727F7" w:rsidRPr="000B75D8">
        <w:rPr>
          <w:noProof/>
          <w:szCs w:val="24"/>
        </w:rPr>
        <w:t>The European Union needs to confirm its support to Ukraine on a multiannual basis.</w:t>
      </w:r>
      <w:r w:rsidR="001342DC" w:rsidRPr="000B75D8">
        <w:rPr>
          <w:noProof/>
          <w:szCs w:val="24"/>
        </w:rPr>
        <w:t xml:space="preserve"> </w:t>
      </w:r>
      <w:r w:rsidR="00E63AAE" w:rsidRPr="000B75D8">
        <w:rPr>
          <w:noProof/>
          <w:szCs w:val="24"/>
        </w:rPr>
        <w:t xml:space="preserve">Against the background of current strategic dependencies, </w:t>
      </w:r>
      <w:r w:rsidR="00CA3FCD" w:rsidRPr="000B75D8">
        <w:rPr>
          <w:noProof/>
          <w:szCs w:val="24"/>
        </w:rPr>
        <w:t>a</w:t>
      </w:r>
      <w:r w:rsidR="001342DC" w:rsidRPr="000B75D8">
        <w:rPr>
          <w:noProof/>
          <w:szCs w:val="24"/>
        </w:rPr>
        <w:t>ccelerating Europe’s twin transition should</w:t>
      </w:r>
      <w:r w:rsidR="001825DE" w:rsidRPr="000B75D8">
        <w:rPr>
          <w:noProof/>
          <w:szCs w:val="24"/>
        </w:rPr>
        <w:t xml:space="preserve"> provide</w:t>
      </w:r>
      <w:r w:rsidR="001342DC" w:rsidRPr="000B75D8">
        <w:rPr>
          <w:noProof/>
          <w:szCs w:val="24"/>
        </w:rPr>
        <w:t xml:space="preserve"> the opportunity for the Union to</w:t>
      </w:r>
      <w:r w:rsidR="00121894" w:rsidRPr="000B75D8">
        <w:rPr>
          <w:noProof/>
          <w:szCs w:val="24"/>
        </w:rPr>
        <w:t xml:space="preserve"> increase its resilience and</w:t>
      </w:r>
      <w:r w:rsidR="001342DC" w:rsidRPr="000B75D8">
        <w:rPr>
          <w:noProof/>
          <w:szCs w:val="24"/>
        </w:rPr>
        <w:t xml:space="preserve"> regain leadership in key sectors through smart public and private investment in strategic sectors</w:t>
      </w:r>
      <w:r w:rsidR="00CA3FCD" w:rsidRPr="000B75D8">
        <w:rPr>
          <w:noProof/>
          <w:szCs w:val="24"/>
        </w:rPr>
        <w:t>.</w:t>
      </w:r>
      <w:r w:rsidR="001342DC" w:rsidRPr="000B75D8">
        <w:rPr>
          <w:noProof/>
          <w:szCs w:val="24"/>
        </w:rPr>
        <w:t xml:space="preserve"> </w:t>
      </w:r>
      <w:r w:rsidR="00A57534" w:rsidRPr="000B75D8">
        <w:rPr>
          <w:noProof/>
          <w:szCs w:val="24"/>
        </w:rPr>
        <w:t>I</w:t>
      </w:r>
      <w:r w:rsidR="00426B16" w:rsidRPr="000B75D8">
        <w:rPr>
          <w:noProof/>
          <w:szCs w:val="24"/>
        </w:rPr>
        <w:t xml:space="preserve">f it is </w:t>
      </w:r>
      <w:r w:rsidR="0093250B" w:rsidRPr="000B75D8">
        <w:rPr>
          <w:noProof/>
          <w:szCs w:val="24"/>
        </w:rPr>
        <w:t>to deliver on the Union’s shared priorities and needs</w:t>
      </w:r>
      <w:r w:rsidR="00426B16" w:rsidRPr="000B75D8">
        <w:rPr>
          <w:noProof/>
          <w:szCs w:val="24"/>
        </w:rPr>
        <w:t>, the EU’s long</w:t>
      </w:r>
      <w:r w:rsidR="002A76BB" w:rsidRPr="000B75D8">
        <w:rPr>
          <w:noProof/>
          <w:szCs w:val="24"/>
        </w:rPr>
        <w:t>-</w:t>
      </w:r>
      <w:r w:rsidR="00426B16" w:rsidRPr="000B75D8">
        <w:rPr>
          <w:noProof/>
          <w:szCs w:val="24"/>
        </w:rPr>
        <w:t xml:space="preserve">term budget needs to </w:t>
      </w:r>
      <w:r w:rsidR="0045505C" w:rsidRPr="000B75D8">
        <w:rPr>
          <w:noProof/>
          <w:szCs w:val="24"/>
        </w:rPr>
        <w:t>be reinforced for the period 2024-2027</w:t>
      </w:r>
      <w:r w:rsidR="00426B16" w:rsidRPr="000B75D8">
        <w:rPr>
          <w:noProof/>
          <w:szCs w:val="24"/>
        </w:rPr>
        <w:t xml:space="preserve"> </w:t>
      </w:r>
      <w:r w:rsidR="0045505C" w:rsidRPr="000B75D8">
        <w:rPr>
          <w:noProof/>
          <w:szCs w:val="24"/>
        </w:rPr>
        <w:t xml:space="preserve">to provide the </w:t>
      </w:r>
      <w:r w:rsidR="00426B16" w:rsidRPr="000B75D8">
        <w:rPr>
          <w:noProof/>
          <w:szCs w:val="24"/>
        </w:rPr>
        <w:t xml:space="preserve">most essential funding to </w:t>
      </w:r>
      <w:r w:rsidR="0045505C" w:rsidRPr="000B75D8">
        <w:rPr>
          <w:noProof/>
          <w:szCs w:val="24"/>
        </w:rPr>
        <w:t>respond to these challenges.</w:t>
      </w:r>
    </w:p>
    <w:p w14:paraId="3EFFC0D2" w14:textId="443D4336" w:rsidR="00DC67FE" w:rsidRPr="000B75D8" w:rsidRDefault="00DC67FE" w:rsidP="00810559">
      <w:pPr>
        <w:pStyle w:val="ManualHeading3"/>
        <w:rPr>
          <w:noProof/>
        </w:rPr>
      </w:pPr>
      <w:r w:rsidRPr="000B75D8">
        <w:rPr>
          <w:noProof/>
        </w:rPr>
        <w:t>1.2.1.</w:t>
      </w:r>
      <w:r w:rsidR="00810559" w:rsidRPr="000B75D8">
        <w:rPr>
          <w:noProof/>
        </w:rPr>
        <w:tab/>
      </w:r>
      <w:r w:rsidR="008E505F" w:rsidRPr="000B75D8">
        <w:rPr>
          <w:noProof/>
        </w:rPr>
        <w:t>U</w:t>
      </w:r>
      <w:r w:rsidR="005D6610" w:rsidRPr="000B75D8">
        <w:rPr>
          <w:noProof/>
        </w:rPr>
        <w:t>nwavering and long-term support to Ukraine</w:t>
      </w:r>
      <w:r w:rsidR="008E505F" w:rsidRPr="000B75D8">
        <w:rPr>
          <w:noProof/>
        </w:rPr>
        <w:t>: the Ukraine Facility</w:t>
      </w:r>
      <w:r w:rsidR="004A1FC2" w:rsidRPr="000B75D8">
        <w:rPr>
          <w:noProof/>
        </w:rPr>
        <w:t xml:space="preserve"> </w:t>
      </w:r>
    </w:p>
    <w:p w14:paraId="3B5774F2" w14:textId="0084EE7F" w:rsidR="0041179B" w:rsidRPr="000B75D8" w:rsidRDefault="0057084E" w:rsidP="00EF067B">
      <w:pPr>
        <w:pBdr>
          <w:top w:val="nil"/>
          <w:left w:val="nil"/>
          <w:bottom w:val="nil"/>
          <w:right w:val="nil"/>
          <w:between w:val="nil"/>
          <w:bar w:val="nil"/>
        </w:pBdr>
        <w:spacing w:before="0" w:after="240"/>
        <w:rPr>
          <w:noProof/>
        </w:rPr>
      </w:pPr>
      <w:r w:rsidRPr="000B75D8">
        <w:rPr>
          <w:noProof/>
          <w:szCs w:val="24"/>
        </w:rPr>
        <w:t xml:space="preserve">The EU budget provided tremendous support through flexibilities and re-prioritisations but the </w:t>
      </w:r>
      <w:r w:rsidR="00F739D6" w:rsidRPr="000B75D8">
        <w:rPr>
          <w:noProof/>
          <w:szCs w:val="24"/>
        </w:rPr>
        <w:t xml:space="preserve">2021-2027 MFF </w:t>
      </w:r>
      <w:r w:rsidRPr="000B75D8">
        <w:rPr>
          <w:noProof/>
          <w:szCs w:val="24"/>
        </w:rPr>
        <w:t xml:space="preserve">was not </w:t>
      </w:r>
      <w:r w:rsidR="00C51978" w:rsidRPr="000B75D8">
        <w:rPr>
          <w:noProof/>
          <w:szCs w:val="24"/>
        </w:rPr>
        <w:t>designed</w:t>
      </w:r>
      <w:r w:rsidRPr="000B75D8">
        <w:rPr>
          <w:noProof/>
          <w:szCs w:val="24"/>
        </w:rPr>
        <w:t xml:space="preserve"> to address the consequences of a</w:t>
      </w:r>
      <w:r w:rsidR="005656DB" w:rsidRPr="000B75D8">
        <w:rPr>
          <w:noProof/>
          <w:szCs w:val="24"/>
        </w:rPr>
        <w:t xml:space="preserve"> </w:t>
      </w:r>
      <w:r w:rsidRPr="000B75D8">
        <w:rPr>
          <w:noProof/>
          <w:szCs w:val="24"/>
        </w:rPr>
        <w:t>war in Europe.</w:t>
      </w:r>
      <w:r w:rsidRPr="000B75D8">
        <w:rPr>
          <w:rStyle w:val="normaltextrun"/>
          <w:noProof/>
          <w:lang w:val="en-IE"/>
        </w:rPr>
        <w:t xml:space="preserve"> </w:t>
      </w:r>
      <w:r w:rsidRPr="000B75D8">
        <w:rPr>
          <w:noProof/>
          <w:szCs w:val="24"/>
        </w:rPr>
        <w:t xml:space="preserve">Ukraine’s liquidity needs for macro-financial stability remain high, and </w:t>
      </w:r>
      <w:r w:rsidR="00383427" w:rsidRPr="000B75D8">
        <w:rPr>
          <w:noProof/>
        </w:rPr>
        <w:t>i</w:t>
      </w:r>
      <w:r w:rsidR="0041179B" w:rsidRPr="000B75D8">
        <w:rPr>
          <w:noProof/>
        </w:rPr>
        <w:t xml:space="preserve">nvestment in Ukraine’s </w:t>
      </w:r>
      <w:r w:rsidR="0056021D" w:rsidRPr="000B75D8">
        <w:rPr>
          <w:noProof/>
        </w:rPr>
        <w:t>fast recovery and reconstruction should</w:t>
      </w:r>
      <w:r w:rsidR="00E20A24" w:rsidRPr="000B75D8">
        <w:rPr>
          <w:noProof/>
        </w:rPr>
        <w:t xml:space="preserve"> increase</w:t>
      </w:r>
      <w:r w:rsidR="0056021D" w:rsidRPr="000B75D8">
        <w:rPr>
          <w:noProof/>
        </w:rPr>
        <w:t xml:space="preserve"> progressively as the situation evolves</w:t>
      </w:r>
      <w:r w:rsidR="0041179B" w:rsidRPr="000B75D8">
        <w:rPr>
          <w:noProof/>
        </w:rPr>
        <w:t xml:space="preserve">. </w:t>
      </w:r>
      <w:r w:rsidR="00AF0813" w:rsidRPr="000B75D8">
        <w:rPr>
          <w:noProof/>
          <w:szCs w:val="24"/>
        </w:rPr>
        <w:t>Sustaining economic activity and rebuilding basic infrastructure would generate employment and revenues, give refugees a perspective to return home and lower the volume of international assistance needed</w:t>
      </w:r>
      <w:r w:rsidR="0041179B" w:rsidRPr="000B75D8">
        <w:rPr>
          <w:noProof/>
        </w:rPr>
        <w:t>.</w:t>
      </w:r>
    </w:p>
    <w:p w14:paraId="6068BB6C" w14:textId="7FFAF50E" w:rsidR="00C87E0D" w:rsidRPr="000B75D8" w:rsidRDefault="00CF0242" w:rsidP="00EF067B">
      <w:pPr>
        <w:pBdr>
          <w:top w:val="nil"/>
          <w:left w:val="nil"/>
          <w:bottom w:val="nil"/>
          <w:right w:val="nil"/>
          <w:between w:val="nil"/>
          <w:bar w:val="nil"/>
        </w:pBdr>
        <w:spacing w:before="0" w:after="240"/>
        <w:rPr>
          <w:noProof/>
        </w:rPr>
      </w:pPr>
      <w:r w:rsidRPr="000B75D8">
        <w:rPr>
          <w:noProof/>
          <w:szCs w:val="24"/>
          <w:lang w:val="en-IE"/>
        </w:rPr>
        <w:t xml:space="preserve">To cater for Ukraine’s immediate needs and short-term recovery as well as long-term reconstruction, </w:t>
      </w:r>
      <w:r w:rsidR="0041179B" w:rsidRPr="000B75D8">
        <w:rPr>
          <w:noProof/>
        </w:rPr>
        <w:t xml:space="preserve">the Commission proposes </w:t>
      </w:r>
      <w:r w:rsidR="001D4E95" w:rsidRPr="000B75D8">
        <w:rPr>
          <w:noProof/>
        </w:rPr>
        <w:t xml:space="preserve">a regulation establishing a </w:t>
      </w:r>
      <w:r w:rsidR="00C87E0D" w:rsidRPr="000B75D8">
        <w:rPr>
          <w:noProof/>
        </w:rPr>
        <w:t>Ukraine Facility</w:t>
      </w:r>
      <w:r w:rsidR="00C87E0D" w:rsidRPr="000B75D8">
        <w:rPr>
          <w:rStyle w:val="FootnoteReference"/>
          <w:noProof/>
        </w:rPr>
        <w:footnoteReference w:id="8"/>
      </w:r>
      <w:r w:rsidR="00C87E0D" w:rsidRPr="000B75D8">
        <w:rPr>
          <w:noProof/>
        </w:rPr>
        <w:t xml:space="preserve">, </w:t>
      </w:r>
      <w:r w:rsidR="0041179B" w:rsidRPr="000B75D8">
        <w:rPr>
          <w:noProof/>
        </w:rPr>
        <w:t>an integrated and flexible instrument with an overall</w:t>
      </w:r>
      <w:r w:rsidR="001D4E95" w:rsidRPr="000B75D8">
        <w:rPr>
          <w:noProof/>
        </w:rPr>
        <w:t xml:space="preserve"> maximum</w:t>
      </w:r>
      <w:r w:rsidR="0041179B" w:rsidRPr="000B75D8">
        <w:rPr>
          <w:noProof/>
        </w:rPr>
        <w:t xml:space="preserve"> capacity of </w:t>
      </w:r>
      <w:r w:rsidRPr="000B75D8">
        <w:rPr>
          <w:noProof/>
          <w:szCs w:val="24"/>
          <w:lang w:val="en-IE"/>
        </w:rPr>
        <w:t xml:space="preserve">up to </w:t>
      </w:r>
      <w:r w:rsidR="006E3BD2" w:rsidRPr="000B75D8">
        <w:rPr>
          <w:noProof/>
          <w:szCs w:val="24"/>
          <w:lang w:val="en-IE"/>
        </w:rPr>
        <w:t>EUR </w:t>
      </w:r>
      <w:r w:rsidR="001D0298" w:rsidRPr="000B75D8">
        <w:rPr>
          <w:noProof/>
          <w:szCs w:val="24"/>
          <w:lang w:val="en-IE"/>
        </w:rPr>
        <w:t>50</w:t>
      </w:r>
      <w:r w:rsidR="006E3BD2" w:rsidRPr="000B75D8">
        <w:rPr>
          <w:noProof/>
          <w:szCs w:val="24"/>
          <w:lang w:val="en-IE"/>
        </w:rPr>
        <w:t> </w:t>
      </w:r>
      <w:r w:rsidRPr="000B75D8">
        <w:rPr>
          <w:noProof/>
          <w:szCs w:val="24"/>
          <w:lang w:val="en-IE"/>
        </w:rPr>
        <w:t>billion</w:t>
      </w:r>
      <w:r w:rsidR="00E86597" w:rsidRPr="000B75D8">
        <w:rPr>
          <w:noProof/>
          <w:szCs w:val="24"/>
          <w:lang w:val="en-IE"/>
        </w:rPr>
        <w:t xml:space="preserve"> i</w:t>
      </w:r>
      <w:r w:rsidR="00991E45" w:rsidRPr="000B75D8">
        <w:rPr>
          <w:noProof/>
          <w:szCs w:val="24"/>
          <w:lang w:val="en-IE"/>
        </w:rPr>
        <w:t>n current prices</w:t>
      </w:r>
      <w:r w:rsidR="0041179B" w:rsidRPr="000B75D8">
        <w:rPr>
          <w:noProof/>
        </w:rPr>
        <w:t>.</w:t>
      </w:r>
    </w:p>
    <w:p w14:paraId="5B60BF06" w14:textId="504CD4A1" w:rsidR="00B33992" w:rsidRPr="000B75D8" w:rsidRDefault="0041179B" w:rsidP="00EF067B">
      <w:pPr>
        <w:pBdr>
          <w:top w:val="nil"/>
          <w:left w:val="nil"/>
          <w:bottom w:val="nil"/>
          <w:right w:val="nil"/>
          <w:between w:val="nil"/>
          <w:bar w:val="nil"/>
        </w:pBdr>
        <w:spacing w:before="0" w:after="240"/>
        <w:rPr>
          <w:noProof/>
        </w:rPr>
      </w:pPr>
      <w:r w:rsidRPr="000B75D8">
        <w:rPr>
          <w:noProof/>
        </w:rPr>
        <w:t>Support will be provided in the form of repayable (loans) and non-repayable support</w:t>
      </w:r>
      <w:r w:rsidR="00A64665" w:rsidRPr="000B75D8">
        <w:rPr>
          <w:noProof/>
        </w:rPr>
        <w:t xml:space="preserve"> and provisioning for budgetary guarantees</w:t>
      </w:r>
      <w:r w:rsidRPr="000B75D8">
        <w:rPr>
          <w:noProof/>
        </w:rPr>
        <w:t>. This will ensure stable and predictable funding while providing an appropriate framework ensuring prioriti</w:t>
      </w:r>
      <w:r w:rsidR="00A64665" w:rsidRPr="000B75D8">
        <w:rPr>
          <w:noProof/>
        </w:rPr>
        <w:t>s</w:t>
      </w:r>
      <w:r w:rsidRPr="000B75D8">
        <w:rPr>
          <w:noProof/>
        </w:rPr>
        <w:t>ation</w:t>
      </w:r>
      <w:r w:rsidR="000C5490" w:rsidRPr="000B75D8">
        <w:rPr>
          <w:noProof/>
        </w:rPr>
        <w:t xml:space="preserve"> of reforms and investments through a Ukraine Plan, the sustainability of Ukraine’s finances, as well as the </w:t>
      </w:r>
      <w:r w:rsidRPr="000B75D8">
        <w:rPr>
          <w:noProof/>
        </w:rPr>
        <w:t>protection of the EU budget</w:t>
      </w:r>
      <w:r w:rsidR="00C87E0D" w:rsidRPr="000B75D8">
        <w:rPr>
          <w:noProof/>
        </w:rPr>
        <w:t>.</w:t>
      </w:r>
      <w:r w:rsidR="00D20C96" w:rsidRPr="000B75D8">
        <w:rPr>
          <w:noProof/>
        </w:rPr>
        <w:t xml:space="preserve"> L</w:t>
      </w:r>
      <w:r w:rsidR="007D7903" w:rsidRPr="000B75D8">
        <w:rPr>
          <w:noProof/>
        </w:rPr>
        <w:t xml:space="preserve">oans </w:t>
      </w:r>
      <w:r w:rsidR="005F6E1A" w:rsidRPr="000B75D8">
        <w:rPr>
          <w:noProof/>
        </w:rPr>
        <w:t>to Ukraine</w:t>
      </w:r>
      <w:r w:rsidRPr="000B75D8">
        <w:rPr>
          <w:noProof/>
        </w:rPr>
        <w:t xml:space="preserve"> </w:t>
      </w:r>
      <w:r w:rsidR="00C87E0D" w:rsidRPr="000B75D8">
        <w:rPr>
          <w:noProof/>
        </w:rPr>
        <w:t>will</w:t>
      </w:r>
      <w:r w:rsidRPr="000B75D8">
        <w:rPr>
          <w:noProof/>
        </w:rPr>
        <w:t xml:space="preserve"> be financed by borrowing on financial markets and backed by the </w:t>
      </w:r>
      <w:r w:rsidR="001D4E95" w:rsidRPr="000B75D8">
        <w:rPr>
          <w:noProof/>
        </w:rPr>
        <w:t xml:space="preserve">so-called </w:t>
      </w:r>
      <w:r w:rsidR="00462171" w:rsidRPr="000B75D8">
        <w:rPr>
          <w:noProof/>
        </w:rPr>
        <w:t>‘</w:t>
      </w:r>
      <w:r w:rsidRPr="000B75D8">
        <w:rPr>
          <w:noProof/>
        </w:rPr>
        <w:t>headroom</w:t>
      </w:r>
      <w:r w:rsidR="00462171" w:rsidRPr="000B75D8">
        <w:rPr>
          <w:noProof/>
        </w:rPr>
        <w:t>’</w:t>
      </w:r>
      <w:r w:rsidRPr="000B75D8">
        <w:rPr>
          <w:noProof/>
        </w:rPr>
        <w:t xml:space="preserve"> of the EU budget</w:t>
      </w:r>
      <w:r w:rsidR="00D8356A" w:rsidRPr="000B75D8">
        <w:rPr>
          <w:noProof/>
        </w:rPr>
        <w:t>,</w:t>
      </w:r>
      <w:r w:rsidR="000806B2" w:rsidRPr="000B75D8">
        <w:rPr>
          <w:noProof/>
        </w:rPr>
        <w:t xml:space="preserve"> </w:t>
      </w:r>
      <w:r w:rsidR="001D4E95" w:rsidRPr="000B75D8">
        <w:rPr>
          <w:noProof/>
        </w:rPr>
        <w:t xml:space="preserve">hence </w:t>
      </w:r>
      <w:r w:rsidR="000806B2" w:rsidRPr="000B75D8">
        <w:rPr>
          <w:noProof/>
        </w:rPr>
        <w:t xml:space="preserve">over and above the MFF ceilings </w:t>
      </w:r>
      <w:r w:rsidR="002A139E" w:rsidRPr="000B75D8">
        <w:rPr>
          <w:noProof/>
        </w:rPr>
        <w:t>and within</w:t>
      </w:r>
      <w:r w:rsidR="000806B2" w:rsidRPr="000B75D8">
        <w:rPr>
          <w:noProof/>
        </w:rPr>
        <w:t xml:space="preserve"> the limits of the own resources ceiling</w:t>
      </w:r>
      <w:r w:rsidRPr="000B75D8">
        <w:rPr>
          <w:noProof/>
        </w:rPr>
        <w:t xml:space="preserve">. </w:t>
      </w:r>
      <w:r w:rsidR="00B33992" w:rsidRPr="000B75D8">
        <w:rPr>
          <w:noProof/>
        </w:rPr>
        <w:t>T</w:t>
      </w:r>
      <w:r w:rsidRPr="000B75D8">
        <w:rPr>
          <w:noProof/>
        </w:rPr>
        <w:t xml:space="preserve">he non-repayable support </w:t>
      </w:r>
      <w:r w:rsidR="00462171" w:rsidRPr="000B75D8">
        <w:rPr>
          <w:noProof/>
        </w:rPr>
        <w:t xml:space="preserve">and provisioning for budgetary guarantees </w:t>
      </w:r>
      <w:r w:rsidR="003D344D" w:rsidRPr="000B75D8">
        <w:rPr>
          <w:noProof/>
        </w:rPr>
        <w:t>wi</w:t>
      </w:r>
      <w:r w:rsidRPr="000B75D8">
        <w:rPr>
          <w:noProof/>
        </w:rPr>
        <w:t xml:space="preserve">ll be financed under a new </w:t>
      </w:r>
      <w:r w:rsidR="00F4207A" w:rsidRPr="000B75D8">
        <w:rPr>
          <w:noProof/>
        </w:rPr>
        <w:t>t</w:t>
      </w:r>
      <w:r w:rsidRPr="000B75D8">
        <w:rPr>
          <w:noProof/>
        </w:rPr>
        <w:t xml:space="preserve">hematic </w:t>
      </w:r>
      <w:r w:rsidR="00F4207A" w:rsidRPr="000B75D8">
        <w:rPr>
          <w:noProof/>
        </w:rPr>
        <w:t>s</w:t>
      </w:r>
      <w:r w:rsidRPr="000B75D8">
        <w:rPr>
          <w:noProof/>
        </w:rPr>
        <w:t xml:space="preserve">pecial </w:t>
      </w:r>
      <w:r w:rsidR="00F4207A" w:rsidRPr="000B75D8">
        <w:rPr>
          <w:noProof/>
        </w:rPr>
        <w:t>i</w:t>
      </w:r>
      <w:r w:rsidRPr="000B75D8">
        <w:rPr>
          <w:noProof/>
        </w:rPr>
        <w:t xml:space="preserve">nstrument, </w:t>
      </w:r>
      <w:r w:rsidR="00C87E0D" w:rsidRPr="000B75D8">
        <w:rPr>
          <w:noProof/>
        </w:rPr>
        <w:t xml:space="preserve">the </w:t>
      </w:r>
      <w:r w:rsidRPr="000B75D8">
        <w:rPr>
          <w:noProof/>
        </w:rPr>
        <w:t xml:space="preserve">Ukraine Reserve, providing the necessary resources to the Ukraine Facility, over </w:t>
      </w:r>
      <w:r w:rsidR="00462171" w:rsidRPr="000B75D8">
        <w:rPr>
          <w:noProof/>
        </w:rPr>
        <w:t xml:space="preserve">and above </w:t>
      </w:r>
      <w:r w:rsidRPr="000B75D8">
        <w:rPr>
          <w:noProof/>
        </w:rPr>
        <w:t xml:space="preserve">the </w:t>
      </w:r>
      <w:r w:rsidR="00462171" w:rsidRPr="000B75D8">
        <w:rPr>
          <w:noProof/>
        </w:rPr>
        <w:t xml:space="preserve">MFF </w:t>
      </w:r>
      <w:r w:rsidRPr="000B75D8">
        <w:rPr>
          <w:noProof/>
        </w:rPr>
        <w:t>ceilings.</w:t>
      </w:r>
      <w:r w:rsidR="00B33992" w:rsidRPr="000B75D8">
        <w:rPr>
          <w:noProof/>
        </w:rPr>
        <w:t xml:space="preserve"> </w:t>
      </w:r>
      <w:r w:rsidR="00B33992" w:rsidRPr="000B75D8">
        <w:rPr>
          <w:noProof/>
          <w:szCs w:val="24"/>
          <w:lang w:val="en-IE"/>
        </w:rPr>
        <w:t>This flexible approach is needed for catering for the country's evolving needs until 2027.</w:t>
      </w:r>
    </w:p>
    <w:p w14:paraId="295F8EBC" w14:textId="0718EF9C" w:rsidR="00CF0242" w:rsidRPr="000B75D8" w:rsidRDefault="00CF0242" w:rsidP="008E505F">
      <w:pPr>
        <w:pStyle w:val="ManualHeading3"/>
        <w:rPr>
          <w:noProof/>
          <w:lang w:val="en-IE"/>
        </w:rPr>
      </w:pPr>
      <w:r w:rsidRPr="000B75D8">
        <w:rPr>
          <w:noProof/>
          <w:lang w:val="en-IE"/>
        </w:rPr>
        <w:t>1.2.2.</w:t>
      </w:r>
      <w:r w:rsidRPr="000B75D8">
        <w:rPr>
          <w:noProof/>
          <w:lang w:val="en-IE"/>
        </w:rPr>
        <w:tab/>
      </w:r>
      <w:r w:rsidR="002F58E1" w:rsidRPr="000B75D8">
        <w:rPr>
          <w:noProof/>
          <w:lang w:val="en-IE"/>
        </w:rPr>
        <w:t xml:space="preserve">Managing </w:t>
      </w:r>
      <w:r w:rsidR="00CE3E09" w:rsidRPr="000B75D8">
        <w:rPr>
          <w:noProof/>
          <w:lang w:val="en-IE"/>
        </w:rPr>
        <w:t>migration, strengthening partnerships</w:t>
      </w:r>
      <w:r w:rsidR="002F58E1" w:rsidRPr="000B75D8">
        <w:rPr>
          <w:noProof/>
          <w:lang w:val="en-IE"/>
        </w:rPr>
        <w:t xml:space="preserve"> with </w:t>
      </w:r>
      <w:r w:rsidR="006E16A4" w:rsidRPr="000B75D8">
        <w:rPr>
          <w:noProof/>
          <w:lang w:val="en-IE"/>
        </w:rPr>
        <w:t>key third countries</w:t>
      </w:r>
      <w:r w:rsidR="00CE3E09" w:rsidRPr="000B75D8">
        <w:rPr>
          <w:noProof/>
          <w:lang w:val="en-IE"/>
        </w:rPr>
        <w:t xml:space="preserve"> and addressing emergencies</w:t>
      </w:r>
    </w:p>
    <w:p w14:paraId="69A197A9" w14:textId="33376225" w:rsidR="00106CB0" w:rsidRPr="000B75D8" w:rsidRDefault="00986B62" w:rsidP="00106CB0">
      <w:pPr>
        <w:spacing w:after="240"/>
        <w:rPr>
          <w:noProof/>
          <w:szCs w:val="24"/>
          <w:lang w:val="en-IE"/>
        </w:rPr>
      </w:pPr>
      <w:r w:rsidRPr="000B75D8">
        <w:rPr>
          <w:noProof/>
        </w:rPr>
        <w:t xml:space="preserve">Russia’s illegal war of aggression against Ukraine has had first and foremost a devastating effect on Ukraine and its people, but it also had major </w:t>
      </w:r>
      <w:r w:rsidR="00B325FD" w:rsidRPr="000B75D8">
        <w:rPr>
          <w:noProof/>
        </w:rPr>
        <w:t>global implications, affecting our partners’ secure and affordable access to food and energy. This came on top of a multiplication of geopolitical crises and natural disasters</w:t>
      </w:r>
      <w:r w:rsidR="00C17E18" w:rsidRPr="000B75D8">
        <w:rPr>
          <w:noProof/>
        </w:rPr>
        <w:t>, and put a significant strain on the resources available under Heading 6 ‘</w:t>
      </w:r>
      <w:r w:rsidR="00C17E18" w:rsidRPr="000B75D8">
        <w:rPr>
          <w:noProof/>
          <w:szCs w:val="24"/>
          <w:lang w:val="en-IE"/>
        </w:rPr>
        <w:t>Neighbourhood and the World’.</w:t>
      </w:r>
      <w:r w:rsidR="00106CB0" w:rsidRPr="000B75D8">
        <w:rPr>
          <w:noProof/>
          <w:szCs w:val="24"/>
          <w:lang w:val="en-IE"/>
        </w:rPr>
        <w:t xml:space="preserve"> The Union’s capacity </w:t>
      </w:r>
      <w:r w:rsidR="00106CB0" w:rsidRPr="000B75D8">
        <w:rPr>
          <w:noProof/>
          <w:lang w:val="en-IE"/>
        </w:rPr>
        <w:t>to respond to pressing global challenges as well as humanitarian crises in third countries needs to be restored.</w:t>
      </w:r>
    </w:p>
    <w:p w14:paraId="15AA752A" w14:textId="377D045E" w:rsidR="00B91D71" w:rsidRPr="000B75D8" w:rsidRDefault="0094331B" w:rsidP="00D24131">
      <w:pPr>
        <w:rPr>
          <w:noProof/>
          <w:lang w:val="en-IE"/>
        </w:rPr>
      </w:pPr>
      <w:r w:rsidRPr="000B75D8">
        <w:rPr>
          <w:noProof/>
          <w:lang w:val="en-IE"/>
        </w:rPr>
        <w:t xml:space="preserve">In a context of </w:t>
      </w:r>
      <w:r w:rsidR="00E251D2" w:rsidRPr="000B75D8">
        <w:rPr>
          <w:noProof/>
          <w:lang w:val="en-IE"/>
        </w:rPr>
        <w:t>h</w:t>
      </w:r>
      <w:r w:rsidR="00CE3E09" w:rsidRPr="000B75D8">
        <w:rPr>
          <w:noProof/>
          <w:lang w:val="en-IE"/>
        </w:rPr>
        <w:t>eightened global economic and political instability</w:t>
      </w:r>
      <w:r w:rsidR="00E251D2" w:rsidRPr="000B75D8">
        <w:rPr>
          <w:noProof/>
          <w:lang w:val="en-IE"/>
        </w:rPr>
        <w:t xml:space="preserve">, </w:t>
      </w:r>
      <w:r w:rsidR="00106CB0" w:rsidRPr="000B75D8">
        <w:rPr>
          <w:noProof/>
          <w:lang w:val="en-IE"/>
        </w:rPr>
        <w:t xml:space="preserve">global </w:t>
      </w:r>
      <w:r w:rsidR="00627DA3" w:rsidRPr="000B75D8">
        <w:rPr>
          <w:noProof/>
          <w:lang w:val="en-IE"/>
        </w:rPr>
        <w:t>migration</w:t>
      </w:r>
      <w:r w:rsidR="00106CB0" w:rsidRPr="000B75D8">
        <w:rPr>
          <w:noProof/>
          <w:lang w:val="en-IE"/>
        </w:rPr>
        <w:t xml:space="preserve"> trends are increasing</w:t>
      </w:r>
      <w:r w:rsidR="002836F8" w:rsidRPr="000B75D8">
        <w:rPr>
          <w:noProof/>
          <w:lang w:val="en-IE"/>
        </w:rPr>
        <w:t xml:space="preserve">, and </w:t>
      </w:r>
      <w:r w:rsidR="00AF24F0" w:rsidRPr="000B75D8">
        <w:rPr>
          <w:noProof/>
          <w:lang w:val="en-IE"/>
        </w:rPr>
        <w:t xml:space="preserve">the </w:t>
      </w:r>
      <w:r w:rsidR="00106CB0" w:rsidRPr="000B75D8">
        <w:rPr>
          <w:noProof/>
        </w:rPr>
        <w:t xml:space="preserve">migratory pressure at the Union borders continues its upward trend. </w:t>
      </w:r>
      <w:r w:rsidR="00481BA7" w:rsidRPr="000B75D8">
        <w:rPr>
          <w:noProof/>
          <w:lang w:val="en-IE"/>
        </w:rPr>
        <w:t xml:space="preserve">This requires enabling the EU </w:t>
      </w:r>
      <w:r w:rsidR="00FA3DA6" w:rsidRPr="000B75D8">
        <w:rPr>
          <w:noProof/>
          <w:lang w:val="en-IE"/>
        </w:rPr>
        <w:t xml:space="preserve">budget </w:t>
      </w:r>
      <w:r w:rsidR="00481BA7" w:rsidRPr="000B75D8">
        <w:rPr>
          <w:noProof/>
          <w:lang w:val="en-IE"/>
        </w:rPr>
        <w:t xml:space="preserve">to </w:t>
      </w:r>
      <w:r w:rsidR="001C1444" w:rsidRPr="000B75D8">
        <w:rPr>
          <w:noProof/>
          <w:lang w:val="en-IE"/>
        </w:rPr>
        <w:t xml:space="preserve">continue to provide </w:t>
      </w:r>
      <w:r w:rsidR="005E4FD5" w:rsidRPr="000B75D8">
        <w:rPr>
          <w:noProof/>
          <w:lang w:val="en-IE"/>
        </w:rPr>
        <w:t>sustained</w:t>
      </w:r>
      <w:r w:rsidR="001C1444" w:rsidRPr="000B75D8">
        <w:rPr>
          <w:noProof/>
          <w:lang w:val="en-IE"/>
        </w:rPr>
        <w:t xml:space="preserve"> </w:t>
      </w:r>
      <w:r w:rsidR="00F5193E" w:rsidRPr="000B75D8">
        <w:rPr>
          <w:noProof/>
          <w:lang w:val="en-IE"/>
        </w:rPr>
        <w:t xml:space="preserve">financial support to </w:t>
      </w:r>
      <w:r w:rsidR="002836F8" w:rsidRPr="000B75D8">
        <w:rPr>
          <w:noProof/>
          <w:lang w:val="en-IE"/>
        </w:rPr>
        <w:t>address the root causes of migration, improve border management and maintain effective migration partnerships with third countries – whether countries of origin and transit, or those hosting large numbers of refugees</w:t>
      </w:r>
      <w:r w:rsidR="00106CB0" w:rsidRPr="000B75D8">
        <w:rPr>
          <w:noProof/>
          <w:lang w:val="en-IE"/>
        </w:rPr>
        <w:t>.</w:t>
      </w:r>
    </w:p>
    <w:p w14:paraId="6413C92F" w14:textId="29B74C72" w:rsidR="004574A9" w:rsidRPr="000B75D8" w:rsidRDefault="00106CB0" w:rsidP="00D24131">
      <w:pPr>
        <w:rPr>
          <w:noProof/>
          <w:lang w:val="en-IE"/>
        </w:rPr>
      </w:pPr>
      <w:r w:rsidRPr="000B75D8">
        <w:rPr>
          <w:noProof/>
          <w:lang w:val="en-IE"/>
        </w:rPr>
        <w:t>Concerning the internal dimension of migration as well as border management, t</w:t>
      </w:r>
      <w:r w:rsidR="007E275E" w:rsidRPr="000B75D8">
        <w:rPr>
          <w:noProof/>
          <w:lang w:val="en-IE"/>
        </w:rPr>
        <w:t>he</w:t>
      </w:r>
      <w:r w:rsidR="005E4FD5" w:rsidRPr="000B75D8">
        <w:rPr>
          <w:noProof/>
          <w:lang w:val="en-IE"/>
        </w:rPr>
        <w:t xml:space="preserve"> New</w:t>
      </w:r>
      <w:r w:rsidR="007E275E" w:rsidRPr="000B75D8">
        <w:rPr>
          <w:noProof/>
          <w:lang w:val="en-IE"/>
        </w:rPr>
        <w:t xml:space="preserve"> Pact on Migration and Asylum</w:t>
      </w:r>
      <w:r w:rsidR="00B745EB" w:rsidRPr="000B75D8">
        <w:rPr>
          <w:rStyle w:val="FootnoteReference"/>
          <w:bCs/>
          <w:noProof/>
          <w:szCs w:val="24"/>
          <w:lang w:val="en-IE"/>
        </w:rPr>
        <w:footnoteReference w:id="9"/>
      </w:r>
      <w:r w:rsidR="007E275E" w:rsidRPr="000B75D8">
        <w:rPr>
          <w:noProof/>
          <w:lang w:val="en-IE"/>
        </w:rPr>
        <w:t>, currently in the interinstitutional phase, will provide a new and durable EU framework for</w:t>
      </w:r>
      <w:r w:rsidR="004D582F" w:rsidRPr="000B75D8">
        <w:rPr>
          <w:noProof/>
          <w:lang w:val="en-IE"/>
        </w:rPr>
        <w:t xml:space="preserve"> asylum and</w:t>
      </w:r>
      <w:r w:rsidR="007E275E" w:rsidRPr="000B75D8">
        <w:rPr>
          <w:noProof/>
          <w:lang w:val="en-IE"/>
        </w:rPr>
        <w:t xml:space="preserve"> migration management. Based on the current state of the discussions </w:t>
      </w:r>
      <w:r w:rsidR="00E504C3" w:rsidRPr="000B75D8">
        <w:rPr>
          <w:noProof/>
          <w:lang w:val="en-IE"/>
        </w:rPr>
        <w:t xml:space="preserve">and </w:t>
      </w:r>
      <w:r w:rsidR="000E76CF" w:rsidRPr="000B75D8">
        <w:rPr>
          <w:noProof/>
          <w:lang w:val="en-IE"/>
        </w:rPr>
        <w:t>in line with</w:t>
      </w:r>
      <w:r w:rsidR="007E275E" w:rsidRPr="000B75D8">
        <w:rPr>
          <w:noProof/>
          <w:lang w:val="en-IE"/>
        </w:rPr>
        <w:t xml:space="preserve"> the objective of the co-legislators to work together to adopt the reform of the EU migration and asylum rules </w:t>
      </w:r>
      <w:r w:rsidR="00B320F2" w:rsidRPr="000B75D8">
        <w:rPr>
          <w:noProof/>
        </w:rPr>
        <w:t>before the end of the 2019-2024 legislative period</w:t>
      </w:r>
      <w:r w:rsidR="008E1344" w:rsidRPr="000B75D8">
        <w:rPr>
          <w:rStyle w:val="FootnoteReference"/>
          <w:noProof/>
        </w:rPr>
        <w:footnoteReference w:id="10"/>
      </w:r>
      <w:r w:rsidR="007E275E" w:rsidRPr="000B75D8">
        <w:rPr>
          <w:noProof/>
          <w:lang w:val="en-IE"/>
        </w:rPr>
        <w:t>,</w:t>
      </w:r>
      <w:r w:rsidR="00CE5260" w:rsidRPr="000B75D8">
        <w:rPr>
          <w:noProof/>
          <w:lang w:val="en-IE"/>
        </w:rPr>
        <w:t xml:space="preserve"> </w:t>
      </w:r>
      <w:r w:rsidR="00F11B78" w:rsidRPr="000B75D8">
        <w:rPr>
          <w:noProof/>
          <w:lang w:val="en-IE"/>
        </w:rPr>
        <w:t>t</w:t>
      </w:r>
      <w:r w:rsidR="00CE5260" w:rsidRPr="000B75D8">
        <w:rPr>
          <w:noProof/>
          <w:lang w:val="en-IE"/>
        </w:rPr>
        <w:t>he implementation of the New Pact on Migration and Asylum will require additional financing, in particular for the screening and border procedure, reception capacity, relocations and returns.</w:t>
      </w:r>
    </w:p>
    <w:p w14:paraId="5397B27E" w14:textId="5371AC47" w:rsidR="00406FD7" w:rsidRPr="000B75D8" w:rsidRDefault="00406FD7" w:rsidP="005903A2">
      <w:pPr>
        <w:spacing w:after="240"/>
        <w:rPr>
          <w:bCs/>
          <w:noProof/>
          <w:szCs w:val="24"/>
          <w:lang w:val="en-IE"/>
        </w:rPr>
      </w:pPr>
      <w:r w:rsidRPr="000B75D8">
        <w:rPr>
          <w:noProof/>
          <w:szCs w:val="24"/>
          <w:lang w:val="en-IE"/>
        </w:rPr>
        <w:t xml:space="preserve">The Commission thus proposes to increase the </w:t>
      </w:r>
      <w:r w:rsidR="009374D3" w:rsidRPr="000B75D8">
        <w:rPr>
          <w:noProof/>
          <w:szCs w:val="24"/>
          <w:lang w:val="en-IE"/>
        </w:rPr>
        <w:t>expenditure ceilings of</w:t>
      </w:r>
      <w:r w:rsidRPr="000B75D8">
        <w:rPr>
          <w:noProof/>
          <w:szCs w:val="24"/>
          <w:lang w:val="en-IE"/>
        </w:rPr>
        <w:t xml:space="preserve"> Heading 4 </w:t>
      </w:r>
      <w:r w:rsidR="00245273" w:rsidRPr="000B75D8">
        <w:rPr>
          <w:noProof/>
          <w:szCs w:val="24"/>
          <w:lang w:val="en-IE"/>
        </w:rPr>
        <w:t>‘Migration and Border Management’ and</w:t>
      </w:r>
      <w:r w:rsidRPr="000B75D8">
        <w:rPr>
          <w:noProof/>
          <w:szCs w:val="24"/>
          <w:lang w:val="en-IE"/>
        </w:rPr>
        <w:t xml:space="preserve"> of Heading 6</w:t>
      </w:r>
      <w:r w:rsidR="00245273" w:rsidRPr="000B75D8">
        <w:rPr>
          <w:noProof/>
          <w:szCs w:val="24"/>
          <w:lang w:val="en-IE"/>
        </w:rPr>
        <w:t xml:space="preserve"> ‘Neighbourhood and the World’</w:t>
      </w:r>
      <w:r w:rsidRPr="000B75D8">
        <w:rPr>
          <w:noProof/>
          <w:szCs w:val="24"/>
          <w:lang w:val="en-IE"/>
        </w:rPr>
        <w:t xml:space="preserve"> with respec</w:t>
      </w:r>
      <w:r w:rsidR="00245273" w:rsidRPr="000B75D8">
        <w:rPr>
          <w:noProof/>
          <w:szCs w:val="24"/>
          <w:lang w:val="en-IE"/>
        </w:rPr>
        <w:t>t</w:t>
      </w:r>
      <w:r w:rsidRPr="000B75D8">
        <w:rPr>
          <w:noProof/>
          <w:szCs w:val="24"/>
          <w:lang w:val="en-IE"/>
        </w:rPr>
        <w:t xml:space="preserve">ively additional </w:t>
      </w:r>
      <w:r w:rsidR="007362B2" w:rsidRPr="000B75D8">
        <w:rPr>
          <w:noProof/>
          <w:szCs w:val="24"/>
          <w:lang w:val="en-IE"/>
        </w:rPr>
        <w:t>EUR </w:t>
      </w:r>
      <w:r w:rsidR="00DF2003" w:rsidRPr="000B75D8">
        <w:rPr>
          <w:noProof/>
          <w:szCs w:val="24"/>
          <w:lang w:val="en-IE"/>
        </w:rPr>
        <w:t>1</w:t>
      </w:r>
      <w:r w:rsidR="00A70C5D" w:rsidRPr="000B75D8">
        <w:rPr>
          <w:noProof/>
          <w:szCs w:val="24"/>
          <w:lang w:val="en-IE"/>
        </w:rPr>
        <w:t> </w:t>
      </w:r>
      <w:r w:rsidR="00DF2003" w:rsidRPr="000B75D8">
        <w:rPr>
          <w:noProof/>
          <w:szCs w:val="24"/>
          <w:lang w:val="en-IE"/>
        </w:rPr>
        <w:t>693</w:t>
      </w:r>
      <w:r w:rsidR="007F136F" w:rsidRPr="000B75D8">
        <w:rPr>
          <w:noProof/>
          <w:szCs w:val="24"/>
          <w:lang w:val="en-IE"/>
        </w:rPr>
        <w:t> </w:t>
      </w:r>
      <w:r w:rsidR="00DF2003" w:rsidRPr="000B75D8">
        <w:rPr>
          <w:noProof/>
          <w:szCs w:val="24"/>
          <w:lang w:val="en-IE"/>
        </w:rPr>
        <w:t>million</w:t>
      </w:r>
      <w:r w:rsidRPr="000B75D8">
        <w:rPr>
          <w:noProof/>
          <w:szCs w:val="24"/>
          <w:lang w:val="en-IE"/>
        </w:rPr>
        <w:t xml:space="preserve"> and </w:t>
      </w:r>
      <w:r w:rsidR="007362B2" w:rsidRPr="000B75D8">
        <w:rPr>
          <w:noProof/>
          <w:szCs w:val="24"/>
          <w:lang w:val="en-IE"/>
        </w:rPr>
        <w:t>EUR </w:t>
      </w:r>
      <w:r w:rsidR="00E501FB" w:rsidRPr="000B75D8">
        <w:rPr>
          <w:noProof/>
          <w:szCs w:val="24"/>
          <w:lang w:val="en-IE"/>
        </w:rPr>
        <w:t>9</w:t>
      </w:r>
      <w:r w:rsidR="00A70C5D" w:rsidRPr="000B75D8">
        <w:rPr>
          <w:noProof/>
          <w:szCs w:val="24"/>
          <w:lang w:val="en-IE"/>
        </w:rPr>
        <w:t> </w:t>
      </w:r>
      <w:r w:rsidR="00E501FB" w:rsidRPr="000B75D8">
        <w:rPr>
          <w:noProof/>
          <w:szCs w:val="24"/>
          <w:lang w:val="en-IE"/>
        </w:rPr>
        <w:t>056</w:t>
      </w:r>
      <w:r w:rsidR="007F136F" w:rsidRPr="000B75D8">
        <w:rPr>
          <w:noProof/>
          <w:szCs w:val="24"/>
          <w:lang w:val="en-IE"/>
        </w:rPr>
        <w:t> </w:t>
      </w:r>
      <w:r w:rsidR="00E501FB" w:rsidRPr="000B75D8">
        <w:rPr>
          <w:noProof/>
          <w:szCs w:val="24"/>
          <w:lang w:val="en-IE"/>
        </w:rPr>
        <w:t>million</w:t>
      </w:r>
      <w:r w:rsidR="009374D3" w:rsidRPr="000B75D8">
        <w:rPr>
          <w:noProof/>
          <w:szCs w:val="24"/>
          <w:lang w:val="en-IE"/>
        </w:rPr>
        <w:t xml:space="preserve"> </w:t>
      </w:r>
      <w:r w:rsidRPr="000B75D8">
        <w:rPr>
          <w:noProof/>
          <w:szCs w:val="24"/>
          <w:lang w:val="en-IE"/>
        </w:rPr>
        <w:t>for the period 2024 to 2027.</w:t>
      </w:r>
    </w:p>
    <w:p w14:paraId="788F7219" w14:textId="6C7EDC19" w:rsidR="005D6610" w:rsidRPr="000B75D8" w:rsidRDefault="005D6610" w:rsidP="00A17755">
      <w:pPr>
        <w:pStyle w:val="ManualHeading3"/>
        <w:rPr>
          <w:noProof/>
          <w:lang w:val="en-IE"/>
        </w:rPr>
      </w:pPr>
      <w:r w:rsidRPr="000B75D8">
        <w:rPr>
          <w:noProof/>
          <w:lang w:val="en-IE"/>
        </w:rPr>
        <w:t>1.2.</w:t>
      </w:r>
      <w:r w:rsidR="00CF0242" w:rsidRPr="000B75D8">
        <w:rPr>
          <w:noProof/>
          <w:lang w:val="en-IE"/>
        </w:rPr>
        <w:t>3</w:t>
      </w:r>
      <w:r w:rsidRPr="000B75D8">
        <w:rPr>
          <w:noProof/>
          <w:lang w:val="en-IE"/>
        </w:rPr>
        <w:t>.</w:t>
      </w:r>
      <w:r w:rsidR="00E43859" w:rsidRPr="000B75D8">
        <w:rPr>
          <w:noProof/>
        </w:rPr>
        <w:tab/>
      </w:r>
      <w:r w:rsidR="007927AE" w:rsidRPr="000B75D8">
        <w:rPr>
          <w:noProof/>
          <w:lang w:val="en-IE"/>
        </w:rPr>
        <w:t xml:space="preserve">Promoting long-term competitiveness </w:t>
      </w:r>
      <w:r w:rsidR="203D4ECF" w:rsidRPr="000B75D8">
        <w:rPr>
          <w:noProof/>
          <w:lang w:val="en-IE"/>
        </w:rPr>
        <w:t>i</w:t>
      </w:r>
      <w:r w:rsidR="007927AE" w:rsidRPr="000B75D8">
        <w:rPr>
          <w:noProof/>
          <w:lang w:val="en-IE"/>
        </w:rPr>
        <w:t xml:space="preserve">n </w:t>
      </w:r>
      <w:r w:rsidR="1C75673B" w:rsidRPr="000B75D8">
        <w:rPr>
          <w:noProof/>
          <w:lang w:val="en-IE"/>
        </w:rPr>
        <w:t xml:space="preserve">strategic </w:t>
      </w:r>
      <w:r w:rsidR="007927AE" w:rsidRPr="000B75D8">
        <w:rPr>
          <w:noProof/>
          <w:lang w:val="en-IE"/>
        </w:rPr>
        <w:t>technologies</w:t>
      </w:r>
      <w:r w:rsidR="00E43859" w:rsidRPr="000B75D8">
        <w:rPr>
          <w:noProof/>
          <w:lang w:val="en-IE"/>
        </w:rPr>
        <w:t xml:space="preserve">: the </w:t>
      </w:r>
      <w:r w:rsidR="593670E8" w:rsidRPr="000B75D8">
        <w:rPr>
          <w:noProof/>
          <w:lang w:val="en-IE"/>
        </w:rPr>
        <w:t>Strategic Technolog</w:t>
      </w:r>
      <w:r w:rsidR="7EB5359A" w:rsidRPr="000B75D8">
        <w:rPr>
          <w:noProof/>
          <w:lang w:val="en-IE"/>
        </w:rPr>
        <w:t>ies</w:t>
      </w:r>
      <w:r w:rsidR="593670E8" w:rsidRPr="000B75D8">
        <w:rPr>
          <w:noProof/>
          <w:lang w:val="en-IE"/>
        </w:rPr>
        <w:t xml:space="preserve"> for Europe</w:t>
      </w:r>
      <w:r w:rsidR="00E43859" w:rsidRPr="000B75D8">
        <w:rPr>
          <w:noProof/>
          <w:lang w:val="en-IE"/>
        </w:rPr>
        <w:t xml:space="preserve"> </w:t>
      </w:r>
      <w:r w:rsidR="0016352F" w:rsidRPr="000B75D8">
        <w:rPr>
          <w:noProof/>
          <w:lang w:val="en-IE"/>
        </w:rPr>
        <w:t>Platform (</w:t>
      </w:r>
      <w:r w:rsidR="75E35E44" w:rsidRPr="000B75D8">
        <w:rPr>
          <w:noProof/>
          <w:lang w:val="en-IE"/>
        </w:rPr>
        <w:t>STEP</w:t>
      </w:r>
      <w:r w:rsidR="0016352F" w:rsidRPr="000B75D8">
        <w:rPr>
          <w:noProof/>
          <w:lang w:val="en-IE"/>
        </w:rPr>
        <w:t>)</w:t>
      </w:r>
    </w:p>
    <w:p w14:paraId="116ADF4A" w14:textId="4AEAF762" w:rsidR="00377A8C" w:rsidRPr="000B75D8" w:rsidRDefault="009A1D6E" w:rsidP="009A1D6E">
      <w:pPr>
        <w:rPr>
          <w:noProof/>
          <w:lang w:val="en-IE"/>
        </w:rPr>
      </w:pPr>
      <w:r w:rsidRPr="000B75D8">
        <w:rPr>
          <w:noProof/>
          <w:lang w:val="en-IE"/>
        </w:rPr>
        <w:t xml:space="preserve">The </w:t>
      </w:r>
      <w:r w:rsidR="71289AEB" w:rsidRPr="000B75D8">
        <w:rPr>
          <w:noProof/>
          <w:lang w:val="en-IE"/>
        </w:rPr>
        <w:t xml:space="preserve">development and manufacturing </w:t>
      </w:r>
      <w:r w:rsidRPr="000B75D8">
        <w:rPr>
          <w:noProof/>
          <w:lang w:val="en-IE"/>
        </w:rPr>
        <w:t xml:space="preserve">of strategic </w:t>
      </w:r>
      <w:r w:rsidR="57203207" w:rsidRPr="000B75D8">
        <w:rPr>
          <w:noProof/>
          <w:lang w:val="en-IE"/>
        </w:rPr>
        <w:t>deep digital, clean and bio</w:t>
      </w:r>
      <w:r w:rsidR="6893575E" w:rsidRPr="000B75D8">
        <w:rPr>
          <w:noProof/>
          <w:lang w:val="en-IE"/>
        </w:rPr>
        <w:t>technologies</w:t>
      </w:r>
      <w:r w:rsidRPr="000B75D8">
        <w:rPr>
          <w:noProof/>
          <w:lang w:val="en-IE"/>
        </w:rPr>
        <w:t xml:space="preserve"> </w:t>
      </w:r>
      <w:r w:rsidR="00700132" w:rsidRPr="000B75D8">
        <w:rPr>
          <w:noProof/>
          <w:lang w:val="en-IE"/>
        </w:rPr>
        <w:t>is</w:t>
      </w:r>
      <w:r w:rsidRPr="000B75D8">
        <w:rPr>
          <w:noProof/>
          <w:lang w:val="en-IE"/>
        </w:rPr>
        <w:t xml:space="preserve"> essential to meet the objectives of the green and digital transitions. </w:t>
      </w:r>
      <w:r w:rsidR="00377A8C" w:rsidRPr="000B75D8">
        <w:rPr>
          <w:noProof/>
          <w:lang w:val="en-IE"/>
        </w:rPr>
        <w:t xml:space="preserve">In light of the international competition to build strategic value chains, </w:t>
      </w:r>
      <w:r w:rsidR="00885B22" w:rsidRPr="000B75D8">
        <w:rPr>
          <w:noProof/>
          <w:lang w:val="en-IE"/>
        </w:rPr>
        <w:t xml:space="preserve">the </w:t>
      </w:r>
      <w:r w:rsidR="00C762AD" w:rsidRPr="000B75D8">
        <w:rPr>
          <w:noProof/>
          <w:lang w:val="en-IE"/>
        </w:rPr>
        <w:t xml:space="preserve">Union </w:t>
      </w:r>
      <w:r w:rsidR="00885B22" w:rsidRPr="000B75D8">
        <w:rPr>
          <w:noProof/>
          <w:lang w:val="en-IE"/>
        </w:rPr>
        <w:t xml:space="preserve">needs a more structural answer to the investment needs of its industries </w:t>
      </w:r>
      <w:r w:rsidR="0085750A" w:rsidRPr="000B75D8">
        <w:rPr>
          <w:noProof/>
          <w:lang w:val="en-IE"/>
        </w:rPr>
        <w:t xml:space="preserve">through a </w:t>
      </w:r>
      <w:r w:rsidR="00377A8C" w:rsidRPr="000B75D8">
        <w:rPr>
          <w:noProof/>
          <w:lang w:val="en-IE"/>
        </w:rPr>
        <w:t>new</w:t>
      </w:r>
      <w:r w:rsidR="005B29E1" w:rsidRPr="000B75D8">
        <w:rPr>
          <w:noProof/>
          <w:lang w:val="en-IE"/>
        </w:rPr>
        <w:t xml:space="preserve"> </w:t>
      </w:r>
      <w:r w:rsidR="00121894" w:rsidRPr="000B75D8">
        <w:rPr>
          <w:noProof/>
          <w:lang w:val="en-IE"/>
        </w:rPr>
        <w:t>Strategic Technologies for Europe Platform (STEP)</w:t>
      </w:r>
      <w:r w:rsidR="00377A8C" w:rsidRPr="000B75D8">
        <w:rPr>
          <w:rStyle w:val="FootnoteReference"/>
          <w:noProof/>
          <w:lang w:val="en-IE"/>
        </w:rPr>
        <w:footnoteReference w:id="11"/>
      </w:r>
      <w:r w:rsidR="00792333" w:rsidRPr="000B75D8">
        <w:rPr>
          <w:noProof/>
          <w:lang w:val="en-IE"/>
        </w:rPr>
        <w:t>, which</w:t>
      </w:r>
      <w:r w:rsidR="00377A8C" w:rsidRPr="000B75D8">
        <w:rPr>
          <w:noProof/>
          <w:lang w:val="en-IE"/>
        </w:rPr>
        <w:t xml:space="preserve"> should </w:t>
      </w:r>
      <w:r w:rsidR="760A344C" w:rsidRPr="000B75D8">
        <w:rPr>
          <w:noProof/>
          <w:lang w:val="en-IE"/>
        </w:rPr>
        <w:t>help</w:t>
      </w:r>
      <w:r w:rsidR="3F5CDA07" w:rsidRPr="000B75D8">
        <w:rPr>
          <w:noProof/>
          <w:lang w:val="en-IE"/>
        </w:rPr>
        <w:t xml:space="preserve"> </w:t>
      </w:r>
      <w:r w:rsidR="00377A8C" w:rsidRPr="000B75D8">
        <w:rPr>
          <w:noProof/>
          <w:lang w:val="en-IE"/>
        </w:rPr>
        <w:t>preserve a European edge on critical and emerging technologies relevant to the green and digital transitions, from computing-related technologies</w:t>
      </w:r>
      <w:r w:rsidR="4DF2CD13" w:rsidRPr="000B75D8">
        <w:rPr>
          <w:noProof/>
          <w:lang w:val="en-IE"/>
        </w:rPr>
        <w:t>,</w:t>
      </w:r>
      <w:r w:rsidR="007A57C0" w:rsidRPr="000B75D8">
        <w:rPr>
          <w:noProof/>
          <w:lang w:val="en-IE"/>
        </w:rPr>
        <w:t xml:space="preserve"> </w:t>
      </w:r>
      <w:r w:rsidR="00377A8C" w:rsidRPr="000B75D8">
        <w:rPr>
          <w:noProof/>
          <w:lang w:val="en-IE"/>
        </w:rPr>
        <w:t>including microelectronics, quantum computing, and artificial intelligence</w:t>
      </w:r>
      <w:r w:rsidR="00F325F0" w:rsidRPr="000B75D8">
        <w:rPr>
          <w:noProof/>
          <w:lang w:val="en-IE"/>
        </w:rPr>
        <w:t>,</w:t>
      </w:r>
      <w:r w:rsidR="00377A8C" w:rsidRPr="000B75D8">
        <w:rPr>
          <w:noProof/>
          <w:lang w:val="en-IE"/>
        </w:rPr>
        <w:t xml:space="preserve"> to biotechnology, and </w:t>
      </w:r>
      <w:r w:rsidR="16DA724A" w:rsidRPr="000B75D8">
        <w:rPr>
          <w:noProof/>
          <w:lang w:val="en-IE"/>
        </w:rPr>
        <w:t xml:space="preserve">biomanufacturing </w:t>
      </w:r>
      <w:r w:rsidR="62586E6C" w:rsidRPr="000B75D8">
        <w:rPr>
          <w:noProof/>
          <w:lang w:val="en-IE"/>
        </w:rPr>
        <w:t xml:space="preserve">and </w:t>
      </w:r>
      <w:r w:rsidR="00377A8C" w:rsidRPr="000B75D8">
        <w:rPr>
          <w:noProof/>
          <w:lang w:val="en-IE"/>
        </w:rPr>
        <w:t xml:space="preserve">net-zero </w:t>
      </w:r>
      <w:r w:rsidR="002A76BB" w:rsidRPr="000B75D8">
        <w:rPr>
          <w:noProof/>
          <w:lang w:val="en-IE"/>
        </w:rPr>
        <w:t xml:space="preserve">and other clean </w:t>
      </w:r>
      <w:r w:rsidR="00377A8C" w:rsidRPr="000B75D8">
        <w:rPr>
          <w:noProof/>
          <w:lang w:val="en-IE"/>
        </w:rPr>
        <w:t>technologies.</w:t>
      </w:r>
    </w:p>
    <w:p w14:paraId="21B239F7" w14:textId="33215167" w:rsidR="00723B16" w:rsidRPr="000B75D8" w:rsidRDefault="1318E3D5" w:rsidP="00377A8C">
      <w:pPr>
        <w:rPr>
          <w:rFonts w:eastAsia="Times New Roman"/>
          <w:noProof/>
          <w:lang w:val="en-IE" w:eastAsia="en-IE"/>
        </w:rPr>
      </w:pPr>
      <w:r w:rsidRPr="000B75D8">
        <w:rPr>
          <w:rFonts w:eastAsia="Times New Roman"/>
          <w:noProof/>
        </w:rPr>
        <w:t xml:space="preserve">The </w:t>
      </w:r>
      <w:r w:rsidR="2C1AC0C9" w:rsidRPr="000B75D8">
        <w:rPr>
          <w:rFonts w:eastAsia="Times New Roman"/>
          <w:noProof/>
        </w:rPr>
        <w:t>STEP</w:t>
      </w:r>
      <w:r w:rsidRPr="000B75D8">
        <w:rPr>
          <w:rFonts w:eastAsia="Times New Roman"/>
          <w:noProof/>
        </w:rPr>
        <w:t xml:space="preserve"> Platform will create the necessary conditions for a more effective, efficient and targeted use of existing EU funds. It will also help to direct existing funding towards the relevant projects and speed up implementation on a subset of areas </w:t>
      </w:r>
      <w:r w:rsidR="002A76BB" w:rsidRPr="000B75D8">
        <w:rPr>
          <w:rFonts w:eastAsia="Times New Roman"/>
          <w:noProof/>
        </w:rPr>
        <w:t>that are critical</w:t>
      </w:r>
      <w:r w:rsidRPr="000B75D8">
        <w:rPr>
          <w:rFonts w:eastAsia="Times New Roman"/>
          <w:noProof/>
        </w:rPr>
        <w:t xml:space="preserve"> for Europe’s leadership</w:t>
      </w:r>
      <w:r w:rsidR="00B5218A" w:rsidRPr="000B75D8">
        <w:rPr>
          <w:rFonts w:eastAsia="Times New Roman"/>
          <w:noProof/>
        </w:rPr>
        <w:t xml:space="preserve"> while preserving </w:t>
      </w:r>
      <w:r w:rsidR="0018277F" w:rsidRPr="000B75D8">
        <w:rPr>
          <w:rFonts w:eastAsia="Times New Roman"/>
          <w:noProof/>
        </w:rPr>
        <w:t xml:space="preserve">a level playing field in the single market and thereby </w:t>
      </w:r>
      <w:r w:rsidR="00B5218A" w:rsidRPr="000B75D8">
        <w:rPr>
          <w:rFonts w:eastAsia="Times New Roman"/>
          <w:noProof/>
        </w:rPr>
        <w:t xml:space="preserve"> cohesion</w:t>
      </w:r>
      <w:r w:rsidRPr="000B75D8">
        <w:rPr>
          <w:rFonts w:eastAsia="Times New Roman"/>
          <w:noProof/>
        </w:rPr>
        <w:t>.</w:t>
      </w:r>
      <w:r w:rsidRPr="000B75D8">
        <w:rPr>
          <w:rFonts w:eastAsia="Times New Roman"/>
          <w:noProof/>
          <w:lang w:val="en-IE"/>
        </w:rPr>
        <w:t xml:space="preserve"> </w:t>
      </w:r>
      <w:r w:rsidR="00377A8C" w:rsidRPr="000B75D8">
        <w:rPr>
          <w:noProof/>
          <w:lang w:val="en-IE"/>
        </w:rPr>
        <w:t xml:space="preserve">To ensure </w:t>
      </w:r>
      <w:r w:rsidR="007A36FE" w:rsidRPr="000B75D8">
        <w:rPr>
          <w:noProof/>
          <w:lang w:val="en-IE"/>
        </w:rPr>
        <w:t>a</w:t>
      </w:r>
      <w:r w:rsidR="009A1D6E" w:rsidRPr="000B75D8">
        <w:rPr>
          <w:noProof/>
          <w:lang w:val="en-IE"/>
        </w:rPr>
        <w:t xml:space="preserve"> quick deployment of financial support, </w:t>
      </w:r>
      <w:r w:rsidR="007A36FE" w:rsidRPr="000B75D8">
        <w:rPr>
          <w:noProof/>
          <w:lang w:val="en-IE"/>
        </w:rPr>
        <w:t xml:space="preserve">the </w:t>
      </w:r>
      <w:r w:rsidR="0BC90852" w:rsidRPr="000B75D8">
        <w:rPr>
          <w:noProof/>
          <w:lang w:val="en-IE"/>
        </w:rPr>
        <w:t>STEP</w:t>
      </w:r>
      <w:r w:rsidR="3B914007" w:rsidRPr="000B75D8">
        <w:rPr>
          <w:noProof/>
          <w:lang w:val="en-IE"/>
        </w:rPr>
        <w:t xml:space="preserve"> </w:t>
      </w:r>
      <w:r w:rsidR="27E079A3" w:rsidRPr="000B75D8">
        <w:rPr>
          <w:noProof/>
          <w:lang w:val="en-IE"/>
        </w:rPr>
        <w:t>Platform</w:t>
      </w:r>
      <w:bookmarkStart w:id="2" w:name="_Hlk136597400"/>
      <w:bookmarkStart w:id="3" w:name="_Hlk137542952"/>
      <w:r w:rsidR="0016352F" w:rsidRPr="000B75D8">
        <w:rPr>
          <w:noProof/>
          <w:lang w:val="en-IE"/>
        </w:rPr>
        <w:t xml:space="preserve"> </w:t>
      </w:r>
      <w:bookmarkEnd w:id="2"/>
      <w:bookmarkEnd w:id="3"/>
      <w:r w:rsidR="007A36FE" w:rsidRPr="000B75D8">
        <w:rPr>
          <w:noProof/>
        </w:rPr>
        <w:t xml:space="preserve">will reinforce and leverage </w:t>
      </w:r>
      <w:r w:rsidR="009A1D6E" w:rsidRPr="000B75D8">
        <w:rPr>
          <w:noProof/>
          <w:lang w:val="en-IE"/>
        </w:rPr>
        <w:t>existing EU instruments</w:t>
      </w:r>
      <w:r w:rsidR="00A06309" w:rsidRPr="000B75D8">
        <w:rPr>
          <w:noProof/>
        </w:rPr>
        <w:t xml:space="preserve">, </w:t>
      </w:r>
      <w:r w:rsidR="008857FC" w:rsidRPr="000B75D8">
        <w:rPr>
          <w:rFonts w:eastAsia="Times New Roman"/>
          <w:noProof/>
          <w:lang w:val="en-IE" w:eastAsia="en-IE"/>
        </w:rPr>
        <w:t xml:space="preserve">speeding-up </w:t>
      </w:r>
      <w:r w:rsidR="009A1D6E" w:rsidRPr="000B75D8">
        <w:rPr>
          <w:rFonts w:eastAsia="Times New Roman"/>
          <w:noProof/>
          <w:lang w:val="en-IE" w:eastAsia="en-IE"/>
        </w:rPr>
        <w:t xml:space="preserve">the implementation of cohesion </w:t>
      </w:r>
      <w:r w:rsidR="003372A3" w:rsidRPr="000B75D8">
        <w:rPr>
          <w:rFonts w:eastAsia="Times New Roman"/>
          <w:noProof/>
          <w:lang w:val="en-IE" w:eastAsia="en-IE"/>
        </w:rPr>
        <w:t xml:space="preserve">policy </w:t>
      </w:r>
      <w:r w:rsidR="009A1D6E" w:rsidRPr="000B75D8">
        <w:rPr>
          <w:rFonts w:eastAsia="Times New Roman"/>
          <w:noProof/>
          <w:lang w:val="en-IE" w:eastAsia="en-IE"/>
        </w:rPr>
        <w:t>funds and maximising the use of InvestEU, the Innovation Fund and the European Innovation Council</w:t>
      </w:r>
      <w:r w:rsidR="009A1D6E" w:rsidRPr="000B75D8">
        <w:rPr>
          <w:noProof/>
        </w:rPr>
        <w:t xml:space="preserve"> </w:t>
      </w:r>
      <w:r w:rsidR="009A1D6E" w:rsidRPr="000B75D8">
        <w:rPr>
          <w:rFonts w:eastAsia="Times New Roman"/>
          <w:noProof/>
          <w:lang w:val="en-IE" w:eastAsia="en-IE"/>
        </w:rPr>
        <w:t xml:space="preserve">towards European </w:t>
      </w:r>
      <w:r w:rsidR="34657471" w:rsidRPr="000B75D8">
        <w:rPr>
          <w:rFonts w:eastAsia="Times New Roman"/>
          <w:noProof/>
          <w:lang w:val="en-IE" w:eastAsia="en-IE"/>
        </w:rPr>
        <w:t>strategic technologies</w:t>
      </w:r>
      <w:r w:rsidR="6893575E" w:rsidRPr="000B75D8">
        <w:rPr>
          <w:rFonts w:eastAsia="Times New Roman"/>
          <w:noProof/>
          <w:lang w:val="en-IE" w:eastAsia="en-IE"/>
        </w:rPr>
        <w:t>.</w:t>
      </w:r>
    </w:p>
    <w:p w14:paraId="7B2007B9" w14:textId="5A63A62D" w:rsidR="009B13B2" w:rsidRPr="000B75D8" w:rsidRDefault="009B13B2" w:rsidP="00377A8C">
      <w:pPr>
        <w:rPr>
          <w:rFonts w:eastAsia="Times New Roman"/>
          <w:noProof/>
          <w:lang w:val="en-IE" w:eastAsia="en-IE"/>
        </w:rPr>
      </w:pPr>
      <w:r w:rsidRPr="000B75D8">
        <w:rPr>
          <w:noProof/>
          <w:szCs w:val="24"/>
          <w:lang w:val="en-IE"/>
        </w:rPr>
        <w:t>The global landscape has changed. Russia poses and will continue to pose in the coming years a threat to the security of Europe</w:t>
      </w:r>
      <w:r w:rsidRPr="000B75D8">
        <w:rPr>
          <w:noProof/>
          <w:szCs w:val="24"/>
        </w:rPr>
        <w:t>. Therefore, the STEP will reinforce the research strand of the European Defence Fund, which will boost the innovation capacity of the European defence technological and industrial base, thus contributing to the Union strategic autonomy.</w:t>
      </w:r>
    </w:p>
    <w:p w14:paraId="51A3BFEA" w14:textId="27C2CCBC" w:rsidR="00E50E1D" w:rsidRPr="000B75D8" w:rsidRDefault="00A63688" w:rsidP="00377A8C">
      <w:pPr>
        <w:rPr>
          <w:noProof/>
          <w:lang w:val="en-IE"/>
        </w:rPr>
      </w:pPr>
      <w:r w:rsidRPr="000B75D8">
        <w:rPr>
          <w:noProof/>
        </w:rPr>
        <w:t xml:space="preserve">To boost the investment capacity dedicated specifically to the priority of </w:t>
      </w:r>
      <w:r w:rsidR="057B20F1" w:rsidRPr="000B75D8">
        <w:rPr>
          <w:noProof/>
        </w:rPr>
        <w:t>strategic technologies</w:t>
      </w:r>
      <w:r w:rsidRPr="000B75D8">
        <w:rPr>
          <w:noProof/>
        </w:rPr>
        <w:t xml:space="preserve">, </w:t>
      </w:r>
      <w:r w:rsidR="00763E82" w:rsidRPr="000B75D8">
        <w:rPr>
          <w:rFonts w:eastAsia="Times New Roman"/>
          <w:noProof/>
          <w:lang w:val="en-IE" w:eastAsia="en-IE"/>
        </w:rPr>
        <w:t xml:space="preserve">the </w:t>
      </w:r>
      <w:r w:rsidR="044E0A6E" w:rsidRPr="000B75D8">
        <w:rPr>
          <w:rFonts w:eastAsia="Times New Roman"/>
          <w:noProof/>
          <w:lang w:val="en-IE" w:eastAsia="en-IE"/>
        </w:rPr>
        <w:t>STEP</w:t>
      </w:r>
      <w:r w:rsidR="39A87F67" w:rsidRPr="000B75D8">
        <w:rPr>
          <w:rFonts w:eastAsia="Times New Roman"/>
          <w:noProof/>
          <w:lang w:val="en-IE" w:eastAsia="en-IE"/>
        </w:rPr>
        <w:t xml:space="preserve"> </w:t>
      </w:r>
      <w:r w:rsidR="49C4585B" w:rsidRPr="000B75D8">
        <w:rPr>
          <w:rFonts w:eastAsia="Times New Roman"/>
          <w:noProof/>
          <w:lang w:val="en-IE" w:eastAsia="en-IE"/>
        </w:rPr>
        <w:t>P</w:t>
      </w:r>
      <w:r w:rsidR="33AD2FE2" w:rsidRPr="000B75D8">
        <w:rPr>
          <w:rFonts w:eastAsia="Times New Roman"/>
          <w:noProof/>
          <w:lang w:val="en-IE" w:eastAsia="en-IE"/>
        </w:rPr>
        <w:t>latform</w:t>
      </w:r>
      <w:r w:rsidR="00537F3C" w:rsidRPr="000B75D8">
        <w:rPr>
          <w:rFonts w:eastAsia="Times New Roman"/>
          <w:noProof/>
          <w:lang w:val="en-IE" w:eastAsia="en-IE"/>
        </w:rPr>
        <w:t xml:space="preserve"> should be supported </w:t>
      </w:r>
      <w:r w:rsidRPr="000B75D8">
        <w:rPr>
          <w:rFonts w:eastAsia="Times New Roman"/>
          <w:noProof/>
          <w:lang w:val="en-IE" w:eastAsia="en-IE"/>
        </w:rPr>
        <w:t xml:space="preserve">between 2024 and 2027 </w:t>
      </w:r>
      <w:r w:rsidR="00537F3C" w:rsidRPr="000B75D8">
        <w:rPr>
          <w:rFonts w:eastAsia="Times New Roman"/>
          <w:noProof/>
          <w:lang w:val="en-IE" w:eastAsia="en-IE"/>
        </w:rPr>
        <w:t xml:space="preserve">by </w:t>
      </w:r>
      <w:r w:rsidRPr="000B75D8">
        <w:rPr>
          <w:rFonts w:eastAsia="Times New Roman"/>
          <w:noProof/>
          <w:lang w:val="en-IE" w:eastAsia="en-IE"/>
        </w:rPr>
        <w:t xml:space="preserve">budgetary </w:t>
      </w:r>
      <w:r w:rsidR="00537F3C" w:rsidRPr="000B75D8">
        <w:rPr>
          <w:rFonts w:eastAsia="Times New Roman"/>
          <w:noProof/>
          <w:lang w:val="en-IE" w:eastAsia="en-IE"/>
        </w:rPr>
        <w:t>reinforcements of InvestEU, the Innovation Fund</w:t>
      </w:r>
      <w:r w:rsidR="009B13B2" w:rsidRPr="000B75D8">
        <w:rPr>
          <w:rFonts w:eastAsia="Times New Roman"/>
          <w:noProof/>
          <w:lang w:val="en-IE" w:eastAsia="en-IE"/>
        </w:rPr>
        <w:t xml:space="preserve">, </w:t>
      </w:r>
      <w:r w:rsidR="00537F3C" w:rsidRPr="000B75D8">
        <w:rPr>
          <w:rFonts w:eastAsia="Times New Roman"/>
          <w:noProof/>
          <w:lang w:val="en-IE" w:eastAsia="en-IE"/>
        </w:rPr>
        <w:t xml:space="preserve">the European Innovation Council </w:t>
      </w:r>
      <w:r w:rsidR="00537F3C" w:rsidRPr="000B75D8">
        <w:rPr>
          <w:rFonts w:eastAsia="Times New Roman"/>
          <w:noProof/>
          <w:lang w:eastAsia="en-GB"/>
        </w:rPr>
        <w:t>under Horizon Europe</w:t>
      </w:r>
      <w:r w:rsidR="009B13B2" w:rsidRPr="000B75D8">
        <w:rPr>
          <w:rFonts w:eastAsia="Times New Roman"/>
          <w:noProof/>
          <w:lang w:eastAsia="en-GB"/>
        </w:rPr>
        <w:t xml:space="preserve"> and the European Defence Fund</w:t>
      </w:r>
      <w:r w:rsidR="00537F3C" w:rsidRPr="000B75D8">
        <w:rPr>
          <w:rFonts w:eastAsia="Times New Roman"/>
          <w:noProof/>
          <w:lang w:val="en-IE" w:eastAsia="en-IE"/>
        </w:rPr>
        <w:t xml:space="preserve">. </w:t>
      </w:r>
      <w:r w:rsidR="002A4A5F" w:rsidRPr="000B75D8">
        <w:rPr>
          <w:rFonts w:eastAsia="Times New Roman"/>
          <w:noProof/>
          <w:lang w:val="en-IE" w:eastAsia="en-IE"/>
        </w:rPr>
        <w:t>The levels of exp</w:t>
      </w:r>
      <w:r w:rsidR="00A40B90" w:rsidRPr="000B75D8">
        <w:rPr>
          <w:rFonts w:eastAsia="Times New Roman"/>
          <w:noProof/>
          <w:lang w:val="en-IE" w:eastAsia="en-IE"/>
        </w:rPr>
        <w:t>e</w:t>
      </w:r>
      <w:r w:rsidR="002A4A5F" w:rsidRPr="000B75D8">
        <w:rPr>
          <w:rFonts w:eastAsia="Times New Roman"/>
          <w:noProof/>
          <w:lang w:val="en-IE" w:eastAsia="en-IE"/>
        </w:rPr>
        <w:t>nditure</w:t>
      </w:r>
      <w:r w:rsidR="00A40B90" w:rsidRPr="000B75D8">
        <w:rPr>
          <w:rFonts w:eastAsia="Times New Roman"/>
          <w:noProof/>
          <w:lang w:val="en-IE" w:eastAsia="en-IE"/>
        </w:rPr>
        <w:t xml:space="preserve"> </w:t>
      </w:r>
      <w:r w:rsidR="004B254F" w:rsidRPr="000B75D8">
        <w:rPr>
          <w:rFonts w:eastAsia="Times New Roman"/>
          <w:noProof/>
          <w:lang w:val="en-IE" w:eastAsia="en-IE"/>
        </w:rPr>
        <w:t>of</w:t>
      </w:r>
      <w:r w:rsidR="002A4A5F" w:rsidRPr="000B75D8">
        <w:rPr>
          <w:rFonts w:eastAsia="Times New Roman"/>
          <w:noProof/>
          <w:lang w:val="en-IE" w:eastAsia="en-IE"/>
        </w:rPr>
        <w:t xml:space="preserve"> the relevant MFF ceilings </w:t>
      </w:r>
      <w:r w:rsidR="00735370" w:rsidRPr="000B75D8">
        <w:rPr>
          <w:rFonts w:eastAsia="Times New Roman"/>
          <w:noProof/>
          <w:lang w:val="en-IE" w:eastAsia="en-IE"/>
        </w:rPr>
        <w:t>(Heading 1</w:t>
      </w:r>
      <w:r w:rsidR="00774697" w:rsidRPr="000B75D8">
        <w:rPr>
          <w:rFonts w:eastAsia="Times New Roman"/>
          <w:noProof/>
          <w:lang w:val="en-IE" w:eastAsia="en-IE"/>
        </w:rPr>
        <w:t xml:space="preserve"> ‘Single Market, Innovation and Digital’</w:t>
      </w:r>
      <w:r w:rsidR="00DE2552" w:rsidRPr="000B75D8">
        <w:rPr>
          <w:rFonts w:eastAsia="Times New Roman"/>
          <w:noProof/>
          <w:lang w:val="en-IE" w:eastAsia="en-IE"/>
        </w:rPr>
        <w:t>,</w:t>
      </w:r>
      <w:r w:rsidR="00774697" w:rsidRPr="000B75D8">
        <w:rPr>
          <w:rFonts w:eastAsia="Times New Roman"/>
          <w:noProof/>
          <w:lang w:val="en-IE" w:eastAsia="en-IE"/>
        </w:rPr>
        <w:t xml:space="preserve"> Heading 3 ‘</w:t>
      </w:r>
      <w:r w:rsidR="000F5266" w:rsidRPr="000B75D8">
        <w:rPr>
          <w:rFonts w:eastAsia="Times New Roman"/>
          <w:noProof/>
          <w:lang w:val="en-IE" w:eastAsia="en-IE"/>
        </w:rPr>
        <w:t>Natural Resources and Environment’</w:t>
      </w:r>
      <w:r w:rsidR="00E824C2" w:rsidRPr="000B75D8">
        <w:rPr>
          <w:rFonts w:eastAsia="Times New Roman"/>
          <w:noProof/>
          <w:lang w:val="en-IE" w:eastAsia="en-IE"/>
        </w:rPr>
        <w:t xml:space="preserve"> and </w:t>
      </w:r>
      <w:r w:rsidR="00E5336C" w:rsidRPr="000B75D8">
        <w:rPr>
          <w:rFonts w:eastAsia="Times New Roman"/>
          <w:noProof/>
          <w:lang w:val="en-IE" w:eastAsia="en-IE"/>
        </w:rPr>
        <w:t>Heading 5 ‘</w:t>
      </w:r>
      <w:r w:rsidR="000D09E4" w:rsidRPr="000B75D8">
        <w:rPr>
          <w:rFonts w:eastAsia="Times New Roman"/>
          <w:noProof/>
          <w:lang w:val="en-IE" w:eastAsia="en-IE"/>
        </w:rPr>
        <w:t>Security and Defence’</w:t>
      </w:r>
      <w:r w:rsidR="000F5266" w:rsidRPr="000B75D8">
        <w:rPr>
          <w:rFonts w:eastAsia="Times New Roman"/>
          <w:noProof/>
          <w:lang w:val="en-IE" w:eastAsia="en-IE"/>
        </w:rPr>
        <w:t>)</w:t>
      </w:r>
      <w:r w:rsidR="00735370" w:rsidRPr="000B75D8">
        <w:rPr>
          <w:rFonts w:eastAsia="Times New Roman"/>
          <w:noProof/>
          <w:lang w:val="en-IE" w:eastAsia="en-IE"/>
        </w:rPr>
        <w:t xml:space="preserve"> </w:t>
      </w:r>
      <w:r w:rsidR="002A4A5F" w:rsidRPr="000B75D8">
        <w:rPr>
          <w:rFonts w:eastAsia="Times New Roman"/>
          <w:noProof/>
          <w:lang w:val="en-IE" w:eastAsia="en-IE"/>
        </w:rPr>
        <w:t xml:space="preserve">should </w:t>
      </w:r>
      <w:r w:rsidR="00A40B90" w:rsidRPr="000B75D8">
        <w:rPr>
          <w:rFonts w:eastAsia="Times New Roman"/>
          <w:noProof/>
          <w:lang w:val="en-IE" w:eastAsia="en-IE"/>
        </w:rPr>
        <w:t xml:space="preserve">thus be increased </w:t>
      </w:r>
      <w:r w:rsidR="00B744F8" w:rsidRPr="000B75D8">
        <w:rPr>
          <w:rFonts w:eastAsia="Times New Roman"/>
          <w:noProof/>
          <w:lang w:val="en-IE" w:eastAsia="en-IE"/>
        </w:rPr>
        <w:t>as appropriate</w:t>
      </w:r>
      <w:r w:rsidR="00A40B90" w:rsidRPr="000B75D8">
        <w:rPr>
          <w:rFonts w:eastAsia="Times New Roman"/>
          <w:noProof/>
          <w:lang w:val="en-IE" w:eastAsia="en-IE"/>
        </w:rPr>
        <w:t>.</w:t>
      </w:r>
    </w:p>
    <w:p w14:paraId="5D1C1660" w14:textId="20FC68EB" w:rsidR="00EF067B" w:rsidRPr="000B75D8" w:rsidRDefault="00EF067B" w:rsidP="00EF067B">
      <w:pPr>
        <w:pStyle w:val="ManualHeading3"/>
        <w:rPr>
          <w:noProof/>
          <w:lang w:val="en-IE"/>
        </w:rPr>
      </w:pPr>
      <w:r w:rsidRPr="000B75D8">
        <w:rPr>
          <w:noProof/>
        </w:rPr>
        <w:t>1.2.</w:t>
      </w:r>
      <w:r w:rsidR="00CF0242" w:rsidRPr="000B75D8">
        <w:rPr>
          <w:noProof/>
        </w:rPr>
        <w:t>4</w:t>
      </w:r>
      <w:r w:rsidRPr="000B75D8">
        <w:rPr>
          <w:noProof/>
        </w:rPr>
        <w:t>.</w:t>
      </w:r>
      <w:r w:rsidR="007221E2" w:rsidRPr="000B75D8">
        <w:rPr>
          <w:noProof/>
        </w:rPr>
        <w:tab/>
      </w:r>
      <w:r w:rsidR="00ED5D5D" w:rsidRPr="000B75D8">
        <w:rPr>
          <w:noProof/>
        </w:rPr>
        <w:t xml:space="preserve">A sustainable solution for NextGenerationEU </w:t>
      </w:r>
      <w:r w:rsidR="00873E3A" w:rsidRPr="000B75D8">
        <w:rPr>
          <w:noProof/>
        </w:rPr>
        <w:t xml:space="preserve">funding </w:t>
      </w:r>
      <w:r w:rsidR="00ED5D5D" w:rsidRPr="000B75D8">
        <w:rPr>
          <w:noProof/>
        </w:rPr>
        <w:t>costs</w:t>
      </w:r>
    </w:p>
    <w:p w14:paraId="67F61CB3" w14:textId="16364200" w:rsidR="008B1B27" w:rsidRPr="000B75D8" w:rsidRDefault="00ED5D5D" w:rsidP="008B1B27">
      <w:pPr>
        <w:rPr>
          <w:noProof/>
          <w:szCs w:val="24"/>
        </w:rPr>
      </w:pPr>
      <w:r w:rsidRPr="000B75D8">
        <w:rPr>
          <w:noProof/>
        </w:rPr>
        <w:t xml:space="preserve">The </w:t>
      </w:r>
      <w:r w:rsidR="00ED0884" w:rsidRPr="000B75D8">
        <w:rPr>
          <w:noProof/>
        </w:rPr>
        <w:t xml:space="preserve">unexpected and sharp increase </w:t>
      </w:r>
      <w:r w:rsidRPr="000B75D8">
        <w:rPr>
          <w:noProof/>
        </w:rPr>
        <w:t>in current interest and forward rates</w:t>
      </w:r>
      <w:r w:rsidR="00ED0884" w:rsidRPr="000B75D8">
        <w:rPr>
          <w:noProof/>
        </w:rPr>
        <w:t xml:space="preserve"> since 202</w:t>
      </w:r>
      <w:r w:rsidR="00656AE4" w:rsidRPr="000B75D8">
        <w:rPr>
          <w:noProof/>
        </w:rPr>
        <w:t>2</w:t>
      </w:r>
      <w:r w:rsidR="00ED0884" w:rsidRPr="000B75D8">
        <w:rPr>
          <w:noProof/>
        </w:rPr>
        <w:t xml:space="preserve"> </w:t>
      </w:r>
      <w:r w:rsidR="00656AE4" w:rsidRPr="000B75D8">
        <w:rPr>
          <w:noProof/>
        </w:rPr>
        <w:t>as a result of tighter monetary policies to curb inflation is affecting</w:t>
      </w:r>
      <w:r w:rsidR="008A48DD" w:rsidRPr="000B75D8">
        <w:rPr>
          <w:noProof/>
        </w:rPr>
        <w:t xml:space="preserve"> all bond issuers, including the EU. </w:t>
      </w:r>
      <w:r w:rsidR="008B1B27" w:rsidRPr="000B75D8">
        <w:rPr>
          <w:noProof/>
          <w:szCs w:val="24"/>
        </w:rPr>
        <w:t>As a consequence, the funding costs to be borne by the Union budget as a result of borrowing for NextGenerationEU are expected to exceed the estimates initially planned at the time of the adoption of the Multiannual Financial Framework</w:t>
      </w:r>
      <w:r w:rsidR="008B1B27" w:rsidRPr="000B75D8">
        <w:rPr>
          <w:rStyle w:val="FootnoteReference"/>
          <w:noProof/>
        </w:rPr>
        <w:footnoteReference w:id="12"/>
      </w:r>
      <w:r w:rsidR="008B1B27" w:rsidRPr="000B75D8">
        <w:rPr>
          <w:noProof/>
          <w:szCs w:val="24"/>
        </w:rPr>
        <w:t>.</w:t>
      </w:r>
    </w:p>
    <w:p w14:paraId="3630A84D" w14:textId="3878261C" w:rsidR="00017D60" w:rsidRPr="000B75D8" w:rsidRDefault="00017D60" w:rsidP="007507D4">
      <w:pPr>
        <w:rPr>
          <w:noProof/>
          <w:szCs w:val="24"/>
        </w:rPr>
      </w:pPr>
      <w:r w:rsidRPr="000B75D8">
        <w:rPr>
          <w:noProof/>
          <w:szCs w:val="24"/>
        </w:rPr>
        <w:t>NextGenerationEU funding costs are inherently different from ‘traditional’ EU spending programmes</w:t>
      </w:r>
      <w:r w:rsidR="00387539" w:rsidRPr="000B75D8">
        <w:rPr>
          <w:noProof/>
          <w:szCs w:val="24"/>
        </w:rPr>
        <w:t>. They</w:t>
      </w:r>
      <w:r w:rsidRPr="000B75D8">
        <w:rPr>
          <w:noProof/>
        </w:rPr>
        <w:t xml:space="preserve"> are</w:t>
      </w:r>
      <w:r w:rsidR="00D77461" w:rsidRPr="000B75D8">
        <w:rPr>
          <w:noProof/>
        </w:rPr>
        <w:t xml:space="preserve"> highly dependent on </w:t>
      </w:r>
      <w:r w:rsidR="00BE5C62" w:rsidRPr="000B75D8">
        <w:rPr>
          <w:noProof/>
        </w:rPr>
        <w:t>interest rate</w:t>
      </w:r>
      <w:r w:rsidR="00D77461" w:rsidRPr="000B75D8">
        <w:rPr>
          <w:noProof/>
        </w:rPr>
        <w:t xml:space="preserve"> fluctuations</w:t>
      </w:r>
      <w:r w:rsidR="00F91ABE" w:rsidRPr="000B75D8">
        <w:rPr>
          <w:noProof/>
        </w:rPr>
        <w:t>.</w:t>
      </w:r>
      <w:r w:rsidR="00E73D0D" w:rsidRPr="000B75D8">
        <w:rPr>
          <w:noProof/>
        </w:rPr>
        <w:t xml:space="preserve"> </w:t>
      </w:r>
      <w:r w:rsidR="00F91ABE" w:rsidRPr="000B75D8">
        <w:rPr>
          <w:noProof/>
          <w:szCs w:val="24"/>
        </w:rPr>
        <w:t xml:space="preserve">Moreover, up to 2026, additional volatility comes from uncertainties on the timing of the amounts to borrow, which depend mostly on the disbursements for the Recovery and Resilience Facility. </w:t>
      </w:r>
    </w:p>
    <w:p w14:paraId="68E91B38" w14:textId="505BD5F6" w:rsidR="00017D60" w:rsidRPr="000B75D8" w:rsidRDefault="00017D60" w:rsidP="007507D4">
      <w:pPr>
        <w:rPr>
          <w:noProof/>
          <w:szCs w:val="24"/>
        </w:rPr>
      </w:pPr>
      <w:r w:rsidRPr="000B75D8">
        <w:rPr>
          <w:noProof/>
          <w:szCs w:val="24"/>
        </w:rPr>
        <w:t>At the same time, once the bonds are issued, interest expenditure</w:t>
      </w:r>
      <w:r w:rsidRPr="000B75D8">
        <w:rPr>
          <w:noProof/>
        </w:rPr>
        <w:t xml:space="preserve"> cannot be postponed, re-planned or cancelled. </w:t>
      </w:r>
      <w:r w:rsidRPr="000B75D8">
        <w:rPr>
          <w:noProof/>
          <w:szCs w:val="24"/>
        </w:rPr>
        <w:t>While the existing legal framework provides for the necessary mechanisms to ensure that the Union will cover its obligations towards bondholders in all circumstances, the EU budget should be equipped with the means and tools to pay these costs in the most efficient manner.</w:t>
      </w:r>
    </w:p>
    <w:p w14:paraId="6E2C1941" w14:textId="203CBE5A" w:rsidR="00017D60" w:rsidRPr="000B75D8" w:rsidRDefault="00017D60" w:rsidP="007507D4">
      <w:pPr>
        <w:rPr>
          <w:noProof/>
          <w:szCs w:val="24"/>
        </w:rPr>
      </w:pPr>
      <w:r w:rsidRPr="000B75D8">
        <w:rPr>
          <w:noProof/>
        </w:rPr>
        <w:t>A specific flexibility mechanism is thus needed to address this volatility. A new thematic special instrument (the ‘</w:t>
      </w:r>
      <w:r w:rsidR="00174A8E" w:rsidRPr="000B75D8">
        <w:rPr>
          <w:noProof/>
        </w:rPr>
        <w:t>EURI</w:t>
      </w:r>
      <w:r w:rsidR="00C12FEC" w:rsidRPr="000B75D8">
        <w:rPr>
          <w:noProof/>
        </w:rPr>
        <w:t xml:space="preserve"> Instrument</w:t>
      </w:r>
      <w:r w:rsidRPr="000B75D8">
        <w:rPr>
          <w:noProof/>
        </w:rPr>
        <w:t>’) should be established</w:t>
      </w:r>
      <w:r w:rsidR="00D64963" w:rsidRPr="000B75D8">
        <w:rPr>
          <w:noProof/>
        </w:rPr>
        <w:t xml:space="preserve">, over and above the MFF ceilings, </w:t>
      </w:r>
      <w:r w:rsidRPr="000B75D8">
        <w:rPr>
          <w:noProof/>
        </w:rPr>
        <w:t xml:space="preserve">until </w:t>
      </w:r>
      <w:r w:rsidR="00243A5C" w:rsidRPr="000B75D8">
        <w:rPr>
          <w:noProof/>
        </w:rPr>
        <w:t>the end of the</w:t>
      </w:r>
      <w:r w:rsidR="00DB2E7A" w:rsidRPr="000B75D8">
        <w:rPr>
          <w:noProof/>
        </w:rPr>
        <w:t xml:space="preserve"> MFF</w:t>
      </w:r>
      <w:r w:rsidR="00D64963" w:rsidRPr="000B75D8">
        <w:rPr>
          <w:noProof/>
        </w:rPr>
        <w:t xml:space="preserve">, </w:t>
      </w:r>
      <w:r w:rsidRPr="000B75D8">
        <w:rPr>
          <w:noProof/>
        </w:rPr>
        <w:t>for the sole purpose of covering</w:t>
      </w:r>
      <w:r w:rsidR="00D64963" w:rsidRPr="000B75D8">
        <w:rPr>
          <w:noProof/>
        </w:rPr>
        <w:t xml:space="preserve"> </w:t>
      </w:r>
      <w:r w:rsidRPr="000B75D8">
        <w:rPr>
          <w:noProof/>
        </w:rPr>
        <w:t>NextGenerationEU funding costs exceeding the amounts</w:t>
      </w:r>
      <w:r w:rsidR="004C2A7A" w:rsidRPr="000B75D8">
        <w:rPr>
          <w:noProof/>
        </w:rPr>
        <w:t xml:space="preserve"> initially</w:t>
      </w:r>
      <w:r w:rsidR="004C2A7A" w:rsidRPr="000B75D8">
        <w:rPr>
          <w:noProof/>
          <w:szCs w:val="24"/>
        </w:rPr>
        <w:t xml:space="preserve"> </w:t>
      </w:r>
      <w:r w:rsidR="004C2A7A" w:rsidRPr="000B75D8">
        <w:rPr>
          <w:noProof/>
        </w:rPr>
        <w:t>planned</w:t>
      </w:r>
      <w:r w:rsidR="00243A5C" w:rsidRPr="000B75D8">
        <w:rPr>
          <w:noProof/>
          <w:szCs w:val="24"/>
        </w:rPr>
        <w:t xml:space="preserve"> </w:t>
      </w:r>
      <w:r w:rsidR="00143788" w:rsidRPr="000B75D8">
        <w:rPr>
          <w:noProof/>
          <w:szCs w:val="24"/>
        </w:rPr>
        <w:t xml:space="preserve">in 2020 </w:t>
      </w:r>
      <w:r w:rsidR="00243A5C" w:rsidRPr="000B75D8">
        <w:rPr>
          <w:noProof/>
          <w:szCs w:val="24"/>
        </w:rPr>
        <w:t>under the expenditure ceiling of Heading 2b.</w:t>
      </w:r>
    </w:p>
    <w:p w14:paraId="088018F9" w14:textId="170F2112" w:rsidR="00976C4B" w:rsidRPr="000B75D8" w:rsidRDefault="00976C4B" w:rsidP="00976C4B">
      <w:pPr>
        <w:pStyle w:val="ManualHeading3"/>
        <w:rPr>
          <w:noProof/>
        </w:rPr>
      </w:pPr>
      <w:r w:rsidRPr="000B75D8">
        <w:rPr>
          <w:noProof/>
        </w:rPr>
        <w:t>1.2.</w:t>
      </w:r>
      <w:r w:rsidR="00CF0242" w:rsidRPr="000B75D8">
        <w:rPr>
          <w:noProof/>
        </w:rPr>
        <w:t>5</w:t>
      </w:r>
      <w:r w:rsidRPr="000B75D8">
        <w:rPr>
          <w:noProof/>
        </w:rPr>
        <w:t>.</w:t>
      </w:r>
      <w:r w:rsidRPr="000B75D8">
        <w:rPr>
          <w:noProof/>
        </w:rPr>
        <w:tab/>
      </w:r>
      <w:r w:rsidRPr="000B75D8">
        <w:rPr>
          <w:iCs/>
          <w:noProof/>
          <w:szCs w:val="24"/>
          <w:lang w:val="en-IE"/>
        </w:rPr>
        <w:t>Maintaining a functioning administration to deliver on the EU’s political priorities</w:t>
      </w:r>
    </w:p>
    <w:p w14:paraId="6888C61F" w14:textId="7BA1B78B" w:rsidR="00C2086C" w:rsidRPr="000B75D8" w:rsidRDefault="00C2086C" w:rsidP="00D61471">
      <w:pPr>
        <w:rPr>
          <w:noProof/>
          <w:szCs w:val="24"/>
        </w:rPr>
      </w:pPr>
      <w:r w:rsidRPr="000B75D8">
        <w:rPr>
          <w:noProof/>
          <w:szCs w:val="24"/>
        </w:rPr>
        <w:t>The resources of the European administration (heading 7) are under severe pressure due to additional tasks given to the Union, rising energy prices and high inflation.</w:t>
      </w:r>
    </w:p>
    <w:p w14:paraId="5A8B6AA5" w14:textId="7263A9DE" w:rsidR="00C2086C" w:rsidRPr="000B75D8" w:rsidRDefault="00C2086C" w:rsidP="00C2086C">
      <w:pPr>
        <w:pStyle w:val="paragraph"/>
        <w:spacing w:before="0" w:after="120"/>
        <w:jc w:val="both"/>
        <w:rPr>
          <w:rFonts w:eastAsia="Calibri"/>
          <w:noProof/>
          <w:lang w:val="en-GB" w:eastAsia="en-US"/>
        </w:rPr>
      </w:pPr>
      <w:r w:rsidRPr="000B75D8">
        <w:rPr>
          <w:noProof/>
          <w:lang w:val="en-IE"/>
        </w:rPr>
        <w:t xml:space="preserve">The </w:t>
      </w:r>
      <w:r w:rsidR="008A48DD" w:rsidRPr="000B75D8">
        <w:rPr>
          <w:noProof/>
          <w:lang w:val="en-IE"/>
        </w:rPr>
        <w:t xml:space="preserve">numerous </w:t>
      </w:r>
      <w:r w:rsidRPr="000B75D8">
        <w:rPr>
          <w:noProof/>
          <w:lang w:val="en-IE"/>
        </w:rPr>
        <w:t xml:space="preserve">new initiatives introduced over the last two years have given substantial additional tasks to the Union since the start of this Multiannual Financial Framework without a corresponding increase in staff. </w:t>
      </w:r>
      <w:r w:rsidRPr="000B75D8">
        <w:rPr>
          <w:rFonts w:eastAsia="Calibri"/>
          <w:noProof/>
          <w:lang w:val="en-GB" w:eastAsia="en-US"/>
        </w:rPr>
        <w:t>The European administration will not be able to continue delivering on an ever-increasing number of tasks with the current level of resources.</w:t>
      </w:r>
    </w:p>
    <w:p w14:paraId="4A3CDD80" w14:textId="1AA5C7DA" w:rsidR="00C2086C" w:rsidRPr="000B75D8" w:rsidRDefault="00C2086C" w:rsidP="00FB65F5">
      <w:pPr>
        <w:pStyle w:val="paragraph"/>
        <w:spacing w:before="0" w:after="120"/>
        <w:jc w:val="both"/>
        <w:rPr>
          <w:noProof/>
          <w:lang w:val="en-IE" w:eastAsia="en-IE"/>
        </w:rPr>
      </w:pPr>
      <w:r w:rsidRPr="000B75D8">
        <w:rPr>
          <w:rStyle w:val="normaltextrun"/>
          <w:noProof/>
          <w:lang w:val="en-GB"/>
        </w:rPr>
        <w:t xml:space="preserve">High inflation has a severe impact on </w:t>
      </w:r>
      <w:r w:rsidR="00DE2552" w:rsidRPr="000B75D8">
        <w:rPr>
          <w:rStyle w:val="normaltextrun"/>
          <w:noProof/>
          <w:lang w:val="en-GB"/>
        </w:rPr>
        <w:t>administrative</w:t>
      </w:r>
      <w:r w:rsidRPr="000B75D8">
        <w:rPr>
          <w:rStyle w:val="normaltextrun"/>
          <w:noProof/>
          <w:lang w:val="en-GB"/>
        </w:rPr>
        <w:t xml:space="preserve"> expenditure. Despite </w:t>
      </w:r>
      <w:r w:rsidR="008A48DD" w:rsidRPr="000B75D8">
        <w:rPr>
          <w:noProof/>
          <w:lang w:val="en-GB"/>
        </w:rPr>
        <w:t>exceptional efforts to reprioritise and reduce costs t</w:t>
      </w:r>
      <w:r w:rsidRPr="000B75D8">
        <w:rPr>
          <w:rStyle w:val="normaltextrun"/>
          <w:noProof/>
          <w:lang w:val="en-GB"/>
        </w:rPr>
        <w:t xml:space="preserve">o contain administrative expenditure, the current ceilings of heading 7 </w:t>
      </w:r>
      <w:r w:rsidRPr="000B75D8">
        <w:rPr>
          <w:rStyle w:val="normaltextrun"/>
          <w:noProof/>
          <w:lang w:val="en-IE"/>
        </w:rPr>
        <w:t>‘</w:t>
      </w:r>
      <w:r w:rsidRPr="000B75D8">
        <w:rPr>
          <w:noProof/>
          <w:lang w:val="en-IE"/>
        </w:rPr>
        <w:t xml:space="preserve">European Public Administration’ </w:t>
      </w:r>
      <w:r w:rsidRPr="000B75D8">
        <w:rPr>
          <w:rStyle w:val="normaltextrun"/>
          <w:noProof/>
          <w:lang w:val="en-GB"/>
        </w:rPr>
        <w:t>will not be sufficient to address the needs due to the inflationary pressures</w:t>
      </w:r>
      <w:r w:rsidRPr="000B75D8">
        <w:rPr>
          <w:noProof/>
          <w:lang w:val="en-GB" w:eastAsia="en-IE"/>
        </w:rPr>
        <w:t>.</w:t>
      </w:r>
    </w:p>
    <w:p w14:paraId="3DA01896" w14:textId="1026E5F9" w:rsidR="00C2086C" w:rsidRPr="000B75D8" w:rsidRDefault="00C2086C" w:rsidP="00E16E00">
      <w:pPr>
        <w:spacing w:after="240"/>
        <w:rPr>
          <w:noProof/>
          <w:lang w:eastAsia="en-IE"/>
        </w:rPr>
      </w:pPr>
      <w:r w:rsidRPr="000B75D8">
        <w:rPr>
          <w:noProof/>
          <w:lang w:val="en-IE"/>
        </w:rPr>
        <w:t xml:space="preserve">To meet the Institutions’ legal duties and to handle the additional responsibilities assigned by the co-legislators to the Commission, it is </w:t>
      </w:r>
      <w:r w:rsidR="004F126B" w:rsidRPr="000B75D8">
        <w:rPr>
          <w:noProof/>
          <w:lang w:val="en-IE"/>
        </w:rPr>
        <w:t xml:space="preserve">therefore </w:t>
      </w:r>
      <w:r w:rsidRPr="000B75D8">
        <w:rPr>
          <w:noProof/>
          <w:lang w:val="en-IE"/>
        </w:rPr>
        <w:t>necessary to raise the ceiling of Heading 7</w:t>
      </w:r>
      <w:r w:rsidR="007D2291" w:rsidRPr="000B75D8">
        <w:rPr>
          <w:noProof/>
          <w:lang w:val="en-IE"/>
        </w:rPr>
        <w:t xml:space="preserve"> ‘</w:t>
      </w:r>
      <w:r w:rsidR="001F72D2" w:rsidRPr="000B75D8">
        <w:rPr>
          <w:noProof/>
          <w:lang w:val="en-IE"/>
        </w:rPr>
        <w:t>European Public Administration’</w:t>
      </w:r>
      <w:r w:rsidR="00ED172B" w:rsidRPr="000B75D8">
        <w:rPr>
          <w:noProof/>
          <w:lang w:val="en-IE"/>
        </w:rPr>
        <w:t xml:space="preserve"> </w:t>
      </w:r>
      <w:r w:rsidR="003A396F" w:rsidRPr="000B75D8">
        <w:rPr>
          <w:noProof/>
          <w:lang w:val="en-IE"/>
        </w:rPr>
        <w:t xml:space="preserve">by </w:t>
      </w:r>
      <w:r w:rsidR="00BE213B" w:rsidRPr="000B75D8">
        <w:rPr>
          <w:noProof/>
          <w:lang w:val="en-IE"/>
        </w:rPr>
        <w:t>EUR </w:t>
      </w:r>
      <w:r w:rsidR="00742666" w:rsidRPr="000B75D8">
        <w:rPr>
          <w:noProof/>
          <w:lang w:val="en-IE"/>
        </w:rPr>
        <w:t>1</w:t>
      </w:r>
      <w:r w:rsidR="007F136F" w:rsidRPr="000B75D8">
        <w:rPr>
          <w:noProof/>
          <w:lang w:val="en-IE"/>
        </w:rPr>
        <w:t> </w:t>
      </w:r>
      <w:r w:rsidR="00742666" w:rsidRPr="000B75D8">
        <w:rPr>
          <w:noProof/>
          <w:lang w:val="en-IE"/>
        </w:rPr>
        <w:t>621</w:t>
      </w:r>
      <w:r w:rsidR="007F136F" w:rsidRPr="000B75D8">
        <w:rPr>
          <w:noProof/>
          <w:lang w:val="en-IE"/>
        </w:rPr>
        <w:t> </w:t>
      </w:r>
      <w:r w:rsidR="00742666" w:rsidRPr="000B75D8">
        <w:rPr>
          <w:noProof/>
          <w:lang w:val="en-IE"/>
        </w:rPr>
        <w:t>million</w:t>
      </w:r>
      <w:r w:rsidR="00B603B6" w:rsidRPr="000B75D8">
        <w:rPr>
          <w:noProof/>
          <w:lang w:val="en-IE"/>
        </w:rPr>
        <w:t>, includ</w:t>
      </w:r>
      <w:r w:rsidR="00624CDD" w:rsidRPr="000B75D8">
        <w:rPr>
          <w:noProof/>
          <w:lang w:val="en-IE"/>
        </w:rPr>
        <w:t>i</w:t>
      </w:r>
      <w:r w:rsidR="00B603B6" w:rsidRPr="000B75D8">
        <w:rPr>
          <w:noProof/>
          <w:lang w:val="en-IE"/>
        </w:rPr>
        <w:t>ng an increase of the</w:t>
      </w:r>
      <w:r w:rsidR="00ED172B" w:rsidRPr="000B75D8">
        <w:rPr>
          <w:noProof/>
          <w:lang w:val="en-IE"/>
        </w:rPr>
        <w:t xml:space="preserve"> sub-ce</w:t>
      </w:r>
      <w:r w:rsidR="00B74EB3" w:rsidRPr="000B75D8">
        <w:rPr>
          <w:noProof/>
          <w:lang w:val="en-IE"/>
        </w:rPr>
        <w:t>iling ‘</w:t>
      </w:r>
      <w:r w:rsidR="00BA6EA7" w:rsidRPr="000B75D8">
        <w:rPr>
          <w:noProof/>
          <w:lang w:val="en-IE"/>
        </w:rPr>
        <w:t>Administrative expenditure of the institutions’</w:t>
      </w:r>
      <w:r w:rsidRPr="000B75D8">
        <w:rPr>
          <w:noProof/>
          <w:lang w:val="en-IE"/>
        </w:rPr>
        <w:t xml:space="preserve"> by EUR</w:t>
      </w:r>
      <w:r w:rsidR="00BE213B" w:rsidRPr="000B75D8">
        <w:rPr>
          <w:noProof/>
          <w:lang w:val="en-IE"/>
        </w:rPr>
        <w:t> </w:t>
      </w:r>
      <w:r w:rsidR="00742666" w:rsidRPr="000B75D8">
        <w:rPr>
          <w:noProof/>
          <w:lang w:val="en-IE"/>
        </w:rPr>
        <w:t>1</w:t>
      </w:r>
      <w:r w:rsidR="007F136F" w:rsidRPr="000B75D8">
        <w:rPr>
          <w:noProof/>
          <w:lang w:val="en-IE"/>
        </w:rPr>
        <w:t> </w:t>
      </w:r>
      <w:r w:rsidR="00742666" w:rsidRPr="000B75D8">
        <w:rPr>
          <w:noProof/>
          <w:lang w:val="en-IE"/>
        </w:rPr>
        <w:t>331</w:t>
      </w:r>
      <w:r w:rsidR="007F136F" w:rsidRPr="000B75D8">
        <w:rPr>
          <w:noProof/>
          <w:lang w:val="en-IE"/>
        </w:rPr>
        <w:t> </w:t>
      </w:r>
      <w:r w:rsidR="00742666" w:rsidRPr="000B75D8">
        <w:rPr>
          <w:noProof/>
          <w:lang w:val="en-IE"/>
        </w:rPr>
        <w:t>million</w:t>
      </w:r>
      <w:r w:rsidRPr="000B75D8">
        <w:rPr>
          <w:noProof/>
          <w:lang w:val="en-IE"/>
        </w:rPr>
        <w:t>.</w:t>
      </w:r>
    </w:p>
    <w:p w14:paraId="7FC84243" w14:textId="561BF08A" w:rsidR="003D78DC" w:rsidRPr="000B75D8" w:rsidRDefault="003D78DC" w:rsidP="003D78DC">
      <w:pPr>
        <w:pStyle w:val="ManualHeading3"/>
        <w:rPr>
          <w:noProof/>
        </w:rPr>
      </w:pPr>
      <w:r w:rsidRPr="000B75D8">
        <w:rPr>
          <w:noProof/>
        </w:rPr>
        <w:t>1.2.</w:t>
      </w:r>
      <w:r w:rsidR="00CF0242" w:rsidRPr="000B75D8">
        <w:rPr>
          <w:noProof/>
        </w:rPr>
        <w:t>6</w:t>
      </w:r>
      <w:r w:rsidRPr="000B75D8">
        <w:rPr>
          <w:noProof/>
        </w:rPr>
        <w:t>.</w:t>
      </w:r>
      <w:r w:rsidR="00C84BC4" w:rsidRPr="000B75D8">
        <w:rPr>
          <w:noProof/>
        </w:rPr>
        <w:tab/>
      </w:r>
      <w:r w:rsidR="00841FD5" w:rsidRPr="000B75D8">
        <w:rPr>
          <w:iCs/>
          <w:noProof/>
          <w:szCs w:val="24"/>
          <w:lang w:val="en-IE"/>
        </w:rPr>
        <w:t xml:space="preserve">Enhancing the Union budget’s capacity to respond to crises and unforeseen </w:t>
      </w:r>
      <w:r w:rsidR="00976C4B" w:rsidRPr="000B75D8">
        <w:rPr>
          <w:iCs/>
          <w:noProof/>
          <w:szCs w:val="24"/>
          <w:lang w:val="en-IE"/>
        </w:rPr>
        <w:t>developments</w:t>
      </w:r>
    </w:p>
    <w:p w14:paraId="0BB92442" w14:textId="0F35922A" w:rsidR="003170B5" w:rsidRPr="000B75D8" w:rsidRDefault="003170B5" w:rsidP="003170B5">
      <w:pPr>
        <w:spacing w:after="200"/>
        <w:rPr>
          <w:noProof/>
        </w:rPr>
      </w:pPr>
      <w:r w:rsidRPr="000B75D8">
        <w:rPr>
          <w:noProof/>
        </w:rPr>
        <w:t>The ‘Solidarity and Emergency Aid Reserve’ (SEAR)</w:t>
      </w:r>
      <w:r w:rsidR="00C84BC4" w:rsidRPr="000B75D8">
        <w:rPr>
          <w:noProof/>
        </w:rPr>
        <w:t xml:space="preserve">, </w:t>
      </w:r>
      <w:r w:rsidR="00DB2E7A" w:rsidRPr="000B75D8">
        <w:rPr>
          <w:noProof/>
        </w:rPr>
        <w:t xml:space="preserve">a thematic special instrument </w:t>
      </w:r>
      <w:r w:rsidR="00B35333" w:rsidRPr="000B75D8">
        <w:rPr>
          <w:noProof/>
        </w:rPr>
        <w:t xml:space="preserve">which </w:t>
      </w:r>
      <w:r w:rsidR="00C84BC4" w:rsidRPr="000B75D8">
        <w:rPr>
          <w:noProof/>
          <w:lang w:val="en-IE"/>
        </w:rPr>
        <w:t>help</w:t>
      </w:r>
      <w:r w:rsidR="00A55B73" w:rsidRPr="000B75D8">
        <w:rPr>
          <w:noProof/>
          <w:lang w:val="en-IE"/>
        </w:rPr>
        <w:t>s</w:t>
      </w:r>
      <w:r w:rsidR="00C84BC4" w:rsidRPr="000B75D8">
        <w:rPr>
          <w:noProof/>
          <w:lang w:val="en-IE"/>
        </w:rPr>
        <w:t xml:space="preserve"> tackling emergencies in Member States and non-EU countries</w:t>
      </w:r>
      <w:r w:rsidR="003C0F91" w:rsidRPr="000B75D8">
        <w:rPr>
          <w:noProof/>
          <w:lang w:val="en-IE"/>
        </w:rPr>
        <w:t>,</w:t>
      </w:r>
      <w:r w:rsidR="00C84BC4" w:rsidRPr="000B75D8">
        <w:rPr>
          <w:noProof/>
          <w:lang w:val="en-IE"/>
        </w:rPr>
        <w:t xml:space="preserve"> has been put </w:t>
      </w:r>
      <w:r w:rsidRPr="000B75D8">
        <w:rPr>
          <w:noProof/>
        </w:rPr>
        <w:t xml:space="preserve">under heavy pressure </w:t>
      </w:r>
      <w:r w:rsidR="00C84BC4" w:rsidRPr="000B75D8">
        <w:rPr>
          <w:noProof/>
        </w:rPr>
        <w:t xml:space="preserve">since </w:t>
      </w:r>
      <w:r w:rsidR="00DB2E7A" w:rsidRPr="000B75D8">
        <w:rPr>
          <w:noProof/>
        </w:rPr>
        <w:t>2021</w:t>
      </w:r>
      <w:r w:rsidR="00C84BC4" w:rsidRPr="000B75D8">
        <w:rPr>
          <w:noProof/>
        </w:rPr>
        <w:t xml:space="preserve">. </w:t>
      </w:r>
      <w:r w:rsidRPr="000B75D8">
        <w:rPr>
          <w:noProof/>
        </w:rPr>
        <w:t xml:space="preserve">In light of </w:t>
      </w:r>
      <w:r w:rsidR="00370A64" w:rsidRPr="000B75D8">
        <w:rPr>
          <w:noProof/>
        </w:rPr>
        <w:t>the increasing occurrence and magnitude of</w:t>
      </w:r>
      <w:r w:rsidRPr="000B75D8">
        <w:rPr>
          <w:noProof/>
          <w:lang w:val="en-IE"/>
        </w:rPr>
        <w:t xml:space="preserve"> major natural disasters,</w:t>
      </w:r>
      <w:r w:rsidR="00370A64" w:rsidRPr="000B75D8">
        <w:rPr>
          <w:noProof/>
          <w:lang w:val="en-IE"/>
        </w:rPr>
        <w:t xml:space="preserve"> in parti</w:t>
      </w:r>
      <w:r w:rsidR="00E82430" w:rsidRPr="000B75D8">
        <w:rPr>
          <w:noProof/>
          <w:lang w:val="en-IE"/>
        </w:rPr>
        <w:t>cu</w:t>
      </w:r>
      <w:r w:rsidR="00370A64" w:rsidRPr="000B75D8">
        <w:rPr>
          <w:noProof/>
          <w:lang w:val="en-IE"/>
        </w:rPr>
        <w:t xml:space="preserve">lar due to climate change, </w:t>
      </w:r>
      <w:r w:rsidRPr="000B75D8">
        <w:rPr>
          <w:noProof/>
          <w:lang w:val="en-IE"/>
        </w:rPr>
        <w:t>a</w:t>
      </w:r>
      <w:r w:rsidR="005F5F47" w:rsidRPr="000B75D8">
        <w:rPr>
          <w:noProof/>
          <w:lang w:val="en-IE"/>
        </w:rPr>
        <w:t xml:space="preserve">nd of </w:t>
      </w:r>
      <w:r w:rsidR="00C84BC4" w:rsidRPr="000B75D8">
        <w:rPr>
          <w:noProof/>
          <w:lang w:val="en-IE"/>
        </w:rPr>
        <w:t xml:space="preserve">humanitarian </w:t>
      </w:r>
      <w:r w:rsidR="005F5F47" w:rsidRPr="000B75D8">
        <w:rPr>
          <w:noProof/>
          <w:lang w:val="en-IE"/>
        </w:rPr>
        <w:t>crises</w:t>
      </w:r>
      <w:r w:rsidR="00370A64" w:rsidRPr="000B75D8">
        <w:rPr>
          <w:noProof/>
          <w:lang w:val="en-IE"/>
        </w:rPr>
        <w:t>, the annual amount of the Solidarity and Emergency Aid Reserve should be increased.</w:t>
      </w:r>
    </w:p>
    <w:p w14:paraId="40E3F263" w14:textId="6F038759" w:rsidR="00D0733C" w:rsidRPr="000B75D8" w:rsidRDefault="004D5C5A" w:rsidP="00E960B9">
      <w:pPr>
        <w:rPr>
          <w:noProof/>
        </w:rPr>
      </w:pPr>
      <w:r w:rsidRPr="000B75D8">
        <w:rPr>
          <w:rStyle w:val="normaltextrun"/>
          <w:noProof/>
          <w:color w:val="000000"/>
          <w:shd w:val="clear" w:color="auto" w:fill="FFFFFF"/>
        </w:rPr>
        <w:t xml:space="preserve">As budgetary margins were largely depleted in the very first years of the </w:t>
      </w:r>
      <w:r w:rsidR="0002040B" w:rsidRPr="000B75D8">
        <w:rPr>
          <w:rStyle w:val="normaltextrun"/>
          <w:noProof/>
          <w:color w:val="000000"/>
          <w:shd w:val="clear" w:color="auto" w:fill="FFFFFF"/>
        </w:rPr>
        <w:t>MFF</w:t>
      </w:r>
      <w:r w:rsidRPr="000B75D8">
        <w:rPr>
          <w:rStyle w:val="normaltextrun"/>
          <w:noProof/>
          <w:color w:val="000000"/>
          <w:shd w:val="clear" w:color="auto" w:fill="FFFFFF"/>
        </w:rPr>
        <w:t xml:space="preserve">, it has been necessary to mobilise the </w:t>
      </w:r>
      <w:r w:rsidR="00454117" w:rsidRPr="000B75D8">
        <w:rPr>
          <w:rStyle w:val="normaltextrun"/>
          <w:noProof/>
          <w:color w:val="000000"/>
          <w:shd w:val="clear" w:color="auto" w:fill="FFFFFF"/>
        </w:rPr>
        <w:t xml:space="preserve">Flexibility Instrument </w:t>
      </w:r>
      <w:r w:rsidR="002F134B" w:rsidRPr="000B75D8">
        <w:rPr>
          <w:rFonts w:eastAsia="Calibri"/>
          <w:noProof/>
          <w:szCs w:val="24"/>
        </w:rPr>
        <w:t xml:space="preserve">to </w:t>
      </w:r>
      <w:r w:rsidR="00AF3D6F" w:rsidRPr="000B75D8">
        <w:rPr>
          <w:rFonts w:eastAsia="Calibri"/>
          <w:noProof/>
          <w:szCs w:val="24"/>
        </w:rPr>
        <w:t xml:space="preserve">nearly its full </w:t>
      </w:r>
      <w:r w:rsidR="00214A1E" w:rsidRPr="000B75D8">
        <w:rPr>
          <w:rFonts w:eastAsia="Calibri"/>
          <w:noProof/>
          <w:szCs w:val="24"/>
        </w:rPr>
        <w:t>availability</w:t>
      </w:r>
      <w:r w:rsidR="00471085" w:rsidRPr="000B75D8">
        <w:rPr>
          <w:rFonts w:eastAsia="Calibri"/>
          <w:noProof/>
          <w:szCs w:val="24"/>
        </w:rPr>
        <w:t>.</w:t>
      </w:r>
      <w:r w:rsidR="002F134B" w:rsidRPr="000B75D8" w:rsidDel="002F134B">
        <w:rPr>
          <w:rStyle w:val="normaltextrun"/>
          <w:noProof/>
          <w:color w:val="000000"/>
          <w:shd w:val="clear" w:color="auto" w:fill="FFFFFF"/>
        </w:rPr>
        <w:t xml:space="preserve"> </w:t>
      </w:r>
      <w:r w:rsidRPr="000B75D8">
        <w:rPr>
          <w:rStyle w:val="normaltextrun"/>
          <w:noProof/>
          <w:color w:val="000000"/>
          <w:shd w:val="clear" w:color="auto" w:fill="FFFFFF"/>
        </w:rPr>
        <w:t>The high pressure</w:t>
      </w:r>
      <w:r w:rsidR="00843C1C" w:rsidRPr="000B75D8">
        <w:rPr>
          <w:rStyle w:val="normaltextrun"/>
          <w:noProof/>
          <w:color w:val="000000"/>
          <w:shd w:val="clear" w:color="auto" w:fill="FFFFFF"/>
        </w:rPr>
        <w:t xml:space="preserve"> </w:t>
      </w:r>
      <w:r w:rsidRPr="000B75D8">
        <w:rPr>
          <w:rStyle w:val="normaltextrun"/>
          <w:noProof/>
          <w:color w:val="000000"/>
          <w:shd w:val="clear" w:color="auto" w:fill="FFFFFF"/>
        </w:rPr>
        <w:t xml:space="preserve">in </w:t>
      </w:r>
      <w:r w:rsidR="00FF2DDD" w:rsidRPr="000B75D8">
        <w:rPr>
          <w:rStyle w:val="normaltextrun"/>
          <w:noProof/>
          <w:color w:val="000000"/>
          <w:shd w:val="clear" w:color="auto" w:fill="FFFFFF"/>
        </w:rPr>
        <w:t xml:space="preserve">all </w:t>
      </w:r>
      <w:r w:rsidRPr="000B75D8">
        <w:rPr>
          <w:rStyle w:val="normaltextrun"/>
          <w:noProof/>
          <w:color w:val="000000"/>
          <w:shd w:val="clear" w:color="auto" w:fill="FFFFFF"/>
        </w:rPr>
        <w:t xml:space="preserve">expenditure </w:t>
      </w:r>
      <w:r w:rsidR="00FF2DDD" w:rsidRPr="000B75D8">
        <w:rPr>
          <w:rStyle w:val="normaltextrun"/>
          <w:noProof/>
          <w:color w:val="000000"/>
          <w:shd w:val="clear" w:color="auto" w:fill="FFFFFF"/>
        </w:rPr>
        <w:t>H</w:t>
      </w:r>
      <w:r w:rsidRPr="000B75D8">
        <w:rPr>
          <w:rStyle w:val="normaltextrun"/>
          <w:noProof/>
          <w:color w:val="000000"/>
          <w:shd w:val="clear" w:color="auto" w:fill="FFFFFF"/>
        </w:rPr>
        <w:t xml:space="preserve">eadings until the end of the </w:t>
      </w:r>
      <w:r w:rsidR="009946C8" w:rsidRPr="000B75D8">
        <w:rPr>
          <w:rStyle w:val="normaltextrun"/>
          <w:noProof/>
          <w:color w:val="000000"/>
          <w:shd w:val="clear" w:color="auto" w:fill="FFFFFF"/>
        </w:rPr>
        <w:t>MFF</w:t>
      </w:r>
      <w:r w:rsidRPr="000B75D8">
        <w:rPr>
          <w:rStyle w:val="normaltextrun"/>
          <w:noProof/>
          <w:color w:val="000000"/>
          <w:shd w:val="clear" w:color="auto" w:fill="FFFFFF"/>
        </w:rPr>
        <w:t xml:space="preserve"> </w:t>
      </w:r>
      <w:r w:rsidR="00957735" w:rsidRPr="000B75D8">
        <w:rPr>
          <w:noProof/>
        </w:rPr>
        <w:t>require</w:t>
      </w:r>
      <w:r w:rsidR="00843C1C" w:rsidRPr="000B75D8">
        <w:rPr>
          <w:noProof/>
        </w:rPr>
        <w:t>s</w:t>
      </w:r>
      <w:r w:rsidR="00CD5293" w:rsidRPr="000B75D8">
        <w:rPr>
          <w:noProof/>
        </w:rPr>
        <w:t xml:space="preserve"> </w:t>
      </w:r>
      <w:r w:rsidR="00843C1C" w:rsidRPr="000B75D8">
        <w:rPr>
          <w:noProof/>
        </w:rPr>
        <w:t>an</w:t>
      </w:r>
      <w:r w:rsidR="00CD5293" w:rsidRPr="000B75D8">
        <w:rPr>
          <w:noProof/>
        </w:rPr>
        <w:t xml:space="preserve"> </w:t>
      </w:r>
      <w:r w:rsidR="00957735" w:rsidRPr="000B75D8">
        <w:rPr>
          <w:noProof/>
        </w:rPr>
        <w:t xml:space="preserve">increase of </w:t>
      </w:r>
      <w:r w:rsidR="003D0624" w:rsidRPr="000B75D8">
        <w:rPr>
          <w:noProof/>
        </w:rPr>
        <w:t>the Flexibility Instrument</w:t>
      </w:r>
      <w:r w:rsidR="00B661CC" w:rsidRPr="000B75D8">
        <w:rPr>
          <w:noProof/>
        </w:rPr>
        <w:t xml:space="preserve"> </w:t>
      </w:r>
      <w:r w:rsidRPr="000B75D8">
        <w:rPr>
          <w:noProof/>
        </w:rPr>
        <w:t>to</w:t>
      </w:r>
      <w:r w:rsidR="00B661CC" w:rsidRPr="000B75D8">
        <w:rPr>
          <w:noProof/>
        </w:rPr>
        <w:t xml:space="preserve"> </w:t>
      </w:r>
      <w:r w:rsidR="00843C1C" w:rsidRPr="000B75D8">
        <w:rPr>
          <w:rFonts w:eastAsia="Calibri"/>
          <w:noProof/>
          <w:szCs w:val="24"/>
        </w:rPr>
        <w:t xml:space="preserve">ensure that the EU budget can </w:t>
      </w:r>
      <w:r w:rsidR="003D0624" w:rsidRPr="000B75D8">
        <w:rPr>
          <w:noProof/>
        </w:rPr>
        <w:t>respond to</w:t>
      </w:r>
      <w:r w:rsidR="00EF5D37" w:rsidRPr="000B75D8">
        <w:rPr>
          <w:noProof/>
        </w:rPr>
        <w:t xml:space="preserve"> </w:t>
      </w:r>
      <w:r w:rsidR="003D0624" w:rsidRPr="000B75D8">
        <w:rPr>
          <w:noProof/>
        </w:rPr>
        <w:t>unforeseen needs that may arise.</w:t>
      </w:r>
    </w:p>
    <w:p w14:paraId="4E8F2DA5" w14:textId="1DF18DE5" w:rsidR="000076A5" w:rsidRPr="000B75D8" w:rsidRDefault="000076A5">
      <w:pPr>
        <w:pStyle w:val="ManualHeading1"/>
        <w:rPr>
          <w:noProof/>
        </w:rPr>
      </w:pPr>
      <w:r w:rsidRPr="000B75D8">
        <w:rPr>
          <w:noProof/>
        </w:rPr>
        <w:t>2.</w:t>
      </w:r>
      <w:r w:rsidRPr="000B75D8">
        <w:rPr>
          <w:noProof/>
        </w:rPr>
        <w:tab/>
        <w:t>LEGAL ELEMENTS OF THE PROPOSAL</w:t>
      </w:r>
    </w:p>
    <w:p w14:paraId="65D6F09A" w14:textId="10BBCC47" w:rsidR="00A57027" w:rsidRPr="000B75D8" w:rsidRDefault="000503E8" w:rsidP="00D0276E">
      <w:pPr>
        <w:pStyle w:val="ManualHeading2"/>
        <w:ind w:left="0" w:firstLine="0"/>
        <w:rPr>
          <w:noProof/>
        </w:rPr>
      </w:pPr>
      <w:r w:rsidRPr="000B75D8">
        <w:rPr>
          <w:rFonts w:eastAsia="Arial Unicode MS"/>
          <w:noProof/>
          <w:u w:color="000000"/>
          <w:bdr w:val="nil"/>
          <w:lang w:val="en-US" w:eastAsia="en-GB"/>
        </w:rPr>
        <w:t>•</w:t>
      </w:r>
      <w:r w:rsidR="00D0276E" w:rsidRPr="000B75D8">
        <w:rPr>
          <w:rFonts w:eastAsia="Arial Unicode MS"/>
          <w:noProof/>
          <w:color w:val="000000"/>
          <w:bdr w:val="nil"/>
          <w:lang w:val="en-US" w:eastAsia="en-GB"/>
        </w:rPr>
        <w:tab/>
      </w:r>
      <w:r w:rsidR="00A57027" w:rsidRPr="000B75D8">
        <w:rPr>
          <w:noProof/>
        </w:rPr>
        <w:t>Legal basis</w:t>
      </w:r>
    </w:p>
    <w:p w14:paraId="01D91FBD" w14:textId="7FEF4C07" w:rsidR="00A57027" w:rsidRPr="000B75D8" w:rsidRDefault="00A57027" w:rsidP="00A57027">
      <w:pPr>
        <w:rPr>
          <w:noProof/>
        </w:rPr>
      </w:pPr>
      <w:r w:rsidRPr="000B75D8">
        <w:rPr>
          <w:noProof/>
        </w:rPr>
        <w:t>Article 312 TFEU constitutes the legal basis for the adoption of the Multiannual Financial Framework.</w:t>
      </w:r>
    </w:p>
    <w:p w14:paraId="01A33655" w14:textId="667C9BE2" w:rsidR="00A57027" w:rsidRPr="000B75D8" w:rsidRDefault="000503E8" w:rsidP="00A57027">
      <w:pPr>
        <w:pStyle w:val="ManualHeading2"/>
        <w:rPr>
          <w:noProof/>
        </w:rPr>
      </w:pPr>
      <w:r w:rsidRPr="000B75D8">
        <w:rPr>
          <w:rFonts w:eastAsia="Arial Unicode MS"/>
          <w:noProof/>
          <w:u w:color="000000"/>
          <w:bdr w:val="nil"/>
          <w:lang w:val="en-US" w:eastAsia="en-GB"/>
        </w:rPr>
        <w:t>•</w:t>
      </w:r>
      <w:r w:rsidR="00D0276E" w:rsidRPr="000B75D8">
        <w:rPr>
          <w:rFonts w:eastAsia="Arial Unicode MS"/>
          <w:noProof/>
          <w:color w:val="000000"/>
          <w:bdr w:val="nil"/>
          <w:lang w:val="en-US" w:eastAsia="en-GB"/>
        </w:rPr>
        <w:tab/>
      </w:r>
      <w:r w:rsidR="00A57027" w:rsidRPr="000B75D8">
        <w:rPr>
          <w:noProof/>
        </w:rPr>
        <w:t>Subsidiarity</w:t>
      </w:r>
    </w:p>
    <w:p w14:paraId="224DB8CB" w14:textId="256D6BEE" w:rsidR="005D1B87" w:rsidRPr="000B75D8" w:rsidRDefault="00A57027" w:rsidP="00166B70">
      <w:pPr>
        <w:rPr>
          <w:noProof/>
        </w:rPr>
      </w:pPr>
      <w:r w:rsidRPr="000B75D8">
        <w:rPr>
          <w:noProof/>
        </w:rPr>
        <w:t>The initiative falls under a policy area where the EU has exclusive powers (under Article 312 TFEU). Therefore, the subsidiarity principle does not apply.</w:t>
      </w:r>
    </w:p>
    <w:p w14:paraId="71D25270" w14:textId="11DEC64F" w:rsidR="009946C8" w:rsidRPr="000B75D8" w:rsidRDefault="00CC774A" w:rsidP="00CC774A">
      <w:pPr>
        <w:pStyle w:val="ManualHeading2"/>
        <w:rPr>
          <w:noProof/>
        </w:rPr>
      </w:pPr>
      <w:r w:rsidRPr="000B75D8">
        <w:rPr>
          <w:rFonts w:eastAsia="Arial Unicode MS"/>
          <w:noProof/>
          <w:u w:color="000000"/>
          <w:bdr w:val="nil"/>
          <w:lang w:val="en-US" w:eastAsia="en-GB"/>
        </w:rPr>
        <w:t>•</w:t>
      </w:r>
      <w:r w:rsidRPr="000B75D8">
        <w:rPr>
          <w:rFonts w:eastAsia="Arial Unicode MS"/>
          <w:noProof/>
          <w:u w:color="000000"/>
          <w:bdr w:val="nil"/>
          <w:lang w:val="en-US" w:eastAsia="en-GB"/>
        </w:rPr>
        <w:tab/>
      </w:r>
      <w:r w:rsidR="009946C8" w:rsidRPr="000B75D8">
        <w:rPr>
          <w:noProof/>
        </w:rPr>
        <w:t>Proportionality</w:t>
      </w:r>
    </w:p>
    <w:p w14:paraId="2FFF7C4A" w14:textId="40D1B389" w:rsidR="00DE346E" w:rsidRPr="000B75D8" w:rsidRDefault="008D7C02" w:rsidP="00C42BB9">
      <w:pPr>
        <w:pStyle w:val="Text1"/>
        <w:ind w:left="0"/>
        <w:rPr>
          <w:noProof/>
        </w:rPr>
      </w:pPr>
      <w:r w:rsidRPr="000B75D8">
        <w:rPr>
          <w:noProof/>
        </w:rPr>
        <w:t>The proposal complies with the proportionality principle in that it does not go beyond the minimum required to achieve the stated objectives at the European level and which is necessary for that purpose</w:t>
      </w:r>
      <w:r w:rsidR="00DE346E" w:rsidRPr="000B75D8">
        <w:rPr>
          <w:noProof/>
        </w:rPr>
        <w:t xml:space="preserve">. The changes are proportionate to the significant series of </w:t>
      </w:r>
      <w:r w:rsidR="00901315" w:rsidRPr="000B75D8">
        <w:rPr>
          <w:noProof/>
        </w:rPr>
        <w:t xml:space="preserve">unexpected events and new challenges which </w:t>
      </w:r>
      <w:r w:rsidR="00DE346E" w:rsidRPr="000B75D8">
        <w:rPr>
          <w:noProof/>
        </w:rPr>
        <w:t>occurred since the adoption of Regulation (EU, Euratom) 2020/2093 in December 2020.</w:t>
      </w:r>
    </w:p>
    <w:p w14:paraId="46A59BF7" w14:textId="2E6F0D88" w:rsidR="000503E8" w:rsidRPr="000B75D8" w:rsidRDefault="000503E8" w:rsidP="000503E8">
      <w:pPr>
        <w:pStyle w:val="ManualHeading2"/>
        <w:rPr>
          <w:rFonts w:eastAsia="Arial Unicode MS"/>
          <w:noProof/>
          <w:u w:color="000000"/>
          <w:bdr w:val="nil"/>
          <w:lang w:val="en-US" w:eastAsia="en-GB"/>
        </w:rPr>
      </w:pPr>
      <w:r w:rsidRPr="000B75D8">
        <w:rPr>
          <w:rFonts w:eastAsia="Arial Unicode MS"/>
          <w:noProof/>
          <w:u w:color="000000"/>
          <w:bdr w:val="nil"/>
          <w:lang w:val="en-US" w:eastAsia="en-GB"/>
        </w:rPr>
        <w:t>•</w:t>
      </w:r>
      <w:r w:rsidRPr="000B75D8">
        <w:rPr>
          <w:rFonts w:eastAsia="Arial Unicode MS"/>
          <w:noProof/>
          <w:u w:color="000000"/>
          <w:bdr w:val="nil"/>
          <w:lang w:val="en-US" w:eastAsia="en-GB"/>
        </w:rPr>
        <w:tab/>
      </w:r>
      <w:r w:rsidR="003F5C57" w:rsidRPr="000B75D8">
        <w:rPr>
          <w:noProof/>
        </w:rPr>
        <w:t>Relationship with pending proposal</w:t>
      </w:r>
    </w:p>
    <w:p w14:paraId="7F686CDE" w14:textId="47149536" w:rsidR="009946C8" w:rsidRPr="000B75D8" w:rsidRDefault="00677859" w:rsidP="00A57027">
      <w:pPr>
        <w:rPr>
          <w:noProof/>
        </w:rPr>
      </w:pPr>
      <w:r w:rsidRPr="000B75D8">
        <w:rPr>
          <w:noProof/>
        </w:rPr>
        <w:t>Th</w:t>
      </w:r>
      <w:r w:rsidR="00EC624C" w:rsidRPr="000B75D8">
        <w:rPr>
          <w:noProof/>
        </w:rPr>
        <w:t>e present</w:t>
      </w:r>
      <w:r w:rsidRPr="000B75D8">
        <w:rPr>
          <w:noProof/>
        </w:rPr>
        <w:t xml:space="preserve"> proposal</w:t>
      </w:r>
      <w:r w:rsidR="00EC624C" w:rsidRPr="000B75D8">
        <w:rPr>
          <w:noProof/>
        </w:rPr>
        <w:t xml:space="preserve"> for</w:t>
      </w:r>
      <w:r w:rsidR="009946C8" w:rsidRPr="000B75D8">
        <w:rPr>
          <w:noProof/>
        </w:rPr>
        <w:t xml:space="preserve"> an</w:t>
      </w:r>
      <w:r w:rsidR="00EC624C" w:rsidRPr="000B75D8">
        <w:rPr>
          <w:noProof/>
        </w:rPr>
        <w:t xml:space="preserve"> amendment of Regulation (EU, Euratom) 2020/2093 replaces the proposal of 22 December 2021 (COM(2021)569)</w:t>
      </w:r>
      <w:r w:rsidR="000F7DEA" w:rsidRPr="000B75D8">
        <w:rPr>
          <w:noProof/>
          <w:u w:color="000000"/>
          <w:bdr w:val="nil"/>
          <w:lang w:val="en-US" w:eastAsia="en-GB"/>
        </w:rPr>
        <w:t xml:space="preserve"> which </w:t>
      </w:r>
      <w:r w:rsidR="009540E0" w:rsidRPr="000B75D8">
        <w:rPr>
          <w:noProof/>
          <w:u w:color="000000"/>
          <w:bdr w:val="nil"/>
          <w:lang w:val="en-US" w:eastAsia="en-GB"/>
        </w:rPr>
        <w:t xml:space="preserve">will be </w:t>
      </w:r>
      <w:r w:rsidR="000F7DEA" w:rsidRPr="000B75D8">
        <w:rPr>
          <w:noProof/>
          <w:u w:color="000000"/>
          <w:bdr w:val="nil"/>
          <w:lang w:val="en-US" w:eastAsia="en-GB"/>
        </w:rPr>
        <w:t>withdrawn</w:t>
      </w:r>
      <w:r w:rsidR="00EC624C" w:rsidRPr="000B75D8">
        <w:rPr>
          <w:noProof/>
        </w:rPr>
        <w:t>.</w:t>
      </w:r>
    </w:p>
    <w:p w14:paraId="0AA718B6" w14:textId="67FF0E00" w:rsidR="00E8044B" w:rsidRPr="000B75D8" w:rsidRDefault="007F5056" w:rsidP="007F5056">
      <w:pPr>
        <w:pStyle w:val="ManualHeading2"/>
        <w:rPr>
          <w:noProof/>
          <w:lang w:eastAsia="en-GB"/>
        </w:rPr>
      </w:pPr>
      <w:r w:rsidRPr="000B75D8">
        <w:rPr>
          <w:rFonts w:eastAsia="Arial Unicode MS"/>
          <w:noProof/>
          <w:color w:val="000000"/>
          <w:bdr w:val="nil"/>
          <w:lang w:val="en-US" w:eastAsia="en-GB"/>
        </w:rPr>
        <w:t>3</w:t>
      </w:r>
      <w:r w:rsidR="00DD232D" w:rsidRPr="000B75D8">
        <w:rPr>
          <w:rFonts w:eastAsia="Arial Unicode MS"/>
          <w:noProof/>
          <w:color w:val="000000"/>
          <w:bdr w:val="nil"/>
          <w:lang w:val="en-US" w:eastAsia="en-GB"/>
        </w:rPr>
        <w:t>.</w:t>
      </w:r>
      <w:r w:rsidR="00DD232D" w:rsidRPr="000B75D8">
        <w:rPr>
          <w:rFonts w:eastAsia="Arial Unicode MS"/>
          <w:noProof/>
          <w:color w:val="000000"/>
          <w:bdr w:val="nil"/>
          <w:lang w:val="en-US" w:eastAsia="en-GB"/>
        </w:rPr>
        <w:tab/>
      </w:r>
      <w:r w:rsidRPr="000B75D8">
        <w:rPr>
          <w:rFonts w:eastAsia="Arial Unicode MS"/>
          <w:noProof/>
          <w:color w:val="000000"/>
          <w:bdr w:val="nil"/>
          <w:lang w:val="en-US" w:eastAsia="en-GB"/>
        </w:rPr>
        <w:t>DETAILED EXPLANATION OF THE SPECIFIC PROVISIONS OF THE PROPOSAL</w:t>
      </w:r>
    </w:p>
    <w:p w14:paraId="01882F9D" w14:textId="77777777" w:rsidR="00413864" w:rsidRPr="000B75D8" w:rsidRDefault="00413864" w:rsidP="00413864">
      <w:pPr>
        <w:pStyle w:val="Header"/>
        <w:rPr>
          <w:b/>
          <w:noProof/>
        </w:rPr>
      </w:pPr>
      <w:r w:rsidRPr="000B75D8">
        <w:rPr>
          <w:b/>
          <w:noProof/>
        </w:rPr>
        <w:t>Chapter 1 – General Provisions</w:t>
      </w:r>
    </w:p>
    <w:p w14:paraId="21431C15" w14:textId="27D08632" w:rsidR="00413864" w:rsidRPr="000B75D8" w:rsidRDefault="00413864" w:rsidP="00413864">
      <w:pPr>
        <w:pStyle w:val="Header"/>
        <w:rPr>
          <w:i/>
          <w:noProof/>
        </w:rPr>
      </w:pPr>
      <w:r w:rsidRPr="000B75D8">
        <w:rPr>
          <w:i/>
          <w:noProof/>
        </w:rPr>
        <w:t>Article 2 – Compliance with the ceilings of the MFF</w:t>
      </w:r>
    </w:p>
    <w:p w14:paraId="24C36396" w14:textId="66539023" w:rsidR="009046B7" w:rsidRPr="000B75D8" w:rsidRDefault="00413864" w:rsidP="00413864">
      <w:pPr>
        <w:rPr>
          <w:noProof/>
        </w:rPr>
      </w:pPr>
      <w:r w:rsidRPr="000B75D8">
        <w:rPr>
          <w:noProof/>
        </w:rPr>
        <w:t>The first paragraph of Article 2 refers to Annex</w:t>
      </w:r>
      <w:r w:rsidR="009046B7" w:rsidRPr="000B75D8">
        <w:rPr>
          <w:noProof/>
        </w:rPr>
        <w:t xml:space="preserve"> I</w:t>
      </w:r>
      <w:r w:rsidRPr="000B75D8">
        <w:rPr>
          <w:noProof/>
        </w:rPr>
        <w:t xml:space="preserve"> containing the table of the Multiannual Financial Framework ceilings</w:t>
      </w:r>
      <w:r w:rsidR="009046B7" w:rsidRPr="000B75D8">
        <w:rPr>
          <w:noProof/>
        </w:rPr>
        <w:t>. Annex I to the Regulation is replaced by the Annex to th</w:t>
      </w:r>
      <w:r w:rsidR="004752F7" w:rsidRPr="000B75D8">
        <w:rPr>
          <w:noProof/>
        </w:rPr>
        <w:t xml:space="preserve">is </w:t>
      </w:r>
      <w:r w:rsidR="009046B7" w:rsidRPr="000B75D8">
        <w:rPr>
          <w:noProof/>
        </w:rPr>
        <w:t>proposal.</w:t>
      </w:r>
    </w:p>
    <w:p w14:paraId="7FD66332" w14:textId="3F513023" w:rsidR="00413864" w:rsidRPr="000B75D8" w:rsidRDefault="00413864" w:rsidP="00413864">
      <w:pPr>
        <w:rPr>
          <w:noProof/>
        </w:rPr>
      </w:pPr>
      <w:r w:rsidRPr="000B75D8">
        <w:rPr>
          <w:noProof/>
        </w:rPr>
        <w:t>The</w:t>
      </w:r>
      <w:r w:rsidR="00A6638F" w:rsidRPr="000B75D8">
        <w:rPr>
          <w:noProof/>
        </w:rPr>
        <w:t xml:space="preserve"> </w:t>
      </w:r>
      <w:r w:rsidR="009046B7" w:rsidRPr="000B75D8">
        <w:rPr>
          <w:noProof/>
        </w:rPr>
        <w:t>first sub-paragraph of the</w:t>
      </w:r>
      <w:r w:rsidRPr="000B75D8">
        <w:rPr>
          <w:noProof/>
        </w:rPr>
        <w:t xml:space="preserve"> second paragraph </w:t>
      </w:r>
      <w:r w:rsidR="009046B7" w:rsidRPr="000B75D8">
        <w:rPr>
          <w:noProof/>
        </w:rPr>
        <w:t xml:space="preserve">is amended to </w:t>
      </w:r>
      <w:r w:rsidRPr="000B75D8">
        <w:rPr>
          <w:noProof/>
        </w:rPr>
        <w:t>introduce</w:t>
      </w:r>
      <w:r w:rsidR="009046B7" w:rsidRPr="000B75D8">
        <w:rPr>
          <w:noProof/>
        </w:rPr>
        <w:t xml:space="preserve"> the reference to the ‘</w:t>
      </w:r>
      <w:r w:rsidR="009344B0" w:rsidRPr="000B75D8">
        <w:rPr>
          <w:noProof/>
        </w:rPr>
        <w:t xml:space="preserve">EURI </w:t>
      </w:r>
      <w:r w:rsidR="00504713" w:rsidRPr="000B75D8">
        <w:rPr>
          <w:noProof/>
        </w:rPr>
        <w:t>I</w:t>
      </w:r>
      <w:r w:rsidR="009344B0" w:rsidRPr="000B75D8">
        <w:rPr>
          <w:noProof/>
        </w:rPr>
        <w:t>n</w:t>
      </w:r>
      <w:r w:rsidR="00504713" w:rsidRPr="000B75D8">
        <w:rPr>
          <w:noProof/>
        </w:rPr>
        <w:t>s</w:t>
      </w:r>
      <w:r w:rsidR="009344B0" w:rsidRPr="000B75D8">
        <w:rPr>
          <w:noProof/>
        </w:rPr>
        <w:t>trument</w:t>
      </w:r>
      <w:r w:rsidR="009046B7" w:rsidRPr="000B75D8">
        <w:rPr>
          <w:noProof/>
        </w:rPr>
        <w:t>’ (new Article 10a) and the ‘Ukraine Reserve’ (new Article 10b)</w:t>
      </w:r>
      <w:r w:rsidR="00B173A3" w:rsidRPr="000B75D8">
        <w:rPr>
          <w:noProof/>
        </w:rPr>
        <w:t>,</w:t>
      </w:r>
      <w:r w:rsidRPr="000B75D8">
        <w:rPr>
          <w:noProof/>
        </w:rPr>
        <w:t xml:space="preserve"> with the principle that these instruments are not included in the Multiannual Financial Framework and that their financing is provided over and above the ceilings of the Multiannual Financial Framework, both for commitment and corresponding payment appropriations.</w:t>
      </w:r>
    </w:p>
    <w:p w14:paraId="62A4D5F6" w14:textId="450F7ED3" w:rsidR="009046B7" w:rsidRPr="000B75D8" w:rsidRDefault="009046B7" w:rsidP="00F12FF3">
      <w:pPr>
        <w:rPr>
          <w:noProof/>
        </w:rPr>
      </w:pPr>
      <w:r w:rsidRPr="000B75D8">
        <w:rPr>
          <w:noProof/>
        </w:rPr>
        <w:t xml:space="preserve">The third paragraph </w:t>
      </w:r>
      <w:r w:rsidR="009946C8" w:rsidRPr="000B75D8">
        <w:rPr>
          <w:noProof/>
        </w:rPr>
        <w:t xml:space="preserve">of Article 2 </w:t>
      </w:r>
      <w:r w:rsidR="004B72DD" w:rsidRPr="000B75D8">
        <w:rPr>
          <w:noProof/>
        </w:rPr>
        <w:t>was amended i</w:t>
      </w:r>
      <w:r w:rsidR="004B72DD" w:rsidRPr="000B75D8">
        <w:rPr>
          <w:noProof/>
          <w:szCs w:val="24"/>
        </w:rPr>
        <w:t>n December 2022</w:t>
      </w:r>
      <w:r w:rsidR="00583BF1" w:rsidRPr="000B75D8">
        <w:rPr>
          <w:rStyle w:val="FootnoteReference"/>
          <w:noProof/>
          <w:szCs w:val="24"/>
        </w:rPr>
        <w:footnoteReference w:id="13"/>
      </w:r>
      <w:r w:rsidR="004B72DD" w:rsidRPr="000B75D8">
        <w:rPr>
          <w:noProof/>
          <w:szCs w:val="24"/>
        </w:rPr>
        <w:t xml:space="preserve"> as part of an exceptional support package to Ukraine to allow the mobilisation of guarantees for financial assistance to Ukraine for the years 2023 and 2024 over and above the MFF ceilings</w:t>
      </w:r>
      <w:r w:rsidR="004B72DD" w:rsidRPr="000B75D8">
        <w:rPr>
          <w:noProof/>
        </w:rPr>
        <w:t xml:space="preserve">. </w:t>
      </w:r>
      <w:r w:rsidR="00583BF1" w:rsidRPr="000B75D8">
        <w:rPr>
          <w:noProof/>
        </w:rPr>
        <w:t>This paragraph</w:t>
      </w:r>
      <w:r w:rsidR="00166B70" w:rsidRPr="000B75D8">
        <w:rPr>
          <w:noProof/>
        </w:rPr>
        <w:t xml:space="preserve"> </w:t>
      </w:r>
      <w:r w:rsidR="007331B8" w:rsidRPr="000B75D8">
        <w:rPr>
          <w:noProof/>
        </w:rPr>
        <w:t>is</w:t>
      </w:r>
      <w:r w:rsidR="00166B70" w:rsidRPr="000B75D8">
        <w:rPr>
          <w:noProof/>
        </w:rPr>
        <w:t xml:space="preserve"> </w:t>
      </w:r>
      <w:r w:rsidR="00446FBE" w:rsidRPr="000B75D8">
        <w:rPr>
          <w:noProof/>
        </w:rPr>
        <w:t xml:space="preserve">further </w:t>
      </w:r>
      <w:r w:rsidRPr="000B75D8">
        <w:rPr>
          <w:noProof/>
        </w:rPr>
        <w:t>amended to extend the budgetary coverage from the headroom to the guarantee for financial assistance</w:t>
      </w:r>
      <w:r w:rsidR="008E505F" w:rsidRPr="000B75D8">
        <w:rPr>
          <w:noProof/>
        </w:rPr>
        <w:t xml:space="preserve"> </w:t>
      </w:r>
      <w:r w:rsidR="002A76BB" w:rsidRPr="000B75D8">
        <w:rPr>
          <w:noProof/>
        </w:rPr>
        <w:t xml:space="preserve">to </w:t>
      </w:r>
      <w:r w:rsidRPr="000B75D8">
        <w:rPr>
          <w:noProof/>
        </w:rPr>
        <w:t xml:space="preserve">Ukraine </w:t>
      </w:r>
      <w:r w:rsidR="00835B2A" w:rsidRPr="000B75D8">
        <w:rPr>
          <w:noProof/>
        </w:rPr>
        <w:t>in the form of loans</w:t>
      </w:r>
      <w:r w:rsidR="00431A9C" w:rsidRPr="000B75D8">
        <w:rPr>
          <w:noProof/>
        </w:rPr>
        <w:t xml:space="preserve"> </w:t>
      </w:r>
      <w:r w:rsidR="009C0578" w:rsidRPr="000B75D8">
        <w:rPr>
          <w:noProof/>
        </w:rPr>
        <w:t>which is available</w:t>
      </w:r>
      <w:r w:rsidR="009946C8" w:rsidRPr="000B75D8">
        <w:rPr>
          <w:noProof/>
        </w:rPr>
        <w:t xml:space="preserve"> </w:t>
      </w:r>
      <w:r w:rsidRPr="000B75D8">
        <w:rPr>
          <w:noProof/>
        </w:rPr>
        <w:t>until 2027</w:t>
      </w:r>
      <w:r w:rsidR="00166B70" w:rsidRPr="000B75D8">
        <w:rPr>
          <w:noProof/>
        </w:rPr>
        <w:t xml:space="preserve"> under the </w:t>
      </w:r>
      <w:r w:rsidR="00CC56EC" w:rsidRPr="000B75D8">
        <w:rPr>
          <w:noProof/>
        </w:rPr>
        <w:t>proposed Ukraine Facility</w:t>
      </w:r>
      <w:r w:rsidR="007B5983" w:rsidRPr="000B75D8">
        <w:rPr>
          <w:noProof/>
        </w:rPr>
        <w:t>.</w:t>
      </w:r>
      <w:r w:rsidR="00166B70" w:rsidRPr="000B75D8">
        <w:rPr>
          <w:noProof/>
        </w:rPr>
        <w:t xml:space="preserve"> Accordingly, if the Union has to honour repayment obligations from the resources of the budget </w:t>
      </w:r>
      <w:r w:rsidR="00803728" w:rsidRPr="000B75D8">
        <w:rPr>
          <w:noProof/>
        </w:rPr>
        <w:t xml:space="preserve">in case </w:t>
      </w:r>
      <w:r w:rsidR="00166B70" w:rsidRPr="000B75D8">
        <w:rPr>
          <w:noProof/>
        </w:rPr>
        <w:t xml:space="preserve">Ukraine fails to provide the due payment on time, the necessary amounts will be mobilised over and above the </w:t>
      </w:r>
      <w:r w:rsidR="00F71392" w:rsidRPr="000B75D8">
        <w:rPr>
          <w:noProof/>
        </w:rPr>
        <w:t>Multiannual Financial Framework</w:t>
      </w:r>
      <w:r w:rsidR="00166B70" w:rsidRPr="000B75D8">
        <w:rPr>
          <w:noProof/>
        </w:rPr>
        <w:t xml:space="preserve"> ceilings</w:t>
      </w:r>
      <w:r w:rsidR="00F71392" w:rsidRPr="000B75D8">
        <w:rPr>
          <w:noProof/>
        </w:rPr>
        <w:t xml:space="preserve">, </w:t>
      </w:r>
      <w:r w:rsidR="00166B70" w:rsidRPr="000B75D8">
        <w:rPr>
          <w:noProof/>
        </w:rPr>
        <w:t>up to the limits of the own resources ceiling.</w:t>
      </w:r>
    </w:p>
    <w:p w14:paraId="52FBF162" w14:textId="4581C623" w:rsidR="00413864" w:rsidRPr="000B75D8" w:rsidRDefault="00413864" w:rsidP="00413864">
      <w:pPr>
        <w:pStyle w:val="Header"/>
        <w:rPr>
          <w:b/>
          <w:noProof/>
        </w:rPr>
      </w:pPr>
      <w:r w:rsidRPr="000B75D8">
        <w:rPr>
          <w:b/>
          <w:noProof/>
        </w:rPr>
        <w:t>Chapter 3 – Special instruments</w:t>
      </w:r>
    </w:p>
    <w:p w14:paraId="1E9B0FFF" w14:textId="756FF6ED" w:rsidR="0015379F" w:rsidRPr="000B75D8" w:rsidRDefault="0015379F" w:rsidP="0015379F">
      <w:pPr>
        <w:pStyle w:val="Header"/>
        <w:rPr>
          <w:b/>
          <w:noProof/>
          <w:lang w:val="en-IE"/>
        </w:rPr>
      </w:pPr>
      <w:r w:rsidRPr="000B75D8">
        <w:rPr>
          <w:b/>
          <w:noProof/>
          <w:lang w:val="en-IE"/>
        </w:rPr>
        <w:t>S</w:t>
      </w:r>
      <w:r w:rsidR="00B02C84" w:rsidRPr="000B75D8">
        <w:rPr>
          <w:b/>
          <w:noProof/>
          <w:lang w:val="en-IE"/>
        </w:rPr>
        <w:t>ection</w:t>
      </w:r>
      <w:r w:rsidRPr="000B75D8">
        <w:rPr>
          <w:b/>
          <w:noProof/>
          <w:lang w:val="en-IE"/>
        </w:rPr>
        <w:t xml:space="preserve"> 1 - Thematic special instruments</w:t>
      </w:r>
    </w:p>
    <w:p w14:paraId="0C626888" w14:textId="39E66ECE" w:rsidR="00413864" w:rsidRPr="000B75D8" w:rsidRDefault="00413864" w:rsidP="00413864">
      <w:pPr>
        <w:pStyle w:val="Header"/>
        <w:rPr>
          <w:i/>
          <w:noProof/>
        </w:rPr>
      </w:pPr>
      <w:r w:rsidRPr="000B75D8">
        <w:rPr>
          <w:i/>
          <w:noProof/>
        </w:rPr>
        <w:t xml:space="preserve">Article </w:t>
      </w:r>
      <w:r w:rsidR="0015379F" w:rsidRPr="000B75D8">
        <w:rPr>
          <w:i/>
          <w:noProof/>
        </w:rPr>
        <w:t>9</w:t>
      </w:r>
      <w:r w:rsidRPr="000B75D8">
        <w:rPr>
          <w:i/>
          <w:noProof/>
        </w:rPr>
        <w:t xml:space="preserve"> – </w:t>
      </w:r>
      <w:r w:rsidR="0015379F" w:rsidRPr="000B75D8">
        <w:rPr>
          <w:i/>
          <w:noProof/>
        </w:rPr>
        <w:t>Solidarity and Emergency Aid Reserve</w:t>
      </w:r>
    </w:p>
    <w:p w14:paraId="695CFE11" w14:textId="0606EF4B" w:rsidR="00E71D39" w:rsidRPr="000B75D8" w:rsidRDefault="009946C8" w:rsidP="004E2C71">
      <w:pPr>
        <w:rPr>
          <w:noProof/>
        </w:rPr>
      </w:pPr>
      <w:r w:rsidRPr="000B75D8">
        <w:rPr>
          <w:noProof/>
        </w:rPr>
        <w:t>The second paragraph</w:t>
      </w:r>
      <w:r w:rsidR="0015379F" w:rsidRPr="000B75D8">
        <w:rPr>
          <w:noProof/>
        </w:rPr>
        <w:t xml:space="preserve"> is amended to provide </w:t>
      </w:r>
      <w:r w:rsidR="00B02C84" w:rsidRPr="000B75D8">
        <w:rPr>
          <w:noProof/>
        </w:rPr>
        <w:t>for the new maximum annual amount of the Solidarity and Emergency Aid Reserve, increased</w:t>
      </w:r>
      <w:r w:rsidR="00B173A3" w:rsidRPr="000B75D8">
        <w:rPr>
          <w:noProof/>
        </w:rPr>
        <w:t xml:space="preserve"> </w:t>
      </w:r>
      <w:r w:rsidR="00B02C84" w:rsidRPr="000B75D8">
        <w:rPr>
          <w:noProof/>
        </w:rPr>
        <w:t>to </w:t>
      </w:r>
      <w:r w:rsidR="00BE213B" w:rsidRPr="000B75D8">
        <w:rPr>
          <w:noProof/>
        </w:rPr>
        <w:t>EUR</w:t>
      </w:r>
      <w:r w:rsidR="00AF43A9" w:rsidRPr="000B75D8">
        <w:rPr>
          <w:noProof/>
        </w:rPr>
        <w:t>1</w:t>
      </w:r>
      <w:r w:rsidR="00BE213B" w:rsidRPr="000B75D8">
        <w:rPr>
          <w:noProof/>
        </w:rPr>
        <w:t> </w:t>
      </w:r>
      <w:r w:rsidR="00AF43A9" w:rsidRPr="000B75D8">
        <w:rPr>
          <w:noProof/>
        </w:rPr>
        <w:t>739 </w:t>
      </w:r>
      <w:r w:rsidR="00B02C84" w:rsidRPr="000B75D8">
        <w:rPr>
          <w:noProof/>
        </w:rPr>
        <w:t>million (in 2018 prices).</w:t>
      </w:r>
    </w:p>
    <w:p w14:paraId="55DDAB4B" w14:textId="5316D734" w:rsidR="00413864" w:rsidRPr="000B75D8" w:rsidRDefault="00413864" w:rsidP="00413864">
      <w:pPr>
        <w:pStyle w:val="Header"/>
        <w:rPr>
          <w:i/>
          <w:noProof/>
        </w:rPr>
      </w:pPr>
      <w:r w:rsidRPr="000B75D8">
        <w:rPr>
          <w:i/>
          <w:noProof/>
        </w:rPr>
        <w:t>Article 1</w:t>
      </w:r>
      <w:r w:rsidR="0015379F" w:rsidRPr="000B75D8">
        <w:rPr>
          <w:i/>
          <w:noProof/>
        </w:rPr>
        <w:t>0a</w:t>
      </w:r>
      <w:r w:rsidRPr="000B75D8">
        <w:rPr>
          <w:i/>
          <w:noProof/>
        </w:rPr>
        <w:t xml:space="preserve"> – </w:t>
      </w:r>
      <w:r w:rsidR="00591D82" w:rsidRPr="000B75D8">
        <w:rPr>
          <w:i/>
          <w:noProof/>
        </w:rPr>
        <w:t>EURI Instrument</w:t>
      </w:r>
    </w:p>
    <w:p w14:paraId="3E59615E" w14:textId="2E4AC041" w:rsidR="00533BAA" w:rsidRPr="000B75D8" w:rsidRDefault="00413864" w:rsidP="005C0945">
      <w:pPr>
        <w:rPr>
          <w:noProof/>
        </w:rPr>
      </w:pPr>
      <w:r w:rsidRPr="000B75D8">
        <w:rPr>
          <w:noProof/>
        </w:rPr>
        <w:t xml:space="preserve">This </w:t>
      </w:r>
      <w:r w:rsidR="0015379F" w:rsidRPr="000B75D8">
        <w:rPr>
          <w:noProof/>
        </w:rPr>
        <w:t xml:space="preserve">new </w:t>
      </w:r>
      <w:r w:rsidRPr="000B75D8">
        <w:rPr>
          <w:noProof/>
        </w:rPr>
        <w:t>Article</w:t>
      </w:r>
      <w:r w:rsidR="0015379F" w:rsidRPr="000B75D8">
        <w:rPr>
          <w:noProof/>
        </w:rPr>
        <w:t xml:space="preserve"> is </w:t>
      </w:r>
      <w:r w:rsidR="009946C8" w:rsidRPr="000B75D8">
        <w:rPr>
          <w:noProof/>
        </w:rPr>
        <w:t>introduced</w:t>
      </w:r>
      <w:r w:rsidR="0015379F" w:rsidRPr="000B75D8">
        <w:rPr>
          <w:noProof/>
        </w:rPr>
        <w:t xml:space="preserve"> to </w:t>
      </w:r>
      <w:r w:rsidR="00B02C84" w:rsidRPr="000B75D8">
        <w:rPr>
          <w:noProof/>
        </w:rPr>
        <w:t>provide for the ‘</w:t>
      </w:r>
      <w:r w:rsidR="00591D82" w:rsidRPr="000B75D8">
        <w:rPr>
          <w:noProof/>
        </w:rPr>
        <w:t>EURI Instrument</w:t>
      </w:r>
      <w:r w:rsidR="00B02C84" w:rsidRPr="000B75D8">
        <w:rPr>
          <w:noProof/>
        </w:rPr>
        <w:t>’</w:t>
      </w:r>
      <w:r w:rsidR="00E74A6F" w:rsidRPr="000B75D8">
        <w:rPr>
          <w:noProof/>
        </w:rPr>
        <w:t xml:space="preserve">, a new </w:t>
      </w:r>
      <w:r w:rsidR="00D47991" w:rsidRPr="000B75D8">
        <w:rPr>
          <w:noProof/>
        </w:rPr>
        <w:t>t</w:t>
      </w:r>
      <w:r w:rsidR="005C0945" w:rsidRPr="000B75D8">
        <w:rPr>
          <w:noProof/>
        </w:rPr>
        <w:t xml:space="preserve">hematic </w:t>
      </w:r>
      <w:r w:rsidR="00D47991" w:rsidRPr="000B75D8">
        <w:rPr>
          <w:noProof/>
        </w:rPr>
        <w:t>s</w:t>
      </w:r>
      <w:r w:rsidR="005C0945" w:rsidRPr="000B75D8">
        <w:rPr>
          <w:noProof/>
        </w:rPr>
        <w:t xml:space="preserve">pecial </w:t>
      </w:r>
      <w:r w:rsidR="00D47991" w:rsidRPr="000B75D8">
        <w:rPr>
          <w:noProof/>
        </w:rPr>
        <w:t>i</w:t>
      </w:r>
      <w:r w:rsidR="005C0945" w:rsidRPr="000B75D8">
        <w:rPr>
          <w:noProof/>
        </w:rPr>
        <w:t>nstrument.</w:t>
      </w:r>
    </w:p>
    <w:p w14:paraId="4DB72E80" w14:textId="04BE59B4" w:rsidR="00CF77B8" w:rsidRPr="000B75D8" w:rsidRDefault="001E54D4" w:rsidP="005C0945">
      <w:pPr>
        <w:rPr>
          <w:noProof/>
        </w:rPr>
      </w:pPr>
      <w:r w:rsidRPr="000B75D8">
        <w:rPr>
          <w:noProof/>
        </w:rPr>
        <w:t xml:space="preserve">The specific </w:t>
      </w:r>
      <w:r w:rsidR="00DE13CC" w:rsidRPr="000B75D8">
        <w:rPr>
          <w:noProof/>
        </w:rPr>
        <w:t xml:space="preserve">items of </w:t>
      </w:r>
      <w:r w:rsidRPr="000B75D8">
        <w:rPr>
          <w:noProof/>
        </w:rPr>
        <w:t xml:space="preserve">expenditure </w:t>
      </w:r>
      <w:r w:rsidR="00DE13CC" w:rsidRPr="000B75D8">
        <w:rPr>
          <w:noProof/>
        </w:rPr>
        <w:t>for which the</w:t>
      </w:r>
      <w:r w:rsidRPr="000B75D8">
        <w:rPr>
          <w:noProof/>
        </w:rPr>
        <w:t xml:space="preserve"> </w:t>
      </w:r>
      <w:r w:rsidR="00591D82" w:rsidRPr="000B75D8">
        <w:rPr>
          <w:noProof/>
        </w:rPr>
        <w:t>EURI Instrument</w:t>
      </w:r>
      <w:r w:rsidRPr="000B75D8">
        <w:rPr>
          <w:noProof/>
        </w:rPr>
        <w:t xml:space="preserve"> </w:t>
      </w:r>
      <w:r w:rsidR="00DE13CC" w:rsidRPr="000B75D8">
        <w:rPr>
          <w:noProof/>
        </w:rPr>
        <w:t>may be used are the</w:t>
      </w:r>
      <w:r w:rsidR="009E0852" w:rsidRPr="000B75D8">
        <w:rPr>
          <w:noProof/>
        </w:rPr>
        <w:t xml:space="preserve"> </w:t>
      </w:r>
      <w:r w:rsidR="00CF77B8" w:rsidRPr="000B75D8">
        <w:rPr>
          <w:noProof/>
        </w:rPr>
        <w:t xml:space="preserve">interest and coupon payments due in respect of the funds borrowed on the capital markets in accordance with Article 5(2) of </w:t>
      </w:r>
      <w:r w:rsidR="00976C4B" w:rsidRPr="000B75D8">
        <w:rPr>
          <w:noProof/>
        </w:rPr>
        <w:t xml:space="preserve">the Own Resources </w:t>
      </w:r>
      <w:r w:rsidR="00CF77B8" w:rsidRPr="000B75D8">
        <w:rPr>
          <w:noProof/>
        </w:rPr>
        <w:t>Decision (EU, Euratom) No 2020/2053</w:t>
      </w:r>
      <w:r w:rsidR="00A95F9C" w:rsidRPr="000B75D8">
        <w:rPr>
          <w:rStyle w:val="FootnoteReference"/>
          <w:noProof/>
        </w:rPr>
        <w:footnoteReference w:id="14"/>
      </w:r>
      <w:r w:rsidR="009E0852" w:rsidRPr="000B75D8">
        <w:rPr>
          <w:noProof/>
        </w:rPr>
        <w:t xml:space="preserve">, corresponding to the </w:t>
      </w:r>
      <w:r w:rsidR="00046BD3" w:rsidRPr="000B75D8">
        <w:rPr>
          <w:noProof/>
        </w:rPr>
        <w:t xml:space="preserve">funding </w:t>
      </w:r>
      <w:r w:rsidR="009E0852" w:rsidRPr="000B75D8">
        <w:rPr>
          <w:noProof/>
        </w:rPr>
        <w:t xml:space="preserve">costs of NextGenerationEU borrowing for non-repayable </w:t>
      </w:r>
      <w:r w:rsidR="003C74EE" w:rsidRPr="000B75D8">
        <w:rPr>
          <w:noProof/>
        </w:rPr>
        <w:t>and repayable support through financial instruments</w:t>
      </w:r>
      <w:r w:rsidR="009E0852" w:rsidRPr="000B75D8">
        <w:rPr>
          <w:noProof/>
        </w:rPr>
        <w:t>.</w:t>
      </w:r>
    </w:p>
    <w:p w14:paraId="5A78547A" w14:textId="05A443AD" w:rsidR="008064B6" w:rsidRPr="000B75D8" w:rsidRDefault="00685099" w:rsidP="005C0945">
      <w:pPr>
        <w:rPr>
          <w:noProof/>
        </w:rPr>
      </w:pPr>
      <w:r w:rsidRPr="000B75D8">
        <w:rPr>
          <w:noProof/>
        </w:rPr>
        <w:t xml:space="preserve">The mobilisation of the </w:t>
      </w:r>
      <w:r w:rsidR="00591D82" w:rsidRPr="000B75D8">
        <w:rPr>
          <w:noProof/>
        </w:rPr>
        <w:t>EURI Instrument</w:t>
      </w:r>
      <w:r w:rsidR="00927B54" w:rsidRPr="000B75D8">
        <w:rPr>
          <w:noProof/>
        </w:rPr>
        <w:t xml:space="preserve"> </w:t>
      </w:r>
      <w:r w:rsidRPr="000B75D8">
        <w:rPr>
          <w:noProof/>
        </w:rPr>
        <w:t xml:space="preserve">should take place when the costs of NextGeneration </w:t>
      </w:r>
      <w:r w:rsidR="00B9232C" w:rsidRPr="000B75D8">
        <w:rPr>
          <w:noProof/>
        </w:rPr>
        <w:t xml:space="preserve">borrowing </w:t>
      </w:r>
      <w:r w:rsidRPr="000B75D8">
        <w:rPr>
          <w:noProof/>
        </w:rPr>
        <w:t xml:space="preserve">in a given year are in excess of the amounts </w:t>
      </w:r>
      <w:r w:rsidR="00F417B6" w:rsidRPr="000B75D8">
        <w:rPr>
          <w:noProof/>
        </w:rPr>
        <w:t xml:space="preserve">planned </w:t>
      </w:r>
      <w:r w:rsidRPr="000B75D8">
        <w:rPr>
          <w:noProof/>
        </w:rPr>
        <w:t>in December 2020</w:t>
      </w:r>
      <w:r w:rsidR="00A575BE" w:rsidRPr="000B75D8">
        <w:rPr>
          <w:noProof/>
        </w:rPr>
        <w:t>.</w:t>
      </w:r>
    </w:p>
    <w:p w14:paraId="79070395" w14:textId="64429D78" w:rsidR="00685099" w:rsidRPr="000B75D8" w:rsidRDefault="00685099" w:rsidP="005C0945">
      <w:pPr>
        <w:rPr>
          <w:noProof/>
        </w:rPr>
      </w:pPr>
      <w:r w:rsidRPr="000B75D8">
        <w:rPr>
          <w:noProof/>
        </w:rPr>
        <w:t>For legal certainty, the specific amounts</w:t>
      </w:r>
      <w:r w:rsidR="005C0945" w:rsidRPr="000B75D8">
        <w:rPr>
          <w:noProof/>
        </w:rPr>
        <w:t xml:space="preserve"> </w:t>
      </w:r>
      <w:r w:rsidR="00E12030" w:rsidRPr="000B75D8">
        <w:rPr>
          <w:noProof/>
        </w:rPr>
        <w:t>set</w:t>
      </w:r>
      <w:r w:rsidR="005C28F4" w:rsidRPr="000B75D8">
        <w:rPr>
          <w:noProof/>
        </w:rPr>
        <w:t xml:space="preserve"> </w:t>
      </w:r>
      <w:r w:rsidR="00A95F9C" w:rsidRPr="000B75D8">
        <w:rPr>
          <w:noProof/>
        </w:rPr>
        <w:t xml:space="preserve">as </w:t>
      </w:r>
      <w:r w:rsidR="005C28F4" w:rsidRPr="000B75D8">
        <w:rPr>
          <w:noProof/>
        </w:rPr>
        <w:t xml:space="preserve">thresholds for the mobilisation of the </w:t>
      </w:r>
      <w:r w:rsidR="00591D82" w:rsidRPr="000B75D8">
        <w:rPr>
          <w:noProof/>
        </w:rPr>
        <w:t>EURI Instrument</w:t>
      </w:r>
      <w:r w:rsidR="005C28F4" w:rsidRPr="000B75D8">
        <w:rPr>
          <w:noProof/>
        </w:rPr>
        <w:t xml:space="preserve"> </w:t>
      </w:r>
      <w:r w:rsidRPr="000B75D8">
        <w:rPr>
          <w:noProof/>
        </w:rPr>
        <w:t xml:space="preserve">for </w:t>
      </w:r>
      <w:r w:rsidR="00114E66" w:rsidRPr="000B75D8">
        <w:rPr>
          <w:noProof/>
        </w:rPr>
        <w:t xml:space="preserve">the </w:t>
      </w:r>
      <w:r w:rsidRPr="000B75D8">
        <w:rPr>
          <w:noProof/>
        </w:rPr>
        <w:t>year</w:t>
      </w:r>
      <w:r w:rsidR="00114E66" w:rsidRPr="000B75D8">
        <w:rPr>
          <w:noProof/>
        </w:rPr>
        <w:t>s</w:t>
      </w:r>
      <w:r w:rsidRPr="000B75D8">
        <w:rPr>
          <w:noProof/>
        </w:rPr>
        <w:t xml:space="preserve"> 2024, 2025, 2026 and 2027</w:t>
      </w:r>
      <w:r w:rsidR="00A95F9C" w:rsidRPr="000B75D8">
        <w:rPr>
          <w:noProof/>
        </w:rPr>
        <w:t xml:space="preserve"> should be </w:t>
      </w:r>
      <w:r w:rsidR="006E5AE9" w:rsidRPr="000B75D8">
        <w:rPr>
          <w:noProof/>
        </w:rPr>
        <w:t>set out expressly</w:t>
      </w:r>
      <w:r w:rsidRPr="000B75D8">
        <w:rPr>
          <w:noProof/>
        </w:rPr>
        <w:t xml:space="preserve"> </w:t>
      </w:r>
      <w:r w:rsidR="00A95F9C" w:rsidRPr="000B75D8">
        <w:rPr>
          <w:noProof/>
        </w:rPr>
        <w:t>in absolute value</w:t>
      </w:r>
      <w:r w:rsidR="00841772" w:rsidRPr="000B75D8">
        <w:rPr>
          <w:noProof/>
        </w:rPr>
        <w:t xml:space="preserve"> in the </w:t>
      </w:r>
      <w:r w:rsidR="002A15BC" w:rsidRPr="000B75D8">
        <w:rPr>
          <w:noProof/>
        </w:rPr>
        <w:t xml:space="preserve">Regulation </w:t>
      </w:r>
      <w:r w:rsidR="002A15BC" w:rsidRPr="000B75D8">
        <w:rPr>
          <w:noProof/>
          <w:lang w:val="en-US"/>
        </w:rPr>
        <w:t>(EU, Euratom) 2020/2093</w:t>
      </w:r>
      <w:r w:rsidR="00841772" w:rsidRPr="000B75D8">
        <w:rPr>
          <w:noProof/>
        </w:rPr>
        <w:t>.</w:t>
      </w:r>
    </w:p>
    <w:tbl>
      <w:tblPr>
        <w:tblStyle w:val="TableGrid"/>
        <w:tblW w:w="0" w:type="auto"/>
        <w:tblLook w:val="04A0" w:firstRow="1" w:lastRow="0" w:firstColumn="1" w:lastColumn="0" w:noHBand="0" w:noVBand="1"/>
      </w:tblPr>
      <w:tblGrid>
        <w:gridCol w:w="4174"/>
        <w:gridCol w:w="1278"/>
        <w:gridCol w:w="1279"/>
        <w:gridCol w:w="1279"/>
        <w:gridCol w:w="1279"/>
      </w:tblGrid>
      <w:tr w:rsidR="00323416" w:rsidRPr="000B75D8" w14:paraId="4FA1C45B" w14:textId="77777777" w:rsidTr="00323416">
        <w:tc>
          <w:tcPr>
            <w:tcW w:w="4174" w:type="dxa"/>
          </w:tcPr>
          <w:p w14:paraId="4733C423" w14:textId="77777777" w:rsidR="00323416" w:rsidRPr="000B75D8" w:rsidRDefault="00323416" w:rsidP="00E12030">
            <w:pPr>
              <w:rPr>
                <w:noProof/>
              </w:rPr>
            </w:pPr>
          </w:p>
        </w:tc>
        <w:tc>
          <w:tcPr>
            <w:tcW w:w="1278" w:type="dxa"/>
          </w:tcPr>
          <w:p w14:paraId="27F86090" w14:textId="24C6D02B" w:rsidR="00323416" w:rsidRPr="000B75D8" w:rsidRDefault="00323416" w:rsidP="00E12030">
            <w:pPr>
              <w:rPr>
                <w:noProof/>
              </w:rPr>
            </w:pPr>
            <w:r w:rsidRPr="000B75D8">
              <w:rPr>
                <w:noProof/>
              </w:rPr>
              <w:t>2024</w:t>
            </w:r>
            <w:r w:rsidR="006E6D7B" w:rsidRPr="000B75D8">
              <w:rPr>
                <w:noProof/>
              </w:rPr>
              <w:t xml:space="preserve"> </w:t>
            </w:r>
            <w:r w:rsidR="006E6D7B" w:rsidRPr="000B75D8">
              <w:rPr>
                <w:rStyle w:val="FootnoteReference"/>
                <w:noProof/>
              </w:rPr>
              <w:footnoteReference w:id="15"/>
            </w:r>
          </w:p>
        </w:tc>
        <w:tc>
          <w:tcPr>
            <w:tcW w:w="1279" w:type="dxa"/>
          </w:tcPr>
          <w:p w14:paraId="7E9D32B9" w14:textId="334C2E75" w:rsidR="00323416" w:rsidRPr="000B75D8" w:rsidRDefault="00323416" w:rsidP="00E12030">
            <w:pPr>
              <w:rPr>
                <w:noProof/>
              </w:rPr>
            </w:pPr>
            <w:r w:rsidRPr="000B75D8">
              <w:rPr>
                <w:noProof/>
              </w:rPr>
              <w:t>2025</w:t>
            </w:r>
            <w:r w:rsidR="006E6D7B" w:rsidRPr="000B75D8">
              <w:rPr>
                <w:rStyle w:val="FootnoteReference"/>
                <w:noProof/>
              </w:rPr>
              <w:footnoteReference w:id="16"/>
            </w:r>
          </w:p>
        </w:tc>
        <w:tc>
          <w:tcPr>
            <w:tcW w:w="1279" w:type="dxa"/>
          </w:tcPr>
          <w:p w14:paraId="6FAFEF2C" w14:textId="1BE3E570" w:rsidR="00323416" w:rsidRPr="000B75D8" w:rsidRDefault="00323416" w:rsidP="00E12030">
            <w:pPr>
              <w:rPr>
                <w:noProof/>
              </w:rPr>
            </w:pPr>
            <w:r w:rsidRPr="000B75D8">
              <w:rPr>
                <w:noProof/>
              </w:rPr>
              <w:t>2026</w:t>
            </w:r>
            <w:r w:rsidR="003F5C57" w:rsidRPr="000B75D8">
              <w:rPr>
                <w:rStyle w:val="FootnoteReference"/>
                <w:noProof/>
              </w:rPr>
              <w:footnoteReference w:id="17"/>
            </w:r>
          </w:p>
        </w:tc>
        <w:tc>
          <w:tcPr>
            <w:tcW w:w="1279" w:type="dxa"/>
          </w:tcPr>
          <w:p w14:paraId="4B775083" w14:textId="31D3240F" w:rsidR="00323416" w:rsidRPr="000B75D8" w:rsidRDefault="00323416" w:rsidP="00E12030">
            <w:pPr>
              <w:rPr>
                <w:noProof/>
              </w:rPr>
            </w:pPr>
            <w:r w:rsidRPr="000B75D8">
              <w:rPr>
                <w:noProof/>
              </w:rPr>
              <w:t>2027</w:t>
            </w:r>
            <w:r w:rsidR="003F5C57" w:rsidRPr="000B75D8">
              <w:rPr>
                <w:rStyle w:val="FootnoteReference"/>
                <w:noProof/>
              </w:rPr>
              <w:footnoteReference w:id="18"/>
            </w:r>
          </w:p>
        </w:tc>
      </w:tr>
      <w:tr w:rsidR="009B6EFB" w:rsidRPr="000B75D8" w14:paraId="58D6B7AA" w14:textId="77777777">
        <w:tc>
          <w:tcPr>
            <w:tcW w:w="4174" w:type="dxa"/>
          </w:tcPr>
          <w:p w14:paraId="0BF6B53F" w14:textId="3C78ED1D" w:rsidR="009B6EFB" w:rsidRPr="000B75D8" w:rsidRDefault="009B6EFB" w:rsidP="009B6EFB">
            <w:pPr>
              <w:rPr>
                <w:noProof/>
              </w:rPr>
            </w:pPr>
            <w:r w:rsidRPr="000B75D8">
              <w:rPr>
                <w:noProof/>
              </w:rPr>
              <w:t>Annual threshold in current prices (EUR million)</w:t>
            </w:r>
          </w:p>
        </w:tc>
        <w:tc>
          <w:tcPr>
            <w:tcW w:w="1278" w:type="dxa"/>
            <w:vAlign w:val="center"/>
          </w:tcPr>
          <w:p w14:paraId="1293F1BB" w14:textId="7272ED39" w:rsidR="009B6EFB" w:rsidRPr="000B75D8" w:rsidRDefault="009B6EFB" w:rsidP="009B6EFB">
            <w:pPr>
              <w:rPr>
                <w:noProof/>
              </w:rPr>
            </w:pPr>
            <w:r w:rsidRPr="000B75D8">
              <w:rPr>
                <w:noProof/>
              </w:rPr>
              <w:t>2</w:t>
            </w:r>
            <w:r w:rsidR="0078223F" w:rsidRPr="000B75D8">
              <w:rPr>
                <w:iCs/>
                <w:noProof/>
              </w:rPr>
              <w:t> </w:t>
            </w:r>
            <w:r w:rsidRPr="000B75D8">
              <w:rPr>
                <w:noProof/>
              </w:rPr>
              <w:t>071.4</w:t>
            </w:r>
          </w:p>
        </w:tc>
        <w:tc>
          <w:tcPr>
            <w:tcW w:w="1279" w:type="dxa"/>
            <w:vAlign w:val="center"/>
          </w:tcPr>
          <w:p w14:paraId="50AD3D1E" w14:textId="2DC8EE0D" w:rsidR="009B6EFB" w:rsidRPr="000B75D8" w:rsidRDefault="009B6EFB" w:rsidP="009B6EFB">
            <w:pPr>
              <w:rPr>
                <w:noProof/>
              </w:rPr>
            </w:pPr>
            <w:r w:rsidRPr="000B75D8">
              <w:rPr>
                <w:noProof/>
              </w:rPr>
              <w:t>2</w:t>
            </w:r>
            <w:r w:rsidR="0078223F" w:rsidRPr="000B75D8">
              <w:rPr>
                <w:iCs/>
                <w:noProof/>
              </w:rPr>
              <w:t> </w:t>
            </w:r>
            <w:r w:rsidRPr="000B75D8">
              <w:rPr>
                <w:noProof/>
              </w:rPr>
              <w:t>677.8</w:t>
            </w:r>
          </w:p>
        </w:tc>
        <w:tc>
          <w:tcPr>
            <w:tcW w:w="1279" w:type="dxa"/>
            <w:vAlign w:val="center"/>
          </w:tcPr>
          <w:p w14:paraId="210E8BDB" w14:textId="44A1B157" w:rsidR="009B6EFB" w:rsidRPr="000B75D8" w:rsidRDefault="009B6EFB" w:rsidP="009B6EFB">
            <w:pPr>
              <w:rPr>
                <w:noProof/>
              </w:rPr>
            </w:pPr>
            <w:r w:rsidRPr="000B75D8">
              <w:rPr>
                <w:noProof/>
              </w:rPr>
              <w:t>3</w:t>
            </w:r>
            <w:r w:rsidR="0078223F" w:rsidRPr="000B75D8">
              <w:rPr>
                <w:iCs/>
                <w:noProof/>
              </w:rPr>
              <w:t> </w:t>
            </w:r>
            <w:r w:rsidRPr="000B75D8">
              <w:rPr>
                <w:noProof/>
              </w:rPr>
              <w:t>744.6</w:t>
            </w:r>
          </w:p>
        </w:tc>
        <w:tc>
          <w:tcPr>
            <w:tcW w:w="1279" w:type="dxa"/>
            <w:vAlign w:val="center"/>
          </w:tcPr>
          <w:p w14:paraId="46180FDF" w14:textId="276762E9" w:rsidR="009B6EFB" w:rsidRPr="000B75D8" w:rsidRDefault="009B6EFB" w:rsidP="009B6EFB">
            <w:pPr>
              <w:rPr>
                <w:noProof/>
              </w:rPr>
            </w:pPr>
            <w:r w:rsidRPr="000B75D8">
              <w:rPr>
                <w:noProof/>
              </w:rPr>
              <w:t>4</w:t>
            </w:r>
            <w:r w:rsidR="0078223F" w:rsidRPr="000B75D8">
              <w:rPr>
                <w:iCs/>
                <w:noProof/>
              </w:rPr>
              <w:t> </w:t>
            </w:r>
            <w:r w:rsidRPr="000B75D8">
              <w:rPr>
                <w:noProof/>
              </w:rPr>
              <w:t>980.3</w:t>
            </w:r>
          </w:p>
        </w:tc>
      </w:tr>
      <w:tr w:rsidR="0043328A" w:rsidRPr="000B75D8" w14:paraId="0008D830" w14:textId="77777777">
        <w:tc>
          <w:tcPr>
            <w:tcW w:w="4174" w:type="dxa"/>
          </w:tcPr>
          <w:p w14:paraId="6162525C" w14:textId="13FE719C" w:rsidR="00BB5570" w:rsidRPr="000B75D8" w:rsidRDefault="0043328A" w:rsidP="0043328A">
            <w:pPr>
              <w:rPr>
                <w:noProof/>
              </w:rPr>
            </w:pPr>
            <w:r w:rsidRPr="000B75D8">
              <w:rPr>
                <w:noProof/>
              </w:rPr>
              <w:t>Annual threshold in 2018 prices (EUR million)</w:t>
            </w:r>
          </w:p>
          <w:p w14:paraId="4050D7D0" w14:textId="52F23092" w:rsidR="0043328A" w:rsidRPr="000B75D8" w:rsidRDefault="00BB5570" w:rsidP="0043328A">
            <w:pPr>
              <w:rPr>
                <w:i/>
                <w:iCs/>
                <w:noProof/>
              </w:rPr>
            </w:pPr>
            <w:r w:rsidRPr="000B75D8">
              <w:rPr>
                <w:i/>
                <w:iCs/>
                <w:noProof/>
              </w:rPr>
              <w:t>converted on the basis of the 2% fixed annual deflator set out in Article 4(2) of the MFF Regulation.</w:t>
            </w:r>
          </w:p>
        </w:tc>
        <w:tc>
          <w:tcPr>
            <w:tcW w:w="1278" w:type="dxa"/>
            <w:vAlign w:val="center"/>
          </w:tcPr>
          <w:p w14:paraId="78742558" w14:textId="65AF32AC" w:rsidR="0043328A" w:rsidRPr="000B75D8" w:rsidRDefault="0043328A" w:rsidP="0043328A">
            <w:pPr>
              <w:rPr>
                <w:noProof/>
                <w:szCs w:val="24"/>
              </w:rPr>
            </w:pPr>
            <w:r w:rsidRPr="000B75D8">
              <w:rPr>
                <w:noProof/>
                <w:color w:val="000000" w:themeColor="text1"/>
                <w:szCs w:val="24"/>
              </w:rPr>
              <w:t>1</w:t>
            </w:r>
            <w:r w:rsidR="002F0F99" w:rsidRPr="000B75D8">
              <w:rPr>
                <w:noProof/>
                <w:color w:val="000000" w:themeColor="text1"/>
                <w:szCs w:val="24"/>
              </w:rPr>
              <w:t> </w:t>
            </w:r>
            <w:r w:rsidRPr="000B75D8">
              <w:rPr>
                <w:noProof/>
                <w:color w:val="000000" w:themeColor="text1"/>
                <w:szCs w:val="24"/>
              </w:rPr>
              <w:t>840.0</w:t>
            </w:r>
          </w:p>
        </w:tc>
        <w:tc>
          <w:tcPr>
            <w:tcW w:w="1279" w:type="dxa"/>
            <w:vAlign w:val="center"/>
          </w:tcPr>
          <w:p w14:paraId="1AC9988F" w14:textId="24C27475" w:rsidR="0043328A" w:rsidRPr="000B75D8" w:rsidRDefault="0043328A" w:rsidP="0043328A">
            <w:pPr>
              <w:rPr>
                <w:noProof/>
                <w:szCs w:val="24"/>
              </w:rPr>
            </w:pPr>
            <w:r w:rsidRPr="000B75D8">
              <w:rPr>
                <w:noProof/>
                <w:color w:val="000000" w:themeColor="text1"/>
                <w:szCs w:val="24"/>
              </w:rPr>
              <w:t>2</w:t>
            </w:r>
            <w:r w:rsidR="002F0F99" w:rsidRPr="000B75D8">
              <w:rPr>
                <w:noProof/>
                <w:color w:val="000000" w:themeColor="text1"/>
                <w:szCs w:val="24"/>
              </w:rPr>
              <w:t> </w:t>
            </w:r>
            <w:r w:rsidRPr="000B75D8">
              <w:rPr>
                <w:noProof/>
                <w:color w:val="000000" w:themeColor="text1"/>
                <w:szCs w:val="24"/>
              </w:rPr>
              <w:t>332.0</w:t>
            </w:r>
          </w:p>
        </w:tc>
        <w:tc>
          <w:tcPr>
            <w:tcW w:w="1279" w:type="dxa"/>
            <w:vAlign w:val="center"/>
          </w:tcPr>
          <w:p w14:paraId="42EE5587" w14:textId="3C9070F5" w:rsidR="0043328A" w:rsidRPr="000B75D8" w:rsidRDefault="0043328A" w:rsidP="0043328A">
            <w:pPr>
              <w:rPr>
                <w:noProof/>
                <w:szCs w:val="24"/>
              </w:rPr>
            </w:pPr>
            <w:r w:rsidRPr="000B75D8">
              <w:rPr>
                <w:noProof/>
                <w:color w:val="000000" w:themeColor="text1"/>
                <w:szCs w:val="24"/>
              </w:rPr>
              <w:t>3</w:t>
            </w:r>
            <w:r w:rsidR="002F0F99" w:rsidRPr="000B75D8">
              <w:rPr>
                <w:noProof/>
                <w:color w:val="000000" w:themeColor="text1"/>
                <w:szCs w:val="24"/>
              </w:rPr>
              <w:t> </w:t>
            </w:r>
            <w:r w:rsidRPr="000B75D8">
              <w:rPr>
                <w:noProof/>
                <w:color w:val="000000" w:themeColor="text1"/>
                <w:szCs w:val="24"/>
              </w:rPr>
              <w:t>196.0</w:t>
            </w:r>
          </w:p>
        </w:tc>
        <w:tc>
          <w:tcPr>
            <w:tcW w:w="1279" w:type="dxa"/>
            <w:vAlign w:val="center"/>
          </w:tcPr>
          <w:p w14:paraId="4C5402FE" w14:textId="12C60FBE" w:rsidR="0043328A" w:rsidRPr="000B75D8" w:rsidRDefault="0043328A" w:rsidP="0043328A">
            <w:pPr>
              <w:rPr>
                <w:noProof/>
                <w:szCs w:val="24"/>
              </w:rPr>
            </w:pPr>
            <w:r w:rsidRPr="000B75D8">
              <w:rPr>
                <w:noProof/>
                <w:color w:val="000000"/>
                <w:szCs w:val="24"/>
              </w:rPr>
              <w:t>4</w:t>
            </w:r>
            <w:r w:rsidR="002F0F99" w:rsidRPr="000B75D8">
              <w:rPr>
                <w:noProof/>
                <w:color w:val="000000"/>
                <w:szCs w:val="24"/>
              </w:rPr>
              <w:t> </w:t>
            </w:r>
            <w:r w:rsidRPr="000B75D8">
              <w:rPr>
                <w:noProof/>
                <w:color w:val="000000"/>
                <w:szCs w:val="24"/>
              </w:rPr>
              <w:t>168.0</w:t>
            </w:r>
          </w:p>
        </w:tc>
      </w:tr>
    </w:tbl>
    <w:p w14:paraId="49CD4D53" w14:textId="6A9FF296" w:rsidR="00EA336C" w:rsidRPr="000B75D8" w:rsidRDefault="003B2449" w:rsidP="009B1A96">
      <w:pPr>
        <w:rPr>
          <w:noProof/>
        </w:rPr>
      </w:pPr>
      <w:r w:rsidRPr="000B75D8">
        <w:rPr>
          <w:noProof/>
        </w:rPr>
        <w:t xml:space="preserve">The </w:t>
      </w:r>
      <w:r w:rsidR="00ED227E" w:rsidRPr="000B75D8">
        <w:rPr>
          <w:noProof/>
        </w:rPr>
        <w:t>EURI Instrument</w:t>
      </w:r>
      <w:r w:rsidR="0043328A" w:rsidRPr="000B75D8">
        <w:rPr>
          <w:noProof/>
        </w:rPr>
        <w:t xml:space="preserve"> </w:t>
      </w:r>
      <w:r w:rsidR="00134E38" w:rsidRPr="000B75D8">
        <w:rPr>
          <w:noProof/>
        </w:rPr>
        <w:t xml:space="preserve">will </w:t>
      </w:r>
      <w:r w:rsidR="0043328A" w:rsidRPr="000B75D8">
        <w:rPr>
          <w:noProof/>
        </w:rPr>
        <w:t xml:space="preserve">cover </w:t>
      </w:r>
      <w:r w:rsidR="003A14C8" w:rsidRPr="000B75D8">
        <w:rPr>
          <w:noProof/>
        </w:rPr>
        <w:t>any</w:t>
      </w:r>
      <w:r w:rsidR="0043328A" w:rsidRPr="000B75D8">
        <w:rPr>
          <w:noProof/>
        </w:rPr>
        <w:t xml:space="preserve"> amount</w:t>
      </w:r>
      <w:r w:rsidR="0020447E" w:rsidRPr="000B75D8">
        <w:rPr>
          <w:noProof/>
        </w:rPr>
        <w:t xml:space="preserve"> of the NextGeneration</w:t>
      </w:r>
      <w:r w:rsidR="003A14C8" w:rsidRPr="000B75D8">
        <w:rPr>
          <w:noProof/>
        </w:rPr>
        <w:t>EU</w:t>
      </w:r>
      <w:r w:rsidR="0020447E" w:rsidRPr="000B75D8">
        <w:rPr>
          <w:noProof/>
        </w:rPr>
        <w:t xml:space="preserve"> f</w:t>
      </w:r>
      <w:r w:rsidR="00B9232C" w:rsidRPr="000B75D8">
        <w:rPr>
          <w:noProof/>
        </w:rPr>
        <w:t>unding</w:t>
      </w:r>
      <w:r w:rsidR="0020447E" w:rsidRPr="000B75D8">
        <w:rPr>
          <w:noProof/>
        </w:rPr>
        <w:t xml:space="preserve"> costs</w:t>
      </w:r>
      <w:r w:rsidR="0043328A" w:rsidRPr="000B75D8">
        <w:rPr>
          <w:noProof/>
        </w:rPr>
        <w:t xml:space="preserve"> in excess </w:t>
      </w:r>
      <w:r w:rsidR="005606C9" w:rsidRPr="000B75D8">
        <w:rPr>
          <w:noProof/>
        </w:rPr>
        <w:t xml:space="preserve">of </w:t>
      </w:r>
      <w:r w:rsidR="0043328A" w:rsidRPr="000B75D8">
        <w:rPr>
          <w:noProof/>
        </w:rPr>
        <w:t>the</w:t>
      </w:r>
      <w:r w:rsidR="00134E38" w:rsidRPr="000B75D8">
        <w:rPr>
          <w:noProof/>
        </w:rPr>
        <w:t>se</w:t>
      </w:r>
      <w:r w:rsidR="0043328A" w:rsidRPr="000B75D8">
        <w:rPr>
          <w:noProof/>
        </w:rPr>
        <w:t xml:space="preserve"> thresholds</w:t>
      </w:r>
      <w:r w:rsidR="00641CC8" w:rsidRPr="000B75D8">
        <w:rPr>
          <w:noProof/>
        </w:rPr>
        <w:t>.</w:t>
      </w:r>
    </w:p>
    <w:p w14:paraId="5754B46D" w14:textId="152A5736" w:rsidR="005C0E12" w:rsidRPr="000B75D8" w:rsidRDefault="003B2449" w:rsidP="009B1A96">
      <w:pPr>
        <w:rPr>
          <w:noProof/>
        </w:rPr>
      </w:pPr>
      <w:r w:rsidRPr="000B75D8">
        <w:rPr>
          <w:noProof/>
        </w:rPr>
        <w:t xml:space="preserve">Given the </w:t>
      </w:r>
      <w:r w:rsidR="001719FC" w:rsidRPr="000B75D8">
        <w:rPr>
          <w:noProof/>
        </w:rPr>
        <w:t xml:space="preserve">uncertainty </w:t>
      </w:r>
      <w:r w:rsidRPr="000B75D8">
        <w:rPr>
          <w:noProof/>
        </w:rPr>
        <w:t xml:space="preserve">of </w:t>
      </w:r>
      <w:r w:rsidR="001719FC" w:rsidRPr="000B75D8">
        <w:rPr>
          <w:noProof/>
        </w:rPr>
        <w:t xml:space="preserve">the evolution of the parameters determining </w:t>
      </w:r>
      <w:r w:rsidR="00E412A5" w:rsidRPr="000B75D8">
        <w:rPr>
          <w:noProof/>
        </w:rPr>
        <w:t>N</w:t>
      </w:r>
      <w:r w:rsidR="001D6435" w:rsidRPr="000B75D8">
        <w:rPr>
          <w:noProof/>
        </w:rPr>
        <w:t>extGenerationEU</w:t>
      </w:r>
      <w:r w:rsidR="00E412A5" w:rsidRPr="000B75D8">
        <w:rPr>
          <w:noProof/>
        </w:rPr>
        <w:t xml:space="preserve"> </w:t>
      </w:r>
      <w:r w:rsidR="00B9232C" w:rsidRPr="000B75D8">
        <w:rPr>
          <w:noProof/>
        </w:rPr>
        <w:t>funding</w:t>
      </w:r>
      <w:r w:rsidR="00360B8E" w:rsidRPr="000B75D8">
        <w:rPr>
          <w:noProof/>
        </w:rPr>
        <w:t xml:space="preserve"> costs</w:t>
      </w:r>
      <w:r w:rsidR="001719FC" w:rsidRPr="000B75D8">
        <w:rPr>
          <w:noProof/>
        </w:rPr>
        <w:t xml:space="preserve"> (timing of the actual disbursements of non-repayable support and evolution of the interest rates)</w:t>
      </w:r>
      <w:r w:rsidR="0043328A" w:rsidRPr="000B75D8">
        <w:rPr>
          <w:noProof/>
        </w:rPr>
        <w:t xml:space="preserve">, </w:t>
      </w:r>
      <w:r w:rsidRPr="000B75D8">
        <w:rPr>
          <w:noProof/>
        </w:rPr>
        <w:t xml:space="preserve">it </w:t>
      </w:r>
      <w:r w:rsidR="00685099" w:rsidRPr="000B75D8">
        <w:rPr>
          <w:noProof/>
        </w:rPr>
        <w:t xml:space="preserve">is not </w:t>
      </w:r>
      <w:r w:rsidR="00BA64C6" w:rsidRPr="000B75D8">
        <w:rPr>
          <w:noProof/>
        </w:rPr>
        <w:t>possible</w:t>
      </w:r>
      <w:r w:rsidR="00685099" w:rsidRPr="000B75D8">
        <w:rPr>
          <w:noProof/>
        </w:rPr>
        <w:t xml:space="preserve"> to</w:t>
      </w:r>
      <w:r w:rsidR="0043328A" w:rsidRPr="000B75D8">
        <w:rPr>
          <w:noProof/>
        </w:rPr>
        <w:t xml:space="preserve"> </w:t>
      </w:r>
      <w:r w:rsidRPr="000B75D8">
        <w:rPr>
          <w:noProof/>
        </w:rPr>
        <w:t xml:space="preserve">set a fixed maximum amount </w:t>
      </w:r>
      <w:r w:rsidR="00E412A5" w:rsidRPr="000B75D8">
        <w:rPr>
          <w:noProof/>
        </w:rPr>
        <w:t xml:space="preserve">for </w:t>
      </w:r>
      <w:r w:rsidR="001719FC" w:rsidRPr="000B75D8">
        <w:rPr>
          <w:noProof/>
        </w:rPr>
        <w:t xml:space="preserve">the </w:t>
      </w:r>
      <w:r w:rsidR="005F3737" w:rsidRPr="000B75D8">
        <w:rPr>
          <w:noProof/>
        </w:rPr>
        <w:t>EURI Instrument</w:t>
      </w:r>
      <w:r w:rsidR="001719FC" w:rsidRPr="000B75D8">
        <w:rPr>
          <w:noProof/>
        </w:rPr>
        <w:t>.</w:t>
      </w:r>
    </w:p>
    <w:p w14:paraId="11902381" w14:textId="1460699E" w:rsidR="003B2449" w:rsidRPr="000B75D8" w:rsidRDefault="003B2449" w:rsidP="009B1A96">
      <w:pPr>
        <w:rPr>
          <w:noProof/>
        </w:rPr>
      </w:pPr>
      <w:r w:rsidRPr="000B75D8">
        <w:rPr>
          <w:noProof/>
        </w:rPr>
        <w:t xml:space="preserve">The mobilisation of the </w:t>
      </w:r>
      <w:r w:rsidR="005F3737" w:rsidRPr="000B75D8">
        <w:rPr>
          <w:noProof/>
        </w:rPr>
        <w:t>EURI Instrument</w:t>
      </w:r>
      <w:r w:rsidRPr="000B75D8">
        <w:rPr>
          <w:noProof/>
        </w:rPr>
        <w:t xml:space="preserve"> will take place in the framework of the annual budget</w:t>
      </w:r>
      <w:r w:rsidR="00067737" w:rsidRPr="000B75D8">
        <w:rPr>
          <w:noProof/>
        </w:rPr>
        <w:t>ary</w:t>
      </w:r>
      <w:r w:rsidRPr="000B75D8">
        <w:rPr>
          <w:noProof/>
        </w:rPr>
        <w:t xml:space="preserve"> procedure </w:t>
      </w:r>
      <w:r w:rsidR="00EF5F30" w:rsidRPr="000B75D8">
        <w:rPr>
          <w:noProof/>
        </w:rPr>
        <w:t>(</w:t>
      </w:r>
      <w:r w:rsidRPr="000B75D8">
        <w:rPr>
          <w:noProof/>
        </w:rPr>
        <w:t xml:space="preserve">budget </w:t>
      </w:r>
      <w:r w:rsidR="00EF5F30" w:rsidRPr="000B75D8">
        <w:rPr>
          <w:noProof/>
        </w:rPr>
        <w:t>and/or</w:t>
      </w:r>
      <w:r w:rsidRPr="000B75D8">
        <w:rPr>
          <w:noProof/>
        </w:rPr>
        <w:t xml:space="preserve"> amending budget</w:t>
      </w:r>
      <w:r w:rsidR="00EF5F30" w:rsidRPr="000B75D8">
        <w:rPr>
          <w:noProof/>
        </w:rPr>
        <w:t>)</w:t>
      </w:r>
      <w:r w:rsidR="00641CC8" w:rsidRPr="000B75D8">
        <w:rPr>
          <w:noProof/>
        </w:rPr>
        <w:t xml:space="preserve">, and the appropriations will be entered over and above the </w:t>
      </w:r>
      <w:r w:rsidR="009B36CC" w:rsidRPr="000B75D8">
        <w:rPr>
          <w:noProof/>
        </w:rPr>
        <w:t xml:space="preserve">MFF </w:t>
      </w:r>
      <w:r w:rsidR="00641CC8" w:rsidRPr="000B75D8">
        <w:rPr>
          <w:noProof/>
        </w:rPr>
        <w:t>ceilings</w:t>
      </w:r>
      <w:r w:rsidR="00E412A5" w:rsidRPr="000B75D8">
        <w:rPr>
          <w:noProof/>
        </w:rPr>
        <w:t>,</w:t>
      </w:r>
      <w:r w:rsidR="00641CC8" w:rsidRPr="000B75D8">
        <w:rPr>
          <w:noProof/>
        </w:rPr>
        <w:t xml:space="preserve"> both </w:t>
      </w:r>
      <w:r w:rsidR="00067737" w:rsidRPr="000B75D8">
        <w:rPr>
          <w:noProof/>
        </w:rPr>
        <w:t>for commitment and corresponding payment appropriations.</w:t>
      </w:r>
    </w:p>
    <w:p w14:paraId="2CD283AF" w14:textId="4A10BFD9" w:rsidR="00413864" w:rsidRPr="000B75D8" w:rsidRDefault="00413864" w:rsidP="00413864">
      <w:pPr>
        <w:pStyle w:val="Header"/>
        <w:rPr>
          <w:i/>
          <w:noProof/>
        </w:rPr>
      </w:pPr>
      <w:r w:rsidRPr="000B75D8">
        <w:rPr>
          <w:i/>
          <w:noProof/>
        </w:rPr>
        <w:t>Article 1</w:t>
      </w:r>
      <w:r w:rsidR="00B02C84" w:rsidRPr="000B75D8">
        <w:rPr>
          <w:i/>
          <w:noProof/>
        </w:rPr>
        <w:t>0b</w:t>
      </w:r>
      <w:r w:rsidRPr="000B75D8">
        <w:rPr>
          <w:i/>
          <w:noProof/>
        </w:rPr>
        <w:t xml:space="preserve"> – </w:t>
      </w:r>
      <w:r w:rsidR="00B02C84" w:rsidRPr="000B75D8">
        <w:rPr>
          <w:i/>
          <w:noProof/>
        </w:rPr>
        <w:t>Ukraine Reserve</w:t>
      </w:r>
    </w:p>
    <w:p w14:paraId="43CA1FB4" w14:textId="57C0999D" w:rsidR="00CC56EC" w:rsidRPr="000B75D8" w:rsidRDefault="00B02C84" w:rsidP="00002B6F">
      <w:pPr>
        <w:rPr>
          <w:noProof/>
        </w:rPr>
      </w:pPr>
      <w:r w:rsidRPr="000B75D8">
        <w:rPr>
          <w:noProof/>
        </w:rPr>
        <w:t xml:space="preserve">This new Article is </w:t>
      </w:r>
      <w:r w:rsidR="00067737" w:rsidRPr="000B75D8">
        <w:rPr>
          <w:noProof/>
        </w:rPr>
        <w:t xml:space="preserve">introduced </w:t>
      </w:r>
      <w:r w:rsidRPr="000B75D8">
        <w:rPr>
          <w:noProof/>
        </w:rPr>
        <w:t xml:space="preserve">to provide for a new thematic </w:t>
      </w:r>
      <w:r w:rsidR="0083374C" w:rsidRPr="000B75D8">
        <w:rPr>
          <w:noProof/>
        </w:rPr>
        <w:t>s</w:t>
      </w:r>
      <w:r w:rsidRPr="000B75D8">
        <w:rPr>
          <w:noProof/>
        </w:rPr>
        <w:t xml:space="preserve">pecial </w:t>
      </w:r>
      <w:r w:rsidR="0083374C" w:rsidRPr="000B75D8">
        <w:rPr>
          <w:noProof/>
        </w:rPr>
        <w:t>i</w:t>
      </w:r>
      <w:r w:rsidRPr="000B75D8">
        <w:rPr>
          <w:noProof/>
        </w:rPr>
        <w:t xml:space="preserve">nstrument: the </w:t>
      </w:r>
      <w:r w:rsidR="00D065B2" w:rsidRPr="000B75D8">
        <w:rPr>
          <w:noProof/>
        </w:rPr>
        <w:t>‘</w:t>
      </w:r>
      <w:r w:rsidRPr="000B75D8">
        <w:rPr>
          <w:noProof/>
        </w:rPr>
        <w:t>Ukraine Reserve</w:t>
      </w:r>
      <w:r w:rsidR="00D065B2" w:rsidRPr="000B75D8">
        <w:rPr>
          <w:noProof/>
        </w:rPr>
        <w:t>’</w:t>
      </w:r>
      <w:r w:rsidRPr="000B75D8">
        <w:rPr>
          <w:noProof/>
        </w:rPr>
        <w:t>.</w:t>
      </w:r>
    </w:p>
    <w:p w14:paraId="3C233705" w14:textId="289B32A8" w:rsidR="00002B6F" w:rsidRPr="000B75D8" w:rsidRDefault="00002B6F" w:rsidP="00002B6F">
      <w:pPr>
        <w:rPr>
          <w:noProof/>
        </w:rPr>
      </w:pPr>
      <w:r w:rsidRPr="000B75D8">
        <w:rPr>
          <w:noProof/>
        </w:rPr>
        <w:t xml:space="preserve">The Ukraine Reserve will provide for the </w:t>
      </w:r>
      <w:r w:rsidR="00D90B1F" w:rsidRPr="000B75D8">
        <w:rPr>
          <w:noProof/>
        </w:rPr>
        <w:t xml:space="preserve">expenditure </w:t>
      </w:r>
      <w:r w:rsidRPr="000B75D8">
        <w:rPr>
          <w:noProof/>
        </w:rPr>
        <w:t>for non-repayable support</w:t>
      </w:r>
      <w:r w:rsidR="00CC56EC" w:rsidRPr="000B75D8">
        <w:rPr>
          <w:noProof/>
        </w:rPr>
        <w:t xml:space="preserve"> and provisioning of budgetary guarantees, </w:t>
      </w:r>
      <w:r w:rsidRPr="000B75D8">
        <w:rPr>
          <w:noProof/>
        </w:rPr>
        <w:t>for Ukraine under the proposed</w:t>
      </w:r>
      <w:r w:rsidR="009436BF" w:rsidRPr="000B75D8">
        <w:rPr>
          <w:noProof/>
        </w:rPr>
        <w:t xml:space="preserve"> </w:t>
      </w:r>
      <w:r w:rsidR="006841AD" w:rsidRPr="000B75D8">
        <w:rPr>
          <w:noProof/>
        </w:rPr>
        <w:t>‘</w:t>
      </w:r>
      <w:r w:rsidRPr="000B75D8">
        <w:rPr>
          <w:noProof/>
        </w:rPr>
        <w:t>Ukraine Facility</w:t>
      </w:r>
      <w:r w:rsidR="006841AD" w:rsidRPr="000B75D8">
        <w:rPr>
          <w:noProof/>
        </w:rPr>
        <w:t>’</w:t>
      </w:r>
      <w:r w:rsidRPr="000B75D8">
        <w:rPr>
          <w:noProof/>
        </w:rPr>
        <w:t>,</w:t>
      </w:r>
      <w:r w:rsidR="00473EED" w:rsidRPr="000B75D8">
        <w:rPr>
          <w:noProof/>
        </w:rPr>
        <w:t xml:space="preserve"> providing the required</w:t>
      </w:r>
      <w:r w:rsidRPr="000B75D8">
        <w:rPr>
          <w:noProof/>
        </w:rPr>
        <w:t xml:space="preserve"> flexibility </w:t>
      </w:r>
      <w:r w:rsidR="00473EED" w:rsidRPr="000B75D8">
        <w:rPr>
          <w:noProof/>
        </w:rPr>
        <w:t>to match Ukraine’s</w:t>
      </w:r>
      <w:r w:rsidRPr="000B75D8">
        <w:rPr>
          <w:noProof/>
          <w:szCs w:val="24"/>
          <w:lang w:val="en-IE"/>
        </w:rPr>
        <w:t xml:space="preserve"> evolving needs.</w:t>
      </w:r>
    </w:p>
    <w:p w14:paraId="74E177C2" w14:textId="2C89856E" w:rsidR="00002B6F" w:rsidRPr="000B75D8" w:rsidRDefault="00002B6F" w:rsidP="00002B6F">
      <w:pPr>
        <w:rPr>
          <w:noProof/>
        </w:rPr>
      </w:pPr>
      <w:r w:rsidRPr="000B75D8">
        <w:rPr>
          <w:noProof/>
        </w:rPr>
        <w:t xml:space="preserve">The mobilisation of the Ukraine Reserve should take place annually </w:t>
      </w:r>
      <w:r w:rsidR="002455C2" w:rsidRPr="000B75D8">
        <w:rPr>
          <w:noProof/>
        </w:rPr>
        <w:t>in the framework of the annual budget</w:t>
      </w:r>
      <w:r w:rsidR="00067737" w:rsidRPr="000B75D8">
        <w:rPr>
          <w:noProof/>
        </w:rPr>
        <w:t>ary</w:t>
      </w:r>
      <w:r w:rsidR="002455C2" w:rsidRPr="000B75D8">
        <w:rPr>
          <w:noProof/>
        </w:rPr>
        <w:t xml:space="preserve"> procedure (budget and/or amending budget), </w:t>
      </w:r>
      <w:r w:rsidR="008054CC" w:rsidRPr="000B75D8">
        <w:rPr>
          <w:noProof/>
        </w:rPr>
        <w:t>considering</w:t>
      </w:r>
      <w:r w:rsidR="002455C2" w:rsidRPr="000B75D8">
        <w:rPr>
          <w:noProof/>
        </w:rPr>
        <w:t xml:space="preserve"> </w:t>
      </w:r>
      <w:r w:rsidR="002455C2" w:rsidRPr="000B75D8">
        <w:rPr>
          <w:bCs/>
          <w:noProof/>
        </w:rPr>
        <w:t xml:space="preserve">the best </w:t>
      </w:r>
      <w:r w:rsidR="00C73A52" w:rsidRPr="000B75D8">
        <w:rPr>
          <w:bCs/>
          <w:noProof/>
        </w:rPr>
        <w:t xml:space="preserve">needs </w:t>
      </w:r>
      <w:r w:rsidR="002455C2" w:rsidRPr="000B75D8">
        <w:rPr>
          <w:bCs/>
          <w:noProof/>
        </w:rPr>
        <w:t>estimates</w:t>
      </w:r>
      <w:r w:rsidR="00EF00A8" w:rsidRPr="000B75D8">
        <w:rPr>
          <w:bCs/>
          <w:noProof/>
        </w:rPr>
        <w:t xml:space="preserve"> </w:t>
      </w:r>
      <w:r w:rsidR="002455C2" w:rsidRPr="000B75D8">
        <w:rPr>
          <w:bCs/>
          <w:noProof/>
        </w:rPr>
        <w:t xml:space="preserve">given war developments, Ukraine </w:t>
      </w:r>
      <w:r w:rsidR="00186125" w:rsidRPr="000B75D8">
        <w:rPr>
          <w:bCs/>
          <w:noProof/>
        </w:rPr>
        <w:t xml:space="preserve">macro-financial </w:t>
      </w:r>
      <w:r w:rsidR="002455C2" w:rsidRPr="000B75D8">
        <w:rPr>
          <w:bCs/>
          <w:noProof/>
        </w:rPr>
        <w:t>performance, absorption capacity</w:t>
      </w:r>
      <w:r w:rsidR="009616D5" w:rsidRPr="000B75D8">
        <w:rPr>
          <w:bCs/>
          <w:noProof/>
        </w:rPr>
        <w:t xml:space="preserve"> and debt sustainability</w:t>
      </w:r>
      <w:r w:rsidR="002455C2" w:rsidRPr="000B75D8">
        <w:rPr>
          <w:bCs/>
          <w:noProof/>
        </w:rPr>
        <w:t>.</w:t>
      </w:r>
      <w:r w:rsidR="009B36CC" w:rsidRPr="000B75D8">
        <w:rPr>
          <w:bCs/>
          <w:noProof/>
        </w:rPr>
        <w:t xml:space="preserve"> </w:t>
      </w:r>
      <w:r w:rsidR="009B36CC" w:rsidRPr="000B75D8">
        <w:rPr>
          <w:noProof/>
        </w:rPr>
        <w:t xml:space="preserve">The appropriations will be entered over and above the MFF ceilings both </w:t>
      </w:r>
      <w:r w:rsidR="00067737" w:rsidRPr="000B75D8">
        <w:rPr>
          <w:noProof/>
        </w:rPr>
        <w:t>for commitment and corresponding payment appropriations.</w:t>
      </w:r>
    </w:p>
    <w:p w14:paraId="3B903D5C" w14:textId="4D410581" w:rsidR="00483F40" w:rsidRPr="000B75D8" w:rsidRDefault="005C17A0" w:rsidP="00B02C84">
      <w:pPr>
        <w:rPr>
          <w:noProof/>
        </w:rPr>
      </w:pPr>
      <w:r w:rsidRPr="000B75D8">
        <w:rPr>
          <w:noProof/>
        </w:rPr>
        <w:t xml:space="preserve">To provide the </w:t>
      </w:r>
      <w:r w:rsidR="00C762AD" w:rsidRPr="000B75D8">
        <w:rPr>
          <w:noProof/>
        </w:rPr>
        <w:t xml:space="preserve">Union </w:t>
      </w:r>
      <w:r w:rsidRPr="000B75D8">
        <w:rPr>
          <w:noProof/>
        </w:rPr>
        <w:t xml:space="preserve">and Ukraine with sufficient </w:t>
      </w:r>
      <w:r w:rsidR="00606B63" w:rsidRPr="000B75D8">
        <w:rPr>
          <w:noProof/>
        </w:rPr>
        <w:t>programmability</w:t>
      </w:r>
      <w:r w:rsidR="00483F40" w:rsidRPr="000B75D8">
        <w:rPr>
          <w:noProof/>
        </w:rPr>
        <w:t xml:space="preserve"> for the implementation of the Ukraine Facility</w:t>
      </w:r>
      <w:r w:rsidRPr="000B75D8">
        <w:rPr>
          <w:noProof/>
        </w:rPr>
        <w:t>, t</w:t>
      </w:r>
      <w:r w:rsidR="002455C2" w:rsidRPr="000B75D8">
        <w:rPr>
          <w:noProof/>
        </w:rPr>
        <w:t xml:space="preserve">he Ukraine Reserve should </w:t>
      </w:r>
      <w:r w:rsidR="00D16C4E" w:rsidRPr="000B75D8">
        <w:rPr>
          <w:noProof/>
        </w:rPr>
        <w:t>include</w:t>
      </w:r>
      <w:r w:rsidR="00641CC8" w:rsidRPr="000B75D8">
        <w:rPr>
          <w:noProof/>
        </w:rPr>
        <w:t xml:space="preserve"> a maximum amount</w:t>
      </w:r>
      <w:r w:rsidR="00D16C4E" w:rsidRPr="000B75D8">
        <w:rPr>
          <w:noProof/>
        </w:rPr>
        <w:t xml:space="preserve"> for</w:t>
      </w:r>
      <w:r w:rsidR="00641CC8" w:rsidRPr="000B75D8">
        <w:rPr>
          <w:noProof/>
        </w:rPr>
        <w:t xml:space="preserve"> the period 2024-2027, as well as </w:t>
      </w:r>
      <w:r w:rsidR="00483F40" w:rsidRPr="000B75D8">
        <w:rPr>
          <w:noProof/>
        </w:rPr>
        <w:t xml:space="preserve">minimum </w:t>
      </w:r>
      <w:r w:rsidR="00641CC8" w:rsidRPr="000B75D8">
        <w:rPr>
          <w:noProof/>
        </w:rPr>
        <w:t xml:space="preserve">annual indicative </w:t>
      </w:r>
      <w:r w:rsidR="002777BF" w:rsidRPr="000B75D8">
        <w:rPr>
          <w:noProof/>
        </w:rPr>
        <w:t>amounts</w:t>
      </w:r>
      <w:r w:rsidR="00641CC8" w:rsidRPr="000B75D8">
        <w:rPr>
          <w:noProof/>
        </w:rPr>
        <w:t>.</w:t>
      </w:r>
      <w:r w:rsidR="00A631F9" w:rsidRPr="000B75D8">
        <w:rPr>
          <w:noProof/>
        </w:rPr>
        <w:t xml:space="preserve"> </w:t>
      </w:r>
      <w:r w:rsidR="00606B63" w:rsidRPr="000B75D8">
        <w:rPr>
          <w:noProof/>
        </w:rPr>
        <w:t>It is also necessary to set out maximum amounts that may be made available annually for the Ukraine Reserve through the period 2024 to 2027 to ensure compliance with the own resources ceiling laid down in Article 3(1) Council Decision (EU, Euratom) 2020/2053.</w:t>
      </w:r>
    </w:p>
    <w:p w14:paraId="32424C6E" w14:textId="683E3E97" w:rsidR="001C3B5D" w:rsidRPr="000B75D8" w:rsidRDefault="00A631F9" w:rsidP="00B02C84">
      <w:pPr>
        <w:rPr>
          <w:noProof/>
        </w:rPr>
      </w:pPr>
      <w:r w:rsidRPr="000B75D8">
        <w:rPr>
          <w:noProof/>
        </w:rPr>
        <w:t xml:space="preserve">For consistency with the </w:t>
      </w:r>
      <w:r w:rsidR="00D01782" w:rsidRPr="000B75D8">
        <w:rPr>
          <w:noProof/>
        </w:rPr>
        <w:t xml:space="preserve">implementation </w:t>
      </w:r>
      <w:r w:rsidR="001C58D2" w:rsidRPr="000B75D8">
        <w:rPr>
          <w:noProof/>
        </w:rPr>
        <w:t xml:space="preserve">of the </w:t>
      </w:r>
      <w:r w:rsidR="00194813" w:rsidRPr="000B75D8">
        <w:rPr>
          <w:noProof/>
        </w:rPr>
        <w:t>Ukraine Facility</w:t>
      </w:r>
      <w:r w:rsidR="00067737" w:rsidRPr="000B75D8">
        <w:rPr>
          <w:noProof/>
        </w:rPr>
        <w:t>, although the 2021-2027</w:t>
      </w:r>
      <w:r w:rsidR="00BE3D90" w:rsidRPr="000B75D8">
        <w:rPr>
          <w:noProof/>
        </w:rPr>
        <w:t xml:space="preserve"> MFF</w:t>
      </w:r>
      <w:r w:rsidR="00067737" w:rsidRPr="000B75D8">
        <w:rPr>
          <w:noProof/>
        </w:rPr>
        <w:t xml:space="preserve"> is laid down in 2018 prices</w:t>
      </w:r>
      <w:r w:rsidR="00194813" w:rsidRPr="000B75D8">
        <w:rPr>
          <w:noProof/>
        </w:rPr>
        <w:t xml:space="preserve">, </w:t>
      </w:r>
      <w:r w:rsidR="006B120B" w:rsidRPr="000B75D8">
        <w:rPr>
          <w:noProof/>
        </w:rPr>
        <w:t xml:space="preserve">the amounts </w:t>
      </w:r>
      <w:r w:rsidR="00A40C65" w:rsidRPr="000B75D8">
        <w:rPr>
          <w:noProof/>
        </w:rPr>
        <w:t>should be exp</w:t>
      </w:r>
      <w:r w:rsidR="006E28DF" w:rsidRPr="000B75D8">
        <w:rPr>
          <w:noProof/>
        </w:rPr>
        <w:t>ressed in current prices.</w:t>
      </w:r>
    </w:p>
    <w:p w14:paraId="71AA66D9" w14:textId="3997C52D" w:rsidR="00B02C84" w:rsidRPr="000B75D8" w:rsidRDefault="00B02C84" w:rsidP="00B02C84">
      <w:pPr>
        <w:pStyle w:val="Header"/>
        <w:rPr>
          <w:b/>
          <w:noProof/>
          <w:lang w:val="en-IE"/>
        </w:rPr>
      </w:pPr>
      <w:r w:rsidRPr="000B75D8">
        <w:rPr>
          <w:b/>
          <w:noProof/>
          <w:lang w:val="en-IE"/>
        </w:rPr>
        <w:t>Section 2 –Non-thematic special instruments</w:t>
      </w:r>
    </w:p>
    <w:p w14:paraId="1C1B0D76" w14:textId="76A19D69" w:rsidR="00413864" w:rsidRPr="000B75D8" w:rsidRDefault="00413864" w:rsidP="00413864">
      <w:pPr>
        <w:pStyle w:val="Header"/>
        <w:rPr>
          <w:i/>
          <w:noProof/>
        </w:rPr>
      </w:pPr>
      <w:r w:rsidRPr="000B75D8">
        <w:rPr>
          <w:i/>
          <w:noProof/>
        </w:rPr>
        <w:t>Article 1</w:t>
      </w:r>
      <w:r w:rsidR="00B02C84" w:rsidRPr="000B75D8">
        <w:rPr>
          <w:i/>
          <w:noProof/>
        </w:rPr>
        <w:t>2</w:t>
      </w:r>
      <w:r w:rsidRPr="000B75D8">
        <w:rPr>
          <w:i/>
          <w:noProof/>
        </w:rPr>
        <w:t xml:space="preserve"> – Flexibility Instrument</w:t>
      </w:r>
    </w:p>
    <w:p w14:paraId="1EF7C384" w14:textId="6C9CB399" w:rsidR="00B02C84" w:rsidRPr="000B75D8" w:rsidRDefault="002A15BC" w:rsidP="00B02C84">
      <w:pPr>
        <w:rPr>
          <w:noProof/>
        </w:rPr>
      </w:pPr>
      <w:r w:rsidRPr="000B75D8">
        <w:rPr>
          <w:noProof/>
        </w:rPr>
        <w:t>The first paragraph</w:t>
      </w:r>
      <w:r w:rsidR="00B02C84" w:rsidRPr="000B75D8">
        <w:rPr>
          <w:noProof/>
        </w:rPr>
        <w:t xml:space="preserve"> is amended to provide for the new maximum annual amount of the Flexibility Instrument, </w:t>
      </w:r>
      <w:r w:rsidR="00695A56" w:rsidRPr="000B75D8">
        <w:rPr>
          <w:noProof/>
        </w:rPr>
        <w:t>increased to</w:t>
      </w:r>
      <w:r w:rsidR="007F163F" w:rsidRPr="000B75D8">
        <w:rPr>
          <w:noProof/>
        </w:rPr>
        <w:t xml:space="preserve"> EUR</w:t>
      </w:r>
      <w:r w:rsidR="00695A56" w:rsidRPr="000B75D8">
        <w:rPr>
          <w:noProof/>
        </w:rPr>
        <w:t> </w:t>
      </w:r>
      <w:r w:rsidR="000F1B30" w:rsidRPr="000B75D8">
        <w:rPr>
          <w:noProof/>
        </w:rPr>
        <w:t>1 </w:t>
      </w:r>
      <w:r w:rsidR="00315E76" w:rsidRPr="000B75D8">
        <w:rPr>
          <w:noProof/>
        </w:rPr>
        <w:t>562</w:t>
      </w:r>
      <w:r w:rsidR="000F1B30" w:rsidRPr="000B75D8">
        <w:rPr>
          <w:noProof/>
        </w:rPr>
        <w:t> </w:t>
      </w:r>
      <w:r w:rsidR="00695A56" w:rsidRPr="000B75D8">
        <w:rPr>
          <w:noProof/>
        </w:rPr>
        <w:t>million (in 2018 prices).</w:t>
      </w:r>
    </w:p>
    <w:p w14:paraId="774FB0FF" w14:textId="6ED2AFAC" w:rsidR="000076A5" w:rsidRPr="000B75D8" w:rsidRDefault="007F5056">
      <w:pPr>
        <w:pStyle w:val="ManualHeading1"/>
        <w:rPr>
          <w:noProof/>
        </w:rPr>
      </w:pPr>
      <w:r w:rsidRPr="000B75D8">
        <w:rPr>
          <w:noProof/>
        </w:rPr>
        <w:t>4</w:t>
      </w:r>
      <w:r w:rsidR="000076A5" w:rsidRPr="000B75D8">
        <w:rPr>
          <w:noProof/>
        </w:rPr>
        <w:t>.</w:t>
      </w:r>
      <w:r w:rsidR="000076A5" w:rsidRPr="000B75D8">
        <w:rPr>
          <w:noProof/>
        </w:rPr>
        <w:tab/>
        <w:t xml:space="preserve">BUDGETARY </w:t>
      </w:r>
      <w:r w:rsidR="00A043E4" w:rsidRPr="000B75D8">
        <w:rPr>
          <w:noProof/>
        </w:rPr>
        <w:t>IMPLICATIONS</w:t>
      </w:r>
    </w:p>
    <w:p w14:paraId="09A34179" w14:textId="64A6057C" w:rsidR="0053695A" w:rsidRPr="000B75D8" w:rsidRDefault="007F5056" w:rsidP="0053695A">
      <w:pPr>
        <w:pStyle w:val="ManualHeading2"/>
        <w:rPr>
          <w:rFonts w:eastAsia="Arial Unicode MS"/>
          <w:noProof/>
          <w:u w:color="000000"/>
          <w:bdr w:val="nil"/>
          <w:lang w:val="en-US" w:eastAsia="en-GB"/>
        </w:rPr>
      </w:pPr>
      <w:r w:rsidRPr="000B75D8">
        <w:rPr>
          <w:rFonts w:eastAsia="Arial Unicode MS"/>
          <w:noProof/>
          <w:u w:color="000000"/>
          <w:bdr w:val="nil"/>
          <w:lang w:val="en-US" w:eastAsia="en-GB"/>
        </w:rPr>
        <w:t>4</w:t>
      </w:r>
      <w:r w:rsidR="0053695A" w:rsidRPr="000B75D8">
        <w:rPr>
          <w:rFonts w:eastAsia="Arial Unicode MS"/>
          <w:noProof/>
          <w:u w:color="000000"/>
          <w:bdr w:val="nil"/>
          <w:lang w:val="en-US" w:eastAsia="en-GB"/>
        </w:rPr>
        <w:t>.1.</w:t>
      </w:r>
      <w:r w:rsidR="0053695A" w:rsidRPr="000B75D8">
        <w:rPr>
          <w:rFonts w:eastAsia="Arial Unicode MS"/>
          <w:noProof/>
          <w:u w:color="000000"/>
          <w:bdr w:val="nil"/>
          <w:lang w:val="en-US" w:eastAsia="en-GB"/>
        </w:rPr>
        <w:tab/>
        <w:t>Increase of the expenditure ceilings for the years 2024 to 2027</w:t>
      </w:r>
    </w:p>
    <w:p w14:paraId="6AC566FC" w14:textId="52A2DAA2" w:rsidR="000076A5" w:rsidRPr="000B75D8" w:rsidRDefault="0053695A" w:rsidP="000D507A">
      <w:pPr>
        <w:rPr>
          <w:noProof/>
        </w:rPr>
      </w:pPr>
      <w:r w:rsidRPr="000B75D8">
        <w:rPr>
          <w:noProof/>
        </w:rPr>
        <w:t xml:space="preserve">The proposal has </w:t>
      </w:r>
      <w:r w:rsidR="00320E5E" w:rsidRPr="000B75D8">
        <w:rPr>
          <w:noProof/>
        </w:rPr>
        <w:t>the following consequences on</w:t>
      </w:r>
      <w:r w:rsidRPr="000B75D8">
        <w:rPr>
          <w:noProof/>
        </w:rPr>
        <w:t xml:space="preserve"> the levels of the annual ceilings </w:t>
      </w:r>
      <w:r w:rsidR="006A1F05" w:rsidRPr="000B75D8">
        <w:rPr>
          <w:noProof/>
        </w:rPr>
        <w:t>for</w:t>
      </w:r>
      <w:r w:rsidRPr="000B75D8">
        <w:rPr>
          <w:noProof/>
        </w:rPr>
        <w:t xml:space="preserve"> commitment appropriations of Headings </w:t>
      </w:r>
      <w:r w:rsidR="008B7DDB" w:rsidRPr="000B75D8">
        <w:rPr>
          <w:noProof/>
        </w:rPr>
        <w:t>1, 3, 4, 5, 6, and 7</w:t>
      </w:r>
      <w:r w:rsidR="00320E5E" w:rsidRPr="000B75D8">
        <w:rPr>
          <w:noProof/>
        </w:rPr>
        <w:t xml:space="preserve">, </w:t>
      </w:r>
      <w:r w:rsidR="000E0CE7" w:rsidRPr="000B75D8">
        <w:rPr>
          <w:noProof/>
        </w:rPr>
        <w:t>including the sub-ceiling for the administrative expenditure of the institutions</w:t>
      </w:r>
      <w:r w:rsidR="00D278F5" w:rsidRPr="000B75D8">
        <w:rPr>
          <w:noProof/>
        </w:rPr>
        <w:t>,</w:t>
      </w:r>
      <w:r w:rsidR="00320E5E" w:rsidRPr="000B75D8">
        <w:rPr>
          <w:noProof/>
        </w:rPr>
        <w:t xml:space="preserve"> which are increased by the </w:t>
      </w:r>
      <w:r w:rsidR="005E7CEE" w:rsidRPr="000B75D8">
        <w:rPr>
          <w:noProof/>
        </w:rPr>
        <w:t>f</w:t>
      </w:r>
      <w:r w:rsidR="00320E5E" w:rsidRPr="000B75D8">
        <w:rPr>
          <w:noProof/>
        </w:rPr>
        <w:t>ollow</w:t>
      </w:r>
      <w:r w:rsidR="005E7CEE" w:rsidRPr="000B75D8">
        <w:rPr>
          <w:noProof/>
        </w:rPr>
        <w:t>i</w:t>
      </w:r>
      <w:r w:rsidR="00320E5E" w:rsidRPr="000B75D8">
        <w:rPr>
          <w:noProof/>
        </w:rPr>
        <w:t>ng amounts (in 2018 prices):</w:t>
      </w:r>
    </w:p>
    <w:tbl>
      <w:tblPr>
        <w:tblStyle w:val="TableGrid"/>
        <w:tblW w:w="0" w:type="auto"/>
        <w:tblLook w:val="04A0" w:firstRow="1" w:lastRow="0" w:firstColumn="1" w:lastColumn="0" w:noHBand="0" w:noVBand="1"/>
      </w:tblPr>
      <w:tblGrid>
        <w:gridCol w:w="2988"/>
        <w:gridCol w:w="1560"/>
        <w:gridCol w:w="1680"/>
        <w:gridCol w:w="1560"/>
        <w:gridCol w:w="1440"/>
      </w:tblGrid>
      <w:tr w:rsidR="002C1B09" w:rsidRPr="000B75D8" w14:paraId="107A6FB6" w14:textId="77777777" w:rsidTr="00504EE8">
        <w:tc>
          <w:tcPr>
            <w:tcW w:w="9228" w:type="dxa"/>
            <w:gridSpan w:val="5"/>
          </w:tcPr>
          <w:p w14:paraId="19092FC6" w14:textId="11AA6594" w:rsidR="002C1B09" w:rsidRPr="000B75D8" w:rsidRDefault="002C1B09" w:rsidP="002042AE">
            <w:pPr>
              <w:spacing w:before="20" w:after="20"/>
              <w:jc w:val="right"/>
              <w:rPr>
                <w:noProof/>
              </w:rPr>
            </w:pPr>
            <w:r w:rsidRPr="000B75D8">
              <w:rPr>
                <w:i/>
                <w:iCs/>
                <w:noProof/>
              </w:rPr>
              <w:t>EUR million</w:t>
            </w:r>
          </w:p>
        </w:tc>
      </w:tr>
      <w:tr w:rsidR="003D5E3F" w:rsidRPr="000B75D8" w14:paraId="3B2295EE" w14:textId="77777777" w:rsidTr="002C1B09">
        <w:tc>
          <w:tcPr>
            <w:tcW w:w="2988" w:type="dxa"/>
          </w:tcPr>
          <w:p w14:paraId="66ABF3C8" w14:textId="27A6F327" w:rsidR="003D5E3F" w:rsidRPr="00040647" w:rsidRDefault="00187098" w:rsidP="002042AE">
            <w:pPr>
              <w:spacing w:before="60" w:after="60"/>
              <w:jc w:val="left"/>
              <w:rPr>
                <w:noProof/>
              </w:rPr>
            </w:pPr>
            <w:r w:rsidRPr="00040647">
              <w:rPr>
                <w:noProof/>
              </w:rPr>
              <w:t>Increase of ceilings in commitment appropriations</w:t>
            </w:r>
          </w:p>
        </w:tc>
        <w:tc>
          <w:tcPr>
            <w:tcW w:w="1560" w:type="dxa"/>
          </w:tcPr>
          <w:p w14:paraId="6DB434C4" w14:textId="629D2B01" w:rsidR="003D5E3F" w:rsidRPr="000B75D8" w:rsidRDefault="003D5E3F" w:rsidP="006009DF">
            <w:pPr>
              <w:jc w:val="center"/>
              <w:rPr>
                <w:noProof/>
              </w:rPr>
            </w:pPr>
            <w:r w:rsidRPr="000B75D8">
              <w:rPr>
                <w:noProof/>
              </w:rPr>
              <w:t>2024</w:t>
            </w:r>
          </w:p>
        </w:tc>
        <w:tc>
          <w:tcPr>
            <w:tcW w:w="1680" w:type="dxa"/>
          </w:tcPr>
          <w:p w14:paraId="35593FBC" w14:textId="16108CB5" w:rsidR="003D5E3F" w:rsidRPr="000B75D8" w:rsidRDefault="003D5E3F" w:rsidP="006009DF">
            <w:pPr>
              <w:jc w:val="center"/>
              <w:rPr>
                <w:noProof/>
              </w:rPr>
            </w:pPr>
            <w:r w:rsidRPr="000B75D8">
              <w:rPr>
                <w:noProof/>
              </w:rPr>
              <w:t>2025</w:t>
            </w:r>
          </w:p>
        </w:tc>
        <w:tc>
          <w:tcPr>
            <w:tcW w:w="1560" w:type="dxa"/>
          </w:tcPr>
          <w:p w14:paraId="3BEEE4F1" w14:textId="158F88AD" w:rsidR="003D5E3F" w:rsidRPr="000B75D8" w:rsidRDefault="003D5E3F" w:rsidP="006009DF">
            <w:pPr>
              <w:jc w:val="center"/>
              <w:rPr>
                <w:noProof/>
              </w:rPr>
            </w:pPr>
            <w:r w:rsidRPr="000B75D8">
              <w:rPr>
                <w:noProof/>
              </w:rPr>
              <w:t>2026</w:t>
            </w:r>
          </w:p>
        </w:tc>
        <w:tc>
          <w:tcPr>
            <w:tcW w:w="1440" w:type="dxa"/>
          </w:tcPr>
          <w:p w14:paraId="56D1BCA1" w14:textId="168E774C" w:rsidR="003D5E3F" w:rsidRPr="000B75D8" w:rsidRDefault="003D5E3F" w:rsidP="006009DF">
            <w:pPr>
              <w:jc w:val="center"/>
              <w:rPr>
                <w:noProof/>
              </w:rPr>
            </w:pPr>
            <w:r w:rsidRPr="000B75D8">
              <w:rPr>
                <w:noProof/>
              </w:rPr>
              <w:t>2027</w:t>
            </w:r>
          </w:p>
        </w:tc>
      </w:tr>
      <w:tr w:rsidR="003D5E3F" w:rsidRPr="000B75D8" w14:paraId="388DC57E" w14:textId="77777777" w:rsidTr="002C1B09">
        <w:tc>
          <w:tcPr>
            <w:tcW w:w="2988" w:type="dxa"/>
          </w:tcPr>
          <w:p w14:paraId="5538A107" w14:textId="3F7D8797" w:rsidR="002C1B09" w:rsidRPr="000B75D8" w:rsidRDefault="00DE2552" w:rsidP="00DE2552">
            <w:pPr>
              <w:spacing w:before="60" w:after="60"/>
              <w:jc w:val="left"/>
              <w:rPr>
                <w:noProof/>
              </w:rPr>
            </w:pPr>
            <w:r w:rsidRPr="000B75D8">
              <w:rPr>
                <w:noProof/>
              </w:rPr>
              <w:t xml:space="preserve">Heading </w:t>
            </w:r>
            <w:r w:rsidR="00D278F5" w:rsidRPr="000B75D8">
              <w:rPr>
                <w:noProof/>
              </w:rPr>
              <w:t>1</w:t>
            </w:r>
          </w:p>
          <w:p w14:paraId="7FAE434D" w14:textId="01DB462D" w:rsidR="00635CB2" w:rsidRPr="000B75D8" w:rsidRDefault="00635CB2" w:rsidP="00DE2552">
            <w:pPr>
              <w:spacing w:before="60" w:after="60"/>
              <w:jc w:val="left"/>
              <w:rPr>
                <w:noProof/>
              </w:rPr>
            </w:pPr>
            <w:r w:rsidRPr="00040647">
              <w:rPr>
                <w:noProof/>
              </w:rPr>
              <w:t>Single Market, Innovation and Digital</w:t>
            </w:r>
          </w:p>
        </w:tc>
        <w:tc>
          <w:tcPr>
            <w:tcW w:w="1560" w:type="dxa"/>
          </w:tcPr>
          <w:p w14:paraId="5B58E8E4" w14:textId="53902CE7" w:rsidR="003D5E3F" w:rsidRPr="000B75D8" w:rsidRDefault="00AB0A2A" w:rsidP="00451379">
            <w:pPr>
              <w:spacing w:before="60" w:after="60"/>
              <w:jc w:val="right"/>
              <w:rPr>
                <w:noProof/>
              </w:rPr>
            </w:pPr>
            <w:r w:rsidRPr="000B75D8">
              <w:rPr>
                <w:noProof/>
              </w:rPr>
              <w:t>777</w:t>
            </w:r>
          </w:p>
        </w:tc>
        <w:tc>
          <w:tcPr>
            <w:tcW w:w="1680" w:type="dxa"/>
          </w:tcPr>
          <w:p w14:paraId="7CEB5FD8" w14:textId="76A101BB" w:rsidR="003D5E3F" w:rsidRPr="000B75D8" w:rsidRDefault="00AB0A2A" w:rsidP="00451379">
            <w:pPr>
              <w:spacing w:before="60" w:after="60"/>
              <w:jc w:val="right"/>
              <w:rPr>
                <w:noProof/>
              </w:rPr>
            </w:pPr>
            <w:r w:rsidRPr="000B75D8">
              <w:rPr>
                <w:noProof/>
              </w:rPr>
              <w:t>762</w:t>
            </w:r>
          </w:p>
        </w:tc>
        <w:tc>
          <w:tcPr>
            <w:tcW w:w="1560" w:type="dxa"/>
          </w:tcPr>
          <w:p w14:paraId="6CC8ECAF" w14:textId="3060816B" w:rsidR="003D5E3F" w:rsidRPr="000B75D8" w:rsidRDefault="00AB0A2A" w:rsidP="00451379">
            <w:pPr>
              <w:spacing w:before="60" w:after="60"/>
              <w:jc w:val="right"/>
              <w:rPr>
                <w:noProof/>
              </w:rPr>
            </w:pPr>
            <w:r w:rsidRPr="000B75D8">
              <w:rPr>
                <w:noProof/>
              </w:rPr>
              <w:t>748</w:t>
            </w:r>
          </w:p>
        </w:tc>
        <w:tc>
          <w:tcPr>
            <w:tcW w:w="1440" w:type="dxa"/>
          </w:tcPr>
          <w:p w14:paraId="732CE24B" w14:textId="5D402E5E" w:rsidR="003D5E3F" w:rsidRPr="000B75D8" w:rsidRDefault="000179ED" w:rsidP="00451379">
            <w:pPr>
              <w:spacing w:before="60" w:after="60"/>
              <w:jc w:val="right"/>
              <w:rPr>
                <w:noProof/>
              </w:rPr>
            </w:pPr>
            <w:r w:rsidRPr="000B75D8">
              <w:rPr>
                <w:noProof/>
              </w:rPr>
              <w:t>733</w:t>
            </w:r>
          </w:p>
        </w:tc>
      </w:tr>
      <w:tr w:rsidR="006F5226" w:rsidRPr="000B75D8" w14:paraId="1F2C4581" w14:textId="77777777" w:rsidTr="002C1B09">
        <w:tc>
          <w:tcPr>
            <w:tcW w:w="2988" w:type="dxa"/>
          </w:tcPr>
          <w:p w14:paraId="02109789" w14:textId="7ACE0A6B" w:rsidR="002C2B64" w:rsidRPr="000B75D8" w:rsidRDefault="00DE2552" w:rsidP="00DE2552">
            <w:pPr>
              <w:spacing w:before="60" w:after="60"/>
              <w:jc w:val="left"/>
              <w:rPr>
                <w:noProof/>
              </w:rPr>
            </w:pPr>
            <w:r w:rsidRPr="000B75D8">
              <w:rPr>
                <w:noProof/>
              </w:rPr>
              <w:t xml:space="preserve">Heading </w:t>
            </w:r>
            <w:r w:rsidR="00D278F5" w:rsidRPr="000B75D8">
              <w:rPr>
                <w:noProof/>
              </w:rPr>
              <w:t>3</w:t>
            </w:r>
          </w:p>
          <w:p w14:paraId="2A2BEDB6" w14:textId="66C0DDAD" w:rsidR="00635CB2" w:rsidRPr="000B75D8" w:rsidRDefault="00023BBC" w:rsidP="00DE2552">
            <w:pPr>
              <w:spacing w:before="60" w:after="60"/>
              <w:jc w:val="left"/>
              <w:rPr>
                <w:noProof/>
              </w:rPr>
            </w:pPr>
            <w:r w:rsidRPr="00040647">
              <w:rPr>
                <w:noProof/>
              </w:rPr>
              <w:t>Natural Resources and Environment</w:t>
            </w:r>
          </w:p>
        </w:tc>
        <w:tc>
          <w:tcPr>
            <w:tcW w:w="1560" w:type="dxa"/>
          </w:tcPr>
          <w:p w14:paraId="724B38BB" w14:textId="3C2735D4" w:rsidR="006F5226" w:rsidRPr="000B75D8" w:rsidRDefault="009608A8" w:rsidP="00451379">
            <w:pPr>
              <w:spacing w:before="60" w:after="60"/>
              <w:jc w:val="right"/>
              <w:rPr>
                <w:noProof/>
              </w:rPr>
            </w:pPr>
            <w:r w:rsidRPr="000B75D8">
              <w:rPr>
                <w:noProof/>
              </w:rPr>
              <w:t>1 </w:t>
            </w:r>
            <w:r w:rsidR="00DC0527" w:rsidRPr="000B75D8">
              <w:rPr>
                <w:noProof/>
              </w:rPr>
              <w:t>110</w:t>
            </w:r>
          </w:p>
        </w:tc>
        <w:tc>
          <w:tcPr>
            <w:tcW w:w="1680" w:type="dxa"/>
          </w:tcPr>
          <w:p w14:paraId="4ACC4110" w14:textId="5349F598" w:rsidR="006F5226" w:rsidRPr="000B75D8" w:rsidRDefault="00A630A8" w:rsidP="00451379">
            <w:pPr>
              <w:spacing w:before="60" w:after="60"/>
              <w:jc w:val="right"/>
              <w:rPr>
                <w:noProof/>
              </w:rPr>
            </w:pPr>
            <w:r w:rsidRPr="000B75D8">
              <w:rPr>
                <w:noProof/>
              </w:rPr>
              <w:t>1 088</w:t>
            </w:r>
          </w:p>
        </w:tc>
        <w:tc>
          <w:tcPr>
            <w:tcW w:w="1560" w:type="dxa"/>
          </w:tcPr>
          <w:p w14:paraId="18E8E8A5" w14:textId="3F41A097" w:rsidR="006F5226" w:rsidRPr="000B75D8" w:rsidRDefault="00D94D5E" w:rsidP="00451379">
            <w:pPr>
              <w:spacing w:before="60" w:after="60"/>
              <w:jc w:val="right"/>
              <w:rPr>
                <w:noProof/>
              </w:rPr>
            </w:pPr>
            <w:r w:rsidRPr="000B75D8">
              <w:rPr>
                <w:noProof/>
              </w:rPr>
              <w:t>1 067</w:t>
            </w:r>
          </w:p>
        </w:tc>
        <w:tc>
          <w:tcPr>
            <w:tcW w:w="1440" w:type="dxa"/>
          </w:tcPr>
          <w:p w14:paraId="3A31AFA6" w14:textId="164C3F7B" w:rsidR="006F5226" w:rsidRPr="000B75D8" w:rsidRDefault="00D94D5E" w:rsidP="00451379">
            <w:pPr>
              <w:spacing w:before="60" w:after="60"/>
              <w:jc w:val="right"/>
              <w:rPr>
                <w:noProof/>
              </w:rPr>
            </w:pPr>
            <w:r w:rsidRPr="000B75D8">
              <w:rPr>
                <w:noProof/>
              </w:rPr>
              <w:t>1 046</w:t>
            </w:r>
          </w:p>
        </w:tc>
      </w:tr>
      <w:tr w:rsidR="00884B4C" w:rsidRPr="000B75D8" w14:paraId="53DF1E76" w14:textId="77777777" w:rsidTr="002C1B09">
        <w:tc>
          <w:tcPr>
            <w:tcW w:w="2988" w:type="dxa"/>
          </w:tcPr>
          <w:p w14:paraId="466713BD" w14:textId="428FCFDB" w:rsidR="0005787F" w:rsidRPr="000B75D8" w:rsidRDefault="00884B4C" w:rsidP="00DE2552">
            <w:pPr>
              <w:spacing w:before="60" w:after="60"/>
              <w:jc w:val="left"/>
              <w:rPr>
                <w:noProof/>
              </w:rPr>
            </w:pPr>
            <w:r w:rsidRPr="000B75D8">
              <w:rPr>
                <w:noProof/>
              </w:rPr>
              <w:t xml:space="preserve">Heading </w:t>
            </w:r>
            <w:r w:rsidR="00D278F5" w:rsidRPr="000B75D8">
              <w:rPr>
                <w:noProof/>
              </w:rPr>
              <w:t>4</w:t>
            </w:r>
          </w:p>
          <w:p w14:paraId="18EBEE21" w14:textId="6C20BDD5" w:rsidR="00023BBC" w:rsidRPr="000B75D8" w:rsidRDefault="00384053" w:rsidP="00DE2552">
            <w:pPr>
              <w:spacing w:before="60" w:after="60"/>
              <w:jc w:val="left"/>
              <w:rPr>
                <w:noProof/>
              </w:rPr>
            </w:pPr>
            <w:r w:rsidRPr="00040647">
              <w:rPr>
                <w:noProof/>
              </w:rPr>
              <w:t>Migration and Border Management</w:t>
            </w:r>
          </w:p>
        </w:tc>
        <w:tc>
          <w:tcPr>
            <w:tcW w:w="1560" w:type="dxa"/>
          </w:tcPr>
          <w:p w14:paraId="2E1B268E" w14:textId="77777777" w:rsidR="00884B4C" w:rsidRPr="000B75D8" w:rsidRDefault="00884B4C" w:rsidP="00451379">
            <w:pPr>
              <w:spacing w:before="60" w:after="60"/>
              <w:jc w:val="right"/>
              <w:rPr>
                <w:noProof/>
              </w:rPr>
            </w:pPr>
          </w:p>
        </w:tc>
        <w:tc>
          <w:tcPr>
            <w:tcW w:w="1680" w:type="dxa"/>
          </w:tcPr>
          <w:p w14:paraId="62A2E2C3" w14:textId="75DC8ED1" w:rsidR="00884B4C" w:rsidRPr="000B75D8" w:rsidRDefault="00396156" w:rsidP="00451379">
            <w:pPr>
              <w:spacing w:before="60" w:after="60"/>
              <w:jc w:val="right"/>
              <w:rPr>
                <w:noProof/>
              </w:rPr>
            </w:pPr>
            <w:r w:rsidRPr="000B75D8">
              <w:rPr>
                <w:noProof/>
              </w:rPr>
              <w:t>264</w:t>
            </w:r>
          </w:p>
        </w:tc>
        <w:tc>
          <w:tcPr>
            <w:tcW w:w="1560" w:type="dxa"/>
          </w:tcPr>
          <w:p w14:paraId="1DE23021" w14:textId="1D357924" w:rsidR="00884B4C" w:rsidRPr="000B75D8" w:rsidRDefault="00396156" w:rsidP="00451379">
            <w:pPr>
              <w:spacing w:before="60" w:after="60"/>
              <w:jc w:val="right"/>
              <w:rPr>
                <w:noProof/>
              </w:rPr>
            </w:pPr>
            <w:r w:rsidRPr="000B75D8">
              <w:rPr>
                <w:noProof/>
              </w:rPr>
              <w:t>464</w:t>
            </w:r>
          </w:p>
        </w:tc>
        <w:tc>
          <w:tcPr>
            <w:tcW w:w="1440" w:type="dxa"/>
          </w:tcPr>
          <w:p w14:paraId="095D1AF0" w14:textId="30CF406B" w:rsidR="00884B4C" w:rsidRPr="000B75D8" w:rsidRDefault="002E134B" w:rsidP="00451379">
            <w:pPr>
              <w:spacing w:before="60" w:after="60"/>
              <w:jc w:val="right"/>
              <w:rPr>
                <w:noProof/>
              </w:rPr>
            </w:pPr>
            <w:r w:rsidRPr="000B75D8">
              <w:rPr>
                <w:noProof/>
              </w:rPr>
              <w:t>965</w:t>
            </w:r>
          </w:p>
        </w:tc>
      </w:tr>
      <w:tr w:rsidR="00884B4C" w:rsidRPr="000B75D8" w14:paraId="373294F2" w14:textId="77777777" w:rsidTr="002C1B09">
        <w:tc>
          <w:tcPr>
            <w:tcW w:w="2988" w:type="dxa"/>
          </w:tcPr>
          <w:p w14:paraId="1D6B036B" w14:textId="23B1CB22" w:rsidR="0076491C" w:rsidRPr="000B75D8" w:rsidRDefault="00884B4C" w:rsidP="00DE2552">
            <w:pPr>
              <w:spacing w:before="60" w:after="60"/>
              <w:jc w:val="left"/>
              <w:rPr>
                <w:noProof/>
              </w:rPr>
            </w:pPr>
            <w:r w:rsidRPr="000B75D8">
              <w:rPr>
                <w:noProof/>
              </w:rPr>
              <w:t xml:space="preserve">Heading </w:t>
            </w:r>
            <w:r w:rsidR="00D278F5" w:rsidRPr="000B75D8">
              <w:rPr>
                <w:noProof/>
              </w:rPr>
              <w:t>5</w:t>
            </w:r>
          </w:p>
          <w:p w14:paraId="1F0FC025" w14:textId="53ED03F8" w:rsidR="00384053" w:rsidRPr="000B75D8" w:rsidRDefault="00BC713F" w:rsidP="00DE2552">
            <w:pPr>
              <w:spacing w:before="60" w:after="60"/>
              <w:jc w:val="left"/>
              <w:rPr>
                <w:noProof/>
              </w:rPr>
            </w:pPr>
            <w:r w:rsidRPr="00040647">
              <w:rPr>
                <w:noProof/>
              </w:rPr>
              <w:t>Security and Defence</w:t>
            </w:r>
          </w:p>
        </w:tc>
        <w:tc>
          <w:tcPr>
            <w:tcW w:w="1560" w:type="dxa"/>
          </w:tcPr>
          <w:p w14:paraId="3A4B08F5" w14:textId="05EEBE6B" w:rsidR="00884B4C" w:rsidRPr="000B75D8" w:rsidRDefault="000A62C0" w:rsidP="00451379">
            <w:pPr>
              <w:spacing w:before="60" w:after="60"/>
              <w:jc w:val="right"/>
              <w:rPr>
                <w:noProof/>
              </w:rPr>
            </w:pPr>
            <w:r w:rsidRPr="000B75D8">
              <w:rPr>
                <w:noProof/>
              </w:rPr>
              <w:t>333</w:t>
            </w:r>
          </w:p>
        </w:tc>
        <w:tc>
          <w:tcPr>
            <w:tcW w:w="1680" w:type="dxa"/>
          </w:tcPr>
          <w:p w14:paraId="6BA37DB6" w14:textId="152D9162" w:rsidR="00884B4C" w:rsidRPr="000B75D8" w:rsidRDefault="00AF6537" w:rsidP="00451379">
            <w:pPr>
              <w:spacing w:before="60" w:after="60"/>
              <w:jc w:val="right"/>
              <w:rPr>
                <w:noProof/>
              </w:rPr>
            </w:pPr>
            <w:r w:rsidRPr="000B75D8">
              <w:rPr>
                <w:noProof/>
              </w:rPr>
              <w:t>327</w:t>
            </w:r>
          </w:p>
        </w:tc>
        <w:tc>
          <w:tcPr>
            <w:tcW w:w="1560" w:type="dxa"/>
          </w:tcPr>
          <w:p w14:paraId="7A1A9FBB" w14:textId="52F67AD2" w:rsidR="00884B4C" w:rsidRPr="000B75D8" w:rsidRDefault="0052781B" w:rsidP="00451379">
            <w:pPr>
              <w:spacing w:before="60" w:after="60"/>
              <w:jc w:val="right"/>
              <w:rPr>
                <w:noProof/>
              </w:rPr>
            </w:pPr>
            <w:r w:rsidRPr="000B75D8">
              <w:rPr>
                <w:noProof/>
              </w:rPr>
              <w:t>320</w:t>
            </w:r>
          </w:p>
        </w:tc>
        <w:tc>
          <w:tcPr>
            <w:tcW w:w="1440" w:type="dxa"/>
          </w:tcPr>
          <w:p w14:paraId="6A6EC96F" w14:textId="65569ACB" w:rsidR="00884B4C" w:rsidRPr="000B75D8" w:rsidRDefault="0052781B" w:rsidP="00451379">
            <w:pPr>
              <w:spacing w:before="60" w:after="60"/>
              <w:jc w:val="right"/>
              <w:rPr>
                <w:noProof/>
              </w:rPr>
            </w:pPr>
            <w:r w:rsidRPr="000B75D8">
              <w:rPr>
                <w:noProof/>
              </w:rPr>
              <w:t>313</w:t>
            </w:r>
          </w:p>
        </w:tc>
      </w:tr>
      <w:tr w:rsidR="00884B4C" w:rsidRPr="000B75D8" w14:paraId="56B071CB" w14:textId="77777777" w:rsidTr="00040647">
        <w:tc>
          <w:tcPr>
            <w:tcW w:w="2988" w:type="dxa"/>
            <w:tcBorders>
              <w:bottom w:val="single" w:sz="4" w:space="0" w:color="auto"/>
            </w:tcBorders>
          </w:tcPr>
          <w:p w14:paraId="3BEC455B" w14:textId="53849574" w:rsidR="000F5150" w:rsidRPr="000B75D8" w:rsidRDefault="00884B4C" w:rsidP="00DE2552">
            <w:pPr>
              <w:spacing w:before="60" w:after="60"/>
              <w:jc w:val="left"/>
              <w:rPr>
                <w:noProof/>
              </w:rPr>
            </w:pPr>
            <w:r w:rsidRPr="000B75D8">
              <w:rPr>
                <w:noProof/>
              </w:rPr>
              <w:t xml:space="preserve">Heading </w:t>
            </w:r>
            <w:r w:rsidR="00D278F5" w:rsidRPr="000B75D8">
              <w:rPr>
                <w:noProof/>
              </w:rPr>
              <w:t>6</w:t>
            </w:r>
          </w:p>
          <w:p w14:paraId="6EB767D8" w14:textId="4AE5702E" w:rsidR="00BC713F" w:rsidRPr="000B75D8" w:rsidRDefault="008C1989" w:rsidP="00DE2552">
            <w:pPr>
              <w:spacing w:before="60" w:after="60"/>
              <w:jc w:val="left"/>
              <w:rPr>
                <w:noProof/>
              </w:rPr>
            </w:pPr>
            <w:r w:rsidRPr="00040647">
              <w:rPr>
                <w:noProof/>
              </w:rPr>
              <w:t>Neighbourhood and the World</w:t>
            </w:r>
          </w:p>
        </w:tc>
        <w:tc>
          <w:tcPr>
            <w:tcW w:w="1560" w:type="dxa"/>
            <w:tcBorders>
              <w:bottom w:val="single" w:sz="4" w:space="0" w:color="auto"/>
            </w:tcBorders>
          </w:tcPr>
          <w:p w14:paraId="0D17AEED" w14:textId="66B1C427" w:rsidR="00884B4C" w:rsidRPr="000B75D8" w:rsidRDefault="00CB73BB" w:rsidP="00451379">
            <w:pPr>
              <w:spacing w:before="60" w:after="60"/>
              <w:jc w:val="right"/>
              <w:rPr>
                <w:noProof/>
              </w:rPr>
            </w:pPr>
            <w:r w:rsidRPr="000B75D8">
              <w:rPr>
                <w:noProof/>
              </w:rPr>
              <w:t>2 331</w:t>
            </w:r>
          </w:p>
        </w:tc>
        <w:tc>
          <w:tcPr>
            <w:tcW w:w="1680" w:type="dxa"/>
            <w:tcBorders>
              <w:bottom w:val="single" w:sz="4" w:space="0" w:color="auto"/>
            </w:tcBorders>
          </w:tcPr>
          <w:p w14:paraId="609E6B79" w14:textId="45EFB299" w:rsidR="00884B4C" w:rsidRPr="000B75D8" w:rsidRDefault="00CB73BB" w:rsidP="00451379">
            <w:pPr>
              <w:spacing w:before="60" w:after="60"/>
              <w:jc w:val="right"/>
              <w:rPr>
                <w:noProof/>
              </w:rPr>
            </w:pPr>
            <w:r w:rsidRPr="000B75D8">
              <w:rPr>
                <w:noProof/>
              </w:rPr>
              <w:t>2 286</w:t>
            </w:r>
          </w:p>
        </w:tc>
        <w:tc>
          <w:tcPr>
            <w:tcW w:w="1560" w:type="dxa"/>
            <w:tcBorders>
              <w:bottom w:val="single" w:sz="4" w:space="0" w:color="auto"/>
            </w:tcBorders>
          </w:tcPr>
          <w:p w14:paraId="388DF5B2" w14:textId="08C39BDC" w:rsidR="00884B4C" w:rsidRPr="000B75D8" w:rsidRDefault="00CF1EB2" w:rsidP="00451379">
            <w:pPr>
              <w:spacing w:before="60" w:after="60"/>
              <w:jc w:val="right"/>
              <w:rPr>
                <w:noProof/>
              </w:rPr>
            </w:pPr>
            <w:r w:rsidRPr="000B75D8">
              <w:rPr>
                <w:noProof/>
              </w:rPr>
              <w:t>2 241</w:t>
            </w:r>
          </w:p>
        </w:tc>
        <w:tc>
          <w:tcPr>
            <w:tcW w:w="1440" w:type="dxa"/>
            <w:tcBorders>
              <w:bottom w:val="single" w:sz="4" w:space="0" w:color="auto"/>
            </w:tcBorders>
          </w:tcPr>
          <w:p w14:paraId="3917875B" w14:textId="41D647FD" w:rsidR="00884B4C" w:rsidRPr="000B75D8" w:rsidRDefault="00CF1EB2" w:rsidP="00451379">
            <w:pPr>
              <w:spacing w:before="60" w:after="60"/>
              <w:jc w:val="right"/>
              <w:rPr>
                <w:noProof/>
              </w:rPr>
            </w:pPr>
            <w:r w:rsidRPr="000B75D8">
              <w:rPr>
                <w:noProof/>
              </w:rPr>
              <w:t>2 198</w:t>
            </w:r>
          </w:p>
        </w:tc>
      </w:tr>
      <w:tr w:rsidR="00D278F5" w:rsidRPr="000B75D8" w14:paraId="6282501F" w14:textId="77777777" w:rsidTr="00040647">
        <w:tc>
          <w:tcPr>
            <w:tcW w:w="2988" w:type="dxa"/>
            <w:tcBorders>
              <w:bottom w:val="dotted" w:sz="4" w:space="0" w:color="auto"/>
            </w:tcBorders>
          </w:tcPr>
          <w:p w14:paraId="49DABEB1" w14:textId="206668AC" w:rsidR="00D278F5" w:rsidRPr="000B75D8" w:rsidRDefault="000C2087" w:rsidP="00DE2552">
            <w:pPr>
              <w:spacing w:before="60" w:after="60"/>
              <w:jc w:val="left"/>
              <w:rPr>
                <w:noProof/>
              </w:rPr>
            </w:pPr>
            <w:r w:rsidRPr="000B75D8">
              <w:rPr>
                <w:noProof/>
              </w:rPr>
              <w:t>Heading 7</w:t>
            </w:r>
          </w:p>
          <w:p w14:paraId="7CC343A3" w14:textId="0128BC13" w:rsidR="008C1989" w:rsidRPr="000B75D8" w:rsidRDefault="00CB406F" w:rsidP="00DE2552">
            <w:pPr>
              <w:spacing w:before="60" w:after="60"/>
              <w:jc w:val="left"/>
              <w:rPr>
                <w:noProof/>
              </w:rPr>
            </w:pPr>
            <w:r w:rsidRPr="00040647">
              <w:rPr>
                <w:noProof/>
              </w:rPr>
              <w:t>European Public Administration</w:t>
            </w:r>
          </w:p>
        </w:tc>
        <w:tc>
          <w:tcPr>
            <w:tcW w:w="1560" w:type="dxa"/>
            <w:tcBorders>
              <w:bottom w:val="dotted" w:sz="4" w:space="0" w:color="auto"/>
            </w:tcBorders>
          </w:tcPr>
          <w:p w14:paraId="6A06BDAC" w14:textId="0B37BBF2" w:rsidR="00D278F5" w:rsidRPr="000B75D8" w:rsidRDefault="003A69C5" w:rsidP="00451379">
            <w:pPr>
              <w:spacing w:before="60" w:after="60"/>
              <w:jc w:val="right"/>
              <w:rPr>
                <w:noProof/>
              </w:rPr>
            </w:pPr>
            <w:r w:rsidRPr="000B75D8">
              <w:rPr>
                <w:noProof/>
              </w:rPr>
              <w:t>132</w:t>
            </w:r>
          </w:p>
        </w:tc>
        <w:tc>
          <w:tcPr>
            <w:tcW w:w="1680" w:type="dxa"/>
            <w:tcBorders>
              <w:bottom w:val="dotted" w:sz="4" w:space="0" w:color="auto"/>
            </w:tcBorders>
          </w:tcPr>
          <w:p w14:paraId="1FA75A42" w14:textId="71C0ED39" w:rsidR="00D278F5" w:rsidRPr="000B75D8" w:rsidRDefault="003A69C5" w:rsidP="00451379">
            <w:pPr>
              <w:spacing w:before="60" w:after="60"/>
              <w:jc w:val="right"/>
              <w:rPr>
                <w:noProof/>
              </w:rPr>
            </w:pPr>
            <w:r w:rsidRPr="000B75D8">
              <w:rPr>
                <w:noProof/>
              </w:rPr>
              <w:t>333</w:t>
            </w:r>
          </w:p>
        </w:tc>
        <w:tc>
          <w:tcPr>
            <w:tcW w:w="1560" w:type="dxa"/>
            <w:tcBorders>
              <w:bottom w:val="dotted" w:sz="4" w:space="0" w:color="auto"/>
            </w:tcBorders>
          </w:tcPr>
          <w:p w14:paraId="723E6998" w14:textId="7BFF3F1B" w:rsidR="00D278F5" w:rsidRPr="000B75D8" w:rsidRDefault="003A69C5" w:rsidP="00451379">
            <w:pPr>
              <w:spacing w:before="60" w:after="60"/>
              <w:jc w:val="right"/>
              <w:rPr>
                <w:noProof/>
              </w:rPr>
            </w:pPr>
            <w:r w:rsidRPr="000B75D8">
              <w:rPr>
                <w:noProof/>
              </w:rPr>
              <w:t>556</w:t>
            </w:r>
          </w:p>
        </w:tc>
        <w:tc>
          <w:tcPr>
            <w:tcW w:w="1440" w:type="dxa"/>
            <w:tcBorders>
              <w:bottom w:val="dotted" w:sz="4" w:space="0" w:color="auto"/>
            </w:tcBorders>
          </w:tcPr>
          <w:p w14:paraId="5F65E155" w14:textId="2F193D00" w:rsidR="00D278F5" w:rsidRPr="000B75D8" w:rsidRDefault="003A69C5" w:rsidP="00451379">
            <w:pPr>
              <w:spacing w:before="60" w:after="60"/>
              <w:jc w:val="right"/>
              <w:rPr>
                <w:noProof/>
              </w:rPr>
            </w:pPr>
            <w:r w:rsidRPr="000B75D8">
              <w:rPr>
                <w:noProof/>
              </w:rPr>
              <w:t>600</w:t>
            </w:r>
          </w:p>
        </w:tc>
      </w:tr>
      <w:tr w:rsidR="00374229" w:rsidRPr="000B75D8" w14:paraId="2951EC8B" w14:textId="77777777" w:rsidTr="00040647">
        <w:tc>
          <w:tcPr>
            <w:tcW w:w="2988" w:type="dxa"/>
            <w:tcBorders>
              <w:top w:val="dotted" w:sz="4" w:space="0" w:color="auto"/>
            </w:tcBorders>
          </w:tcPr>
          <w:p w14:paraId="7F55C9B3" w14:textId="5A330422" w:rsidR="00374229" w:rsidRPr="000B75D8" w:rsidRDefault="00657142" w:rsidP="00DE2552">
            <w:pPr>
              <w:spacing w:before="60" w:after="60"/>
              <w:jc w:val="left"/>
              <w:rPr>
                <w:noProof/>
              </w:rPr>
            </w:pPr>
            <w:r w:rsidRPr="00040647">
              <w:rPr>
                <w:i/>
                <w:iCs/>
                <w:noProof/>
              </w:rPr>
              <w:t>S</w:t>
            </w:r>
            <w:r w:rsidR="00E25634" w:rsidRPr="00040647">
              <w:rPr>
                <w:i/>
                <w:iCs/>
                <w:noProof/>
              </w:rPr>
              <w:t>ub-ceiling</w:t>
            </w:r>
            <w:r w:rsidR="00E25634" w:rsidRPr="00040647">
              <w:rPr>
                <w:i/>
                <w:iCs/>
                <w:noProof/>
              </w:rPr>
              <w:br/>
              <w:t xml:space="preserve"> Administrative expenditure of the institutions</w:t>
            </w:r>
          </w:p>
        </w:tc>
        <w:tc>
          <w:tcPr>
            <w:tcW w:w="1560" w:type="dxa"/>
            <w:tcBorders>
              <w:top w:val="dotted" w:sz="4" w:space="0" w:color="auto"/>
            </w:tcBorders>
          </w:tcPr>
          <w:p w14:paraId="1927DED3" w14:textId="753EE312" w:rsidR="00374229" w:rsidRPr="000B75D8" w:rsidRDefault="00BE49C7" w:rsidP="00451379">
            <w:pPr>
              <w:spacing w:before="60" w:after="60"/>
              <w:jc w:val="right"/>
              <w:rPr>
                <w:noProof/>
              </w:rPr>
            </w:pPr>
            <w:r w:rsidRPr="000B75D8">
              <w:rPr>
                <w:noProof/>
              </w:rPr>
              <w:t>110</w:t>
            </w:r>
          </w:p>
        </w:tc>
        <w:tc>
          <w:tcPr>
            <w:tcW w:w="1680" w:type="dxa"/>
            <w:tcBorders>
              <w:top w:val="dotted" w:sz="4" w:space="0" w:color="auto"/>
            </w:tcBorders>
          </w:tcPr>
          <w:p w14:paraId="299C15CD" w14:textId="0AEFDB90" w:rsidR="00374229" w:rsidRPr="000B75D8" w:rsidRDefault="00BE49C7" w:rsidP="00451379">
            <w:pPr>
              <w:spacing w:before="60" w:after="60"/>
              <w:jc w:val="right"/>
              <w:rPr>
                <w:noProof/>
              </w:rPr>
            </w:pPr>
            <w:r w:rsidRPr="000B75D8">
              <w:rPr>
                <w:noProof/>
              </w:rPr>
              <w:t>285</w:t>
            </w:r>
          </w:p>
        </w:tc>
        <w:tc>
          <w:tcPr>
            <w:tcW w:w="1560" w:type="dxa"/>
            <w:tcBorders>
              <w:top w:val="dotted" w:sz="4" w:space="0" w:color="auto"/>
            </w:tcBorders>
          </w:tcPr>
          <w:p w14:paraId="63FD2872" w14:textId="1E3262FD" w:rsidR="00374229" w:rsidRPr="000B75D8" w:rsidRDefault="00BE49C7" w:rsidP="00451379">
            <w:pPr>
              <w:spacing w:before="60" w:after="60"/>
              <w:jc w:val="right"/>
              <w:rPr>
                <w:noProof/>
              </w:rPr>
            </w:pPr>
            <w:r w:rsidRPr="000B75D8">
              <w:rPr>
                <w:noProof/>
              </w:rPr>
              <w:t>464</w:t>
            </w:r>
          </w:p>
        </w:tc>
        <w:tc>
          <w:tcPr>
            <w:tcW w:w="1440" w:type="dxa"/>
            <w:tcBorders>
              <w:top w:val="dotted" w:sz="4" w:space="0" w:color="auto"/>
            </w:tcBorders>
          </w:tcPr>
          <w:p w14:paraId="0205887E" w14:textId="6A12675A" w:rsidR="00374229" w:rsidRPr="000B75D8" w:rsidRDefault="00BE49C7" w:rsidP="00451379">
            <w:pPr>
              <w:spacing w:before="60" w:after="60"/>
              <w:jc w:val="right"/>
              <w:rPr>
                <w:noProof/>
              </w:rPr>
            </w:pPr>
            <w:r w:rsidRPr="000B75D8">
              <w:rPr>
                <w:noProof/>
              </w:rPr>
              <w:t>472</w:t>
            </w:r>
          </w:p>
        </w:tc>
      </w:tr>
      <w:tr w:rsidR="006F5226" w:rsidRPr="000B75D8" w14:paraId="23DE5A74" w14:textId="77777777" w:rsidTr="002C1B09">
        <w:tc>
          <w:tcPr>
            <w:tcW w:w="2988" w:type="dxa"/>
          </w:tcPr>
          <w:p w14:paraId="0073234F" w14:textId="3E6CD977" w:rsidR="006F5226" w:rsidRPr="000B75D8" w:rsidRDefault="00320E5E" w:rsidP="002042AE">
            <w:pPr>
              <w:spacing w:before="60" w:after="60"/>
              <w:jc w:val="left"/>
              <w:rPr>
                <w:noProof/>
              </w:rPr>
            </w:pPr>
            <w:r w:rsidRPr="000B75D8">
              <w:rPr>
                <w:noProof/>
              </w:rPr>
              <w:t>Total increase in commitment appropriations</w:t>
            </w:r>
          </w:p>
        </w:tc>
        <w:tc>
          <w:tcPr>
            <w:tcW w:w="1560" w:type="dxa"/>
          </w:tcPr>
          <w:p w14:paraId="5C1E3F13" w14:textId="4C106B13" w:rsidR="006F5226" w:rsidRPr="000B75D8" w:rsidRDefault="00123561" w:rsidP="00451379">
            <w:pPr>
              <w:spacing w:before="60" w:after="60"/>
              <w:jc w:val="right"/>
              <w:rPr>
                <w:noProof/>
              </w:rPr>
            </w:pPr>
            <w:r w:rsidRPr="000B75D8">
              <w:rPr>
                <w:noProof/>
              </w:rPr>
              <w:t>4 683</w:t>
            </w:r>
          </w:p>
        </w:tc>
        <w:tc>
          <w:tcPr>
            <w:tcW w:w="1680" w:type="dxa"/>
          </w:tcPr>
          <w:p w14:paraId="0F66B0A5" w14:textId="3E71BAF0" w:rsidR="006F5226" w:rsidRPr="000B75D8" w:rsidRDefault="00123561" w:rsidP="00451379">
            <w:pPr>
              <w:spacing w:before="60" w:after="60"/>
              <w:jc w:val="right"/>
              <w:rPr>
                <w:noProof/>
              </w:rPr>
            </w:pPr>
            <w:r w:rsidRPr="000B75D8">
              <w:rPr>
                <w:noProof/>
              </w:rPr>
              <w:t>5 060</w:t>
            </w:r>
          </w:p>
        </w:tc>
        <w:tc>
          <w:tcPr>
            <w:tcW w:w="1560" w:type="dxa"/>
          </w:tcPr>
          <w:p w14:paraId="719368BB" w14:textId="50A5344E" w:rsidR="006F5226" w:rsidRPr="000B75D8" w:rsidRDefault="00190487" w:rsidP="00451379">
            <w:pPr>
              <w:spacing w:before="60" w:after="60"/>
              <w:jc w:val="right"/>
              <w:rPr>
                <w:noProof/>
              </w:rPr>
            </w:pPr>
            <w:r w:rsidRPr="000B75D8">
              <w:rPr>
                <w:noProof/>
              </w:rPr>
              <w:t>5 396</w:t>
            </w:r>
          </w:p>
        </w:tc>
        <w:tc>
          <w:tcPr>
            <w:tcW w:w="1440" w:type="dxa"/>
          </w:tcPr>
          <w:p w14:paraId="3F25B004" w14:textId="5A3C6CE8" w:rsidR="006F5226" w:rsidRPr="000B75D8" w:rsidRDefault="00190487" w:rsidP="00451379">
            <w:pPr>
              <w:spacing w:before="60" w:after="60"/>
              <w:jc w:val="right"/>
              <w:rPr>
                <w:noProof/>
              </w:rPr>
            </w:pPr>
            <w:r w:rsidRPr="000B75D8">
              <w:rPr>
                <w:noProof/>
              </w:rPr>
              <w:t>5 855</w:t>
            </w:r>
          </w:p>
        </w:tc>
      </w:tr>
    </w:tbl>
    <w:p w14:paraId="4690EFE9" w14:textId="546A2500" w:rsidR="00AE1A6F" w:rsidRPr="000B75D8" w:rsidRDefault="00B36C55" w:rsidP="00626DF0">
      <w:pPr>
        <w:rPr>
          <w:noProof/>
        </w:rPr>
      </w:pPr>
      <w:r w:rsidRPr="000B75D8">
        <w:rPr>
          <w:noProof/>
        </w:rPr>
        <w:t xml:space="preserve">Taking into account </w:t>
      </w:r>
      <w:r w:rsidR="001821FF" w:rsidRPr="000B75D8">
        <w:rPr>
          <w:noProof/>
        </w:rPr>
        <w:t>the</w:t>
      </w:r>
      <w:r w:rsidR="00346B35" w:rsidRPr="000B75D8">
        <w:rPr>
          <w:noProof/>
        </w:rPr>
        <w:t xml:space="preserve"> </w:t>
      </w:r>
      <w:r w:rsidR="00B901A6" w:rsidRPr="000B75D8">
        <w:rPr>
          <w:noProof/>
        </w:rPr>
        <w:t xml:space="preserve">mechanism of adjustment of the payment ceilings </w:t>
      </w:r>
      <w:r w:rsidR="00A867C9" w:rsidRPr="000B75D8">
        <w:rPr>
          <w:noProof/>
        </w:rPr>
        <w:t>provided under the</w:t>
      </w:r>
      <w:r w:rsidR="00480C91" w:rsidRPr="000B75D8">
        <w:rPr>
          <w:noProof/>
        </w:rPr>
        <w:t xml:space="preserve"> Single Margin Instrument </w:t>
      </w:r>
      <w:r w:rsidR="003322AE" w:rsidRPr="000B75D8">
        <w:rPr>
          <w:noProof/>
        </w:rPr>
        <w:t>(</w:t>
      </w:r>
      <w:r w:rsidR="00346B35" w:rsidRPr="000B75D8">
        <w:rPr>
          <w:noProof/>
        </w:rPr>
        <w:t>Article 11</w:t>
      </w:r>
      <w:r w:rsidR="003322AE" w:rsidRPr="000B75D8">
        <w:rPr>
          <w:noProof/>
        </w:rPr>
        <w:t>)</w:t>
      </w:r>
      <w:r w:rsidR="00A867C9" w:rsidRPr="000B75D8">
        <w:rPr>
          <w:noProof/>
        </w:rPr>
        <w:t xml:space="preserve">, the </w:t>
      </w:r>
      <w:r w:rsidR="00526540" w:rsidRPr="000B75D8">
        <w:rPr>
          <w:noProof/>
        </w:rPr>
        <w:t>present proposal</w:t>
      </w:r>
      <w:r w:rsidR="003E28A6" w:rsidRPr="000B75D8">
        <w:rPr>
          <w:noProof/>
        </w:rPr>
        <w:t xml:space="preserve"> </w:t>
      </w:r>
      <w:r w:rsidR="00C2086C" w:rsidRPr="000B75D8">
        <w:rPr>
          <w:noProof/>
        </w:rPr>
        <w:t xml:space="preserve">requires an increase of the ceiling of the MFF in payment appropriations in </w:t>
      </w:r>
      <w:r w:rsidR="00140894" w:rsidRPr="000B75D8">
        <w:rPr>
          <w:noProof/>
        </w:rPr>
        <w:t xml:space="preserve">2026 </w:t>
      </w:r>
      <w:r w:rsidR="00622199" w:rsidRPr="000B75D8">
        <w:rPr>
          <w:noProof/>
        </w:rPr>
        <w:t xml:space="preserve">and </w:t>
      </w:r>
      <w:r w:rsidR="00140894" w:rsidRPr="000B75D8">
        <w:rPr>
          <w:noProof/>
        </w:rPr>
        <w:t>2027</w:t>
      </w:r>
      <w:r w:rsidR="005E7CEE" w:rsidRPr="000B75D8">
        <w:rPr>
          <w:noProof/>
        </w:rPr>
        <w:t>, as detailed below (in 2018 prices).</w:t>
      </w:r>
    </w:p>
    <w:tbl>
      <w:tblPr>
        <w:tblStyle w:val="TableGrid"/>
        <w:tblW w:w="0" w:type="auto"/>
        <w:tblLook w:val="04A0" w:firstRow="1" w:lastRow="0" w:firstColumn="1" w:lastColumn="0" w:noHBand="0" w:noVBand="1"/>
      </w:tblPr>
      <w:tblGrid>
        <w:gridCol w:w="2988"/>
        <w:gridCol w:w="1560"/>
        <w:gridCol w:w="1680"/>
        <w:gridCol w:w="1560"/>
        <w:gridCol w:w="1440"/>
      </w:tblGrid>
      <w:tr w:rsidR="00747064" w:rsidRPr="000B75D8" w14:paraId="6B999897" w14:textId="77777777" w:rsidTr="00504EE8">
        <w:tc>
          <w:tcPr>
            <w:tcW w:w="9228" w:type="dxa"/>
            <w:gridSpan w:val="5"/>
          </w:tcPr>
          <w:p w14:paraId="3FEC698A" w14:textId="77777777" w:rsidR="00747064" w:rsidRPr="000B75D8" w:rsidRDefault="00747064" w:rsidP="00504EE8">
            <w:pPr>
              <w:spacing w:before="20" w:after="20"/>
              <w:jc w:val="right"/>
              <w:rPr>
                <w:noProof/>
              </w:rPr>
            </w:pPr>
            <w:r w:rsidRPr="000B75D8">
              <w:rPr>
                <w:i/>
                <w:iCs/>
                <w:noProof/>
              </w:rPr>
              <w:t>EUR million</w:t>
            </w:r>
          </w:p>
        </w:tc>
      </w:tr>
      <w:tr w:rsidR="00747064" w:rsidRPr="000B75D8" w14:paraId="1E3E117E" w14:textId="77777777" w:rsidTr="00504EE8">
        <w:tc>
          <w:tcPr>
            <w:tcW w:w="2988" w:type="dxa"/>
          </w:tcPr>
          <w:p w14:paraId="7E7FC14D" w14:textId="06A2FBBF" w:rsidR="00747064" w:rsidRPr="000B75D8" w:rsidRDefault="00747064" w:rsidP="00504EE8">
            <w:pPr>
              <w:spacing w:before="60" w:after="60"/>
              <w:jc w:val="left"/>
              <w:rPr>
                <w:b/>
                <w:bCs/>
                <w:noProof/>
              </w:rPr>
            </w:pPr>
          </w:p>
        </w:tc>
        <w:tc>
          <w:tcPr>
            <w:tcW w:w="1560" w:type="dxa"/>
          </w:tcPr>
          <w:p w14:paraId="0627AF45" w14:textId="77777777" w:rsidR="00747064" w:rsidRPr="000B75D8" w:rsidRDefault="00747064" w:rsidP="00504EE8">
            <w:pPr>
              <w:jc w:val="center"/>
              <w:rPr>
                <w:noProof/>
              </w:rPr>
            </w:pPr>
            <w:r w:rsidRPr="000B75D8">
              <w:rPr>
                <w:noProof/>
              </w:rPr>
              <w:t>2024</w:t>
            </w:r>
          </w:p>
        </w:tc>
        <w:tc>
          <w:tcPr>
            <w:tcW w:w="1680" w:type="dxa"/>
          </w:tcPr>
          <w:p w14:paraId="3B7BAD21" w14:textId="77777777" w:rsidR="00747064" w:rsidRPr="000B75D8" w:rsidRDefault="00747064" w:rsidP="00504EE8">
            <w:pPr>
              <w:jc w:val="center"/>
              <w:rPr>
                <w:noProof/>
              </w:rPr>
            </w:pPr>
            <w:r w:rsidRPr="000B75D8">
              <w:rPr>
                <w:noProof/>
              </w:rPr>
              <w:t>2025</w:t>
            </w:r>
          </w:p>
        </w:tc>
        <w:tc>
          <w:tcPr>
            <w:tcW w:w="1560" w:type="dxa"/>
          </w:tcPr>
          <w:p w14:paraId="12AD9445" w14:textId="77777777" w:rsidR="00747064" w:rsidRPr="000B75D8" w:rsidRDefault="00747064" w:rsidP="00504EE8">
            <w:pPr>
              <w:jc w:val="center"/>
              <w:rPr>
                <w:noProof/>
              </w:rPr>
            </w:pPr>
            <w:r w:rsidRPr="000B75D8">
              <w:rPr>
                <w:noProof/>
              </w:rPr>
              <w:t>2026</w:t>
            </w:r>
          </w:p>
        </w:tc>
        <w:tc>
          <w:tcPr>
            <w:tcW w:w="1440" w:type="dxa"/>
          </w:tcPr>
          <w:p w14:paraId="281DE745" w14:textId="77777777" w:rsidR="00747064" w:rsidRPr="000B75D8" w:rsidRDefault="00747064" w:rsidP="00504EE8">
            <w:pPr>
              <w:jc w:val="center"/>
              <w:rPr>
                <w:noProof/>
              </w:rPr>
            </w:pPr>
            <w:r w:rsidRPr="000B75D8">
              <w:rPr>
                <w:noProof/>
              </w:rPr>
              <w:t>2027</w:t>
            </w:r>
          </w:p>
        </w:tc>
      </w:tr>
      <w:tr w:rsidR="00747064" w:rsidRPr="000B75D8" w14:paraId="5A222B20" w14:textId="77777777" w:rsidTr="00504EE8">
        <w:tc>
          <w:tcPr>
            <w:tcW w:w="2988" w:type="dxa"/>
          </w:tcPr>
          <w:p w14:paraId="690F3F3A" w14:textId="1A4AE286" w:rsidR="00747064" w:rsidRPr="000B75D8" w:rsidRDefault="008F0BB3" w:rsidP="00504EE8">
            <w:pPr>
              <w:spacing w:before="60" w:after="60"/>
              <w:jc w:val="left"/>
              <w:rPr>
                <w:noProof/>
              </w:rPr>
            </w:pPr>
            <w:r w:rsidRPr="00040647">
              <w:rPr>
                <w:noProof/>
              </w:rPr>
              <w:t>Increase of ceiling in payment appropriations</w:t>
            </w:r>
          </w:p>
        </w:tc>
        <w:tc>
          <w:tcPr>
            <w:tcW w:w="1560" w:type="dxa"/>
          </w:tcPr>
          <w:p w14:paraId="08F97AF3" w14:textId="77777777" w:rsidR="00747064" w:rsidRPr="000B75D8" w:rsidRDefault="00747064" w:rsidP="00451379">
            <w:pPr>
              <w:spacing w:before="60" w:after="60"/>
              <w:jc w:val="right"/>
              <w:rPr>
                <w:noProof/>
              </w:rPr>
            </w:pPr>
          </w:p>
        </w:tc>
        <w:tc>
          <w:tcPr>
            <w:tcW w:w="1680" w:type="dxa"/>
          </w:tcPr>
          <w:p w14:paraId="65EE7ED0" w14:textId="77777777" w:rsidR="00747064" w:rsidRPr="000B75D8" w:rsidRDefault="00747064" w:rsidP="00451379">
            <w:pPr>
              <w:spacing w:before="60" w:after="60"/>
              <w:jc w:val="right"/>
              <w:rPr>
                <w:noProof/>
              </w:rPr>
            </w:pPr>
          </w:p>
        </w:tc>
        <w:tc>
          <w:tcPr>
            <w:tcW w:w="1560" w:type="dxa"/>
          </w:tcPr>
          <w:p w14:paraId="0983D6CB" w14:textId="11A15EA2" w:rsidR="00747064" w:rsidRPr="000B75D8" w:rsidRDefault="00E17739" w:rsidP="00451379">
            <w:pPr>
              <w:spacing w:before="60" w:after="60"/>
              <w:jc w:val="right"/>
              <w:rPr>
                <w:noProof/>
              </w:rPr>
            </w:pPr>
            <w:r w:rsidRPr="000B75D8">
              <w:rPr>
                <w:noProof/>
              </w:rPr>
              <w:t>7 725</w:t>
            </w:r>
          </w:p>
        </w:tc>
        <w:tc>
          <w:tcPr>
            <w:tcW w:w="1440" w:type="dxa"/>
          </w:tcPr>
          <w:p w14:paraId="21D3EC6F" w14:textId="74D8F3DF" w:rsidR="00747064" w:rsidRPr="000B75D8" w:rsidRDefault="00E17739" w:rsidP="00451379">
            <w:pPr>
              <w:spacing w:before="60" w:after="60"/>
              <w:jc w:val="right"/>
              <w:rPr>
                <w:noProof/>
              </w:rPr>
            </w:pPr>
            <w:r w:rsidRPr="000B75D8">
              <w:rPr>
                <w:noProof/>
              </w:rPr>
              <w:t>2 772</w:t>
            </w:r>
          </w:p>
        </w:tc>
      </w:tr>
    </w:tbl>
    <w:p w14:paraId="41D573DC" w14:textId="3EBCBFB3" w:rsidR="007A12D0" w:rsidRPr="000B75D8" w:rsidRDefault="00626DF0" w:rsidP="003E24DC">
      <w:pPr>
        <w:rPr>
          <w:noProof/>
          <w:lang w:val="en-US"/>
        </w:rPr>
      </w:pPr>
      <w:r w:rsidRPr="000B75D8">
        <w:rPr>
          <w:noProof/>
          <w:lang w:val="en-US"/>
        </w:rPr>
        <w:t xml:space="preserve">The annual expenditure ceilings in commitment and payment appropriations of the </w:t>
      </w:r>
      <w:r w:rsidR="00673D36" w:rsidRPr="000B75D8">
        <w:rPr>
          <w:noProof/>
          <w:lang w:val="en-US"/>
        </w:rPr>
        <w:t xml:space="preserve">2021-2027 </w:t>
      </w:r>
      <w:r w:rsidR="002A15BC" w:rsidRPr="000B75D8">
        <w:rPr>
          <w:noProof/>
          <w:lang w:val="en-US"/>
        </w:rPr>
        <w:t xml:space="preserve">MFF </w:t>
      </w:r>
      <w:r w:rsidRPr="000B75D8">
        <w:rPr>
          <w:noProof/>
          <w:lang w:val="en-US"/>
        </w:rPr>
        <w:t xml:space="preserve">should </w:t>
      </w:r>
      <w:r w:rsidR="00342900" w:rsidRPr="000B75D8">
        <w:rPr>
          <w:noProof/>
          <w:lang w:val="en-US"/>
        </w:rPr>
        <w:t xml:space="preserve">thus </w:t>
      </w:r>
      <w:r w:rsidRPr="000B75D8">
        <w:rPr>
          <w:noProof/>
          <w:lang w:val="en-US"/>
        </w:rPr>
        <w:t>be amended for the years 2024 to 2027, and Annex I to Regulation (EU, Euratom) 2020/2093 be modified accordingly.</w:t>
      </w:r>
    </w:p>
    <w:p w14:paraId="4BBC99FF" w14:textId="422952DA" w:rsidR="00582D4F" w:rsidRPr="000B75D8" w:rsidRDefault="00582D4F" w:rsidP="00582D4F">
      <w:pPr>
        <w:pStyle w:val="ManualHeading2"/>
        <w:rPr>
          <w:rFonts w:eastAsia="Arial Unicode MS"/>
          <w:noProof/>
          <w:u w:color="000000"/>
          <w:bdr w:val="nil"/>
          <w:lang w:val="en-US" w:eastAsia="en-GB"/>
        </w:rPr>
      </w:pPr>
      <w:r w:rsidRPr="000B75D8">
        <w:rPr>
          <w:rFonts w:eastAsia="Arial Unicode MS"/>
          <w:noProof/>
          <w:u w:color="000000"/>
          <w:bdr w:val="nil"/>
          <w:lang w:val="en-US" w:eastAsia="en-GB"/>
        </w:rPr>
        <w:t>4.</w:t>
      </w:r>
      <w:r w:rsidR="00626DF0" w:rsidRPr="000B75D8">
        <w:rPr>
          <w:rFonts w:eastAsia="Arial Unicode MS"/>
          <w:noProof/>
          <w:u w:color="000000"/>
          <w:bdr w:val="nil"/>
          <w:lang w:val="en-US" w:eastAsia="en-GB"/>
        </w:rPr>
        <w:t>2</w:t>
      </w:r>
      <w:r w:rsidRPr="000B75D8">
        <w:rPr>
          <w:rFonts w:eastAsia="Arial Unicode MS"/>
          <w:noProof/>
          <w:u w:color="000000"/>
          <w:bdr w:val="nil"/>
          <w:lang w:val="en-US" w:eastAsia="en-GB"/>
        </w:rPr>
        <w:t>.</w:t>
      </w:r>
      <w:r w:rsidRPr="000B75D8">
        <w:rPr>
          <w:rFonts w:eastAsia="Arial Unicode MS"/>
          <w:noProof/>
          <w:u w:color="000000"/>
          <w:bdr w:val="nil"/>
          <w:lang w:val="en-US" w:eastAsia="en-GB"/>
        </w:rPr>
        <w:tab/>
        <w:t>Special Instruments</w:t>
      </w:r>
    </w:p>
    <w:p w14:paraId="6A601EA6" w14:textId="45E0FDCE" w:rsidR="00582D4F" w:rsidRPr="000B75D8" w:rsidRDefault="00D9403D" w:rsidP="000D507A">
      <w:pPr>
        <w:rPr>
          <w:noProof/>
        </w:rPr>
      </w:pPr>
      <w:r w:rsidRPr="000B75D8">
        <w:rPr>
          <w:noProof/>
        </w:rPr>
        <w:t>Special instruments</w:t>
      </w:r>
      <w:r w:rsidR="00715004" w:rsidRPr="000B75D8">
        <w:rPr>
          <w:noProof/>
        </w:rPr>
        <w:t>, including the new special instruments ‘</w:t>
      </w:r>
      <w:r w:rsidR="00475907" w:rsidRPr="000B75D8">
        <w:rPr>
          <w:noProof/>
        </w:rPr>
        <w:t>EURI Instrument</w:t>
      </w:r>
      <w:r w:rsidR="00715004" w:rsidRPr="000B75D8">
        <w:rPr>
          <w:noProof/>
        </w:rPr>
        <w:t xml:space="preserve">’ and ‘Ukraine Reserve' included in this proposal </w:t>
      </w:r>
      <w:r w:rsidRPr="000B75D8">
        <w:rPr>
          <w:noProof/>
        </w:rPr>
        <w:t>are mobilised</w:t>
      </w:r>
      <w:r w:rsidR="007F4A06" w:rsidRPr="000B75D8">
        <w:rPr>
          <w:noProof/>
        </w:rPr>
        <w:t xml:space="preserve"> </w:t>
      </w:r>
      <w:r w:rsidR="00526750" w:rsidRPr="000B75D8">
        <w:rPr>
          <w:noProof/>
        </w:rPr>
        <w:t>in accordance with the procedures laid down in the Regulation</w:t>
      </w:r>
      <w:r w:rsidR="002A15BC" w:rsidRPr="000B75D8">
        <w:rPr>
          <w:noProof/>
        </w:rPr>
        <w:t xml:space="preserve"> </w:t>
      </w:r>
      <w:r w:rsidR="002A15BC" w:rsidRPr="000B75D8">
        <w:rPr>
          <w:noProof/>
          <w:lang w:val="en-US"/>
        </w:rPr>
        <w:t>(EU, Euratom) 2020/2093</w:t>
      </w:r>
      <w:r w:rsidR="00526750" w:rsidRPr="000B75D8">
        <w:rPr>
          <w:noProof/>
        </w:rPr>
        <w:t xml:space="preserve"> and, as applicable, the relevant basic acts.</w:t>
      </w:r>
    </w:p>
    <w:p w14:paraId="55490861" w14:textId="77165879" w:rsidR="00526750" w:rsidRPr="000B75D8" w:rsidRDefault="00526750" w:rsidP="000D507A">
      <w:pPr>
        <w:rPr>
          <w:noProof/>
        </w:rPr>
      </w:pPr>
      <w:r w:rsidRPr="000B75D8">
        <w:rPr>
          <w:noProof/>
        </w:rPr>
        <w:t xml:space="preserve">As expenditure in relation to special instruments is entered ‘over and above’ the </w:t>
      </w:r>
      <w:r w:rsidR="00626DF0" w:rsidRPr="000B75D8">
        <w:rPr>
          <w:noProof/>
          <w:lang w:val="en-US"/>
        </w:rPr>
        <w:t>Multiannual Financial Framework</w:t>
      </w:r>
      <w:r w:rsidRPr="000B75D8">
        <w:rPr>
          <w:noProof/>
        </w:rPr>
        <w:t xml:space="preserve"> expenditure ceilings, the present proposal has no immediate budgetary implications</w:t>
      </w:r>
      <w:r w:rsidR="005656DB" w:rsidRPr="000B75D8">
        <w:rPr>
          <w:noProof/>
        </w:rPr>
        <w:t xml:space="preserve"> in this regard</w:t>
      </w:r>
      <w:r w:rsidRPr="000B75D8">
        <w:rPr>
          <w:noProof/>
        </w:rPr>
        <w:t>.</w:t>
      </w:r>
    </w:p>
    <w:p w14:paraId="2BB74517" w14:textId="77777777" w:rsidR="00A9152B" w:rsidRPr="000B75D8" w:rsidRDefault="00A9152B" w:rsidP="000D507A">
      <w:pPr>
        <w:rPr>
          <w:noProof/>
        </w:rPr>
      </w:pPr>
    </w:p>
    <w:p w14:paraId="4E48E1D7" w14:textId="77777777" w:rsidR="000076A5" w:rsidRPr="000B75D8" w:rsidRDefault="000076A5">
      <w:pPr>
        <w:rPr>
          <w:noProof/>
        </w:rPr>
        <w:sectPr w:rsidR="000076A5" w:rsidRPr="000B75D8" w:rsidSect="00DA1480">
          <w:footerReference w:type="default" r:id="rId18"/>
          <w:footerReference w:type="first" r:id="rId19"/>
          <w:pgSz w:w="11907" w:h="16839"/>
          <w:pgMar w:top="1134" w:right="1417" w:bottom="1134" w:left="1417" w:header="709" w:footer="709" w:gutter="0"/>
          <w:cols w:space="708"/>
          <w:docGrid w:linePitch="360"/>
        </w:sectPr>
      </w:pPr>
    </w:p>
    <w:p w14:paraId="59255EC7" w14:textId="65D3409D" w:rsidR="00686E05" w:rsidRPr="000B75D8" w:rsidRDefault="00D206D5" w:rsidP="00D206D5">
      <w:pPr>
        <w:pStyle w:val="Rfrenceinterinstitutionnelle"/>
        <w:rPr>
          <w:noProof/>
        </w:rPr>
      </w:pPr>
      <w:r w:rsidRPr="00D206D5">
        <w:t>2023/0201 (APP)</w:t>
      </w:r>
    </w:p>
    <w:p w14:paraId="5D0CCC9F" w14:textId="3D95B79A" w:rsidR="000076A5" w:rsidRPr="000B75D8" w:rsidRDefault="000B75D8" w:rsidP="000B75D8">
      <w:pPr>
        <w:pStyle w:val="Statut"/>
        <w:rPr>
          <w:noProof/>
        </w:rPr>
      </w:pPr>
      <w:r w:rsidRPr="000B75D8">
        <w:rPr>
          <w:noProof/>
        </w:rPr>
        <w:t>Proposal for a</w:t>
      </w:r>
    </w:p>
    <w:p w14:paraId="4F12CF98" w14:textId="355617FD" w:rsidR="000076A5" w:rsidRPr="000B75D8" w:rsidRDefault="000B75D8" w:rsidP="000B75D8">
      <w:pPr>
        <w:pStyle w:val="Typedudocument"/>
        <w:rPr>
          <w:noProof/>
        </w:rPr>
      </w:pPr>
      <w:r w:rsidRPr="000B75D8">
        <w:rPr>
          <w:noProof/>
        </w:rPr>
        <w:t>COUNCIL REGULATION</w:t>
      </w:r>
    </w:p>
    <w:p w14:paraId="1FB2E046" w14:textId="2018EE80" w:rsidR="000076A5" w:rsidRPr="000B75D8" w:rsidRDefault="000B75D8" w:rsidP="000B75D8">
      <w:pPr>
        <w:pStyle w:val="Titreobjet"/>
        <w:rPr>
          <w:noProof/>
        </w:rPr>
      </w:pPr>
      <w:r w:rsidRPr="000B75D8">
        <w:rPr>
          <w:noProof/>
        </w:rPr>
        <w:t xml:space="preserve">amending Regulation (EU, Euratom) 2020/2093 laying down the multiannual financial </w:t>
      </w:r>
      <w:r w:rsidRPr="000B75D8">
        <w:rPr>
          <w:noProof/>
        </w:rPr>
        <w:br/>
        <w:t>framework for the years 2021 to 2027</w:t>
      </w:r>
      <w:r w:rsidRPr="000B75D8">
        <w:rPr>
          <w:noProof/>
        </w:rPr>
        <w:br/>
      </w:r>
    </w:p>
    <w:p w14:paraId="2C52A00B" w14:textId="77777777" w:rsidR="000076A5" w:rsidRPr="000B75D8" w:rsidRDefault="000076A5">
      <w:pPr>
        <w:pStyle w:val="Institutionquiagit"/>
        <w:rPr>
          <w:noProof/>
        </w:rPr>
      </w:pPr>
      <w:r w:rsidRPr="000B75D8">
        <w:rPr>
          <w:noProof/>
        </w:rPr>
        <w:t>THE COUNCIL OF THE EUROPEAN UNION,</w:t>
      </w:r>
    </w:p>
    <w:p w14:paraId="78D28BD3" w14:textId="77777777" w:rsidR="000076A5" w:rsidRPr="000B75D8" w:rsidRDefault="000076A5">
      <w:pPr>
        <w:rPr>
          <w:noProof/>
        </w:rPr>
      </w:pPr>
      <w:r w:rsidRPr="000B75D8">
        <w:rPr>
          <w:noProof/>
        </w:rPr>
        <w:t xml:space="preserve">Having regard to the Treaty on the Functioning of the European Union, and in particular Article </w:t>
      </w:r>
      <w:r w:rsidR="007B0BA7" w:rsidRPr="000B75D8">
        <w:rPr>
          <w:noProof/>
        </w:rPr>
        <w:t>312</w:t>
      </w:r>
      <w:r w:rsidRPr="000B75D8">
        <w:rPr>
          <w:noProof/>
        </w:rPr>
        <w:t xml:space="preserve"> thereof,</w:t>
      </w:r>
    </w:p>
    <w:p w14:paraId="404B28F2" w14:textId="77777777" w:rsidR="007B0BA7" w:rsidRPr="000B75D8" w:rsidRDefault="007B0BA7">
      <w:pPr>
        <w:rPr>
          <w:noProof/>
        </w:rPr>
      </w:pPr>
      <w:r w:rsidRPr="000B75D8">
        <w:rPr>
          <w:noProof/>
        </w:rPr>
        <w:t>Having regard to the Treaty establishing the European Atomic Energy Community, and in particular Article 106a thereof,</w:t>
      </w:r>
    </w:p>
    <w:p w14:paraId="1E6E992B" w14:textId="77777777" w:rsidR="000076A5" w:rsidRPr="000B75D8" w:rsidRDefault="000076A5">
      <w:pPr>
        <w:rPr>
          <w:noProof/>
        </w:rPr>
      </w:pPr>
      <w:r w:rsidRPr="000B75D8">
        <w:rPr>
          <w:noProof/>
        </w:rPr>
        <w:t>Having regard to the proposal from the European Commission,</w:t>
      </w:r>
    </w:p>
    <w:p w14:paraId="13F6C484" w14:textId="77777777" w:rsidR="007B0BA7" w:rsidRPr="000B75D8" w:rsidRDefault="007B0BA7" w:rsidP="007B0BA7">
      <w:pPr>
        <w:rPr>
          <w:noProof/>
          <w:szCs w:val="24"/>
        </w:rPr>
      </w:pPr>
      <w:r w:rsidRPr="000B75D8">
        <w:rPr>
          <w:noProof/>
        </w:rPr>
        <w:t>Having regard to the consent of the European Parliament</w:t>
      </w:r>
      <w:r w:rsidRPr="000B75D8">
        <w:rPr>
          <w:rStyle w:val="FootnoteReference"/>
          <w:noProof/>
        </w:rPr>
        <w:footnoteReference w:id="19"/>
      </w:r>
      <w:r w:rsidRPr="000B75D8">
        <w:rPr>
          <w:noProof/>
        </w:rPr>
        <w:t xml:space="preserve">, </w:t>
      </w:r>
    </w:p>
    <w:p w14:paraId="7CDDB0C6" w14:textId="77777777" w:rsidR="007B0BA7" w:rsidRPr="000B75D8" w:rsidRDefault="007B0BA7" w:rsidP="007B0BA7">
      <w:pPr>
        <w:rPr>
          <w:noProof/>
          <w:szCs w:val="24"/>
        </w:rPr>
      </w:pPr>
      <w:r w:rsidRPr="000B75D8">
        <w:rPr>
          <w:noProof/>
        </w:rPr>
        <w:t>After transmission of the draft legislative act to the national parliaments,</w:t>
      </w:r>
    </w:p>
    <w:p w14:paraId="5FD39E4E" w14:textId="77777777" w:rsidR="000076A5" w:rsidRPr="000B75D8" w:rsidRDefault="000076A5">
      <w:pPr>
        <w:rPr>
          <w:noProof/>
        </w:rPr>
      </w:pPr>
      <w:r w:rsidRPr="000B75D8">
        <w:rPr>
          <w:noProof/>
        </w:rPr>
        <w:t>Acting in accordance with a special legislative procedure,</w:t>
      </w:r>
    </w:p>
    <w:p w14:paraId="546CF246" w14:textId="77777777" w:rsidR="000076A5" w:rsidRPr="000B75D8" w:rsidRDefault="000076A5">
      <w:pPr>
        <w:rPr>
          <w:noProof/>
        </w:rPr>
      </w:pPr>
      <w:r w:rsidRPr="000B75D8">
        <w:rPr>
          <w:noProof/>
        </w:rPr>
        <w:t>Whereas:</w:t>
      </w:r>
    </w:p>
    <w:p w14:paraId="72973C65" w14:textId="7C0F5AEB" w:rsidR="000076A5" w:rsidRPr="000B75D8" w:rsidRDefault="006C3D91" w:rsidP="006C3D91">
      <w:pPr>
        <w:pStyle w:val="ManualConsidrant"/>
        <w:rPr>
          <w:noProof/>
        </w:rPr>
      </w:pPr>
      <w:r w:rsidRPr="000B75D8">
        <w:rPr>
          <w:noProof/>
        </w:rPr>
        <w:t>(1)</w:t>
      </w:r>
      <w:r w:rsidRPr="000B75D8">
        <w:rPr>
          <w:noProof/>
        </w:rPr>
        <w:tab/>
      </w:r>
      <w:r w:rsidR="00AF306D" w:rsidRPr="000B75D8">
        <w:rPr>
          <w:noProof/>
        </w:rPr>
        <w:t xml:space="preserve">The Commission has </w:t>
      </w:r>
      <w:r w:rsidR="00617944" w:rsidRPr="000B75D8">
        <w:rPr>
          <w:noProof/>
        </w:rPr>
        <w:t>presented</w:t>
      </w:r>
      <w:r w:rsidR="00AF306D" w:rsidRPr="000B75D8">
        <w:rPr>
          <w:noProof/>
        </w:rPr>
        <w:t xml:space="preserve"> a review of the functioning of the </w:t>
      </w:r>
      <w:r w:rsidR="00612B35" w:rsidRPr="000B75D8">
        <w:rPr>
          <w:noProof/>
        </w:rPr>
        <w:t>M</w:t>
      </w:r>
      <w:r w:rsidR="00AF306D" w:rsidRPr="000B75D8">
        <w:rPr>
          <w:noProof/>
        </w:rPr>
        <w:t xml:space="preserve">ultiannual </w:t>
      </w:r>
      <w:r w:rsidR="00612B35" w:rsidRPr="000B75D8">
        <w:rPr>
          <w:noProof/>
        </w:rPr>
        <w:t>F</w:t>
      </w:r>
      <w:r w:rsidR="00AF306D" w:rsidRPr="000B75D8">
        <w:rPr>
          <w:noProof/>
        </w:rPr>
        <w:t xml:space="preserve">inancial </w:t>
      </w:r>
      <w:r w:rsidR="00612B35" w:rsidRPr="000B75D8">
        <w:rPr>
          <w:noProof/>
        </w:rPr>
        <w:t>F</w:t>
      </w:r>
      <w:r w:rsidR="00AF306D" w:rsidRPr="000B75D8">
        <w:rPr>
          <w:noProof/>
        </w:rPr>
        <w:t>ramework</w:t>
      </w:r>
      <w:r w:rsidR="00796681" w:rsidRPr="000B75D8">
        <w:rPr>
          <w:noProof/>
        </w:rPr>
        <w:t xml:space="preserve"> (MFF)</w:t>
      </w:r>
      <w:r w:rsidR="00AF306D" w:rsidRPr="000B75D8">
        <w:rPr>
          <w:noProof/>
        </w:rPr>
        <w:t xml:space="preserve"> for the years 2021-2027</w:t>
      </w:r>
      <w:r w:rsidR="00DD37A5" w:rsidRPr="000B75D8">
        <w:rPr>
          <w:noProof/>
        </w:rPr>
        <w:t xml:space="preserve"> set out in Council Regulation (EU, Euratom) 2020/2093</w:t>
      </w:r>
      <w:r w:rsidR="00DD37A5" w:rsidRPr="000B75D8">
        <w:rPr>
          <w:rStyle w:val="FootnoteReference"/>
          <w:noProof/>
        </w:rPr>
        <w:footnoteReference w:id="20"/>
      </w:r>
      <w:r w:rsidR="00AF306D" w:rsidRPr="000B75D8">
        <w:rPr>
          <w:noProof/>
        </w:rPr>
        <w:t xml:space="preserve"> after its first years of implementation, including an assessment of the sustainability </w:t>
      </w:r>
      <w:r w:rsidR="00617944" w:rsidRPr="000B75D8">
        <w:rPr>
          <w:noProof/>
        </w:rPr>
        <w:t>of the expenditure ceilings</w:t>
      </w:r>
      <w:r w:rsidR="008C3AF5" w:rsidRPr="000B75D8">
        <w:rPr>
          <w:rStyle w:val="FootnoteReference"/>
          <w:noProof/>
        </w:rPr>
        <w:footnoteReference w:id="21"/>
      </w:r>
      <w:r w:rsidR="00617944" w:rsidRPr="000B75D8">
        <w:rPr>
          <w:noProof/>
        </w:rPr>
        <w:t>.</w:t>
      </w:r>
    </w:p>
    <w:p w14:paraId="0094CBEA" w14:textId="7BB223AB" w:rsidR="008C3AF5" w:rsidRPr="000B75D8" w:rsidRDefault="006C3D91" w:rsidP="006C3D91">
      <w:pPr>
        <w:pStyle w:val="ManualConsidrant"/>
        <w:rPr>
          <w:noProof/>
        </w:rPr>
      </w:pPr>
      <w:r w:rsidRPr="000B75D8">
        <w:rPr>
          <w:noProof/>
        </w:rPr>
        <w:t>(2)</w:t>
      </w:r>
      <w:r w:rsidRPr="000B75D8">
        <w:rPr>
          <w:noProof/>
        </w:rPr>
        <w:tab/>
      </w:r>
      <w:r w:rsidR="000506E7" w:rsidRPr="000B75D8">
        <w:rPr>
          <w:noProof/>
        </w:rPr>
        <w:t xml:space="preserve">Since </w:t>
      </w:r>
      <w:r w:rsidR="009A043E" w:rsidRPr="000B75D8">
        <w:rPr>
          <w:noProof/>
        </w:rPr>
        <w:t xml:space="preserve">December </w:t>
      </w:r>
      <w:r w:rsidR="000506E7" w:rsidRPr="000B75D8">
        <w:rPr>
          <w:noProof/>
        </w:rPr>
        <w:t xml:space="preserve">2020, </w:t>
      </w:r>
      <w:r w:rsidR="00994F93" w:rsidRPr="000B75D8">
        <w:rPr>
          <w:noProof/>
        </w:rPr>
        <w:t>the Union has faced a series of unprecedented and unexpected challenges.</w:t>
      </w:r>
      <w:r w:rsidR="00C635E9" w:rsidRPr="000B75D8">
        <w:rPr>
          <w:noProof/>
        </w:rPr>
        <w:t xml:space="preserve"> The </w:t>
      </w:r>
      <w:r w:rsidR="00C42BB9" w:rsidRPr="000B75D8">
        <w:rPr>
          <w:noProof/>
        </w:rPr>
        <w:t>Union</w:t>
      </w:r>
      <w:r w:rsidR="00C635E9" w:rsidRPr="000B75D8">
        <w:rPr>
          <w:noProof/>
        </w:rPr>
        <w:t xml:space="preserve"> </w:t>
      </w:r>
      <w:r w:rsidR="00C635E9" w:rsidRPr="000B75D8">
        <w:rPr>
          <w:noProof/>
          <w:lang w:val="en-IE"/>
        </w:rPr>
        <w:t>has acted swiftly and used all means at its disposal, but the limited budgetary flexibilit</w:t>
      </w:r>
      <w:r w:rsidR="000031E3" w:rsidRPr="000B75D8">
        <w:rPr>
          <w:noProof/>
          <w:lang w:val="en-IE"/>
        </w:rPr>
        <w:t>y</w:t>
      </w:r>
      <w:r w:rsidR="00C635E9" w:rsidRPr="000B75D8">
        <w:rPr>
          <w:noProof/>
          <w:lang w:val="en-IE"/>
        </w:rPr>
        <w:t xml:space="preserve"> embedded in the 2021-2027 </w:t>
      </w:r>
      <w:r w:rsidR="00673D36" w:rsidRPr="000B75D8">
        <w:rPr>
          <w:noProof/>
          <w:lang w:val="en-IE"/>
        </w:rPr>
        <w:t>MFF</w:t>
      </w:r>
      <w:r w:rsidR="00DD37A5" w:rsidRPr="000B75D8">
        <w:rPr>
          <w:noProof/>
          <w:lang w:val="en-IE"/>
        </w:rPr>
        <w:t xml:space="preserve"> </w:t>
      </w:r>
      <w:r w:rsidR="000031E3" w:rsidRPr="000B75D8">
        <w:rPr>
          <w:noProof/>
          <w:lang w:val="en-IE"/>
        </w:rPr>
        <w:t>is</w:t>
      </w:r>
      <w:r w:rsidR="00C635E9" w:rsidRPr="000B75D8">
        <w:rPr>
          <w:noProof/>
          <w:lang w:val="en-IE"/>
        </w:rPr>
        <w:t xml:space="preserve"> nearly exhausted, hindering the EU budget’s capacity to </w:t>
      </w:r>
      <w:r w:rsidR="00C635E9" w:rsidRPr="000B75D8">
        <w:rPr>
          <w:iCs/>
          <w:noProof/>
          <w:lang w:val="en-IE"/>
        </w:rPr>
        <w:t>address even the most urgent challenges.</w:t>
      </w:r>
    </w:p>
    <w:p w14:paraId="419D42BE" w14:textId="32DA4C69" w:rsidR="00A47B72" w:rsidRPr="000B75D8" w:rsidRDefault="006C3D91" w:rsidP="006C3D91">
      <w:pPr>
        <w:pStyle w:val="ManualConsidrant"/>
        <w:rPr>
          <w:noProof/>
        </w:rPr>
      </w:pPr>
      <w:r w:rsidRPr="000B75D8">
        <w:rPr>
          <w:noProof/>
        </w:rPr>
        <w:t>(3)</w:t>
      </w:r>
      <w:r w:rsidRPr="000B75D8">
        <w:rPr>
          <w:noProof/>
        </w:rPr>
        <w:tab/>
      </w:r>
      <w:r w:rsidR="00A47B72" w:rsidRPr="000B75D8">
        <w:rPr>
          <w:noProof/>
        </w:rPr>
        <w:t xml:space="preserve">Special instruments have been extensively used in the first years of implementation of the </w:t>
      </w:r>
      <w:r w:rsidR="00742863" w:rsidRPr="000B75D8">
        <w:rPr>
          <w:noProof/>
        </w:rPr>
        <w:t>MFF</w:t>
      </w:r>
      <w:r w:rsidR="00A47B72" w:rsidRPr="000B75D8">
        <w:rPr>
          <w:noProof/>
        </w:rPr>
        <w:t xml:space="preserve"> to address multiple challenges. The need to take further action persists, </w:t>
      </w:r>
      <w:r w:rsidR="00DA1FF9" w:rsidRPr="000B75D8">
        <w:rPr>
          <w:noProof/>
        </w:rPr>
        <w:t>while</w:t>
      </w:r>
      <w:r w:rsidR="00A47B72" w:rsidRPr="000B75D8">
        <w:rPr>
          <w:noProof/>
        </w:rPr>
        <w:t xml:space="preserve"> the budgetary availabilities to confront such situations in the remaining period of the </w:t>
      </w:r>
      <w:r w:rsidR="00742863" w:rsidRPr="000B75D8">
        <w:rPr>
          <w:noProof/>
          <w:szCs w:val="24"/>
          <w:lang w:val="en-IE"/>
        </w:rPr>
        <w:t>MFF</w:t>
      </w:r>
      <w:r w:rsidR="00DA1FF9" w:rsidRPr="000B75D8">
        <w:rPr>
          <w:noProof/>
          <w:szCs w:val="24"/>
          <w:lang w:val="en-IE"/>
        </w:rPr>
        <w:t xml:space="preserve"> are extremely limited</w:t>
      </w:r>
      <w:r w:rsidR="00A47B72" w:rsidRPr="000B75D8">
        <w:rPr>
          <w:noProof/>
        </w:rPr>
        <w:t>.</w:t>
      </w:r>
    </w:p>
    <w:p w14:paraId="781DC59F" w14:textId="6F392483" w:rsidR="00A31400" w:rsidRPr="000B75D8" w:rsidRDefault="006C3D91" w:rsidP="006C3D91">
      <w:pPr>
        <w:pStyle w:val="ManualConsidrant"/>
        <w:rPr>
          <w:noProof/>
        </w:rPr>
      </w:pPr>
      <w:r w:rsidRPr="000B75D8">
        <w:rPr>
          <w:noProof/>
        </w:rPr>
        <w:t>(4)</w:t>
      </w:r>
      <w:r w:rsidRPr="000B75D8">
        <w:rPr>
          <w:noProof/>
        </w:rPr>
        <w:tab/>
      </w:r>
      <w:r w:rsidR="008E505F" w:rsidRPr="000B75D8">
        <w:rPr>
          <w:noProof/>
        </w:rPr>
        <w:t>The EU budget should enable the Union to provide the necessary policy responses to emerging challenges and to meet</w:t>
      </w:r>
      <w:r w:rsidR="00A31400" w:rsidRPr="000B75D8">
        <w:rPr>
          <w:noProof/>
        </w:rPr>
        <w:t xml:space="preserve"> legal obligations which cannot be </w:t>
      </w:r>
      <w:r w:rsidR="008E505F" w:rsidRPr="000B75D8">
        <w:rPr>
          <w:noProof/>
        </w:rPr>
        <w:t>accommmodated</w:t>
      </w:r>
      <w:r w:rsidR="00A31400" w:rsidRPr="000B75D8">
        <w:rPr>
          <w:noProof/>
        </w:rPr>
        <w:t xml:space="preserve"> within existing ceilings nor by exhausted flexibilit</w:t>
      </w:r>
      <w:r w:rsidR="008E505F" w:rsidRPr="000B75D8">
        <w:rPr>
          <w:noProof/>
        </w:rPr>
        <w:t>y</w:t>
      </w:r>
      <w:r w:rsidR="00A31400" w:rsidRPr="000B75D8">
        <w:rPr>
          <w:noProof/>
        </w:rPr>
        <w:t xml:space="preserve">. The expenditure ceilings in commitment appropriations for </w:t>
      </w:r>
      <w:r w:rsidR="00A31400" w:rsidRPr="00040647">
        <w:rPr>
          <w:noProof/>
        </w:rPr>
        <w:t xml:space="preserve">Headings </w:t>
      </w:r>
      <w:r w:rsidR="00ED2DEB" w:rsidRPr="00040647">
        <w:rPr>
          <w:noProof/>
        </w:rPr>
        <w:t>1</w:t>
      </w:r>
      <w:r w:rsidR="00A31400" w:rsidRPr="00040647">
        <w:rPr>
          <w:noProof/>
        </w:rPr>
        <w:t xml:space="preserve">, </w:t>
      </w:r>
      <w:r w:rsidR="00ED2DEB" w:rsidRPr="00040647">
        <w:rPr>
          <w:noProof/>
        </w:rPr>
        <w:t>3, 5, 6, and 7 including the sub-ceiling for administrative expenditure of the institutions</w:t>
      </w:r>
      <w:r w:rsidR="00A31400" w:rsidRPr="000B75D8">
        <w:rPr>
          <w:noProof/>
        </w:rPr>
        <w:t xml:space="preserve"> </w:t>
      </w:r>
      <w:r w:rsidR="00504EE8" w:rsidRPr="000B75D8">
        <w:rPr>
          <w:noProof/>
        </w:rPr>
        <w:t>for the years 2024, 2025, 2026 and 2027</w:t>
      </w:r>
      <w:r w:rsidR="003A03FF" w:rsidRPr="000B75D8">
        <w:rPr>
          <w:noProof/>
        </w:rPr>
        <w:t xml:space="preserve">, and the ceiling </w:t>
      </w:r>
      <w:r w:rsidR="00411B8F" w:rsidRPr="000B75D8">
        <w:rPr>
          <w:noProof/>
        </w:rPr>
        <w:t>for Heading 4 for the years 2025, 2026 and 2027</w:t>
      </w:r>
      <w:r w:rsidR="00504EE8" w:rsidRPr="000B75D8">
        <w:rPr>
          <w:noProof/>
        </w:rPr>
        <w:t xml:space="preserve"> </w:t>
      </w:r>
      <w:r w:rsidR="00FC1DEF" w:rsidRPr="000B75D8">
        <w:rPr>
          <w:noProof/>
        </w:rPr>
        <w:t xml:space="preserve">should therefore be increased. As a result, </w:t>
      </w:r>
      <w:r w:rsidR="00A31400" w:rsidRPr="000B75D8">
        <w:rPr>
          <w:noProof/>
        </w:rPr>
        <w:t xml:space="preserve">the expenditure ceilings in payment appropriations for the </w:t>
      </w:r>
      <w:r w:rsidR="00A31400" w:rsidRPr="00040647">
        <w:rPr>
          <w:noProof/>
        </w:rPr>
        <w:t xml:space="preserve">years </w:t>
      </w:r>
      <w:r w:rsidR="00411B8F" w:rsidRPr="00040647">
        <w:rPr>
          <w:noProof/>
        </w:rPr>
        <w:t xml:space="preserve">2026 and 2027 </w:t>
      </w:r>
      <w:r w:rsidR="00A31400" w:rsidRPr="000B75D8">
        <w:rPr>
          <w:noProof/>
        </w:rPr>
        <w:t>should be increased</w:t>
      </w:r>
      <w:r w:rsidR="00AD7431" w:rsidRPr="000B75D8">
        <w:rPr>
          <w:noProof/>
        </w:rPr>
        <w:t>.</w:t>
      </w:r>
    </w:p>
    <w:p w14:paraId="6AC26CA3" w14:textId="4933EF20" w:rsidR="004576BA" w:rsidRPr="000B75D8" w:rsidRDefault="006C3D91" w:rsidP="006C3D91">
      <w:pPr>
        <w:pStyle w:val="ManualConsidrant"/>
        <w:rPr>
          <w:rStyle w:val="normaltextrun"/>
          <w:noProof/>
        </w:rPr>
      </w:pPr>
      <w:r w:rsidRPr="000B75D8">
        <w:rPr>
          <w:rStyle w:val="normaltextrun"/>
          <w:noProof/>
        </w:rPr>
        <w:t>(5)</w:t>
      </w:r>
      <w:r w:rsidRPr="000B75D8">
        <w:rPr>
          <w:rStyle w:val="normaltextrun"/>
          <w:noProof/>
        </w:rPr>
        <w:tab/>
      </w:r>
      <w:r w:rsidR="002F0482" w:rsidRPr="000B75D8">
        <w:rPr>
          <w:noProof/>
        </w:rPr>
        <w:t>Russia’s illegal war of aggression against Ukraine has brought war back to European soil. The Union will keep supporting Ukraine for as long as it takes and firmly help Ukraine on its European path.</w:t>
      </w:r>
      <w:r w:rsidR="00795EF5" w:rsidRPr="000B75D8">
        <w:rPr>
          <w:noProof/>
        </w:rPr>
        <w:t xml:space="preserve"> </w:t>
      </w:r>
      <w:r w:rsidR="003E7EEC" w:rsidRPr="000B75D8">
        <w:rPr>
          <w:noProof/>
        </w:rPr>
        <w:t xml:space="preserve">To that end, </w:t>
      </w:r>
      <w:r w:rsidR="00742863" w:rsidRPr="000B75D8">
        <w:rPr>
          <w:noProof/>
        </w:rPr>
        <w:t xml:space="preserve">the European Parliament and the Council have </w:t>
      </w:r>
      <w:r w:rsidR="003E7EEC" w:rsidRPr="000B75D8">
        <w:rPr>
          <w:noProof/>
        </w:rPr>
        <w:t>adopted Regulation (EU) [XXX]</w:t>
      </w:r>
      <w:r w:rsidR="003E7EEC" w:rsidRPr="000B75D8">
        <w:rPr>
          <w:noProof/>
          <w:lang w:val="en-IE"/>
        </w:rPr>
        <w:t xml:space="preserve"> </w:t>
      </w:r>
      <w:r w:rsidR="003E7EEC" w:rsidRPr="000B75D8">
        <w:rPr>
          <w:noProof/>
        </w:rPr>
        <w:t>[Ukraine Facility]</w:t>
      </w:r>
      <w:r w:rsidR="003E7EEC" w:rsidRPr="000B75D8">
        <w:rPr>
          <w:rStyle w:val="FootnoteReference"/>
          <w:noProof/>
        </w:rPr>
        <w:footnoteReference w:id="22"/>
      </w:r>
      <w:r w:rsidR="003D5B7F" w:rsidRPr="000B75D8">
        <w:rPr>
          <w:noProof/>
        </w:rPr>
        <w:t xml:space="preserve"> </w:t>
      </w:r>
      <w:r w:rsidR="003D5B7F" w:rsidRPr="000B75D8">
        <w:rPr>
          <w:rStyle w:val="normaltextrun"/>
          <w:noProof/>
          <w:color w:val="000000"/>
          <w:shd w:val="clear" w:color="auto" w:fill="FFFFFF"/>
        </w:rPr>
        <w:t xml:space="preserve">as the Union’s response to </w:t>
      </w:r>
      <w:r w:rsidR="00297FBF" w:rsidRPr="000B75D8">
        <w:rPr>
          <w:rStyle w:val="normaltextrun"/>
          <w:noProof/>
          <w:color w:val="000000"/>
          <w:shd w:val="clear" w:color="auto" w:fill="FFFFFF"/>
        </w:rPr>
        <w:t xml:space="preserve">support </w:t>
      </w:r>
      <w:r w:rsidR="003D5B7F" w:rsidRPr="000B75D8">
        <w:rPr>
          <w:rStyle w:val="normaltextrun"/>
          <w:noProof/>
          <w:color w:val="000000"/>
          <w:shd w:val="clear" w:color="auto" w:fill="FFFFFF"/>
        </w:rPr>
        <w:t xml:space="preserve">Ukraine’s </w:t>
      </w:r>
      <w:r w:rsidR="00297FBF" w:rsidRPr="000B75D8">
        <w:rPr>
          <w:rStyle w:val="normaltextrun"/>
          <w:noProof/>
          <w:color w:val="000000"/>
          <w:shd w:val="clear" w:color="auto" w:fill="FFFFFF"/>
        </w:rPr>
        <w:t>macro-financial stability</w:t>
      </w:r>
      <w:r w:rsidR="003D5B7F" w:rsidRPr="000B75D8">
        <w:rPr>
          <w:rStyle w:val="normaltextrun"/>
          <w:noProof/>
          <w:color w:val="000000"/>
          <w:shd w:val="clear" w:color="auto" w:fill="FFFFFF"/>
        </w:rPr>
        <w:t>, reconstruction and modernisation, while supporting Ukraine’s reforms effort as part its EU accession path.</w:t>
      </w:r>
    </w:p>
    <w:p w14:paraId="6A7BA778" w14:textId="66398F1B" w:rsidR="004714DA" w:rsidRPr="000B75D8" w:rsidRDefault="006C3D91" w:rsidP="006C3D91">
      <w:pPr>
        <w:pStyle w:val="ManualConsidrant"/>
        <w:rPr>
          <w:noProof/>
        </w:rPr>
      </w:pPr>
      <w:r w:rsidRPr="000B75D8">
        <w:rPr>
          <w:noProof/>
        </w:rPr>
        <w:t>(6)</w:t>
      </w:r>
      <w:r w:rsidRPr="000B75D8">
        <w:rPr>
          <w:noProof/>
        </w:rPr>
        <w:tab/>
      </w:r>
      <w:r w:rsidR="004576BA" w:rsidRPr="000B75D8">
        <w:rPr>
          <w:rStyle w:val="normaltextrun"/>
          <w:noProof/>
          <w:color w:val="000000"/>
          <w:bdr w:val="none" w:sz="0" w:space="0" w:color="auto" w:frame="1"/>
        </w:rPr>
        <w:t xml:space="preserve">Given the uncertainties linked to Russia’s war of aggression, the Ukraine Facility should be a flexible instrument </w:t>
      </w:r>
      <w:r w:rsidR="004714DA" w:rsidRPr="000B75D8">
        <w:rPr>
          <w:noProof/>
        </w:rPr>
        <w:t>to provide the adequate form and level of support until 2027</w:t>
      </w:r>
      <w:r w:rsidR="004576BA" w:rsidRPr="000B75D8">
        <w:rPr>
          <w:noProof/>
        </w:rPr>
        <w:t xml:space="preserve">. Support under the Ukraine Facility </w:t>
      </w:r>
      <w:r w:rsidR="00742863" w:rsidRPr="000B75D8">
        <w:rPr>
          <w:noProof/>
        </w:rPr>
        <w:t xml:space="preserve">should </w:t>
      </w:r>
      <w:r w:rsidR="004576BA" w:rsidRPr="000B75D8">
        <w:rPr>
          <w:noProof/>
        </w:rPr>
        <w:t>be provided in the form of loans</w:t>
      </w:r>
      <w:r w:rsidR="002629ED" w:rsidRPr="000B75D8">
        <w:rPr>
          <w:noProof/>
        </w:rPr>
        <w:t>,</w:t>
      </w:r>
      <w:r w:rsidR="004576BA" w:rsidRPr="000B75D8">
        <w:rPr>
          <w:noProof/>
        </w:rPr>
        <w:t xml:space="preserve"> non-repayable support and provisioning for </w:t>
      </w:r>
      <w:r w:rsidR="009A043E" w:rsidRPr="000B75D8">
        <w:rPr>
          <w:noProof/>
        </w:rPr>
        <w:t xml:space="preserve">budgetary </w:t>
      </w:r>
      <w:r w:rsidR="004576BA" w:rsidRPr="000B75D8">
        <w:rPr>
          <w:noProof/>
        </w:rPr>
        <w:t>guarantees.</w:t>
      </w:r>
    </w:p>
    <w:p w14:paraId="1DF2ED06" w14:textId="71E12AF3" w:rsidR="00D377CF" w:rsidRPr="000B75D8" w:rsidRDefault="006C3D91" w:rsidP="006C3D91">
      <w:pPr>
        <w:pStyle w:val="ManualConsidrant"/>
        <w:rPr>
          <w:noProof/>
        </w:rPr>
      </w:pPr>
      <w:r w:rsidRPr="000B75D8">
        <w:rPr>
          <w:noProof/>
        </w:rPr>
        <w:t>(7)</w:t>
      </w:r>
      <w:r w:rsidRPr="000B75D8">
        <w:rPr>
          <w:noProof/>
        </w:rPr>
        <w:tab/>
      </w:r>
      <w:r w:rsidR="00D377CF" w:rsidRPr="000B75D8">
        <w:rPr>
          <w:noProof/>
        </w:rPr>
        <w:t xml:space="preserve">For the part of the Ukraine Facility support provided in the form of loans, it is appropriate to extend </w:t>
      </w:r>
      <w:r w:rsidR="00742863" w:rsidRPr="000B75D8">
        <w:rPr>
          <w:noProof/>
        </w:rPr>
        <w:t xml:space="preserve">until 2027 </w:t>
      </w:r>
      <w:r w:rsidR="00D377CF" w:rsidRPr="000B75D8">
        <w:rPr>
          <w:noProof/>
        </w:rPr>
        <w:t xml:space="preserve">the </w:t>
      </w:r>
      <w:r w:rsidR="00742863" w:rsidRPr="000B75D8">
        <w:rPr>
          <w:noProof/>
        </w:rPr>
        <w:t xml:space="preserve">existing </w:t>
      </w:r>
      <w:r w:rsidR="00D377CF" w:rsidRPr="000B75D8">
        <w:rPr>
          <w:noProof/>
        </w:rPr>
        <w:t xml:space="preserve">Union budget guarantee to cover the financial assistance which is made available to Ukraine. As a consequence, it should be possible to mobilise the necessary appropriations in the Union budget over and above the ceilings of the </w:t>
      </w:r>
      <w:r w:rsidR="00742863" w:rsidRPr="000B75D8">
        <w:rPr>
          <w:noProof/>
        </w:rPr>
        <w:t>MFF</w:t>
      </w:r>
      <w:r w:rsidR="00D377CF" w:rsidRPr="000B75D8">
        <w:rPr>
          <w:noProof/>
        </w:rPr>
        <w:t xml:space="preserve"> for financial assistance to Ukraine available until the end of 2027.</w:t>
      </w:r>
    </w:p>
    <w:p w14:paraId="0B7BCA43" w14:textId="6F036FB3" w:rsidR="00D377CF" w:rsidRPr="000B75D8" w:rsidRDefault="006C3D91" w:rsidP="006C3D91">
      <w:pPr>
        <w:pStyle w:val="ManualConsidrant"/>
        <w:rPr>
          <w:noProof/>
        </w:rPr>
      </w:pPr>
      <w:r w:rsidRPr="000B75D8">
        <w:rPr>
          <w:noProof/>
        </w:rPr>
        <w:t>(8)</w:t>
      </w:r>
      <w:r w:rsidRPr="000B75D8">
        <w:rPr>
          <w:noProof/>
        </w:rPr>
        <w:tab/>
      </w:r>
      <w:r w:rsidR="00D377CF" w:rsidRPr="000B75D8">
        <w:rPr>
          <w:noProof/>
        </w:rPr>
        <w:t>For the part of the Ukraine Facility support provided in the form of non-repayable support and provisioning of budgetary guarantees, the appropriations should be provided through a new thematic special instrument</w:t>
      </w:r>
      <w:r w:rsidR="009A043E" w:rsidRPr="000B75D8">
        <w:rPr>
          <w:noProof/>
        </w:rPr>
        <w:t>, the</w:t>
      </w:r>
      <w:r w:rsidR="00D377CF" w:rsidRPr="000B75D8">
        <w:rPr>
          <w:noProof/>
        </w:rPr>
        <w:t xml:space="preserve"> ‘Ukraine Reserve’. The commitment appropriations and corresponding payment appropriations </w:t>
      </w:r>
      <w:r w:rsidR="00742863" w:rsidRPr="000B75D8">
        <w:rPr>
          <w:noProof/>
        </w:rPr>
        <w:t xml:space="preserve">should </w:t>
      </w:r>
      <w:r w:rsidR="00D377CF" w:rsidRPr="000B75D8">
        <w:rPr>
          <w:noProof/>
        </w:rPr>
        <w:t xml:space="preserve">be mobilised annually </w:t>
      </w:r>
      <w:r w:rsidR="009A043E" w:rsidRPr="000B75D8">
        <w:rPr>
          <w:noProof/>
        </w:rPr>
        <w:t xml:space="preserve">in the </w:t>
      </w:r>
      <w:r w:rsidR="00A36812" w:rsidRPr="000B75D8">
        <w:rPr>
          <w:noProof/>
        </w:rPr>
        <w:t>framework of</w:t>
      </w:r>
      <w:r w:rsidR="009A043E" w:rsidRPr="000B75D8">
        <w:rPr>
          <w:noProof/>
        </w:rPr>
        <w:t xml:space="preserve"> the budgetary procedure set out in Article 314 TFEU,</w:t>
      </w:r>
      <w:r w:rsidR="00D377CF" w:rsidRPr="000B75D8">
        <w:rPr>
          <w:noProof/>
        </w:rPr>
        <w:t xml:space="preserve"> over and above the ceilings of the </w:t>
      </w:r>
      <w:r w:rsidR="00742863" w:rsidRPr="000B75D8">
        <w:rPr>
          <w:noProof/>
        </w:rPr>
        <w:t>MFF</w:t>
      </w:r>
      <w:r w:rsidR="00D377CF" w:rsidRPr="000B75D8">
        <w:rPr>
          <w:noProof/>
        </w:rPr>
        <w:t>.</w:t>
      </w:r>
    </w:p>
    <w:p w14:paraId="4CCADC48" w14:textId="38C81612" w:rsidR="00C620AD" w:rsidRPr="000B75D8" w:rsidRDefault="006C3D91" w:rsidP="006C3D91">
      <w:pPr>
        <w:pStyle w:val="ManualConsidrant"/>
        <w:rPr>
          <w:noProof/>
        </w:rPr>
      </w:pPr>
      <w:r w:rsidRPr="000B75D8">
        <w:rPr>
          <w:noProof/>
        </w:rPr>
        <w:t>(9)</w:t>
      </w:r>
      <w:r w:rsidRPr="000B75D8">
        <w:rPr>
          <w:noProof/>
        </w:rPr>
        <w:tab/>
      </w:r>
      <w:r w:rsidR="00501033" w:rsidRPr="000B75D8">
        <w:rPr>
          <w:noProof/>
        </w:rPr>
        <w:t xml:space="preserve">For the </w:t>
      </w:r>
      <w:r w:rsidR="005B7423" w:rsidRPr="000B75D8">
        <w:rPr>
          <w:noProof/>
        </w:rPr>
        <w:t>programmability of the Ukraine Facility</w:t>
      </w:r>
      <w:r w:rsidR="00AB3409" w:rsidRPr="000B75D8">
        <w:rPr>
          <w:noProof/>
        </w:rPr>
        <w:t xml:space="preserve"> and the orderly development of expenditure</w:t>
      </w:r>
      <w:r w:rsidR="00501033" w:rsidRPr="000B75D8">
        <w:rPr>
          <w:noProof/>
        </w:rPr>
        <w:t xml:space="preserve">, </w:t>
      </w:r>
      <w:r w:rsidR="00D93443" w:rsidRPr="000B75D8">
        <w:rPr>
          <w:noProof/>
        </w:rPr>
        <w:t>it is appropriate to set out indicative</w:t>
      </w:r>
      <w:r w:rsidR="00026B51" w:rsidRPr="000B75D8">
        <w:rPr>
          <w:noProof/>
        </w:rPr>
        <w:t xml:space="preserve"> minimum</w:t>
      </w:r>
      <w:r w:rsidR="00D93443" w:rsidRPr="000B75D8">
        <w:rPr>
          <w:noProof/>
        </w:rPr>
        <w:t xml:space="preserve"> </w:t>
      </w:r>
      <w:r w:rsidR="00501033" w:rsidRPr="000B75D8">
        <w:rPr>
          <w:noProof/>
        </w:rPr>
        <w:t xml:space="preserve">annual </w:t>
      </w:r>
      <w:r w:rsidR="00D93443" w:rsidRPr="000B75D8">
        <w:rPr>
          <w:noProof/>
        </w:rPr>
        <w:t xml:space="preserve">amounts </w:t>
      </w:r>
      <w:r w:rsidR="00C23B0D" w:rsidRPr="000B75D8">
        <w:rPr>
          <w:noProof/>
        </w:rPr>
        <w:t>and</w:t>
      </w:r>
      <w:r w:rsidR="004512E4" w:rsidRPr="000B75D8">
        <w:rPr>
          <w:noProof/>
        </w:rPr>
        <w:t xml:space="preserve"> </w:t>
      </w:r>
      <w:r w:rsidR="00D93443" w:rsidRPr="000B75D8">
        <w:rPr>
          <w:noProof/>
        </w:rPr>
        <w:t xml:space="preserve">maximum amounts that may be </w:t>
      </w:r>
      <w:r w:rsidR="004A6D25" w:rsidRPr="000B75D8">
        <w:rPr>
          <w:noProof/>
        </w:rPr>
        <w:t>made available annually</w:t>
      </w:r>
      <w:r w:rsidR="00026B51" w:rsidRPr="000B75D8">
        <w:rPr>
          <w:noProof/>
        </w:rPr>
        <w:t xml:space="preserve"> for the Ukraine Reserve</w:t>
      </w:r>
      <w:r w:rsidR="004A6D25" w:rsidRPr="000B75D8">
        <w:rPr>
          <w:noProof/>
        </w:rPr>
        <w:t xml:space="preserve"> through the period 2024 to 2027</w:t>
      </w:r>
      <w:r w:rsidR="0078110C" w:rsidRPr="000B75D8">
        <w:rPr>
          <w:noProof/>
        </w:rPr>
        <w:t>.</w:t>
      </w:r>
    </w:p>
    <w:p w14:paraId="473FDA1F" w14:textId="743F3B05" w:rsidR="00DC2C51" w:rsidRPr="000B75D8" w:rsidRDefault="006C3D91" w:rsidP="006C3D91">
      <w:pPr>
        <w:pStyle w:val="ManualConsidrant"/>
        <w:rPr>
          <w:noProof/>
        </w:rPr>
      </w:pPr>
      <w:r w:rsidRPr="000B75D8">
        <w:rPr>
          <w:noProof/>
        </w:rPr>
        <w:t>(10)</w:t>
      </w:r>
      <w:r w:rsidRPr="000B75D8">
        <w:rPr>
          <w:noProof/>
        </w:rPr>
        <w:tab/>
      </w:r>
      <w:r w:rsidR="00DC2C51" w:rsidRPr="000B75D8">
        <w:rPr>
          <w:noProof/>
        </w:rPr>
        <w:t xml:space="preserve">Since 2022, the Union and most major economies have witnessed </w:t>
      </w:r>
      <w:r w:rsidR="00CD5F1A" w:rsidRPr="000B75D8">
        <w:rPr>
          <w:noProof/>
        </w:rPr>
        <w:t>a surge</w:t>
      </w:r>
      <w:r w:rsidR="00DC2C51" w:rsidRPr="000B75D8">
        <w:rPr>
          <w:noProof/>
        </w:rPr>
        <w:t xml:space="preserve"> of interest rates </w:t>
      </w:r>
      <w:r w:rsidR="009B5F72" w:rsidRPr="000B75D8">
        <w:rPr>
          <w:noProof/>
        </w:rPr>
        <w:t>for</w:t>
      </w:r>
      <w:r w:rsidR="00DC2C51" w:rsidRPr="000B75D8">
        <w:rPr>
          <w:noProof/>
        </w:rPr>
        <w:t xml:space="preserve"> </w:t>
      </w:r>
      <w:r w:rsidR="002629ED" w:rsidRPr="000B75D8">
        <w:rPr>
          <w:noProof/>
        </w:rPr>
        <w:t>all bonds issuers, including the Union</w:t>
      </w:r>
      <w:r w:rsidR="00DC2C51" w:rsidRPr="000B75D8">
        <w:rPr>
          <w:noProof/>
        </w:rPr>
        <w:t>.</w:t>
      </w:r>
      <w:r w:rsidR="008F7595" w:rsidRPr="000B75D8">
        <w:rPr>
          <w:noProof/>
        </w:rPr>
        <w:t xml:space="preserve"> </w:t>
      </w:r>
      <w:r w:rsidR="00A92DEB" w:rsidRPr="000B75D8">
        <w:rPr>
          <w:noProof/>
        </w:rPr>
        <w:t xml:space="preserve">As a result, the funding costs </w:t>
      </w:r>
      <w:r w:rsidR="005F76E8" w:rsidRPr="000B75D8">
        <w:rPr>
          <w:noProof/>
        </w:rPr>
        <w:t xml:space="preserve">for the </w:t>
      </w:r>
      <w:r w:rsidR="00787415" w:rsidRPr="000B75D8">
        <w:rPr>
          <w:noProof/>
        </w:rPr>
        <w:t>European Union Recovery Instrument (‘</w:t>
      </w:r>
      <w:r w:rsidR="00F7188C" w:rsidRPr="000B75D8">
        <w:rPr>
          <w:noProof/>
        </w:rPr>
        <w:t>NextGenerationEU</w:t>
      </w:r>
      <w:r w:rsidR="00787415" w:rsidRPr="000B75D8">
        <w:rPr>
          <w:noProof/>
        </w:rPr>
        <w:t>’)</w:t>
      </w:r>
      <w:r w:rsidR="00F7188C" w:rsidRPr="000B75D8">
        <w:rPr>
          <w:noProof/>
        </w:rPr>
        <w:t xml:space="preserve"> borrowing </w:t>
      </w:r>
      <w:r w:rsidR="00A92DEB" w:rsidRPr="000B75D8">
        <w:rPr>
          <w:noProof/>
        </w:rPr>
        <w:t xml:space="preserve">to be borne by the Union budget </w:t>
      </w:r>
      <w:r w:rsidR="00F7188C" w:rsidRPr="000B75D8">
        <w:rPr>
          <w:noProof/>
        </w:rPr>
        <w:t xml:space="preserve">under </w:t>
      </w:r>
      <w:r w:rsidR="00904142" w:rsidRPr="000B75D8">
        <w:rPr>
          <w:noProof/>
        </w:rPr>
        <w:t xml:space="preserve">Article </w:t>
      </w:r>
      <w:r w:rsidR="00F7188C" w:rsidRPr="000B75D8">
        <w:rPr>
          <w:noProof/>
        </w:rPr>
        <w:t xml:space="preserve">5(2) </w:t>
      </w:r>
      <w:r w:rsidR="00742863" w:rsidRPr="000B75D8">
        <w:rPr>
          <w:noProof/>
        </w:rPr>
        <w:t xml:space="preserve">of </w:t>
      </w:r>
      <w:r w:rsidR="00F7188C" w:rsidRPr="000B75D8">
        <w:rPr>
          <w:noProof/>
          <w:lang w:val="en-IE"/>
        </w:rPr>
        <w:t>Decision (EU, Euratom) No 2020/2053</w:t>
      </w:r>
      <w:r w:rsidR="005802DA" w:rsidRPr="000B75D8">
        <w:rPr>
          <w:rStyle w:val="FootnoteReference"/>
          <w:noProof/>
          <w:lang w:val="en-IE"/>
        </w:rPr>
        <w:footnoteReference w:id="23"/>
      </w:r>
      <w:r w:rsidR="00F7188C" w:rsidRPr="000B75D8">
        <w:rPr>
          <w:noProof/>
          <w:lang w:val="en-IE"/>
        </w:rPr>
        <w:t xml:space="preserve"> </w:t>
      </w:r>
      <w:r w:rsidR="00A92DEB" w:rsidRPr="000B75D8">
        <w:rPr>
          <w:noProof/>
        </w:rPr>
        <w:t xml:space="preserve">are expected to exceed the estimates initially programmed under the </w:t>
      </w:r>
      <w:r w:rsidR="00742863" w:rsidRPr="000B75D8">
        <w:rPr>
          <w:noProof/>
        </w:rPr>
        <w:t>MFF</w:t>
      </w:r>
      <w:r w:rsidR="00A92DEB" w:rsidRPr="000B75D8">
        <w:rPr>
          <w:noProof/>
        </w:rPr>
        <w:t xml:space="preserve"> ceilings at the time</w:t>
      </w:r>
      <w:r w:rsidR="009A043E" w:rsidRPr="000B75D8">
        <w:rPr>
          <w:noProof/>
        </w:rPr>
        <w:t xml:space="preserve"> of</w:t>
      </w:r>
      <w:r w:rsidR="00A92DEB" w:rsidRPr="000B75D8">
        <w:rPr>
          <w:noProof/>
        </w:rPr>
        <w:t xml:space="preserve"> its adoption</w:t>
      </w:r>
      <w:r w:rsidR="009A043E" w:rsidRPr="000B75D8">
        <w:rPr>
          <w:noProof/>
        </w:rPr>
        <w:t xml:space="preserve"> in December 2020</w:t>
      </w:r>
      <w:r w:rsidR="00A92DEB" w:rsidRPr="000B75D8">
        <w:rPr>
          <w:noProof/>
        </w:rPr>
        <w:t>.</w:t>
      </w:r>
    </w:p>
    <w:p w14:paraId="643EA151" w14:textId="3DB8C3E0" w:rsidR="00637638" w:rsidRPr="000B75D8" w:rsidRDefault="006C3D91" w:rsidP="006C3D91">
      <w:pPr>
        <w:pStyle w:val="ManualConsidrant"/>
        <w:rPr>
          <w:noProof/>
        </w:rPr>
      </w:pPr>
      <w:r w:rsidRPr="000B75D8">
        <w:rPr>
          <w:noProof/>
        </w:rPr>
        <w:t>(11)</w:t>
      </w:r>
      <w:r w:rsidRPr="000B75D8">
        <w:rPr>
          <w:noProof/>
        </w:rPr>
        <w:tab/>
      </w:r>
      <w:r w:rsidR="00742863" w:rsidRPr="000B75D8">
        <w:rPr>
          <w:noProof/>
        </w:rPr>
        <w:t>Given the uncertainty surrounding the future evolution of interest rates and i</w:t>
      </w:r>
      <w:r w:rsidR="00637638" w:rsidRPr="000B75D8">
        <w:rPr>
          <w:noProof/>
        </w:rPr>
        <w:t xml:space="preserve">n order to avoid </w:t>
      </w:r>
      <w:r w:rsidR="00513C98" w:rsidRPr="000B75D8">
        <w:rPr>
          <w:rFonts w:eastAsia="Arial Unicode MS"/>
          <w:noProof/>
        </w:rPr>
        <w:t>undue pressures on</w:t>
      </w:r>
      <w:r w:rsidR="00637638" w:rsidRPr="000B75D8">
        <w:rPr>
          <w:rFonts w:eastAsia="Arial Unicode MS"/>
          <w:noProof/>
        </w:rPr>
        <w:t xml:space="preserve"> Union programmes, it</w:t>
      </w:r>
      <w:r w:rsidR="00637638" w:rsidRPr="000B75D8">
        <w:rPr>
          <w:noProof/>
        </w:rPr>
        <w:t xml:space="preserve"> is appropriate to </w:t>
      </w:r>
      <w:r w:rsidR="005802DA" w:rsidRPr="000B75D8">
        <w:rPr>
          <w:noProof/>
        </w:rPr>
        <w:t>establish</w:t>
      </w:r>
      <w:r w:rsidR="00637638" w:rsidRPr="000B75D8">
        <w:rPr>
          <w:noProof/>
        </w:rPr>
        <w:t xml:space="preserve"> a new </w:t>
      </w:r>
      <w:r w:rsidR="000D2185" w:rsidRPr="000B75D8">
        <w:rPr>
          <w:noProof/>
        </w:rPr>
        <w:t>t</w:t>
      </w:r>
      <w:r w:rsidR="00637638" w:rsidRPr="000B75D8">
        <w:rPr>
          <w:noProof/>
        </w:rPr>
        <w:t xml:space="preserve">hematic </w:t>
      </w:r>
      <w:r w:rsidR="000D2185" w:rsidRPr="000B75D8">
        <w:rPr>
          <w:noProof/>
        </w:rPr>
        <w:t>s</w:t>
      </w:r>
      <w:r w:rsidR="00637638" w:rsidRPr="000B75D8">
        <w:rPr>
          <w:noProof/>
        </w:rPr>
        <w:t xml:space="preserve">pecial </w:t>
      </w:r>
      <w:r w:rsidR="000D2185" w:rsidRPr="000B75D8">
        <w:rPr>
          <w:noProof/>
        </w:rPr>
        <w:t>i</w:t>
      </w:r>
      <w:r w:rsidR="00637638" w:rsidRPr="000B75D8">
        <w:rPr>
          <w:noProof/>
        </w:rPr>
        <w:t xml:space="preserve">nstrument to cover </w:t>
      </w:r>
      <w:r w:rsidR="005802DA" w:rsidRPr="000B75D8">
        <w:rPr>
          <w:noProof/>
        </w:rPr>
        <w:t>all</w:t>
      </w:r>
      <w:r w:rsidR="005802DA" w:rsidRPr="000B75D8" w:rsidDel="0010012A">
        <w:rPr>
          <w:rFonts w:eastAsia="Arial Unicode MS"/>
          <w:noProof/>
        </w:rPr>
        <w:t xml:space="preserve"> </w:t>
      </w:r>
      <w:r w:rsidR="005802DA" w:rsidRPr="000B75D8">
        <w:rPr>
          <w:noProof/>
        </w:rPr>
        <w:t>funding</w:t>
      </w:r>
      <w:r w:rsidR="005802DA" w:rsidRPr="000B75D8" w:rsidDel="0010012A">
        <w:rPr>
          <w:rFonts w:eastAsia="Arial Unicode MS"/>
          <w:noProof/>
        </w:rPr>
        <w:t xml:space="preserve"> costs </w:t>
      </w:r>
      <w:r w:rsidR="005802DA" w:rsidRPr="000B75D8">
        <w:rPr>
          <w:rFonts w:eastAsia="Arial Unicode MS"/>
          <w:noProof/>
        </w:rPr>
        <w:t xml:space="preserve">for </w:t>
      </w:r>
      <w:r w:rsidR="00637638" w:rsidRPr="000B75D8" w:rsidDel="0010012A">
        <w:rPr>
          <w:noProof/>
        </w:rPr>
        <w:t>NextGenerationEU</w:t>
      </w:r>
      <w:r w:rsidR="00637638" w:rsidRPr="000B75D8">
        <w:rPr>
          <w:noProof/>
        </w:rPr>
        <w:t xml:space="preserve"> borrowing </w:t>
      </w:r>
      <w:r w:rsidR="005802DA" w:rsidRPr="000B75D8">
        <w:rPr>
          <w:noProof/>
        </w:rPr>
        <w:t>which exceed</w:t>
      </w:r>
      <w:r w:rsidR="00637638" w:rsidRPr="000B75D8">
        <w:rPr>
          <w:noProof/>
        </w:rPr>
        <w:t xml:space="preserve"> the amounts initially programmed. The necessary </w:t>
      </w:r>
      <w:r w:rsidR="00F17065" w:rsidRPr="000B75D8">
        <w:rPr>
          <w:noProof/>
        </w:rPr>
        <w:t xml:space="preserve">commitment appropriations and corresponding payment appropriations </w:t>
      </w:r>
      <w:r w:rsidR="00637638" w:rsidRPr="000B75D8">
        <w:rPr>
          <w:noProof/>
        </w:rPr>
        <w:t>in the Union budget should be made available over and above the</w:t>
      </w:r>
      <w:r w:rsidR="00337F38" w:rsidRPr="000B75D8">
        <w:rPr>
          <w:noProof/>
        </w:rPr>
        <w:t xml:space="preserve"> ceilings of the </w:t>
      </w:r>
      <w:r w:rsidR="00AB70A0" w:rsidRPr="000B75D8">
        <w:rPr>
          <w:noProof/>
        </w:rPr>
        <w:t>MFF</w:t>
      </w:r>
      <w:r w:rsidR="00637638" w:rsidRPr="000B75D8">
        <w:rPr>
          <w:noProof/>
        </w:rPr>
        <w:t>.</w:t>
      </w:r>
    </w:p>
    <w:p w14:paraId="3970394D" w14:textId="7D9AFBBF" w:rsidR="0027349C" w:rsidRPr="000B75D8" w:rsidRDefault="006C3D91" w:rsidP="006C3D91">
      <w:pPr>
        <w:pStyle w:val="ManualConsidrant"/>
        <w:rPr>
          <w:noProof/>
        </w:rPr>
      </w:pPr>
      <w:r w:rsidRPr="000B75D8">
        <w:rPr>
          <w:noProof/>
        </w:rPr>
        <w:t>(12)</w:t>
      </w:r>
      <w:r w:rsidRPr="000B75D8">
        <w:rPr>
          <w:noProof/>
        </w:rPr>
        <w:tab/>
      </w:r>
      <w:r w:rsidR="0027349C" w:rsidRPr="000B75D8">
        <w:rPr>
          <w:noProof/>
        </w:rPr>
        <w:t>The Solidarity and Emergency</w:t>
      </w:r>
      <w:r w:rsidR="00D84423" w:rsidRPr="000B75D8">
        <w:rPr>
          <w:noProof/>
        </w:rPr>
        <w:t xml:space="preserve"> </w:t>
      </w:r>
      <w:r w:rsidR="0027349C" w:rsidRPr="000B75D8">
        <w:rPr>
          <w:noProof/>
        </w:rPr>
        <w:t xml:space="preserve">Aid Reserve Reserve and the Flexibility Instrument </w:t>
      </w:r>
      <w:r w:rsidR="00355408" w:rsidRPr="000B75D8">
        <w:rPr>
          <w:noProof/>
        </w:rPr>
        <w:t>should</w:t>
      </w:r>
      <w:r w:rsidR="0027349C" w:rsidRPr="000B75D8">
        <w:rPr>
          <w:noProof/>
        </w:rPr>
        <w:t xml:space="preserve"> be reinforced in order to maintain a sufficient capacity for the Union to react to unforeseen circumstances</w:t>
      </w:r>
      <w:r w:rsidR="009A043E" w:rsidRPr="000B75D8">
        <w:rPr>
          <w:noProof/>
        </w:rPr>
        <w:t xml:space="preserve"> until 2027</w:t>
      </w:r>
      <w:r w:rsidR="0027349C" w:rsidRPr="000B75D8">
        <w:rPr>
          <w:noProof/>
        </w:rPr>
        <w:t>.</w:t>
      </w:r>
    </w:p>
    <w:p w14:paraId="0BA315F0" w14:textId="32839940" w:rsidR="009C6E7D" w:rsidRPr="000B75D8" w:rsidRDefault="006C3D91" w:rsidP="006C3D91">
      <w:pPr>
        <w:pStyle w:val="ManualConsidrant"/>
        <w:rPr>
          <w:noProof/>
        </w:rPr>
      </w:pPr>
      <w:r w:rsidRPr="000B75D8">
        <w:rPr>
          <w:noProof/>
        </w:rPr>
        <w:t>(13)</w:t>
      </w:r>
      <w:r w:rsidRPr="000B75D8">
        <w:rPr>
          <w:noProof/>
        </w:rPr>
        <w:tab/>
      </w:r>
      <w:r w:rsidR="00C42BB9" w:rsidRPr="000B75D8">
        <w:rPr>
          <w:noProof/>
        </w:rPr>
        <w:t xml:space="preserve">In </w:t>
      </w:r>
      <w:r w:rsidR="009C0578" w:rsidRPr="000B75D8">
        <w:rPr>
          <w:noProof/>
        </w:rPr>
        <w:t xml:space="preserve">the </w:t>
      </w:r>
      <w:r w:rsidR="00C42BB9" w:rsidRPr="000B75D8">
        <w:rPr>
          <w:noProof/>
        </w:rPr>
        <w:t xml:space="preserve">light of these unexpected events and new challenges, </w:t>
      </w:r>
      <w:r w:rsidR="003813F7" w:rsidRPr="000B75D8">
        <w:rPr>
          <w:noProof/>
        </w:rPr>
        <w:t xml:space="preserve">it is </w:t>
      </w:r>
      <w:r w:rsidR="00AB70A0" w:rsidRPr="000B75D8">
        <w:rPr>
          <w:noProof/>
        </w:rPr>
        <w:t>necessary</w:t>
      </w:r>
      <w:r w:rsidR="003813F7" w:rsidRPr="000B75D8">
        <w:rPr>
          <w:noProof/>
        </w:rPr>
        <w:t xml:space="preserve"> to revise the </w:t>
      </w:r>
      <w:r w:rsidR="00AB70A0" w:rsidRPr="000B75D8">
        <w:rPr>
          <w:noProof/>
        </w:rPr>
        <w:t>MFF</w:t>
      </w:r>
      <w:r w:rsidR="003813F7" w:rsidRPr="000B75D8">
        <w:rPr>
          <w:noProof/>
        </w:rPr>
        <w:t xml:space="preserve">, and </w:t>
      </w:r>
      <w:r w:rsidR="00866E94" w:rsidRPr="000B75D8">
        <w:rPr>
          <w:noProof/>
        </w:rPr>
        <w:t>Regulation (EU, Euratom) 2020/2093 should therefore be amended accordingly</w:t>
      </w:r>
      <w:r w:rsidR="00D974EA" w:rsidRPr="000B75D8">
        <w:rPr>
          <w:noProof/>
        </w:rPr>
        <w:t>.</w:t>
      </w:r>
    </w:p>
    <w:p w14:paraId="1525B608" w14:textId="426B896B" w:rsidR="00016673" w:rsidRPr="000B75D8" w:rsidRDefault="006C3D91" w:rsidP="006C3D91">
      <w:pPr>
        <w:pStyle w:val="ManualConsidrant"/>
        <w:rPr>
          <w:noProof/>
        </w:rPr>
      </w:pPr>
      <w:r w:rsidRPr="000B75D8">
        <w:rPr>
          <w:noProof/>
        </w:rPr>
        <w:t>(14)</w:t>
      </w:r>
      <w:r w:rsidRPr="000B75D8">
        <w:rPr>
          <w:noProof/>
        </w:rPr>
        <w:tab/>
      </w:r>
      <w:r w:rsidR="00016673" w:rsidRPr="000B75D8">
        <w:rPr>
          <w:noProof/>
        </w:rPr>
        <w:t>The amendments to Regulation (EU, Euratom) 2020/2093 are without prejudice to the obligation to respect the own resources ceiling</w:t>
      </w:r>
      <w:r w:rsidR="00AF269E" w:rsidRPr="000B75D8">
        <w:rPr>
          <w:noProof/>
        </w:rPr>
        <w:t>s</w:t>
      </w:r>
      <w:r w:rsidR="00016673" w:rsidRPr="000B75D8">
        <w:rPr>
          <w:noProof/>
        </w:rPr>
        <w:t xml:space="preserve"> laid down in Article</w:t>
      </w:r>
      <w:r w:rsidR="00AB70A0" w:rsidRPr="000B75D8">
        <w:rPr>
          <w:noProof/>
        </w:rPr>
        <w:t>s</w:t>
      </w:r>
      <w:r w:rsidR="00016673" w:rsidRPr="000B75D8">
        <w:rPr>
          <w:noProof/>
        </w:rPr>
        <w:t xml:space="preserve"> 3(1)</w:t>
      </w:r>
      <w:r w:rsidR="0019724C" w:rsidRPr="000B75D8">
        <w:rPr>
          <w:noProof/>
        </w:rPr>
        <w:t xml:space="preserve"> and 6</w:t>
      </w:r>
      <w:r w:rsidR="00016673" w:rsidRPr="000B75D8">
        <w:rPr>
          <w:noProof/>
        </w:rPr>
        <w:t xml:space="preserve"> of Council Decision (EU, Euratom) 2020/2053.</w:t>
      </w:r>
    </w:p>
    <w:p w14:paraId="0A8D613F" w14:textId="77777777" w:rsidR="000076A5" w:rsidRPr="000B75D8" w:rsidRDefault="000076A5">
      <w:pPr>
        <w:pStyle w:val="Formuledadoption"/>
        <w:rPr>
          <w:noProof/>
        </w:rPr>
      </w:pPr>
      <w:r w:rsidRPr="000B75D8">
        <w:rPr>
          <w:noProof/>
        </w:rPr>
        <w:t>HAS ADOPTED THIS REGULATION:</w:t>
      </w:r>
    </w:p>
    <w:p w14:paraId="6CD8652E" w14:textId="77777777" w:rsidR="000076A5" w:rsidRPr="000B75D8" w:rsidRDefault="000076A5">
      <w:pPr>
        <w:pStyle w:val="Titrearticle"/>
        <w:rPr>
          <w:noProof/>
        </w:rPr>
      </w:pPr>
      <w:r w:rsidRPr="000B75D8">
        <w:rPr>
          <w:noProof/>
        </w:rPr>
        <w:t>Article 1</w:t>
      </w:r>
    </w:p>
    <w:p w14:paraId="44AE97DD" w14:textId="77777777" w:rsidR="00C93B3E" w:rsidRPr="000B75D8" w:rsidRDefault="00C93B3E" w:rsidP="00C93B3E">
      <w:pPr>
        <w:rPr>
          <w:noProof/>
        </w:rPr>
      </w:pPr>
      <w:r w:rsidRPr="000B75D8">
        <w:rPr>
          <w:noProof/>
        </w:rPr>
        <w:t>Regulation (EU, Euratom) 2020/2093 is amended as follows:</w:t>
      </w:r>
    </w:p>
    <w:p w14:paraId="59739E39" w14:textId="2E81BE3A" w:rsidR="007B5033" w:rsidRPr="000B75D8" w:rsidRDefault="006C3D91" w:rsidP="006C3D91">
      <w:pPr>
        <w:pStyle w:val="Point0"/>
        <w:rPr>
          <w:noProof/>
        </w:rPr>
      </w:pPr>
      <w:r w:rsidRPr="000B75D8">
        <w:rPr>
          <w:noProof/>
        </w:rPr>
        <w:t>(1)</w:t>
      </w:r>
      <w:r w:rsidRPr="000B75D8">
        <w:rPr>
          <w:noProof/>
        </w:rPr>
        <w:tab/>
      </w:r>
      <w:r w:rsidR="007B5033" w:rsidRPr="000B75D8">
        <w:rPr>
          <w:noProof/>
        </w:rPr>
        <w:t>Article 2 is amended as follows:</w:t>
      </w:r>
    </w:p>
    <w:p w14:paraId="7904C064" w14:textId="755A9136" w:rsidR="007E5930" w:rsidRPr="000B75D8" w:rsidRDefault="006C3D91" w:rsidP="006C3D91">
      <w:pPr>
        <w:pStyle w:val="Point1"/>
        <w:rPr>
          <w:noProof/>
        </w:rPr>
      </w:pPr>
      <w:r w:rsidRPr="000B75D8">
        <w:rPr>
          <w:noProof/>
        </w:rPr>
        <w:t>(a)</w:t>
      </w:r>
      <w:r w:rsidRPr="000B75D8">
        <w:rPr>
          <w:noProof/>
        </w:rPr>
        <w:tab/>
      </w:r>
      <w:r w:rsidR="007B5033" w:rsidRPr="000B75D8">
        <w:rPr>
          <w:noProof/>
        </w:rPr>
        <w:t xml:space="preserve">in paragraph 2, the first subparagraph </w:t>
      </w:r>
      <w:r w:rsidR="007E5930" w:rsidRPr="000B75D8">
        <w:rPr>
          <w:noProof/>
        </w:rPr>
        <w:t>is replaced by the following:</w:t>
      </w:r>
    </w:p>
    <w:p w14:paraId="4655A4A1" w14:textId="2EC11710" w:rsidR="00956A8A" w:rsidRPr="000B75D8" w:rsidRDefault="00B246B5" w:rsidP="005F3E0D">
      <w:pPr>
        <w:pStyle w:val="Text2"/>
        <w:rPr>
          <w:noProof/>
        </w:rPr>
      </w:pPr>
      <w:r w:rsidRPr="000B75D8">
        <w:rPr>
          <w:noProof/>
        </w:rPr>
        <w:t>‘2</w:t>
      </w:r>
      <w:r w:rsidR="00956A8A" w:rsidRPr="000B75D8">
        <w:rPr>
          <w:noProof/>
        </w:rPr>
        <w:t xml:space="preserve">. Where it is necessary to use the resources from the special instruments provided for in Articles 8, 9, 10, </w:t>
      </w:r>
      <w:r w:rsidR="00956A8A" w:rsidRPr="000B75D8">
        <w:rPr>
          <w:bCs/>
          <w:iCs/>
          <w:noProof/>
        </w:rPr>
        <w:t>10a, 10b</w:t>
      </w:r>
      <w:r w:rsidR="00956A8A" w:rsidRPr="000B75D8">
        <w:rPr>
          <w:noProof/>
        </w:rPr>
        <w:t xml:space="preserve"> and 12, commitment and corresponding payment appropriations shall be entered in the budget over and above the relevant MFF ceilings.</w:t>
      </w:r>
      <w:r w:rsidRPr="000B75D8">
        <w:rPr>
          <w:noProof/>
        </w:rPr>
        <w:t>’</w:t>
      </w:r>
      <w:r w:rsidR="002F2310" w:rsidRPr="000B75D8">
        <w:rPr>
          <w:noProof/>
        </w:rPr>
        <w:t>;</w:t>
      </w:r>
    </w:p>
    <w:p w14:paraId="72E08524" w14:textId="317F227B" w:rsidR="00F8722F" w:rsidRPr="000B75D8" w:rsidRDefault="006C3D91" w:rsidP="006C3D91">
      <w:pPr>
        <w:pStyle w:val="Point1"/>
        <w:rPr>
          <w:noProof/>
        </w:rPr>
      </w:pPr>
      <w:r w:rsidRPr="000B75D8">
        <w:rPr>
          <w:noProof/>
        </w:rPr>
        <w:t>(b)</w:t>
      </w:r>
      <w:r w:rsidRPr="000B75D8">
        <w:rPr>
          <w:noProof/>
        </w:rPr>
        <w:tab/>
      </w:r>
      <w:r w:rsidR="007B5033" w:rsidRPr="000B75D8">
        <w:rPr>
          <w:noProof/>
        </w:rPr>
        <w:t xml:space="preserve">in </w:t>
      </w:r>
      <w:r w:rsidR="00F8722F" w:rsidRPr="000B75D8">
        <w:rPr>
          <w:noProof/>
        </w:rPr>
        <w:t>paragraph 3</w:t>
      </w:r>
      <w:r w:rsidR="00B246B5" w:rsidRPr="000B75D8">
        <w:rPr>
          <w:noProof/>
        </w:rPr>
        <w:t>, the second sub-paragraph</w:t>
      </w:r>
      <w:r w:rsidR="00F8722F" w:rsidRPr="000B75D8">
        <w:rPr>
          <w:noProof/>
        </w:rPr>
        <w:t xml:space="preserve"> is replaced by the following:</w:t>
      </w:r>
    </w:p>
    <w:p w14:paraId="3C2ABA1C" w14:textId="634FED2F" w:rsidR="00F8722F" w:rsidRPr="000B75D8" w:rsidRDefault="00B246B5" w:rsidP="005F3E0D">
      <w:pPr>
        <w:pStyle w:val="Text2"/>
        <w:rPr>
          <w:noProof/>
        </w:rPr>
      </w:pPr>
      <w:r w:rsidRPr="000B75D8">
        <w:rPr>
          <w:noProof/>
        </w:rPr>
        <w:t>‘Where it is necessary to mobilise a guarantee for financial assistance to Ukraine which is available for the years 2023 to 2027 and authorised in accordance with Article 220(1) of the Financial Regulation, the necessary amount shall be mobilised over and above the MFF ceilings.’</w:t>
      </w:r>
      <w:r w:rsidR="002F2310" w:rsidRPr="000B75D8">
        <w:rPr>
          <w:noProof/>
        </w:rPr>
        <w:t>;</w:t>
      </w:r>
    </w:p>
    <w:p w14:paraId="5DC19305" w14:textId="663C4710" w:rsidR="00956A8A" w:rsidRPr="000B75D8" w:rsidRDefault="006C3D91" w:rsidP="006C3D91">
      <w:pPr>
        <w:pStyle w:val="Point0"/>
        <w:rPr>
          <w:noProof/>
        </w:rPr>
      </w:pPr>
      <w:r w:rsidRPr="000B75D8">
        <w:rPr>
          <w:noProof/>
        </w:rPr>
        <w:t>(2)</w:t>
      </w:r>
      <w:r w:rsidRPr="000B75D8">
        <w:rPr>
          <w:noProof/>
        </w:rPr>
        <w:tab/>
      </w:r>
      <w:r w:rsidR="00956A8A" w:rsidRPr="000B75D8">
        <w:rPr>
          <w:noProof/>
        </w:rPr>
        <w:t xml:space="preserve">In </w:t>
      </w:r>
      <w:r w:rsidR="00AB70A0" w:rsidRPr="000B75D8">
        <w:rPr>
          <w:noProof/>
        </w:rPr>
        <w:t xml:space="preserve">Article </w:t>
      </w:r>
      <w:r w:rsidR="00956A8A" w:rsidRPr="000B75D8">
        <w:rPr>
          <w:noProof/>
        </w:rPr>
        <w:t>9, paragraph 2 is replaced by the following:</w:t>
      </w:r>
    </w:p>
    <w:p w14:paraId="6631FFC1" w14:textId="351FBACC" w:rsidR="00A6489F" w:rsidRPr="000B75D8" w:rsidRDefault="002F2310" w:rsidP="00956A8A">
      <w:pPr>
        <w:pStyle w:val="Text1"/>
        <w:rPr>
          <w:noProof/>
        </w:rPr>
      </w:pPr>
      <w:r w:rsidRPr="000B75D8">
        <w:rPr>
          <w:noProof/>
        </w:rPr>
        <w:t>‘</w:t>
      </w:r>
      <w:r w:rsidR="00956A8A" w:rsidRPr="000B75D8">
        <w:rPr>
          <w:noProof/>
        </w:rPr>
        <w:t xml:space="preserve">2. The Solidarity and Emergency Aid Reserve shall not exceed a maximum annual amount of EUR </w:t>
      </w:r>
      <w:r w:rsidR="00C16261" w:rsidRPr="00040647">
        <w:rPr>
          <w:noProof/>
        </w:rPr>
        <w:t>1</w:t>
      </w:r>
      <w:r w:rsidR="00835227" w:rsidRPr="00040647">
        <w:rPr>
          <w:noProof/>
        </w:rPr>
        <w:t> </w:t>
      </w:r>
      <w:r w:rsidR="001D4396" w:rsidRPr="00040647">
        <w:rPr>
          <w:noProof/>
        </w:rPr>
        <w:t>739</w:t>
      </w:r>
      <w:r w:rsidR="001D4396" w:rsidRPr="000B75D8">
        <w:rPr>
          <w:noProof/>
        </w:rPr>
        <w:t> </w:t>
      </w:r>
      <w:r w:rsidR="00956A8A" w:rsidRPr="000B75D8">
        <w:rPr>
          <w:noProof/>
        </w:rPr>
        <w:t>million (in 2018 prices). Any portion of the annual amount not used in year n may be used up to year n+1. The portion of the annual amount stemming from the previous year shall be drawn on first. Any portion of the annual amount from year n which is not used in year n+1 shall lapse.</w:t>
      </w:r>
      <w:r w:rsidRPr="000B75D8">
        <w:rPr>
          <w:noProof/>
        </w:rPr>
        <w:t>’</w:t>
      </w:r>
      <w:r w:rsidR="00956A8A" w:rsidRPr="000B75D8">
        <w:rPr>
          <w:noProof/>
        </w:rPr>
        <w:t>;</w:t>
      </w:r>
    </w:p>
    <w:p w14:paraId="272D8042" w14:textId="06BB9B2A" w:rsidR="00A6489F" w:rsidRPr="000B75D8" w:rsidRDefault="006C3D91" w:rsidP="006C3D91">
      <w:pPr>
        <w:pStyle w:val="Point0"/>
        <w:rPr>
          <w:noProof/>
        </w:rPr>
      </w:pPr>
      <w:r w:rsidRPr="000B75D8">
        <w:rPr>
          <w:noProof/>
        </w:rPr>
        <w:t>(3)</w:t>
      </w:r>
      <w:r w:rsidRPr="000B75D8">
        <w:rPr>
          <w:noProof/>
        </w:rPr>
        <w:tab/>
      </w:r>
      <w:r w:rsidR="00240E1B" w:rsidRPr="000B75D8">
        <w:rPr>
          <w:noProof/>
        </w:rPr>
        <w:t>The following Article</w:t>
      </w:r>
      <w:r w:rsidR="00AB70A0" w:rsidRPr="000B75D8">
        <w:rPr>
          <w:noProof/>
        </w:rPr>
        <w:t>s</w:t>
      </w:r>
      <w:r w:rsidR="00240E1B" w:rsidRPr="000B75D8">
        <w:rPr>
          <w:noProof/>
        </w:rPr>
        <w:t xml:space="preserve"> </w:t>
      </w:r>
      <w:r w:rsidR="00AB70A0" w:rsidRPr="000B75D8">
        <w:rPr>
          <w:noProof/>
        </w:rPr>
        <w:t>are</w:t>
      </w:r>
      <w:r w:rsidR="00240E1B" w:rsidRPr="000B75D8">
        <w:rPr>
          <w:noProof/>
        </w:rPr>
        <w:t xml:space="preserve"> inserted:</w:t>
      </w:r>
    </w:p>
    <w:p w14:paraId="179E2218" w14:textId="1D4DF14A" w:rsidR="00240E1B" w:rsidRPr="000B75D8" w:rsidRDefault="00086D3B" w:rsidP="00240E1B">
      <w:pPr>
        <w:pStyle w:val="Titrearticle"/>
        <w:rPr>
          <w:noProof/>
          <w:lang w:val="en-IE"/>
        </w:rPr>
      </w:pPr>
      <w:r w:rsidRPr="000B75D8">
        <w:rPr>
          <w:noProof/>
          <w:lang w:val="en-IE"/>
        </w:rPr>
        <w:t>‘</w:t>
      </w:r>
      <w:r w:rsidR="00240E1B" w:rsidRPr="000B75D8">
        <w:rPr>
          <w:noProof/>
          <w:lang w:val="en-IE"/>
        </w:rPr>
        <w:t>Article 10a</w:t>
      </w:r>
      <w:r w:rsidR="00240E1B" w:rsidRPr="000B75D8">
        <w:rPr>
          <w:noProof/>
          <w:lang w:val="en-IE"/>
        </w:rPr>
        <w:br/>
      </w:r>
      <w:r w:rsidR="00445490" w:rsidRPr="000B75D8">
        <w:rPr>
          <w:noProof/>
          <w:lang w:val="en-IE"/>
        </w:rPr>
        <w:t>EURI Instrument</w:t>
      </w:r>
    </w:p>
    <w:p w14:paraId="288EBC73" w14:textId="522E5ACE" w:rsidR="00240E1B" w:rsidRPr="000B75D8" w:rsidRDefault="00240E1B" w:rsidP="00240E1B">
      <w:pPr>
        <w:pStyle w:val="ManualNumPar1"/>
        <w:rPr>
          <w:noProof/>
          <w:lang w:val="en-IE"/>
        </w:rPr>
      </w:pPr>
      <w:r w:rsidRPr="000B75D8">
        <w:rPr>
          <w:noProof/>
          <w:lang w:val="en-IE"/>
        </w:rPr>
        <w:t>1.</w:t>
      </w:r>
      <w:r w:rsidRPr="000B75D8">
        <w:rPr>
          <w:noProof/>
          <w:lang w:val="en-IE"/>
        </w:rPr>
        <w:tab/>
      </w:r>
      <w:r w:rsidR="007B5033" w:rsidRPr="000B75D8">
        <w:rPr>
          <w:noProof/>
          <w:lang w:val="en-IE"/>
        </w:rPr>
        <w:t xml:space="preserve">The </w:t>
      </w:r>
      <w:r w:rsidR="00445490" w:rsidRPr="000B75D8">
        <w:rPr>
          <w:noProof/>
          <w:lang w:val="en-IE"/>
        </w:rPr>
        <w:t>EURI Instrument</w:t>
      </w:r>
      <w:r w:rsidR="007B5033" w:rsidRPr="000B75D8">
        <w:rPr>
          <w:noProof/>
          <w:lang w:val="en-IE"/>
        </w:rPr>
        <w:t xml:space="preserve"> may be used to finance the additional costs w</w:t>
      </w:r>
      <w:r w:rsidR="00086D3B" w:rsidRPr="000B75D8">
        <w:rPr>
          <w:noProof/>
          <w:lang w:val="en-IE"/>
        </w:rPr>
        <w:t>here, in a given year, the costs of the interest and coupon payments due in respect of the funds borrowed on the capital markets in accordance with Article 5(2) of Decision (EU, Euratom) No 2020/2053 exceed the following amounts (in 2018 prices):</w:t>
      </w:r>
    </w:p>
    <w:p w14:paraId="232406E8" w14:textId="5B711B48" w:rsidR="00086D3B" w:rsidRPr="000B75D8" w:rsidRDefault="00086D3B" w:rsidP="003C7094">
      <w:pPr>
        <w:pStyle w:val="Tiret1"/>
        <w:numPr>
          <w:ilvl w:val="0"/>
          <w:numId w:val="7"/>
        </w:numPr>
        <w:rPr>
          <w:noProof/>
          <w:lang w:val="fr-BE"/>
        </w:rPr>
      </w:pPr>
      <w:r w:rsidRPr="000B75D8">
        <w:rPr>
          <w:noProof/>
          <w:lang w:val="fr-BE"/>
        </w:rPr>
        <w:t>2024 – EUR</w:t>
      </w:r>
      <w:r w:rsidR="008B472D" w:rsidRPr="000B75D8">
        <w:rPr>
          <w:noProof/>
          <w:lang w:val="fr-BE"/>
        </w:rPr>
        <w:t> </w:t>
      </w:r>
      <w:r w:rsidRPr="000B75D8">
        <w:rPr>
          <w:noProof/>
          <w:lang w:val="fr-BE"/>
        </w:rPr>
        <w:t>1</w:t>
      </w:r>
      <w:r w:rsidR="008B472D" w:rsidRPr="000B75D8">
        <w:rPr>
          <w:noProof/>
          <w:lang w:val="fr-BE"/>
        </w:rPr>
        <w:t> </w:t>
      </w:r>
      <w:r w:rsidRPr="000B75D8">
        <w:rPr>
          <w:noProof/>
          <w:lang w:val="fr-BE"/>
        </w:rPr>
        <w:t>840</w:t>
      </w:r>
      <w:r w:rsidR="008B472D" w:rsidRPr="000B75D8">
        <w:rPr>
          <w:noProof/>
          <w:lang w:val="fr-BE"/>
        </w:rPr>
        <w:t> </w:t>
      </w:r>
      <w:r w:rsidRPr="000B75D8">
        <w:rPr>
          <w:noProof/>
          <w:lang w:val="fr-BE"/>
        </w:rPr>
        <w:t>million,</w:t>
      </w:r>
    </w:p>
    <w:p w14:paraId="3829AC5A" w14:textId="4EB254DE" w:rsidR="00086D3B" w:rsidRPr="000B75D8" w:rsidRDefault="00086D3B" w:rsidP="003C7094">
      <w:pPr>
        <w:pStyle w:val="Tiret1"/>
        <w:rPr>
          <w:noProof/>
          <w:lang w:val="fr-BE"/>
        </w:rPr>
      </w:pPr>
      <w:r w:rsidRPr="000B75D8">
        <w:rPr>
          <w:noProof/>
          <w:lang w:val="fr-BE"/>
        </w:rPr>
        <w:t>2025 – EUR</w:t>
      </w:r>
      <w:r w:rsidR="008B472D" w:rsidRPr="000B75D8">
        <w:rPr>
          <w:noProof/>
          <w:lang w:val="fr-BE"/>
        </w:rPr>
        <w:t> </w:t>
      </w:r>
      <w:r w:rsidRPr="000B75D8">
        <w:rPr>
          <w:noProof/>
          <w:lang w:val="fr-BE"/>
        </w:rPr>
        <w:t>2</w:t>
      </w:r>
      <w:r w:rsidR="008B472D" w:rsidRPr="000B75D8">
        <w:rPr>
          <w:noProof/>
          <w:lang w:val="fr-BE"/>
        </w:rPr>
        <w:t> </w:t>
      </w:r>
      <w:r w:rsidRPr="000B75D8">
        <w:rPr>
          <w:noProof/>
          <w:lang w:val="fr-BE"/>
        </w:rPr>
        <w:t>332</w:t>
      </w:r>
      <w:r w:rsidR="008B472D" w:rsidRPr="000B75D8">
        <w:rPr>
          <w:noProof/>
          <w:lang w:val="fr-BE"/>
        </w:rPr>
        <w:t> </w:t>
      </w:r>
      <w:r w:rsidRPr="000B75D8">
        <w:rPr>
          <w:noProof/>
          <w:lang w:val="fr-BE"/>
        </w:rPr>
        <w:t>million,</w:t>
      </w:r>
    </w:p>
    <w:p w14:paraId="31C5C9C5" w14:textId="2BB8B851" w:rsidR="00086D3B" w:rsidRPr="000B75D8" w:rsidRDefault="00086D3B" w:rsidP="003C7094">
      <w:pPr>
        <w:pStyle w:val="Tiret1"/>
        <w:rPr>
          <w:noProof/>
          <w:lang w:val="fr-BE"/>
        </w:rPr>
      </w:pPr>
      <w:r w:rsidRPr="000B75D8">
        <w:rPr>
          <w:noProof/>
          <w:lang w:val="fr-BE"/>
        </w:rPr>
        <w:t>2026 – EUR</w:t>
      </w:r>
      <w:r w:rsidR="008B472D" w:rsidRPr="000B75D8">
        <w:rPr>
          <w:noProof/>
          <w:lang w:val="fr-BE"/>
        </w:rPr>
        <w:t> </w:t>
      </w:r>
      <w:r w:rsidRPr="000B75D8">
        <w:rPr>
          <w:noProof/>
          <w:lang w:val="fr-BE"/>
        </w:rPr>
        <w:t>3</w:t>
      </w:r>
      <w:r w:rsidR="008B472D" w:rsidRPr="000B75D8">
        <w:rPr>
          <w:noProof/>
          <w:lang w:val="fr-BE"/>
        </w:rPr>
        <w:t> </w:t>
      </w:r>
      <w:r w:rsidRPr="000B75D8">
        <w:rPr>
          <w:noProof/>
          <w:lang w:val="fr-BE"/>
        </w:rPr>
        <w:t>196</w:t>
      </w:r>
      <w:r w:rsidR="008B472D" w:rsidRPr="000B75D8">
        <w:rPr>
          <w:noProof/>
          <w:lang w:val="fr-BE"/>
        </w:rPr>
        <w:t> </w:t>
      </w:r>
      <w:r w:rsidRPr="000B75D8">
        <w:rPr>
          <w:noProof/>
          <w:lang w:val="fr-BE"/>
        </w:rPr>
        <w:t>million,</w:t>
      </w:r>
    </w:p>
    <w:p w14:paraId="50E05452" w14:textId="0AD5D015" w:rsidR="00086D3B" w:rsidRPr="000B75D8" w:rsidRDefault="00086D3B" w:rsidP="003C7094">
      <w:pPr>
        <w:pStyle w:val="Tiret1"/>
        <w:rPr>
          <w:noProof/>
          <w:lang w:val="en-IE"/>
        </w:rPr>
      </w:pPr>
      <w:r w:rsidRPr="000B75D8">
        <w:rPr>
          <w:noProof/>
          <w:lang w:val="en-IE"/>
        </w:rPr>
        <w:t>2027 – EUR</w:t>
      </w:r>
      <w:r w:rsidR="008B472D" w:rsidRPr="000B75D8">
        <w:rPr>
          <w:noProof/>
          <w:lang w:val="en-IE"/>
        </w:rPr>
        <w:t> </w:t>
      </w:r>
      <w:r w:rsidRPr="000B75D8">
        <w:rPr>
          <w:noProof/>
          <w:lang w:val="en-IE"/>
        </w:rPr>
        <w:t>4</w:t>
      </w:r>
      <w:r w:rsidR="008B472D" w:rsidRPr="000B75D8">
        <w:rPr>
          <w:noProof/>
          <w:lang w:val="en-IE"/>
        </w:rPr>
        <w:t> </w:t>
      </w:r>
      <w:r w:rsidRPr="000B75D8">
        <w:rPr>
          <w:noProof/>
          <w:lang w:val="en-IE"/>
        </w:rPr>
        <w:t>168</w:t>
      </w:r>
      <w:r w:rsidR="008B472D" w:rsidRPr="000B75D8">
        <w:rPr>
          <w:noProof/>
          <w:lang w:val="en-IE"/>
        </w:rPr>
        <w:t> </w:t>
      </w:r>
      <w:r w:rsidRPr="000B75D8">
        <w:rPr>
          <w:noProof/>
          <w:lang w:val="en-IE"/>
        </w:rPr>
        <w:t>million,</w:t>
      </w:r>
    </w:p>
    <w:p w14:paraId="6786CDA8" w14:textId="575E7025" w:rsidR="00240E1B" w:rsidRPr="000B75D8" w:rsidRDefault="00240E1B" w:rsidP="00240E1B">
      <w:pPr>
        <w:pStyle w:val="ManualNumPar1"/>
        <w:rPr>
          <w:noProof/>
          <w:lang w:val="en-IE"/>
        </w:rPr>
      </w:pPr>
      <w:r w:rsidRPr="000B75D8">
        <w:rPr>
          <w:noProof/>
          <w:lang w:val="en-IE"/>
        </w:rPr>
        <w:t>2.</w:t>
      </w:r>
      <w:r w:rsidRPr="000B75D8">
        <w:rPr>
          <w:noProof/>
          <w:lang w:val="en-IE"/>
        </w:rPr>
        <w:tab/>
      </w:r>
      <w:r w:rsidR="00086D3B" w:rsidRPr="000B75D8">
        <w:rPr>
          <w:noProof/>
          <w:lang w:val="en-IE"/>
        </w:rPr>
        <w:t xml:space="preserve">The </w:t>
      </w:r>
      <w:r w:rsidR="00445490" w:rsidRPr="000B75D8">
        <w:rPr>
          <w:noProof/>
          <w:lang w:val="en-IE"/>
        </w:rPr>
        <w:t>EURI Instrument</w:t>
      </w:r>
      <w:r w:rsidR="00086D3B" w:rsidRPr="000B75D8">
        <w:rPr>
          <w:noProof/>
          <w:lang w:val="en-IE"/>
        </w:rPr>
        <w:t xml:space="preserve"> may be mobilised by the European Parliament and the Council in the framework of the budgetary procedure provided for in Article 314 TFEU.’</w:t>
      </w:r>
      <w:r w:rsidRPr="000B75D8">
        <w:rPr>
          <w:noProof/>
          <w:lang w:val="en-IE"/>
        </w:rPr>
        <w:t>;</w:t>
      </w:r>
    </w:p>
    <w:p w14:paraId="52182881" w14:textId="07654959" w:rsidR="00047098" w:rsidRPr="000B75D8" w:rsidRDefault="00047098" w:rsidP="00047098">
      <w:pPr>
        <w:pStyle w:val="Titrearticle"/>
        <w:rPr>
          <w:noProof/>
          <w:lang w:val="en-IE"/>
        </w:rPr>
      </w:pPr>
      <w:r w:rsidRPr="000B75D8">
        <w:rPr>
          <w:noProof/>
          <w:lang w:val="en-IE"/>
        </w:rPr>
        <w:t>Article 1</w:t>
      </w:r>
      <w:r w:rsidR="00240E1B" w:rsidRPr="000B75D8">
        <w:rPr>
          <w:noProof/>
          <w:lang w:val="en-IE"/>
        </w:rPr>
        <w:t>0b</w:t>
      </w:r>
      <w:r w:rsidRPr="000B75D8">
        <w:rPr>
          <w:noProof/>
          <w:lang w:val="en-IE"/>
        </w:rPr>
        <w:br/>
      </w:r>
      <w:r w:rsidR="00240E1B" w:rsidRPr="000B75D8">
        <w:rPr>
          <w:noProof/>
          <w:lang w:val="en-IE"/>
        </w:rPr>
        <w:t>Ukraine</w:t>
      </w:r>
      <w:r w:rsidR="00A93593" w:rsidRPr="000B75D8">
        <w:rPr>
          <w:noProof/>
          <w:lang w:val="en-IE"/>
        </w:rPr>
        <w:t xml:space="preserve"> </w:t>
      </w:r>
      <w:r w:rsidR="00240E1B" w:rsidRPr="000B75D8">
        <w:rPr>
          <w:noProof/>
          <w:lang w:val="en-IE"/>
        </w:rPr>
        <w:t>Reserve</w:t>
      </w:r>
    </w:p>
    <w:p w14:paraId="0E6D6380" w14:textId="4B83CE6A" w:rsidR="00544CF4" w:rsidRPr="000B75D8" w:rsidRDefault="00047098" w:rsidP="00544CF4">
      <w:pPr>
        <w:pStyle w:val="ManualNumPar1"/>
        <w:rPr>
          <w:noProof/>
        </w:rPr>
      </w:pPr>
      <w:r w:rsidRPr="000B75D8">
        <w:rPr>
          <w:noProof/>
        </w:rPr>
        <w:t>1.</w:t>
      </w:r>
      <w:r w:rsidR="00544CF4" w:rsidRPr="000B75D8">
        <w:rPr>
          <w:noProof/>
        </w:rPr>
        <w:tab/>
        <w:t xml:space="preserve">The Ukraine Reserve may be mobilised for the sole purpose of financing expenditure under [the Ukraine Facility Regulation] and shall aim at providing at least </w:t>
      </w:r>
      <w:r w:rsidR="001D4396" w:rsidRPr="000B75D8">
        <w:rPr>
          <w:noProof/>
        </w:rPr>
        <w:t>EUR </w:t>
      </w:r>
      <w:r w:rsidR="00054055" w:rsidRPr="000B75D8">
        <w:rPr>
          <w:noProof/>
        </w:rPr>
        <w:t>2 </w:t>
      </w:r>
      <w:bookmarkStart w:id="4" w:name="_Hlk136341772"/>
      <w:r w:rsidR="001D4396" w:rsidRPr="000B75D8">
        <w:rPr>
          <w:noProof/>
        </w:rPr>
        <w:t>500 </w:t>
      </w:r>
      <w:r w:rsidR="00B23D47" w:rsidRPr="000B75D8">
        <w:rPr>
          <w:noProof/>
        </w:rPr>
        <w:t xml:space="preserve">million </w:t>
      </w:r>
      <w:r w:rsidR="00544CF4" w:rsidRPr="000B75D8">
        <w:rPr>
          <w:noProof/>
        </w:rPr>
        <w:t>in current prices</w:t>
      </w:r>
      <w:bookmarkEnd w:id="4"/>
      <w:r w:rsidR="00544CF4" w:rsidRPr="000B75D8">
        <w:rPr>
          <w:noProof/>
        </w:rPr>
        <w:t xml:space="preserve"> as an annual indicative amount.</w:t>
      </w:r>
    </w:p>
    <w:p w14:paraId="158ED934" w14:textId="122CFBDF" w:rsidR="00544CF4" w:rsidRPr="000B75D8" w:rsidRDefault="00544CF4" w:rsidP="00544CF4">
      <w:pPr>
        <w:pStyle w:val="ManualNumPar1"/>
        <w:rPr>
          <w:noProof/>
        </w:rPr>
      </w:pPr>
      <w:r w:rsidRPr="000B75D8">
        <w:rPr>
          <w:noProof/>
        </w:rPr>
        <w:t>2.</w:t>
      </w:r>
      <w:r w:rsidRPr="000B75D8">
        <w:rPr>
          <w:noProof/>
        </w:rPr>
        <w:tab/>
        <w:t xml:space="preserve">The Ukraine Reserve shall not exceed an amount of </w:t>
      </w:r>
      <w:r w:rsidR="001D4396" w:rsidRPr="000B75D8">
        <w:rPr>
          <w:noProof/>
        </w:rPr>
        <w:t>EUR </w:t>
      </w:r>
      <w:r w:rsidR="00440133" w:rsidRPr="000B75D8">
        <w:rPr>
          <w:noProof/>
        </w:rPr>
        <w:t>50 000</w:t>
      </w:r>
      <w:r w:rsidR="001D4396" w:rsidRPr="000B75D8">
        <w:rPr>
          <w:noProof/>
        </w:rPr>
        <w:t> </w:t>
      </w:r>
      <w:r w:rsidR="00B23D47" w:rsidRPr="000B75D8">
        <w:rPr>
          <w:noProof/>
        </w:rPr>
        <w:t>million</w:t>
      </w:r>
      <w:r w:rsidRPr="000B75D8">
        <w:rPr>
          <w:noProof/>
        </w:rPr>
        <w:t xml:space="preserve"> in current prices for the period 2024 to 2027. The annual amount mobilised under the Ukraine Reserve in a given year shall not exceed </w:t>
      </w:r>
      <w:r w:rsidR="001D4396" w:rsidRPr="000B75D8">
        <w:rPr>
          <w:noProof/>
        </w:rPr>
        <w:t>EUR </w:t>
      </w:r>
      <w:r w:rsidR="00440133" w:rsidRPr="000B75D8">
        <w:rPr>
          <w:noProof/>
        </w:rPr>
        <w:t>16 700</w:t>
      </w:r>
      <w:r w:rsidR="001D4396" w:rsidRPr="000B75D8">
        <w:rPr>
          <w:noProof/>
        </w:rPr>
        <w:t> </w:t>
      </w:r>
      <w:r w:rsidR="00B23D47" w:rsidRPr="000B75D8">
        <w:rPr>
          <w:noProof/>
        </w:rPr>
        <w:t>million</w:t>
      </w:r>
      <w:r w:rsidRPr="000B75D8">
        <w:rPr>
          <w:noProof/>
        </w:rPr>
        <w:t xml:space="preserve"> </w:t>
      </w:r>
      <w:r w:rsidR="006F27C7" w:rsidRPr="000B75D8">
        <w:rPr>
          <w:noProof/>
        </w:rPr>
        <w:t>in current prices</w:t>
      </w:r>
      <w:r w:rsidRPr="000B75D8">
        <w:rPr>
          <w:noProof/>
        </w:rPr>
        <w:t>.</w:t>
      </w:r>
    </w:p>
    <w:p w14:paraId="652413D3" w14:textId="49F808E4" w:rsidR="00240E1B" w:rsidRPr="000B75D8" w:rsidRDefault="00544CF4" w:rsidP="707DED36">
      <w:pPr>
        <w:pStyle w:val="ManualNumPar1"/>
        <w:rPr>
          <w:i/>
          <w:iCs/>
          <w:noProof/>
        </w:rPr>
      </w:pPr>
      <w:r w:rsidRPr="000B75D8">
        <w:rPr>
          <w:noProof/>
        </w:rPr>
        <w:t>3.</w:t>
      </w:r>
      <w:r w:rsidRPr="000B75D8">
        <w:rPr>
          <w:noProof/>
        </w:rPr>
        <w:tab/>
        <w:t>The Ukraine Reserve may be mobilised by the European Parliament and the Council in the framework of the budgetary procedure provided for in Article 314 TFEU.’;</w:t>
      </w:r>
    </w:p>
    <w:p w14:paraId="0AC1C0DC" w14:textId="297BA026" w:rsidR="00CC6DBB" w:rsidRPr="000B75D8" w:rsidRDefault="006C3D91" w:rsidP="006C3D91">
      <w:pPr>
        <w:pStyle w:val="Point0"/>
        <w:rPr>
          <w:noProof/>
        </w:rPr>
      </w:pPr>
      <w:r w:rsidRPr="000B75D8">
        <w:rPr>
          <w:noProof/>
        </w:rPr>
        <w:t>(4)</w:t>
      </w:r>
      <w:r w:rsidRPr="000B75D8">
        <w:rPr>
          <w:noProof/>
        </w:rPr>
        <w:tab/>
      </w:r>
      <w:r w:rsidR="00CC6DBB" w:rsidRPr="000B75D8">
        <w:rPr>
          <w:noProof/>
        </w:rPr>
        <w:t xml:space="preserve">In Article 12, paragraph 1 </w:t>
      </w:r>
      <w:r w:rsidR="00CC0AAA" w:rsidRPr="000B75D8">
        <w:rPr>
          <w:noProof/>
        </w:rPr>
        <w:t>is</w:t>
      </w:r>
      <w:r w:rsidR="00CC6DBB" w:rsidRPr="000B75D8">
        <w:rPr>
          <w:noProof/>
        </w:rPr>
        <w:t xml:space="preserve"> replaced by the following:</w:t>
      </w:r>
    </w:p>
    <w:p w14:paraId="4E95E201" w14:textId="4D863DBE" w:rsidR="00CC6DBB" w:rsidRPr="000B75D8" w:rsidRDefault="00A329C6" w:rsidP="00CC6DBB">
      <w:pPr>
        <w:pStyle w:val="Text1"/>
        <w:rPr>
          <w:noProof/>
          <w:lang w:val="en-IE" w:eastAsia="fr-BE"/>
        </w:rPr>
      </w:pPr>
      <w:r w:rsidRPr="000B75D8">
        <w:rPr>
          <w:noProof/>
        </w:rPr>
        <w:t>‘</w:t>
      </w:r>
      <w:r w:rsidR="00CC6DBB" w:rsidRPr="000B75D8">
        <w:rPr>
          <w:noProof/>
        </w:rPr>
        <w:t>1</w:t>
      </w:r>
      <w:r w:rsidR="00CC6DBB" w:rsidRPr="000B75D8">
        <w:rPr>
          <w:noProof/>
          <w:lang w:val="en-IE" w:eastAsia="fr-BE"/>
        </w:rPr>
        <w:t>. The Flexibility Instrument may be used for the financing, for a given financial year, of specific unforeseen expenditure in commitment appropriations and corresponding payment appropriations that cannot be financed within the limits of the ceilings available for one or more other headings. The ceiling for the annual amount available for the Flexibility Instrument shall be EUR</w:t>
      </w:r>
      <w:r w:rsidR="006E0058" w:rsidRPr="000B75D8">
        <w:rPr>
          <w:noProof/>
          <w:lang w:val="en-IE" w:eastAsia="fr-BE"/>
        </w:rPr>
        <w:t> </w:t>
      </w:r>
      <w:r w:rsidR="00757576" w:rsidRPr="00040647">
        <w:rPr>
          <w:noProof/>
          <w:lang w:val="en-IE" w:eastAsia="fr-BE"/>
        </w:rPr>
        <w:t>1</w:t>
      </w:r>
      <w:r w:rsidR="001D048B" w:rsidRPr="00040647">
        <w:rPr>
          <w:noProof/>
          <w:lang w:val="en-IE" w:eastAsia="fr-BE"/>
        </w:rPr>
        <w:t> </w:t>
      </w:r>
      <w:r w:rsidR="006E0058" w:rsidRPr="00040647">
        <w:rPr>
          <w:noProof/>
          <w:lang w:val="en-IE" w:eastAsia="fr-BE"/>
        </w:rPr>
        <w:t>562</w:t>
      </w:r>
      <w:r w:rsidR="006E0058" w:rsidRPr="000B75D8">
        <w:rPr>
          <w:noProof/>
          <w:lang w:val="en-IE" w:eastAsia="fr-BE"/>
        </w:rPr>
        <w:t> </w:t>
      </w:r>
      <w:r w:rsidR="00CC6DBB" w:rsidRPr="000B75D8">
        <w:rPr>
          <w:noProof/>
          <w:lang w:val="en-IE" w:eastAsia="fr-BE"/>
        </w:rPr>
        <w:t>million (in 2018 prices).</w:t>
      </w:r>
      <w:r w:rsidRPr="000B75D8">
        <w:rPr>
          <w:noProof/>
          <w:lang w:val="en-IE" w:eastAsia="fr-BE"/>
        </w:rPr>
        <w:t>’;</w:t>
      </w:r>
    </w:p>
    <w:p w14:paraId="3419644A" w14:textId="1A7584FD" w:rsidR="00C93B3E" w:rsidRPr="000B75D8" w:rsidRDefault="006C3D91" w:rsidP="006C3D91">
      <w:pPr>
        <w:pStyle w:val="Point0"/>
        <w:rPr>
          <w:noProof/>
        </w:rPr>
      </w:pPr>
      <w:r w:rsidRPr="000B75D8">
        <w:rPr>
          <w:noProof/>
        </w:rPr>
        <w:t>(5)</w:t>
      </w:r>
      <w:r w:rsidRPr="000B75D8">
        <w:rPr>
          <w:noProof/>
        </w:rPr>
        <w:tab/>
      </w:r>
      <w:r w:rsidR="00C93B3E" w:rsidRPr="000B75D8">
        <w:rPr>
          <w:noProof/>
        </w:rPr>
        <w:t>Annex I is replaced by the text in the Annex to this Regulation.</w:t>
      </w:r>
    </w:p>
    <w:p w14:paraId="19856E87" w14:textId="766F887B" w:rsidR="00A36812" w:rsidRPr="000B75D8" w:rsidRDefault="000076A5" w:rsidP="00D3385C">
      <w:pPr>
        <w:pStyle w:val="Titrearticle"/>
        <w:rPr>
          <w:noProof/>
        </w:rPr>
      </w:pPr>
      <w:r w:rsidRPr="000B75D8">
        <w:rPr>
          <w:noProof/>
        </w:rPr>
        <w:t xml:space="preserve">Article </w:t>
      </w:r>
      <w:r w:rsidR="007B5033" w:rsidRPr="000B75D8">
        <w:rPr>
          <w:noProof/>
        </w:rPr>
        <w:t>2</w:t>
      </w:r>
    </w:p>
    <w:p w14:paraId="1D34960A" w14:textId="05359154" w:rsidR="000076A5" w:rsidRPr="000B75D8" w:rsidRDefault="000076A5">
      <w:pPr>
        <w:rPr>
          <w:noProof/>
        </w:rPr>
      </w:pPr>
      <w:r w:rsidRPr="000B75D8">
        <w:rPr>
          <w:noProof/>
        </w:rPr>
        <w:t xml:space="preserve">This Regulation shall enter into force on the </w:t>
      </w:r>
      <w:r w:rsidR="002112D2" w:rsidRPr="000B75D8">
        <w:rPr>
          <w:noProof/>
        </w:rPr>
        <w:t>twentieth</w:t>
      </w:r>
      <w:r w:rsidR="00956A8A" w:rsidRPr="000B75D8">
        <w:rPr>
          <w:noProof/>
        </w:rPr>
        <w:t xml:space="preserve"> day</w:t>
      </w:r>
      <w:r w:rsidRPr="000B75D8">
        <w:rPr>
          <w:noProof/>
        </w:rPr>
        <w:t xml:space="preserve"> following that of its publication in the </w:t>
      </w:r>
      <w:r w:rsidRPr="000B75D8">
        <w:rPr>
          <w:i/>
          <w:noProof/>
        </w:rPr>
        <w:t>Official Journal of the European Union</w:t>
      </w:r>
      <w:r w:rsidRPr="000B75D8">
        <w:rPr>
          <w:noProof/>
        </w:rPr>
        <w:t>.</w:t>
      </w:r>
    </w:p>
    <w:p w14:paraId="056CCE2F" w14:textId="77777777" w:rsidR="000076A5" w:rsidRPr="000B75D8" w:rsidRDefault="000076A5">
      <w:pPr>
        <w:pStyle w:val="Applicationdirecte"/>
        <w:rPr>
          <w:noProof/>
        </w:rPr>
      </w:pPr>
      <w:r w:rsidRPr="000B75D8">
        <w:rPr>
          <w:noProof/>
        </w:rPr>
        <w:t>This Regulation shall be binding in its entirety and directly applicable in all Member States.</w:t>
      </w:r>
    </w:p>
    <w:p w14:paraId="3A2E9EAA" w14:textId="7B077ECF" w:rsidR="000076A5" w:rsidRPr="000B75D8" w:rsidRDefault="0050059F" w:rsidP="00954924">
      <w:pPr>
        <w:pStyle w:val="Fait"/>
        <w:rPr>
          <w:noProof/>
        </w:rPr>
      </w:pPr>
      <w:r w:rsidRPr="0050059F">
        <w:t>Done at Brussels,</w:t>
      </w:r>
    </w:p>
    <w:p w14:paraId="2989C570" w14:textId="77777777" w:rsidR="000076A5" w:rsidRPr="000B75D8" w:rsidRDefault="000076A5" w:rsidP="00954924">
      <w:pPr>
        <w:pStyle w:val="Institutionquisigne"/>
        <w:rPr>
          <w:noProof/>
        </w:rPr>
      </w:pPr>
      <w:r w:rsidRPr="000B75D8">
        <w:rPr>
          <w:noProof/>
        </w:rPr>
        <w:tab/>
        <w:t>For the Council</w:t>
      </w:r>
    </w:p>
    <w:p w14:paraId="4E7C8C4A" w14:textId="5346BF6E" w:rsidR="002912E8" w:rsidRPr="002912E8" w:rsidRDefault="000076A5" w:rsidP="00901221">
      <w:pPr>
        <w:pStyle w:val="Personnequisigne"/>
        <w:rPr>
          <w:noProof/>
        </w:rPr>
      </w:pPr>
      <w:r w:rsidRPr="000B75D8">
        <w:rPr>
          <w:noProof/>
        </w:rPr>
        <w:tab/>
        <w:t>The President</w:t>
      </w:r>
    </w:p>
    <w:sectPr w:rsidR="002912E8" w:rsidRPr="002912E8" w:rsidSect="00DA148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6F16" w14:textId="77777777" w:rsidR="00BB2061" w:rsidRDefault="00BB2061" w:rsidP="000076A5">
      <w:pPr>
        <w:spacing w:before="0" w:after="0"/>
      </w:pPr>
      <w:r>
        <w:separator/>
      </w:r>
    </w:p>
  </w:endnote>
  <w:endnote w:type="continuationSeparator" w:id="0">
    <w:p w14:paraId="01987C8A" w14:textId="77777777" w:rsidR="00BB2061" w:rsidRDefault="00BB2061" w:rsidP="000076A5">
      <w:pPr>
        <w:spacing w:before="0" w:after="0"/>
      </w:pPr>
      <w:r>
        <w:continuationSeparator/>
      </w:r>
    </w:p>
  </w:endnote>
  <w:endnote w:type="continuationNotice" w:id="1">
    <w:p w14:paraId="4331E85F" w14:textId="77777777" w:rsidR="00BB2061" w:rsidRDefault="00BB20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3570" w14:textId="13758E1E" w:rsidR="00DA1480" w:rsidRPr="00DA1480" w:rsidRDefault="00DA1480" w:rsidP="00DA1480">
    <w:pPr>
      <w:pStyle w:val="Footer"/>
      <w:rPr>
        <w:rFonts w:ascii="Arial" w:hAnsi="Arial" w:cs="Arial"/>
        <w:b/>
        <w:sz w:val="48"/>
      </w:rPr>
    </w:pPr>
    <w:r w:rsidRPr="00DA1480">
      <w:rPr>
        <w:rFonts w:ascii="Arial" w:hAnsi="Arial" w:cs="Arial"/>
        <w:b/>
        <w:sz w:val="48"/>
      </w:rPr>
      <w:t>EN</w:t>
    </w:r>
    <w:r w:rsidRPr="00DA1480">
      <w:rPr>
        <w:rFonts w:ascii="Arial" w:hAnsi="Arial" w:cs="Arial"/>
        <w:b/>
        <w:sz w:val="48"/>
      </w:rPr>
      <w:tab/>
    </w:r>
    <w:r w:rsidRPr="00DA1480">
      <w:rPr>
        <w:rFonts w:ascii="Arial" w:hAnsi="Arial" w:cs="Arial"/>
        <w:b/>
        <w:sz w:val="48"/>
      </w:rPr>
      <w:tab/>
    </w:r>
    <w:r w:rsidRPr="00DA1480">
      <w:tab/>
    </w:r>
    <w:r w:rsidRPr="00DA148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8845" w14:textId="33489D22" w:rsidR="000B75D8" w:rsidRPr="00DA1480" w:rsidRDefault="00DA1480" w:rsidP="00DA1480">
    <w:pPr>
      <w:pStyle w:val="Footer"/>
      <w:rPr>
        <w:rFonts w:ascii="Arial" w:hAnsi="Arial" w:cs="Arial"/>
        <w:b/>
        <w:sz w:val="48"/>
      </w:rPr>
    </w:pPr>
    <w:r w:rsidRPr="00DA1480">
      <w:rPr>
        <w:rFonts w:ascii="Arial" w:hAnsi="Arial" w:cs="Arial"/>
        <w:b/>
        <w:sz w:val="48"/>
      </w:rPr>
      <w:t>EN</w:t>
    </w:r>
    <w:r w:rsidRPr="00DA1480">
      <w:rPr>
        <w:rFonts w:ascii="Arial" w:hAnsi="Arial" w:cs="Arial"/>
        <w:b/>
        <w:sz w:val="48"/>
      </w:rPr>
      <w:tab/>
    </w:r>
    <w:r w:rsidRPr="00DA1480">
      <w:rPr>
        <w:rFonts w:ascii="Arial" w:hAnsi="Arial" w:cs="Arial"/>
        <w:b/>
        <w:sz w:val="48"/>
      </w:rPr>
      <w:tab/>
    </w:r>
    <w:r w:rsidRPr="00DA1480">
      <w:tab/>
    </w:r>
    <w:r w:rsidRPr="00DA148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40B4" w14:textId="77777777" w:rsidR="00DA1480" w:rsidRPr="00DA1480" w:rsidRDefault="00DA1480" w:rsidP="00DA14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8D6D" w14:textId="69E5DB62" w:rsidR="002F01FF" w:rsidRPr="00DA1480" w:rsidRDefault="00DA1480" w:rsidP="00DA1480">
    <w:pPr>
      <w:pStyle w:val="Footer"/>
      <w:rPr>
        <w:rFonts w:ascii="Arial" w:hAnsi="Arial" w:cs="Arial"/>
        <w:b/>
        <w:sz w:val="48"/>
      </w:rPr>
    </w:pPr>
    <w:r w:rsidRPr="00DA1480">
      <w:rPr>
        <w:rFonts w:ascii="Arial" w:hAnsi="Arial" w:cs="Arial"/>
        <w:b/>
        <w:sz w:val="48"/>
      </w:rPr>
      <w:t>EN</w:t>
    </w:r>
    <w:r w:rsidRPr="00DA1480">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rsidRPr="00DA1480">
      <w:tab/>
    </w:r>
    <w:r w:rsidRPr="00DA148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99E2" w14:textId="77777777" w:rsidR="00DA1480" w:rsidRPr="00DA1480" w:rsidRDefault="00DA1480" w:rsidP="00DA1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CF7F" w14:textId="77777777" w:rsidR="00BB2061" w:rsidRDefault="00BB2061" w:rsidP="000076A5">
      <w:pPr>
        <w:spacing w:before="0" w:after="0"/>
      </w:pPr>
      <w:r>
        <w:separator/>
      </w:r>
    </w:p>
  </w:footnote>
  <w:footnote w:type="continuationSeparator" w:id="0">
    <w:p w14:paraId="31238D96" w14:textId="77777777" w:rsidR="00BB2061" w:rsidRDefault="00BB2061" w:rsidP="000076A5">
      <w:pPr>
        <w:spacing w:before="0" w:after="0"/>
      </w:pPr>
      <w:r>
        <w:continuationSeparator/>
      </w:r>
    </w:p>
  </w:footnote>
  <w:footnote w:type="continuationNotice" w:id="1">
    <w:p w14:paraId="3878D4F2" w14:textId="77777777" w:rsidR="00BB2061" w:rsidRDefault="00BB2061">
      <w:pPr>
        <w:spacing w:before="0" w:after="0"/>
      </w:pPr>
    </w:p>
  </w:footnote>
  <w:footnote w:id="2">
    <w:p w14:paraId="2BD6FD76" w14:textId="5E6837BD" w:rsidR="009B719B" w:rsidRPr="00F739D6" w:rsidRDefault="009B719B" w:rsidP="009B719B">
      <w:pPr>
        <w:pStyle w:val="FootnoteText"/>
        <w:rPr>
          <w:lang w:val="en-IE"/>
        </w:rPr>
      </w:pPr>
      <w:r>
        <w:rPr>
          <w:rStyle w:val="FootnoteReference"/>
        </w:rPr>
        <w:footnoteRef/>
      </w:r>
      <w:r w:rsidRPr="00F739D6">
        <w:rPr>
          <w:lang w:val="en-IE"/>
        </w:rPr>
        <w:tab/>
        <w:t>Council Regulation (EU, Euratom) 2020/2093 of 17 December 2020 laying down the multiannual financial framework for the years 2021 to 2027</w:t>
      </w:r>
      <w:r>
        <w:rPr>
          <w:lang w:val="en-IE"/>
        </w:rPr>
        <w:t xml:space="preserve">, </w:t>
      </w:r>
      <w:r w:rsidRPr="00F739D6">
        <w:rPr>
          <w:lang w:val="en-IE"/>
        </w:rPr>
        <w:t>OJ L 433I , 22.12.2020, p. 11</w:t>
      </w:r>
      <w:r>
        <w:rPr>
          <w:lang w:val="en-IE"/>
        </w:rPr>
        <w:t>.</w:t>
      </w:r>
    </w:p>
  </w:footnote>
  <w:footnote w:id="3">
    <w:p w14:paraId="0833CFC6" w14:textId="1B3CA9B3" w:rsidR="004C3602" w:rsidRPr="00F739D6" w:rsidRDefault="004C3602" w:rsidP="004C3602">
      <w:pPr>
        <w:pStyle w:val="FootnoteText"/>
        <w:rPr>
          <w:lang w:val="en-IE"/>
        </w:rPr>
      </w:pPr>
      <w:r>
        <w:rPr>
          <w:rStyle w:val="FootnoteReference"/>
        </w:rPr>
        <w:footnoteRef/>
      </w:r>
      <w:r w:rsidRPr="00C86918">
        <w:rPr>
          <w:lang w:val="en-IE"/>
        </w:rPr>
        <w:tab/>
      </w:r>
      <w:r w:rsidR="00000975" w:rsidRPr="00F739D6">
        <w:rPr>
          <w:lang w:val="en-IE"/>
        </w:rPr>
        <w:t xml:space="preserve">Commission declaration on a mid-term review / revision, </w:t>
      </w:r>
      <w:r w:rsidRPr="00F739D6">
        <w:rPr>
          <w:lang w:val="en-IE"/>
        </w:rPr>
        <w:t>PV(2020)2361, Minutes of the 2361st meeting of the Commission held in Brussels (Berlaymont) on Tuesday 15 December 2020.</w:t>
      </w:r>
    </w:p>
  </w:footnote>
  <w:footnote w:id="4">
    <w:p w14:paraId="3834AD5F" w14:textId="29CEC5F5" w:rsidR="002804CE" w:rsidRPr="00EC6F75" w:rsidRDefault="002804CE" w:rsidP="001D04B9">
      <w:pPr>
        <w:pStyle w:val="FootnoteText"/>
        <w:rPr>
          <w:lang w:val="en-IE"/>
        </w:rPr>
      </w:pPr>
      <w:r w:rsidRPr="00F739D6">
        <w:rPr>
          <w:rStyle w:val="FootnoteReference"/>
        </w:rPr>
        <w:footnoteRef/>
      </w:r>
      <w:r w:rsidRPr="00F739D6">
        <w:rPr>
          <w:lang w:val="en-IE"/>
        </w:rPr>
        <w:tab/>
        <w:t>Statement by the European Commission on the Review of the Multiannual Financial Framework</w:t>
      </w:r>
      <w:r w:rsidR="001D04B9" w:rsidRPr="00F739D6">
        <w:rPr>
          <w:lang w:val="en-IE"/>
        </w:rPr>
        <w:t>, PV(2022)2438, Minutes of the of the 2438th meeting of the Commission held in Strasbourg (Winston Churchill building) on Tuesday 22 November 2022.</w:t>
      </w:r>
    </w:p>
  </w:footnote>
  <w:footnote w:id="5">
    <w:p w14:paraId="19D93E43" w14:textId="19B97E8C" w:rsidR="00C86918" w:rsidRPr="00846401" w:rsidRDefault="00C86918">
      <w:pPr>
        <w:pStyle w:val="FootnoteText"/>
        <w:rPr>
          <w:lang w:val="en-IE"/>
        </w:rPr>
      </w:pPr>
      <w:r w:rsidRPr="00EC6F75">
        <w:rPr>
          <w:rStyle w:val="FootnoteReference"/>
        </w:rPr>
        <w:footnoteRef/>
      </w:r>
      <w:r w:rsidRPr="00EC6F75">
        <w:rPr>
          <w:lang w:val="en-IE"/>
        </w:rPr>
        <w:tab/>
        <w:t>COM(2023)</w:t>
      </w:r>
      <w:r w:rsidR="00894625">
        <w:rPr>
          <w:lang w:val="en-IE"/>
        </w:rPr>
        <w:t>336</w:t>
      </w:r>
      <w:r w:rsidRPr="00F739D6">
        <w:rPr>
          <w:lang w:val="en-IE"/>
        </w:rPr>
        <w:t xml:space="preserve">, </w:t>
      </w:r>
      <w:r w:rsidR="007C67D7">
        <w:rPr>
          <w:lang w:val="en-IE"/>
        </w:rPr>
        <w:t>20</w:t>
      </w:r>
      <w:r w:rsidRPr="00846401">
        <w:rPr>
          <w:lang w:val="en-IE"/>
        </w:rPr>
        <w:t>.06.2023</w:t>
      </w:r>
      <w:r w:rsidR="00C87E0D">
        <w:rPr>
          <w:lang w:val="en-IE"/>
        </w:rPr>
        <w:t>.</w:t>
      </w:r>
    </w:p>
  </w:footnote>
  <w:footnote w:id="6">
    <w:p w14:paraId="6D32E28A" w14:textId="14E5BD0E" w:rsidR="00B83ABF" w:rsidRPr="005671CB" w:rsidRDefault="00B83ABF">
      <w:pPr>
        <w:pStyle w:val="FootnoteText"/>
        <w:rPr>
          <w:lang w:val="en-IE"/>
        </w:rPr>
      </w:pPr>
      <w:r w:rsidRPr="00983A26">
        <w:rPr>
          <w:rStyle w:val="FootnoteReference"/>
        </w:rPr>
        <w:footnoteRef/>
      </w:r>
      <w:r w:rsidR="00983A26">
        <w:tab/>
      </w:r>
      <w:r w:rsidRPr="005671CB">
        <w:rPr>
          <w:lang w:val="en-IE"/>
        </w:rPr>
        <w:t>COM(2021)569, 22.12.2021.</w:t>
      </w:r>
    </w:p>
  </w:footnote>
  <w:footnote w:id="7">
    <w:p w14:paraId="1FB4CF33" w14:textId="343775FE" w:rsidR="005671CB" w:rsidRPr="005671CB" w:rsidRDefault="005671CB" w:rsidP="005671CB">
      <w:pPr>
        <w:pStyle w:val="FootnoteText"/>
        <w:rPr>
          <w:lang w:val="en-IE"/>
        </w:rPr>
      </w:pPr>
      <w:r>
        <w:rPr>
          <w:rStyle w:val="FootnoteReference"/>
        </w:rPr>
        <w:footnoteRef/>
      </w:r>
      <w:r w:rsidRPr="005671CB">
        <w:rPr>
          <w:lang w:val="en-IE"/>
        </w:rPr>
        <w:tab/>
        <w:t>Regulation (EU) 2023/955 of the European Parliament and of the Council of 10 May 2023 establishing a Social Climate Fund and amending Regulation (EU) 2021/1060</w:t>
      </w:r>
      <w:r>
        <w:rPr>
          <w:lang w:val="en-IE"/>
        </w:rPr>
        <w:t xml:space="preserve">, </w:t>
      </w:r>
      <w:r w:rsidRPr="005671CB">
        <w:rPr>
          <w:lang w:val="en-IE"/>
        </w:rPr>
        <w:t>OJ L 130, 16.5.2023, p. 1–51</w:t>
      </w:r>
      <w:r>
        <w:rPr>
          <w:lang w:val="en-IE"/>
        </w:rPr>
        <w:t>.</w:t>
      </w:r>
    </w:p>
  </w:footnote>
  <w:footnote w:id="8">
    <w:p w14:paraId="6B9ED80F" w14:textId="799AAE82" w:rsidR="00C87E0D" w:rsidRPr="00377A8C" w:rsidRDefault="00C87E0D">
      <w:pPr>
        <w:pStyle w:val="FootnoteText"/>
        <w:rPr>
          <w:lang w:val="en-IE"/>
        </w:rPr>
      </w:pPr>
      <w:r>
        <w:rPr>
          <w:rStyle w:val="FootnoteReference"/>
        </w:rPr>
        <w:footnoteRef/>
      </w:r>
      <w:r w:rsidRPr="00377A8C">
        <w:rPr>
          <w:lang w:val="en-IE"/>
        </w:rPr>
        <w:tab/>
      </w:r>
      <w:r w:rsidRPr="00FE75CF">
        <w:rPr>
          <w:lang w:val="en-IE"/>
        </w:rPr>
        <w:t>COM(2023</w:t>
      </w:r>
      <w:r w:rsidR="008940E0" w:rsidRPr="00FE75CF">
        <w:rPr>
          <w:lang w:val="en-IE"/>
        </w:rPr>
        <w:t>)</w:t>
      </w:r>
      <w:r w:rsidR="00894625">
        <w:rPr>
          <w:lang w:val="en-IE"/>
        </w:rPr>
        <w:t>338</w:t>
      </w:r>
      <w:r w:rsidRPr="00FE75CF">
        <w:rPr>
          <w:lang w:val="en-IE"/>
        </w:rPr>
        <w:t>, 20.06.2023</w:t>
      </w:r>
    </w:p>
  </w:footnote>
  <w:footnote w:id="9">
    <w:p w14:paraId="752772F4" w14:textId="63CA0513" w:rsidR="00B745EB" w:rsidRPr="00B745EB" w:rsidRDefault="00B745EB">
      <w:pPr>
        <w:pStyle w:val="FootnoteText"/>
        <w:rPr>
          <w:lang w:val="en-IE"/>
        </w:rPr>
      </w:pPr>
      <w:r w:rsidRPr="005966C5">
        <w:rPr>
          <w:rStyle w:val="FootnoteReference"/>
        </w:rPr>
        <w:footnoteRef/>
      </w:r>
      <w:r w:rsidR="005966C5">
        <w:tab/>
      </w:r>
      <w:bookmarkStart w:id="1" w:name="_Hlk137567388"/>
      <w:r w:rsidRPr="00B745EB">
        <w:rPr>
          <w:lang w:val="en-IE"/>
        </w:rPr>
        <w:t>COM(2020</w:t>
      </w:r>
      <w:r w:rsidR="008940E0">
        <w:rPr>
          <w:lang w:val="en-IE"/>
        </w:rPr>
        <w:t>)</w:t>
      </w:r>
      <w:r w:rsidRPr="00B745EB">
        <w:rPr>
          <w:lang w:val="en-IE"/>
        </w:rPr>
        <w:t>609 final, 23.09.2020</w:t>
      </w:r>
      <w:bookmarkEnd w:id="1"/>
    </w:p>
  </w:footnote>
  <w:footnote w:id="10">
    <w:p w14:paraId="4D315F2C" w14:textId="5B97E335" w:rsidR="008E1344" w:rsidRPr="00662CB4" w:rsidRDefault="008E1344">
      <w:pPr>
        <w:pStyle w:val="FootnoteText"/>
        <w:rPr>
          <w:lang w:val="en-IE"/>
        </w:rPr>
      </w:pPr>
      <w:r>
        <w:rPr>
          <w:rStyle w:val="FootnoteReference"/>
        </w:rPr>
        <w:footnoteRef/>
      </w:r>
      <w:r w:rsidRPr="00662CB4">
        <w:rPr>
          <w:lang w:val="en-IE"/>
        </w:rPr>
        <w:tab/>
        <w:t>Joint Roadmap of the European Parliament and Rotating Presidencies of the Council on the organisation, coordination, and implementation of the timeline for the negotiations between the co-legislators on the CEAS and the New European Pact on migration and asylum</w:t>
      </w:r>
      <w:r w:rsidR="00662CB4">
        <w:rPr>
          <w:lang w:val="en-IE"/>
        </w:rPr>
        <w:t>.</w:t>
      </w:r>
    </w:p>
  </w:footnote>
  <w:footnote w:id="11">
    <w:p w14:paraId="334FA7B3" w14:textId="17B71A05" w:rsidR="00377A8C" w:rsidRPr="00377A8C" w:rsidRDefault="00377A8C">
      <w:pPr>
        <w:pStyle w:val="FootnoteText"/>
        <w:rPr>
          <w:lang w:val="en-IE"/>
        </w:rPr>
      </w:pPr>
      <w:r>
        <w:rPr>
          <w:rStyle w:val="FootnoteReference"/>
        </w:rPr>
        <w:footnoteRef/>
      </w:r>
      <w:r w:rsidRPr="00377A8C">
        <w:rPr>
          <w:lang w:val="en-IE"/>
        </w:rPr>
        <w:tab/>
      </w:r>
      <w:r w:rsidRPr="00FC4281">
        <w:rPr>
          <w:lang w:val="en-IE"/>
        </w:rPr>
        <w:t>COM(2023)</w:t>
      </w:r>
      <w:r w:rsidR="00B71491">
        <w:rPr>
          <w:lang w:val="en-IE"/>
        </w:rPr>
        <w:t>335</w:t>
      </w:r>
      <w:r w:rsidRPr="00FC4281">
        <w:rPr>
          <w:lang w:val="en-IE"/>
        </w:rPr>
        <w:t>, 20.06.2023</w:t>
      </w:r>
    </w:p>
  </w:footnote>
  <w:footnote w:id="12">
    <w:p w14:paraId="159F9073" w14:textId="62079ED2" w:rsidR="008B1B27" w:rsidRPr="00892414" w:rsidRDefault="008B1B27" w:rsidP="008B1B27">
      <w:pPr>
        <w:pStyle w:val="FootnoteText"/>
        <w:rPr>
          <w:lang w:val="en-IE"/>
        </w:rPr>
      </w:pPr>
      <w:r>
        <w:rPr>
          <w:rStyle w:val="FootnoteReference"/>
        </w:rPr>
        <w:footnoteRef/>
      </w:r>
      <w:r w:rsidRPr="00DC12B0">
        <w:rPr>
          <w:lang w:val="en-IE"/>
        </w:rPr>
        <w:tab/>
        <w:t>Joint declaration by the European Parliament, Council and Commission on the treatment of NGEU interest costs and repayments in the 2021-2027 MFF</w:t>
      </w:r>
      <w:r>
        <w:rPr>
          <w:lang w:val="en-IE"/>
        </w:rPr>
        <w:t>,</w:t>
      </w:r>
      <w:r w:rsidRPr="00DC12B0">
        <w:rPr>
          <w:lang w:val="en-IE"/>
        </w:rPr>
        <w:t xml:space="preserve"> 2020/C 444 I/04</w:t>
      </w:r>
      <w:r>
        <w:rPr>
          <w:lang w:val="en-IE"/>
        </w:rPr>
        <w:t xml:space="preserve">, </w:t>
      </w:r>
      <w:r w:rsidRPr="00DC12B0">
        <w:rPr>
          <w:lang w:val="en-IE"/>
        </w:rPr>
        <w:t>OJ C 444I , 22.12.2020, p. 4</w:t>
      </w:r>
      <w:r>
        <w:rPr>
          <w:lang w:val="en-IE"/>
        </w:rPr>
        <w:t>.</w:t>
      </w:r>
    </w:p>
  </w:footnote>
  <w:footnote w:id="13">
    <w:p w14:paraId="3081399D" w14:textId="0AE84DF1" w:rsidR="00583BF1" w:rsidRPr="00583BF1" w:rsidRDefault="00583BF1" w:rsidP="00583BF1">
      <w:pPr>
        <w:pStyle w:val="FootnoteText"/>
        <w:rPr>
          <w:lang w:val="en-IE"/>
        </w:rPr>
      </w:pPr>
      <w:r>
        <w:rPr>
          <w:rStyle w:val="FootnoteReference"/>
        </w:rPr>
        <w:footnoteRef/>
      </w:r>
      <w:r w:rsidRPr="00583BF1">
        <w:rPr>
          <w:lang w:val="en-IE"/>
        </w:rPr>
        <w:tab/>
        <w:t>Council Regulation (EU, Euratom) 2022/2496 of 15 December 2022 amending Regulation (EU, Euratom) 2020/2093 laying down the multiannual financial framework for the years 2021 to 2027</w:t>
      </w:r>
      <w:r>
        <w:rPr>
          <w:lang w:val="en-IE"/>
        </w:rPr>
        <w:t xml:space="preserve">, </w:t>
      </w:r>
      <w:r w:rsidRPr="00583BF1">
        <w:rPr>
          <w:lang w:val="en-IE"/>
        </w:rPr>
        <w:t>OJ L 325, 20.12.2022, p. 11</w:t>
      </w:r>
      <w:r>
        <w:rPr>
          <w:lang w:val="en-IE"/>
        </w:rPr>
        <w:t>.</w:t>
      </w:r>
    </w:p>
  </w:footnote>
  <w:footnote w:id="14">
    <w:p w14:paraId="02B53E19" w14:textId="59C9E52F" w:rsidR="00A95F9C" w:rsidRPr="00583BF1" w:rsidRDefault="00A95F9C" w:rsidP="00583BF1">
      <w:pPr>
        <w:pStyle w:val="FootnoteText"/>
        <w:rPr>
          <w:lang w:val="en-IE"/>
        </w:rPr>
      </w:pPr>
      <w:r>
        <w:rPr>
          <w:rStyle w:val="FootnoteReference"/>
        </w:rPr>
        <w:footnoteRef/>
      </w:r>
      <w:r w:rsidRPr="00583BF1">
        <w:rPr>
          <w:lang w:val="en-IE"/>
        </w:rPr>
        <w:tab/>
      </w:r>
      <w:r w:rsidR="00583BF1" w:rsidRPr="00583BF1">
        <w:rPr>
          <w:lang w:val="en-IE"/>
        </w:rPr>
        <w:t>Council Decision (EU, Euratom) 2020/2053 of 14 December 2020 on the system of own resources of the European Union and repealing Decision 2014/335/EU, Euratom</w:t>
      </w:r>
      <w:r w:rsidR="00583BF1">
        <w:rPr>
          <w:lang w:val="en-IE"/>
        </w:rPr>
        <w:t xml:space="preserve">, </w:t>
      </w:r>
      <w:r w:rsidR="00583BF1" w:rsidRPr="00583BF1">
        <w:rPr>
          <w:lang w:val="en-IE"/>
        </w:rPr>
        <w:t>OJ L 424, 15.12.2020, p. 1</w:t>
      </w:r>
      <w:r w:rsidR="00583BF1">
        <w:rPr>
          <w:lang w:val="en-IE"/>
        </w:rPr>
        <w:t>.</w:t>
      </w:r>
    </w:p>
  </w:footnote>
  <w:footnote w:id="15">
    <w:p w14:paraId="7A2CC880" w14:textId="5364B8DD" w:rsidR="006E6D7B" w:rsidRPr="00A849A3" w:rsidRDefault="006E6D7B" w:rsidP="006E6D7B">
      <w:pPr>
        <w:pStyle w:val="FootnoteText"/>
        <w:rPr>
          <w:lang w:val="en-IE"/>
        </w:rPr>
      </w:pPr>
      <w:r>
        <w:rPr>
          <w:rStyle w:val="FootnoteReference"/>
        </w:rPr>
        <w:footnoteRef/>
      </w:r>
      <w:r w:rsidRPr="00A849A3">
        <w:rPr>
          <w:lang w:val="en-IE"/>
        </w:rPr>
        <w:tab/>
      </w:r>
      <w:r w:rsidRPr="00D8636E">
        <w:rPr>
          <w:lang w:val="en-IE"/>
        </w:rPr>
        <w:t>Financial Programming for the years 2024 to 2027</w:t>
      </w:r>
      <w:r w:rsidRPr="00D8636E">
        <w:rPr>
          <w:szCs w:val="24"/>
        </w:rPr>
        <w:t xml:space="preserve"> following the adoption of the budget for 2023</w:t>
      </w:r>
      <w:r w:rsidRPr="00D8636E">
        <w:t xml:space="preserve"> as foreseen in </w:t>
      </w:r>
      <w:r w:rsidR="00904142">
        <w:t>A</w:t>
      </w:r>
      <w:r w:rsidR="00904142" w:rsidRPr="00D8636E">
        <w:t xml:space="preserve">rticle </w:t>
      </w:r>
      <w:r w:rsidRPr="00D8636E">
        <w:t xml:space="preserve">41(2) of the Financial Regulation and </w:t>
      </w:r>
      <w:r w:rsidRPr="00D8636E">
        <w:rPr>
          <w:szCs w:val="24"/>
        </w:rPr>
        <w:t xml:space="preserve">point 26 </w:t>
      </w:r>
      <w:r w:rsidR="00904142" w:rsidRPr="00904142">
        <w:rPr>
          <w:szCs w:val="24"/>
        </w:rPr>
        <w:t>of the Interinstitutional Agreement of 16 December 2020 between the European Parliament, the Council of the European Union and the European Commission on budgetary discipline, on cooperation in budgetary matters and on sound financial management, as well as on new own resources, including a roadmap towards the introduction of new own resources</w:t>
      </w:r>
      <w:r w:rsidR="00904142">
        <w:rPr>
          <w:szCs w:val="24"/>
        </w:rPr>
        <w:t xml:space="preserve"> (</w:t>
      </w:r>
      <w:r w:rsidR="00904142" w:rsidRPr="00904142">
        <w:rPr>
          <w:szCs w:val="24"/>
        </w:rPr>
        <w:t>OJ L 433 I, 22.12.2020, p. 28</w:t>
      </w:r>
      <w:r w:rsidR="00904142">
        <w:rPr>
          <w:szCs w:val="24"/>
        </w:rPr>
        <w:t>)</w:t>
      </w:r>
      <w:r w:rsidRPr="00D8636E">
        <w:rPr>
          <w:szCs w:val="24"/>
        </w:rPr>
        <w:t>,</w:t>
      </w:r>
      <w:r w:rsidRPr="00D8636E">
        <w:rPr>
          <w:lang w:val="en-IE"/>
        </w:rPr>
        <w:t xml:space="preserve"> as communicated to the European Parliament and to the Council on 24</w:t>
      </w:r>
      <w:r w:rsidR="00904142">
        <w:rPr>
          <w:lang w:val="en-IE"/>
        </w:rPr>
        <w:t xml:space="preserve"> February </w:t>
      </w:r>
      <w:r w:rsidRPr="00D8636E">
        <w:rPr>
          <w:lang w:val="en-IE"/>
        </w:rPr>
        <w:t>2023.</w:t>
      </w:r>
    </w:p>
  </w:footnote>
  <w:footnote w:id="16">
    <w:p w14:paraId="0C9F0910" w14:textId="3FE4AB8D" w:rsidR="006E6D7B" w:rsidRPr="00CE3793" w:rsidRDefault="006E6D7B" w:rsidP="006E6D7B">
      <w:pPr>
        <w:pStyle w:val="FootnoteText"/>
        <w:rPr>
          <w:lang w:val="en-IE"/>
        </w:rPr>
      </w:pPr>
      <w:r>
        <w:rPr>
          <w:rStyle w:val="FootnoteReference"/>
        </w:rPr>
        <w:footnoteRef/>
      </w:r>
      <w:r w:rsidRPr="00CE3793">
        <w:rPr>
          <w:lang w:val="en-IE"/>
        </w:rPr>
        <w:tab/>
      </w:r>
      <w:r w:rsidR="00D8636E">
        <w:rPr>
          <w:lang w:val="en-IE"/>
        </w:rPr>
        <w:t>SEC</w:t>
      </w:r>
      <w:r w:rsidRPr="00CE3793">
        <w:rPr>
          <w:lang w:val="en-IE"/>
        </w:rPr>
        <w:t>(2023)</w:t>
      </w:r>
      <w:r w:rsidR="00D8636E">
        <w:rPr>
          <w:lang w:val="en-IE"/>
        </w:rPr>
        <w:t>250</w:t>
      </w:r>
      <w:r w:rsidRPr="00CE3793">
        <w:rPr>
          <w:lang w:val="en-IE"/>
        </w:rPr>
        <w:t xml:space="preserve">, </w:t>
      </w:r>
      <w:r>
        <w:t>Statement of estimates of the European Commission for the financial year 2024 (Preparation of the 2024 Draft Budget),</w:t>
      </w:r>
      <w:r w:rsidRPr="00CE3793">
        <w:rPr>
          <w:lang w:val="en-IE"/>
        </w:rPr>
        <w:t xml:space="preserve"> </w:t>
      </w:r>
      <w:r w:rsidR="00D8636E">
        <w:rPr>
          <w:lang w:val="en-IE"/>
        </w:rPr>
        <w:t>Part</w:t>
      </w:r>
      <w:r w:rsidRPr="00CE3793">
        <w:rPr>
          <w:lang w:val="en-IE"/>
        </w:rPr>
        <w:t xml:space="preserve"> II Financial Programming</w:t>
      </w:r>
      <w:r>
        <w:rPr>
          <w:lang w:val="en-IE"/>
        </w:rPr>
        <w:t>.</w:t>
      </w:r>
    </w:p>
  </w:footnote>
  <w:footnote w:id="17">
    <w:p w14:paraId="10E5B136" w14:textId="17ACDD8F" w:rsidR="003F5C57" w:rsidRPr="0033384D" w:rsidRDefault="003F5C57">
      <w:pPr>
        <w:pStyle w:val="FootnoteText"/>
        <w:rPr>
          <w:lang w:val="es-ES"/>
        </w:rPr>
      </w:pPr>
      <w:r>
        <w:rPr>
          <w:rStyle w:val="FootnoteReference"/>
        </w:rPr>
        <w:footnoteRef/>
      </w:r>
      <w:r w:rsidRPr="0033384D">
        <w:rPr>
          <w:lang w:val="es-ES"/>
        </w:rPr>
        <w:tab/>
        <w:t>Ibidem.</w:t>
      </w:r>
    </w:p>
  </w:footnote>
  <w:footnote w:id="18">
    <w:p w14:paraId="0C1B2593" w14:textId="6380E48F" w:rsidR="003F5C57" w:rsidRPr="0033384D" w:rsidRDefault="003F5C57">
      <w:pPr>
        <w:pStyle w:val="FootnoteText"/>
        <w:rPr>
          <w:lang w:val="es-ES"/>
        </w:rPr>
      </w:pPr>
      <w:r>
        <w:rPr>
          <w:rStyle w:val="FootnoteReference"/>
        </w:rPr>
        <w:footnoteRef/>
      </w:r>
      <w:r w:rsidRPr="0033384D">
        <w:rPr>
          <w:lang w:val="es-ES"/>
        </w:rPr>
        <w:tab/>
        <w:t>Ibidem.</w:t>
      </w:r>
    </w:p>
  </w:footnote>
  <w:footnote w:id="19">
    <w:p w14:paraId="4B71F129" w14:textId="77777777" w:rsidR="007B0BA7" w:rsidRPr="0033384D" w:rsidRDefault="007B0BA7" w:rsidP="007B0BA7">
      <w:pPr>
        <w:pStyle w:val="FootnoteText"/>
        <w:rPr>
          <w:lang w:val="es-ES"/>
        </w:rPr>
      </w:pPr>
      <w:r w:rsidRPr="004E3313">
        <w:rPr>
          <w:rStyle w:val="FootnoteReference"/>
        </w:rPr>
        <w:footnoteRef/>
      </w:r>
      <w:r w:rsidRPr="0033384D">
        <w:rPr>
          <w:lang w:val="es-ES"/>
        </w:rPr>
        <w:tab/>
        <w:t>OJ C […], […], p. […].</w:t>
      </w:r>
    </w:p>
  </w:footnote>
  <w:footnote w:id="20">
    <w:p w14:paraId="5F56C219" w14:textId="77777777" w:rsidR="00DD37A5" w:rsidRDefault="00DD37A5" w:rsidP="00DD37A5">
      <w:pPr>
        <w:pStyle w:val="FootnoteText"/>
      </w:pPr>
      <w:r w:rsidRPr="00C236B6">
        <w:rPr>
          <w:rStyle w:val="FootnoteReference"/>
        </w:rPr>
        <w:footnoteRef/>
      </w:r>
      <w:r>
        <w:tab/>
        <w:t>Council Regulation (EU, Euratom) 2020/2093 of 17 December 2020 laying down the multiannual financial framework for the years 2021 to 2027, OJ L 433I , 22.12.2020, p. 11)</w:t>
      </w:r>
    </w:p>
  </w:footnote>
  <w:footnote w:id="21">
    <w:p w14:paraId="24EB5015" w14:textId="47B35643" w:rsidR="008C3AF5" w:rsidRPr="007D191B" w:rsidRDefault="008C3AF5">
      <w:pPr>
        <w:pStyle w:val="FootnoteText"/>
        <w:rPr>
          <w:lang w:val="en-IE"/>
        </w:rPr>
      </w:pPr>
      <w:r>
        <w:rPr>
          <w:rStyle w:val="FootnoteReference"/>
        </w:rPr>
        <w:footnoteRef/>
      </w:r>
      <w:r w:rsidRPr="007D191B">
        <w:rPr>
          <w:lang w:val="en-IE"/>
        </w:rPr>
        <w:tab/>
      </w:r>
      <w:r w:rsidRPr="00662CB4">
        <w:rPr>
          <w:lang w:val="en-IE"/>
        </w:rPr>
        <w:t>COM(2023)</w:t>
      </w:r>
      <w:r w:rsidR="00DF298C">
        <w:rPr>
          <w:lang w:val="en-IE"/>
        </w:rPr>
        <w:t>336</w:t>
      </w:r>
      <w:r w:rsidRPr="007D191B">
        <w:rPr>
          <w:lang w:val="en-IE"/>
        </w:rPr>
        <w:t>, 20.06.2023.</w:t>
      </w:r>
    </w:p>
  </w:footnote>
  <w:footnote w:id="22">
    <w:p w14:paraId="5953D154" w14:textId="77777777" w:rsidR="003E7EEC" w:rsidRPr="00663727" w:rsidRDefault="003E7EEC" w:rsidP="003E7EEC">
      <w:pPr>
        <w:pStyle w:val="FootnoteText"/>
        <w:rPr>
          <w:lang w:val="pt-BR"/>
        </w:rPr>
      </w:pPr>
      <w:r>
        <w:rPr>
          <w:rStyle w:val="FootnoteReference"/>
        </w:rPr>
        <w:footnoteRef/>
      </w:r>
      <w:r w:rsidRPr="00663727">
        <w:rPr>
          <w:lang w:val="pt-BR"/>
        </w:rPr>
        <w:tab/>
        <w:t>OJ […], […], p. […].</w:t>
      </w:r>
    </w:p>
  </w:footnote>
  <w:footnote w:id="23">
    <w:p w14:paraId="2B07F0A4" w14:textId="77A94463" w:rsidR="005802DA" w:rsidRPr="005802DA" w:rsidRDefault="005802DA">
      <w:pPr>
        <w:pStyle w:val="FootnoteText"/>
        <w:rPr>
          <w:lang w:val="en-IE"/>
        </w:rPr>
      </w:pPr>
      <w:r>
        <w:rPr>
          <w:rStyle w:val="FootnoteReference"/>
        </w:rPr>
        <w:footnoteRef/>
      </w:r>
      <w:r w:rsidRPr="005802DA">
        <w:rPr>
          <w:lang w:val="en-IE"/>
        </w:rPr>
        <w:tab/>
        <w:t>Council Decision (EU, Euratom) 2020/2053 of 14 December 2020 on the system of own resources of the European Union and repealing Decision 2014/335/EU, Euratom, OJ L 424, 15.12.2020,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C732" w14:textId="77777777" w:rsidR="00DA1480" w:rsidRPr="00DA1480" w:rsidRDefault="00DA1480" w:rsidP="00DA1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F15" w14:textId="77777777" w:rsidR="00DA1480" w:rsidRPr="00DA1480" w:rsidRDefault="00DA1480" w:rsidP="00DA1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EF6E" w14:textId="77777777" w:rsidR="00DA1480" w:rsidRPr="00DA1480" w:rsidRDefault="00DA1480" w:rsidP="00D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AA65E1A"/>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B10EEBB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E242E4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A04E5F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BB69DB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21876382">
    <w:abstractNumId w:val="0"/>
  </w:num>
  <w:num w:numId="2" w16cid:durableId="184636726">
    <w:abstractNumId w:val="4"/>
  </w:num>
  <w:num w:numId="3" w16cid:durableId="1495797808">
    <w:abstractNumId w:val="3"/>
  </w:num>
  <w:num w:numId="4" w16cid:durableId="1606766396">
    <w:abstractNumId w:val="2"/>
  </w:num>
  <w:num w:numId="5" w16cid:durableId="1571429266">
    <w:abstractNumId w:val="1"/>
  </w:num>
  <w:num w:numId="6" w16cid:durableId="2132742641">
    <w:abstractNumId w:val="5"/>
  </w:num>
  <w:num w:numId="7" w16cid:durableId="1665007694">
    <w:abstractNumId w:val="10"/>
    <w:lvlOverride w:ilvl="0">
      <w:startOverride w:val="1"/>
    </w:lvlOverride>
  </w:num>
  <w:num w:numId="8" w16cid:durableId="2042978308">
    <w:abstractNumId w:val="17"/>
  </w:num>
  <w:num w:numId="9" w16cid:durableId="275723016">
    <w:abstractNumId w:val="10"/>
  </w:num>
  <w:num w:numId="10" w16cid:durableId="1894194456">
    <w:abstractNumId w:val="19"/>
  </w:num>
  <w:num w:numId="11" w16cid:durableId="1348751415">
    <w:abstractNumId w:val="9"/>
  </w:num>
  <w:num w:numId="12" w16cid:durableId="1004816404">
    <w:abstractNumId w:val="11"/>
  </w:num>
  <w:num w:numId="13" w16cid:durableId="484855694">
    <w:abstractNumId w:val="12"/>
  </w:num>
  <w:num w:numId="14" w16cid:durableId="1492060662">
    <w:abstractNumId w:val="7"/>
  </w:num>
  <w:num w:numId="15" w16cid:durableId="276445806">
    <w:abstractNumId w:val="18"/>
  </w:num>
  <w:num w:numId="16" w16cid:durableId="533080920">
    <w:abstractNumId w:val="6"/>
  </w:num>
  <w:num w:numId="17" w16cid:durableId="583615337">
    <w:abstractNumId w:val="13"/>
  </w:num>
  <w:num w:numId="18" w16cid:durableId="1511750740">
    <w:abstractNumId w:val="15"/>
  </w:num>
  <w:num w:numId="19" w16cid:durableId="1485202322">
    <w:abstractNumId w:val="16"/>
  </w:num>
  <w:num w:numId="20" w16cid:durableId="1555265033">
    <w:abstractNumId w:val="8"/>
  </w:num>
  <w:num w:numId="21" w16cid:durableId="1715690329">
    <w:abstractNumId w:val="14"/>
  </w:num>
  <w:num w:numId="22" w16cid:durableId="12989558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06-20 09:07: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9669CA4-32A9-4221-B5EE-0E1E91365D71"/>
    <w:docVar w:name="LW_COVERPAGE_TYPE" w:val="1"/>
    <w:docVar w:name="LW_CROSSREFERENCE" w:val="&lt;UNUSED&gt;"/>
    <w:docVar w:name="LW_DocType" w:val="COM"/>
    <w:docVar w:name="LW_EMISSION" w:val="20.6.2023"/>
    <w:docVar w:name="LW_EMISSION_ISODATE" w:val="2023-06-20"/>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APP"/>
    <w:docVar w:name="LW_REF.II.NEW.CP_NUMBER" w:val="0201"/>
    <w:docVar w:name="LW_REF.II.NEW.CP_YEAR" w:val="2023"/>
    <w:docVar w:name="LW_REF.INST.NEW" w:val="COM"/>
    <w:docVar w:name="LW_REF.INST.NEW_ADOPTED" w:val="final"/>
    <w:docVar w:name="LW_REF.INST.NEW_TEXT" w:val="(2023) 3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Euratom) 2020/2093 laying down the multiannual financial _x000b_framework for the years 2021 to 2027_x000b_"/>
    <w:docVar w:name="LW_TYPE.DOC.CP" w:val="COUNCIL REGULATION"/>
    <w:docVar w:name="LwApiVersions" w:val="LW4CoDe 1.23.2.0; LW 8.0, Build 20211117"/>
  </w:docVars>
  <w:rsids>
    <w:rsidRoot w:val="000076A5"/>
    <w:rsid w:val="00000975"/>
    <w:rsid w:val="000015B9"/>
    <w:rsid w:val="00002B6F"/>
    <w:rsid w:val="000031E3"/>
    <w:rsid w:val="00004E1A"/>
    <w:rsid w:val="00004E47"/>
    <w:rsid w:val="000076A5"/>
    <w:rsid w:val="00007FD6"/>
    <w:rsid w:val="000110FD"/>
    <w:rsid w:val="00011129"/>
    <w:rsid w:val="00012636"/>
    <w:rsid w:val="000157C1"/>
    <w:rsid w:val="00016673"/>
    <w:rsid w:val="000179ED"/>
    <w:rsid w:val="00017D60"/>
    <w:rsid w:val="0002040B"/>
    <w:rsid w:val="00021309"/>
    <w:rsid w:val="00021701"/>
    <w:rsid w:val="00023BBC"/>
    <w:rsid w:val="000265FD"/>
    <w:rsid w:val="00026844"/>
    <w:rsid w:val="00026B51"/>
    <w:rsid w:val="00026B8C"/>
    <w:rsid w:val="0003436E"/>
    <w:rsid w:val="000358A9"/>
    <w:rsid w:val="00035CD4"/>
    <w:rsid w:val="00036553"/>
    <w:rsid w:val="00036B65"/>
    <w:rsid w:val="00040647"/>
    <w:rsid w:val="000407C7"/>
    <w:rsid w:val="000432F6"/>
    <w:rsid w:val="000435EE"/>
    <w:rsid w:val="000442C9"/>
    <w:rsid w:val="00046BD3"/>
    <w:rsid w:val="00047098"/>
    <w:rsid w:val="0004718D"/>
    <w:rsid w:val="000476CF"/>
    <w:rsid w:val="000503E8"/>
    <w:rsid w:val="00050680"/>
    <w:rsid w:val="000506E7"/>
    <w:rsid w:val="00051D8B"/>
    <w:rsid w:val="00053707"/>
    <w:rsid w:val="00054055"/>
    <w:rsid w:val="000547A4"/>
    <w:rsid w:val="00054A08"/>
    <w:rsid w:val="00056053"/>
    <w:rsid w:val="00056495"/>
    <w:rsid w:val="000565DC"/>
    <w:rsid w:val="00056B32"/>
    <w:rsid w:val="0005757A"/>
    <w:rsid w:val="0005787F"/>
    <w:rsid w:val="0006321B"/>
    <w:rsid w:val="000640DA"/>
    <w:rsid w:val="00066703"/>
    <w:rsid w:val="00067737"/>
    <w:rsid w:val="0006782C"/>
    <w:rsid w:val="00067FDB"/>
    <w:rsid w:val="0007009C"/>
    <w:rsid w:val="000709AE"/>
    <w:rsid w:val="00071006"/>
    <w:rsid w:val="00073D0E"/>
    <w:rsid w:val="00076402"/>
    <w:rsid w:val="0007780F"/>
    <w:rsid w:val="000806B2"/>
    <w:rsid w:val="00083F24"/>
    <w:rsid w:val="00085405"/>
    <w:rsid w:val="00086D3B"/>
    <w:rsid w:val="00087D25"/>
    <w:rsid w:val="00090112"/>
    <w:rsid w:val="00093318"/>
    <w:rsid w:val="00093B3E"/>
    <w:rsid w:val="00095986"/>
    <w:rsid w:val="00095C17"/>
    <w:rsid w:val="00097176"/>
    <w:rsid w:val="00097A6C"/>
    <w:rsid w:val="000A49B9"/>
    <w:rsid w:val="000A62C0"/>
    <w:rsid w:val="000B068C"/>
    <w:rsid w:val="000B0C71"/>
    <w:rsid w:val="000B0D8C"/>
    <w:rsid w:val="000B25A6"/>
    <w:rsid w:val="000B2B39"/>
    <w:rsid w:val="000B36B2"/>
    <w:rsid w:val="000B5E76"/>
    <w:rsid w:val="000B6343"/>
    <w:rsid w:val="000B75D8"/>
    <w:rsid w:val="000C091B"/>
    <w:rsid w:val="000C1C12"/>
    <w:rsid w:val="000C2087"/>
    <w:rsid w:val="000C293C"/>
    <w:rsid w:val="000C3095"/>
    <w:rsid w:val="000C4A5A"/>
    <w:rsid w:val="000C4D1A"/>
    <w:rsid w:val="000C4D8F"/>
    <w:rsid w:val="000C51C6"/>
    <w:rsid w:val="000C5376"/>
    <w:rsid w:val="000C5490"/>
    <w:rsid w:val="000D09E4"/>
    <w:rsid w:val="000D2185"/>
    <w:rsid w:val="000D315F"/>
    <w:rsid w:val="000D477A"/>
    <w:rsid w:val="000D4E6C"/>
    <w:rsid w:val="000D507A"/>
    <w:rsid w:val="000D5235"/>
    <w:rsid w:val="000D56D6"/>
    <w:rsid w:val="000D639B"/>
    <w:rsid w:val="000D7A2E"/>
    <w:rsid w:val="000E0CE7"/>
    <w:rsid w:val="000E33B2"/>
    <w:rsid w:val="000E444D"/>
    <w:rsid w:val="000E553F"/>
    <w:rsid w:val="000E668D"/>
    <w:rsid w:val="000E669A"/>
    <w:rsid w:val="000E76CF"/>
    <w:rsid w:val="000F0521"/>
    <w:rsid w:val="000F1ADA"/>
    <w:rsid w:val="000F1B30"/>
    <w:rsid w:val="000F2B97"/>
    <w:rsid w:val="000F4CDF"/>
    <w:rsid w:val="000F4EE3"/>
    <w:rsid w:val="000F5150"/>
    <w:rsid w:val="000F5266"/>
    <w:rsid w:val="000F7DEA"/>
    <w:rsid w:val="0010054B"/>
    <w:rsid w:val="00100C6C"/>
    <w:rsid w:val="00100E11"/>
    <w:rsid w:val="00101204"/>
    <w:rsid w:val="00103447"/>
    <w:rsid w:val="00103D1E"/>
    <w:rsid w:val="00105091"/>
    <w:rsid w:val="0010577C"/>
    <w:rsid w:val="001065F5"/>
    <w:rsid w:val="00106CB0"/>
    <w:rsid w:val="001071D8"/>
    <w:rsid w:val="0010724F"/>
    <w:rsid w:val="00107E68"/>
    <w:rsid w:val="00110864"/>
    <w:rsid w:val="00114E66"/>
    <w:rsid w:val="00115B26"/>
    <w:rsid w:val="0012013A"/>
    <w:rsid w:val="00120836"/>
    <w:rsid w:val="00121689"/>
    <w:rsid w:val="00121894"/>
    <w:rsid w:val="00122053"/>
    <w:rsid w:val="001224D0"/>
    <w:rsid w:val="00123561"/>
    <w:rsid w:val="0012369E"/>
    <w:rsid w:val="001238EF"/>
    <w:rsid w:val="001254BD"/>
    <w:rsid w:val="00125D05"/>
    <w:rsid w:val="00126AA8"/>
    <w:rsid w:val="00126B9D"/>
    <w:rsid w:val="00127714"/>
    <w:rsid w:val="001277D2"/>
    <w:rsid w:val="00127D52"/>
    <w:rsid w:val="00127F90"/>
    <w:rsid w:val="00132608"/>
    <w:rsid w:val="00134038"/>
    <w:rsid w:val="001342DC"/>
    <w:rsid w:val="00134E38"/>
    <w:rsid w:val="00134F91"/>
    <w:rsid w:val="001358B3"/>
    <w:rsid w:val="0013740F"/>
    <w:rsid w:val="00140894"/>
    <w:rsid w:val="00142201"/>
    <w:rsid w:val="001435DC"/>
    <w:rsid w:val="00143788"/>
    <w:rsid w:val="001439DE"/>
    <w:rsid w:val="00143BCD"/>
    <w:rsid w:val="00144094"/>
    <w:rsid w:val="00144E6D"/>
    <w:rsid w:val="001506C4"/>
    <w:rsid w:val="00151B5B"/>
    <w:rsid w:val="001533D9"/>
    <w:rsid w:val="00153479"/>
    <w:rsid w:val="0015379F"/>
    <w:rsid w:val="00155E1E"/>
    <w:rsid w:val="00156999"/>
    <w:rsid w:val="00157360"/>
    <w:rsid w:val="00157680"/>
    <w:rsid w:val="00160C8B"/>
    <w:rsid w:val="00162255"/>
    <w:rsid w:val="0016352F"/>
    <w:rsid w:val="00163F01"/>
    <w:rsid w:val="00164EA1"/>
    <w:rsid w:val="001666AE"/>
    <w:rsid w:val="00166B70"/>
    <w:rsid w:val="00170078"/>
    <w:rsid w:val="0017013C"/>
    <w:rsid w:val="001719FC"/>
    <w:rsid w:val="00171C6C"/>
    <w:rsid w:val="001736D8"/>
    <w:rsid w:val="00173D8F"/>
    <w:rsid w:val="00174A8E"/>
    <w:rsid w:val="00174CD3"/>
    <w:rsid w:val="0017614A"/>
    <w:rsid w:val="00177658"/>
    <w:rsid w:val="00177845"/>
    <w:rsid w:val="00177EAF"/>
    <w:rsid w:val="00180596"/>
    <w:rsid w:val="001821FF"/>
    <w:rsid w:val="0018246D"/>
    <w:rsid w:val="001825DE"/>
    <w:rsid w:val="0018277F"/>
    <w:rsid w:val="0018333F"/>
    <w:rsid w:val="00186125"/>
    <w:rsid w:val="00187098"/>
    <w:rsid w:val="0018753B"/>
    <w:rsid w:val="00190487"/>
    <w:rsid w:val="001915E1"/>
    <w:rsid w:val="00192F0B"/>
    <w:rsid w:val="00193225"/>
    <w:rsid w:val="00193BFE"/>
    <w:rsid w:val="00194813"/>
    <w:rsid w:val="00194D26"/>
    <w:rsid w:val="0019724C"/>
    <w:rsid w:val="00197613"/>
    <w:rsid w:val="00197C77"/>
    <w:rsid w:val="001A00E9"/>
    <w:rsid w:val="001A2937"/>
    <w:rsid w:val="001A2C4F"/>
    <w:rsid w:val="001A2FFA"/>
    <w:rsid w:val="001A58E6"/>
    <w:rsid w:val="001A6B95"/>
    <w:rsid w:val="001A6FB8"/>
    <w:rsid w:val="001B03D1"/>
    <w:rsid w:val="001B0ED5"/>
    <w:rsid w:val="001B3372"/>
    <w:rsid w:val="001B3973"/>
    <w:rsid w:val="001B41DF"/>
    <w:rsid w:val="001B47BA"/>
    <w:rsid w:val="001B4CEF"/>
    <w:rsid w:val="001B7437"/>
    <w:rsid w:val="001C019B"/>
    <w:rsid w:val="001C0B12"/>
    <w:rsid w:val="001C1444"/>
    <w:rsid w:val="001C26E2"/>
    <w:rsid w:val="001C33D2"/>
    <w:rsid w:val="001C3B5D"/>
    <w:rsid w:val="001C57C9"/>
    <w:rsid w:val="001C58D2"/>
    <w:rsid w:val="001C77DD"/>
    <w:rsid w:val="001D0298"/>
    <w:rsid w:val="001D048B"/>
    <w:rsid w:val="001D04B9"/>
    <w:rsid w:val="001D06AA"/>
    <w:rsid w:val="001D08C9"/>
    <w:rsid w:val="001D2863"/>
    <w:rsid w:val="001D3190"/>
    <w:rsid w:val="001D3CF4"/>
    <w:rsid w:val="001D4396"/>
    <w:rsid w:val="001D4E95"/>
    <w:rsid w:val="001D6435"/>
    <w:rsid w:val="001D6B53"/>
    <w:rsid w:val="001E082F"/>
    <w:rsid w:val="001E092F"/>
    <w:rsid w:val="001E340F"/>
    <w:rsid w:val="001E54D4"/>
    <w:rsid w:val="001E6A43"/>
    <w:rsid w:val="001E6B40"/>
    <w:rsid w:val="001F0453"/>
    <w:rsid w:val="001F0F7D"/>
    <w:rsid w:val="001F4276"/>
    <w:rsid w:val="001F5767"/>
    <w:rsid w:val="001F679B"/>
    <w:rsid w:val="001F72D2"/>
    <w:rsid w:val="00200A04"/>
    <w:rsid w:val="00200D1E"/>
    <w:rsid w:val="00201731"/>
    <w:rsid w:val="002042AE"/>
    <w:rsid w:val="0020447E"/>
    <w:rsid w:val="002104C8"/>
    <w:rsid w:val="002112D2"/>
    <w:rsid w:val="0021181E"/>
    <w:rsid w:val="00212FCF"/>
    <w:rsid w:val="00213222"/>
    <w:rsid w:val="00213E4E"/>
    <w:rsid w:val="002140A5"/>
    <w:rsid w:val="00214265"/>
    <w:rsid w:val="00214A1E"/>
    <w:rsid w:val="00216A0A"/>
    <w:rsid w:val="002204DC"/>
    <w:rsid w:val="002208C3"/>
    <w:rsid w:val="00221ADC"/>
    <w:rsid w:val="00222D3C"/>
    <w:rsid w:val="00226A42"/>
    <w:rsid w:val="0022707A"/>
    <w:rsid w:val="00227E74"/>
    <w:rsid w:val="00230F99"/>
    <w:rsid w:val="0023169A"/>
    <w:rsid w:val="0023233D"/>
    <w:rsid w:val="00233DC7"/>
    <w:rsid w:val="002351C3"/>
    <w:rsid w:val="0023560F"/>
    <w:rsid w:val="00236276"/>
    <w:rsid w:val="00237095"/>
    <w:rsid w:val="002404B6"/>
    <w:rsid w:val="00240E1B"/>
    <w:rsid w:val="0024147C"/>
    <w:rsid w:val="00241C4C"/>
    <w:rsid w:val="0024388A"/>
    <w:rsid w:val="00243A5C"/>
    <w:rsid w:val="00244665"/>
    <w:rsid w:val="002448CF"/>
    <w:rsid w:val="00245273"/>
    <w:rsid w:val="002455C2"/>
    <w:rsid w:val="00247779"/>
    <w:rsid w:val="00250466"/>
    <w:rsid w:val="00251790"/>
    <w:rsid w:val="00251C2B"/>
    <w:rsid w:val="00251FC7"/>
    <w:rsid w:val="002520ED"/>
    <w:rsid w:val="002522A6"/>
    <w:rsid w:val="002534B0"/>
    <w:rsid w:val="00254075"/>
    <w:rsid w:val="002540C8"/>
    <w:rsid w:val="00255081"/>
    <w:rsid w:val="00255174"/>
    <w:rsid w:val="00255941"/>
    <w:rsid w:val="00255B30"/>
    <w:rsid w:val="002564A7"/>
    <w:rsid w:val="00256A07"/>
    <w:rsid w:val="00257269"/>
    <w:rsid w:val="002574CE"/>
    <w:rsid w:val="002629ED"/>
    <w:rsid w:val="00262DD8"/>
    <w:rsid w:val="00264D32"/>
    <w:rsid w:val="00264D76"/>
    <w:rsid w:val="00265785"/>
    <w:rsid w:val="00265F56"/>
    <w:rsid w:val="00266DAA"/>
    <w:rsid w:val="00272A80"/>
    <w:rsid w:val="0027349C"/>
    <w:rsid w:val="002744E3"/>
    <w:rsid w:val="002747FB"/>
    <w:rsid w:val="00274D94"/>
    <w:rsid w:val="002769EF"/>
    <w:rsid w:val="002777BF"/>
    <w:rsid w:val="00277827"/>
    <w:rsid w:val="00277921"/>
    <w:rsid w:val="00277A43"/>
    <w:rsid w:val="002804CE"/>
    <w:rsid w:val="00281803"/>
    <w:rsid w:val="00283324"/>
    <w:rsid w:val="002836F8"/>
    <w:rsid w:val="00284C54"/>
    <w:rsid w:val="00285BEE"/>
    <w:rsid w:val="00286997"/>
    <w:rsid w:val="00287AB5"/>
    <w:rsid w:val="002912E8"/>
    <w:rsid w:val="00292948"/>
    <w:rsid w:val="0029533F"/>
    <w:rsid w:val="00295555"/>
    <w:rsid w:val="00295B47"/>
    <w:rsid w:val="00297FBF"/>
    <w:rsid w:val="002A10EA"/>
    <w:rsid w:val="002A139E"/>
    <w:rsid w:val="002A15BC"/>
    <w:rsid w:val="002A25F9"/>
    <w:rsid w:val="002A361A"/>
    <w:rsid w:val="002A3C47"/>
    <w:rsid w:val="002A4A5F"/>
    <w:rsid w:val="002A4C5B"/>
    <w:rsid w:val="002A76BB"/>
    <w:rsid w:val="002B1E0B"/>
    <w:rsid w:val="002B26D9"/>
    <w:rsid w:val="002B30AF"/>
    <w:rsid w:val="002B353A"/>
    <w:rsid w:val="002B42CA"/>
    <w:rsid w:val="002B50EF"/>
    <w:rsid w:val="002B5543"/>
    <w:rsid w:val="002B5567"/>
    <w:rsid w:val="002B7B37"/>
    <w:rsid w:val="002C08D9"/>
    <w:rsid w:val="002C1B09"/>
    <w:rsid w:val="002C1B5E"/>
    <w:rsid w:val="002C2B64"/>
    <w:rsid w:val="002C2D83"/>
    <w:rsid w:val="002C55D0"/>
    <w:rsid w:val="002C6741"/>
    <w:rsid w:val="002C7175"/>
    <w:rsid w:val="002D1005"/>
    <w:rsid w:val="002D2E1A"/>
    <w:rsid w:val="002D2E5F"/>
    <w:rsid w:val="002D3CF8"/>
    <w:rsid w:val="002D4443"/>
    <w:rsid w:val="002D45A4"/>
    <w:rsid w:val="002D5201"/>
    <w:rsid w:val="002D5F6C"/>
    <w:rsid w:val="002D7B17"/>
    <w:rsid w:val="002E0F90"/>
    <w:rsid w:val="002E134B"/>
    <w:rsid w:val="002E1852"/>
    <w:rsid w:val="002E24F3"/>
    <w:rsid w:val="002E2CD8"/>
    <w:rsid w:val="002E35D2"/>
    <w:rsid w:val="002E4740"/>
    <w:rsid w:val="002E53C0"/>
    <w:rsid w:val="002E583F"/>
    <w:rsid w:val="002E746F"/>
    <w:rsid w:val="002E79EF"/>
    <w:rsid w:val="002E7D29"/>
    <w:rsid w:val="002F01FF"/>
    <w:rsid w:val="002F0482"/>
    <w:rsid w:val="002F0F99"/>
    <w:rsid w:val="002F134B"/>
    <w:rsid w:val="002F1B91"/>
    <w:rsid w:val="002F2310"/>
    <w:rsid w:val="002F25C5"/>
    <w:rsid w:val="002F33A3"/>
    <w:rsid w:val="002F4566"/>
    <w:rsid w:val="002F58E1"/>
    <w:rsid w:val="002F625F"/>
    <w:rsid w:val="002F793D"/>
    <w:rsid w:val="00300C3F"/>
    <w:rsid w:val="00301E79"/>
    <w:rsid w:val="00307DB0"/>
    <w:rsid w:val="0031000D"/>
    <w:rsid w:val="00311CA2"/>
    <w:rsid w:val="003124F5"/>
    <w:rsid w:val="00312ED5"/>
    <w:rsid w:val="00315E76"/>
    <w:rsid w:val="00316CF7"/>
    <w:rsid w:val="00316FE8"/>
    <w:rsid w:val="003170B5"/>
    <w:rsid w:val="00320259"/>
    <w:rsid w:val="00320E5E"/>
    <w:rsid w:val="00323416"/>
    <w:rsid w:val="003238E3"/>
    <w:rsid w:val="00324216"/>
    <w:rsid w:val="00325F8A"/>
    <w:rsid w:val="003275F1"/>
    <w:rsid w:val="003322AE"/>
    <w:rsid w:val="00332646"/>
    <w:rsid w:val="0033344A"/>
    <w:rsid w:val="0033356A"/>
    <w:rsid w:val="0033384D"/>
    <w:rsid w:val="003338BA"/>
    <w:rsid w:val="00333DC2"/>
    <w:rsid w:val="003368D9"/>
    <w:rsid w:val="003372A3"/>
    <w:rsid w:val="00337B66"/>
    <w:rsid w:val="00337F38"/>
    <w:rsid w:val="00342640"/>
    <w:rsid w:val="00342900"/>
    <w:rsid w:val="00342DAE"/>
    <w:rsid w:val="003449D3"/>
    <w:rsid w:val="00346691"/>
    <w:rsid w:val="00346B35"/>
    <w:rsid w:val="0034764E"/>
    <w:rsid w:val="003479A4"/>
    <w:rsid w:val="00347EA1"/>
    <w:rsid w:val="00347F68"/>
    <w:rsid w:val="0035284C"/>
    <w:rsid w:val="00353302"/>
    <w:rsid w:val="0035531C"/>
    <w:rsid w:val="00355408"/>
    <w:rsid w:val="003559A5"/>
    <w:rsid w:val="00355AF8"/>
    <w:rsid w:val="00356E6B"/>
    <w:rsid w:val="0035711B"/>
    <w:rsid w:val="003576C9"/>
    <w:rsid w:val="0036028F"/>
    <w:rsid w:val="00360B8E"/>
    <w:rsid w:val="00360EA1"/>
    <w:rsid w:val="00362084"/>
    <w:rsid w:val="00362E49"/>
    <w:rsid w:val="00362FD0"/>
    <w:rsid w:val="00363BD7"/>
    <w:rsid w:val="00364FA0"/>
    <w:rsid w:val="00370A64"/>
    <w:rsid w:val="00371D1F"/>
    <w:rsid w:val="0037229B"/>
    <w:rsid w:val="003722D8"/>
    <w:rsid w:val="00374229"/>
    <w:rsid w:val="00374D1C"/>
    <w:rsid w:val="0037694E"/>
    <w:rsid w:val="00377A8C"/>
    <w:rsid w:val="00380F08"/>
    <w:rsid w:val="003813F7"/>
    <w:rsid w:val="00381B84"/>
    <w:rsid w:val="00382A72"/>
    <w:rsid w:val="00383427"/>
    <w:rsid w:val="00384053"/>
    <w:rsid w:val="003843FA"/>
    <w:rsid w:val="00384990"/>
    <w:rsid w:val="00385CAB"/>
    <w:rsid w:val="00385DFD"/>
    <w:rsid w:val="00385E61"/>
    <w:rsid w:val="00387080"/>
    <w:rsid w:val="00387539"/>
    <w:rsid w:val="00387ADE"/>
    <w:rsid w:val="00392080"/>
    <w:rsid w:val="0039297B"/>
    <w:rsid w:val="00392DD9"/>
    <w:rsid w:val="00396156"/>
    <w:rsid w:val="003A03FF"/>
    <w:rsid w:val="003A14C8"/>
    <w:rsid w:val="003A24CD"/>
    <w:rsid w:val="003A396F"/>
    <w:rsid w:val="003A69C5"/>
    <w:rsid w:val="003A6ABA"/>
    <w:rsid w:val="003A6DDF"/>
    <w:rsid w:val="003A776B"/>
    <w:rsid w:val="003B1730"/>
    <w:rsid w:val="003B2449"/>
    <w:rsid w:val="003B2E7D"/>
    <w:rsid w:val="003B3009"/>
    <w:rsid w:val="003B59ED"/>
    <w:rsid w:val="003B614D"/>
    <w:rsid w:val="003B6A90"/>
    <w:rsid w:val="003B6CAB"/>
    <w:rsid w:val="003C0191"/>
    <w:rsid w:val="003C0F91"/>
    <w:rsid w:val="003C1BBA"/>
    <w:rsid w:val="003C34DC"/>
    <w:rsid w:val="003C5364"/>
    <w:rsid w:val="003C580F"/>
    <w:rsid w:val="003C6B4F"/>
    <w:rsid w:val="003C7094"/>
    <w:rsid w:val="003C74EE"/>
    <w:rsid w:val="003D0624"/>
    <w:rsid w:val="003D0842"/>
    <w:rsid w:val="003D2F6F"/>
    <w:rsid w:val="003D344D"/>
    <w:rsid w:val="003D574C"/>
    <w:rsid w:val="003D5B7F"/>
    <w:rsid w:val="003D5E3F"/>
    <w:rsid w:val="003D711E"/>
    <w:rsid w:val="003D78DC"/>
    <w:rsid w:val="003E195F"/>
    <w:rsid w:val="003E24DC"/>
    <w:rsid w:val="003E28A6"/>
    <w:rsid w:val="003E3810"/>
    <w:rsid w:val="003E416C"/>
    <w:rsid w:val="003E6044"/>
    <w:rsid w:val="003E7EEC"/>
    <w:rsid w:val="003E7FC0"/>
    <w:rsid w:val="003F4464"/>
    <w:rsid w:val="003F572E"/>
    <w:rsid w:val="003F5C57"/>
    <w:rsid w:val="003F5F55"/>
    <w:rsid w:val="003F6848"/>
    <w:rsid w:val="00400515"/>
    <w:rsid w:val="00401F72"/>
    <w:rsid w:val="0040316E"/>
    <w:rsid w:val="00404707"/>
    <w:rsid w:val="00405EBE"/>
    <w:rsid w:val="00406FD7"/>
    <w:rsid w:val="004074C6"/>
    <w:rsid w:val="00407ABC"/>
    <w:rsid w:val="0041179B"/>
    <w:rsid w:val="00411B8F"/>
    <w:rsid w:val="00413864"/>
    <w:rsid w:val="00413C6E"/>
    <w:rsid w:val="00414822"/>
    <w:rsid w:val="00414CC3"/>
    <w:rsid w:val="00414D5B"/>
    <w:rsid w:val="004155D7"/>
    <w:rsid w:val="00417089"/>
    <w:rsid w:val="00417E77"/>
    <w:rsid w:val="00420310"/>
    <w:rsid w:val="00421A6E"/>
    <w:rsid w:val="00421B16"/>
    <w:rsid w:val="00421EE1"/>
    <w:rsid w:val="004246F3"/>
    <w:rsid w:val="0042648E"/>
    <w:rsid w:val="00426B16"/>
    <w:rsid w:val="00426B30"/>
    <w:rsid w:val="00426DBA"/>
    <w:rsid w:val="00430DC3"/>
    <w:rsid w:val="00431A89"/>
    <w:rsid w:val="00431A9C"/>
    <w:rsid w:val="0043284D"/>
    <w:rsid w:val="0043328A"/>
    <w:rsid w:val="00436E75"/>
    <w:rsid w:val="00440133"/>
    <w:rsid w:val="00441898"/>
    <w:rsid w:val="004428BA"/>
    <w:rsid w:val="00444A60"/>
    <w:rsid w:val="00445490"/>
    <w:rsid w:val="00446FBE"/>
    <w:rsid w:val="004472B5"/>
    <w:rsid w:val="00447300"/>
    <w:rsid w:val="0044763D"/>
    <w:rsid w:val="004512E4"/>
    <w:rsid w:val="0045130F"/>
    <w:rsid w:val="00451379"/>
    <w:rsid w:val="00452D77"/>
    <w:rsid w:val="004536BC"/>
    <w:rsid w:val="00453957"/>
    <w:rsid w:val="00454117"/>
    <w:rsid w:val="0045505C"/>
    <w:rsid w:val="004563E8"/>
    <w:rsid w:val="00456E3F"/>
    <w:rsid w:val="004574A9"/>
    <w:rsid w:val="004576BA"/>
    <w:rsid w:val="00462171"/>
    <w:rsid w:val="004624A9"/>
    <w:rsid w:val="00462C80"/>
    <w:rsid w:val="00464F25"/>
    <w:rsid w:val="0046594D"/>
    <w:rsid w:val="00467B97"/>
    <w:rsid w:val="00470181"/>
    <w:rsid w:val="00470BBE"/>
    <w:rsid w:val="00471085"/>
    <w:rsid w:val="004714DA"/>
    <w:rsid w:val="00471CF7"/>
    <w:rsid w:val="0047214E"/>
    <w:rsid w:val="00473317"/>
    <w:rsid w:val="00473EED"/>
    <w:rsid w:val="0047488B"/>
    <w:rsid w:val="00474B40"/>
    <w:rsid w:val="004752F7"/>
    <w:rsid w:val="00475907"/>
    <w:rsid w:val="0047636E"/>
    <w:rsid w:val="00480B36"/>
    <w:rsid w:val="00480C91"/>
    <w:rsid w:val="00480D38"/>
    <w:rsid w:val="00481BA7"/>
    <w:rsid w:val="00481DBD"/>
    <w:rsid w:val="004822B6"/>
    <w:rsid w:val="00482E4A"/>
    <w:rsid w:val="00482F26"/>
    <w:rsid w:val="00483F13"/>
    <w:rsid w:val="00483F40"/>
    <w:rsid w:val="00486F39"/>
    <w:rsid w:val="00487863"/>
    <w:rsid w:val="00487905"/>
    <w:rsid w:val="00487F89"/>
    <w:rsid w:val="0049081F"/>
    <w:rsid w:val="00490827"/>
    <w:rsid w:val="004936D2"/>
    <w:rsid w:val="00495D25"/>
    <w:rsid w:val="004A1FC2"/>
    <w:rsid w:val="004A5684"/>
    <w:rsid w:val="004A58BA"/>
    <w:rsid w:val="004A6335"/>
    <w:rsid w:val="004A6D25"/>
    <w:rsid w:val="004A7168"/>
    <w:rsid w:val="004B01B6"/>
    <w:rsid w:val="004B127F"/>
    <w:rsid w:val="004B254F"/>
    <w:rsid w:val="004B4CB6"/>
    <w:rsid w:val="004B5954"/>
    <w:rsid w:val="004B59E3"/>
    <w:rsid w:val="004B72DD"/>
    <w:rsid w:val="004B7676"/>
    <w:rsid w:val="004C25CE"/>
    <w:rsid w:val="004C2A7A"/>
    <w:rsid w:val="004C3602"/>
    <w:rsid w:val="004C4A4D"/>
    <w:rsid w:val="004C5122"/>
    <w:rsid w:val="004C5441"/>
    <w:rsid w:val="004C58A1"/>
    <w:rsid w:val="004C6401"/>
    <w:rsid w:val="004C7591"/>
    <w:rsid w:val="004D3A7E"/>
    <w:rsid w:val="004D582F"/>
    <w:rsid w:val="004D5C5A"/>
    <w:rsid w:val="004D66C0"/>
    <w:rsid w:val="004E08CF"/>
    <w:rsid w:val="004E2634"/>
    <w:rsid w:val="004E2AB6"/>
    <w:rsid w:val="004E2C71"/>
    <w:rsid w:val="004E3A40"/>
    <w:rsid w:val="004E57F6"/>
    <w:rsid w:val="004E6B32"/>
    <w:rsid w:val="004F126B"/>
    <w:rsid w:val="004F2CCF"/>
    <w:rsid w:val="004F321A"/>
    <w:rsid w:val="004F3CFB"/>
    <w:rsid w:val="004F4905"/>
    <w:rsid w:val="004F4B40"/>
    <w:rsid w:val="004F5807"/>
    <w:rsid w:val="004F6F81"/>
    <w:rsid w:val="004F723D"/>
    <w:rsid w:val="00500015"/>
    <w:rsid w:val="0050059F"/>
    <w:rsid w:val="00501033"/>
    <w:rsid w:val="005019ED"/>
    <w:rsid w:val="00502796"/>
    <w:rsid w:val="0050459E"/>
    <w:rsid w:val="00504713"/>
    <w:rsid w:val="00504EE8"/>
    <w:rsid w:val="00505252"/>
    <w:rsid w:val="005060B2"/>
    <w:rsid w:val="005079F4"/>
    <w:rsid w:val="0051020D"/>
    <w:rsid w:val="00511F86"/>
    <w:rsid w:val="00513C98"/>
    <w:rsid w:val="00517724"/>
    <w:rsid w:val="00520863"/>
    <w:rsid w:val="005209A1"/>
    <w:rsid w:val="00520B28"/>
    <w:rsid w:val="00522E1E"/>
    <w:rsid w:val="00526166"/>
    <w:rsid w:val="00526540"/>
    <w:rsid w:val="00526750"/>
    <w:rsid w:val="00527018"/>
    <w:rsid w:val="0052781B"/>
    <w:rsid w:val="00527EED"/>
    <w:rsid w:val="00531E57"/>
    <w:rsid w:val="005322DE"/>
    <w:rsid w:val="005325F9"/>
    <w:rsid w:val="00533BAA"/>
    <w:rsid w:val="0053550A"/>
    <w:rsid w:val="00535911"/>
    <w:rsid w:val="0053695A"/>
    <w:rsid w:val="00537404"/>
    <w:rsid w:val="00537F3C"/>
    <w:rsid w:val="00540013"/>
    <w:rsid w:val="00540588"/>
    <w:rsid w:val="005420DB"/>
    <w:rsid w:val="005424D8"/>
    <w:rsid w:val="005437AD"/>
    <w:rsid w:val="00543A8A"/>
    <w:rsid w:val="00544CF4"/>
    <w:rsid w:val="00544F46"/>
    <w:rsid w:val="00547156"/>
    <w:rsid w:val="005528B6"/>
    <w:rsid w:val="005531F3"/>
    <w:rsid w:val="005539C3"/>
    <w:rsid w:val="0055445C"/>
    <w:rsid w:val="005577E9"/>
    <w:rsid w:val="00557FDA"/>
    <w:rsid w:val="0056021D"/>
    <w:rsid w:val="005606C9"/>
    <w:rsid w:val="00560E1F"/>
    <w:rsid w:val="0056132B"/>
    <w:rsid w:val="005625F2"/>
    <w:rsid w:val="00562696"/>
    <w:rsid w:val="00563782"/>
    <w:rsid w:val="005644A2"/>
    <w:rsid w:val="005656DB"/>
    <w:rsid w:val="00566E8C"/>
    <w:rsid w:val="0056702A"/>
    <w:rsid w:val="00567183"/>
    <w:rsid w:val="005671CB"/>
    <w:rsid w:val="00567CE9"/>
    <w:rsid w:val="0057084E"/>
    <w:rsid w:val="005714E4"/>
    <w:rsid w:val="0057216B"/>
    <w:rsid w:val="005721B3"/>
    <w:rsid w:val="0057231D"/>
    <w:rsid w:val="005727F7"/>
    <w:rsid w:val="00572BCC"/>
    <w:rsid w:val="005738E8"/>
    <w:rsid w:val="00574520"/>
    <w:rsid w:val="00575152"/>
    <w:rsid w:val="005756CC"/>
    <w:rsid w:val="005769EC"/>
    <w:rsid w:val="00577D55"/>
    <w:rsid w:val="00577DC7"/>
    <w:rsid w:val="00577EAE"/>
    <w:rsid w:val="005802DA"/>
    <w:rsid w:val="0058030F"/>
    <w:rsid w:val="00580FCC"/>
    <w:rsid w:val="0058175A"/>
    <w:rsid w:val="00582D4F"/>
    <w:rsid w:val="00582FE9"/>
    <w:rsid w:val="0058359E"/>
    <w:rsid w:val="00583A88"/>
    <w:rsid w:val="00583BF1"/>
    <w:rsid w:val="00583F21"/>
    <w:rsid w:val="00583F4F"/>
    <w:rsid w:val="00585FE5"/>
    <w:rsid w:val="005903A2"/>
    <w:rsid w:val="00590B77"/>
    <w:rsid w:val="00590F01"/>
    <w:rsid w:val="00591AA1"/>
    <w:rsid w:val="00591D82"/>
    <w:rsid w:val="00592849"/>
    <w:rsid w:val="00592EFD"/>
    <w:rsid w:val="005933DE"/>
    <w:rsid w:val="005944AF"/>
    <w:rsid w:val="00594843"/>
    <w:rsid w:val="005954ED"/>
    <w:rsid w:val="005960E6"/>
    <w:rsid w:val="005966C5"/>
    <w:rsid w:val="005A2F93"/>
    <w:rsid w:val="005A2FEB"/>
    <w:rsid w:val="005A3263"/>
    <w:rsid w:val="005A3675"/>
    <w:rsid w:val="005A559F"/>
    <w:rsid w:val="005A5B7A"/>
    <w:rsid w:val="005A78ED"/>
    <w:rsid w:val="005A7A19"/>
    <w:rsid w:val="005B1EB6"/>
    <w:rsid w:val="005B29E1"/>
    <w:rsid w:val="005B4A7E"/>
    <w:rsid w:val="005B603E"/>
    <w:rsid w:val="005B7423"/>
    <w:rsid w:val="005C0945"/>
    <w:rsid w:val="005C0E12"/>
    <w:rsid w:val="005C17A0"/>
    <w:rsid w:val="005C1EB7"/>
    <w:rsid w:val="005C23D1"/>
    <w:rsid w:val="005C28F4"/>
    <w:rsid w:val="005C3460"/>
    <w:rsid w:val="005C5BE4"/>
    <w:rsid w:val="005D0A67"/>
    <w:rsid w:val="005D1B87"/>
    <w:rsid w:val="005D2F2C"/>
    <w:rsid w:val="005D31F8"/>
    <w:rsid w:val="005D36A7"/>
    <w:rsid w:val="005D55D8"/>
    <w:rsid w:val="005D57DD"/>
    <w:rsid w:val="005D60AA"/>
    <w:rsid w:val="005D6610"/>
    <w:rsid w:val="005D66B1"/>
    <w:rsid w:val="005D7127"/>
    <w:rsid w:val="005E00DC"/>
    <w:rsid w:val="005E0DD5"/>
    <w:rsid w:val="005E1DBE"/>
    <w:rsid w:val="005E4FD5"/>
    <w:rsid w:val="005E7CEE"/>
    <w:rsid w:val="005F0FFC"/>
    <w:rsid w:val="005F1C42"/>
    <w:rsid w:val="005F1E43"/>
    <w:rsid w:val="005F2E01"/>
    <w:rsid w:val="005F3737"/>
    <w:rsid w:val="005F3E0D"/>
    <w:rsid w:val="005F5F47"/>
    <w:rsid w:val="005F6E1A"/>
    <w:rsid w:val="005F7527"/>
    <w:rsid w:val="005F76E8"/>
    <w:rsid w:val="006002FD"/>
    <w:rsid w:val="006009DF"/>
    <w:rsid w:val="006021CF"/>
    <w:rsid w:val="00602BD3"/>
    <w:rsid w:val="00602F9C"/>
    <w:rsid w:val="006030EF"/>
    <w:rsid w:val="00604559"/>
    <w:rsid w:val="006054D2"/>
    <w:rsid w:val="00606B63"/>
    <w:rsid w:val="00611D9A"/>
    <w:rsid w:val="00612B35"/>
    <w:rsid w:val="00612C3D"/>
    <w:rsid w:val="00614E95"/>
    <w:rsid w:val="00617944"/>
    <w:rsid w:val="00621A08"/>
    <w:rsid w:val="00622199"/>
    <w:rsid w:val="00624063"/>
    <w:rsid w:val="006244DB"/>
    <w:rsid w:val="00624CDD"/>
    <w:rsid w:val="00625987"/>
    <w:rsid w:val="00626DF0"/>
    <w:rsid w:val="00627DA3"/>
    <w:rsid w:val="00630944"/>
    <w:rsid w:val="006327E2"/>
    <w:rsid w:val="00633AA7"/>
    <w:rsid w:val="00633EAC"/>
    <w:rsid w:val="00633F7A"/>
    <w:rsid w:val="00634162"/>
    <w:rsid w:val="00635CB2"/>
    <w:rsid w:val="00635FC7"/>
    <w:rsid w:val="0063678F"/>
    <w:rsid w:val="006375DE"/>
    <w:rsid w:val="00637638"/>
    <w:rsid w:val="00641626"/>
    <w:rsid w:val="00641CC8"/>
    <w:rsid w:val="006420B3"/>
    <w:rsid w:val="006453AE"/>
    <w:rsid w:val="00645433"/>
    <w:rsid w:val="006477F9"/>
    <w:rsid w:val="00651CA6"/>
    <w:rsid w:val="00652D47"/>
    <w:rsid w:val="006532E0"/>
    <w:rsid w:val="00654039"/>
    <w:rsid w:val="00654D5A"/>
    <w:rsid w:val="00655FEE"/>
    <w:rsid w:val="00656AE4"/>
    <w:rsid w:val="00657142"/>
    <w:rsid w:val="00657AA2"/>
    <w:rsid w:val="00657FD1"/>
    <w:rsid w:val="006611B2"/>
    <w:rsid w:val="0066132C"/>
    <w:rsid w:val="006628F6"/>
    <w:rsid w:val="00662CB4"/>
    <w:rsid w:val="00662F16"/>
    <w:rsid w:val="00663727"/>
    <w:rsid w:val="00663F28"/>
    <w:rsid w:val="00665340"/>
    <w:rsid w:val="006657B6"/>
    <w:rsid w:val="006667CF"/>
    <w:rsid w:val="00667E36"/>
    <w:rsid w:val="0067188C"/>
    <w:rsid w:val="00673D36"/>
    <w:rsid w:val="00675365"/>
    <w:rsid w:val="00676CA4"/>
    <w:rsid w:val="00677859"/>
    <w:rsid w:val="00677FA6"/>
    <w:rsid w:val="006841AD"/>
    <w:rsid w:val="00684755"/>
    <w:rsid w:val="00685099"/>
    <w:rsid w:val="00685E5A"/>
    <w:rsid w:val="00685FE2"/>
    <w:rsid w:val="00686E05"/>
    <w:rsid w:val="00687026"/>
    <w:rsid w:val="006873B5"/>
    <w:rsid w:val="00690315"/>
    <w:rsid w:val="006930A5"/>
    <w:rsid w:val="00694826"/>
    <w:rsid w:val="00694B6E"/>
    <w:rsid w:val="006959D5"/>
    <w:rsid w:val="00695A56"/>
    <w:rsid w:val="00696E6B"/>
    <w:rsid w:val="006A07F3"/>
    <w:rsid w:val="006A1F05"/>
    <w:rsid w:val="006A26ED"/>
    <w:rsid w:val="006A2CCC"/>
    <w:rsid w:val="006A4336"/>
    <w:rsid w:val="006A43DF"/>
    <w:rsid w:val="006A60AC"/>
    <w:rsid w:val="006A663D"/>
    <w:rsid w:val="006A7060"/>
    <w:rsid w:val="006A7573"/>
    <w:rsid w:val="006B120B"/>
    <w:rsid w:val="006B137E"/>
    <w:rsid w:val="006B1F59"/>
    <w:rsid w:val="006B21F3"/>
    <w:rsid w:val="006B294A"/>
    <w:rsid w:val="006B40E7"/>
    <w:rsid w:val="006B4B5A"/>
    <w:rsid w:val="006B7711"/>
    <w:rsid w:val="006C0B38"/>
    <w:rsid w:val="006C3580"/>
    <w:rsid w:val="006C3710"/>
    <w:rsid w:val="006C3D91"/>
    <w:rsid w:val="006C48B7"/>
    <w:rsid w:val="006D2E4F"/>
    <w:rsid w:val="006D4897"/>
    <w:rsid w:val="006D496F"/>
    <w:rsid w:val="006E0058"/>
    <w:rsid w:val="006E0DF6"/>
    <w:rsid w:val="006E15BF"/>
    <w:rsid w:val="006E16A4"/>
    <w:rsid w:val="006E28DF"/>
    <w:rsid w:val="006E30B6"/>
    <w:rsid w:val="006E3BD2"/>
    <w:rsid w:val="006E4B22"/>
    <w:rsid w:val="006E5AE9"/>
    <w:rsid w:val="006E5F07"/>
    <w:rsid w:val="006E6D7B"/>
    <w:rsid w:val="006F0F3E"/>
    <w:rsid w:val="006F123F"/>
    <w:rsid w:val="006F27C7"/>
    <w:rsid w:val="006F5226"/>
    <w:rsid w:val="006F5683"/>
    <w:rsid w:val="006F613E"/>
    <w:rsid w:val="006F7A0A"/>
    <w:rsid w:val="006F7AAA"/>
    <w:rsid w:val="00700132"/>
    <w:rsid w:val="00700366"/>
    <w:rsid w:val="0070125D"/>
    <w:rsid w:val="00702B81"/>
    <w:rsid w:val="0070575B"/>
    <w:rsid w:val="00705CBD"/>
    <w:rsid w:val="00706B0C"/>
    <w:rsid w:val="00707878"/>
    <w:rsid w:val="007102BA"/>
    <w:rsid w:val="00713C87"/>
    <w:rsid w:val="00714FA9"/>
    <w:rsid w:val="00715004"/>
    <w:rsid w:val="0071577F"/>
    <w:rsid w:val="00715CC1"/>
    <w:rsid w:val="00716506"/>
    <w:rsid w:val="00720328"/>
    <w:rsid w:val="0072196B"/>
    <w:rsid w:val="00721EEE"/>
    <w:rsid w:val="007221E2"/>
    <w:rsid w:val="00723B16"/>
    <w:rsid w:val="007246A7"/>
    <w:rsid w:val="007254CF"/>
    <w:rsid w:val="00725A7F"/>
    <w:rsid w:val="0072611C"/>
    <w:rsid w:val="00727660"/>
    <w:rsid w:val="00727C56"/>
    <w:rsid w:val="00732CBF"/>
    <w:rsid w:val="007331B8"/>
    <w:rsid w:val="00733255"/>
    <w:rsid w:val="00735370"/>
    <w:rsid w:val="007362B2"/>
    <w:rsid w:val="00736E4B"/>
    <w:rsid w:val="00737D33"/>
    <w:rsid w:val="00742666"/>
    <w:rsid w:val="00742863"/>
    <w:rsid w:val="00745E25"/>
    <w:rsid w:val="007461D9"/>
    <w:rsid w:val="00747064"/>
    <w:rsid w:val="007507D4"/>
    <w:rsid w:val="0075116F"/>
    <w:rsid w:val="007521CC"/>
    <w:rsid w:val="00753468"/>
    <w:rsid w:val="00753789"/>
    <w:rsid w:val="00754492"/>
    <w:rsid w:val="007549B0"/>
    <w:rsid w:val="00755DAC"/>
    <w:rsid w:val="00757576"/>
    <w:rsid w:val="0075771F"/>
    <w:rsid w:val="00760482"/>
    <w:rsid w:val="00760A25"/>
    <w:rsid w:val="00761237"/>
    <w:rsid w:val="00761C78"/>
    <w:rsid w:val="00762507"/>
    <w:rsid w:val="00763E82"/>
    <w:rsid w:val="0076491C"/>
    <w:rsid w:val="00764EFF"/>
    <w:rsid w:val="00765003"/>
    <w:rsid w:val="0076568F"/>
    <w:rsid w:val="0076661A"/>
    <w:rsid w:val="00767451"/>
    <w:rsid w:val="00771C1E"/>
    <w:rsid w:val="00773331"/>
    <w:rsid w:val="00773F5B"/>
    <w:rsid w:val="00774697"/>
    <w:rsid w:val="00774E20"/>
    <w:rsid w:val="00775F83"/>
    <w:rsid w:val="0078110C"/>
    <w:rsid w:val="00781D32"/>
    <w:rsid w:val="0078223F"/>
    <w:rsid w:val="007829B8"/>
    <w:rsid w:val="00783E32"/>
    <w:rsid w:val="007868A2"/>
    <w:rsid w:val="00786F1C"/>
    <w:rsid w:val="00787415"/>
    <w:rsid w:val="00792333"/>
    <w:rsid w:val="007926CC"/>
    <w:rsid w:val="007927AE"/>
    <w:rsid w:val="007932EF"/>
    <w:rsid w:val="00793A69"/>
    <w:rsid w:val="00795EF5"/>
    <w:rsid w:val="00796681"/>
    <w:rsid w:val="007A000D"/>
    <w:rsid w:val="007A12D0"/>
    <w:rsid w:val="007A18F7"/>
    <w:rsid w:val="007A1CDC"/>
    <w:rsid w:val="007A1E93"/>
    <w:rsid w:val="007A253E"/>
    <w:rsid w:val="007A258E"/>
    <w:rsid w:val="007A36FE"/>
    <w:rsid w:val="007A57C0"/>
    <w:rsid w:val="007B0321"/>
    <w:rsid w:val="007B0AE7"/>
    <w:rsid w:val="007B0BA7"/>
    <w:rsid w:val="007B18B0"/>
    <w:rsid w:val="007B2C58"/>
    <w:rsid w:val="007B2FC2"/>
    <w:rsid w:val="007B32CF"/>
    <w:rsid w:val="007B358A"/>
    <w:rsid w:val="007B47CE"/>
    <w:rsid w:val="007B47ED"/>
    <w:rsid w:val="007B4871"/>
    <w:rsid w:val="007B5033"/>
    <w:rsid w:val="007B5983"/>
    <w:rsid w:val="007C06A0"/>
    <w:rsid w:val="007C09E9"/>
    <w:rsid w:val="007C0B9A"/>
    <w:rsid w:val="007C1723"/>
    <w:rsid w:val="007C2865"/>
    <w:rsid w:val="007C56C2"/>
    <w:rsid w:val="007C67D7"/>
    <w:rsid w:val="007D1703"/>
    <w:rsid w:val="007D191B"/>
    <w:rsid w:val="007D1977"/>
    <w:rsid w:val="007D2291"/>
    <w:rsid w:val="007D23D7"/>
    <w:rsid w:val="007D28FF"/>
    <w:rsid w:val="007D2C27"/>
    <w:rsid w:val="007D3114"/>
    <w:rsid w:val="007D46BE"/>
    <w:rsid w:val="007D5CD6"/>
    <w:rsid w:val="007D5EC0"/>
    <w:rsid w:val="007D65B1"/>
    <w:rsid w:val="007D7903"/>
    <w:rsid w:val="007E05B0"/>
    <w:rsid w:val="007E275E"/>
    <w:rsid w:val="007E4F9F"/>
    <w:rsid w:val="007E5930"/>
    <w:rsid w:val="007E5BDE"/>
    <w:rsid w:val="007F136F"/>
    <w:rsid w:val="007F163F"/>
    <w:rsid w:val="007F2F73"/>
    <w:rsid w:val="007F3DA6"/>
    <w:rsid w:val="007F4A06"/>
    <w:rsid w:val="007F5056"/>
    <w:rsid w:val="007F5564"/>
    <w:rsid w:val="007F5A56"/>
    <w:rsid w:val="007F625A"/>
    <w:rsid w:val="007F6BE7"/>
    <w:rsid w:val="007F70C0"/>
    <w:rsid w:val="007F74F3"/>
    <w:rsid w:val="007F7636"/>
    <w:rsid w:val="007F7E87"/>
    <w:rsid w:val="0080108C"/>
    <w:rsid w:val="00803728"/>
    <w:rsid w:val="008054CC"/>
    <w:rsid w:val="00805C44"/>
    <w:rsid w:val="008064B6"/>
    <w:rsid w:val="00810559"/>
    <w:rsid w:val="008158F5"/>
    <w:rsid w:val="00816091"/>
    <w:rsid w:val="00816152"/>
    <w:rsid w:val="0081655F"/>
    <w:rsid w:val="00817177"/>
    <w:rsid w:val="00820454"/>
    <w:rsid w:val="00820D52"/>
    <w:rsid w:val="00822719"/>
    <w:rsid w:val="008229FD"/>
    <w:rsid w:val="00824748"/>
    <w:rsid w:val="00824F4F"/>
    <w:rsid w:val="00826A89"/>
    <w:rsid w:val="00826C20"/>
    <w:rsid w:val="00826EAB"/>
    <w:rsid w:val="00827834"/>
    <w:rsid w:val="00830173"/>
    <w:rsid w:val="00830479"/>
    <w:rsid w:val="00830817"/>
    <w:rsid w:val="00831DA2"/>
    <w:rsid w:val="0083374C"/>
    <w:rsid w:val="00834BEC"/>
    <w:rsid w:val="00835227"/>
    <w:rsid w:val="00835B2A"/>
    <w:rsid w:val="00836240"/>
    <w:rsid w:val="00840CF8"/>
    <w:rsid w:val="008412E4"/>
    <w:rsid w:val="00841772"/>
    <w:rsid w:val="00841FD5"/>
    <w:rsid w:val="00843C1C"/>
    <w:rsid w:val="00845422"/>
    <w:rsid w:val="00846151"/>
    <w:rsid w:val="00846401"/>
    <w:rsid w:val="008464A7"/>
    <w:rsid w:val="00846AC5"/>
    <w:rsid w:val="008508D8"/>
    <w:rsid w:val="00851FA1"/>
    <w:rsid w:val="00852C43"/>
    <w:rsid w:val="00853B55"/>
    <w:rsid w:val="008549BD"/>
    <w:rsid w:val="00856FD6"/>
    <w:rsid w:val="0085750A"/>
    <w:rsid w:val="0086033C"/>
    <w:rsid w:val="0086172D"/>
    <w:rsid w:val="00861A2C"/>
    <w:rsid w:val="00861D13"/>
    <w:rsid w:val="00862A5C"/>
    <w:rsid w:val="008632FC"/>
    <w:rsid w:val="008636E4"/>
    <w:rsid w:val="00863EB7"/>
    <w:rsid w:val="00864272"/>
    <w:rsid w:val="00865F92"/>
    <w:rsid w:val="00866E94"/>
    <w:rsid w:val="008678DA"/>
    <w:rsid w:val="00870C7C"/>
    <w:rsid w:val="00870D23"/>
    <w:rsid w:val="00870F01"/>
    <w:rsid w:val="00871095"/>
    <w:rsid w:val="00873E3A"/>
    <w:rsid w:val="00874D22"/>
    <w:rsid w:val="00877CC2"/>
    <w:rsid w:val="00880017"/>
    <w:rsid w:val="00880500"/>
    <w:rsid w:val="00880FEA"/>
    <w:rsid w:val="00881A61"/>
    <w:rsid w:val="00881FD7"/>
    <w:rsid w:val="00884B4C"/>
    <w:rsid w:val="0088572C"/>
    <w:rsid w:val="008857FC"/>
    <w:rsid w:val="00885B22"/>
    <w:rsid w:val="00885BAC"/>
    <w:rsid w:val="00885DBE"/>
    <w:rsid w:val="00886350"/>
    <w:rsid w:val="00887821"/>
    <w:rsid w:val="00887A65"/>
    <w:rsid w:val="00892414"/>
    <w:rsid w:val="00893C4A"/>
    <w:rsid w:val="008940E0"/>
    <w:rsid w:val="00894625"/>
    <w:rsid w:val="0089599E"/>
    <w:rsid w:val="00895DA3"/>
    <w:rsid w:val="00896CA2"/>
    <w:rsid w:val="00897C93"/>
    <w:rsid w:val="008A0490"/>
    <w:rsid w:val="008A0F1D"/>
    <w:rsid w:val="008A2914"/>
    <w:rsid w:val="008A2B85"/>
    <w:rsid w:val="008A36B9"/>
    <w:rsid w:val="008A48DD"/>
    <w:rsid w:val="008A5175"/>
    <w:rsid w:val="008A5E87"/>
    <w:rsid w:val="008A645A"/>
    <w:rsid w:val="008A78E3"/>
    <w:rsid w:val="008B05DB"/>
    <w:rsid w:val="008B1501"/>
    <w:rsid w:val="008B1B27"/>
    <w:rsid w:val="008B472D"/>
    <w:rsid w:val="008B55B3"/>
    <w:rsid w:val="008B5777"/>
    <w:rsid w:val="008B63E8"/>
    <w:rsid w:val="008B7D24"/>
    <w:rsid w:val="008B7DDB"/>
    <w:rsid w:val="008C00D4"/>
    <w:rsid w:val="008C016C"/>
    <w:rsid w:val="008C1989"/>
    <w:rsid w:val="008C1EC1"/>
    <w:rsid w:val="008C38D0"/>
    <w:rsid w:val="008C3AF5"/>
    <w:rsid w:val="008C3B82"/>
    <w:rsid w:val="008C4A89"/>
    <w:rsid w:val="008C5706"/>
    <w:rsid w:val="008C5779"/>
    <w:rsid w:val="008D17BA"/>
    <w:rsid w:val="008D17E4"/>
    <w:rsid w:val="008D24E5"/>
    <w:rsid w:val="008D382C"/>
    <w:rsid w:val="008D3959"/>
    <w:rsid w:val="008D3E41"/>
    <w:rsid w:val="008D5AA6"/>
    <w:rsid w:val="008D6215"/>
    <w:rsid w:val="008D6EF6"/>
    <w:rsid w:val="008D7C02"/>
    <w:rsid w:val="008D7DC1"/>
    <w:rsid w:val="008E12E6"/>
    <w:rsid w:val="008E1344"/>
    <w:rsid w:val="008E1B88"/>
    <w:rsid w:val="008E205F"/>
    <w:rsid w:val="008E2DB7"/>
    <w:rsid w:val="008E4D8E"/>
    <w:rsid w:val="008E505F"/>
    <w:rsid w:val="008E5C18"/>
    <w:rsid w:val="008E7C6F"/>
    <w:rsid w:val="008F0BB3"/>
    <w:rsid w:val="008F0C82"/>
    <w:rsid w:val="008F2AFC"/>
    <w:rsid w:val="008F3933"/>
    <w:rsid w:val="008F5587"/>
    <w:rsid w:val="008F7051"/>
    <w:rsid w:val="008F70D3"/>
    <w:rsid w:val="008F7595"/>
    <w:rsid w:val="00901221"/>
    <w:rsid w:val="00901315"/>
    <w:rsid w:val="00901E11"/>
    <w:rsid w:val="00902FBB"/>
    <w:rsid w:val="00904142"/>
    <w:rsid w:val="009046B7"/>
    <w:rsid w:val="00910E60"/>
    <w:rsid w:val="00912021"/>
    <w:rsid w:val="00912180"/>
    <w:rsid w:val="009140DF"/>
    <w:rsid w:val="0091492E"/>
    <w:rsid w:val="00914B0E"/>
    <w:rsid w:val="0091544A"/>
    <w:rsid w:val="00917E9E"/>
    <w:rsid w:val="00920633"/>
    <w:rsid w:val="00920BC9"/>
    <w:rsid w:val="00923BB7"/>
    <w:rsid w:val="00924391"/>
    <w:rsid w:val="00924BEB"/>
    <w:rsid w:val="009270B6"/>
    <w:rsid w:val="00927B54"/>
    <w:rsid w:val="00927EE5"/>
    <w:rsid w:val="0093055A"/>
    <w:rsid w:val="00931A38"/>
    <w:rsid w:val="0093250B"/>
    <w:rsid w:val="00932B03"/>
    <w:rsid w:val="00932BFA"/>
    <w:rsid w:val="0093313E"/>
    <w:rsid w:val="009344B0"/>
    <w:rsid w:val="00934B27"/>
    <w:rsid w:val="00937090"/>
    <w:rsid w:val="009374D3"/>
    <w:rsid w:val="0094331B"/>
    <w:rsid w:val="009435D5"/>
    <w:rsid w:val="009436BF"/>
    <w:rsid w:val="00944711"/>
    <w:rsid w:val="00947304"/>
    <w:rsid w:val="009473AA"/>
    <w:rsid w:val="00947A56"/>
    <w:rsid w:val="009502D7"/>
    <w:rsid w:val="009527EF"/>
    <w:rsid w:val="009536DB"/>
    <w:rsid w:val="009537EC"/>
    <w:rsid w:val="00953A0E"/>
    <w:rsid w:val="009540E0"/>
    <w:rsid w:val="00954924"/>
    <w:rsid w:val="00954DAE"/>
    <w:rsid w:val="00955EF1"/>
    <w:rsid w:val="00956A8A"/>
    <w:rsid w:val="00957735"/>
    <w:rsid w:val="009608A8"/>
    <w:rsid w:val="009616D5"/>
    <w:rsid w:val="00964D02"/>
    <w:rsid w:val="00970452"/>
    <w:rsid w:val="00970551"/>
    <w:rsid w:val="00971ADD"/>
    <w:rsid w:val="00971AE0"/>
    <w:rsid w:val="009726CA"/>
    <w:rsid w:val="00972926"/>
    <w:rsid w:val="00972D50"/>
    <w:rsid w:val="00973A78"/>
    <w:rsid w:val="009755F4"/>
    <w:rsid w:val="00976710"/>
    <w:rsid w:val="00976C4B"/>
    <w:rsid w:val="00980332"/>
    <w:rsid w:val="00981058"/>
    <w:rsid w:val="00982F73"/>
    <w:rsid w:val="00983106"/>
    <w:rsid w:val="0098375E"/>
    <w:rsid w:val="00983A26"/>
    <w:rsid w:val="00986A9F"/>
    <w:rsid w:val="00986B62"/>
    <w:rsid w:val="009878BB"/>
    <w:rsid w:val="00990125"/>
    <w:rsid w:val="009908D4"/>
    <w:rsid w:val="009917B7"/>
    <w:rsid w:val="00991E45"/>
    <w:rsid w:val="0099453F"/>
    <w:rsid w:val="009946C8"/>
    <w:rsid w:val="00994F93"/>
    <w:rsid w:val="009950A1"/>
    <w:rsid w:val="009958EE"/>
    <w:rsid w:val="00995C11"/>
    <w:rsid w:val="009A033A"/>
    <w:rsid w:val="009A043E"/>
    <w:rsid w:val="009A1D6E"/>
    <w:rsid w:val="009A4941"/>
    <w:rsid w:val="009A57D2"/>
    <w:rsid w:val="009A6C6C"/>
    <w:rsid w:val="009A7BF4"/>
    <w:rsid w:val="009B06AE"/>
    <w:rsid w:val="009B13B2"/>
    <w:rsid w:val="009B1A96"/>
    <w:rsid w:val="009B2B16"/>
    <w:rsid w:val="009B36CC"/>
    <w:rsid w:val="009B5F72"/>
    <w:rsid w:val="009B6852"/>
    <w:rsid w:val="009B6EFB"/>
    <w:rsid w:val="009B719B"/>
    <w:rsid w:val="009C0578"/>
    <w:rsid w:val="009C50B9"/>
    <w:rsid w:val="009C58FA"/>
    <w:rsid w:val="009C629A"/>
    <w:rsid w:val="009C668E"/>
    <w:rsid w:val="009C6E7D"/>
    <w:rsid w:val="009D1E3C"/>
    <w:rsid w:val="009D341F"/>
    <w:rsid w:val="009D38FD"/>
    <w:rsid w:val="009D3CD0"/>
    <w:rsid w:val="009D50CB"/>
    <w:rsid w:val="009D5612"/>
    <w:rsid w:val="009D6B15"/>
    <w:rsid w:val="009E0852"/>
    <w:rsid w:val="009E15AD"/>
    <w:rsid w:val="009E1B8A"/>
    <w:rsid w:val="009E2574"/>
    <w:rsid w:val="009E2ABA"/>
    <w:rsid w:val="009E2D81"/>
    <w:rsid w:val="009E30B2"/>
    <w:rsid w:val="009E3108"/>
    <w:rsid w:val="009E3162"/>
    <w:rsid w:val="009E54A1"/>
    <w:rsid w:val="009E5D8C"/>
    <w:rsid w:val="009E7F99"/>
    <w:rsid w:val="009F15B5"/>
    <w:rsid w:val="009F167D"/>
    <w:rsid w:val="009F3DC0"/>
    <w:rsid w:val="009F4F1B"/>
    <w:rsid w:val="009F508F"/>
    <w:rsid w:val="009F7CE6"/>
    <w:rsid w:val="00A00FC5"/>
    <w:rsid w:val="00A022DE"/>
    <w:rsid w:val="00A03F32"/>
    <w:rsid w:val="00A043E4"/>
    <w:rsid w:val="00A05A8B"/>
    <w:rsid w:val="00A06309"/>
    <w:rsid w:val="00A12D89"/>
    <w:rsid w:val="00A15621"/>
    <w:rsid w:val="00A16DFF"/>
    <w:rsid w:val="00A17755"/>
    <w:rsid w:val="00A22030"/>
    <w:rsid w:val="00A25A2A"/>
    <w:rsid w:val="00A27816"/>
    <w:rsid w:val="00A30CCC"/>
    <w:rsid w:val="00A31400"/>
    <w:rsid w:val="00A329C6"/>
    <w:rsid w:val="00A32AD5"/>
    <w:rsid w:val="00A33391"/>
    <w:rsid w:val="00A36812"/>
    <w:rsid w:val="00A36A17"/>
    <w:rsid w:val="00A37F63"/>
    <w:rsid w:val="00A40A27"/>
    <w:rsid w:val="00A40B90"/>
    <w:rsid w:val="00A40C65"/>
    <w:rsid w:val="00A43579"/>
    <w:rsid w:val="00A46902"/>
    <w:rsid w:val="00A4785F"/>
    <w:rsid w:val="00A47B48"/>
    <w:rsid w:val="00A47B72"/>
    <w:rsid w:val="00A51BFA"/>
    <w:rsid w:val="00A5234A"/>
    <w:rsid w:val="00A52E5F"/>
    <w:rsid w:val="00A535B4"/>
    <w:rsid w:val="00A53720"/>
    <w:rsid w:val="00A53AF7"/>
    <w:rsid w:val="00A53CA4"/>
    <w:rsid w:val="00A54EEF"/>
    <w:rsid w:val="00A55264"/>
    <w:rsid w:val="00A55B73"/>
    <w:rsid w:val="00A57027"/>
    <w:rsid w:val="00A57534"/>
    <w:rsid w:val="00A575BE"/>
    <w:rsid w:val="00A577D6"/>
    <w:rsid w:val="00A579A6"/>
    <w:rsid w:val="00A57FDA"/>
    <w:rsid w:val="00A600E1"/>
    <w:rsid w:val="00A630A8"/>
    <w:rsid w:val="00A631F9"/>
    <w:rsid w:val="00A63688"/>
    <w:rsid w:val="00A64665"/>
    <w:rsid w:val="00A6489F"/>
    <w:rsid w:val="00A648F1"/>
    <w:rsid w:val="00A6638F"/>
    <w:rsid w:val="00A66984"/>
    <w:rsid w:val="00A66B45"/>
    <w:rsid w:val="00A67A68"/>
    <w:rsid w:val="00A700A6"/>
    <w:rsid w:val="00A709CD"/>
    <w:rsid w:val="00A70C5D"/>
    <w:rsid w:val="00A70EA0"/>
    <w:rsid w:val="00A71C64"/>
    <w:rsid w:val="00A729DB"/>
    <w:rsid w:val="00A74827"/>
    <w:rsid w:val="00A75EB7"/>
    <w:rsid w:val="00A76DF7"/>
    <w:rsid w:val="00A76F16"/>
    <w:rsid w:val="00A7701F"/>
    <w:rsid w:val="00A80C6A"/>
    <w:rsid w:val="00A818C7"/>
    <w:rsid w:val="00A83041"/>
    <w:rsid w:val="00A83478"/>
    <w:rsid w:val="00A83550"/>
    <w:rsid w:val="00A849A3"/>
    <w:rsid w:val="00A86569"/>
    <w:rsid w:val="00A867C9"/>
    <w:rsid w:val="00A86BBF"/>
    <w:rsid w:val="00A87498"/>
    <w:rsid w:val="00A87E02"/>
    <w:rsid w:val="00A904F4"/>
    <w:rsid w:val="00A90AFF"/>
    <w:rsid w:val="00A9152B"/>
    <w:rsid w:val="00A92871"/>
    <w:rsid w:val="00A92A26"/>
    <w:rsid w:val="00A92DEB"/>
    <w:rsid w:val="00A93593"/>
    <w:rsid w:val="00A95F9C"/>
    <w:rsid w:val="00AA00D2"/>
    <w:rsid w:val="00AA0655"/>
    <w:rsid w:val="00AA0E2C"/>
    <w:rsid w:val="00AA1348"/>
    <w:rsid w:val="00AA3307"/>
    <w:rsid w:val="00AA3652"/>
    <w:rsid w:val="00AA590B"/>
    <w:rsid w:val="00AA6BA8"/>
    <w:rsid w:val="00AA723A"/>
    <w:rsid w:val="00AA7A52"/>
    <w:rsid w:val="00AB0A2A"/>
    <w:rsid w:val="00AB1E55"/>
    <w:rsid w:val="00AB2F54"/>
    <w:rsid w:val="00AB3409"/>
    <w:rsid w:val="00AB4C85"/>
    <w:rsid w:val="00AB4D65"/>
    <w:rsid w:val="00AB5266"/>
    <w:rsid w:val="00AB70A0"/>
    <w:rsid w:val="00AC05FE"/>
    <w:rsid w:val="00AC3DBD"/>
    <w:rsid w:val="00AC3F4D"/>
    <w:rsid w:val="00AC4245"/>
    <w:rsid w:val="00AC54BE"/>
    <w:rsid w:val="00AD0343"/>
    <w:rsid w:val="00AD0AF6"/>
    <w:rsid w:val="00AD66D6"/>
    <w:rsid w:val="00AD7431"/>
    <w:rsid w:val="00AD7CD4"/>
    <w:rsid w:val="00AE0B37"/>
    <w:rsid w:val="00AE0EF0"/>
    <w:rsid w:val="00AE128D"/>
    <w:rsid w:val="00AE1A6F"/>
    <w:rsid w:val="00AE1E0E"/>
    <w:rsid w:val="00AE33B6"/>
    <w:rsid w:val="00AE5EB0"/>
    <w:rsid w:val="00AF0813"/>
    <w:rsid w:val="00AF24E6"/>
    <w:rsid w:val="00AF24F0"/>
    <w:rsid w:val="00AF269E"/>
    <w:rsid w:val="00AF2BFE"/>
    <w:rsid w:val="00AF306D"/>
    <w:rsid w:val="00AF335F"/>
    <w:rsid w:val="00AF3D6F"/>
    <w:rsid w:val="00AF43A9"/>
    <w:rsid w:val="00AF5C93"/>
    <w:rsid w:val="00AF5E30"/>
    <w:rsid w:val="00AF6161"/>
    <w:rsid w:val="00AF6537"/>
    <w:rsid w:val="00AF6C66"/>
    <w:rsid w:val="00AF6DE4"/>
    <w:rsid w:val="00AF7A9A"/>
    <w:rsid w:val="00AF7B7B"/>
    <w:rsid w:val="00B00307"/>
    <w:rsid w:val="00B02C84"/>
    <w:rsid w:val="00B03898"/>
    <w:rsid w:val="00B048AC"/>
    <w:rsid w:val="00B04D5F"/>
    <w:rsid w:val="00B05AFB"/>
    <w:rsid w:val="00B070B3"/>
    <w:rsid w:val="00B07871"/>
    <w:rsid w:val="00B10294"/>
    <w:rsid w:val="00B11B21"/>
    <w:rsid w:val="00B120D0"/>
    <w:rsid w:val="00B13526"/>
    <w:rsid w:val="00B14D90"/>
    <w:rsid w:val="00B15B19"/>
    <w:rsid w:val="00B15BC6"/>
    <w:rsid w:val="00B15D49"/>
    <w:rsid w:val="00B16E2E"/>
    <w:rsid w:val="00B173A3"/>
    <w:rsid w:val="00B2029C"/>
    <w:rsid w:val="00B23D47"/>
    <w:rsid w:val="00B23D71"/>
    <w:rsid w:val="00B246B5"/>
    <w:rsid w:val="00B24851"/>
    <w:rsid w:val="00B303B8"/>
    <w:rsid w:val="00B320F2"/>
    <w:rsid w:val="00B325FD"/>
    <w:rsid w:val="00B327F9"/>
    <w:rsid w:val="00B33992"/>
    <w:rsid w:val="00B33E20"/>
    <w:rsid w:val="00B34A9C"/>
    <w:rsid w:val="00B35333"/>
    <w:rsid w:val="00B36447"/>
    <w:rsid w:val="00B36C55"/>
    <w:rsid w:val="00B37FD7"/>
    <w:rsid w:val="00B40427"/>
    <w:rsid w:val="00B4270E"/>
    <w:rsid w:val="00B42A60"/>
    <w:rsid w:val="00B4318B"/>
    <w:rsid w:val="00B45C3F"/>
    <w:rsid w:val="00B51502"/>
    <w:rsid w:val="00B5218A"/>
    <w:rsid w:val="00B55E53"/>
    <w:rsid w:val="00B56313"/>
    <w:rsid w:val="00B603B6"/>
    <w:rsid w:val="00B60C0C"/>
    <w:rsid w:val="00B61108"/>
    <w:rsid w:val="00B61F3F"/>
    <w:rsid w:val="00B62554"/>
    <w:rsid w:val="00B62EEE"/>
    <w:rsid w:val="00B63C73"/>
    <w:rsid w:val="00B661CC"/>
    <w:rsid w:val="00B66485"/>
    <w:rsid w:val="00B66C29"/>
    <w:rsid w:val="00B7028A"/>
    <w:rsid w:val="00B708E3"/>
    <w:rsid w:val="00B71491"/>
    <w:rsid w:val="00B71B19"/>
    <w:rsid w:val="00B7348F"/>
    <w:rsid w:val="00B7369B"/>
    <w:rsid w:val="00B744F8"/>
    <w:rsid w:val="00B745DB"/>
    <w:rsid w:val="00B745EB"/>
    <w:rsid w:val="00B74A8D"/>
    <w:rsid w:val="00B74C08"/>
    <w:rsid w:val="00B74EB3"/>
    <w:rsid w:val="00B764C7"/>
    <w:rsid w:val="00B80432"/>
    <w:rsid w:val="00B80CE9"/>
    <w:rsid w:val="00B817DD"/>
    <w:rsid w:val="00B826D5"/>
    <w:rsid w:val="00B8385C"/>
    <w:rsid w:val="00B83ABF"/>
    <w:rsid w:val="00B83FFF"/>
    <w:rsid w:val="00B8437C"/>
    <w:rsid w:val="00B84F1E"/>
    <w:rsid w:val="00B85278"/>
    <w:rsid w:val="00B90062"/>
    <w:rsid w:val="00B901A6"/>
    <w:rsid w:val="00B91D71"/>
    <w:rsid w:val="00B91EA5"/>
    <w:rsid w:val="00B921F0"/>
    <w:rsid w:val="00B9232C"/>
    <w:rsid w:val="00B92B20"/>
    <w:rsid w:val="00B95405"/>
    <w:rsid w:val="00B9760A"/>
    <w:rsid w:val="00BA0286"/>
    <w:rsid w:val="00BA048E"/>
    <w:rsid w:val="00BA0AF7"/>
    <w:rsid w:val="00BA274B"/>
    <w:rsid w:val="00BA35A2"/>
    <w:rsid w:val="00BA64C6"/>
    <w:rsid w:val="00BA6EA7"/>
    <w:rsid w:val="00BB1B1F"/>
    <w:rsid w:val="00BB2061"/>
    <w:rsid w:val="00BB3CC6"/>
    <w:rsid w:val="00BB5570"/>
    <w:rsid w:val="00BB7CCC"/>
    <w:rsid w:val="00BC1B7F"/>
    <w:rsid w:val="00BC1FDC"/>
    <w:rsid w:val="00BC3DFE"/>
    <w:rsid w:val="00BC4124"/>
    <w:rsid w:val="00BC473C"/>
    <w:rsid w:val="00BC639D"/>
    <w:rsid w:val="00BC713F"/>
    <w:rsid w:val="00BD02E2"/>
    <w:rsid w:val="00BD0627"/>
    <w:rsid w:val="00BD277F"/>
    <w:rsid w:val="00BD2C6C"/>
    <w:rsid w:val="00BD3D8E"/>
    <w:rsid w:val="00BD483F"/>
    <w:rsid w:val="00BD4D96"/>
    <w:rsid w:val="00BD4E38"/>
    <w:rsid w:val="00BD59AA"/>
    <w:rsid w:val="00BE0624"/>
    <w:rsid w:val="00BE0A94"/>
    <w:rsid w:val="00BE213B"/>
    <w:rsid w:val="00BE2210"/>
    <w:rsid w:val="00BE2427"/>
    <w:rsid w:val="00BE39E9"/>
    <w:rsid w:val="00BE3D90"/>
    <w:rsid w:val="00BE49C7"/>
    <w:rsid w:val="00BE5C62"/>
    <w:rsid w:val="00BE5E55"/>
    <w:rsid w:val="00BE627E"/>
    <w:rsid w:val="00BE6AB4"/>
    <w:rsid w:val="00BE723E"/>
    <w:rsid w:val="00BE7A16"/>
    <w:rsid w:val="00BF1909"/>
    <w:rsid w:val="00BF28A7"/>
    <w:rsid w:val="00BF2DE2"/>
    <w:rsid w:val="00BF3A8C"/>
    <w:rsid w:val="00BF3E66"/>
    <w:rsid w:val="00BF4530"/>
    <w:rsid w:val="00BF5404"/>
    <w:rsid w:val="00BF7399"/>
    <w:rsid w:val="00BF7C4A"/>
    <w:rsid w:val="00C00E4A"/>
    <w:rsid w:val="00C06152"/>
    <w:rsid w:val="00C06844"/>
    <w:rsid w:val="00C1169E"/>
    <w:rsid w:val="00C1195A"/>
    <w:rsid w:val="00C12301"/>
    <w:rsid w:val="00C12FEC"/>
    <w:rsid w:val="00C1312C"/>
    <w:rsid w:val="00C14896"/>
    <w:rsid w:val="00C14ED0"/>
    <w:rsid w:val="00C1597C"/>
    <w:rsid w:val="00C15CF9"/>
    <w:rsid w:val="00C15D0D"/>
    <w:rsid w:val="00C16261"/>
    <w:rsid w:val="00C17E18"/>
    <w:rsid w:val="00C201A6"/>
    <w:rsid w:val="00C2086C"/>
    <w:rsid w:val="00C216F7"/>
    <w:rsid w:val="00C23B0D"/>
    <w:rsid w:val="00C2522E"/>
    <w:rsid w:val="00C2523C"/>
    <w:rsid w:val="00C25D0C"/>
    <w:rsid w:val="00C27457"/>
    <w:rsid w:val="00C3070E"/>
    <w:rsid w:val="00C31218"/>
    <w:rsid w:val="00C33721"/>
    <w:rsid w:val="00C33F91"/>
    <w:rsid w:val="00C36085"/>
    <w:rsid w:val="00C370C7"/>
    <w:rsid w:val="00C40CDA"/>
    <w:rsid w:val="00C40F5E"/>
    <w:rsid w:val="00C41009"/>
    <w:rsid w:val="00C42842"/>
    <w:rsid w:val="00C42BB9"/>
    <w:rsid w:val="00C451A2"/>
    <w:rsid w:val="00C452D9"/>
    <w:rsid w:val="00C46D8A"/>
    <w:rsid w:val="00C4756E"/>
    <w:rsid w:val="00C50204"/>
    <w:rsid w:val="00C50D16"/>
    <w:rsid w:val="00C51554"/>
    <w:rsid w:val="00C51978"/>
    <w:rsid w:val="00C51A37"/>
    <w:rsid w:val="00C5355E"/>
    <w:rsid w:val="00C53A8E"/>
    <w:rsid w:val="00C54177"/>
    <w:rsid w:val="00C54F4F"/>
    <w:rsid w:val="00C553E4"/>
    <w:rsid w:val="00C5701A"/>
    <w:rsid w:val="00C620AD"/>
    <w:rsid w:val="00C62CE4"/>
    <w:rsid w:val="00C63339"/>
    <w:rsid w:val="00C635E9"/>
    <w:rsid w:val="00C642D8"/>
    <w:rsid w:val="00C65A9B"/>
    <w:rsid w:val="00C66247"/>
    <w:rsid w:val="00C707AC"/>
    <w:rsid w:val="00C71442"/>
    <w:rsid w:val="00C71F44"/>
    <w:rsid w:val="00C72952"/>
    <w:rsid w:val="00C73A52"/>
    <w:rsid w:val="00C7409E"/>
    <w:rsid w:val="00C746C9"/>
    <w:rsid w:val="00C762AD"/>
    <w:rsid w:val="00C80B8D"/>
    <w:rsid w:val="00C81925"/>
    <w:rsid w:val="00C83073"/>
    <w:rsid w:val="00C83163"/>
    <w:rsid w:val="00C83EAE"/>
    <w:rsid w:val="00C8459E"/>
    <w:rsid w:val="00C84B97"/>
    <w:rsid w:val="00C84BC4"/>
    <w:rsid w:val="00C85CA2"/>
    <w:rsid w:val="00C85D78"/>
    <w:rsid w:val="00C86918"/>
    <w:rsid w:val="00C87E0D"/>
    <w:rsid w:val="00C932E9"/>
    <w:rsid w:val="00C93B3E"/>
    <w:rsid w:val="00C95E09"/>
    <w:rsid w:val="00C96847"/>
    <w:rsid w:val="00C97542"/>
    <w:rsid w:val="00C978AF"/>
    <w:rsid w:val="00CA1589"/>
    <w:rsid w:val="00CA3FCD"/>
    <w:rsid w:val="00CB1317"/>
    <w:rsid w:val="00CB19FB"/>
    <w:rsid w:val="00CB1A6E"/>
    <w:rsid w:val="00CB1FE2"/>
    <w:rsid w:val="00CB2931"/>
    <w:rsid w:val="00CB2FDD"/>
    <w:rsid w:val="00CB3D55"/>
    <w:rsid w:val="00CB406F"/>
    <w:rsid w:val="00CB4609"/>
    <w:rsid w:val="00CB5EC0"/>
    <w:rsid w:val="00CB73BB"/>
    <w:rsid w:val="00CC061B"/>
    <w:rsid w:val="00CC0AAA"/>
    <w:rsid w:val="00CC56EC"/>
    <w:rsid w:val="00CC6C27"/>
    <w:rsid w:val="00CC6DBB"/>
    <w:rsid w:val="00CC774A"/>
    <w:rsid w:val="00CC7766"/>
    <w:rsid w:val="00CC7796"/>
    <w:rsid w:val="00CC7886"/>
    <w:rsid w:val="00CD2847"/>
    <w:rsid w:val="00CD34E5"/>
    <w:rsid w:val="00CD3D41"/>
    <w:rsid w:val="00CD42A6"/>
    <w:rsid w:val="00CD4704"/>
    <w:rsid w:val="00CD5293"/>
    <w:rsid w:val="00CD5EC7"/>
    <w:rsid w:val="00CD5F1A"/>
    <w:rsid w:val="00CE026A"/>
    <w:rsid w:val="00CE0CBA"/>
    <w:rsid w:val="00CE1665"/>
    <w:rsid w:val="00CE1EAA"/>
    <w:rsid w:val="00CE2DF1"/>
    <w:rsid w:val="00CE3793"/>
    <w:rsid w:val="00CE3C9D"/>
    <w:rsid w:val="00CE3E09"/>
    <w:rsid w:val="00CE5260"/>
    <w:rsid w:val="00CE6201"/>
    <w:rsid w:val="00CF0242"/>
    <w:rsid w:val="00CF0AB6"/>
    <w:rsid w:val="00CF102A"/>
    <w:rsid w:val="00CF1B29"/>
    <w:rsid w:val="00CF1EB2"/>
    <w:rsid w:val="00CF4051"/>
    <w:rsid w:val="00CF604D"/>
    <w:rsid w:val="00CF67AA"/>
    <w:rsid w:val="00CF74E3"/>
    <w:rsid w:val="00CF77B8"/>
    <w:rsid w:val="00D0156C"/>
    <w:rsid w:val="00D01782"/>
    <w:rsid w:val="00D0276E"/>
    <w:rsid w:val="00D0313A"/>
    <w:rsid w:val="00D03310"/>
    <w:rsid w:val="00D03D64"/>
    <w:rsid w:val="00D044E9"/>
    <w:rsid w:val="00D04D86"/>
    <w:rsid w:val="00D063D5"/>
    <w:rsid w:val="00D065B2"/>
    <w:rsid w:val="00D0733C"/>
    <w:rsid w:val="00D105D0"/>
    <w:rsid w:val="00D10A92"/>
    <w:rsid w:val="00D13729"/>
    <w:rsid w:val="00D13FA3"/>
    <w:rsid w:val="00D14089"/>
    <w:rsid w:val="00D14C11"/>
    <w:rsid w:val="00D15682"/>
    <w:rsid w:val="00D16C4E"/>
    <w:rsid w:val="00D20381"/>
    <w:rsid w:val="00D206D5"/>
    <w:rsid w:val="00D20C96"/>
    <w:rsid w:val="00D20DB4"/>
    <w:rsid w:val="00D20EF9"/>
    <w:rsid w:val="00D23965"/>
    <w:rsid w:val="00D24131"/>
    <w:rsid w:val="00D2515F"/>
    <w:rsid w:val="00D26EEA"/>
    <w:rsid w:val="00D274AA"/>
    <w:rsid w:val="00D278F5"/>
    <w:rsid w:val="00D3078A"/>
    <w:rsid w:val="00D308AF"/>
    <w:rsid w:val="00D31224"/>
    <w:rsid w:val="00D31384"/>
    <w:rsid w:val="00D3207D"/>
    <w:rsid w:val="00D32AF6"/>
    <w:rsid w:val="00D3385C"/>
    <w:rsid w:val="00D3607F"/>
    <w:rsid w:val="00D377CF"/>
    <w:rsid w:val="00D4182C"/>
    <w:rsid w:val="00D424E0"/>
    <w:rsid w:val="00D438FD"/>
    <w:rsid w:val="00D43F5F"/>
    <w:rsid w:val="00D45F91"/>
    <w:rsid w:val="00D4746B"/>
    <w:rsid w:val="00D47991"/>
    <w:rsid w:val="00D536EA"/>
    <w:rsid w:val="00D5412D"/>
    <w:rsid w:val="00D560B0"/>
    <w:rsid w:val="00D61471"/>
    <w:rsid w:val="00D61A1F"/>
    <w:rsid w:val="00D61DF3"/>
    <w:rsid w:val="00D61E02"/>
    <w:rsid w:val="00D62011"/>
    <w:rsid w:val="00D62121"/>
    <w:rsid w:val="00D62418"/>
    <w:rsid w:val="00D62830"/>
    <w:rsid w:val="00D64963"/>
    <w:rsid w:val="00D70229"/>
    <w:rsid w:val="00D70559"/>
    <w:rsid w:val="00D72D84"/>
    <w:rsid w:val="00D73804"/>
    <w:rsid w:val="00D7701C"/>
    <w:rsid w:val="00D77461"/>
    <w:rsid w:val="00D77C91"/>
    <w:rsid w:val="00D817A3"/>
    <w:rsid w:val="00D82765"/>
    <w:rsid w:val="00D8356A"/>
    <w:rsid w:val="00D8412D"/>
    <w:rsid w:val="00D841FE"/>
    <w:rsid w:val="00D84423"/>
    <w:rsid w:val="00D8636E"/>
    <w:rsid w:val="00D90B1F"/>
    <w:rsid w:val="00D913ED"/>
    <w:rsid w:val="00D91673"/>
    <w:rsid w:val="00D91F76"/>
    <w:rsid w:val="00D92D29"/>
    <w:rsid w:val="00D93443"/>
    <w:rsid w:val="00D934E6"/>
    <w:rsid w:val="00D9403D"/>
    <w:rsid w:val="00D94D5E"/>
    <w:rsid w:val="00D969B4"/>
    <w:rsid w:val="00D974EA"/>
    <w:rsid w:val="00DA013B"/>
    <w:rsid w:val="00DA1480"/>
    <w:rsid w:val="00DA1FF9"/>
    <w:rsid w:val="00DA3305"/>
    <w:rsid w:val="00DA3A94"/>
    <w:rsid w:val="00DA56FA"/>
    <w:rsid w:val="00DA7BD8"/>
    <w:rsid w:val="00DB0450"/>
    <w:rsid w:val="00DB2215"/>
    <w:rsid w:val="00DB2E7A"/>
    <w:rsid w:val="00DB5448"/>
    <w:rsid w:val="00DB6CBE"/>
    <w:rsid w:val="00DB6F03"/>
    <w:rsid w:val="00DB78B2"/>
    <w:rsid w:val="00DB7BA5"/>
    <w:rsid w:val="00DC020F"/>
    <w:rsid w:val="00DC03B0"/>
    <w:rsid w:val="00DC0527"/>
    <w:rsid w:val="00DC07AB"/>
    <w:rsid w:val="00DC0D15"/>
    <w:rsid w:val="00DC12B0"/>
    <w:rsid w:val="00DC1E37"/>
    <w:rsid w:val="00DC2C51"/>
    <w:rsid w:val="00DC4141"/>
    <w:rsid w:val="00DC46E4"/>
    <w:rsid w:val="00DC67FE"/>
    <w:rsid w:val="00DC6986"/>
    <w:rsid w:val="00DD0852"/>
    <w:rsid w:val="00DD232D"/>
    <w:rsid w:val="00DD2B90"/>
    <w:rsid w:val="00DD2E18"/>
    <w:rsid w:val="00DD343A"/>
    <w:rsid w:val="00DD37A5"/>
    <w:rsid w:val="00DD7601"/>
    <w:rsid w:val="00DD7A7A"/>
    <w:rsid w:val="00DE0078"/>
    <w:rsid w:val="00DE13CC"/>
    <w:rsid w:val="00DE2552"/>
    <w:rsid w:val="00DE267B"/>
    <w:rsid w:val="00DE27DF"/>
    <w:rsid w:val="00DE346E"/>
    <w:rsid w:val="00DE4B3F"/>
    <w:rsid w:val="00DE531C"/>
    <w:rsid w:val="00DE5344"/>
    <w:rsid w:val="00DE7937"/>
    <w:rsid w:val="00DF2003"/>
    <w:rsid w:val="00DF223A"/>
    <w:rsid w:val="00DF297F"/>
    <w:rsid w:val="00DF298C"/>
    <w:rsid w:val="00DF2BEB"/>
    <w:rsid w:val="00DF402C"/>
    <w:rsid w:val="00DF4068"/>
    <w:rsid w:val="00DF40B5"/>
    <w:rsid w:val="00DF47CF"/>
    <w:rsid w:val="00DF7BEA"/>
    <w:rsid w:val="00E00E31"/>
    <w:rsid w:val="00E0123D"/>
    <w:rsid w:val="00E0137C"/>
    <w:rsid w:val="00E01727"/>
    <w:rsid w:val="00E01A84"/>
    <w:rsid w:val="00E02649"/>
    <w:rsid w:val="00E02741"/>
    <w:rsid w:val="00E03670"/>
    <w:rsid w:val="00E05C15"/>
    <w:rsid w:val="00E07A06"/>
    <w:rsid w:val="00E07D3C"/>
    <w:rsid w:val="00E105A4"/>
    <w:rsid w:val="00E10A44"/>
    <w:rsid w:val="00E12030"/>
    <w:rsid w:val="00E1305C"/>
    <w:rsid w:val="00E14101"/>
    <w:rsid w:val="00E16449"/>
    <w:rsid w:val="00E16E00"/>
    <w:rsid w:val="00E17739"/>
    <w:rsid w:val="00E17A98"/>
    <w:rsid w:val="00E17C0F"/>
    <w:rsid w:val="00E2038C"/>
    <w:rsid w:val="00E20A24"/>
    <w:rsid w:val="00E2255C"/>
    <w:rsid w:val="00E22807"/>
    <w:rsid w:val="00E24D5B"/>
    <w:rsid w:val="00E24F70"/>
    <w:rsid w:val="00E251D2"/>
    <w:rsid w:val="00E25634"/>
    <w:rsid w:val="00E256D3"/>
    <w:rsid w:val="00E26085"/>
    <w:rsid w:val="00E278D8"/>
    <w:rsid w:val="00E27B80"/>
    <w:rsid w:val="00E27BC0"/>
    <w:rsid w:val="00E31399"/>
    <w:rsid w:val="00E3246B"/>
    <w:rsid w:val="00E32EE4"/>
    <w:rsid w:val="00E32FA0"/>
    <w:rsid w:val="00E34A3E"/>
    <w:rsid w:val="00E3664B"/>
    <w:rsid w:val="00E412A5"/>
    <w:rsid w:val="00E4148D"/>
    <w:rsid w:val="00E417DD"/>
    <w:rsid w:val="00E428FD"/>
    <w:rsid w:val="00E43859"/>
    <w:rsid w:val="00E43F88"/>
    <w:rsid w:val="00E45352"/>
    <w:rsid w:val="00E4689A"/>
    <w:rsid w:val="00E469A7"/>
    <w:rsid w:val="00E47EB9"/>
    <w:rsid w:val="00E501FB"/>
    <w:rsid w:val="00E50305"/>
    <w:rsid w:val="00E504C3"/>
    <w:rsid w:val="00E50E1D"/>
    <w:rsid w:val="00E52AFC"/>
    <w:rsid w:val="00E53042"/>
    <w:rsid w:val="00E5336C"/>
    <w:rsid w:val="00E53947"/>
    <w:rsid w:val="00E5642D"/>
    <w:rsid w:val="00E60DAE"/>
    <w:rsid w:val="00E63AAE"/>
    <w:rsid w:val="00E65B2B"/>
    <w:rsid w:val="00E66F79"/>
    <w:rsid w:val="00E67396"/>
    <w:rsid w:val="00E67998"/>
    <w:rsid w:val="00E67C4E"/>
    <w:rsid w:val="00E71D39"/>
    <w:rsid w:val="00E73D0D"/>
    <w:rsid w:val="00E742B8"/>
    <w:rsid w:val="00E74A6F"/>
    <w:rsid w:val="00E767B8"/>
    <w:rsid w:val="00E774CD"/>
    <w:rsid w:val="00E77CA8"/>
    <w:rsid w:val="00E8044B"/>
    <w:rsid w:val="00E81B24"/>
    <w:rsid w:val="00E82430"/>
    <w:rsid w:val="00E824C2"/>
    <w:rsid w:val="00E82EF1"/>
    <w:rsid w:val="00E841AD"/>
    <w:rsid w:val="00E849AC"/>
    <w:rsid w:val="00E84F8A"/>
    <w:rsid w:val="00E85D4D"/>
    <w:rsid w:val="00E86597"/>
    <w:rsid w:val="00E91F77"/>
    <w:rsid w:val="00E923D5"/>
    <w:rsid w:val="00E928C8"/>
    <w:rsid w:val="00E93898"/>
    <w:rsid w:val="00E93B5E"/>
    <w:rsid w:val="00E95866"/>
    <w:rsid w:val="00E960B9"/>
    <w:rsid w:val="00E96F7C"/>
    <w:rsid w:val="00E972F7"/>
    <w:rsid w:val="00EA0CA3"/>
    <w:rsid w:val="00EA15A2"/>
    <w:rsid w:val="00EA2043"/>
    <w:rsid w:val="00EA2A5F"/>
    <w:rsid w:val="00EA336C"/>
    <w:rsid w:val="00EA415B"/>
    <w:rsid w:val="00EA476D"/>
    <w:rsid w:val="00EA4C2A"/>
    <w:rsid w:val="00EA6635"/>
    <w:rsid w:val="00EA66B0"/>
    <w:rsid w:val="00EB1244"/>
    <w:rsid w:val="00EB2850"/>
    <w:rsid w:val="00EB29F5"/>
    <w:rsid w:val="00EB3997"/>
    <w:rsid w:val="00EB5688"/>
    <w:rsid w:val="00EB5F90"/>
    <w:rsid w:val="00EB63ED"/>
    <w:rsid w:val="00EB70AC"/>
    <w:rsid w:val="00EB752B"/>
    <w:rsid w:val="00EC1642"/>
    <w:rsid w:val="00EC2E5E"/>
    <w:rsid w:val="00EC31C5"/>
    <w:rsid w:val="00EC433D"/>
    <w:rsid w:val="00EC611A"/>
    <w:rsid w:val="00EC624C"/>
    <w:rsid w:val="00EC697E"/>
    <w:rsid w:val="00EC6F75"/>
    <w:rsid w:val="00ED0884"/>
    <w:rsid w:val="00ED0CA7"/>
    <w:rsid w:val="00ED1626"/>
    <w:rsid w:val="00ED172B"/>
    <w:rsid w:val="00ED1D58"/>
    <w:rsid w:val="00ED227E"/>
    <w:rsid w:val="00ED2C31"/>
    <w:rsid w:val="00ED2DEB"/>
    <w:rsid w:val="00ED3138"/>
    <w:rsid w:val="00ED5D35"/>
    <w:rsid w:val="00ED5D5D"/>
    <w:rsid w:val="00ED68BD"/>
    <w:rsid w:val="00ED6913"/>
    <w:rsid w:val="00EE1604"/>
    <w:rsid w:val="00EE2E5C"/>
    <w:rsid w:val="00EF00A8"/>
    <w:rsid w:val="00EF067B"/>
    <w:rsid w:val="00EF18F9"/>
    <w:rsid w:val="00EF1A87"/>
    <w:rsid w:val="00EF211D"/>
    <w:rsid w:val="00EF5D37"/>
    <w:rsid w:val="00EF5F30"/>
    <w:rsid w:val="00EF6982"/>
    <w:rsid w:val="00F00CB9"/>
    <w:rsid w:val="00F0151B"/>
    <w:rsid w:val="00F0181B"/>
    <w:rsid w:val="00F01DCE"/>
    <w:rsid w:val="00F03B5C"/>
    <w:rsid w:val="00F03D96"/>
    <w:rsid w:val="00F06FBD"/>
    <w:rsid w:val="00F1048E"/>
    <w:rsid w:val="00F1119C"/>
    <w:rsid w:val="00F116A9"/>
    <w:rsid w:val="00F11B78"/>
    <w:rsid w:val="00F11BBF"/>
    <w:rsid w:val="00F12FF3"/>
    <w:rsid w:val="00F131A0"/>
    <w:rsid w:val="00F1419F"/>
    <w:rsid w:val="00F15106"/>
    <w:rsid w:val="00F17065"/>
    <w:rsid w:val="00F17A54"/>
    <w:rsid w:val="00F20506"/>
    <w:rsid w:val="00F21C28"/>
    <w:rsid w:val="00F243D9"/>
    <w:rsid w:val="00F2523F"/>
    <w:rsid w:val="00F25A34"/>
    <w:rsid w:val="00F278AD"/>
    <w:rsid w:val="00F305DC"/>
    <w:rsid w:val="00F3186C"/>
    <w:rsid w:val="00F321F5"/>
    <w:rsid w:val="00F325F0"/>
    <w:rsid w:val="00F33AB4"/>
    <w:rsid w:val="00F33EB6"/>
    <w:rsid w:val="00F35D11"/>
    <w:rsid w:val="00F36F22"/>
    <w:rsid w:val="00F3722D"/>
    <w:rsid w:val="00F3775E"/>
    <w:rsid w:val="00F400A8"/>
    <w:rsid w:val="00F406F1"/>
    <w:rsid w:val="00F40B01"/>
    <w:rsid w:val="00F417B6"/>
    <w:rsid w:val="00F41BC6"/>
    <w:rsid w:val="00F4207A"/>
    <w:rsid w:val="00F43408"/>
    <w:rsid w:val="00F442BA"/>
    <w:rsid w:val="00F4440C"/>
    <w:rsid w:val="00F44DB7"/>
    <w:rsid w:val="00F44E7E"/>
    <w:rsid w:val="00F45EDB"/>
    <w:rsid w:val="00F467BD"/>
    <w:rsid w:val="00F47A49"/>
    <w:rsid w:val="00F5027B"/>
    <w:rsid w:val="00F5193E"/>
    <w:rsid w:val="00F5221C"/>
    <w:rsid w:val="00F5322B"/>
    <w:rsid w:val="00F55BB3"/>
    <w:rsid w:val="00F576FE"/>
    <w:rsid w:val="00F6058B"/>
    <w:rsid w:val="00F61D7D"/>
    <w:rsid w:val="00F644CC"/>
    <w:rsid w:val="00F657FB"/>
    <w:rsid w:val="00F66D3E"/>
    <w:rsid w:val="00F675D0"/>
    <w:rsid w:val="00F71119"/>
    <w:rsid w:val="00F71392"/>
    <w:rsid w:val="00F7188C"/>
    <w:rsid w:val="00F72720"/>
    <w:rsid w:val="00F7277D"/>
    <w:rsid w:val="00F72D50"/>
    <w:rsid w:val="00F7367B"/>
    <w:rsid w:val="00F739D6"/>
    <w:rsid w:val="00F74382"/>
    <w:rsid w:val="00F764C1"/>
    <w:rsid w:val="00F76746"/>
    <w:rsid w:val="00F76D3A"/>
    <w:rsid w:val="00F80720"/>
    <w:rsid w:val="00F80D53"/>
    <w:rsid w:val="00F8150A"/>
    <w:rsid w:val="00F8158B"/>
    <w:rsid w:val="00F82315"/>
    <w:rsid w:val="00F82C98"/>
    <w:rsid w:val="00F83526"/>
    <w:rsid w:val="00F8722F"/>
    <w:rsid w:val="00F87B78"/>
    <w:rsid w:val="00F9064E"/>
    <w:rsid w:val="00F9067B"/>
    <w:rsid w:val="00F90DF9"/>
    <w:rsid w:val="00F91ABE"/>
    <w:rsid w:val="00F922F4"/>
    <w:rsid w:val="00F92551"/>
    <w:rsid w:val="00F9370B"/>
    <w:rsid w:val="00F94E11"/>
    <w:rsid w:val="00F9560A"/>
    <w:rsid w:val="00F960D9"/>
    <w:rsid w:val="00FA15FC"/>
    <w:rsid w:val="00FA1F6D"/>
    <w:rsid w:val="00FA20E0"/>
    <w:rsid w:val="00FA28C0"/>
    <w:rsid w:val="00FA3DA6"/>
    <w:rsid w:val="00FA4D9A"/>
    <w:rsid w:val="00FA5BAF"/>
    <w:rsid w:val="00FA6847"/>
    <w:rsid w:val="00FA7367"/>
    <w:rsid w:val="00FB0B15"/>
    <w:rsid w:val="00FB0F68"/>
    <w:rsid w:val="00FB2D8C"/>
    <w:rsid w:val="00FB47D5"/>
    <w:rsid w:val="00FB537C"/>
    <w:rsid w:val="00FB5A9D"/>
    <w:rsid w:val="00FB65F5"/>
    <w:rsid w:val="00FB67B2"/>
    <w:rsid w:val="00FB6A89"/>
    <w:rsid w:val="00FB6C4B"/>
    <w:rsid w:val="00FB6E6E"/>
    <w:rsid w:val="00FB7692"/>
    <w:rsid w:val="00FB7853"/>
    <w:rsid w:val="00FC1397"/>
    <w:rsid w:val="00FC1DEF"/>
    <w:rsid w:val="00FC32CC"/>
    <w:rsid w:val="00FC38F8"/>
    <w:rsid w:val="00FC3A4A"/>
    <w:rsid w:val="00FC4281"/>
    <w:rsid w:val="00FC5004"/>
    <w:rsid w:val="00FC55D6"/>
    <w:rsid w:val="00FC5CEC"/>
    <w:rsid w:val="00FD0E68"/>
    <w:rsid w:val="00FD1A4A"/>
    <w:rsid w:val="00FD26C1"/>
    <w:rsid w:val="00FD2DEF"/>
    <w:rsid w:val="00FD2E5A"/>
    <w:rsid w:val="00FD3448"/>
    <w:rsid w:val="00FD3589"/>
    <w:rsid w:val="00FD5FF1"/>
    <w:rsid w:val="00FE0908"/>
    <w:rsid w:val="00FE333D"/>
    <w:rsid w:val="00FE3540"/>
    <w:rsid w:val="00FE3CE8"/>
    <w:rsid w:val="00FE6E08"/>
    <w:rsid w:val="00FE75CF"/>
    <w:rsid w:val="00FE7A78"/>
    <w:rsid w:val="00FF20BA"/>
    <w:rsid w:val="00FF2D04"/>
    <w:rsid w:val="00FF2DDD"/>
    <w:rsid w:val="00FF3B8E"/>
    <w:rsid w:val="00FF414F"/>
    <w:rsid w:val="00FF63F9"/>
    <w:rsid w:val="027B1832"/>
    <w:rsid w:val="0414A20E"/>
    <w:rsid w:val="044E0A6E"/>
    <w:rsid w:val="0551E8D3"/>
    <w:rsid w:val="057B20F1"/>
    <w:rsid w:val="05A41687"/>
    <w:rsid w:val="061D5431"/>
    <w:rsid w:val="0787AB31"/>
    <w:rsid w:val="08A395FB"/>
    <w:rsid w:val="095B8213"/>
    <w:rsid w:val="09E8B7B7"/>
    <w:rsid w:val="0AF9FBA5"/>
    <w:rsid w:val="0BC90852"/>
    <w:rsid w:val="0CA2D89F"/>
    <w:rsid w:val="0E66BA40"/>
    <w:rsid w:val="0EA45030"/>
    <w:rsid w:val="0EB1FF49"/>
    <w:rsid w:val="0EBF6CD1"/>
    <w:rsid w:val="0F0F23DC"/>
    <w:rsid w:val="1318E3D5"/>
    <w:rsid w:val="131DD8FD"/>
    <w:rsid w:val="15A2121E"/>
    <w:rsid w:val="16D4D7B3"/>
    <w:rsid w:val="16DA724A"/>
    <w:rsid w:val="17017B7F"/>
    <w:rsid w:val="17D3647B"/>
    <w:rsid w:val="19505EAC"/>
    <w:rsid w:val="1A180C28"/>
    <w:rsid w:val="1B3CE02A"/>
    <w:rsid w:val="1BB0BEF8"/>
    <w:rsid w:val="1C75673B"/>
    <w:rsid w:val="1C759E13"/>
    <w:rsid w:val="1CEA159D"/>
    <w:rsid w:val="1ED8A490"/>
    <w:rsid w:val="1F0E8DAC"/>
    <w:rsid w:val="1F3D16BB"/>
    <w:rsid w:val="1FDFDD1E"/>
    <w:rsid w:val="1FFC77D6"/>
    <w:rsid w:val="203D4ECF"/>
    <w:rsid w:val="21701464"/>
    <w:rsid w:val="217BE557"/>
    <w:rsid w:val="22BD6CB9"/>
    <w:rsid w:val="238258A0"/>
    <w:rsid w:val="23F2E06F"/>
    <w:rsid w:val="24CBC903"/>
    <w:rsid w:val="2638171D"/>
    <w:rsid w:val="27E079A3"/>
    <w:rsid w:val="29A3AA9C"/>
    <w:rsid w:val="2A50D60D"/>
    <w:rsid w:val="2B0B556F"/>
    <w:rsid w:val="2C1AC0C9"/>
    <w:rsid w:val="2CD7A139"/>
    <w:rsid w:val="2CE820B0"/>
    <w:rsid w:val="2D8B64CE"/>
    <w:rsid w:val="2EEEB0F2"/>
    <w:rsid w:val="32A79A11"/>
    <w:rsid w:val="33AD2FE2"/>
    <w:rsid w:val="34657471"/>
    <w:rsid w:val="38BFD0B2"/>
    <w:rsid w:val="391A72FD"/>
    <w:rsid w:val="39A87F67"/>
    <w:rsid w:val="39AAB9CF"/>
    <w:rsid w:val="3A6FFB40"/>
    <w:rsid w:val="3ACDB5DD"/>
    <w:rsid w:val="3B0DAA36"/>
    <w:rsid w:val="3B914007"/>
    <w:rsid w:val="3C4A8BDB"/>
    <w:rsid w:val="3CCD8D3F"/>
    <w:rsid w:val="3D4D2BC5"/>
    <w:rsid w:val="3DC73F92"/>
    <w:rsid w:val="3F5CDA07"/>
    <w:rsid w:val="3FBED15F"/>
    <w:rsid w:val="401AC59C"/>
    <w:rsid w:val="403DAA83"/>
    <w:rsid w:val="40E654CF"/>
    <w:rsid w:val="41042249"/>
    <w:rsid w:val="434ED53B"/>
    <w:rsid w:val="453ED8DF"/>
    <w:rsid w:val="45F820CB"/>
    <w:rsid w:val="48627C43"/>
    <w:rsid w:val="4980EBFD"/>
    <w:rsid w:val="49C4585B"/>
    <w:rsid w:val="4A0298D9"/>
    <w:rsid w:val="4BAB6132"/>
    <w:rsid w:val="4BFF32DF"/>
    <w:rsid w:val="4C2967B8"/>
    <w:rsid w:val="4D9B2AC8"/>
    <w:rsid w:val="4DF2CD13"/>
    <w:rsid w:val="4FB8ADF7"/>
    <w:rsid w:val="516027B1"/>
    <w:rsid w:val="53E896BD"/>
    <w:rsid w:val="5547E4C6"/>
    <w:rsid w:val="55641709"/>
    <w:rsid w:val="5657A72B"/>
    <w:rsid w:val="57203207"/>
    <w:rsid w:val="593670E8"/>
    <w:rsid w:val="5AB51DD8"/>
    <w:rsid w:val="5BC8C779"/>
    <w:rsid w:val="5BC97B2E"/>
    <w:rsid w:val="5C4861C0"/>
    <w:rsid w:val="5C7D5627"/>
    <w:rsid w:val="5E7FA013"/>
    <w:rsid w:val="5ECC8E25"/>
    <w:rsid w:val="60F19B93"/>
    <w:rsid w:val="61532D2B"/>
    <w:rsid w:val="62586E6C"/>
    <w:rsid w:val="6391D755"/>
    <w:rsid w:val="645FA797"/>
    <w:rsid w:val="64873738"/>
    <w:rsid w:val="64C53DBB"/>
    <w:rsid w:val="650C4AB7"/>
    <w:rsid w:val="65FF0463"/>
    <w:rsid w:val="663A0FD8"/>
    <w:rsid w:val="664ED62B"/>
    <w:rsid w:val="6893575E"/>
    <w:rsid w:val="6CA30792"/>
    <w:rsid w:val="6D19165D"/>
    <w:rsid w:val="6D9945E9"/>
    <w:rsid w:val="6E60B197"/>
    <w:rsid w:val="6EDEBFDA"/>
    <w:rsid w:val="6F1A00F9"/>
    <w:rsid w:val="6F6B0C36"/>
    <w:rsid w:val="702D964F"/>
    <w:rsid w:val="706E1BD5"/>
    <w:rsid w:val="707DED36"/>
    <w:rsid w:val="70E7C7C4"/>
    <w:rsid w:val="71289AEB"/>
    <w:rsid w:val="714CAF7B"/>
    <w:rsid w:val="7186E401"/>
    <w:rsid w:val="71D49303"/>
    <w:rsid w:val="7284C04A"/>
    <w:rsid w:val="72D0C08A"/>
    <w:rsid w:val="75E35E44"/>
    <w:rsid w:val="760A344C"/>
    <w:rsid w:val="77267FFD"/>
    <w:rsid w:val="78537B38"/>
    <w:rsid w:val="78DE5D28"/>
    <w:rsid w:val="79CA08CC"/>
    <w:rsid w:val="7A982350"/>
    <w:rsid w:val="7B7D6DB2"/>
    <w:rsid w:val="7D34DEF4"/>
    <w:rsid w:val="7EB5359A"/>
    <w:rsid w:val="7ED03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3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A57027"/>
    <w:pPr>
      <w:spacing w:before="100" w:beforeAutospacing="1" w:after="100" w:afterAutospacing="1"/>
      <w:jc w:val="left"/>
    </w:pPr>
    <w:rPr>
      <w:rFonts w:eastAsia="Times New Roman"/>
      <w:szCs w:val="24"/>
      <w:lang w:val="fr-BE" w:eastAsia="fr-BE"/>
    </w:rPr>
  </w:style>
  <w:style w:type="paragraph" w:customStyle="1" w:styleId="Normal1">
    <w:name w:val="Normal1"/>
    <w:basedOn w:val="Normal"/>
    <w:rsid w:val="00A57027"/>
    <w:pPr>
      <w:spacing w:before="100" w:beforeAutospacing="1" w:after="100" w:afterAutospacing="1"/>
      <w:jc w:val="left"/>
    </w:pPr>
    <w:rPr>
      <w:rFonts w:eastAsia="Times New Roman"/>
      <w:szCs w:val="24"/>
      <w:lang w:val="fr-BE" w:eastAsia="fr-BE"/>
    </w:rPr>
  </w:style>
  <w:style w:type="character" w:customStyle="1" w:styleId="num">
    <w:name w:val="num"/>
    <w:basedOn w:val="DefaultParagraphFont"/>
    <w:rsid w:val="00A57027"/>
  </w:style>
  <w:style w:type="paragraph" w:customStyle="1" w:styleId="Manulheading2">
    <w:name w:val="Manul heading 2"/>
    <w:basedOn w:val="li"/>
    <w:rsid w:val="00A57027"/>
    <w:pPr>
      <w:shd w:val="clear" w:color="auto" w:fill="FFFFFF"/>
      <w:spacing w:before="0" w:beforeAutospacing="0" w:after="0" w:afterAutospacing="0"/>
      <w:ind w:left="1418"/>
      <w:jc w:val="both"/>
    </w:pPr>
    <w:rPr>
      <w:b/>
      <w:bCs/>
      <w:color w:val="333333"/>
      <w:sz w:val="27"/>
      <w:szCs w:val="27"/>
    </w:rPr>
  </w:style>
  <w:style w:type="paragraph" w:styleId="ListNumber4">
    <w:name w:val="List Number 4"/>
    <w:basedOn w:val="Normal"/>
    <w:uiPriority w:val="99"/>
    <w:semiHidden/>
    <w:unhideWhenUsed/>
    <w:rsid w:val="00956A8A"/>
    <w:pPr>
      <w:numPr>
        <w:numId w:val="1"/>
      </w:numPr>
      <w:contextualSpacing/>
    </w:pPr>
  </w:style>
  <w:style w:type="character" w:styleId="CommentReference">
    <w:name w:val="annotation reference"/>
    <w:basedOn w:val="DefaultParagraphFont"/>
    <w:unhideWhenUsed/>
    <w:rsid w:val="008A2B85"/>
    <w:rPr>
      <w:sz w:val="16"/>
      <w:szCs w:val="16"/>
    </w:rPr>
  </w:style>
  <w:style w:type="paragraph" w:styleId="CommentText">
    <w:name w:val="annotation text"/>
    <w:basedOn w:val="Normal"/>
    <w:link w:val="CommentTextChar"/>
    <w:unhideWhenUsed/>
    <w:rsid w:val="008A2B85"/>
    <w:rPr>
      <w:sz w:val="20"/>
      <w:szCs w:val="20"/>
    </w:rPr>
  </w:style>
  <w:style w:type="character" w:customStyle="1" w:styleId="CommentTextChar">
    <w:name w:val="Comment Text Char"/>
    <w:basedOn w:val="DefaultParagraphFont"/>
    <w:link w:val="CommentText"/>
    <w:uiPriority w:val="99"/>
    <w:rsid w:val="008A2B8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A2B85"/>
    <w:rPr>
      <w:b/>
      <w:bCs/>
    </w:rPr>
  </w:style>
  <w:style w:type="character" w:customStyle="1" w:styleId="CommentSubjectChar">
    <w:name w:val="Comment Subject Char"/>
    <w:basedOn w:val="CommentTextChar"/>
    <w:link w:val="CommentSubject"/>
    <w:uiPriority w:val="99"/>
    <w:semiHidden/>
    <w:rsid w:val="008A2B85"/>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A2B8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85"/>
    <w:rPr>
      <w:rFonts w:ascii="Segoe UI" w:hAnsi="Segoe UI" w:cs="Segoe UI"/>
      <w:sz w:val="18"/>
      <w:szCs w:val="18"/>
      <w:lang w:val="en-GB"/>
    </w:rPr>
  </w:style>
  <w:style w:type="paragraph" w:styleId="Revision">
    <w:name w:val="Revision"/>
    <w:hidden/>
    <w:uiPriority w:val="99"/>
    <w:semiHidden/>
    <w:rsid w:val="008A2B85"/>
    <w:pPr>
      <w:spacing w:after="0" w:line="240" w:lineRule="auto"/>
    </w:pPr>
    <w:rPr>
      <w:rFonts w:ascii="Times New Roman" w:hAnsi="Times New Roman" w:cs="Times New Roman"/>
      <w:sz w:val="24"/>
      <w:lang w:val="en-GB"/>
    </w:rPr>
  </w:style>
  <w:style w:type="paragraph" w:customStyle="1" w:styleId="oj-normal">
    <w:name w:val="oj-normal"/>
    <w:basedOn w:val="Normal"/>
    <w:rsid w:val="007A1E93"/>
    <w:pPr>
      <w:spacing w:before="100" w:beforeAutospacing="1" w:after="100" w:afterAutospacing="1"/>
      <w:jc w:val="left"/>
    </w:pPr>
    <w:rPr>
      <w:rFonts w:eastAsia="Times New Roman"/>
      <w:szCs w:val="24"/>
      <w:lang w:val="fr-BE" w:eastAsia="fr-BE"/>
    </w:rPr>
  </w:style>
  <w:style w:type="paragraph" w:styleId="ListBullet">
    <w:name w:val="List Bullet"/>
    <w:basedOn w:val="Normal"/>
    <w:uiPriority w:val="99"/>
    <w:semiHidden/>
    <w:unhideWhenUsed/>
    <w:rsid w:val="0010724F"/>
    <w:pPr>
      <w:numPr>
        <w:numId w:val="2"/>
      </w:numPr>
      <w:contextualSpacing/>
    </w:pPr>
  </w:style>
  <w:style w:type="paragraph" w:styleId="ListBullet2">
    <w:name w:val="List Bullet 2"/>
    <w:basedOn w:val="Normal"/>
    <w:uiPriority w:val="99"/>
    <w:semiHidden/>
    <w:unhideWhenUsed/>
    <w:rsid w:val="0010724F"/>
    <w:pPr>
      <w:numPr>
        <w:numId w:val="3"/>
      </w:numPr>
      <w:contextualSpacing/>
    </w:pPr>
  </w:style>
  <w:style w:type="paragraph" w:styleId="ListBullet3">
    <w:name w:val="List Bullet 3"/>
    <w:basedOn w:val="Normal"/>
    <w:uiPriority w:val="99"/>
    <w:semiHidden/>
    <w:unhideWhenUsed/>
    <w:rsid w:val="0010724F"/>
    <w:pPr>
      <w:numPr>
        <w:numId w:val="4"/>
      </w:numPr>
      <w:contextualSpacing/>
    </w:pPr>
  </w:style>
  <w:style w:type="paragraph" w:styleId="ListBullet4">
    <w:name w:val="List Bullet 4"/>
    <w:basedOn w:val="Normal"/>
    <w:uiPriority w:val="99"/>
    <w:semiHidden/>
    <w:unhideWhenUsed/>
    <w:rsid w:val="0010724F"/>
    <w:pPr>
      <w:numPr>
        <w:numId w:val="5"/>
      </w:numPr>
      <w:contextualSpacing/>
    </w:pPr>
  </w:style>
  <w:style w:type="character" w:styleId="Hyperlink">
    <w:name w:val="Hyperlink"/>
    <w:basedOn w:val="DefaultParagraphFont"/>
    <w:uiPriority w:val="99"/>
    <w:unhideWhenUsed/>
    <w:rsid w:val="00540588"/>
    <w:rPr>
      <w:color w:val="0000FF" w:themeColor="hyperlink"/>
      <w:u w:val="single"/>
    </w:rPr>
  </w:style>
  <w:style w:type="table" w:styleId="TableGrid">
    <w:name w:val="Table Grid"/>
    <w:basedOn w:val="TableNormal"/>
    <w:uiPriority w:val="59"/>
    <w:rsid w:val="003D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8D8"/>
    <w:pPr>
      <w:ind w:left="720"/>
      <w:contextualSpacing/>
    </w:pPr>
  </w:style>
  <w:style w:type="paragraph" w:customStyle="1" w:styleId="Briefinglist1">
    <w:name w:val="Briefing list 1"/>
    <w:basedOn w:val="Normal"/>
    <w:link w:val="Briefinglist1Char"/>
    <w:qFormat/>
    <w:rsid w:val="00B24851"/>
    <w:pPr>
      <w:keepLines/>
      <w:numPr>
        <w:numId w:val="6"/>
      </w:numPr>
      <w:spacing w:before="0"/>
    </w:pPr>
    <w:rPr>
      <w:rFonts w:ascii="Arial" w:eastAsia="Times New Roman" w:hAnsi="Arial" w:cs="Arial"/>
      <w:sz w:val="22"/>
      <w:szCs w:val="24"/>
    </w:rPr>
  </w:style>
  <w:style w:type="character" w:customStyle="1" w:styleId="Briefinglist1Char">
    <w:name w:val="Briefing list 1 Char"/>
    <w:basedOn w:val="DefaultParagraphFont"/>
    <w:link w:val="Briefinglist1"/>
    <w:qFormat/>
    <w:rsid w:val="00B24851"/>
    <w:rPr>
      <w:rFonts w:ascii="Arial" w:eastAsia="Times New Roman" w:hAnsi="Arial" w:cs="Arial"/>
      <w:szCs w:val="24"/>
      <w:lang w:val="en-GB"/>
    </w:rPr>
  </w:style>
  <w:style w:type="character" w:customStyle="1" w:styleId="normaltextrun">
    <w:name w:val="normaltextrun"/>
    <w:basedOn w:val="DefaultParagraphFont"/>
    <w:rsid w:val="00B24851"/>
  </w:style>
  <w:style w:type="character" w:customStyle="1" w:styleId="UnresolvedMention1">
    <w:name w:val="Unresolved Mention1"/>
    <w:basedOn w:val="DefaultParagraphFont"/>
    <w:uiPriority w:val="99"/>
    <w:unhideWhenUsed/>
    <w:rsid w:val="008B5777"/>
    <w:rPr>
      <w:color w:val="605E5C"/>
      <w:shd w:val="clear" w:color="auto" w:fill="E1DFDD"/>
    </w:rPr>
  </w:style>
  <w:style w:type="character" w:customStyle="1" w:styleId="Mention1">
    <w:name w:val="Mention1"/>
    <w:basedOn w:val="DefaultParagraphFont"/>
    <w:uiPriority w:val="99"/>
    <w:unhideWhenUsed/>
    <w:rsid w:val="008B5777"/>
    <w:rPr>
      <w:color w:val="2B579A"/>
      <w:shd w:val="clear" w:color="auto" w:fill="E1DFDD"/>
    </w:rPr>
  </w:style>
  <w:style w:type="character" w:customStyle="1" w:styleId="UnresolvedMention2">
    <w:name w:val="Unresolved Mention2"/>
    <w:basedOn w:val="DefaultParagraphFont"/>
    <w:uiPriority w:val="99"/>
    <w:semiHidden/>
    <w:unhideWhenUsed/>
    <w:rsid w:val="00983A26"/>
    <w:rPr>
      <w:color w:val="605E5C"/>
      <w:shd w:val="clear" w:color="auto" w:fill="E1DFDD"/>
    </w:rPr>
  </w:style>
  <w:style w:type="paragraph" w:customStyle="1" w:styleId="paragraph">
    <w:name w:val="paragraph"/>
    <w:basedOn w:val="Normal"/>
    <w:rsid w:val="00C2086C"/>
    <w:pPr>
      <w:suppressAutoHyphens/>
      <w:autoSpaceDN w:val="0"/>
      <w:spacing w:before="100" w:after="100"/>
      <w:jc w:val="left"/>
    </w:pPr>
    <w:rPr>
      <w:rFonts w:eastAsia="Times New Roman"/>
      <w:szCs w:val="24"/>
      <w:lang w:val="fr-BE" w:eastAsia="fr-BE"/>
    </w:rPr>
  </w:style>
  <w:style w:type="character" w:customStyle="1" w:styleId="superscript">
    <w:name w:val="superscript"/>
    <w:basedOn w:val="DefaultParagraphFont"/>
    <w:rsid w:val="00D62830"/>
  </w:style>
  <w:style w:type="character" w:customStyle="1" w:styleId="eop">
    <w:name w:val="eop"/>
    <w:basedOn w:val="DefaultParagraphFont"/>
    <w:rsid w:val="00D62830"/>
  </w:style>
  <w:style w:type="character" w:customStyle="1" w:styleId="Mention2">
    <w:name w:val="Mention2"/>
    <w:basedOn w:val="DefaultParagraphFont"/>
    <w:rsid w:val="008A48DD"/>
    <w:rPr>
      <w:color w:val="2B579A"/>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29922">
      <w:bodyDiv w:val="1"/>
      <w:marLeft w:val="0"/>
      <w:marRight w:val="0"/>
      <w:marTop w:val="0"/>
      <w:marBottom w:val="0"/>
      <w:divBdr>
        <w:top w:val="none" w:sz="0" w:space="0" w:color="auto"/>
        <w:left w:val="none" w:sz="0" w:space="0" w:color="auto"/>
        <w:bottom w:val="none" w:sz="0" w:space="0" w:color="auto"/>
        <w:right w:val="none" w:sz="0" w:space="0" w:color="auto"/>
      </w:divBdr>
    </w:div>
    <w:div w:id="652831824">
      <w:bodyDiv w:val="1"/>
      <w:marLeft w:val="0"/>
      <w:marRight w:val="0"/>
      <w:marTop w:val="0"/>
      <w:marBottom w:val="0"/>
      <w:divBdr>
        <w:top w:val="none" w:sz="0" w:space="0" w:color="auto"/>
        <w:left w:val="none" w:sz="0" w:space="0" w:color="auto"/>
        <w:bottom w:val="none" w:sz="0" w:space="0" w:color="auto"/>
        <w:right w:val="none" w:sz="0" w:space="0" w:color="auto"/>
      </w:divBdr>
    </w:div>
    <w:div w:id="668824984">
      <w:bodyDiv w:val="1"/>
      <w:marLeft w:val="0"/>
      <w:marRight w:val="0"/>
      <w:marTop w:val="0"/>
      <w:marBottom w:val="0"/>
      <w:divBdr>
        <w:top w:val="none" w:sz="0" w:space="0" w:color="auto"/>
        <w:left w:val="none" w:sz="0" w:space="0" w:color="auto"/>
        <w:bottom w:val="none" w:sz="0" w:space="0" w:color="auto"/>
        <w:right w:val="none" w:sz="0" w:space="0" w:color="auto"/>
      </w:divBdr>
      <w:divsChild>
        <w:div w:id="540824847">
          <w:marLeft w:val="0"/>
          <w:marRight w:val="0"/>
          <w:marTop w:val="0"/>
          <w:marBottom w:val="0"/>
          <w:divBdr>
            <w:top w:val="single" w:sz="6" w:space="0" w:color="000000"/>
            <w:left w:val="single" w:sz="6" w:space="2" w:color="000000"/>
            <w:bottom w:val="single" w:sz="6" w:space="0" w:color="000000"/>
            <w:right w:val="single" w:sz="6" w:space="2" w:color="000000"/>
          </w:divBdr>
        </w:div>
        <w:div w:id="1125541049">
          <w:marLeft w:val="0"/>
          <w:marRight w:val="0"/>
          <w:marTop w:val="0"/>
          <w:marBottom w:val="0"/>
          <w:divBdr>
            <w:top w:val="single" w:sz="6" w:space="0" w:color="000000"/>
            <w:left w:val="single" w:sz="6" w:space="2" w:color="000000"/>
            <w:bottom w:val="single" w:sz="6" w:space="0" w:color="000000"/>
            <w:right w:val="single" w:sz="6" w:space="2" w:color="000000"/>
          </w:divBdr>
        </w:div>
        <w:div w:id="169596197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748380963">
      <w:bodyDiv w:val="1"/>
      <w:marLeft w:val="0"/>
      <w:marRight w:val="0"/>
      <w:marTop w:val="0"/>
      <w:marBottom w:val="0"/>
      <w:divBdr>
        <w:top w:val="none" w:sz="0" w:space="0" w:color="auto"/>
        <w:left w:val="none" w:sz="0" w:space="0" w:color="auto"/>
        <w:bottom w:val="none" w:sz="0" w:space="0" w:color="auto"/>
        <w:right w:val="none" w:sz="0" w:space="0" w:color="auto"/>
      </w:divBdr>
    </w:div>
    <w:div w:id="796216091">
      <w:bodyDiv w:val="1"/>
      <w:marLeft w:val="0"/>
      <w:marRight w:val="0"/>
      <w:marTop w:val="0"/>
      <w:marBottom w:val="0"/>
      <w:divBdr>
        <w:top w:val="none" w:sz="0" w:space="0" w:color="auto"/>
        <w:left w:val="none" w:sz="0" w:space="0" w:color="auto"/>
        <w:bottom w:val="none" w:sz="0" w:space="0" w:color="auto"/>
        <w:right w:val="none" w:sz="0" w:space="0" w:color="auto"/>
      </w:divBdr>
      <w:divsChild>
        <w:div w:id="1404838303">
          <w:marLeft w:val="0"/>
          <w:marRight w:val="0"/>
          <w:marTop w:val="0"/>
          <w:marBottom w:val="0"/>
          <w:divBdr>
            <w:top w:val="single" w:sz="6" w:space="0" w:color="000000"/>
            <w:left w:val="single" w:sz="6" w:space="2" w:color="000000"/>
            <w:bottom w:val="single" w:sz="6" w:space="0" w:color="000000"/>
            <w:right w:val="single" w:sz="6" w:space="2" w:color="000000"/>
          </w:divBdr>
        </w:div>
        <w:div w:id="155805416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46361020">
      <w:bodyDiv w:val="1"/>
      <w:marLeft w:val="0"/>
      <w:marRight w:val="0"/>
      <w:marTop w:val="0"/>
      <w:marBottom w:val="0"/>
      <w:divBdr>
        <w:top w:val="none" w:sz="0" w:space="0" w:color="auto"/>
        <w:left w:val="none" w:sz="0" w:space="0" w:color="auto"/>
        <w:bottom w:val="none" w:sz="0" w:space="0" w:color="auto"/>
        <w:right w:val="none" w:sz="0" w:space="0" w:color="auto"/>
      </w:divBdr>
    </w:div>
    <w:div w:id="988555378">
      <w:bodyDiv w:val="1"/>
      <w:marLeft w:val="0"/>
      <w:marRight w:val="0"/>
      <w:marTop w:val="0"/>
      <w:marBottom w:val="0"/>
      <w:divBdr>
        <w:top w:val="none" w:sz="0" w:space="0" w:color="auto"/>
        <w:left w:val="none" w:sz="0" w:space="0" w:color="auto"/>
        <w:bottom w:val="none" w:sz="0" w:space="0" w:color="auto"/>
        <w:right w:val="none" w:sz="0" w:space="0" w:color="auto"/>
      </w:divBdr>
    </w:div>
    <w:div w:id="1133983821">
      <w:bodyDiv w:val="1"/>
      <w:marLeft w:val="0"/>
      <w:marRight w:val="0"/>
      <w:marTop w:val="0"/>
      <w:marBottom w:val="0"/>
      <w:divBdr>
        <w:top w:val="none" w:sz="0" w:space="0" w:color="auto"/>
        <w:left w:val="none" w:sz="0" w:space="0" w:color="auto"/>
        <w:bottom w:val="none" w:sz="0" w:space="0" w:color="auto"/>
        <w:right w:val="none" w:sz="0" w:space="0" w:color="auto"/>
      </w:divBdr>
    </w:div>
    <w:div w:id="1253514638">
      <w:bodyDiv w:val="1"/>
      <w:marLeft w:val="0"/>
      <w:marRight w:val="0"/>
      <w:marTop w:val="0"/>
      <w:marBottom w:val="0"/>
      <w:divBdr>
        <w:top w:val="none" w:sz="0" w:space="0" w:color="auto"/>
        <w:left w:val="none" w:sz="0" w:space="0" w:color="auto"/>
        <w:bottom w:val="none" w:sz="0" w:space="0" w:color="auto"/>
        <w:right w:val="none" w:sz="0" w:space="0" w:color="auto"/>
      </w:divBdr>
    </w:div>
    <w:div w:id="1547331151">
      <w:bodyDiv w:val="1"/>
      <w:marLeft w:val="0"/>
      <w:marRight w:val="0"/>
      <w:marTop w:val="0"/>
      <w:marBottom w:val="0"/>
      <w:divBdr>
        <w:top w:val="none" w:sz="0" w:space="0" w:color="auto"/>
        <w:left w:val="none" w:sz="0" w:space="0" w:color="auto"/>
        <w:bottom w:val="none" w:sz="0" w:space="0" w:color="auto"/>
        <w:right w:val="none" w:sz="0" w:space="0" w:color="auto"/>
      </w:divBdr>
    </w:div>
    <w:div w:id="1702433513">
      <w:bodyDiv w:val="1"/>
      <w:marLeft w:val="0"/>
      <w:marRight w:val="0"/>
      <w:marTop w:val="0"/>
      <w:marBottom w:val="0"/>
      <w:divBdr>
        <w:top w:val="none" w:sz="0" w:space="0" w:color="auto"/>
        <w:left w:val="none" w:sz="0" w:space="0" w:color="auto"/>
        <w:bottom w:val="none" w:sz="0" w:space="0" w:color="auto"/>
        <w:right w:val="none" w:sz="0" w:space="0" w:color="auto"/>
      </w:divBdr>
      <w:divsChild>
        <w:div w:id="1148857967">
          <w:marLeft w:val="0"/>
          <w:marRight w:val="0"/>
          <w:marTop w:val="0"/>
          <w:marBottom w:val="0"/>
          <w:divBdr>
            <w:top w:val="none" w:sz="0" w:space="0" w:color="auto"/>
            <w:left w:val="none" w:sz="0" w:space="0" w:color="auto"/>
            <w:bottom w:val="none" w:sz="0" w:space="0" w:color="auto"/>
            <w:right w:val="none" w:sz="0" w:space="0" w:color="auto"/>
          </w:divBdr>
        </w:div>
        <w:div w:id="1154419424">
          <w:marLeft w:val="0"/>
          <w:marRight w:val="0"/>
          <w:marTop w:val="0"/>
          <w:marBottom w:val="0"/>
          <w:divBdr>
            <w:top w:val="none" w:sz="0" w:space="0" w:color="auto"/>
            <w:left w:val="none" w:sz="0" w:space="0" w:color="auto"/>
            <w:bottom w:val="none" w:sz="0" w:space="0" w:color="auto"/>
            <w:right w:val="none" w:sz="0" w:space="0" w:color="auto"/>
          </w:divBdr>
        </w:div>
        <w:div w:id="1156609301">
          <w:marLeft w:val="0"/>
          <w:marRight w:val="0"/>
          <w:marTop w:val="0"/>
          <w:marBottom w:val="0"/>
          <w:divBdr>
            <w:top w:val="none" w:sz="0" w:space="0" w:color="auto"/>
            <w:left w:val="none" w:sz="0" w:space="0" w:color="auto"/>
            <w:bottom w:val="none" w:sz="0" w:space="0" w:color="auto"/>
            <w:right w:val="none" w:sz="0" w:space="0" w:color="auto"/>
          </w:divBdr>
        </w:div>
      </w:divsChild>
    </w:div>
    <w:div w:id="2091346613">
      <w:bodyDiv w:val="1"/>
      <w:marLeft w:val="0"/>
      <w:marRight w:val="0"/>
      <w:marTop w:val="0"/>
      <w:marBottom w:val="0"/>
      <w:divBdr>
        <w:top w:val="none" w:sz="0" w:space="0" w:color="auto"/>
        <w:left w:val="none" w:sz="0" w:space="0" w:color="auto"/>
        <w:bottom w:val="none" w:sz="0" w:space="0" w:color="auto"/>
        <w:right w:val="none" w:sz="0" w:space="0" w:color="auto"/>
      </w:divBdr>
      <w:divsChild>
        <w:div w:id="868446084">
          <w:marLeft w:val="0"/>
          <w:marRight w:val="0"/>
          <w:marTop w:val="0"/>
          <w:marBottom w:val="0"/>
          <w:divBdr>
            <w:top w:val="none" w:sz="0" w:space="0" w:color="auto"/>
            <w:left w:val="none" w:sz="0" w:space="0" w:color="auto"/>
            <w:bottom w:val="none" w:sz="0" w:space="0" w:color="auto"/>
            <w:right w:val="none" w:sz="0" w:space="0" w:color="auto"/>
          </w:divBdr>
        </w:div>
        <w:div w:id="983005712">
          <w:marLeft w:val="0"/>
          <w:marRight w:val="0"/>
          <w:marTop w:val="0"/>
          <w:marBottom w:val="0"/>
          <w:divBdr>
            <w:top w:val="none" w:sz="0" w:space="0" w:color="auto"/>
            <w:left w:val="none" w:sz="0" w:space="0" w:color="auto"/>
            <w:bottom w:val="none" w:sz="0" w:space="0" w:color="auto"/>
            <w:right w:val="none" w:sz="0" w:space="0" w:color="auto"/>
          </w:divBdr>
        </w:div>
        <w:div w:id="199074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4" ma:contentTypeDescription="Create a new document." ma:contentTypeScope="" ma:versionID="a05fe15a26fa83f9c98f8eaa265fc44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ee4d2cf6cdcf3d25498fc96d67622924"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B871F-FD6A-4BFE-91E8-A436CE25E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D96F0E-6964-4C48-B975-77EB727519EA}">
  <ds:schemaRefs>
    <ds:schemaRef ds:uri="http://schemas.openxmlformats.org/officeDocument/2006/bibliography"/>
  </ds:schemaRefs>
</ds:datastoreItem>
</file>

<file path=customXml/itemProps3.xml><?xml version="1.0" encoding="utf-8"?>
<ds:datastoreItem xmlns:ds="http://schemas.openxmlformats.org/officeDocument/2006/customXml" ds:itemID="{3718E0EC-2C2E-41C9-BD7A-CF3632D4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737AD-9871-4B4E-976B-246AADEE3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4778</Words>
  <Characters>26283</Characters>
  <Application>Microsoft Office Word</Application>
  <DocSecurity>0</DocSecurity>
  <Lines>515</Lines>
  <Paragraphs>248</Paragraphs>
  <ScaleCrop>false</ScaleCrop>
  <Manager/>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2023-06-20T13:19:00Z</dcterms:created>
  <dcterms:modified xsi:type="dcterms:W3CDTF">2023-06-20T07:07:00Z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2023-06-19T19:15:48Z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926242a4-2ac5-4190-b608-2bdc97a58417</vt:lpwstr>
  </property>
  <property fmtid="{D5CDD505-2E9C-101B-9397-08002B2CF9AE}" pid="9" name="MSIP_Label_6bd9ddd1-4d20-43f6-abfa-fc3c07406f94_ContentBits">
    <vt:lpwstr>0</vt:lpwstr>
  </property>
  <property fmtid="{D5CDD505-2E9C-101B-9397-08002B2CF9AE}" pid="10" name="ContentTypeId">
    <vt:lpwstr>0x0101007697B7BFF882854783B2AFEB81A9CCE9</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SJ-016</vt:lpwstr>
  </property>
  <property fmtid="{D5CDD505-2E9C-101B-9397-08002B2CF9AE}" pid="16" name="DQCStatus">
    <vt:lpwstr>Green (DQC version 03)</vt:lpwstr>
  </property>
</Properties>
</file>