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3D4" w:rsidP="00C66737" w:rsidRDefault="000A52CC" w14:paraId="7D314F7B" w14:textId="64B6FA25">
      <w:pPr>
        <w:pStyle w:val="Pagedecouverture"/>
        <w:rPr>
          <w:noProof/>
        </w:rPr>
      </w:pPr>
      <w:r>
        <w:rPr>
          <w:noProof/>
        </w:rPr>
        <w:pict w14:anchorId="3109A45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5.1pt;height:355.7pt" alt="2E944A44-660E-477B-9D4E-2061E02830C6" type="#_x0000_t75">
            <v:imagedata o:title="" r:id="rId12"/>
          </v:shape>
        </w:pict>
      </w:r>
    </w:p>
    <w:p w:rsidR="000273D4" w:rsidP="000273D4" w:rsidRDefault="000273D4" w14:paraId="67C32D7F" w14:textId="77777777">
      <w:pPr>
        <w:rPr>
          <w:noProof/>
        </w:rPr>
        <w:sectPr w:rsidR="000273D4" w:rsidSect="0060726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0273D4" w:rsidP="005D5AEF" w:rsidRDefault="000273D4" w14:paraId="45B55F3E" w14:textId="77777777">
      <w:pPr>
        <w:pStyle w:val="Exposdesmotifstitre"/>
        <w:rPr>
          <w:noProof/>
        </w:rPr>
      </w:pPr>
      <w:r w:rsidRPr="006F770D">
        <w:rPr>
          <w:noProof/>
        </w:rPr>
        <w:lastRenderedPageBreak/>
        <w:t>EXPLANATORY MEMORANDUM</w:t>
      </w:r>
    </w:p>
    <w:p w:rsidRPr="005C4F4D" w:rsidR="0077599A" w:rsidP="00164BA7" w:rsidRDefault="0077599A" w14:paraId="5A139BE6" w14:textId="77777777">
      <w:pPr>
        <w:pStyle w:val="ManualHeading1"/>
        <w:spacing w:after="240"/>
        <w:ind w:left="851" w:hanging="851"/>
        <w:rPr>
          <w:noProof/>
        </w:rPr>
      </w:pPr>
      <w:bookmarkStart w:name="_Toc93325454" w:id="0"/>
      <w:bookmarkStart w:name="_Toc93325485" w:id="1"/>
      <w:r>
        <w:rPr>
          <w:noProof/>
        </w:rPr>
        <w:t>1.</w:t>
      </w:r>
      <w:r>
        <w:rPr>
          <w:noProof/>
        </w:rPr>
        <w:tab/>
        <w:t>CONTEXT OF THE PROPOSAL</w:t>
      </w:r>
      <w:bookmarkEnd w:id="0"/>
      <w:bookmarkEnd w:id="1"/>
    </w:p>
    <w:p w:rsidRPr="005C4F4D" w:rsidR="0077599A" w:rsidP="0077599A" w:rsidRDefault="0077599A" w14:paraId="3D50A03F" w14:textId="77777777">
      <w:pPr>
        <w:pStyle w:val="ManualHeading2"/>
        <w:rPr>
          <w:rFonts w:eastAsia="Arial Unicode MS"/>
          <w:noProof/>
        </w:rPr>
      </w:pPr>
      <w:bookmarkStart w:name="_Toc93325455" w:id="2"/>
      <w:bookmarkStart w:name="_Toc93325486" w:id="3"/>
      <w:r w:rsidRPr="005C4F4D">
        <w:rPr>
          <w:rFonts w:eastAsia="Arial Unicode MS"/>
          <w:noProof/>
          <w:u w:color="000000"/>
          <w:bdr w:val="nil"/>
          <w:lang w:val="en-US" w:eastAsia="en-GB"/>
        </w:rPr>
        <w:t>•</w:t>
      </w:r>
      <w:r w:rsidRPr="005C4F4D">
        <w:rPr>
          <w:rFonts w:eastAsia="Arial Unicode MS"/>
          <w:noProof/>
          <w:u w:color="000000"/>
          <w:bdr w:val="nil"/>
          <w:lang w:val="en-US" w:eastAsia="en-GB"/>
        </w:rPr>
        <w:tab/>
      </w:r>
      <w:r w:rsidR="002E593A">
        <w:rPr>
          <w:rFonts w:eastAsia="Arial Unicode MS"/>
          <w:noProof/>
          <w:u w:color="000000"/>
          <w:bdr w:val="nil"/>
          <w:lang w:val="en-US" w:eastAsia="en-GB"/>
        </w:rPr>
        <w:t>O</w:t>
      </w:r>
      <w:r w:rsidRPr="005C4F4D">
        <w:rPr>
          <w:rFonts w:eastAsia="Arial Unicode MS"/>
          <w:noProof/>
        </w:rPr>
        <w:t>bjectives of the proposal</w:t>
      </w:r>
      <w:bookmarkEnd w:id="2"/>
      <w:bookmarkEnd w:id="3"/>
    </w:p>
    <w:p w:rsidR="000C2DE9" w:rsidP="000C2DE9" w:rsidRDefault="000C2DE9" w14:paraId="5920549F" w14:textId="77777777">
      <w:pPr>
        <w:rPr>
          <w:bCs/>
          <w:noProof/>
          <w:szCs w:val="24"/>
          <w:lang w:val="en-IE"/>
        </w:rPr>
      </w:pPr>
      <w:r w:rsidRPr="003B78A2">
        <w:rPr>
          <w:rFonts w:eastAsia="Times New Roman"/>
          <w:noProof/>
          <w:szCs w:val="20"/>
        </w:rPr>
        <w:t>In December 2021, the Commission proposed three new sources of revenues for the EU budget</w:t>
      </w:r>
      <w:r w:rsidR="00252F33">
        <w:rPr>
          <w:rStyle w:val="FootnoteReference"/>
          <w:rFonts w:eastAsia="Times New Roman"/>
          <w:noProof/>
          <w:szCs w:val="20"/>
        </w:rPr>
        <w:footnoteReference w:customMarkFollows="1" w:id="2"/>
        <w:t>1</w:t>
      </w:r>
      <w:r w:rsidRPr="003B78A2">
        <w:rPr>
          <w:rFonts w:eastAsia="Times New Roman"/>
          <w:noProof/>
          <w:szCs w:val="20"/>
        </w:rPr>
        <w:t xml:space="preserve">, </w:t>
      </w:r>
      <w:r>
        <w:rPr>
          <w:rFonts w:eastAsia="Times New Roman"/>
          <w:noProof/>
          <w:szCs w:val="20"/>
        </w:rPr>
        <w:t xml:space="preserve">namely a </w:t>
      </w:r>
      <w:r w:rsidRPr="003B78A2">
        <w:rPr>
          <w:rFonts w:eastAsia="Times New Roman"/>
          <w:noProof/>
          <w:szCs w:val="20"/>
        </w:rPr>
        <w:t>contribution from the emission trading system</w:t>
      </w:r>
      <w:r>
        <w:rPr>
          <w:rFonts w:eastAsia="Times New Roman"/>
          <w:noProof/>
          <w:szCs w:val="20"/>
        </w:rPr>
        <w:t xml:space="preserve"> (ETS), </w:t>
      </w:r>
      <w:r w:rsidRPr="003B78A2">
        <w:rPr>
          <w:rFonts w:eastAsia="Times New Roman"/>
          <w:noProof/>
          <w:szCs w:val="20"/>
        </w:rPr>
        <w:t>from the carbon border adjustment mechanism</w:t>
      </w:r>
      <w:r>
        <w:rPr>
          <w:rFonts w:eastAsia="Times New Roman"/>
          <w:noProof/>
          <w:szCs w:val="20"/>
        </w:rPr>
        <w:t xml:space="preserve"> (CBAM) and </w:t>
      </w:r>
      <w:r>
        <w:rPr>
          <w:bCs/>
          <w:noProof/>
          <w:szCs w:val="24"/>
          <w:lang w:val="en-IE"/>
        </w:rPr>
        <w:t xml:space="preserve">an own resource based on </w:t>
      </w:r>
      <w:r w:rsidRPr="004975A7">
        <w:rPr>
          <w:bCs/>
          <w:noProof/>
          <w:szCs w:val="24"/>
          <w:lang w:val="en-IE"/>
        </w:rPr>
        <w:t xml:space="preserve">a share of residual profits from multinationals that will be re-allocated to EU Member States under the recent OECD/G20 agreement </w:t>
      </w:r>
      <w:r>
        <w:rPr>
          <w:bCs/>
          <w:noProof/>
          <w:szCs w:val="24"/>
          <w:lang w:val="en-IE"/>
        </w:rPr>
        <w:t>(“Pillar One”)</w:t>
      </w:r>
      <w:r w:rsidR="00E30D9C">
        <w:rPr>
          <w:bCs/>
          <w:noProof/>
          <w:szCs w:val="24"/>
          <w:lang w:val="en-IE"/>
        </w:rPr>
        <w:t xml:space="preserve"> (the “own resources proposal”)</w:t>
      </w:r>
      <w:r>
        <w:rPr>
          <w:bCs/>
          <w:noProof/>
          <w:szCs w:val="24"/>
          <w:lang w:val="en-IE"/>
        </w:rPr>
        <w:t xml:space="preserve">. </w:t>
      </w:r>
      <w:r w:rsidR="00837A24">
        <w:rPr>
          <w:bCs/>
          <w:noProof/>
          <w:szCs w:val="24"/>
          <w:lang w:val="en-IE"/>
        </w:rPr>
        <w:t xml:space="preserve">The </w:t>
      </w:r>
      <w:r w:rsidR="00E30D9C">
        <w:rPr>
          <w:bCs/>
          <w:noProof/>
          <w:szCs w:val="24"/>
          <w:lang w:val="en-IE"/>
        </w:rPr>
        <w:t>proposal for a Council Regulation</w:t>
      </w:r>
      <w:r w:rsidR="00252F33">
        <w:rPr>
          <w:rStyle w:val="FootnoteReference"/>
          <w:bCs/>
          <w:noProof/>
          <w:szCs w:val="24"/>
          <w:lang w:val="en-IE"/>
        </w:rPr>
        <w:footnoteReference w:customMarkFollows="1" w:id="3"/>
        <w:t>2</w:t>
      </w:r>
      <w:r w:rsidR="0045687C">
        <w:rPr>
          <w:bCs/>
          <w:noProof/>
          <w:szCs w:val="24"/>
          <w:lang w:val="en-IE"/>
        </w:rPr>
        <w:t xml:space="preserve"> </w:t>
      </w:r>
      <w:r w:rsidRPr="00837A24" w:rsidR="00837A24">
        <w:rPr>
          <w:bCs/>
          <w:noProof/>
          <w:szCs w:val="24"/>
          <w:lang w:val="en-IE"/>
        </w:rPr>
        <w:t xml:space="preserve">amending Regulation (EU, Euratom) 2021/768 of 30 April 2021 as regards implementing measures for new own resources of the European Union </w:t>
      </w:r>
      <w:r w:rsidR="00837A24">
        <w:rPr>
          <w:bCs/>
          <w:noProof/>
          <w:szCs w:val="24"/>
          <w:lang w:val="en-IE"/>
        </w:rPr>
        <w:t>(‘IMSOR’)</w:t>
      </w:r>
      <w:r w:rsidR="00B8013A">
        <w:rPr>
          <w:rStyle w:val="FootnoteReference"/>
          <w:bCs/>
          <w:noProof/>
          <w:szCs w:val="24"/>
          <w:lang w:val="en-IE"/>
        </w:rPr>
        <w:footnoteReference w:customMarkFollows="1" w:id="4"/>
        <w:t>3</w:t>
      </w:r>
      <w:r w:rsidR="00837A24">
        <w:rPr>
          <w:bCs/>
          <w:noProof/>
          <w:szCs w:val="24"/>
          <w:lang w:val="en-IE"/>
        </w:rPr>
        <w:t xml:space="preserve"> lays down the Commission’s control and inspection powers which are necessary to implement these three new own resources. </w:t>
      </w:r>
    </w:p>
    <w:p w:rsidRPr="00252B07" w:rsidR="00551189" w:rsidP="000C2DE9" w:rsidRDefault="002E593A" w14:paraId="485B3965" w14:textId="36808873">
      <w:pPr>
        <w:rPr>
          <w:noProof/>
        </w:rPr>
      </w:pPr>
      <w:r>
        <w:rPr>
          <w:noProof/>
          <w:szCs w:val="24"/>
          <w:lang w:val="en-IE"/>
        </w:rPr>
        <w:t>M</w:t>
      </w:r>
      <w:r w:rsidR="000C2DE9">
        <w:rPr>
          <w:noProof/>
          <w:szCs w:val="24"/>
          <w:lang w:val="en-IE"/>
        </w:rPr>
        <w:t>ore than one year later, the</w:t>
      </w:r>
      <w:r w:rsidRPr="005E01C1" w:rsidR="000C2DE9">
        <w:rPr>
          <w:noProof/>
        </w:rPr>
        <w:t xml:space="preserve"> </w:t>
      </w:r>
      <w:r w:rsidR="000C2DE9">
        <w:rPr>
          <w:noProof/>
        </w:rPr>
        <w:t xml:space="preserve">Commission </w:t>
      </w:r>
      <w:r w:rsidR="00E330B7">
        <w:rPr>
          <w:noProof/>
        </w:rPr>
        <w:t xml:space="preserve">amends </w:t>
      </w:r>
      <w:r>
        <w:rPr>
          <w:noProof/>
        </w:rPr>
        <w:t>this</w:t>
      </w:r>
      <w:r w:rsidR="000C2DE9">
        <w:rPr>
          <w:noProof/>
        </w:rPr>
        <w:t xml:space="preserve"> </w:t>
      </w:r>
      <w:r w:rsidR="00E30D9C">
        <w:rPr>
          <w:noProof/>
        </w:rPr>
        <w:t>“</w:t>
      </w:r>
      <w:r w:rsidRPr="005E01C1" w:rsidR="000C2DE9">
        <w:rPr>
          <w:noProof/>
        </w:rPr>
        <w:t>own resource</w:t>
      </w:r>
      <w:r w:rsidR="00E30D9C">
        <w:rPr>
          <w:noProof/>
        </w:rPr>
        <w:t>s</w:t>
      </w:r>
      <w:r w:rsidRPr="005E01C1" w:rsidR="000C2DE9">
        <w:rPr>
          <w:noProof/>
        </w:rPr>
        <w:t xml:space="preserve"> proposal</w:t>
      </w:r>
      <w:r w:rsidR="00E30D9C">
        <w:rPr>
          <w:noProof/>
        </w:rPr>
        <w:t>”</w:t>
      </w:r>
      <w:r w:rsidR="00AF4D0C">
        <w:rPr>
          <w:rStyle w:val="FootnoteReference"/>
          <w:noProof/>
        </w:rPr>
        <w:footnoteReference w:customMarkFollows="1" w:id="5"/>
        <w:t>4</w:t>
      </w:r>
      <w:r w:rsidRPr="005E01C1" w:rsidR="000C2DE9">
        <w:rPr>
          <w:noProof/>
        </w:rPr>
        <w:t xml:space="preserve"> </w:t>
      </w:r>
      <w:r w:rsidR="000C2DE9">
        <w:rPr>
          <w:noProof/>
        </w:rPr>
        <w:t xml:space="preserve">and </w:t>
      </w:r>
      <w:r w:rsidR="00E330B7">
        <w:rPr>
          <w:noProof/>
        </w:rPr>
        <w:t xml:space="preserve">adds </w:t>
      </w:r>
      <w:r w:rsidR="000C2DE9">
        <w:rPr>
          <w:noProof/>
        </w:rPr>
        <w:t xml:space="preserve">a new own resource based on </w:t>
      </w:r>
      <w:r w:rsidRPr="00837A24" w:rsidR="00837A24">
        <w:rPr>
          <w:noProof/>
        </w:rPr>
        <w:t>statistical company profits</w:t>
      </w:r>
      <w:r w:rsidR="000C2DE9">
        <w:rPr>
          <w:noProof/>
        </w:rPr>
        <w:t>.</w:t>
      </w:r>
      <w:r w:rsidR="00551189">
        <w:rPr>
          <w:noProof/>
        </w:rPr>
        <w:t xml:space="preserve"> </w:t>
      </w:r>
      <w:r w:rsidR="00E30D9C">
        <w:rPr>
          <w:noProof/>
        </w:rPr>
        <w:t>Proposal COM(2022) 102 final m</w:t>
      </w:r>
      <w:r w:rsidR="00551189">
        <w:rPr>
          <w:noProof/>
        </w:rPr>
        <w:t xml:space="preserve">ust therefore be adjusted </w:t>
      </w:r>
      <w:r w:rsidRPr="00252B07" w:rsidR="00551189">
        <w:rPr>
          <w:noProof/>
        </w:rPr>
        <w:t>to ensure that the Commission has proportionate control and supervision powers to ensure th</w:t>
      </w:r>
      <w:r w:rsidR="00837A24">
        <w:rPr>
          <w:noProof/>
        </w:rPr>
        <w:t>is</w:t>
      </w:r>
      <w:r w:rsidRPr="00252B07" w:rsidR="00551189">
        <w:rPr>
          <w:noProof/>
        </w:rPr>
        <w:t xml:space="preserve"> new own resource is correctly implemented.</w:t>
      </w:r>
      <w:r w:rsidRPr="00252B07" w:rsidR="000C2DE9">
        <w:rPr>
          <w:noProof/>
        </w:rPr>
        <w:t xml:space="preserve"> </w:t>
      </w:r>
    </w:p>
    <w:p w:rsidR="000C2DE9" w:rsidP="00164BA7" w:rsidRDefault="00884BE9" w14:paraId="6EB5A52A" w14:textId="77777777">
      <w:pPr>
        <w:spacing w:after="240"/>
        <w:rPr>
          <w:noProof/>
        </w:rPr>
      </w:pPr>
      <w:r w:rsidRPr="00252B07">
        <w:rPr>
          <w:noProof/>
          <w:szCs w:val="24"/>
          <w:lang w:val="en-IE"/>
        </w:rPr>
        <w:t xml:space="preserve">Secondly, </w:t>
      </w:r>
      <w:r>
        <w:rPr>
          <w:noProof/>
          <w:szCs w:val="24"/>
          <w:lang w:val="en-IE"/>
        </w:rPr>
        <w:t>in 2023</w:t>
      </w:r>
      <w:r w:rsidRPr="00252B07">
        <w:rPr>
          <w:noProof/>
          <w:szCs w:val="24"/>
          <w:lang w:val="en-IE"/>
        </w:rPr>
        <w:t xml:space="preserve">, </w:t>
      </w:r>
      <w:r w:rsidRPr="00252B07">
        <w:rPr>
          <w:noProof/>
        </w:rPr>
        <w:t>the co-legislator</w:t>
      </w:r>
      <w:r>
        <w:rPr>
          <w:noProof/>
        </w:rPr>
        <w:t>s</w:t>
      </w:r>
      <w:r w:rsidRPr="00252B07">
        <w:rPr>
          <w:noProof/>
        </w:rPr>
        <w:t xml:space="preserve"> </w:t>
      </w:r>
      <w:r>
        <w:rPr>
          <w:noProof/>
        </w:rPr>
        <w:t>adopted the</w:t>
      </w:r>
      <w:r w:rsidRPr="00252B07">
        <w:rPr>
          <w:noProof/>
        </w:rPr>
        <w:t xml:space="preserve"> CBAM Regulation</w:t>
      </w:r>
      <w:r>
        <w:rPr>
          <w:noProof/>
        </w:rPr>
        <w:t xml:space="preserve">. </w:t>
      </w:r>
      <w:r w:rsidR="00837A24">
        <w:rPr>
          <w:noProof/>
        </w:rPr>
        <w:t xml:space="preserve">It </w:t>
      </w:r>
      <w:r w:rsidRPr="00252B07" w:rsidR="00551189">
        <w:rPr>
          <w:noProof/>
        </w:rPr>
        <w:t xml:space="preserve">vested the Commission with additional </w:t>
      </w:r>
      <w:r w:rsidRPr="00252B07" w:rsidR="000C2DE9">
        <w:rPr>
          <w:noProof/>
        </w:rPr>
        <w:t xml:space="preserve">control </w:t>
      </w:r>
      <w:r w:rsidRPr="00252B07" w:rsidR="00551189">
        <w:rPr>
          <w:noProof/>
        </w:rPr>
        <w:t xml:space="preserve">and inspection </w:t>
      </w:r>
      <w:r w:rsidRPr="00252B07" w:rsidR="000C2DE9">
        <w:rPr>
          <w:noProof/>
        </w:rPr>
        <w:t>powers</w:t>
      </w:r>
      <w:r w:rsidRPr="00252B07" w:rsidR="00551189">
        <w:rPr>
          <w:noProof/>
        </w:rPr>
        <w:t>, as</w:t>
      </w:r>
      <w:r w:rsidR="00551189">
        <w:rPr>
          <w:noProof/>
        </w:rPr>
        <w:t xml:space="preserve"> compared to the initial </w:t>
      </w:r>
      <w:r w:rsidR="00E330B7">
        <w:rPr>
          <w:noProof/>
        </w:rPr>
        <w:t xml:space="preserve">Commission </w:t>
      </w:r>
      <w:r w:rsidR="00551189">
        <w:rPr>
          <w:noProof/>
        </w:rPr>
        <w:t>proposal</w:t>
      </w:r>
      <w:r w:rsidR="00837A24">
        <w:rPr>
          <w:noProof/>
        </w:rPr>
        <w:t xml:space="preserve"> </w:t>
      </w:r>
      <w:r w:rsidR="00E330B7">
        <w:rPr>
          <w:noProof/>
        </w:rPr>
        <w:t>of</w:t>
      </w:r>
      <w:r w:rsidR="00837A24">
        <w:rPr>
          <w:noProof/>
        </w:rPr>
        <w:t xml:space="preserve"> July 2021</w:t>
      </w:r>
      <w:r w:rsidR="000C2DE9">
        <w:rPr>
          <w:noProof/>
        </w:rPr>
        <w:t>.</w:t>
      </w:r>
      <w:r w:rsidR="00551189">
        <w:rPr>
          <w:noProof/>
        </w:rPr>
        <w:t xml:space="preserve"> The </w:t>
      </w:r>
      <w:r w:rsidR="00E30D9C">
        <w:rPr>
          <w:noProof/>
        </w:rPr>
        <w:t xml:space="preserve">IMSOR </w:t>
      </w:r>
      <w:r w:rsidR="00551189">
        <w:rPr>
          <w:noProof/>
        </w:rPr>
        <w:t xml:space="preserve">must </w:t>
      </w:r>
      <w:r w:rsidR="00045BC6">
        <w:rPr>
          <w:noProof/>
        </w:rPr>
        <w:t>be adjusted</w:t>
      </w:r>
      <w:r w:rsidR="00837A24">
        <w:rPr>
          <w:noProof/>
        </w:rPr>
        <w:t xml:space="preserve"> to take stock of the </w:t>
      </w:r>
      <w:r w:rsidR="00851FEC">
        <w:rPr>
          <w:noProof/>
        </w:rPr>
        <w:t>centralised governance provided by the the</w:t>
      </w:r>
      <w:r w:rsidRPr="00252B07" w:rsidR="00851FEC">
        <w:rPr>
          <w:noProof/>
        </w:rPr>
        <w:t xml:space="preserve"> CBAM Regulation</w:t>
      </w:r>
      <w:r w:rsidR="00045BC6">
        <w:rPr>
          <w:noProof/>
        </w:rPr>
        <w:t xml:space="preserve">.  </w:t>
      </w:r>
    </w:p>
    <w:p w:rsidRPr="005C4F4D" w:rsidR="0077599A" w:rsidP="0077599A" w:rsidRDefault="0077599A" w14:paraId="498E356B" w14:textId="77777777">
      <w:pPr>
        <w:pStyle w:val="ManualHeading2"/>
        <w:rPr>
          <w:rFonts w:eastAsia="Arial Unicode MS"/>
          <w:noProof/>
          <w:color w:val="000000"/>
          <w:u w:color="000000"/>
          <w:bdr w:val="nil"/>
          <w:lang w:val="en-US" w:eastAsia="en-GB"/>
        </w:rPr>
      </w:pPr>
      <w:bookmarkStart w:name="_Toc93325456" w:id="4"/>
      <w:bookmarkStart w:name="_Toc93325487" w:id="5"/>
      <w:r w:rsidRPr="005C4F4D">
        <w:rPr>
          <w:rFonts w:eastAsia="Arial Unicode MS"/>
          <w:noProof/>
          <w:u w:color="000000"/>
          <w:bdr w:val="nil"/>
          <w:lang w:val="en-US" w:eastAsia="en-GB"/>
        </w:rPr>
        <w:t>•</w:t>
      </w:r>
      <w:r w:rsidRPr="005C4F4D">
        <w:rPr>
          <w:rFonts w:eastAsia="Arial Unicode MS"/>
          <w:noProof/>
          <w:u w:color="000000"/>
          <w:bdr w:val="nil"/>
          <w:lang w:val="en-US" w:eastAsia="en-GB"/>
        </w:rPr>
        <w:tab/>
      </w:r>
      <w:r w:rsidRPr="005C4F4D">
        <w:rPr>
          <w:rFonts w:eastAsia="Arial Unicode MS"/>
          <w:noProof/>
        </w:rPr>
        <w:t>Consistency with existing policy provisions in the policy area</w:t>
      </w:r>
      <w:bookmarkEnd w:id="4"/>
      <w:bookmarkEnd w:id="5"/>
    </w:p>
    <w:p w:rsidRPr="005C4F4D" w:rsidR="0077599A" w:rsidP="0077599A" w:rsidRDefault="0077599A" w14:paraId="6FA418C5" w14:textId="77777777">
      <w:pPr>
        <w:pBdr>
          <w:top w:val="nil"/>
          <w:left w:val="nil"/>
          <w:bottom w:val="nil"/>
          <w:right w:val="nil"/>
          <w:between w:val="nil"/>
          <w:bar w:val="nil"/>
        </w:pBdr>
        <w:spacing w:before="0" w:after="240"/>
        <w:rPr>
          <w:noProof/>
        </w:rPr>
      </w:pPr>
      <w:r>
        <w:rPr>
          <w:noProof/>
        </w:rPr>
        <w:t>This proposal</w:t>
      </w:r>
      <w:r w:rsidRPr="005C4F4D">
        <w:rPr>
          <w:noProof/>
        </w:rPr>
        <w:t xml:space="preserve"> is connected to the </w:t>
      </w:r>
      <w:r w:rsidR="00E30D9C">
        <w:rPr>
          <w:noProof/>
        </w:rPr>
        <w:t>“</w:t>
      </w:r>
      <w:r w:rsidRPr="005C4F4D">
        <w:rPr>
          <w:noProof/>
        </w:rPr>
        <w:t>Making Available Regulations</w:t>
      </w:r>
      <w:r w:rsidR="00E30D9C">
        <w:rPr>
          <w:noProof/>
        </w:rPr>
        <w:t>”</w:t>
      </w:r>
      <w:r w:rsidRPr="005C4F4D">
        <w:rPr>
          <w:noProof/>
        </w:rPr>
        <w:t xml:space="preserve">, specifically: (i) </w:t>
      </w:r>
      <w:r>
        <w:rPr>
          <w:noProof/>
        </w:rPr>
        <w:t xml:space="preserve">Council </w:t>
      </w:r>
      <w:r w:rsidRPr="005C4F4D">
        <w:rPr>
          <w:noProof/>
        </w:rPr>
        <w:t xml:space="preserve">Regulation (EU, Euratom) No 609/2014 </w:t>
      </w:r>
      <w:r>
        <w:rPr>
          <w:noProof/>
        </w:rPr>
        <w:t>(</w:t>
      </w:r>
      <w:r w:rsidRPr="005C4F4D">
        <w:rPr>
          <w:noProof/>
        </w:rPr>
        <w:t xml:space="preserve">for </w:t>
      </w:r>
      <w:r w:rsidR="00E30D9C">
        <w:rPr>
          <w:noProof/>
        </w:rPr>
        <w:t>t</w:t>
      </w:r>
      <w:r w:rsidRPr="005C4F4D">
        <w:rPr>
          <w:noProof/>
        </w:rPr>
        <w:t xml:space="preserve">raditional </w:t>
      </w:r>
      <w:r w:rsidR="00E30D9C">
        <w:rPr>
          <w:noProof/>
        </w:rPr>
        <w:t>o</w:t>
      </w:r>
      <w:r w:rsidRPr="005C4F4D">
        <w:rPr>
          <w:noProof/>
        </w:rPr>
        <w:t xml:space="preserve">wn </w:t>
      </w:r>
      <w:r w:rsidR="00E30D9C">
        <w:rPr>
          <w:noProof/>
        </w:rPr>
        <w:t>r</w:t>
      </w:r>
      <w:r w:rsidRPr="005C4F4D">
        <w:rPr>
          <w:noProof/>
        </w:rPr>
        <w:t xml:space="preserve">esources and the </w:t>
      </w:r>
      <w:r w:rsidR="00E30D9C">
        <w:rPr>
          <w:noProof/>
        </w:rPr>
        <w:t>o</w:t>
      </w:r>
      <w:r w:rsidRPr="005C4F4D">
        <w:rPr>
          <w:noProof/>
        </w:rPr>
        <w:t xml:space="preserve">wn </w:t>
      </w:r>
      <w:r w:rsidR="00E30D9C">
        <w:rPr>
          <w:noProof/>
        </w:rPr>
        <w:t>r</w:t>
      </w:r>
      <w:r w:rsidRPr="005C4F4D">
        <w:rPr>
          <w:noProof/>
        </w:rPr>
        <w:t xml:space="preserve">esources based on </w:t>
      </w:r>
      <w:r w:rsidR="00E30D9C">
        <w:rPr>
          <w:noProof/>
        </w:rPr>
        <w:t>v</w:t>
      </w:r>
      <w:r w:rsidRPr="005C4F4D">
        <w:rPr>
          <w:noProof/>
        </w:rPr>
        <w:t xml:space="preserve">alue </w:t>
      </w:r>
      <w:r w:rsidR="00E30D9C">
        <w:rPr>
          <w:noProof/>
        </w:rPr>
        <w:t>a</w:t>
      </w:r>
      <w:r w:rsidRPr="005C4F4D">
        <w:rPr>
          <w:noProof/>
        </w:rPr>
        <w:t xml:space="preserve">dded </w:t>
      </w:r>
      <w:r w:rsidR="00E30D9C">
        <w:rPr>
          <w:noProof/>
        </w:rPr>
        <w:t>t</w:t>
      </w:r>
      <w:r w:rsidRPr="005C4F4D">
        <w:rPr>
          <w:noProof/>
        </w:rPr>
        <w:t xml:space="preserve">ax and </w:t>
      </w:r>
      <w:r w:rsidR="00E30D9C">
        <w:rPr>
          <w:noProof/>
        </w:rPr>
        <w:t>g</w:t>
      </w:r>
      <w:r w:rsidRPr="005C4F4D">
        <w:rPr>
          <w:noProof/>
        </w:rPr>
        <w:t xml:space="preserve">ross </w:t>
      </w:r>
      <w:r w:rsidR="00E30D9C">
        <w:rPr>
          <w:noProof/>
        </w:rPr>
        <w:t>n</w:t>
      </w:r>
      <w:r w:rsidRPr="005C4F4D">
        <w:rPr>
          <w:noProof/>
        </w:rPr>
        <w:t xml:space="preserve">ational </w:t>
      </w:r>
      <w:r w:rsidR="00E30D9C">
        <w:rPr>
          <w:noProof/>
        </w:rPr>
        <w:t>i</w:t>
      </w:r>
      <w:r w:rsidRPr="005C4F4D">
        <w:rPr>
          <w:noProof/>
        </w:rPr>
        <w:t>ncome</w:t>
      </w:r>
      <w:r>
        <w:rPr>
          <w:noProof/>
        </w:rPr>
        <w:t>)</w:t>
      </w:r>
      <w:r w:rsidR="00E1554B">
        <w:rPr>
          <w:rStyle w:val="FootnoteReference"/>
          <w:noProof/>
        </w:rPr>
        <w:footnoteReference w:customMarkFollows="1" w:id="6"/>
        <w:t>5</w:t>
      </w:r>
      <w:r w:rsidRPr="005C4F4D">
        <w:rPr>
          <w:noProof/>
        </w:rPr>
        <w:t xml:space="preserve">; and (ii) </w:t>
      </w:r>
      <w:r>
        <w:rPr>
          <w:noProof/>
        </w:rPr>
        <w:t xml:space="preserve">Council </w:t>
      </w:r>
      <w:r w:rsidRPr="005C4F4D">
        <w:rPr>
          <w:noProof/>
        </w:rPr>
        <w:t xml:space="preserve">Regulation (EU, Euratom) </w:t>
      </w:r>
      <w:r>
        <w:rPr>
          <w:noProof/>
        </w:rPr>
        <w:t xml:space="preserve">No </w:t>
      </w:r>
      <w:r w:rsidRPr="005C4F4D">
        <w:rPr>
          <w:noProof/>
        </w:rPr>
        <w:t>2021</w:t>
      </w:r>
      <w:r>
        <w:rPr>
          <w:noProof/>
        </w:rPr>
        <w:t>/</w:t>
      </w:r>
      <w:r w:rsidRPr="005C4F4D">
        <w:rPr>
          <w:noProof/>
        </w:rPr>
        <w:t>770</w:t>
      </w:r>
      <w:r>
        <w:rPr>
          <w:noProof/>
        </w:rPr>
        <w:t xml:space="preserve"> (</w:t>
      </w:r>
      <w:r w:rsidRPr="005C4F4D">
        <w:rPr>
          <w:noProof/>
        </w:rPr>
        <w:t xml:space="preserve">for the </w:t>
      </w:r>
      <w:r w:rsidR="00E30D9C">
        <w:rPr>
          <w:noProof/>
        </w:rPr>
        <w:t>o</w:t>
      </w:r>
      <w:r w:rsidRPr="005C4F4D">
        <w:rPr>
          <w:noProof/>
        </w:rPr>
        <w:t xml:space="preserve">wn </w:t>
      </w:r>
      <w:r w:rsidR="00E30D9C">
        <w:rPr>
          <w:noProof/>
        </w:rPr>
        <w:t>r</w:t>
      </w:r>
      <w:r w:rsidRPr="005C4F4D">
        <w:rPr>
          <w:noProof/>
        </w:rPr>
        <w:t xml:space="preserve">esource based on the </w:t>
      </w:r>
      <w:r w:rsidR="00E30D9C">
        <w:rPr>
          <w:noProof/>
        </w:rPr>
        <w:t>p</w:t>
      </w:r>
      <w:r w:rsidRPr="005C4F4D">
        <w:rPr>
          <w:noProof/>
        </w:rPr>
        <w:t>lastic packaging waste</w:t>
      </w:r>
      <w:r>
        <w:rPr>
          <w:noProof/>
        </w:rPr>
        <w:t>)</w:t>
      </w:r>
      <w:r w:rsidR="00E1554B">
        <w:rPr>
          <w:rStyle w:val="FootnoteReference"/>
          <w:noProof/>
        </w:rPr>
        <w:footnoteReference w:customMarkFollows="1" w:id="7"/>
        <w:t>6</w:t>
      </w:r>
      <w:r w:rsidRPr="005C4F4D">
        <w:rPr>
          <w:noProof/>
        </w:rPr>
        <w:t xml:space="preserve">. </w:t>
      </w:r>
    </w:p>
    <w:p w:rsidRPr="005C4F4D" w:rsidR="0077599A" w:rsidP="0077599A" w:rsidRDefault="0077599A" w14:paraId="055721AD" w14:textId="77777777">
      <w:pPr>
        <w:pStyle w:val="ManualHeading1"/>
        <w:rPr>
          <w:noProof/>
        </w:rPr>
      </w:pPr>
      <w:bookmarkStart w:name="_Toc93325458" w:id="6"/>
      <w:bookmarkStart w:name="_Toc93325489" w:id="7"/>
      <w:r w:rsidRPr="005C4F4D">
        <w:rPr>
          <w:noProof/>
        </w:rPr>
        <w:t>2.</w:t>
      </w:r>
      <w:r w:rsidRPr="005C4F4D">
        <w:rPr>
          <w:noProof/>
        </w:rPr>
        <w:tab/>
        <w:t>LEGAL BASIS, SUBSIDIARITY AND PROPORTIONALITY</w:t>
      </w:r>
      <w:bookmarkEnd w:id="6"/>
      <w:bookmarkEnd w:id="7"/>
    </w:p>
    <w:p w:rsidRPr="005C4F4D" w:rsidR="0077599A" w:rsidP="0077599A" w:rsidRDefault="0077599A" w14:paraId="7AB390BB" w14:textId="77777777">
      <w:pPr>
        <w:pStyle w:val="ManualHeading2"/>
        <w:rPr>
          <w:rFonts w:eastAsia="Arial Unicode MS"/>
          <w:noProof/>
          <w:u w:color="000000"/>
          <w:bdr w:val="nil"/>
          <w:lang w:val="en-US" w:eastAsia="en-GB"/>
        </w:rPr>
      </w:pPr>
      <w:bookmarkStart w:name="_Toc93325459" w:id="8"/>
      <w:bookmarkStart w:name="_Toc93325490" w:id="9"/>
      <w:r w:rsidRPr="005C4F4D">
        <w:rPr>
          <w:rFonts w:eastAsia="Arial Unicode MS"/>
          <w:noProof/>
          <w:u w:color="000000"/>
          <w:bdr w:val="nil"/>
          <w:lang w:val="en-US" w:eastAsia="en-GB"/>
        </w:rPr>
        <w:t>•</w:t>
      </w:r>
      <w:r w:rsidRPr="005C4F4D">
        <w:rPr>
          <w:rFonts w:eastAsia="Arial Unicode MS"/>
          <w:noProof/>
          <w:u w:color="000000"/>
          <w:bdr w:val="nil"/>
          <w:lang w:val="en-US" w:eastAsia="en-GB"/>
        </w:rPr>
        <w:tab/>
        <w:t>Legal basis</w:t>
      </w:r>
      <w:bookmarkEnd w:id="8"/>
      <w:bookmarkEnd w:id="9"/>
    </w:p>
    <w:p w:rsidRPr="005C4F4D" w:rsidR="0077599A" w:rsidP="0077599A" w:rsidRDefault="0077599A" w14:paraId="55C4608D" w14:textId="77777777">
      <w:pPr>
        <w:pBdr>
          <w:top w:val="nil"/>
          <w:left w:val="nil"/>
          <w:bottom w:val="nil"/>
          <w:right w:val="nil"/>
          <w:between w:val="nil"/>
          <w:bar w:val="nil"/>
        </w:pBdr>
        <w:spacing w:before="0" w:after="240"/>
        <w:rPr>
          <w:rFonts w:eastAsia="Arial Unicode MS"/>
          <w:noProof/>
        </w:rPr>
      </w:pPr>
      <w:r w:rsidRPr="005C4F4D">
        <w:rPr>
          <w:noProof/>
        </w:rPr>
        <w:t>Th</w:t>
      </w:r>
      <w:r>
        <w:rPr>
          <w:noProof/>
        </w:rPr>
        <w:t>e</w:t>
      </w:r>
      <w:r w:rsidRPr="005C4F4D">
        <w:rPr>
          <w:noProof/>
        </w:rPr>
        <w:t xml:space="preserve"> </w:t>
      </w:r>
      <w:r>
        <w:rPr>
          <w:noProof/>
        </w:rPr>
        <w:t xml:space="preserve">legal basis of this proposal </w:t>
      </w:r>
      <w:r w:rsidRPr="005C4F4D">
        <w:rPr>
          <w:noProof/>
        </w:rPr>
        <w:t xml:space="preserve">is the fourth paragraph of Article </w:t>
      </w:r>
      <w:r>
        <w:rPr>
          <w:noProof/>
        </w:rPr>
        <w:t>311 TFEU;</w:t>
      </w:r>
    </w:p>
    <w:p w:rsidRPr="005C4F4D" w:rsidR="0077599A" w:rsidP="0077599A" w:rsidRDefault="0077599A" w14:paraId="69B8DC8F" w14:textId="77777777">
      <w:pPr>
        <w:pStyle w:val="ManualHeading2"/>
        <w:rPr>
          <w:rFonts w:eastAsia="Arial Unicode MS"/>
          <w:noProof/>
          <w:u w:color="000000"/>
          <w:bdr w:val="nil"/>
          <w:lang w:val="en-US" w:eastAsia="en-GB"/>
        </w:rPr>
      </w:pPr>
      <w:bookmarkStart w:name="_Toc93325461" w:id="10"/>
      <w:bookmarkStart w:name="_Toc93325492" w:id="11"/>
      <w:r w:rsidRPr="005C4F4D">
        <w:rPr>
          <w:rFonts w:eastAsia="Arial Unicode MS"/>
          <w:noProof/>
          <w:u w:color="000000"/>
          <w:bdr w:val="nil"/>
          <w:lang w:val="en-US" w:eastAsia="en-GB"/>
        </w:rPr>
        <w:t>•</w:t>
      </w:r>
      <w:r w:rsidRPr="005C4F4D">
        <w:rPr>
          <w:rFonts w:eastAsia="Arial Unicode MS"/>
          <w:noProof/>
          <w:u w:color="000000"/>
          <w:bdr w:val="nil"/>
          <w:lang w:val="en-US" w:eastAsia="en-GB"/>
        </w:rPr>
        <w:tab/>
        <w:t>Proportionality</w:t>
      </w:r>
      <w:bookmarkEnd w:id="10"/>
      <w:bookmarkEnd w:id="11"/>
    </w:p>
    <w:p w:rsidRPr="005C4F4D" w:rsidR="0077599A" w:rsidP="0077599A" w:rsidRDefault="0077599A" w14:paraId="73F243E5" w14:textId="77777777">
      <w:pPr>
        <w:pBdr>
          <w:top w:val="nil"/>
          <w:left w:val="nil"/>
          <w:bottom w:val="nil"/>
          <w:right w:val="nil"/>
          <w:between w:val="nil"/>
          <w:bar w:val="nil"/>
        </w:pBdr>
        <w:spacing w:before="0" w:after="240"/>
        <w:rPr>
          <w:noProof/>
        </w:rPr>
      </w:pPr>
      <w:r w:rsidRPr="005C4F4D">
        <w:rPr>
          <w:noProof/>
        </w:rPr>
        <w:t xml:space="preserve">This proposal for </w:t>
      </w:r>
      <w:r w:rsidR="00FB2838">
        <w:rPr>
          <w:noProof/>
        </w:rPr>
        <w:t xml:space="preserve">a Council Regulation </w:t>
      </w:r>
      <w:r w:rsidRPr="005C4F4D">
        <w:rPr>
          <w:noProof/>
        </w:rPr>
        <w:t xml:space="preserve">amending </w:t>
      </w:r>
      <w:r>
        <w:rPr>
          <w:noProof/>
          <w:lang w:val="en-US"/>
        </w:rPr>
        <w:t xml:space="preserve">Regulation (EU, Euratom) </w:t>
      </w:r>
      <w:r w:rsidRPr="005C4F4D">
        <w:rPr>
          <w:noProof/>
        </w:rPr>
        <w:t>2021/768 adds the</w:t>
      </w:r>
      <w:r>
        <w:rPr>
          <w:noProof/>
        </w:rPr>
        <w:t xml:space="preserve"> required measures for the new own r</w:t>
      </w:r>
      <w:r w:rsidRPr="005C4F4D">
        <w:rPr>
          <w:noProof/>
        </w:rPr>
        <w:t xml:space="preserve">esources. The inclusion of new </w:t>
      </w:r>
      <w:r>
        <w:rPr>
          <w:noProof/>
        </w:rPr>
        <w:t>o</w:t>
      </w:r>
      <w:r w:rsidRPr="005C4F4D">
        <w:rPr>
          <w:noProof/>
        </w:rPr>
        <w:t xml:space="preserve">wn </w:t>
      </w:r>
      <w:r>
        <w:rPr>
          <w:noProof/>
        </w:rPr>
        <w:t>r</w:t>
      </w:r>
      <w:r w:rsidRPr="005C4F4D">
        <w:rPr>
          <w:noProof/>
        </w:rPr>
        <w:t xml:space="preserve">esources in the Own Resources Decision calls for updated legislation that includes implementing measures for these new </w:t>
      </w:r>
      <w:r>
        <w:rPr>
          <w:noProof/>
        </w:rPr>
        <w:t>o</w:t>
      </w:r>
      <w:r w:rsidRPr="005C4F4D">
        <w:rPr>
          <w:noProof/>
        </w:rPr>
        <w:t xml:space="preserve">wn </w:t>
      </w:r>
      <w:r>
        <w:rPr>
          <w:noProof/>
        </w:rPr>
        <w:t>r</w:t>
      </w:r>
      <w:r w:rsidRPr="005C4F4D">
        <w:rPr>
          <w:noProof/>
        </w:rPr>
        <w:t>esources and that improves the existing measures.</w:t>
      </w:r>
    </w:p>
    <w:p w:rsidRPr="005C4F4D" w:rsidR="0077599A" w:rsidP="0077599A" w:rsidRDefault="0077599A" w14:paraId="3023A240" w14:textId="77777777">
      <w:pPr>
        <w:pStyle w:val="ManualHeading2"/>
        <w:rPr>
          <w:rFonts w:eastAsia="Arial Unicode MS"/>
          <w:noProof/>
          <w:u w:color="000000"/>
          <w:bdr w:val="nil"/>
          <w:lang w:val="en-US" w:eastAsia="en-GB"/>
        </w:rPr>
      </w:pPr>
      <w:bookmarkStart w:name="_Toc93325462" w:id="12"/>
      <w:bookmarkStart w:name="_Toc93325493" w:id="13"/>
      <w:r w:rsidRPr="005C4F4D">
        <w:rPr>
          <w:rFonts w:eastAsia="Arial Unicode MS"/>
          <w:noProof/>
          <w:u w:color="000000"/>
          <w:bdr w:val="nil"/>
          <w:lang w:val="en-US" w:eastAsia="en-GB"/>
        </w:rPr>
        <w:t>•</w:t>
      </w:r>
      <w:r w:rsidRPr="005C4F4D">
        <w:rPr>
          <w:rFonts w:eastAsia="Arial Unicode MS"/>
          <w:noProof/>
          <w:u w:color="000000"/>
          <w:bdr w:val="nil"/>
          <w:lang w:val="en-US" w:eastAsia="en-GB"/>
        </w:rPr>
        <w:tab/>
        <w:t>Choice of the instrument</w:t>
      </w:r>
      <w:bookmarkEnd w:id="12"/>
      <w:bookmarkEnd w:id="13"/>
    </w:p>
    <w:p w:rsidRPr="005C4F4D" w:rsidR="0077599A" w:rsidP="0077599A" w:rsidRDefault="0077599A" w14:paraId="6214470B" w14:textId="77777777">
      <w:pPr>
        <w:pBdr>
          <w:top w:val="nil"/>
          <w:left w:val="nil"/>
          <w:bottom w:val="nil"/>
          <w:right w:val="nil"/>
          <w:between w:val="nil"/>
          <w:bar w:val="nil"/>
        </w:pBdr>
        <w:spacing w:before="0" w:after="240"/>
        <w:rPr>
          <w:noProof/>
        </w:rPr>
      </w:pPr>
      <w:r w:rsidRPr="005C4F4D">
        <w:rPr>
          <w:noProof/>
          <w:lang w:val="en-US"/>
        </w:rPr>
        <w:t xml:space="preserve">The </w:t>
      </w:r>
      <w:r>
        <w:rPr>
          <w:noProof/>
          <w:lang w:val="en-US"/>
        </w:rPr>
        <w:t>c</w:t>
      </w:r>
      <w:r w:rsidRPr="005C4F4D">
        <w:rPr>
          <w:noProof/>
          <w:lang w:val="en-US"/>
        </w:rPr>
        <w:t xml:space="preserve">hoice of a Council Regulation is based directly on </w:t>
      </w:r>
      <w:r w:rsidRPr="005C4F4D">
        <w:rPr>
          <w:noProof/>
        </w:rPr>
        <w:t>the fourth paragraph of Article 311 of the TFEU that specifically states ‘</w:t>
      </w:r>
      <w:r w:rsidRPr="0039224E">
        <w:rPr>
          <w:i/>
          <w:noProof/>
        </w:rPr>
        <w:t xml:space="preserve">The Council, acting by means of regulations (…) shall lay down implementing measures for the Union’s </w:t>
      </w:r>
      <w:r>
        <w:rPr>
          <w:i/>
          <w:noProof/>
        </w:rPr>
        <w:t>o</w:t>
      </w:r>
      <w:r w:rsidRPr="0039224E">
        <w:rPr>
          <w:i/>
          <w:noProof/>
        </w:rPr>
        <w:t xml:space="preserve">wn </w:t>
      </w:r>
      <w:r>
        <w:rPr>
          <w:i/>
          <w:noProof/>
        </w:rPr>
        <w:t>r</w:t>
      </w:r>
      <w:r w:rsidRPr="0039224E">
        <w:rPr>
          <w:i/>
          <w:noProof/>
        </w:rPr>
        <w:t>esources system’</w:t>
      </w:r>
      <w:r w:rsidRPr="005C4F4D">
        <w:rPr>
          <w:noProof/>
        </w:rPr>
        <w:t>.</w:t>
      </w:r>
    </w:p>
    <w:p w:rsidRPr="005C4F4D" w:rsidR="0077599A" w:rsidP="0077599A" w:rsidRDefault="0077599A" w14:paraId="3EF64A03" w14:textId="77777777">
      <w:pPr>
        <w:pStyle w:val="ManualHeading1"/>
        <w:rPr>
          <w:noProof/>
        </w:rPr>
      </w:pPr>
      <w:bookmarkStart w:name="_Toc93325463" w:id="14"/>
      <w:bookmarkStart w:name="_Toc93325494" w:id="15"/>
      <w:r>
        <w:rPr>
          <w:noProof/>
        </w:rPr>
        <w:t>3</w:t>
      </w:r>
      <w:r w:rsidRPr="005C4F4D">
        <w:rPr>
          <w:noProof/>
        </w:rPr>
        <w:t>.</w:t>
      </w:r>
      <w:r w:rsidRPr="005C4F4D">
        <w:rPr>
          <w:noProof/>
          <w:szCs w:val="24"/>
        </w:rPr>
        <w:tab/>
        <w:t>CONTENT OF THE AMENDMENT</w:t>
      </w:r>
      <w:bookmarkEnd w:id="14"/>
      <w:bookmarkEnd w:id="15"/>
    </w:p>
    <w:p w:rsidRPr="005C4F4D" w:rsidR="009B143F" w:rsidP="009B143F" w:rsidRDefault="009B143F" w14:paraId="098226D7" w14:textId="77777777">
      <w:pPr>
        <w:pStyle w:val="ManualHeading2"/>
        <w:rPr>
          <w:rFonts w:eastAsia="Arial Unicode MS"/>
          <w:noProof/>
          <w:u w:color="000000"/>
          <w:bdr w:val="nil"/>
          <w:lang w:val="en-US" w:eastAsia="en-GB"/>
        </w:rPr>
      </w:pPr>
      <w:r w:rsidRPr="005C4F4D">
        <w:rPr>
          <w:rFonts w:eastAsia="Arial Unicode MS"/>
          <w:noProof/>
          <w:u w:color="000000"/>
          <w:bdr w:val="nil"/>
          <w:lang w:val="en-US" w:eastAsia="en-GB"/>
        </w:rPr>
        <w:t>•</w:t>
      </w:r>
      <w:r w:rsidRPr="005C4F4D">
        <w:rPr>
          <w:rFonts w:eastAsia="Arial Unicode MS"/>
          <w:noProof/>
          <w:u w:color="000000"/>
          <w:bdr w:val="nil"/>
          <w:lang w:val="en-US" w:eastAsia="en-GB"/>
        </w:rPr>
        <w:tab/>
      </w:r>
      <w:r w:rsidR="00025699">
        <w:rPr>
          <w:rFonts w:eastAsia="Arial Unicode MS"/>
          <w:noProof/>
          <w:u w:color="000000"/>
          <w:bdr w:val="nil"/>
          <w:lang w:val="en-US" w:eastAsia="en-GB"/>
        </w:rPr>
        <w:t xml:space="preserve">Additional implementing measures for the </w:t>
      </w:r>
      <w:r w:rsidRPr="00025699" w:rsidR="00025699">
        <w:rPr>
          <w:rFonts w:eastAsia="Arial Unicode MS"/>
          <w:noProof/>
          <w:u w:color="000000"/>
          <w:bdr w:val="nil"/>
          <w:lang w:val="en-US" w:eastAsia="en-GB"/>
        </w:rPr>
        <w:t>statistical company profits</w:t>
      </w:r>
      <w:r w:rsidR="00025699">
        <w:rPr>
          <w:rFonts w:eastAsia="Arial Unicode MS"/>
          <w:noProof/>
          <w:u w:color="000000"/>
          <w:bdr w:val="nil"/>
          <w:lang w:val="en-US" w:eastAsia="en-GB"/>
        </w:rPr>
        <w:t xml:space="preserve"> own resource</w:t>
      </w:r>
    </w:p>
    <w:p w:rsidR="00B3142C" w:rsidP="009B143F" w:rsidRDefault="00025699" w14:paraId="6118C019" w14:textId="77777777">
      <w:pPr>
        <w:pBdr>
          <w:top w:val="nil"/>
          <w:left w:val="nil"/>
          <w:bottom w:val="nil"/>
          <w:right w:val="nil"/>
          <w:between w:val="nil"/>
          <w:bar w:val="nil"/>
        </w:pBdr>
        <w:spacing w:before="0" w:after="240"/>
        <w:rPr>
          <w:noProof/>
        </w:rPr>
      </w:pPr>
      <w:r w:rsidRPr="00090368">
        <w:rPr>
          <w:noProof/>
        </w:rPr>
        <w:t xml:space="preserve">The Commission proposes to calculate the contribution from Member States on the basis of the </w:t>
      </w:r>
      <w:r w:rsidRPr="00090368" w:rsidR="00794317">
        <w:rPr>
          <w:noProof/>
        </w:rPr>
        <w:t xml:space="preserve">statistical company profits established </w:t>
      </w:r>
      <w:r w:rsidRPr="00090368">
        <w:rPr>
          <w:noProof/>
        </w:rPr>
        <w:t xml:space="preserve">under the European system of accounts </w:t>
      </w:r>
      <w:r w:rsidRPr="00090368" w:rsidR="00794317">
        <w:rPr>
          <w:noProof/>
        </w:rPr>
        <w:t xml:space="preserve">2010 </w:t>
      </w:r>
      <w:r w:rsidRPr="00090368">
        <w:rPr>
          <w:noProof/>
        </w:rPr>
        <w:t>(ESA 2010</w:t>
      </w:r>
      <w:r w:rsidRPr="00090368" w:rsidR="00794317">
        <w:rPr>
          <w:noProof/>
        </w:rPr>
        <w:t>)</w:t>
      </w:r>
      <w:r w:rsidRPr="00090368">
        <w:rPr>
          <w:noProof/>
        </w:rPr>
        <w:t xml:space="preserve"> in application of Regulation (EU) </w:t>
      </w:r>
      <w:r w:rsidRPr="00090368" w:rsidR="00E330B7">
        <w:rPr>
          <w:noProof/>
        </w:rPr>
        <w:t>No</w:t>
      </w:r>
      <w:r w:rsidRPr="00090368" w:rsidR="00FB2838">
        <w:rPr>
          <w:noProof/>
        </w:rPr>
        <w:t xml:space="preserve"> </w:t>
      </w:r>
      <w:r w:rsidRPr="00090368">
        <w:rPr>
          <w:noProof/>
        </w:rPr>
        <w:t>549/2013</w:t>
      </w:r>
      <w:r w:rsidRPr="00090368" w:rsidR="0018348B">
        <w:rPr>
          <w:rStyle w:val="FootnoteReference"/>
          <w:noProof/>
        </w:rPr>
        <w:footnoteReference w:customMarkFollows="1" w:id="8"/>
        <w:t>7</w:t>
      </w:r>
      <w:r w:rsidRPr="00090368">
        <w:rPr>
          <w:noProof/>
        </w:rPr>
        <w:t>.</w:t>
      </w:r>
      <w:r w:rsidRPr="00025699">
        <w:rPr>
          <w:noProof/>
        </w:rPr>
        <w:t xml:space="preserve"> </w:t>
      </w:r>
    </w:p>
    <w:p w:rsidR="00025699" w:rsidP="009B143F" w:rsidRDefault="002A78D8" w14:paraId="0D8E6F8E" w14:textId="77777777">
      <w:pPr>
        <w:pBdr>
          <w:top w:val="nil"/>
          <w:left w:val="nil"/>
          <w:bottom w:val="nil"/>
          <w:right w:val="nil"/>
          <w:between w:val="nil"/>
          <w:bar w:val="nil"/>
        </w:pBdr>
        <w:spacing w:before="0" w:after="240"/>
        <w:rPr>
          <w:noProof/>
        </w:rPr>
      </w:pPr>
      <w:r>
        <w:rPr>
          <w:noProof/>
        </w:rPr>
        <w:t xml:space="preserve">In order to </w:t>
      </w:r>
      <w:r w:rsidR="00A22BEF">
        <w:rPr>
          <w:noProof/>
        </w:rPr>
        <w:t xml:space="preserve">obtain an </w:t>
      </w:r>
      <w:r>
        <w:rPr>
          <w:noProof/>
        </w:rPr>
        <w:t xml:space="preserve">enhanced </w:t>
      </w:r>
      <w:r w:rsidR="00A22BEF">
        <w:rPr>
          <w:noProof/>
        </w:rPr>
        <w:t xml:space="preserve">assurance on </w:t>
      </w:r>
      <w:r>
        <w:rPr>
          <w:noProof/>
        </w:rPr>
        <w:t xml:space="preserve">the comparability the data used by the National Statitical Institutes </w:t>
      </w:r>
      <w:r w:rsidR="00A22BEF">
        <w:rPr>
          <w:noProof/>
        </w:rPr>
        <w:t xml:space="preserve">to compile the aggregates </w:t>
      </w:r>
      <w:r w:rsidRPr="00A22BEF" w:rsidR="00A22BEF">
        <w:rPr>
          <w:noProof/>
        </w:rPr>
        <w:t>for the statistical company profits own resource</w:t>
      </w:r>
      <w:r w:rsidR="00A22BEF">
        <w:rPr>
          <w:noProof/>
        </w:rPr>
        <w:t xml:space="preserve">, </w:t>
      </w:r>
      <w:r>
        <w:rPr>
          <w:noProof/>
        </w:rPr>
        <w:t xml:space="preserve">the Commission (Eurostat) will verify the data sources and the methodology used for compiling the data enlarging the scope of the </w:t>
      </w:r>
      <w:r w:rsidR="00A22BEF">
        <w:rPr>
          <w:noProof/>
        </w:rPr>
        <w:t xml:space="preserve">existing </w:t>
      </w:r>
      <w:r>
        <w:rPr>
          <w:noProof/>
        </w:rPr>
        <w:t>GNI verifications. Therefore, the Commission</w:t>
      </w:r>
      <w:r w:rsidR="00A22BEF">
        <w:rPr>
          <w:noProof/>
        </w:rPr>
        <w:t xml:space="preserve"> (Eurostat)</w:t>
      </w:r>
      <w:r>
        <w:rPr>
          <w:noProof/>
        </w:rPr>
        <w:t xml:space="preserve"> needs to be empowered within this regulation to perform the </w:t>
      </w:r>
      <w:r w:rsidRPr="00736459" w:rsidR="00794317">
        <w:rPr>
          <w:b/>
          <w:noProof/>
        </w:rPr>
        <w:t xml:space="preserve">required </w:t>
      </w:r>
      <w:r>
        <w:rPr>
          <w:noProof/>
        </w:rPr>
        <w:t>verifications</w:t>
      </w:r>
      <w:r w:rsidR="00A22BEF">
        <w:rPr>
          <w:noProof/>
        </w:rPr>
        <w:t>.</w:t>
      </w:r>
    </w:p>
    <w:p w:rsidRPr="005C4F4D" w:rsidR="009B143F" w:rsidP="009B143F" w:rsidRDefault="009B143F" w14:paraId="2C5A405A" w14:textId="77777777">
      <w:pPr>
        <w:pStyle w:val="ManualHeading2"/>
        <w:rPr>
          <w:rFonts w:eastAsia="Arial Unicode MS"/>
          <w:noProof/>
          <w:u w:color="000000"/>
          <w:bdr w:val="nil"/>
          <w:lang w:val="en-US" w:eastAsia="en-GB"/>
        </w:rPr>
      </w:pPr>
      <w:r w:rsidRPr="005C4F4D">
        <w:rPr>
          <w:rFonts w:eastAsia="Arial Unicode MS"/>
          <w:noProof/>
          <w:u w:color="000000"/>
          <w:bdr w:val="nil"/>
          <w:lang w:val="en-US" w:eastAsia="en-GB"/>
        </w:rPr>
        <w:t>•</w:t>
      </w:r>
      <w:r w:rsidRPr="005C4F4D">
        <w:rPr>
          <w:rFonts w:eastAsia="Arial Unicode MS"/>
          <w:noProof/>
          <w:u w:color="000000"/>
          <w:bdr w:val="nil"/>
          <w:lang w:val="en-US" w:eastAsia="en-GB"/>
        </w:rPr>
        <w:tab/>
      </w:r>
      <w:r w:rsidR="00252B07">
        <w:rPr>
          <w:rFonts w:eastAsia="Arial Unicode MS"/>
          <w:noProof/>
          <w:u w:color="000000"/>
          <w:bdr w:val="nil"/>
          <w:lang w:val="en-US" w:eastAsia="en-GB"/>
        </w:rPr>
        <w:t xml:space="preserve">Reviewing the need for control powers in relation to </w:t>
      </w:r>
      <w:r w:rsidR="002E593A">
        <w:rPr>
          <w:rFonts w:eastAsia="Arial Unicode MS"/>
          <w:noProof/>
          <w:u w:color="000000"/>
          <w:bdr w:val="nil"/>
          <w:lang w:val="en-US" w:eastAsia="en-GB"/>
        </w:rPr>
        <w:t xml:space="preserve">the </w:t>
      </w:r>
      <w:r w:rsidR="00252B07">
        <w:rPr>
          <w:rFonts w:eastAsia="Arial Unicode MS"/>
          <w:noProof/>
          <w:u w:color="000000"/>
          <w:bdr w:val="nil"/>
          <w:lang w:val="en-US" w:eastAsia="en-GB"/>
        </w:rPr>
        <w:t>CBAM</w:t>
      </w:r>
      <w:r w:rsidR="002E593A">
        <w:rPr>
          <w:rFonts w:eastAsia="Arial Unicode MS"/>
          <w:noProof/>
          <w:u w:color="000000"/>
          <w:bdr w:val="nil"/>
          <w:lang w:val="en-US" w:eastAsia="en-GB"/>
        </w:rPr>
        <w:t xml:space="preserve"> own resource</w:t>
      </w:r>
    </w:p>
    <w:p w:rsidR="00AD3211" w:rsidP="00AD3211" w:rsidRDefault="00AD3211" w14:paraId="1D638527" w14:textId="7AB14346">
      <w:pPr>
        <w:pBdr>
          <w:top w:val="nil"/>
          <w:left w:val="nil"/>
          <w:bottom w:val="nil"/>
          <w:right w:val="nil"/>
          <w:between w:val="nil"/>
          <w:bar w:val="nil"/>
        </w:pBdr>
        <w:spacing w:before="0" w:after="240"/>
        <w:rPr>
          <w:noProof/>
        </w:rPr>
      </w:pPr>
      <w:r>
        <w:rPr>
          <w:noProof/>
          <w:lang w:val="en-US"/>
        </w:rPr>
        <w:t xml:space="preserve">In accordance </w:t>
      </w:r>
      <w:r w:rsidR="00FB2838">
        <w:rPr>
          <w:noProof/>
          <w:lang w:val="en-US"/>
        </w:rPr>
        <w:t xml:space="preserve">with </w:t>
      </w:r>
      <w:r>
        <w:rPr>
          <w:noProof/>
        </w:rPr>
        <w:t xml:space="preserve">Article 15 and Article 19 </w:t>
      </w:r>
      <w:r>
        <w:rPr>
          <w:noProof/>
          <w:lang w:val="en-US"/>
        </w:rPr>
        <w:t xml:space="preserve">of </w:t>
      </w:r>
      <w:r w:rsidR="00B3142C">
        <w:rPr>
          <w:noProof/>
          <w:lang w:val="en-US"/>
        </w:rPr>
        <w:t>the CBAM regulation</w:t>
      </w:r>
      <w:r w:rsidR="00AF4D0C">
        <w:rPr>
          <w:rStyle w:val="FootnoteReference"/>
          <w:noProof/>
          <w:lang w:val="en-US"/>
        </w:rPr>
        <w:footnoteReference w:customMarkFollows="1" w:id="9"/>
        <w:t>8</w:t>
      </w:r>
      <w:r w:rsidR="00B3142C">
        <w:rPr>
          <w:noProof/>
          <w:lang w:val="en-US"/>
        </w:rPr>
        <w:t>,</w:t>
      </w:r>
      <w:r w:rsidRPr="005C4F4D" w:rsidR="009B143F">
        <w:rPr>
          <w:noProof/>
        </w:rPr>
        <w:t xml:space="preserve"> </w:t>
      </w:r>
      <w:r>
        <w:rPr>
          <w:noProof/>
        </w:rPr>
        <w:t>the Commission should carry out risk-based controls and should review the content o</w:t>
      </w:r>
      <w:r w:rsidR="000C4682">
        <w:rPr>
          <w:noProof/>
        </w:rPr>
        <w:t>f CBAM declarations accordingly</w:t>
      </w:r>
      <w:r w:rsidR="00BC0B8B">
        <w:rPr>
          <w:noProof/>
        </w:rPr>
        <w:t>.</w:t>
      </w:r>
      <w:r w:rsidR="000C4682">
        <w:rPr>
          <w:noProof/>
        </w:rPr>
        <w:t xml:space="preserve"> </w:t>
      </w:r>
      <w:r w:rsidR="00BC0B8B">
        <w:rPr>
          <w:noProof/>
        </w:rPr>
        <w:t xml:space="preserve">The Commission may </w:t>
      </w:r>
      <w:r>
        <w:rPr>
          <w:noProof/>
        </w:rPr>
        <w:t xml:space="preserve">carry out risk-based controls on the data and the transactions recorded in the CBAM registry to ensure that there are no irregularities in the purchase, holding, surrender, re-purchase and cancellation of CBAM certificates. </w:t>
      </w:r>
    </w:p>
    <w:p w:rsidRPr="009B143F" w:rsidR="00AD3211" w:rsidP="00AD3211" w:rsidRDefault="001A65A9" w14:paraId="0DF7F573" w14:textId="77777777">
      <w:pPr>
        <w:pBdr>
          <w:top w:val="nil"/>
          <w:left w:val="nil"/>
          <w:bottom w:val="nil"/>
          <w:right w:val="nil"/>
          <w:between w:val="nil"/>
          <w:bar w:val="nil"/>
        </w:pBdr>
        <w:spacing w:before="0" w:after="240"/>
        <w:rPr>
          <w:noProof/>
        </w:rPr>
      </w:pPr>
      <w:r>
        <w:rPr>
          <w:noProof/>
        </w:rPr>
        <w:t>Taking stock of the controls now embed</w:t>
      </w:r>
      <w:r w:rsidR="000C4682">
        <w:rPr>
          <w:noProof/>
        </w:rPr>
        <w:t>d</w:t>
      </w:r>
      <w:r>
        <w:rPr>
          <w:noProof/>
        </w:rPr>
        <w:t xml:space="preserve">ed in </w:t>
      </w:r>
      <w:r w:rsidR="00AD3211">
        <w:rPr>
          <w:noProof/>
        </w:rPr>
        <w:t xml:space="preserve">the sectorial legislation </w:t>
      </w:r>
      <w:r>
        <w:rPr>
          <w:noProof/>
        </w:rPr>
        <w:t>that includes, among others</w:t>
      </w:r>
      <w:r w:rsidR="00FB2838">
        <w:rPr>
          <w:noProof/>
        </w:rPr>
        <w:t>,</w:t>
      </w:r>
      <w:r>
        <w:rPr>
          <w:noProof/>
        </w:rPr>
        <w:t xml:space="preserve"> the above mentioned tasks in application of the principle of establishing efficient and effective framework </w:t>
      </w:r>
      <w:r w:rsidR="00802FE6">
        <w:rPr>
          <w:noProof/>
        </w:rPr>
        <w:t>no additional</w:t>
      </w:r>
      <w:r w:rsidR="00AD3211">
        <w:rPr>
          <w:noProof/>
        </w:rPr>
        <w:t xml:space="preserve"> </w:t>
      </w:r>
      <w:r w:rsidR="00252B07">
        <w:rPr>
          <w:noProof/>
        </w:rPr>
        <w:t>on</w:t>
      </w:r>
      <w:r w:rsidR="00E330B7">
        <w:rPr>
          <w:noProof/>
        </w:rPr>
        <w:t>-</w:t>
      </w:r>
      <w:r w:rsidR="00252B07">
        <w:rPr>
          <w:noProof/>
        </w:rPr>
        <w:t>the</w:t>
      </w:r>
      <w:r w:rsidR="00E330B7">
        <w:rPr>
          <w:noProof/>
        </w:rPr>
        <w:t>-</w:t>
      </w:r>
      <w:r w:rsidR="00252B07">
        <w:rPr>
          <w:noProof/>
        </w:rPr>
        <w:t>spot</w:t>
      </w:r>
      <w:r w:rsidR="00E330B7">
        <w:rPr>
          <w:noProof/>
        </w:rPr>
        <w:t xml:space="preserve"> checks</w:t>
      </w:r>
      <w:r w:rsidR="00252B07">
        <w:rPr>
          <w:noProof/>
        </w:rPr>
        <w:t xml:space="preserve"> </w:t>
      </w:r>
      <w:r w:rsidR="00E330B7">
        <w:rPr>
          <w:noProof/>
        </w:rPr>
        <w:t xml:space="preserve">and </w:t>
      </w:r>
      <w:r w:rsidR="00AD3211">
        <w:rPr>
          <w:noProof/>
        </w:rPr>
        <w:t>inspection</w:t>
      </w:r>
      <w:r w:rsidR="00E330B7">
        <w:rPr>
          <w:noProof/>
        </w:rPr>
        <w:t>s</w:t>
      </w:r>
      <w:r w:rsidR="00AD3211">
        <w:rPr>
          <w:noProof/>
        </w:rPr>
        <w:t xml:space="preserve"> </w:t>
      </w:r>
      <w:r w:rsidR="00802FE6">
        <w:rPr>
          <w:noProof/>
        </w:rPr>
        <w:t>are deemed necessary</w:t>
      </w:r>
      <w:r w:rsidR="00AD3211">
        <w:rPr>
          <w:noProof/>
        </w:rPr>
        <w:t>.</w:t>
      </w:r>
      <w:r w:rsidR="005F2889">
        <w:rPr>
          <w:noProof/>
        </w:rPr>
        <w:t xml:space="preserve"> </w:t>
      </w:r>
      <w:r w:rsidR="00FB2838">
        <w:rPr>
          <w:noProof/>
        </w:rPr>
        <w:t xml:space="preserve">Proposal COM(2022) 102 final </w:t>
      </w:r>
      <w:r w:rsidR="005F2889">
        <w:rPr>
          <w:noProof/>
        </w:rPr>
        <w:t xml:space="preserve">is amended accordingly. </w:t>
      </w:r>
    </w:p>
    <w:p w:rsidRPr="009B143F" w:rsidR="0077599A" w:rsidP="009B143F" w:rsidRDefault="0077599A" w14:paraId="7C8FECCE" w14:textId="77777777">
      <w:pPr>
        <w:pBdr>
          <w:top w:val="nil"/>
          <w:left w:val="nil"/>
          <w:bottom w:val="nil"/>
          <w:right w:val="nil"/>
          <w:between w:val="nil"/>
          <w:bar w:val="nil"/>
        </w:pBdr>
        <w:spacing w:before="0" w:after="240"/>
        <w:rPr>
          <w:noProof/>
        </w:rPr>
      </w:pPr>
      <w:r w:rsidRPr="009B143F">
        <w:rPr>
          <w:noProof/>
        </w:rPr>
        <w:br w:type="page"/>
      </w:r>
    </w:p>
    <w:p w:rsidR="0077599A" w:rsidP="00C66737" w:rsidRDefault="00C66737" w14:paraId="387C853C" w14:textId="0B04E8C3">
      <w:pPr>
        <w:pStyle w:val="Rfrenceinterinstitutionnelle"/>
        <w:rPr>
          <w:noProof/>
        </w:rPr>
      </w:pPr>
      <w:r w:rsidRPr="00C66737">
        <w:t>2018/0132 (APP)</w:t>
      </w:r>
    </w:p>
    <w:p w:rsidRPr="005C4F4D" w:rsidR="0077599A" w:rsidP="00C66737" w:rsidRDefault="00C66737" w14:paraId="1C1025F1" w14:textId="0F2AA85D">
      <w:pPr>
        <w:pStyle w:val="Statut"/>
        <w:rPr>
          <w:noProof/>
        </w:rPr>
      </w:pPr>
      <w:r w:rsidRPr="00C66737">
        <w:t>Amended proposal for a</w:t>
      </w:r>
    </w:p>
    <w:p w:rsidRPr="005C4F4D" w:rsidR="0077599A" w:rsidP="00C66737" w:rsidRDefault="00C66737" w14:paraId="328C4B8B" w14:textId="248D9142">
      <w:pPr>
        <w:pStyle w:val="Typedudocument"/>
        <w:rPr>
          <w:noProof/>
        </w:rPr>
      </w:pPr>
      <w:r w:rsidRPr="00C66737">
        <w:t>COUNCIL REGULATION</w:t>
      </w:r>
    </w:p>
    <w:p w:rsidRPr="005C4F4D" w:rsidR="0077599A" w:rsidP="00C66737" w:rsidRDefault="00C66737" w14:paraId="4B3AE7CA" w14:textId="35A2C8C6">
      <w:pPr>
        <w:pStyle w:val="Titreobjet"/>
        <w:rPr>
          <w:noProof/>
        </w:rPr>
      </w:pPr>
      <w:r w:rsidRPr="00C66737">
        <w:t>amending Regulation (EU, Euratom) 2021/768 of 30 April 2021 as regards implementing measures for new own resources of the European Union</w:t>
      </w:r>
    </w:p>
    <w:p w:rsidR="0077599A" w:rsidP="0077599A" w:rsidRDefault="0077599A" w14:paraId="2DDB177C" w14:textId="77777777">
      <w:pPr>
        <w:pStyle w:val="Institutionquiagit"/>
        <w:rPr>
          <w:noProof/>
        </w:rPr>
      </w:pPr>
      <w:r>
        <w:rPr>
          <w:noProof/>
        </w:rPr>
        <w:t>THE COUNCIL OF THE EUROPEAN UNION,</w:t>
      </w:r>
    </w:p>
    <w:p w:rsidRPr="005C4F4D" w:rsidR="0077599A" w:rsidP="0077599A" w:rsidRDefault="0077599A" w14:paraId="4920C77D" w14:textId="77777777">
      <w:pPr>
        <w:rPr>
          <w:noProof/>
        </w:rPr>
      </w:pPr>
      <w:r>
        <w:rPr>
          <w:noProof/>
        </w:rPr>
        <w:t>Having regard to the Treaty on the Functioning of the European Union, and in particular Article 311, fourth paragraph, thereof,</w:t>
      </w:r>
    </w:p>
    <w:p w:rsidRPr="005C4F4D" w:rsidR="0077599A" w:rsidP="0077599A" w:rsidRDefault="0077599A" w14:paraId="0991DF47" w14:textId="77777777">
      <w:pPr>
        <w:rPr>
          <w:noProof/>
        </w:rPr>
      </w:pPr>
      <w:r w:rsidRPr="005C4F4D">
        <w:rPr>
          <w:noProof/>
        </w:rPr>
        <w:t>Having regard to the Treaty establishing the European Atomic Energy Community, and in particular Article 106a thereof,</w:t>
      </w:r>
    </w:p>
    <w:p w:rsidRPr="005C4F4D" w:rsidR="0077599A" w:rsidP="0077599A" w:rsidRDefault="0077599A" w14:paraId="3C2F6A9B" w14:textId="77777777">
      <w:pPr>
        <w:rPr>
          <w:noProof/>
        </w:rPr>
      </w:pPr>
      <w:r w:rsidRPr="005C4F4D">
        <w:rPr>
          <w:noProof/>
        </w:rPr>
        <w:t xml:space="preserve">Having regard to Council Decision (EU, Euratom) 2020/2053 of 14 December 2020 on the system of own resources of the European Union </w:t>
      </w:r>
      <w:r w:rsidRPr="00C52849">
        <w:rPr>
          <w:noProof/>
        </w:rPr>
        <w:t>and repealing Decision 2014/335/EU, Euratom</w:t>
      </w:r>
      <w:r w:rsidRPr="005C4F4D">
        <w:rPr>
          <w:rStyle w:val="FootnoteReference"/>
          <w:noProof/>
        </w:rPr>
        <w:footnoteReference w:id="10"/>
      </w:r>
      <w:r>
        <w:rPr>
          <w:noProof/>
        </w:rPr>
        <w:t>,</w:t>
      </w:r>
      <w:r w:rsidRPr="005C4F4D">
        <w:rPr>
          <w:noProof/>
        </w:rPr>
        <w:t xml:space="preserve"> and in particular Article 10 thereof, </w:t>
      </w:r>
    </w:p>
    <w:p w:rsidR="0077599A" w:rsidP="0077599A" w:rsidRDefault="0077599A" w14:paraId="02197E8D" w14:textId="77777777">
      <w:pPr>
        <w:rPr>
          <w:noProof/>
        </w:rPr>
      </w:pPr>
      <w:r w:rsidRPr="005C4F4D">
        <w:rPr>
          <w:noProof/>
        </w:rPr>
        <w:t>Having regard to the proposal from the European Commission,</w:t>
      </w:r>
    </w:p>
    <w:p w:rsidRPr="005C4F4D" w:rsidR="0077599A" w:rsidP="0077599A" w:rsidRDefault="0077599A" w14:paraId="27188A37" w14:textId="77777777">
      <w:pPr>
        <w:rPr>
          <w:noProof/>
        </w:rPr>
      </w:pPr>
      <w:r>
        <w:rPr>
          <w:noProof/>
        </w:rPr>
        <w:t xml:space="preserve">After transmission of the draft legislative act to the national parliaments, </w:t>
      </w:r>
    </w:p>
    <w:p w:rsidRPr="005C4F4D" w:rsidR="0077599A" w:rsidP="0077599A" w:rsidRDefault="0077599A" w14:paraId="737B3327" w14:textId="77777777">
      <w:pPr>
        <w:rPr>
          <w:noProof/>
        </w:rPr>
      </w:pPr>
      <w:r w:rsidRPr="005C4F4D">
        <w:rPr>
          <w:noProof/>
        </w:rPr>
        <w:t>Having regard to the consent of the European Parliament</w:t>
      </w:r>
      <w:r w:rsidRPr="005C4F4D">
        <w:rPr>
          <w:rStyle w:val="FootnoteReference"/>
          <w:noProof/>
        </w:rPr>
        <w:footnoteReference w:id="11"/>
      </w:r>
      <w:r w:rsidRPr="005C4F4D">
        <w:rPr>
          <w:noProof/>
        </w:rPr>
        <w:t>,</w:t>
      </w:r>
    </w:p>
    <w:p w:rsidRPr="005C4F4D" w:rsidR="0077599A" w:rsidP="0077599A" w:rsidRDefault="0077599A" w14:paraId="58664179" w14:textId="77777777">
      <w:pPr>
        <w:rPr>
          <w:noProof/>
        </w:rPr>
      </w:pPr>
      <w:r w:rsidRPr="005C4F4D">
        <w:rPr>
          <w:noProof/>
        </w:rPr>
        <w:t>Acting in accordance with a special legislative procedure,</w:t>
      </w:r>
    </w:p>
    <w:p w:rsidR="0077599A" w:rsidP="0077599A" w:rsidRDefault="0077599A" w14:paraId="65EAA4C8" w14:textId="77777777">
      <w:pPr>
        <w:rPr>
          <w:noProof/>
        </w:rPr>
      </w:pPr>
      <w:r w:rsidRPr="005C4F4D">
        <w:rPr>
          <w:noProof/>
        </w:rPr>
        <w:t>Whereas:</w:t>
      </w:r>
    </w:p>
    <w:p w:rsidRPr="00E80A79" w:rsidR="0077599A" w:rsidP="0077599A" w:rsidRDefault="0077599A" w14:paraId="75C08716" w14:textId="77777777">
      <w:pPr>
        <w:pStyle w:val="Point0"/>
        <w:rPr>
          <w:b/>
          <w:noProof/>
          <w:u w:val="single"/>
        </w:rPr>
      </w:pPr>
      <w:r w:rsidRPr="0050319D">
        <w:rPr>
          <w:noProof/>
        </w:rPr>
        <w:t>(1)</w:t>
      </w:r>
      <w:r w:rsidRPr="0050319D">
        <w:rPr>
          <w:noProof/>
        </w:rPr>
        <w:tab/>
      </w:r>
      <w:r>
        <w:rPr>
          <w:noProof/>
        </w:rPr>
        <w:t xml:space="preserve">Council </w:t>
      </w:r>
      <w:r w:rsidRPr="005C4F4D">
        <w:rPr>
          <w:noProof/>
        </w:rPr>
        <w:t>Decision (EU, Euratom) 2020/2053</w:t>
      </w:r>
      <w:r>
        <w:rPr>
          <w:noProof/>
        </w:rPr>
        <w:t>,</w:t>
      </w:r>
      <w:r w:rsidRPr="005C4F4D">
        <w:rPr>
          <w:noProof/>
        </w:rPr>
        <w:t xml:space="preserve"> </w:t>
      </w:r>
      <w:r>
        <w:rPr>
          <w:noProof/>
        </w:rPr>
        <w:t xml:space="preserve">as amended by </w:t>
      </w:r>
      <w:r w:rsidRPr="00AB0D92">
        <w:rPr>
          <w:noProof/>
        </w:rPr>
        <w:t>Council Decision XX/XX,</w:t>
      </w:r>
      <w:r>
        <w:rPr>
          <w:noProof/>
        </w:rPr>
        <w:t xml:space="preserve"> introduces as new own resources</w:t>
      </w:r>
      <w:r w:rsidRPr="005C4F4D">
        <w:rPr>
          <w:noProof/>
        </w:rPr>
        <w:t xml:space="preserve"> the Emission</w:t>
      </w:r>
      <w:r>
        <w:rPr>
          <w:noProof/>
        </w:rPr>
        <w:t>s</w:t>
      </w:r>
      <w:r w:rsidRPr="005C4F4D">
        <w:rPr>
          <w:noProof/>
        </w:rPr>
        <w:t xml:space="preserve"> Trading System, </w:t>
      </w:r>
      <w:r w:rsidRPr="00B12C4E">
        <w:rPr>
          <w:noProof/>
        </w:rPr>
        <w:t>established by Directive 2003/87/EC of the European Parliament and of the Council</w:t>
      </w:r>
      <w:r>
        <w:rPr>
          <w:rStyle w:val="FootnoteReference"/>
          <w:noProof/>
        </w:rPr>
        <w:footnoteReference w:id="12"/>
      </w:r>
      <w:r>
        <w:rPr>
          <w:noProof/>
        </w:rPr>
        <w:t>,</w:t>
      </w:r>
      <w:r w:rsidRPr="005C4F4D">
        <w:rPr>
          <w:noProof/>
        </w:rPr>
        <w:t xml:space="preserve"> the </w:t>
      </w:r>
      <w:r>
        <w:rPr>
          <w:noProof/>
        </w:rPr>
        <w:t>C</w:t>
      </w:r>
      <w:r w:rsidRPr="005C4F4D">
        <w:rPr>
          <w:noProof/>
        </w:rPr>
        <w:t xml:space="preserve">arbon </w:t>
      </w:r>
      <w:r>
        <w:rPr>
          <w:noProof/>
        </w:rPr>
        <w:t>B</w:t>
      </w:r>
      <w:r w:rsidRPr="005C4F4D">
        <w:rPr>
          <w:noProof/>
        </w:rPr>
        <w:t xml:space="preserve">order </w:t>
      </w:r>
      <w:r>
        <w:rPr>
          <w:noProof/>
        </w:rPr>
        <w:t>A</w:t>
      </w:r>
      <w:r w:rsidRPr="005C4F4D">
        <w:rPr>
          <w:noProof/>
        </w:rPr>
        <w:t xml:space="preserve">djustment </w:t>
      </w:r>
      <w:r>
        <w:rPr>
          <w:noProof/>
        </w:rPr>
        <w:t>M</w:t>
      </w:r>
      <w:r w:rsidRPr="005C4F4D">
        <w:rPr>
          <w:noProof/>
        </w:rPr>
        <w:t xml:space="preserve">echanism </w:t>
      </w:r>
      <w:r>
        <w:rPr>
          <w:noProof/>
        </w:rPr>
        <w:t xml:space="preserve">established by </w:t>
      </w:r>
      <w:r w:rsidRPr="00B12C4E">
        <w:rPr>
          <w:noProof/>
        </w:rPr>
        <w:t xml:space="preserve">Regulation (EU) </w:t>
      </w:r>
      <w:r w:rsidRPr="004757E7" w:rsidR="00EA53E8">
        <w:rPr>
          <w:noProof/>
        </w:rPr>
        <w:t xml:space="preserve">2023/956 </w:t>
      </w:r>
      <w:r w:rsidRPr="00B12C4E">
        <w:rPr>
          <w:noProof/>
        </w:rPr>
        <w:t>of the European Parliament and of the Council</w:t>
      </w:r>
      <w:r>
        <w:rPr>
          <w:rStyle w:val="FootnoteReference"/>
          <w:noProof/>
        </w:rPr>
        <w:footnoteReference w:id="13"/>
      </w:r>
      <w:r w:rsidR="00754A1E">
        <w:rPr>
          <w:noProof/>
        </w:rPr>
        <w:t>,</w:t>
      </w:r>
      <w:r w:rsidRPr="00A12607">
        <w:rPr>
          <w:noProof/>
          <w:lang w:val="en-US"/>
        </w:rPr>
        <w:t xml:space="preserve"> </w:t>
      </w:r>
      <w:r w:rsidRPr="005C4F4D">
        <w:rPr>
          <w:noProof/>
        </w:rPr>
        <w:t xml:space="preserve">a share of residual profit of multinational enterprises </w:t>
      </w:r>
      <w:r>
        <w:rPr>
          <w:noProof/>
        </w:rPr>
        <w:t>re</w:t>
      </w:r>
      <w:r w:rsidRPr="005C4F4D">
        <w:rPr>
          <w:noProof/>
        </w:rPr>
        <w:t>allocated to Member States</w:t>
      </w:r>
      <w:r>
        <w:rPr>
          <w:noProof/>
        </w:rPr>
        <w:t xml:space="preserve"> </w:t>
      </w:r>
      <w:r w:rsidRPr="004F587F">
        <w:rPr>
          <w:noProof/>
        </w:rPr>
        <w:t xml:space="preserve">as </w:t>
      </w:r>
      <w:r w:rsidRPr="007B07CA">
        <w:rPr>
          <w:noProof/>
        </w:rPr>
        <w:t>set out</w:t>
      </w:r>
      <w:r w:rsidRPr="004F587F">
        <w:rPr>
          <w:noProof/>
        </w:rPr>
        <w:t xml:space="preserve"> in [Directive on implementation of the global agreement on re-allocation of taxing rights</w:t>
      </w:r>
      <w:r w:rsidRPr="004F587F">
        <w:rPr>
          <w:rStyle w:val="FootnoteReference"/>
          <w:noProof/>
        </w:rPr>
        <w:footnoteReference w:id="14"/>
      </w:r>
      <w:r w:rsidRPr="004F587F">
        <w:rPr>
          <w:noProof/>
        </w:rPr>
        <w:t>]</w:t>
      </w:r>
      <w:r w:rsidR="00137B30">
        <w:rPr>
          <w:noProof/>
        </w:rPr>
        <w:t xml:space="preserve"> </w:t>
      </w:r>
      <w:r w:rsidRPr="00097AD5" w:rsidR="00173C2F">
        <w:rPr>
          <w:rStyle w:val="Added"/>
        </w:rPr>
        <w:t xml:space="preserve">and gross </w:t>
      </w:r>
      <w:r w:rsidRPr="00097AD5" w:rsidR="00DB3B32">
        <w:rPr>
          <w:rStyle w:val="Added"/>
        </w:rPr>
        <w:t xml:space="preserve">operating surplus </w:t>
      </w:r>
      <w:r w:rsidRPr="00097AD5" w:rsidR="00173C2F">
        <w:rPr>
          <w:rStyle w:val="Added"/>
        </w:rPr>
        <w:t>as defined by the European System of Accounts 2010 set up by Regulation (EU) 549/2013</w:t>
      </w:r>
      <w:r w:rsidRPr="00A702DD" w:rsidR="00AA752F">
        <w:rPr>
          <w:rStyle w:val="FootnoteReference"/>
          <w:b/>
          <w:bCs/>
          <w:noProof/>
          <w:u w:val="single"/>
          <w:lang w:val="en-US"/>
        </w:rPr>
        <w:footnoteReference w:id="15"/>
      </w:r>
      <w:r w:rsidRPr="00097AD5" w:rsidR="00A81529">
        <w:rPr>
          <w:rStyle w:val="Added"/>
        </w:rPr>
        <w:t>, consistent with the GNI data provided in accordance with Art</w:t>
      </w:r>
      <w:r w:rsidRPr="00097AD5" w:rsidR="00F90044">
        <w:rPr>
          <w:rStyle w:val="Added"/>
        </w:rPr>
        <w:t xml:space="preserve">icle </w:t>
      </w:r>
      <w:r w:rsidRPr="00097AD5" w:rsidR="00A81529">
        <w:rPr>
          <w:rStyle w:val="Added"/>
        </w:rPr>
        <w:t>2 of the Regulation (EU) 2019/516</w:t>
      </w:r>
      <w:r w:rsidRPr="00A702DD" w:rsidR="00F90044">
        <w:rPr>
          <w:rStyle w:val="FootnoteReference"/>
          <w:b/>
          <w:noProof/>
          <w:u w:val="single"/>
          <w:lang w:val="en-US"/>
        </w:rPr>
        <w:footnoteReference w:id="16"/>
      </w:r>
      <w:r w:rsidRPr="00A702DD" w:rsidR="00645500">
        <w:rPr>
          <w:rStyle w:val="Added"/>
        </w:rPr>
        <w:t>,</w:t>
      </w:r>
      <w:r w:rsidRPr="00A702DD" w:rsidR="00A81529">
        <w:rPr>
          <w:rStyle w:val="Added"/>
        </w:rPr>
        <w:t xml:space="preserve"> </w:t>
      </w:r>
      <w:r w:rsidRPr="00097AD5" w:rsidR="00173C2F">
        <w:rPr>
          <w:rStyle w:val="Added"/>
        </w:rPr>
        <w:t>and provided in accordance with the control framework provided by the GNI implementing act, for the sectors of non-financial and financial corporations ('statistical own resource based on company profits').</w:t>
      </w:r>
    </w:p>
    <w:p w:rsidRPr="005C4F4D" w:rsidR="0077599A" w:rsidP="0077599A" w:rsidRDefault="0077599A" w14:paraId="760B4F8D" w14:textId="77777777">
      <w:pPr>
        <w:pStyle w:val="Point0"/>
        <w:rPr>
          <w:noProof/>
        </w:rPr>
      </w:pPr>
      <w:r w:rsidRPr="0050319D">
        <w:rPr>
          <w:noProof/>
        </w:rPr>
        <w:t>(2)</w:t>
      </w:r>
      <w:r w:rsidRPr="0050319D">
        <w:rPr>
          <w:noProof/>
        </w:rPr>
        <w:tab/>
      </w:r>
      <w:r w:rsidRPr="005C4F4D">
        <w:rPr>
          <w:noProof/>
        </w:rPr>
        <w:t xml:space="preserve">For </w:t>
      </w:r>
      <w:r>
        <w:rPr>
          <w:noProof/>
        </w:rPr>
        <w:t xml:space="preserve">the </w:t>
      </w:r>
      <w:r w:rsidRPr="005C4F4D">
        <w:rPr>
          <w:noProof/>
        </w:rPr>
        <w:t xml:space="preserve">sake of consistency, </w:t>
      </w:r>
      <w:r>
        <w:rPr>
          <w:noProof/>
        </w:rPr>
        <w:t xml:space="preserve">it is necessary to lay down </w:t>
      </w:r>
      <w:r w:rsidRPr="005C4F4D">
        <w:rPr>
          <w:noProof/>
        </w:rPr>
        <w:t xml:space="preserve">implementing measures concerning </w:t>
      </w:r>
      <w:bookmarkStart w:name="_Hlk132300652" w:id="16"/>
      <w:r w:rsidRPr="005C4F4D">
        <w:rPr>
          <w:noProof/>
        </w:rPr>
        <w:t xml:space="preserve">control and supervision </w:t>
      </w:r>
      <w:bookmarkEnd w:id="16"/>
      <w:r w:rsidRPr="005C4F4D">
        <w:rPr>
          <w:noProof/>
        </w:rPr>
        <w:t>together with relevant reporting requirements taking in consideration the controls and verifications performed by the Member States also for new own resources</w:t>
      </w:r>
      <w:r>
        <w:rPr>
          <w:noProof/>
        </w:rPr>
        <w:t>.</w:t>
      </w:r>
    </w:p>
    <w:p w:rsidR="0077599A" w:rsidP="0077599A" w:rsidRDefault="0077599A" w14:paraId="2AF7B81B" w14:textId="77777777">
      <w:pPr>
        <w:pStyle w:val="Point0"/>
        <w:rPr>
          <w:noProof/>
        </w:rPr>
      </w:pPr>
      <w:r w:rsidRPr="0050319D">
        <w:rPr>
          <w:noProof/>
        </w:rPr>
        <w:t>(3)</w:t>
      </w:r>
      <w:r w:rsidRPr="0050319D">
        <w:rPr>
          <w:noProof/>
        </w:rPr>
        <w:tab/>
      </w:r>
      <w:r>
        <w:rPr>
          <w:noProof/>
        </w:rPr>
        <w:t xml:space="preserve">As </w:t>
      </w:r>
      <w:r w:rsidRPr="005C4F4D">
        <w:rPr>
          <w:noProof/>
        </w:rPr>
        <w:t xml:space="preserve">a matter of efficiency and effectiveness, the implementing measures for control and supervision related </w:t>
      </w:r>
      <w:r>
        <w:rPr>
          <w:noProof/>
        </w:rPr>
        <w:t>to the own r</w:t>
      </w:r>
      <w:r w:rsidRPr="005C4F4D">
        <w:rPr>
          <w:noProof/>
        </w:rPr>
        <w:t xml:space="preserve">esource based on </w:t>
      </w:r>
      <w:r>
        <w:rPr>
          <w:noProof/>
        </w:rPr>
        <w:t>emissions trading</w:t>
      </w:r>
      <w:r w:rsidRPr="005C4F4D">
        <w:rPr>
          <w:noProof/>
        </w:rPr>
        <w:t xml:space="preserve"> </w:t>
      </w:r>
      <w:r>
        <w:rPr>
          <w:noProof/>
        </w:rPr>
        <w:t>should</w:t>
      </w:r>
      <w:r w:rsidRPr="005C4F4D">
        <w:rPr>
          <w:noProof/>
        </w:rPr>
        <w:t xml:space="preserve"> take in account the control framework established by the sectorial legislation in particular concerning the obligation</w:t>
      </w:r>
      <w:r>
        <w:rPr>
          <w:noProof/>
        </w:rPr>
        <w:t>s</w:t>
      </w:r>
      <w:r w:rsidRPr="005C4F4D">
        <w:rPr>
          <w:noProof/>
        </w:rPr>
        <w:t xml:space="preserve"> </w:t>
      </w:r>
      <w:r>
        <w:rPr>
          <w:noProof/>
        </w:rPr>
        <w:t>related to the Emissions Trading System laid down in</w:t>
      </w:r>
      <w:r w:rsidRPr="005C4F4D">
        <w:rPr>
          <w:noProof/>
        </w:rPr>
        <w:t xml:space="preserve"> Directive 2014/65/EU</w:t>
      </w:r>
      <w:r>
        <w:rPr>
          <w:noProof/>
        </w:rPr>
        <w:t xml:space="preserve"> </w:t>
      </w:r>
      <w:r w:rsidRPr="00C52849">
        <w:rPr>
          <w:noProof/>
        </w:rPr>
        <w:t>of the European Parliament and of the Council</w:t>
      </w:r>
      <w:r w:rsidRPr="005C4F4D">
        <w:rPr>
          <w:noProof/>
        </w:rPr>
        <w:t xml:space="preserve"> </w:t>
      </w:r>
      <w:r w:rsidRPr="005C4F4D">
        <w:rPr>
          <w:rStyle w:val="FootnoteReference"/>
          <w:noProof/>
        </w:rPr>
        <w:footnoteReference w:id="17"/>
      </w:r>
      <w:r>
        <w:rPr>
          <w:noProof/>
        </w:rPr>
        <w:t xml:space="preserve">, </w:t>
      </w:r>
      <w:r w:rsidRPr="005C4F4D">
        <w:rPr>
          <w:noProof/>
        </w:rPr>
        <w:t xml:space="preserve">Regulation </w:t>
      </w:r>
      <w:r>
        <w:rPr>
          <w:noProof/>
        </w:rPr>
        <w:t xml:space="preserve">(EU) </w:t>
      </w:r>
      <w:r w:rsidRPr="005C4F4D">
        <w:rPr>
          <w:noProof/>
        </w:rPr>
        <w:t>No 600/2014/EU</w:t>
      </w:r>
      <w:r>
        <w:rPr>
          <w:noProof/>
        </w:rPr>
        <w:t xml:space="preserve"> </w:t>
      </w:r>
      <w:r w:rsidRPr="00131464">
        <w:rPr>
          <w:noProof/>
        </w:rPr>
        <w:t>of the Europea</w:t>
      </w:r>
      <w:r>
        <w:rPr>
          <w:noProof/>
        </w:rPr>
        <w:t>n Parliament and of the Council</w:t>
      </w:r>
      <w:r>
        <w:rPr>
          <w:rStyle w:val="FootnoteReference"/>
          <w:noProof/>
        </w:rPr>
        <w:footnoteReference w:id="18"/>
      </w:r>
      <w:r>
        <w:rPr>
          <w:noProof/>
        </w:rPr>
        <w:t xml:space="preserve"> and </w:t>
      </w:r>
      <w:r w:rsidRPr="0022554F">
        <w:rPr>
          <w:noProof/>
        </w:rPr>
        <w:t>Commission Regulation (EU) No 1031/2010</w:t>
      </w:r>
      <w:r>
        <w:rPr>
          <w:rStyle w:val="FootnoteReference"/>
          <w:noProof/>
        </w:rPr>
        <w:footnoteReference w:id="19"/>
      </w:r>
      <w:r>
        <w:rPr>
          <w:noProof/>
        </w:rPr>
        <w:t>.</w:t>
      </w:r>
    </w:p>
    <w:p w:rsidRPr="00A702DD" w:rsidR="00137B30" w:rsidP="0077599A" w:rsidRDefault="00137B30" w14:paraId="7C5E9C3A" w14:textId="75D2317A">
      <w:pPr>
        <w:pStyle w:val="Point0"/>
        <w:rPr>
          <w:rStyle w:val="Added"/>
        </w:rPr>
      </w:pPr>
      <w:r>
        <w:rPr>
          <w:noProof/>
        </w:rPr>
        <w:t>(3a)</w:t>
      </w:r>
      <w:r>
        <w:rPr>
          <w:noProof/>
        </w:rPr>
        <w:tab/>
      </w:r>
      <w:r w:rsidRPr="00A702DD">
        <w:rPr>
          <w:rStyle w:val="Added"/>
        </w:rPr>
        <w:t xml:space="preserve">As a matter of efficiency and effectiveness, the implementing measures for the </w:t>
      </w:r>
      <w:r w:rsidRPr="00A702DD" w:rsidR="005661A0">
        <w:rPr>
          <w:rStyle w:val="Added"/>
        </w:rPr>
        <w:t xml:space="preserve">control and </w:t>
      </w:r>
      <w:r w:rsidRPr="00A702DD">
        <w:rPr>
          <w:rStyle w:val="Added"/>
        </w:rPr>
        <w:t xml:space="preserve">supervision related to the </w:t>
      </w:r>
      <w:r w:rsidRPr="00A702DD" w:rsidR="00E330B7">
        <w:rPr>
          <w:rStyle w:val="Added"/>
        </w:rPr>
        <w:t>statis</w:t>
      </w:r>
      <w:r w:rsidRPr="00A702DD" w:rsidR="009E5710">
        <w:rPr>
          <w:rStyle w:val="Added"/>
        </w:rPr>
        <w:t>ti</w:t>
      </w:r>
      <w:r w:rsidRPr="00A702DD" w:rsidR="00E330B7">
        <w:rPr>
          <w:rStyle w:val="Added"/>
        </w:rPr>
        <w:t xml:space="preserve">cal </w:t>
      </w:r>
      <w:r w:rsidRPr="00A702DD">
        <w:rPr>
          <w:rStyle w:val="Added"/>
        </w:rPr>
        <w:t xml:space="preserve">own resource based on </w:t>
      </w:r>
      <w:r w:rsidRPr="00A702DD" w:rsidR="00E330B7">
        <w:rPr>
          <w:rStyle w:val="Added"/>
        </w:rPr>
        <w:t>company profits</w:t>
      </w:r>
      <w:r w:rsidRPr="00A702DD">
        <w:rPr>
          <w:rStyle w:val="Added"/>
        </w:rPr>
        <w:t xml:space="preserve"> should take in</w:t>
      </w:r>
      <w:r w:rsidRPr="00A702DD" w:rsidR="000C4682">
        <w:rPr>
          <w:rStyle w:val="Added"/>
        </w:rPr>
        <w:t>to</w:t>
      </w:r>
      <w:r w:rsidRPr="00A702DD">
        <w:rPr>
          <w:rStyle w:val="Added"/>
        </w:rPr>
        <w:t xml:space="preserve"> account the </w:t>
      </w:r>
      <w:r w:rsidRPr="00A702DD" w:rsidR="00E330B7">
        <w:rPr>
          <w:rStyle w:val="Added"/>
        </w:rPr>
        <w:t>obligation on Member States under</w:t>
      </w:r>
      <w:r w:rsidRPr="00A702DD" w:rsidR="009E5710">
        <w:rPr>
          <w:rStyle w:val="Added"/>
        </w:rPr>
        <w:t xml:space="preserve"> </w:t>
      </w:r>
      <w:r w:rsidRPr="00A702DD" w:rsidR="00680DEE">
        <w:rPr>
          <w:rStyle w:val="Added"/>
        </w:rPr>
        <w:t>GNI control framework</w:t>
      </w:r>
      <w:r w:rsidRPr="00523432" w:rsidR="00157302">
        <w:rPr>
          <w:rStyle w:val="Added"/>
          <w:vertAlign w:val="superscript"/>
          <w:lang w:val="en-US"/>
        </w:rPr>
        <w:footnoteReference w:id="20"/>
      </w:r>
      <w:r w:rsidRPr="00A702DD" w:rsidR="00B30715">
        <w:rPr>
          <w:rStyle w:val="Added"/>
        </w:rPr>
        <w:t xml:space="preserve">. In particular, </w:t>
      </w:r>
      <w:r w:rsidRPr="00A702DD" w:rsidR="00AE6879">
        <w:rPr>
          <w:rStyle w:val="Added"/>
        </w:rPr>
        <w:t>Member States should provide</w:t>
      </w:r>
      <w:r w:rsidRPr="00A702DD" w:rsidR="00DE1ED5">
        <w:rPr>
          <w:rStyle w:val="Added"/>
        </w:rPr>
        <w:t>, as part of the GNI inventory,</w:t>
      </w:r>
      <w:r w:rsidRPr="00A702DD" w:rsidR="00AE6879">
        <w:rPr>
          <w:rStyle w:val="Added"/>
        </w:rPr>
        <w:t xml:space="preserve"> detailed </w:t>
      </w:r>
      <w:r w:rsidRPr="00A702DD" w:rsidR="00B30715">
        <w:rPr>
          <w:rStyle w:val="Added"/>
        </w:rPr>
        <w:t xml:space="preserve">descriptions </w:t>
      </w:r>
      <w:r w:rsidRPr="00A702DD" w:rsidR="00AE6879">
        <w:rPr>
          <w:rStyle w:val="Added"/>
        </w:rPr>
        <w:t xml:space="preserve">of </w:t>
      </w:r>
      <w:r w:rsidRPr="00A702DD" w:rsidR="00B30715">
        <w:rPr>
          <w:rStyle w:val="Added"/>
        </w:rPr>
        <w:t xml:space="preserve">the statistical sources and methods used for the compilation of annual sector accounts, with particular focus on the gross operating surplus of the sectors of non-financial and financial corporations. </w:t>
      </w:r>
      <w:r w:rsidRPr="00A702DD" w:rsidR="008B723B">
        <w:rPr>
          <w:rStyle w:val="Added"/>
        </w:rPr>
        <w:t>Also t</w:t>
      </w:r>
      <w:r w:rsidRPr="00A702DD" w:rsidR="00B30715">
        <w:rPr>
          <w:rStyle w:val="Added"/>
        </w:rPr>
        <w:t>he tasks of the expert group referred to in Article 4 of the GNI regulation (EU) 2019/516 should be extended to include advising the Commission on the quality and issuing annual opinion</w:t>
      </w:r>
      <w:r w:rsidRPr="00A702DD" w:rsidR="008B723B">
        <w:rPr>
          <w:rStyle w:val="Added"/>
        </w:rPr>
        <w:t>s</w:t>
      </w:r>
      <w:r w:rsidRPr="00A702DD" w:rsidR="00B30715">
        <w:rPr>
          <w:rStyle w:val="Added"/>
        </w:rPr>
        <w:t xml:space="preserve"> </w:t>
      </w:r>
      <w:r w:rsidRPr="00A702DD" w:rsidR="008B723B">
        <w:rPr>
          <w:rStyle w:val="Added"/>
        </w:rPr>
        <w:t>on</w:t>
      </w:r>
      <w:r w:rsidRPr="00A702DD" w:rsidR="00B30715">
        <w:rPr>
          <w:rStyle w:val="Added"/>
        </w:rPr>
        <w:t xml:space="preserve"> the appropriateness of the gross operating surplus of the </w:t>
      </w:r>
      <w:r w:rsidRPr="00A702DD" w:rsidR="00DE1ED5">
        <w:rPr>
          <w:rStyle w:val="Added"/>
        </w:rPr>
        <w:t xml:space="preserve">sectors of </w:t>
      </w:r>
      <w:r w:rsidRPr="00A702DD" w:rsidR="00B30715">
        <w:rPr>
          <w:rStyle w:val="Added"/>
        </w:rPr>
        <w:t xml:space="preserve">non-financial and financial </w:t>
      </w:r>
      <w:r w:rsidRPr="00A702DD" w:rsidR="00DE1ED5">
        <w:rPr>
          <w:rStyle w:val="Added"/>
        </w:rPr>
        <w:t xml:space="preserve">corporations </w:t>
      </w:r>
      <w:r w:rsidRPr="00A702DD" w:rsidR="00B30715">
        <w:rPr>
          <w:rStyle w:val="Added"/>
        </w:rPr>
        <w:t>for own resources purposes.</w:t>
      </w:r>
    </w:p>
    <w:p w:rsidRPr="005C4F4D" w:rsidR="0077599A" w:rsidP="0077599A" w:rsidRDefault="0077599A" w14:paraId="549C54A8" w14:textId="77777777">
      <w:pPr>
        <w:pStyle w:val="Point0"/>
        <w:rPr>
          <w:noProof/>
        </w:rPr>
      </w:pPr>
      <w:r w:rsidRPr="0050319D">
        <w:rPr>
          <w:noProof/>
        </w:rPr>
        <w:t>(4)</w:t>
      </w:r>
      <w:r w:rsidRPr="0050319D">
        <w:rPr>
          <w:noProof/>
        </w:rPr>
        <w:tab/>
      </w:r>
      <w:r w:rsidRPr="005C4F4D">
        <w:rPr>
          <w:noProof/>
        </w:rPr>
        <w:t xml:space="preserve">To enable the implementation of </w:t>
      </w:r>
      <w:r>
        <w:rPr>
          <w:noProof/>
        </w:rPr>
        <w:t xml:space="preserve">control and </w:t>
      </w:r>
      <w:r w:rsidRPr="005C4F4D">
        <w:rPr>
          <w:noProof/>
        </w:rPr>
        <w:t>supervision measure</w:t>
      </w:r>
      <w:r>
        <w:rPr>
          <w:noProof/>
        </w:rPr>
        <w:t>s</w:t>
      </w:r>
      <w:r w:rsidRPr="005C4F4D">
        <w:rPr>
          <w:noProof/>
        </w:rPr>
        <w:t xml:space="preserve"> for new own resources, the Member States sh</w:t>
      </w:r>
      <w:r>
        <w:rPr>
          <w:noProof/>
        </w:rPr>
        <w:t>ould</w:t>
      </w:r>
      <w:r w:rsidRPr="005C4F4D">
        <w:rPr>
          <w:noProof/>
        </w:rPr>
        <w:t xml:space="preserve"> ensure that all entities involved </w:t>
      </w:r>
      <w:r>
        <w:rPr>
          <w:noProof/>
        </w:rPr>
        <w:t xml:space="preserve">in the own resources processes provide </w:t>
      </w:r>
      <w:r w:rsidRPr="005C4F4D">
        <w:rPr>
          <w:noProof/>
        </w:rPr>
        <w:t>access to the pertinent data and the necessary assistance to the authorised agents for carrying out their duties</w:t>
      </w:r>
      <w:r>
        <w:rPr>
          <w:noProof/>
        </w:rPr>
        <w:t>.</w:t>
      </w:r>
    </w:p>
    <w:p w:rsidRPr="00523432" w:rsidR="0077599A" w:rsidP="0077599A" w:rsidRDefault="0077599A" w14:paraId="0C6886FA" w14:textId="77777777">
      <w:pPr>
        <w:pStyle w:val="Point0"/>
        <w:rPr>
          <w:rStyle w:val="Added"/>
        </w:rPr>
      </w:pPr>
      <w:r w:rsidRPr="0050319D">
        <w:rPr>
          <w:noProof/>
        </w:rPr>
        <w:t>(5)</w:t>
      </w:r>
      <w:r w:rsidRPr="0050319D">
        <w:rPr>
          <w:noProof/>
        </w:rPr>
        <w:tab/>
      </w:r>
      <w:r>
        <w:rPr>
          <w:noProof/>
        </w:rPr>
        <w:t>As a</w:t>
      </w:r>
      <w:r w:rsidRPr="005C4F4D">
        <w:rPr>
          <w:noProof/>
        </w:rPr>
        <w:t xml:space="preserve"> matter of effectiveness, the implementing measures for the control of </w:t>
      </w:r>
      <w:r>
        <w:rPr>
          <w:noProof/>
        </w:rPr>
        <w:t>the C</w:t>
      </w:r>
      <w:r w:rsidRPr="005C4F4D">
        <w:rPr>
          <w:noProof/>
        </w:rPr>
        <w:t xml:space="preserve">arbon </w:t>
      </w:r>
      <w:r>
        <w:rPr>
          <w:noProof/>
        </w:rPr>
        <w:t>Border Adjustment M</w:t>
      </w:r>
      <w:r w:rsidRPr="005C4F4D">
        <w:rPr>
          <w:noProof/>
        </w:rPr>
        <w:t xml:space="preserve">echanism should apply without prejudice to the implementing measures for the verification of </w:t>
      </w:r>
      <w:r>
        <w:rPr>
          <w:noProof/>
        </w:rPr>
        <w:t>t</w:t>
      </w:r>
      <w:r w:rsidRPr="005C4F4D">
        <w:rPr>
          <w:noProof/>
        </w:rPr>
        <w:t xml:space="preserve">raditional </w:t>
      </w:r>
      <w:r>
        <w:rPr>
          <w:noProof/>
        </w:rPr>
        <w:t>o</w:t>
      </w:r>
      <w:r w:rsidRPr="005C4F4D">
        <w:rPr>
          <w:noProof/>
        </w:rPr>
        <w:t xml:space="preserve">wn </w:t>
      </w:r>
      <w:r>
        <w:rPr>
          <w:noProof/>
        </w:rPr>
        <w:t>r</w:t>
      </w:r>
      <w:r w:rsidRPr="005C4F4D">
        <w:rPr>
          <w:noProof/>
        </w:rPr>
        <w:t>esources</w:t>
      </w:r>
      <w:r>
        <w:rPr>
          <w:noProof/>
        </w:rPr>
        <w:t xml:space="preserve"> referred to in </w:t>
      </w:r>
      <w:r w:rsidRPr="005C4F4D">
        <w:rPr>
          <w:noProof/>
        </w:rPr>
        <w:t>Decision (EU, Euratom) 2020/2053</w:t>
      </w:r>
      <w:r w:rsidR="004743EC">
        <w:rPr>
          <w:noProof/>
        </w:rPr>
        <w:t xml:space="preserve"> </w:t>
      </w:r>
      <w:r w:rsidRPr="00523432" w:rsidR="004743EC">
        <w:rPr>
          <w:rStyle w:val="Added"/>
        </w:rPr>
        <w:t xml:space="preserve">and Regulation (EU) </w:t>
      </w:r>
      <w:r w:rsidRPr="00523432" w:rsidR="00266ADA">
        <w:rPr>
          <w:rStyle w:val="Added"/>
        </w:rPr>
        <w:t>2023/956/EC</w:t>
      </w:r>
      <w:r w:rsidRPr="00523432" w:rsidR="004743EC">
        <w:rPr>
          <w:rStyle w:val="Added"/>
        </w:rPr>
        <w:t xml:space="preserve"> of the European Parliament and of the Council establishing a carbon border adjustment mechanism</w:t>
      </w:r>
      <w:r w:rsidRPr="00523432">
        <w:rPr>
          <w:rStyle w:val="Added"/>
        </w:rPr>
        <w:t>.</w:t>
      </w:r>
      <w:r w:rsidRPr="00523432" w:rsidDel="005C4F4D">
        <w:rPr>
          <w:rStyle w:val="Added"/>
        </w:rPr>
        <w:t xml:space="preserve"> </w:t>
      </w:r>
    </w:p>
    <w:p w:rsidR="0077599A" w:rsidP="0077599A" w:rsidRDefault="0077599A" w14:paraId="210EE569" w14:textId="77777777">
      <w:pPr>
        <w:pStyle w:val="Point0"/>
        <w:rPr>
          <w:noProof/>
        </w:rPr>
      </w:pPr>
      <w:r w:rsidRPr="0050319D">
        <w:rPr>
          <w:noProof/>
        </w:rPr>
        <w:t>(6)</w:t>
      </w:r>
      <w:r w:rsidRPr="0050319D">
        <w:rPr>
          <w:noProof/>
        </w:rPr>
        <w:tab/>
      </w:r>
      <w:r w:rsidRPr="005C4F4D">
        <w:rPr>
          <w:noProof/>
        </w:rPr>
        <w:t>The checks and enquiries conducted by Member States relating to calculating, establishing and making available the Union’s own resources, and rules ensuring collaboration between the Member States and the Commission should be extended to the new own resources</w:t>
      </w:r>
      <w:r>
        <w:rPr>
          <w:noProof/>
        </w:rPr>
        <w:t>.</w:t>
      </w:r>
    </w:p>
    <w:p w:rsidRPr="005C4F4D" w:rsidR="0077599A" w:rsidP="0077599A" w:rsidRDefault="0077599A" w14:paraId="5383B6A6" w14:textId="77777777">
      <w:pPr>
        <w:pStyle w:val="Point0"/>
        <w:rPr>
          <w:noProof/>
        </w:rPr>
      </w:pPr>
      <w:r w:rsidRPr="0050319D">
        <w:rPr>
          <w:noProof/>
        </w:rPr>
        <w:t>(7)</w:t>
      </w:r>
      <w:r w:rsidRPr="0050319D">
        <w:rPr>
          <w:noProof/>
        </w:rPr>
        <w:tab/>
      </w:r>
      <w:r w:rsidRPr="0039224E">
        <w:rPr>
          <w:noProof/>
          <w:shd w:val="clear" w:color="auto" w:fill="FFFFFF"/>
        </w:rPr>
        <w:t>Article 325 of the Treaty on the Functioning of the European Union (TFEU) requires the Union and the Member States to counter fraud and any other illegal activities affecting the financial interests of the Union</w:t>
      </w:r>
      <w:r>
        <w:rPr>
          <w:noProof/>
          <w:shd w:val="clear" w:color="auto" w:fill="FFFFFF"/>
        </w:rPr>
        <w:t xml:space="preserve">. </w:t>
      </w:r>
      <w:r w:rsidRPr="005C4F4D">
        <w:rPr>
          <w:noProof/>
        </w:rPr>
        <w:t>The transparency of the system of own resources of the Union should be ensured by the provision of adequate information also on new own resources to the European Parliament and to the Council</w:t>
      </w:r>
      <w:r>
        <w:rPr>
          <w:noProof/>
        </w:rPr>
        <w:t>.</w:t>
      </w:r>
    </w:p>
    <w:p w:rsidR="0077599A" w:rsidP="0077599A" w:rsidRDefault="0077599A" w14:paraId="7F02DF69" w14:textId="77777777">
      <w:pPr>
        <w:pStyle w:val="Point0"/>
        <w:rPr>
          <w:noProof/>
        </w:rPr>
      </w:pPr>
      <w:r w:rsidRPr="0050319D">
        <w:rPr>
          <w:noProof/>
        </w:rPr>
        <w:t>(8)</w:t>
      </w:r>
      <w:r w:rsidRPr="0050319D">
        <w:rPr>
          <w:noProof/>
        </w:rPr>
        <w:tab/>
      </w:r>
      <w:r w:rsidRPr="005C4F4D">
        <w:rPr>
          <w:noProof/>
        </w:rPr>
        <w:t>Reporting arrangements should be extended to new own resources in order to make it possible for the Commission to monitor the actions of Member States to recover own resources, in particular in cases of fraud and irregularities</w:t>
      </w:r>
      <w:r>
        <w:rPr>
          <w:noProof/>
        </w:rPr>
        <w:t>.</w:t>
      </w:r>
    </w:p>
    <w:p w:rsidRPr="005C4F4D" w:rsidR="0077599A" w:rsidP="0077599A" w:rsidRDefault="0077599A" w14:paraId="2C41A892" w14:textId="77777777">
      <w:pPr>
        <w:pStyle w:val="Point0"/>
        <w:rPr>
          <w:noProof/>
        </w:rPr>
      </w:pPr>
      <w:r w:rsidRPr="0050319D">
        <w:rPr>
          <w:noProof/>
        </w:rPr>
        <w:t>(9)</w:t>
      </w:r>
      <w:r w:rsidRPr="0050319D">
        <w:rPr>
          <w:noProof/>
        </w:rPr>
        <w:tab/>
      </w:r>
      <w:r w:rsidRPr="00C02BDC">
        <w:rPr>
          <w:noProof/>
        </w:rPr>
        <w:t>Council Regulation (EU,</w:t>
      </w:r>
      <w:r>
        <w:rPr>
          <w:noProof/>
        </w:rPr>
        <w:t> </w:t>
      </w:r>
      <w:r w:rsidRPr="00C02BDC">
        <w:rPr>
          <w:noProof/>
        </w:rPr>
        <w:t>Euratom) 2021/768</w:t>
      </w:r>
      <w:r>
        <w:rPr>
          <w:rStyle w:val="FootnoteReference"/>
          <w:noProof/>
        </w:rPr>
        <w:footnoteReference w:id="21"/>
      </w:r>
      <w:r w:rsidRPr="00C02BDC">
        <w:rPr>
          <w:noProof/>
        </w:rPr>
        <w:t xml:space="preserve"> </w:t>
      </w:r>
      <w:r>
        <w:rPr>
          <w:noProof/>
        </w:rPr>
        <w:t xml:space="preserve">should therefore be amended accordingly. </w:t>
      </w:r>
      <w:r w:rsidRPr="001824CE">
        <w:rPr>
          <w:noProof/>
        </w:rPr>
        <w:t xml:space="preserve">For reasons of consistency, this Regulation should enter into force on the same day as </w:t>
      </w:r>
      <w:r>
        <w:rPr>
          <w:noProof/>
        </w:rPr>
        <w:t xml:space="preserve">Council </w:t>
      </w:r>
      <w:r w:rsidRPr="001824CE">
        <w:rPr>
          <w:noProof/>
        </w:rPr>
        <w:t>Decision</w:t>
      </w:r>
      <w:r>
        <w:rPr>
          <w:noProof/>
        </w:rPr>
        <w:t xml:space="preserve"> </w:t>
      </w:r>
      <w:r w:rsidRPr="00573D78">
        <w:rPr>
          <w:rFonts w:eastAsia="Times New Roman"/>
          <w:noProof/>
          <w:lang w:eastAsia="en-GB"/>
        </w:rPr>
        <w:t xml:space="preserve">20xx/xxxx/EU, Euratom amending </w:t>
      </w:r>
      <w:r w:rsidRPr="00573D78">
        <w:rPr>
          <w:noProof/>
          <w:lang w:val="en-US"/>
        </w:rPr>
        <w:t>Decision (EU, Euratom) 2020/2053</w:t>
      </w:r>
      <w:r>
        <w:rPr>
          <w:noProof/>
          <w:lang w:val="en-US"/>
        </w:rPr>
        <w:t xml:space="preserve"> and should apply from 1 January 202</w:t>
      </w:r>
      <w:r w:rsidRPr="00523432" w:rsidR="00E80A79">
        <w:rPr>
          <w:rStyle w:val="Deleted"/>
        </w:rPr>
        <w:t>3</w:t>
      </w:r>
      <w:r w:rsidRPr="00523432" w:rsidR="00D53884">
        <w:rPr>
          <w:rStyle w:val="Added"/>
        </w:rPr>
        <w:t>4</w:t>
      </w:r>
      <w:r>
        <w:rPr>
          <w:i/>
          <w:noProof/>
          <w:lang w:val="en-US"/>
        </w:rPr>
        <w:t xml:space="preserve">. </w:t>
      </w:r>
      <w:r w:rsidRPr="001F36A2">
        <w:rPr>
          <w:noProof/>
          <w:lang w:val="en-US"/>
        </w:rPr>
        <w:t xml:space="preserve">Article 6c </w:t>
      </w:r>
      <w:r>
        <w:rPr>
          <w:noProof/>
          <w:lang w:val="en-US"/>
        </w:rPr>
        <w:t>should</w:t>
      </w:r>
      <w:r w:rsidRPr="001F36A2">
        <w:rPr>
          <w:noProof/>
          <w:lang w:val="en-US"/>
        </w:rPr>
        <w:t xml:space="preserve"> apply from the date of application of the [Directive on implementation of the global agreement on re-allocation of taxing rights] or the day of the entry into force and effect of the Multilateral Convention, whichever is the later</w:t>
      </w:r>
      <w:r>
        <w:rPr>
          <w:noProof/>
          <w:lang w:val="en-US"/>
        </w:rPr>
        <w:t xml:space="preserve">, </w:t>
      </w:r>
    </w:p>
    <w:p w:rsidRPr="005C4F4D" w:rsidR="0077599A" w:rsidP="0077599A" w:rsidRDefault="0077599A" w14:paraId="6DECB264" w14:textId="77777777">
      <w:pPr>
        <w:pStyle w:val="Formuledadoption"/>
        <w:rPr>
          <w:noProof/>
        </w:rPr>
      </w:pPr>
      <w:r w:rsidRPr="005C4F4D">
        <w:rPr>
          <w:noProof/>
        </w:rPr>
        <w:t>HAS ADOPTED THIS REGULATION:</w:t>
      </w:r>
    </w:p>
    <w:p w:rsidRPr="005C4F4D" w:rsidR="0077599A" w:rsidP="0077599A" w:rsidRDefault="0077599A" w14:paraId="2C849FDD" w14:textId="77777777">
      <w:pPr>
        <w:pStyle w:val="Titrearticle"/>
        <w:rPr>
          <w:noProof/>
        </w:rPr>
      </w:pPr>
      <w:r w:rsidRPr="005C4F4D">
        <w:rPr>
          <w:noProof/>
        </w:rPr>
        <w:t>Article 1</w:t>
      </w:r>
    </w:p>
    <w:p w:rsidR="0077599A" w:rsidP="0077599A" w:rsidRDefault="0077599A" w14:paraId="76F5ACBC" w14:textId="77777777">
      <w:pPr>
        <w:pStyle w:val="Applicationdirecte"/>
        <w:rPr>
          <w:noProof/>
        </w:rPr>
      </w:pPr>
      <w:r w:rsidRPr="005C4F4D">
        <w:rPr>
          <w:noProof/>
        </w:rPr>
        <w:t>Regulation (EU, Euratom) 2021/768</w:t>
      </w:r>
      <w:r>
        <w:rPr>
          <w:noProof/>
        </w:rPr>
        <w:t xml:space="preserve"> </w:t>
      </w:r>
      <w:r w:rsidRPr="005C4F4D">
        <w:rPr>
          <w:noProof/>
        </w:rPr>
        <w:t>is amended as follows:</w:t>
      </w:r>
    </w:p>
    <w:p w:rsidRPr="006E33A8" w:rsidR="0077599A" w:rsidP="0077599A" w:rsidRDefault="0077599A" w14:paraId="49F0A521" w14:textId="77777777">
      <w:pPr>
        <w:pStyle w:val="Point0"/>
        <w:rPr>
          <w:noProof/>
        </w:rPr>
      </w:pPr>
      <w:r>
        <w:rPr>
          <w:noProof/>
        </w:rPr>
        <w:t>(1)</w:t>
      </w:r>
      <w:r>
        <w:rPr>
          <w:noProof/>
        </w:rPr>
        <w:tab/>
        <w:t>Article 2 is amended as follows:</w:t>
      </w:r>
    </w:p>
    <w:p w:rsidRPr="005C4F4D" w:rsidR="0077599A" w:rsidP="0077599A" w:rsidRDefault="0077599A" w14:paraId="2FFBAE25" w14:textId="77777777">
      <w:pPr>
        <w:pStyle w:val="Point0"/>
        <w:rPr>
          <w:noProof/>
        </w:rPr>
      </w:pPr>
      <w:r w:rsidRPr="0050319D">
        <w:rPr>
          <w:noProof/>
        </w:rPr>
        <w:t>(a)</w:t>
      </w:r>
      <w:r w:rsidRPr="0050319D">
        <w:rPr>
          <w:noProof/>
        </w:rPr>
        <w:tab/>
      </w:r>
      <w:r>
        <w:rPr>
          <w:noProof/>
        </w:rPr>
        <w:t>paragraph 1 is replaced by the following</w:t>
      </w:r>
      <w:r w:rsidRPr="005C4F4D">
        <w:rPr>
          <w:noProof/>
        </w:rPr>
        <w:t xml:space="preserve">:    </w:t>
      </w:r>
    </w:p>
    <w:p w:rsidR="0077599A" w:rsidP="0077599A" w:rsidRDefault="0077599A" w14:paraId="65547C09" w14:textId="2423B00D">
      <w:pPr>
        <w:rPr>
          <w:noProof/>
          <w:u w:val="single"/>
        </w:rPr>
      </w:pPr>
      <w:r w:rsidRPr="005C4F4D">
        <w:rPr>
          <w:noProof/>
        </w:rPr>
        <w:t>“</w:t>
      </w:r>
      <w:r>
        <w:rPr>
          <w:noProof/>
        </w:rPr>
        <w:t>1.</w:t>
      </w:r>
      <w:r>
        <w:rPr>
          <w:noProof/>
        </w:rPr>
        <w:tab/>
      </w:r>
      <w:r w:rsidRPr="005C4F4D">
        <w:rPr>
          <w:noProof/>
        </w:rPr>
        <w:t xml:space="preserve">The own resources referred to in Article 2(1) of Decision (EU, Euratom) 2020/2053 shall be inspected as specified in this Regulation, without prejudice to Regulation (EEC, Euratom) No </w:t>
      </w:r>
      <w:r w:rsidRPr="008141B9">
        <w:rPr>
          <w:noProof/>
        </w:rPr>
        <w:t>1553/89</w:t>
      </w:r>
      <w:r w:rsidRPr="005C4F4D">
        <w:rPr>
          <w:noProof/>
        </w:rPr>
        <w:t xml:space="preserve">, </w:t>
      </w:r>
      <w:r w:rsidRPr="00523432">
        <w:t>Regulation (EU) 2019/516 of the European Parliament and of the Council</w:t>
      </w:r>
      <w:r w:rsidRPr="00523432" w:rsidR="00E838A0">
        <w:rPr>
          <w:rStyle w:val="FootnoteReference"/>
          <w:noProof/>
        </w:rPr>
        <w:footnoteReference w:id="22"/>
      </w:r>
      <w:r w:rsidRPr="00523432">
        <w:t>,</w:t>
      </w:r>
      <w:r w:rsidRPr="00523432" w:rsidR="00696E86">
        <w:t xml:space="preserve"> </w:t>
      </w:r>
      <w:r w:rsidRPr="00523432">
        <w:t>Regulation (EU) No 600/2014 of the European Parliament and of the Council</w:t>
      </w:r>
      <w:r w:rsidR="00716BF8">
        <w:rPr>
          <w:rStyle w:val="FootnoteReference"/>
          <w:noProof/>
        </w:rPr>
        <w:footnoteReference w:id="23"/>
      </w:r>
      <w:r w:rsidRPr="007F0817" w:rsidR="00422908">
        <w:rPr>
          <w:rStyle w:val="Added"/>
          <w:noProof/>
        </w:rPr>
        <w:t>,</w:t>
      </w:r>
      <w:r w:rsidRPr="007F0817">
        <w:rPr>
          <w:rStyle w:val="Added"/>
          <w:noProof/>
        </w:rPr>
        <w:t xml:space="preserve"> </w:t>
      </w:r>
      <w:r w:rsidRPr="00422908">
        <w:rPr>
          <w:rStyle w:val="Deleted"/>
          <w:noProof/>
        </w:rPr>
        <w:t>and</w:t>
      </w:r>
      <w:r w:rsidRPr="00696E86">
        <w:rPr>
          <w:rStyle w:val="Added"/>
          <w:b w:val="0"/>
          <w:noProof/>
          <w:u w:val="none"/>
        </w:rPr>
        <w:t xml:space="preserve"> </w:t>
      </w:r>
      <w:r w:rsidRPr="00523432">
        <w:t>Directive 2014/65/EU of the European Parliament and of the Council</w:t>
      </w:r>
      <w:r w:rsidR="00716BF8">
        <w:rPr>
          <w:rStyle w:val="FootnoteReference"/>
          <w:noProof/>
        </w:rPr>
        <w:footnoteReference w:id="24"/>
      </w:r>
      <w:r w:rsidR="00422908">
        <w:rPr>
          <w:rStyle w:val="Deleted"/>
          <w:strike w:val="0"/>
          <w:noProof/>
        </w:rPr>
        <w:t xml:space="preserve"> </w:t>
      </w:r>
      <w:r w:rsidRPr="00523432" w:rsidR="00422908">
        <w:t xml:space="preserve">and </w:t>
      </w:r>
      <w:r w:rsidRPr="00523432">
        <w:t xml:space="preserve">Regulation (EU) </w:t>
      </w:r>
      <w:r w:rsidRPr="00523432" w:rsidR="00EA53E8">
        <w:rPr>
          <w:rStyle w:val="Added"/>
        </w:rPr>
        <w:t>2023/956</w:t>
      </w:r>
      <w:r w:rsidRPr="00523432" w:rsidR="00EA53E8">
        <w:t xml:space="preserve"> </w:t>
      </w:r>
      <w:r w:rsidRPr="00523432">
        <w:t>of the European Parliament and of the Council establishing a carbon border adjustment mechanism</w:t>
      </w:r>
      <w:r w:rsidRPr="00F46A15">
        <w:rPr>
          <w:rStyle w:val="Added"/>
          <w:noProof/>
          <w:vertAlign w:val="superscript"/>
        </w:rPr>
        <w:footnoteReference w:id="25"/>
      </w:r>
      <w:r w:rsidRPr="006E33A8">
        <w:rPr>
          <w:noProof/>
        </w:rPr>
        <w:t>.</w:t>
      </w:r>
    </w:p>
    <w:p w:rsidR="0077599A" w:rsidP="0077599A" w:rsidRDefault="0077599A" w14:paraId="752740C1" w14:textId="77777777">
      <w:pPr>
        <w:rPr>
          <w:noProof/>
        </w:rPr>
      </w:pPr>
      <w:r>
        <w:rPr>
          <w:noProof/>
        </w:rPr>
        <w:t>______________________</w:t>
      </w:r>
    </w:p>
    <w:p w:rsidRPr="005C4F4D" w:rsidR="0077599A" w:rsidP="00716BF8" w:rsidRDefault="0077599A" w14:paraId="33187A8C" w14:textId="66DA4C9C">
      <w:pPr>
        <w:ind w:left="720" w:hanging="720"/>
        <w:rPr>
          <w:noProof/>
        </w:rPr>
      </w:pPr>
      <w:r w:rsidRPr="0050319D">
        <w:rPr>
          <w:noProof/>
        </w:rPr>
        <w:t>(b)</w:t>
      </w:r>
      <w:r w:rsidRPr="0050319D">
        <w:rPr>
          <w:noProof/>
        </w:rPr>
        <w:tab/>
      </w:r>
      <w:r w:rsidRPr="005C4F4D">
        <w:rPr>
          <w:noProof/>
        </w:rPr>
        <w:t xml:space="preserve">the following paragraphs </w:t>
      </w:r>
      <w:r>
        <w:rPr>
          <w:noProof/>
        </w:rPr>
        <w:t>6a, 6b</w:t>
      </w:r>
      <w:r w:rsidRPr="00422908" w:rsidR="00422908">
        <w:rPr>
          <w:rStyle w:val="Added"/>
          <w:noProof/>
        </w:rPr>
        <w:t>,</w:t>
      </w:r>
      <w:r>
        <w:rPr>
          <w:noProof/>
        </w:rPr>
        <w:t xml:space="preserve"> </w:t>
      </w:r>
      <w:r>
        <w:rPr>
          <w:rStyle w:val="Deleted"/>
          <w:noProof/>
        </w:rPr>
        <w:t xml:space="preserve">and </w:t>
      </w:r>
      <w:r>
        <w:rPr>
          <w:noProof/>
        </w:rPr>
        <w:t xml:space="preserve">6c </w:t>
      </w:r>
      <w:r>
        <w:rPr>
          <w:rStyle w:val="Added"/>
          <w:noProof/>
        </w:rPr>
        <w:t>and 6d</w:t>
      </w:r>
      <w:r>
        <w:rPr>
          <w:noProof/>
        </w:rPr>
        <w:t xml:space="preserve"> </w:t>
      </w:r>
      <w:r w:rsidRPr="005C4F4D">
        <w:rPr>
          <w:noProof/>
        </w:rPr>
        <w:t xml:space="preserve">are </w:t>
      </w:r>
      <w:r>
        <w:rPr>
          <w:noProof/>
        </w:rPr>
        <w:t>inserted</w:t>
      </w:r>
      <w:r w:rsidRPr="005C4F4D">
        <w:rPr>
          <w:noProof/>
        </w:rPr>
        <w:t>:</w:t>
      </w:r>
    </w:p>
    <w:p w:rsidRPr="005C4F4D" w:rsidR="0077599A" w:rsidP="0077599A" w:rsidRDefault="0077599A" w14:paraId="4D221BC2" w14:textId="77777777">
      <w:pPr>
        <w:rPr>
          <w:noProof/>
        </w:rPr>
      </w:pPr>
      <w:r w:rsidRPr="005C4F4D">
        <w:rPr>
          <w:noProof/>
        </w:rPr>
        <w:t xml:space="preserve">“6a. Where control and supervision measures concern the own resource based on </w:t>
      </w:r>
      <w:r>
        <w:rPr>
          <w:noProof/>
        </w:rPr>
        <w:t xml:space="preserve">the </w:t>
      </w:r>
      <w:r w:rsidRPr="005C4F4D">
        <w:rPr>
          <w:noProof/>
        </w:rPr>
        <w:t xml:space="preserve">Emissions Trading System referred </w:t>
      </w:r>
      <w:r>
        <w:rPr>
          <w:noProof/>
        </w:rPr>
        <w:t xml:space="preserve">to in </w:t>
      </w:r>
      <w:r w:rsidRPr="005C4F4D">
        <w:rPr>
          <w:noProof/>
        </w:rPr>
        <w:t>Article 2(1)</w:t>
      </w:r>
      <w:r w:rsidRPr="00ED1898">
        <w:rPr>
          <w:noProof/>
        </w:rPr>
        <w:t xml:space="preserve"> </w:t>
      </w:r>
      <w:r>
        <w:rPr>
          <w:noProof/>
        </w:rPr>
        <w:t>point (e),</w:t>
      </w:r>
      <w:r w:rsidRPr="005C4F4D">
        <w:rPr>
          <w:noProof/>
        </w:rPr>
        <w:t xml:space="preserve"> of Decision (EU, Euratom) 2020/2053:</w:t>
      </w:r>
    </w:p>
    <w:p w:rsidRPr="005C4F4D" w:rsidR="0077599A" w:rsidP="0077599A" w:rsidRDefault="0077599A" w14:paraId="308FC595" w14:textId="205851BF">
      <w:pPr>
        <w:pStyle w:val="Point1"/>
        <w:rPr>
          <w:noProof/>
        </w:rPr>
      </w:pPr>
      <w:r w:rsidRPr="0050319D">
        <w:rPr>
          <w:noProof/>
        </w:rPr>
        <w:t>(a)</w:t>
      </w:r>
      <w:r w:rsidRPr="0050319D">
        <w:rPr>
          <w:noProof/>
        </w:rPr>
        <w:tab/>
      </w:r>
      <w:r w:rsidRPr="008141B9">
        <w:rPr>
          <w:noProof/>
        </w:rPr>
        <w:t xml:space="preserve">the Commission shall have access to </w:t>
      </w:r>
      <w:r w:rsidRPr="008141B9">
        <w:rPr>
          <w:bCs/>
          <w:noProof/>
        </w:rPr>
        <w:t>all</w:t>
      </w:r>
      <w:r w:rsidRPr="008141B9">
        <w:rPr>
          <w:noProof/>
        </w:rPr>
        <w:t xml:space="preserve"> data of the auctioning process </w:t>
      </w:r>
      <w:r w:rsidRPr="008141B9">
        <w:rPr>
          <w:bCs/>
          <w:noProof/>
        </w:rPr>
        <w:t>required to calculate the Emission Trading System based own resource, including the data</w:t>
      </w:r>
      <w:r w:rsidRPr="008141B9">
        <w:rPr>
          <w:noProof/>
        </w:rPr>
        <w:t xml:space="preserve"> </w:t>
      </w:r>
      <w:r w:rsidRPr="005C4F4D">
        <w:rPr>
          <w:noProof/>
        </w:rPr>
        <w:t>referred to the Commission Regulation (EU) No 1031/</w:t>
      </w:r>
      <w:r>
        <w:rPr>
          <w:noProof/>
        </w:rPr>
        <w:t>2010</w:t>
      </w:r>
      <w:r w:rsidR="00184907">
        <w:rPr>
          <w:rStyle w:val="FootnoteReference"/>
          <w:noProof/>
        </w:rPr>
        <w:footnoteReference w:id="26"/>
      </w:r>
      <w:r>
        <w:rPr>
          <w:noProof/>
        </w:rPr>
        <w:t>;</w:t>
      </w:r>
    </w:p>
    <w:p w:rsidRPr="005C4F4D" w:rsidR="0077599A" w:rsidP="0077599A" w:rsidRDefault="0077599A" w14:paraId="169BB262" w14:textId="77777777">
      <w:pPr>
        <w:pStyle w:val="Point1"/>
        <w:rPr>
          <w:noProof/>
        </w:rPr>
      </w:pPr>
      <w:r w:rsidRPr="0050319D">
        <w:rPr>
          <w:noProof/>
        </w:rPr>
        <w:t>(b)</w:t>
      </w:r>
      <w:r w:rsidRPr="0050319D">
        <w:rPr>
          <w:noProof/>
        </w:rPr>
        <w:tab/>
      </w:r>
      <w:r w:rsidRPr="005C4F4D">
        <w:rPr>
          <w:noProof/>
        </w:rPr>
        <w:t>the Commission shall have access to the documentation related to the annual amount of allowances, in respect of which the relevant Member State makes use of any of the following</w:t>
      </w:r>
      <w:r>
        <w:rPr>
          <w:noProof/>
        </w:rPr>
        <w:t xml:space="preserve"> options, </w:t>
      </w:r>
      <w:r>
        <w:rPr>
          <w:noProof/>
          <w:color w:val="000000"/>
          <w:shd w:val="clear" w:color="auto" w:fill="FFFFFF"/>
        </w:rPr>
        <w:t>with the average weighted price of allowances auctioned on the common auction platform in the year in which those allowances would have been auctioned</w:t>
      </w:r>
      <w:r w:rsidRPr="005C4F4D">
        <w:rPr>
          <w:noProof/>
        </w:rPr>
        <w:t>:</w:t>
      </w:r>
    </w:p>
    <w:p w:rsidR="0077599A" w:rsidP="00A02D8A" w:rsidRDefault="0077599A" w14:paraId="6E17177D" w14:textId="5C162CCE">
      <w:pPr>
        <w:pStyle w:val="Tiret2"/>
        <w:numPr>
          <w:ilvl w:val="0"/>
          <w:numId w:val="9"/>
        </w:numPr>
        <w:rPr>
          <w:noProof/>
        </w:rPr>
      </w:pPr>
      <w:r>
        <w:rPr>
          <w:noProof/>
          <w:bdr w:val="none" w:color="auto" w:sz="0" w:space="0" w:frame="1"/>
        </w:rPr>
        <w:t>for transitional free allocation referred to in Article 10c of Directive 2003/87/EC</w:t>
      </w:r>
      <w:r>
        <w:rPr>
          <w:noProof/>
        </w:rPr>
        <w:t xml:space="preserve"> </w:t>
      </w:r>
      <w:r w:rsidRPr="002C6A34">
        <w:rPr>
          <w:noProof/>
        </w:rPr>
        <w:t>of the Europea</w:t>
      </w:r>
      <w:r>
        <w:rPr>
          <w:noProof/>
        </w:rPr>
        <w:t>n Parliament and of the Council</w:t>
      </w:r>
      <w:r w:rsidR="00FC2964">
        <w:rPr>
          <w:rStyle w:val="FootnoteReference"/>
          <w:noProof/>
        </w:rPr>
        <w:footnoteReference w:id="27"/>
      </w:r>
      <w:r>
        <w:rPr>
          <w:noProof/>
          <w:bdr w:val="none" w:color="auto" w:sz="0" w:space="0" w:frame="1"/>
        </w:rPr>
        <w:t>;</w:t>
      </w:r>
    </w:p>
    <w:p w:rsidR="0077599A" w:rsidP="00C72448" w:rsidRDefault="0077599A" w14:paraId="06ED17F7" w14:textId="48B52F94">
      <w:pPr>
        <w:pStyle w:val="Tiret2"/>
        <w:rPr>
          <w:noProof/>
        </w:rPr>
      </w:pPr>
      <w:r>
        <w:rPr>
          <w:noProof/>
          <w:bdr w:val="none" w:color="auto" w:sz="0" w:space="0" w:frame="1"/>
        </w:rPr>
        <w:t>the possibility of limited cancellation referred to in Article 6(1) of Regulation (EU) 2018/842 of the European Parliament and of the Council</w:t>
      </w:r>
      <w:r w:rsidR="00804628">
        <w:rPr>
          <w:rStyle w:val="FootnoteReference"/>
          <w:noProof/>
          <w:bdr w:val="none" w:color="auto" w:sz="0" w:space="0" w:frame="1"/>
        </w:rPr>
        <w:footnoteReference w:id="28"/>
      </w:r>
      <w:r>
        <w:rPr>
          <w:noProof/>
          <w:bdr w:val="none" w:color="auto" w:sz="0" w:space="0" w:frame="1"/>
        </w:rPr>
        <w:t>;</w:t>
      </w:r>
    </w:p>
    <w:p w:rsidR="0077599A" w:rsidP="00C72448" w:rsidRDefault="0077599A" w14:paraId="50BD1474" w14:textId="77777777">
      <w:pPr>
        <w:pStyle w:val="Tiret2"/>
        <w:rPr>
          <w:noProof/>
        </w:rPr>
      </w:pPr>
      <w:r>
        <w:rPr>
          <w:noProof/>
          <w:bdr w:val="none" w:color="auto" w:sz="0" w:space="0" w:frame="1"/>
        </w:rPr>
        <w:t>the use of allowances referred to in Article 10d(4) of Directive 2003/87/EC to auctioning for the Modernisation Fund referred to in Article 10d(3) of that Directive.</w:t>
      </w:r>
    </w:p>
    <w:p w:rsidRPr="005C4F4D" w:rsidR="0077599A" w:rsidP="0077599A" w:rsidRDefault="0077599A" w14:paraId="00C6890D" w14:textId="77777777">
      <w:pPr>
        <w:pStyle w:val="Point1"/>
        <w:rPr>
          <w:noProof/>
        </w:rPr>
      </w:pPr>
      <w:r w:rsidRPr="0050319D">
        <w:rPr>
          <w:noProof/>
        </w:rPr>
        <w:t>(c)</w:t>
      </w:r>
      <w:r w:rsidRPr="0050319D">
        <w:rPr>
          <w:noProof/>
        </w:rPr>
        <w:tab/>
      </w:r>
      <w:r w:rsidRPr="00DA13C1">
        <w:rPr>
          <w:noProof/>
        </w:rPr>
        <w:t>the Commission may itself carry out on-the-spot inspections. Member States shall facilitate those inspections</w:t>
      </w:r>
      <w:r>
        <w:rPr>
          <w:noProof/>
        </w:rPr>
        <w:t>.</w:t>
      </w:r>
    </w:p>
    <w:p w:rsidRPr="005C4F4D" w:rsidR="0077599A" w:rsidP="0077599A" w:rsidRDefault="0077599A" w14:paraId="5B846235" w14:textId="77777777">
      <w:pPr>
        <w:rPr>
          <w:noProof/>
        </w:rPr>
      </w:pPr>
      <w:r w:rsidRPr="005C4F4D">
        <w:rPr>
          <w:noProof/>
        </w:rPr>
        <w:t>As a review measure, the Commission shall make sure that the calculations referred to in Article 2(1)</w:t>
      </w:r>
      <w:r>
        <w:rPr>
          <w:noProof/>
        </w:rPr>
        <w:t>,</w:t>
      </w:r>
      <w:r w:rsidRPr="005C4F4D">
        <w:rPr>
          <w:noProof/>
        </w:rPr>
        <w:t xml:space="preserve"> point (e) of Decision (EU, Euratom) 2020/2053 </w:t>
      </w:r>
      <w:r>
        <w:rPr>
          <w:noProof/>
        </w:rPr>
        <w:t>are</w:t>
      </w:r>
      <w:r w:rsidRPr="005C4F4D">
        <w:rPr>
          <w:noProof/>
        </w:rPr>
        <w:t xml:space="preserve"> based on correct data. Th</w:t>
      </w:r>
      <w:r>
        <w:rPr>
          <w:noProof/>
        </w:rPr>
        <w:t>at</w:t>
      </w:r>
      <w:r w:rsidRPr="005C4F4D">
        <w:rPr>
          <w:noProof/>
        </w:rPr>
        <w:t xml:space="preserve"> shall include a check of compliance of the underlying data with Regulation (EU) No 1031/2010.</w:t>
      </w:r>
    </w:p>
    <w:p w:rsidRPr="005C4F4D" w:rsidR="0077599A" w:rsidP="0077599A" w:rsidRDefault="0077599A" w14:paraId="00B864B9" w14:textId="77777777">
      <w:pPr>
        <w:rPr>
          <w:noProof/>
        </w:rPr>
      </w:pPr>
      <w:r w:rsidRPr="005C4F4D">
        <w:rPr>
          <w:noProof/>
        </w:rPr>
        <w:t>6b. Where control and supervision measures con</w:t>
      </w:r>
      <w:r>
        <w:rPr>
          <w:noProof/>
        </w:rPr>
        <w:t>cern the own resource based on Carbon Border Adjustment M</w:t>
      </w:r>
      <w:r w:rsidRPr="005C4F4D">
        <w:rPr>
          <w:noProof/>
        </w:rPr>
        <w:t xml:space="preserve">echanism referred to </w:t>
      </w:r>
      <w:r>
        <w:rPr>
          <w:noProof/>
        </w:rPr>
        <w:t>in</w:t>
      </w:r>
      <w:r w:rsidRPr="005C4F4D">
        <w:rPr>
          <w:noProof/>
        </w:rPr>
        <w:t xml:space="preserve"> Article 2(1)</w:t>
      </w:r>
      <w:r>
        <w:rPr>
          <w:noProof/>
        </w:rPr>
        <w:t xml:space="preserve">, </w:t>
      </w:r>
      <w:r w:rsidRPr="005C4F4D">
        <w:rPr>
          <w:noProof/>
        </w:rPr>
        <w:t>point (f)</w:t>
      </w:r>
      <w:r>
        <w:rPr>
          <w:noProof/>
        </w:rPr>
        <w:t>,</w:t>
      </w:r>
      <w:r w:rsidRPr="005C4F4D">
        <w:rPr>
          <w:noProof/>
        </w:rPr>
        <w:t xml:space="preserve"> of D</w:t>
      </w:r>
      <w:r>
        <w:rPr>
          <w:noProof/>
        </w:rPr>
        <w:t>ecision (EU, Euratom) 2020/2053:</w:t>
      </w:r>
    </w:p>
    <w:p w:rsidRPr="005C4F4D" w:rsidR="0077599A" w:rsidP="0077599A" w:rsidRDefault="0077599A" w14:paraId="3CFCC780" w14:textId="797C7123">
      <w:pPr>
        <w:pStyle w:val="Point1"/>
        <w:rPr>
          <w:noProof/>
        </w:rPr>
      </w:pPr>
      <w:r w:rsidRPr="0050319D">
        <w:rPr>
          <w:noProof/>
        </w:rPr>
        <w:t>(a)</w:t>
      </w:r>
      <w:r w:rsidRPr="0050319D">
        <w:rPr>
          <w:noProof/>
        </w:rPr>
        <w:tab/>
      </w:r>
      <w:r w:rsidRPr="005C4F4D">
        <w:rPr>
          <w:noProof/>
        </w:rPr>
        <w:t>Member States shall conduct the checks and enquiries concerning the calculation and the making available of the own resource</w:t>
      </w:r>
      <w:r w:rsidRPr="00F65DBE">
        <w:rPr>
          <w:noProof/>
        </w:rPr>
        <w:t xml:space="preserve"> </w:t>
      </w:r>
      <w:r>
        <w:rPr>
          <w:noProof/>
        </w:rPr>
        <w:t>in accordance with Regulation (EU) [XXX] of the European Parliament and of the Council</w:t>
      </w:r>
      <w:r w:rsidR="005737ED">
        <w:rPr>
          <w:rStyle w:val="FootnoteReference"/>
          <w:noProof/>
        </w:rPr>
        <w:footnoteReference w:id="29"/>
      </w:r>
      <w:r w:rsidRPr="005C4F4D">
        <w:rPr>
          <w:noProof/>
        </w:rPr>
        <w:t>;</w:t>
      </w:r>
    </w:p>
    <w:p w:rsidRPr="001F7CBF" w:rsidR="0077599A" w:rsidP="0077599A" w:rsidRDefault="0077599A" w14:paraId="487E5F7A" w14:textId="77777777">
      <w:pPr>
        <w:pStyle w:val="Point1"/>
        <w:rPr>
          <w:rStyle w:val="Deleted"/>
          <w:noProof/>
        </w:rPr>
      </w:pPr>
      <w:r>
        <w:rPr>
          <w:rStyle w:val="Deleted"/>
          <w:noProof/>
        </w:rPr>
        <w:t>(b)</w:t>
      </w:r>
      <w:r>
        <w:rPr>
          <w:rStyle w:val="Deleted"/>
          <w:noProof/>
        </w:rPr>
        <w:tab/>
        <w:t>the Commission may itself carry out on-the-spot inspections. The agents authorised by the Commission for the purpose of such inspections shall have access to documents as set out for the reviews referred to in paragraph 6a, point (b). Member States shall facilitate those inspections;</w:t>
      </w:r>
    </w:p>
    <w:p w:rsidR="0077599A" w:rsidP="0077599A" w:rsidRDefault="0077599A" w14:paraId="3321B8CB" w14:textId="77777777">
      <w:pPr>
        <w:rPr>
          <w:noProof/>
        </w:rPr>
      </w:pPr>
      <w:r w:rsidRPr="005C4F4D">
        <w:rPr>
          <w:noProof/>
        </w:rPr>
        <w:t xml:space="preserve">The Commission shall have access, in so far as the application of  Regulation </w:t>
      </w:r>
      <w:r w:rsidR="00EA53E8">
        <w:rPr>
          <w:noProof/>
        </w:rPr>
        <w:t xml:space="preserve">(EU) </w:t>
      </w:r>
      <w:r w:rsidRPr="004757E7" w:rsidR="00EA53E8">
        <w:rPr>
          <w:noProof/>
        </w:rPr>
        <w:t xml:space="preserve">2023/956 </w:t>
      </w:r>
      <w:r w:rsidRPr="005C4F4D">
        <w:rPr>
          <w:noProof/>
        </w:rPr>
        <w:t>of the European Parliament and</w:t>
      </w:r>
      <w:r>
        <w:rPr>
          <w:noProof/>
        </w:rPr>
        <w:t xml:space="preserve"> of the Council establishing a Carbon Border Adjustment M</w:t>
      </w:r>
      <w:r w:rsidRPr="005C4F4D">
        <w:rPr>
          <w:noProof/>
        </w:rPr>
        <w:t xml:space="preserve">echanism so requires, to the supporting documents concerning the making </w:t>
      </w:r>
      <w:r>
        <w:rPr>
          <w:noProof/>
        </w:rPr>
        <w:t>available of the own resources.</w:t>
      </w:r>
    </w:p>
    <w:p w:rsidRPr="00523432" w:rsidR="00BA0A54" w:rsidP="00BA0A54" w:rsidRDefault="00BA0A54" w14:paraId="2FBB05AF" w14:textId="77777777">
      <w:pPr>
        <w:rPr>
          <w:rStyle w:val="Deleted"/>
        </w:rPr>
      </w:pPr>
      <w:r w:rsidRPr="00523432">
        <w:rPr>
          <w:rStyle w:val="Deleted"/>
        </w:rPr>
        <w:t xml:space="preserve">During the inspection referred to in the first subparagraph, point (b), of this paragraph, the Commission shall make sure in particular, that the processes and controls put in place by the Member States to verify, and aggregate the amounts are adequate and compliant with Regulation [XXX] of the European Parliament and of the Council establishing a carbon border adjustment mechanism. </w:t>
      </w:r>
    </w:p>
    <w:p w:rsidRPr="00523432" w:rsidR="0077599A" w:rsidP="0077599A" w:rsidRDefault="0077599A" w14:paraId="34D5DE6C" w14:textId="77777777">
      <w:pPr>
        <w:rPr>
          <w:strike/>
        </w:rPr>
      </w:pPr>
      <w:r w:rsidRPr="00523432">
        <w:t>The Commission shall make sure that the calculations made to determine the amount of the own resource referred to in Article 2(1), point (f) of Decision (EU, Euratom) 2020/2053 were made correctly. That shall include a check of compliance of the underlying data with Regulation</w:t>
      </w:r>
      <w:r w:rsidRPr="00523432" w:rsidR="00422908">
        <w:t xml:space="preserve"> </w:t>
      </w:r>
      <w:r w:rsidR="00422908">
        <w:rPr>
          <w:noProof/>
        </w:rPr>
        <w:t xml:space="preserve">(EU) </w:t>
      </w:r>
      <w:r w:rsidRPr="004757E7" w:rsidR="00422908">
        <w:rPr>
          <w:noProof/>
        </w:rPr>
        <w:t>2023/956</w:t>
      </w:r>
      <w:r w:rsidRPr="00523432">
        <w:t xml:space="preserve"> of the European Parliament and of the Council establishing a carbon border adjustment mechanism</w:t>
      </w:r>
      <w:r w:rsidRPr="00542EF2">
        <w:t>.</w:t>
      </w:r>
    </w:p>
    <w:p w:rsidRPr="005C4F4D" w:rsidR="0077599A" w:rsidP="0077599A" w:rsidRDefault="0077599A" w14:paraId="0BC29287" w14:textId="77777777">
      <w:pPr>
        <w:rPr>
          <w:noProof/>
        </w:rPr>
      </w:pPr>
      <w:r w:rsidRPr="005C4F4D">
        <w:rPr>
          <w:noProof/>
        </w:rPr>
        <w:t xml:space="preserve">6c. Where control and supervision measures concern the own resource </w:t>
      </w:r>
      <w:r>
        <w:rPr>
          <w:noProof/>
        </w:rPr>
        <w:t xml:space="preserve">based on the </w:t>
      </w:r>
      <w:r w:rsidRPr="00DD3EED">
        <w:rPr>
          <w:noProof/>
        </w:rPr>
        <w:t>share of residual profit of multinational enterprises reallocated to Member States</w:t>
      </w:r>
      <w:r>
        <w:rPr>
          <w:noProof/>
        </w:rPr>
        <w:t xml:space="preserve"> </w:t>
      </w:r>
      <w:r w:rsidRPr="005C4F4D">
        <w:rPr>
          <w:noProof/>
        </w:rPr>
        <w:t>referred to in Article 2(1)</w:t>
      </w:r>
      <w:r>
        <w:rPr>
          <w:noProof/>
        </w:rPr>
        <w:t>,</w:t>
      </w:r>
      <w:r w:rsidRPr="005C4F4D">
        <w:rPr>
          <w:noProof/>
        </w:rPr>
        <w:t xml:space="preserve"> point (g)</w:t>
      </w:r>
      <w:r>
        <w:rPr>
          <w:noProof/>
        </w:rPr>
        <w:t>,</w:t>
      </w:r>
      <w:r w:rsidRPr="005C4F4D">
        <w:rPr>
          <w:noProof/>
        </w:rPr>
        <w:t xml:space="preserve"> of Decision (EU, Euratom) 2020/2053:</w:t>
      </w:r>
    </w:p>
    <w:p w:rsidRPr="005C4F4D" w:rsidR="0077599A" w:rsidP="0077599A" w:rsidRDefault="0077599A" w14:paraId="427C0ED9" w14:textId="77777777">
      <w:pPr>
        <w:pStyle w:val="Point1"/>
        <w:rPr>
          <w:noProof/>
        </w:rPr>
      </w:pPr>
      <w:r w:rsidRPr="0050319D">
        <w:rPr>
          <w:noProof/>
        </w:rPr>
        <w:t>(a)</w:t>
      </w:r>
      <w:r w:rsidRPr="0050319D">
        <w:rPr>
          <w:noProof/>
        </w:rPr>
        <w:tab/>
      </w:r>
      <w:r>
        <w:rPr>
          <w:noProof/>
        </w:rPr>
        <w:t>t</w:t>
      </w:r>
      <w:r w:rsidRPr="005C4F4D">
        <w:rPr>
          <w:noProof/>
        </w:rPr>
        <w:t>he Commission shall have access to the supporting documentation used by the Member States concerning the establishment and the making available of the own resource</w:t>
      </w:r>
      <w:r>
        <w:rPr>
          <w:noProof/>
        </w:rPr>
        <w:t>;</w:t>
      </w:r>
      <w:r w:rsidRPr="005C4F4D">
        <w:rPr>
          <w:noProof/>
        </w:rPr>
        <w:t xml:space="preserve"> </w:t>
      </w:r>
    </w:p>
    <w:p w:rsidR="0077599A" w:rsidP="0077599A" w:rsidRDefault="0077599A" w14:paraId="2C527173" w14:textId="77777777">
      <w:pPr>
        <w:pStyle w:val="Point1"/>
        <w:rPr>
          <w:noProof/>
        </w:rPr>
      </w:pPr>
      <w:r w:rsidRPr="0050319D">
        <w:rPr>
          <w:noProof/>
        </w:rPr>
        <w:t>(b)</w:t>
      </w:r>
      <w:r w:rsidRPr="0050319D">
        <w:rPr>
          <w:noProof/>
        </w:rPr>
        <w:tab/>
      </w:r>
      <w:r>
        <w:rPr>
          <w:noProof/>
        </w:rPr>
        <w:t>t</w:t>
      </w:r>
      <w:r w:rsidRPr="005C4F4D">
        <w:rPr>
          <w:noProof/>
        </w:rPr>
        <w:t xml:space="preserve">he Commission’s verifications shall be carried out together with the competent authorities of the Member State concerned. </w:t>
      </w:r>
    </w:p>
    <w:p w:rsidR="0077599A" w:rsidP="0077599A" w:rsidRDefault="0077599A" w14:paraId="71D721B7" w14:textId="77777777">
      <w:pPr>
        <w:rPr>
          <w:noProof/>
        </w:rPr>
      </w:pPr>
      <w:r w:rsidRPr="005C4F4D">
        <w:rPr>
          <w:noProof/>
        </w:rPr>
        <w:t>During those verifications</w:t>
      </w:r>
      <w:r>
        <w:rPr>
          <w:noProof/>
        </w:rPr>
        <w:t>,</w:t>
      </w:r>
      <w:r w:rsidRPr="005C4F4D">
        <w:rPr>
          <w:noProof/>
        </w:rPr>
        <w:t xml:space="preserve"> the Commission shall make sure that the calculations </w:t>
      </w:r>
      <w:r>
        <w:rPr>
          <w:noProof/>
        </w:rPr>
        <w:t xml:space="preserve">for the own resource </w:t>
      </w:r>
      <w:r w:rsidRPr="005C4F4D">
        <w:rPr>
          <w:noProof/>
        </w:rPr>
        <w:t>referred to in Article 2(1)</w:t>
      </w:r>
      <w:r>
        <w:rPr>
          <w:noProof/>
        </w:rPr>
        <w:t>,</w:t>
      </w:r>
      <w:r w:rsidRPr="005C4F4D">
        <w:rPr>
          <w:noProof/>
        </w:rPr>
        <w:t xml:space="preserve"> point (g) of Decision (EU, Euratom) 2020/2053 were performed correctly. Th</w:t>
      </w:r>
      <w:r>
        <w:rPr>
          <w:noProof/>
        </w:rPr>
        <w:t>at</w:t>
      </w:r>
      <w:r w:rsidRPr="005C4F4D">
        <w:rPr>
          <w:noProof/>
        </w:rPr>
        <w:t xml:space="preserve"> shall include a check of compliance of the underlying data with the </w:t>
      </w:r>
      <w:r>
        <w:rPr>
          <w:noProof/>
        </w:rPr>
        <w:t>re</w:t>
      </w:r>
      <w:r w:rsidRPr="005C4F4D">
        <w:rPr>
          <w:noProof/>
        </w:rPr>
        <w:t>allocation of a share of residual profit of multinational enterprises allocated to Member States</w:t>
      </w:r>
      <w:r>
        <w:rPr>
          <w:noProof/>
        </w:rPr>
        <w:t>.</w:t>
      </w:r>
    </w:p>
    <w:p w:rsidRPr="00164BA7" w:rsidR="009E5710" w:rsidP="0077599A" w:rsidRDefault="0077599A" w14:paraId="65355A9F" w14:textId="77777777">
      <w:pPr>
        <w:pStyle w:val="Point1"/>
        <w:ind w:left="0" w:firstLine="0"/>
        <w:rPr>
          <w:noProof/>
          <w:color w:val="333333"/>
          <w:szCs w:val="24"/>
          <w:lang w:eastAsia="en-GB"/>
        </w:rPr>
      </w:pPr>
      <w:r w:rsidRPr="009E5710">
        <w:rPr>
          <w:rStyle w:val="Added"/>
          <w:noProof/>
          <w:szCs w:val="24"/>
        </w:rPr>
        <w:t>6d</w:t>
      </w:r>
      <w:r w:rsidRPr="009E5710" w:rsidR="005A6911">
        <w:rPr>
          <w:rStyle w:val="Added"/>
          <w:noProof/>
          <w:szCs w:val="24"/>
        </w:rPr>
        <w:t>.</w:t>
      </w:r>
      <w:r w:rsidRPr="009E5710">
        <w:rPr>
          <w:rStyle w:val="Added"/>
          <w:noProof/>
          <w:szCs w:val="24"/>
        </w:rPr>
        <w:t xml:space="preserve"> Where </w:t>
      </w:r>
      <w:r w:rsidR="005661A0">
        <w:rPr>
          <w:rStyle w:val="Added"/>
          <w:noProof/>
          <w:szCs w:val="24"/>
        </w:rPr>
        <w:t xml:space="preserve">the control and </w:t>
      </w:r>
      <w:r w:rsidRPr="009E5710">
        <w:rPr>
          <w:rStyle w:val="Added"/>
          <w:noProof/>
          <w:szCs w:val="24"/>
        </w:rPr>
        <w:t xml:space="preserve">supervision measures concern the own resource based on the </w:t>
      </w:r>
      <w:r w:rsidR="003807EB">
        <w:rPr>
          <w:rStyle w:val="Added"/>
          <w:noProof/>
          <w:szCs w:val="24"/>
        </w:rPr>
        <w:t>gross operating surplus</w:t>
      </w:r>
      <w:r w:rsidRPr="009E5710">
        <w:rPr>
          <w:rStyle w:val="Added"/>
          <w:noProof/>
          <w:szCs w:val="24"/>
        </w:rPr>
        <w:t xml:space="preserve"> for the sectors of non-financial corporations and financial corporations referred to in Article 2(1), point (h), of Decision (EU, Euratom) 2020/2053 </w:t>
      </w:r>
      <w:r w:rsidR="00B30715">
        <w:rPr>
          <w:noProof/>
          <w:color w:val="333333"/>
          <w:szCs w:val="24"/>
          <w:lang w:eastAsia="en-GB"/>
        </w:rPr>
        <w:t>:</w:t>
      </w:r>
    </w:p>
    <w:p w:rsidR="00B30715" w:rsidP="00EA3B70" w:rsidRDefault="00EA3B70" w14:paraId="4AE26A64" w14:textId="574F340C">
      <w:pPr>
        <w:pStyle w:val="Point1"/>
        <w:rPr>
          <w:rStyle w:val="Added"/>
          <w:noProof/>
          <w:szCs w:val="24"/>
        </w:rPr>
      </w:pPr>
      <w:r w:rsidRPr="00EA3B70">
        <w:rPr>
          <w:rStyle w:val="Added"/>
          <w:noProof/>
        </w:rPr>
        <w:t>(a)</w:t>
      </w:r>
      <w:r w:rsidRPr="00EA3B70">
        <w:rPr>
          <w:rStyle w:val="Added"/>
          <w:noProof/>
        </w:rPr>
        <w:tab/>
      </w:r>
      <w:r w:rsidR="00E25022">
        <w:rPr>
          <w:rStyle w:val="Added"/>
          <w:noProof/>
          <w:szCs w:val="24"/>
        </w:rPr>
        <w:t>b</w:t>
      </w:r>
      <w:r w:rsidR="000B187E">
        <w:rPr>
          <w:rStyle w:val="Added"/>
          <w:noProof/>
          <w:szCs w:val="24"/>
        </w:rPr>
        <w:t xml:space="preserve">efore 1 October each year, Member States shall </w:t>
      </w:r>
      <w:r w:rsidR="00E25022">
        <w:rPr>
          <w:rStyle w:val="Added"/>
          <w:noProof/>
          <w:szCs w:val="24"/>
        </w:rPr>
        <w:t>provide</w:t>
      </w:r>
      <w:r w:rsidR="000B187E">
        <w:rPr>
          <w:rStyle w:val="Added"/>
          <w:noProof/>
          <w:szCs w:val="24"/>
        </w:rPr>
        <w:t xml:space="preserve"> the Commission (Eu</w:t>
      </w:r>
      <w:r w:rsidR="00C659E6">
        <w:rPr>
          <w:rStyle w:val="Added"/>
          <w:noProof/>
          <w:szCs w:val="24"/>
        </w:rPr>
        <w:t>r</w:t>
      </w:r>
      <w:r w:rsidR="000B187E">
        <w:rPr>
          <w:rStyle w:val="Added"/>
          <w:noProof/>
          <w:szCs w:val="24"/>
        </w:rPr>
        <w:t xml:space="preserve">ostat) with </w:t>
      </w:r>
      <w:r w:rsidR="00001008">
        <w:rPr>
          <w:rStyle w:val="Added"/>
          <w:noProof/>
          <w:szCs w:val="24"/>
        </w:rPr>
        <w:t xml:space="preserve">data </w:t>
      </w:r>
      <w:r w:rsidR="00E25022">
        <w:rPr>
          <w:rStyle w:val="Added"/>
          <w:noProof/>
          <w:szCs w:val="24"/>
        </w:rPr>
        <w:t xml:space="preserve"> for gross operating surplus (B.2g) for the sectors of non-financial corporations (</w:t>
      </w:r>
      <w:r w:rsidR="009D5A03">
        <w:rPr>
          <w:rStyle w:val="Added"/>
          <w:noProof/>
          <w:szCs w:val="24"/>
        </w:rPr>
        <w:t>S.11) and</w:t>
      </w:r>
      <w:r w:rsidR="00E25022">
        <w:rPr>
          <w:rStyle w:val="Added"/>
          <w:noProof/>
          <w:szCs w:val="24"/>
        </w:rPr>
        <w:t xml:space="preserve"> financial corporations (S.12) in accordance with the definitions of the European System of Accounts 2010 (ESA 2010) established by Regulation (EU) N° 549/2013</w:t>
      </w:r>
      <w:r w:rsidR="00A81529">
        <w:rPr>
          <w:rStyle w:val="Added"/>
          <w:noProof/>
          <w:szCs w:val="24"/>
        </w:rPr>
        <w:t xml:space="preserve"> </w:t>
      </w:r>
      <w:r w:rsidRPr="00A81529" w:rsidR="00A81529">
        <w:rPr>
          <w:rStyle w:val="Added"/>
          <w:noProof/>
          <w:szCs w:val="24"/>
        </w:rPr>
        <w:t>and consistent with the GNI data provided in accordance with Art</w:t>
      </w:r>
      <w:r w:rsidR="00F90044">
        <w:rPr>
          <w:rStyle w:val="Added"/>
          <w:noProof/>
          <w:szCs w:val="24"/>
        </w:rPr>
        <w:t>icle</w:t>
      </w:r>
      <w:r w:rsidRPr="00A81529" w:rsidR="00A81529">
        <w:rPr>
          <w:rStyle w:val="Added"/>
          <w:noProof/>
          <w:szCs w:val="24"/>
        </w:rPr>
        <w:t xml:space="preserve"> </w:t>
      </w:r>
      <w:r w:rsidR="00F90044">
        <w:rPr>
          <w:rStyle w:val="Added"/>
          <w:noProof/>
          <w:szCs w:val="24"/>
        </w:rPr>
        <w:t xml:space="preserve">2 </w:t>
      </w:r>
      <w:r w:rsidRPr="00A81529" w:rsidR="00A81529">
        <w:rPr>
          <w:rStyle w:val="Added"/>
          <w:noProof/>
          <w:szCs w:val="24"/>
        </w:rPr>
        <w:t>of the Regulation (EU) 2019/516</w:t>
      </w:r>
      <w:r w:rsidR="00E25022">
        <w:rPr>
          <w:rStyle w:val="Added"/>
          <w:noProof/>
          <w:szCs w:val="24"/>
        </w:rPr>
        <w:t xml:space="preserve">. </w:t>
      </w:r>
      <w:r w:rsidR="00001008">
        <w:rPr>
          <w:rStyle w:val="Added"/>
          <w:noProof/>
          <w:szCs w:val="24"/>
        </w:rPr>
        <w:t xml:space="preserve">This </w:t>
      </w:r>
      <w:r w:rsidR="00E25022">
        <w:rPr>
          <w:rStyle w:val="Added"/>
          <w:noProof/>
          <w:szCs w:val="24"/>
        </w:rPr>
        <w:t xml:space="preserve">data </w:t>
      </w:r>
      <w:r w:rsidR="00001008">
        <w:rPr>
          <w:rStyle w:val="Added"/>
          <w:noProof/>
          <w:szCs w:val="24"/>
        </w:rPr>
        <w:t xml:space="preserve">should cover </w:t>
      </w:r>
      <w:r w:rsidR="00E25022">
        <w:rPr>
          <w:rStyle w:val="Added"/>
          <w:noProof/>
          <w:szCs w:val="24"/>
        </w:rPr>
        <w:t xml:space="preserve">the preceding year and any changes made to previous years. Together with those </w:t>
      </w:r>
      <w:r w:rsidR="00957162">
        <w:rPr>
          <w:rStyle w:val="Added"/>
          <w:noProof/>
          <w:szCs w:val="24"/>
        </w:rPr>
        <w:t>data</w:t>
      </w:r>
      <w:r w:rsidR="00E25022">
        <w:rPr>
          <w:rStyle w:val="Added"/>
          <w:noProof/>
          <w:szCs w:val="24"/>
        </w:rPr>
        <w:t xml:space="preserve">, </w:t>
      </w:r>
      <w:r w:rsidRPr="00871B6B" w:rsidR="00B30715">
        <w:rPr>
          <w:rStyle w:val="Added"/>
          <w:noProof/>
          <w:szCs w:val="24"/>
        </w:rPr>
        <w:t xml:space="preserve">Member </w:t>
      </w:r>
      <w:r w:rsidRPr="00871B6B" w:rsidR="00871B6B">
        <w:rPr>
          <w:rStyle w:val="Added"/>
          <w:noProof/>
          <w:szCs w:val="24"/>
        </w:rPr>
        <w:t xml:space="preserve">States </w:t>
      </w:r>
      <w:r w:rsidRPr="00871B6B" w:rsidR="00B30715">
        <w:rPr>
          <w:rStyle w:val="Added"/>
          <w:noProof/>
          <w:szCs w:val="24"/>
        </w:rPr>
        <w:t xml:space="preserve">shall </w:t>
      </w:r>
      <w:r w:rsidRPr="00871B6B" w:rsidR="00871B6B">
        <w:rPr>
          <w:rStyle w:val="Added"/>
          <w:noProof/>
          <w:szCs w:val="24"/>
        </w:rPr>
        <w:t>provide the Commission (Eurostat)</w:t>
      </w:r>
      <w:r w:rsidR="0083546F">
        <w:rPr>
          <w:rStyle w:val="Added"/>
          <w:noProof/>
          <w:szCs w:val="24"/>
        </w:rPr>
        <w:t xml:space="preserve">, </w:t>
      </w:r>
      <w:r w:rsidR="000A43C6">
        <w:rPr>
          <w:rStyle w:val="Added"/>
          <w:noProof/>
          <w:szCs w:val="24"/>
        </w:rPr>
        <w:t>with a report on quality referred to in Article 3 of the Regulation (EU) 2019/</w:t>
      </w:r>
      <w:r w:rsidR="004137E2">
        <w:rPr>
          <w:rStyle w:val="Added"/>
          <w:noProof/>
          <w:szCs w:val="24"/>
        </w:rPr>
        <w:t>5</w:t>
      </w:r>
      <w:r w:rsidR="000A43C6">
        <w:rPr>
          <w:rStyle w:val="Added"/>
          <w:noProof/>
          <w:szCs w:val="24"/>
        </w:rPr>
        <w:t xml:space="preserve">16. Furthermore, Member States shall provide to the Commission (Eurostat), </w:t>
      </w:r>
      <w:r w:rsidR="0083546F">
        <w:rPr>
          <w:rStyle w:val="Added"/>
          <w:noProof/>
          <w:szCs w:val="24"/>
        </w:rPr>
        <w:t>as part of the GNI inventory</w:t>
      </w:r>
      <w:r w:rsidR="00B15366">
        <w:rPr>
          <w:rStyle w:val="Added"/>
          <w:noProof/>
          <w:szCs w:val="24"/>
        </w:rPr>
        <w:t>,</w:t>
      </w:r>
      <w:r w:rsidRPr="00871B6B" w:rsidR="00871B6B">
        <w:rPr>
          <w:rStyle w:val="Added"/>
          <w:noProof/>
          <w:szCs w:val="24"/>
        </w:rPr>
        <w:t xml:space="preserve"> </w:t>
      </w:r>
      <w:r w:rsidRPr="00871B6B" w:rsidR="00B30715">
        <w:rPr>
          <w:rStyle w:val="Added"/>
          <w:noProof/>
          <w:szCs w:val="24"/>
        </w:rPr>
        <w:t xml:space="preserve">detailed information on the statistical sources and methods used for the compilation of annual sector accounts, with particular focus on the gross operating surplus of the sectors of non-financial and financial corporations. </w:t>
      </w:r>
    </w:p>
    <w:p w:rsidR="00871B6B" w:rsidP="00EA3B70" w:rsidRDefault="00EA3B70" w14:paraId="6B1855FE" w14:textId="028C3162">
      <w:pPr>
        <w:pStyle w:val="Point1"/>
        <w:rPr>
          <w:rStyle w:val="Added"/>
          <w:noProof/>
          <w:szCs w:val="24"/>
        </w:rPr>
      </w:pPr>
      <w:r w:rsidRPr="00EA3B70">
        <w:rPr>
          <w:rStyle w:val="Added"/>
          <w:noProof/>
        </w:rPr>
        <w:t>(b)</w:t>
      </w:r>
      <w:r w:rsidRPr="00EA3B70">
        <w:rPr>
          <w:rStyle w:val="Added"/>
          <w:noProof/>
        </w:rPr>
        <w:tab/>
      </w:r>
      <w:r w:rsidRPr="00001008" w:rsidR="00871B6B">
        <w:rPr>
          <w:rStyle w:val="Added"/>
          <w:noProof/>
          <w:szCs w:val="24"/>
        </w:rPr>
        <w:t>the expert group referred to in Article 4 of the GNI regulation (EU) 2019/516 shall advis</w:t>
      </w:r>
      <w:r w:rsidRPr="00001008" w:rsidR="00575F60">
        <w:rPr>
          <w:rStyle w:val="Added"/>
          <w:noProof/>
          <w:szCs w:val="24"/>
        </w:rPr>
        <w:t>e</w:t>
      </w:r>
      <w:r w:rsidRPr="00001008" w:rsidR="00871B6B">
        <w:rPr>
          <w:rStyle w:val="Added"/>
          <w:noProof/>
          <w:szCs w:val="24"/>
        </w:rPr>
        <w:t xml:space="preserve"> the Commission on the quality and issu</w:t>
      </w:r>
      <w:r w:rsidRPr="00001008" w:rsidR="008B57ED">
        <w:rPr>
          <w:rStyle w:val="Added"/>
          <w:noProof/>
          <w:szCs w:val="24"/>
        </w:rPr>
        <w:t>e</w:t>
      </w:r>
      <w:r w:rsidRPr="00001008" w:rsidR="00871B6B">
        <w:rPr>
          <w:rStyle w:val="Added"/>
          <w:noProof/>
          <w:szCs w:val="24"/>
        </w:rPr>
        <w:t xml:space="preserve"> annual opinion</w:t>
      </w:r>
      <w:r w:rsidRPr="00001008" w:rsidR="001B3287">
        <w:rPr>
          <w:rStyle w:val="Added"/>
          <w:noProof/>
          <w:szCs w:val="24"/>
        </w:rPr>
        <w:t>s</w:t>
      </w:r>
      <w:r w:rsidRPr="00001008" w:rsidR="00A02CF7">
        <w:rPr>
          <w:rStyle w:val="Added"/>
          <w:noProof/>
          <w:szCs w:val="24"/>
        </w:rPr>
        <w:t xml:space="preserve"> </w:t>
      </w:r>
      <w:r w:rsidRPr="00001008" w:rsidR="001B3287">
        <w:rPr>
          <w:rStyle w:val="Added"/>
          <w:noProof/>
          <w:szCs w:val="24"/>
        </w:rPr>
        <w:t>on</w:t>
      </w:r>
      <w:r w:rsidRPr="00001008" w:rsidR="00871B6B">
        <w:rPr>
          <w:rStyle w:val="Added"/>
          <w:noProof/>
          <w:szCs w:val="24"/>
        </w:rPr>
        <w:t xml:space="preserve"> </w:t>
      </w:r>
      <w:r w:rsidRPr="00001008" w:rsidR="001B3287">
        <w:rPr>
          <w:rStyle w:val="Added"/>
          <w:noProof/>
          <w:szCs w:val="24"/>
        </w:rPr>
        <w:t xml:space="preserve">the </w:t>
      </w:r>
      <w:r w:rsidRPr="00001008" w:rsidR="00871B6B">
        <w:rPr>
          <w:rStyle w:val="Added"/>
          <w:noProof/>
          <w:szCs w:val="24"/>
        </w:rPr>
        <w:t>appropriateness of the gross operating surplus of the non-financial and financial sectors for own resources purposes.</w:t>
      </w:r>
    </w:p>
    <w:p w:rsidRPr="00001008" w:rsidR="0077599A" w:rsidP="00EA3B70" w:rsidRDefault="00EA3B70" w14:paraId="1FA7DF0C" w14:textId="6A45604C">
      <w:pPr>
        <w:pStyle w:val="Point1"/>
        <w:rPr>
          <w:rStyle w:val="Added"/>
          <w:noProof/>
          <w:szCs w:val="24"/>
        </w:rPr>
      </w:pPr>
      <w:r w:rsidRPr="00EA3B70">
        <w:rPr>
          <w:rStyle w:val="Added"/>
          <w:noProof/>
        </w:rPr>
        <w:t>(c)</w:t>
      </w:r>
      <w:r w:rsidRPr="00EA3B70">
        <w:rPr>
          <w:rStyle w:val="Added"/>
          <w:noProof/>
        </w:rPr>
        <w:tab/>
      </w:r>
      <w:r w:rsidRPr="00001008" w:rsidR="00B30715">
        <w:rPr>
          <w:rStyle w:val="Added"/>
          <w:noProof/>
          <w:szCs w:val="24"/>
        </w:rPr>
        <w:t>the Commissio</w:t>
      </w:r>
      <w:r w:rsidRPr="00AF4D0C" w:rsidR="00B30715">
        <w:rPr>
          <w:rStyle w:val="Added"/>
          <w:noProof/>
        </w:rPr>
        <w:t>n</w:t>
      </w:r>
      <w:r w:rsidRPr="00AF4D0C" w:rsidR="00784050">
        <w:rPr>
          <w:rStyle w:val="Added"/>
          <w:noProof/>
        </w:rPr>
        <w:t xml:space="preserve"> </w:t>
      </w:r>
      <w:r w:rsidRPr="00AF4D0C" w:rsidR="00B30715">
        <w:rPr>
          <w:rStyle w:val="Added"/>
          <w:noProof/>
        </w:rPr>
        <w:t xml:space="preserve">shall </w:t>
      </w:r>
      <w:r w:rsidRPr="00AF4D0C" w:rsidR="009E5710">
        <w:rPr>
          <w:rStyle w:val="Added"/>
          <w:noProof/>
        </w:rPr>
        <w:t>each year inspect the aggregates provided for errors in compilation, together with the Member State concerned</w:t>
      </w:r>
      <w:r w:rsidRPr="00AF4D0C" w:rsidR="002174BE">
        <w:rPr>
          <w:rStyle w:val="Added"/>
          <w:noProof/>
        </w:rPr>
        <w:t>,</w:t>
      </w:r>
      <w:r w:rsidRPr="00AF4D0C" w:rsidR="009E5710">
        <w:rPr>
          <w:rStyle w:val="Added"/>
          <w:noProof/>
        </w:rPr>
        <w:t xml:space="preserve"> </w:t>
      </w:r>
      <w:r w:rsidRPr="00AF4D0C" w:rsidR="002174BE">
        <w:rPr>
          <w:rStyle w:val="Added"/>
          <w:noProof/>
        </w:rPr>
        <w:t>especially in cases notified by the expert group referred to in Article 4 of Regulation (EU) 2019/516</w:t>
      </w:r>
      <w:r w:rsidRPr="00AF4D0C" w:rsidR="009E5710">
        <w:rPr>
          <w:rStyle w:val="Added"/>
          <w:noProof/>
        </w:rPr>
        <w:t>; in doing so, it may also examine calculations and statistical bases in individual cases, except for information about individual companies or persons, if no proper assessment would otherwise be possible;</w:t>
      </w:r>
    </w:p>
    <w:p w:rsidRPr="009270C8" w:rsidR="0077599A" w:rsidP="0077599A" w:rsidRDefault="0077599A" w14:paraId="66445A11" w14:textId="77777777">
      <w:pPr>
        <w:pStyle w:val="Point0"/>
        <w:rPr>
          <w:noProof/>
        </w:rPr>
      </w:pPr>
      <w:r w:rsidRPr="0050319D">
        <w:rPr>
          <w:noProof/>
        </w:rPr>
        <w:t>(c)</w:t>
      </w:r>
      <w:r w:rsidRPr="0050319D">
        <w:rPr>
          <w:noProof/>
        </w:rPr>
        <w:tab/>
      </w:r>
      <w:r w:rsidRPr="009270C8">
        <w:rPr>
          <w:noProof/>
        </w:rPr>
        <w:t xml:space="preserve">paragraph </w:t>
      </w:r>
      <w:r>
        <w:rPr>
          <w:noProof/>
        </w:rPr>
        <w:t xml:space="preserve">7 </w:t>
      </w:r>
      <w:r w:rsidRPr="00E554BE">
        <w:rPr>
          <w:noProof/>
        </w:rPr>
        <w:t>is replace</w:t>
      </w:r>
      <w:r>
        <w:rPr>
          <w:noProof/>
        </w:rPr>
        <w:t>d</w:t>
      </w:r>
      <w:r w:rsidRPr="00E554BE">
        <w:rPr>
          <w:noProof/>
        </w:rPr>
        <w:t xml:space="preserve"> by the following: </w:t>
      </w:r>
    </w:p>
    <w:p w:rsidRPr="009270C8" w:rsidR="0077599A" w:rsidP="0077599A" w:rsidRDefault="0077599A" w14:paraId="6740377C" w14:textId="77777777">
      <w:pPr>
        <w:rPr>
          <w:noProof/>
        </w:rPr>
      </w:pPr>
      <w:r w:rsidRPr="009270C8">
        <w:rPr>
          <w:noProof/>
        </w:rPr>
        <w:t>“7. The control</w:t>
      </w:r>
      <w:r w:rsidRPr="00F35740">
        <w:rPr>
          <w:rStyle w:val="Added"/>
          <w:b w:val="0"/>
          <w:noProof/>
          <w:u w:val="none"/>
        </w:rPr>
        <w:t>,</w:t>
      </w:r>
      <w:r w:rsidRPr="009270C8">
        <w:rPr>
          <w:noProof/>
        </w:rPr>
        <w:t xml:space="preserve"> supervision</w:t>
      </w:r>
      <w:r w:rsidRPr="00DD5799">
        <w:rPr>
          <w:noProof/>
        </w:rPr>
        <w:t xml:space="preserve"> </w:t>
      </w:r>
      <w:r w:rsidRPr="00F35740">
        <w:rPr>
          <w:rStyle w:val="Added"/>
          <w:b w:val="0"/>
          <w:noProof/>
          <w:u w:val="none"/>
        </w:rPr>
        <w:t>and review measures</w:t>
      </w:r>
      <w:r w:rsidRPr="00DD5799">
        <w:rPr>
          <w:noProof/>
        </w:rPr>
        <w:t xml:space="preserve"> </w:t>
      </w:r>
      <w:r w:rsidRPr="009270C8">
        <w:rPr>
          <w:noProof/>
        </w:rPr>
        <w:t>referred to in this Article shall be without prejudice to the following:</w:t>
      </w:r>
    </w:p>
    <w:p w:rsidRPr="00E554BE" w:rsidR="0077599A" w:rsidP="0077599A" w:rsidRDefault="0077599A" w14:paraId="259D6CCF" w14:textId="77777777">
      <w:pPr>
        <w:pStyle w:val="Point1"/>
        <w:rPr>
          <w:noProof/>
        </w:rPr>
      </w:pPr>
      <w:r w:rsidRPr="0050319D">
        <w:rPr>
          <w:noProof/>
        </w:rPr>
        <w:t>(a)</w:t>
      </w:r>
      <w:r w:rsidRPr="0050319D">
        <w:rPr>
          <w:noProof/>
        </w:rPr>
        <w:tab/>
      </w:r>
      <w:r w:rsidRPr="00132424">
        <w:rPr>
          <w:noProof/>
        </w:rPr>
        <w:t>the inspections carried out by Member States in accordance with their national laws, regulations or administrative provisions;</w:t>
      </w:r>
    </w:p>
    <w:p w:rsidRPr="009270C8" w:rsidR="0077599A" w:rsidP="0077599A" w:rsidRDefault="0077599A" w14:paraId="23641618" w14:textId="77777777">
      <w:pPr>
        <w:pStyle w:val="Point1"/>
        <w:rPr>
          <w:noProof/>
        </w:rPr>
      </w:pPr>
      <w:r w:rsidRPr="0050319D">
        <w:rPr>
          <w:noProof/>
        </w:rPr>
        <w:t>(b)</w:t>
      </w:r>
      <w:r w:rsidRPr="0050319D">
        <w:rPr>
          <w:noProof/>
        </w:rPr>
        <w:tab/>
      </w:r>
      <w:r w:rsidRPr="009270C8">
        <w:rPr>
          <w:noProof/>
        </w:rPr>
        <w:t>the measures provided for in Articles 287 and 319</w:t>
      </w:r>
      <w:r w:rsidRPr="00DD5799">
        <w:rPr>
          <w:noProof/>
        </w:rPr>
        <w:t xml:space="preserve"> </w:t>
      </w:r>
      <w:r w:rsidRPr="009270C8">
        <w:rPr>
          <w:noProof/>
        </w:rPr>
        <w:t>of the Treaty on the Functioning of the European Union (TFEU);</w:t>
      </w:r>
    </w:p>
    <w:p w:rsidRPr="009270C8" w:rsidR="0077599A" w:rsidP="0077599A" w:rsidRDefault="0077599A" w14:paraId="51B068D7" w14:textId="77777777">
      <w:pPr>
        <w:pStyle w:val="Point1"/>
        <w:rPr>
          <w:noProof/>
          <w:szCs w:val="24"/>
        </w:rPr>
      </w:pPr>
      <w:r w:rsidRPr="0050319D">
        <w:rPr>
          <w:noProof/>
        </w:rPr>
        <w:t>(c)</w:t>
      </w:r>
      <w:r w:rsidRPr="0050319D">
        <w:rPr>
          <w:noProof/>
        </w:rPr>
        <w:tab/>
      </w:r>
      <w:r w:rsidRPr="009270C8">
        <w:rPr>
          <w:noProof/>
          <w:szCs w:val="24"/>
        </w:rPr>
        <w:t xml:space="preserve">the measures provided for in Article 325 TFEU and </w:t>
      </w:r>
      <w:r w:rsidRPr="009270C8">
        <w:rPr>
          <w:noProof/>
          <w:color w:val="000000"/>
          <w:shd w:val="clear" w:color="auto" w:fill="FFFFFF"/>
        </w:rPr>
        <w:t>as further specified in relevant Union measures;</w:t>
      </w:r>
    </w:p>
    <w:p w:rsidRPr="009270C8" w:rsidR="0077599A" w:rsidP="0077599A" w:rsidRDefault="0077599A" w14:paraId="77B2DCF0" w14:textId="77777777">
      <w:pPr>
        <w:pStyle w:val="Point1"/>
        <w:rPr>
          <w:noProof/>
        </w:rPr>
      </w:pPr>
      <w:r w:rsidRPr="0050319D">
        <w:rPr>
          <w:noProof/>
        </w:rPr>
        <w:t>(d)</w:t>
      </w:r>
      <w:r w:rsidRPr="0050319D">
        <w:rPr>
          <w:noProof/>
        </w:rPr>
        <w:tab/>
      </w:r>
      <w:r w:rsidRPr="009270C8">
        <w:rPr>
          <w:noProof/>
        </w:rPr>
        <w:t>the inspection arrangements made pursuant to Article 322(1),</w:t>
      </w:r>
      <w:r w:rsidRPr="00132424">
        <w:rPr>
          <w:noProof/>
        </w:rPr>
        <w:t>point (b)</w:t>
      </w:r>
      <w:r>
        <w:rPr>
          <w:noProof/>
        </w:rPr>
        <w:t>,</w:t>
      </w:r>
      <w:r w:rsidRPr="00132424">
        <w:rPr>
          <w:noProof/>
        </w:rPr>
        <w:t xml:space="preserve"> TFEU</w:t>
      </w:r>
      <w:r w:rsidRPr="00E554BE">
        <w:rPr>
          <w:rStyle w:val="Added"/>
          <w:noProof/>
          <w:color w:val="000000" w:themeColor="text1"/>
          <w:szCs w:val="24"/>
        </w:rPr>
        <w:t>;</w:t>
      </w:r>
    </w:p>
    <w:p w:rsidRPr="00542EF2" w:rsidR="0077599A" w:rsidP="0077599A" w:rsidRDefault="0077599A" w14:paraId="23D2E56A" w14:textId="77777777">
      <w:pPr>
        <w:pStyle w:val="Point1"/>
      </w:pPr>
      <w:r w:rsidRPr="00F35740">
        <w:rPr>
          <w:rStyle w:val="Added"/>
          <w:b w:val="0"/>
          <w:noProof/>
          <w:u w:val="none"/>
        </w:rPr>
        <w:t>(e)</w:t>
      </w:r>
      <w:r w:rsidRPr="00F35740">
        <w:rPr>
          <w:rStyle w:val="Added"/>
          <w:b w:val="0"/>
          <w:noProof/>
          <w:u w:val="none"/>
        </w:rPr>
        <w:tab/>
      </w:r>
      <w:r w:rsidRPr="00542EF2">
        <w:t>Articles 53 and 79 of Directive 2014/65/EU;</w:t>
      </w:r>
    </w:p>
    <w:p w:rsidRPr="00542EF2" w:rsidR="0077599A" w:rsidP="0077599A" w:rsidRDefault="0077599A" w14:paraId="6CB7E1A8" w14:textId="77777777">
      <w:pPr>
        <w:pStyle w:val="Point1"/>
      </w:pPr>
      <w:r w:rsidRPr="00542EF2">
        <w:t>(f)</w:t>
      </w:r>
      <w:r w:rsidRPr="00542EF2">
        <w:tab/>
        <w:t>the obligations in Regulation (EU) No 600/2014 with regard to regulatory technical standards on transparency requirements for trading venues and investment firms in respect of bonds, structured finance products, emission allowances and derivatives;</w:t>
      </w:r>
    </w:p>
    <w:p w:rsidRPr="00542EF2" w:rsidR="0077599A" w:rsidP="0077599A" w:rsidRDefault="0077599A" w14:paraId="6558D52D" w14:textId="77777777">
      <w:pPr>
        <w:pStyle w:val="Point1"/>
      </w:pPr>
      <w:r w:rsidRPr="00542EF2">
        <w:t>(g)</w:t>
      </w:r>
      <w:r w:rsidRPr="00542EF2">
        <w:tab/>
        <w:t>Articles 14</w:t>
      </w:r>
      <w:r w:rsidRPr="00542EF2" w:rsidDel="0009228A">
        <w:t xml:space="preserve"> </w:t>
      </w:r>
      <w:r w:rsidRPr="00542EF2">
        <w:t xml:space="preserve">and  15 of Directive 2003/87/EC; </w:t>
      </w:r>
    </w:p>
    <w:p w:rsidRPr="00DD5799" w:rsidR="0077599A" w:rsidP="0077599A" w:rsidRDefault="0077599A" w14:paraId="1BF715F6" w14:textId="36254265">
      <w:pPr>
        <w:pStyle w:val="Point1"/>
        <w:rPr>
          <w:noProof/>
        </w:rPr>
      </w:pPr>
      <w:r w:rsidRPr="0050319D">
        <w:rPr>
          <w:noProof/>
        </w:rPr>
        <w:t>(h)</w:t>
      </w:r>
      <w:r w:rsidRPr="0050319D">
        <w:rPr>
          <w:noProof/>
        </w:rPr>
        <w:tab/>
      </w:r>
      <w:r w:rsidRPr="00DD5799">
        <w:rPr>
          <w:noProof/>
          <w:shd w:val="clear" w:color="auto" w:fill="FFFFFF"/>
        </w:rPr>
        <w:t xml:space="preserve">Regulation </w:t>
      </w:r>
      <w:r>
        <w:rPr>
          <w:noProof/>
          <w:shd w:val="clear" w:color="auto" w:fill="FFFFFF"/>
        </w:rPr>
        <w:t xml:space="preserve">(EU) </w:t>
      </w:r>
      <w:r w:rsidRPr="00DD5799">
        <w:rPr>
          <w:noProof/>
          <w:shd w:val="clear" w:color="auto" w:fill="FFFFFF"/>
        </w:rPr>
        <w:t>No 596/2014 of the European Parliament and of the Council</w:t>
      </w:r>
      <w:r w:rsidR="00A71E1B">
        <w:rPr>
          <w:rStyle w:val="FootnoteReference"/>
          <w:noProof/>
        </w:rPr>
        <w:footnoteReference w:id="30"/>
      </w:r>
      <w:r>
        <w:rPr>
          <w:noProof/>
          <w:shd w:val="clear" w:color="auto" w:fill="FFFFFF"/>
        </w:rPr>
        <w:t>;</w:t>
      </w:r>
      <w:r w:rsidRPr="00DD5799">
        <w:rPr>
          <w:noProof/>
          <w:shd w:val="clear" w:color="auto" w:fill="FFFFFF"/>
        </w:rPr>
        <w:t xml:space="preserve"> </w:t>
      </w:r>
    </w:p>
    <w:p w:rsidRPr="00DD5799" w:rsidR="0077599A" w:rsidP="0077599A" w:rsidRDefault="0077599A" w14:paraId="71124672" w14:textId="2539CFAA">
      <w:pPr>
        <w:pStyle w:val="Point1"/>
        <w:rPr>
          <w:noProof/>
        </w:rPr>
      </w:pPr>
      <w:r w:rsidRPr="0050319D">
        <w:rPr>
          <w:noProof/>
        </w:rPr>
        <w:t>(i)</w:t>
      </w:r>
      <w:r w:rsidRPr="0050319D">
        <w:rPr>
          <w:noProof/>
        </w:rPr>
        <w:tab/>
      </w:r>
      <w:r w:rsidRPr="00AA57AA">
        <w:rPr>
          <w:noProof/>
          <w:shd w:val="clear" w:color="auto" w:fill="FFFFFF"/>
        </w:rPr>
        <w:t>Regulation (EU) No 648/2012 of the European Parliament and of the Council</w:t>
      </w:r>
      <w:r w:rsidR="00A71E1B">
        <w:rPr>
          <w:rStyle w:val="FootnoteReference"/>
          <w:noProof/>
        </w:rPr>
        <w:footnoteReference w:id="31"/>
      </w:r>
      <w:r>
        <w:rPr>
          <w:noProof/>
          <w:shd w:val="clear" w:color="auto" w:fill="FFFFFF"/>
        </w:rPr>
        <w:t>;</w:t>
      </w:r>
      <w:r w:rsidRPr="00AA57AA">
        <w:rPr>
          <w:noProof/>
          <w:shd w:val="clear" w:color="auto" w:fill="FFFFFF"/>
        </w:rPr>
        <w:t xml:space="preserve"> </w:t>
      </w:r>
    </w:p>
    <w:p w:rsidR="0077599A" w:rsidP="0077599A" w:rsidRDefault="0077599A" w14:paraId="65257993" w14:textId="2EC15943">
      <w:pPr>
        <w:pStyle w:val="Point1"/>
        <w:rPr>
          <w:noProof/>
          <w:shd w:val="clear" w:color="auto" w:fill="FFFFFF"/>
        </w:rPr>
      </w:pPr>
      <w:r w:rsidRPr="00F35740">
        <w:rPr>
          <w:rStyle w:val="Added"/>
          <w:b w:val="0"/>
          <w:noProof/>
          <w:u w:val="none"/>
        </w:rPr>
        <w:t>(j)</w:t>
      </w:r>
      <w:r w:rsidRPr="00542EF2">
        <w:tab/>
        <w:t>Regulation (EU) No 909/2014 of the European Parliament and of the Council</w:t>
      </w:r>
      <w:r w:rsidR="002C6AB3">
        <w:rPr>
          <w:rStyle w:val="FootnoteReference"/>
          <w:noProof/>
        </w:rPr>
        <w:footnoteReference w:id="32"/>
      </w:r>
      <w:r>
        <w:rPr>
          <w:rStyle w:val="Added"/>
          <w:noProof/>
        </w:rPr>
        <w:t>;</w:t>
      </w:r>
      <w:r>
        <w:rPr>
          <w:rStyle w:val="Deleted"/>
          <w:noProof/>
        </w:rPr>
        <w:t xml:space="preserve">. </w:t>
      </w:r>
    </w:p>
    <w:p w:rsidRPr="008921B6" w:rsidR="0077599A" w:rsidP="0077599A" w:rsidRDefault="0077599A" w14:paraId="69B5E779" w14:textId="77777777">
      <w:pPr>
        <w:pStyle w:val="Point1"/>
        <w:rPr>
          <w:rStyle w:val="Added"/>
          <w:noProof/>
        </w:rPr>
      </w:pPr>
      <w:r w:rsidRPr="008921B6">
        <w:rPr>
          <w:rStyle w:val="Added"/>
          <w:noProof/>
        </w:rPr>
        <w:t>(k)</w:t>
      </w:r>
      <w:r w:rsidRPr="008921B6">
        <w:rPr>
          <w:rStyle w:val="Added"/>
          <w:noProof/>
        </w:rPr>
        <w:tab/>
        <w:t xml:space="preserve">Regulation (EU) </w:t>
      </w:r>
      <w:r w:rsidRPr="00A76D62" w:rsidR="00001008">
        <w:rPr>
          <w:rStyle w:val="Added"/>
          <w:noProof/>
        </w:rPr>
        <w:t>2023/956</w:t>
      </w:r>
      <w:r w:rsidRPr="00A76D62" w:rsidDel="00A76D62" w:rsidR="00001008">
        <w:rPr>
          <w:rStyle w:val="Added"/>
          <w:noProof/>
        </w:rPr>
        <w:t xml:space="preserve"> </w:t>
      </w:r>
      <w:r w:rsidRPr="008921B6">
        <w:rPr>
          <w:rStyle w:val="Added"/>
          <w:noProof/>
        </w:rPr>
        <w:t xml:space="preserve"> of the European Parliament and of the Council establishing a carbon border adjustment mechanism.</w:t>
      </w:r>
    </w:p>
    <w:p w:rsidRPr="005C4F4D" w:rsidR="0077599A" w:rsidP="0077599A" w:rsidRDefault="0077599A" w14:paraId="2F7F692F" w14:textId="77777777">
      <w:pPr>
        <w:pStyle w:val="Point0"/>
        <w:rPr>
          <w:noProof/>
        </w:rPr>
      </w:pPr>
      <w:r w:rsidRPr="0050319D">
        <w:rPr>
          <w:noProof/>
        </w:rPr>
        <w:t>(d)</w:t>
      </w:r>
      <w:r w:rsidRPr="0050319D">
        <w:rPr>
          <w:noProof/>
        </w:rPr>
        <w:tab/>
      </w:r>
      <w:r>
        <w:rPr>
          <w:noProof/>
        </w:rPr>
        <w:t>p</w:t>
      </w:r>
      <w:r w:rsidRPr="005C4F4D">
        <w:rPr>
          <w:noProof/>
        </w:rPr>
        <w:t xml:space="preserve">aragraph 8 </w:t>
      </w:r>
      <w:r>
        <w:rPr>
          <w:noProof/>
        </w:rPr>
        <w:t>is replaced by the following</w:t>
      </w:r>
      <w:r w:rsidRPr="005C4F4D">
        <w:rPr>
          <w:noProof/>
        </w:rPr>
        <w:t xml:space="preserve">: </w:t>
      </w:r>
    </w:p>
    <w:p w:rsidRPr="00542EF2" w:rsidR="0077599A" w:rsidP="0077599A" w:rsidRDefault="0077599A" w14:paraId="45F2F442" w14:textId="77777777">
      <w:r w:rsidRPr="00542EF2">
        <w:t>“8. For the purposes of the control and supervision measures under paragraphs 3 to 6c, the Commission may request the Member States to send relevant documents or reports relating to the systems used to collect own resources or to make such documents or reports available to the Commission.”;</w:t>
      </w:r>
    </w:p>
    <w:p w:rsidRPr="00F35740" w:rsidR="0077599A" w:rsidP="0077599A" w:rsidRDefault="0077599A" w14:paraId="14916D0F" w14:textId="77777777">
      <w:pPr>
        <w:pStyle w:val="Point0"/>
        <w:rPr>
          <w:rStyle w:val="Added"/>
          <w:b w:val="0"/>
          <w:noProof/>
          <w:u w:val="none"/>
        </w:rPr>
      </w:pPr>
      <w:r w:rsidRPr="00F35740">
        <w:rPr>
          <w:rStyle w:val="Added"/>
          <w:b w:val="0"/>
          <w:noProof/>
          <w:u w:val="none"/>
        </w:rPr>
        <w:t>(2)</w:t>
      </w:r>
      <w:r w:rsidRPr="00F35740">
        <w:rPr>
          <w:rStyle w:val="Added"/>
          <w:b w:val="0"/>
          <w:noProof/>
          <w:u w:val="none"/>
        </w:rPr>
        <w:tab/>
      </w:r>
      <w:r w:rsidRPr="00542EF2">
        <w:t>in Article 4(6), the second subparagraph is replaced by the following:</w:t>
      </w:r>
      <w:r w:rsidRPr="00F35740">
        <w:rPr>
          <w:rStyle w:val="Added"/>
          <w:b w:val="0"/>
          <w:noProof/>
          <w:u w:val="none"/>
        </w:rPr>
        <w:t xml:space="preserve">  </w:t>
      </w:r>
    </w:p>
    <w:p w:rsidRPr="006847EF" w:rsidR="0077599A" w:rsidP="0077599A" w:rsidRDefault="0077599A" w14:paraId="2A118D33" w14:textId="77777777">
      <w:pPr>
        <w:rPr>
          <w:rStyle w:val="Added"/>
          <w:noProof/>
        </w:rPr>
      </w:pPr>
      <w:r w:rsidRPr="00416705">
        <w:rPr>
          <w:noProof/>
        </w:rPr>
        <w:t xml:space="preserve">“The results </w:t>
      </w:r>
      <w:r w:rsidRPr="00F35740">
        <w:rPr>
          <w:rStyle w:val="Added"/>
          <w:b w:val="0"/>
          <w:noProof/>
          <w:u w:val="none"/>
        </w:rPr>
        <w:t>and</w:t>
      </w:r>
      <w:r w:rsidRPr="00F35740">
        <w:rPr>
          <w:noProof/>
        </w:rPr>
        <w:t xml:space="preserve"> </w:t>
      </w:r>
      <w:r w:rsidRPr="00416705">
        <w:rPr>
          <w:noProof/>
        </w:rPr>
        <w:t>observations referred to in the first subparagraph, together with the summary report prepared in connection with controls</w:t>
      </w:r>
      <w:r w:rsidRPr="006847EF">
        <w:rPr>
          <w:noProof/>
        </w:rPr>
        <w:t xml:space="preserve"> on the own resources referred </w:t>
      </w:r>
      <w:r w:rsidRPr="008369FD">
        <w:rPr>
          <w:noProof/>
        </w:rPr>
        <w:t>to</w:t>
      </w:r>
      <w:r w:rsidRPr="0039224E">
        <w:rPr>
          <w:noProof/>
        </w:rPr>
        <w:t xml:space="preserve"> in </w:t>
      </w:r>
      <w:r w:rsidRPr="008369FD">
        <w:rPr>
          <w:noProof/>
        </w:rPr>
        <w:t>Article</w:t>
      </w:r>
      <w:r w:rsidRPr="006847EF">
        <w:rPr>
          <w:noProof/>
        </w:rPr>
        <w:t> 2(1)</w:t>
      </w:r>
      <w:r>
        <w:rPr>
          <w:noProof/>
        </w:rPr>
        <w:t>,</w:t>
      </w:r>
      <w:r w:rsidRPr="006847EF">
        <w:rPr>
          <w:noProof/>
        </w:rPr>
        <w:t xml:space="preserve"> </w:t>
      </w:r>
      <w:r w:rsidRPr="00E554BE">
        <w:rPr>
          <w:noProof/>
        </w:rPr>
        <w:t>points (b)</w:t>
      </w:r>
      <w:r w:rsidRPr="00DD5799">
        <w:rPr>
          <w:rStyle w:val="Added"/>
          <w:noProof/>
        </w:rPr>
        <w:t>,</w:t>
      </w:r>
      <w:r w:rsidRPr="00E554BE">
        <w:rPr>
          <w:noProof/>
        </w:rPr>
        <w:t xml:space="preserve"> (c) </w:t>
      </w:r>
      <w:r>
        <w:rPr>
          <w:rStyle w:val="Deleted"/>
          <w:noProof/>
        </w:rPr>
        <w:t>(f)</w:t>
      </w:r>
      <w:r w:rsidRPr="0069683A">
        <w:rPr>
          <w:noProof/>
        </w:rPr>
        <w:t xml:space="preserve"> and (g)</w:t>
      </w:r>
      <w:r w:rsidRPr="00E554BE">
        <w:rPr>
          <w:noProof/>
        </w:rPr>
        <w:t xml:space="preserve"> of</w:t>
      </w:r>
      <w:r>
        <w:rPr>
          <w:noProof/>
        </w:rPr>
        <w:t xml:space="preserve"> Decision (EU, Euratom</w:t>
      </w:r>
      <w:r w:rsidRPr="006847EF">
        <w:rPr>
          <w:noProof/>
        </w:rPr>
        <w:t xml:space="preserve"> 2020/2053</w:t>
      </w:r>
      <w:r>
        <w:rPr>
          <w:noProof/>
        </w:rPr>
        <w:t>)</w:t>
      </w:r>
      <w:r w:rsidRPr="006847EF">
        <w:rPr>
          <w:noProof/>
        </w:rPr>
        <w:t>, shall be brought to the attention of all Member States</w:t>
      </w:r>
      <w:r>
        <w:rPr>
          <w:noProof/>
        </w:rPr>
        <w:t>.</w:t>
      </w:r>
      <w:r w:rsidRPr="006847EF">
        <w:rPr>
          <w:noProof/>
        </w:rPr>
        <w:t>”.</w:t>
      </w:r>
    </w:p>
    <w:p w:rsidRPr="005C4F4D" w:rsidR="0077599A" w:rsidP="0077599A" w:rsidRDefault="0077599A" w14:paraId="7E62B291" w14:textId="77777777">
      <w:pPr>
        <w:pStyle w:val="Titrearticle"/>
        <w:rPr>
          <w:noProof/>
        </w:rPr>
      </w:pPr>
      <w:r w:rsidRPr="005C4F4D">
        <w:rPr>
          <w:noProof/>
        </w:rPr>
        <w:t>Article 2</w:t>
      </w:r>
      <w:r>
        <w:rPr>
          <w:noProof/>
        </w:rPr>
        <w:t xml:space="preserve"> </w:t>
      </w:r>
    </w:p>
    <w:p w:rsidRPr="000C4682" w:rsidR="0077599A" w:rsidP="0077599A" w:rsidRDefault="0077599A" w14:paraId="2B696B19" w14:textId="77777777">
      <w:pPr>
        <w:rPr>
          <w:noProof/>
          <w:lang w:val="en-US"/>
        </w:rPr>
      </w:pPr>
      <w:r w:rsidRPr="00C97006">
        <w:rPr>
          <w:noProof/>
          <w:lang w:val="en-US"/>
        </w:rPr>
        <w:t xml:space="preserve">This Regulation shall enter into force on the day of entry into force of Decision 20xx/xxxx/EU, Euratom amending </w:t>
      </w:r>
      <w:r>
        <w:rPr>
          <w:noProof/>
          <w:lang w:val="en-US"/>
        </w:rPr>
        <w:t>Decision (EU, Euratom) 2020/2053</w:t>
      </w:r>
      <w:r w:rsidRPr="00C97006">
        <w:rPr>
          <w:noProof/>
          <w:lang w:val="en-US"/>
        </w:rPr>
        <w:t>.</w:t>
      </w:r>
      <w:r w:rsidRPr="00573B13">
        <w:rPr>
          <w:noProof/>
          <w:lang w:val="en-US"/>
        </w:rPr>
        <w:t xml:space="preserve"> </w:t>
      </w:r>
      <w:r>
        <w:rPr>
          <w:noProof/>
          <w:lang w:val="en-US"/>
        </w:rPr>
        <w:t xml:space="preserve">It shall apply from </w:t>
      </w:r>
      <w:r w:rsidRPr="000C4682">
        <w:rPr>
          <w:noProof/>
          <w:lang w:val="en-US"/>
        </w:rPr>
        <w:t>1</w:t>
      </w:r>
      <w:r w:rsidR="00422908">
        <w:rPr>
          <w:noProof/>
          <w:lang w:val="en-US"/>
        </w:rPr>
        <w:t xml:space="preserve"> Januray 202</w:t>
      </w:r>
      <w:r w:rsidRPr="00422908" w:rsidR="00422908">
        <w:rPr>
          <w:rStyle w:val="Deleted"/>
          <w:noProof/>
        </w:rPr>
        <w:t>3</w:t>
      </w:r>
      <w:r w:rsidRPr="00422908" w:rsidR="00422908">
        <w:rPr>
          <w:rStyle w:val="Added"/>
          <w:noProof/>
        </w:rPr>
        <w:t>4</w:t>
      </w:r>
      <w:r w:rsidRPr="000C4682">
        <w:rPr>
          <w:noProof/>
          <w:lang w:val="en-US"/>
        </w:rPr>
        <w:t xml:space="preserve">. </w:t>
      </w:r>
    </w:p>
    <w:p w:rsidRPr="00823AC1" w:rsidR="0077599A" w:rsidP="0077599A" w:rsidRDefault="0077599A" w14:paraId="063E72D4" w14:textId="77777777">
      <w:pPr>
        <w:rPr>
          <w:noProof/>
        </w:rPr>
      </w:pPr>
      <w:r w:rsidRPr="000C4682">
        <w:rPr>
          <w:noProof/>
          <w:lang w:val="en-US"/>
        </w:rPr>
        <w:t>However, Article 6c shall apply from the date of application of the</w:t>
      </w:r>
      <w:r w:rsidRPr="00B405A8">
        <w:rPr>
          <w:noProof/>
          <w:lang w:val="en-US"/>
        </w:rPr>
        <w:t xml:space="preserve"> [Directive on implementation of the global agreement on re-allocation of taxing rights] or the day of the entry into force and effect of the Multilateral Convention, whichever is the later.</w:t>
      </w:r>
    </w:p>
    <w:p w:rsidRPr="002E5F11" w:rsidR="002A10B4" w:rsidP="002A10B4" w:rsidRDefault="002A10B4" w14:paraId="24C7F334" w14:textId="77777777">
      <w:pPr>
        <w:rPr>
          <w:noProof/>
        </w:rPr>
      </w:pPr>
      <w:r w:rsidRPr="002E5F11">
        <w:rPr>
          <w:noProof/>
        </w:rPr>
        <w:t>This Regulation shall be binding in its entirety and directly applicable in all Member States.</w:t>
      </w:r>
    </w:p>
    <w:p w:rsidRPr="002E5F11" w:rsidR="002A10B4" w:rsidP="00C66737" w:rsidRDefault="00C66737" w14:paraId="25C9D09C" w14:textId="41437949">
      <w:pPr>
        <w:pStyle w:val="Fait"/>
        <w:rPr>
          <w:noProof/>
        </w:rPr>
      </w:pPr>
      <w:r w:rsidRPr="00C66737">
        <w:t>Done at Brussels,</w:t>
      </w:r>
    </w:p>
    <w:p w:rsidRPr="002E5F11" w:rsidR="002A10B4" w:rsidP="00683443" w:rsidRDefault="002A10B4" w14:paraId="4A54A56C" w14:textId="77777777">
      <w:pPr>
        <w:pStyle w:val="Institutionquisigne"/>
        <w:rPr>
          <w:noProof/>
        </w:rPr>
      </w:pPr>
      <w:r w:rsidRPr="002E5F11">
        <w:rPr>
          <w:noProof/>
        </w:rPr>
        <w:tab/>
        <w:t>For the Council</w:t>
      </w:r>
    </w:p>
    <w:p w:rsidRPr="000273D4" w:rsidR="000273D4" w:rsidP="000273D4" w:rsidRDefault="002A10B4" w14:paraId="2C5AF548" w14:textId="77777777">
      <w:pPr>
        <w:pStyle w:val="Personnequisigne"/>
        <w:rPr>
          <w:noProof/>
        </w:rPr>
      </w:pPr>
      <w:r w:rsidRPr="002E5F11">
        <w:rPr>
          <w:noProof/>
        </w:rPr>
        <w:tab/>
        <w:t>The President</w:t>
      </w:r>
    </w:p>
    <w:sectPr w:rsidRPr="000273D4" w:rsidR="000273D4" w:rsidSect="00607265">
      <w:footerReference w:type="defaul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404" w:rsidP="000273D4" w:rsidRDefault="00465404" w14:paraId="3E9A88B1" w14:textId="77777777">
      <w:pPr>
        <w:spacing w:before="0" w:after="0"/>
      </w:pPr>
      <w:r>
        <w:separator/>
      </w:r>
    </w:p>
  </w:endnote>
  <w:endnote w:type="continuationSeparator" w:id="0">
    <w:p w:rsidR="00465404" w:rsidP="000273D4" w:rsidRDefault="00465404" w14:paraId="05C4859C" w14:textId="77777777">
      <w:pPr>
        <w:spacing w:before="0" w:after="0"/>
      </w:pPr>
      <w:r>
        <w:continuationSeparator/>
      </w:r>
    </w:p>
  </w:endnote>
  <w:endnote w:type="continuationNotice" w:id="1">
    <w:p w:rsidR="00465404" w:rsidRDefault="00465404" w14:paraId="28CEA98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C66737" w:rsidP="00607265" w:rsidRDefault="00607265" w14:paraId="4853B869" w14:textId="1343D050">
    <w:pPr>
      <w:pStyle w:val="Footer"/>
      <w:rPr>
        <w:rFonts w:ascii="Arial" w:hAnsi="Arial" w:cs="Arial"/>
        <w:b/>
        <w:sz w:val="48"/>
      </w:rPr>
    </w:pPr>
    <w:r w:rsidRPr="00607265">
      <w:rPr>
        <w:rFonts w:ascii="Arial" w:hAnsi="Arial" w:cs="Arial"/>
        <w:b/>
        <w:sz w:val="48"/>
      </w:rPr>
      <w:t>EN</w:t>
    </w:r>
    <w:r w:rsidRPr="00607265">
      <w:rPr>
        <w:rFonts w:ascii="Arial" w:hAnsi="Arial" w:cs="Arial"/>
        <w:b/>
        <w:sz w:val="48"/>
      </w:rPr>
      <w:tab/>
    </w:r>
    <w:r w:rsidRPr="00607265">
      <w:rPr>
        <w:rFonts w:ascii="Arial" w:hAnsi="Arial" w:cs="Arial"/>
        <w:b/>
        <w:sz w:val="48"/>
      </w:rPr>
      <w:tab/>
    </w:r>
    <w:r w:rsidRPr="00607265">
      <w:tab/>
    </w:r>
    <w:r w:rsidRPr="0060726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C66737" w:rsidP="00607265" w:rsidRDefault="00607265" w14:paraId="14294401" w14:textId="40825059">
    <w:pPr>
      <w:pStyle w:val="Footer"/>
      <w:rPr>
        <w:rFonts w:ascii="Arial" w:hAnsi="Arial" w:cs="Arial"/>
        <w:b/>
        <w:sz w:val="48"/>
      </w:rPr>
    </w:pPr>
    <w:r w:rsidRPr="00607265">
      <w:rPr>
        <w:rFonts w:ascii="Arial" w:hAnsi="Arial" w:cs="Arial"/>
        <w:b/>
        <w:sz w:val="48"/>
      </w:rPr>
      <w:t>EN</w:t>
    </w:r>
    <w:r w:rsidRPr="00607265">
      <w:rPr>
        <w:rFonts w:ascii="Arial" w:hAnsi="Arial" w:cs="Arial"/>
        <w:b/>
        <w:sz w:val="48"/>
      </w:rPr>
      <w:tab/>
    </w:r>
    <w:r w:rsidRPr="00607265">
      <w:rPr>
        <w:rFonts w:ascii="Arial" w:hAnsi="Arial" w:cs="Arial"/>
        <w:b/>
        <w:sz w:val="48"/>
      </w:rPr>
      <w:tab/>
    </w:r>
    <w:r w:rsidRPr="00607265">
      <w:tab/>
    </w:r>
    <w:r w:rsidRPr="0060726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542EF2" w:rsidP="00607265" w:rsidRDefault="00542EF2" w14:paraId="2BEE074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607265" w:rsidP="00607265" w:rsidRDefault="00607265" w14:paraId="428EAEBA" w14:textId="5F7077F1">
    <w:pPr>
      <w:pStyle w:val="Footer"/>
      <w:rPr>
        <w:rFonts w:ascii="Arial" w:hAnsi="Arial" w:cs="Arial"/>
        <w:b/>
        <w:sz w:val="48"/>
      </w:rPr>
    </w:pPr>
    <w:r w:rsidRPr="00607265">
      <w:rPr>
        <w:rFonts w:ascii="Arial" w:hAnsi="Arial" w:cs="Arial"/>
        <w:b/>
        <w:sz w:val="48"/>
      </w:rPr>
      <w:t>EN</w:t>
    </w:r>
    <w:r w:rsidRPr="0060726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07265">
      <w:tab/>
    </w:r>
    <w:r w:rsidRPr="0060726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607265" w:rsidP="00607265" w:rsidRDefault="00607265" w14:paraId="0E04C6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404" w:rsidP="000273D4" w:rsidRDefault="00465404" w14:paraId="5BA6524C" w14:textId="77777777">
      <w:pPr>
        <w:spacing w:before="0" w:after="0"/>
      </w:pPr>
      <w:r>
        <w:separator/>
      </w:r>
    </w:p>
  </w:footnote>
  <w:footnote w:type="continuationSeparator" w:id="0">
    <w:p w:rsidR="00465404" w:rsidP="000273D4" w:rsidRDefault="00465404" w14:paraId="7EDD619D" w14:textId="77777777">
      <w:pPr>
        <w:spacing w:before="0" w:after="0"/>
      </w:pPr>
      <w:r>
        <w:continuationSeparator/>
      </w:r>
    </w:p>
  </w:footnote>
  <w:footnote w:type="continuationNotice" w:id="1">
    <w:p w:rsidR="00465404" w:rsidRDefault="00465404" w14:paraId="4B9D0EE5" w14:textId="77777777">
      <w:pPr>
        <w:spacing w:before="0" w:after="0"/>
      </w:pPr>
    </w:p>
  </w:footnote>
  <w:footnote w:id="2">
    <w:p w:rsidRPr="00164BA7" w:rsidR="005D5AEF" w:rsidRDefault="005D5AEF" w14:paraId="527CAF07" w14:textId="77777777">
      <w:pPr>
        <w:pStyle w:val="FootnoteText"/>
        <w:rPr>
          <w:lang w:val="en-IE"/>
        </w:rPr>
      </w:pPr>
      <w:r>
        <w:rPr>
          <w:rStyle w:val="FootnoteReference"/>
        </w:rPr>
        <w:t>1</w:t>
      </w:r>
      <w:r>
        <w:tab/>
      </w:r>
      <w:r>
        <w:rPr>
          <w:sz w:val="18"/>
          <w:szCs w:val="18"/>
        </w:rPr>
        <w:t xml:space="preserve">Proposal for a Council Decision amending </w:t>
      </w:r>
      <w:r w:rsidRPr="0006587E">
        <w:rPr>
          <w:sz w:val="18"/>
          <w:szCs w:val="18"/>
        </w:rPr>
        <w:t>Decision (EU, Euratom) 2020/2053 of 14 December 2020 on the system of own resources of the European Union</w:t>
      </w:r>
      <w:r>
        <w:rPr>
          <w:sz w:val="18"/>
          <w:szCs w:val="18"/>
        </w:rPr>
        <w:t xml:space="preserve"> (COM(2021) 570 final). </w:t>
      </w:r>
      <w:r w:rsidRPr="0006587E">
        <w:rPr>
          <w:sz w:val="18"/>
          <w:szCs w:val="18"/>
        </w:rPr>
        <w:t xml:space="preserve"> </w:t>
      </w:r>
    </w:p>
  </w:footnote>
  <w:footnote w:id="3">
    <w:p w:rsidRPr="00164BA7" w:rsidR="005D5AEF" w:rsidRDefault="005D5AEF" w14:paraId="14537676" w14:textId="77777777">
      <w:pPr>
        <w:pStyle w:val="FootnoteText"/>
        <w:rPr>
          <w:lang w:val="en-IE"/>
        </w:rPr>
      </w:pPr>
      <w:r w:rsidRPr="001C1C47">
        <w:rPr>
          <w:rStyle w:val="FootnoteReference"/>
        </w:rPr>
        <w:t>2</w:t>
      </w:r>
      <w:r>
        <w:tab/>
      </w:r>
      <w:r w:rsidRPr="000325C7">
        <w:rPr>
          <w:lang w:val="en-IE"/>
        </w:rPr>
        <w:t xml:space="preserve">COM(2022) 102 final. </w:t>
      </w:r>
    </w:p>
  </w:footnote>
  <w:footnote w:id="4">
    <w:p w:rsidRPr="00164BA7" w:rsidR="005D5AEF" w:rsidRDefault="005D5AEF" w14:paraId="60F45B51" w14:textId="77777777">
      <w:pPr>
        <w:pStyle w:val="FootnoteText"/>
        <w:rPr>
          <w:lang w:val="en-IE"/>
        </w:rPr>
      </w:pPr>
      <w:r w:rsidRPr="001C1C47">
        <w:rPr>
          <w:rStyle w:val="FootnoteReference"/>
        </w:rPr>
        <w:t>3</w:t>
      </w:r>
      <w:r>
        <w:tab/>
      </w:r>
      <w:r>
        <w:rPr>
          <w:lang w:val="en-IE"/>
        </w:rPr>
        <w:t xml:space="preserve">Council Regulation </w:t>
      </w:r>
      <w:r w:rsidRPr="0097430C">
        <w:rPr>
          <w:lang w:val="en-IE"/>
        </w:rPr>
        <w:t>(EU, Euratom) 2021/768 of 30 April 2021</w:t>
      </w:r>
      <w:r>
        <w:rPr>
          <w:lang w:val="en-IE"/>
        </w:rPr>
        <w:t xml:space="preserve"> </w:t>
      </w:r>
      <w:r w:rsidRPr="0097430C">
        <w:rPr>
          <w:lang w:val="en-IE"/>
        </w:rPr>
        <w:t>laying down implementing measures for the system of own resources of the European Union</w:t>
      </w:r>
      <w:r>
        <w:rPr>
          <w:lang w:val="en-IE"/>
        </w:rPr>
        <w:t>.</w:t>
      </w:r>
    </w:p>
  </w:footnote>
  <w:footnote w:id="5">
    <w:p w:rsidRPr="00164BA7" w:rsidR="00AF4D0C" w:rsidP="00AF4D0C" w:rsidRDefault="00AF4D0C" w14:paraId="7BFF7153" w14:textId="7C039C45">
      <w:pPr>
        <w:pStyle w:val="FootnoteText"/>
        <w:rPr>
          <w:lang w:val="en-IE"/>
        </w:rPr>
      </w:pPr>
      <w:r>
        <w:rPr>
          <w:rStyle w:val="FootnoteReference"/>
        </w:rPr>
        <w:t>4</w:t>
      </w:r>
      <w:r>
        <w:tab/>
      </w:r>
      <w:r w:rsidRPr="00090368">
        <w:rPr>
          <w:lang w:val="en-IE"/>
        </w:rPr>
        <w:t>COM(2023)</w:t>
      </w:r>
      <w:r>
        <w:rPr>
          <w:lang w:val="en-IE"/>
        </w:rPr>
        <w:t xml:space="preserve"> 570</w:t>
      </w:r>
      <w:r w:rsidRPr="00090368">
        <w:rPr>
          <w:lang w:val="en-IE"/>
        </w:rPr>
        <w:t xml:space="preserve"> final.</w:t>
      </w:r>
      <w:r w:rsidRPr="000325C7">
        <w:rPr>
          <w:lang w:val="en-IE"/>
        </w:rPr>
        <w:t xml:space="preserve"> </w:t>
      </w:r>
    </w:p>
  </w:footnote>
  <w:footnote w:id="6">
    <w:p w:rsidRPr="00164BA7" w:rsidR="005D5AEF" w:rsidRDefault="005D5AEF" w14:paraId="59100650" w14:textId="77777777">
      <w:pPr>
        <w:pStyle w:val="FootnoteText"/>
        <w:rPr>
          <w:lang w:val="en-IE"/>
        </w:rPr>
      </w:pPr>
      <w:r w:rsidRPr="001C1C47">
        <w:rPr>
          <w:rStyle w:val="FootnoteReference"/>
        </w:rPr>
        <w:t>5</w:t>
      </w:r>
      <w:r>
        <w:tab/>
      </w:r>
      <w:r w:rsidRPr="00AC5109">
        <w:rPr>
          <w:lang w:val="en-IE"/>
        </w:rPr>
        <w:t>Council Regulation (EU, Euratom) No 609/2014 of 26 May 2014 on the methods and procedure for making available the traditional, VAT and GNI-based own resources and on the meas</w:t>
      </w:r>
      <w:r>
        <w:rPr>
          <w:lang w:val="en-IE"/>
        </w:rPr>
        <w:t>ures to meet cash requirements (OJ L 168, 7.6.2014, p. 39)</w:t>
      </w:r>
      <w:r w:rsidRPr="00AC5109">
        <w:rPr>
          <w:lang w:val="en-IE"/>
        </w:rPr>
        <w:t>.</w:t>
      </w:r>
    </w:p>
  </w:footnote>
  <w:footnote w:id="7">
    <w:p w:rsidRPr="007B59D6" w:rsidR="005D5AEF" w:rsidP="00E1554B" w:rsidRDefault="005D5AEF" w14:paraId="56CF1B61" w14:textId="77777777">
      <w:pPr>
        <w:pStyle w:val="FootnoteText"/>
        <w:rPr>
          <w:lang w:val="en-IE"/>
        </w:rPr>
      </w:pPr>
      <w:r w:rsidRPr="001C1C47">
        <w:rPr>
          <w:rStyle w:val="FootnoteReference"/>
        </w:rPr>
        <w:t>6</w:t>
      </w:r>
      <w:r>
        <w:tab/>
      </w:r>
      <w:r w:rsidRPr="006D0C47">
        <w:rPr>
          <w:lang w:val="en-IE"/>
        </w:rPr>
        <w:t xml:space="preserve">Council Regulation (EU, Euratom) 2021/770 of 30 April 2021 on the calculation of the own resource based on plastic packaging waste that is not recycled, on the methods and procedure for making available that own resource, on the measures to meet cash requirements, and on certain aspects of the own resource </w:t>
      </w:r>
      <w:r>
        <w:rPr>
          <w:lang w:val="en-IE"/>
        </w:rPr>
        <w:t>based on gross national income, (OJ L 165, 11.5.2021, p 15).</w:t>
      </w:r>
    </w:p>
    <w:p w:rsidRPr="00164BA7" w:rsidR="005D5AEF" w:rsidRDefault="005D5AEF" w14:paraId="625A3CCA" w14:textId="77777777">
      <w:pPr>
        <w:pStyle w:val="FootnoteText"/>
        <w:rPr>
          <w:lang w:val="en-IE"/>
        </w:rPr>
      </w:pPr>
    </w:p>
  </w:footnote>
  <w:footnote w:id="8">
    <w:p w:rsidRPr="00164BA7" w:rsidR="005D5AEF" w:rsidRDefault="005D5AEF" w14:paraId="3ADB0872" w14:textId="77777777">
      <w:pPr>
        <w:pStyle w:val="FootnoteText"/>
        <w:rPr>
          <w:lang w:val="en-IE"/>
        </w:rPr>
      </w:pPr>
      <w:r w:rsidRPr="001C1C47">
        <w:rPr>
          <w:rStyle w:val="FootnoteReference"/>
        </w:rPr>
        <w:t>7</w:t>
      </w:r>
      <w:r>
        <w:tab/>
      </w:r>
      <w:r w:rsidRPr="00E330B7">
        <w:rPr>
          <w:lang w:val="en-IE"/>
        </w:rPr>
        <w:t xml:space="preserve">Regulation (EU) No 549/2013 of the European Parliament and of the Council of 21 May 2013 on the European system of national and regional accounts in the European Union </w:t>
      </w:r>
      <w:r>
        <w:rPr>
          <w:lang w:val="en-IE"/>
        </w:rPr>
        <w:t>(</w:t>
      </w:r>
      <w:r w:rsidRPr="00E330B7">
        <w:rPr>
          <w:lang w:val="en-IE"/>
        </w:rPr>
        <w:t>OJ L 174, 26.6.2013, p. 1–727</w:t>
      </w:r>
      <w:r>
        <w:rPr>
          <w:lang w:val="en-IE"/>
        </w:rPr>
        <w:t>).</w:t>
      </w:r>
    </w:p>
  </w:footnote>
  <w:footnote w:id="9">
    <w:p w:rsidRPr="00AF4D0C" w:rsidR="00AF4D0C" w:rsidRDefault="00AF4D0C" w14:paraId="7D6ED0F5" w14:textId="3E34F795">
      <w:pPr>
        <w:pStyle w:val="FootnoteText"/>
        <w:rPr>
          <w:lang w:val="en-IE"/>
        </w:rPr>
      </w:pPr>
      <w:r>
        <w:rPr>
          <w:rStyle w:val="FootnoteReference"/>
        </w:rPr>
        <w:t>8</w:t>
      </w:r>
      <w:r>
        <w:tab/>
      </w:r>
      <w:r w:rsidRPr="004757E7">
        <w:t>Regulation (EU) 2023/956 of the European Parliament and of the Council of 10 May 2023 establishing a carbon border adjustment mechanism (OJ L 130, 16.5.2023, p. 52).</w:t>
      </w:r>
    </w:p>
  </w:footnote>
  <w:footnote w:id="10">
    <w:p w:rsidRPr="003A3965" w:rsidR="005D5AEF" w:rsidP="0077599A" w:rsidRDefault="005D5AEF" w14:paraId="472CA2FC" w14:textId="77777777">
      <w:pPr>
        <w:pStyle w:val="FootnoteText"/>
        <w:rPr>
          <w:lang w:val="en-US"/>
        </w:rPr>
      </w:pPr>
      <w:r w:rsidRPr="00D31259">
        <w:rPr>
          <w:rStyle w:val="FootnoteReference"/>
        </w:rPr>
        <w:footnoteRef/>
      </w:r>
      <w:r>
        <w:tab/>
      </w:r>
      <w:r w:rsidRPr="00FB55EA">
        <w:t>OJ L 424, 15.12.2020, p.1.</w:t>
      </w:r>
    </w:p>
  </w:footnote>
  <w:footnote w:id="11">
    <w:p w:rsidRPr="001E63A9" w:rsidR="005D5AEF" w:rsidP="0077599A" w:rsidRDefault="005D5AEF" w14:paraId="16758ADF" w14:textId="77777777">
      <w:pPr>
        <w:pStyle w:val="FootnoteText"/>
        <w:rPr>
          <w:lang w:val="pl-PL"/>
        </w:rPr>
      </w:pPr>
      <w:r>
        <w:rPr>
          <w:rStyle w:val="FootnoteReference"/>
        </w:rPr>
        <w:footnoteRef/>
      </w:r>
      <w:r w:rsidRPr="001E63A9">
        <w:rPr>
          <w:lang w:val="pl-PL"/>
        </w:rPr>
        <w:tab/>
        <w:t>OJ C , , p. .</w:t>
      </w:r>
    </w:p>
  </w:footnote>
  <w:footnote w:id="12">
    <w:p w:rsidRPr="007B07CA" w:rsidR="005D5AEF" w:rsidP="0077599A" w:rsidRDefault="005D5AEF" w14:paraId="365D4103" w14:textId="77777777">
      <w:pPr>
        <w:pStyle w:val="FootnoteText"/>
        <w:rPr>
          <w:lang w:val="en-IE"/>
        </w:rPr>
      </w:pPr>
      <w:r w:rsidRPr="003055B6">
        <w:rPr>
          <w:rStyle w:val="FootnoteReference"/>
        </w:rPr>
        <w:footnoteRef/>
      </w:r>
      <w:r>
        <w:tab/>
      </w:r>
      <w:r w:rsidRPr="007B07CA">
        <w:rPr>
          <w:lang w:val="en-IE"/>
        </w:rPr>
        <w:t>Directive 2003/87/EC of the European Parliament and of the Council of 13 October 2003 establishing a scheme for greenhouse gas emission allowance trading within the Community and amending Council Directive 96/</w:t>
      </w:r>
      <w:r>
        <w:rPr>
          <w:lang w:val="en-IE"/>
        </w:rPr>
        <w:t>61/EC (</w:t>
      </w:r>
      <w:r w:rsidRPr="007B07CA">
        <w:rPr>
          <w:lang w:val="en-IE"/>
        </w:rPr>
        <w:t>OJ L 275, 25.10.2003, p. 32</w:t>
      </w:r>
      <w:r>
        <w:rPr>
          <w:lang w:val="en-IE"/>
        </w:rPr>
        <w:t>).</w:t>
      </w:r>
    </w:p>
  </w:footnote>
  <w:footnote w:id="13">
    <w:p w:rsidRPr="007B07CA" w:rsidR="005D5AEF" w:rsidP="0077599A" w:rsidRDefault="005D5AEF" w14:paraId="3293EC2E" w14:textId="77777777">
      <w:pPr>
        <w:pStyle w:val="FootnoteText"/>
        <w:rPr>
          <w:lang w:val="en-IE"/>
        </w:rPr>
      </w:pPr>
      <w:r w:rsidRPr="00147787">
        <w:rPr>
          <w:rStyle w:val="FootnoteReference"/>
        </w:rPr>
        <w:footnoteRef/>
      </w:r>
      <w:r>
        <w:tab/>
      </w:r>
      <w:r w:rsidRPr="00A61B04">
        <w:rPr>
          <w:lang w:val="en-IE"/>
        </w:rPr>
        <w:t>Regulation (EU</w:t>
      </w:r>
      <w:r w:rsidRPr="00EB0556">
        <w:rPr>
          <w:lang w:val="en-IE"/>
        </w:rPr>
        <w:t>) 2023/956/EC of the European Parliament and of the Council establishing a carbon border adjustment mechanism (OJ L 130, 16.05.2023, p. 52).</w:t>
      </w:r>
    </w:p>
  </w:footnote>
  <w:footnote w:id="14">
    <w:p w:rsidRPr="007B07CA" w:rsidR="005D5AEF" w:rsidP="0077599A" w:rsidRDefault="005D5AEF" w14:paraId="6FD85D40" w14:textId="77777777">
      <w:pPr>
        <w:pStyle w:val="FootnoteText"/>
        <w:rPr>
          <w:lang w:val="en-US"/>
        </w:rPr>
      </w:pPr>
      <w:r w:rsidRPr="00147787">
        <w:rPr>
          <w:rStyle w:val="FootnoteReference"/>
        </w:rPr>
        <w:footnoteRef/>
      </w:r>
      <w:r>
        <w:tab/>
      </w:r>
      <w:r w:rsidRPr="004F587F">
        <w:rPr>
          <w:lang w:val="en-US"/>
        </w:rPr>
        <w:t>[</w:t>
      </w:r>
      <w:r w:rsidRPr="00D91A57">
        <w:rPr>
          <w:lang w:val="en-IE"/>
        </w:rPr>
        <w:t xml:space="preserve">Directive (EU) XXX </w:t>
      </w:r>
      <w:r>
        <w:rPr>
          <w:lang w:val="en-IE"/>
        </w:rPr>
        <w:t xml:space="preserve">on </w:t>
      </w:r>
      <w:r w:rsidRPr="00A54F5D">
        <w:rPr>
          <w:lang w:val="en-IE"/>
        </w:rPr>
        <w:t xml:space="preserve">implementation of </w:t>
      </w:r>
      <w:r>
        <w:rPr>
          <w:lang w:val="en-IE"/>
        </w:rPr>
        <w:t xml:space="preserve">the </w:t>
      </w:r>
      <w:r w:rsidRPr="00A54F5D">
        <w:rPr>
          <w:lang w:val="en-IE"/>
        </w:rPr>
        <w:t>global agreement on re-allocation of taxing rights</w:t>
      </w:r>
      <w:r w:rsidRPr="004F587F">
        <w:rPr>
          <w:lang w:val="en-US"/>
        </w:rPr>
        <w:t>]</w:t>
      </w:r>
    </w:p>
  </w:footnote>
  <w:footnote w:id="15">
    <w:p w:rsidRPr="00895527" w:rsidR="005D5AEF" w:rsidP="00AA752F" w:rsidRDefault="005D5AEF" w14:paraId="5A7E5776" w14:textId="154A9EE5">
      <w:pPr>
        <w:pStyle w:val="FootnoteText"/>
        <w:rPr>
          <w:lang w:val="en-IE"/>
        </w:rPr>
      </w:pPr>
      <w:r>
        <w:rPr>
          <w:rStyle w:val="FootnoteReference"/>
        </w:rPr>
        <w:footnoteRef/>
      </w:r>
      <w:r w:rsidRPr="00895527">
        <w:rPr>
          <w:lang w:val="en-IE"/>
        </w:rPr>
        <w:tab/>
      </w:r>
      <w:r w:rsidRPr="007C3FEF">
        <w:rPr>
          <w:b/>
          <w:bCs/>
          <w:u w:val="single"/>
          <w:lang w:val="en-IE"/>
        </w:rPr>
        <w:t>Regulation (EU) No 549/2013 of the European Parliament and of the Council of 21 May 2013 on the European system of national and regional accounts in the European Union</w:t>
      </w:r>
      <w:r w:rsidR="00AF6C6D">
        <w:rPr>
          <w:b/>
          <w:bCs/>
          <w:u w:val="single"/>
          <w:lang w:val="en-IE"/>
        </w:rPr>
        <w:t xml:space="preserve"> </w:t>
      </w:r>
      <w:r>
        <w:rPr>
          <w:b/>
          <w:bCs/>
          <w:u w:val="single"/>
          <w:lang w:val="en-IE"/>
        </w:rPr>
        <w:t>(</w:t>
      </w:r>
      <w:r w:rsidRPr="007C3FEF">
        <w:rPr>
          <w:b/>
          <w:bCs/>
          <w:u w:val="single"/>
          <w:lang w:val="en-IE"/>
        </w:rPr>
        <w:t>OJ L 174, 26.6.2014, p. 1</w:t>
      </w:r>
      <w:r>
        <w:rPr>
          <w:b/>
          <w:bCs/>
          <w:u w:val="single"/>
          <w:lang w:val="en-IE"/>
        </w:rPr>
        <w:t>)</w:t>
      </w:r>
    </w:p>
  </w:footnote>
  <w:footnote w:id="16">
    <w:p w:rsidRPr="002222D0" w:rsidR="005D5AEF" w:rsidP="00F90044" w:rsidRDefault="005D5AEF" w14:paraId="3BEE2368" w14:textId="77777777">
      <w:pPr>
        <w:pStyle w:val="FootnoteText"/>
        <w:rPr>
          <w:b/>
          <w:u w:val="single"/>
          <w:lang w:val="en-IE"/>
        </w:rPr>
      </w:pPr>
      <w:r w:rsidRPr="001C1C47">
        <w:rPr>
          <w:rStyle w:val="FootnoteReference"/>
        </w:rPr>
        <w:footnoteRef/>
      </w:r>
      <w:r>
        <w:tab/>
      </w:r>
      <w:r w:rsidRPr="002222D0">
        <w:rPr>
          <w:b/>
          <w:u w:val="single"/>
          <w:lang w:val="en-IE"/>
        </w:rPr>
        <w:t xml:space="preserve">Regulation (EU) </w:t>
      </w:r>
      <w:r w:rsidRPr="002222D0">
        <w:rPr>
          <w:b/>
          <w:u w:val="single"/>
        </w:rPr>
        <w:t>No</w:t>
      </w:r>
      <w:r w:rsidRPr="002222D0">
        <w:rPr>
          <w:b/>
          <w:u w:val="single"/>
          <w:lang w:val="en-IE"/>
        </w:rPr>
        <w:t xml:space="preserve"> 516/2019 of the European Parliament and of the Council of 19 March 2019 on the harmonisation of gross national income at market prices and repealing Council Directive 89/130/EEC, Euratom and Council Regulation (EC, Euratom) No 1287/2003 (GNI Regulation)</w:t>
      </w:r>
      <w:r w:rsidRPr="00AF6C6D" w:rsidR="00AF6C6D">
        <w:t xml:space="preserve"> </w:t>
      </w:r>
      <w:r w:rsidRPr="00AF6C6D" w:rsidR="00AF6C6D">
        <w:rPr>
          <w:b/>
          <w:u w:val="single"/>
          <w:lang w:val="en-IE"/>
        </w:rPr>
        <w:t>(OJ L 91, 29.3.2019, p. 19)</w:t>
      </w:r>
      <w:r>
        <w:rPr>
          <w:b/>
          <w:u w:val="single"/>
          <w:lang w:val="en-IE"/>
        </w:rPr>
        <w:t>.</w:t>
      </w:r>
    </w:p>
  </w:footnote>
  <w:footnote w:id="17">
    <w:p w:rsidRPr="00B53548" w:rsidR="005D5AEF" w:rsidP="0077599A" w:rsidRDefault="005D5AEF" w14:paraId="39D128F2" w14:textId="77777777">
      <w:pPr>
        <w:pStyle w:val="FootnoteText"/>
      </w:pPr>
      <w:r w:rsidRPr="00D31259">
        <w:rPr>
          <w:rStyle w:val="FootnoteReference"/>
        </w:rPr>
        <w:footnoteRef/>
      </w:r>
      <w:r>
        <w:tab/>
        <w:t>Directive 2014/65/EU of the European Parliament and of the Council of 15 May 2014 on markets in financial instruments and amending Directive 2002/92/EC and Directive 2011/61/EU Text with EEA relevance, (OJ L 173, 12.6.2014, p. 349).</w:t>
      </w:r>
    </w:p>
  </w:footnote>
  <w:footnote w:id="18">
    <w:p w:rsidRPr="007B07CA" w:rsidR="005D5AEF" w:rsidP="0077599A" w:rsidRDefault="005D5AEF" w14:paraId="281C8F6D" w14:textId="77777777">
      <w:pPr>
        <w:pStyle w:val="FootnoteText"/>
        <w:rPr>
          <w:lang w:val="en-US"/>
        </w:rPr>
      </w:pPr>
      <w:r w:rsidRPr="003055B6">
        <w:rPr>
          <w:rStyle w:val="FootnoteReference"/>
        </w:rPr>
        <w:footnoteRef/>
      </w:r>
      <w:r>
        <w:tab/>
      </w:r>
      <w:r w:rsidRPr="007B07CA">
        <w:rPr>
          <w:lang w:val="en-US"/>
        </w:rPr>
        <w:t>Regulation (EU) No 600/2014 of the European Parliament and of the Council of 15 May 2014 on markets in financial instruments and amending Regulation (EU) No 648/2012</w:t>
      </w:r>
      <w:r>
        <w:rPr>
          <w:lang w:val="en-US"/>
        </w:rPr>
        <w:t xml:space="preserve"> (</w:t>
      </w:r>
      <w:r w:rsidRPr="00131464">
        <w:rPr>
          <w:lang w:val="en-US"/>
        </w:rPr>
        <w:t>OJ L 173</w:t>
      </w:r>
      <w:r>
        <w:rPr>
          <w:lang w:val="en-US"/>
        </w:rPr>
        <w:t>,</w:t>
      </w:r>
      <w:r w:rsidRPr="00131464">
        <w:rPr>
          <w:lang w:val="en-US"/>
        </w:rPr>
        <w:t xml:space="preserve"> 12.6.2014, p. 84</w:t>
      </w:r>
      <w:r>
        <w:rPr>
          <w:lang w:val="en-US"/>
        </w:rPr>
        <w:t>).</w:t>
      </w:r>
    </w:p>
  </w:footnote>
  <w:footnote w:id="19">
    <w:p w:rsidRPr="007B07CA" w:rsidR="005D5AEF" w:rsidP="0077599A" w:rsidRDefault="005D5AEF" w14:paraId="6AB71552" w14:textId="77777777">
      <w:pPr>
        <w:pStyle w:val="FootnoteText"/>
        <w:rPr>
          <w:lang w:val="en-US"/>
        </w:rPr>
      </w:pPr>
      <w:r w:rsidRPr="00147787">
        <w:rPr>
          <w:rStyle w:val="FootnoteReference"/>
        </w:rPr>
        <w:footnoteRef/>
      </w:r>
      <w:r>
        <w:tab/>
      </w:r>
      <w:r w:rsidRPr="00A828FC">
        <w:rPr>
          <w:lang w:val="en-US"/>
        </w:rPr>
        <w:t>Commission Regulation (EU) No 1031/2010 of 12 November 2010 on the timing, administration and other aspects of auctioning of greenhouse gas emission allowances pursuant to Directive 2003/87/EC of the European Parliament and of the Council establishing a system for greenhouse gas emission allowances trading within the Union</w:t>
      </w:r>
      <w:r>
        <w:rPr>
          <w:lang w:val="en-US"/>
        </w:rPr>
        <w:t xml:space="preserve"> (</w:t>
      </w:r>
      <w:r w:rsidRPr="00CA4F69">
        <w:rPr>
          <w:lang w:val="en-US"/>
        </w:rPr>
        <w:t>OJ L 302</w:t>
      </w:r>
      <w:r>
        <w:rPr>
          <w:lang w:val="en-US"/>
        </w:rPr>
        <w:t>,</w:t>
      </w:r>
      <w:r w:rsidRPr="00CA4F69">
        <w:rPr>
          <w:lang w:val="en-US"/>
        </w:rPr>
        <w:t xml:space="preserve"> 18.11.2010, p. 1</w:t>
      </w:r>
      <w:r>
        <w:rPr>
          <w:lang w:val="en-US"/>
        </w:rPr>
        <w:t>).</w:t>
      </w:r>
    </w:p>
  </w:footnote>
  <w:footnote w:id="20">
    <w:p w:rsidRPr="002222D0" w:rsidR="005D5AEF" w:rsidP="00157302" w:rsidRDefault="005D5AEF" w14:paraId="0CB9EAFF" w14:textId="77777777">
      <w:pPr>
        <w:pStyle w:val="FootnoteText"/>
        <w:rPr>
          <w:lang w:val="en-IE"/>
        </w:rPr>
      </w:pPr>
      <w:r w:rsidRPr="001C1C47">
        <w:rPr>
          <w:rStyle w:val="FootnoteReference"/>
        </w:rPr>
        <w:footnoteRef/>
      </w:r>
      <w:r>
        <w:tab/>
      </w:r>
      <w:r>
        <w:rPr>
          <w:b/>
          <w:u w:val="single"/>
          <w:lang w:val="en-IE"/>
        </w:rPr>
        <w:t>Commission R</w:t>
      </w:r>
      <w:r w:rsidRPr="002222D0">
        <w:rPr>
          <w:b/>
          <w:u w:val="single"/>
          <w:lang w:val="en-IE"/>
        </w:rPr>
        <w:t>egulation 2020/1546 of 23 October 2020</w:t>
      </w:r>
      <w:r>
        <w:rPr>
          <w:b/>
          <w:u w:val="single"/>
          <w:lang w:val="en-IE"/>
        </w:rPr>
        <w:t xml:space="preserve"> </w:t>
      </w:r>
      <w:r w:rsidRPr="002222D0">
        <w:rPr>
          <w:b/>
          <w:u w:val="single"/>
          <w:lang w:val="en-IE"/>
        </w:rPr>
        <w:t>establishing the structure and detailed arrangements of the inventory of the sources and methods used to produce gross national income aggregates and their components in accordance with the European System of Accounts (ESA 2010)</w:t>
      </w:r>
      <w:r w:rsidRPr="00A93EF0" w:rsidR="00A93EF0">
        <w:t xml:space="preserve"> </w:t>
      </w:r>
      <w:r w:rsidR="00A93EF0">
        <w:t>(</w:t>
      </w:r>
      <w:r w:rsidRPr="00A93EF0" w:rsidR="00A93EF0">
        <w:rPr>
          <w:b/>
          <w:u w:val="single"/>
          <w:lang w:val="en-IE"/>
        </w:rPr>
        <w:t>OJ L 354, 26.10.2020, p. 1</w:t>
      </w:r>
      <w:r w:rsidR="00A93EF0">
        <w:rPr>
          <w:b/>
          <w:u w:val="single"/>
          <w:lang w:val="en-IE"/>
        </w:rPr>
        <w:t>)</w:t>
      </w:r>
      <w:r>
        <w:rPr>
          <w:b/>
          <w:u w:val="single"/>
          <w:lang w:val="en-IE"/>
        </w:rPr>
        <w:t>.</w:t>
      </w:r>
    </w:p>
  </w:footnote>
  <w:footnote w:id="21">
    <w:p w:rsidRPr="007B07CA" w:rsidR="005D5AEF" w:rsidP="0077599A" w:rsidRDefault="005D5AEF" w14:paraId="5378E3F2" w14:textId="77777777">
      <w:pPr>
        <w:pStyle w:val="FootnoteText"/>
        <w:rPr>
          <w:lang w:val="en-US"/>
        </w:rPr>
      </w:pPr>
      <w:r w:rsidRPr="00147787">
        <w:rPr>
          <w:rStyle w:val="FootnoteReference"/>
        </w:rPr>
        <w:footnoteRef/>
      </w:r>
      <w:r>
        <w:tab/>
      </w:r>
      <w:r w:rsidRPr="007B07CA">
        <w:rPr>
          <w:lang w:val="en-US"/>
        </w:rPr>
        <w:t>Council Regulation (EU, Euratom) 2021/768 of 30 April 2021 laying down implementing measures for the system of own resources of the European Union and repealing Regul</w:t>
      </w:r>
      <w:r w:rsidRPr="00C02BDC">
        <w:rPr>
          <w:lang w:val="en-US"/>
        </w:rPr>
        <w:t>ation (EU, Euratom) No 608/2014</w:t>
      </w:r>
      <w:r w:rsidRPr="007B07CA">
        <w:rPr>
          <w:lang w:val="en-US"/>
        </w:rPr>
        <w:t xml:space="preserve"> </w:t>
      </w:r>
      <w:r>
        <w:rPr>
          <w:lang w:val="en-US"/>
        </w:rPr>
        <w:t>(</w:t>
      </w:r>
      <w:r w:rsidRPr="007B07CA">
        <w:rPr>
          <w:lang w:val="en-US"/>
        </w:rPr>
        <w:t>OJ L 165, 11.5.2021, p. 1</w:t>
      </w:r>
      <w:r>
        <w:rPr>
          <w:lang w:val="en-US"/>
        </w:rPr>
        <w:t>)</w:t>
      </w:r>
      <w:r w:rsidRPr="007B07CA">
        <w:rPr>
          <w:lang w:val="en-US"/>
        </w:rPr>
        <w:t>.</w:t>
      </w:r>
    </w:p>
  </w:footnote>
  <w:footnote w:id="22">
    <w:p w:rsidRPr="00E838A0" w:rsidR="00E838A0" w:rsidRDefault="00E838A0" w14:paraId="0703AB18" w14:textId="13A49907">
      <w:pPr>
        <w:pStyle w:val="FootnoteText"/>
      </w:pPr>
      <w:r>
        <w:rPr>
          <w:rStyle w:val="FootnoteReference"/>
        </w:rPr>
        <w:footnoteRef/>
      </w:r>
      <w:r w:rsidRPr="00E838A0">
        <w:rPr>
          <w:lang w:val="en-IE"/>
        </w:rPr>
        <w:tab/>
      </w:r>
      <w:r w:rsidRPr="00E71535">
        <w:rPr>
          <w:noProof/>
          <w:lang w:val="en-US"/>
        </w:rPr>
        <w:t>Regulation</w:t>
      </w:r>
      <w:r w:rsidRPr="003C6A75">
        <w:rPr>
          <w:noProof/>
        </w:rPr>
        <w:t xml:space="preserve"> (EU) 2019/516 of the European Parliament and of the Council of 19 March 2019 on the harmonisation of gross national income at market prices and repealing Council Directive 89/130/EEC, Euratom and Council Regulation (EC, Euratom) No 1287/2003 (GNI Regulation) (OJ L 91, 29.3.2019, p. 19)</w:t>
      </w:r>
      <w:r>
        <w:rPr>
          <w:noProof/>
        </w:rPr>
        <w:t>.</w:t>
      </w:r>
    </w:p>
  </w:footnote>
  <w:footnote w:id="23">
    <w:p w:rsidRPr="00716BF8" w:rsidR="00716BF8" w:rsidRDefault="00716BF8" w14:paraId="2D34C816" w14:textId="2EDA66B0">
      <w:pPr>
        <w:pStyle w:val="FootnoteText"/>
        <w:rPr>
          <w:lang w:val="en-IE"/>
        </w:rPr>
      </w:pPr>
      <w:r>
        <w:rPr>
          <w:rStyle w:val="FootnoteReference"/>
        </w:rPr>
        <w:footnoteRef/>
      </w:r>
      <w:r w:rsidRPr="00716BF8">
        <w:rPr>
          <w:lang w:val="en-IE"/>
        </w:rPr>
        <w:tab/>
        <w:t>Regulation (EU) No 600/2014 of the European Parliament and of the Council of 15 May 2014 on markets in financial instruments and amending Regulation (EU) No 648/2012 (OJ L 173 12.6.2014, p. 84).</w:t>
      </w:r>
    </w:p>
  </w:footnote>
  <w:footnote w:id="24">
    <w:p w:rsidRPr="00716BF8" w:rsidR="00716BF8" w:rsidP="00716BF8" w:rsidRDefault="00716BF8" w14:paraId="08259B5F" w14:textId="1E18D849">
      <w:pPr>
        <w:ind w:left="720" w:hanging="720"/>
      </w:pPr>
      <w:r>
        <w:rPr>
          <w:rStyle w:val="FootnoteReference"/>
        </w:rPr>
        <w:footnoteRef/>
      </w:r>
      <w:r w:rsidRPr="00716BF8">
        <w:rPr>
          <w:lang w:val="en-IE"/>
        </w:rPr>
        <w:tab/>
      </w:r>
      <w:r w:rsidRPr="006E33A8">
        <w:rPr>
          <w:noProof/>
          <w:sz w:val="20"/>
          <w:szCs w:val="20"/>
        </w:rPr>
        <w:t>Directive 2014/65/EU of the European Parliament and of the Council of 15 May 2014 on markets in financial instruments and amending Directive 2002/92/EC and Directive 2011/61/EU (OJ L 173, 12.6.2014, p. 349).</w:t>
      </w:r>
    </w:p>
  </w:footnote>
  <w:footnote w:id="25">
    <w:p w:rsidRPr="001F7CBF" w:rsidR="005D5AEF" w:rsidP="0077599A" w:rsidRDefault="005D5AEF" w14:paraId="5FCD944D" w14:textId="77777777">
      <w:pPr>
        <w:pStyle w:val="FootnoteText"/>
        <w:rPr>
          <w:lang w:val="en-IE"/>
        </w:rPr>
      </w:pPr>
      <w:r w:rsidRPr="00F46A15">
        <w:rPr>
          <w:rStyle w:val="FootnoteReference"/>
        </w:rPr>
        <w:footnoteRef/>
      </w:r>
      <w:r>
        <w:tab/>
      </w:r>
      <w:r w:rsidRPr="00E405F2">
        <w:rPr>
          <w:iCs/>
          <w:lang w:val="en-IE"/>
        </w:rPr>
        <w:t>OJ L 130, 16.5.2023, p. 52</w:t>
      </w:r>
    </w:p>
  </w:footnote>
  <w:footnote w:id="26">
    <w:p w:rsidRPr="00184907" w:rsidR="00184907" w:rsidRDefault="00184907" w14:paraId="7744E21A" w14:textId="4EDF3BF7">
      <w:pPr>
        <w:pStyle w:val="FootnoteText"/>
        <w:rPr>
          <w:lang w:val="en-IE"/>
        </w:rPr>
      </w:pPr>
      <w:r>
        <w:rPr>
          <w:rStyle w:val="FootnoteReference"/>
        </w:rPr>
        <w:footnoteRef/>
      </w:r>
      <w:r w:rsidRPr="00184907">
        <w:rPr>
          <w:lang w:val="en-IE"/>
        </w:rPr>
        <w:tab/>
        <w:t>Commission Regulation (EU) No 1031/2010 of 12 November 2010 on the timing, administration and other aspects of auctioning of greenhouse gas emission allowances pursuant to Directive 2003/87/EC of the European Parliament and of the Council establishing a system for greenhouse gas emission allowances trading within the Union (OJ L 302 18.11.2010, p. 1).</w:t>
      </w:r>
    </w:p>
  </w:footnote>
  <w:footnote w:id="27">
    <w:p w:rsidRPr="00FC2964" w:rsidR="00FC2964" w:rsidRDefault="00FC2964" w14:paraId="59C1C3BC" w14:textId="2B041396">
      <w:pPr>
        <w:pStyle w:val="FootnoteText"/>
        <w:rPr>
          <w:lang w:val="en-IE"/>
        </w:rPr>
      </w:pPr>
      <w:r>
        <w:rPr>
          <w:rStyle w:val="FootnoteReference"/>
        </w:rPr>
        <w:footnoteRef/>
      </w:r>
      <w:r w:rsidRPr="00FC2964">
        <w:rPr>
          <w:lang w:val="en-IE"/>
        </w:rPr>
        <w:tab/>
        <w:t>Directive 2003/87/EC of the European Parliament and of the Council of 13 October 2003 establishing a scheme for greenhouse gas emission allowance trading within the Community and amending Council Directive 96/61/EC (OJ L 275, 25.10.2003, p. 32).</w:t>
      </w:r>
    </w:p>
  </w:footnote>
  <w:footnote w:id="28">
    <w:p w:rsidRPr="00804628" w:rsidR="00804628" w:rsidRDefault="00804628" w14:paraId="69EF2BE9" w14:textId="037821E8">
      <w:pPr>
        <w:pStyle w:val="FootnoteText"/>
        <w:rPr>
          <w:lang w:val="en-IE"/>
        </w:rPr>
      </w:pPr>
      <w:r>
        <w:rPr>
          <w:rStyle w:val="FootnoteReference"/>
        </w:rPr>
        <w:footnoteRef/>
      </w:r>
      <w:r w:rsidRPr="00804628">
        <w:rPr>
          <w:lang w:val="en-IE"/>
        </w:rPr>
        <w:tab/>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w:t>
      </w:r>
    </w:p>
  </w:footnote>
  <w:footnote w:id="29">
    <w:p w:rsidRPr="005737ED" w:rsidR="005737ED" w:rsidRDefault="005737ED" w14:paraId="360D4E6E" w14:textId="7378D5FB">
      <w:pPr>
        <w:pStyle w:val="FootnoteText"/>
        <w:rPr>
          <w:lang w:val="en-IE"/>
        </w:rPr>
      </w:pPr>
      <w:r>
        <w:rPr>
          <w:rStyle w:val="FootnoteReference"/>
        </w:rPr>
        <w:footnoteRef/>
      </w:r>
      <w:r w:rsidRPr="005737ED">
        <w:rPr>
          <w:lang w:val="en-IE"/>
        </w:rPr>
        <w:tab/>
      </w:r>
      <w:r w:rsidRPr="006E33A8">
        <w:rPr>
          <w:noProof/>
        </w:rPr>
        <w:t xml:space="preserve">Regulation (EU) </w:t>
      </w:r>
      <w:r w:rsidRPr="00EB0556">
        <w:rPr>
          <w:lang w:val="en-IE"/>
        </w:rPr>
        <w:t>2023/956/EC</w:t>
      </w:r>
      <w:r w:rsidRPr="006E33A8">
        <w:rPr>
          <w:noProof/>
        </w:rPr>
        <w:t xml:space="preserve"> of the European Parliament and of the Council on the carbon border adjustment mechanism</w:t>
      </w:r>
      <w:r>
        <w:rPr>
          <w:noProof/>
        </w:rPr>
        <w:t xml:space="preserve"> </w:t>
      </w:r>
      <w:r w:rsidRPr="00EB0556">
        <w:rPr>
          <w:lang w:val="en-IE"/>
        </w:rPr>
        <w:t>(OJ L 130, 16.05.2023, p. 52)</w:t>
      </w:r>
      <w:r w:rsidRPr="001122AC">
        <w:rPr>
          <w:noProof/>
        </w:rPr>
        <w:t>.</w:t>
      </w:r>
    </w:p>
  </w:footnote>
  <w:footnote w:id="30">
    <w:p w:rsidRPr="00A71E1B" w:rsidR="00A71E1B" w:rsidRDefault="00A71E1B" w14:paraId="4E70F8A1" w14:textId="6FE0FA67">
      <w:pPr>
        <w:pStyle w:val="FootnoteText"/>
        <w:rPr>
          <w:lang w:val="en-IE"/>
        </w:rPr>
      </w:pPr>
      <w:r>
        <w:rPr>
          <w:rStyle w:val="FootnoteReference"/>
        </w:rPr>
        <w:footnoteRef/>
      </w:r>
      <w:r w:rsidRPr="00A71E1B">
        <w:rPr>
          <w:lang w:val="en-IE"/>
        </w:rPr>
        <w:tab/>
        <w:t>Regulation (EU) No 596/2014 of the European Parliament and of the Council of 16 April 2014 on market abuse (market abuse regulation) and repealing Directive 2003/6/EC of the European Parliament and of the Council and Commission Directives 2003/124/EC, 2003/125/EC and 2004/72/EC (OJ L 173 12.6.2014, p. 1).</w:t>
      </w:r>
    </w:p>
  </w:footnote>
  <w:footnote w:id="31">
    <w:p w:rsidRPr="00A71E1B" w:rsidR="00A71E1B" w:rsidRDefault="00A71E1B" w14:paraId="35E062A2" w14:textId="3520BF43">
      <w:pPr>
        <w:pStyle w:val="FootnoteText"/>
        <w:rPr>
          <w:lang w:val="en-IE"/>
        </w:rPr>
      </w:pPr>
      <w:r>
        <w:rPr>
          <w:rStyle w:val="FootnoteReference"/>
        </w:rPr>
        <w:footnoteRef/>
      </w:r>
      <w:r w:rsidRPr="00A71E1B">
        <w:rPr>
          <w:lang w:val="en-IE"/>
        </w:rPr>
        <w:tab/>
        <w:t>Regulation (EU) No 648/2012 of the European Parliament and of the Council of 4 July 2012 on OTC derivatives, central counterparties and trade repositories (OJ L 201, 27.7.2012, p. 1).</w:t>
      </w:r>
    </w:p>
  </w:footnote>
  <w:footnote w:id="32">
    <w:p w:rsidRPr="002C6AB3" w:rsidR="002C6AB3" w:rsidRDefault="002C6AB3" w14:paraId="4A8A1D4E" w14:textId="230EAF75">
      <w:pPr>
        <w:pStyle w:val="FootnoteText"/>
        <w:rPr>
          <w:lang w:val="en-IE"/>
        </w:rPr>
      </w:pPr>
      <w:r>
        <w:rPr>
          <w:rStyle w:val="FootnoteReference"/>
        </w:rPr>
        <w:footnoteRef/>
      </w:r>
      <w:r w:rsidRPr="002C6AB3">
        <w:rPr>
          <w:lang w:val="en-IE"/>
        </w:rPr>
        <w:tab/>
        <w:t>Regulation (EU) No 909/2014 of the European Parliament and of the Council of 23 July 2014 on improving securities settlement in the European Union and on central securities depositories and amending Directives 98/26/EC and 2014/65/EU and Regulation (EU) No 236/2012 (OJ L 257, 28.8.2014,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542EF2" w:rsidP="00607265" w:rsidRDefault="00542EF2" w14:paraId="79D793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542EF2" w:rsidP="00607265" w:rsidRDefault="00542EF2" w14:paraId="6A4AA7A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7265" w:rsidR="00542EF2" w:rsidP="00607265" w:rsidRDefault="00542EF2" w14:paraId="34DF03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2A20D4C"/>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7CB4A7B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99CE23FA"/>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720CCE4A"/>
    <w:lvl w:ilvl="0">
      <w:start w:val="1"/>
      <w:numFmt w:val="bullet"/>
      <w:pStyle w:val="ListBullet4"/>
      <w:lvlText w:val=""/>
      <w:lvlJc w:val="left"/>
      <w:pPr>
        <w:tabs>
          <w:tab w:val="num" w:pos="1440"/>
        </w:tabs>
        <w:ind w:left="1440" w:hanging="360"/>
      </w:pPr>
      <w:rPr>
        <w:rFonts w:hint="default" w:ascii="Symbol" w:hAnsi="Symbol"/>
      </w:rPr>
    </w:lvl>
  </w:abstractNum>
  <w:abstractNum w:abstractNumId="4" w15:restartNumberingAfterBreak="0">
    <w:nsid w:val="FFFFFF82"/>
    <w:multiLevelType w:val="singleLevel"/>
    <w:tmpl w:val="57EEBEF2"/>
    <w:lvl w:ilvl="0">
      <w:start w:val="1"/>
      <w:numFmt w:val="bullet"/>
      <w:pStyle w:val="ListBullet3"/>
      <w:lvlText w:val=""/>
      <w:lvlJc w:val="left"/>
      <w:pPr>
        <w:tabs>
          <w:tab w:val="num" w:pos="1080"/>
        </w:tabs>
        <w:ind w:left="1080" w:hanging="360"/>
      </w:pPr>
      <w:rPr>
        <w:rFonts w:hint="default" w:ascii="Symbol" w:hAnsi="Symbol"/>
      </w:rPr>
    </w:lvl>
  </w:abstractNum>
  <w:abstractNum w:abstractNumId="5" w15:restartNumberingAfterBreak="0">
    <w:nsid w:val="FFFFFF83"/>
    <w:multiLevelType w:val="singleLevel"/>
    <w:tmpl w:val="177084EE"/>
    <w:lvl w:ilvl="0">
      <w:start w:val="1"/>
      <w:numFmt w:val="bullet"/>
      <w:pStyle w:val="ListBullet2"/>
      <w:lvlText w:val=""/>
      <w:lvlJc w:val="left"/>
      <w:pPr>
        <w:tabs>
          <w:tab w:val="num" w:pos="720"/>
        </w:tabs>
        <w:ind w:left="720" w:hanging="360"/>
      </w:pPr>
      <w:rPr>
        <w:rFonts w:hint="default" w:ascii="Symbol" w:hAnsi="Symbol"/>
      </w:rPr>
    </w:lvl>
  </w:abstractNum>
  <w:abstractNum w:abstractNumId="6" w15:restartNumberingAfterBreak="0">
    <w:nsid w:val="FFFFFF88"/>
    <w:multiLevelType w:val="singleLevel"/>
    <w:tmpl w:val="7E8400C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6762FFC"/>
    <w:lvl w:ilvl="0">
      <w:start w:val="1"/>
      <w:numFmt w:val="bullet"/>
      <w:pStyle w:val="ListBullet"/>
      <w:lvlText w:val=""/>
      <w:lvlJc w:val="left"/>
      <w:pPr>
        <w:tabs>
          <w:tab w:val="num" w:pos="360"/>
        </w:tabs>
        <w:ind w:left="360" w:hanging="360"/>
      </w:pPr>
      <w:rPr>
        <w:rFonts w:hint="default" w:ascii="Symbol" w:hAnsi="Symbol"/>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hint="default" w:ascii="Symbol" w:hAnsi="Symbol"/>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hint="default" w:ascii="Symbol" w:hAnsi="Symbol"/>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hint="default" w:ascii="Symbol" w:hAnsi="Symbol"/>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hint="default" w:ascii="Symbol" w:hAnsi="Symbol"/>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hint="default" w:ascii="Symbol" w:hAnsi="Symbol"/>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40092556">
    <w:abstractNumId w:val="7"/>
  </w:num>
  <w:num w:numId="2" w16cid:durableId="1956911829">
    <w:abstractNumId w:val="5"/>
  </w:num>
  <w:num w:numId="3" w16cid:durableId="1591431504">
    <w:abstractNumId w:val="4"/>
  </w:num>
  <w:num w:numId="4" w16cid:durableId="274875807">
    <w:abstractNumId w:val="3"/>
  </w:num>
  <w:num w:numId="5" w16cid:durableId="1971277498">
    <w:abstractNumId w:val="6"/>
  </w:num>
  <w:num w:numId="6" w16cid:durableId="1829859922">
    <w:abstractNumId w:val="2"/>
  </w:num>
  <w:num w:numId="7" w16cid:durableId="1064179437">
    <w:abstractNumId w:val="1"/>
  </w:num>
  <w:num w:numId="8" w16cid:durableId="113639775">
    <w:abstractNumId w:val="0"/>
  </w:num>
  <w:num w:numId="9" w16cid:durableId="1814982320">
    <w:abstractNumId w:val="21"/>
    <w:lvlOverride w:ilvl="0">
      <w:startOverride w:val="1"/>
    </w:lvlOverride>
  </w:num>
  <w:num w:numId="10" w16cid:durableId="130370509">
    <w:abstractNumId w:val="19"/>
  </w:num>
  <w:num w:numId="11" w16cid:durableId="2097285298">
    <w:abstractNumId w:val="12"/>
  </w:num>
  <w:num w:numId="12" w16cid:durableId="1611352630">
    <w:abstractNumId w:val="21"/>
  </w:num>
  <w:num w:numId="13" w16cid:durableId="1674529353">
    <w:abstractNumId w:val="11"/>
  </w:num>
  <w:num w:numId="14" w16cid:durableId="105010220">
    <w:abstractNumId w:val="13"/>
  </w:num>
  <w:num w:numId="15" w16cid:durableId="455367005">
    <w:abstractNumId w:val="14"/>
  </w:num>
  <w:num w:numId="16" w16cid:durableId="155920776">
    <w:abstractNumId w:val="9"/>
  </w:num>
  <w:num w:numId="17" w16cid:durableId="794636821">
    <w:abstractNumId w:val="20"/>
  </w:num>
  <w:num w:numId="18" w16cid:durableId="2076509997">
    <w:abstractNumId w:val="8"/>
  </w:num>
  <w:num w:numId="19" w16cid:durableId="1833400854">
    <w:abstractNumId w:val="15"/>
  </w:num>
  <w:num w:numId="20" w16cid:durableId="761142842">
    <w:abstractNumId w:val="17"/>
  </w:num>
  <w:num w:numId="21" w16cid:durableId="88698945">
    <w:abstractNumId w:val="18"/>
  </w:num>
  <w:num w:numId="22" w16cid:durableId="2095131023">
    <w:abstractNumId w:val="10"/>
  </w:num>
  <w:num w:numId="23" w16cid:durableId="140998726">
    <w:abstractNumId w:val="16"/>
  </w:num>
  <w:num w:numId="24" w16cid:durableId="15130342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6-21 16:26: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E944A44-660E-477B-9D4E-2061E02830C6"/>
    <w:docVar w:name="LW_COVERPAGE_TYPE" w:val="1"/>
    <w:docVar w:name="LW_CROSSREFERENCE" w:val="&lt;UNUSED&gt;"/>
    <w:docVar w:name="LW_DocType" w:val="COM"/>
    <w:docVar w:name="LW_EMISSION" w:val="20.6.2023"/>
    <w:docVar w:name="LW_EMISSION_ISODATE" w:val="2023-06-20"/>
    <w:docVar w:name="LW_EMISSION_LOCATION" w:val="BRX"/>
    <w:docVar w:name="LW_EMISSION_PREFIX" w:val="Brussels, "/>
    <w:docVar w:name="LW_EMISSION_SUFFIX" w:val=" "/>
    <w:docVar w:name="LW_ID_DOCMODEL" w:val="SJ-016"/>
    <w:docVar w:name="LW_ID_DOCSIGNATURE" w:val="SJ-016"/>
    <w:docVar w:name="LW_ID_DOCSTRUCTURE" w:val="COM/PL/MOD"/>
    <w:docVar w:name="LW_ID_DOCTYPE" w:val="SG-006"/>
    <w:docVar w:name="LW_ID_STATUT" w:val="SG-006"/>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23) 3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amending Regulation (EU, Euratom) 2021/768 of 30 April 2021 as regards implementing measures for new own resources of the European Union"/>
    <w:docVar w:name="LW_TYPE.DOC.CP" w:val="COUNCIL REGULATION"/>
    <w:docVar w:name="LwApiVersions" w:val="LW4CoDe 1.23.2.0; LW 8.0, Build 20211117"/>
  </w:docVars>
  <w:rsids>
    <w:rsidRoot w:val="000273D4"/>
    <w:rsid w:val="00001008"/>
    <w:rsid w:val="00003E0C"/>
    <w:rsid w:val="00005B09"/>
    <w:rsid w:val="00020624"/>
    <w:rsid w:val="000213A2"/>
    <w:rsid w:val="00025699"/>
    <w:rsid w:val="000273D4"/>
    <w:rsid w:val="00045BC6"/>
    <w:rsid w:val="000527C6"/>
    <w:rsid w:val="000672EF"/>
    <w:rsid w:val="00090368"/>
    <w:rsid w:val="00097AD5"/>
    <w:rsid w:val="000A12F2"/>
    <w:rsid w:val="000A2938"/>
    <w:rsid w:val="000A43C6"/>
    <w:rsid w:val="000A5109"/>
    <w:rsid w:val="000A52CC"/>
    <w:rsid w:val="000B06C7"/>
    <w:rsid w:val="000B187E"/>
    <w:rsid w:val="000B3087"/>
    <w:rsid w:val="000B314C"/>
    <w:rsid w:val="000B5B09"/>
    <w:rsid w:val="000C1B50"/>
    <w:rsid w:val="000C2DE9"/>
    <w:rsid w:val="000C4682"/>
    <w:rsid w:val="000C62B2"/>
    <w:rsid w:val="000D0A6F"/>
    <w:rsid w:val="001028FA"/>
    <w:rsid w:val="001065F5"/>
    <w:rsid w:val="00107F47"/>
    <w:rsid w:val="00116333"/>
    <w:rsid w:val="001238EF"/>
    <w:rsid w:val="00123E75"/>
    <w:rsid w:val="00126D23"/>
    <w:rsid w:val="00137B30"/>
    <w:rsid w:val="00157302"/>
    <w:rsid w:val="001607F0"/>
    <w:rsid w:val="00164A45"/>
    <w:rsid w:val="00164BA7"/>
    <w:rsid w:val="00172431"/>
    <w:rsid w:val="00173C2F"/>
    <w:rsid w:val="0018348B"/>
    <w:rsid w:val="00184907"/>
    <w:rsid w:val="001926B4"/>
    <w:rsid w:val="00197613"/>
    <w:rsid w:val="001A0119"/>
    <w:rsid w:val="001A17E4"/>
    <w:rsid w:val="001A3645"/>
    <w:rsid w:val="001A65A9"/>
    <w:rsid w:val="001B3287"/>
    <w:rsid w:val="001C079B"/>
    <w:rsid w:val="001C1C47"/>
    <w:rsid w:val="001C5D6E"/>
    <w:rsid w:val="001D0DDA"/>
    <w:rsid w:val="001D291D"/>
    <w:rsid w:val="001F3DFA"/>
    <w:rsid w:val="00215DD9"/>
    <w:rsid w:val="002174BE"/>
    <w:rsid w:val="00233DC7"/>
    <w:rsid w:val="00247779"/>
    <w:rsid w:val="00247AC4"/>
    <w:rsid w:val="00252B07"/>
    <w:rsid w:val="00252F33"/>
    <w:rsid w:val="0025538E"/>
    <w:rsid w:val="00255BC2"/>
    <w:rsid w:val="0025731A"/>
    <w:rsid w:val="002639A9"/>
    <w:rsid w:val="00266ADA"/>
    <w:rsid w:val="00276DD9"/>
    <w:rsid w:val="00285BEE"/>
    <w:rsid w:val="00285C8E"/>
    <w:rsid w:val="0029533F"/>
    <w:rsid w:val="002A10B4"/>
    <w:rsid w:val="002A78D8"/>
    <w:rsid w:val="002B30AF"/>
    <w:rsid w:val="002C6AB3"/>
    <w:rsid w:val="002E593A"/>
    <w:rsid w:val="002F52ED"/>
    <w:rsid w:val="002F7BED"/>
    <w:rsid w:val="00301775"/>
    <w:rsid w:val="003067BC"/>
    <w:rsid w:val="00323A5F"/>
    <w:rsid w:val="00327207"/>
    <w:rsid w:val="00332596"/>
    <w:rsid w:val="0033344A"/>
    <w:rsid w:val="00333769"/>
    <w:rsid w:val="0033712C"/>
    <w:rsid w:val="00343E71"/>
    <w:rsid w:val="00345787"/>
    <w:rsid w:val="00351AEB"/>
    <w:rsid w:val="00367BB3"/>
    <w:rsid w:val="003761EA"/>
    <w:rsid w:val="003807EB"/>
    <w:rsid w:val="00387D93"/>
    <w:rsid w:val="003942C8"/>
    <w:rsid w:val="003A2447"/>
    <w:rsid w:val="003B31CC"/>
    <w:rsid w:val="003C6523"/>
    <w:rsid w:val="003D0C1B"/>
    <w:rsid w:val="003E1A84"/>
    <w:rsid w:val="003E4D1A"/>
    <w:rsid w:val="003F2D19"/>
    <w:rsid w:val="00404C11"/>
    <w:rsid w:val="004137E2"/>
    <w:rsid w:val="00417D40"/>
    <w:rsid w:val="0042081D"/>
    <w:rsid w:val="0042246A"/>
    <w:rsid w:val="00422908"/>
    <w:rsid w:val="004260F7"/>
    <w:rsid w:val="0042648E"/>
    <w:rsid w:val="0043020B"/>
    <w:rsid w:val="004325F0"/>
    <w:rsid w:val="00434E30"/>
    <w:rsid w:val="0045687C"/>
    <w:rsid w:val="004610CF"/>
    <w:rsid w:val="00465404"/>
    <w:rsid w:val="00467C57"/>
    <w:rsid w:val="004743EC"/>
    <w:rsid w:val="004757E7"/>
    <w:rsid w:val="00480DA0"/>
    <w:rsid w:val="00486028"/>
    <w:rsid w:val="00490C75"/>
    <w:rsid w:val="004936D2"/>
    <w:rsid w:val="00497BA9"/>
    <w:rsid w:val="004A00C1"/>
    <w:rsid w:val="004B06BB"/>
    <w:rsid w:val="004B0FFB"/>
    <w:rsid w:val="004B784C"/>
    <w:rsid w:val="0050558C"/>
    <w:rsid w:val="0050745F"/>
    <w:rsid w:val="00523432"/>
    <w:rsid w:val="00542EF2"/>
    <w:rsid w:val="0055090A"/>
    <w:rsid w:val="00551189"/>
    <w:rsid w:val="00552ECD"/>
    <w:rsid w:val="00561EED"/>
    <w:rsid w:val="005661A0"/>
    <w:rsid w:val="005737ED"/>
    <w:rsid w:val="00575F60"/>
    <w:rsid w:val="0058363D"/>
    <w:rsid w:val="005839A3"/>
    <w:rsid w:val="005A53EB"/>
    <w:rsid w:val="005A5E58"/>
    <w:rsid w:val="005A6911"/>
    <w:rsid w:val="005B1EB6"/>
    <w:rsid w:val="005C6640"/>
    <w:rsid w:val="005D5AEF"/>
    <w:rsid w:val="005F2889"/>
    <w:rsid w:val="00607265"/>
    <w:rsid w:val="0061771D"/>
    <w:rsid w:val="00630697"/>
    <w:rsid w:val="00641A01"/>
    <w:rsid w:val="00645500"/>
    <w:rsid w:val="0064562C"/>
    <w:rsid w:val="00655CF2"/>
    <w:rsid w:val="006700FA"/>
    <w:rsid w:val="00673ED6"/>
    <w:rsid w:val="00680DEE"/>
    <w:rsid w:val="00683443"/>
    <w:rsid w:val="00684C6F"/>
    <w:rsid w:val="00686C08"/>
    <w:rsid w:val="006903DB"/>
    <w:rsid w:val="00696E86"/>
    <w:rsid w:val="006A0924"/>
    <w:rsid w:val="006B0A0F"/>
    <w:rsid w:val="006B35D2"/>
    <w:rsid w:val="006E0277"/>
    <w:rsid w:val="006F5F36"/>
    <w:rsid w:val="0070373A"/>
    <w:rsid w:val="007076D0"/>
    <w:rsid w:val="007101C2"/>
    <w:rsid w:val="00711C72"/>
    <w:rsid w:val="00716BF8"/>
    <w:rsid w:val="007274FE"/>
    <w:rsid w:val="00736459"/>
    <w:rsid w:val="00737DB1"/>
    <w:rsid w:val="00752446"/>
    <w:rsid w:val="00754A1E"/>
    <w:rsid w:val="00755BB2"/>
    <w:rsid w:val="007567DE"/>
    <w:rsid w:val="00757D79"/>
    <w:rsid w:val="00773331"/>
    <w:rsid w:val="0077599A"/>
    <w:rsid w:val="007809D6"/>
    <w:rsid w:val="00784050"/>
    <w:rsid w:val="00787E64"/>
    <w:rsid w:val="007932EF"/>
    <w:rsid w:val="00794317"/>
    <w:rsid w:val="00795C9A"/>
    <w:rsid w:val="0079717E"/>
    <w:rsid w:val="007B17A3"/>
    <w:rsid w:val="007D4C36"/>
    <w:rsid w:val="007E05B0"/>
    <w:rsid w:val="007E1D89"/>
    <w:rsid w:val="007E3CAB"/>
    <w:rsid w:val="007F0817"/>
    <w:rsid w:val="00802FB2"/>
    <w:rsid w:val="00802FE6"/>
    <w:rsid w:val="00804628"/>
    <w:rsid w:val="00813418"/>
    <w:rsid w:val="00824D9E"/>
    <w:rsid w:val="00834F5B"/>
    <w:rsid w:val="0083546F"/>
    <w:rsid w:val="00837A24"/>
    <w:rsid w:val="00851FEC"/>
    <w:rsid w:val="00861C87"/>
    <w:rsid w:val="00871B6B"/>
    <w:rsid w:val="0087492C"/>
    <w:rsid w:val="00874D22"/>
    <w:rsid w:val="00884BE9"/>
    <w:rsid w:val="008A2914"/>
    <w:rsid w:val="008A65AA"/>
    <w:rsid w:val="008B57ED"/>
    <w:rsid w:val="008B723B"/>
    <w:rsid w:val="008B7658"/>
    <w:rsid w:val="008C2544"/>
    <w:rsid w:val="008C31F0"/>
    <w:rsid w:val="008C3E96"/>
    <w:rsid w:val="008C4B8D"/>
    <w:rsid w:val="008D4CA3"/>
    <w:rsid w:val="008E4D8E"/>
    <w:rsid w:val="009067BD"/>
    <w:rsid w:val="00911DD8"/>
    <w:rsid w:val="00957162"/>
    <w:rsid w:val="00957470"/>
    <w:rsid w:val="00961E14"/>
    <w:rsid w:val="00971EB7"/>
    <w:rsid w:val="00980AFA"/>
    <w:rsid w:val="00990397"/>
    <w:rsid w:val="009A0447"/>
    <w:rsid w:val="009A1D71"/>
    <w:rsid w:val="009A789E"/>
    <w:rsid w:val="009B0A22"/>
    <w:rsid w:val="009B143F"/>
    <w:rsid w:val="009B1BF2"/>
    <w:rsid w:val="009D5A03"/>
    <w:rsid w:val="009E12FD"/>
    <w:rsid w:val="009E321E"/>
    <w:rsid w:val="009E5710"/>
    <w:rsid w:val="009F6848"/>
    <w:rsid w:val="009F7C9A"/>
    <w:rsid w:val="00A000D6"/>
    <w:rsid w:val="00A02CF7"/>
    <w:rsid w:val="00A02D8A"/>
    <w:rsid w:val="00A134B5"/>
    <w:rsid w:val="00A22276"/>
    <w:rsid w:val="00A22BEF"/>
    <w:rsid w:val="00A23820"/>
    <w:rsid w:val="00A3093E"/>
    <w:rsid w:val="00A425DD"/>
    <w:rsid w:val="00A50006"/>
    <w:rsid w:val="00A50E99"/>
    <w:rsid w:val="00A51E71"/>
    <w:rsid w:val="00A5222D"/>
    <w:rsid w:val="00A53F36"/>
    <w:rsid w:val="00A66791"/>
    <w:rsid w:val="00A702DD"/>
    <w:rsid w:val="00A71E1B"/>
    <w:rsid w:val="00A71F16"/>
    <w:rsid w:val="00A743F9"/>
    <w:rsid w:val="00A81529"/>
    <w:rsid w:val="00A86317"/>
    <w:rsid w:val="00A93EF0"/>
    <w:rsid w:val="00A97A8D"/>
    <w:rsid w:val="00AA752F"/>
    <w:rsid w:val="00AB156B"/>
    <w:rsid w:val="00AC26F7"/>
    <w:rsid w:val="00AD3211"/>
    <w:rsid w:val="00AD65C5"/>
    <w:rsid w:val="00AE6879"/>
    <w:rsid w:val="00AF255E"/>
    <w:rsid w:val="00AF30DA"/>
    <w:rsid w:val="00AF4137"/>
    <w:rsid w:val="00AF4D0C"/>
    <w:rsid w:val="00AF6C6D"/>
    <w:rsid w:val="00AF7F51"/>
    <w:rsid w:val="00B15366"/>
    <w:rsid w:val="00B30715"/>
    <w:rsid w:val="00B3142C"/>
    <w:rsid w:val="00B35D63"/>
    <w:rsid w:val="00B408AB"/>
    <w:rsid w:val="00B50272"/>
    <w:rsid w:val="00B52A3A"/>
    <w:rsid w:val="00B659AD"/>
    <w:rsid w:val="00B65F42"/>
    <w:rsid w:val="00B75A08"/>
    <w:rsid w:val="00B8013A"/>
    <w:rsid w:val="00BA0A54"/>
    <w:rsid w:val="00BA2376"/>
    <w:rsid w:val="00BA664E"/>
    <w:rsid w:val="00BA7FB8"/>
    <w:rsid w:val="00BB215D"/>
    <w:rsid w:val="00BC0B8B"/>
    <w:rsid w:val="00BE2C6B"/>
    <w:rsid w:val="00BE5A5D"/>
    <w:rsid w:val="00BF03D9"/>
    <w:rsid w:val="00BF0C0D"/>
    <w:rsid w:val="00BF2B39"/>
    <w:rsid w:val="00BF474A"/>
    <w:rsid w:val="00C04A50"/>
    <w:rsid w:val="00C12301"/>
    <w:rsid w:val="00C20EE3"/>
    <w:rsid w:val="00C3454D"/>
    <w:rsid w:val="00C35DDC"/>
    <w:rsid w:val="00C41DBD"/>
    <w:rsid w:val="00C5073E"/>
    <w:rsid w:val="00C6013B"/>
    <w:rsid w:val="00C659E6"/>
    <w:rsid w:val="00C66737"/>
    <w:rsid w:val="00C72448"/>
    <w:rsid w:val="00CA3716"/>
    <w:rsid w:val="00CA69BF"/>
    <w:rsid w:val="00CB218C"/>
    <w:rsid w:val="00CB4E86"/>
    <w:rsid w:val="00CB579F"/>
    <w:rsid w:val="00CC37F3"/>
    <w:rsid w:val="00D1599F"/>
    <w:rsid w:val="00D20381"/>
    <w:rsid w:val="00D23FF1"/>
    <w:rsid w:val="00D251EB"/>
    <w:rsid w:val="00D2526F"/>
    <w:rsid w:val="00D30591"/>
    <w:rsid w:val="00D53884"/>
    <w:rsid w:val="00D54D1E"/>
    <w:rsid w:val="00D55DC7"/>
    <w:rsid w:val="00D6235F"/>
    <w:rsid w:val="00D62780"/>
    <w:rsid w:val="00D650CB"/>
    <w:rsid w:val="00D653AE"/>
    <w:rsid w:val="00D74047"/>
    <w:rsid w:val="00D82EB3"/>
    <w:rsid w:val="00D87ED8"/>
    <w:rsid w:val="00DB099B"/>
    <w:rsid w:val="00DB3B32"/>
    <w:rsid w:val="00DE1ED5"/>
    <w:rsid w:val="00DE5EC6"/>
    <w:rsid w:val="00DF379E"/>
    <w:rsid w:val="00DF6002"/>
    <w:rsid w:val="00E07FD9"/>
    <w:rsid w:val="00E13275"/>
    <w:rsid w:val="00E1554B"/>
    <w:rsid w:val="00E16D5B"/>
    <w:rsid w:val="00E22B67"/>
    <w:rsid w:val="00E25022"/>
    <w:rsid w:val="00E260B2"/>
    <w:rsid w:val="00E26822"/>
    <w:rsid w:val="00E30D9C"/>
    <w:rsid w:val="00E330B7"/>
    <w:rsid w:val="00E335C3"/>
    <w:rsid w:val="00E33644"/>
    <w:rsid w:val="00E34E42"/>
    <w:rsid w:val="00E507F3"/>
    <w:rsid w:val="00E64174"/>
    <w:rsid w:val="00E80665"/>
    <w:rsid w:val="00E80A79"/>
    <w:rsid w:val="00E81452"/>
    <w:rsid w:val="00E838A0"/>
    <w:rsid w:val="00E83C01"/>
    <w:rsid w:val="00E87926"/>
    <w:rsid w:val="00EA212F"/>
    <w:rsid w:val="00EA3571"/>
    <w:rsid w:val="00EA3B70"/>
    <w:rsid w:val="00EA53E8"/>
    <w:rsid w:val="00EC79F4"/>
    <w:rsid w:val="00EE21A4"/>
    <w:rsid w:val="00EE3EEC"/>
    <w:rsid w:val="00EE634B"/>
    <w:rsid w:val="00F048EB"/>
    <w:rsid w:val="00F07EAB"/>
    <w:rsid w:val="00F111FC"/>
    <w:rsid w:val="00F114BB"/>
    <w:rsid w:val="00F226FF"/>
    <w:rsid w:val="00F35740"/>
    <w:rsid w:val="00F46CF0"/>
    <w:rsid w:val="00F575FA"/>
    <w:rsid w:val="00F615F5"/>
    <w:rsid w:val="00F648B1"/>
    <w:rsid w:val="00F653E7"/>
    <w:rsid w:val="00F6671D"/>
    <w:rsid w:val="00F75082"/>
    <w:rsid w:val="00F77B29"/>
    <w:rsid w:val="00F8630C"/>
    <w:rsid w:val="00F86509"/>
    <w:rsid w:val="00F90044"/>
    <w:rsid w:val="00F9049A"/>
    <w:rsid w:val="00F934A8"/>
    <w:rsid w:val="00FA2F7C"/>
    <w:rsid w:val="00FB0DCB"/>
    <w:rsid w:val="00FB11DE"/>
    <w:rsid w:val="00FB2838"/>
    <w:rsid w:val="00FB4994"/>
    <w:rsid w:val="00FB5761"/>
    <w:rsid w:val="00FC2964"/>
    <w:rsid w:val="00FC38F8"/>
    <w:rsid w:val="00FF1107"/>
    <w:rsid w:val="00FF1125"/>
    <w:rsid w:val="00FF79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B1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9"/>
    <w:semiHidden/>
    <w:unhideWhenUsed/>
    <w:rsid w:val="00E22B67"/>
    <w:pPr>
      <w:numPr>
        <w:numId w:val="1"/>
      </w:numPr>
      <w:contextualSpacing/>
    </w:pPr>
  </w:style>
  <w:style w:type="paragraph" w:styleId="ListBullet2">
    <w:name w:val="List Bullet 2"/>
    <w:basedOn w:val="Normal"/>
    <w:uiPriority w:val="99"/>
    <w:semiHidden/>
    <w:unhideWhenUsed/>
    <w:rsid w:val="00E22B67"/>
    <w:pPr>
      <w:numPr>
        <w:numId w:val="2"/>
      </w:numPr>
      <w:contextualSpacing/>
    </w:pPr>
  </w:style>
  <w:style w:type="paragraph" w:styleId="ListBullet3">
    <w:name w:val="List Bullet 3"/>
    <w:basedOn w:val="Normal"/>
    <w:uiPriority w:val="99"/>
    <w:semiHidden/>
    <w:unhideWhenUsed/>
    <w:rsid w:val="00E22B67"/>
    <w:pPr>
      <w:numPr>
        <w:numId w:val="3"/>
      </w:numPr>
      <w:contextualSpacing/>
    </w:pPr>
  </w:style>
  <w:style w:type="paragraph" w:styleId="ListBullet4">
    <w:name w:val="List Bullet 4"/>
    <w:basedOn w:val="Normal"/>
    <w:uiPriority w:val="99"/>
    <w:semiHidden/>
    <w:unhideWhenUsed/>
    <w:rsid w:val="00E22B67"/>
    <w:pPr>
      <w:numPr>
        <w:numId w:val="4"/>
      </w:numPr>
      <w:contextualSpacing/>
    </w:pPr>
  </w:style>
  <w:style w:type="paragraph" w:styleId="Caption">
    <w:name w:val="caption"/>
    <w:basedOn w:val="Normal"/>
    <w:next w:val="Normal"/>
    <w:uiPriority w:val="35"/>
    <w:semiHidden/>
    <w:unhideWhenUsed/>
    <w:qFormat/>
    <w:rsid w:val="00A51E7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51E71"/>
    <w:pPr>
      <w:spacing w:after="0"/>
    </w:pPr>
  </w:style>
  <w:style w:type="paragraph" w:styleId="ListNumber">
    <w:name w:val="List Number"/>
    <w:basedOn w:val="Normal"/>
    <w:uiPriority w:val="99"/>
    <w:semiHidden/>
    <w:unhideWhenUsed/>
    <w:rsid w:val="00A51E71"/>
    <w:pPr>
      <w:numPr>
        <w:numId w:val="5"/>
      </w:numPr>
      <w:contextualSpacing/>
    </w:pPr>
  </w:style>
  <w:style w:type="paragraph" w:styleId="ListNumber2">
    <w:name w:val="List Number 2"/>
    <w:basedOn w:val="Normal"/>
    <w:uiPriority w:val="99"/>
    <w:semiHidden/>
    <w:unhideWhenUsed/>
    <w:rsid w:val="00A51E71"/>
    <w:pPr>
      <w:numPr>
        <w:numId w:val="6"/>
      </w:numPr>
      <w:contextualSpacing/>
    </w:pPr>
  </w:style>
  <w:style w:type="paragraph" w:styleId="ListNumber3">
    <w:name w:val="List Number 3"/>
    <w:basedOn w:val="Normal"/>
    <w:uiPriority w:val="99"/>
    <w:semiHidden/>
    <w:unhideWhenUsed/>
    <w:rsid w:val="00A51E71"/>
    <w:pPr>
      <w:numPr>
        <w:numId w:val="7"/>
      </w:numPr>
      <w:contextualSpacing/>
    </w:pPr>
  </w:style>
  <w:style w:type="paragraph" w:styleId="ListNumber4">
    <w:name w:val="List Number 4"/>
    <w:basedOn w:val="Normal"/>
    <w:uiPriority w:val="99"/>
    <w:semiHidden/>
    <w:unhideWhenUsed/>
    <w:rsid w:val="00A51E71"/>
    <w:pPr>
      <w:numPr>
        <w:numId w:val="8"/>
      </w:numPr>
      <w:contextualSpacing/>
    </w:pPr>
  </w:style>
  <w:style w:type="paragraph" w:styleId="NormalWeb">
    <w:name w:val="Normal (Web)"/>
    <w:basedOn w:val="Normal"/>
    <w:uiPriority w:val="99"/>
    <w:semiHidden/>
    <w:unhideWhenUsed/>
    <w:rsid w:val="00D650CB"/>
    <w:pPr>
      <w:spacing w:before="100" w:beforeAutospacing="1" w:after="100" w:afterAutospacing="1"/>
      <w:jc w:val="left"/>
    </w:pPr>
    <w:rPr>
      <w:rFonts w:eastAsia="Times New Roman"/>
      <w:szCs w:val="24"/>
      <w:lang w:val="en-IE" w:eastAsia="en-IE"/>
    </w:rPr>
  </w:style>
  <w:style w:type="character" w:styleId="authorialnote" w:customStyle="1">
    <w:name w:val="authorialnote"/>
    <w:basedOn w:val="DefaultParagraphFont"/>
    <w:rsid w:val="00D650CB"/>
  </w:style>
  <w:style w:type="character" w:styleId="CommentReference">
    <w:name w:val="annotation reference"/>
    <w:basedOn w:val="DefaultParagraphFont"/>
    <w:uiPriority w:val="99"/>
    <w:unhideWhenUsed/>
    <w:rsid w:val="00C6013B"/>
    <w:rPr>
      <w:sz w:val="16"/>
      <w:szCs w:val="16"/>
    </w:rPr>
  </w:style>
  <w:style w:type="paragraph" w:styleId="CommentText">
    <w:name w:val="annotation text"/>
    <w:basedOn w:val="Normal"/>
    <w:link w:val="CommentTextChar"/>
    <w:uiPriority w:val="99"/>
    <w:unhideWhenUsed/>
    <w:rsid w:val="00C6013B"/>
    <w:rPr>
      <w:sz w:val="20"/>
      <w:szCs w:val="20"/>
    </w:rPr>
  </w:style>
  <w:style w:type="character" w:styleId="CommentTextChar" w:customStyle="1">
    <w:name w:val="Comment Text Char"/>
    <w:basedOn w:val="DefaultParagraphFont"/>
    <w:link w:val="CommentText"/>
    <w:uiPriority w:val="99"/>
    <w:rsid w:val="00C6013B"/>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013B"/>
    <w:rPr>
      <w:b/>
      <w:bCs/>
    </w:rPr>
  </w:style>
  <w:style w:type="character" w:styleId="CommentSubjectChar" w:customStyle="1">
    <w:name w:val="Comment Subject Char"/>
    <w:basedOn w:val="CommentTextChar"/>
    <w:link w:val="CommentSubject"/>
    <w:uiPriority w:val="99"/>
    <w:semiHidden/>
    <w:rsid w:val="00C6013B"/>
    <w:rPr>
      <w:rFonts w:ascii="Times New Roman" w:hAnsi="Times New Roman" w:cs="Times New Roman"/>
      <w:b/>
      <w:bCs/>
      <w:sz w:val="20"/>
      <w:szCs w:val="20"/>
      <w:lang w:val="en-GB"/>
    </w:rPr>
  </w:style>
  <w:style w:type="character" w:styleId="Hyperlink">
    <w:name w:val="Hyperlink"/>
    <w:basedOn w:val="DefaultParagraphFont"/>
    <w:uiPriority w:val="99"/>
    <w:unhideWhenUsed/>
    <w:rsid w:val="00C6013B"/>
    <w:rPr>
      <w:color w:val="0000FF" w:themeColor="hyperlink"/>
      <w:u w:val="single"/>
    </w:rPr>
  </w:style>
  <w:style w:type="character" w:styleId="UnresolvedMention1" w:customStyle="1">
    <w:name w:val="Unresolved Mention1"/>
    <w:basedOn w:val="DefaultParagraphFont"/>
    <w:uiPriority w:val="99"/>
    <w:semiHidden/>
    <w:unhideWhenUsed/>
    <w:rsid w:val="00C6013B"/>
    <w:rPr>
      <w:color w:val="605E5C"/>
      <w:shd w:val="clear" w:color="auto" w:fill="E1DFDD"/>
    </w:rPr>
  </w:style>
  <w:style w:type="paragraph" w:styleId="Default" w:customStyle="1">
    <w:name w:val="Default"/>
    <w:rsid w:val="002A1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85C8E"/>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5C8E"/>
    <w:rPr>
      <w:rFonts w:ascii="Segoe UI" w:hAnsi="Segoe UI" w:cs="Segoe UI"/>
      <w:sz w:val="18"/>
      <w:szCs w:val="18"/>
      <w:lang w:val="en-GB"/>
    </w:rPr>
  </w:style>
  <w:style w:type="character" w:styleId="UnresolvedMention2" w:customStyle="1">
    <w:name w:val="Unresolved Mention2"/>
    <w:basedOn w:val="DefaultParagraphFont"/>
    <w:uiPriority w:val="99"/>
    <w:semiHidden/>
    <w:unhideWhenUsed/>
    <w:rsid w:val="00215DD9"/>
    <w:rPr>
      <w:color w:val="605E5C"/>
      <w:shd w:val="clear" w:color="auto" w:fill="E1DFDD"/>
    </w:rPr>
  </w:style>
  <w:style w:type="character" w:styleId="FollowedHyperlink">
    <w:name w:val="FollowedHyperlink"/>
    <w:basedOn w:val="DefaultParagraphFont"/>
    <w:uiPriority w:val="99"/>
    <w:semiHidden/>
    <w:unhideWhenUsed/>
    <w:rsid w:val="009B0A22"/>
    <w:rPr>
      <w:color w:val="800080" w:themeColor="followedHyperlink"/>
      <w:u w:val="single"/>
    </w:rPr>
  </w:style>
  <w:style w:type="paragraph" w:styleId="ti-art" w:customStyle="1">
    <w:name w:val="ti-art"/>
    <w:basedOn w:val="Normal"/>
    <w:rsid w:val="009B0A22"/>
    <w:pPr>
      <w:spacing w:before="100" w:beforeAutospacing="1" w:after="100" w:afterAutospacing="1"/>
      <w:jc w:val="left"/>
    </w:pPr>
    <w:rPr>
      <w:rFonts w:eastAsia="Times New Roman"/>
      <w:szCs w:val="24"/>
      <w:lang w:eastAsia="en-GB"/>
    </w:rPr>
  </w:style>
  <w:style w:type="paragraph" w:styleId="sti-art" w:customStyle="1">
    <w:name w:val="sti-art"/>
    <w:basedOn w:val="Normal"/>
    <w:rsid w:val="009B0A22"/>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D87ED8"/>
    <w:pPr>
      <w:spacing w:after="0" w:line="240" w:lineRule="auto"/>
    </w:pPr>
    <w:rPr>
      <w:rFonts w:ascii="Times New Roman" w:hAnsi="Times New Roman" w:cs="Times New Roman"/>
      <w:sz w:val="24"/>
      <w:lang w:val="en-GB"/>
    </w:rPr>
  </w:style>
  <w:style w:type="character" w:styleId="UnresolvedMention3" w:customStyle="1">
    <w:name w:val="Unresolved Mention3"/>
    <w:basedOn w:val="DefaultParagraphFont"/>
    <w:uiPriority w:val="99"/>
    <w:semiHidden/>
    <w:unhideWhenUsed/>
    <w:rsid w:val="00DE5EC6"/>
    <w:rPr>
      <w:color w:val="605E5C"/>
      <w:shd w:val="clear" w:color="auto" w:fill="E1DFDD"/>
    </w:rPr>
  </w:style>
  <w:style w:type="character" w:styleId="UnresolvedMention4" w:customStyle="1">
    <w:name w:val="Unresolved Mention4"/>
    <w:basedOn w:val="DefaultParagraphFont"/>
    <w:uiPriority w:val="99"/>
    <w:semiHidden/>
    <w:unhideWhenUsed/>
    <w:rsid w:val="00D6235F"/>
    <w:rPr>
      <w:color w:val="605E5C"/>
      <w:shd w:val="clear" w:color="auto" w:fill="E1DFDD"/>
    </w:rPr>
  </w:style>
  <w:style w:type="paragraph" w:styleId="ListParagraph">
    <w:name w:val="List Paragraph"/>
    <w:basedOn w:val="Normal"/>
    <w:uiPriority w:val="34"/>
    <w:qFormat/>
    <w:rsid w:val="009E5710"/>
    <w:pPr>
      <w:ind w:left="720"/>
      <w:contextualSpacing/>
    </w:pPr>
  </w:style>
  <w:style w:type="paragraph" w:styleId="oj-normal" w:customStyle="1">
    <w:name w:val="oj-normal"/>
    <w:basedOn w:val="Normal"/>
    <w:rsid w:val="00737DB1"/>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semiHidden/>
    <w:unhideWhenUsed/>
    <w:pPr>
      <w:tabs>
        <w:tab w:val="center" w:pos="4535"/>
        <w:tab w:val="right" w:pos="9071"/>
      </w:tabs>
      <w:spacing w:before="0"/>
    </w:pPr>
  </w:style>
  <w:style w:type="character" w:styleId="HeaderChar" w:customStyle="1">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styleId="FooterChar" w:customStyle="1">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styleId="FootnoteTextChar" w:customStyle="1">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styleId="Heading1Char" w:customStyle="1">
    <w:name w:val="Heading 1 Char"/>
    <w:basedOn w:val="DefaultParagraphFont"/>
    <w:link w:val="Heading1"/>
    <w:uiPriority w:val="9"/>
    <w:rPr>
      <w:rFonts w:ascii="Times New Roman" w:hAnsi="Times New Roman" w:cs="Times New Roman" w:eastAsiaTheme="majorEastAsia"/>
      <w:b/>
      <w:bCs/>
      <w:smallCaps/>
      <w:sz w:val="24"/>
      <w:szCs w:val="28"/>
      <w:lang w:val="en-GB"/>
    </w:rPr>
  </w:style>
  <w:style w:type="character" w:styleId="Heading2Char" w:customStyle="1">
    <w:name w:val="Heading 2 Char"/>
    <w:basedOn w:val="DefaultParagraphFont"/>
    <w:link w:val="Heading2"/>
    <w:uiPriority w:val="9"/>
    <w:semiHidden/>
    <w:rPr>
      <w:rFonts w:ascii="Times New Roman" w:hAnsi="Times New Roman" w:cs="Times New Roman" w:eastAsiaTheme="majorEastAsia"/>
      <w:b/>
      <w:bCs/>
      <w:sz w:val="24"/>
      <w:szCs w:val="26"/>
      <w:lang w:val="en-GB"/>
    </w:rPr>
  </w:style>
  <w:style w:type="character" w:styleId="Heading3Char" w:customStyle="1">
    <w:name w:val="Heading 3 Char"/>
    <w:basedOn w:val="DefaultParagraphFont"/>
    <w:link w:val="Heading3"/>
    <w:uiPriority w:val="9"/>
    <w:semiHidden/>
    <w:rPr>
      <w:rFonts w:ascii="Times New Roman" w:hAnsi="Times New Roman" w:cs="Times New Roman" w:eastAsiaTheme="majorEastAsia"/>
      <w:bCs/>
      <w:i/>
      <w:sz w:val="24"/>
      <w:lang w:val="en-GB"/>
    </w:rPr>
  </w:style>
  <w:style w:type="character" w:styleId="Heading4Char" w:customStyle="1">
    <w:name w:val="Heading 4 Char"/>
    <w:basedOn w:val="DefaultParagraphFont"/>
    <w:link w:val="Heading4"/>
    <w:uiPriority w:val="9"/>
    <w:semiHidden/>
    <w:rPr>
      <w:rFonts w:ascii="Times New Roman" w:hAnsi="Times New Roman" w:cs="Times New Roman" w:eastAsiaTheme="majorEastAsia"/>
      <w:bCs/>
      <w:iCs/>
      <w:sz w:val="24"/>
      <w:lang w:val="en-GB"/>
    </w:rPr>
  </w:style>
  <w:style w:type="character" w:styleId="Heading5Char" w:customStyle="1">
    <w:name w:val="Heading 5 Char"/>
    <w:basedOn w:val="DefaultParagraphFont"/>
    <w:link w:val="Heading5"/>
    <w:uiPriority w:val="9"/>
    <w:semiHidden/>
    <w:rPr>
      <w:rFonts w:ascii="Times New Roman" w:hAnsi="Times New Roman" w:cs="Times New Roman" w:eastAsiaTheme="majorEastAsia"/>
      <w:sz w:val="24"/>
      <w:lang w:val="en-GB"/>
    </w:rPr>
  </w:style>
  <w:style w:type="character" w:styleId="Heading6Char" w:customStyle="1">
    <w:name w:val="Heading 6 Char"/>
    <w:basedOn w:val="DefaultParagraphFont"/>
    <w:link w:val="Heading6"/>
    <w:uiPriority w:val="9"/>
    <w:semiHidden/>
    <w:rPr>
      <w:rFonts w:ascii="Times New Roman" w:hAnsi="Times New Roman" w:cs="Times New Roman" w:eastAsiaTheme="majorEastAsia"/>
      <w:iCs/>
      <w:sz w:val="24"/>
      <w:lang w:val="en-GB"/>
    </w:rPr>
  </w:style>
  <w:style w:type="character" w:styleId="Heading7Char" w:customStyle="1">
    <w:name w:val="Heading 7 Char"/>
    <w:basedOn w:val="DefaultParagraphFont"/>
    <w:link w:val="Heading7"/>
    <w:uiPriority w:val="9"/>
    <w:semiHidden/>
    <w:rPr>
      <w:rFonts w:ascii="Times New Roman" w:hAnsi="Times New Roman" w:cs="Times New Roman" w:eastAsiaTheme="majorEastAsia"/>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styleId="HeaderLandscape" w:customStyle="1">
    <w:name w:val="HeaderLandscape"/>
    <w:basedOn w:val="Normal"/>
    <w:pPr>
      <w:tabs>
        <w:tab w:val="center" w:pos="7285"/>
        <w:tab w:val="right" w:pos="14003"/>
      </w:tabs>
      <w:spacing w:before="0"/>
    </w:pPr>
  </w:style>
  <w:style w:type="paragraph" w:styleId="FooterLandscape" w:customStyle="1">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styleId="HeaderSensitivity" w:customStyle="1">
    <w:name w:val="Header Sensitivity"/>
    <w:basedOn w:val="Normal"/>
    <w:pPr>
      <w:pBdr>
        <w:top w:val="single" w:color="auto" w:sz="4" w:space="1"/>
        <w:left w:val="single" w:color="auto" w:sz="4" w:space="4"/>
        <w:bottom w:val="single" w:color="auto" w:sz="4" w:space="1"/>
        <w:right w:val="single" w:color="auto" w:sz="4" w:space="4"/>
      </w:pBdr>
      <w:spacing w:before="0"/>
      <w:ind w:left="113" w:right="113"/>
      <w:jc w:val="center"/>
    </w:pPr>
    <w:rPr>
      <w:b/>
      <w:sz w:val="32"/>
    </w:rPr>
  </w:style>
  <w:style w:type="paragraph" w:styleId="HeaderSensitivityRight" w:customStyle="1">
    <w:name w:val="Header Sensitivity Right"/>
    <w:basedOn w:val="Normal"/>
    <w:pPr>
      <w:spacing w:before="0"/>
      <w:jc w:val="right"/>
    </w:pPr>
    <w:rPr>
      <w:sz w:val="28"/>
    </w:rPr>
  </w:style>
  <w:style w:type="paragraph" w:styleId="FooterSensitivity" w:customStyle="1">
    <w:name w:val="Footer Sensitivity"/>
    <w:basedOn w:val="Normal"/>
    <w:pPr>
      <w:pBdr>
        <w:top w:val="single" w:color="auto" w:sz="4" w:space="1"/>
        <w:left w:val="single" w:color="auto" w:sz="4" w:space="4"/>
        <w:bottom w:val="single" w:color="auto" w:sz="4" w:space="1"/>
        <w:right w:val="single" w:color="auto" w:sz="4" w:space="4"/>
      </w:pBdr>
      <w:spacing w:before="360" w:after="0"/>
      <w:ind w:left="113" w:right="113"/>
      <w:jc w:val="center"/>
    </w:pPr>
    <w:rPr>
      <w:b/>
      <w:sz w:val="32"/>
    </w:rPr>
  </w:style>
  <w:style w:type="paragraph" w:styleId="Text1" w:customStyle="1">
    <w:name w:val="Text 1"/>
    <w:basedOn w:val="Normal"/>
    <w:pPr>
      <w:ind w:left="850"/>
    </w:pPr>
  </w:style>
  <w:style w:type="paragraph" w:styleId="Text2" w:customStyle="1">
    <w:name w:val="Text 2"/>
    <w:basedOn w:val="Normal"/>
    <w:pPr>
      <w:ind w:left="1417"/>
    </w:pPr>
  </w:style>
  <w:style w:type="paragraph" w:styleId="Text3" w:customStyle="1">
    <w:name w:val="Text 3"/>
    <w:basedOn w:val="Normal"/>
    <w:pPr>
      <w:ind w:left="1984"/>
    </w:pPr>
  </w:style>
  <w:style w:type="paragraph" w:styleId="Text4" w:customStyle="1">
    <w:name w:val="Text 4"/>
    <w:basedOn w:val="Normal"/>
    <w:pPr>
      <w:ind w:left="2551"/>
    </w:pPr>
  </w:style>
  <w:style w:type="paragraph" w:styleId="Text5" w:customStyle="1">
    <w:name w:val="Text 5"/>
    <w:basedOn w:val="Normal"/>
    <w:pPr>
      <w:ind w:left="3118"/>
    </w:pPr>
  </w:style>
  <w:style w:type="paragraph" w:styleId="Text6" w:customStyle="1">
    <w:name w:val="Text 6"/>
    <w:basedOn w:val="Normal"/>
    <w:pPr>
      <w:ind w:left="3685"/>
    </w:pPr>
  </w:style>
  <w:style w:type="paragraph" w:styleId="NormalCentered" w:customStyle="1">
    <w:name w:val="Normal Centered"/>
    <w:basedOn w:val="Normal"/>
    <w:pPr>
      <w:jc w:val="center"/>
    </w:pPr>
  </w:style>
  <w:style w:type="paragraph" w:styleId="NormalLeft" w:customStyle="1">
    <w:name w:val="Normal Left"/>
    <w:basedOn w:val="Normal"/>
    <w:pPr>
      <w:jc w:val="left"/>
    </w:pPr>
  </w:style>
  <w:style w:type="paragraph" w:styleId="NormalRight" w:customStyle="1">
    <w:name w:val="Normal Right"/>
    <w:basedOn w:val="Normal"/>
    <w:pPr>
      <w:jc w:val="right"/>
    </w:pPr>
  </w:style>
  <w:style w:type="paragraph" w:styleId="QuotedText" w:customStyle="1">
    <w:name w:val="Quoted Text"/>
    <w:basedOn w:val="Normal"/>
    <w:pPr>
      <w:ind w:left="1417"/>
    </w:pPr>
  </w:style>
  <w:style w:type="paragraph" w:styleId="Point0" w:customStyle="1">
    <w:name w:val="Point 0"/>
    <w:basedOn w:val="Normal"/>
    <w:pPr>
      <w:ind w:left="850" w:hanging="850"/>
    </w:pPr>
  </w:style>
  <w:style w:type="paragraph" w:styleId="Point1" w:customStyle="1">
    <w:name w:val="Point 1"/>
    <w:basedOn w:val="Normal"/>
    <w:pPr>
      <w:ind w:left="1417" w:hanging="567"/>
    </w:pPr>
  </w:style>
  <w:style w:type="paragraph" w:styleId="Point2" w:customStyle="1">
    <w:name w:val="Point 2"/>
    <w:basedOn w:val="Normal"/>
    <w:pPr>
      <w:ind w:left="1984" w:hanging="567"/>
    </w:pPr>
  </w:style>
  <w:style w:type="paragraph" w:styleId="Point3" w:customStyle="1">
    <w:name w:val="Point 3"/>
    <w:basedOn w:val="Normal"/>
    <w:pPr>
      <w:ind w:left="2551" w:hanging="567"/>
    </w:pPr>
  </w:style>
  <w:style w:type="paragraph" w:styleId="Point4" w:customStyle="1">
    <w:name w:val="Point 4"/>
    <w:basedOn w:val="Normal"/>
    <w:pPr>
      <w:ind w:left="3118" w:hanging="567"/>
    </w:pPr>
  </w:style>
  <w:style w:type="paragraph" w:styleId="Point5" w:customStyle="1">
    <w:name w:val="Point 5"/>
    <w:basedOn w:val="Normal"/>
    <w:pPr>
      <w:ind w:left="3685" w:hanging="567"/>
    </w:pPr>
  </w:style>
  <w:style w:type="paragraph" w:styleId="Tiret0" w:customStyle="1">
    <w:name w:val="Tiret 0"/>
    <w:basedOn w:val="Point0"/>
    <w:pPr>
      <w:numPr>
        <w:numId w:val="10"/>
      </w:numPr>
    </w:pPr>
  </w:style>
  <w:style w:type="paragraph" w:styleId="Tiret1" w:customStyle="1">
    <w:name w:val="Tiret 1"/>
    <w:basedOn w:val="Point1"/>
    <w:pPr>
      <w:numPr>
        <w:numId w:val="11"/>
      </w:numPr>
    </w:pPr>
  </w:style>
  <w:style w:type="paragraph" w:styleId="Tiret2" w:customStyle="1">
    <w:name w:val="Tiret 2"/>
    <w:basedOn w:val="Point2"/>
    <w:pPr>
      <w:numPr>
        <w:numId w:val="12"/>
      </w:numPr>
    </w:pPr>
  </w:style>
  <w:style w:type="paragraph" w:styleId="Tiret3" w:customStyle="1">
    <w:name w:val="Tiret 3"/>
    <w:basedOn w:val="Point3"/>
    <w:pPr>
      <w:numPr>
        <w:numId w:val="13"/>
      </w:numPr>
    </w:pPr>
  </w:style>
  <w:style w:type="paragraph" w:styleId="Tiret4" w:customStyle="1">
    <w:name w:val="Tiret 4"/>
    <w:basedOn w:val="Point4"/>
    <w:pPr>
      <w:numPr>
        <w:numId w:val="14"/>
      </w:numPr>
    </w:pPr>
  </w:style>
  <w:style w:type="paragraph" w:styleId="Tiret5" w:customStyle="1">
    <w:name w:val="Tiret 5"/>
    <w:basedOn w:val="Point5"/>
    <w:pPr>
      <w:numPr>
        <w:numId w:val="15"/>
      </w:numPr>
    </w:pPr>
  </w:style>
  <w:style w:type="paragraph" w:styleId="PointDouble0" w:customStyle="1">
    <w:name w:val="PointDouble 0"/>
    <w:basedOn w:val="Normal"/>
    <w:pPr>
      <w:tabs>
        <w:tab w:val="left" w:pos="850"/>
      </w:tabs>
      <w:ind w:left="1417" w:hanging="1417"/>
    </w:pPr>
  </w:style>
  <w:style w:type="paragraph" w:styleId="PointDouble1" w:customStyle="1">
    <w:name w:val="PointDouble 1"/>
    <w:basedOn w:val="Normal"/>
    <w:pPr>
      <w:tabs>
        <w:tab w:val="left" w:pos="1417"/>
      </w:tabs>
      <w:ind w:left="1984" w:hanging="1134"/>
    </w:pPr>
  </w:style>
  <w:style w:type="paragraph" w:styleId="PointDouble2" w:customStyle="1">
    <w:name w:val="PointDouble 2"/>
    <w:basedOn w:val="Normal"/>
    <w:pPr>
      <w:tabs>
        <w:tab w:val="left" w:pos="1984"/>
      </w:tabs>
      <w:ind w:left="2551" w:hanging="1134"/>
    </w:pPr>
  </w:style>
  <w:style w:type="paragraph" w:styleId="PointDouble3" w:customStyle="1">
    <w:name w:val="PointDouble 3"/>
    <w:basedOn w:val="Normal"/>
    <w:pPr>
      <w:tabs>
        <w:tab w:val="left" w:pos="2551"/>
      </w:tabs>
      <w:ind w:left="3118" w:hanging="1134"/>
    </w:pPr>
  </w:style>
  <w:style w:type="paragraph" w:styleId="PointDouble4" w:customStyle="1">
    <w:name w:val="PointDouble 4"/>
    <w:basedOn w:val="Normal"/>
    <w:pPr>
      <w:tabs>
        <w:tab w:val="left" w:pos="3118"/>
      </w:tabs>
      <w:ind w:left="3685" w:hanging="1134"/>
    </w:pPr>
  </w:style>
  <w:style w:type="paragraph" w:styleId="PointTriple0" w:customStyle="1">
    <w:name w:val="PointTriple 0"/>
    <w:basedOn w:val="Normal"/>
    <w:pPr>
      <w:tabs>
        <w:tab w:val="left" w:pos="850"/>
        <w:tab w:val="left" w:pos="1417"/>
      </w:tabs>
      <w:ind w:left="1984" w:hanging="1984"/>
    </w:pPr>
  </w:style>
  <w:style w:type="paragraph" w:styleId="PointTriple1" w:customStyle="1">
    <w:name w:val="PointTriple 1"/>
    <w:basedOn w:val="Normal"/>
    <w:pPr>
      <w:tabs>
        <w:tab w:val="left" w:pos="1417"/>
        <w:tab w:val="left" w:pos="1984"/>
      </w:tabs>
      <w:ind w:left="2551" w:hanging="1701"/>
    </w:pPr>
  </w:style>
  <w:style w:type="paragraph" w:styleId="PointTriple2" w:customStyle="1">
    <w:name w:val="PointTriple 2"/>
    <w:basedOn w:val="Normal"/>
    <w:pPr>
      <w:tabs>
        <w:tab w:val="left" w:pos="1984"/>
        <w:tab w:val="left" w:pos="2551"/>
      </w:tabs>
      <w:ind w:left="3118" w:hanging="1701"/>
    </w:pPr>
  </w:style>
  <w:style w:type="paragraph" w:styleId="PointTriple3" w:customStyle="1">
    <w:name w:val="PointTriple 3"/>
    <w:basedOn w:val="Normal"/>
    <w:pPr>
      <w:tabs>
        <w:tab w:val="left" w:pos="2551"/>
        <w:tab w:val="left" w:pos="3118"/>
      </w:tabs>
      <w:ind w:left="3685" w:hanging="1701"/>
    </w:pPr>
  </w:style>
  <w:style w:type="paragraph" w:styleId="PointTriple4" w:customStyle="1">
    <w:name w:val="PointTriple 4"/>
    <w:basedOn w:val="Normal"/>
    <w:pPr>
      <w:tabs>
        <w:tab w:val="left" w:pos="3118"/>
        <w:tab w:val="left" w:pos="3685"/>
      </w:tabs>
      <w:ind w:left="4252" w:hanging="1701"/>
    </w:pPr>
  </w:style>
  <w:style w:type="paragraph" w:styleId="NumPar1" w:customStyle="1">
    <w:name w:val="NumPar 1"/>
    <w:basedOn w:val="Normal"/>
    <w:next w:val="Text1"/>
    <w:pPr>
      <w:numPr>
        <w:numId w:val="16"/>
      </w:numPr>
    </w:pPr>
  </w:style>
  <w:style w:type="paragraph" w:styleId="NumPar2" w:customStyle="1">
    <w:name w:val="NumPar 2"/>
    <w:basedOn w:val="Normal"/>
    <w:next w:val="Text1"/>
    <w:pPr>
      <w:numPr>
        <w:ilvl w:val="1"/>
        <w:numId w:val="16"/>
      </w:numPr>
    </w:pPr>
  </w:style>
  <w:style w:type="paragraph" w:styleId="NumPar3" w:customStyle="1">
    <w:name w:val="NumPar 3"/>
    <w:basedOn w:val="Normal"/>
    <w:next w:val="Text1"/>
    <w:pPr>
      <w:numPr>
        <w:ilvl w:val="2"/>
        <w:numId w:val="16"/>
      </w:numPr>
    </w:pPr>
  </w:style>
  <w:style w:type="paragraph" w:styleId="NumPar4" w:customStyle="1">
    <w:name w:val="NumPar 4"/>
    <w:basedOn w:val="Normal"/>
    <w:next w:val="Text1"/>
    <w:pPr>
      <w:numPr>
        <w:ilvl w:val="3"/>
        <w:numId w:val="16"/>
      </w:numPr>
    </w:pPr>
  </w:style>
  <w:style w:type="paragraph" w:styleId="NumPar5" w:customStyle="1">
    <w:name w:val="NumPar 5"/>
    <w:basedOn w:val="Normal"/>
    <w:next w:val="Text2"/>
    <w:pPr>
      <w:numPr>
        <w:ilvl w:val="4"/>
        <w:numId w:val="16"/>
      </w:numPr>
    </w:pPr>
  </w:style>
  <w:style w:type="paragraph" w:styleId="NumPar6" w:customStyle="1">
    <w:name w:val="NumPar 6"/>
    <w:basedOn w:val="Normal"/>
    <w:next w:val="Text2"/>
    <w:pPr>
      <w:numPr>
        <w:ilvl w:val="5"/>
        <w:numId w:val="16"/>
      </w:numPr>
    </w:pPr>
  </w:style>
  <w:style w:type="paragraph" w:styleId="NumPar7" w:customStyle="1">
    <w:name w:val="NumPar 7"/>
    <w:basedOn w:val="Normal"/>
    <w:next w:val="Text2"/>
    <w:pPr>
      <w:numPr>
        <w:ilvl w:val="6"/>
        <w:numId w:val="16"/>
      </w:numPr>
    </w:pPr>
  </w:style>
  <w:style w:type="paragraph" w:styleId="ManualNumPar1" w:customStyle="1">
    <w:name w:val="Manual NumPar 1"/>
    <w:basedOn w:val="Normal"/>
    <w:next w:val="Text1"/>
    <w:pPr>
      <w:ind w:left="850" w:hanging="850"/>
    </w:pPr>
  </w:style>
  <w:style w:type="paragraph" w:styleId="ManualNumPar2" w:customStyle="1">
    <w:name w:val="Manual NumPar 2"/>
    <w:basedOn w:val="Normal"/>
    <w:next w:val="Text1"/>
    <w:pPr>
      <w:ind w:left="850" w:hanging="850"/>
    </w:pPr>
  </w:style>
  <w:style w:type="paragraph" w:styleId="ManualNumPar3" w:customStyle="1">
    <w:name w:val="Manual NumPar 3"/>
    <w:basedOn w:val="Normal"/>
    <w:next w:val="Text1"/>
    <w:pPr>
      <w:ind w:left="850" w:hanging="850"/>
    </w:pPr>
  </w:style>
  <w:style w:type="paragraph" w:styleId="ManualNumPar4" w:customStyle="1">
    <w:name w:val="Manual NumPar 4"/>
    <w:basedOn w:val="Normal"/>
    <w:next w:val="Text1"/>
    <w:pPr>
      <w:ind w:left="850" w:hanging="850"/>
    </w:pPr>
  </w:style>
  <w:style w:type="paragraph" w:styleId="ManualNumPar5" w:customStyle="1">
    <w:name w:val="Manual NumPar 5"/>
    <w:basedOn w:val="Normal"/>
    <w:next w:val="Text2"/>
    <w:pPr>
      <w:ind w:left="1417" w:hanging="1417"/>
    </w:pPr>
  </w:style>
  <w:style w:type="paragraph" w:styleId="ManualNumPar6" w:customStyle="1">
    <w:name w:val="Manual NumPar 6"/>
    <w:basedOn w:val="Normal"/>
    <w:next w:val="Text2"/>
    <w:pPr>
      <w:ind w:left="1417" w:hanging="1417"/>
    </w:pPr>
  </w:style>
  <w:style w:type="paragraph" w:styleId="ManualNumPar7" w:customStyle="1">
    <w:name w:val="Manual NumPar 7"/>
    <w:basedOn w:val="Normal"/>
    <w:next w:val="Text2"/>
    <w:pPr>
      <w:ind w:left="1417" w:hanging="1417"/>
    </w:pPr>
  </w:style>
  <w:style w:type="paragraph" w:styleId="QuotedNumPar" w:customStyle="1">
    <w:name w:val="Quoted NumPar"/>
    <w:basedOn w:val="Normal"/>
    <w:pPr>
      <w:ind w:left="1417" w:hanging="567"/>
    </w:pPr>
  </w:style>
  <w:style w:type="paragraph" w:styleId="ManualHeading1" w:customStyle="1">
    <w:name w:val="Manual Heading 1"/>
    <w:basedOn w:val="Normal"/>
    <w:next w:val="Text1"/>
    <w:pPr>
      <w:keepNext/>
      <w:tabs>
        <w:tab w:val="left" w:pos="850"/>
      </w:tabs>
      <w:spacing w:before="360"/>
      <w:ind w:left="850" w:hanging="850"/>
      <w:outlineLvl w:val="0"/>
    </w:pPr>
    <w:rPr>
      <w:b/>
      <w:smallCaps/>
    </w:rPr>
  </w:style>
  <w:style w:type="paragraph" w:styleId="ManualHeading2" w:customStyle="1">
    <w:name w:val="Manual Heading 2"/>
    <w:basedOn w:val="Normal"/>
    <w:next w:val="Text1"/>
    <w:pPr>
      <w:keepNext/>
      <w:tabs>
        <w:tab w:val="left" w:pos="850"/>
      </w:tabs>
      <w:ind w:left="850" w:hanging="850"/>
      <w:outlineLvl w:val="1"/>
    </w:pPr>
    <w:rPr>
      <w:b/>
    </w:rPr>
  </w:style>
  <w:style w:type="paragraph" w:styleId="ManualHeading3" w:customStyle="1">
    <w:name w:val="Manual Heading 3"/>
    <w:basedOn w:val="Normal"/>
    <w:next w:val="Text1"/>
    <w:pPr>
      <w:keepNext/>
      <w:tabs>
        <w:tab w:val="left" w:pos="850"/>
      </w:tabs>
      <w:ind w:left="850" w:hanging="850"/>
      <w:outlineLvl w:val="2"/>
    </w:pPr>
    <w:rPr>
      <w:i/>
    </w:rPr>
  </w:style>
  <w:style w:type="paragraph" w:styleId="ManualHeading4" w:customStyle="1">
    <w:name w:val="Manual Heading 4"/>
    <w:basedOn w:val="Normal"/>
    <w:next w:val="Text1"/>
    <w:pPr>
      <w:keepNext/>
      <w:tabs>
        <w:tab w:val="left" w:pos="850"/>
      </w:tabs>
      <w:ind w:left="850" w:hanging="850"/>
      <w:outlineLvl w:val="3"/>
    </w:pPr>
  </w:style>
  <w:style w:type="paragraph" w:styleId="ManualHeading5" w:customStyle="1">
    <w:name w:val="Manual Heading 5"/>
    <w:basedOn w:val="Normal"/>
    <w:next w:val="Text2"/>
    <w:pPr>
      <w:keepNext/>
      <w:tabs>
        <w:tab w:val="left" w:pos="1417"/>
      </w:tabs>
      <w:ind w:left="1417" w:hanging="1417"/>
      <w:outlineLvl w:val="4"/>
    </w:pPr>
  </w:style>
  <w:style w:type="paragraph" w:styleId="ManualHeading6" w:customStyle="1">
    <w:name w:val="Manual Heading 6"/>
    <w:basedOn w:val="Normal"/>
    <w:next w:val="Text2"/>
    <w:pPr>
      <w:keepNext/>
      <w:tabs>
        <w:tab w:val="left" w:pos="1417"/>
      </w:tabs>
      <w:ind w:left="1417" w:hanging="1417"/>
      <w:outlineLvl w:val="5"/>
    </w:pPr>
  </w:style>
  <w:style w:type="paragraph" w:styleId="ManualHeading7" w:customStyle="1">
    <w:name w:val="Manual Heading 7"/>
    <w:basedOn w:val="Normal"/>
    <w:next w:val="Text2"/>
    <w:pPr>
      <w:keepNext/>
      <w:tabs>
        <w:tab w:val="left" w:pos="1417"/>
      </w:tabs>
      <w:ind w:left="1417" w:hanging="1417"/>
      <w:outlineLvl w:val="6"/>
    </w:pPr>
  </w:style>
  <w:style w:type="paragraph" w:styleId="ChapterTitle" w:customStyle="1">
    <w:name w:val="ChapterTitle"/>
    <w:basedOn w:val="Normal"/>
    <w:next w:val="Normal"/>
    <w:pPr>
      <w:keepNext/>
      <w:spacing w:after="360"/>
      <w:jc w:val="center"/>
    </w:pPr>
    <w:rPr>
      <w:b/>
      <w:sz w:val="32"/>
    </w:rPr>
  </w:style>
  <w:style w:type="paragraph" w:styleId="PartTitle" w:customStyle="1">
    <w:name w:val="PartTitle"/>
    <w:basedOn w:val="Normal"/>
    <w:next w:val="ChapterTitle"/>
    <w:pPr>
      <w:keepNext/>
      <w:pageBreakBefore/>
      <w:spacing w:after="360"/>
      <w:jc w:val="center"/>
    </w:pPr>
    <w:rPr>
      <w:b/>
      <w:sz w:val="36"/>
    </w:rPr>
  </w:style>
  <w:style w:type="paragraph" w:styleId="SectionTitle" w:customStyle="1">
    <w:name w:val="SectionTitle"/>
    <w:basedOn w:val="Normal"/>
    <w:next w:val="Heading1"/>
    <w:pPr>
      <w:keepNext/>
      <w:spacing w:after="360"/>
      <w:jc w:val="center"/>
    </w:pPr>
    <w:rPr>
      <w:b/>
      <w:smallCaps/>
      <w:sz w:val="28"/>
    </w:rPr>
  </w:style>
  <w:style w:type="paragraph" w:styleId="TableTitle" w:customStyle="1">
    <w:name w:val="Table Title"/>
    <w:basedOn w:val="Normal"/>
    <w:next w:val="Normal"/>
    <w:pPr>
      <w:jc w:val="center"/>
    </w:pPr>
    <w:rPr>
      <w:b/>
    </w:rPr>
  </w:style>
  <w:style w:type="character" w:styleId="Marker" w:customStyle="1">
    <w:name w:val="Marker"/>
    <w:basedOn w:val="DefaultParagraphFont"/>
    <w:rPr>
      <w:color w:val="0000FF"/>
      <w:shd w:val="clear" w:color="auto" w:fill="auto"/>
    </w:rPr>
  </w:style>
  <w:style w:type="character" w:styleId="Marker1" w:customStyle="1">
    <w:name w:val="Marker1"/>
    <w:basedOn w:val="DefaultParagraphFont"/>
    <w:rPr>
      <w:color w:val="008000"/>
      <w:shd w:val="clear" w:color="auto" w:fill="auto"/>
    </w:rPr>
  </w:style>
  <w:style w:type="character" w:styleId="Marker2" w:customStyle="1">
    <w:name w:val="Marker2"/>
    <w:basedOn w:val="DefaultParagraphFont"/>
    <w:rPr>
      <w:color w:val="FF0000"/>
      <w:shd w:val="clear" w:color="auto" w:fill="auto"/>
    </w:rPr>
  </w:style>
  <w:style w:type="paragraph" w:styleId="Point0number" w:customStyle="1">
    <w:name w:val="Point 0 (number)"/>
    <w:basedOn w:val="Normal"/>
    <w:pPr>
      <w:numPr>
        <w:numId w:val="18"/>
      </w:numPr>
    </w:pPr>
  </w:style>
  <w:style w:type="paragraph" w:styleId="Point1number" w:customStyle="1">
    <w:name w:val="Point 1 (number)"/>
    <w:basedOn w:val="Normal"/>
    <w:pPr>
      <w:numPr>
        <w:ilvl w:val="2"/>
        <w:numId w:val="18"/>
      </w:numPr>
    </w:pPr>
  </w:style>
  <w:style w:type="paragraph" w:styleId="Point2number" w:customStyle="1">
    <w:name w:val="Point 2 (number)"/>
    <w:basedOn w:val="Normal"/>
    <w:pPr>
      <w:numPr>
        <w:ilvl w:val="4"/>
        <w:numId w:val="18"/>
      </w:numPr>
    </w:pPr>
  </w:style>
  <w:style w:type="paragraph" w:styleId="Point3number" w:customStyle="1">
    <w:name w:val="Point 3 (number)"/>
    <w:basedOn w:val="Normal"/>
    <w:pPr>
      <w:numPr>
        <w:ilvl w:val="6"/>
        <w:numId w:val="18"/>
      </w:numPr>
    </w:pPr>
  </w:style>
  <w:style w:type="paragraph" w:styleId="Point0letter" w:customStyle="1">
    <w:name w:val="Point 0 (letter)"/>
    <w:basedOn w:val="Normal"/>
    <w:pPr>
      <w:numPr>
        <w:ilvl w:val="1"/>
        <w:numId w:val="18"/>
      </w:numPr>
    </w:pPr>
  </w:style>
  <w:style w:type="paragraph" w:styleId="Point1letter" w:customStyle="1">
    <w:name w:val="Point 1 (letter)"/>
    <w:basedOn w:val="Normal"/>
    <w:pPr>
      <w:numPr>
        <w:ilvl w:val="3"/>
        <w:numId w:val="18"/>
      </w:numPr>
    </w:pPr>
  </w:style>
  <w:style w:type="paragraph" w:styleId="Point2letter" w:customStyle="1">
    <w:name w:val="Point 2 (letter)"/>
    <w:basedOn w:val="Normal"/>
    <w:pPr>
      <w:numPr>
        <w:ilvl w:val="5"/>
        <w:numId w:val="18"/>
      </w:numPr>
    </w:pPr>
  </w:style>
  <w:style w:type="paragraph" w:styleId="Point3letter" w:customStyle="1">
    <w:name w:val="Point 3 (letter)"/>
    <w:basedOn w:val="Normal"/>
    <w:pPr>
      <w:numPr>
        <w:ilvl w:val="7"/>
        <w:numId w:val="18"/>
      </w:numPr>
    </w:pPr>
  </w:style>
  <w:style w:type="paragraph" w:styleId="Point4letter" w:customStyle="1">
    <w:name w:val="Point 4 (letter)"/>
    <w:basedOn w:val="Normal"/>
    <w:pPr>
      <w:numPr>
        <w:ilvl w:val="8"/>
        <w:numId w:val="18"/>
      </w:numPr>
    </w:pPr>
  </w:style>
  <w:style w:type="paragraph" w:styleId="Bullet0" w:customStyle="1">
    <w:name w:val="Bullet 0"/>
    <w:basedOn w:val="Normal"/>
    <w:pPr>
      <w:numPr>
        <w:numId w:val="19"/>
      </w:numPr>
    </w:pPr>
  </w:style>
  <w:style w:type="paragraph" w:styleId="Bullet1" w:customStyle="1">
    <w:name w:val="Bullet 1"/>
    <w:basedOn w:val="Normal"/>
    <w:pPr>
      <w:numPr>
        <w:numId w:val="20"/>
      </w:numPr>
    </w:pPr>
  </w:style>
  <w:style w:type="paragraph" w:styleId="Bullet2" w:customStyle="1">
    <w:name w:val="Bullet 2"/>
    <w:basedOn w:val="Normal"/>
    <w:pPr>
      <w:numPr>
        <w:numId w:val="21"/>
      </w:numPr>
    </w:pPr>
  </w:style>
  <w:style w:type="paragraph" w:styleId="Bullet3" w:customStyle="1">
    <w:name w:val="Bullet 3"/>
    <w:basedOn w:val="Normal"/>
    <w:pPr>
      <w:numPr>
        <w:numId w:val="22"/>
      </w:numPr>
    </w:pPr>
  </w:style>
  <w:style w:type="paragraph" w:styleId="Bullet4" w:customStyle="1">
    <w:name w:val="Bullet 4"/>
    <w:basedOn w:val="Normal"/>
    <w:pPr>
      <w:numPr>
        <w:numId w:val="23"/>
      </w:numPr>
    </w:pPr>
  </w:style>
  <w:style w:type="paragraph" w:styleId="Langue" w:customStyle="1">
    <w:name w:val="Langue"/>
    <w:basedOn w:val="Normal"/>
    <w:next w:val="Rfrenceinterne"/>
    <w:pPr>
      <w:framePr w:wrap="around" w:hAnchor="text" w:vAnchor="page" w:xAlign="center" w:y="14741"/>
      <w:spacing w:before="0" w:after="600"/>
      <w:jc w:val="center"/>
    </w:pPr>
    <w:rPr>
      <w:b/>
      <w:caps/>
    </w:rPr>
  </w:style>
  <w:style w:type="paragraph" w:styleId="Nomdelinstitution" w:customStyle="1">
    <w:name w:val="Nom de l'institution"/>
    <w:basedOn w:val="Normal"/>
    <w:next w:val="Emission"/>
    <w:pPr>
      <w:spacing w:before="0" w:after="0"/>
      <w:jc w:val="left"/>
    </w:pPr>
    <w:rPr>
      <w:rFonts w:ascii="Arial" w:hAnsi="Arial" w:cs="Arial"/>
    </w:rPr>
  </w:style>
  <w:style w:type="paragraph" w:styleId="Emission" w:customStyle="1">
    <w:name w:val="Emission"/>
    <w:basedOn w:val="Normal"/>
    <w:next w:val="Rfrenceinstitutionnelle"/>
    <w:pPr>
      <w:spacing w:before="0" w:after="0"/>
      <w:ind w:left="5103"/>
      <w:jc w:val="left"/>
    </w:pPr>
  </w:style>
  <w:style w:type="paragraph" w:styleId="Rfrenceinstitutionnelle" w:customStyle="1">
    <w:name w:val="Référence institutionnelle"/>
    <w:basedOn w:val="Normal"/>
    <w:next w:val="Confidentialit"/>
    <w:pPr>
      <w:spacing w:before="0" w:after="240"/>
      <w:ind w:left="5103"/>
      <w:jc w:val="left"/>
    </w:pPr>
  </w:style>
  <w:style w:type="paragraph" w:styleId="Pagedecouverture" w:customStyle="1">
    <w:name w:val="Page de couverture"/>
    <w:basedOn w:val="Normal"/>
    <w:next w:val="Normal"/>
    <w:pPr>
      <w:spacing w:before="0" w:after="0"/>
    </w:pPr>
  </w:style>
  <w:style w:type="paragraph" w:styleId="Declassification" w:customStyle="1">
    <w:name w:val="Declassification"/>
    <w:basedOn w:val="Normal"/>
    <w:next w:val="Normal"/>
    <w:pPr>
      <w:spacing w:before="0" w:after="0"/>
    </w:pPr>
  </w:style>
  <w:style w:type="paragraph" w:styleId="Disclaimer" w:customStyle="1">
    <w:name w:val="Disclaimer"/>
    <w:basedOn w:val="Normal"/>
    <w:pPr>
      <w:framePr w:w="8220" w:wrap="notBeside" w:hAnchor="margin" w:xAlign="center" w:y="10401"/>
      <w:pBdr>
        <w:top w:val="single" w:color="auto" w:sz="6" w:space="4"/>
        <w:left w:val="single" w:color="auto" w:sz="6" w:space="7"/>
        <w:bottom w:val="single" w:color="auto" w:sz="6" w:space="4"/>
        <w:right w:val="single" w:color="auto" w:sz="6" w:space="7"/>
      </w:pBdr>
      <w:shd w:val="clear" w:color="FFFFFF" w:fill="auto"/>
    </w:pPr>
  </w:style>
  <w:style w:type="paragraph" w:styleId="SecurityMarking" w:customStyle="1">
    <w:name w:val="SecurityMarking"/>
    <w:basedOn w:val="Normal"/>
    <w:pPr>
      <w:spacing w:before="0" w:after="0" w:line="276" w:lineRule="auto"/>
      <w:ind w:left="5103"/>
      <w:jc w:val="left"/>
    </w:pPr>
    <w:rPr>
      <w:sz w:val="28"/>
    </w:rPr>
  </w:style>
  <w:style w:type="paragraph" w:styleId="DateMarking" w:customStyle="1">
    <w:name w:val="DateMarking"/>
    <w:basedOn w:val="Normal"/>
    <w:pPr>
      <w:spacing w:before="0" w:after="0" w:line="276" w:lineRule="auto"/>
      <w:ind w:left="5103"/>
      <w:jc w:val="left"/>
    </w:pPr>
    <w:rPr>
      <w:i/>
      <w:sz w:val="28"/>
    </w:rPr>
  </w:style>
  <w:style w:type="paragraph" w:styleId="ReleasableTo" w:customStyle="1">
    <w:name w:val="ReleasableTo"/>
    <w:basedOn w:val="Normal"/>
    <w:pPr>
      <w:spacing w:before="0" w:after="0" w:line="276" w:lineRule="auto"/>
      <w:ind w:left="5103"/>
      <w:jc w:val="left"/>
    </w:pPr>
    <w:rPr>
      <w:i/>
      <w:sz w:val="28"/>
    </w:rPr>
  </w:style>
  <w:style w:type="paragraph" w:styleId="Annexetitreexpos" w:customStyle="1">
    <w:name w:val="Annexe titre (exposé)"/>
    <w:basedOn w:val="Normal"/>
    <w:next w:val="Normal"/>
    <w:pPr>
      <w:jc w:val="center"/>
    </w:pPr>
    <w:rPr>
      <w:b/>
      <w:u w:val="single"/>
    </w:rPr>
  </w:style>
  <w:style w:type="paragraph" w:styleId="Annexetitre" w:customStyle="1">
    <w:name w:val="Annexe titre"/>
    <w:basedOn w:val="Normal"/>
    <w:next w:val="Normal"/>
    <w:pPr>
      <w:jc w:val="center"/>
    </w:pPr>
    <w:rPr>
      <w:b/>
      <w:u w:val="single"/>
    </w:rPr>
  </w:style>
  <w:style w:type="paragraph" w:styleId="Annexetitrefichefinancire" w:customStyle="1">
    <w:name w:val="Annexe titre (fiche financière)"/>
    <w:basedOn w:val="Normal"/>
    <w:next w:val="Normal"/>
    <w:pPr>
      <w:jc w:val="center"/>
    </w:pPr>
    <w:rPr>
      <w:b/>
      <w:u w:val="single"/>
    </w:rPr>
  </w:style>
  <w:style w:type="paragraph" w:styleId="Applicationdirecte" w:customStyle="1">
    <w:name w:val="Application directe"/>
    <w:basedOn w:val="Normal"/>
    <w:next w:val="Fait"/>
    <w:pPr>
      <w:spacing w:before="480"/>
    </w:pPr>
  </w:style>
  <w:style w:type="paragraph" w:styleId="Avertissementtitre" w:customStyle="1">
    <w:name w:val="Avertissement titre"/>
    <w:basedOn w:val="Normal"/>
    <w:next w:val="Normal"/>
    <w:pPr>
      <w:keepNext/>
      <w:spacing w:before="480"/>
    </w:pPr>
    <w:rPr>
      <w:u w:val="single"/>
    </w:rPr>
  </w:style>
  <w:style w:type="paragraph" w:styleId="Confidence" w:customStyle="1">
    <w:name w:val="Confidence"/>
    <w:basedOn w:val="Normal"/>
    <w:next w:val="Normal"/>
    <w:pPr>
      <w:spacing w:before="360"/>
      <w:jc w:val="center"/>
    </w:pPr>
  </w:style>
  <w:style w:type="paragraph" w:styleId="Confidentialit" w:customStyle="1">
    <w:name w:val="Confidentialité"/>
    <w:basedOn w:val="Normal"/>
    <w:next w:val="TypedudocumentPagedecouverture"/>
    <w:pPr>
      <w:spacing w:before="240" w:after="240"/>
      <w:ind w:left="5103"/>
      <w:jc w:val="left"/>
    </w:pPr>
    <w:rPr>
      <w:i/>
      <w:sz w:val="32"/>
    </w:rPr>
  </w:style>
  <w:style w:type="paragraph" w:styleId="Considrant" w:customStyle="1">
    <w:name w:val="Considérant"/>
    <w:basedOn w:val="Normal"/>
    <w:pPr>
      <w:numPr>
        <w:numId w:val="24"/>
      </w:numPr>
    </w:pPr>
  </w:style>
  <w:style w:type="paragraph" w:styleId="Corrigendum" w:customStyle="1">
    <w:name w:val="Corrigendum"/>
    <w:basedOn w:val="Normal"/>
    <w:next w:val="Normal"/>
    <w:pPr>
      <w:spacing w:before="0" w:after="240"/>
      <w:jc w:val="left"/>
    </w:pPr>
  </w:style>
  <w:style w:type="paragraph" w:styleId="Datedadoption" w:customStyle="1">
    <w:name w:val="Date d'adoption"/>
    <w:basedOn w:val="Normal"/>
    <w:next w:val="Titreobjet"/>
    <w:pPr>
      <w:spacing w:before="360" w:after="0"/>
      <w:jc w:val="center"/>
    </w:pPr>
    <w:rPr>
      <w:b/>
    </w:rPr>
  </w:style>
  <w:style w:type="paragraph" w:styleId="Exposdesmotifstitre" w:customStyle="1">
    <w:name w:val="Exposé des motifs titre"/>
    <w:basedOn w:val="Normal"/>
    <w:next w:val="Normal"/>
    <w:pPr>
      <w:jc w:val="center"/>
    </w:pPr>
    <w:rPr>
      <w:b/>
      <w:u w:val="single"/>
    </w:rPr>
  </w:style>
  <w:style w:type="paragraph" w:styleId="Fait" w:customStyle="1">
    <w:name w:val="Fait à"/>
    <w:basedOn w:val="Normal"/>
    <w:next w:val="Institutionquisigne"/>
    <w:pPr>
      <w:keepNext/>
      <w:spacing w:after="0"/>
    </w:pPr>
  </w:style>
  <w:style w:type="paragraph" w:styleId="Formuledadoption" w:customStyle="1">
    <w:name w:val="Formule d'adoption"/>
    <w:basedOn w:val="Normal"/>
    <w:next w:val="Titrearticle"/>
    <w:pPr>
      <w:keepNext/>
    </w:pPr>
  </w:style>
  <w:style w:type="paragraph" w:styleId="Institutionquiagit" w:customStyle="1">
    <w:name w:val="Institution qui agit"/>
    <w:basedOn w:val="Normal"/>
    <w:next w:val="Normal"/>
    <w:pPr>
      <w:keepNext/>
      <w:spacing w:before="600"/>
    </w:pPr>
  </w:style>
  <w:style w:type="paragraph" w:styleId="Institutionquisigne" w:customStyle="1">
    <w:name w:val="Institution qui signe"/>
    <w:basedOn w:val="Normal"/>
    <w:next w:val="Personnequisigne"/>
    <w:pPr>
      <w:keepNext/>
      <w:tabs>
        <w:tab w:val="left" w:pos="4252"/>
      </w:tabs>
      <w:spacing w:before="720" w:after="0"/>
    </w:pPr>
    <w:rPr>
      <w:i/>
    </w:rPr>
  </w:style>
  <w:style w:type="paragraph" w:styleId="ManualConsidrant" w:customStyle="1">
    <w:name w:val="Manual Considérant"/>
    <w:basedOn w:val="Normal"/>
    <w:pPr>
      <w:ind w:left="709" w:hanging="709"/>
    </w:pPr>
  </w:style>
  <w:style w:type="paragraph" w:styleId="Personnequisigne" w:customStyle="1">
    <w:name w:val="Personne qui signe"/>
    <w:basedOn w:val="Normal"/>
    <w:next w:val="Institutionquisigne"/>
    <w:pPr>
      <w:tabs>
        <w:tab w:val="left" w:pos="4252"/>
      </w:tabs>
      <w:spacing w:before="0" w:after="0"/>
      <w:jc w:val="left"/>
    </w:pPr>
    <w:rPr>
      <w:i/>
    </w:rPr>
  </w:style>
  <w:style w:type="paragraph" w:styleId="Rfrenceinterinstitutionnelle" w:customStyle="1">
    <w:name w:val="Référence interinstitutionnelle"/>
    <w:basedOn w:val="Normal"/>
    <w:next w:val="Statut"/>
    <w:pPr>
      <w:spacing w:before="0" w:after="0"/>
      <w:ind w:left="5103"/>
      <w:jc w:val="left"/>
    </w:pPr>
  </w:style>
  <w:style w:type="paragraph" w:styleId="Rfrenceinterne" w:customStyle="1">
    <w:name w:val="Référence interne"/>
    <w:basedOn w:val="Normal"/>
    <w:next w:val="Rfrenceinterinstitutionnelle"/>
    <w:pPr>
      <w:spacing w:before="0" w:after="0"/>
      <w:ind w:left="5103"/>
      <w:jc w:val="left"/>
    </w:pPr>
  </w:style>
  <w:style w:type="paragraph" w:styleId="Statut" w:customStyle="1">
    <w:name w:val="Statut"/>
    <w:basedOn w:val="Normal"/>
    <w:next w:val="Typedudocument"/>
    <w:pPr>
      <w:spacing w:before="360" w:after="0"/>
      <w:jc w:val="center"/>
    </w:pPr>
  </w:style>
  <w:style w:type="paragraph" w:styleId="Titrearticle" w:customStyle="1">
    <w:name w:val="Titre article"/>
    <w:basedOn w:val="Normal"/>
    <w:next w:val="Normal"/>
    <w:pPr>
      <w:keepNext/>
      <w:spacing w:before="360"/>
      <w:jc w:val="center"/>
    </w:pPr>
    <w:rPr>
      <w:i/>
    </w:rPr>
  </w:style>
  <w:style w:type="paragraph" w:styleId="Titreobjet" w:customStyle="1">
    <w:name w:val="Titre objet"/>
    <w:basedOn w:val="Normal"/>
    <w:next w:val="IntrtEEE"/>
    <w:pPr>
      <w:spacing w:before="360" w:after="360"/>
      <w:jc w:val="center"/>
    </w:pPr>
    <w:rPr>
      <w:b/>
    </w:rPr>
  </w:style>
  <w:style w:type="paragraph" w:styleId="Typedudocument" w:customStyle="1">
    <w:name w:val="Type du document"/>
    <w:basedOn w:val="Normal"/>
    <w:next w:val="Titreobjet"/>
    <w:pPr>
      <w:spacing w:before="360" w:after="0"/>
      <w:jc w:val="center"/>
    </w:pPr>
    <w:rPr>
      <w:b/>
    </w:rPr>
  </w:style>
  <w:style w:type="character" w:styleId="Added" w:customStyle="1">
    <w:name w:val="Added"/>
    <w:basedOn w:val="DefaultParagraphFont"/>
    <w:rPr>
      <w:b/>
      <w:u w:val="single"/>
      <w:shd w:val="clear" w:color="auto" w:fill="auto"/>
    </w:rPr>
  </w:style>
  <w:style w:type="character" w:styleId="Deleted" w:customStyle="1">
    <w:name w:val="Deleted"/>
    <w:basedOn w:val="DefaultParagraphFont"/>
    <w:rPr>
      <w:strike/>
      <w:dstrike w:val="0"/>
      <w:shd w:val="clear" w:color="auto" w:fill="auto"/>
    </w:rPr>
  </w:style>
  <w:style w:type="paragraph" w:styleId="Address" w:customStyle="1">
    <w:name w:val="Address"/>
    <w:basedOn w:val="Normal"/>
    <w:next w:val="Normal"/>
    <w:pPr>
      <w:keepLines/>
      <w:spacing w:line="360" w:lineRule="auto"/>
      <w:ind w:left="3402"/>
      <w:jc w:val="left"/>
    </w:pPr>
  </w:style>
  <w:style w:type="paragraph" w:styleId="Objetexterne" w:customStyle="1">
    <w:name w:val="Objet externe"/>
    <w:basedOn w:val="Normal"/>
    <w:next w:val="Normal"/>
    <w:rPr>
      <w:i/>
      <w:caps/>
    </w:rPr>
  </w:style>
  <w:style w:type="paragraph" w:styleId="Supertitre" w:customStyle="1">
    <w:name w:val="Supertitre"/>
    <w:basedOn w:val="Normal"/>
    <w:next w:val="Normal"/>
    <w:pPr>
      <w:spacing w:before="0" w:after="600"/>
      <w:jc w:val="center"/>
    </w:pPr>
    <w:rPr>
      <w:b/>
    </w:rPr>
  </w:style>
  <w:style w:type="paragraph" w:styleId="Languesfaisantfoi" w:customStyle="1">
    <w:name w:val="Langues faisant foi"/>
    <w:basedOn w:val="Normal"/>
    <w:next w:val="Normal"/>
    <w:pPr>
      <w:spacing w:before="360" w:after="0"/>
      <w:jc w:val="center"/>
    </w:pPr>
  </w:style>
  <w:style w:type="paragraph" w:styleId="Rfrencecroise" w:customStyle="1">
    <w:name w:val="Référence croisée"/>
    <w:basedOn w:val="Normal"/>
    <w:pPr>
      <w:spacing w:before="0" w:after="0"/>
      <w:jc w:val="center"/>
    </w:pPr>
  </w:style>
  <w:style w:type="paragraph" w:styleId="Fichefinanciretitre" w:customStyle="1">
    <w:name w:val="Fiche financière titre"/>
    <w:basedOn w:val="Normal"/>
    <w:next w:val="Normal"/>
    <w:pPr>
      <w:jc w:val="center"/>
    </w:pPr>
    <w:rPr>
      <w:b/>
      <w:u w:val="single"/>
    </w:rPr>
  </w:style>
  <w:style w:type="paragraph" w:styleId="DatedadoptionPagedecouverture" w:customStyle="1">
    <w:name w:val="Date d'adoption (Page de couverture)"/>
    <w:basedOn w:val="Datedadoption"/>
    <w:next w:val="TitreobjetPagedecouverture"/>
  </w:style>
  <w:style w:type="paragraph" w:styleId="RfrenceinterinstitutionnellePagedecouverture" w:customStyle="1">
    <w:name w:val="Référence interinstitutionnelle (Page de couverture)"/>
    <w:basedOn w:val="Rfrenceinterinstitutionnelle"/>
    <w:next w:val="Confidentialit"/>
  </w:style>
  <w:style w:type="paragraph" w:styleId="StatutPagedecouverture" w:customStyle="1">
    <w:name w:val="Statut (Page de couverture)"/>
    <w:basedOn w:val="Statut"/>
    <w:next w:val="TypedudocumentPagedecouverture"/>
  </w:style>
  <w:style w:type="paragraph" w:styleId="TitreobjetPagedecouverture" w:customStyle="1">
    <w:name w:val="Titre objet (Page de couverture)"/>
    <w:basedOn w:val="Titreobjet"/>
    <w:next w:val="IntrtEEEPagedecouverture"/>
  </w:style>
  <w:style w:type="paragraph" w:styleId="TypedudocumentPagedecouverture" w:customStyle="1">
    <w:name w:val="Type du document (Page de couverture)"/>
    <w:basedOn w:val="Typedudocument"/>
    <w:next w:val="TitreobjetPagedecouverture"/>
  </w:style>
  <w:style w:type="paragraph" w:styleId="Volume" w:customStyle="1">
    <w:name w:val="Volume"/>
    <w:basedOn w:val="Normal"/>
    <w:next w:val="Confidentialit"/>
    <w:pPr>
      <w:spacing w:before="0" w:after="240"/>
      <w:ind w:left="5103"/>
      <w:jc w:val="left"/>
    </w:pPr>
  </w:style>
  <w:style w:type="paragraph" w:styleId="IntrtEEE" w:customStyle="1">
    <w:name w:val="Intérêt EEE"/>
    <w:basedOn w:val="Languesfaisantfoi"/>
    <w:next w:val="Normal"/>
    <w:pPr>
      <w:spacing w:after="240"/>
    </w:pPr>
  </w:style>
  <w:style w:type="paragraph" w:styleId="Accompagnant" w:customStyle="1">
    <w:name w:val="Accompagnant"/>
    <w:basedOn w:val="Normal"/>
    <w:next w:val="Typeacteprincipal"/>
    <w:pPr>
      <w:spacing w:before="0" w:after="240"/>
      <w:jc w:val="center"/>
    </w:pPr>
    <w:rPr>
      <w:b/>
      <w:i/>
    </w:rPr>
  </w:style>
  <w:style w:type="paragraph" w:styleId="Typeacteprincipal" w:customStyle="1">
    <w:name w:val="Type acte principal"/>
    <w:basedOn w:val="Normal"/>
    <w:next w:val="Objetacteprincipal"/>
    <w:pPr>
      <w:spacing w:before="0" w:after="240"/>
      <w:jc w:val="center"/>
    </w:pPr>
    <w:rPr>
      <w:b/>
    </w:rPr>
  </w:style>
  <w:style w:type="paragraph" w:styleId="Objetacteprincipal" w:customStyle="1">
    <w:name w:val="Objet acte principal"/>
    <w:basedOn w:val="Normal"/>
    <w:next w:val="Titrearticle"/>
    <w:pPr>
      <w:spacing w:before="0" w:after="360"/>
      <w:jc w:val="center"/>
    </w:pPr>
    <w:rPr>
      <w:b/>
    </w:rPr>
  </w:style>
  <w:style w:type="paragraph" w:styleId="IntrtEEEPagedecouverture" w:customStyle="1">
    <w:name w:val="Intérêt EEE (Page de couverture)"/>
    <w:basedOn w:val="IntrtEEE"/>
    <w:next w:val="Rfrencecroise"/>
  </w:style>
  <w:style w:type="paragraph" w:styleId="AccompagnantPagedecouverture" w:customStyle="1">
    <w:name w:val="Accompagnant (Page de couverture)"/>
    <w:basedOn w:val="Accompagnant"/>
    <w:next w:val="TypeacteprincipalPagedecouverture"/>
  </w:style>
  <w:style w:type="paragraph" w:styleId="TypeacteprincipalPagedecouverture" w:customStyle="1">
    <w:name w:val="Type acte principal (Page de couverture)"/>
    <w:basedOn w:val="Typeacteprincipal"/>
    <w:next w:val="ObjetacteprincipalPagedecouverture"/>
  </w:style>
  <w:style w:type="paragraph" w:styleId="ObjetacteprincipalPagedecouverture" w:customStyle="1">
    <w:name w:val="Objet acte principal (Page de couverture)"/>
    <w:basedOn w:val="Objetacteprincipal"/>
    <w:next w:val="Rfrencecroise"/>
  </w:style>
  <w:style w:type="paragraph" w:styleId="LanguesfaisantfoiPagedecouverture" w:customStyle="1">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233">
      <w:bodyDiv w:val="1"/>
      <w:marLeft w:val="0"/>
      <w:marRight w:val="0"/>
      <w:marTop w:val="0"/>
      <w:marBottom w:val="0"/>
      <w:divBdr>
        <w:top w:val="none" w:sz="0" w:space="0" w:color="auto"/>
        <w:left w:val="none" w:sz="0" w:space="0" w:color="auto"/>
        <w:bottom w:val="none" w:sz="0" w:space="0" w:color="auto"/>
        <w:right w:val="none" w:sz="0" w:space="0" w:color="auto"/>
      </w:divBdr>
    </w:div>
    <w:div w:id="233319055">
      <w:bodyDiv w:val="1"/>
      <w:marLeft w:val="0"/>
      <w:marRight w:val="0"/>
      <w:marTop w:val="0"/>
      <w:marBottom w:val="0"/>
      <w:divBdr>
        <w:top w:val="none" w:sz="0" w:space="0" w:color="auto"/>
        <w:left w:val="none" w:sz="0" w:space="0" w:color="auto"/>
        <w:bottom w:val="none" w:sz="0" w:space="0" w:color="auto"/>
        <w:right w:val="none" w:sz="0" w:space="0" w:color="auto"/>
      </w:divBdr>
    </w:div>
    <w:div w:id="848570439">
      <w:bodyDiv w:val="1"/>
      <w:marLeft w:val="0"/>
      <w:marRight w:val="0"/>
      <w:marTop w:val="0"/>
      <w:marBottom w:val="0"/>
      <w:divBdr>
        <w:top w:val="none" w:sz="0" w:space="0" w:color="auto"/>
        <w:left w:val="none" w:sz="0" w:space="0" w:color="auto"/>
        <w:bottom w:val="none" w:sz="0" w:space="0" w:color="auto"/>
        <w:right w:val="none" w:sz="0" w:space="0" w:color="auto"/>
      </w:divBdr>
    </w:div>
    <w:div w:id="971668790">
      <w:bodyDiv w:val="1"/>
      <w:marLeft w:val="0"/>
      <w:marRight w:val="0"/>
      <w:marTop w:val="0"/>
      <w:marBottom w:val="0"/>
      <w:divBdr>
        <w:top w:val="none" w:sz="0" w:space="0" w:color="auto"/>
        <w:left w:val="none" w:sz="0" w:space="0" w:color="auto"/>
        <w:bottom w:val="none" w:sz="0" w:space="0" w:color="auto"/>
        <w:right w:val="none" w:sz="0" w:space="0" w:color="auto"/>
      </w:divBdr>
    </w:div>
    <w:div w:id="1513564963">
      <w:bodyDiv w:val="1"/>
      <w:marLeft w:val="0"/>
      <w:marRight w:val="0"/>
      <w:marTop w:val="0"/>
      <w:marBottom w:val="0"/>
      <w:divBdr>
        <w:top w:val="none" w:sz="0" w:space="0" w:color="auto"/>
        <w:left w:val="none" w:sz="0" w:space="0" w:color="auto"/>
        <w:bottom w:val="none" w:sz="0" w:space="0" w:color="auto"/>
        <w:right w:val="none" w:sz="0" w:space="0" w:color="auto"/>
      </w:divBdr>
    </w:div>
    <w:div w:id="1576474532">
      <w:bodyDiv w:val="1"/>
      <w:marLeft w:val="0"/>
      <w:marRight w:val="0"/>
      <w:marTop w:val="0"/>
      <w:marBottom w:val="0"/>
      <w:divBdr>
        <w:top w:val="none" w:sz="0" w:space="0" w:color="auto"/>
        <w:left w:val="none" w:sz="0" w:space="0" w:color="auto"/>
        <w:bottom w:val="none" w:sz="0" w:space="0" w:color="auto"/>
        <w:right w:val="none" w:sz="0" w:space="0" w:color="auto"/>
      </w:divBdr>
    </w:div>
    <w:div w:id="1674841074">
      <w:bodyDiv w:val="1"/>
      <w:marLeft w:val="0"/>
      <w:marRight w:val="0"/>
      <w:marTop w:val="0"/>
      <w:marBottom w:val="0"/>
      <w:divBdr>
        <w:top w:val="none" w:sz="0" w:space="0" w:color="auto"/>
        <w:left w:val="none" w:sz="0" w:space="0" w:color="auto"/>
        <w:bottom w:val="none" w:sz="0" w:space="0" w:color="auto"/>
        <w:right w:val="none" w:sz="0" w:space="0" w:color="auto"/>
      </w:divBdr>
    </w:div>
    <w:div w:id="16840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449cb01-ac7f-4105-a4f6-aace6d33820e">EN</EC_Collab_DocumentLanguage>
    <EC_ARES_DATE_TRANSFERRED xmlns="1449cb01-ac7f-4105-a4f6-aace6d33820e" xsi:nil="true"/>
    <EC_ARES_TRANSFERRED_BY xmlns="1449cb01-ac7f-4105-a4f6-aace6d33820e" xsi:nil="true"/>
    <EC_Collab_Reference xmlns="1449cb01-ac7f-4105-a4f6-aace6d33820e" xsi:nil="true"/>
    <EC_Collab_Status xmlns="1449cb01-ac7f-4105-a4f6-aace6d33820e">Not Started</EC_Collab_Status>
    <EC_ARES_NUMBER xmlns="1449cb01-ac7f-4105-a4f6-aace6d33820e">
      <Url xsi:nil="true"/>
      <Description xsi:nil="true"/>
    </EC_ARES_NUMBER>
    <_dlc_DocId xmlns="b9a1bbf4-3872-40cb-a1a3-b88a292b9176">NHRUTF4F6DR2-326283604-2830</_dlc_DocId>
    <_dlc_DocIdUrl xmlns="b9a1bbf4-3872-40cb-a1a3-b88a292b9176">
      <Url>https://myintracomm-collab.ec.europa.eu/dg/budg/unit-B2-site/_layouts/15/DocIdRedir.aspx?ID=NHRUTF4F6DR2-326283604-2830</Url>
      <Description>NHRUTF4F6DR2-326283604-2830</Description>
    </_dlc_DocIdUrl>
    <SharedWithUsers xmlns="ce90b569-b2b5-43ce-a69d-542b5fc3f59f">
      <UserInfo>
        <DisplayName>SIKORA Agnieszka</DisplayName>
        <AccountId>21092</AccountId>
        <AccountType/>
      </UserInfo>
      <UserInfo>
        <DisplayName>KOTZ Sabine</DisplayName>
        <AccountId>695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3712021FDB5874F9699F85B57306198" ma:contentTypeVersion="7" ma:contentTypeDescription="Create a new document in this library." ma:contentTypeScope="" ma:versionID="09bc6430df4cc480e94d9222eee13ce0">
  <xsd:schema xmlns:xsd="http://www.w3.org/2001/XMLSchema" xmlns:xs="http://www.w3.org/2001/XMLSchema" xmlns:p="http://schemas.microsoft.com/office/2006/metadata/properties" xmlns:ns3="1449cb01-ac7f-4105-a4f6-aace6d33820e" xmlns:ns4="b9a1bbf4-3872-40cb-a1a3-b88a292b9176" xmlns:ns5="ce90b569-b2b5-43ce-a69d-542b5fc3f59f" targetNamespace="http://schemas.microsoft.com/office/2006/metadata/properties" ma:root="true" ma:fieldsID="83e43dcc1d165ebd4791315de665119e" ns3:_="" ns4:_="" ns5:_="">
    <xsd:import namespace="1449cb01-ac7f-4105-a4f6-aace6d33820e"/>
    <xsd:import namespace="b9a1bbf4-3872-40cb-a1a3-b88a292b9176"/>
    <xsd:import namespace="ce90b569-b2b5-43ce-a69d-542b5fc3f59f"/>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cb01-ac7f-4105-a4f6-aace6d3382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90b569-b2b5-43ce-a69d-542b5fc3f5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85BE90F-4685-43D0-A602-1061E2C8D100}">
  <ds:schemaRefs>
    <ds:schemaRef ds:uri="http://schemas.microsoft.com/sharepoint/v3/contenttype/forms"/>
  </ds:schemaRefs>
</ds:datastoreItem>
</file>

<file path=customXml/itemProps2.xml><?xml version="1.0" encoding="utf-8"?>
<ds:datastoreItem xmlns:ds="http://schemas.openxmlformats.org/officeDocument/2006/customXml" ds:itemID="{8508E3FF-7273-42EB-BDE0-E7FC522A92FF}">
  <ds:schemaRefs>
    <ds:schemaRef ds:uri="b9a1bbf4-3872-40cb-a1a3-b88a292b9176"/>
    <ds:schemaRef ds:uri="http://purl.org/dc/terms/"/>
    <ds:schemaRef ds:uri="http://schemas.openxmlformats.org/package/2006/metadata/core-properties"/>
    <ds:schemaRef ds:uri="1449cb01-ac7f-4105-a4f6-aace6d33820e"/>
    <ds:schemaRef ds:uri="http://schemas.microsoft.com/office/2006/documentManagement/types"/>
    <ds:schemaRef ds:uri="http://schemas.microsoft.com/office/infopath/2007/PartnerControls"/>
    <ds:schemaRef ds:uri="http://purl.org/dc/elements/1.1/"/>
    <ds:schemaRef ds:uri="http://schemas.microsoft.com/office/2006/metadata/properties"/>
    <ds:schemaRef ds:uri="ce90b569-b2b5-43ce-a69d-542b5fc3f59f"/>
    <ds:schemaRef ds:uri="http://www.w3.org/XML/1998/namespace"/>
    <ds:schemaRef ds:uri="http://purl.org/dc/dcmitype/"/>
  </ds:schemaRefs>
</ds:datastoreItem>
</file>

<file path=customXml/itemProps3.xml><?xml version="1.0" encoding="utf-8"?>
<ds:datastoreItem xmlns:ds="http://schemas.openxmlformats.org/officeDocument/2006/customXml" ds:itemID="{8C893EAC-C649-4100-BB01-2E04103F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cb01-ac7f-4105-a4f6-aace6d33820e"/>
    <ds:schemaRef ds:uri="b9a1bbf4-3872-40cb-a1a3-b88a292b9176"/>
    <ds:schemaRef ds:uri="ce90b569-b2b5-43ce-a69d-542b5fc3f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7C52A3-5949-4ED0-8735-8EEE57EC5DE0}">
  <ds:schemaRefs>
    <ds:schemaRef ds:uri="http://schemas.microsoft.com/sharepoint/events"/>
  </ds:schemaRefs>
</ds:datastoreItem>
</file>

<file path=customXml/itemProps5.xml><?xml version="1.0" encoding="utf-8"?>
<ds:datastoreItem xmlns:ds="http://schemas.openxmlformats.org/officeDocument/2006/customXml" ds:itemID="{7D744520-B9A1-4A91-8D7D-24EC44AF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Pages>
  <Words>3031</Words>
  <Characters>16763</Characters>
  <Application>Microsoft Office Word</Application>
  <DocSecurity>0</DocSecurity>
  <Lines>295</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2023-06-21T13:57:00Z</dcterms:created>
  <dcterms:modified xsi:type="dcterms:W3CDTF">2023-06-21T14:26:00Z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2023-05-23T21:54:58Z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c64aafe4-3aa1-402b-b747-9b1eee78f3e1</vt:lpwstr>
  </property>
  <property fmtid="{D5CDD505-2E9C-101B-9397-08002B2CF9AE}" pid="8" name="MSIP_Label_6bd9ddd1-4d20-43f6-abfa-fc3c07406f94_ContentBits">
    <vt:lpwstr>0</vt:lpwstr>
  </property>
  <property fmtid="{D5CDD505-2E9C-101B-9397-08002B2CF9AE}" pid="9" name="ContentTypeId">
    <vt:lpwstr>0x010100258AA79CEB83498886A3A086811232500003712021FDB5874F9699F85B57306198</vt:lpwstr>
  </property>
  <property fmtid="{D5CDD505-2E9C-101B-9397-08002B2CF9AE}" pid="10" name="_dlc_DocIdItemGuid">
    <vt:lpwstr>3270a3cd-1cd2-4659-8655-0baae93f58a2</vt:lpwstr>
  </property>
  <property fmtid="{D5CDD505-2E9C-101B-9397-08002B2CF9AE}" pid="11" name="Level of sensitivity">
    <vt:lpwstr>Standard treatment</vt:lpwstr>
  </property>
  <property fmtid="{D5CDD505-2E9C-101B-9397-08002B2CF9AE}" pid="12" name="Category">
    <vt:lpwstr>COM/PL/MOD</vt:lpwstr>
  </property>
  <property fmtid="{D5CDD505-2E9C-101B-9397-08002B2CF9AE}" pid="13" name="Last edited using">
    <vt:lpwstr>LW 9.0, Build 20230317</vt:lpwstr>
  </property>
  <property fmtid="{D5CDD505-2E9C-101B-9397-08002B2CF9AE}" pid="14" name="Part">
    <vt:lpwstr>1</vt:lpwstr>
  </property>
  <property fmtid="{D5CDD505-2E9C-101B-9397-08002B2CF9AE}" pid="15" name="Total parts">
    <vt:lpwstr>1</vt:lpwstr>
  </property>
  <property fmtid="{D5CDD505-2E9C-101B-9397-08002B2CF9AE}" pid="16" name="LWTemplateID">
    <vt:lpwstr>SG-006</vt:lpwstr>
  </property>
  <property fmtid="{D5CDD505-2E9C-101B-9397-08002B2CF9AE}" pid="17" name="DQCStatus">
    <vt:lpwstr>Green (DQC version 03)</vt:lpwstr>
  </property>
</Properties>
</file>