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162C3" w14:textId="5FFC27DD" w:rsidR="008221AE" w:rsidRDefault="00451640" w:rsidP="00451640">
      <w:pPr>
        <w:pStyle w:val="Pagedecouverture"/>
        <w:rPr>
          <w:noProof/>
        </w:rPr>
      </w:pPr>
      <w:bookmarkStart w:id="0" w:name="LW_BM_COVERPAGE"/>
      <w:r>
        <w:rPr>
          <w:noProof/>
        </w:rPr>
        <w:pict w14:anchorId="0C82B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9F30C497-CF0C-4DFD-99D2-6B42384BA0B2" style="width:455.25pt;height:407.25pt">
            <v:imagedata r:id="rId15" o:title=""/>
          </v:shape>
        </w:pict>
      </w:r>
    </w:p>
    <w:bookmarkEnd w:id="0"/>
    <w:p w14:paraId="22732046" w14:textId="77777777" w:rsidR="008221AE" w:rsidRDefault="008221AE" w:rsidP="008221AE">
      <w:pPr>
        <w:rPr>
          <w:noProof/>
        </w:rPr>
        <w:sectPr w:rsidR="008221AE" w:rsidSect="00451640">
          <w:headerReference w:type="even" r:id="rId16"/>
          <w:headerReference w:type="default" r:id="rId17"/>
          <w:footerReference w:type="even" r:id="rId18"/>
          <w:footerReference w:type="default" r:id="rId19"/>
          <w:headerReference w:type="first" r:id="rId20"/>
          <w:footerReference w:type="first" r:id="rId21"/>
          <w:pgSz w:w="11906" w:h="16838" w:code="9"/>
          <w:pgMar w:top="1134" w:right="1417" w:bottom="1134" w:left="1417" w:header="709" w:footer="709" w:gutter="0"/>
          <w:pgNumType w:start="0"/>
          <w:cols w:space="720"/>
          <w:docGrid w:linePitch="326"/>
        </w:sectPr>
      </w:pPr>
    </w:p>
    <w:bookmarkStart w:id="1" w:name="_GoBack" w:displacedByCustomXml="next"/>
    <w:bookmarkEnd w:id="1" w:displacedByCustomXml="next"/>
    <w:bookmarkStart w:id="2" w:name="_Toc511200835" w:displacedByCustomXml="next"/>
    <w:bookmarkStart w:id="3" w:name="_Toc511201226" w:displacedByCustomXml="next"/>
    <w:bookmarkStart w:id="4" w:name="_Toc512360166" w:displacedByCustomXml="next"/>
    <w:bookmarkStart w:id="5" w:name="_Toc512362953" w:displacedByCustomXml="next"/>
    <w:bookmarkStart w:id="6" w:name="_Toc512369076" w:displacedByCustomXml="next"/>
    <w:bookmarkStart w:id="7" w:name="_Toc512530282" w:displacedByCustomXml="next"/>
    <w:bookmarkStart w:id="8" w:name="_Toc512532936" w:displacedByCustomXml="next"/>
    <w:bookmarkStart w:id="9" w:name="_Toc512533470" w:displacedByCustomXml="next"/>
    <w:bookmarkStart w:id="10" w:name="_Toc512533847" w:displacedByCustomXml="next"/>
    <w:bookmarkStart w:id="11" w:name="_Toc512854071" w:displacedByCustomXml="next"/>
    <w:bookmarkStart w:id="12" w:name="_Toc512855505" w:displacedByCustomXml="next"/>
    <w:bookmarkStart w:id="13" w:name="_Toc512855556" w:displacedByCustomXml="next"/>
    <w:bookmarkStart w:id="14" w:name="_Toc512534040" w:displacedByCustomXml="next"/>
    <w:sdt>
      <w:sdtPr>
        <w:rPr>
          <w:rFonts w:ascii="EC Square Sans Pro" w:hAnsi="EC Square Sans Pro"/>
          <w:b w:val="0"/>
          <w:caps w:val="0"/>
          <w:noProof/>
          <w:sz w:val="24"/>
        </w:rPr>
        <w:alias w:val="Table of Contents"/>
        <w:tag w:val="2OIKVGtmzwJ66PTlFMFRa4"/>
        <w:id w:val="-1333288774"/>
      </w:sdtPr>
      <w:sdtEndPr>
        <w:rPr>
          <w:sz w:val="20"/>
        </w:rPr>
      </w:sdtEndPr>
      <w:sdtContent>
        <w:p w14:paraId="1E49FCA5" w14:textId="77777777" w:rsidR="00B8356A" w:rsidRPr="009F2E4E" w:rsidRDefault="00451640" w:rsidP="00500E0C">
          <w:pPr>
            <w:pStyle w:val="TOCHeading"/>
            <w:rPr>
              <w:rFonts w:ascii="EC Square Sans Pro" w:hAnsi="EC Square Sans Pro"/>
              <w:noProof/>
              <w:color w:val="023E8A" w:themeColor="accent1"/>
              <w:sz w:val="24"/>
            </w:rPr>
          </w:pPr>
          <w:sdt>
            <w:sdtPr>
              <w:rPr>
                <w:rFonts w:ascii="EC Square Sans Pro" w:hAnsi="EC Square Sans Pro"/>
                <w:noProof/>
                <w:color w:val="023E8A" w:themeColor="accent1"/>
                <w:sz w:val="24"/>
              </w:rPr>
              <w:id w:val="-87244549"/>
              <w:dataBinding w:xpath="/Texts/TOCHeading" w:storeItemID="{4EF90DE6-88B6-4264-9629-4D8DFDFE87D2}"/>
              <w:text w:multiLine="1"/>
            </w:sdtPr>
            <w:sdtEndPr/>
            <w:sdtContent>
              <w:r w:rsidR="008972AA">
                <w:rPr>
                  <w:rFonts w:ascii="EC Square Sans Pro" w:hAnsi="EC Square Sans Pro"/>
                  <w:noProof/>
                  <w:color w:val="023E8A" w:themeColor="accent1"/>
                  <w:sz w:val="24"/>
                </w:rPr>
                <w:t>Table of Contents</w:t>
              </w:r>
            </w:sdtContent>
          </w:sdt>
        </w:p>
        <w:p w14:paraId="7E9C4234" w14:textId="6B445F25" w:rsidR="008A79F1" w:rsidRDefault="00B8356A">
          <w:pPr>
            <w:pStyle w:val="TOC1"/>
            <w:rPr>
              <w:rFonts w:asciiTheme="minorHAnsi" w:eastAsiaTheme="minorEastAsia" w:hAnsiTheme="minorHAnsi" w:cstheme="minorBidi"/>
              <w:noProof/>
              <w:sz w:val="22"/>
              <w:szCs w:val="22"/>
              <w:lang w:val="en-IE"/>
            </w:rPr>
          </w:pPr>
          <w:r w:rsidRPr="009F2E4E">
            <w:rPr>
              <w:noProof/>
            </w:rPr>
            <w:fldChar w:fldCharType="begin"/>
          </w:r>
          <w:r w:rsidRPr="009F2E4E">
            <w:rPr>
              <w:noProof/>
            </w:rPr>
            <w:instrText>TOC \o "1-4" \h \t "Article;1;ChapterTitle;5;PartTitle;5;SectionTitle;5;AnnexTitle;6"</w:instrText>
          </w:r>
          <w:r w:rsidRPr="009F2E4E">
            <w:rPr>
              <w:noProof/>
            </w:rPr>
            <w:fldChar w:fldCharType="separate"/>
          </w:r>
          <w:hyperlink w:anchor="_Toc137493977" w:history="1">
            <w:r w:rsidR="008A79F1" w:rsidRPr="00641069">
              <w:rPr>
                <w:rStyle w:val="Hyperlink"/>
                <w:noProof/>
              </w:rPr>
              <w:t>Executive Summary</w:t>
            </w:r>
            <w:r w:rsidR="008A79F1">
              <w:rPr>
                <w:noProof/>
              </w:rPr>
              <w:tab/>
            </w:r>
            <w:r w:rsidR="008A79F1">
              <w:rPr>
                <w:noProof/>
              </w:rPr>
              <w:fldChar w:fldCharType="begin"/>
            </w:r>
            <w:r w:rsidR="008A79F1">
              <w:rPr>
                <w:noProof/>
              </w:rPr>
              <w:instrText xml:space="preserve"> PAGEREF _Toc137493977 \h </w:instrText>
            </w:r>
            <w:r w:rsidR="008A79F1">
              <w:rPr>
                <w:noProof/>
              </w:rPr>
            </w:r>
            <w:r w:rsidR="008A79F1">
              <w:rPr>
                <w:noProof/>
              </w:rPr>
              <w:fldChar w:fldCharType="separate"/>
            </w:r>
            <w:r w:rsidR="005D0E24">
              <w:rPr>
                <w:noProof/>
              </w:rPr>
              <w:t>3</w:t>
            </w:r>
            <w:r w:rsidR="008A79F1">
              <w:rPr>
                <w:noProof/>
              </w:rPr>
              <w:fldChar w:fldCharType="end"/>
            </w:r>
          </w:hyperlink>
        </w:p>
        <w:p w14:paraId="4BA4C145" w14:textId="773DD07C" w:rsidR="008A79F1" w:rsidRDefault="00451640">
          <w:pPr>
            <w:pStyle w:val="TOC1"/>
            <w:rPr>
              <w:rFonts w:asciiTheme="minorHAnsi" w:eastAsiaTheme="minorEastAsia" w:hAnsiTheme="minorHAnsi" w:cstheme="minorBidi"/>
              <w:noProof/>
              <w:sz w:val="22"/>
              <w:szCs w:val="22"/>
              <w:lang w:val="en-IE"/>
            </w:rPr>
          </w:pPr>
          <w:hyperlink w:anchor="_Toc137493978" w:history="1">
            <w:r w:rsidR="008A79F1" w:rsidRPr="00641069">
              <w:rPr>
                <w:rStyle w:val="Hyperlink"/>
                <w:b/>
                <w:noProof/>
              </w:rPr>
              <w:t>Part 1.</w:t>
            </w:r>
            <w:r w:rsidR="008A79F1" w:rsidRPr="00641069">
              <w:rPr>
                <w:rStyle w:val="Hyperlink"/>
                <w:noProof/>
              </w:rPr>
              <w:t xml:space="preserve"> Overview of the own resources system and recent developments on the revenue side of the EU budget</w:t>
            </w:r>
            <w:r w:rsidR="008A79F1">
              <w:rPr>
                <w:noProof/>
              </w:rPr>
              <w:tab/>
            </w:r>
            <w:r w:rsidR="008A79F1">
              <w:rPr>
                <w:noProof/>
              </w:rPr>
              <w:fldChar w:fldCharType="begin"/>
            </w:r>
            <w:r w:rsidR="008A79F1">
              <w:rPr>
                <w:noProof/>
              </w:rPr>
              <w:instrText xml:space="preserve"> PAGEREF _Toc137493978 \h </w:instrText>
            </w:r>
            <w:r w:rsidR="008A79F1">
              <w:rPr>
                <w:noProof/>
              </w:rPr>
            </w:r>
            <w:r w:rsidR="008A79F1">
              <w:rPr>
                <w:noProof/>
              </w:rPr>
              <w:fldChar w:fldCharType="separate"/>
            </w:r>
            <w:r w:rsidR="005D0E24">
              <w:rPr>
                <w:noProof/>
              </w:rPr>
              <w:t>4</w:t>
            </w:r>
            <w:r w:rsidR="008A79F1">
              <w:rPr>
                <w:noProof/>
              </w:rPr>
              <w:fldChar w:fldCharType="end"/>
            </w:r>
          </w:hyperlink>
        </w:p>
        <w:p w14:paraId="0A9761FD" w14:textId="165E8A3E" w:rsidR="008A79F1" w:rsidRDefault="00451640">
          <w:pPr>
            <w:pStyle w:val="TOC2"/>
            <w:rPr>
              <w:rFonts w:asciiTheme="minorHAnsi" w:eastAsiaTheme="minorEastAsia" w:hAnsiTheme="minorHAnsi" w:cstheme="minorBidi"/>
              <w:sz w:val="22"/>
              <w:szCs w:val="22"/>
              <w:lang w:val="en-IE"/>
            </w:rPr>
          </w:pPr>
          <w:hyperlink w:anchor="_Toc137493979" w:history="1">
            <w:r w:rsidR="008A79F1" w:rsidRPr="00641069">
              <w:rPr>
                <w:rStyle w:val="Hyperlink"/>
              </w:rPr>
              <w:t>1.1 Recent developments of the EU own resources system.</w:t>
            </w:r>
            <w:r w:rsidR="008A79F1">
              <w:tab/>
            </w:r>
            <w:r w:rsidR="008A79F1">
              <w:fldChar w:fldCharType="begin"/>
            </w:r>
            <w:r w:rsidR="008A79F1">
              <w:instrText xml:space="preserve"> PAGEREF _Toc137493979 \h </w:instrText>
            </w:r>
            <w:r w:rsidR="008A79F1">
              <w:fldChar w:fldCharType="separate"/>
            </w:r>
            <w:r w:rsidR="005D0E24">
              <w:t>4</w:t>
            </w:r>
            <w:r w:rsidR="008A79F1">
              <w:fldChar w:fldCharType="end"/>
            </w:r>
          </w:hyperlink>
        </w:p>
        <w:p w14:paraId="6C96EC4B" w14:textId="0695A04A" w:rsidR="008A79F1" w:rsidRDefault="00451640">
          <w:pPr>
            <w:pStyle w:val="TOC3"/>
            <w:rPr>
              <w:rFonts w:asciiTheme="minorHAnsi" w:eastAsiaTheme="minorEastAsia" w:hAnsiTheme="minorHAnsi" w:cstheme="minorBidi"/>
              <w:noProof/>
              <w:sz w:val="22"/>
              <w:szCs w:val="22"/>
              <w:lang w:val="en-IE"/>
            </w:rPr>
          </w:pPr>
          <w:hyperlink w:anchor="_Toc137493980" w:history="1">
            <w:r w:rsidR="008A79F1" w:rsidRPr="00641069">
              <w:rPr>
                <w:rStyle w:val="Hyperlink"/>
                <w:noProof/>
              </w:rPr>
              <w:t>1.1.1. The own resources system: main elements of reform</w:t>
            </w:r>
            <w:r w:rsidR="008A79F1">
              <w:rPr>
                <w:noProof/>
              </w:rPr>
              <w:tab/>
            </w:r>
            <w:r w:rsidR="008A79F1">
              <w:rPr>
                <w:noProof/>
              </w:rPr>
              <w:fldChar w:fldCharType="begin"/>
            </w:r>
            <w:r w:rsidR="008A79F1">
              <w:rPr>
                <w:noProof/>
              </w:rPr>
              <w:instrText xml:space="preserve"> PAGEREF _Toc137493980 \h </w:instrText>
            </w:r>
            <w:r w:rsidR="008A79F1">
              <w:rPr>
                <w:noProof/>
              </w:rPr>
            </w:r>
            <w:r w:rsidR="008A79F1">
              <w:rPr>
                <w:noProof/>
              </w:rPr>
              <w:fldChar w:fldCharType="separate"/>
            </w:r>
            <w:r w:rsidR="005D0E24">
              <w:rPr>
                <w:noProof/>
              </w:rPr>
              <w:t>4</w:t>
            </w:r>
            <w:r w:rsidR="008A79F1">
              <w:rPr>
                <w:noProof/>
              </w:rPr>
              <w:fldChar w:fldCharType="end"/>
            </w:r>
          </w:hyperlink>
        </w:p>
        <w:p w14:paraId="74F3DABA" w14:textId="7E1074AF" w:rsidR="008A79F1" w:rsidRDefault="00451640">
          <w:pPr>
            <w:pStyle w:val="TOC3"/>
            <w:rPr>
              <w:rFonts w:asciiTheme="minorHAnsi" w:eastAsiaTheme="minorEastAsia" w:hAnsiTheme="minorHAnsi" w:cstheme="minorBidi"/>
              <w:noProof/>
              <w:sz w:val="22"/>
              <w:szCs w:val="22"/>
              <w:lang w:val="en-IE"/>
            </w:rPr>
          </w:pPr>
          <w:hyperlink w:anchor="_Toc137493981" w:history="1">
            <w:r w:rsidR="008A79F1" w:rsidRPr="00641069">
              <w:rPr>
                <w:rStyle w:val="Hyperlink"/>
                <w:noProof/>
              </w:rPr>
              <w:t>1.1.2. Simplification of the own resources system: Value Added Tax own resource</w:t>
            </w:r>
            <w:r w:rsidR="008A79F1">
              <w:rPr>
                <w:noProof/>
              </w:rPr>
              <w:tab/>
            </w:r>
            <w:r w:rsidR="008A79F1">
              <w:rPr>
                <w:noProof/>
              </w:rPr>
              <w:fldChar w:fldCharType="begin"/>
            </w:r>
            <w:r w:rsidR="008A79F1">
              <w:rPr>
                <w:noProof/>
              </w:rPr>
              <w:instrText xml:space="preserve"> PAGEREF _Toc137493981 \h </w:instrText>
            </w:r>
            <w:r w:rsidR="008A79F1">
              <w:rPr>
                <w:noProof/>
              </w:rPr>
            </w:r>
            <w:r w:rsidR="008A79F1">
              <w:rPr>
                <w:noProof/>
              </w:rPr>
              <w:fldChar w:fldCharType="separate"/>
            </w:r>
            <w:r w:rsidR="005D0E24">
              <w:rPr>
                <w:noProof/>
              </w:rPr>
              <w:t>5</w:t>
            </w:r>
            <w:r w:rsidR="008A79F1">
              <w:rPr>
                <w:noProof/>
              </w:rPr>
              <w:fldChar w:fldCharType="end"/>
            </w:r>
          </w:hyperlink>
        </w:p>
        <w:p w14:paraId="4A1AF78C" w14:textId="77780CB9" w:rsidR="008A79F1" w:rsidRDefault="00451640">
          <w:pPr>
            <w:pStyle w:val="TOC3"/>
            <w:rPr>
              <w:rFonts w:asciiTheme="minorHAnsi" w:eastAsiaTheme="minorEastAsia" w:hAnsiTheme="minorHAnsi" w:cstheme="minorBidi"/>
              <w:noProof/>
              <w:sz w:val="22"/>
              <w:szCs w:val="22"/>
              <w:lang w:val="en-IE"/>
            </w:rPr>
          </w:pPr>
          <w:hyperlink w:anchor="_Toc137493982" w:history="1">
            <w:r w:rsidR="008A79F1" w:rsidRPr="00641069">
              <w:rPr>
                <w:rStyle w:val="Hyperlink"/>
                <w:noProof/>
              </w:rPr>
              <w:t>1.1.3. Diversification of revenues: the plastics-based own resource</w:t>
            </w:r>
            <w:r w:rsidR="008A79F1">
              <w:rPr>
                <w:noProof/>
              </w:rPr>
              <w:tab/>
            </w:r>
            <w:r w:rsidR="008A79F1">
              <w:rPr>
                <w:noProof/>
              </w:rPr>
              <w:fldChar w:fldCharType="begin"/>
            </w:r>
            <w:r w:rsidR="008A79F1">
              <w:rPr>
                <w:noProof/>
              </w:rPr>
              <w:instrText xml:space="preserve"> PAGEREF _Toc137493982 \h </w:instrText>
            </w:r>
            <w:r w:rsidR="008A79F1">
              <w:rPr>
                <w:noProof/>
              </w:rPr>
            </w:r>
            <w:r w:rsidR="008A79F1">
              <w:rPr>
                <w:noProof/>
              </w:rPr>
              <w:fldChar w:fldCharType="separate"/>
            </w:r>
            <w:r w:rsidR="005D0E24">
              <w:rPr>
                <w:noProof/>
              </w:rPr>
              <w:t>7</w:t>
            </w:r>
            <w:r w:rsidR="008A79F1">
              <w:rPr>
                <w:noProof/>
              </w:rPr>
              <w:fldChar w:fldCharType="end"/>
            </w:r>
          </w:hyperlink>
        </w:p>
        <w:p w14:paraId="079797F2" w14:textId="66A64D06" w:rsidR="008A79F1" w:rsidRDefault="00451640">
          <w:pPr>
            <w:pStyle w:val="TOC2"/>
            <w:rPr>
              <w:rFonts w:asciiTheme="minorHAnsi" w:eastAsiaTheme="minorEastAsia" w:hAnsiTheme="minorHAnsi" w:cstheme="minorBidi"/>
              <w:sz w:val="22"/>
              <w:szCs w:val="22"/>
              <w:lang w:val="en-IE"/>
            </w:rPr>
          </w:pPr>
          <w:hyperlink w:anchor="_Toc137493983" w:history="1">
            <w:r w:rsidR="008A79F1" w:rsidRPr="00641069">
              <w:rPr>
                <w:rStyle w:val="Hyperlink"/>
              </w:rPr>
              <w:t>1.2 The increase in “other revenues”</w:t>
            </w:r>
            <w:r w:rsidR="008A79F1">
              <w:tab/>
            </w:r>
            <w:r w:rsidR="008A79F1">
              <w:fldChar w:fldCharType="begin"/>
            </w:r>
            <w:r w:rsidR="008A79F1">
              <w:instrText xml:space="preserve"> PAGEREF _Toc137493983 \h </w:instrText>
            </w:r>
            <w:r w:rsidR="008A79F1">
              <w:fldChar w:fldCharType="separate"/>
            </w:r>
            <w:r w:rsidR="005D0E24">
              <w:t>9</w:t>
            </w:r>
            <w:r w:rsidR="008A79F1">
              <w:fldChar w:fldCharType="end"/>
            </w:r>
          </w:hyperlink>
        </w:p>
        <w:p w14:paraId="5DACC979" w14:textId="50393579" w:rsidR="008A79F1" w:rsidRDefault="00451640">
          <w:pPr>
            <w:pStyle w:val="TOC1"/>
            <w:rPr>
              <w:rFonts w:asciiTheme="minorHAnsi" w:eastAsiaTheme="minorEastAsia" w:hAnsiTheme="minorHAnsi" w:cstheme="minorBidi"/>
              <w:noProof/>
              <w:sz w:val="22"/>
              <w:szCs w:val="22"/>
              <w:lang w:val="en-IE"/>
            </w:rPr>
          </w:pPr>
          <w:hyperlink w:anchor="_Toc137493984" w:history="1">
            <w:r w:rsidR="008A79F1" w:rsidRPr="00641069">
              <w:rPr>
                <w:rStyle w:val="Hyperlink"/>
                <w:b/>
                <w:bCs/>
                <w:noProof/>
              </w:rPr>
              <w:t>Part 2.</w:t>
            </w:r>
            <w:r w:rsidR="008A79F1" w:rsidRPr="00641069">
              <w:rPr>
                <w:rStyle w:val="Hyperlink"/>
                <w:noProof/>
              </w:rPr>
              <w:t xml:space="preserve"> Potential New Own Resources – Types and Evaluation</w:t>
            </w:r>
            <w:r w:rsidR="008A79F1">
              <w:rPr>
                <w:noProof/>
              </w:rPr>
              <w:tab/>
            </w:r>
            <w:r w:rsidR="008A79F1">
              <w:rPr>
                <w:noProof/>
              </w:rPr>
              <w:fldChar w:fldCharType="begin"/>
            </w:r>
            <w:r w:rsidR="008A79F1">
              <w:rPr>
                <w:noProof/>
              </w:rPr>
              <w:instrText xml:space="preserve"> PAGEREF _Toc137493984 \h </w:instrText>
            </w:r>
            <w:r w:rsidR="008A79F1">
              <w:rPr>
                <w:noProof/>
              </w:rPr>
            </w:r>
            <w:r w:rsidR="008A79F1">
              <w:rPr>
                <w:noProof/>
              </w:rPr>
              <w:fldChar w:fldCharType="separate"/>
            </w:r>
            <w:r w:rsidR="005D0E24">
              <w:rPr>
                <w:noProof/>
              </w:rPr>
              <w:t>13</w:t>
            </w:r>
            <w:r w:rsidR="008A79F1">
              <w:rPr>
                <w:noProof/>
              </w:rPr>
              <w:fldChar w:fldCharType="end"/>
            </w:r>
          </w:hyperlink>
        </w:p>
        <w:p w14:paraId="48BA0764" w14:textId="544F7D8C" w:rsidR="008A79F1" w:rsidRDefault="00451640">
          <w:pPr>
            <w:pStyle w:val="TOC2"/>
            <w:rPr>
              <w:rFonts w:asciiTheme="minorHAnsi" w:eastAsiaTheme="minorEastAsia" w:hAnsiTheme="minorHAnsi" w:cstheme="minorBidi"/>
              <w:sz w:val="22"/>
              <w:szCs w:val="22"/>
              <w:lang w:val="en-IE"/>
            </w:rPr>
          </w:pPr>
          <w:hyperlink w:anchor="_Toc137493985" w:history="1">
            <w:r w:rsidR="008A79F1" w:rsidRPr="00641069">
              <w:rPr>
                <w:rStyle w:val="Hyperlink"/>
              </w:rPr>
              <w:t>2.1. Assessment framework for new own resources candidates</w:t>
            </w:r>
            <w:r w:rsidR="008A79F1">
              <w:tab/>
            </w:r>
            <w:r w:rsidR="008A79F1">
              <w:fldChar w:fldCharType="begin"/>
            </w:r>
            <w:r w:rsidR="008A79F1">
              <w:instrText xml:space="preserve"> PAGEREF _Toc137493985 \h </w:instrText>
            </w:r>
            <w:r w:rsidR="008A79F1">
              <w:fldChar w:fldCharType="separate"/>
            </w:r>
            <w:r w:rsidR="005D0E24">
              <w:t>13</w:t>
            </w:r>
            <w:r w:rsidR="008A79F1">
              <w:fldChar w:fldCharType="end"/>
            </w:r>
          </w:hyperlink>
        </w:p>
        <w:p w14:paraId="23BA5867" w14:textId="1FB2F82D" w:rsidR="008A79F1" w:rsidRDefault="00451640">
          <w:pPr>
            <w:pStyle w:val="TOC3"/>
            <w:rPr>
              <w:rFonts w:asciiTheme="minorHAnsi" w:eastAsiaTheme="minorEastAsia" w:hAnsiTheme="minorHAnsi" w:cstheme="minorBidi"/>
              <w:noProof/>
              <w:sz w:val="22"/>
              <w:szCs w:val="22"/>
              <w:lang w:val="en-IE"/>
            </w:rPr>
          </w:pPr>
          <w:hyperlink w:anchor="_Toc137493986" w:history="1">
            <w:r w:rsidR="008A79F1" w:rsidRPr="00641069">
              <w:rPr>
                <w:rStyle w:val="Hyperlink"/>
                <w:noProof/>
              </w:rPr>
              <w:t>2.1.1. Political context</w:t>
            </w:r>
            <w:r w:rsidR="008A79F1">
              <w:rPr>
                <w:noProof/>
              </w:rPr>
              <w:tab/>
            </w:r>
            <w:r w:rsidR="008A79F1">
              <w:rPr>
                <w:noProof/>
              </w:rPr>
              <w:fldChar w:fldCharType="begin"/>
            </w:r>
            <w:r w:rsidR="008A79F1">
              <w:rPr>
                <w:noProof/>
              </w:rPr>
              <w:instrText xml:space="preserve"> PAGEREF _Toc137493986 \h </w:instrText>
            </w:r>
            <w:r w:rsidR="008A79F1">
              <w:rPr>
                <w:noProof/>
              </w:rPr>
            </w:r>
            <w:r w:rsidR="008A79F1">
              <w:rPr>
                <w:noProof/>
              </w:rPr>
              <w:fldChar w:fldCharType="separate"/>
            </w:r>
            <w:r w:rsidR="005D0E24">
              <w:rPr>
                <w:noProof/>
              </w:rPr>
              <w:t>13</w:t>
            </w:r>
            <w:r w:rsidR="008A79F1">
              <w:rPr>
                <w:noProof/>
              </w:rPr>
              <w:fldChar w:fldCharType="end"/>
            </w:r>
          </w:hyperlink>
        </w:p>
        <w:p w14:paraId="3EDE2F6D" w14:textId="6495E7AC" w:rsidR="008A79F1" w:rsidRDefault="00451640">
          <w:pPr>
            <w:pStyle w:val="TOC3"/>
            <w:rPr>
              <w:rFonts w:asciiTheme="minorHAnsi" w:eastAsiaTheme="minorEastAsia" w:hAnsiTheme="minorHAnsi" w:cstheme="minorBidi"/>
              <w:noProof/>
              <w:sz w:val="22"/>
              <w:szCs w:val="22"/>
              <w:lang w:val="en-IE"/>
            </w:rPr>
          </w:pPr>
          <w:hyperlink w:anchor="_Toc137493987" w:history="1">
            <w:r w:rsidR="008A79F1" w:rsidRPr="00641069">
              <w:rPr>
                <w:rStyle w:val="Hyperlink"/>
                <w:noProof/>
              </w:rPr>
              <w:t>2.1.2. Selection of criteria</w:t>
            </w:r>
            <w:r w:rsidR="008A79F1">
              <w:rPr>
                <w:noProof/>
              </w:rPr>
              <w:tab/>
            </w:r>
            <w:r w:rsidR="008A79F1">
              <w:rPr>
                <w:noProof/>
              </w:rPr>
              <w:fldChar w:fldCharType="begin"/>
            </w:r>
            <w:r w:rsidR="008A79F1">
              <w:rPr>
                <w:noProof/>
              </w:rPr>
              <w:instrText xml:space="preserve"> PAGEREF _Toc137493987 \h </w:instrText>
            </w:r>
            <w:r w:rsidR="008A79F1">
              <w:rPr>
                <w:noProof/>
              </w:rPr>
            </w:r>
            <w:r w:rsidR="008A79F1">
              <w:rPr>
                <w:noProof/>
              </w:rPr>
              <w:fldChar w:fldCharType="separate"/>
            </w:r>
            <w:r w:rsidR="005D0E24">
              <w:rPr>
                <w:noProof/>
              </w:rPr>
              <w:t>13</w:t>
            </w:r>
            <w:r w:rsidR="008A79F1">
              <w:rPr>
                <w:noProof/>
              </w:rPr>
              <w:fldChar w:fldCharType="end"/>
            </w:r>
          </w:hyperlink>
        </w:p>
        <w:p w14:paraId="6CCE316D" w14:textId="32835C4D" w:rsidR="008A79F1" w:rsidRDefault="00451640">
          <w:pPr>
            <w:pStyle w:val="TOC3"/>
            <w:rPr>
              <w:rFonts w:asciiTheme="minorHAnsi" w:eastAsiaTheme="minorEastAsia" w:hAnsiTheme="minorHAnsi" w:cstheme="minorBidi"/>
              <w:noProof/>
              <w:sz w:val="22"/>
              <w:szCs w:val="22"/>
              <w:lang w:val="en-IE"/>
            </w:rPr>
          </w:pPr>
          <w:hyperlink w:anchor="_Toc137493988" w:history="1">
            <w:r w:rsidR="008A79F1" w:rsidRPr="00641069">
              <w:rPr>
                <w:rStyle w:val="Hyperlink"/>
                <w:noProof/>
              </w:rPr>
              <w:t>Revenue potential</w:t>
            </w:r>
            <w:r w:rsidR="008A79F1">
              <w:rPr>
                <w:noProof/>
              </w:rPr>
              <w:tab/>
            </w:r>
            <w:r w:rsidR="008A79F1">
              <w:rPr>
                <w:noProof/>
              </w:rPr>
              <w:fldChar w:fldCharType="begin"/>
            </w:r>
            <w:r w:rsidR="008A79F1">
              <w:rPr>
                <w:noProof/>
              </w:rPr>
              <w:instrText xml:space="preserve"> PAGEREF _Toc137493988 \h </w:instrText>
            </w:r>
            <w:r w:rsidR="008A79F1">
              <w:rPr>
                <w:noProof/>
              </w:rPr>
            </w:r>
            <w:r w:rsidR="008A79F1">
              <w:rPr>
                <w:noProof/>
              </w:rPr>
              <w:fldChar w:fldCharType="separate"/>
            </w:r>
            <w:r w:rsidR="005D0E24">
              <w:rPr>
                <w:noProof/>
              </w:rPr>
              <w:t>14</w:t>
            </w:r>
            <w:r w:rsidR="008A79F1">
              <w:rPr>
                <w:noProof/>
              </w:rPr>
              <w:fldChar w:fldCharType="end"/>
            </w:r>
          </w:hyperlink>
        </w:p>
        <w:p w14:paraId="3D4B11B8" w14:textId="5559C351" w:rsidR="008A79F1" w:rsidRDefault="00451640">
          <w:pPr>
            <w:pStyle w:val="TOC3"/>
            <w:rPr>
              <w:rFonts w:asciiTheme="minorHAnsi" w:eastAsiaTheme="minorEastAsia" w:hAnsiTheme="minorHAnsi" w:cstheme="minorBidi"/>
              <w:noProof/>
              <w:sz w:val="22"/>
              <w:szCs w:val="22"/>
              <w:lang w:val="en-IE"/>
            </w:rPr>
          </w:pPr>
          <w:hyperlink w:anchor="_Toc137493989" w:history="1">
            <w:r w:rsidR="008A79F1" w:rsidRPr="00641069">
              <w:rPr>
                <w:rStyle w:val="Hyperlink"/>
                <w:noProof/>
              </w:rPr>
              <w:t>Simplicity</w:t>
            </w:r>
            <w:r w:rsidR="008A79F1">
              <w:rPr>
                <w:rStyle w:val="Hyperlink"/>
                <w:noProof/>
              </w:rPr>
              <w:t xml:space="preserve"> </w:t>
            </w:r>
            <w:r w:rsidR="008A79F1">
              <w:rPr>
                <w:noProof/>
              </w:rPr>
              <w:tab/>
            </w:r>
            <w:r w:rsidR="008A79F1">
              <w:rPr>
                <w:noProof/>
              </w:rPr>
              <w:fldChar w:fldCharType="begin"/>
            </w:r>
            <w:r w:rsidR="008A79F1">
              <w:rPr>
                <w:noProof/>
              </w:rPr>
              <w:instrText xml:space="preserve"> PAGEREF _Toc137493989 \h </w:instrText>
            </w:r>
            <w:r w:rsidR="008A79F1">
              <w:rPr>
                <w:noProof/>
              </w:rPr>
            </w:r>
            <w:r w:rsidR="008A79F1">
              <w:rPr>
                <w:noProof/>
              </w:rPr>
              <w:fldChar w:fldCharType="separate"/>
            </w:r>
            <w:r w:rsidR="005D0E24">
              <w:rPr>
                <w:noProof/>
              </w:rPr>
              <w:t>14</w:t>
            </w:r>
            <w:r w:rsidR="008A79F1">
              <w:rPr>
                <w:noProof/>
              </w:rPr>
              <w:fldChar w:fldCharType="end"/>
            </w:r>
          </w:hyperlink>
        </w:p>
        <w:p w14:paraId="03F381B6" w14:textId="7096EA70" w:rsidR="008A79F1" w:rsidRDefault="00451640">
          <w:pPr>
            <w:pStyle w:val="TOC3"/>
            <w:rPr>
              <w:rFonts w:asciiTheme="minorHAnsi" w:eastAsiaTheme="minorEastAsia" w:hAnsiTheme="minorHAnsi" w:cstheme="minorBidi"/>
              <w:noProof/>
              <w:sz w:val="22"/>
              <w:szCs w:val="22"/>
              <w:lang w:val="en-IE"/>
            </w:rPr>
          </w:pPr>
          <w:hyperlink w:anchor="_Toc137493990" w:history="1">
            <w:r w:rsidR="008A79F1" w:rsidRPr="00641069">
              <w:rPr>
                <w:rStyle w:val="Hyperlink"/>
                <w:noProof/>
              </w:rPr>
              <w:t>Fast mobilisation of new revenue sources</w:t>
            </w:r>
            <w:r w:rsidR="008A79F1">
              <w:rPr>
                <w:noProof/>
              </w:rPr>
              <w:tab/>
            </w:r>
            <w:r w:rsidR="008A79F1">
              <w:rPr>
                <w:noProof/>
              </w:rPr>
              <w:fldChar w:fldCharType="begin"/>
            </w:r>
            <w:r w:rsidR="008A79F1">
              <w:rPr>
                <w:noProof/>
              </w:rPr>
              <w:instrText xml:space="preserve"> PAGEREF _Toc137493990 \h </w:instrText>
            </w:r>
            <w:r w:rsidR="008A79F1">
              <w:rPr>
                <w:noProof/>
              </w:rPr>
            </w:r>
            <w:r w:rsidR="008A79F1">
              <w:rPr>
                <w:noProof/>
              </w:rPr>
              <w:fldChar w:fldCharType="separate"/>
            </w:r>
            <w:r w:rsidR="005D0E24">
              <w:rPr>
                <w:noProof/>
              </w:rPr>
              <w:t>14</w:t>
            </w:r>
            <w:r w:rsidR="008A79F1">
              <w:rPr>
                <w:noProof/>
              </w:rPr>
              <w:fldChar w:fldCharType="end"/>
            </w:r>
          </w:hyperlink>
        </w:p>
        <w:p w14:paraId="2FC3C9A2" w14:textId="46B9EC8B" w:rsidR="008A79F1" w:rsidRDefault="00451640">
          <w:pPr>
            <w:pStyle w:val="TOC2"/>
            <w:rPr>
              <w:rFonts w:asciiTheme="minorHAnsi" w:eastAsiaTheme="minorEastAsia" w:hAnsiTheme="minorHAnsi" w:cstheme="minorBidi"/>
              <w:sz w:val="22"/>
              <w:szCs w:val="22"/>
              <w:lang w:val="en-IE"/>
            </w:rPr>
          </w:pPr>
          <w:hyperlink w:anchor="_Toc137493991" w:history="1">
            <w:r w:rsidR="008A79F1" w:rsidRPr="00641069">
              <w:rPr>
                <w:rStyle w:val="Hyperlink"/>
              </w:rPr>
              <w:t>2.2 Stakeholder and other institutions’ views</w:t>
            </w:r>
            <w:r w:rsidR="008A79F1">
              <w:tab/>
            </w:r>
            <w:r w:rsidR="008A79F1">
              <w:fldChar w:fldCharType="begin"/>
            </w:r>
            <w:r w:rsidR="008A79F1">
              <w:instrText xml:space="preserve"> PAGEREF _Toc137493991 \h </w:instrText>
            </w:r>
            <w:r w:rsidR="008A79F1">
              <w:fldChar w:fldCharType="separate"/>
            </w:r>
            <w:r w:rsidR="005D0E24">
              <w:t>16</w:t>
            </w:r>
            <w:r w:rsidR="008A79F1">
              <w:fldChar w:fldCharType="end"/>
            </w:r>
          </w:hyperlink>
        </w:p>
        <w:p w14:paraId="051B0D45" w14:textId="540FE60B" w:rsidR="008A79F1" w:rsidRDefault="00451640">
          <w:pPr>
            <w:pStyle w:val="TOC2"/>
            <w:rPr>
              <w:rFonts w:asciiTheme="minorHAnsi" w:eastAsiaTheme="minorEastAsia" w:hAnsiTheme="minorHAnsi" w:cstheme="minorBidi"/>
              <w:sz w:val="22"/>
              <w:szCs w:val="22"/>
              <w:lang w:val="en-IE"/>
            </w:rPr>
          </w:pPr>
          <w:hyperlink w:anchor="_Toc137493992" w:history="1">
            <w:r w:rsidR="008A79F1" w:rsidRPr="00641069">
              <w:rPr>
                <w:rStyle w:val="Hyperlink"/>
              </w:rPr>
              <w:t>2.3. Evaluation of potential new own resources – individual factsheets</w:t>
            </w:r>
            <w:r w:rsidR="008A79F1">
              <w:tab/>
            </w:r>
            <w:r w:rsidR="008A79F1">
              <w:fldChar w:fldCharType="begin"/>
            </w:r>
            <w:r w:rsidR="008A79F1">
              <w:instrText xml:space="preserve"> PAGEREF _Toc137493992 \h </w:instrText>
            </w:r>
            <w:r w:rsidR="008A79F1">
              <w:fldChar w:fldCharType="separate"/>
            </w:r>
            <w:r w:rsidR="005D0E24">
              <w:t>17</w:t>
            </w:r>
            <w:r w:rsidR="008A79F1">
              <w:fldChar w:fldCharType="end"/>
            </w:r>
          </w:hyperlink>
        </w:p>
        <w:p w14:paraId="79D8B321" w14:textId="70C7D78E" w:rsidR="008A79F1" w:rsidRDefault="00451640">
          <w:pPr>
            <w:pStyle w:val="TOC3"/>
            <w:rPr>
              <w:rFonts w:asciiTheme="minorHAnsi" w:eastAsiaTheme="minorEastAsia" w:hAnsiTheme="minorHAnsi" w:cstheme="minorBidi"/>
              <w:noProof/>
              <w:sz w:val="22"/>
              <w:szCs w:val="22"/>
              <w:lang w:val="en-IE"/>
            </w:rPr>
          </w:pPr>
          <w:hyperlink w:anchor="_Toc137493993" w:history="1">
            <w:r w:rsidR="008A79F1" w:rsidRPr="00641069">
              <w:rPr>
                <w:rStyle w:val="Hyperlink"/>
                <w:noProof/>
              </w:rPr>
              <w:t>2.3.1. Corporate taxation (BEFIT), including financial sector</w:t>
            </w:r>
            <w:r w:rsidR="008A79F1">
              <w:rPr>
                <w:noProof/>
              </w:rPr>
              <w:tab/>
            </w:r>
            <w:r w:rsidR="008A79F1">
              <w:rPr>
                <w:noProof/>
              </w:rPr>
              <w:fldChar w:fldCharType="begin"/>
            </w:r>
            <w:r w:rsidR="008A79F1">
              <w:rPr>
                <w:noProof/>
              </w:rPr>
              <w:instrText xml:space="preserve"> PAGEREF _Toc137493993 \h </w:instrText>
            </w:r>
            <w:r w:rsidR="008A79F1">
              <w:rPr>
                <w:noProof/>
              </w:rPr>
            </w:r>
            <w:r w:rsidR="008A79F1">
              <w:rPr>
                <w:noProof/>
              </w:rPr>
              <w:fldChar w:fldCharType="separate"/>
            </w:r>
            <w:r w:rsidR="005D0E24">
              <w:rPr>
                <w:noProof/>
              </w:rPr>
              <w:t>18</w:t>
            </w:r>
            <w:r w:rsidR="008A79F1">
              <w:rPr>
                <w:noProof/>
              </w:rPr>
              <w:fldChar w:fldCharType="end"/>
            </w:r>
          </w:hyperlink>
        </w:p>
        <w:p w14:paraId="095CF97E" w14:textId="0931061C" w:rsidR="008A79F1" w:rsidRDefault="00451640">
          <w:pPr>
            <w:pStyle w:val="TOC3"/>
            <w:rPr>
              <w:rFonts w:asciiTheme="minorHAnsi" w:eastAsiaTheme="minorEastAsia" w:hAnsiTheme="minorHAnsi" w:cstheme="minorBidi"/>
              <w:noProof/>
              <w:sz w:val="22"/>
              <w:szCs w:val="22"/>
              <w:lang w:val="en-IE"/>
            </w:rPr>
          </w:pPr>
          <w:hyperlink w:anchor="_Toc137493994" w:history="1">
            <w:r w:rsidR="008A79F1" w:rsidRPr="00641069">
              <w:rPr>
                <w:rStyle w:val="Hyperlink"/>
                <w:noProof/>
              </w:rPr>
              <w:t xml:space="preserve">2.3.2. </w:t>
            </w:r>
            <w:r w:rsidR="008A79F1" w:rsidRPr="00641069">
              <w:rPr>
                <w:rStyle w:val="Hyperlink"/>
                <w:noProof/>
                <w:lang w:eastAsia="en-US"/>
              </w:rPr>
              <w:t xml:space="preserve">Statistical </w:t>
            </w:r>
            <w:r w:rsidR="008A79F1" w:rsidRPr="00641069">
              <w:rPr>
                <w:rStyle w:val="Hyperlink"/>
                <w:noProof/>
              </w:rPr>
              <w:t xml:space="preserve">own resource </w:t>
            </w:r>
            <w:r w:rsidR="008A79F1" w:rsidRPr="00641069">
              <w:rPr>
                <w:rStyle w:val="Hyperlink"/>
                <w:noProof/>
                <w:lang w:eastAsia="en-US"/>
              </w:rPr>
              <w:t>based on company</w:t>
            </w:r>
            <w:r w:rsidR="008A79F1" w:rsidRPr="00641069">
              <w:rPr>
                <w:rStyle w:val="Hyperlink"/>
                <w:noProof/>
              </w:rPr>
              <w:t xml:space="preserve"> profits</w:t>
            </w:r>
            <w:r w:rsidR="008A79F1">
              <w:rPr>
                <w:noProof/>
              </w:rPr>
              <w:tab/>
            </w:r>
            <w:r w:rsidR="008A79F1">
              <w:rPr>
                <w:noProof/>
              </w:rPr>
              <w:fldChar w:fldCharType="begin"/>
            </w:r>
            <w:r w:rsidR="008A79F1">
              <w:rPr>
                <w:noProof/>
              </w:rPr>
              <w:instrText xml:space="preserve"> PAGEREF _Toc137493994 \h </w:instrText>
            </w:r>
            <w:r w:rsidR="008A79F1">
              <w:rPr>
                <w:noProof/>
              </w:rPr>
            </w:r>
            <w:r w:rsidR="008A79F1">
              <w:rPr>
                <w:noProof/>
              </w:rPr>
              <w:fldChar w:fldCharType="separate"/>
            </w:r>
            <w:r w:rsidR="005D0E24">
              <w:rPr>
                <w:noProof/>
              </w:rPr>
              <w:t>19</w:t>
            </w:r>
            <w:r w:rsidR="008A79F1">
              <w:rPr>
                <w:noProof/>
              </w:rPr>
              <w:fldChar w:fldCharType="end"/>
            </w:r>
          </w:hyperlink>
        </w:p>
        <w:p w14:paraId="4EDC1E08" w14:textId="57BF1B9E" w:rsidR="008A79F1" w:rsidRDefault="00451640">
          <w:pPr>
            <w:pStyle w:val="TOC3"/>
            <w:rPr>
              <w:rFonts w:asciiTheme="minorHAnsi" w:eastAsiaTheme="minorEastAsia" w:hAnsiTheme="minorHAnsi" w:cstheme="minorBidi"/>
              <w:noProof/>
              <w:sz w:val="22"/>
              <w:szCs w:val="22"/>
              <w:lang w:val="en-IE"/>
            </w:rPr>
          </w:pPr>
          <w:hyperlink w:anchor="_Toc137493995" w:history="1">
            <w:r w:rsidR="008A79F1" w:rsidRPr="00641069">
              <w:rPr>
                <w:rStyle w:val="Hyperlink"/>
                <w:noProof/>
              </w:rPr>
              <w:t>2.3.3. Financial Sector - Financial Transaction Tax (FTT)</w:t>
            </w:r>
            <w:r w:rsidR="008A79F1">
              <w:rPr>
                <w:noProof/>
              </w:rPr>
              <w:tab/>
            </w:r>
            <w:r w:rsidR="008A79F1">
              <w:rPr>
                <w:noProof/>
              </w:rPr>
              <w:fldChar w:fldCharType="begin"/>
            </w:r>
            <w:r w:rsidR="008A79F1">
              <w:rPr>
                <w:noProof/>
              </w:rPr>
              <w:instrText xml:space="preserve"> PAGEREF _Toc137493995 \h </w:instrText>
            </w:r>
            <w:r w:rsidR="008A79F1">
              <w:rPr>
                <w:noProof/>
              </w:rPr>
            </w:r>
            <w:r w:rsidR="008A79F1">
              <w:rPr>
                <w:noProof/>
              </w:rPr>
              <w:fldChar w:fldCharType="separate"/>
            </w:r>
            <w:r w:rsidR="005D0E24">
              <w:rPr>
                <w:noProof/>
              </w:rPr>
              <w:t>20</w:t>
            </w:r>
            <w:r w:rsidR="008A79F1">
              <w:rPr>
                <w:noProof/>
              </w:rPr>
              <w:fldChar w:fldCharType="end"/>
            </w:r>
          </w:hyperlink>
        </w:p>
        <w:p w14:paraId="6D78E8C7" w14:textId="07D86BE0" w:rsidR="008A79F1" w:rsidRDefault="00451640">
          <w:pPr>
            <w:pStyle w:val="TOC3"/>
            <w:rPr>
              <w:rFonts w:asciiTheme="minorHAnsi" w:eastAsiaTheme="minorEastAsia" w:hAnsiTheme="minorHAnsi" w:cstheme="minorBidi"/>
              <w:noProof/>
              <w:sz w:val="22"/>
              <w:szCs w:val="22"/>
              <w:lang w:val="en-IE"/>
            </w:rPr>
          </w:pPr>
          <w:hyperlink w:anchor="_Toc137493996" w:history="1">
            <w:r w:rsidR="008A79F1" w:rsidRPr="00641069">
              <w:rPr>
                <w:rStyle w:val="Hyperlink"/>
                <w:noProof/>
              </w:rPr>
              <w:t xml:space="preserve">2.3.4. EU ‘fair border Mechanism’ </w:t>
            </w:r>
            <w:r w:rsidR="008A79F1">
              <w:rPr>
                <w:noProof/>
              </w:rPr>
              <w:tab/>
            </w:r>
            <w:r w:rsidR="008A79F1">
              <w:rPr>
                <w:noProof/>
              </w:rPr>
              <w:fldChar w:fldCharType="begin"/>
            </w:r>
            <w:r w:rsidR="008A79F1">
              <w:rPr>
                <w:noProof/>
              </w:rPr>
              <w:instrText xml:space="preserve"> PAGEREF _Toc137493996 \h </w:instrText>
            </w:r>
            <w:r w:rsidR="008A79F1">
              <w:rPr>
                <w:noProof/>
              </w:rPr>
            </w:r>
            <w:r w:rsidR="008A79F1">
              <w:rPr>
                <w:noProof/>
              </w:rPr>
              <w:fldChar w:fldCharType="separate"/>
            </w:r>
            <w:r w:rsidR="005D0E24">
              <w:rPr>
                <w:noProof/>
              </w:rPr>
              <w:t>21</w:t>
            </w:r>
            <w:r w:rsidR="008A79F1">
              <w:rPr>
                <w:noProof/>
              </w:rPr>
              <w:fldChar w:fldCharType="end"/>
            </w:r>
          </w:hyperlink>
        </w:p>
        <w:p w14:paraId="52870C42" w14:textId="1CD16173" w:rsidR="008A79F1" w:rsidRDefault="00451640">
          <w:pPr>
            <w:pStyle w:val="TOC3"/>
            <w:rPr>
              <w:rFonts w:asciiTheme="minorHAnsi" w:eastAsiaTheme="minorEastAsia" w:hAnsiTheme="minorHAnsi" w:cstheme="minorBidi"/>
              <w:noProof/>
              <w:sz w:val="22"/>
              <w:szCs w:val="22"/>
              <w:lang w:val="en-IE"/>
            </w:rPr>
          </w:pPr>
          <w:hyperlink w:anchor="_Toc137493997" w:history="1">
            <w:r w:rsidR="008A79F1" w:rsidRPr="00641069">
              <w:rPr>
                <w:rStyle w:val="Hyperlink"/>
                <w:noProof/>
              </w:rPr>
              <w:t>2.3.5. Tax on crypto assets</w:t>
            </w:r>
            <w:r w:rsidR="008A79F1">
              <w:rPr>
                <w:noProof/>
              </w:rPr>
              <w:tab/>
            </w:r>
            <w:r w:rsidR="008A79F1">
              <w:rPr>
                <w:noProof/>
              </w:rPr>
              <w:fldChar w:fldCharType="begin"/>
            </w:r>
            <w:r w:rsidR="008A79F1">
              <w:rPr>
                <w:noProof/>
              </w:rPr>
              <w:instrText xml:space="preserve"> PAGEREF _Toc137493997 \h </w:instrText>
            </w:r>
            <w:r w:rsidR="008A79F1">
              <w:rPr>
                <w:noProof/>
              </w:rPr>
            </w:r>
            <w:r w:rsidR="008A79F1">
              <w:rPr>
                <w:noProof/>
              </w:rPr>
              <w:fldChar w:fldCharType="separate"/>
            </w:r>
            <w:r w:rsidR="005D0E24">
              <w:rPr>
                <w:noProof/>
              </w:rPr>
              <w:t>22</w:t>
            </w:r>
            <w:r w:rsidR="008A79F1">
              <w:rPr>
                <w:noProof/>
              </w:rPr>
              <w:fldChar w:fldCharType="end"/>
            </w:r>
          </w:hyperlink>
        </w:p>
        <w:p w14:paraId="21EE2475" w14:textId="7BFC5990" w:rsidR="008A79F1" w:rsidRDefault="00451640">
          <w:pPr>
            <w:pStyle w:val="TOC3"/>
            <w:rPr>
              <w:rFonts w:asciiTheme="minorHAnsi" w:eastAsiaTheme="minorEastAsia" w:hAnsiTheme="minorHAnsi" w:cstheme="minorBidi"/>
              <w:noProof/>
              <w:sz w:val="22"/>
              <w:szCs w:val="22"/>
              <w:lang w:val="en-IE"/>
            </w:rPr>
          </w:pPr>
          <w:hyperlink w:anchor="_Toc137493998" w:history="1">
            <w:r w:rsidR="008A79F1" w:rsidRPr="00641069">
              <w:rPr>
                <w:rStyle w:val="Hyperlink"/>
                <w:noProof/>
              </w:rPr>
              <w:t xml:space="preserve">2.3.6. </w:t>
            </w:r>
            <w:r w:rsidR="008A79F1" w:rsidRPr="00641069">
              <w:rPr>
                <w:rStyle w:val="Hyperlink"/>
                <w:noProof/>
                <w:lang w:eastAsia="en-US"/>
              </w:rPr>
              <w:t xml:space="preserve">Statistical </w:t>
            </w:r>
            <w:r w:rsidR="008A79F1" w:rsidRPr="00641069">
              <w:rPr>
                <w:rStyle w:val="Hyperlink"/>
                <w:noProof/>
              </w:rPr>
              <w:t xml:space="preserve">own resource </w:t>
            </w:r>
            <w:r w:rsidR="008A79F1" w:rsidRPr="00641069">
              <w:rPr>
                <w:rStyle w:val="Hyperlink"/>
                <w:noProof/>
                <w:lang w:eastAsia="en-US"/>
              </w:rPr>
              <w:t xml:space="preserve">based on </w:t>
            </w:r>
            <w:r w:rsidR="008A79F1" w:rsidRPr="00641069">
              <w:rPr>
                <w:rStyle w:val="Hyperlink"/>
                <w:noProof/>
              </w:rPr>
              <w:t>gender pay gap</w:t>
            </w:r>
            <w:r w:rsidR="008A79F1">
              <w:rPr>
                <w:noProof/>
              </w:rPr>
              <w:tab/>
            </w:r>
            <w:r w:rsidR="008A79F1">
              <w:rPr>
                <w:noProof/>
              </w:rPr>
              <w:fldChar w:fldCharType="begin"/>
            </w:r>
            <w:r w:rsidR="008A79F1">
              <w:rPr>
                <w:noProof/>
              </w:rPr>
              <w:instrText xml:space="preserve"> PAGEREF _Toc137493998 \h </w:instrText>
            </w:r>
            <w:r w:rsidR="008A79F1">
              <w:rPr>
                <w:noProof/>
              </w:rPr>
            </w:r>
            <w:r w:rsidR="008A79F1">
              <w:rPr>
                <w:noProof/>
              </w:rPr>
              <w:fldChar w:fldCharType="separate"/>
            </w:r>
            <w:r w:rsidR="005D0E24">
              <w:rPr>
                <w:noProof/>
              </w:rPr>
              <w:t>23</w:t>
            </w:r>
            <w:r w:rsidR="008A79F1">
              <w:rPr>
                <w:noProof/>
              </w:rPr>
              <w:fldChar w:fldCharType="end"/>
            </w:r>
          </w:hyperlink>
        </w:p>
        <w:p w14:paraId="47F9663C" w14:textId="280ECCCD" w:rsidR="008A79F1" w:rsidRDefault="00451640">
          <w:pPr>
            <w:pStyle w:val="TOC3"/>
            <w:rPr>
              <w:rFonts w:asciiTheme="minorHAnsi" w:eastAsiaTheme="minorEastAsia" w:hAnsiTheme="minorHAnsi" w:cstheme="minorBidi"/>
              <w:noProof/>
              <w:sz w:val="22"/>
              <w:szCs w:val="22"/>
              <w:lang w:val="en-IE"/>
            </w:rPr>
          </w:pPr>
          <w:hyperlink w:anchor="_Toc137493999" w:history="1">
            <w:r w:rsidR="008A79F1" w:rsidRPr="00641069">
              <w:rPr>
                <w:rStyle w:val="Hyperlink"/>
                <w:noProof/>
              </w:rPr>
              <w:t xml:space="preserve">2.3.7. </w:t>
            </w:r>
            <w:r w:rsidR="008A79F1" w:rsidRPr="00641069">
              <w:rPr>
                <w:rStyle w:val="Hyperlink"/>
                <w:noProof/>
                <w:lang w:eastAsia="en-US"/>
              </w:rPr>
              <w:t xml:space="preserve">Statistical </w:t>
            </w:r>
            <w:r w:rsidR="008A79F1" w:rsidRPr="00641069">
              <w:rPr>
                <w:rStyle w:val="Hyperlink"/>
                <w:noProof/>
              </w:rPr>
              <w:t xml:space="preserve">own resource </w:t>
            </w:r>
            <w:r w:rsidR="008A79F1" w:rsidRPr="00641069">
              <w:rPr>
                <w:rStyle w:val="Hyperlink"/>
                <w:noProof/>
                <w:lang w:eastAsia="en-US"/>
              </w:rPr>
              <w:t>based on f</w:t>
            </w:r>
            <w:r w:rsidR="008A79F1" w:rsidRPr="00641069">
              <w:rPr>
                <w:rStyle w:val="Hyperlink"/>
                <w:noProof/>
              </w:rPr>
              <w:t xml:space="preserve">ood waste </w:t>
            </w:r>
            <w:r w:rsidR="008A79F1">
              <w:rPr>
                <w:noProof/>
              </w:rPr>
              <w:tab/>
            </w:r>
            <w:r w:rsidR="008A79F1">
              <w:rPr>
                <w:noProof/>
              </w:rPr>
              <w:fldChar w:fldCharType="begin"/>
            </w:r>
            <w:r w:rsidR="008A79F1">
              <w:rPr>
                <w:noProof/>
              </w:rPr>
              <w:instrText xml:space="preserve"> PAGEREF _Toc137493999 \h </w:instrText>
            </w:r>
            <w:r w:rsidR="008A79F1">
              <w:rPr>
                <w:noProof/>
              </w:rPr>
            </w:r>
            <w:r w:rsidR="008A79F1">
              <w:rPr>
                <w:noProof/>
              </w:rPr>
              <w:fldChar w:fldCharType="separate"/>
            </w:r>
            <w:r w:rsidR="005D0E24">
              <w:rPr>
                <w:noProof/>
              </w:rPr>
              <w:t>24</w:t>
            </w:r>
            <w:r w:rsidR="008A79F1">
              <w:rPr>
                <w:noProof/>
              </w:rPr>
              <w:fldChar w:fldCharType="end"/>
            </w:r>
          </w:hyperlink>
        </w:p>
        <w:p w14:paraId="45D3DB72" w14:textId="027D4B26" w:rsidR="008A79F1" w:rsidRDefault="00451640">
          <w:pPr>
            <w:pStyle w:val="TOC3"/>
            <w:rPr>
              <w:rFonts w:asciiTheme="minorHAnsi" w:eastAsiaTheme="minorEastAsia" w:hAnsiTheme="minorHAnsi" w:cstheme="minorBidi"/>
              <w:noProof/>
              <w:sz w:val="22"/>
              <w:szCs w:val="22"/>
              <w:lang w:val="en-IE"/>
            </w:rPr>
          </w:pPr>
          <w:hyperlink w:anchor="_Toc137494000" w:history="1">
            <w:r w:rsidR="008A79F1" w:rsidRPr="00641069">
              <w:rPr>
                <w:rStyle w:val="Hyperlink"/>
                <w:noProof/>
              </w:rPr>
              <w:t xml:space="preserve">2.3.8. </w:t>
            </w:r>
            <w:r w:rsidR="008A79F1" w:rsidRPr="00641069">
              <w:rPr>
                <w:rStyle w:val="Hyperlink"/>
                <w:noProof/>
                <w:lang w:eastAsia="en-US"/>
              </w:rPr>
              <w:t xml:space="preserve">Statistical </w:t>
            </w:r>
            <w:r w:rsidR="008A79F1" w:rsidRPr="00641069">
              <w:rPr>
                <w:rStyle w:val="Hyperlink"/>
                <w:noProof/>
              </w:rPr>
              <w:t xml:space="preserve">own resource </w:t>
            </w:r>
            <w:r w:rsidR="008A79F1" w:rsidRPr="00641069">
              <w:rPr>
                <w:rStyle w:val="Hyperlink"/>
                <w:noProof/>
                <w:lang w:eastAsia="en-US"/>
              </w:rPr>
              <w:t xml:space="preserve">based on </w:t>
            </w:r>
            <w:r w:rsidR="008A79F1" w:rsidRPr="00641069">
              <w:rPr>
                <w:rStyle w:val="Hyperlink"/>
                <w:noProof/>
              </w:rPr>
              <w:t>e-waste</w:t>
            </w:r>
            <w:r w:rsidR="008A79F1">
              <w:rPr>
                <w:noProof/>
              </w:rPr>
              <w:tab/>
            </w:r>
            <w:r w:rsidR="008A79F1">
              <w:rPr>
                <w:noProof/>
              </w:rPr>
              <w:fldChar w:fldCharType="begin"/>
            </w:r>
            <w:r w:rsidR="008A79F1">
              <w:rPr>
                <w:noProof/>
              </w:rPr>
              <w:instrText xml:space="preserve"> PAGEREF _Toc137494000 \h </w:instrText>
            </w:r>
            <w:r w:rsidR="008A79F1">
              <w:rPr>
                <w:noProof/>
              </w:rPr>
            </w:r>
            <w:r w:rsidR="008A79F1">
              <w:rPr>
                <w:noProof/>
              </w:rPr>
              <w:fldChar w:fldCharType="separate"/>
            </w:r>
            <w:r w:rsidR="005D0E24">
              <w:rPr>
                <w:noProof/>
              </w:rPr>
              <w:t>26</w:t>
            </w:r>
            <w:r w:rsidR="008A79F1">
              <w:rPr>
                <w:noProof/>
              </w:rPr>
              <w:fldChar w:fldCharType="end"/>
            </w:r>
          </w:hyperlink>
        </w:p>
        <w:p w14:paraId="6B968179" w14:textId="14E516F2" w:rsidR="008A79F1" w:rsidRDefault="00451640">
          <w:pPr>
            <w:pStyle w:val="TOC1"/>
            <w:rPr>
              <w:rFonts w:asciiTheme="minorHAnsi" w:eastAsiaTheme="minorEastAsia" w:hAnsiTheme="minorHAnsi" w:cstheme="minorBidi"/>
              <w:noProof/>
              <w:sz w:val="22"/>
              <w:szCs w:val="22"/>
              <w:lang w:val="en-IE"/>
            </w:rPr>
          </w:pPr>
          <w:hyperlink w:anchor="_Toc137494001" w:history="1">
            <w:r w:rsidR="008A79F1" w:rsidRPr="00641069">
              <w:rPr>
                <w:rStyle w:val="Hyperlink"/>
                <w:b/>
                <w:noProof/>
              </w:rPr>
              <w:t>Part 3.</w:t>
            </w:r>
            <w:r w:rsidR="008A79F1" w:rsidRPr="00641069">
              <w:rPr>
                <w:rStyle w:val="Hyperlink"/>
                <w:noProof/>
              </w:rPr>
              <w:t xml:space="preserve"> The new own resources package</w:t>
            </w:r>
            <w:r w:rsidR="008A79F1">
              <w:rPr>
                <w:noProof/>
              </w:rPr>
              <w:tab/>
            </w:r>
            <w:r w:rsidR="008A79F1">
              <w:rPr>
                <w:noProof/>
              </w:rPr>
              <w:fldChar w:fldCharType="begin"/>
            </w:r>
            <w:r w:rsidR="008A79F1">
              <w:rPr>
                <w:noProof/>
              </w:rPr>
              <w:instrText xml:space="preserve"> PAGEREF _Toc137494001 \h </w:instrText>
            </w:r>
            <w:r w:rsidR="008A79F1">
              <w:rPr>
                <w:noProof/>
              </w:rPr>
            </w:r>
            <w:r w:rsidR="008A79F1">
              <w:rPr>
                <w:noProof/>
              </w:rPr>
              <w:fldChar w:fldCharType="separate"/>
            </w:r>
            <w:r w:rsidR="005D0E24">
              <w:rPr>
                <w:noProof/>
              </w:rPr>
              <w:t>29</w:t>
            </w:r>
            <w:r w:rsidR="008A79F1">
              <w:rPr>
                <w:noProof/>
              </w:rPr>
              <w:fldChar w:fldCharType="end"/>
            </w:r>
          </w:hyperlink>
        </w:p>
        <w:p w14:paraId="07F1EFBA" w14:textId="3685EE27" w:rsidR="008A79F1" w:rsidRDefault="00451640">
          <w:pPr>
            <w:pStyle w:val="TOC2"/>
            <w:tabs>
              <w:tab w:val="left" w:pos="1077"/>
            </w:tabs>
            <w:rPr>
              <w:rFonts w:asciiTheme="minorHAnsi" w:eastAsiaTheme="minorEastAsia" w:hAnsiTheme="minorHAnsi" w:cstheme="minorBidi"/>
              <w:sz w:val="22"/>
              <w:szCs w:val="22"/>
              <w:lang w:val="en-IE"/>
            </w:rPr>
          </w:pPr>
          <w:hyperlink w:anchor="_Toc137494002" w:history="1">
            <w:r w:rsidR="008A79F1" w:rsidRPr="00641069">
              <w:rPr>
                <w:rStyle w:val="Hyperlink"/>
              </w:rPr>
              <w:t>3.1.</w:t>
            </w:r>
            <w:r w:rsidR="008A79F1">
              <w:rPr>
                <w:rFonts w:asciiTheme="minorHAnsi" w:eastAsiaTheme="minorEastAsia" w:hAnsiTheme="minorHAnsi" w:cstheme="minorBidi"/>
                <w:sz w:val="22"/>
                <w:szCs w:val="22"/>
                <w:lang w:val="en-IE"/>
              </w:rPr>
              <w:tab/>
            </w:r>
            <w:r w:rsidR="008A79F1" w:rsidRPr="00641069">
              <w:rPr>
                <w:rStyle w:val="Hyperlink"/>
              </w:rPr>
              <w:t>Emissions trading scheme (ETS) own resource</w:t>
            </w:r>
            <w:r w:rsidR="008A79F1">
              <w:tab/>
            </w:r>
            <w:r w:rsidR="008A79F1">
              <w:fldChar w:fldCharType="begin"/>
            </w:r>
            <w:r w:rsidR="008A79F1">
              <w:instrText xml:space="preserve"> PAGEREF _Toc137494002 \h </w:instrText>
            </w:r>
            <w:r w:rsidR="008A79F1">
              <w:fldChar w:fldCharType="separate"/>
            </w:r>
            <w:r w:rsidR="005D0E24">
              <w:t>29</w:t>
            </w:r>
            <w:r w:rsidR="008A79F1">
              <w:fldChar w:fldCharType="end"/>
            </w:r>
          </w:hyperlink>
        </w:p>
        <w:p w14:paraId="67867448" w14:textId="776CBA0E" w:rsidR="008A79F1" w:rsidRDefault="00451640">
          <w:pPr>
            <w:pStyle w:val="TOC3"/>
            <w:rPr>
              <w:rFonts w:asciiTheme="minorHAnsi" w:eastAsiaTheme="minorEastAsia" w:hAnsiTheme="minorHAnsi" w:cstheme="minorBidi"/>
              <w:noProof/>
              <w:sz w:val="22"/>
              <w:szCs w:val="22"/>
              <w:lang w:val="en-IE"/>
            </w:rPr>
          </w:pPr>
          <w:hyperlink w:anchor="_Toc137494003" w:history="1">
            <w:r w:rsidR="008A79F1" w:rsidRPr="00641069">
              <w:rPr>
                <w:rStyle w:val="Hyperlink"/>
                <w:noProof/>
              </w:rPr>
              <w:t>3.1.1. The 2021 proposal on ETS – an overview</w:t>
            </w:r>
            <w:r w:rsidR="008A79F1">
              <w:rPr>
                <w:noProof/>
              </w:rPr>
              <w:tab/>
            </w:r>
            <w:r w:rsidR="008A79F1">
              <w:rPr>
                <w:noProof/>
              </w:rPr>
              <w:fldChar w:fldCharType="begin"/>
            </w:r>
            <w:r w:rsidR="008A79F1">
              <w:rPr>
                <w:noProof/>
              </w:rPr>
              <w:instrText xml:space="preserve"> PAGEREF _Toc137494003 \h </w:instrText>
            </w:r>
            <w:r w:rsidR="008A79F1">
              <w:rPr>
                <w:noProof/>
              </w:rPr>
            </w:r>
            <w:r w:rsidR="008A79F1">
              <w:rPr>
                <w:noProof/>
              </w:rPr>
              <w:fldChar w:fldCharType="separate"/>
            </w:r>
            <w:r w:rsidR="005D0E24">
              <w:rPr>
                <w:noProof/>
              </w:rPr>
              <w:t>29</w:t>
            </w:r>
            <w:r w:rsidR="008A79F1">
              <w:rPr>
                <w:noProof/>
              </w:rPr>
              <w:fldChar w:fldCharType="end"/>
            </w:r>
          </w:hyperlink>
        </w:p>
        <w:p w14:paraId="2C27D376" w14:textId="790BF4E4" w:rsidR="008A79F1" w:rsidRDefault="00451640">
          <w:pPr>
            <w:pStyle w:val="TOC3"/>
            <w:rPr>
              <w:rFonts w:asciiTheme="minorHAnsi" w:eastAsiaTheme="minorEastAsia" w:hAnsiTheme="minorHAnsi" w:cstheme="minorBidi"/>
              <w:noProof/>
              <w:sz w:val="22"/>
              <w:szCs w:val="22"/>
              <w:lang w:val="en-IE"/>
            </w:rPr>
          </w:pPr>
          <w:hyperlink w:anchor="_Toc137494004" w:history="1">
            <w:r w:rsidR="008A79F1" w:rsidRPr="00641069">
              <w:rPr>
                <w:rStyle w:val="Hyperlink"/>
                <w:noProof/>
              </w:rPr>
              <w:t>3.1.2. Ensuring fairness – the Valuation Mechanism and Solidarity Adjustment Mechanisms</w:t>
            </w:r>
            <w:r w:rsidR="008A79F1">
              <w:rPr>
                <w:noProof/>
              </w:rPr>
              <w:tab/>
            </w:r>
            <w:r w:rsidR="008A79F1">
              <w:rPr>
                <w:noProof/>
              </w:rPr>
              <w:fldChar w:fldCharType="begin"/>
            </w:r>
            <w:r w:rsidR="008A79F1">
              <w:rPr>
                <w:noProof/>
              </w:rPr>
              <w:instrText xml:space="preserve"> PAGEREF _Toc137494004 \h </w:instrText>
            </w:r>
            <w:r w:rsidR="008A79F1">
              <w:rPr>
                <w:noProof/>
              </w:rPr>
            </w:r>
            <w:r w:rsidR="008A79F1">
              <w:rPr>
                <w:noProof/>
              </w:rPr>
              <w:fldChar w:fldCharType="separate"/>
            </w:r>
            <w:r w:rsidR="005D0E24">
              <w:rPr>
                <w:noProof/>
              </w:rPr>
              <w:t>31</w:t>
            </w:r>
            <w:r w:rsidR="008A79F1">
              <w:rPr>
                <w:noProof/>
              </w:rPr>
              <w:fldChar w:fldCharType="end"/>
            </w:r>
          </w:hyperlink>
        </w:p>
        <w:p w14:paraId="0EE81F86" w14:textId="63C326F7" w:rsidR="008A79F1" w:rsidRDefault="00451640">
          <w:pPr>
            <w:pStyle w:val="TOC3"/>
            <w:rPr>
              <w:rFonts w:asciiTheme="minorHAnsi" w:eastAsiaTheme="minorEastAsia" w:hAnsiTheme="minorHAnsi" w:cstheme="minorBidi"/>
              <w:noProof/>
              <w:sz w:val="22"/>
              <w:szCs w:val="22"/>
              <w:lang w:val="en-IE"/>
            </w:rPr>
          </w:pPr>
          <w:hyperlink w:anchor="_Toc137494005" w:history="1">
            <w:r w:rsidR="008A79F1" w:rsidRPr="00641069">
              <w:rPr>
                <w:rStyle w:val="Hyperlink"/>
                <w:noProof/>
              </w:rPr>
              <w:t>3.1.3. The evolution of the carbon market</w:t>
            </w:r>
            <w:r w:rsidR="008A79F1">
              <w:rPr>
                <w:noProof/>
              </w:rPr>
              <w:tab/>
            </w:r>
            <w:r w:rsidR="008A79F1">
              <w:rPr>
                <w:noProof/>
              </w:rPr>
              <w:fldChar w:fldCharType="begin"/>
            </w:r>
            <w:r w:rsidR="008A79F1">
              <w:rPr>
                <w:noProof/>
              </w:rPr>
              <w:instrText xml:space="preserve"> PAGEREF _Toc137494005 \h </w:instrText>
            </w:r>
            <w:r w:rsidR="008A79F1">
              <w:rPr>
                <w:noProof/>
              </w:rPr>
            </w:r>
            <w:r w:rsidR="008A79F1">
              <w:rPr>
                <w:noProof/>
              </w:rPr>
              <w:fldChar w:fldCharType="separate"/>
            </w:r>
            <w:r w:rsidR="005D0E24">
              <w:rPr>
                <w:noProof/>
              </w:rPr>
              <w:t>33</w:t>
            </w:r>
            <w:r w:rsidR="008A79F1">
              <w:rPr>
                <w:noProof/>
              </w:rPr>
              <w:fldChar w:fldCharType="end"/>
            </w:r>
          </w:hyperlink>
        </w:p>
        <w:p w14:paraId="7A0E205B" w14:textId="28C43EA1" w:rsidR="008A79F1" w:rsidRDefault="00451640">
          <w:pPr>
            <w:pStyle w:val="TOC2"/>
            <w:tabs>
              <w:tab w:val="left" w:pos="1077"/>
            </w:tabs>
            <w:rPr>
              <w:rFonts w:asciiTheme="minorHAnsi" w:eastAsiaTheme="minorEastAsia" w:hAnsiTheme="minorHAnsi" w:cstheme="minorBidi"/>
              <w:sz w:val="22"/>
              <w:szCs w:val="22"/>
              <w:lang w:val="en-IE"/>
            </w:rPr>
          </w:pPr>
          <w:hyperlink w:anchor="_Toc137494006" w:history="1">
            <w:r w:rsidR="008A79F1" w:rsidRPr="00641069">
              <w:rPr>
                <w:rStyle w:val="Hyperlink"/>
                <w:smallCaps/>
              </w:rPr>
              <w:t>3.2.</w:t>
            </w:r>
            <w:r w:rsidR="008A79F1">
              <w:rPr>
                <w:rFonts w:asciiTheme="minorHAnsi" w:eastAsiaTheme="minorEastAsia" w:hAnsiTheme="minorHAnsi" w:cstheme="minorBidi"/>
                <w:sz w:val="22"/>
                <w:szCs w:val="22"/>
                <w:lang w:val="en-IE"/>
              </w:rPr>
              <w:tab/>
            </w:r>
            <w:r w:rsidR="008A79F1" w:rsidRPr="00641069">
              <w:rPr>
                <w:rStyle w:val="Hyperlink"/>
              </w:rPr>
              <w:t>The statistical own resource based on company profits</w:t>
            </w:r>
            <w:r w:rsidR="008A79F1">
              <w:tab/>
            </w:r>
            <w:r w:rsidR="008A79F1">
              <w:fldChar w:fldCharType="begin"/>
            </w:r>
            <w:r w:rsidR="008A79F1">
              <w:instrText xml:space="preserve"> PAGEREF _Toc137494006 \h </w:instrText>
            </w:r>
            <w:r w:rsidR="008A79F1">
              <w:fldChar w:fldCharType="separate"/>
            </w:r>
            <w:r w:rsidR="005D0E24">
              <w:t>34</w:t>
            </w:r>
            <w:r w:rsidR="008A79F1">
              <w:fldChar w:fldCharType="end"/>
            </w:r>
          </w:hyperlink>
        </w:p>
        <w:p w14:paraId="0AFC4A9C" w14:textId="17F2658C" w:rsidR="008A79F1" w:rsidRDefault="00451640">
          <w:pPr>
            <w:pStyle w:val="TOC3"/>
            <w:rPr>
              <w:rFonts w:asciiTheme="minorHAnsi" w:eastAsiaTheme="minorEastAsia" w:hAnsiTheme="minorHAnsi" w:cstheme="minorBidi"/>
              <w:noProof/>
              <w:sz w:val="22"/>
              <w:szCs w:val="22"/>
              <w:lang w:val="en-IE"/>
            </w:rPr>
          </w:pPr>
          <w:hyperlink w:anchor="_Toc137494007" w:history="1">
            <w:r w:rsidR="008A79F1" w:rsidRPr="00641069">
              <w:rPr>
                <w:rStyle w:val="Hyperlink"/>
                <w:noProof/>
              </w:rPr>
              <w:t>3.2.1. Characteristics of the statistical based own resource on company profits</w:t>
            </w:r>
            <w:r w:rsidR="008A79F1">
              <w:rPr>
                <w:noProof/>
              </w:rPr>
              <w:tab/>
            </w:r>
            <w:r w:rsidR="008A79F1">
              <w:rPr>
                <w:noProof/>
              </w:rPr>
              <w:fldChar w:fldCharType="begin"/>
            </w:r>
            <w:r w:rsidR="008A79F1">
              <w:rPr>
                <w:noProof/>
              </w:rPr>
              <w:instrText xml:space="preserve"> PAGEREF _Toc137494007 \h </w:instrText>
            </w:r>
            <w:r w:rsidR="008A79F1">
              <w:rPr>
                <w:noProof/>
              </w:rPr>
            </w:r>
            <w:r w:rsidR="008A79F1">
              <w:rPr>
                <w:noProof/>
              </w:rPr>
              <w:fldChar w:fldCharType="separate"/>
            </w:r>
            <w:r w:rsidR="005D0E24">
              <w:rPr>
                <w:noProof/>
              </w:rPr>
              <w:t>35</w:t>
            </w:r>
            <w:r w:rsidR="008A79F1">
              <w:rPr>
                <w:noProof/>
              </w:rPr>
              <w:fldChar w:fldCharType="end"/>
            </w:r>
          </w:hyperlink>
        </w:p>
        <w:p w14:paraId="0BC6E66B" w14:textId="15313F37" w:rsidR="008A79F1" w:rsidRDefault="00451640">
          <w:pPr>
            <w:pStyle w:val="TOC3"/>
            <w:rPr>
              <w:rFonts w:asciiTheme="minorHAnsi" w:eastAsiaTheme="minorEastAsia" w:hAnsiTheme="minorHAnsi" w:cstheme="minorBidi"/>
              <w:noProof/>
              <w:sz w:val="22"/>
              <w:szCs w:val="22"/>
              <w:lang w:val="en-IE"/>
            </w:rPr>
          </w:pPr>
          <w:hyperlink w:anchor="_Toc137494008" w:history="1">
            <w:r w:rsidR="008A79F1" w:rsidRPr="00641069">
              <w:rPr>
                <w:rStyle w:val="Hyperlink"/>
                <w:noProof/>
              </w:rPr>
              <w:t>3.2.2. How would it work?</w:t>
            </w:r>
            <w:r w:rsidR="008A79F1">
              <w:rPr>
                <w:noProof/>
              </w:rPr>
              <w:tab/>
            </w:r>
            <w:r w:rsidR="008A79F1">
              <w:rPr>
                <w:noProof/>
              </w:rPr>
              <w:fldChar w:fldCharType="begin"/>
            </w:r>
            <w:r w:rsidR="008A79F1">
              <w:rPr>
                <w:noProof/>
              </w:rPr>
              <w:instrText xml:space="preserve"> PAGEREF _Toc137494008 \h </w:instrText>
            </w:r>
            <w:r w:rsidR="008A79F1">
              <w:rPr>
                <w:noProof/>
              </w:rPr>
            </w:r>
            <w:r w:rsidR="008A79F1">
              <w:rPr>
                <w:noProof/>
              </w:rPr>
              <w:fldChar w:fldCharType="separate"/>
            </w:r>
            <w:r w:rsidR="005D0E24">
              <w:rPr>
                <w:noProof/>
              </w:rPr>
              <w:t>37</w:t>
            </w:r>
            <w:r w:rsidR="008A79F1">
              <w:rPr>
                <w:noProof/>
              </w:rPr>
              <w:fldChar w:fldCharType="end"/>
            </w:r>
          </w:hyperlink>
        </w:p>
        <w:p w14:paraId="16F5FCDF" w14:textId="68823CA2" w:rsidR="00B8356A" w:rsidRPr="009F2E4E" w:rsidRDefault="00B8356A" w:rsidP="00500E0C">
          <w:pPr>
            <w:rPr>
              <w:noProof/>
            </w:rPr>
          </w:pPr>
          <w:r w:rsidRPr="009F2E4E">
            <w:rPr>
              <w:noProof/>
            </w:rPr>
            <w:fldChar w:fldCharType="end"/>
          </w:r>
        </w:p>
      </w:sdtContent>
    </w:sdt>
    <w:p w14:paraId="75F2B726" w14:textId="21C35509" w:rsidR="00D72925" w:rsidRPr="009F2E4E" w:rsidRDefault="00D72925" w:rsidP="004D422C">
      <w:pPr>
        <w:pStyle w:val="Heading1"/>
      </w:pPr>
      <w:bookmarkStart w:id="15" w:name="_Toc133405521"/>
      <w:bookmarkStart w:id="16" w:name="_Toc135860227"/>
      <w:bookmarkStart w:id="17" w:name="_Toc136599794"/>
      <w:bookmarkStart w:id="18" w:name="_Toc136600372"/>
      <w:bookmarkStart w:id="19" w:name="_Toc137493977"/>
      <w:bookmarkStart w:id="20" w:name="_Toc133426633"/>
      <w:bookmarkStart w:id="21" w:name="_Toc134446524"/>
      <w:r w:rsidRPr="009F2E4E">
        <w:t>Executive Summary</w:t>
      </w:r>
      <w:bookmarkEnd w:id="15"/>
      <w:bookmarkEnd w:id="16"/>
      <w:bookmarkEnd w:id="17"/>
      <w:bookmarkEnd w:id="18"/>
      <w:bookmarkEnd w:id="19"/>
      <w:bookmarkEnd w:id="14"/>
      <w:bookmarkEnd w:id="13"/>
      <w:bookmarkEnd w:id="12"/>
      <w:bookmarkEnd w:id="11"/>
      <w:bookmarkEnd w:id="10"/>
      <w:bookmarkEnd w:id="9"/>
      <w:bookmarkEnd w:id="8"/>
      <w:bookmarkEnd w:id="7"/>
      <w:bookmarkEnd w:id="6"/>
      <w:bookmarkEnd w:id="5"/>
      <w:bookmarkEnd w:id="4"/>
      <w:bookmarkEnd w:id="3"/>
      <w:bookmarkEnd w:id="2"/>
      <w:r w:rsidR="0023071C" w:rsidRPr="009F2E4E">
        <w:t xml:space="preserve"> </w:t>
      </w:r>
      <w:bookmarkEnd w:id="20"/>
      <w:bookmarkEnd w:id="21"/>
      <w:r w:rsidR="00B00263">
        <w:t xml:space="preserve"> </w:t>
      </w:r>
      <w:r w:rsidR="00D6405D">
        <w:t xml:space="preserve"> </w:t>
      </w:r>
    </w:p>
    <w:p w14:paraId="09F9999E" w14:textId="44213C57" w:rsidR="007D5C9A" w:rsidRPr="009F2E4E" w:rsidRDefault="000760CC" w:rsidP="00500E0C">
      <w:pPr>
        <w:rPr>
          <w:noProof/>
        </w:rPr>
      </w:pPr>
      <w:r w:rsidRPr="009F2E4E">
        <w:rPr>
          <w:rStyle w:val="Strong"/>
          <w:noProof/>
        </w:rPr>
        <w:t xml:space="preserve">In 2020, the revenue side of the EU budget </w:t>
      </w:r>
      <w:r w:rsidR="003A58DB">
        <w:rPr>
          <w:rStyle w:val="Strong"/>
          <w:noProof/>
        </w:rPr>
        <w:t>was significantly</w:t>
      </w:r>
      <w:r w:rsidRPr="002E51F5">
        <w:rPr>
          <w:rStyle w:val="Strong"/>
          <w:noProof/>
        </w:rPr>
        <w:t xml:space="preserve"> reform</w:t>
      </w:r>
      <w:r w:rsidR="003A58DB">
        <w:rPr>
          <w:rStyle w:val="Strong"/>
          <w:noProof/>
        </w:rPr>
        <w:t>ed</w:t>
      </w:r>
      <w:r w:rsidRPr="009F2E4E">
        <w:rPr>
          <w:rStyle w:val="Strong"/>
          <w:noProof/>
        </w:rPr>
        <w:t>.</w:t>
      </w:r>
      <w:r w:rsidRPr="009F2E4E">
        <w:rPr>
          <w:b/>
          <w:noProof/>
        </w:rPr>
        <w:t xml:space="preserve"> </w:t>
      </w:r>
      <w:r w:rsidRPr="009F2E4E">
        <w:rPr>
          <w:noProof/>
        </w:rPr>
        <w:t xml:space="preserve">The Recovery plan </w:t>
      </w:r>
      <w:r w:rsidR="00FE0CD1">
        <w:rPr>
          <w:noProof/>
        </w:rPr>
        <w:t xml:space="preserve">for Europe put in place </w:t>
      </w:r>
      <w:r w:rsidRPr="009F2E4E">
        <w:rPr>
          <w:noProof/>
        </w:rPr>
        <w:t xml:space="preserve">to address the </w:t>
      </w:r>
      <w:r w:rsidR="00FE0CD1">
        <w:rPr>
          <w:noProof/>
        </w:rPr>
        <w:t xml:space="preserve">economic and social damage brought about by </w:t>
      </w:r>
      <w:r w:rsidRPr="009F2E4E">
        <w:rPr>
          <w:noProof/>
        </w:rPr>
        <w:t xml:space="preserve">the COVID-19 crisis and the empowerment to borrow </w:t>
      </w:r>
      <w:r w:rsidR="00AC3B1B" w:rsidRPr="00AC3B1B">
        <w:rPr>
          <w:noProof/>
        </w:rPr>
        <w:t xml:space="preserve">up to around </w:t>
      </w:r>
      <w:r w:rsidR="008C74D4">
        <w:rPr>
          <w:noProof/>
        </w:rPr>
        <w:t xml:space="preserve">EUR </w:t>
      </w:r>
      <w:r w:rsidR="00F52A41">
        <w:rPr>
          <w:noProof/>
        </w:rPr>
        <w:t>750</w:t>
      </w:r>
      <w:r w:rsidR="00AC3B1B" w:rsidRPr="00AC3B1B">
        <w:rPr>
          <w:noProof/>
        </w:rPr>
        <w:t xml:space="preserve"> </w:t>
      </w:r>
      <w:r w:rsidR="00BC372C">
        <w:rPr>
          <w:noProof/>
        </w:rPr>
        <w:t>billion</w:t>
      </w:r>
      <w:r w:rsidR="00AC3B1B" w:rsidRPr="00AC3B1B">
        <w:rPr>
          <w:noProof/>
        </w:rPr>
        <w:t xml:space="preserve"> </w:t>
      </w:r>
      <w:r w:rsidR="00993998">
        <w:rPr>
          <w:noProof/>
        </w:rPr>
        <w:t>(</w:t>
      </w:r>
      <w:r w:rsidR="00F402C6">
        <w:rPr>
          <w:noProof/>
        </w:rPr>
        <w:t xml:space="preserve">2018 prices) </w:t>
      </w:r>
      <w:r w:rsidRPr="009F2E4E">
        <w:rPr>
          <w:noProof/>
        </w:rPr>
        <w:t xml:space="preserve">on the markets to finance it was a step </w:t>
      </w:r>
      <w:r w:rsidR="00AC3B1B">
        <w:rPr>
          <w:noProof/>
        </w:rPr>
        <w:t xml:space="preserve">change </w:t>
      </w:r>
      <w:r w:rsidRPr="009F2E4E">
        <w:rPr>
          <w:noProof/>
        </w:rPr>
        <w:t xml:space="preserve">for the EU. </w:t>
      </w:r>
      <w:r w:rsidR="00D32743" w:rsidRPr="009F2E4E">
        <w:rPr>
          <w:noProof/>
        </w:rPr>
        <w:t xml:space="preserve">At the same time, </w:t>
      </w:r>
      <w:r w:rsidR="00886402">
        <w:rPr>
          <w:noProof/>
        </w:rPr>
        <w:t xml:space="preserve">adding </w:t>
      </w:r>
      <w:r w:rsidR="00D32743" w:rsidRPr="009F2E4E">
        <w:rPr>
          <w:noProof/>
        </w:rPr>
        <w:t>a new own resource</w:t>
      </w:r>
      <w:r w:rsidR="00FE0CD1">
        <w:rPr>
          <w:noProof/>
        </w:rPr>
        <w:t xml:space="preserve"> </w:t>
      </w:r>
      <w:r w:rsidR="00AC3B1B" w:rsidRPr="00AC3B1B">
        <w:rPr>
          <w:noProof/>
        </w:rPr>
        <w:t>based on non-recycled plastic packaging waste</w:t>
      </w:r>
      <w:r w:rsidR="00D32743" w:rsidRPr="009F2E4E">
        <w:rPr>
          <w:noProof/>
        </w:rPr>
        <w:t xml:space="preserve">, </w:t>
      </w:r>
      <w:r w:rsidRPr="009F2E4E">
        <w:rPr>
          <w:noProof/>
        </w:rPr>
        <w:t xml:space="preserve">the first </w:t>
      </w:r>
      <w:r w:rsidR="00735784" w:rsidRPr="009F2E4E">
        <w:rPr>
          <w:noProof/>
        </w:rPr>
        <w:t xml:space="preserve">one </w:t>
      </w:r>
      <w:r w:rsidRPr="009F2E4E">
        <w:rPr>
          <w:noProof/>
        </w:rPr>
        <w:t xml:space="preserve">since the introduction of the GNI-based own resource in 1988, </w:t>
      </w:r>
      <w:r w:rsidR="00D32743" w:rsidRPr="009F2E4E">
        <w:rPr>
          <w:noProof/>
        </w:rPr>
        <w:t xml:space="preserve">was </w:t>
      </w:r>
      <w:r w:rsidRPr="009F2E4E">
        <w:rPr>
          <w:noProof/>
        </w:rPr>
        <w:t xml:space="preserve">an important step in the direction of supporting EU policy priorities, such as the circular economy, </w:t>
      </w:r>
      <w:r w:rsidR="00B43862">
        <w:rPr>
          <w:noProof/>
        </w:rPr>
        <w:t xml:space="preserve">and diversifying the revenue sources of the EU budget. Finally, the revenue side of the EU budget became less complex with the simplification of the VAT own resource and the budgetary rebates. </w:t>
      </w:r>
      <w:r w:rsidR="007D5C9A" w:rsidRPr="009F2E4E">
        <w:rPr>
          <w:noProof/>
        </w:rPr>
        <w:t xml:space="preserve"> </w:t>
      </w:r>
    </w:p>
    <w:p w14:paraId="1D2C1800" w14:textId="0E48E5D7" w:rsidR="003C08D1" w:rsidRPr="009F2E4E" w:rsidRDefault="00142C3E" w:rsidP="00500E0C">
      <w:pPr>
        <w:rPr>
          <w:noProof/>
        </w:rPr>
      </w:pPr>
      <w:r w:rsidRPr="009F2E4E">
        <w:rPr>
          <w:rStyle w:val="Strong"/>
          <w:noProof/>
        </w:rPr>
        <w:t xml:space="preserve">The commitment to repay the </w:t>
      </w:r>
      <w:r w:rsidRPr="009F2E4E">
        <w:rPr>
          <w:rStyle w:val="Strong"/>
          <w:i/>
          <w:iCs/>
          <w:noProof/>
        </w:rPr>
        <w:t>NextGenerationEU</w:t>
      </w:r>
      <w:r w:rsidRPr="009F2E4E">
        <w:rPr>
          <w:rStyle w:val="Strong"/>
          <w:noProof/>
        </w:rPr>
        <w:t xml:space="preserve"> borrowing </w:t>
      </w:r>
      <w:r w:rsidR="00F10CAF" w:rsidRPr="009F2E4E">
        <w:rPr>
          <w:rStyle w:val="Strong"/>
          <w:noProof/>
        </w:rPr>
        <w:t xml:space="preserve">as from 2028 </w:t>
      </w:r>
      <w:r w:rsidRPr="009F2E4E">
        <w:rPr>
          <w:rStyle w:val="Strong"/>
          <w:noProof/>
        </w:rPr>
        <w:t>emphasises the urgent need for new own resources to protect EU budget expenditures</w:t>
      </w:r>
      <w:r w:rsidRPr="009F2E4E">
        <w:rPr>
          <w:noProof/>
        </w:rPr>
        <w:t xml:space="preserve"> for existing policies and new challenges. </w:t>
      </w:r>
      <w:r w:rsidR="007D5C9A" w:rsidRPr="009F2E4E">
        <w:rPr>
          <w:noProof/>
        </w:rPr>
        <w:t>The Commission has proposed a first package in December 2021 with three new sources of revenues for the EU budget, i.e. contributions from the emissions trading system, from the EU Carbon Border Adjustment Mechanism and from a share of residual profits from multinationals that will be re-allocated to EU Member States under the recent OECD/G20 agreement (“Pillar One”). The inter</w:t>
      </w:r>
      <w:r w:rsidR="003C08D1">
        <w:rPr>
          <w:noProof/>
        </w:rPr>
        <w:t>-</w:t>
      </w:r>
      <w:r w:rsidR="007D5C9A" w:rsidRPr="009F2E4E">
        <w:rPr>
          <w:noProof/>
        </w:rPr>
        <w:t xml:space="preserve">institutional agreement of 16 December 2020 </w:t>
      </w:r>
      <w:r w:rsidR="00F10CAF" w:rsidRPr="009F2E4E">
        <w:rPr>
          <w:noProof/>
        </w:rPr>
        <w:t xml:space="preserve">among </w:t>
      </w:r>
      <w:r w:rsidR="007D5C9A" w:rsidRPr="009F2E4E">
        <w:rPr>
          <w:noProof/>
        </w:rPr>
        <w:t>the European Parliament, the Council</w:t>
      </w:r>
      <w:r w:rsidR="00F10CAF" w:rsidRPr="009F2E4E">
        <w:rPr>
          <w:noProof/>
        </w:rPr>
        <w:t>,</w:t>
      </w:r>
      <w:r w:rsidR="007D5C9A" w:rsidRPr="009F2E4E">
        <w:rPr>
          <w:noProof/>
        </w:rPr>
        <w:t xml:space="preserve"> and the Commission foresees </w:t>
      </w:r>
      <w:r w:rsidR="00446FF2" w:rsidRPr="00821734">
        <w:rPr>
          <w:noProof/>
        </w:rPr>
        <w:t>another</w:t>
      </w:r>
      <w:r w:rsidR="007D5C9A" w:rsidRPr="00446FF2">
        <w:rPr>
          <w:noProof/>
        </w:rPr>
        <w:t xml:space="preserve"> package</w:t>
      </w:r>
      <w:r w:rsidR="00AC3B1B">
        <w:rPr>
          <w:noProof/>
        </w:rPr>
        <w:t xml:space="preserve"> to be presented by the Commission</w:t>
      </w:r>
      <w:r w:rsidR="007D5C9A" w:rsidRPr="009F2E4E">
        <w:rPr>
          <w:noProof/>
        </w:rPr>
        <w:t xml:space="preserve">. </w:t>
      </w:r>
    </w:p>
    <w:p w14:paraId="47870A41" w14:textId="1DA62D5E" w:rsidR="00142C3E" w:rsidRPr="009F2E4E" w:rsidRDefault="00D6061D" w:rsidP="00500E0C">
      <w:pPr>
        <w:rPr>
          <w:noProof/>
        </w:rPr>
      </w:pPr>
      <w:r w:rsidRPr="009F2E4E">
        <w:rPr>
          <w:noProof/>
        </w:rPr>
        <w:t>Against this background</w:t>
      </w:r>
      <w:r w:rsidR="00F10CAF" w:rsidRPr="009F2E4E">
        <w:rPr>
          <w:noProof/>
        </w:rPr>
        <w:t>,</w:t>
      </w:r>
      <w:r w:rsidRPr="009F2E4E">
        <w:rPr>
          <w:noProof/>
        </w:rPr>
        <w:t xml:space="preserve"> this</w:t>
      </w:r>
      <w:r w:rsidR="00142C3E" w:rsidRPr="009F2E4E">
        <w:rPr>
          <w:noProof/>
        </w:rPr>
        <w:t xml:space="preserve"> document </w:t>
      </w:r>
      <w:r w:rsidR="00AF3C4F">
        <w:rPr>
          <w:noProof/>
        </w:rPr>
        <w:t xml:space="preserve">takes stock of the current situation and </w:t>
      </w:r>
      <w:r w:rsidR="00AC3B1B">
        <w:rPr>
          <w:noProof/>
        </w:rPr>
        <w:t xml:space="preserve">analyses </w:t>
      </w:r>
      <w:r w:rsidR="00142C3E" w:rsidRPr="009F2E4E">
        <w:rPr>
          <w:noProof/>
        </w:rPr>
        <w:t>a set of potential candi</w:t>
      </w:r>
      <w:r w:rsidR="007D5C9A" w:rsidRPr="009F2E4E">
        <w:rPr>
          <w:noProof/>
        </w:rPr>
        <w:t xml:space="preserve">dates </w:t>
      </w:r>
      <w:r w:rsidR="004831FC">
        <w:rPr>
          <w:noProof/>
        </w:rPr>
        <w:t xml:space="preserve">for the Commission </w:t>
      </w:r>
      <w:r w:rsidR="00D942AF">
        <w:rPr>
          <w:noProof/>
        </w:rPr>
        <w:t xml:space="preserve">adjusted </w:t>
      </w:r>
      <w:r w:rsidR="004831FC">
        <w:rPr>
          <w:noProof/>
        </w:rPr>
        <w:t xml:space="preserve">proposal on </w:t>
      </w:r>
      <w:r w:rsidR="00203530">
        <w:rPr>
          <w:noProof/>
        </w:rPr>
        <w:t xml:space="preserve">new </w:t>
      </w:r>
      <w:r w:rsidR="004831FC">
        <w:rPr>
          <w:noProof/>
        </w:rPr>
        <w:t>own resources</w:t>
      </w:r>
      <w:r w:rsidR="007D5C9A" w:rsidRPr="009F2E4E">
        <w:rPr>
          <w:noProof/>
        </w:rPr>
        <w:t>.</w:t>
      </w:r>
    </w:p>
    <w:p w14:paraId="22A140DF" w14:textId="7B4C5452" w:rsidR="00F46160" w:rsidRPr="009F2E4E" w:rsidRDefault="004831FC" w:rsidP="00500E0C">
      <w:pPr>
        <w:rPr>
          <w:noProof/>
        </w:rPr>
      </w:pPr>
      <w:r>
        <w:rPr>
          <w:rStyle w:val="Strong"/>
          <w:noProof/>
        </w:rPr>
        <w:t xml:space="preserve">Three </w:t>
      </w:r>
      <w:r w:rsidR="00F46160" w:rsidRPr="009F2E4E">
        <w:rPr>
          <w:rStyle w:val="Strong"/>
          <w:noProof/>
        </w:rPr>
        <w:t xml:space="preserve">criteria </w:t>
      </w:r>
      <w:r>
        <w:rPr>
          <w:rStyle w:val="Strong"/>
          <w:noProof/>
        </w:rPr>
        <w:t xml:space="preserve">are </w:t>
      </w:r>
      <w:r w:rsidR="00F46160" w:rsidRPr="009F2E4E">
        <w:rPr>
          <w:rStyle w:val="Strong"/>
          <w:noProof/>
        </w:rPr>
        <w:t>used to evaluate potential new own resources</w:t>
      </w:r>
      <w:r w:rsidR="008D5E8A">
        <w:rPr>
          <w:rStyle w:val="Strong"/>
          <w:noProof/>
        </w:rPr>
        <w:t xml:space="preserve"> </w:t>
      </w:r>
      <w:r w:rsidR="00F46160" w:rsidRPr="009F2E4E">
        <w:rPr>
          <w:rStyle w:val="Strong"/>
          <w:noProof/>
        </w:rPr>
        <w:t>– revenue potential, simplicity, and fast mobilisation of revenues</w:t>
      </w:r>
      <w:r w:rsidR="00084D66" w:rsidRPr="009F2E4E">
        <w:rPr>
          <w:rStyle w:val="Strong"/>
          <w:noProof/>
        </w:rPr>
        <w:t xml:space="preserve">. </w:t>
      </w:r>
      <w:r w:rsidR="00084D66" w:rsidRPr="009F2E4E">
        <w:rPr>
          <w:noProof/>
        </w:rPr>
        <w:t>A</w:t>
      </w:r>
      <w:r w:rsidR="00F46160" w:rsidRPr="009F2E4E">
        <w:rPr>
          <w:noProof/>
        </w:rPr>
        <w:t>s found in the literature</w:t>
      </w:r>
      <w:r w:rsidR="00084D66" w:rsidRPr="009F2E4E">
        <w:rPr>
          <w:noProof/>
        </w:rPr>
        <w:t>, t</w:t>
      </w:r>
      <w:r w:rsidR="00F46160" w:rsidRPr="009F2E4E">
        <w:rPr>
          <w:noProof/>
        </w:rPr>
        <w:t xml:space="preserve">hey summarise different considerations relevant to designing new own resources optimally, such as </w:t>
      </w:r>
      <w:r w:rsidR="00292DAD">
        <w:rPr>
          <w:noProof/>
        </w:rPr>
        <w:t>the ability to generate</w:t>
      </w:r>
      <w:r w:rsidR="00F46160" w:rsidRPr="009F2E4E">
        <w:rPr>
          <w:noProof/>
        </w:rPr>
        <w:t xml:space="preserve"> sufficient revenues, </w:t>
      </w:r>
      <w:r w:rsidR="0033341C" w:rsidRPr="0033341C">
        <w:rPr>
          <w:noProof/>
        </w:rPr>
        <w:t xml:space="preserve">ease of administration </w:t>
      </w:r>
      <w:r w:rsidR="002A13DB">
        <w:rPr>
          <w:noProof/>
        </w:rPr>
        <w:t>in</w:t>
      </w:r>
      <w:r w:rsidR="0033341C">
        <w:rPr>
          <w:noProof/>
        </w:rPr>
        <w:t xml:space="preserve"> terms of </w:t>
      </w:r>
      <w:r w:rsidR="0033341C" w:rsidRPr="0033341C">
        <w:rPr>
          <w:noProof/>
        </w:rPr>
        <w:t>revenue collection</w:t>
      </w:r>
      <w:r w:rsidR="0033341C">
        <w:rPr>
          <w:noProof/>
        </w:rPr>
        <w:t xml:space="preserve"> </w:t>
      </w:r>
      <w:r w:rsidR="0033341C" w:rsidRPr="0033341C">
        <w:rPr>
          <w:noProof/>
        </w:rPr>
        <w:t>and compliance</w:t>
      </w:r>
      <w:r w:rsidR="00090AB7">
        <w:rPr>
          <w:noProof/>
        </w:rPr>
        <w:t xml:space="preserve">. </w:t>
      </w:r>
      <w:bookmarkStart w:id="22" w:name="_Hlk137041590"/>
      <w:r w:rsidR="00090AB7">
        <w:rPr>
          <w:noProof/>
        </w:rPr>
        <w:t xml:space="preserve">They also reflect the political context and the need to act urgently. The </w:t>
      </w:r>
      <w:r w:rsidR="0033341C" w:rsidRPr="0033341C">
        <w:rPr>
          <w:noProof/>
        </w:rPr>
        <w:t xml:space="preserve">ability to implement </w:t>
      </w:r>
      <w:r w:rsidR="0033341C">
        <w:rPr>
          <w:noProof/>
        </w:rPr>
        <w:t xml:space="preserve">any </w:t>
      </w:r>
      <w:r w:rsidR="0033341C" w:rsidRPr="0033341C">
        <w:rPr>
          <w:noProof/>
        </w:rPr>
        <w:t>new sources of revenues quic</w:t>
      </w:r>
      <w:r w:rsidR="0033341C">
        <w:rPr>
          <w:noProof/>
        </w:rPr>
        <w:t>kly</w:t>
      </w:r>
      <w:r w:rsidR="00090AB7">
        <w:rPr>
          <w:noProof/>
        </w:rPr>
        <w:t xml:space="preserve"> is an important dimension which takes account of the </w:t>
      </w:r>
      <w:r w:rsidR="00A70480">
        <w:rPr>
          <w:noProof/>
        </w:rPr>
        <w:t>needs of the EU budget</w:t>
      </w:r>
      <w:r w:rsidR="0033341C">
        <w:rPr>
          <w:noProof/>
        </w:rPr>
        <w:t>.</w:t>
      </w:r>
      <w:r w:rsidR="0033341C" w:rsidRPr="0033341C">
        <w:rPr>
          <w:noProof/>
        </w:rPr>
        <w:t xml:space="preserve"> </w:t>
      </w:r>
      <w:bookmarkEnd w:id="22"/>
    </w:p>
    <w:p w14:paraId="0954FEF1" w14:textId="2F338F29" w:rsidR="000760CC" w:rsidRPr="009F2E4E" w:rsidRDefault="002B1E71" w:rsidP="00500E0C">
      <w:pPr>
        <w:rPr>
          <w:noProof/>
        </w:rPr>
      </w:pPr>
      <w:r w:rsidRPr="009F2E4E">
        <w:rPr>
          <w:rStyle w:val="Strong"/>
          <w:noProof/>
        </w:rPr>
        <w:t xml:space="preserve">The analysis </w:t>
      </w:r>
      <w:r w:rsidR="00863652">
        <w:rPr>
          <w:rStyle w:val="Strong"/>
          <w:noProof/>
        </w:rPr>
        <w:t xml:space="preserve">covers </w:t>
      </w:r>
      <w:r w:rsidR="003D691D">
        <w:rPr>
          <w:rStyle w:val="Strong"/>
          <w:noProof/>
        </w:rPr>
        <w:t>eight</w:t>
      </w:r>
      <w:r w:rsidR="003D691D" w:rsidRPr="009F2E4E">
        <w:rPr>
          <w:rStyle w:val="Strong"/>
          <w:noProof/>
        </w:rPr>
        <w:t xml:space="preserve"> </w:t>
      </w:r>
      <w:r w:rsidRPr="009F2E4E">
        <w:rPr>
          <w:rStyle w:val="Strong"/>
          <w:noProof/>
        </w:rPr>
        <w:t xml:space="preserve">potential new own resources, scoring each option on a qualitative </w:t>
      </w:r>
      <w:r w:rsidR="00863652">
        <w:rPr>
          <w:rStyle w:val="Strong"/>
          <w:noProof/>
        </w:rPr>
        <w:t xml:space="preserve">and quantitative </w:t>
      </w:r>
      <w:r w:rsidRPr="009F2E4E">
        <w:rPr>
          <w:rStyle w:val="Strong"/>
          <w:noProof/>
        </w:rPr>
        <w:t>basis.</w:t>
      </w:r>
      <w:r w:rsidRPr="009F2E4E">
        <w:rPr>
          <w:noProof/>
        </w:rPr>
        <w:t xml:space="preserve"> </w:t>
      </w:r>
      <w:r w:rsidRPr="00BB3767">
        <w:rPr>
          <w:noProof/>
        </w:rPr>
        <w:t xml:space="preserve">The </w:t>
      </w:r>
      <w:r w:rsidR="003C08D1" w:rsidRPr="00BB3767">
        <w:rPr>
          <w:noProof/>
        </w:rPr>
        <w:t>eight</w:t>
      </w:r>
      <w:r w:rsidR="00EC1502" w:rsidRPr="00BB3767">
        <w:rPr>
          <w:noProof/>
        </w:rPr>
        <w:t xml:space="preserve"> </w:t>
      </w:r>
      <w:r w:rsidRPr="00BB3767">
        <w:rPr>
          <w:noProof/>
        </w:rPr>
        <w:t xml:space="preserve">candidates are: </w:t>
      </w:r>
      <w:r w:rsidR="004B569D" w:rsidRPr="00BB3767">
        <w:rPr>
          <w:noProof/>
        </w:rPr>
        <w:t xml:space="preserve">corporate taxation (BEFIT), including the financial sector; </w:t>
      </w:r>
      <w:r w:rsidRPr="00BB3767">
        <w:rPr>
          <w:noProof/>
        </w:rPr>
        <w:t xml:space="preserve">a statistical own resource based on company profits; </w:t>
      </w:r>
      <w:r w:rsidR="004B569D" w:rsidRPr="00BB3767">
        <w:rPr>
          <w:noProof/>
        </w:rPr>
        <w:t xml:space="preserve">a tax on the financial sector with an assessment of a financial transaction tax (FTT); an EU ‘fair border mechanism’; a tax on cryptocurrencies; a statistical own resource based on gender pay gap; </w:t>
      </w:r>
      <w:r w:rsidRPr="00BB3767">
        <w:rPr>
          <w:noProof/>
        </w:rPr>
        <w:t xml:space="preserve">a statistical own resource based on food waste; and </w:t>
      </w:r>
      <w:r w:rsidR="004B569D" w:rsidRPr="00BB3767">
        <w:rPr>
          <w:noProof/>
        </w:rPr>
        <w:t xml:space="preserve">a statistical own resource based on e-waste. </w:t>
      </w:r>
      <w:r w:rsidR="00BC372C">
        <w:rPr>
          <w:noProof/>
        </w:rPr>
        <w:t xml:space="preserve">Having due consideration of the </w:t>
      </w:r>
      <w:r w:rsidR="00A02904">
        <w:rPr>
          <w:noProof/>
        </w:rPr>
        <w:t>current</w:t>
      </w:r>
      <w:r w:rsidR="00BC372C">
        <w:rPr>
          <w:noProof/>
        </w:rPr>
        <w:t xml:space="preserve"> economic environment</w:t>
      </w:r>
      <w:r w:rsidR="00A02904">
        <w:rPr>
          <w:noProof/>
        </w:rPr>
        <w:t xml:space="preserve">, with high inflation creating </w:t>
      </w:r>
      <w:r w:rsidR="00BC372C">
        <w:rPr>
          <w:noProof/>
        </w:rPr>
        <w:t>pressures on the EU budget, t</w:t>
      </w:r>
      <w:r w:rsidRPr="00BB3767">
        <w:rPr>
          <w:noProof/>
        </w:rPr>
        <w:t xml:space="preserve">he analysis shows that </w:t>
      </w:r>
      <w:r w:rsidR="0033341C" w:rsidRPr="00BB3767">
        <w:rPr>
          <w:noProof/>
        </w:rPr>
        <w:t xml:space="preserve">only few </w:t>
      </w:r>
      <w:r w:rsidRPr="00BB3767">
        <w:rPr>
          <w:noProof/>
        </w:rPr>
        <w:t>candidates would be suitable</w:t>
      </w:r>
      <w:r w:rsidR="00554D65">
        <w:rPr>
          <w:noProof/>
        </w:rPr>
        <w:t xml:space="preserve"> under the current circumstances</w:t>
      </w:r>
      <w:r w:rsidR="0033341C" w:rsidRPr="00BB3767">
        <w:rPr>
          <w:noProof/>
        </w:rPr>
        <w:t xml:space="preserve">; others could not be </w:t>
      </w:r>
      <w:r w:rsidRPr="00BB3767">
        <w:rPr>
          <w:noProof/>
        </w:rPr>
        <w:t>mobilised in the short run</w:t>
      </w:r>
      <w:r w:rsidR="0033341C" w:rsidRPr="00BB3767">
        <w:rPr>
          <w:noProof/>
        </w:rPr>
        <w:t xml:space="preserve"> or are </w:t>
      </w:r>
      <w:r w:rsidRPr="00BB3767">
        <w:rPr>
          <w:noProof/>
        </w:rPr>
        <w:t xml:space="preserve">too complex to </w:t>
      </w:r>
      <w:r w:rsidR="0033341C" w:rsidRPr="00BB3767">
        <w:rPr>
          <w:noProof/>
        </w:rPr>
        <w:t>implement</w:t>
      </w:r>
      <w:r w:rsidRPr="009F2E4E">
        <w:rPr>
          <w:noProof/>
        </w:rPr>
        <w:t xml:space="preserve">. </w:t>
      </w:r>
      <w:r w:rsidR="000760CC" w:rsidRPr="009F2E4E">
        <w:rPr>
          <w:noProof/>
        </w:rPr>
        <w:br w:type="page"/>
      </w:r>
    </w:p>
    <w:p w14:paraId="1CC52BEF" w14:textId="33B5171C" w:rsidR="00F004D4" w:rsidRPr="009F2E4E" w:rsidRDefault="00D72925" w:rsidP="004D422C">
      <w:pPr>
        <w:pStyle w:val="Heading1"/>
      </w:pPr>
      <w:bookmarkStart w:id="23" w:name="_Toc133405522"/>
      <w:bookmarkStart w:id="24" w:name="_Toc133426634"/>
      <w:bookmarkStart w:id="25" w:name="_Toc134446525"/>
      <w:bookmarkStart w:id="26" w:name="_Toc135860228"/>
      <w:bookmarkStart w:id="27" w:name="_Toc136599795"/>
      <w:bookmarkStart w:id="28" w:name="_Toc136600373"/>
      <w:bookmarkStart w:id="29" w:name="_Toc137493978"/>
      <w:bookmarkStart w:id="30" w:name="_Toc511200836"/>
      <w:bookmarkStart w:id="31" w:name="_Toc511201227"/>
      <w:bookmarkStart w:id="32" w:name="_Toc512360167"/>
      <w:bookmarkStart w:id="33" w:name="_Toc512362954"/>
      <w:bookmarkStart w:id="34" w:name="_Toc512369077"/>
      <w:bookmarkStart w:id="35" w:name="_Toc512530283"/>
      <w:bookmarkStart w:id="36" w:name="_Toc512532937"/>
      <w:bookmarkStart w:id="37" w:name="_Toc512533471"/>
      <w:bookmarkStart w:id="38" w:name="_Toc512533848"/>
      <w:bookmarkStart w:id="39" w:name="_Toc512854072"/>
      <w:bookmarkStart w:id="40" w:name="_Toc512855506"/>
      <w:bookmarkStart w:id="41" w:name="_Toc512855557"/>
      <w:bookmarkStart w:id="42" w:name="_Toc512534041"/>
      <w:bookmarkStart w:id="43" w:name="_Hlk132094977"/>
      <w:r w:rsidRPr="009F2E4E">
        <w:rPr>
          <w:b/>
        </w:rPr>
        <w:t>Part 1</w:t>
      </w:r>
      <w:r w:rsidR="00507DA1">
        <w:rPr>
          <w:b/>
        </w:rPr>
        <w:t>.</w:t>
      </w:r>
      <w:r w:rsidRPr="009F2E4E">
        <w:t xml:space="preserve"> </w:t>
      </w:r>
      <w:r w:rsidR="00382933" w:rsidRPr="009F2E4E">
        <w:t>Overview of th</w:t>
      </w:r>
      <w:r w:rsidR="00715307" w:rsidRPr="009F2E4E">
        <w:t xml:space="preserve">e </w:t>
      </w:r>
      <w:r w:rsidR="00BC372C">
        <w:t>own resources system</w:t>
      </w:r>
      <w:r w:rsidR="004D422C" w:rsidRPr="009F2E4E">
        <w:t xml:space="preserve"> and recent </w:t>
      </w:r>
      <w:r w:rsidR="00382933" w:rsidRPr="009F2E4E">
        <w:t>developments</w:t>
      </w:r>
      <w:r w:rsidR="00715307" w:rsidRPr="009F2E4E">
        <w:t xml:space="preserve"> </w:t>
      </w:r>
      <w:r w:rsidR="00234DE3" w:rsidRPr="009F2E4E">
        <w:t>o</w:t>
      </w:r>
      <w:r w:rsidR="002860DE" w:rsidRPr="009F2E4E">
        <w:t>n the revenue side of the EU budget</w:t>
      </w:r>
      <w:bookmarkEnd w:id="23"/>
      <w:bookmarkEnd w:id="24"/>
      <w:bookmarkEnd w:id="25"/>
      <w:bookmarkEnd w:id="26"/>
      <w:bookmarkEnd w:id="27"/>
      <w:bookmarkEnd w:id="28"/>
      <w:bookmarkEnd w:id="29"/>
    </w:p>
    <w:p w14:paraId="53333522" w14:textId="6F294CC7" w:rsidR="002A3DC7" w:rsidRPr="009F2E4E" w:rsidRDefault="002A3DC7" w:rsidP="00500E0C">
      <w:pPr>
        <w:rPr>
          <w:noProof/>
        </w:rPr>
      </w:pPr>
      <w:r w:rsidRPr="009F2E4E">
        <w:rPr>
          <w:rStyle w:val="Strong"/>
          <w:noProof/>
        </w:rPr>
        <w:t xml:space="preserve">Until 2020, the EU </w:t>
      </w:r>
      <w:r w:rsidR="00BC372C">
        <w:rPr>
          <w:rStyle w:val="Strong"/>
          <w:noProof/>
        </w:rPr>
        <w:t>own resources system</w:t>
      </w:r>
      <w:r w:rsidRPr="009F2E4E">
        <w:rPr>
          <w:rStyle w:val="Strong"/>
          <w:noProof/>
        </w:rPr>
        <w:t xml:space="preserve"> has remained </w:t>
      </w:r>
      <w:r w:rsidR="00161F04" w:rsidRPr="009F2E4E">
        <w:rPr>
          <w:rStyle w:val="Strong"/>
          <w:noProof/>
        </w:rPr>
        <w:t xml:space="preserve">fairly </w:t>
      </w:r>
      <w:r w:rsidRPr="009F2E4E">
        <w:rPr>
          <w:rStyle w:val="Strong"/>
          <w:noProof/>
        </w:rPr>
        <w:t>stable, providing reliable revenue to the EU budget.</w:t>
      </w:r>
      <w:r w:rsidRPr="009F2E4E">
        <w:rPr>
          <w:noProof/>
        </w:rPr>
        <w:t xml:space="preserve"> Between 1988 and 2021, the main categories of own resources remained the same: traditional own resources (customs duties), contributions from the Member States based on value added tax (VAT) and on gross national income (GNI). This stable system has however increasingly relied on the own resource based on GNI, which had been introduced in 1988 as a residual item. Throughout the decades, various attempts have been undertaken to reform this system and to introduce new own resources</w:t>
      </w:r>
      <w:r w:rsidR="001766B6">
        <w:rPr>
          <w:noProof/>
        </w:rPr>
        <w:t>(</w:t>
      </w:r>
      <w:r w:rsidR="008520D3" w:rsidRPr="009F2E4E">
        <w:rPr>
          <w:rStyle w:val="FootnoteReference"/>
          <w:noProof/>
        </w:rPr>
        <w:footnoteReference w:id="2"/>
      </w:r>
      <w:r w:rsidR="001766B6">
        <w:rPr>
          <w:noProof/>
        </w:rPr>
        <w:t>)</w:t>
      </w:r>
      <w:r w:rsidRPr="009F2E4E">
        <w:rPr>
          <w:noProof/>
        </w:rPr>
        <w:t xml:space="preserve">. </w:t>
      </w:r>
      <w:r w:rsidR="008520D3" w:rsidRPr="009F2E4E">
        <w:rPr>
          <w:noProof/>
        </w:rPr>
        <w:t xml:space="preserve">The reform of 2020 introduced significant changes which pave the way for the modernisation of the </w:t>
      </w:r>
      <w:r w:rsidR="00BC372C">
        <w:rPr>
          <w:noProof/>
        </w:rPr>
        <w:t>own resources system</w:t>
      </w:r>
      <w:r w:rsidR="008520D3" w:rsidRPr="009F2E4E">
        <w:rPr>
          <w:noProof/>
        </w:rPr>
        <w:t>.</w:t>
      </w:r>
    </w:p>
    <w:p w14:paraId="6E8A33DD" w14:textId="1F0AD0A3" w:rsidR="002A3DC7" w:rsidRPr="009F2E4E" w:rsidRDefault="008520D3" w:rsidP="00500E0C">
      <w:pPr>
        <w:rPr>
          <w:noProof/>
        </w:rPr>
      </w:pPr>
      <w:r w:rsidRPr="009F2E4E">
        <w:rPr>
          <w:b/>
          <w:bCs/>
          <w:noProof/>
          <w:color w:val="023E8A" w:themeColor="accent1"/>
        </w:rPr>
        <w:t xml:space="preserve">In parallel, </w:t>
      </w:r>
      <w:r w:rsidR="00B13621" w:rsidRPr="009F2E4E">
        <w:rPr>
          <w:b/>
          <w:bCs/>
          <w:noProof/>
          <w:color w:val="023E8A" w:themeColor="accent1"/>
        </w:rPr>
        <w:t>other streams of revenues (‘</w:t>
      </w:r>
      <w:r w:rsidR="004831FC">
        <w:rPr>
          <w:b/>
          <w:bCs/>
          <w:noProof/>
          <w:color w:val="023E8A" w:themeColor="accent1"/>
        </w:rPr>
        <w:t>o</w:t>
      </w:r>
      <w:r w:rsidR="00B13621" w:rsidRPr="009F2E4E">
        <w:rPr>
          <w:b/>
          <w:bCs/>
          <w:noProof/>
          <w:color w:val="023E8A" w:themeColor="accent1"/>
        </w:rPr>
        <w:t xml:space="preserve">ther </w:t>
      </w:r>
      <w:r w:rsidR="004831FC">
        <w:rPr>
          <w:b/>
          <w:bCs/>
          <w:noProof/>
          <w:color w:val="023E8A" w:themeColor="accent1"/>
        </w:rPr>
        <w:t>r</w:t>
      </w:r>
      <w:r w:rsidR="00B13621" w:rsidRPr="009F2E4E">
        <w:rPr>
          <w:b/>
          <w:bCs/>
          <w:noProof/>
          <w:color w:val="023E8A" w:themeColor="accent1"/>
        </w:rPr>
        <w:t xml:space="preserve">evenues’) </w:t>
      </w:r>
      <w:r w:rsidRPr="009F2E4E">
        <w:rPr>
          <w:b/>
          <w:bCs/>
          <w:noProof/>
          <w:color w:val="023E8A" w:themeColor="accent1"/>
        </w:rPr>
        <w:t>ha</w:t>
      </w:r>
      <w:r w:rsidR="00B13621" w:rsidRPr="009F2E4E">
        <w:rPr>
          <w:b/>
          <w:bCs/>
          <w:noProof/>
          <w:color w:val="023E8A" w:themeColor="accent1"/>
        </w:rPr>
        <w:t>ve</w:t>
      </w:r>
      <w:r w:rsidRPr="009F2E4E">
        <w:rPr>
          <w:b/>
          <w:bCs/>
          <w:noProof/>
          <w:color w:val="023E8A" w:themeColor="accent1"/>
        </w:rPr>
        <w:t xml:space="preserve"> </w:t>
      </w:r>
      <w:r w:rsidR="00BC372C">
        <w:rPr>
          <w:b/>
          <w:bCs/>
          <w:noProof/>
          <w:color w:val="023E8A" w:themeColor="accent1"/>
        </w:rPr>
        <w:t>increased their</w:t>
      </w:r>
      <w:r w:rsidR="002A3DC7" w:rsidRPr="009F2E4E">
        <w:rPr>
          <w:b/>
          <w:bCs/>
          <w:noProof/>
          <w:color w:val="023E8A" w:themeColor="accent1"/>
        </w:rPr>
        <w:t xml:space="preserve"> </w:t>
      </w:r>
      <w:r w:rsidR="00161F04" w:rsidRPr="009F2E4E">
        <w:rPr>
          <w:b/>
          <w:bCs/>
          <w:noProof/>
          <w:color w:val="023E8A" w:themeColor="accent1"/>
        </w:rPr>
        <w:t>share</w:t>
      </w:r>
      <w:r w:rsidRPr="009F2E4E">
        <w:rPr>
          <w:b/>
          <w:bCs/>
          <w:noProof/>
          <w:color w:val="023E8A" w:themeColor="accent1"/>
        </w:rPr>
        <w:t xml:space="preserve"> </w:t>
      </w:r>
      <w:r w:rsidR="00161F04" w:rsidRPr="009F2E4E">
        <w:rPr>
          <w:b/>
          <w:bCs/>
          <w:noProof/>
          <w:color w:val="023E8A" w:themeColor="accent1"/>
        </w:rPr>
        <w:t>in</w:t>
      </w:r>
      <w:r w:rsidR="002A3DC7" w:rsidRPr="009F2E4E">
        <w:rPr>
          <w:b/>
          <w:bCs/>
          <w:noProof/>
          <w:color w:val="023E8A" w:themeColor="accent1"/>
        </w:rPr>
        <w:t xml:space="preserve"> the </w:t>
      </w:r>
      <w:r w:rsidR="00BC372C">
        <w:rPr>
          <w:b/>
          <w:bCs/>
          <w:noProof/>
          <w:color w:val="023E8A" w:themeColor="accent1"/>
        </w:rPr>
        <w:t xml:space="preserve">revenue side of the </w:t>
      </w:r>
      <w:r w:rsidR="002A3DC7" w:rsidRPr="009F2E4E">
        <w:rPr>
          <w:b/>
          <w:bCs/>
          <w:noProof/>
          <w:color w:val="023E8A" w:themeColor="accent1"/>
        </w:rPr>
        <w:t>EU budget.</w:t>
      </w:r>
      <w:r w:rsidR="002A3DC7" w:rsidRPr="009F2E4E">
        <w:rPr>
          <w:noProof/>
          <w:color w:val="023E8A" w:themeColor="accent1"/>
        </w:rPr>
        <w:t xml:space="preserve"> </w:t>
      </w:r>
      <w:r w:rsidR="002A3DC7" w:rsidRPr="009F2E4E">
        <w:rPr>
          <w:noProof/>
        </w:rPr>
        <w:t>‘Other revenues’ com</w:t>
      </w:r>
      <w:r w:rsidR="00E0696C" w:rsidRPr="009F2E4E">
        <w:rPr>
          <w:noProof/>
        </w:rPr>
        <w:t>ing</w:t>
      </w:r>
      <w:r w:rsidR="002A3DC7" w:rsidRPr="009F2E4E">
        <w:rPr>
          <w:noProof/>
        </w:rPr>
        <w:t xml:space="preserve"> from various sources described in part 1.</w:t>
      </w:r>
      <w:r w:rsidR="00C62130">
        <w:rPr>
          <w:noProof/>
        </w:rPr>
        <w:t>2</w:t>
      </w:r>
      <w:r w:rsidR="00E0696C" w:rsidRPr="009F2E4E">
        <w:rPr>
          <w:noProof/>
        </w:rPr>
        <w:t xml:space="preserve"> have also provided a stable revenue source</w:t>
      </w:r>
      <w:r w:rsidR="002A3DC7" w:rsidRPr="009F2E4E">
        <w:rPr>
          <w:noProof/>
        </w:rPr>
        <w:t>. Since 2021, ‘</w:t>
      </w:r>
      <w:r w:rsidR="004831FC">
        <w:rPr>
          <w:noProof/>
        </w:rPr>
        <w:t>o</w:t>
      </w:r>
      <w:r w:rsidR="002A3DC7" w:rsidRPr="009F2E4E">
        <w:rPr>
          <w:noProof/>
        </w:rPr>
        <w:t xml:space="preserve">ther revenues’ also include the amounts </w:t>
      </w:r>
      <w:r w:rsidR="00990B41">
        <w:rPr>
          <w:noProof/>
        </w:rPr>
        <w:t xml:space="preserve">for non-repayable support </w:t>
      </w:r>
      <w:r w:rsidR="004831FC">
        <w:rPr>
          <w:noProof/>
        </w:rPr>
        <w:t xml:space="preserve">assigned to the European Recovery Instrument </w:t>
      </w:r>
      <w:r w:rsidR="00990B41">
        <w:rPr>
          <w:noProof/>
        </w:rPr>
        <w:t>and</w:t>
      </w:r>
      <w:r w:rsidR="004831FC">
        <w:rPr>
          <w:noProof/>
        </w:rPr>
        <w:t xml:space="preserve"> </w:t>
      </w:r>
      <w:r w:rsidR="002A3DC7" w:rsidRPr="009F2E4E">
        <w:rPr>
          <w:noProof/>
        </w:rPr>
        <w:t xml:space="preserve">borrowed for </w:t>
      </w:r>
      <w:r w:rsidR="002A3DC7" w:rsidRPr="009F2E4E">
        <w:rPr>
          <w:i/>
          <w:iCs/>
          <w:noProof/>
        </w:rPr>
        <w:t>NextGenerationEU</w:t>
      </w:r>
      <w:r w:rsidR="002A3DC7" w:rsidRPr="009F2E4E">
        <w:rPr>
          <w:noProof/>
        </w:rPr>
        <w:t xml:space="preserve"> (NGEU), for which an exceptional and temporary authorisation was established in the Own Resources Decision(</w:t>
      </w:r>
      <w:r w:rsidR="002A3DC7" w:rsidRPr="009F2E4E">
        <w:rPr>
          <w:rStyle w:val="FootnoteReference"/>
          <w:noProof/>
        </w:rPr>
        <w:footnoteReference w:id="3"/>
      </w:r>
      <w:r w:rsidR="002A3DC7" w:rsidRPr="009F2E4E">
        <w:rPr>
          <w:noProof/>
        </w:rPr>
        <w:t xml:space="preserve">). </w:t>
      </w:r>
      <w:r w:rsidR="00990B41">
        <w:rPr>
          <w:noProof/>
        </w:rPr>
        <w:t>Complemented</w:t>
      </w:r>
      <w:r w:rsidR="00990B41" w:rsidRPr="009F2E4E">
        <w:rPr>
          <w:noProof/>
        </w:rPr>
        <w:t xml:space="preserve"> </w:t>
      </w:r>
      <w:r w:rsidR="002A3DC7" w:rsidRPr="009F2E4E">
        <w:rPr>
          <w:noProof/>
        </w:rPr>
        <w:t xml:space="preserve">with an increasing role </w:t>
      </w:r>
      <w:r w:rsidR="004D7003" w:rsidRPr="009F2E4E">
        <w:rPr>
          <w:noProof/>
        </w:rPr>
        <w:t>of</w:t>
      </w:r>
      <w:r w:rsidR="002A3DC7" w:rsidRPr="009F2E4E">
        <w:rPr>
          <w:noProof/>
        </w:rPr>
        <w:t xml:space="preserve"> financial instruments, NGEU </w:t>
      </w:r>
      <w:r w:rsidR="00415C66">
        <w:rPr>
          <w:noProof/>
        </w:rPr>
        <w:t xml:space="preserve">issuances </w:t>
      </w:r>
      <w:r w:rsidR="002A3DC7" w:rsidRPr="009F2E4E">
        <w:rPr>
          <w:noProof/>
        </w:rPr>
        <w:t xml:space="preserve">explains recent increases in the share of ‘other revenues’. </w:t>
      </w:r>
    </w:p>
    <w:p w14:paraId="46F48F4F" w14:textId="6EC382C2" w:rsidR="00715307" w:rsidRPr="009F2E4E" w:rsidRDefault="00F009CC" w:rsidP="00F65EB9">
      <w:pPr>
        <w:pStyle w:val="Heading2"/>
      </w:pPr>
      <w:bookmarkStart w:id="44" w:name="_Toc133405523"/>
      <w:bookmarkStart w:id="45" w:name="_Toc133426635"/>
      <w:bookmarkStart w:id="46" w:name="_Toc134446526"/>
      <w:bookmarkStart w:id="47" w:name="_Toc135860229"/>
      <w:bookmarkStart w:id="48" w:name="_Toc136599796"/>
      <w:bookmarkStart w:id="49" w:name="_Toc136600374"/>
      <w:bookmarkStart w:id="50" w:name="_Toc137493979"/>
      <w:bookmarkEnd w:id="30"/>
      <w:bookmarkEnd w:id="31"/>
      <w:bookmarkEnd w:id="32"/>
      <w:bookmarkEnd w:id="33"/>
      <w:bookmarkEnd w:id="34"/>
      <w:bookmarkEnd w:id="35"/>
      <w:bookmarkEnd w:id="36"/>
      <w:bookmarkEnd w:id="37"/>
      <w:bookmarkEnd w:id="38"/>
      <w:bookmarkEnd w:id="39"/>
      <w:bookmarkEnd w:id="40"/>
      <w:bookmarkEnd w:id="41"/>
      <w:bookmarkEnd w:id="42"/>
      <w:r w:rsidRPr="009F2E4E">
        <w:t xml:space="preserve">1.1 </w:t>
      </w:r>
      <w:r w:rsidR="00715307" w:rsidRPr="009F2E4E">
        <w:t xml:space="preserve">Recent developments of the EU </w:t>
      </w:r>
      <w:r w:rsidR="00BC372C">
        <w:t>own resources system</w:t>
      </w:r>
      <w:r w:rsidR="00DC2797" w:rsidRPr="009F2E4E">
        <w:t>.</w:t>
      </w:r>
      <w:bookmarkEnd w:id="44"/>
      <w:bookmarkEnd w:id="45"/>
      <w:bookmarkEnd w:id="46"/>
      <w:bookmarkEnd w:id="47"/>
      <w:bookmarkEnd w:id="48"/>
      <w:bookmarkEnd w:id="49"/>
      <w:bookmarkEnd w:id="50"/>
      <w:r w:rsidR="00DC2797" w:rsidRPr="009F2E4E">
        <w:t xml:space="preserve"> </w:t>
      </w:r>
    </w:p>
    <w:p w14:paraId="2F2AA470" w14:textId="5D7C3766" w:rsidR="002860DE" w:rsidRPr="009F2E4E" w:rsidRDefault="002860DE" w:rsidP="00F65EB9">
      <w:pPr>
        <w:pStyle w:val="Heading3"/>
        <w:rPr>
          <w:noProof/>
        </w:rPr>
      </w:pPr>
      <w:bookmarkStart w:id="51" w:name="_Toc133405524"/>
      <w:bookmarkStart w:id="52" w:name="_Toc133426636"/>
      <w:bookmarkStart w:id="53" w:name="_Toc134446527"/>
      <w:bookmarkStart w:id="54" w:name="_Toc135860230"/>
      <w:bookmarkStart w:id="55" w:name="_Toc136599797"/>
      <w:bookmarkStart w:id="56" w:name="_Toc136600375"/>
      <w:bookmarkStart w:id="57" w:name="_Toc137493980"/>
      <w:r w:rsidRPr="009F2E4E">
        <w:rPr>
          <w:noProof/>
        </w:rPr>
        <w:t xml:space="preserve">1.1.1. The </w:t>
      </w:r>
      <w:r w:rsidR="00BC372C">
        <w:rPr>
          <w:noProof/>
        </w:rPr>
        <w:t>own resources system</w:t>
      </w:r>
      <w:r w:rsidR="00A13F8D" w:rsidRPr="009F2E4E">
        <w:rPr>
          <w:noProof/>
        </w:rPr>
        <w:t>: main elements of reform</w:t>
      </w:r>
      <w:bookmarkEnd w:id="51"/>
      <w:bookmarkEnd w:id="52"/>
      <w:bookmarkEnd w:id="53"/>
      <w:bookmarkEnd w:id="54"/>
      <w:bookmarkEnd w:id="55"/>
      <w:bookmarkEnd w:id="56"/>
      <w:bookmarkEnd w:id="57"/>
      <w:r w:rsidR="00F004D4" w:rsidRPr="009F2E4E">
        <w:rPr>
          <w:noProof/>
        </w:rPr>
        <w:t xml:space="preserve"> </w:t>
      </w:r>
    </w:p>
    <w:p w14:paraId="11F33542" w14:textId="624DF3D0" w:rsidR="00DC2797" w:rsidRPr="009F2E4E" w:rsidRDefault="00DC2797" w:rsidP="00500E0C">
      <w:pPr>
        <w:rPr>
          <w:noProof/>
        </w:rPr>
      </w:pPr>
      <w:r w:rsidRPr="009F2E4E">
        <w:rPr>
          <w:rStyle w:val="Strong"/>
          <w:noProof/>
        </w:rPr>
        <w:t>In 202</w:t>
      </w:r>
      <w:r w:rsidR="00C967EC" w:rsidRPr="009F2E4E">
        <w:rPr>
          <w:rStyle w:val="Strong"/>
          <w:noProof/>
        </w:rPr>
        <w:t>0</w:t>
      </w:r>
      <w:r w:rsidRPr="009F2E4E">
        <w:rPr>
          <w:rStyle w:val="Strong"/>
          <w:noProof/>
        </w:rPr>
        <w:t xml:space="preserve">, in response to the severe </w:t>
      </w:r>
      <w:r w:rsidR="004D422C" w:rsidRPr="009F2E4E">
        <w:rPr>
          <w:rStyle w:val="Strong"/>
          <w:noProof/>
        </w:rPr>
        <w:t xml:space="preserve">COVID-19 </w:t>
      </w:r>
      <w:r w:rsidRPr="009F2E4E">
        <w:rPr>
          <w:rStyle w:val="Strong"/>
          <w:noProof/>
        </w:rPr>
        <w:t>crisis, Member States agreed on far</w:t>
      </w:r>
      <w:r w:rsidR="00BC51DF" w:rsidRPr="009F2E4E">
        <w:rPr>
          <w:rStyle w:val="Strong"/>
          <w:noProof/>
        </w:rPr>
        <w:t>-</w:t>
      </w:r>
      <w:r w:rsidRPr="009F2E4E">
        <w:rPr>
          <w:rStyle w:val="Strong"/>
          <w:noProof/>
        </w:rPr>
        <w:t>reaching reforms, including on the system of own resources.</w:t>
      </w:r>
      <w:r w:rsidRPr="009F2E4E">
        <w:rPr>
          <w:noProof/>
        </w:rPr>
        <w:t xml:space="preserve"> </w:t>
      </w:r>
      <w:r w:rsidRPr="00821734">
        <w:rPr>
          <w:noProof/>
        </w:rPr>
        <w:t xml:space="preserve">The Recovery plan </w:t>
      </w:r>
      <w:r w:rsidR="00F52A41" w:rsidRPr="00821734">
        <w:rPr>
          <w:noProof/>
        </w:rPr>
        <w:t xml:space="preserve">for Europe </w:t>
      </w:r>
      <w:r w:rsidRPr="00821734">
        <w:rPr>
          <w:noProof/>
        </w:rPr>
        <w:t>p</w:t>
      </w:r>
      <w:r w:rsidR="00F52A41" w:rsidRPr="00821734">
        <w:rPr>
          <w:noProof/>
        </w:rPr>
        <w:t xml:space="preserve">ut in place </w:t>
      </w:r>
      <w:r w:rsidRPr="00821734">
        <w:rPr>
          <w:noProof/>
        </w:rPr>
        <w:t xml:space="preserve">to address the </w:t>
      </w:r>
      <w:r w:rsidR="00F52A41" w:rsidRPr="00821734">
        <w:rPr>
          <w:noProof/>
        </w:rPr>
        <w:t xml:space="preserve">economic and social damage brought about by </w:t>
      </w:r>
      <w:r w:rsidRPr="00821734">
        <w:rPr>
          <w:noProof/>
        </w:rPr>
        <w:t xml:space="preserve">the </w:t>
      </w:r>
      <w:r w:rsidRPr="00821734">
        <w:rPr>
          <w:smallCaps/>
          <w:noProof/>
        </w:rPr>
        <w:t>Covid</w:t>
      </w:r>
      <w:r w:rsidRPr="00821734">
        <w:rPr>
          <w:noProof/>
        </w:rPr>
        <w:t xml:space="preserve">-19 crisis </w:t>
      </w:r>
      <w:r w:rsidR="00446FF2" w:rsidRPr="00821734">
        <w:rPr>
          <w:noProof/>
        </w:rPr>
        <w:t xml:space="preserve">has introduced significant </w:t>
      </w:r>
      <w:r w:rsidR="00446FF2" w:rsidRPr="00E9168A">
        <w:rPr>
          <w:noProof/>
        </w:rPr>
        <w:t>change</w:t>
      </w:r>
      <w:r w:rsidR="00A70480">
        <w:rPr>
          <w:noProof/>
        </w:rPr>
        <w:t>s</w:t>
      </w:r>
      <w:r w:rsidR="00446FF2" w:rsidRPr="00821734">
        <w:rPr>
          <w:noProof/>
        </w:rPr>
        <w:t xml:space="preserve"> </w:t>
      </w:r>
      <w:r w:rsidR="00615032">
        <w:rPr>
          <w:noProof/>
        </w:rPr>
        <w:t>o</w:t>
      </w:r>
      <w:r w:rsidR="00446FF2" w:rsidRPr="00821734">
        <w:rPr>
          <w:noProof/>
        </w:rPr>
        <w:t xml:space="preserve">n the revenue side of the </w:t>
      </w:r>
      <w:r w:rsidR="00446FF2" w:rsidRPr="003A67A8">
        <w:rPr>
          <w:noProof/>
        </w:rPr>
        <w:t>EU budget</w:t>
      </w:r>
      <w:r w:rsidR="00EC5C70">
        <w:rPr>
          <w:noProof/>
        </w:rPr>
        <w:t xml:space="preserve">. </w:t>
      </w:r>
      <w:r w:rsidR="00615032">
        <w:rPr>
          <w:noProof/>
        </w:rPr>
        <w:t>T</w:t>
      </w:r>
      <w:r w:rsidR="00EC5C70">
        <w:rPr>
          <w:noProof/>
        </w:rPr>
        <w:t>o give</w:t>
      </w:r>
      <w:r w:rsidR="00446FF2" w:rsidRPr="003A67A8">
        <w:rPr>
          <w:noProof/>
        </w:rPr>
        <w:t xml:space="preserve"> the </w:t>
      </w:r>
      <w:r w:rsidR="00EC5C70">
        <w:rPr>
          <w:noProof/>
        </w:rPr>
        <w:t>Union</w:t>
      </w:r>
      <w:r w:rsidR="00446FF2" w:rsidRPr="003A67A8">
        <w:rPr>
          <w:noProof/>
        </w:rPr>
        <w:t xml:space="preserve"> the </w:t>
      </w:r>
      <w:r w:rsidR="00EC5C70">
        <w:rPr>
          <w:noProof/>
        </w:rPr>
        <w:t>means to achieve its objective, t</w:t>
      </w:r>
      <w:r w:rsidR="00EC5C70" w:rsidRPr="009F2E4E">
        <w:rPr>
          <w:noProof/>
        </w:rPr>
        <w:t>he Own Resource Decision</w:t>
      </w:r>
      <w:r w:rsidR="00EC5C70" w:rsidRPr="00446FF2">
        <w:rPr>
          <w:noProof/>
        </w:rPr>
        <w:t>(</w:t>
      </w:r>
      <w:r w:rsidR="00EC5C70" w:rsidRPr="00446FF2">
        <w:rPr>
          <w:rStyle w:val="FootnoteReference"/>
          <w:noProof/>
        </w:rPr>
        <w:footnoteReference w:id="4"/>
      </w:r>
      <w:r w:rsidR="00EC5C70" w:rsidRPr="00446FF2">
        <w:rPr>
          <w:noProof/>
        </w:rPr>
        <w:t>)</w:t>
      </w:r>
      <w:r w:rsidR="00EC5C70" w:rsidRPr="009F2E4E">
        <w:rPr>
          <w:noProof/>
        </w:rPr>
        <w:t xml:space="preserve"> </w:t>
      </w:r>
      <w:r w:rsidR="00EC5C70">
        <w:rPr>
          <w:noProof/>
        </w:rPr>
        <w:t xml:space="preserve">adopted in December 2020 </w:t>
      </w:r>
      <w:r w:rsidR="00EC5C70" w:rsidRPr="009F2E4E">
        <w:rPr>
          <w:noProof/>
        </w:rPr>
        <w:t xml:space="preserve">empowers the Commission to borrow up to EUR 750 </w:t>
      </w:r>
      <w:r w:rsidR="00EC5C70">
        <w:rPr>
          <w:noProof/>
        </w:rPr>
        <w:t>billion</w:t>
      </w:r>
      <w:r w:rsidR="00EC5C70" w:rsidRPr="009F2E4E">
        <w:rPr>
          <w:noProof/>
        </w:rPr>
        <w:t xml:space="preserve"> (2018 prices) on an exceptional </w:t>
      </w:r>
      <w:r w:rsidR="00EC5C70">
        <w:rPr>
          <w:noProof/>
        </w:rPr>
        <w:t xml:space="preserve">and temporary </w:t>
      </w:r>
      <w:r w:rsidR="00EC5C70" w:rsidRPr="009F2E4E">
        <w:rPr>
          <w:noProof/>
        </w:rPr>
        <w:t xml:space="preserve">basis. </w:t>
      </w:r>
      <w:r w:rsidR="004C4816">
        <w:rPr>
          <w:noProof/>
        </w:rPr>
        <w:t xml:space="preserve">In order to do so, </w:t>
      </w:r>
      <w:r w:rsidR="00EC5C70">
        <w:rPr>
          <w:noProof/>
        </w:rPr>
        <w:t>it also</w:t>
      </w:r>
      <w:r w:rsidRPr="009F2E4E">
        <w:rPr>
          <w:noProof/>
        </w:rPr>
        <w:t xml:space="preserve"> substantially increases the own resource ceiling, enabling </w:t>
      </w:r>
      <w:r w:rsidR="00A70480">
        <w:rPr>
          <w:noProof/>
        </w:rPr>
        <w:t>such</w:t>
      </w:r>
      <w:r w:rsidRPr="009F2E4E">
        <w:rPr>
          <w:noProof/>
        </w:rPr>
        <w:t xml:space="preserve"> EU borrowing on an exceptional </w:t>
      </w:r>
      <w:r w:rsidR="00C967EC" w:rsidRPr="009F2E4E">
        <w:rPr>
          <w:noProof/>
        </w:rPr>
        <w:t xml:space="preserve">and temporary </w:t>
      </w:r>
      <w:r w:rsidRPr="009F2E4E">
        <w:rPr>
          <w:noProof/>
        </w:rPr>
        <w:t xml:space="preserve">basis. </w:t>
      </w:r>
      <w:r w:rsidR="00D7711A">
        <w:rPr>
          <w:noProof/>
        </w:rPr>
        <w:t>In particular, t</w:t>
      </w:r>
      <w:r w:rsidR="00CA4880" w:rsidRPr="00FF3383">
        <w:rPr>
          <w:noProof/>
        </w:rPr>
        <w:t>he Own Resource Decision</w:t>
      </w:r>
      <w:r w:rsidR="00D7711A">
        <w:rPr>
          <w:noProof/>
        </w:rPr>
        <w:t xml:space="preserve"> </w:t>
      </w:r>
      <w:r w:rsidR="00CA4880" w:rsidRPr="00FF3383">
        <w:rPr>
          <w:noProof/>
        </w:rPr>
        <w:t xml:space="preserve">has </w:t>
      </w:r>
      <w:r w:rsidR="00A70480">
        <w:rPr>
          <w:noProof/>
        </w:rPr>
        <w:t>added a separate and additional compartment in</w:t>
      </w:r>
      <w:r w:rsidR="00CA4880" w:rsidRPr="00FF3383">
        <w:rPr>
          <w:noProof/>
        </w:rPr>
        <w:t xml:space="preserve"> the own resource payment ceiling </w:t>
      </w:r>
      <w:r w:rsidR="00A70480">
        <w:rPr>
          <w:noProof/>
        </w:rPr>
        <w:t>equal to 0.6</w:t>
      </w:r>
      <w:r w:rsidR="00CA4880" w:rsidRPr="00FF3383">
        <w:rPr>
          <w:noProof/>
        </w:rPr>
        <w:t xml:space="preserve">% of </w:t>
      </w:r>
      <w:r w:rsidR="00A70480">
        <w:rPr>
          <w:noProof/>
        </w:rPr>
        <w:t xml:space="preserve">EU </w:t>
      </w:r>
      <w:r w:rsidR="00CA4880" w:rsidRPr="00FF3383">
        <w:rPr>
          <w:noProof/>
        </w:rPr>
        <w:t>GNI</w:t>
      </w:r>
      <w:r w:rsidR="00A70480">
        <w:rPr>
          <w:noProof/>
        </w:rPr>
        <w:t>, to enable</w:t>
      </w:r>
      <w:r w:rsidR="00A70480" w:rsidRPr="00615032">
        <w:rPr>
          <w:i/>
          <w:iCs/>
          <w:noProof/>
        </w:rPr>
        <w:t xml:space="preserve"> NextGenerationEU</w:t>
      </w:r>
      <w:r w:rsidR="00A70480">
        <w:rPr>
          <w:noProof/>
        </w:rPr>
        <w:t xml:space="preserve"> borrowing</w:t>
      </w:r>
      <w:r w:rsidR="00CA4880" w:rsidRPr="00FF3383">
        <w:rPr>
          <w:noProof/>
        </w:rPr>
        <w:t>.</w:t>
      </w:r>
      <w:r w:rsidR="00CA4880" w:rsidRPr="00FF3383">
        <w:rPr>
          <w:b/>
          <w:bCs/>
          <w:noProof/>
        </w:rPr>
        <w:t xml:space="preserve"> </w:t>
      </w:r>
    </w:p>
    <w:p w14:paraId="3A4ECCEA" w14:textId="7643E5A4" w:rsidR="00DC2797" w:rsidRPr="009F2E4E" w:rsidRDefault="00A13F8D" w:rsidP="00500E0C">
      <w:pPr>
        <w:rPr>
          <w:noProof/>
        </w:rPr>
      </w:pPr>
      <w:r w:rsidRPr="009F2E4E">
        <w:rPr>
          <w:rStyle w:val="Strong"/>
          <w:noProof/>
        </w:rPr>
        <w:t xml:space="preserve">Although the </w:t>
      </w:r>
      <w:r w:rsidR="00B13621" w:rsidRPr="009F2E4E">
        <w:rPr>
          <w:rStyle w:val="Strong"/>
          <w:noProof/>
        </w:rPr>
        <w:t xml:space="preserve">2020 </w:t>
      </w:r>
      <w:r w:rsidRPr="009F2E4E">
        <w:rPr>
          <w:rStyle w:val="Strong"/>
          <w:noProof/>
        </w:rPr>
        <w:t>reform introduce</w:t>
      </w:r>
      <w:r w:rsidR="00993998">
        <w:rPr>
          <w:rStyle w:val="Strong"/>
          <w:noProof/>
        </w:rPr>
        <w:t>d</w:t>
      </w:r>
      <w:r w:rsidRPr="009F2E4E">
        <w:rPr>
          <w:rStyle w:val="Strong"/>
          <w:noProof/>
        </w:rPr>
        <w:t xml:space="preserve"> a new own resource (based on recycled plastic packaging waste), the</w:t>
      </w:r>
      <w:r w:rsidR="00DC2797" w:rsidRPr="009F2E4E">
        <w:rPr>
          <w:rStyle w:val="Strong"/>
          <w:noProof/>
        </w:rPr>
        <w:t xml:space="preserve"> </w:t>
      </w:r>
      <w:r w:rsidR="00C967EC" w:rsidRPr="009F2E4E">
        <w:rPr>
          <w:rStyle w:val="Strong"/>
          <w:noProof/>
        </w:rPr>
        <w:t>balancing</w:t>
      </w:r>
      <w:r w:rsidR="00DC2797" w:rsidRPr="009F2E4E">
        <w:rPr>
          <w:rStyle w:val="Strong"/>
          <w:noProof/>
        </w:rPr>
        <w:t xml:space="preserve"> GNI-based own resource remains the dominant source of revenue for the EU budget.</w:t>
      </w:r>
      <w:r w:rsidR="00DC2797" w:rsidRPr="009F2E4E">
        <w:rPr>
          <w:noProof/>
        </w:rPr>
        <w:t xml:space="preserve"> </w:t>
      </w:r>
      <w:r w:rsidR="00A02904">
        <w:rPr>
          <w:noProof/>
        </w:rPr>
        <w:t>B</w:t>
      </w:r>
      <w:r w:rsidR="00DC2797" w:rsidRPr="009F2E4E">
        <w:rPr>
          <w:noProof/>
        </w:rPr>
        <w:t>roadly stable revenues from both Traditional Own Resources and the VAT-based</w:t>
      </w:r>
      <w:r w:rsidR="00A02904">
        <w:rPr>
          <w:noProof/>
        </w:rPr>
        <w:t>,</w:t>
      </w:r>
      <w:r w:rsidR="00DC2797" w:rsidRPr="009F2E4E">
        <w:rPr>
          <w:noProof/>
        </w:rPr>
        <w:t xml:space="preserve"> </w:t>
      </w:r>
      <w:r w:rsidR="00A02904">
        <w:rPr>
          <w:noProof/>
        </w:rPr>
        <w:t>combined</w:t>
      </w:r>
      <w:r w:rsidR="00A02904" w:rsidRPr="009F2E4E">
        <w:rPr>
          <w:noProof/>
        </w:rPr>
        <w:t xml:space="preserve"> </w:t>
      </w:r>
      <w:r w:rsidR="00DC2797" w:rsidRPr="009F2E4E">
        <w:rPr>
          <w:noProof/>
        </w:rPr>
        <w:t>with a slowly rising total budget</w:t>
      </w:r>
      <w:r w:rsidR="00A02904">
        <w:rPr>
          <w:noProof/>
        </w:rPr>
        <w:t>,</w:t>
      </w:r>
      <w:r w:rsidR="00DC2797" w:rsidRPr="009F2E4E">
        <w:rPr>
          <w:noProof/>
        </w:rPr>
        <w:t xml:space="preserve"> </w:t>
      </w:r>
      <w:r w:rsidR="00A02904">
        <w:rPr>
          <w:noProof/>
        </w:rPr>
        <w:t>have</w:t>
      </w:r>
      <w:r w:rsidR="00A02904" w:rsidRPr="009F2E4E">
        <w:rPr>
          <w:noProof/>
        </w:rPr>
        <w:t xml:space="preserve"> </w:t>
      </w:r>
      <w:r w:rsidR="00DC2797" w:rsidRPr="009F2E4E">
        <w:rPr>
          <w:noProof/>
        </w:rPr>
        <w:t>translated into a growing weight of the GNI-based own resource (</w:t>
      </w:r>
      <w:r w:rsidR="00854674" w:rsidRPr="009F2E4E">
        <w:rPr>
          <w:noProof/>
        </w:rPr>
        <w:t>Graph 1)</w:t>
      </w:r>
      <w:r w:rsidR="0024651E">
        <w:rPr>
          <w:noProof/>
        </w:rPr>
        <w:t>.</w:t>
      </w:r>
      <w:r w:rsidR="00DC2797" w:rsidRPr="009F2E4E">
        <w:rPr>
          <w:noProof/>
        </w:rPr>
        <w:t xml:space="preserve"> The introduction of the new plastics-based own resource makes a small dent in the GNI dominance, without </w:t>
      </w:r>
      <w:r w:rsidR="006D324A" w:rsidRPr="009F2E4E">
        <w:rPr>
          <w:noProof/>
        </w:rPr>
        <w:t>significantly altering</w:t>
      </w:r>
      <w:r w:rsidR="00DC2797" w:rsidRPr="009F2E4E">
        <w:rPr>
          <w:noProof/>
        </w:rPr>
        <w:t xml:space="preserve"> the overall picture.   </w:t>
      </w:r>
    </w:p>
    <w:p w14:paraId="4330FD79" w14:textId="788E882F" w:rsidR="008C02D8" w:rsidRPr="00C37239" w:rsidRDefault="00C37239" w:rsidP="008C02D8">
      <w:pPr>
        <w:pStyle w:val="FigureTitle"/>
        <w:rPr>
          <w:i w:val="0"/>
          <w:noProof/>
          <w:color w:val="023E8A" w:themeColor="accent1"/>
        </w:rPr>
      </w:pPr>
      <w:r w:rsidRPr="009F2E4E">
        <w:rPr>
          <w:bCs/>
          <w:i w:val="0"/>
          <w:noProof/>
          <w:color w:val="023E8A" w:themeColor="accent1"/>
        </w:rPr>
        <w:t xml:space="preserve">Graph </w:t>
      </w:r>
      <w:r w:rsidR="00DC2797" w:rsidRPr="009F2E4E">
        <w:rPr>
          <w:bCs/>
          <w:i w:val="0"/>
          <w:noProof/>
          <w:color w:val="023E8A" w:themeColor="accent1"/>
        </w:rPr>
        <w:fldChar w:fldCharType="begin"/>
      </w:r>
      <w:r w:rsidR="00DC2797" w:rsidRPr="009F2E4E">
        <w:rPr>
          <w:bCs/>
          <w:i w:val="0"/>
          <w:noProof/>
          <w:color w:val="023E8A" w:themeColor="accent1"/>
        </w:rPr>
        <w:instrText xml:space="preserve"> SEQ Figure \* ARABIC </w:instrText>
      </w:r>
      <w:r w:rsidR="00DC2797" w:rsidRPr="009F2E4E">
        <w:rPr>
          <w:bCs/>
          <w:i w:val="0"/>
          <w:noProof/>
          <w:color w:val="023E8A" w:themeColor="accent1"/>
        </w:rPr>
        <w:fldChar w:fldCharType="separate"/>
      </w:r>
      <w:r w:rsidR="005D0E24">
        <w:rPr>
          <w:bCs/>
          <w:i w:val="0"/>
          <w:noProof/>
          <w:color w:val="023E8A" w:themeColor="accent1"/>
        </w:rPr>
        <w:t>1</w:t>
      </w:r>
      <w:r w:rsidR="00DC2797" w:rsidRPr="009F2E4E">
        <w:rPr>
          <w:bCs/>
          <w:i w:val="0"/>
          <w:noProof/>
          <w:color w:val="023E8A" w:themeColor="accent1"/>
        </w:rPr>
        <w:fldChar w:fldCharType="end"/>
      </w:r>
      <w:r w:rsidRPr="009F2E4E">
        <w:rPr>
          <w:i w:val="0"/>
          <w:noProof/>
          <w:color w:val="023E8A" w:themeColor="accent1"/>
        </w:rPr>
        <w:t>.</w:t>
      </w:r>
      <w:r w:rsidRPr="009F2E4E">
        <w:rPr>
          <w:rFonts w:ascii="Calibri" w:hAnsi="Calibri" w:cs="Calibri"/>
          <w:i w:val="0"/>
          <w:noProof/>
          <w:color w:val="023E8A" w:themeColor="accent1"/>
        </w:rPr>
        <w:t> </w:t>
      </w:r>
      <w:r w:rsidR="008C02D8" w:rsidRPr="009F2E4E">
        <w:rPr>
          <w:i w:val="0"/>
          <w:noProof/>
          <w:color w:val="023E8A" w:themeColor="accent1"/>
        </w:rPr>
        <w:t>The evolution of own resources, 2000-2022</w:t>
      </w:r>
    </w:p>
    <w:p w14:paraId="0634FE55" w14:textId="3AA3C25A" w:rsidR="008C02D8" w:rsidRPr="009F2E4E" w:rsidRDefault="008C02D8" w:rsidP="00500E0C">
      <w:pPr>
        <w:rPr>
          <w:noProof/>
        </w:rPr>
      </w:pPr>
      <w:r w:rsidRPr="0045013A">
        <w:rPr>
          <w:noProof/>
          <w:lang w:eastAsia="en-GB"/>
        </w:rPr>
        <w:drawing>
          <wp:inline distT="0" distB="0" distL="0" distR="0" wp14:anchorId="2FB28E2F" wp14:editId="3F01F43D">
            <wp:extent cx="5557520" cy="31328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  (1).png"/>
                    <pic:cNvPicPr/>
                  </pic:nvPicPr>
                  <pic:blipFill>
                    <a:blip r:embed="rId22">
                      <a:extLst>
                        <a:ext uri="{28A0092B-C50C-407E-A947-70E740481C1C}">
                          <a14:useLocalDpi xmlns:a14="http://schemas.microsoft.com/office/drawing/2010/main" val="0"/>
                        </a:ext>
                      </a:extLst>
                    </a:blip>
                    <a:stretch>
                      <a:fillRect/>
                    </a:stretch>
                  </pic:blipFill>
                  <pic:spPr>
                    <a:xfrm>
                      <a:off x="0" y="0"/>
                      <a:ext cx="5576484" cy="3143504"/>
                    </a:xfrm>
                    <a:prstGeom prst="rect">
                      <a:avLst/>
                    </a:prstGeom>
                  </pic:spPr>
                </pic:pic>
              </a:graphicData>
            </a:graphic>
          </wp:inline>
        </w:drawing>
      </w:r>
    </w:p>
    <w:p w14:paraId="794B03FB" w14:textId="5FC8ED4D" w:rsidR="00C37239" w:rsidRPr="00C37239" w:rsidRDefault="00C37239" w:rsidP="00C37239">
      <w:pPr>
        <w:pStyle w:val="FigureTitle"/>
        <w:rPr>
          <w:i w:val="0"/>
          <w:noProof/>
          <w:color w:val="023E8A" w:themeColor="accent1"/>
        </w:rPr>
      </w:pPr>
    </w:p>
    <w:p w14:paraId="0F897531" w14:textId="35196C04" w:rsidR="00F65EB9" w:rsidRPr="009F2E4E" w:rsidRDefault="00C37239" w:rsidP="00500E0C">
      <w:pPr>
        <w:rPr>
          <w:noProof/>
        </w:rPr>
      </w:pPr>
      <w:r w:rsidRPr="009F2E4E">
        <w:rPr>
          <w:i/>
          <w:iCs/>
          <w:noProof/>
        </w:rPr>
        <w:t>Source:</w:t>
      </w:r>
      <w:r w:rsidRPr="009F2E4E">
        <w:rPr>
          <w:noProof/>
        </w:rPr>
        <w:t xml:space="preserve"> Commission services, Expenditure and Revenue Tables 2000-2021 (</w:t>
      </w:r>
      <w:hyperlink r:id="rId23" w:history="1">
        <w:r w:rsidRPr="009F2E4E">
          <w:rPr>
            <w:rStyle w:val="Hyperlink"/>
            <w:noProof/>
          </w:rPr>
          <w:t>Spending and revenue (europa.eu)</w:t>
        </w:r>
      </w:hyperlink>
      <w:r w:rsidRPr="009F2E4E">
        <w:rPr>
          <w:noProof/>
        </w:rPr>
        <w:t>); source Budget 2022: financing tables 2022, including Draft Amending Budget 5</w:t>
      </w:r>
    </w:p>
    <w:p w14:paraId="1F8B0273" w14:textId="25F6CE7B" w:rsidR="00DC2797" w:rsidRPr="009F2E4E" w:rsidRDefault="00DF2A5A" w:rsidP="00500E0C">
      <w:pPr>
        <w:rPr>
          <w:noProof/>
        </w:rPr>
      </w:pPr>
      <w:r>
        <w:rPr>
          <w:rStyle w:val="Strong"/>
          <w:noProof/>
        </w:rPr>
        <w:t>A</w:t>
      </w:r>
      <w:r w:rsidR="00DC2797" w:rsidRPr="009F2E4E">
        <w:rPr>
          <w:rStyle w:val="Strong"/>
          <w:noProof/>
        </w:rPr>
        <w:t xml:space="preserve"> system of rebates is maintained for the period 2021-2027, but </w:t>
      </w:r>
      <w:r w:rsidR="00993998">
        <w:rPr>
          <w:rStyle w:val="Strong"/>
          <w:noProof/>
        </w:rPr>
        <w:t xml:space="preserve">it </w:t>
      </w:r>
      <w:r w:rsidR="00DC2797" w:rsidRPr="009F2E4E">
        <w:rPr>
          <w:rStyle w:val="Strong"/>
          <w:noProof/>
        </w:rPr>
        <w:t xml:space="preserve">is </w:t>
      </w:r>
      <w:r>
        <w:rPr>
          <w:rStyle w:val="Strong"/>
          <w:noProof/>
        </w:rPr>
        <w:t xml:space="preserve">now </w:t>
      </w:r>
      <w:r w:rsidR="00DC2797" w:rsidRPr="009F2E4E">
        <w:rPr>
          <w:rStyle w:val="Strong"/>
          <w:noProof/>
        </w:rPr>
        <w:t>simpler and more transparent.</w:t>
      </w:r>
      <w:r w:rsidR="00DC2797" w:rsidRPr="009F2E4E">
        <w:rPr>
          <w:noProof/>
        </w:rPr>
        <w:t xml:space="preserve"> The system of rebates on national contributions, </w:t>
      </w:r>
      <w:r>
        <w:rPr>
          <w:noProof/>
        </w:rPr>
        <w:t xml:space="preserve">initially </w:t>
      </w:r>
      <w:r w:rsidR="00DC2797" w:rsidRPr="009F2E4E">
        <w:rPr>
          <w:noProof/>
        </w:rPr>
        <w:t xml:space="preserve">introduced in 1984, was meant to reduce the excessive </w:t>
      </w:r>
      <w:r w:rsidR="00221BD6">
        <w:rPr>
          <w:noProof/>
        </w:rPr>
        <w:t xml:space="preserve">net budgetary </w:t>
      </w:r>
      <w:r w:rsidR="00DC2797" w:rsidRPr="009F2E4E">
        <w:rPr>
          <w:noProof/>
        </w:rPr>
        <w:t>burden on some Member States</w:t>
      </w:r>
      <w:r w:rsidR="00E0696C" w:rsidRPr="009F2E4E">
        <w:rPr>
          <w:noProof/>
        </w:rPr>
        <w:t>,</w:t>
      </w:r>
      <w:r w:rsidR="00DC2797" w:rsidRPr="009F2E4E">
        <w:rPr>
          <w:noProof/>
        </w:rPr>
        <w:t xml:space="preserve"> while at the same time adding complexity</w:t>
      </w:r>
      <w:r w:rsidR="00221BD6">
        <w:rPr>
          <w:noProof/>
        </w:rPr>
        <w:t xml:space="preserve"> to the revenue system</w:t>
      </w:r>
      <w:r w:rsidR="00DC2797" w:rsidRPr="009F2E4E">
        <w:rPr>
          <w:noProof/>
        </w:rPr>
        <w:t xml:space="preserve">. </w:t>
      </w:r>
      <w:r>
        <w:rPr>
          <w:noProof/>
        </w:rPr>
        <w:t>With the withdrawal of the United Kingdom, the UK</w:t>
      </w:r>
      <w:r w:rsidR="001359A7">
        <w:rPr>
          <w:noProof/>
        </w:rPr>
        <w:t xml:space="preserve"> </w:t>
      </w:r>
      <w:r>
        <w:rPr>
          <w:noProof/>
        </w:rPr>
        <w:t xml:space="preserve">rebate ceased to apply. </w:t>
      </w:r>
      <w:r w:rsidR="00DC2797" w:rsidRPr="009F2E4E">
        <w:rPr>
          <w:noProof/>
        </w:rPr>
        <w:t>As from 2021, gross lump sums are deducted from the GNI-contributions of Austria, Denmark, Germany, the Netherlands</w:t>
      </w:r>
      <w:r w:rsidR="00E0696C" w:rsidRPr="009F2E4E">
        <w:rPr>
          <w:noProof/>
        </w:rPr>
        <w:t>,</w:t>
      </w:r>
      <w:r w:rsidR="00DC2797" w:rsidRPr="009F2E4E">
        <w:rPr>
          <w:noProof/>
        </w:rPr>
        <w:t xml:space="preserve"> and Sweden, and they are financed by all Member States, i.e. including the five beneficiaries, which reduces the net amount of their rebates. </w:t>
      </w:r>
      <w:r w:rsidR="00B43D31">
        <w:rPr>
          <w:noProof/>
        </w:rPr>
        <w:t>As these lump sums are indexed to inflation, they imply large windfall</w:t>
      </w:r>
      <w:r w:rsidR="00FE4FCD">
        <w:rPr>
          <w:noProof/>
        </w:rPr>
        <w:t xml:space="preserve"> gain</w:t>
      </w:r>
      <w:r w:rsidR="00B43D31">
        <w:rPr>
          <w:noProof/>
        </w:rPr>
        <w:t xml:space="preserve">s in the current inflationary environment. </w:t>
      </w:r>
      <w:r w:rsidR="00DC2797" w:rsidRPr="009F2E4E">
        <w:rPr>
          <w:noProof/>
        </w:rPr>
        <w:t xml:space="preserve">The retention rate for traditional own resources, also known as ‘collection costs’, increases from 20% to 25%. </w:t>
      </w:r>
    </w:p>
    <w:p w14:paraId="32E9B2D8" w14:textId="0E8943CE" w:rsidR="00187446" w:rsidRPr="009F2E4E" w:rsidRDefault="00187446" w:rsidP="00F65EB9">
      <w:pPr>
        <w:pStyle w:val="Heading3"/>
        <w:rPr>
          <w:noProof/>
        </w:rPr>
      </w:pPr>
      <w:bookmarkStart w:id="58" w:name="_Toc133405525"/>
      <w:bookmarkStart w:id="59" w:name="_Toc133426637"/>
      <w:bookmarkStart w:id="60" w:name="_Toc134446528"/>
      <w:bookmarkStart w:id="61" w:name="_Toc135860231"/>
      <w:bookmarkStart w:id="62" w:name="_Toc136599798"/>
      <w:bookmarkStart w:id="63" w:name="_Toc136600376"/>
      <w:bookmarkStart w:id="64" w:name="_Toc137493981"/>
      <w:r w:rsidRPr="009F2E4E">
        <w:rPr>
          <w:noProof/>
        </w:rPr>
        <w:t xml:space="preserve">1.1.2. Simplification of the </w:t>
      </w:r>
      <w:r w:rsidR="00BC372C">
        <w:rPr>
          <w:noProof/>
        </w:rPr>
        <w:t>own resources system</w:t>
      </w:r>
      <w:r w:rsidRPr="009F2E4E">
        <w:rPr>
          <w:noProof/>
        </w:rPr>
        <w:t>: Value Added Tax own resource</w:t>
      </w:r>
      <w:bookmarkEnd w:id="58"/>
      <w:bookmarkEnd w:id="59"/>
      <w:bookmarkEnd w:id="60"/>
      <w:bookmarkEnd w:id="61"/>
      <w:bookmarkEnd w:id="62"/>
      <w:bookmarkEnd w:id="63"/>
      <w:bookmarkEnd w:id="64"/>
    </w:p>
    <w:p w14:paraId="4A7EE3BB" w14:textId="5215D2CF" w:rsidR="00DC2797" w:rsidRPr="00A91DE6" w:rsidDel="00AD1480" w:rsidRDefault="00F004D4" w:rsidP="00500E0C">
      <w:pPr>
        <w:rPr>
          <w:noProof/>
        </w:rPr>
      </w:pPr>
      <w:r w:rsidRPr="00A91DE6">
        <w:rPr>
          <w:rStyle w:val="Strong"/>
          <w:b w:val="0"/>
          <w:noProof/>
        </w:rPr>
        <w:t>T</w:t>
      </w:r>
      <w:r w:rsidR="00DC2797" w:rsidRPr="00A91DE6" w:rsidDel="00AD1480">
        <w:rPr>
          <w:rStyle w:val="Strong"/>
          <w:b w:val="0"/>
          <w:noProof/>
        </w:rPr>
        <w:t xml:space="preserve">he Value Added Tax-based own resource </w:t>
      </w:r>
      <w:r w:rsidR="00E0696C" w:rsidRPr="00A91DE6">
        <w:rPr>
          <w:rStyle w:val="Strong"/>
          <w:b w:val="0"/>
          <w:noProof/>
        </w:rPr>
        <w:t xml:space="preserve">was </w:t>
      </w:r>
      <w:r w:rsidR="00DC2797" w:rsidRPr="00A91DE6" w:rsidDel="00AD1480">
        <w:rPr>
          <w:rStyle w:val="Strong"/>
          <w:b w:val="0"/>
          <w:noProof/>
        </w:rPr>
        <w:t xml:space="preserve">simplified for the first time </w:t>
      </w:r>
      <w:r w:rsidR="00682249" w:rsidRPr="00A91DE6">
        <w:rPr>
          <w:rStyle w:val="Strong"/>
          <w:b w:val="0"/>
          <w:noProof/>
        </w:rPr>
        <w:t xml:space="preserve">in </w:t>
      </w:r>
      <w:r w:rsidR="00DE111D" w:rsidRPr="00A91DE6">
        <w:rPr>
          <w:rStyle w:val="Strong"/>
          <w:b w:val="0"/>
          <w:noProof/>
        </w:rPr>
        <w:t>20</w:t>
      </w:r>
      <w:r w:rsidR="00904C95" w:rsidRPr="00A91DE6">
        <w:rPr>
          <w:rStyle w:val="Strong"/>
          <w:b w:val="0"/>
          <w:noProof/>
        </w:rPr>
        <w:t>20</w:t>
      </w:r>
      <w:r w:rsidR="00DC2797" w:rsidRPr="00A91DE6" w:rsidDel="00AD1480">
        <w:rPr>
          <w:rStyle w:val="Strong"/>
          <w:b w:val="0"/>
          <w:noProof/>
        </w:rPr>
        <w:t>.</w:t>
      </w:r>
      <w:r w:rsidR="00DC2797" w:rsidRPr="009F2E4E" w:rsidDel="00AD1480">
        <w:rPr>
          <w:i/>
          <w:noProof/>
        </w:rPr>
        <w:t xml:space="preserve"> </w:t>
      </w:r>
      <w:r w:rsidR="001E7958">
        <w:rPr>
          <w:noProof/>
        </w:rPr>
        <w:t>T</w:t>
      </w:r>
      <w:r w:rsidR="00DC2797" w:rsidRPr="009F2E4E" w:rsidDel="00AD1480">
        <w:rPr>
          <w:noProof/>
        </w:rPr>
        <w:t xml:space="preserve">he previous system </w:t>
      </w:r>
      <w:r w:rsidR="001E7958">
        <w:rPr>
          <w:noProof/>
        </w:rPr>
        <w:t xml:space="preserve">used to </w:t>
      </w:r>
      <w:r w:rsidR="00DC2797" w:rsidRPr="009F2E4E" w:rsidDel="00AD1480">
        <w:rPr>
          <w:noProof/>
        </w:rPr>
        <w:t>rel</w:t>
      </w:r>
      <w:r w:rsidR="001E7958">
        <w:rPr>
          <w:noProof/>
        </w:rPr>
        <w:t>y</w:t>
      </w:r>
      <w:r w:rsidR="00DC2797" w:rsidRPr="009F2E4E" w:rsidDel="00AD1480">
        <w:rPr>
          <w:noProof/>
        </w:rPr>
        <w:t xml:space="preserve"> on a notional harmonised value added tax base requiring complex calculations</w:t>
      </w:r>
      <w:r w:rsidR="001E7958">
        <w:rPr>
          <w:noProof/>
        </w:rPr>
        <w:t xml:space="preserve"> to adjust for </w:t>
      </w:r>
      <w:r w:rsidR="00703B40">
        <w:rPr>
          <w:noProof/>
        </w:rPr>
        <w:t xml:space="preserve">the </w:t>
      </w:r>
      <w:r w:rsidR="001E7958">
        <w:rPr>
          <w:noProof/>
        </w:rPr>
        <w:t>derogations and exemptions</w:t>
      </w:r>
      <w:r w:rsidR="00703B40">
        <w:rPr>
          <w:noProof/>
        </w:rPr>
        <w:t xml:space="preserve"> in the VAT Directive</w:t>
      </w:r>
      <w:r w:rsidR="001E7958">
        <w:rPr>
          <w:noProof/>
        </w:rPr>
        <w:t xml:space="preserve">. </w:t>
      </w:r>
      <w:r w:rsidR="001B7FAD">
        <w:rPr>
          <w:noProof/>
        </w:rPr>
        <w:t>Following the reform</w:t>
      </w:r>
      <w:r w:rsidR="00EA7447">
        <w:rPr>
          <w:noProof/>
        </w:rPr>
        <w:t>,</w:t>
      </w:r>
      <w:r w:rsidR="00703B40">
        <w:rPr>
          <w:noProof/>
        </w:rPr>
        <w:t xml:space="preserve"> </w:t>
      </w:r>
      <w:r w:rsidR="00DC2797" w:rsidRPr="009F2E4E" w:rsidDel="00AD1480">
        <w:rPr>
          <w:noProof/>
        </w:rPr>
        <w:t xml:space="preserve">the value added tax base is </w:t>
      </w:r>
      <w:r w:rsidR="00DC2797" w:rsidRPr="009F2E4E">
        <w:rPr>
          <w:noProof/>
        </w:rPr>
        <w:t>now</w:t>
      </w:r>
      <w:r w:rsidR="00D30823">
        <w:rPr>
          <w:noProof/>
        </w:rPr>
        <w:t xml:space="preserve"> </w:t>
      </w:r>
      <w:r w:rsidR="00DC2797" w:rsidRPr="009F2E4E" w:rsidDel="00AD1480">
        <w:rPr>
          <w:noProof/>
        </w:rPr>
        <w:t>calculated in a simpler way, by dividing the national receipts by a weighted average rate</w:t>
      </w:r>
      <w:r w:rsidRPr="009F2E4E">
        <w:rPr>
          <w:noProof/>
        </w:rPr>
        <w:t xml:space="preserve"> based on a reference year</w:t>
      </w:r>
      <w:r w:rsidR="00E120F2">
        <w:rPr>
          <w:noProof/>
        </w:rPr>
        <w:t xml:space="preserve"> </w:t>
      </w:r>
      <w:r w:rsidR="001766B6">
        <w:rPr>
          <w:noProof/>
        </w:rPr>
        <w:t>(</w:t>
      </w:r>
      <w:r w:rsidR="00DC2797" w:rsidRPr="001766B6" w:rsidDel="00AD1480">
        <w:rPr>
          <w:noProof/>
          <w:vertAlign w:val="superscript"/>
        </w:rPr>
        <w:footnoteReference w:id="5"/>
      </w:r>
      <w:r w:rsidR="001766B6">
        <w:rPr>
          <w:noProof/>
        </w:rPr>
        <w:t>)</w:t>
      </w:r>
      <w:r w:rsidR="00DC2797" w:rsidRPr="009F2E4E" w:rsidDel="00AD1480">
        <w:rPr>
          <w:noProof/>
        </w:rPr>
        <w:t xml:space="preserve">. </w:t>
      </w:r>
      <w:r w:rsidR="00E36D75">
        <w:rPr>
          <w:noProof/>
        </w:rPr>
        <w:t xml:space="preserve">The adjustment for derogations and exemptions have been removed, thus simplifying the calculations </w:t>
      </w:r>
      <w:r w:rsidR="00DC2797" w:rsidRPr="009F2E4E" w:rsidDel="00AD1480">
        <w:rPr>
          <w:noProof/>
        </w:rPr>
        <w:t>A uniform call rate of 0.3% applies to the value added tax bases of all Member States.</w:t>
      </w:r>
      <w:r w:rsidR="00E36D75">
        <w:rPr>
          <w:noProof/>
        </w:rPr>
        <w:t xml:space="preserve"> </w:t>
      </w:r>
      <w:r w:rsidR="0077234F">
        <w:rPr>
          <w:noProof/>
        </w:rPr>
        <w:t xml:space="preserve"> </w:t>
      </w:r>
    </w:p>
    <w:p w14:paraId="550BB4AB" w14:textId="1A43C8C4" w:rsidR="00EA7447" w:rsidRPr="00A91DE6" w:rsidRDefault="001D7F04" w:rsidP="00DF1F1D">
      <w:pPr>
        <w:rPr>
          <w:noProof/>
        </w:rPr>
      </w:pPr>
      <w:r w:rsidRPr="00DF1F1D">
        <w:rPr>
          <w:rStyle w:val="Strong"/>
          <w:noProof/>
        </w:rPr>
        <w:t>On average, the removal of complex calculations had a limited impact on Member States</w:t>
      </w:r>
      <w:r w:rsidR="00682249" w:rsidRPr="00DF1F1D">
        <w:rPr>
          <w:rStyle w:val="Strong"/>
          <w:b w:val="0"/>
          <w:noProof/>
        </w:rPr>
        <w:t>.</w:t>
      </w:r>
      <w:r w:rsidR="00682249" w:rsidRPr="00A91DE6">
        <w:rPr>
          <w:rStyle w:val="Strong"/>
          <w:noProof/>
        </w:rPr>
        <w:t xml:space="preserve"> </w:t>
      </w:r>
      <w:r w:rsidR="005D1B12" w:rsidRPr="00A91DE6">
        <w:rPr>
          <w:rStyle w:val="Strong"/>
          <w:b w:val="0"/>
          <w:noProof/>
          <w:color w:val="auto"/>
        </w:rPr>
        <w:t>The</w:t>
      </w:r>
      <w:r w:rsidR="001C4D08" w:rsidRPr="00A91DE6">
        <w:rPr>
          <w:rStyle w:val="Strong"/>
          <w:b w:val="0"/>
          <w:noProof/>
          <w:color w:val="auto"/>
        </w:rPr>
        <w:t xml:space="preserve"> </w:t>
      </w:r>
      <w:r w:rsidR="005D1B12" w:rsidRPr="00A91DE6">
        <w:rPr>
          <w:rStyle w:val="Strong"/>
          <w:b w:val="0"/>
          <w:noProof/>
          <w:color w:val="auto"/>
        </w:rPr>
        <w:t>objective</w:t>
      </w:r>
      <w:r w:rsidRPr="00A91DE6">
        <w:rPr>
          <w:rStyle w:val="Strong"/>
          <w:b w:val="0"/>
          <w:noProof/>
          <w:color w:val="auto"/>
        </w:rPr>
        <w:t xml:space="preserve"> </w:t>
      </w:r>
      <w:r w:rsidR="001C4D08" w:rsidRPr="00A91DE6">
        <w:rPr>
          <w:rStyle w:val="Strong"/>
          <w:b w:val="0"/>
          <w:noProof/>
          <w:color w:val="auto"/>
        </w:rPr>
        <w:t xml:space="preserve">of corrections and compensations </w:t>
      </w:r>
      <w:r w:rsidRPr="00A91DE6">
        <w:rPr>
          <w:rStyle w:val="Strong"/>
          <w:b w:val="0"/>
          <w:noProof/>
          <w:color w:val="auto"/>
        </w:rPr>
        <w:t xml:space="preserve">was </w:t>
      </w:r>
      <w:r w:rsidR="00B11078" w:rsidRPr="00A91DE6" w:rsidDel="00AD1480">
        <w:rPr>
          <w:rStyle w:val="Strong"/>
          <w:b w:val="0"/>
          <w:noProof/>
          <w:color w:val="auto"/>
        </w:rPr>
        <w:t xml:space="preserve">to offset the potential exemptions and derogations foreseen in the value added tax </w:t>
      </w:r>
      <w:r w:rsidR="00846C4D" w:rsidRPr="00A91DE6">
        <w:rPr>
          <w:rStyle w:val="Strong"/>
          <w:b w:val="0"/>
          <w:noProof/>
          <w:color w:val="auto"/>
        </w:rPr>
        <w:t>D</w:t>
      </w:r>
      <w:r w:rsidR="00B11078" w:rsidRPr="00A91DE6" w:rsidDel="00AD1480">
        <w:rPr>
          <w:rStyle w:val="Strong"/>
          <w:b w:val="0"/>
          <w:noProof/>
          <w:color w:val="auto"/>
        </w:rPr>
        <w:t>irective</w:t>
      </w:r>
      <w:r w:rsidR="00B11078" w:rsidRPr="00A91DE6">
        <w:rPr>
          <w:rStyle w:val="Strong"/>
          <w:b w:val="0"/>
          <w:noProof/>
          <w:color w:val="auto"/>
        </w:rPr>
        <w:t xml:space="preserve"> </w:t>
      </w:r>
      <w:r w:rsidR="001C4D08" w:rsidRPr="00A91DE6">
        <w:rPr>
          <w:rStyle w:val="Strong"/>
          <w:b w:val="0"/>
          <w:noProof/>
          <w:color w:val="auto"/>
        </w:rPr>
        <w:t xml:space="preserve">that were </w:t>
      </w:r>
      <w:r w:rsidR="00B11078" w:rsidRPr="00A91DE6">
        <w:rPr>
          <w:rStyle w:val="Strong"/>
          <w:b w:val="0"/>
          <w:noProof/>
          <w:color w:val="auto"/>
        </w:rPr>
        <w:t xml:space="preserve">applied by some </w:t>
      </w:r>
      <w:r w:rsidR="00B11078" w:rsidRPr="00EB7CDA">
        <w:rPr>
          <w:rStyle w:val="Strong"/>
          <w:b w:val="0"/>
          <w:noProof/>
          <w:color w:val="auto"/>
        </w:rPr>
        <w:t>Member States</w:t>
      </w:r>
      <w:r w:rsidR="00EB7CDA">
        <w:rPr>
          <w:rStyle w:val="Strong"/>
          <w:b w:val="0"/>
          <w:noProof/>
          <w:color w:val="auto"/>
        </w:rPr>
        <w:t xml:space="preserve"> </w:t>
      </w:r>
      <w:r w:rsidR="00EB7CDA">
        <w:rPr>
          <w:noProof/>
        </w:rPr>
        <w:t>(</w:t>
      </w:r>
      <w:r w:rsidR="00EB7CDA" w:rsidRPr="00316D71" w:rsidDel="00AD1480">
        <w:rPr>
          <w:iCs/>
          <w:noProof/>
          <w:vertAlign w:val="superscript"/>
        </w:rPr>
        <w:footnoteReference w:id="6"/>
      </w:r>
      <w:r w:rsidR="00EB7CDA">
        <w:rPr>
          <w:noProof/>
        </w:rPr>
        <w:t>)</w:t>
      </w:r>
      <w:r w:rsidR="004550F6" w:rsidRPr="00DF1F1D">
        <w:rPr>
          <w:noProof/>
        </w:rPr>
        <w:t>.</w:t>
      </w:r>
      <w:r w:rsidR="004550F6" w:rsidRPr="00EB7CDA">
        <w:rPr>
          <w:rStyle w:val="Strong"/>
          <w:b w:val="0"/>
          <w:noProof/>
          <w:color w:val="auto"/>
        </w:rPr>
        <w:t xml:space="preserve"> </w:t>
      </w:r>
      <w:r w:rsidR="00AA3BE0" w:rsidRPr="00EB7CDA">
        <w:rPr>
          <w:rStyle w:val="Strong"/>
          <w:b w:val="0"/>
          <w:noProof/>
          <w:color w:val="auto"/>
        </w:rPr>
        <w:t>First</w:t>
      </w:r>
      <w:r w:rsidR="00AA3BE0" w:rsidRPr="00A91DE6">
        <w:rPr>
          <w:rStyle w:val="Strong"/>
          <w:b w:val="0"/>
          <w:noProof/>
          <w:color w:val="auto"/>
        </w:rPr>
        <w:t xml:space="preserve">, </w:t>
      </w:r>
      <w:r w:rsidR="00C76CE2" w:rsidRPr="00A91DE6">
        <w:rPr>
          <w:rStyle w:val="Strong"/>
          <w:b w:val="0"/>
          <w:noProof/>
          <w:color w:val="auto"/>
        </w:rPr>
        <w:t xml:space="preserve">the VAT national receipts were corrected from </w:t>
      </w:r>
      <w:r w:rsidR="006D324A" w:rsidRPr="00A91DE6">
        <w:rPr>
          <w:rStyle w:val="Strong"/>
          <w:b w:val="0"/>
          <w:noProof/>
          <w:color w:val="auto"/>
        </w:rPr>
        <w:t>non-VAT</w:t>
      </w:r>
      <w:r w:rsidR="00B11078" w:rsidRPr="00A91DE6">
        <w:rPr>
          <w:rStyle w:val="Strong"/>
          <w:b w:val="0"/>
          <w:noProof/>
          <w:color w:val="auto"/>
        </w:rPr>
        <w:t xml:space="preserve"> elements, leading to the </w:t>
      </w:r>
      <w:r w:rsidR="00EC3EFF" w:rsidRPr="00A91DE6">
        <w:rPr>
          <w:rStyle w:val="Strong"/>
          <w:b w:val="0"/>
          <w:noProof/>
          <w:color w:val="auto"/>
        </w:rPr>
        <w:t>so-called ‘</w:t>
      </w:r>
      <w:r w:rsidR="00B11078" w:rsidRPr="00A91DE6">
        <w:rPr>
          <w:rStyle w:val="Strong"/>
          <w:b w:val="0"/>
          <w:noProof/>
          <w:color w:val="auto"/>
        </w:rPr>
        <w:t>net receipts</w:t>
      </w:r>
      <w:r w:rsidR="00EC3EFF" w:rsidRPr="00A91DE6">
        <w:rPr>
          <w:rStyle w:val="Strong"/>
          <w:b w:val="0"/>
          <w:noProof/>
          <w:color w:val="auto"/>
        </w:rPr>
        <w:t>’</w:t>
      </w:r>
      <w:r w:rsidR="00B11078" w:rsidRPr="00A91DE6">
        <w:rPr>
          <w:rStyle w:val="Strong"/>
          <w:b w:val="0"/>
          <w:noProof/>
          <w:color w:val="auto"/>
        </w:rPr>
        <w:t xml:space="preserve">. </w:t>
      </w:r>
      <w:r w:rsidR="004550F6" w:rsidRPr="00A91DE6">
        <w:rPr>
          <w:rStyle w:val="Strong"/>
          <w:b w:val="0"/>
          <w:noProof/>
          <w:color w:val="auto"/>
        </w:rPr>
        <w:t xml:space="preserve">Over the period 2016-2019, corrections represented </w:t>
      </w:r>
      <w:r w:rsidR="00E0696C" w:rsidRPr="00A91DE6">
        <w:rPr>
          <w:rStyle w:val="Strong"/>
          <w:b w:val="0"/>
          <w:noProof/>
          <w:color w:val="auto"/>
        </w:rPr>
        <w:t xml:space="preserve">on average </w:t>
      </w:r>
      <w:r w:rsidR="004550F6" w:rsidRPr="00A91DE6">
        <w:rPr>
          <w:rStyle w:val="Strong"/>
          <w:b w:val="0"/>
          <w:noProof/>
          <w:color w:val="auto"/>
        </w:rPr>
        <w:t>0.5% of total value added tax r</w:t>
      </w:r>
      <w:r w:rsidR="00AA3BE0" w:rsidRPr="00A91DE6">
        <w:rPr>
          <w:rStyle w:val="Strong"/>
          <w:b w:val="0"/>
          <w:noProof/>
          <w:color w:val="auto"/>
        </w:rPr>
        <w:t xml:space="preserve">eceipts in the EU27 as a whole. The difference between receipts and net receipts </w:t>
      </w:r>
      <w:r w:rsidR="00451D49" w:rsidRPr="00A91DE6">
        <w:rPr>
          <w:rStyle w:val="Strong"/>
          <w:b w:val="0"/>
          <w:noProof/>
          <w:color w:val="auto"/>
        </w:rPr>
        <w:t xml:space="preserve">(representing the amounts of corrections) </w:t>
      </w:r>
      <w:r w:rsidR="00AA3BE0" w:rsidRPr="00A91DE6">
        <w:rPr>
          <w:rStyle w:val="Strong"/>
          <w:b w:val="0"/>
          <w:noProof/>
          <w:color w:val="auto"/>
        </w:rPr>
        <w:t>was limited in most Member States</w:t>
      </w:r>
      <w:r w:rsidR="00B11078" w:rsidRPr="00A91DE6">
        <w:rPr>
          <w:rStyle w:val="Strong"/>
          <w:b w:val="0"/>
          <w:noProof/>
          <w:color w:val="auto"/>
        </w:rPr>
        <w:t xml:space="preserve"> (Graph 2)</w:t>
      </w:r>
      <w:r w:rsidR="004550F6" w:rsidRPr="00A91DE6">
        <w:rPr>
          <w:rStyle w:val="Strong"/>
          <w:b w:val="0"/>
          <w:noProof/>
          <w:color w:val="auto"/>
        </w:rPr>
        <w:t xml:space="preserve">. </w:t>
      </w:r>
      <w:r w:rsidR="00AA3BE0" w:rsidRPr="00A91DE6">
        <w:rPr>
          <w:rStyle w:val="Strong"/>
          <w:b w:val="0"/>
          <w:noProof/>
          <w:color w:val="auto"/>
        </w:rPr>
        <w:t>Second, m</w:t>
      </w:r>
      <w:r w:rsidR="00B11078" w:rsidRPr="00A91DE6">
        <w:rPr>
          <w:rStyle w:val="Strong"/>
          <w:b w:val="0"/>
          <w:noProof/>
          <w:color w:val="auto"/>
        </w:rPr>
        <w:t>ore complex, the compensations included a statistical treatment of derogations and exemptions</w:t>
      </w:r>
      <w:r w:rsidR="00EC3EFF" w:rsidRPr="00A91DE6">
        <w:rPr>
          <w:rStyle w:val="Strong"/>
          <w:b w:val="0"/>
          <w:noProof/>
          <w:color w:val="auto"/>
        </w:rPr>
        <w:t xml:space="preserve"> for levying VAT</w:t>
      </w:r>
      <w:r w:rsidR="00B11078" w:rsidRPr="00A91DE6">
        <w:rPr>
          <w:rStyle w:val="Strong"/>
          <w:b w:val="0"/>
          <w:noProof/>
          <w:color w:val="auto"/>
        </w:rPr>
        <w:t>, allowing the calculation of the final base</w:t>
      </w:r>
      <w:r w:rsidR="00B11078" w:rsidRPr="00A91DE6">
        <w:rPr>
          <w:rStyle w:val="Strong"/>
          <w:noProof/>
          <w:color w:val="auto"/>
        </w:rPr>
        <w:t xml:space="preserve">. </w:t>
      </w:r>
      <w:r w:rsidR="004550F6" w:rsidRPr="00A91DE6">
        <w:rPr>
          <w:rStyle w:val="Strong"/>
          <w:b w:val="0"/>
          <w:noProof/>
          <w:color w:val="auto"/>
        </w:rPr>
        <w:t>Compensations represented around 0.2% of the EU’s value added tax base on average</w:t>
      </w:r>
      <w:r w:rsidR="00AA3BE0" w:rsidRPr="00A91DE6">
        <w:rPr>
          <w:rStyle w:val="Strong"/>
          <w:b w:val="0"/>
          <w:noProof/>
          <w:color w:val="auto"/>
        </w:rPr>
        <w:t>. The difference between intermediate and final base</w:t>
      </w:r>
      <w:r w:rsidR="00224BAF" w:rsidRPr="00A91DE6">
        <w:rPr>
          <w:rStyle w:val="Strong"/>
          <w:b w:val="0"/>
          <w:noProof/>
          <w:color w:val="auto"/>
        </w:rPr>
        <w:t xml:space="preserve"> </w:t>
      </w:r>
      <w:r w:rsidR="00451D49" w:rsidRPr="00A91DE6">
        <w:rPr>
          <w:rStyle w:val="Strong"/>
          <w:b w:val="0"/>
          <w:noProof/>
          <w:color w:val="auto"/>
        </w:rPr>
        <w:t>(corresponding to the statistical compensation)</w:t>
      </w:r>
      <w:r w:rsidR="00AA3BE0" w:rsidRPr="00A91DE6">
        <w:rPr>
          <w:rStyle w:val="Strong"/>
          <w:b w:val="0"/>
          <w:noProof/>
          <w:color w:val="auto"/>
        </w:rPr>
        <w:t xml:space="preserve"> was limited for most Member States </w:t>
      </w:r>
      <w:r w:rsidR="004550F6" w:rsidRPr="00A91DE6">
        <w:rPr>
          <w:rStyle w:val="Strong"/>
          <w:b w:val="0"/>
          <w:noProof/>
          <w:color w:val="auto"/>
        </w:rPr>
        <w:t>(</w:t>
      </w:r>
      <w:r w:rsidR="004550F6" w:rsidRPr="00A91DE6">
        <w:rPr>
          <w:rStyle w:val="Strong"/>
          <w:b w:val="0"/>
          <w:noProof/>
          <w:color w:val="auto"/>
        </w:rPr>
        <w:fldChar w:fldCharType="begin"/>
      </w:r>
      <w:r w:rsidR="004550F6" w:rsidRPr="00A91DE6">
        <w:rPr>
          <w:rStyle w:val="Strong"/>
          <w:b w:val="0"/>
          <w:noProof/>
          <w:color w:val="auto"/>
        </w:rPr>
        <w:instrText xml:space="preserve"> REF _Ref73371747 \h  \* MERGEFORMAT </w:instrText>
      </w:r>
      <w:r w:rsidR="004550F6" w:rsidRPr="00A91DE6">
        <w:rPr>
          <w:rStyle w:val="Strong"/>
          <w:b w:val="0"/>
          <w:noProof/>
          <w:color w:val="auto"/>
        </w:rPr>
      </w:r>
      <w:r w:rsidR="004550F6" w:rsidRPr="00A91DE6">
        <w:rPr>
          <w:rStyle w:val="Strong"/>
          <w:b w:val="0"/>
          <w:noProof/>
          <w:color w:val="auto"/>
        </w:rPr>
        <w:fldChar w:fldCharType="separate"/>
      </w:r>
      <w:r w:rsidR="005D0E24">
        <w:rPr>
          <w:rStyle w:val="Strong"/>
          <w:bCs/>
          <w:noProof/>
          <w:color w:val="auto"/>
          <w:lang w:val="en-US"/>
        </w:rPr>
        <w:t>Error! Reference source not found.</w:t>
      </w:r>
      <w:r w:rsidR="004550F6" w:rsidRPr="00A91DE6">
        <w:rPr>
          <w:rStyle w:val="Strong"/>
          <w:b w:val="0"/>
          <w:noProof/>
          <w:color w:val="auto"/>
        </w:rPr>
        <w:fldChar w:fldCharType="end"/>
      </w:r>
      <w:r w:rsidR="004550F6" w:rsidRPr="00A91DE6">
        <w:rPr>
          <w:rStyle w:val="Strong"/>
          <w:b w:val="0"/>
          <w:noProof/>
          <w:color w:val="auto"/>
        </w:rPr>
        <w:t xml:space="preserve">). </w:t>
      </w:r>
      <w:r w:rsidR="00B11078" w:rsidRPr="00A91DE6">
        <w:rPr>
          <w:rStyle w:val="Strong"/>
          <w:b w:val="0"/>
          <w:noProof/>
          <w:color w:val="auto"/>
        </w:rPr>
        <w:t>Finally</w:t>
      </w:r>
      <w:r w:rsidR="004550F6" w:rsidRPr="00A91DE6">
        <w:rPr>
          <w:rStyle w:val="Strong"/>
          <w:b w:val="0"/>
          <w:noProof/>
          <w:color w:val="auto"/>
        </w:rPr>
        <w:t xml:space="preserve">, </w:t>
      </w:r>
      <w:r w:rsidR="00B11078" w:rsidRPr="00A91DE6">
        <w:rPr>
          <w:rStyle w:val="Strong"/>
          <w:b w:val="0"/>
          <w:noProof/>
          <w:color w:val="auto"/>
        </w:rPr>
        <w:t xml:space="preserve">as </w:t>
      </w:r>
      <w:r w:rsidR="004550F6" w:rsidRPr="00A91DE6">
        <w:rPr>
          <w:rStyle w:val="Strong"/>
          <w:b w:val="0"/>
          <w:noProof/>
          <w:color w:val="auto"/>
        </w:rPr>
        <w:t xml:space="preserve">the </w:t>
      </w:r>
      <w:r w:rsidR="00EC3EFF" w:rsidRPr="00A91DE6">
        <w:rPr>
          <w:rStyle w:val="Strong"/>
          <w:b w:val="0"/>
          <w:noProof/>
          <w:color w:val="auto"/>
        </w:rPr>
        <w:t xml:space="preserve">annual </w:t>
      </w:r>
      <w:r w:rsidR="004550F6" w:rsidRPr="00A91DE6">
        <w:rPr>
          <w:rStyle w:val="Strong"/>
          <w:b w:val="0"/>
          <w:noProof/>
          <w:color w:val="auto"/>
        </w:rPr>
        <w:t xml:space="preserve">weighted average rate did not </w:t>
      </w:r>
      <w:r w:rsidR="00682249" w:rsidRPr="00A91DE6">
        <w:rPr>
          <w:rStyle w:val="Strong"/>
          <w:b w:val="0"/>
          <w:noProof/>
          <w:color w:val="auto"/>
        </w:rPr>
        <w:t xml:space="preserve">fluctuate </w:t>
      </w:r>
      <w:r w:rsidR="004550F6" w:rsidRPr="00A91DE6">
        <w:rPr>
          <w:rStyle w:val="Strong"/>
          <w:b w:val="0"/>
          <w:noProof/>
          <w:color w:val="auto"/>
        </w:rPr>
        <w:t>considerabl</w:t>
      </w:r>
      <w:r w:rsidR="00682249" w:rsidRPr="00A91DE6">
        <w:rPr>
          <w:rStyle w:val="Strong"/>
          <w:b w:val="0"/>
          <w:noProof/>
          <w:color w:val="auto"/>
        </w:rPr>
        <w:t>y</w:t>
      </w:r>
      <w:r w:rsidR="004550F6" w:rsidRPr="00A91DE6">
        <w:rPr>
          <w:rStyle w:val="Strong"/>
          <w:b w:val="0"/>
          <w:noProof/>
          <w:color w:val="auto"/>
        </w:rPr>
        <w:t xml:space="preserve"> over time</w:t>
      </w:r>
      <w:r w:rsidR="00682249" w:rsidRPr="00A91DE6">
        <w:rPr>
          <w:rStyle w:val="Strong"/>
          <w:b w:val="0"/>
          <w:noProof/>
          <w:color w:val="auto"/>
        </w:rPr>
        <w:t>,</w:t>
      </w:r>
      <w:r w:rsidR="004550F6" w:rsidRPr="00A91DE6">
        <w:rPr>
          <w:rStyle w:val="Strong"/>
          <w:b w:val="0"/>
          <w:noProof/>
          <w:color w:val="auto"/>
        </w:rPr>
        <w:t xml:space="preserve"> </w:t>
      </w:r>
      <w:r w:rsidR="00B11078" w:rsidRPr="00A91DE6">
        <w:rPr>
          <w:rStyle w:val="Strong"/>
          <w:b w:val="0"/>
          <w:noProof/>
          <w:color w:val="auto"/>
        </w:rPr>
        <w:t>the reform proposed to remove the complex calculations of the</w:t>
      </w:r>
      <w:r w:rsidR="005D1B12" w:rsidRPr="00A91DE6">
        <w:rPr>
          <w:rStyle w:val="Strong"/>
          <w:b w:val="0"/>
          <w:noProof/>
          <w:color w:val="auto"/>
        </w:rPr>
        <w:t xml:space="preserve"> annual weighted average rate, and</w:t>
      </w:r>
      <w:r w:rsidR="00B11078" w:rsidRPr="00A91DE6">
        <w:rPr>
          <w:rStyle w:val="Strong"/>
          <w:b w:val="0"/>
          <w:noProof/>
          <w:color w:val="auto"/>
        </w:rPr>
        <w:t xml:space="preserve"> to take the </w:t>
      </w:r>
      <w:r w:rsidR="005D1B12" w:rsidRPr="00A91DE6">
        <w:rPr>
          <w:rStyle w:val="Strong"/>
          <w:b w:val="0"/>
          <w:noProof/>
          <w:color w:val="auto"/>
        </w:rPr>
        <w:t>weighted</w:t>
      </w:r>
      <w:r w:rsidR="00B11078" w:rsidRPr="00A91DE6">
        <w:rPr>
          <w:rStyle w:val="Strong"/>
          <w:b w:val="0"/>
          <w:noProof/>
          <w:color w:val="auto"/>
        </w:rPr>
        <w:t xml:space="preserve"> average rate of 2016 </w:t>
      </w:r>
      <w:r w:rsidR="004550F6" w:rsidRPr="00A91DE6">
        <w:rPr>
          <w:rStyle w:val="Strong"/>
          <w:b w:val="0"/>
          <w:noProof/>
          <w:color w:val="auto"/>
        </w:rPr>
        <w:t>(</w:t>
      </w:r>
      <w:r w:rsidR="004550F6" w:rsidRPr="00A91DE6">
        <w:rPr>
          <w:rStyle w:val="Strong"/>
          <w:b w:val="0"/>
          <w:noProof/>
          <w:color w:val="auto"/>
        </w:rPr>
        <w:fldChar w:fldCharType="begin"/>
      </w:r>
      <w:r w:rsidR="004550F6" w:rsidRPr="00A91DE6">
        <w:rPr>
          <w:rStyle w:val="Strong"/>
          <w:b w:val="0"/>
          <w:noProof/>
          <w:color w:val="auto"/>
        </w:rPr>
        <w:instrText xml:space="preserve"> REF _Ref73371758 \h  \* MERGEFORMAT </w:instrText>
      </w:r>
      <w:r w:rsidR="004550F6" w:rsidRPr="00A91DE6">
        <w:rPr>
          <w:rStyle w:val="Strong"/>
          <w:b w:val="0"/>
          <w:noProof/>
          <w:color w:val="auto"/>
        </w:rPr>
      </w:r>
      <w:r w:rsidR="004550F6" w:rsidRPr="00A91DE6">
        <w:rPr>
          <w:rStyle w:val="Strong"/>
          <w:b w:val="0"/>
          <w:noProof/>
          <w:color w:val="auto"/>
        </w:rPr>
        <w:fldChar w:fldCharType="separate"/>
      </w:r>
      <w:r w:rsidR="005D0E24" w:rsidRPr="005D0E24">
        <w:rPr>
          <w:rStyle w:val="Strong"/>
          <w:noProof/>
          <w:color w:val="auto"/>
        </w:rPr>
        <w:t>Graph 4</w:t>
      </w:r>
      <w:r w:rsidR="004550F6" w:rsidRPr="00A91DE6">
        <w:rPr>
          <w:rStyle w:val="Strong"/>
          <w:b w:val="0"/>
          <w:noProof/>
          <w:color w:val="auto"/>
        </w:rPr>
        <w:fldChar w:fldCharType="end"/>
      </w:r>
      <w:r w:rsidR="004550F6" w:rsidRPr="00A91DE6">
        <w:rPr>
          <w:rStyle w:val="Strong"/>
          <w:b w:val="0"/>
          <w:noProof/>
          <w:color w:val="auto"/>
        </w:rPr>
        <w:t>)</w:t>
      </w:r>
      <w:r w:rsidR="00C32911" w:rsidRPr="00A91DE6">
        <w:rPr>
          <w:rStyle w:val="Strong"/>
          <w:rFonts w:ascii="Calibri" w:hAnsi="Calibri"/>
          <w:b w:val="0"/>
          <w:noProof/>
          <w:color w:val="auto"/>
        </w:rPr>
        <w:t> </w:t>
      </w:r>
      <w:r w:rsidR="00A158C7">
        <w:rPr>
          <w:noProof/>
        </w:rPr>
        <w:t>(</w:t>
      </w:r>
      <w:r w:rsidR="00A158C7" w:rsidRPr="001766B6" w:rsidDel="00AD1480">
        <w:rPr>
          <w:noProof/>
          <w:vertAlign w:val="superscript"/>
        </w:rPr>
        <w:footnoteReference w:id="7"/>
      </w:r>
      <w:r w:rsidR="00A158C7">
        <w:rPr>
          <w:noProof/>
        </w:rPr>
        <w:t>)</w:t>
      </w:r>
      <w:r w:rsidR="004550F6" w:rsidRPr="00A91DE6">
        <w:rPr>
          <w:rStyle w:val="Strong"/>
          <w:b w:val="0"/>
          <w:noProof/>
          <w:color w:val="auto"/>
        </w:rPr>
        <w:t>.</w:t>
      </w:r>
      <w:r w:rsidR="001424D5" w:rsidRPr="00DF1F1D">
        <w:rPr>
          <w:noProof/>
        </w:rPr>
        <w:t xml:space="preserve"> </w:t>
      </w:r>
      <w:r w:rsidR="001424D5" w:rsidRPr="00A91DE6">
        <w:rPr>
          <w:rFonts w:ascii="Calibri" w:hAnsi="Calibri" w:cs="Calibri"/>
          <w:noProof/>
        </w:rPr>
        <w:t> </w:t>
      </w:r>
      <w:r w:rsidR="004550F6" w:rsidRPr="00DF1F1D">
        <w:rPr>
          <w:noProof/>
        </w:rPr>
        <w:t xml:space="preserve"> </w:t>
      </w:r>
    </w:p>
    <w:p w14:paraId="4507AF7A" w14:textId="3D6DE477" w:rsidR="004550F6" w:rsidRPr="00D62A98" w:rsidRDefault="00234DE3" w:rsidP="00D62A98">
      <w:pPr>
        <w:pStyle w:val="Text3"/>
        <w:ind w:hanging="1202"/>
        <w:rPr>
          <w:b/>
          <w:noProof/>
          <w:color w:val="023E8A" w:themeColor="accent1"/>
        </w:rPr>
      </w:pPr>
      <w:bookmarkStart w:id="65" w:name="_Ref65247952"/>
      <w:bookmarkStart w:id="66" w:name="_Ref73371717"/>
      <w:bookmarkStart w:id="67" w:name="_Toc133405526"/>
      <w:r w:rsidRPr="00B236FE">
        <w:rPr>
          <w:b/>
          <w:noProof/>
          <w:color w:val="023E8A" w:themeColor="accent1"/>
        </w:rPr>
        <w:t>Graph</w:t>
      </w:r>
      <w:r w:rsidR="004550F6" w:rsidRPr="00B236FE">
        <w:rPr>
          <w:b/>
          <w:noProof/>
          <w:color w:val="023E8A" w:themeColor="accent1"/>
        </w:rPr>
        <w:t xml:space="preserve"> </w:t>
      </w:r>
      <w:r w:rsidR="00F57090" w:rsidRPr="0D5E584C">
        <w:rPr>
          <w:noProof/>
        </w:rPr>
        <w:fldChar w:fldCharType="begin"/>
      </w:r>
      <w:r w:rsidR="00F57090" w:rsidRPr="00B236FE">
        <w:rPr>
          <w:b/>
          <w:noProof/>
          <w:color w:val="023E8A" w:themeColor="accent1"/>
        </w:rPr>
        <w:instrText xml:space="preserve"> SEQ Figure \* ARABIC </w:instrText>
      </w:r>
      <w:r w:rsidR="00F57090" w:rsidRPr="0D5E584C">
        <w:rPr>
          <w:b/>
          <w:noProof/>
          <w:color w:val="023E8A" w:themeColor="accent1"/>
        </w:rPr>
        <w:fldChar w:fldCharType="separate"/>
      </w:r>
      <w:r w:rsidR="005D0E24">
        <w:rPr>
          <w:b/>
          <w:noProof/>
          <w:color w:val="023E8A" w:themeColor="accent1"/>
        </w:rPr>
        <w:t>2</w:t>
      </w:r>
      <w:r w:rsidR="00F57090" w:rsidRPr="0D5E584C">
        <w:rPr>
          <w:noProof/>
        </w:rPr>
        <w:fldChar w:fldCharType="end"/>
      </w:r>
      <w:bookmarkEnd w:id="65"/>
      <w:bookmarkEnd w:id="66"/>
      <w:r w:rsidR="009A36B5" w:rsidRPr="00B236FE">
        <w:rPr>
          <w:b/>
          <w:bCs/>
          <w:noProof/>
          <w:color w:val="023E8A" w:themeColor="accent1"/>
        </w:rPr>
        <w:t>.</w:t>
      </w:r>
      <w:r w:rsidR="004550F6" w:rsidRPr="00B236FE">
        <w:rPr>
          <w:rFonts w:ascii="Calibri" w:hAnsi="Calibri" w:cs="Calibri"/>
          <w:b/>
          <w:noProof/>
          <w:color w:val="023E8A" w:themeColor="accent1"/>
        </w:rPr>
        <w:t> </w:t>
      </w:r>
      <w:r w:rsidR="004550F6" w:rsidRPr="00B236FE">
        <w:rPr>
          <w:b/>
          <w:noProof/>
          <w:color w:val="023E8A" w:themeColor="accent1"/>
        </w:rPr>
        <w:t xml:space="preserve">Corrections to VAT receipts, </w:t>
      </w:r>
      <w:r w:rsidR="00E61445" w:rsidRPr="00B236FE">
        <w:rPr>
          <w:b/>
          <w:noProof/>
          <w:color w:val="023E8A" w:themeColor="accent1"/>
        </w:rPr>
        <w:t>EUR</w:t>
      </w:r>
      <w:r w:rsidR="001D7145" w:rsidRPr="00B236FE">
        <w:rPr>
          <w:b/>
          <w:noProof/>
          <w:color w:val="023E8A" w:themeColor="accent1"/>
        </w:rPr>
        <w:t xml:space="preserve"> </w:t>
      </w:r>
      <w:r w:rsidR="00BC372C">
        <w:rPr>
          <w:b/>
          <w:noProof/>
          <w:color w:val="023E8A" w:themeColor="accent1"/>
        </w:rPr>
        <w:t>billion</w:t>
      </w:r>
      <w:r w:rsidR="001D7145" w:rsidRPr="00B236FE">
        <w:rPr>
          <w:b/>
          <w:noProof/>
          <w:color w:val="023E8A" w:themeColor="accent1"/>
        </w:rPr>
        <w:t xml:space="preserve">, </w:t>
      </w:r>
      <w:r w:rsidR="004550F6" w:rsidRPr="00B236FE">
        <w:rPr>
          <w:b/>
          <w:noProof/>
          <w:color w:val="023E8A" w:themeColor="accent1"/>
        </w:rPr>
        <w:t>average 2016-20</w:t>
      </w:r>
      <w:r w:rsidR="00BB704A">
        <w:rPr>
          <w:b/>
          <w:noProof/>
          <w:color w:val="023E8A" w:themeColor="accent1"/>
        </w:rPr>
        <w:t>20</w:t>
      </w:r>
      <w:bookmarkEnd w:id="67"/>
    </w:p>
    <w:p w14:paraId="2F1B78F9" w14:textId="62D3442B" w:rsidR="00BB704A" w:rsidRPr="009F2E4E" w:rsidRDefault="00BB704A" w:rsidP="007F5363">
      <w:pPr>
        <w:pStyle w:val="Text3"/>
        <w:ind w:left="0"/>
        <w:rPr>
          <w:noProof/>
        </w:rPr>
      </w:pPr>
      <w:r w:rsidRPr="001E7958">
        <w:rPr>
          <w:noProof/>
          <w:lang w:eastAsia="en-GB"/>
        </w:rPr>
        <w:drawing>
          <wp:inline distT="0" distB="0" distL="0" distR="0" wp14:anchorId="06E3D25E" wp14:editId="5B2598A2">
            <wp:extent cx="5486400" cy="194148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486400" cy="1941482"/>
                    </a:xfrm>
                    <a:prstGeom prst="rect">
                      <a:avLst/>
                    </a:prstGeom>
                    <a:noFill/>
                    <a:ln>
                      <a:noFill/>
                    </a:ln>
                  </pic:spPr>
                </pic:pic>
              </a:graphicData>
            </a:graphic>
          </wp:inline>
        </w:drawing>
      </w:r>
    </w:p>
    <w:p w14:paraId="52E3A32D" w14:textId="5A9CCBB7" w:rsidR="004A4046" w:rsidRPr="009F2E4E" w:rsidRDefault="004A4046" w:rsidP="009F2600">
      <w:pPr>
        <w:pStyle w:val="TableText"/>
        <w:jc w:val="both"/>
        <w:rPr>
          <w:b/>
          <w:noProof/>
        </w:rPr>
      </w:pPr>
      <w:bookmarkStart w:id="68" w:name="_Toc133405527"/>
      <w:r w:rsidRPr="009F2E4E">
        <w:rPr>
          <w:i/>
          <w:noProof/>
        </w:rPr>
        <w:t>Note</w:t>
      </w:r>
      <w:r w:rsidRPr="009F2E4E">
        <w:rPr>
          <w:noProof/>
        </w:rPr>
        <w:t>:</w:t>
      </w:r>
      <w:r w:rsidR="00E61445" w:rsidRPr="009F2E4E">
        <w:rPr>
          <w:noProof/>
        </w:rPr>
        <w:t xml:space="preserve"> Net receipts exclude corrections from receipts.</w:t>
      </w:r>
      <w:bookmarkStart w:id="69" w:name="_Hlk132378603"/>
      <w:r w:rsidRPr="009F2E4E">
        <w:rPr>
          <w:noProof/>
        </w:rPr>
        <w:t xml:space="preserve"> C</w:t>
      </w:r>
      <w:bookmarkEnd w:id="69"/>
      <w:r w:rsidRPr="009F2E4E">
        <w:rPr>
          <w:noProof/>
        </w:rPr>
        <w:t xml:space="preserve">orrections aimed to take out non-VAT elements from VAT receipts and to add </w:t>
      </w:r>
      <w:r w:rsidR="00EC3EFF">
        <w:rPr>
          <w:noProof/>
        </w:rPr>
        <w:t xml:space="preserve">potential </w:t>
      </w:r>
      <w:r w:rsidRPr="009F2E4E">
        <w:rPr>
          <w:noProof/>
        </w:rPr>
        <w:t xml:space="preserve">VAT </w:t>
      </w:r>
      <w:r w:rsidR="00EC3EFF">
        <w:rPr>
          <w:noProof/>
        </w:rPr>
        <w:t xml:space="preserve">receipts </w:t>
      </w:r>
      <w:r w:rsidRPr="009F2E4E">
        <w:rPr>
          <w:noProof/>
        </w:rPr>
        <w:t xml:space="preserve">accounted for elsewhere or not at all. </w:t>
      </w:r>
      <w:r w:rsidR="00466174" w:rsidRPr="009F2E4E">
        <w:rPr>
          <w:noProof/>
        </w:rPr>
        <w:t>The small differences between receipts and net receipts show the small impact of removing the corrections.</w:t>
      </w:r>
      <w:bookmarkEnd w:id="68"/>
    </w:p>
    <w:p w14:paraId="01F7D69C" w14:textId="42608EF1" w:rsidR="004550F6" w:rsidRPr="009F2E4E" w:rsidRDefault="004550F6" w:rsidP="00500E0C">
      <w:pPr>
        <w:pStyle w:val="TableText"/>
        <w:rPr>
          <w:noProof/>
        </w:rPr>
      </w:pPr>
      <w:bookmarkStart w:id="70" w:name="_Toc133405528"/>
      <w:r w:rsidRPr="009F2E4E">
        <w:rPr>
          <w:i/>
          <w:noProof/>
        </w:rPr>
        <w:t>Source:</w:t>
      </w:r>
      <w:r w:rsidRPr="009F2E4E">
        <w:rPr>
          <w:b/>
          <w:noProof/>
        </w:rPr>
        <w:t xml:space="preserve"> </w:t>
      </w:r>
      <w:r w:rsidRPr="009F2E4E">
        <w:rPr>
          <w:noProof/>
        </w:rPr>
        <w:t>Commission services calculations based on national VAT statements.</w:t>
      </w:r>
      <w:bookmarkEnd w:id="70"/>
    </w:p>
    <w:p w14:paraId="042E28A7" w14:textId="28690860" w:rsidR="007C0CC0" w:rsidRPr="00B00DC2" w:rsidRDefault="007C0CC0" w:rsidP="00B00DC2">
      <w:pPr>
        <w:pStyle w:val="TableText"/>
        <w:keepNext/>
        <w:rPr>
          <w:rFonts w:ascii="Times New Roman Bold" w:hAnsi="Times New Roman Bold"/>
          <w:b/>
          <w:noProof/>
          <w:color w:val="023E8A" w:themeColor="accent1"/>
        </w:rPr>
      </w:pPr>
      <w:r>
        <w:rPr>
          <w:b/>
          <w:noProof/>
          <w:color w:val="023E8A" w:themeColor="accent1"/>
        </w:rPr>
        <w:t>Graph</w:t>
      </w:r>
      <w:r w:rsidRPr="00D62A98">
        <w:rPr>
          <w:rFonts w:ascii="Times New Roman Bold" w:hAnsi="Times New Roman Bold"/>
          <w:b/>
          <w:noProof/>
          <w:color w:val="023E8A" w:themeColor="accent1"/>
        </w:rPr>
        <w:t xml:space="preserve"> </w:t>
      </w:r>
      <w:r w:rsidRPr="00B236FE">
        <w:rPr>
          <w:b/>
          <w:noProof/>
          <w:color w:val="023E8A" w:themeColor="accent1"/>
        </w:rPr>
        <w:fldChar w:fldCharType="begin"/>
      </w:r>
      <w:r w:rsidRPr="00B236FE">
        <w:rPr>
          <w:b/>
          <w:noProof/>
          <w:color w:val="023E8A" w:themeColor="accent1"/>
        </w:rPr>
        <w:instrText xml:space="preserve"> SEQ Figure \* ARABIC </w:instrText>
      </w:r>
      <w:r w:rsidRPr="00B236FE">
        <w:rPr>
          <w:b/>
          <w:noProof/>
          <w:color w:val="023E8A" w:themeColor="accent1"/>
        </w:rPr>
        <w:fldChar w:fldCharType="separate"/>
      </w:r>
      <w:r w:rsidR="005D0E24">
        <w:rPr>
          <w:b/>
          <w:noProof/>
          <w:color w:val="023E8A" w:themeColor="accent1"/>
        </w:rPr>
        <w:t>3</w:t>
      </w:r>
      <w:r w:rsidRPr="00B236FE">
        <w:rPr>
          <w:b/>
          <w:noProof/>
          <w:color w:val="023E8A" w:themeColor="accent1"/>
        </w:rPr>
        <w:fldChar w:fldCharType="end"/>
      </w:r>
      <w:r w:rsidRPr="00B236FE">
        <w:rPr>
          <w:b/>
          <w:noProof/>
          <w:color w:val="023E8A" w:themeColor="accent1"/>
        </w:rPr>
        <w:t>.</w:t>
      </w:r>
      <w:r w:rsidRPr="00B236FE">
        <w:rPr>
          <w:rFonts w:ascii="Calibri" w:hAnsi="Calibri" w:cs="Calibri"/>
          <w:b/>
          <w:noProof/>
          <w:color w:val="023E8A" w:themeColor="accent1"/>
        </w:rPr>
        <w:t> </w:t>
      </w:r>
      <w:r w:rsidRPr="00B236FE">
        <w:rPr>
          <w:b/>
          <w:noProof/>
          <w:color w:val="023E8A" w:themeColor="accent1"/>
        </w:rPr>
        <w:t xml:space="preserve">Compensations to the VAT base, EUR </w:t>
      </w:r>
      <w:r>
        <w:rPr>
          <w:b/>
          <w:noProof/>
          <w:color w:val="023E8A" w:themeColor="accent1"/>
        </w:rPr>
        <w:t>billion</w:t>
      </w:r>
      <w:r w:rsidRPr="00B236FE">
        <w:rPr>
          <w:b/>
          <w:noProof/>
          <w:color w:val="023E8A" w:themeColor="accent1"/>
        </w:rPr>
        <w:t>, average 2016-20</w:t>
      </w:r>
      <w:r>
        <w:rPr>
          <w:b/>
          <w:noProof/>
          <w:color w:val="023E8A" w:themeColor="accent1"/>
        </w:rPr>
        <w:t>20</w:t>
      </w:r>
    </w:p>
    <w:p w14:paraId="4B9CCF16" w14:textId="0F0C0024" w:rsidR="007C0CC0" w:rsidRPr="009F2E4E" w:rsidRDefault="007C0CC0" w:rsidP="007C0CC0">
      <w:pPr>
        <w:pStyle w:val="TableText"/>
        <w:keepNext/>
        <w:rPr>
          <w:noProof/>
        </w:rPr>
      </w:pPr>
      <w:r w:rsidRPr="001424D5">
        <w:rPr>
          <w:noProof/>
          <w:lang w:eastAsia="en-GB"/>
        </w:rPr>
        <w:drawing>
          <wp:inline distT="0" distB="0" distL="0" distR="0" wp14:anchorId="3BFE816D" wp14:editId="52AAC0A6">
            <wp:extent cx="5472430" cy="33315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 3.png"/>
                    <pic:cNvPicPr/>
                  </pic:nvPicPr>
                  <pic:blipFill>
                    <a:blip r:embed="rId25">
                      <a:extLst>
                        <a:ext uri="{28A0092B-C50C-407E-A947-70E740481C1C}">
                          <a14:useLocalDpi xmlns:a14="http://schemas.microsoft.com/office/drawing/2010/main" val="0"/>
                        </a:ext>
                      </a:extLst>
                    </a:blip>
                    <a:stretch>
                      <a:fillRect/>
                    </a:stretch>
                  </pic:blipFill>
                  <pic:spPr>
                    <a:xfrm>
                      <a:off x="0" y="0"/>
                      <a:ext cx="5475073" cy="3333205"/>
                    </a:xfrm>
                    <a:prstGeom prst="rect">
                      <a:avLst/>
                    </a:prstGeom>
                  </pic:spPr>
                </pic:pic>
              </a:graphicData>
            </a:graphic>
          </wp:inline>
        </w:drawing>
      </w:r>
      <w:r w:rsidRPr="009F2E4E">
        <w:rPr>
          <w:i/>
          <w:noProof/>
        </w:rPr>
        <w:t>Note</w:t>
      </w:r>
      <w:r w:rsidRPr="009F2E4E">
        <w:rPr>
          <w:noProof/>
        </w:rPr>
        <w:t xml:space="preserve">: Compensations were made until 2020 to harmonise the </w:t>
      </w:r>
      <w:r>
        <w:rPr>
          <w:noProof/>
        </w:rPr>
        <w:t xml:space="preserve">notional </w:t>
      </w:r>
      <w:r w:rsidRPr="009F2E4E">
        <w:rPr>
          <w:noProof/>
        </w:rPr>
        <w:t xml:space="preserve">VAT base, as calculated from the VAT receipts reported by Member States. They correspond to the full application of the VAT </w:t>
      </w:r>
      <w:r w:rsidR="00846C4D">
        <w:rPr>
          <w:noProof/>
        </w:rPr>
        <w:t>D</w:t>
      </w:r>
      <w:r w:rsidRPr="009F2E4E">
        <w:rPr>
          <w:noProof/>
        </w:rPr>
        <w:t xml:space="preserve">irective (no derogations, no exemption). VAT bases are displayed before capping </w:t>
      </w:r>
      <w:r>
        <w:rPr>
          <w:noProof/>
        </w:rPr>
        <w:t>at 50% of</w:t>
      </w:r>
      <w:r w:rsidRPr="009F2E4E">
        <w:rPr>
          <w:noProof/>
        </w:rPr>
        <w:t xml:space="preserve"> GNI.</w:t>
      </w:r>
    </w:p>
    <w:p w14:paraId="59C15FE0" w14:textId="36548653" w:rsidR="007C0CC0" w:rsidRDefault="007C0CC0" w:rsidP="007C0CC0">
      <w:pPr>
        <w:pStyle w:val="TableText"/>
        <w:rPr>
          <w:b/>
          <w:noProof/>
          <w:color w:val="023E8A" w:themeColor="accent1"/>
        </w:rPr>
      </w:pPr>
      <w:r w:rsidRPr="009F2E4E">
        <w:rPr>
          <w:i/>
          <w:noProof/>
        </w:rPr>
        <w:t>Source:</w:t>
      </w:r>
      <w:r w:rsidRPr="009F2E4E">
        <w:rPr>
          <w:noProof/>
        </w:rPr>
        <w:t xml:space="preserve"> Commission services calculations based on national VAT statements</w:t>
      </w:r>
      <w:r w:rsidR="00D96609">
        <w:rPr>
          <w:noProof/>
        </w:rPr>
        <w:t>.</w:t>
      </w:r>
    </w:p>
    <w:p w14:paraId="6C90A05A" w14:textId="23DEC18B" w:rsidR="004550F6" w:rsidRPr="009F2E4E" w:rsidRDefault="00234DE3" w:rsidP="00500E0C">
      <w:pPr>
        <w:pStyle w:val="TableText"/>
        <w:rPr>
          <w:b/>
          <w:noProof/>
          <w:color w:val="023E8A" w:themeColor="accent1"/>
        </w:rPr>
      </w:pPr>
      <w:bookmarkStart w:id="71" w:name="_Ref73371758"/>
      <w:bookmarkStart w:id="72" w:name="_Toc133405532"/>
      <w:r w:rsidRPr="00B236FE">
        <w:rPr>
          <w:b/>
          <w:noProof/>
          <w:color w:val="023E8A" w:themeColor="accent1"/>
        </w:rPr>
        <w:t xml:space="preserve">Graph </w:t>
      </w:r>
      <w:r w:rsidR="00F57090" w:rsidRPr="0D5E584C">
        <w:rPr>
          <w:noProof/>
        </w:rPr>
        <w:fldChar w:fldCharType="begin"/>
      </w:r>
      <w:r w:rsidR="00F57090" w:rsidRPr="00B236FE">
        <w:rPr>
          <w:b/>
          <w:noProof/>
          <w:color w:val="023E8A" w:themeColor="accent1"/>
        </w:rPr>
        <w:instrText xml:space="preserve"> SEQ Figure \* ARABIC </w:instrText>
      </w:r>
      <w:r w:rsidR="00F57090" w:rsidRPr="0D5E584C">
        <w:rPr>
          <w:b/>
          <w:noProof/>
          <w:color w:val="023E8A" w:themeColor="accent1"/>
        </w:rPr>
        <w:fldChar w:fldCharType="separate"/>
      </w:r>
      <w:r w:rsidR="005D0E24">
        <w:rPr>
          <w:b/>
          <w:noProof/>
          <w:color w:val="023E8A" w:themeColor="accent1"/>
        </w:rPr>
        <w:t>4</w:t>
      </w:r>
      <w:r w:rsidR="00F57090" w:rsidRPr="0D5E584C">
        <w:rPr>
          <w:noProof/>
        </w:rPr>
        <w:fldChar w:fldCharType="end"/>
      </w:r>
      <w:bookmarkEnd w:id="71"/>
      <w:r w:rsidR="009A36B5" w:rsidRPr="00B236FE">
        <w:rPr>
          <w:b/>
          <w:noProof/>
          <w:color w:val="023E8A" w:themeColor="accent1"/>
        </w:rPr>
        <w:t>.</w:t>
      </w:r>
      <w:r w:rsidR="004550F6" w:rsidRPr="00B236FE">
        <w:rPr>
          <w:rFonts w:ascii="Calibri" w:hAnsi="Calibri" w:cs="Calibri"/>
          <w:b/>
          <w:noProof/>
          <w:color w:val="023E8A" w:themeColor="accent1"/>
        </w:rPr>
        <w:t> </w:t>
      </w:r>
      <w:r w:rsidR="004550F6" w:rsidRPr="00B236FE">
        <w:rPr>
          <w:b/>
          <w:noProof/>
          <w:color w:val="023E8A" w:themeColor="accent1"/>
        </w:rPr>
        <w:t>Weighted Average VAT Rates</w:t>
      </w:r>
      <w:r w:rsidR="000A5DF4" w:rsidRPr="00B236FE">
        <w:rPr>
          <w:b/>
          <w:noProof/>
          <w:color w:val="023E8A" w:themeColor="accent1"/>
        </w:rPr>
        <w:t xml:space="preserve">, </w:t>
      </w:r>
      <w:r w:rsidR="001D7145" w:rsidRPr="00B236FE">
        <w:rPr>
          <w:b/>
          <w:noProof/>
          <w:color w:val="023E8A" w:themeColor="accent1"/>
        </w:rPr>
        <w:t xml:space="preserve">%, </w:t>
      </w:r>
      <w:r w:rsidR="000A5DF4" w:rsidRPr="00B236FE">
        <w:rPr>
          <w:b/>
          <w:noProof/>
          <w:color w:val="023E8A" w:themeColor="accent1"/>
        </w:rPr>
        <w:t>2016-20</w:t>
      </w:r>
      <w:r w:rsidR="00BB704A">
        <w:rPr>
          <w:b/>
          <w:noProof/>
          <w:color w:val="023E8A" w:themeColor="accent1"/>
        </w:rPr>
        <w:t>20</w:t>
      </w:r>
      <w:bookmarkEnd w:id="72"/>
    </w:p>
    <w:p w14:paraId="03649543" w14:textId="6F333BF2" w:rsidR="004550F6" w:rsidRPr="007F5363" w:rsidRDefault="00BB704A" w:rsidP="00F53311">
      <w:pPr>
        <w:pStyle w:val="Text2"/>
        <w:ind w:hanging="1344"/>
        <w:jc w:val="center"/>
        <w:rPr>
          <w:noProof/>
          <w:lang w:val="fr-BE"/>
        </w:rPr>
      </w:pPr>
      <w:r w:rsidRPr="00D62A98">
        <w:rPr>
          <w:noProof/>
          <w:lang w:eastAsia="en-GB"/>
        </w:rPr>
        <w:drawing>
          <wp:inline distT="0" distB="0" distL="0" distR="0" wp14:anchorId="3170893C" wp14:editId="7DB40F79">
            <wp:extent cx="5395281" cy="235358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3641" t="8972" r="4042"/>
                    <a:stretch/>
                  </pic:blipFill>
                  <pic:spPr bwMode="auto">
                    <a:xfrm>
                      <a:off x="0" y="0"/>
                      <a:ext cx="5395281" cy="2353587"/>
                    </a:xfrm>
                    <a:prstGeom prst="rect">
                      <a:avLst/>
                    </a:prstGeom>
                    <a:ln>
                      <a:noFill/>
                    </a:ln>
                    <a:extLst>
                      <a:ext uri="{53640926-AAD7-44D8-BBD7-CCE9431645EC}">
                        <a14:shadowObscured xmlns:a14="http://schemas.microsoft.com/office/drawing/2010/main"/>
                      </a:ext>
                    </a:extLst>
                  </pic:spPr>
                </pic:pic>
              </a:graphicData>
            </a:graphic>
          </wp:inline>
        </w:drawing>
      </w:r>
    </w:p>
    <w:p w14:paraId="724412A0" w14:textId="05C8E04B" w:rsidR="00F65EB9" w:rsidRPr="009F2E4E" w:rsidRDefault="004550F6" w:rsidP="000E46B9">
      <w:pPr>
        <w:pStyle w:val="TableText"/>
        <w:spacing w:after="240"/>
        <w:rPr>
          <w:noProof/>
        </w:rPr>
      </w:pPr>
      <w:bookmarkStart w:id="73" w:name="_Toc133405533"/>
      <w:r w:rsidRPr="009F2E4E">
        <w:rPr>
          <w:i/>
          <w:noProof/>
        </w:rPr>
        <w:t>Source:</w:t>
      </w:r>
      <w:r w:rsidRPr="009F2E4E">
        <w:rPr>
          <w:b/>
          <w:noProof/>
        </w:rPr>
        <w:t xml:space="preserve"> </w:t>
      </w:r>
      <w:r w:rsidRPr="009F2E4E">
        <w:rPr>
          <w:noProof/>
        </w:rPr>
        <w:t>Commission services calculations based on national VAT statements.</w:t>
      </w:r>
      <w:bookmarkStart w:id="74" w:name="_Toc133405534"/>
      <w:bookmarkEnd w:id="73"/>
    </w:p>
    <w:p w14:paraId="66F2E691" w14:textId="77777777" w:rsidR="004550F6" w:rsidRPr="009F2E4E" w:rsidRDefault="004550F6" w:rsidP="00F65EB9">
      <w:pPr>
        <w:pStyle w:val="Text2"/>
        <w:ind w:left="0"/>
        <w:rPr>
          <w:noProof/>
        </w:rPr>
      </w:pPr>
      <w:r w:rsidRPr="009F2E4E">
        <w:rPr>
          <w:rStyle w:val="Strong"/>
          <w:noProof/>
        </w:rPr>
        <w:t xml:space="preserve">Finally, </w:t>
      </w:r>
      <w:r w:rsidR="006D324A" w:rsidRPr="009F2E4E">
        <w:rPr>
          <w:rStyle w:val="Strong"/>
          <w:noProof/>
        </w:rPr>
        <w:t>to</w:t>
      </w:r>
      <w:r w:rsidRPr="009F2E4E">
        <w:rPr>
          <w:rStyle w:val="Strong"/>
          <w:noProof/>
        </w:rPr>
        <w:t xml:space="preserve"> ensure fairness among Member States, the capping mechanism was maintained.</w:t>
      </w:r>
      <w:r w:rsidRPr="009F2E4E">
        <w:rPr>
          <w:b/>
          <w:noProof/>
        </w:rPr>
        <w:t xml:space="preserve"> </w:t>
      </w:r>
      <w:r w:rsidRPr="009F2E4E">
        <w:rPr>
          <w:noProof/>
        </w:rPr>
        <w:t>The mechanism prevents Member States with high consumption shares and large value added tax bases from paying a disproportionate contribution, by capping the value added tax base</w:t>
      </w:r>
      <w:r w:rsidR="00851371">
        <w:rPr>
          <w:noProof/>
        </w:rPr>
        <w:t xml:space="preserve"> for the VAT own resource</w:t>
      </w:r>
      <w:r w:rsidRPr="009F2E4E">
        <w:rPr>
          <w:noProof/>
        </w:rPr>
        <w:t xml:space="preserve"> at 50% of their GNI.</w:t>
      </w:r>
      <w:bookmarkEnd w:id="74"/>
      <w:r w:rsidRPr="009F2E4E">
        <w:rPr>
          <w:noProof/>
        </w:rPr>
        <w:t xml:space="preserve"> </w:t>
      </w:r>
    </w:p>
    <w:p w14:paraId="0F842477" w14:textId="77777777" w:rsidR="00715307" w:rsidRPr="009F2E4E" w:rsidRDefault="002860DE" w:rsidP="00F65EB9">
      <w:pPr>
        <w:pStyle w:val="Heading3"/>
        <w:rPr>
          <w:noProof/>
        </w:rPr>
      </w:pPr>
      <w:bookmarkStart w:id="75" w:name="_Toc133405535"/>
      <w:bookmarkStart w:id="76" w:name="_Toc133426638"/>
      <w:bookmarkStart w:id="77" w:name="_Toc134446529"/>
      <w:bookmarkStart w:id="78" w:name="_Toc135860232"/>
      <w:bookmarkStart w:id="79" w:name="_Toc136599799"/>
      <w:bookmarkStart w:id="80" w:name="_Toc136600377"/>
      <w:bookmarkStart w:id="81" w:name="_Toc137493982"/>
      <w:r w:rsidRPr="009F2E4E">
        <w:rPr>
          <w:noProof/>
        </w:rPr>
        <w:t xml:space="preserve">1.1.3. </w:t>
      </w:r>
      <w:r w:rsidR="00715307" w:rsidRPr="009F2E4E">
        <w:rPr>
          <w:noProof/>
        </w:rPr>
        <w:t>Diversification of revenues: the plastics-based own resource</w:t>
      </w:r>
      <w:bookmarkEnd w:id="75"/>
      <w:bookmarkEnd w:id="76"/>
      <w:bookmarkEnd w:id="77"/>
      <w:bookmarkEnd w:id="78"/>
      <w:bookmarkEnd w:id="79"/>
      <w:bookmarkEnd w:id="80"/>
      <w:bookmarkEnd w:id="81"/>
    </w:p>
    <w:p w14:paraId="5B77B043" w14:textId="737A600D" w:rsidR="00DC2797" w:rsidRPr="009F2E4E" w:rsidRDefault="00DC2797" w:rsidP="00500E0C">
      <w:pPr>
        <w:rPr>
          <w:noProof/>
        </w:rPr>
      </w:pPr>
      <w:r w:rsidRPr="009F2E4E">
        <w:rPr>
          <w:rStyle w:val="Strong"/>
          <w:noProof/>
        </w:rPr>
        <w:t xml:space="preserve">The most notable novelty </w:t>
      </w:r>
      <w:r w:rsidR="00A02904">
        <w:rPr>
          <w:rStyle w:val="Strong"/>
          <w:noProof/>
        </w:rPr>
        <w:t>concerning</w:t>
      </w:r>
      <w:r w:rsidR="00A02904" w:rsidRPr="009F2E4E">
        <w:rPr>
          <w:rStyle w:val="Strong"/>
          <w:noProof/>
        </w:rPr>
        <w:t xml:space="preserve"> </w:t>
      </w:r>
      <w:r w:rsidR="00682249" w:rsidRPr="009F2E4E">
        <w:rPr>
          <w:rStyle w:val="Strong"/>
          <w:noProof/>
        </w:rPr>
        <w:t xml:space="preserve">own resources </w:t>
      </w:r>
      <w:r w:rsidRPr="009F2E4E">
        <w:rPr>
          <w:rStyle w:val="Strong"/>
          <w:noProof/>
        </w:rPr>
        <w:t>is the own resource based on non-recycled plastic packaging waste</w:t>
      </w:r>
      <w:r w:rsidR="00682249" w:rsidRPr="009F2E4E">
        <w:rPr>
          <w:rStyle w:val="Strong"/>
          <w:noProof/>
        </w:rPr>
        <w:t>, entered into force in 2021</w:t>
      </w:r>
      <w:r w:rsidRPr="009F2E4E">
        <w:rPr>
          <w:rStyle w:val="Strong"/>
          <w:noProof/>
        </w:rPr>
        <w:t xml:space="preserve">. </w:t>
      </w:r>
      <w:r w:rsidRPr="009F2E4E">
        <w:rPr>
          <w:noProof/>
        </w:rPr>
        <w:t>The introduction of this new own resource is not only historic, as it is the first new own resource since the introduction of the GNI</w:t>
      </w:r>
      <w:r w:rsidR="00D32E89" w:rsidRPr="009F2E4E">
        <w:rPr>
          <w:noProof/>
        </w:rPr>
        <w:t>-</w:t>
      </w:r>
      <w:r w:rsidRPr="009F2E4E">
        <w:rPr>
          <w:noProof/>
        </w:rPr>
        <w:t xml:space="preserve">based own resource in 1988, but also an important step in the direction of </w:t>
      </w:r>
      <w:r w:rsidR="001A7419" w:rsidRPr="009F2E4E">
        <w:rPr>
          <w:noProof/>
        </w:rPr>
        <w:t>supporting EU policy priorities</w:t>
      </w:r>
      <w:r w:rsidRPr="009F2E4E">
        <w:rPr>
          <w:noProof/>
        </w:rPr>
        <w:t>, such as the circular economy</w:t>
      </w:r>
      <w:r w:rsidR="001A7419" w:rsidRPr="009F2E4E">
        <w:rPr>
          <w:noProof/>
        </w:rPr>
        <w:t>, with the revenue side of the budget</w:t>
      </w:r>
      <w:r w:rsidRPr="009F2E4E">
        <w:rPr>
          <w:noProof/>
        </w:rPr>
        <w:t>. The new own resource contribute</w:t>
      </w:r>
      <w:r w:rsidR="00AF3C4F">
        <w:rPr>
          <w:noProof/>
        </w:rPr>
        <w:t>s</w:t>
      </w:r>
      <w:r w:rsidRPr="009F2E4E">
        <w:rPr>
          <w:noProof/>
        </w:rPr>
        <w:t xml:space="preserve"> some 3% of total EU revenues, which represents a small but important change in the mix of revenues.</w:t>
      </w:r>
    </w:p>
    <w:p w14:paraId="19B1DBAD" w14:textId="3150CCFB" w:rsidR="00DC2797" w:rsidRPr="009F2E4E" w:rsidRDefault="001A7419" w:rsidP="00500E0C">
      <w:pPr>
        <w:rPr>
          <w:noProof/>
        </w:rPr>
      </w:pPr>
      <w:r w:rsidRPr="009F2E4E">
        <w:rPr>
          <w:rStyle w:val="Strong"/>
          <w:noProof/>
        </w:rPr>
        <w:t>As a statistical-based own resource</w:t>
      </w:r>
      <w:r w:rsidR="0007018E">
        <w:rPr>
          <w:rStyle w:val="Strong"/>
          <w:noProof/>
        </w:rPr>
        <w:t>,</w:t>
      </w:r>
      <w:r w:rsidRPr="009F2E4E">
        <w:rPr>
          <w:rStyle w:val="Strong"/>
          <w:noProof/>
        </w:rPr>
        <w:t xml:space="preserve"> t</w:t>
      </w:r>
      <w:r w:rsidR="00DC2797" w:rsidRPr="009F2E4E">
        <w:rPr>
          <w:rStyle w:val="Strong"/>
          <w:noProof/>
        </w:rPr>
        <w:t>he plastics-own resource changes the contribution key of Member States, thereby encouraging them to implement or reinforce recycling policies.</w:t>
      </w:r>
      <w:r w:rsidR="00DC2797" w:rsidRPr="009F2E4E">
        <w:rPr>
          <w:noProof/>
        </w:rPr>
        <w:t xml:space="preserve"> The own resource contribution is proportional to the quantity of plastic packaging waste that is not recycled. Member States contribute EUR 0.80 per kilogramme of plastics packaging waste that is generated in their territory and not recycled (i.e. is put in a landfill or incinerated with or without energy recovery). As such, it provides Member States with a direct financial incentive to reduce waste generation and recycle more. It however leaves them free to choose the appropriate way of achieving this, which may include a tax or other measures, such as deposit systems and communication campaigns to encourage recycling</w:t>
      </w:r>
      <w:r w:rsidR="001766B6">
        <w:rPr>
          <w:noProof/>
        </w:rPr>
        <w:t>(</w:t>
      </w:r>
      <w:r w:rsidR="00DC2797" w:rsidRPr="009F2E4E">
        <w:rPr>
          <w:rStyle w:val="FootnoteReference"/>
          <w:noProof/>
        </w:rPr>
        <w:footnoteReference w:id="8"/>
      </w:r>
      <w:r w:rsidR="001766B6">
        <w:rPr>
          <w:noProof/>
        </w:rPr>
        <w:t>)</w:t>
      </w:r>
      <w:r w:rsidR="00DC2797" w:rsidRPr="009F2E4E">
        <w:rPr>
          <w:noProof/>
        </w:rPr>
        <w:t>.</w:t>
      </w:r>
    </w:p>
    <w:p w14:paraId="57452D73" w14:textId="60C775BE" w:rsidR="00DC2797" w:rsidRPr="009F2E4E" w:rsidRDefault="00DC2797" w:rsidP="00500E0C">
      <w:pPr>
        <w:rPr>
          <w:noProof/>
        </w:rPr>
      </w:pPr>
      <w:r w:rsidRPr="009F2E4E">
        <w:rPr>
          <w:rStyle w:val="Strong"/>
          <w:noProof/>
        </w:rPr>
        <w:t>In the years before the Covid-19 crisis, both plastic packaging waste generation and recycling have risen</w:t>
      </w:r>
      <w:r w:rsidR="007B0A26" w:rsidRPr="009F2E4E">
        <w:rPr>
          <w:rStyle w:val="Strong"/>
          <w:noProof/>
        </w:rPr>
        <w:t xml:space="preserve"> in the EU</w:t>
      </w:r>
      <w:r w:rsidRPr="009F2E4E">
        <w:rPr>
          <w:rStyle w:val="Strong"/>
          <w:noProof/>
        </w:rPr>
        <w:t>.</w:t>
      </w:r>
      <w:r w:rsidRPr="009F2E4E">
        <w:rPr>
          <w:b/>
          <w:bCs/>
          <w:noProof/>
        </w:rPr>
        <w:t xml:space="preserve"> </w:t>
      </w:r>
      <w:r w:rsidRPr="009F2E4E">
        <w:rPr>
          <w:noProof/>
        </w:rPr>
        <w:t>The quantity of plastic packaging waste that each Member State generates annually depends on its demographic and economic size. In the past, it has broadly evolved in sync with real GNI growth (</w:t>
      </w:r>
      <w:r w:rsidR="00C61E07">
        <w:rPr>
          <w:noProof/>
        </w:rPr>
        <w:t>Graph 5</w:t>
      </w:r>
      <w:r w:rsidR="004A4906" w:rsidRPr="009F2E4E">
        <w:rPr>
          <w:noProof/>
        </w:rPr>
        <w:t>)</w:t>
      </w:r>
      <w:r w:rsidRPr="009F2E4E">
        <w:rPr>
          <w:noProof/>
        </w:rPr>
        <w:t xml:space="preserve">. </w:t>
      </w:r>
    </w:p>
    <w:p w14:paraId="2A752B27" w14:textId="3357FB02" w:rsidR="00DC2797" w:rsidRPr="009F2E4E" w:rsidRDefault="00F65EB9" w:rsidP="00EE3F59">
      <w:pPr>
        <w:keepNext/>
        <w:rPr>
          <w:rStyle w:val="Strong"/>
          <w:noProof/>
        </w:rPr>
      </w:pPr>
      <w:r w:rsidRPr="009F2E4E">
        <w:rPr>
          <w:rStyle w:val="Strong"/>
          <w:noProof/>
        </w:rPr>
        <w:t>Graph 5. Plastic packaging waste (PPW) generated and recycled vs GNI, EU27</w:t>
      </w:r>
    </w:p>
    <w:p w14:paraId="43129900" w14:textId="44A5AE24" w:rsidR="008C02D8" w:rsidRPr="009F2E4E" w:rsidRDefault="008C02D8" w:rsidP="00EE3F59">
      <w:pPr>
        <w:keepNext/>
        <w:jc w:val="center"/>
        <w:rPr>
          <w:rStyle w:val="Strong"/>
          <w:noProof/>
        </w:rPr>
      </w:pPr>
      <w:r w:rsidRPr="00921F10">
        <w:rPr>
          <w:b/>
          <w:noProof/>
          <w:color w:val="023E8A" w:themeColor="accent1"/>
          <w:lang w:eastAsia="en-GB"/>
        </w:rPr>
        <w:drawing>
          <wp:inline distT="0" distB="0" distL="0" distR="0" wp14:anchorId="37125FEE" wp14:editId="45975203">
            <wp:extent cx="534718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_5.png"/>
                    <pic:cNvPicPr/>
                  </pic:nvPicPr>
                  <pic:blipFill rotWithShape="1">
                    <a:blip r:embed="rId27" cstate="print">
                      <a:extLst>
                        <a:ext uri="{28A0092B-C50C-407E-A947-70E740481C1C}">
                          <a14:useLocalDpi xmlns:a14="http://schemas.microsoft.com/office/drawing/2010/main" val="0"/>
                        </a:ext>
                      </a:extLst>
                    </a:blip>
                    <a:srcRect t="2098" b="3112"/>
                    <a:stretch/>
                  </pic:blipFill>
                  <pic:spPr bwMode="auto">
                    <a:xfrm>
                      <a:off x="0" y="0"/>
                      <a:ext cx="5397513" cy="2769021"/>
                    </a:xfrm>
                    <a:prstGeom prst="rect">
                      <a:avLst/>
                    </a:prstGeom>
                    <a:ln>
                      <a:noFill/>
                    </a:ln>
                    <a:extLst>
                      <a:ext uri="{53640926-AAD7-44D8-BBD7-CCE9431645EC}">
                        <a14:shadowObscured xmlns:a14="http://schemas.microsoft.com/office/drawing/2010/main"/>
                      </a:ext>
                    </a:extLst>
                  </pic:spPr>
                </pic:pic>
              </a:graphicData>
            </a:graphic>
          </wp:inline>
        </w:drawing>
      </w:r>
    </w:p>
    <w:p w14:paraId="22973030" w14:textId="70BBC49B" w:rsidR="00DC2797" w:rsidRDefault="00DC2797" w:rsidP="00EE3F59">
      <w:pPr>
        <w:keepNext/>
        <w:rPr>
          <w:noProof/>
          <w:lang w:val="fr-BE"/>
        </w:rPr>
      </w:pPr>
      <w:r w:rsidRPr="005D3F88">
        <w:rPr>
          <w:i/>
          <w:iCs/>
          <w:noProof/>
          <w:lang w:val="fr-BE"/>
        </w:rPr>
        <w:t xml:space="preserve">Source: </w:t>
      </w:r>
      <w:r w:rsidRPr="005D3F88">
        <w:rPr>
          <w:noProof/>
          <w:lang w:val="fr-BE"/>
        </w:rPr>
        <w:t>Eurostat database (Tables: env_waspac &amp; nama_10_gdp)</w:t>
      </w:r>
      <w:r w:rsidR="005A090A">
        <w:rPr>
          <w:noProof/>
          <w:lang w:val="fr-BE"/>
        </w:rPr>
        <w:t>.</w:t>
      </w:r>
    </w:p>
    <w:p w14:paraId="6E7267C4" w14:textId="7B7CB780" w:rsidR="00921F10" w:rsidRPr="00921F10" w:rsidRDefault="00921F10" w:rsidP="00EE3F59">
      <w:pPr>
        <w:keepNext/>
        <w:rPr>
          <w:noProof/>
          <w:lang w:val="en-IE"/>
        </w:rPr>
      </w:pPr>
      <w:r w:rsidRPr="00921F10">
        <w:rPr>
          <w:i/>
          <w:iCs/>
          <w:noProof/>
          <w:lang w:val="en-IE"/>
        </w:rPr>
        <w:t>Note:</w:t>
      </w:r>
      <w:r w:rsidRPr="00921F10">
        <w:rPr>
          <w:noProof/>
          <w:lang w:val="en-IE"/>
        </w:rPr>
        <w:t xml:space="preserve"> </w:t>
      </w:r>
      <w:r w:rsidR="00EE3F59">
        <w:rPr>
          <w:noProof/>
          <w:lang w:val="en-IE"/>
        </w:rPr>
        <w:t>R</w:t>
      </w:r>
      <w:r w:rsidRPr="00921F10">
        <w:rPr>
          <w:noProof/>
          <w:lang w:val="en-IE"/>
        </w:rPr>
        <w:t xml:space="preserve">ecycling rates </w:t>
      </w:r>
      <w:r>
        <w:rPr>
          <w:noProof/>
          <w:lang w:val="en-IE"/>
        </w:rPr>
        <w:t xml:space="preserve">series feature a break due to a change in </w:t>
      </w:r>
      <w:r w:rsidRPr="00921F10">
        <w:rPr>
          <w:noProof/>
          <w:lang w:val="en-IE"/>
        </w:rPr>
        <w:t xml:space="preserve">measurement. This </w:t>
      </w:r>
      <w:r>
        <w:rPr>
          <w:noProof/>
          <w:lang w:val="en-IE"/>
        </w:rPr>
        <w:t xml:space="preserve">break </w:t>
      </w:r>
      <w:r w:rsidRPr="00921F10">
        <w:rPr>
          <w:noProof/>
          <w:lang w:val="en-IE"/>
        </w:rPr>
        <w:t xml:space="preserve">explains </w:t>
      </w:r>
      <w:r>
        <w:rPr>
          <w:noProof/>
          <w:lang w:val="en-IE"/>
        </w:rPr>
        <w:t>the fall in the series</w:t>
      </w:r>
      <w:r w:rsidRPr="00921F10">
        <w:rPr>
          <w:noProof/>
          <w:lang w:val="en-IE"/>
        </w:rPr>
        <w:t xml:space="preserve"> in recent years, </w:t>
      </w:r>
      <w:r>
        <w:rPr>
          <w:noProof/>
          <w:lang w:val="en-IE"/>
        </w:rPr>
        <w:t xml:space="preserve">as </w:t>
      </w:r>
      <w:r w:rsidRPr="00921F10">
        <w:rPr>
          <w:noProof/>
          <w:lang w:val="en-IE"/>
        </w:rPr>
        <w:t xml:space="preserve">measurement is stricter. </w:t>
      </w:r>
    </w:p>
    <w:p w14:paraId="0FAC47C4" w14:textId="0902CDEE" w:rsidR="00F65EB9" w:rsidRPr="009F2E4E" w:rsidRDefault="00DC2797" w:rsidP="00500E0C">
      <w:pPr>
        <w:rPr>
          <w:noProof/>
        </w:rPr>
      </w:pPr>
      <w:r w:rsidRPr="009F2E4E">
        <w:rPr>
          <w:rStyle w:val="Strong"/>
          <w:noProof/>
        </w:rPr>
        <w:t>The proportion of plastic packaging waste that is recycled varies widely across the EU.</w:t>
      </w:r>
      <w:r w:rsidRPr="009F2E4E">
        <w:rPr>
          <w:noProof/>
        </w:rPr>
        <w:t xml:space="preserve"> Whereas in two Member States in 2020 it had already reached the 50% EU target</w:t>
      </w:r>
      <w:r w:rsidR="001766B6">
        <w:rPr>
          <w:noProof/>
        </w:rPr>
        <w:t>(</w:t>
      </w:r>
      <w:r w:rsidRPr="009F2E4E">
        <w:rPr>
          <w:rStyle w:val="FootnoteReference"/>
          <w:noProof/>
        </w:rPr>
        <w:footnoteReference w:id="9"/>
      </w:r>
      <w:r w:rsidR="001766B6">
        <w:rPr>
          <w:noProof/>
        </w:rPr>
        <w:t>)</w:t>
      </w:r>
      <w:r w:rsidRPr="009F2E4E">
        <w:rPr>
          <w:noProof/>
        </w:rPr>
        <w:t xml:space="preserve"> for 2025, in others it remained quite far below that level</w:t>
      </w:r>
      <w:r w:rsidR="0007018E">
        <w:rPr>
          <w:noProof/>
        </w:rPr>
        <w:t>.</w:t>
      </w:r>
      <w:r w:rsidRPr="009F2E4E">
        <w:rPr>
          <w:noProof/>
        </w:rPr>
        <w:t xml:space="preserve"> Overall, recycling rates have also increased from an EU average of 31.4% in 2008 to 37.6% in 2020, although with wider fluctuations in several countries</w:t>
      </w:r>
      <w:r w:rsidR="0007018E">
        <w:rPr>
          <w:noProof/>
        </w:rPr>
        <w:t xml:space="preserve"> </w:t>
      </w:r>
      <w:r w:rsidR="000669CE">
        <w:rPr>
          <w:noProof/>
        </w:rPr>
        <w:t>(Graph 6).</w:t>
      </w:r>
      <w:r w:rsidR="3C8A4DA0">
        <w:rPr>
          <w:noProof/>
        </w:rPr>
        <w:t xml:space="preserve"> </w:t>
      </w:r>
    </w:p>
    <w:p w14:paraId="104B443A" w14:textId="23425D61" w:rsidR="00F65EB9" w:rsidRPr="009F2E4E" w:rsidRDefault="00F65EB9" w:rsidP="004A4906">
      <w:pPr>
        <w:keepNext/>
        <w:rPr>
          <w:b/>
          <w:noProof/>
          <w:color w:val="023E8A" w:themeColor="accent1"/>
        </w:rPr>
      </w:pPr>
      <w:r w:rsidRPr="009F2E4E">
        <w:rPr>
          <w:b/>
          <w:noProof/>
          <w:color w:val="023E8A" w:themeColor="accent1"/>
        </w:rPr>
        <w:t>Graph 6. Recycling rate: plastic packaging waste recycled in % of total generated, 2020</w:t>
      </w:r>
    </w:p>
    <w:p w14:paraId="63A61098" w14:textId="340E0AC6" w:rsidR="00DC2797" w:rsidRPr="009F2E4E" w:rsidRDefault="00DC2797" w:rsidP="004A4906">
      <w:pPr>
        <w:keepNext/>
        <w:rPr>
          <w:noProof/>
        </w:rPr>
      </w:pPr>
      <w:r w:rsidRPr="00D62A98">
        <w:rPr>
          <w:noProof/>
          <w:lang w:eastAsia="en-GB"/>
        </w:rPr>
        <w:drawing>
          <wp:inline distT="0" distB="0" distL="0" distR="0" wp14:anchorId="78AC6FBB" wp14:editId="2393CE26">
            <wp:extent cx="5514340" cy="28068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a:extLst>
                        <a:ext uri="{28A0092B-C50C-407E-A947-70E740481C1C}">
                          <a14:useLocalDpi xmlns:a14="http://schemas.microsoft.com/office/drawing/2010/main" val="0"/>
                        </a:ext>
                      </a:extLst>
                    </a:blip>
                    <a:srcRect b="2406"/>
                    <a:stretch/>
                  </pic:blipFill>
                  <pic:spPr bwMode="auto">
                    <a:xfrm>
                      <a:off x="0" y="0"/>
                      <a:ext cx="5539362" cy="2819546"/>
                    </a:xfrm>
                    <a:prstGeom prst="rect">
                      <a:avLst/>
                    </a:prstGeom>
                    <a:noFill/>
                    <a:ln>
                      <a:noFill/>
                    </a:ln>
                    <a:extLst>
                      <a:ext uri="{53640926-AAD7-44D8-BBD7-CCE9431645EC}">
                        <a14:shadowObscured xmlns:a14="http://schemas.microsoft.com/office/drawing/2010/main"/>
                      </a:ext>
                    </a:extLst>
                  </pic:spPr>
                </pic:pic>
              </a:graphicData>
            </a:graphic>
          </wp:inline>
        </w:drawing>
      </w:r>
    </w:p>
    <w:p w14:paraId="74D782F6" w14:textId="57540357" w:rsidR="00DC2797" w:rsidRPr="005D3F88" w:rsidRDefault="00DC2797" w:rsidP="004A4906">
      <w:pPr>
        <w:keepNext/>
        <w:rPr>
          <w:b/>
          <w:noProof/>
          <w:lang w:val="fr-BE"/>
        </w:rPr>
      </w:pPr>
      <w:r w:rsidRPr="005D3F88">
        <w:rPr>
          <w:i/>
          <w:noProof/>
          <w:lang w:val="fr-BE"/>
        </w:rPr>
        <w:t xml:space="preserve">Source: </w:t>
      </w:r>
      <w:r w:rsidRPr="005D3F88">
        <w:rPr>
          <w:noProof/>
          <w:lang w:val="fr-BE"/>
        </w:rPr>
        <w:t>Eurostat database (Tables: env_waspac)</w:t>
      </w:r>
      <w:r w:rsidR="005A090A">
        <w:rPr>
          <w:noProof/>
          <w:lang w:val="fr-BE"/>
        </w:rPr>
        <w:t>.</w:t>
      </w:r>
      <w:r w:rsidRPr="005D3F88">
        <w:rPr>
          <w:noProof/>
          <w:lang w:val="fr-BE"/>
        </w:rPr>
        <w:t xml:space="preserve"> </w:t>
      </w:r>
    </w:p>
    <w:p w14:paraId="0AC81F37" w14:textId="1C99ACA9" w:rsidR="00DC2797" w:rsidRPr="009F2E4E" w:rsidRDefault="00DC2797" w:rsidP="00500E0C">
      <w:pPr>
        <w:rPr>
          <w:noProof/>
        </w:rPr>
      </w:pPr>
      <w:r w:rsidRPr="009F2E4E">
        <w:rPr>
          <w:rStyle w:val="Strong"/>
          <w:noProof/>
        </w:rPr>
        <w:t xml:space="preserve">The plastics-own resource encourages decoupling </w:t>
      </w:r>
      <w:r w:rsidR="00AF3C4F">
        <w:rPr>
          <w:rStyle w:val="Strong"/>
          <w:noProof/>
        </w:rPr>
        <w:t>non-recycled plastic waste</w:t>
      </w:r>
      <w:r w:rsidRPr="009F2E4E">
        <w:rPr>
          <w:rStyle w:val="Strong"/>
          <w:noProof/>
        </w:rPr>
        <w:t xml:space="preserve"> from economic growth</w:t>
      </w:r>
      <w:r w:rsidRPr="009F2E4E">
        <w:rPr>
          <w:b/>
          <w:noProof/>
        </w:rPr>
        <w:t xml:space="preserve">. </w:t>
      </w:r>
      <w:r w:rsidRPr="009F2E4E">
        <w:rPr>
          <w:noProof/>
        </w:rPr>
        <w:t>The new own resource is expected to support Member States’ efforts to reduce the generation of plastic packaging waste and to increase its recycling.</w:t>
      </w:r>
      <w:r w:rsidRPr="009F2E4E">
        <w:rPr>
          <w:b/>
          <w:noProof/>
        </w:rPr>
        <w:t xml:space="preserve"> </w:t>
      </w:r>
      <w:r w:rsidRPr="009F2E4E">
        <w:rPr>
          <w:noProof/>
        </w:rPr>
        <w:t xml:space="preserve">Both effects would contribute to decouple the dynamics of non-recycled waste from economic developments. </w:t>
      </w:r>
      <w:r w:rsidR="00B0009A" w:rsidRPr="009F2E4E">
        <w:rPr>
          <w:noProof/>
        </w:rPr>
        <w:t xml:space="preserve">However, the incentives become smaller over time as the “price” for the non-recycled plastic packing waste in the </w:t>
      </w:r>
      <w:r w:rsidR="0007018E">
        <w:rPr>
          <w:noProof/>
        </w:rPr>
        <w:t>O</w:t>
      </w:r>
      <w:r w:rsidR="00BC372C">
        <w:rPr>
          <w:noProof/>
        </w:rPr>
        <w:t xml:space="preserve">wn </w:t>
      </w:r>
      <w:r w:rsidR="0007018E">
        <w:rPr>
          <w:noProof/>
        </w:rPr>
        <w:t>R</w:t>
      </w:r>
      <w:r w:rsidR="00BC372C">
        <w:rPr>
          <w:noProof/>
        </w:rPr>
        <w:t xml:space="preserve">esources </w:t>
      </w:r>
      <w:r w:rsidR="0007018E">
        <w:rPr>
          <w:noProof/>
        </w:rPr>
        <w:t>D</w:t>
      </w:r>
      <w:r w:rsidR="00BC372C">
        <w:rPr>
          <w:noProof/>
        </w:rPr>
        <w:t>ecision</w:t>
      </w:r>
      <w:r w:rsidR="00B0009A" w:rsidRPr="009F2E4E">
        <w:rPr>
          <w:noProof/>
        </w:rPr>
        <w:t xml:space="preserve"> is fixed in current prices while the overall price levels increased substantially due to high inflation rates.    </w:t>
      </w:r>
    </w:p>
    <w:p w14:paraId="3A624098" w14:textId="40C819C9" w:rsidR="00D72925" w:rsidRPr="009F2E4E" w:rsidRDefault="00F009CC" w:rsidP="00F65EB9">
      <w:pPr>
        <w:pStyle w:val="Heading2"/>
      </w:pPr>
      <w:bookmarkStart w:id="82" w:name="_Toc133405536"/>
      <w:bookmarkStart w:id="83" w:name="_Toc133426639"/>
      <w:bookmarkStart w:id="84" w:name="_Toc134446530"/>
      <w:bookmarkStart w:id="85" w:name="_Toc135860233"/>
      <w:bookmarkStart w:id="86" w:name="_Toc136599800"/>
      <w:bookmarkStart w:id="87" w:name="_Toc136600378"/>
      <w:bookmarkStart w:id="88" w:name="_Toc137493983"/>
      <w:r w:rsidRPr="009F2E4E">
        <w:t xml:space="preserve">1.2 </w:t>
      </w:r>
      <w:r w:rsidR="008B177B" w:rsidRPr="009F2E4E">
        <w:t>The increase in “</w:t>
      </w:r>
      <w:r w:rsidR="003865BF">
        <w:t>o</w:t>
      </w:r>
      <w:r w:rsidR="008B177B" w:rsidRPr="009F2E4E">
        <w:t xml:space="preserve">ther </w:t>
      </w:r>
      <w:r w:rsidR="003865BF">
        <w:t>r</w:t>
      </w:r>
      <w:r w:rsidR="008B177B" w:rsidRPr="009F2E4E">
        <w:t>evenues”</w:t>
      </w:r>
      <w:bookmarkEnd w:id="82"/>
      <w:bookmarkEnd w:id="83"/>
      <w:bookmarkEnd w:id="84"/>
      <w:bookmarkEnd w:id="85"/>
      <w:bookmarkEnd w:id="86"/>
      <w:bookmarkEnd w:id="87"/>
      <w:bookmarkEnd w:id="88"/>
    </w:p>
    <w:p w14:paraId="4F3C0859" w14:textId="4EBB3912" w:rsidR="00A715FD" w:rsidRDefault="00DC2797" w:rsidP="00A715FD">
      <w:pPr>
        <w:rPr>
          <w:b/>
          <w:noProof/>
          <w:color w:val="023E8A" w:themeColor="accent1"/>
        </w:rPr>
      </w:pPr>
      <w:r w:rsidRPr="009F2E4E">
        <w:rPr>
          <w:rStyle w:val="Strong"/>
          <w:noProof/>
        </w:rPr>
        <w:t>In addition to own resources, “other revenue</w:t>
      </w:r>
      <w:r w:rsidR="003865BF">
        <w:rPr>
          <w:rStyle w:val="Strong"/>
          <w:noProof/>
        </w:rPr>
        <w:t>s</w:t>
      </w:r>
      <w:r w:rsidRPr="009F2E4E">
        <w:rPr>
          <w:rStyle w:val="Strong"/>
          <w:noProof/>
        </w:rPr>
        <w:t>” present another income stream for the EU budget.</w:t>
      </w:r>
      <w:r w:rsidRPr="009F2E4E">
        <w:rPr>
          <w:b/>
          <w:bCs/>
          <w:noProof/>
        </w:rPr>
        <w:t xml:space="preserve"> </w:t>
      </w:r>
      <w:r w:rsidRPr="009F2E4E">
        <w:rPr>
          <w:noProof/>
        </w:rPr>
        <w:t>These revenues come from various sources such as surpluses from the previous year or contributions from third countries</w:t>
      </w:r>
      <w:r w:rsidR="00B70940" w:rsidRPr="009F2E4E">
        <w:rPr>
          <w:noProof/>
        </w:rPr>
        <w:t xml:space="preserve">. </w:t>
      </w:r>
      <w:r w:rsidR="002B34AA" w:rsidRPr="009F2E4E">
        <w:rPr>
          <w:noProof/>
        </w:rPr>
        <w:t>T</w:t>
      </w:r>
      <w:r w:rsidRPr="009F2E4E">
        <w:rPr>
          <w:noProof/>
        </w:rPr>
        <w:t>hey can also be directly generated by the implementation of EU policy and the enforcement of common Union rules</w:t>
      </w:r>
      <w:r w:rsidR="002B34AA" w:rsidRPr="009F2E4E">
        <w:rPr>
          <w:noProof/>
        </w:rPr>
        <w:t>,</w:t>
      </w:r>
      <w:r w:rsidRPr="009F2E4E">
        <w:rPr>
          <w:noProof/>
        </w:rPr>
        <w:t xml:space="preserve"> such as fines in the context of competition policy or taxes paid by EU civil servants</w:t>
      </w:r>
      <w:r w:rsidR="00B903BE" w:rsidRPr="009F2E4E">
        <w:rPr>
          <w:noProof/>
        </w:rPr>
        <w:t xml:space="preserve"> (see </w:t>
      </w:r>
      <w:r w:rsidR="00F314A2" w:rsidRPr="009F2E4E">
        <w:rPr>
          <w:noProof/>
        </w:rPr>
        <w:t>B</w:t>
      </w:r>
      <w:r w:rsidR="00B903BE" w:rsidRPr="009F2E4E">
        <w:rPr>
          <w:noProof/>
        </w:rPr>
        <w:t>ox 1)</w:t>
      </w:r>
      <w:r w:rsidRPr="009F2E4E">
        <w:rPr>
          <w:noProof/>
        </w:rPr>
        <w:t>. By default, other revenue</w:t>
      </w:r>
      <w:r w:rsidR="003865BF">
        <w:rPr>
          <w:noProof/>
        </w:rPr>
        <w:t>s</w:t>
      </w:r>
      <w:r w:rsidRPr="009F2E4E">
        <w:rPr>
          <w:noProof/>
        </w:rPr>
        <w:t xml:space="preserve">, provided </w:t>
      </w:r>
      <w:r w:rsidR="003865BF">
        <w:rPr>
          <w:noProof/>
        </w:rPr>
        <w:t>they are</w:t>
      </w:r>
      <w:r w:rsidRPr="009F2E4E">
        <w:rPr>
          <w:noProof/>
        </w:rPr>
        <w:t xml:space="preserve"> not assigned, </w:t>
      </w:r>
      <w:r w:rsidR="003865BF">
        <w:rPr>
          <w:noProof/>
        </w:rPr>
        <w:t>are</w:t>
      </w:r>
      <w:r w:rsidR="003865BF" w:rsidRPr="009F2E4E">
        <w:rPr>
          <w:noProof/>
        </w:rPr>
        <w:t xml:space="preserve"> </w:t>
      </w:r>
      <w:r w:rsidRPr="009F2E4E">
        <w:rPr>
          <w:noProof/>
        </w:rPr>
        <w:t>budgeted as general revenue</w:t>
      </w:r>
      <w:r w:rsidR="003865BF">
        <w:rPr>
          <w:noProof/>
        </w:rPr>
        <w:t>s</w:t>
      </w:r>
      <w:r w:rsidRPr="009F2E4E">
        <w:rPr>
          <w:noProof/>
        </w:rPr>
        <w:t xml:space="preserve">. </w:t>
      </w:r>
      <w:r w:rsidR="002B34AA" w:rsidRPr="009F2E4E">
        <w:rPr>
          <w:noProof/>
        </w:rPr>
        <w:t>Until 2020, o</w:t>
      </w:r>
      <w:r w:rsidR="00B70940" w:rsidRPr="009F2E4E">
        <w:rPr>
          <w:noProof/>
        </w:rPr>
        <w:t>ther revenues have so far represented less than 10% of total own resource revenue</w:t>
      </w:r>
      <w:r w:rsidR="003865BF">
        <w:rPr>
          <w:noProof/>
        </w:rPr>
        <w:t>s</w:t>
      </w:r>
      <w:r w:rsidR="00B70940" w:rsidRPr="009F2E4E">
        <w:rPr>
          <w:noProof/>
        </w:rPr>
        <w:t>, on average (Graph 7).</w:t>
      </w:r>
      <w:r w:rsidR="009757A1">
        <w:rPr>
          <w:noProof/>
        </w:rPr>
        <w:t xml:space="preserve"> </w:t>
      </w:r>
    </w:p>
    <w:p w14:paraId="7F894A24" w14:textId="77777777" w:rsidR="00A715FD" w:rsidRDefault="00A715FD">
      <w:pPr>
        <w:spacing w:after="0"/>
        <w:jc w:val="left"/>
        <w:rPr>
          <w:b/>
          <w:noProof/>
          <w:color w:val="023E8A" w:themeColor="accent1"/>
        </w:rPr>
      </w:pPr>
      <w:r>
        <w:rPr>
          <w:b/>
          <w:noProof/>
          <w:color w:val="023E8A" w:themeColor="accent1"/>
        </w:rPr>
        <w:br w:type="page"/>
      </w:r>
    </w:p>
    <w:p w14:paraId="547C0C3C" w14:textId="0A200D8F" w:rsidR="00F65EB9" w:rsidRPr="009F2E4E" w:rsidRDefault="00F65EB9" w:rsidP="00500E0C">
      <w:pPr>
        <w:rPr>
          <w:b/>
          <w:noProof/>
          <w:color w:val="023E8A" w:themeColor="accent1"/>
        </w:rPr>
      </w:pPr>
      <w:r w:rsidRPr="009F2E4E">
        <w:rPr>
          <w:b/>
          <w:noProof/>
          <w:color w:val="023E8A" w:themeColor="accent1"/>
        </w:rPr>
        <w:t>Graph 7</w:t>
      </w:r>
      <w:r w:rsidRPr="009F2E4E">
        <w:rPr>
          <w:b/>
          <w:i/>
          <w:noProof/>
          <w:color w:val="023E8A" w:themeColor="accent1"/>
        </w:rPr>
        <w:t>.</w:t>
      </w:r>
      <w:r w:rsidRPr="009F2E4E">
        <w:rPr>
          <w:b/>
          <w:noProof/>
          <w:color w:val="023E8A" w:themeColor="accent1"/>
        </w:rPr>
        <w:t xml:space="preserve"> Evolution of the share of other revenues and own resources in total budget revenue, 2000-2022,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tblGrid>
      <w:tr w:rsidR="00904C95" w:rsidRPr="009F2E4E" w14:paraId="3608C82B" w14:textId="77777777" w:rsidTr="3A35A0A5">
        <w:tc>
          <w:tcPr>
            <w:tcW w:w="8602" w:type="dxa"/>
          </w:tcPr>
          <w:p w14:paraId="40847EFF" w14:textId="77777777" w:rsidR="00904C95" w:rsidRPr="009F2E4E" w:rsidRDefault="00AC40E3" w:rsidP="00500E0C">
            <w:pPr>
              <w:rPr>
                <w:noProof/>
              </w:rPr>
            </w:pPr>
            <w:r w:rsidRPr="00EE3F59">
              <w:rPr>
                <w:noProof/>
                <w:lang w:eastAsia="en-GB"/>
              </w:rPr>
              <w:drawing>
                <wp:inline distT="0" distB="0" distL="0" distR="0" wp14:anchorId="6F44793F" wp14:editId="6D993EDC">
                  <wp:extent cx="5522529" cy="2667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545312" cy="2678003"/>
                          </a:xfrm>
                          <a:prstGeom prst="rect">
                            <a:avLst/>
                          </a:prstGeom>
                        </pic:spPr>
                      </pic:pic>
                    </a:graphicData>
                  </a:graphic>
                </wp:inline>
              </w:drawing>
            </w:r>
          </w:p>
        </w:tc>
      </w:tr>
    </w:tbl>
    <w:p w14:paraId="7E49DDDF" w14:textId="4B2702FA" w:rsidR="00C37239" w:rsidRPr="009F2E4E" w:rsidRDefault="00C37239" w:rsidP="00C37239">
      <w:pPr>
        <w:rPr>
          <w:i/>
          <w:noProof/>
        </w:rPr>
      </w:pPr>
      <w:r w:rsidRPr="009F2E4E">
        <w:rPr>
          <w:i/>
          <w:noProof/>
        </w:rPr>
        <w:t xml:space="preserve">Note: </w:t>
      </w:r>
      <w:r w:rsidR="00846C4D" w:rsidRPr="00EE3F59">
        <w:rPr>
          <w:iCs/>
          <w:noProof/>
        </w:rPr>
        <w:t>Light colour</w:t>
      </w:r>
      <w:r w:rsidR="00846C4D">
        <w:rPr>
          <w:i/>
          <w:noProof/>
        </w:rPr>
        <w:t xml:space="preserve"> / </w:t>
      </w:r>
      <w:r w:rsidR="00846C4D">
        <w:rPr>
          <w:noProof/>
        </w:rPr>
        <w:t>green</w:t>
      </w:r>
      <w:r w:rsidRPr="009F2E4E">
        <w:rPr>
          <w:noProof/>
        </w:rPr>
        <w:t xml:space="preserve"> bars include revenue from own resources, i.e. traditional own resources (TOR), VAT, plastic packaging waste (PPW) and GNI. </w:t>
      </w:r>
      <w:r w:rsidR="00846C4D">
        <w:rPr>
          <w:noProof/>
        </w:rPr>
        <w:t>Dark colour / blue</w:t>
      </w:r>
      <w:r w:rsidRPr="009F2E4E">
        <w:rPr>
          <w:noProof/>
        </w:rPr>
        <w:t xml:space="preserve"> bars include other revenues as per Box 1, including the </w:t>
      </w:r>
      <w:r>
        <w:rPr>
          <w:noProof/>
        </w:rPr>
        <w:t xml:space="preserve">revenues from </w:t>
      </w:r>
      <w:r w:rsidRPr="009F2E4E">
        <w:rPr>
          <w:noProof/>
        </w:rPr>
        <w:t xml:space="preserve">borrowing activities linked to </w:t>
      </w:r>
      <w:r>
        <w:rPr>
          <w:noProof/>
        </w:rPr>
        <w:t xml:space="preserve">non-repayable part of </w:t>
      </w:r>
      <w:r w:rsidRPr="009F2E4E">
        <w:rPr>
          <w:noProof/>
        </w:rPr>
        <w:t>NGEU.</w:t>
      </w:r>
    </w:p>
    <w:p w14:paraId="3E5281C9" w14:textId="4D10F25A" w:rsidR="00C37239" w:rsidRDefault="00C37239" w:rsidP="00C37239">
      <w:pPr>
        <w:rPr>
          <w:rStyle w:val="Strong"/>
          <w:noProof/>
        </w:rPr>
      </w:pPr>
      <w:r w:rsidRPr="009F2E4E">
        <w:rPr>
          <w:i/>
          <w:iCs/>
          <w:noProof/>
        </w:rPr>
        <w:t xml:space="preserve">Source: </w:t>
      </w:r>
      <w:r w:rsidRPr="009F2E4E">
        <w:rPr>
          <w:noProof/>
        </w:rPr>
        <w:t>Commission services, Expenditure and Revenue Tables 2000-2021 (</w:t>
      </w:r>
      <w:hyperlink r:id="rId30">
        <w:r w:rsidRPr="0D5E584C">
          <w:rPr>
            <w:rStyle w:val="Hyperlink"/>
            <w:noProof/>
          </w:rPr>
          <w:t>Spending and revenue (europa.eu)</w:t>
        </w:r>
      </w:hyperlink>
      <w:r w:rsidRPr="009F2E4E">
        <w:rPr>
          <w:noProof/>
        </w:rPr>
        <w:t xml:space="preserve">), </w:t>
      </w:r>
      <w:r w:rsidRPr="009F2E4E">
        <w:rPr>
          <w:iCs/>
          <w:noProof/>
        </w:rPr>
        <w:t>source</w:t>
      </w:r>
      <w:r w:rsidRPr="009F2E4E">
        <w:rPr>
          <w:noProof/>
        </w:rPr>
        <w:t xml:space="preserve"> Budget 2022: financing tables 2022, including Draft Amending Budget 5</w:t>
      </w:r>
      <w:r w:rsidR="005A090A">
        <w:rPr>
          <w:noProof/>
        </w:rPr>
        <w:t>.</w:t>
      </w:r>
    </w:p>
    <w:p w14:paraId="4A99FD12" w14:textId="243B1110" w:rsidR="00A16563" w:rsidRPr="009F2E4E" w:rsidRDefault="004E634A" w:rsidP="00500E0C">
      <w:pPr>
        <w:rPr>
          <w:noProof/>
        </w:rPr>
      </w:pPr>
      <w:r w:rsidRPr="00F749C5">
        <w:rPr>
          <w:rStyle w:val="Strong"/>
          <w:noProof/>
        </w:rPr>
        <w:t>C</w:t>
      </w:r>
      <w:r w:rsidR="00AD2702" w:rsidRPr="00F749C5">
        <w:rPr>
          <w:rStyle w:val="Strong"/>
          <w:noProof/>
        </w:rPr>
        <w:t xml:space="preserve">omponents of </w:t>
      </w:r>
      <w:r w:rsidR="00AF3C4F" w:rsidRPr="00F749C5">
        <w:rPr>
          <w:rStyle w:val="Strong"/>
          <w:noProof/>
        </w:rPr>
        <w:t xml:space="preserve">other </w:t>
      </w:r>
      <w:r w:rsidR="00AD2702" w:rsidRPr="00F749C5">
        <w:rPr>
          <w:rStyle w:val="Strong"/>
          <w:noProof/>
        </w:rPr>
        <w:t>revenue</w:t>
      </w:r>
      <w:r w:rsidR="00F749C5" w:rsidRPr="00F749C5">
        <w:rPr>
          <w:rStyle w:val="Strong"/>
          <w:noProof/>
        </w:rPr>
        <w:t xml:space="preserve"> (</w:t>
      </w:r>
      <w:r w:rsidR="00AF3C4F" w:rsidRPr="00F749C5">
        <w:rPr>
          <w:rStyle w:val="Strong"/>
          <w:noProof/>
        </w:rPr>
        <w:t>excluding NGEU</w:t>
      </w:r>
      <w:r w:rsidR="00F749C5" w:rsidRPr="00F749C5">
        <w:rPr>
          <w:rStyle w:val="Strong"/>
          <w:noProof/>
        </w:rPr>
        <w:t xml:space="preserve">) </w:t>
      </w:r>
      <w:r w:rsidR="001975AD" w:rsidRPr="00F749C5">
        <w:rPr>
          <w:rStyle w:val="Strong"/>
          <w:noProof/>
        </w:rPr>
        <w:t xml:space="preserve">such as surplus, administrative revenues or </w:t>
      </w:r>
      <w:r w:rsidR="006E205F" w:rsidRPr="00F749C5">
        <w:rPr>
          <w:rStyle w:val="Strong"/>
          <w:noProof/>
        </w:rPr>
        <w:t>fines</w:t>
      </w:r>
      <w:r w:rsidR="00AD2702" w:rsidRPr="00F749C5">
        <w:rPr>
          <w:rStyle w:val="Strong"/>
          <w:noProof/>
        </w:rPr>
        <w:t xml:space="preserve"> have </w:t>
      </w:r>
      <w:r w:rsidR="00E219D3" w:rsidRPr="00F749C5">
        <w:rPr>
          <w:rStyle w:val="Strong"/>
          <w:noProof/>
        </w:rPr>
        <w:t>remained</w:t>
      </w:r>
      <w:r w:rsidR="00AD2702" w:rsidRPr="00F749C5">
        <w:rPr>
          <w:rStyle w:val="Strong"/>
          <w:noProof/>
        </w:rPr>
        <w:t xml:space="preserve"> </w:t>
      </w:r>
      <w:r w:rsidR="001975AD" w:rsidRPr="00F749C5">
        <w:rPr>
          <w:rStyle w:val="Strong"/>
          <w:noProof/>
        </w:rPr>
        <w:t xml:space="preserve">quite </w:t>
      </w:r>
      <w:r w:rsidR="00AD2702" w:rsidRPr="00F749C5">
        <w:rPr>
          <w:rStyle w:val="Strong"/>
          <w:noProof/>
        </w:rPr>
        <w:t>stable over time.</w:t>
      </w:r>
      <w:r w:rsidR="00AD2702" w:rsidRPr="00F749C5">
        <w:rPr>
          <w:noProof/>
        </w:rPr>
        <w:t xml:space="preserve"> </w:t>
      </w:r>
      <w:r w:rsidRPr="00F749C5">
        <w:rPr>
          <w:noProof/>
        </w:rPr>
        <w:t xml:space="preserve">They account for a small share of total revenues (i.e. </w:t>
      </w:r>
      <w:r w:rsidR="006E205F" w:rsidRPr="00F749C5">
        <w:rPr>
          <w:noProof/>
        </w:rPr>
        <w:t>4</w:t>
      </w:r>
      <w:r w:rsidR="00901197" w:rsidRPr="00F749C5">
        <w:rPr>
          <w:noProof/>
        </w:rPr>
        <w:t>.5</w:t>
      </w:r>
      <w:r w:rsidR="006E205F" w:rsidRPr="00F749C5">
        <w:rPr>
          <w:noProof/>
        </w:rPr>
        <w:t>% in 2016 and 3.</w:t>
      </w:r>
      <w:r w:rsidR="00901197" w:rsidRPr="00F749C5">
        <w:rPr>
          <w:noProof/>
        </w:rPr>
        <w:t>1</w:t>
      </w:r>
      <w:r w:rsidR="006E205F" w:rsidRPr="00F749C5">
        <w:rPr>
          <w:noProof/>
        </w:rPr>
        <w:t>% in 2021) and depend to a large extent on the implementation of the</w:t>
      </w:r>
      <w:r w:rsidR="006E205F" w:rsidRPr="009F2E4E">
        <w:rPr>
          <w:noProof/>
        </w:rPr>
        <w:t xml:space="preserve"> EU budget and the revenues actually collected during the financial year.</w:t>
      </w:r>
      <w:r w:rsidRPr="009F2E4E">
        <w:rPr>
          <w:noProof/>
        </w:rPr>
        <w:t xml:space="preserve"> Income stemming from interests and fines or penalt</w:t>
      </w:r>
      <w:r w:rsidR="006E205F" w:rsidRPr="009F2E4E">
        <w:rPr>
          <w:noProof/>
        </w:rPr>
        <w:t>ies due to infringement law are more difficult to predict and can vary from one year to another</w:t>
      </w:r>
      <w:r w:rsidRPr="009F2E4E">
        <w:rPr>
          <w:noProof/>
        </w:rPr>
        <w:t>.</w:t>
      </w:r>
      <w:r w:rsidR="00AD2702" w:rsidRPr="009F2E4E">
        <w:rPr>
          <w:noProof/>
        </w:rPr>
        <w:t xml:space="preserve"> </w:t>
      </w:r>
    </w:p>
    <w:p w14:paraId="16E868D1" w14:textId="77777777" w:rsidR="00B00DC2" w:rsidRDefault="00A16563" w:rsidP="00500E0C">
      <w:pPr>
        <w:rPr>
          <w:noProof/>
        </w:rPr>
      </w:pPr>
      <w:r w:rsidRPr="009F2E4E">
        <w:rPr>
          <w:rStyle w:val="Strong"/>
          <w:noProof/>
        </w:rPr>
        <w:t xml:space="preserve">Compared to the last decade, the share of </w:t>
      </w:r>
      <w:r w:rsidR="001335C0" w:rsidRPr="009F2E4E">
        <w:rPr>
          <w:rStyle w:val="Strong"/>
          <w:noProof/>
        </w:rPr>
        <w:t xml:space="preserve">revenues from </w:t>
      </w:r>
      <w:r w:rsidRPr="009F2E4E">
        <w:rPr>
          <w:rStyle w:val="Strong"/>
          <w:noProof/>
        </w:rPr>
        <w:t>“budgetary guarantees, borrowing and lending operations” have increased to reach 23% of total revenues in 2021</w:t>
      </w:r>
      <w:r w:rsidRPr="009F2E4E">
        <w:rPr>
          <w:noProof/>
        </w:rPr>
        <w:t xml:space="preserve"> (graph 8)</w:t>
      </w:r>
      <w:r w:rsidRPr="009F2E4E" w:rsidDel="006E205F">
        <w:rPr>
          <w:noProof/>
        </w:rPr>
        <w:t xml:space="preserve">. </w:t>
      </w:r>
      <w:r w:rsidR="001335C0" w:rsidRPr="009F2E4E">
        <w:rPr>
          <w:noProof/>
        </w:rPr>
        <w:t xml:space="preserve">This is </w:t>
      </w:r>
      <w:r w:rsidR="003777C2" w:rsidRPr="009F2E4E">
        <w:rPr>
          <w:noProof/>
        </w:rPr>
        <w:t xml:space="preserve">solely </w:t>
      </w:r>
      <w:r w:rsidR="001335C0" w:rsidRPr="009F2E4E">
        <w:rPr>
          <w:noProof/>
        </w:rPr>
        <w:t xml:space="preserve">related to the borrowing for the new NGEU instrument, where proceeds for the non-repayable expenditures are channelled to the budget via external assigned revenues. On the contrary, the increasing role </w:t>
      </w:r>
      <w:r w:rsidRPr="009F2E4E">
        <w:rPr>
          <w:noProof/>
        </w:rPr>
        <w:t xml:space="preserve">of financial instruments over the past years, </w:t>
      </w:r>
      <w:r w:rsidR="001A5CCA" w:rsidRPr="009F2E4E">
        <w:rPr>
          <w:noProof/>
        </w:rPr>
        <w:t>contributing</w:t>
      </w:r>
      <w:r w:rsidRPr="009F2E4E">
        <w:rPr>
          <w:noProof/>
        </w:rPr>
        <w:t xml:space="preserve"> to incentivising both private and public investment in the EU</w:t>
      </w:r>
      <w:r w:rsidR="001335C0" w:rsidRPr="009F2E4E">
        <w:rPr>
          <w:noProof/>
        </w:rPr>
        <w:t xml:space="preserve">, or the </w:t>
      </w:r>
      <w:r w:rsidRPr="009F2E4E">
        <w:rPr>
          <w:noProof/>
        </w:rPr>
        <w:t xml:space="preserve">increased support to some countries through </w:t>
      </w:r>
      <w:r w:rsidR="002B1AEC" w:rsidRPr="009F2E4E">
        <w:rPr>
          <w:noProof/>
        </w:rPr>
        <w:t xml:space="preserve">facilities </w:t>
      </w:r>
      <w:r w:rsidR="006B0D14" w:rsidRPr="009F2E4E">
        <w:rPr>
          <w:noProof/>
        </w:rPr>
        <w:t xml:space="preserve">such as </w:t>
      </w:r>
      <w:r w:rsidRPr="009F2E4E">
        <w:rPr>
          <w:noProof/>
        </w:rPr>
        <w:t>the balance of payment assistance or external lending</w:t>
      </w:r>
      <w:r w:rsidR="00730F29" w:rsidRPr="009F2E4E">
        <w:rPr>
          <w:noProof/>
        </w:rPr>
        <w:t xml:space="preserve"> related to the past economic and financial crisis </w:t>
      </w:r>
      <w:r w:rsidR="001335C0" w:rsidRPr="009F2E4E">
        <w:rPr>
          <w:noProof/>
        </w:rPr>
        <w:t xml:space="preserve">do not feature </w:t>
      </w:r>
      <w:r w:rsidR="00576C5E" w:rsidRPr="009F2E4E">
        <w:rPr>
          <w:noProof/>
        </w:rPr>
        <w:t xml:space="preserve">prominently </w:t>
      </w:r>
      <w:r w:rsidR="003777C2" w:rsidRPr="009F2E4E">
        <w:rPr>
          <w:noProof/>
        </w:rPr>
        <w:t>on the revenue side</w:t>
      </w:r>
      <w:r w:rsidR="001335C0" w:rsidRPr="009F2E4E">
        <w:rPr>
          <w:noProof/>
        </w:rPr>
        <w:t>.</w:t>
      </w:r>
      <w:r w:rsidR="00B00DC2">
        <w:rPr>
          <w:noProof/>
        </w:rPr>
        <w:br w:type="page"/>
      </w:r>
    </w:p>
    <w:p w14:paraId="6753B192" w14:textId="3C775E8E" w:rsidR="00B00DC2" w:rsidRPr="00B00DC2" w:rsidRDefault="00B00DC2" w:rsidP="00B00DC2">
      <w:pPr>
        <w:jc w:val="left"/>
        <w:rPr>
          <w:b/>
          <w:noProof/>
          <w:color w:val="023D89"/>
        </w:rPr>
      </w:pPr>
      <w:r w:rsidRPr="39B20E48">
        <w:rPr>
          <w:b/>
          <w:noProof/>
          <w:color w:val="023D89"/>
        </w:rPr>
        <w:t>Graph 8. Budget revenue, 2016 (lhs) vs 2021 (rhs)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880F40" w:rsidRPr="009F2E4E" w14:paraId="2D2F2FBC" w14:textId="77777777" w:rsidTr="00565024">
        <w:trPr>
          <w:trHeight w:val="2592"/>
        </w:trPr>
        <w:tc>
          <w:tcPr>
            <w:tcW w:w="8729" w:type="dxa"/>
          </w:tcPr>
          <w:p w14:paraId="1ED003D1" w14:textId="49996036" w:rsidR="00880F40" w:rsidRPr="00565024" w:rsidRDefault="00880F40" w:rsidP="009757A1">
            <w:pPr>
              <w:jc w:val="left"/>
              <w:rPr>
                <w:noProof/>
                <w:highlight w:val="yellow"/>
              </w:rPr>
            </w:pPr>
            <w:r w:rsidRPr="00A14C7D">
              <w:rPr>
                <w:noProof/>
                <w:lang w:eastAsia="en-GB"/>
              </w:rPr>
              <w:drawing>
                <wp:inline distT="0" distB="0" distL="0" distR="0" wp14:anchorId="06470BBA" wp14:editId="11D2EC7B">
                  <wp:extent cx="5652820" cy="36195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683818" cy="3639348"/>
                          </a:xfrm>
                          <a:prstGeom prst="rect">
                            <a:avLst/>
                          </a:prstGeom>
                        </pic:spPr>
                      </pic:pic>
                    </a:graphicData>
                  </a:graphic>
                </wp:inline>
              </w:drawing>
            </w:r>
            <w:r w:rsidRPr="009F2E4E">
              <w:rPr>
                <w:noProof/>
              </w:rPr>
              <w:t xml:space="preserve"> </w:t>
            </w:r>
          </w:p>
        </w:tc>
      </w:tr>
    </w:tbl>
    <w:p w14:paraId="1AED4A35" w14:textId="1E2E470E" w:rsidR="00880F40" w:rsidRDefault="00880F40" w:rsidP="00500E0C">
      <w:pPr>
        <w:rPr>
          <w:noProof/>
        </w:rPr>
      </w:pPr>
      <w:r w:rsidRPr="009F2E4E">
        <w:rPr>
          <w:i/>
          <w:iCs/>
          <w:noProof/>
        </w:rPr>
        <w:t>Source:</w:t>
      </w:r>
      <w:r w:rsidRPr="009F2E4E">
        <w:rPr>
          <w:noProof/>
        </w:rPr>
        <w:t xml:space="preserve"> Consolidated annual accounts of the European Union 2016 and 2021</w:t>
      </w:r>
      <w:r w:rsidR="005A090A">
        <w:rPr>
          <w:noProof/>
        </w:rPr>
        <w:t>.</w:t>
      </w:r>
    </w:p>
    <w:tbl>
      <w:tblPr>
        <w:tblStyle w:val="TableGrid"/>
        <w:tblW w:w="0" w:type="auto"/>
        <w:tblInd w:w="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E1" w:themeFill="accent4" w:themeFillTint="33"/>
        <w:tblCellMar>
          <w:top w:w="170" w:type="dxa"/>
          <w:left w:w="170" w:type="dxa"/>
          <w:bottom w:w="170" w:type="dxa"/>
          <w:right w:w="170" w:type="dxa"/>
        </w:tblCellMar>
        <w:tblLook w:val="04A0" w:firstRow="1" w:lastRow="0" w:firstColumn="1" w:lastColumn="0" w:noHBand="0" w:noVBand="1"/>
      </w:tblPr>
      <w:tblGrid>
        <w:gridCol w:w="8602"/>
      </w:tblGrid>
      <w:tr w:rsidR="00F65EB9" w:rsidRPr="009F2E4E" w14:paraId="3F118F55" w14:textId="77777777" w:rsidTr="00565024">
        <w:tc>
          <w:tcPr>
            <w:tcW w:w="8602" w:type="dxa"/>
            <w:shd w:val="clear" w:color="auto" w:fill="E8F2E1" w:themeFill="accent4" w:themeFillTint="33"/>
          </w:tcPr>
          <w:p w14:paraId="7B96A14B" w14:textId="77BF34BB" w:rsidR="00F65EB9" w:rsidRPr="009F2E4E" w:rsidRDefault="00F65EB9" w:rsidP="00500E0C">
            <w:pPr>
              <w:rPr>
                <w:b/>
                <w:noProof/>
                <w:color w:val="023E8A" w:themeColor="accent1"/>
                <w:sz w:val="22"/>
                <w:szCs w:val="22"/>
              </w:rPr>
            </w:pPr>
            <w:r w:rsidRPr="0D5E584C">
              <w:rPr>
                <w:b/>
                <w:noProof/>
                <w:color w:val="023E8A" w:themeColor="accent1"/>
                <w:sz w:val="22"/>
                <w:szCs w:val="22"/>
              </w:rPr>
              <w:t>Box 1</w:t>
            </w:r>
            <w:r w:rsidR="0068567F" w:rsidRPr="0D5E584C">
              <w:rPr>
                <w:b/>
                <w:noProof/>
                <w:color w:val="023E8A" w:themeColor="accent1"/>
                <w:sz w:val="22"/>
                <w:szCs w:val="22"/>
              </w:rPr>
              <w:t>.</w:t>
            </w:r>
            <w:r w:rsidRPr="0D5E584C">
              <w:rPr>
                <w:b/>
                <w:noProof/>
                <w:color w:val="023E8A" w:themeColor="accent1"/>
                <w:sz w:val="22"/>
                <w:szCs w:val="22"/>
              </w:rPr>
              <w:t xml:space="preserve"> Other revenues and assigned revenues</w:t>
            </w:r>
          </w:p>
          <w:p w14:paraId="0794B74E" w14:textId="0B83D233" w:rsidR="00F65EB9" w:rsidRPr="009F2E4E" w:rsidRDefault="00F65EB9" w:rsidP="00F65EB9">
            <w:pPr>
              <w:rPr>
                <w:noProof/>
                <w:color w:val="023E8A" w:themeColor="accent1"/>
              </w:rPr>
            </w:pPr>
            <w:r w:rsidRPr="009F2E4E">
              <w:rPr>
                <w:noProof/>
                <w:color w:val="023E8A" w:themeColor="accent1"/>
              </w:rPr>
              <w:t xml:space="preserve">The annual budget includes the yearly general statement of revenues, including ‘other revenue’ described in Titles 2 to 6 below, which are subdivided further into Chapters, </w:t>
            </w:r>
            <w:r w:rsidR="006D324A" w:rsidRPr="009F2E4E">
              <w:rPr>
                <w:noProof/>
                <w:color w:val="023E8A" w:themeColor="accent1"/>
              </w:rPr>
              <w:t>Articles,</w:t>
            </w:r>
            <w:r w:rsidRPr="009F2E4E">
              <w:rPr>
                <w:noProof/>
                <w:color w:val="023E8A" w:themeColor="accent1"/>
              </w:rPr>
              <w:t xml:space="preserve"> and Items.</w:t>
            </w:r>
          </w:p>
          <w:p w14:paraId="6F48DA04" w14:textId="13834CA4" w:rsidR="00F65EB9" w:rsidRPr="009F2E4E" w:rsidRDefault="00F65EB9" w:rsidP="0085406D">
            <w:pPr>
              <w:pStyle w:val="bullets-orange"/>
              <w:ind w:left="397" w:hanging="227"/>
              <w:rPr>
                <w:noProof/>
                <w:color w:val="023E8A" w:themeColor="accent1"/>
              </w:rPr>
            </w:pPr>
            <w:r w:rsidRPr="009F2E4E">
              <w:rPr>
                <w:noProof/>
                <w:color w:val="023E8A" w:themeColor="accent1"/>
              </w:rPr>
              <w:t xml:space="preserve">Title 2 (Surpluses, balances, and adjustments) includes the surplus from the previous financial years as well as own resources balances, and other adjustments such as for the non-participation of certain Member States in specific policies. </w:t>
            </w:r>
          </w:p>
          <w:p w14:paraId="58E0AB83" w14:textId="538BF2F8" w:rsidR="00F65EB9" w:rsidRPr="009F2E4E" w:rsidRDefault="00F65EB9" w:rsidP="0085406D">
            <w:pPr>
              <w:pStyle w:val="bullets-orange"/>
              <w:ind w:left="397" w:hanging="227"/>
              <w:rPr>
                <w:noProof/>
                <w:color w:val="023E8A" w:themeColor="accent1"/>
              </w:rPr>
            </w:pPr>
            <w:r w:rsidRPr="009F2E4E">
              <w:rPr>
                <w:noProof/>
                <w:color w:val="023E8A" w:themeColor="accent1"/>
              </w:rPr>
              <w:t>Title 3 (Administrative revenue) comprises in particular revenues from taxes and levies on the remuneration of staff.</w:t>
            </w:r>
          </w:p>
          <w:p w14:paraId="3E209556" w14:textId="3719BC6B" w:rsidR="00F65EB9" w:rsidRPr="009F2E4E" w:rsidRDefault="00F65EB9" w:rsidP="0085406D">
            <w:pPr>
              <w:pStyle w:val="bullets-orange"/>
              <w:ind w:left="397" w:hanging="227"/>
              <w:rPr>
                <w:noProof/>
                <w:color w:val="023E8A" w:themeColor="accent1"/>
              </w:rPr>
            </w:pPr>
            <w:r w:rsidRPr="009F2E4E">
              <w:rPr>
                <w:noProof/>
                <w:color w:val="023E8A" w:themeColor="accent1"/>
              </w:rPr>
              <w:t>Title 4 (Financial revenue, default interests and fines) refers mainly to fines in the field of competition.</w:t>
            </w:r>
          </w:p>
          <w:p w14:paraId="030DC86E" w14:textId="393D45CD" w:rsidR="00F65EB9" w:rsidRPr="009F2E4E" w:rsidRDefault="00F65EB9" w:rsidP="0085406D">
            <w:pPr>
              <w:pStyle w:val="bullets-orange"/>
              <w:ind w:left="397" w:hanging="227"/>
              <w:rPr>
                <w:noProof/>
                <w:color w:val="023D89"/>
              </w:rPr>
            </w:pPr>
            <w:r w:rsidRPr="39B20E48">
              <w:rPr>
                <w:noProof/>
                <w:color w:val="023D89"/>
              </w:rPr>
              <w:t xml:space="preserve">Title 5 (Budgetary guarantees, borrowing and lending operations) covers </w:t>
            </w:r>
            <w:r w:rsidRPr="39B20E48">
              <w:rPr>
                <w:i/>
                <w:noProof/>
                <w:color w:val="023D89"/>
              </w:rPr>
              <w:t>NextGenerationEU</w:t>
            </w:r>
            <w:r w:rsidRPr="39B20E48">
              <w:rPr>
                <w:noProof/>
                <w:color w:val="023D89"/>
              </w:rPr>
              <w:t xml:space="preserve"> (NGEU) funds for the non-repayable support as well as guarantees and interest and repayments of loans granted. </w:t>
            </w:r>
          </w:p>
          <w:p w14:paraId="42CEE2AD" w14:textId="5DE01AF7" w:rsidR="00F65EB9" w:rsidRPr="009F2E4E" w:rsidRDefault="00F65EB9" w:rsidP="0085406D">
            <w:pPr>
              <w:pStyle w:val="bullets-orange"/>
              <w:ind w:left="397" w:hanging="227"/>
              <w:rPr>
                <w:noProof/>
                <w:color w:val="023E8A" w:themeColor="accent1"/>
              </w:rPr>
            </w:pPr>
            <w:r w:rsidRPr="009F2E4E">
              <w:rPr>
                <w:noProof/>
                <w:color w:val="023E8A" w:themeColor="accent1"/>
              </w:rPr>
              <w:t xml:space="preserve">Title 6 (Revenue, contributions and refunds related to Union policies) covers mainly revenue from financial corrections related to structural and agricultural funds and includes the participation of third countries in research programmes, the clearance of accounts in agricultural funds and other contributions and refunds to EU programmes/activities. </w:t>
            </w:r>
          </w:p>
          <w:p w14:paraId="4EDB7556" w14:textId="77777777" w:rsidR="00B00DC2" w:rsidRPr="009F2E4E" w:rsidRDefault="00B00DC2" w:rsidP="00B00DC2">
            <w:pPr>
              <w:pStyle w:val="bullets-orange"/>
              <w:numPr>
                <w:ilvl w:val="0"/>
                <w:numId w:val="0"/>
              </w:numPr>
              <w:ind w:left="397"/>
              <w:rPr>
                <w:noProof/>
                <w:color w:val="023E8A" w:themeColor="accent1"/>
              </w:rPr>
            </w:pPr>
          </w:p>
          <w:p w14:paraId="15DAE1F7" w14:textId="76A57C9F" w:rsidR="00F65EB9" w:rsidRPr="009F2E4E" w:rsidRDefault="00F65EB9" w:rsidP="00F65EB9">
            <w:pPr>
              <w:rPr>
                <w:noProof/>
                <w:color w:val="023D89"/>
              </w:rPr>
            </w:pPr>
            <w:r w:rsidRPr="39B20E48">
              <w:rPr>
                <w:noProof/>
                <w:color w:val="023D89"/>
              </w:rPr>
              <w:t>Expenditure can</w:t>
            </w:r>
            <w:r w:rsidR="0062398C">
              <w:rPr>
                <w:noProof/>
                <w:color w:val="023D89"/>
              </w:rPr>
              <w:t xml:space="preserve"> </w:t>
            </w:r>
            <w:r w:rsidRPr="39B20E48">
              <w:rPr>
                <w:noProof/>
                <w:color w:val="023D89"/>
              </w:rPr>
              <w:t xml:space="preserve">be financed by </w:t>
            </w:r>
            <w:r w:rsidR="007A5FD6">
              <w:rPr>
                <w:noProof/>
                <w:color w:val="023D89"/>
              </w:rPr>
              <w:t xml:space="preserve">general revenue or </w:t>
            </w:r>
            <w:r w:rsidRPr="39B20E48">
              <w:rPr>
                <w:noProof/>
                <w:color w:val="023D89"/>
              </w:rPr>
              <w:t xml:space="preserve">revenue that is assigned to specific expenditures. Assigned revenues therefore represent an exception to the principle of universality. The complete list of items constituting assigned revenue is given in Article 21 of the Financial Regulation. The sums borrowed for </w:t>
            </w:r>
            <w:r w:rsidRPr="39B20E48">
              <w:rPr>
                <w:i/>
                <w:noProof/>
                <w:color w:val="023D89"/>
              </w:rPr>
              <w:t>NextGenerationEU</w:t>
            </w:r>
            <w:r w:rsidRPr="39B20E48">
              <w:rPr>
                <w:noProof/>
                <w:color w:val="023D89"/>
              </w:rPr>
              <w:t xml:space="preserve"> are assigned to specific programme spending (in particular the Recovery and Resilience Facility). </w:t>
            </w:r>
          </w:p>
          <w:p w14:paraId="08D3C3F7" w14:textId="425B1290" w:rsidR="00F65EB9" w:rsidRPr="009F2E4E" w:rsidRDefault="007A5FD6" w:rsidP="007E1AF9">
            <w:pPr>
              <w:rPr>
                <w:noProof/>
              </w:rPr>
            </w:pPr>
            <w:r>
              <w:rPr>
                <w:noProof/>
                <w:color w:val="023E8A" w:themeColor="accent1"/>
              </w:rPr>
              <w:t xml:space="preserve">The number of </w:t>
            </w:r>
            <w:r w:rsidR="007E1AF9" w:rsidRPr="007E1AF9">
              <w:rPr>
                <w:noProof/>
                <w:color w:val="023E8A" w:themeColor="accent1"/>
              </w:rPr>
              <w:t>“</w:t>
            </w:r>
            <w:r w:rsidR="00F65EB9" w:rsidRPr="009F2E4E">
              <w:rPr>
                <w:noProof/>
                <w:color w:val="023E8A" w:themeColor="accent1"/>
              </w:rPr>
              <w:t xml:space="preserve">Other revenue” </w:t>
            </w:r>
            <w:r>
              <w:rPr>
                <w:noProof/>
                <w:color w:val="023E8A" w:themeColor="accent1"/>
              </w:rPr>
              <w:t xml:space="preserve">sources </w:t>
            </w:r>
            <w:r w:rsidR="007E1AF9">
              <w:rPr>
                <w:noProof/>
                <w:color w:val="023E8A" w:themeColor="accent1"/>
              </w:rPr>
              <w:t>are</w:t>
            </w:r>
            <w:r w:rsidR="007E1AF9" w:rsidRPr="009F2E4E">
              <w:rPr>
                <w:noProof/>
                <w:color w:val="023E8A" w:themeColor="accent1"/>
              </w:rPr>
              <w:t xml:space="preserve"> </w:t>
            </w:r>
            <w:r w:rsidR="00F65EB9" w:rsidRPr="009F2E4E">
              <w:rPr>
                <w:noProof/>
                <w:color w:val="023E8A" w:themeColor="accent1"/>
              </w:rPr>
              <w:t>expected to increase in the near future. Recent policies generating other revenues for the EU Budget include EU policies such as the European Travel Information and Authorisation System - ETIAS</w:t>
            </w:r>
            <w:r w:rsidR="00F65EB9" w:rsidRPr="009F2E4E">
              <w:rPr>
                <w:rFonts w:ascii="Calibri" w:hAnsi="Calibri" w:cs="Calibri"/>
                <w:noProof/>
                <w:color w:val="023E8A" w:themeColor="accent1"/>
              </w:rPr>
              <w:t> </w:t>
            </w:r>
            <w:r w:rsidR="00F65EB9" w:rsidRPr="009F2E4E">
              <w:rPr>
                <w:noProof/>
                <w:color w:val="023E8A" w:themeColor="accent1"/>
              </w:rPr>
              <w:t>(</w:t>
            </w:r>
            <w:r w:rsidR="00F65EB9" w:rsidRPr="009F2E4E">
              <w:rPr>
                <w:rStyle w:val="FootnoteReference"/>
                <w:noProof/>
                <w:color w:val="023E8A" w:themeColor="accent1"/>
                <w:sz w:val="22"/>
                <w:szCs w:val="22"/>
              </w:rPr>
              <w:footnoteReference w:id="10"/>
            </w:r>
            <w:r w:rsidR="00F65EB9" w:rsidRPr="009F2E4E">
              <w:rPr>
                <w:noProof/>
                <w:color w:val="023E8A" w:themeColor="accent1"/>
              </w:rPr>
              <w:t>), the CO2 emission standards for cars and vans Regulation</w:t>
            </w:r>
            <w:r w:rsidR="00F65EB9" w:rsidRPr="009F2E4E">
              <w:rPr>
                <w:rFonts w:ascii="Calibri" w:hAnsi="Calibri" w:cs="Calibri"/>
                <w:noProof/>
                <w:color w:val="023E8A" w:themeColor="accent1"/>
              </w:rPr>
              <w:t> </w:t>
            </w:r>
            <w:r w:rsidR="00F65EB9" w:rsidRPr="009F2E4E">
              <w:rPr>
                <w:noProof/>
                <w:color w:val="023E8A" w:themeColor="accent1"/>
              </w:rPr>
              <w:t>(</w:t>
            </w:r>
            <w:r w:rsidR="00F65EB9" w:rsidRPr="009F2E4E">
              <w:rPr>
                <w:rStyle w:val="FootnoteReference"/>
                <w:noProof/>
                <w:color w:val="023E8A" w:themeColor="accent1"/>
                <w:sz w:val="22"/>
                <w:szCs w:val="22"/>
              </w:rPr>
              <w:footnoteReference w:id="11"/>
            </w:r>
            <w:r w:rsidR="00F65EB9" w:rsidRPr="009F2E4E">
              <w:rPr>
                <w:noProof/>
                <w:color w:val="023E8A" w:themeColor="accent1"/>
              </w:rPr>
              <w:t>), the CO2 emission standards for heavy duty vehicle</w:t>
            </w:r>
            <w:r w:rsidR="0007018E">
              <w:rPr>
                <w:noProof/>
                <w:color w:val="023E8A" w:themeColor="accent1"/>
              </w:rPr>
              <w:t>s</w:t>
            </w:r>
            <w:r w:rsidR="00F65EB9" w:rsidRPr="009F2E4E">
              <w:rPr>
                <w:rFonts w:ascii="Calibri" w:hAnsi="Calibri" w:cs="Calibri"/>
                <w:noProof/>
                <w:color w:val="023E8A" w:themeColor="accent1"/>
              </w:rPr>
              <w:t> </w:t>
            </w:r>
            <w:r w:rsidR="00F65EB9" w:rsidRPr="009F2E4E">
              <w:rPr>
                <w:noProof/>
                <w:color w:val="023E8A" w:themeColor="accent1"/>
              </w:rPr>
              <w:t>(</w:t>
            </w:r>
            <w:r w:rsidR="00F65EB9" w:rsidRPr="009F2E4E">
              <w:rPr>
                <w:rStyle w:val="FootnoteReference"/>
                <w:noProof/>
                <w:color w:val="023E8A" w:themeColor="accent1"/>
                <w:sz w:val="22"/>
                <w:szCs w:val="22"/>
              </w:rPr>
              <w:footnoteReference w:id="12"/>
            </w:r>
            <w:r w:rsidR="00F65EB9" w:rsidRPr="009F2E4E">
              <w:rPr>
                <w:noProof/>
                <w:color w:val="023E8A" w:themeColor="accent1"/>
              </w:rPr>
              <w:t xml:space="preserve">). </w:t>
            </w:r>
          </w:p>
        </w:tc>
      </w:tr>
    </w:tbl>
    <w:p w14:paraId="504D5574" w14:textId="77777777" w:rsidR="00135FB1" w:rsidRDefault="00135FB1" w:rsidP="004D787C">
      <w:pPr>
        <w:pStyle w:val="Heading1"/>
        <w:jc w:val="both"/>
        <w:rPr>
          <w:b/>
          <w:bCs/>
        </w:rPr>
      </w:pPr>
      <w:bookmarkStart w:id="89" w:name="_Toc133405537"/>
      <w:bookmarkStart w:id="90" w:name="_Toc133426640"/>
      <w:bookmarkStart w:id="91" w:name="_Toc134446531"/>
      <w:bookmarkStart w:id="92" w:name="_Toc135860234"/>
      <w:bookmarkStart w:id="93" w:name="_Toc136599801"/>
      <w:bookmarkEnd w:id="43"/>
    </w:p>
    <w:p w14:paraId="004927CB" w14:textId="77777777" w:rsidR="00135FB1" w:rsidRDefault="00135FB1" w:rsidP="00150268">
      <w:pPr>
        <w:pStyle w:val="Text1"/>
        <w:rPr>
          <w:noProof/>
          <w:color w:val="023E8A" w:themeColor="accent1"/>
          <w:sz w:val="36"/>
          <w:szCs w:val="26"/>
        </w:rPr>
      </w:pPr>
      <w:r>
        <w:rPr>
          <w:noProof/>
        </w:rPr>
        <w:br w:type="page"/>
      </w:r>
    </w:p>
    <w:p w14:paraId="248165FE" w14:textId="013B1E85" w:rsidR="00576D5B" w:rsidRPr="009F2E4E" w:rsidRDefault="00D72925" w:rsidP="004D787C">
      <w:pPr>
        <w:pStyle w:val="Heading1"/>
        <w:jc w:val="both"/>
      </w:pPr>
      <w:bookmarkStart w:id="94" w:name="_Toc136600379"/>
      <w:bookmarkStart w:id="95" w:name="_Toc137493984"/>
      <w:r w:rsidRPr="00507DA1">
        <w:rPr>
          <w:b/>
          <w:bCs/>
        </w:rPr>
        <w:t>Part 2.</w:t>
      </w:r>
      <w:r w:rsidRPr="009F2E4E">
        <w:t xml:space="preserve"> Potential New Own Resources – Types and Evaluation</w:t>
      </w:r>
      <w:bookmarkEnd w:id="89"/>
      <w:bookmarkEnd w:id="90"/>
      <w:bookmarkEnd w:id="91"/>
      <w:bookmarkEnd w:id="92"/>
      <w:bookmarkEnd w:id="93"/>
      <w:bookmarkEnd w:id="94"/>
      <w:bookmarkEnd w:id="95"/>
    </w:p>
    <w:p w14:paraId="734BBC4D" w14:textId="1F0FF483" w:rsidR="00135FB1" w:rsidRDefault="00C61524" w:rsidP="00500E0C">
      <w:pPr>
        <w:rPr>
          <w:noProof/>
        </w:rPr>
      </w:pPr>
      <w:r>
        <w:rPr>
          <w:noProof/>
        </w:rPr>
        <w:t>The own resource package is framed by a specific political context – the inter</w:t>
      </w:r>
      <w:r w:rsidR="00641966">
        <w:rPr>
          <w:noProof/>
        </w:rPr>
        <w:t>-</w:t>
      </w:r>
      <w:r>
        <w:rPr>
          <w:noProof/>
        </w:rPr>
        <w:t>institu</w:t>
      </w:r>
      <w:r w:rsidR="00641966">
        <w:rPr>
          <w:noProof/>
        </w:rPr>
        <w:t>t</w:t>
      </w:r>
      <w:r>
        <w:rPr>
          <w:noProof/>
        </w:rPr>
        <w:t xml:space="preserve">ional agreement signed in December 2020 where </w:t>
      </w:r>
      <w:r w:rsidR="00641966">
        <w:rPr>
          <w:noProof/>
        </w:rPr>
        <w:t xml:space="preserve">the three institutions agreed on a roadmap towards the introduction of new own resources. </w:t>
      </w:r>
    </w:p>
    <w:p w14:paraId="13328DB4" w14:textId="25570668" w:rsidR="00576D5B" w:rsidRPr="009F2E4E" w:rsidRDefault="00C61524" w:rsidP="00500E0C">
      <w:pPr>
        <w:rPr>
          <w:noProof/>
        </w:rPr>
      </w:pPr>
      <w:r>
        <w:rPr>
          <w:noProof/>
        </w:rPr>
        <w:t>This part</w:t>
      </w:r>
      <w:r w:rsidR="009518EE" w:rsidRPr="00806ABB">
        <w:rPr>
          <w:noProof/>
        </w:rPr>
        <w:t xml:space="preserve"> explores criteria </w:t>
      </w:r>
      <w:r w:rsidR="00172968" w:rsidRPr="00806ABB">
        <w:rPr>
          <w:noProof/>
        </w:rPr>
        <w:t xml:space="preserve">to </w:t>
      </w:r>
      <w:r w:rsidR="009518EE" w:rsidRPr="00806ABB">
        <w:rPr>
          <w:noProof/>
        </w:rPr>
        <w:t>assess new own resources</w:t>
      </w:r>
      <w:r w:rsidR="0069470C">
        <w:rPr>
          <w:noProof/>
        </w:rPr>
        <w:t xml:space="preserve">, taking account of the </w:t>
      </w:r>
      <w:r w:rsidR="00212664">
        <w:rPr>
          <w:noProof/>
        </w:rPr>
        <w:t xml:space="preserve">current </w:t>
      </w:r>
      <w:r w:rsidR="0069470C">
        <w:rPr>
          <w:noProof/>
        </w:rPr>
        <w:t>economic and political context,</w:t>
      </w:r>
      <w:r w:rsidR="009518EE" w:rsidRPr="00806ABB">
        <w:rPr>
          <w:noProof/>
        </w:rPr>
        <w:t xml:space="preserve"> and applies these criteria to potential candidates</w:t>
      </w:r>
      <w:r w:rsidR="00172968" w:rsidRPr="00806ABB">
        <w:rPr>
          <w:noProof/>
        </w:rPr>
        <w:t xml:space="preserve">, </w:t>
      </w:r>
      <w:r w:rsidR="009518EE" w:rsidRPr="00806ABB">
        <w:rPr>
          <w:noProof/>
        </w:rPr>
        <w:t>scoring</w:t>
      </w:r>
      <w:r w:rsidR="001374E3" w:rsidRPr="00806ABB">
        <w:rPr>
          <w:noProof/>
        </w:rPr>
        <w:t xml:space="preserve"> </w:t>
      </w:r>
      <w:r w:rsidR="00172968" w:rsidRPr="00806ABB">
        <w:rPr>
          <w:noProof/>
        </w:rPr>
        <w:t>them, to propose or discard new</w:t>
      </w:r>
      <w:r w:rsidR="001374E3" w:rsidRPr="00806ABB">
        <w:rPr>
          <w:noProof/>
        </w:rPr>
        <w:t xml:space="preserve"> own resources in the short term.</w:t>
      </w:r>
      <w:r w:rsidR="00806ABB">
        <w:rPr>
          <w:noProof/>
        </w:rPr>
        <w:t xml:space="preserve"> </w:t>
      </w:r>
    </w:p>
    <w:p w14:paraId="016AE821" w14:textId="12035455" w:rsidR="00817C96" w:rsidRPr="009F2E4E" w:rsidRDefault="00D72925" w:rsidP="00F65EB9">
      <w:pPr>
        <w:pStyle w:val="Heading2"/>
      </w:pPr>
      <w:bookmarkStart w:id="96" w:name="_Toc134446532"/>
      <w:bookmarkStart w:id="97" w:name="_Toc135860235"/>
      <w:bookmarkStart w:id="98" w:name="_Toc136599802"/>
      <w:bookmarkStart w:id="99" w:name="_Toc136600380"/>
      <w:bookmarkStart w:id="100" w:name="_Toc137493985"/>
      <w:bookmarkStart w:id="101" w:name="_Toc133405538"/>
      <w:bookmarkStart w:id="102" w:name="_Toc133426641"/>
      <w:r w:rsidRPr="009F2E4E">
        <w:t xml:space="preserve">2.1. </w:t>
      </w:r>
      <w:r w:rsidR="00817C96" w:rsidRPr="009F2E4E">
        <w:t xml:space="preserve">Assessment </w:t>
      </w:r>
      <w:r w:rsidR="00D025A8">
        <w:t>framework</w:t>
      </w:r>
      <w:r w:rsidR="00D025A8" w:rsidRPr="009F2E4E">
        <w:t xml:space="preserve"> </w:t>
      </w:r>
      <w:r w:rsidR="00BC1A34">
        <w:t>for new own resources candidates</w:t>
      </w:r>
      <w:bookmarkEnd w:id="96"/>
      <w:bookmarkEnd w:id="97"/>
      <w:bookmarkEnd w:id="98"/>
      <w:bookmarkEnd w:id="99"/>
      <w:bookmarkEnd w:id="100"/>
    </w:p>
    <w:p w14:paraId="3EEB9743" w14:textId="073DF09A" w:rsidR="00862C5E" w:rsidRPr="00565024" w:rsidRDefault="00862C5E" w:rsidP="00DD5066">
      <w:pPr>
        <w:pStyle w:val="Heading3"/>
        <w:rPr>
          <w:noProof/>
        </w:rPr>
      </w:pPr>
      <w:bookmarkStart w:id="103" w:name="_Toc136599803"/>
      <w:bookmarkStart w:id="104" w:name="_Toc136600381"/>
      <w:bookmarkStart w:id="105" w:name="_Toc137493986"/>
      <w:bookmarkEnd w:id="101"/>
      <w:bookmarkEnd w:id="102"/>
      <w:r>
        <w:rPr>
          <w:noProof/>
        </w:rPr>
        <w:t xml:space="preserve">2.1.1. </w:t>
      </w:r>
      <w:r w:rsidRPr="009757A1">
        <w:rPr>
          <w:noProof/>
        </w:rPr>
        <w:t>Political</w:t>
      </w:r>
      <w:r w:rsidRPr="00565024">
        <w:rPr>
          <w:noProof/>
        </w:rPr>
        <w:t xml:space="preserve"> context</w:t>
      </w:r>
      <w:bookmarkEnd w:id="103"/>
      <w:bookmarkEnd w:id="104"/>
      <w:bookmarkEnd w:id="105"/>
    </w:p>
    <w:p w14:paraId="406A67B5" w14:textId="56AEC6B3" w:rsidR="000512D0" w:rsidRDefault="00806ABB" w:rsidP="000D2B1D">
      <w:pPr>
        <w:rPr>
          <w:rStyle w:val="Strong"/>
          <w:b w:val="0"/>
          <w:noProof/>
          <w:color w:val="000000" w:themeColor="text1"/>
        </w:rPr>
      </w:pPr>
      <w:r w:rsidRPr="001766B6">
        <w:rPr>
          <w:rStyle w:val="Strong"/>
          <w:bCs/>
          <w:noProof/>
        </w:rPr>
        <w:t>In December 2021, the Commission proposed three new sources of revenues</w:t>
      </w:r>
      <w:r w:rsidRPr="001766B6">
        <w:rPr>
          <w:rStyle w:val="Strong"/>
          <w:b w:val="0"/>
          <w:noProof/>
          <w:color w:val="000000" w:themeColor="text1"/>
        </w:rPr>
        <w:t xml:space="preserve"> for the EU budget with contributions from the Emissions Trading System (ETS), from the EU Carbon Border Adjustment Mechanism (CBAM) and from a share of the residual profits of the largest multinational enterprises that would be reallocated to the EU under the OECD/G20 Pillar 1 agreement. This basket of own resources was consistent with the proposed sectorial legislation on both the revised ETS Directive and on the Carbon Border Adjustment Mechanism </w:t>
      </w:r>
      <w:r w:rsidR="00C63BA8">
        <w:rPr>
          <w:rStyle w:val="Strong"/>
          <w:b w:val="0"/>
          <w:noProof/>
          <w:color w:val="000000" w:themeColor="text1"/>
        </w:rPr>
        <w:t xml:space="preserve">(CBAM) </w:t>
      </w:r>
      <w:r w:rsidRPr="001766B6">
        <w:rPr>
          <w:rStyle w:val="Strong"/>
          <w:b w:val="0"/>
          <w:noProof/>
          <w:color w:val="000000" w:themeColor="text1"/>
        </w:rPr>
        <w:t xml:space="preserve">proposed earlier in the same year. </w:t>
      </w:r>
      <w:r w:rsidR="000512D0">
        <w:rPr>
          <w:rStyle w:val="Strong"/>
          <w:bCs/>
          <w:noProof/>
        </w:rPr>
        <w:t xml:space="preserve"> </w:t>
      </w:r>
      <w:r w:rsidRPr="00DD5066">
        <w:rPr>
          <w:rStyle w:val="Strong"/>
          <w:b w:val="0"/>
          <w:noProof/>
          <w:color w:val="auto"/>
        </w:rPr>
        <w:t>Since</w:t>
      </w:r>
      <w:r w:rsidR="00EF16B7" w:rsidRPr="00DD5066">
        <w:rPr>
          <w:rStyle w:val="Strong"/>
          <w:b w:val="0"/>
          <w:noProof/>
          <w:color w:val="auto"/>
        </w:rPr>
        <w:t xml:space="preserve"> then</w:t>
      </w:r>
      <w:r w:rsidRPr="00DD5066">
        <w:rPr>
          <w:rStyle w:val="Strong"/>
          <w:b w:val="0"/>
          <w:noProof/>
          <w:color w:val="auto"/>
        </w:rPr>
        <w:t>, the discussions on own resources have made limited progress</w:t>
      </w:r>
      <w:r w:rsidRPr="001766B6">
        <w:rPr>
          <w:rStyle w:val="Strong"/>
          <w:b w:val="0"/>
          <w:noProof/>
          <w:color w:val="000000" w:themeColor="text1"/>
        </w:rPr>
        <w:t xml:space="preserve"> and the recent agreement on the underlying sectoral legislation – ETS </w:t>
      </w:r>
      <w:r w:rsidR="0096457F">
        <w:rPr>
          <w:rStyle w:val="Strong"/>
          <w:b w:val="0"/>
          <w:noProof/>
          <w:color w:val="000000" w:themeColor="text1"/>
        </w:rPr>
        <w:t>D</w:t>
      </w:r>
      <w:r w:rsidRPr="001766B6">
        <w:rPr>
          <w:rStyle w:val="Strong"/>
          <w:b w:val="0"/>
          <w:noProof/>
          <w:color w:val="000000" w:themeColor="text1"/>
        </w:rPr>
        <w:t xml:space="preserve">irective and CBAM </w:t>
      </w:r>
      <w:r w:rsidR="00DA5160">
        <w:rPr>
          <w:rStyle w:val="Strong"/>
          <w:b w:val="0"/>
          <w:noProof/>
          <w:color w:val="000000" w:themeColor="text1"/>
        </w:rPr>
        <w:t>R</w:t>
      </w:r>
      <w:r w:rsidRPr="001766B6">
        <w:rPr>
          <w:rStyle w:val="Strong"/>
          <w:b w:val="0"/>
          <w:noProof/>
          <w:color w:val="000000" w:themeColor="text1"/>
        </w:rPr>
        <w:t xml:space="preserve">egulation – paves the way for relaunching the discussions (see part 3). </w:t>
      </w:r>
    </w:p>
    <w:p w14:paraId="5E7B767A" w14:textId="6DC39835" w:rsidR="000512D0" w:rsidRPr="00427292" w:rsidRDefault="000512D0" w:rsidP="000D2B1D">
      <w:pPr>
        <w:rPr>
          <w:rStyle w:val="Strong"/>
          <w:b w:val="0"/>
          <w:noProof/>
          <w:color w:val="auto"/>
        </w:rPr>
      </w:pPr>
      <w:r w:rsidRPr="00DD5066">
        <w:rPr>
          <w:rStyle w:val="Strong"/>
          <w:noProof/>
        </w:rPr>
        <w:t>T</w:t>
      </w:r>
      <w:r w:rsidR="000D2B1D" w:rsidRPr="00DD5066">
        <w:rPr>
          <w:rStyle w:val="Strong"/>
          <w:noProof/>
        </w:rPr>
        <w:t xml:space="preserve">he inter-institutional agreement of 16 December 2020 </w:t>
      </w:r>
      <w:r w:rsidR="008E49B0">
        <w:rPr>
          <w:rStyle w:val="Strong"/>
          <w:noProof/>
        </w:rPr>
        <w:t xml:space="preserve">among </w:t>
      </w:r>
      <w:r w:rsidR="000D2B1D" w:rsidRPr="00DD5066">
        <w:rPr>
          <w:rStyle w:val="Strong"/>
          <w:noProof/>
        </w:rPr>
        <w:t>the European Parliament</w:t>
      </w:r>
      <w:r w:rsidRPr="00DD5066">
        <w:rPr>
          <w:rStyle w:val="Strong"/>
          <w:bCs/>
          <w:noProof/>
        </w:rPr>
        <w:t xml:space="preserve">, </w:t>
      </w:r>
      <w:r w:rsidR="000D2B1D" w:rsidRPr="00427292">
        <w:rPr>
          <w:rStyle w:val="Strong"/>
          <w:bCs/>
          <w:noProof/>
        </w:rPr>
        <w:t>the Council</w:t>
      </w:r>
      <w:r w:rsidR="008E49B0">
        <w:rPr>
          <w:rStyle w:val="Strong"/>
          <w:bCs/>
          <w:noProof/>
        </w:rPr>
        <w:t>,</w:t>
      </w:r>
      <w:r w:rsidR="000D2B1D" w:rsidRPr="00427292">
        <w:rPr>
          <w:rStyle w:val="Strong"/>
          <w:noProof/>
        </w:rPr>
        <w:t xml:space="preserve"> and the </w:t>
      </w:r>
      <w:r w:rsidR="000D2B1D" w:rsidRPr="00DD5066">
        <w:rPr>
          <w:rStyle w:val="Strong"/>
          <w:noProof/>
        </w:rPr>
        <w:t xml:space="preserve">Commission </w:t>
      </w:r>
      <w:r w:rsidRPr="00DD5066">
        <w:rPr>
          <w:rStyle w:val="Strong"/>
          <w:bCs/>
          <w:noProof/>
        </w:rPr>
        <w:t>foresees</w:t>
      </w:r>
      <w:r w:rsidR="000D2B1D" w:rsidRPr="00DD5066">
        <w:rPr>
          <w:rStyle w:val="Strong"/>
          <w:noProof/>
        </w:rPr>
        <w:t xml:space="preserve"> another batch of own resources</w:t>
      </w:r>
      <w:r w:rsidR="000D2B1D" w:rsidRPr="00427292">
        <w:rPr>
          <w:rStyle w:val="Strong"/>
          <w:b w:val="0"/>
          <w:noProof/>
          <w:color w:val="auto"/>
        </w:rPr>
        <w:t>, mostly linked to the corporate and financial sectors.</w:t>
      </w:r>
      <w:r w:rsidR="000D2B1D" w:rsidRPr="00AD6D6C">
        <w:rPr>
          <w:rStyle w:val="Strong"/>
          <w:b w:val="0"/>
          <w:bCs/>
          <w:noProof/>
        </w:rPr>
        <w:t xml:space="preserve"> </w:t>
      </w:r>
      <w:r w:rsidRPr="00427292">
        <w:rPr>
          <w:rStyle w:val="Strong"/>
          <w:b w:val="0"/>
          <w:bCs/>
          <w:noProof/>
          <w:color w:val="auto"/>
        </w:rPr>
        <w:t xml:space="preserve">The European Parliament </w:t>
      </w:r>
      <w:r>
        <w:rPr>
          <w:rStyle w:val="Strong"/>
          <w:b w:val="0"/>
          <w:bCs/>
          <w:noProof/>
          <w:color w:val="auto"/>
        </w:rPr>
        <w:t xml:space="preserve">as well as other institutions have identified a large number of potential candidates, including in the field of corporate and financial taxation (see section 2.2). </w:t>
      </w:r>
    </w:p>
    <w:p w14:paraId="7B5BA4CB" w14:textId="6EBE511C" w:rsidR="000512D0" w:rsidRDefault="00D13DC0" w:rsidP="000512D0">
      <w:pPr>
        <w:rPr>
          <w:rStyle w:val="Strong"/>
          <w:b w:val="0"/>
          <w:noProof/>
          <w:color w:val="000000" w:themeColor="text1"/>
        </w:rPr>
      </w:pPr>
      <w:r>
        <w:rPr>
          <w:rStyle w:val="Strong"/>
          <w:bCs/>
          <w:noProof/>
        </w:rPr>
        <w:t>The de</w:t>
      </w:r>
      <w:r w:rsidR="007B670E" w:rsidRPr="00D13DC0">
        <w:rPr>
          <w:rStyle w:val="Strong"/>
          <w:bCs/>
          <w:noProof/>
        </w:rPr>
        <w:t xml:space="preserve">lays in </w:t>
      </w:r>
      <w:r w:rsidR="007B670E">
        <w:rPr>
          <w:rStyle w:val="Strong"/>
          <w:bCs/>
          <w:noProof/>
        </w:rPr>
        <w:t xml:space="preserve">the </w:t>
      </w:r>
      <w:r w:rsidR="007B670E" w:rsidRPr="00D13DC0">
        <w:rPr>
          <w:rStyle w:val="Strong"/>
          <w:bCs/>
          <w:noProof/>
        </w:rPr>
        <w:t xml:space="preserve">implementation </w:t>
      </w:r>
      <w:r w:rsidR="007B670E">
        <w:rPr>
          <w:rStyle w:val="Strong"/>
          <w:bCs/>
          <w:noProof/>
        </w:rPr>
        <w:t xml:space="preserve">of the December 2021 proposals </w:t>
      </w:r>
      <w:r w:rsidR="007B670E" w:rsidRPr="00D13DC0">
        <w:rPr>
          <w:rStyle w:val="Strong"/>
          <w:bCs/>
          <w:noProof/>
        </w:rPr>
        <w:t>increase the urgency of additional</w:t>
      </w:r>
      <w:r w:rsidR="007B670E">
        <w:rPr>
          <w:rStyle w:val="Strong"/>
          <w:bCs/>
          <w:noProof/>
        </w:rPr>
        <w:t xml:space="preserve"> resources</w:t>
      </w:r>
      <w:r w:rsidR="007B670E" w:rsidRPr="00D13DC0">
        <w:rPr>
          <w:rStyle w:val="Strong"/>
          <w:bCs/>
          <w:noProof/>
        </w:rPr>
        <w:t xml:space="preserve">. </w:t>
      </w:r>
      <w:r w:rsidRPr="00EA179D">
        <w:rPr>
          <w:rStyle w:val="Strong"/>
          <w:b w:val="0"/>
          <w:noProof/>
        </w:rPr>
        <w:t>I</w:t>
      </w:r>
      <w:r w:rsidRPr="00D13DC0">
        <w:rPr>
          <w:rStyle w:val="Strong"/>
          <w:b w:val="0"/>
          <w:noProof/>
          <w:color w:val="000000" w:themeColor="text1"/>
        </w:rPr>
        <w:t xml:space="preserve">ssues of </w:t>
      </w:r>
      <w:r>
        <w:rPr>
          <w:rStyle w:val="Strong"/>
          <w:b w:val="0"/>
          <w:noProof/>
          <w:color w:val="000000" w:themeColor="text1"/>
        </w:rPr>
        <w:t xml:space="preserve">both </w:t>
      </w:r>
      <w:r w:rsidRPr="00D13DC0">
        <w:rPr>
          <w:rStyle w:val="Strong"/>
          <w:b w:val="0"/>
          <w:noProof/>
          <w:color w:val="000000" w:themeColor="text1"/>
        </w:rPr>
        <w:t xml:space="preserve">timing and sufficiency related to </w:t>
      </w:r>
      <w:r w:rsidRPr="001766B6">
        <w:rPr>
          <w:rStyle w:val="Strong"/>
          <w:b w:val="0"/>
          <w:noProof/>
          <w:color w:val="000000" w:themeColor="text1"/>
        </w:rPr>
        <w:t>ETS, CBAM</w:t>
      </w:r>
      <w:r>
        <w:rPr>
          <w:rStyle w:val="Strong"/>
          <w:b w:val="0"/>
          <w:noProof/>
          <w:color w:val="000000" w:themeColor="text1"/>
        </w:rPr>
        <w:t xml:space="preserve">, </w:t>
      </w:r>
      <w:r w:rsidRPr="001766B6">
        <w:rPr>
          <w:rStyle w:val="Strong"/>
          <w:b w:val="0"/>
          <w:noProof/>
          <w:color w:val="000000" w:themeColor="text1"/>
        </w:rPr>
        <w:t>and the OECD/G20 Pillar 1</w:t>
      </w:r>
      <w:r>
        <w:rPr>
          <w:rStyle w:val="Strong"/>
          <w:b w:val="0"/>
          <w:noProof/>
          <w:color w:val="000000" w:themeColor="text1"/>
        </w:rPr>
        <w:t xml:space="preserve"> make it now necessary to supplement this selection with </w:t>
      </w:r>
      <w:r w:rsidR="00212664">
        <w:rPr>
          <w:rStyle w:val="Strong"/>
          <w:b w:val="0"/>
          <w:noProof/>
          <w:color w:val="000000" w:themeColor="text1"/>
        </w:rPr>
        <w:t xml:space="preserve">additional </w:t>
      </w:r>
      <w:r>
        <w:rPr>
          <w:rStyle w:val="Strong"/>
          <w:b w:val="0"/>
          <w:noProof/>
          <w:color w:val="000000" w:themeColor="text1"/>
        </w:rPr>
        <w:t>new own resource</w:t>
      </w:r>
      <w:r w:rsidR="00212664">
        <w:rPr>
          <w:rStyle w:val="Strong"/>
          <w:b w:val="0"/>
          <w:noProof/>
          <w:color w:val="000000" w:themeColor="text1"/>
        </w:rPr>
        <w:t>s</w:t>
      </w:r>
      <w:r>
        <w:rPr>
          <w:rStyle w:val="Strong"/>
          <w:b w:val="0"/>
          <w:noProof/>
          <w:color w:val="000000" w:themeColor="text1"/>
        </w:rPr>
        <w:t>.</w:t>
      </w:r>
      <w:r w:rsidR="000512D0">
        <w:rPr>
          <w:rStyle w:val="Strong"/>
          <w:b w:val="0"/>
          <w:noProof/>
          <w:color w:val="000000" w:themeColor="text1"/>
        </w:rPr>
        <w:t xml:space="preserve"> </w:t>
      </w:r>
      <w:r w:rsidR="000512D0" w:rsidRPr="001766B6">
        <w:rPr>
          <w:rStyle w:val="Strong"/>
          <w:b w:val="0"/>
          <w:noProof/>
          <w:color w:val="000000" w:themeColor="text1"/>
        </w:rPr>
        <w:t>This document intends to provide Member States</w:t>
      </w:r>
      <w:r w:rsidR="00212664">
        <w:rPr>
          <w:rStyle w:val="Strong"/>
          <w:b w:val="0"/>
          <w:noProof/>
          <w:color w:val="000000" w:themeColor="text1"/>
        </w:rPr>
        <w:t>, the Parliament,</w:t>
      </w:r>
      <w:r w:rsidR="000512D0" w:rsidRPr="001766B6">
        <w:rPr>
          <w:rStyle w:val="Strong"/>
          <w:b w:val="0"/>
          <w:noProof/>
          <w:color w:val="000000" w:themeColor="text1"/>
        </w:rPr>
        <w:t xml:space="preserve"> and stakeholders at large with a full overview of the analysis underpinning the Commission’s proposal, so that all elements are available to resume and swiftly progress </w:t>
      </w:r>
      <w:r w:rsidR="00212664">
        <w:rPr>
          <w:rStyle w:val="Strong"/>
          <w:b w:val="0"/>
          <w:noProof/>
          <w:color w:val="000000" w:themeColor="text1"/>
        </w:rPr>
        <w:t>in</w:t>
      </w:r>
      <w:r w:rsidR="000512D0" w:rsidRPr="001766B6">
        <w:rPr>
          <w:rStyle w:val="Strong"/>
          <w:b w:val="0"/>
          <w:noProof/>
          <w:color w:val="000000" w:themeColor="text1"/>
        </w:rPr>
        <w:t xml:space="preserve"> the discussions on the proposed new own resources. </w:t>
      </w:r>
    </w:p>
    <w:p w14:paraId="622897CA" w14:textId="5DC26881" w:rsidR="00862C5E" w:rsidRPr="00A61279" w:rsidRDefault="00862C5E" w:rsidP="00862C5E">
      <w:pPr>
        <w:pStyle w:val="Heading3"/>
        <w:rPr>
          <w:noProof/>
        </w:rPr>
      </w:pPr>
      <w:bookmarkStart w:id="106" w:name="_Toc136599804"/>
      <w:bookmarkStart w:id="107" w:name="_Toc136600382"/>
      <w:bookmarkStart w:id="108" w:name="_Toc137493987"/>
      <w:r>
        <w:rPr>
          <w:noProof/>
        </w:rPr>
        <w:t>2.1.</w:t>
      </w:r>
      <w:r w:rsidR="006E4C22">
        <w:rPr>
          <w:noProof/>
        </w:rPr>
        <w:t>2</w:t>
      </w:r>
      <w:r>
        <w:rPr>
          <w:noProof/>
        </w:rPr>
        <w:t>. Selection of criteria</w:t>
      </w:r>
      <w:bookmarkEnd w:id="106"/>
      <w:bookmarkEnd w:id="107"/>
      <w:bookmarkEnd w:id="108"/>
    </w:p>
    <w:p w14:paraId="7856F278" w14:textId="73ADBF7A" w:rsidR="00CA7A8C" w:rsidRPr="009F2E4E" w:rsidRDefault="00634272" w:rsidP="00500E0C">
      <w:pPr>
        <w:rPr>
          <w:noProof/>
        </w:rPr>
      </w:pPr>
      <w:r w:rsidRPr="00427292">
        <w:rPr>
          <w:rStyle w:val="Strong"/>
          <w:noProof/>
        </w:rPr>
        <w:t xml:space="preserve">Against </w:t>
      </w:r>
      <w:r w:rsidR="00F30447" w:rsidRPr="00427292">
        <w:rPr>
          <w:rStyle w:val="Strong"/>
          <w:noProof/>
        </w:rPr>
        <w:t xml:space="preserve">this </w:t>
      </w:r>
      <w:r w:rsidR="00FA1A88" w:rsidRPr="000512D0">
        <w:rPr>
          <w:rStyle w:val="Strong"/>
          <w:noProof/>
        </w:rPr>
        <w:t>political</w:t>
      </w:r>
      <w:r w:rsidR="00335CD0" w:rsidRPr="000512D0">
        <w:rPr>
          <w:rStyle w:val="Strong"/>
          <w:noProof/>
        </w:rPr>
        <w:t xml:space="preserve"> </w:t>
      </w:r>
      <w:r w:rsidRPr="000512D0">
        <w:rPr>
          <w:rStyle w:val="Strong"/>
          <w:noProof/>
        </w:rPr>
        <w:t>background</w:t>
      </w:r>
      <w:r w:rsidR="00A015C0">
        <w:rPr>
          <w:rStyle w:val="Strong"/>
          <w:noProof/>
        </w:rPr>
        <w:t>,</w:t>
      </w:r>
      <w:r w:rsidR="00F30447">
        <w:rPr>
          <w:rStyle w:val="Strong"/>
          <w:noProof/>
        </w:rPr>
        <w:t xml:space="preserve"> </w:t>
      </w:r>
      <w:r w:rsidR="000512D0">
        <w:rPr>
          <w:rStyle w:val="Strong"/>
          <w:noProof/>
        </w:rPr>
        <w:t>t</w:t>
      </w:r>
      <w:r w:rsidR="00B43B75">
        <w:rPr>
          <w:rStyle w:val="Strong"/>
          <w:noProof/>
        </w:rPr>
        <w:t>he assessment framework</w:t>
      </w:r>
      <w:r w:rsidR="00A90F09">
        <w:rPr>
          <w:rStyle w:val="Strong"/>
          <w:noProof/>
        </w:rPr>
        <w:t xml:space="preserve"> </w:t>
      </w:r>
      <w:r w:rsidR="00ED728C">
        <w:rPr>
          <w:rStyle w:val="Strong"/>
          <w:noProof/>
        </w:rPr>
        <w:t xml:space="preserve">must </w:t>
      </w:r>
      <w:r w:rsidR="005434E1">
        <w:rPr>
          <w:rStyle w:val="Strong"/>
          <w:noProof/>
        </w:rPr>
        <w:t xml:space="preserve">account </w:t>
      </w:r>
      <w:r w:rsidR="00FA1A88">
        <w:rPr>
          <w:rStyle w:val="Strong"/>
          <w:noProof/>
        </w:rPr>
        <w:t>f</w:t>
      </w:r>
      <w:r w:rsidR="006E4C22">
        <w:rPr>
          <w:rStyle w:val="Strong"/>
          <w:noProof/>
        </w:rPr>
        <w:t>or</w:t>
      </w:r>
      <w:r w:rsidR="00FA1A88">
        <w:rPr>
          <w:rStyle w:val="Strong"/>
          <w:noProof/>
        </w:rPr>
        <w:t xml:space="preserve"> </w:t>
      </w:r>
      <w:r w:rsidR="00A90F09" w:rsidRPr="004D787C">
        <w:rPr>
          <w:rStyle w:val="Strong"/>
          <w:noProof/>
        </w:rPr>
        <w:t>the</w:t>
      </w:r>
      <w:r w:rsidR="006E4C22">
        <w:rPr>
          <w:rStyle w:val="Strong"/>
          <w:noProof/>
        </w:rPr>
        <w:t xml:space="preserve"> </w:t>
      </w:r>
      <w:r w:rsidR="00A90F09" w:rsidRPr="004D787C">
        <w:rPr>
          <w:rStyle w:val="Strong"/>
          <w:noProof/>
        </w:rPr>
        <w:t>need to act quickly and provide the necessary means to the EU budget</w:t>
      </w:r>
      <w:r w:rsidR="00D13DC0">
        <w:rPr>
          <w:rStyle w:val="Strong"/>
          <w:noProof/>
        </w:rPr>
        <w:t>, but also of ways</w:t>
      </w:r>
      <w:r w:rsidR="00D13DC0" w:rsidRPr="009F2E4E">
        <w:rPr>
          <w:noProof/>
        </w:rPr>
        <w:t xml:space="preserve"> </w:t>
      </w:r>
      <w:r w:rsidR="00D13DC0" w:rsidRPr="00D13DC0">
        <w:rPr>
          <w:rStyle w:val="Strong"/>
          <w:noProof/>
        </w:rPr>
        <w:t>to design new own resources optimally</w:t>
      </w:r>
      <w:r w:rsidR="00A90F09">
        <w:rPr>
          <w:rStyle w:val="Strong"/>
          <w:b w:val="0"/>
          <w:noProof/>
        </w:rPr>
        <w:t xml:space="preserve">. </w:t>
      </w:r>
      <w:r w:rsidR="00807304">
        <w:rPr>
          <w:noProof/>
        </w:rPr>
        <w:t>For</w:t>
      </w:r>
      <w:r w:rsidR="00D13DC0" w:rsidRPr="006E4C22">
        <w:rPr>
          <w:noProof/>
        </w:rPr>
        <w:t xml:space="preserve"> this purpose, </w:t>
      </w:r>
      <w:r w:rsidR="006E4C22">
        <w:rPr>
          <w:noProof/>
        </w:rPr>
        <w:t xml:space="preserve">selection </w:t>
      </w:r>
      <w:r w:rsidR="00D13DC0" w:rsidRPr="006E4C22">
        <w:rPr>
          <w:noProof/>
        </w:rPr>
        <w:t xml:space="preserve">criteria </w:t>
      </w:r>
      <w:r w:rsidR="009340FB" w:rsidRPr="006E4C22">
        <w:rPr>
          <w:noProof/>
        </w:rPr>
        <w:t>are established according to the literature</w:t>
      </w:r>
      <w:r w:rsidR="009340FB" w:rsidRPr="006E4C22">
        <w:rPr>
          <w:b/>
          <w:noProof/>
        </w:rPr>
        <w:t xml:space="preserve">, </w:t>
      </w:r>
      <w:r w:rsidR="009340FB" w:rsidRPr="006E4C22">
        <w:rPr>
          <w:noProof/>
        </w:rPr>
        <w:t>but</w:t>
      </w:r>
      <w:r w:rsidR="00D13DC0">
        <w:rPr>
          <w:noProof/>
        </w:rPr>
        <w:t xml:space="preserve"> </w:t>
      </w:r>
      <w:r w:rsidR="009340FB">
        <w:rPr>
          <w:noProof/>
        </w:rPr>
        <w:t>o</w:t>
      </w:r>
      <w:r w:rsidR="003D3584">
        <w:rPr>
          <w:noProof/>
        </w:rPr>
        <w:t>nly own resource candidates able to generate</w:t>
      </w:r>
      <w:r w:rsidR="004E5BD7">
        <w:rPr>
          <w:noProof/>
        </w:rPr>
        <w:t xml:space="preserve"> </w:t>
      </w:r>
      <w:r w:rsidR="003D3584">
        <w:rPr>
          <w:noProof/>
        </w:rPr>
        <w:t>significant resources</w:t>
      </w:r>
      <w:r w:rsidR="009340FB">
        <w:rPr>
          <w:noProof/>
        </w:rPr>
        <w:t xml:space="preserve"> quickly</w:t>
      </w:r>
      <w:r w:rsidR="004E5BD7">
        <w:rPr>
          <w:noProof/>
        </w:rPr>
        <w:t xml:space="preserve"> and</w:t>
      </w:r>
      <w:r w:rsidR="003D3584">
        <w:rPr>
          <w:noProof/>
        </w:rPr>
        <w:t xml:space="preserve"> without heavy implementation</w:t>
      </w:r>
      <w:r w:rsidR="009340FB">
        <w:rPr>
          <w:noProof/>
        </w:rPr>
        <w:t xml:space="preserve"> are </w:t>
      </w:r>
      <w:r w:rsidR="006E4C22">
        <w:rPr>
          <w:noProof/>
        </w:rPr>
        <w:t>considered,</w:t>
      </w:r>
      <w:r w:rsidR="003D3584">
        <w:rPr>
          <w:noProof/>
        </w:rPr>
        <w:t xml:space="preserve"> </w:t>
      </w:r>
      <w:r w:rsidR="006E4C22">
        <w:rPr>
          <w:noProof/>
        </w:rPr>
        <w:t>to</w:t>
      </w:r>
      <w:r w:rsidR="003D3584">
        <w:rPr>
          <w:noProof/>
        </w:rPr>
        <w:t xml:space="preserve"> respond to the challenges the EU budget is facing. </w:t>
      </w:r>
      <w:r w:rsidR="003D3584">
        <w:rPr>
          <w:rStyle w:val="Strong"/>
          <w:b w:val="0"/>
          <w:noProof/>
          <w:color w:val="auto"/>
        </w:rPr>
        <w:t xml:space="preserve">Therefore, the assessment framework </w:t>
      </w:r>
      <w:r w:rsidR="00B43B75" w:rsidRPr="004D787C">
        <w:rPr>
          <w:rStyle w:val="Strong"/>
          <w:b w:val="0"/>
          <w:noProof/>
          <w:color w:val="auto"/>
        </w:rPr>
        <w:t>rel</w:t>
      </w:r>
      <w:r w:rsidR="00ED1F2A" w:rsidRPr="004D787C">
        <w:rPr>
          <w:rStyle w:val="Strong"/>
          <w:b w:val="0"/>
          <w:noProof/>
          <w:color w:val="auto"/>
        </w:rPr>
        <w:t>ies</w:t>
      </w:r>
      <w:r w:rsidR="00B43B75" w:rsidRPr="004D787C">
        <w:rPr>
          <w:rStyle w:val="Strong"/>
          <w:b w:val="0"/>
          <w:noProof/>
          <w:color w:val="auto"/>
        </w:rPr>
        <w:t xml:space="preserve"> on three criteria</w:t>
      </w:r>
      <w:r w:rsidR="0078507A" w:rsidRPr="009F2E4E">
        <w:rPr>
          <w:noProof/>
        </w:rPr>
        <w:t xml:space="preserve"> </w:t>
      </w:r>
      <w:r w:rsidR="00ED1F2A">
        <w:rPr>
          <w:bCs/>
          <w:noProof/>
        </w:rPr>
        <w:t xml:space="preserve">related to </w:t>
      </w:r>
      <w:r w:rsidR="008C1B2A">
        <w:rPr>
          <w:bCs/>
          <w:noProof/>
        </w:rPr>
        <w:t xml:space="preserve">(1) </w:t>
      </w:r>
      <w:r w:rsidR="0078507A" w:rsidRPr="009F2E4E">
        <w:rPr>
          <w:bCs/>
          <w:noProof/>
        </w:rPr>
        <w:t xml:space="preserve">revenue potential, </w:t>
      </w:r>
      <w:r w:rsidR="008C1B2A">
        <w:rPr>
          <w:bCs/>
          <w:noProof/>
        </w:rPr>
        <w:t xml:space="preserve">(2) </w:t>
      </w:r>
      <w:r w:rsidR="0078507A" w:rsidRPr="009F2E4E">
        <w:rPr>
          <w:bCs/>
          <w:noProof/>
        </w:rPr>
        <w:t>simplicity</w:t>
      </w:r>
      <w:r w:rsidR="00A90F09">
        <w:rPr>
          <w:bCs/>
          <w:noProof/>
        </w:rPr>
        <w:t xml:space="preserve"> in terms of compliance and administrative burden</w:t>
      </w:r>
      <w:r w:rsidR="0090666E" w:rsidRPr="009F2E4E">
        <w:rPr>
          <w:bCs/>
          <w:noProof/>
        </w:rPr>
        <w:t>,</w:t>
      </w:r>
      <w:r w:rsidR="0078507A" w:rsidRPr="009F2E4E">
        <w:rPr>
          <w:bCs/>
          <w:noProof/>
        </w:rPr>
        <w:t xml:space="preserve"> and </w:t>
      </w:r>
      <w:r w:rsidR="008C1B2A">
        <w:rPr>
          <w:bCs/>
          <w:noProof/>
        </w:rPr>
        <w:t xml:space="preserve">(3) </w:t>
      </w:r>
      <w:r w:rsidR="0078507A" w:rsidRPr="009F2E4E">
        <w:rPr>
          <w:bCs/>
          <w:noProof/>
        </w:rPr>
        <w:t>fast mobilisatio</w:t>
      </w:r>
      <w:r w:rsidR="0090666E" w:rsidRPr="009F2E4E">
        <w:rPr>
          <w:bCs/>
          <w:noProof/>
        </w:rPr>
        <w:t>n</w:t>
      </w:r>
      <w:r w:rsidR="004E5BD7">
        <w:rPr>
          <w:bCs/>
          <w:noProof/>
        </w:rPr>
        <w:t>. These</w:t>
      </w:r>
      <w:r w:rsidR="008C1B2A">
        <w:rPr>
          <w:bCs/>
          <w:noProof/>
        </w:rPr>
        <w:t xml:space="preserve"> are in line with the economic literature</w:t>
      </w:r>
      <w:r w:rsidR="004E5BD7">
        <w:rPr>
          <w:bCs/>
          <w:noProof/>
        </w:rPr>
        <w:t>,</w:t>
      </w:r>
      <w:r w:rsidR="008C1B2A">
        <w:rPr>
          <w:bCs/>
          <w:noProof/>
        </w:rPr>
        <w:t xml:space="preserve"> while taking account of the specificities of the EU budget </w:t>
      </w:r>
      <w:r w:rsidR="00807304">
        <w:rPr>
          <w:bCs/>
          <w:noProof/>
        </w:rPr>
        <w:t>at this juncture</w:t>
      </w:r>
      <w:r w:rsidR="000512D0">
        <w:rPr>
          <w:bCs/>
          <w:noProof/>
        </w:rPr>
        <w:t xml:space="preserve"> </w:t>
      </w:r>
      <w:r w:rsidR="00CA7A8C" w:rsidRPr="009F2E4E">
        <w:rPr>
          <w:bCs/>
          <w:noProof/>
        </w:rPr>
        <w:t>(</w:t>
      </w:r>
      <w:r w:rsidR="00CA7A8C" w:rsidRPr="009F2E4E">
        <w:rPr>
          <w:noProof/>
        </w:rPr>
        <w:t xml:space="preserve">Table </w:t>
      </w:r>
      <w:r w:rsidR="004A4906" w:rsidRPr="009F2E4E">
        <w:rPr>
          <w:noProof/>
        </w:rPr>
        <w:t>1</w:t>
      </w:r>
      <w:r w:rsidR="00BC1A34">
        <w:rPr>
          <w:noProof/>
        </w:rPr>
        <w:t xml:space="preserve"> and </w:t>
      </w:r>
      <w:r w:rsidR="00257C7A">
        <w:rPr>
          <w:noProof/>
        </w:rPr>
        <w:t>B</w:t>
      </w:r>
      <w:r w:rsidR="00BC1A34">
        <w:rPr>
          <w:noProof/>
        </w:rPr>
        <w:t>ox 2</w:t>
      </w:r>
      <w:r w:rsidR="00CA7A8C" w:rsidRPr="009F2E4E">
        <w:rPr>
          <w:noProof/>
        </w:rPr>
        <w:t>)</w:t>
      </w:r>
      <w:r w:rsidR="00E45585" w:rsidRPr="009F2E4E">
        <w:rPr>
          <w:noProof/>
        </w:rPr>
        <w:t>.</w:t>
      </w:r>
      <w:r w:rsidR="00AB412C" w:rsidRPr="009F2E4E">
        <w:rPr>
          <w:noProof/>
        </w:rPr>
        <w:t xml:space="preserve"> </w:t>
      </w:r>
    </w:p>
    <w:p w14:paraId="3AA0CC52" w14:textId="5EAA335C" w:rsidR="001D7F93" w:rsidRPr="009F2E4E" w:rsidRDefault="001D7F93" w:rsidP="006E080A">
      <w:pPr>
        <w:pStyle w:val="Text3"/>
        <w:keepNext/>
        <w:ind w:left="0"/>
        <w:rPr>
          <w:rStyle w:val="Strong"/>
          <w:b w:val="0"/>
          <w:noProof/>
        </w:rPr>
      </w:pPr>
      <w:r w:rsidRPr="009F2E4E">
        <w:rPr>
          <w:rStyle w:val="Strong"/>
          <w:noProof/>
        </w:rPr>
        <w:t xml:space="preserve">Table </w:t>
      </w:r>
      <w:r w:rsidR="004A4906" w:rsidRPr="009F2E4E">
        <w:rPr>
          <w:rStyle w:val="Strong"/>
          <w:noProof/>
        </w:rPr>
        <w:t>1</w:t>
      </w:r>
      <w:r w:rsidRPr="009F2E4E">
        <w:rPr>
          <w:rStyle w:val="Strong"/>
          <w:noProof/>
        </w:rPr>
        <w:t xml:space="preserve">. </w:t>
      </w:r>
      <w:r w:rsidR="00B43B75">
        <w:rPr>
          <w:rStyle w:val="Strong"/>
          <w:noProof/>
        </w:rPr>
        <w:t>Assessment framework</w:t>
      </w:r>
      <w:r w:rsidR="006F7910" w:rsidRPr="009F2E4E">
        <w:rPr>
          <w:rStyle w:val="Strong"/>
          <w:b w:val="0"/>
          <w:noProof/>
        </w:rPr>
        <w:t xml:space="preserve"> </w:t>
      </w:r>
    </w:p>
    <w:tbl>
      <w:tblPr>
        <w:tblStyle w:val="GridTable4-Accent5"/>
        <w:tblW w:w="8667" w:type="dxa"/>
        <w:tblInd w:w="-10"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E8F2E1" w:themeFill="accent4" w:themeFillTint="33"/>
        <w:tblCellMar>
          <w:top w:w="85" w:type="dxa"/>
          <w:bottom w:w="85" w:type="dxa"/>
        </w:tblCellMar>
        <w:tblLook w:val="04A0" w:firstRow="1" w:lastRow="0" w:firstColumn="1" w:lastColumn="0" w:noHBand="0" w:noVBand="1"/>
      </w:tblPr>
      <w:tblGrid>
        <w:gridCol w:w="2883"/>
        <w:gridCol w:w="2884"/>
        <w:gridCol w:w="2884"/>
        <w:gridCol w:w="16"/>
      </w:tblGrid>
      <w:tr w:rsidR="00E5205C" w:rsidRPr="009F2E4E" w14:paraId="32E8FD89" w14:textId="6002D0DF" w:rsidTr="003F3329">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667" w:type="dxa"/>
            <w:gridSpan w:val="4"/>
            <w:shd w:val="clear" w:color="auto" w:fill="023E8A" w:themeFill="accent1"/>
            <w:vAlign w:val="center"/>
          </w:tcPr>
          <w:p w14:paraId="6713EF13" w14:textId="5217B1AE" w:rsidR="00E5205C" w:rsidRPr="009F2E4E" w:rsidRDefault="00B43B75" w:rsidP="00172968">
            <w:pPr>
              <w:keepNext/>
              <w:spacing w:after="0"/>
              <w:jc w:val="center"/>
              <w:rPr>
                <w:noProof/>
                <w:sz w:val="24"/>
                <w:szCs w:val="24"/>
                <w:lang w:eastAsia="en-GB"/>
              </w:rPr>
            </w:pPr>
            <w:r w:rsidRPr="0D5E584C">
              <w:rPr>
                <w:noProof/>
                <w:sz w:val="24"/>
                <w:szCs w:val="24"/>
                <w:lang w:eastAsia="en-GB"/>
              </w:rPr>
              <w:t>Assessment framework</w:t>
            </w:r>
          </w:p>
        </w:tc>
      </w:tr>
      <w:tr w:rsidR="0047638E" w:rsidRPr="009F2E4E" w14:paraId="1F12EFA9" w14:textId="01DE5AD5" w:rsidTr="00CE69DE">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2883" w:type="dxa"/>
          </w:tcPr>
          <w:p w14:paraId="7454FD71" w14:textId="4757D25B" w:rsidR="00642D9E" w:rsidRPr="009F2E4E" w:rsidRDefault="007054FC" w:rsidP="006E080A">
            <w:pPr>
              <w:pStyle w:val="ListParagraph"/>
              <w:keepNext/>
              <w:numPr>
                <w:ilvl w:val="0"/>
                <w:numId w:val="23"/>
              </w:numPr>
              <w:spacing w:after="60"/>
              <w:ind w:left="340" w:hanging="340"/>
              <w:jc w:val="left"/>
              <w:rPr>
                <w:bCs w:val="0"/>
                <w:lang w:val="en-GB"/>
              </w:rPr>
            </w:pPr>
            <w:r w:rsidRPr="009F2E4E">
              <w:rPr>
                <w:lang w:val="en-GB"/>
              </w:rPr>
              <w:t>Revenue potential</w:t>
            </w:r>
          </w:p>
        </w:tc>
        <w:tc>
          <w:tcPr>
            <w:tcW w:w="2884" w:type="dxa"/>
          </w:tcPr>
          <w:p w14:paraId="24449238" w14:textId="79772228" w:rsidR="007054FC" w:rsidRPr="009F2E4E" w:rsidRDefault="00EC778B" w:rsidP="006E080A">
            <w:pPr>
              <w:pStyle w:val="ListParagraph"/>
              <w:keepNext/>
              <w:numPr>
                <w:ilvl w:val="0"/>
                <w:numId w:val="23"/>
              </w:numPr>
              <w:spacing w:after="60"/>
              <w:ind w:left="340" w:hanging="340"/>
              <w:jc w:val="left"/>
              <w:cnfStyle w:val="000000100000" w:firstRow="0" w:lastRow="0" w:firstColumn="0" w:lastColumn="0" w:oddVBand="0" w:evenVBand="0" w:oddHBand="1" w:evenHBand="0" w:firstRowFirstColumn="0" w:firstRowLastColumn="0" w:lastRowFirstColumn="0" w:lastRowLastColumn="0"/>
              <w:rPr>
                <w:bCs/>
                <w:lang w:val="en-GB" w:eastAsia="en-US"/>
              </w:rPr>
            </w:pPr>
            <w:r w:rsidRPr="009F2E4E">
              <w:rPr>
                <w:b/>
                <w:bCs/>
                <w:lang w:val="en-GB"/>
              </w:rPr>
              <w:t>S</w:t>
            </w:r>
            <w:r w:rsidR="00D40EC7" w:rsidRPr="009F2E4E">
              <w:rPr>
                <w:b/>
                <w:bCs/>
                <w:lang w:val="en-GB"/>
              </w:rPr>
              <w:t>implicity</w:t>
            </w:r>
            <w:r w:rsidR="0068567F" w:rsidRPr="009F2E4E">
              <w:rPr>
                <w:lang w:val="en-GB" w:eastAsia="en-US"/>
              </w:rPr>
              <w:t xml:space="preserve"> </w:t>
            </w:r>
          </w:p>
        </w:tc>
        <w:tc>
          <w:tcPr>
            <w:tcW w:w="2884" w:type="dxa"/>
          </w:tcPr>
          <w:p w14:paraId="4A4F54D3" w14:textId="6A66403B" w:rsidR="007054FC" w:rsidRPr="009F2E4E" w:rsidRDefault="0068567F" w:rsidP="006E080A">
            <w:pPr>
              <w:pStyle w:val="ListParagraph"/>
              <w:keepNext/>
              <w:numPr>
                <w:ilvl w:val="0"/>
                <w:numId w:val="23"/>
              </w:numPr>
              <w:spacing w:after="60"/>
              <w:ind w:left="340" w:hanging="340"/>
              <w:jc w:val="left"/>
              <w:cnfStyle w:val="000000100000" w:firstRow="0" w:lastRow="0" w:firstColumn="0" w:lastColumn="0" w:oddVBand="0" w:evenVBand="0" w:oddHBand="1" w:evenHBand="0" w:firstRowFirstColumn="0" w:firstRowLastColumn="0" w:lastRowFirstColumn="0" w:lastRowLastColumn="0"/>
              <w:rPr>
                <w:b/>
                <w:bCs/>
                <w:lang w:val="en-GB" w:eastAsia="en-US"/>
              </w:rPr>
            </w:pPr>
            <w:r w:rsidRPr="009F2E4E">
              <w:rPr>
                <w:b/>
                <w:bCs/>
                <w:lang w:val="en-GB" w:eastAsia="en-US"/>
              </w:rPr>
              <w:t xml:space="preserve">Fast </w:t>
            </w:r>
            <w:r w:rsidRPr="009F2E4E">
              <w:rPr>
                <w:b/>
                <w:bCs/>
                <w:lang w:val="en-GB"/>
              </w:rPr>
              <w:t>mobilisation</w:t>
            </w:r>
            <w:r w:rsidRPr="009F2E4E">
              <w:rPr>
                <w:b/>
                <w:bCs/>
                <w:lang w:val="en-GB" w:eastAsia="en-US"/>
              </w:rPr>
              <w:t xml:space="preserve"> </w:t>
            </w:r>
            <w:r w:rsidRPr="009F2E4E">
              <w:rPr>
                <w:lang w:val="en-GB" w:eastAsia="en-US"/>
              </w:rPr>
              <w:t xml:space="preserve">of new revenue sources </w:t>
            </w:r>
          </w:p>
        </w:tc>
      </w:tr>
    </w:tbl>
    <w:p w14:paraId="4E894DCE" w14:textId="1BBAC349" w:rsidR="001D44F1" w:rsidRPr="009F2E4E" w:rsidRDefault="001D44F1" w:rsidP="00955B43">
      <w:pPr>
        <w:pStyle w:val="Heading3"/>
        <w:ind w:left="0" w:firstLine="0"/>
        <w:rPr>
          <w:noProof/>
        </w:rPr>
      </w:pPr>
      <w:bookmarkStart w:id="109" w:name="_Toc133405539"/>
      <w:bookmarkStart w:id="110" w:name="_Toc133426642"/>
      <w:bookmarkStart w:id="111" w:name="_Toc134446535"/>
      <w:bookmarkStart w:id="112" w:name="_Toc135860236"/>
      <w:bookmarkStart w:id="113" w:name="_Toc136599805"/>
      <w:bookmarkStart w:id="114" w:name="_Toc136600383"/>
      <w:bookmarkStart w:id="115" w:name="_Toc137493988"/>
      <w:r w:rsidRPr="009F2E4E">
        <w:rPr>
          <w:noProof/>
        </w:rPr>
        <w:t>Revenue potential</w:t>
      </w:r>
      <w:bookmarkEnd w:id="109"/>
      <w:bookmarkEnd w:id="110"/>
      <w:bookmarkEnd w:id="111"/>
      <w:bookmarkEnd w:id="112"/>
      <w:bookmarkEnd w:id="113"/>
      <w:bookmarkEnd w:id="114"/>
      <w:bookmarkEnd w:id="115"/>
    </w:p>
    <w:p w14:paraId="047AA8B0" w14:textId="67F304D8" w:rsidR="00523622" w:rsidRPr="009F2E4E" w:rsidRDefault="00B43B75" w:rsidP="00500E0C">
      <w:pPr>
        <w:rPr>
          <w:noProof/>
          <w:lang w:eastAsia="en-GB"/>
        </w:rPr>
      </w:pPr>
      <w:r>
        <w:rPr>
          <w:noProof/>
          <w:lang w:eastAsia="en-GB"/>
        </w:rPr>
        <w:t xml:space="preserve">The </w:t>
      </w:r>
      <w:r w:rsidRPr="009F2600">
        <w:rPr>
          <w:i/>
          <w:noProof/>
          <w:u w:val="single"/>
          <w:lang w:eastAsia="en-GB"/>
        </w:rPr>
        <w:t>r</w:t>
      </w:r>
      <w:r w:rsidR="007549F9" w:rsidRPr="009F2E4E">
        <w:rPr>
          <w:i/>
          <w:iCs/>
          <w:noProof/>
          <w:u w:val="single"/>
          <w:lang w:eastAsia="en-GB"/>
        </w:rPr>
        <w:t>evenue potential</w:t>
      </w:r>
      <w:r w:rsidR="007549F9" w:rsidRPr="009F2E4E">
        <w:rPr>
          <w:i/>
          <w:iCs/>
          <w:noProof/>
          <w:lang w:eastAsia="en-GB"/>
        </w:rPr>
        <w:t xml:space="preserve"> </w:t>
      </w:r>
      <w:r w:rsidR="00872589" w:rsidRPr="009F2E4E">
        <w:rPr>
          <w:noProof/>
          <w:lang w:eastAsia="en-GB"/>
        </w:rPr>
        <w:t xml:space="preserve">evaluates the amounts of money </w:t>
      </w:r>
      <w:r>
        <w:rPr>
          <w:noProof/>
          <w:lang w:eastAsia="en-GB"/>
        </w:rPr>
        <w:t>the own resource can generate</w:t>
      </w:r>
      <w:r w:rsidR="004E50B2" w:rsidRPr="009F2E4E">
        <w:rPr>
          <w:noProof/>
          <w:lang w:eastAsia="en-GB"/>
        </w:rPr>
        <w:t xml:space="preserve">. </w:t>
      </w:r>
      <w:r w:rsidR="008C1B2A">
        <w:rPr>
          <w:noProof/>
          <w:lang w:eastAsia="en-GB"/>
        </w:rPr>
        <w:t xml:space="preserve">Linked to revenue potential are also the stability of these revenues over time and their predictability. </w:t>
      </w:r>
    </w:p>
    <w:p w14:paraId="585D525A" w14:textId="3A7673CD" w:rsidR="00A64316" w:rsidRPr="009F2E4E" w:rsidRDefault="00A64316" w:rsidP="006E080A">
      <w:pPr>
        <w:pStyle w:val="Heading3"/>
        <w:ind w:left="0" w:firstLine="0"/>
        <w:rPr>
          <w:noProof/>
        </w:rPr>
      </w:pPr>
      <w:bookmarkStart w:id="116" w:name="_Toc135860237"/>
      <w:bookmarkStart w:id="117" w:name="_Toc136599806"/>
      <w:bookmarkStart w:id="118" w:name="_Toc136600384"/>
      <w:bookmarkStart w:id="119" w:name="_Toc137493989"/>
      <w:bookmarkStart w:id="120" w:name="_Toc133405540"/>
      <w:bookmarkStart w:id="121" w:name="_Toc133426643"/>
      <w:bookmarkStart w:id="122" w:name="_Toc134446536"/>
      <w:r>
        <w:rPr>
          <w:noProof/>
        </w:rPr>
        <w:t>Simplicity</w:t>
      </w:r>
      <w:bookmarkEnd w:id="116"/>
      <w:bookmarkEnd w:id="117"/>
      <w:bookmarkEnd w:id="118"/>
      <w:bookmarkEnd w:id="119"/>
    </w:p>
    <w:bookmarkEnd w:id="120"/>
    <w:bookmarkEnd w:id="121"/>
    <w:bookmarkEnd w:id="122"/>
    <w:p w14:paraId="1B035658" w14:textId="1A65E11A" w:rsidR="00D01268" w:rsidRPr="009F2E4E" w:rsidRDefault="00B43B75" w:rsidP="00B43B75">
      <w:pPr>
        <w:rPr>
          <w:noProof/>
        </w:rPr>
      </w:pPr>
      <w:r w:rsidRPr="009F2600">
        <w:rPr>
          <w:i/>
          <w:noProof/>
          <w:u w:val="single"/>
          <w:lang w:eastAsia="en-GB"/>
        </w:rPr>
        <w:t>S</w:t>
      </w:r>
      <w:r w:rsidR="00523622" w:rsidRPr="009F2E4E">
        <w:rPr>
          <w:i/>
          <w:iCs/>
          <w:noProof/>
          <w:u w:val="single"/>
          <w:lang w:eastAsia="en-GB"/>
        </w:rPr>
        <w:t>implicity</w:t>
      </w:r>
      <w:r w:rsidR="00523622" w:rsidRPr="009F2E4E">
        <w:rPr>
          <w:i/>
          <w:iCs/>
          <w:noProof/>
          <w:lang w:eastAsia="en-GB"/>
        </w:rPr>
        <w:t xml:space="preserve"> </w:t>
      </w:r>
      <w:r w:rsidR="00523622" w:rsidRPr="009F2E4E">
        <w:rPr>
          <w:noProof/>
          <w:lang w:eastAsia="en-GB"/>
        </w:rPr>
        <w:t xml:space="preserve">refers to </w:t>
      </w:r>
      <w:r w:rsidR="00DB2586" w:rsidRPr="009F2E4E">
        <w:rPr>
          <w:noProof/>
          <w:lang w:eastAsia="en-GB"/>
        </w:rPr>
        <w:t xml:space="preserve">budget </w:t>
      </w:r>
      <w:r w:rsidR="00E41CC5" w:rsidRPr="009F2E4E">
        <w:rPr>
          <w:noProof/>
          <w:lang w:eastAsia="en-GB"/>
        </w:rPr>
        <w:t xml:space="preserve">revenue </w:t>
      </w:r>
      <w:r w:rsidR="00DB2586" w:rsidRPr="009F2E4E">
        <w:rPr>
          <w:noProof/>
          <w:lang w:eastAsia="en-GB"/>
        </w:rPr>
        <w:t>collection</w:t>
      </w:r>
      <w:r w:rsidR="00094939" w:rsidRPr="009F2E4E">
        <w:rPr>
          <w:noProof/>
          <w:lang w:eastAsia="en-GB"/>
        </w:rPr>
        <w:t xml:space="preserve"> </w:t>
      </w:r>
      <w:r w:rsidR="006830D1" w:rsidRPr="009F2E4E">
        <w:rPr>
          <w:noProof/>
          <w:lang w:eastAsia="en-GB"/>
        </w:rPr>
        <w:t>and the</w:t>
      </w:r>
      <w:r w:rsidR="006830D1" w:rsidRPr="009F2E4E">
        <w:rPr>
          <w:i/>
          <w:iCs/>
          <w:noProof/>
          <w:lang w:eastAsia="en-GB"/>
        </w:rPr>
        <w:t xml:space="preserve"> </w:t>
      </w:r>
      <w:r w:rsidR="006830D1" w:rsidRPr="009F2E4E">
        <w:rPr>
          <w:noProof/>
          <w:lang w:eastAsia="en-GB"/>
        </w:rPr>
        <w:t>ease of</w:t>
      </w:r>
      <w:r w:rsidR="00E41CC5" w:rsidRPr="009F2E4E">
        <w:rPr>
          <w:noProof/>
          <w:lang w:eastAsia="en-GB"/>
        </w:rPr>
        <w:t xml:space="preserve"> implementing new own resources, from an administrative angle</w:t>
      </w:r>
      <w:r w:rsidR="00257C7A">
        <w:rPr>
          <w:noProof/>
          <w:lang w:eastAsia="en-GB"/>
        </w:rPr>
        <w:t>, including</w:t>
      </w:r>
      <w:r w:rsidR="00257C7A" w:rsidRPr="00257C7A">
        <w:rPr>
          <w:noProof/>
        </w:rPr>
        <w:t xml:space="preserve"> </w:t>
      </w:r>
      <w:r w:rsidR="005229A7">
        <w:rPr>
          <w:noProof/>
        </w:rPr>
        <w:t>the</w:t>
      </w:r>
      <w:r w:rsidR="00257C7A">
        <w:rPr>
          <w:noProof/>
        </w:rPr>
        <w:t xml:space="preserve"> </w:t>
      </w:r>
      <w:r w:rsidR="005229A7">
        <w:rPr>
          <w:noProof/>
        </w:rPr>
        <w:t>availability of</w:t>
      </w:r>
      <w:r w:rsidR="00257C7A">
        <w:rPr>
          <w:noProof/>
        </w:rPr>
        <w:t xml:space="preserve"> statistics</w:t>
      </w:r>
      <w:r>
        <w:rPr>
          <w:noProof/>
          <w:lang w:eastAsia="en-GB"/>
        </w:rPr>
        <w:t xml:space="preserve">. </w:t>
      </w:r>
      <w:r>
        <w:rPr>
          <w:noProof/>
        </w:rPr>
        <w:t xml:space="preserve">It also contributes to improving transparency, which is </w:t>
      </w:r>
      <w:r w:rsidRPr="009F2E4E">
        <w:rPr>
          <w:noProof/>
        </w:rPr>
        <w:t>particularly important to preserve accountability to citizens and stakeholders.</w:t>
      </w:r>
      <w:r>
        <w:rPr>
          <w:noProof/>
        </w:rPr>
        <w:t xml:space="preserve"> In the past</w:t>
      </w:r>
      <w:r w:rsidR="00E7060F" w:rsidRPr="009F2E4E">
        <w:rPr>
          <w:noProof/>
        </w:rPr>
        <w:t xml:space="preserve">, </w:t>
      </w:r>
      <w:r w:rsidR="009C0D2B" w:rsidRPr="009F2E4E">
        <w:rPr>
          <w:noProof/>
        </w:rPr>
        <w:t xml:space="preserve">the EU </w:t>
      </w:r>
      <w:r w:rsidR="00BC372C">
        <w:rPr>
          <w:noProof/>
        </w:rPr>
        <w:t>own resources system</w:t>
      </w:r>
      <w:r w:rsidR="009C0D2B" w:rsidRPr="009F2E4E">
        <w:rPr>
          <w:noProof/>
        </w:rPr>
        <w:t xml:space="preserve"> ha</w:t>
      </w:r>
      <w:r>
        <w:rPr>
          <w:noProof/>
        </w:rPr>
        <w:t>d</w:t>
      </w:r>
      <w:r w:rsidR="009C0D2B" w:rsidRPr="009F2E4E">
        <w:rPr>
          <w:noProof/>
        </w:rPr>
        <w:t xml:space="preserve"> </w:t>
      </w:r>
      <w:r w:rsidR="00FB16B1" w:rsidRPr="009F2E4E">
        <w:rPr>
          <w:noProof/>
        </w:rPr>
        <w:t>grown</w:t>
      </w:r>
      <w:r w:rsidR="009C0D2B" w:rsidRPr="009F2E4E">
        <w:rPr>
          <w:noProof/>
        </w:rPr>
        <w:t xml:space="preserve"> increasingly complex and opaque </w:t>
      </w:r>
      <w:r w:rsidR="001F5F49" w:rsidRPr="009F2E4E">
        <w:rPr>
          <w:noProof/>
        </w:rPr>
        <w:t xml:space="preserve">due to </w:t>
      </w:r>
      <w:r w:rsidR="009C0D2B" w:rsidRPr="009F2E4E">
        <w:rPr>
          <w:noProof/>
        </w:rPr>
        <w:t>factors such as the cumbersome calculations of the UK rebate</w:t>
      </w:r>
      <w:r w:rsidR="001F5F49" w:rsidRPr="009F2E4E">
        <w:rPr>
          <w:noProof/>
        </w:rPr>
        <w:t>,</w:t>
      </w:r>
      <w:r w:rsidR="009C0D2B" w:rsidRPr="009F2E4E">
        <w:rPr>
          <w:noProof/>
        </w:rPr>
        <w:t xml:space="preserve"> the “rebates on the rebate”, and heavy steps to calculate a notional harmonised value added tax</w:t>
      </w:r>
      <w:r w:rsidR="005229A7">
        <w:rPr>
          <w:noProof/>
        </w:rPr>
        <w:t xml:space="preserve"> base</w:t>
      </w:r>
      <w:r w:rsidR="001766B6">
        <w:rPr>
          <w:noProof/>
        </w:rPr>
        <w:t>(</w:t>
      </w:r>
      <w:r w:rsidR="001F5F49" w:rsidRPr="009F2E4E">
        <w:rPr>
          <w:noProof/>
          <w:vertAlign w:val="superscript"/>
        </w:rPr>
        <w:footnoteReference w:id="13"/>
      </w:r>
      <w:r w:rsidR="001766B6">
        <w:rPr>
          <w:noProof/>
        </w:rPr>
        <w:t>)</w:t>
      </w:r>
      <w:r w:rsidR="001F5F49" w:rsidRPr="009F2E4E">
        <w:rPr>
          <w:noProof/>
        </w:rPr>
        <w:t xml:space="preserve">. </w:t>
      </w:r>
      <w:r>
        <w:rPr>
          <w:noProof/>
        </w:rPr>
        <w:t>T</w:t>
      </w:r>
      <w:r w:rsidR="009C0D2B" w:rsidRPr="009F2E4E">
        <w:rPr>
          <w:noProof/>
        </w:rPr>
        <w:t>he reforms of 2020 - simplifying the VAT base</w:t>
      </w:r>
      <w:r w:rsidR="001766B6">
        <w:rPr>
          <w:noProof/>
        </w:rPr>
        <w:t>(</w:t>
      </w:r>
      <w:r w:rsidR="009C0D2B" w:rsidRPr="009F2E4E">
        <w:rPr>
          <w:rStyle w:val="FootnoteReference"/>
          <w:noProof/>
        </w:rPr>
        <w:footnoteReference w:id="14"/>
      </w:r>
      <w:r w:rsidR="001766B6">
        <w:rPr>
          <w:noProof/>
        </w:rPr>
        <w:t>)</w:t>
      </w:r>
      <w:r w:rsidR="009C0D2B" w:rsidRPr="009F2E4E">
        <w:rPr>
          <w:noProof/>
        </w:rPr>
        <w:t xml:space="preserve"> and introducing a plainer system of lump-sum rebates</w:t>
      </w:r>
      <w:r w:rsidR="002B53DB" w:rsidRPr="009F2E4E">
        <w:rPr>
          <w:noProof/>
        </w:rPr>
        <w:t xml:space="preserve"> led to </w:t>
      </w:r>
      <w:r w:rsidR="009C0D2B" w:rsidRPr="009F2E4E">
        <w:rPr>
          <w:noProof/>
        </w:rPr>
        <w:t xml:space="preserve">a simpler revenue collection for both Member States and the Commission. </w:t>
      </w:r>
    </w:p>
    <w:p w14:paraId="3E5355FB" w14:textId="1A8DEAE8" w:rsidR="001D44F1" w:rsidRPr="009F2E4E" w:rsidRDefault="001D44F1" w:rsidP="00955B43">
      <w:pPr>
        <w:pStyle w:val="Heading3"/>
        <w:ind w:left="0" w:firstLine="0"/>
        <w:rPr>
          <w:noProof/>
        </w:rPr>
      </w:pPr>
      <w:bookmarkStart w:id="123" w:name="_Toc133405541"/>
      <w:bookmarkStart w:id="124" w:name="_Toc133426644"/>
      <w:bookmarkStart w:id="125" w:name="_Toc134446537"/>
      <w:bookmarkStart w:id="126" w:name="_Toc135860238"/>
      <w:bookmarkStart w:id="127" w:name="_Toc136599807"/>
      <w:bookmarkStart w:id="128" w:name="_Toc136600385"/>
      <w:bookmarkStart w:id="129" w:name="_Toc137493990"/>
      <w:r w:rsidRPr="009F2E4E">
        <w:rPr>
          <w:noProof/>
        </w:rPr>
        <w:t>Fast mobilisation of new revenue source</w:t>
      </w:r>
      <w:r w:rsidR="00A62612" w:rsidRPr="009F2E4E">
        <w:rPr>
          <w:noProof/>
        </w:rPr>
        <w:t>s</w:t>
      </w:r>
      <w:bookmarkEnd w:id="123"/>
      <w:bookmarkEnd w:id="124"/>
      <w:bookmarkEnd w:id="125"/>
      <w:bookmarkEnd w:id="126"/>
      <w:bookmarkEnd w:id="127"/>
      <w:bookmarkEnd w:id="128"/>
      <w:bookmarkEnd w:id="129"/>
      <w:r w:rsidR="00E5205C" w:rsidRPr="009F2E4E">
        <w:rPr>
          <w:noProof/>
        </w:rPr>
        <w:t xml:space="preserve">  </w:t>
      </w:r>
    </w:p>
    <w:p w14:paraId="073211D5" w14:textId="77777777" w:rsidR="009F5447" w:rsidDel="00434839" w:rsidRDefault="00B43B75" w:rsidP="00C660D6">
      <w:pPr>
        <w:pStyle w:val="CommentText"/>
        <w:jc w:val="both"/>
        <w:rPr>
          <w:noProof/>
        </w:rPr>
      </w:pPr>
      <w:r w:rsidRPr="009F2600">
        <w:rPr>
          <w:rFonts w:ascii="EC Square Sans Pro" w:eastAsia="Times New Roman" w:hAnsi="EC Square Sans Pro" w:cs="Times New Roman"/>
          <w:i/>
          <w:noProof/>
          <w:u w:val="single"/>
          <w:lang w:eastAsia="en-IE"/>
        </w:rPr>
        <w:t>F</w:t>
      </w:r>
      <w:r w:rsidR="00E77F00" w:rsidRPr="009F2E4E">
        <w:rPr>
          <w:rFonts w:ascii="EC Square Sans Pro" w:eastAsia="Times New Roman" w:hAnsi="EC Square Sans Pro" w:cs="Times New Roman"/>
          <w:i/>
          <w:iCs/>
          <w:noProof/>
          <w:u w:val="single"/>
          <w:lang w:eastAsia="en-IE"/>
        </w:rPr>
        <w:t xml:space="preserve">ast mobilisation of new </w:t>
      </w:r>
      <w:r w:rsidR="00DB2586" w:rsidRPr="009F2E4E">
        <w:rPr>
          <w:rFonts w:ascii="EC Square Sans Pro" w:eastAsia="Times New Roman" w:hAnsi="EC Square Sans Pro" w:cs="Times New Roman"/>
          <w:i/>
          <w:iCs/>
          <w:noProof/>
          <w:u w:val="single"/>
          <w:lang w:eastAsia="en-IE"/>
        </w:rPr>
        <w:t xml:space="preserve">revenue </w:t>
      </w:r>
      <w:r w:rsidR="00E77F00" w:rsidRPr="009F2E4E">
        <w:rPr>
          <w:rFonts w:ascii="EC Square Sans Pro" w:eastAsia="Times New Roman" w:hAnsi="EC Square Sans Pro" w:cs="Times New Roman"/>
          <w:i/>
          <w:iCs/>
          <w:noProof/>
          <w:u w:val="single"/>
          <w:lang w:eastAsia="en-IE"/>
        </w:rPr>
        <w:t>sources</w:t>
      </w:r>
      <w:r w:rsidR="00E77F00" w:rsidRPr="009F2E4E">
        <w:rPr>
          <w:rFonts w:ascii="EC Square Sans Pro" w:eastAsia="Times New Roman" w:hAnsi="EC Square Sans Pro" w:cs="Times New Roman"/>
          <w:noProof/>
          <w:lang w:eastAsia="en-IE"/>
        </w:rPr>
        <w:t xml:space="preserve"> </w:t>
      </w:r>
      <w:r w:rsidR="00E81412" w:rsidRPr="009F2E4E">
        <w:rPr>
          <w:rFonts w:ascii="EC Square Sans Pro" w:eastAsia="Times New Roman" w:hAnsi="EC Square Sans Pro" w:cs="Times New Roman"/>
          <w:noProof/>
          <w:lang w:eastAsia="en-IE"/>
        </w:rPr>
        <w:t xml:space="preserve">reflects the </w:t>
      </w:r>
      <w:r w:rsidR="00E91C4F">
        <w:rPr>
          <w:rFonts w:ascii="EC Square Sans Pro" w:eastAsia="Times New Roman" w:hAnsi="EC Square Sans Pro" w:cs="Times New Roman"/>
          <w:noProof/>
          <w:lang w:eastAsia="en-IE"/>
        </w:rPr>
        <w:t xml:space="preserve">ability to </w:t>
      </w:r>
      <w:r w:rsidR="00F41DD8">
        <w:rPr>
          <w:rFonts w:ascii="EC Square Sans Pro" w:eastAsia="Times New Roman" w:hAnsi="EC Square Sans Pro" w:cs="Times New Roman"/>
          <w:noProof/>
          <w:lang w:eastAsia="en-IE"/>
        </w:rPr>
        <w:t>implement</w:t>
      </w:r>
      <w:r w:rsidR="001B51E0">
        <w:rPr>
          <w:rFonts w:ascii="EC Square Sans Pro" w:eastAsia="Times New Roman" w:hAnsi="EC Square Sans Pro" w:cs="Times New Roman"/>
          <w:noProof/>
          <w:lang w:eastAsia="en-IE"/>
        </w:rPr>
        <w:t xml:space="preserve"> </w:t>
      </w:r>
      <w:r w:rsidR="00E91C4F">
        <w:rPr>
          <w:rFonts w:ascii="EC Square Sans Pro" w:eastAsia="Times New Roman" w:hAnsi="EC Square Sans Pro" w:cs="Times New Roman"/>
          <w:noProof/>
          <w:lang w:eastAsia="en-IE"/>
        </w:rPr>
        <w:t xml:space="preserve">new sources of revenues quickly. The EU does not levy taxes and therefore, </w:t>
      </w:r>
      <w:r w:rsidR="001B51E0">
        <w:rPr>
          <w:rFonts w:ascii="EC Square Sans Pro" w:eastAsia="Times New Roman" w:hAnsi="EC Square Sans Pro" w:cs="Times New Roman"/>
          <w:noProof/>
          <w:lang w:eastAsia="en-IE"/>
        </w:rPr>
        <w:t xml:space="preserve">it </w:t>
      </w:r>
      <w:r w:rsidR="00E91C4F">
        <w:rPr>
          <w:rFonts w:ascii="EC Square Sans Pro" w:eastAsia="Times New Roman" w:hAnsi="EC Square Sans Pro" w:cs="Times New Roman"/>
          <w:noProof/>
          <w:lang w:eastAsia="en-IE"/>
        </w:rPr>
        <w:t xml:space="preserve">relies on sources of revenues </w:t>
      </w:r>
      <w:r w:rsidR="001B51E0">
        <w:rPr>
          <w:rFonts w:ascii="EC Square Sans Pro" w:eastAsia="Times New Roman" w:hAnsi="EC Square Sans Pro" w:cs="Times New Roman"/>
          <w:noProof/>
          <w:lang w:eastAsia="en-IE"/>
        </w:rPr>
        <w:t xml:space="preserve">stemming from </w:t>
      </w:r>
      <w:r w:rsidR="00E91C4F">
        <w:rPr>
          <w:rFonts w:ascii="EC Square Sans Pro" w:eastAsia="Times New Roman" w:hAnsi="EC Square Sans Pro" w:cs="Times New Roman"/>
          <w:noProof/>
          <w:lang w:eastAsia="en-IE"/>
        </w:rPr>
        <w:t xml:space="preserve">other </w:t>
      </w:r>
      <w:r w:rsidR="00F41DD8">
        <w:rPr>
          <w:rFonts w:ascii="EC Square Sans Pro" w:eastAsia="Times New Roman" w:hAnsi="EC Square Sans Pro" w:cs="Times New Roman"/>
          <w:noProof/>
          <w:lang w:eastAsia="en-IE"/>
        </w:rPr>
        <w:t>legislation</w:t>
      </w:r>
      <w:r w:rsidR="00E81412" w:rsidRPr="009F2E4E">
        <w:rPr>
          <w:rFonts w:ascii="EC Square Sans Pro" w:eastAsia="Times New Roman" w:hAnsi="EC Square Sans Pro" w:cs="Times New Roman"/>
          <w:noProof/>
          <w:lang w:eastAsia="en-IE"/>
        </w:rPr>
        <w:t>.</w:t>
      </w:r>
      <w:r w:rsidR="00C23CF3" w:rsidRPr="009F2E4E">
        <w:rPr>
          <w:rFonts w:ascii="EC Square Sans Pro" w:eastAsia="Times New Roman" w:hAnsi="EC Square Sans Pro" w:cs="Times New Roman"/>
          <w:noProof/>
          <w:lang w:eastAsia="en-IE"/>
        </w:rPr>
        <w:t xml:space="preserve"> T</w:t>
      </w:r>
      <w:r w:rsidR="00E41CC5" w:rsidRPr="009F2E4E">
        <w:rPr>
          <w:rFonts w:ascii="EC Square Sans Pro" w:eastAsia="Times New Roman" w:hAnsi="EC Square Sans Pro" w:cs="Times New Roman"/>
          <w:noProof/>
          <w:lang w:eastAsia="en-IE"/>
        </w:rPr>
        <w:t>his</w:t>
      </w:r>
      <w:r w:rsidR="00C23CF3" w:rsidRPr="009F2E4E">
        <w:rPr>
          <w:rFonts w:ascii="EC Square Sans Pro" w:eastAsia="Times New Roman" w:hAnsi="EC Square Sans Pro" w:cs="Times New Roman"/>
          <w:noProof/>
          <w:lang w:eastAsia="en-IE"/>
        </w:rPr>
        <w:t xml:space="preserve"> criterion</w:t>
      </w:r>
      <w:r w:rsidR="00E41CC5" w:rsidRPr="009F2E4E">
        <w:rPr>
          <w:rFonts w:ascii="EC Square Sans Pro" w:eastAsia="Times New Roman" w:hAnsi="EC Square Sans Pro" w:cs="Times New Roman"/>
          <w:noProof/>
          <w:lang w:eastAsia="en-IE"/>
        </w:rPr>
        <w:t xml:space="preserve"> </w:t>
      </w:r>
      <w:r w:rsidR="0090666E" w:rsidRPr="009F2E4E">
        <w:rPr>
          <w:rFonts w:ascii="EC Square Sans Pro" w:eastAsia="Times New Roman" w:hAnsi="EC Square Sans Pro" w:cs="Times New Roman"/>
          <w:noProof/>
          <w:lang w:eastAsia="en-IE"/>
        </w:rPr>
        <w:t xml:space="preserve">entails </w:t>
      </w:r>
      <w:r w:rsidR="00E41CC5" w:rsidRPr="009F2E4E">
        <w:rPr>
          <w:rFonts w:ascii="EC Square Sans Pro" w:eastAsia="Times New Roman" w:hAnsi="EC Square Sans Pro" w:cs="Times New Roman"/>
          <w:noProof/>
          <w:lang w:eastAsia="en-IE"/>
        </w:rPr>
        <w:t>the political and legal practicalities of raising new own resources quickly</w:t>
      </w:r>
      <w:r w:rsidR="00316045" w:rsidRPr="009F2E4E">
        <w:rPr>
          <w:rFonts w:ascii="EC Square Sans Pro" w:eastAsia="Times New Roman" w:hAnsi="EC Square Sans Pro" w:cs="Times New Roman"/>
          <w:noProof/>
          <w:lang w:eastAsia="en-IE"/>
        </w:rPr>
        <w:t xml:space="preserve">. It </w:t>
      </w:r>
      <w:r w:rsidR="00E41CC5" w:rsidRPr="009F2E4E">
        <w:rPr>
          <w:rFonts w:ascii="EC Square Sans Pro" w:eastAsia="Times New Roman" w:hAnsi="EC Square Sans Pro" w:cs="Times New Roman"/>
          <w:noProof/>
          <w:lang w:eastAsia="en-IE"/>
        </w:rPr>
        <w:t>includ</w:t>
      </w:r>
      <w:r w:rsidR="00316045" w:rsidRPr="009F2E4E">
        <w:rPr>
          <w:rFonts w:ascii="EC Square Sans Pro" w:eastAsia="Times New Roman" w:hAnsi="EC Square Sans Pro" w:cs="Times New Roman"/>
          <w:noProof/>
          <w:lang w:eastAsia="en-IE"/>
        </w:rPr>
        <w:t>es considerations such as a need for</w:t>
      </w:r>
      <w:r w:rsidR="00E41CC5" w:rsidRPr="009F2E4E">
        <w:rPr>
          <w:rFonts w:ascii="EC Square Sans Pro" w:eastAsia="Times New Roman" w:hAnsi="EC Square Sans Pro" w:cs="Times New Roman"/>
          <w:noProof/>
          <w:lang w:eastAsia="en-IE"/>
        </w:rPr>
        <w:t xml:space="preserve"> minimal extra pieces of new </w:t>
      </w:r>
      <w:r w:rsidR="00C57A2A" w:rsidRPr="009F2E4E">
        <w:rPr>
          <w:rFonts w:ascii="EC Square Sans Pro" w:eastAsia="Times New Roman" w:hAnsi="EC Square Sans Pro" w:cs="Times New Roman"/>
          <w:noProof/>
          <w:lang w:eastAsia="en-IE"/>
        </w:rPr>
        <w:t>legislation</w:t>
      </w:r>
      <w:r w:rsidR="00C660D6" w:rsidRPr="009F2E4E">
        <w:rPr>
          <w:rFonts w:ascii="EC Square Sans Pro" w:eastAsia="Times New Roman" w:hAnsi="EC Square Sans Pro" w:cs="Times New Roman"/>
          <w:noProof/>
          <w:lang w:eastAsia="en-IE"/>
        </w:rPr>
        <w:t xml:space="preserve">. In this sense, </w:t>
      </w:r>
      <w:r w:rsidR="00436CF1" w:rsidRPr="009F2E4E">
        <w:rPr>
          <w:rFonts w:ascii="EC Square Sans Pro" w:eastAsia="Times New Roman" w:hAnsi="EC Square Sans Pro" w:cs="Times New Roman"/>
          <w:noProof/>
          <w:lang w:eastAsia="en-IE"/>
        </w:rPr>
        <w:t>the criterion</w:t>
      </w:r>
      <w:r w:rsidR="00C660D6" w:rsidRPr="009F2E4E">
        <w:rPr>
          <w:rFonts w:ascii="EC Square Sans Pro" w:eastAsia="Times New Roman" w:hAnsi="EC Square Sans Pro" w:cs="Times New Roman"/>
          <w:noProof/>
          <w:lang w:eastAsia="en-IE"/>
        </w:rPr>
        <w:t xml:space="preserve"> may account for the current state of negotiations o</w:t>
      </w:r>
      <w:r w:rsidR="00436CF1" w:rsidRPr="009F2E4E">
        <w:rPr>
          <w:rFonts w:ascii="EC Square Sans Pro" w:eastAsia="Times New Roman" w:hAnsi="EC Square Sans Pro" w:cs="Times New Roman"/>
          <w:noProof/>
          <w:lang w:eastAsia="en-IE"/>
        </w:rPr>
        <w:t>f</w:t>
      </w:r>
      <w:r w:rsidR="00C660D6" w:rsidRPr="009F2E4E">
        <w:rPr>
          <w:rFonts w:ascii="EC Square Sans Pro" w:eastAsia="Times New Roman" w:hAnsi="EC Square Sans Pro" w:cs="Times New Roman"/>
          <w:noProof/>
          <w:lang w:eastAsia="en-IE"/>
        </w:rPr>
        <w:t xml:space="preserve"> different measures at EU or international level</w:t>
      </w:r>
      <w:r w:rsidR="00436CF1" w:rsidRPr="009F2E4E">
        <w:rPr>
          <w:rFonts w:ascii="EC Square Sans Pro" w:eastAsia="Times New Roman" w:hAnsi="EC Square Sans Pro" w:cs="Times New Roman"/>
          <w:noProof/>
          <w:lang w:eastAsia="en-IE"/>
        </w:rPr>
        <w:t xml:space="preserve"> or for the prospects of </w:t>
      </w:r>
      <w:r w:rsidR="00E91C4F">
        <w:rPr>
          <w:rFonts w:ascii="EC Square Sans Pro" w:eastAsia="Times New Roman" w:hAnsi="EC Square Sans Pro" w:cs="Times New Roman"/>
          <w:noProof/>
          <w:lang w:eastAsia="en-IE"/>
        </w:rPr>
        <w:t xml:space="preserve">agreement </w:t>
      </w:r>
      <w:r w:rsidR="00C660D6" w:rsidRPr="009F2E4E">
        <w:rPr>
          <w:rFonts w:ascii="EC Square Sans Pro" w:eastAsia="Times New Roman" w:hAnsi="EC Square Sans Pro" w:cs="Times New Roman"/>
          <w:noProof/>
          <w:lang w:eastAsia="en-IE"/>
        </w:rPr>
        <w:t xml:space="preserve">of sectoral legislation </w:t>
      </w:r>
      <w:r w:rsidR="00E23FF8" w:rsidRPr="009F2E4E">
        <w:rPr>
          <w:rFonts w:ascii="EC Square Sans Pro" w:eastAsia="Times New Roman" w:hAnsi="EC Square Sans Pro" w:cs="Times New Roman"/>
          <w:noProof/>
          <w:lang w:eastAsia="en-IE"/>
        </w:rPr>
        <w:t xml:space="preserve">serving as </w:t>
      </w:r>
      <w:r w:rsidR="00D404FC" w:rsidRPr="009F2E4E">
        <w:rPr>
          <w:rFonts w:ascii="EC Square Sans Pro" w:eastAsia="Times New Roman" w:hAnsi="EC Square Sans Pro" w:cs="Times New Roman"/>
          <w:noProof/>
          <w:lang w:eastAsia="en-IE"/>
        </w:rPr>
        <w:t>prerequisite</w:t>
      </w:r>
      <w:r w:rsidR="00C660D6" w:rsidRPr="009F2E4E">
        <w:rPr>
          <w:rFonts w:ascii="EC Square Sans Pro" w:eastAsia="Times New Roman" w:hAnsi="EC Square Sans Pro" w:cs="Times New Roman"/>
          <w:noProof/>
          <w:lang w:eastAsia="en-IE"/>
        </w:rPr>
        <w:t xml:space="preserve"> for the implementation of a new own resource.</w:t>
      </w:r>
      <w:r w:rsidR="00C660D6" w:rsidRPr="009F2E4E">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E1" w:themeFill="accent4" w:themeFillTint="33"/>
        <w:tblCellMar>
          <w:top w:w="170" w:type="dxa"/>
          <w:left w:w="170" w:type="dxa"/>
          <w:bottom w:w="170" w:type="dxa"/>
          <w:right w:w="170" w:type="dxa"/>
        </w:tblCellMar>
        <w:tblLook w:val="04A0" w:firstRow="1" w:lastRow="0" w:firstColumn="1" w:lastColumn="0" w:noHBand="0" w:noVBand="1"/>
      </w:tblPr>
      <w:tblGrid>
        <w:gridCol w:w="8834"/>
      </w:tblGrid>
      <w:tr w:rsidR="009F5447" w14:paraId="7A866C8E" w14:textId="77777777" w:rsidTr="00DE22D3">
        <w:tc>
          <w:tcPr>
            <w:tcW w:w="8834" w:type="dxa"/>
            <w:shd w:val="clear" w:color="auto" w:fill="E8F2E1" w:themeFill="accent4" w:themeFillTint="33"/>
          </w:tcPr>
          <w:p w14:paraId="6CAF9582" w14:textId="77777777" w:rsidR="009F5447" w:rsidRPr="009F2E4E" w:rsidRDefault="009F5447" w:rsidP="009F5447">
            <w:pPr>
              <w:keepNext/>
              <w:shd w:val="clear" w:color="auto" w:fill="E8F2E1" w:themeFill="accent4" w:themeFillTint="33"/>
              <w:rPr>
                <w:b/>
                <w:noProof/>
                <w:color w:val="023E8A" w:themeColor="accent1"/>
                <w:sz w:val="22"/>
                <w:szCs w:val="22"/>
              </w:rPr>
            </w:pPr>
            <w:r w:rsidRPr="00390F9E">
              <w:rPr>
                <w:b/>
                <w:noProof/>
                <w:color w:val="023E8A" w:themeColor="accent1"/>
                <w:sz w:val="22"/>
                <w:szCs w:val="22"/>
              </w:rPr>
              <w:t xml:space="preserve">Box 2. </w:t>
            </w:r>
            <w:r w:rsidRPr="0D5E584C">
              <w:rPr>
                <w:b/>
                <w:noProof/>
                <w:color w:val="023E8A" w:themeColor="accent1"/>
                <w:sz w:val="22"/>
                <w:szCs w:val="22"/>
              </w:rPr>
              <w:t xml:space="preserve">Criteria: </w:t>
            </w:r>
            <w:r>
              <w:rPr>
                <w:b/>
                <w:noProof/>
                <w:color w:val="023E8A" w:themeColor="accent1"/>
                <w:sz w:val="22"/>
                <w:szCs w:val="22"/>
              </w:rPr>
              <w:t>W</w:t>
            </w:r>
            <w:r w:rsidRPr="0D5E584C">
              <w:rPr>
                <w:b/>
                <w:noProof/>
                <w:color w:val="023E8A" w:themeColor="accent1"/>
                <w:sz w:val="22"/>
                <w:szCs w:val="22"/>
              </w:rPr>
              <w:t>hat does the literature tell us?</w:t>
            </w:r>
          </w:p>
          <w:p w14:paraId="27078547" w14:textId="50EC67D6" w:rsidR="009F5447" w:rsidRPr="00417E44" w:rsidRDefault="009F5447" w:rsidP="009F5447">
            <w:pPr>
              <w:keepNext/>
              <w:shd w:val="clear" w:color="auto" w:fill="E8F2E1" w:themeFill="accent4" w:themeFillTint="33"/>
              <w:rPr>
                <w:noProof/>
                <w:color w:val="023E8A" w:themeColor="accent1"/>
              </w:rPr>
            </w:pPr>
            <w:r w:rsidRPr="004D787C">
              <w:rPr>
                <w:noProof/>
                <w:color w:val="023E8A" w:themeColor="accent1"/>
              </w:rPr>
              <w:t>There is an extensive literature on tax and economists have been assessing taxation from various perspective</w:t>
            </w:r>
            <w:r>
              <w:rPr>
                <w:noProof/>
                <w:color w:val="023E8A" w:themeColor="accent1"/>
              </w:rPr>
              <w:t>s</w:t>
            </w:r>
            <w:r w:rsidRPr="004D787C">
              <w:rPr>
                <w:noProof/>
                <w:color w:val="023E8A" w:themeColor="accent1"/>
              </w:rPr>
              <w:t xml:space="preserve"> </w:t>
            </w:r>
            <w:r>
              <w:rPr>
                <w:noProof/>
                <w:color w:val="023E8A" w:themeColor="accent1"/>
              </w:rPr>
              <w:t xml:space="preserve">concerning for example </w:t>
            </w:r>
            <w:r w:rsidRPr="004D787C">
              <w:rPr>
                <w:noProof/>
                <w:color w:val="023E8A" w:themeColor="accent1"/>
              </w:rPr>
              <w:t xml:space="preserve">policy, </w:t>
            </w:r>
            <w:r w:rsidR="002D7207" w:rsidRPr="004D787C">
              <w:rPr>
                <w:noProof/>
                <w:color w:val="023E8A" w:themeColor="accent1"/>
              </w:rPr>
              <w:t>administration,</w:t>
            </w:r>
            <w:r>
              <w:rPr>
                <w:noProof/>
                <w:color w:val="023E8A" w:themeColor="accent1"/>
              </w:rPr>
              <w:t xml:space="preserve"> and</w:t>
            </w:r>
            <w:r w:rsidRPr="004D787C">
              <w:rPr>
                <w:noProof/>
                <w:color w:val="023E8A" w:themeColor="accent1"/>
              </w:rPr>
              <w:t xml:space="preserve"> compliance. Comparatively, the literature on EU revenues is more limited, given the specificities of the EU budget compared to national budget</w:t>
            </w:r>
            <w:r>
              <w:rPr>
                <w:noProof/>
                <w:color w:val="023E8A" w:themeColor="accent1"/>
              </w:rPr>
              <w:t>s</w:t>
            </w:r>
            <w:r w:rsidRPr="004D787C">
              <w:rPr>
                <w:noProof/>
                <w:color w:val="023E8A" w:themeColor="accent1"/>
              </w:rPr>
              <w:t>. The EU budget does not levy tax</w:t>
            </w:r>
            <w:r>
              <w:rPr>
                <w:noProof/>
                <w:color w:val="023E8A" w:themeColor="accent1"/>
              </w:rPr>
              <w:t>es</w:t>
            </w:r>
            <w:r w:rsidRPr="004D787C">
              <w:rPr>
                <w:noProof/>
                <w:color w:val="023E8A" w:themeColor="accent1"/>
              </w:rPr>
              <w:t xml:space="preserve"> and is financed by revenues from common policies (i.e. customs duties) and national contributions (see Part 1). These revenues are </w:t>
            </w:r>
            <w:r>
              <w:rPr>
                <w:noProof/>
                <w:color w:val="023E8A" w:themeColor="accent1"/>
              </w:rPr>
              <w:t xml:space="preserve">currently </w:t>
            </w:r>
            <w:r w:rsidRPr="004D787C">
              <w:rPr>
                <w:noProof/>
                <w:color w:val="023E8A" w:themeColor="accent1"/>
              </w:rPr>
              <w:t xml:space="preserve">collected by Member States and transferred to the EU budget. Therefore, the application of criteria used in the tax literature would need to be further adjusted to reflect these specificities. </w:t>
            </w:r>
          </w:p>
          <w:p w14:paraId="6690C1BE" w14:textId="77777777" w:rsidR="009F5447" w:rsidRPr="005F2CAC" w:rsidRDefault="009F5447" w:rsidP="009F5447">
            <w:pPr>
              <w:shd w:val="clear" w:color="auto" w:fill="E8F2E1" w:themeFill="accent4" w:themeFillTint="33"/>
              <w:rPr>
                <w:noProof/>
                <w:color w:val="023E8A" w:themeColor="accent1"/>
              </w:rPr>
            </w:pPr>
            <w:r w:rsidRPr="004D787C">
              <w:rPr>
                <w:noProof/>
                <w:color w:val="023E8A" w:themeColor="accent1"/>
              </w:rPr>
              <w:t>Equity, efficiency, and a practical/simple administration are three principles traditionally used to evaluate the rationale for raising revenue as done through national budgets. These objectives originate in the early economic theory of Adam Smith and continue to gather wide acceptance among modern theorists today. They reflect various aspects of governance, tax policy, and tax administration, including the extent to which the two main roles traditionally defined for taxes under national budgets</w:t>
            </w:r>
            <w:r>
              <w:rPr>
                <w:noProof/>
                <w:color w:val="023E8A" w:themeColor="accent1"/>
              </w:rPr>
              <w:t xml:space="preserve"> -</w:t>
            </w:r>
            <w:r w:rsidRPr="004D787C">
              <w:rPr>
                <w:noProof/>
                <w:color w:val="023E8A" w:themeColor="accent1"/>
              </w:rPr>
              <w:t xml:space="preserve"> redistribution</w:t>
            </w:r>
            <w:r w:rsidRPr="005F2CAC">
              <w:rPr>
                <w:noProof/>
                <w:color w:val="023E8A" w:themeColor="accent1"/>
              </w:rPr>
              <w:t xml:space="preserve"> and </w:t>
            </w:r>
            <w:r w:rsidRPr="004D787C">
              <w:rPr>
                <w:noProof/>
                <w:color w:val="023E8A" w:themeColor="accent1"/>
              </w:rPr>
              <w:t>revenue raising for the collective provision of goods and services</w:t>
            </w:r>
            <w:r w:rsidRPr="005F2CAC">
              <w:rPr>
                <w:noProof/>
                <w:color w:val="023E8A" w:themeColor="accent1"/>
              </w:rPr>
              <w:t>, including insurance (Smith, 2015</w:t>
            </w:r>
            <w:r>
              <w:rPr>
                <w:noProof/>
                <w:color w:val="023E8A" w:themeColor="accent1"/>
              </w:rPr>
              <w:t>(</w:t>
            </w:r>
            <w:r w:rsidRPr="004F22DF">
              <w:rPr>
                <w:noProof/>
                <w:color w:val="023E8A" w:themeColor="accent1"/>
                <w:vertAlign w:val="superscript"/>
              </w:rPr>
              <w:footnoteReference w:id="15"/>
            </w:r>
            <w:r>
              <w:rPr>
                <w:noProof/>
                <w:color w:val="023E8A" w:themeColor="accent1"/>
              </w:rPr>
              <w:t>)</w:t>
            </w:r>
            <w:r w:rsidRPr="005F2CAC">
              <w:rPr>
                <w:noProof/>
                <w:color w:val="023E8A" w:themeColor="accent1"/>
              </w:rPr>
              <w:t xml:space="preserve">) </w:t>
            </w:r>
            <w:r>
              <w:rPr>
                <w:noProof/>
                <w:color w:val="023E8A" w:themeColor="accent1"/>
              </w:rPr>
              <w:t xml:space="preserve">- </w:t>
            </w:r>
            <w:r w:rsidRPr="005F2CAC">
              <w:rPr>
                <w:noProof/>
                <w:color w:val="023E8A" w:themeColor="accent1"/>
              </w:rPr>
              <w:t xml:space="preserve">are fulfilled. </w:t>
            </w:r>
          </w:p>
          <w:p w14:paraId="5A6584C4" w14:textId="77777777" w:rsidR="009F5447" w:rsidRPr="00417E44" w:rsidRDefault="009F5447" w:rsidP="009F5447">
            <w:pPr>
              <w:shd w:val="clear" w:color="auto" w:fill="E8F2E1" w:themeFill="accent4" w:themeFillTint="33"/>
              <w:rPr>
                <w:noProof/>
                <w:color w:val="023E8A" w:themeColor="accent1"/>
              </w:rPr>
            </w:pPr>
            <w:r w:rsidRPr="004D787C">
              <w:rPr>
                <w:noProof/>
                <w:color w:val="023E8A" w:themeColor="accent1"/>
              </w:rPr>
              <w:t xml:space="preserve">Some key conceptual </w:t>
            </w:r>
            <w:r w:rsidRPr="00A91634">
              <w:rPr>
                <w:noProof/>
                <w:color w:val="023E8A" w:themeColor="accent1"/>
              </w:rPr>
              <w:t>considerations are listed below</w:t>
            </w:r>
            <w:r>
              <w:rPr>
                <w:noProof/>
                <w:color w:val="023E8A" w:themeColor="accent1"/>
              </w:rPr>
              <w:t xml:space="preserve"> and refer to</w:t>
            </w:r>
            <w:r w:rsidRPr="004D787C">
              <w:rPr>
                <w:noProof/>
                <w:color w:val="023E8A" w:themeColor="accent1"/>
              </w:rPr>
              <w:t xml:space="preserve"> the criteria for a good tax, as found in the literature</w:t>
            </w:r>
            <w:r>
              <w:rPr>
                <w:noProof/>
                <w:color w:val="023E8A" w:themeColor="accent1"/>
              </w:rPr>
              <w:t>(</w:t>
            </w:r>
            <w:r w:rsidRPr="00417E44">
              <w:rPr>
                <w:noProof/>
                <w:color w:val="023E8A" w:themeColor="accent1"/>
                <w:vertAlign w:val="superscript"/>
              </w:rPr>
              <w:footnoteReference w:id="16"/>
            </w:r>
            <w:r>
              <w:rPr>
                <w:noProof/>
                <w:color w:val="023E8A" w:themeColor="accent1"/>
              </w:rPr>
              <w:t>).</w:t>
            </w:r>
          </w:p>
          <w:p w14:paraId="03A33EE1" w14:textId="4D1D6389" w:rsidR="009F5447" w:rsidRPr="00417E44" w:rsidRDefault="009F5447" w:rsidP="009F5447">
            <w:pPr>
              <w:shd w:val="clear" w:color="auto" w:fill="E8F2E1" w:themeFill="accent4" w:themeFillTint="33"/>
              <w:rPr>
                <w:noProof/>
                <w:color w:val="023E8A" w:themeColor="accent1"/>
              </w:rPr>
            </w:pPr>
            <w:r>
              <w:rPr>
                <w:noProof/>
                <w:color w:val="023E8A" w:themeColor="accent1"/>
              </w:rPr>
              <w:t xml:space="preserve">- </w:t>
            </w:r>
            <w:r w:rsidRPr="00417E44">
              <w:rPr>
                <w:noProof/>
                <w:color w:val="023E8A" w:themeColor="accent1"/>
              </w:rPr>
              <w:t xml:space="preserve">Effectiveness in raising revenues will determine revenue sufficiency. In the literature, effectiveness refers to a tax or revenue design which is </w:t>
            </w:r>
            <w:r w:rsidRPr="00923FBB">
              <w:rPr>
                <w:noProof/>
                <w:color w:val="023E8A" w:themeColor="accent1"/>
              </w:rPr>
              <w:t>dependable</w:t>
            </w:r>
            <w:r w:rsidRPr="00620CCB">
              <w:rPr>
                <w:rFonts w:cs="Calibri"/>
                <w:noProof/>
                <w:color w:val="023E8A" w:themeColor="accent1"/>
              </w:rPr>
              <w:t> </w:t>
            </w:r>
            <w:r w:rsidR="001162B0" w:rsidRPr="00620CCB">
              <w:rPr>
                <w:noProof/>
                <w:color w:val="023E8A" w:themeColor="accent1"/>
              </w:rPr>
              <w:t>(</w:t>
            </w:r>
            <w:r w:rsidR="001162B0">
              <w:rPr>
                <w:rStyle w:val="FootnoteReference"/>
                <w:noProof/>
                <w:color w:val="023E8A" w:themeColor="accent1"/>
              </w:rPr>
              <w:footnoteReference w:id="17"/>
            </w:r>
            <w:r w:rsidR="001162B0">
              <w:rPr>
                <w:noProof/>
                <w:color w:val="023E8A" w:themeColor="accent1"/>
              </w:rPr>
              <w:t>)</w:t>
            </w:r>
            <w:r w:rsidRPr="00417E44">
              <w:rPr>
                <w:noProof/>
                <w:color w:val="023E8A" w:themeColor="accent1"/>
              </w:rPr>
              <w:t xml:space="preserve"> and predictable from year to year; for instance, tax / revenue systems applying to a broad tax base at a low tax rate are known to be most effective in raising revenues. </w:t>
            </w:r>
          </w:p>
          <w:p w14:paraId="28AFF1E4" w14:textId="77777777" w:rsidR="009F5447" w:rsidRPr="00A45747" w:rsidRDefault="009F5447" w:rsidP="009F5447">
            <w:pPr>
              <w:shd w:val="clear" w:color="auto" w:fill="E8F2E1" w:themeFill="accent4" w:themeFillTint="33"/>
              <w:rPr>
                <w:noProof/>
                <w:color w:val="023E8A" w:themeColor="accent1"/>
              </w:rPr>
            </w:pPr>
            <w:r>
              <w:rPr>
                <w:noProof/>
                <w:color w:val="023E8A" w:themeColor="accent1"/>
              </w:rPr>
              <w:t>- Efficiency is important as p</w:t>
            </w:r>
            <w:r w:rsidRPr="00417E44">
              <w:rPr>
                <w:noProof/>
                <w:color w:val="023E8A" w:themeColor="accent1"/>
              </w:rPr>
              <w:t xml:space="preserve">ublic authorities aim to avoid distortions often associated with the loss of economic activity (‘deadweight loss’) that may arise when taxes drive a wedge between economic agents. </w:t>
            </w:r>
            <w:r w:rsidRPr="007C56BA">
              <w:rPr>
                <w:noProof/>
                <w:color w:val="023E8A" w:themeColor="accent1"/>
              </w:rPr>
              <w:t>Economic distortions are behavioural changes</w:t>
            </w:r>
            <w:r>
              <w:rPr>
                <w:noProof/>
                <w:color w:val="023E8A" w:themeColor="accent1"/>
              </w:rPr>
              <w:t xml:space="preserve"> which can </w:t>
            </w:r>
            <w:r w:rsidRPr="007C56BA">
              <w:rPr>
                <w:noProof/>
                <w:color w:val="023E8A" w:themeColor="accent1"/>
              </w:rPr>
              <w:t xml:space="preserve">occur when taxes change relative prices and </w:t>
            </w:r>
            <w:r>
              <w:rPr>
                <w:noProof/>
                <w:color w:val="023E8A" w:themeColor="accent1"/>
              </w:rPr>
              <w:t xml:space="preserve">consumers can turn to </w:t>
            </w:r>
            <w:r w:rsidRPr="007C56BA">
              <w:rPr>
                <w:noProof/>
                <w:color w:val="023E8A" w:themeColor="accent1"/>
              </w:rPr>
              <w:t>substitute products</w:t>
            </w:r>
            <w:r>
              <w:rPr>
                <w:noProof/>
                <w:color w:val="023E8A" w:themeColor="accent1"/>
              </w:rPr>
              <w:t xml:space="preserve">. </w:t>
            </w:r>
            <w:r w:rsidRPr="00417E44">
              <w:rPr>
                <w:noProof/>
                <w:color w:val="023E8A" w:themeColor="accent1"/>
              </w:rPr>
              <w:t>Such distortions would prevent from concluding or supress a transaction which would have occurred in absence of the tax</w:t>
            </w:r>
            <w:r>
              <w:rPr>
                <w:noProof/>
                <w:color w:val="023E8A" w:themeColor="accent1"/>
              </w:rPr>
              <w:t>(</w:t>
            </w:r>
            <w:r w:rsidRPr="00636D4D">
              <w:rPr>
                <w:noProof/>
                <w:color w:val="023E8A" w:themeColor="accent1"/>
                <w:vertAlign w:val="superscript"/>
              </w:rPr>
              <w:footnoteReference w:id="18"/>
            </w:r>
            <w:r>
              <w:rPr>
                <w:noProof/>
                <w:color w:val="023E8A" w:themeColor="accent1"/>
              </w:rPr>
              <w:t>)</w:t>
            </w:r>
            <w:r w:rsidRPr="00636D4D">
              <w:rPr>
                <w:noProof/>
                <w:color w:val="023E8A" w:themeColor="accent1"/>
              </w:rPr>
              <w:t xml:space="preserve">. </w:t>
            </w:r>
          </w:p>
          <w:p w14:paraId="00DF7B7E" w14:textId="77777777" w:rsidR="009F5447" w:rsidRPr="00636D4D" w:rsidRDefault="009F5447" w:rsidP="009F5447">
            <w:pPr>
              <w:shd w:val="clear" w:color="auto" w:fill="E8F2E1" w:themeFill="accent4" w:themeFillTint="33"/>
              <w:rPr>
                <w:noProof/>
                <w:color w:val="023E8A" w:themeColor="accent1"/>
              </w:rPr>
            </w:pPr>
            <w:r>
              <w:rPr>
                <w:noProof/>
                <w:color w:val="023E8A" w:themeColor="accent1"/>
              </w:rPr>
              <w:t>- Equity</w:t>
            </w:r>
            <w:r w:rsidRPr="00A45747">
              <w:rPr>
                <w:noProof/>
                <w:color w:val="023E8A" w:themeColor="accent1"/>
              </w:rPr>
              <w:t xml:space="preserve"> is a major issue in taxation and it can encompass several dimensions, such as </w:t>
            </w:r>
            <w:r>
              <w:rPr>
                <w:noProof/>
                <w:color w:val="023E8A" w:themeColor="accent1"/>
              </w:rPr>
              <w:t>the ability to pay, progressivity</w:t>
            </w:r>
            <w:r w:rsidRPr="00636D4D">
              <w:rPr>
                <w:noProof/>
                <w:color w:val="023E8A" w:themeColor="accent1"/>
              </w:rPr>
              <w:t xml:space="preserve"> </w:t>
            </w:r>
            <w:r>
              <w:rPr>
                <w:noProof/>
                <w:color w:val="023E8A" w:themeColor="accent1"/>
              </w:rPr>
              <w:t xml:space="preserve">and </w:t>
            </w:r>
            <w:r w:rsidRPr="00636D4D">
              <w:rPr>
                <w:noProof/>
                <w:color w:val="023E8A" w:themeColor="accent1"/>
              </w:rPr>
              <w:t xml:space="preserve">redistribution from </w:t>
            </w:r>
            <w:r>
              <w:rPr>
                <w:noProof/>
                <w:color w:val="023E8A" w:themeColor="accent1"/>
              </w:rPr>
              <w:t xml:space="preserve">the </w:t>
            </w:r>
            <w:r w:rsidRPr="00636D4D">
              <w:rPr>
                <w:noProof/>
                <w:color w:val="023E8A" w:themeColor="accent1"/>
              </w:rPr>
              <w:t>better off to the worse off</w:t>
            </w:r>
            <w:r>
              <w:rPr>
                <w:noProof/>
                <w:color w:val="023E8A" w:themeColor="accent1"/>
              </w:rPr>
              <w:t xml:space="preserve"> (vertical equity); </w:t>
            </w:r>
            <w:r w:rsidRPr="005F2CAC">
              <w:rPr>
                <w:noProof/>
                <w:color w:val="023E8A" w:themeColor="accent1"/>
              </w:rPr>
              <w:t xml:space="preserve">equal treatment of </w:t>
            </w:r>
            <w:r>
              <w:rPr>
                <w:noProof/>
                <w:color w:val="023E8A" w:themeColor="accent1"/>
              </w:rPr>
              <w:t xml:space="preserve">agents </w:t>
            </w:r>
            <w:r w:rsidRPr="00636D4D">
              <w:rPr>
                <w:noProof/>
                <w:color w:val="023E8A" w:themeColor="accent1"/>
              </w:rPr>
              <w:t>in the same situation</w:t>
            </w:r>
            <w:r>
              <w:rPr>
                <w:noProof/>
                <w:color w:val="023E8A" w:themeColor="accent1"/>
              </w:rPr>
              <w:t xml:space="preserve"> (horizontal equity), </w:t>
            </w:r>
            <w:r w:rsidRPr="00A45747">
              <w:rPr>
                <w:noProof/>
                <w:color w:val="023E8A" w:themeColor="accent1"/>
              </w:rPr>
              <w:t>‘</w:t>
            </w:r>
            <w:r w:rsidRPr="004D787C">
              <w:rPr>
                <w:noProof/>
                <w:color w:val="023E8A" w:themeColor="accent1"/>
              </w:rPr>
              <w:t xml:space="preserve">the polluter </w:t>
            </w:r>
            <w:r w:rsidRPr="00A45747">
              <w:rPr>
                <w:noProof/>
                <w:color w:val="023E8A" w:themeColor="accent1"/>
              </w:rPr>
              <w:t>pays’ principle</w:t>
            </w:r>
            <w:r>
              <w:rPr>
                <w:noProof/>
                <w:color w:val="023E8A" w:themeColor="accent1"/>
              </w:rPr>
              <w:t xml:space="preserve"> and correction of other negative externalities</w:t>
            </w:r>
            <w:r w:rsidRPr="00A45747">
              <w:rPr>
                <w:noProof/>
                <w:color w:val="023E8A" w:themeColor="accent1"/>
              </w:rPr>
              <w:t xml:space="preserve"> </w:t>
            </w:r>
            <w:r w:rsidRPr="004D787C">
              <w:rPr>
                <w:noProof/>
                <w:color w:val="023E8A" w:themeColor="accent1"/>
              </w:rPr>
              <w:t>(Smith, 2015)</w:t>
            </w:r>
            <w:r>
              <w:rPr>
                <w:noProof/>
                <w:color w:val="023E8A" w:themeColor="accent1"/>
              </w:rPr>
              <w:t>.</w:t>
            </w:r>
          </w:p>
          <w:p w14:paraId="18914513" w14:textId="77777777" w:rsidR="009F5447" w:rsidRPr="004D787C" w:rsidRDefault="009F5447" w:rsidP="009F5447">
            <w:pPr>
              <w:shd w:val="clear" w:color="auto" w:fill="E8F2E1" w:themeFill="accent4" w:themeFillTint="33"/>
              <w:rPr>
                <w:noProof/>
                <w:color w:val="023D89"/>
              </w:rPr>
            </w:pPr>
            <w:r>
              <w:rPr>
                <w:noProof/>
                <w:color w:val="023E8A" w:themeColor="accent1"/>
              </w:rPr>
              <w:t xml:space="preserve">- </w:t>
            </w:r>
            <w:r w:rsidRPr="004D787C">
              <w:rPr>
                <w:noProof/>
                <w:color w:val="023E8A" w:themeColor="accent1"/>
              </w:rPr>
              <w:t>Simplicity</w:t>
            </w:r>
            <w:r w:rsidRPr="00A45747">
              <w:rPr>
                <w:noProof/>
                <w:color w:val="023E8A" w:themeColor="accent1"/>
              </w:rPr>
              <w:t xml:space="preserve"> or </w:t>
            </w:r>
            <w:r w:rsidRPr="004D787C">
              <w:rPr>
                <w:noProof/>
                <w:color w:val="023E8A" w:themeColor="accent1"/>
              </w:rPr>
              <w:t>ease of administration refers to revenue collection, implementation, and compliance.  This criterion, which also features among those qualifying `good' tax systems (Smith, 2015, Stiglitz, 2000</w:t>
            </w:r>
            <w:r>
              <w:rPr>
                <w:noProof/>
                <w:color w:val="023E8A" w:themeColor="accent1"/>
              </w:rPr>
              <w:t>(</w:t>
            </w:r>
            <w:r w:rsidRPr="004F22DF">
              <w:rPr>
                <w:noProof/>
                <w:color w:val="023E8A" w:themeColor="accent1"/>
                <w:vertAlign w:val="superscript"/>
              </w:rPr>
              <w:footnoteReference w:id="19"/>
            </w:r>
            <w:r>
              <w:rPr>
                <w:noProof/>
                <w:color w:val="023E8A" w:themeColor="accent1"/>
              </w:rPr>
              <w:t>)</w:t>
            </w:r>
            <w:r w:rsidRPr="005F2CAC">
              <w:rPr>
                <w:noProof/>
                <w:color w:val="023E8A" w:themeColor="accent1"/>
              </w:rPr>
              <w:t xml:space="preserve">), De Mooij </w:t>
            </w:r>
            <w:r w:rsidRPr="004D787C">
              <w:rPr>
                <w:noProof/>
                <w:color w:val="023E8A" w:themeColor="accent1"/>
              </w:rPr>
              <w:t xml:space="preserve">et al., 2014), essentially concerns administering a tax or revenue system at low collection costs (Begg and Grimwade, 1998; Heinemann et al., 2008; Schratzenstaller, 2014). Generally speaking, the proof of simplicity is whether revenues are reliably collected every year without excessive administrative burden or legal and procedural controversy. </w:t>
            </w:r>
          </w:p>
          <w:p w14:paraId="1813BB81" w14:textId="77777777" w:rsidR="009F5447" w:rsidRDefault="009F5447" w:rsidP="009F5447">
            <w:pPr>
              <w:shd w:val="clear" w:color="auto" w:fill="E8F2E1" w:themeFill="accent4" w:themeFillTint="33"/>
              <w:rPr>
                <w:noProof/>
                <w:color w:val="023D89"/>
              </w:rPr>
            </w:pPr>
            <w:r w:rsidRPr="39B20E48">
              <w:rPr>
                <w:noProof/>
                <w:color w:val="023D89"/>
              </w:rPr>
              <w:t xml:space="preserve">- Transparency concerns the different stakeholders’ understanding and ease of access to information, including through clear calculation methods of different budget revenues. Stakeholders may include taxpayers / citizens, civil society, parliaments. Transparency is even more vital in multi-level governance systems (Begg et al., 2008). </w:t>
            </w:r>
          </w:p>
          <w:p w14:paraId="66237D2F" w14:textId="3ED0C304" w:rsidR="009F5447" w:rsidRPr="00DE22D3" w:rsidRDefault="009F5447" w:rsidP="00427292">
            <w:pPr>
              <w:shd w:val="clear" w:color="auto" w:fill="E8F2E1" w:themeFill="accent4" w:themeFillTint="33"/>
              <w:spacing w:after="0"/>
              <w:rPr>
                <w:noProof/>
                <w:color w:val="023D89"/>
              </w:rPr>
            </w:pPr>
          </w:p>
        </w:tc>
      </w:tr>
    </w:tbl>
    <w:p w14:paraId="006C267B" w14:textId="55BED014" w:rsidR="00CE70FF" w:rsidRPr="009F2E4E" w:rsidRDefault="00CE70FF" w:rsidP="00427292">
      <w:pPr>
        <w:pStyle w:val="Heading2"/>
        <w:spacing w:before="360"/>
      </w:pPr>
      <w:bookmarkStart w:id="130" w:name="_Toc133405542"/>
      <w:bookmarkStart w:id="131" w:name="_Toc133426645"/>
      <w:bookmarkStart w:id="132" w:name="_Toc134446538"/>
      <w:bookmarkStart w:id="133" w:name="_Toc135860239"/>
      <w:bookmarkStart w:id="134" w:name="_Toc137493991"/>
      <w:bookmarkStart w:id="135" w:name="_Toc136599808"/>
      <w:bookmarkStart w:id="136" w:name="_Toc136600386"/>
      <w:r w:rsidRPr="009F2E4E">
        <w:t>2.2 Stakeholder and other institu</w:t>
      </w:r>
      <w:r w:rsidR="00017821" w:rsidRPr="009F2E4E">
        <w:t>t</w:t>
      </w:r>
      <w:r w:rsidRPr="009F2E4E">
        <w:t>ions</w:t>
      </w:r>
      <w:r w:rsidR="00D32F5D" w:rsidRPr="009F2E4E">
        <w:t>’</w:t>
      </w:r>
      <w:r w:rsidRPr="009F2E4E">
        <w:t xml:space="preserve"> views</w:t>
      </w:r>
      <w:bookmarkEnd w:id="130"/>
      <w:bookmarkEnd w:id="131"/>
      <w:bookmarkEnd w:id="132"/>
      <w:bookmarkEnd w:id="133"/>
      <w:bookmarkEnd w:id="134"/>
      <w:r w:rsidRPr="009F2E4E">
        <w:t xml:space="preserve"> </w:t>
      </w:r>
      <w:bookmarkEnd w:id="135"/>
      <w:bookmarkEnd w:id="136"/>
    </w:p>
    <w:p w14:paraId="1B71BD0C" w14:textId="4C9AD426" w:rsidR="00014895" w:rsidRPr="009F2E4E" w:rsidRDefault="00454FE8" w:rsidP="00500E0C">
      <w:pPr>
        <w:rPr>
          <w:noProof/>
          <w:lang w:eastAsia="en-GB"/>
        </w:rPr>
      </w:pPr>
      <w:r w:rsidRPr="009F2E4E">
        <w:rPr>
          <w:rStyle w:val="Strong"/>
          <w:noProof/>
        </w:rPr>
        <w:t>The</w:t>
      </w:r>
      <w:r w:rsidR="00463943" w:rsidRPr="009F2E4E">
        <w:rPr>
          <w:rStyle w:val="Strong"/>
          <w:noProof/>
        </w:rPr>
        <w:t xml:space="preserve"> European </w:t>
      </w:r>
      <w:r w:rsidRPr="009F2E4E">
        <w:rPr>
          <w:rStyle w:val="Strong"/>
          <w:noProof/>
        </w:rPr>
        <w:t>Parliament supports the proposal of new own resources.</w:t>
      </w:r>
      <w:r w:rsidRPr="009F2E4E">
        <w:rPr>
          <w:noProof/>
          <w:lang w:eastAsia="en-GB"/>
        </w:rPr>
        <w:t xml:space="preserve"> In its report </w:t>
      </w:r>
      <w:r w:rsidR="00FA3E1E" w:rsidRPr="009F2E4E">
        <w:rPr>
          <w:noProof/>
          <w:lang w:eastAsia="en-GB"/>
        </w:rPr>
        <w:t xml:space="preserve">adopted on the </w:t>
      </w:r>
      <w:r w:rsidR="00136B5D">
        <w:rPr>
          <w:noProof/>
          <w:lang w:eastAsia="en-GB"/>
        </w:rPr>
        <w:t>10</w:t>
      </w:r>
      <w:r w:rsidR="004B057B">
        <w:rPr>
          <w:noProof/>
          <w:lang w:eastAsia="en-GB"/>
        </w:rPr>
        <w:t xml:space="preserve"> May </w:t>
      </w:r>
      <w:r w:rsidRPr="009F2E4E">
        <w:rPr>
          <w:noProof/>
          <w:lang w:eastAsia="en-GB"/>
        </w:rPr>
        <w:t>2023</w:t>
      </w:r>
      <w:r w:rsidR="006245F8">
        <w:rPr>
          <w:noProof/>
          <w:lang w:eastAsia="en-GB"/>
        </w:rPr>
        <w:t>(</w:t>
      </w:r>
      <w:r w:rsidRPr="009F2E4E">
        <w:rPr>
          <w:noProof/>
          <w:vertAlign w:val="superscript"/>
          <w:lang w:eastAsia="en-GB"/>
        </w:rPr>
        <w:footnoteReference w:id="20"/>
      </w:r>
      <w:r w:rsidR="006245F8">
        <w:rPr>
          <w:noProof/>
          <w:lang w:eastAsia="en-GB"/>
        </w:rPr>
        <w:t>)</w:t>
      </w:r>
      <w:r w:rsidRPr="009F2E4E">
        <w:rPr>
          <w:noProof/>
          <w:lang w:eastAsia="en-GB"/>
        </w:rPr>
        <w:t xml:space="preserve">, the </w:t>
      </w:r>
      <w:r w:rsidR="00136B5D" w:rsidRPr="00136B5D">
        <w:rPr>
          <w:noProof/>
          <w:lang w:eastAsia="en-GB"/>
        </w:rPr>
        <w:t>European Parliament</w:t>
      </w:r>
      <w:r w:rsidRPr="009F2E4E">
        <w:rPr>
          <w:noProof/>
          <w:lang w:eastAsia="en-GB"/>
        </w:rPr>
        <w:t xml:space="preserve"> responded to the Commission’s proposal of 22 December 2021 on three additional sources of revenues for the EU budget based on </w:t>
      </w:r>
      <w:r w:rsidR="00865C82" w:rsidRPr="009F2E4E">
        <w:rPr>
          <w:noProof/>
          <w:lang w:eastAsia="en-GB"/>
        </w:rPr>
        <w:t>carbon border adjustment mechanism (</w:t>
      </w:r>
      <w:r w:rsidRPr="009F2E4E">
        <w:rPr>
          <w:noProof/>
          <w:lang w:eastAsia="en-GB"/>
        </w:rPr>
        <w:t>CBAM</w:t>
      </w:r>
      <w:r w:rsidR="00865C82" w:rsidRPr="009F2E4E">
        <w:rPr>
          <w:noProof/>
          <w:lang w:eastAsia="en-GB"/>
        </w:rPr>
        <w:t>)</w:t>
      </w:r>
      <w:r w:rsidRPr="009F2E4E">
        <w:rPr>
          <w:noProof/>
          <w:lang w:eastAsia="en-GB"/>
        </w:rPr>
        <w:t xml:space="preserve">, </w:t>
      </w:r>
      <w:r w:rsidR="00D404FC" w:rsidRPr="009F2E4E">
        <w:rPr>
          <w:noProof/>
          <w:lang w:eastAsia="en-GB"/>
        </w:rPr>
        <w:t>emission</w:t>
      </w:r>
      <w:r w:rsidR="00865C82" w:rsidRPr="009F2E4E">
        <w:rPr>
          <w:noProof/>
          <w:lang w:eastAsia="en-GB"/>
        </w:rPr>
        <w:t xml:space="preserve"> trading scheme (</w:t>
      </w:r>
      <w:r w:rsidRPr="009F2E4E">
        <w:rPr>
          <w:noProof/>
          <w:lang w:eastAsia="en-GB"/>
        </w:rPr>
        <w:t>ETS</w:t>
      </w:r>
      <w:r w:rsidR="00865C82" w:rsidRPr="009F2E4E">
        <w:rPr>
          <w:noProof/>
          <w:lang w:eastAsia="en-GB"/>
        </w:rPr>
        <w:t>)</w:t>
      </w:r>
      <w:r w:rsidRPr="009F2E4E">
        <w:rPr>
          <w:noProof/>
          <w:lang w:eastAsia="en-GB"/>
        </w:rPr>
        <w:t xml:space="preserve"> and reallocated profits of </w:t>
      </w:r>
      <w:r w:rsidR="005B6C2C" w:rsidRPr="009F2E4E">
        <w:rPr>
          <w:noProof/>
          <w:lang w:eastAsia="en-GB"/>
        </w:rPr>
        <w:t>multinational</w:t>
      </w:r>
      <w:r w:rsidR="005B6C2C">
        <w:rPr>
          <w:noProof/>
          <w:lang w:eastAsia="en-GB"/>
        </w:rPr>
        <w:t>s</w:t>
      </w:r>
      <w:r w:rsidR="003662F9">
        <w:rPr>
          <w:noProof/>
          <w:lang w:eastAsia="en-GB"/>
        </w:rPr>
        <w:t>.</w:t>
      </w:r>
      <w:r w:rsidRPr="009F2E4E">
        <w:rPr>
          <w:noProof/>
          <w:lang w:eastAsia="en-GB"/>
        </w:rPr>
        <w:t xml:space="preserve"> This report called on the Member States in the Council to adopt the new own resources from the first package of 14 December 2021. </w:t>
      </w:r>
      <w:r w:rsidR="00136B5D" w:rsidRPr="004F22DF">
        <w:rPr>
          <w:noProof/>
          <w:lang w:eastAsia="en-GB"/>
        </w:rPr>
        <w:t>Moreover, c</w:t>
      </w:r>
      <w:r w:rsidRPr="004F22DF">
        <w:rPr>
          <w:noProof/>
          <w:lang w:eastAsia="en-GB"/>
        </w:rPr>
        <w:t xml:space="preserve">oncerned </w:t>
      </w:r>
      <w:r w:rsidR="00FA3E1E" w:rsidRPr="004F22DF">
        <w:rPr>
          <w:noProof/>
          <w:lang w:eastAsia="en-GB"/>
        </w:rPr>
        <w:t xml:space="preserve">on </w:t>
      </w:r>
      <w:r w:rsidRPr="004F22DF">
        <w:rPr>
          <w:noProof/>
          <w:lang w:eastAsia="en-GB"/>
        </w:rPr>
        <w:t xml:space="preserve">the sufficiency of new own resources </w:t>
      </w:r>
      <w:r w:rsidR="004B057B">
        <w:rPr>
          <w:noProof/>
          <w:lang w:eastAsia="en-GB"/>
        </w:rPr>
        <w:t>“</w:t>
      </w:r>
      <w:r w:rsidRPr="004F22DF">
        <w:rPr>
          <w:noProof/>
          <w:lang w:eastAsia="en-GB"/>
        </w:rPr>
        <w:t>to cover all NGEU repayments and borrowing costs</w:t>
      </w:r>
      <w:r w:rsidR="004B057B">
        <w:rPr>
          <w:noProof/>
          <w:lang w:eastAsia="en-GB"/>
        </w:rPr>
        <w:t>”</w:t>
      </w:r>
      <w:r w:rsidRPr="004F22DF">
        <w:rPr>
          <w:noProof/>
          <w:lang w:eastAsia="en-GB"/>
        </w:rPr>
        <w:t xml:space="preserve">, to avoid cuts to existing EU programmes and policies, it </w:t>
      </w:r>
      <w:r w:rsidR="004B057B">
        <w:rPr>
          <w:noProof/>
          <w:lang w:eastAsia="en-GB"/>
        </w:rPr>
        <w:t>“</w:t>
      </w:r>
      <w:r w:rsidRPr="004F22DF">
        <w:rPr>
          <w:noProof/>
          <w:lang w:eastAsia="en-GB"/>
        </w:rPr>
        <w:t>urged all actors to continue the efforts to identify fresh and new, preferably genuine, own resources and other revenue sources for the EU budget</w:t>
      </w:r>
      <w:r w:rsidR="004B057B">
        <w:rPr>
          <w:noProof/>
          <w:lang w:eastAsia="en-GB"/>
        </w:rPr>
        <w:t>”</w:t>
      </w:r>
      <w:r w:rsidRPr="004F22DF">
        <w:rPr>
          <w:noProof/>
          <w:lang w:eastAsia="en-GB"/>
        </w:rPr>
        <w:t>.</w:t>
      </w:r>
      <w:r w:rsidRPr="009F2E4E">
        <w:rPr>
          <w:noProof/>
          <w:lang w:eastAsia="en-GB"/>
        </w:rPr>
        <w:t xml:space="preserve"> </w:t>
      </w:r>
    </w:p>
    <w:p w14:paraId="008C6136" w14:textId="69D64CB0" w:rsidR="00DA7CF1" w:rsidRPr="004F22DF" w:rsidRDefault="00454FE8" w:rsidP="001F1CE9">
      <w:pPr>
        <w:rPr>
          <w:noProof/>
          <w:lang w:eastAsia="en-GB"/>
        </w:rPr>
      </w:pPr>
      <w:r w:rsidRPr="009F2E4E">
        <w:rPr>
          <w:noProof/>
          <w:lang w:eastAsia="en-GB"/>
        </w:rPr>
        <w:t>Th</w:t>
      </w:r>
      <w:r w:rsidR="00FA3E1E" w:rsidRPr="009F2E4E">
        <w:rPr>
          <w:noProof/>
          <w:lang w:eastAsia="en-GB"/>
        </w:rPr>
        <w:t>is</w:t>
      </w:r>
      <w:r w:rsidRPr="009F2E4E">
        <w:rPr>
          <w:noProof/>
          <w:lang w:eastAsia="en-GB"/>
        </w:rPr>
        <w:t xml:space="preserve"> report discussed several possible measures</w:t>
      </w:r>
      <w:r w:rsidR="00FA3E1E" w:rsidRPr="009F2E4E">
        <w:rPr>
          <w:noProof/>
          <w:lang w:eastAsia="en-GB"/>
        </w:rPr>
        <w:t xml:space="preserve"> as a basis for own resources</w:t>
      </w:r>
      <w:r w:rsidRPr="009F2E4E">
        <w:rPr>
          <w:noProof/>
          <w:lang w:eastAsia="en-GB"/>
        </w:rPr>
        <w:t>, supporting, among others, corporate taxation (BEFIT),</w:t>
      </w:r>
      <w:r w:rsidR="00E8187A">
        <w:rPr>
          <w:noProof/>
          <w:lang w:eastAsia="en-GB"/>
        </w:rPr>
        <w:t xml:space="preserve"> </w:t>
      </w:r>
      <w:r w:rsidRPr="009F2E4E">
        <w:rPr>
          <w:noProof/>
          <w:lang w:eastAsia="en-GB"/>
        </w:rPr>
        <w:t xml:space="preserve">a tax on cryptocurrencies, </w:t>
      </w:r>
      <w:r w:rsidR="00200433" w:rsidRPr="00787E03">
        <w:rPr>
          <w:noProof/>
          <w:lang w:eastAsia="en-GB"/>
        </w:rPr>
        <w:t xml:space="preserve">a tax </w:t>
      </w:r>
      <w:r w:rsidR="00787E03">
        <w:rPr>
          <w:noProof/>
          <w:lang w:eastAsia="en-GB"/>
        </w:rPr>
        <w:t xml:space="preserve">related to the </w:t>
      </w:r>
      <w:r w:rsidR="00200433">
        <w:rPr>
          <w:noProof/>
          <w:lang w:eastAsia="en-GB"/>
        </w:rPr>
        <w:t xml:space="preserve">digital economy, </w:t>
      </w:r>
      <w:r w:rsidR="00FA3E1E" w:rsidRPr="009F2E4E">
        <w:rPr>
          <w:noProof/>
          <w:lang w:eastAsia="en-GB"/>
        </w:rPr>
        <w:t xml:space="preserve">a </w:t>
      </w:r>
      <w:r w:rsidR="00571AB8">
        <w:rPr>
          <w:noProof/>
          <w:lang w:eastAsia="en-GB"/>
        </w:rPr>
        <w:t>financial transaction tax (</w:t>
      </w:r>
      <w:r w:rsidR="00FA3E1E" w:rsidRPr="009F2E4E">
        <w:rPr>
          <w:noProof/>
          <w:lang w:eastAsia="en-GB"/>
        </w:rPr>
        <w:t>FTT</w:t>
      </w:r>
      <w:r w:rsidR="00571AB8">
        <w:rPr>
          <w:noProof/>
          <w:lang w:eastAsia="en-GB"/>
        </w:rPr>
        <w:t>)</w:t>
      </w:r>
      <w:r w:rsidR="00FA3E1E" w:rsidRPr="009F2E4E">
        <w:rPr>
          <w:noProof/>
          <w:lang w:eastAsia="en-GB"/>
        </w:rPr>
        <w:t xml:space="preserve">, </w:t>
      </w:r>
      <w:r w:rsidRPr="009F2E4E">
        <w:rPr>
          <w:noProof/>
          <w:lang w:eastAsia="en-GB"/>
        </w:rPr>
        <w:t>an EU ‘fair border tax’, and saw high potential in all statistics-based own resources.</w:t>
      </w:r>
      <w:r w:rsidR="00AF2713" w:rsidRPr="009F2E4E">
        <w:rPr>
          <w:noProof/>
          <w:lang w:eastAsia="en-GB"/>
        </w:rPr>
        <w:t xml:space="preserve"> On the latter, </w:t>
      </w:r>
      <w:r w:rsidR="00014895" w:rsidRPr="009F2E4E">
        <w:rPr>
          <w:noProof/>
        </w:rPr>
        <w:t>the European Parliament report proposes a bio-waste statistical own resource fostering the reuse of bio-waste</w:t>
      </w:r>
      <w:r w:rsidR="006245F8">
        <w:rPr>
          <w:rFonts w:ascii="Calibri" w:hAnsi="Calibri" w:cs="Calibri"/>
          <w:noProof/>
        </w:rPr>
        <w:t>(</w:t>
      </w:r>
      <w:r w:rsidR="00014895" w:rsidRPr="009F2E4E">
        <w:rPr>
          <w:rStyle w:val="FootnoteReference"/>
          <w:noProof/>
        </w:rPr>
        <w:footnoteReference w:id="21"/>
      </w:r>
      <w:r w:rsidR="006245F8">
        <w:rPr>
          <w:rFonts w:ascii="Calibri" w:hAnsi="Calibri" w:cs="Calibri"/>
          <w:noProof/>
        </w:rPr>
        <w:t>)</w:t>
      </w:r>
      <w:r w:rsidR="00FA3E1E" w:rsidRPr="009F2E4E">
        <w:rPr>
          <w:noProof/>
        </w:rPr>
        <w:t xml:space="preserve"> and an own resource on gender pay gap statistics</w:t>
      </w:r>
      <w:r w:rsidR="00014895" w:rsidRPr="009F2E4E">
        <w:rPr>
          <w:noProof/>
        </w:rPr>
        <w:t xml:space="preserve">. </w:t>
      </w:r>
    </w:p>
    <w:p w14:paraId="109BC461" w14:textId="68618731" w:rsidR="00C678BB" w:rsidRPr="004F22DF" w:rsidRDefault="009465F2" w:rsidP="001F1CE9">
      <w:pPr>
        <w:rPr>
          <w:noProof/>
          <w:lang w:eastAsia="en-GB"/>
        </w:rPr>
      </w:pPr>
      <w:r w:rsidRPr="004F22DF">
        <w:rPr>
          <w:noProof/>
          <w:lang w:eastAsia="en-GB"/>
        </w:rPr>
        <w:t>Finally,</w:t>
      </w:r>
      <w:r w:rsidR="00200433" w:rsidRPr="004F22DF">
        <w:rPr>
          <w:noProof/>
          <w:lang w:eastAsia="en-GB"/>
        </w:rPr>
        <w:t xml:space="preserve"> t</w:t>
      </w:r>
      <w:r w:rsidRPr="004F22DF">
        <w:rPr>
          <w:noProof/>
          <w:lang w:eastAsia="en-GB"/>
        </w:rPr>
        <w:t>he Parliament report also mentions</w:t>
      </w:r>
      <w:r w:rsidR="001F1CE9" w:rsidRPr="001F1CE9">
        <w:rPr>
          <w:noProof/>
        </w:rPr>
        <w:t xml:space="preserve"> </w:t>
      </w:r>
      <w:r w:rsidR="001F1CE9">
        <w:rPr>
          <w:noProof/>
          <w:lang w:eastAsia="en-GB"/>
        </w:rPr>
        <w:t>r</w:t>
      </w:r>
      <w:r w:rsidR="001F1CE9" w:rsidRPr="001F1CE9">
        <w:rPr>
          <w:noProof/>
          <w:lang w:eastAsia="en-GB"/>
        </w:rPr>
        <w:t>evenue sources other than own resources</w:t>
      </w:r>
      <w:r w:rsidR="001F1CE9">
        <w:rPr>
          <w:noProof/>
          <w:lang w:eastAsia="en-GB"/>
        </w:rPr>
        <w:t xml:space="preserve">, such as </w:t>
      </w:r>
      <w:r w:rsidR="001F1CE9" w:rsidRPr="004F22DF">
        <w:rPr>
          <w:noProof/>
          <w:lang w:eastAsia="en-GB"/>
        </w:rPr>
        <w:t>those in the form of levies, fees charged for visa waivers under the European Travel Information and Authorisation System (ETIAS) when it comes into operation, excess emission premiums, competition fines, infringement penalties or similar, which should be listed transparently in the annual budget documents, as well as proceeds generated in the context of criminal justice sentences and assets confiscated in the event of non-compliance with EU sanctions</w:t>
      </w:r>
      <w:r w:rsidRPr="004F22DF">
        <w:rPr>
          <w:noProof/>
          <w:lang w:eastAsia="en-GB"/>
        </w:rPr>
        <w:t xml:space="preserve"> (</w:t>
      </w:r>
      <w:r w:rsidR="001F1CE9" w:rsidRPr="004F22DF">
        <w:rPr>
          <w:noProof/>
          <w:lang w:eastAsia="en-GB"/>
        </w:rPr>
        <w:t xml:space="preserve">e.g. </w:t>
      </w:r>
      <w:r w:rsidRPr="004F22DF">
        <w:rPr>
          <w:noProof/>
          <w:lang w:eastAsia="en-GB"/>
        </w:rPr>
        <w:t>Russian frozen assets).</w:t>
      </w:r>
    </w:p>
    <w:p w14:paraId="5F062054" w14:textId="7AC24D8D" w:rsidR="00C61E07" w:rsidRPr="00C05627" w:rsidRDefault="00C61E07" w:rsidP="00500E0C">
      <w:pPr>
        <w:rPr>
          <w:rStyle w:val="Strong"/>
          <w:b w:val="0"/>
          <w:bCs/>
          <w:noProof/>
        </w:rPr>
      </w:pPr>
      <w:r>
        <w:rPr>
          <w:rStyle w:val="Strong"/>
          <w:noProof/>
        </w:rPr>
        <w:t>The Council</w:t>
      </w:r>
      <w:r w:rsidR="005A10FD">
        <w:rPr>
          <w:rStyle w:val="Strong"/>
          <w:noProof/>
        </w:rPr>
        <w:t xml:space="preserve"> </w:t>
      </w:r>
      <w:r w:rsidR="00A23688">
        <w:rPr>
          <w:rStyle w:val="Strong"/>
          <w:noProof/>
        </w:rPr>
        <w:t>technically explored</w:t>
      </w:r>
      <w:r w:rsidR="005A10FD">
        <w:rPr>
          <w:rStyle w:val="Strong"/>
          <w:noProof/>
        </w:rPr>
        <w:t xml:space="preserve"> the Commission’s proposals since 2021</w:t>
      </w:r>
      <w:r w:rsidR="0017089B">
        <w:rPr>
          <w:rStyle w:val="Strong"/>
          <w:noProof/>
        </w:rPr>
        <w:t xml:space="preserve">, </w:t>
      </w:r>
      <w:r w:rsidR="00A23688">
        <w:rPr>
          <w:rStyle w:val="Strong"/>
          <w:noProof/>
        </w:rPr>
        <w:t xml:space="preserve">but </w:t>
      </w:r>
      <w:r w:rsidR="0017089B">
        <w:rPr>
          <w:rStyle w:val="Strong"/>
          <w:noProof/>
        </w:rPr>
        <w:t xml:space="preserve">little progress </w:t>
      </w:r>
      <w:r w:rsidR="00A23688">
        <w:rPr>
          <w:rStyle w:val="Strong"/>
          <w:noProof/>
        </w:rPr>
        <w:t xml:space="preserve">has been made concerning </w:t>
      </w:r>
      <w:r w:rsidR="0017089B">
        <w:rPr>
          <w:rStyle w:val="Strong"/>
          <w:noProof/>
        </w:rPr>
        <w:t>the adoption of new own resources</w:t>
      </w:r>
      <w:r w:rsidR="005A10FD">
        <w:rPr>
          <w:rStyle w:val="Strong"/>
          <w:noProof/>
        </w:rPr>
        <w:t>.</w:t>
      </w:r>
      <w:r w:rsidR="005A10FD" w:rsidRPr="001F1CE9">
        <w:rPr>
          <w:rStyle w:val="Strong"/>
          <w:noProof/>
          <w:color w:val="auto"/>
        </w:rPr>
        <w:t xml:space="preserve"> </w:t>
      </w:r>
      <w:r w:rsidR="0000384C" w:rsidRPr="001F1CE9">
        <w:rPr>
          <w:rStyle w:val="Strong"/>
          <w:b w:val="0"/>
          <w:bCs/>
          <w:noProof/>
          <w:color w:val="auto"/>
        </w:rPr>
        <w:t>F</w:t>
      </w:r>
      <w:r w:rsidR="00A173A7" w:rsidRPr="001F1CE9">
        <w:rPr>
          <w:rStyle w:val="Strong"/>
          <w:b w:val="0"/>
          <w:bCs/>
          <w:noProof/>
          <w:color w:val="auto"/>
        </w:rPr>
        <w:t>urther to</w:t>
      </w:r>
      <w:r w:rsidR="0000384C" w:rsidRPr="001F1CE9">
        <w:rPr>
          <w:rStyle w:val="Strong"/>
          <w:b w:val="0"/>
          <w:bCs/>
          <w:noProof/>
          <w:color w:val="auto"/>
        </w:rPr>
        <w:t xml:space="preserve"> the inter</w:t>
      </w:r>
      <w:r w:rsidR="00FF4F68">
        <w:rPr>
          <w:rStyle w:val="Strong"/>
          <w:b w:val="0"/>
          <w:bCs/>
          <w:noProof/>
          <w:color w:val="auto"/>
        </w:rPr>
        <w:t>-</w:t>
      </w:r>
      <w:r w:rsidR="0000384C" w:rsidRPr="001F1CE9">
        <w:rPr>
          <w:rStyle w:val="Strong"/>
          <w:b w:val="0"/>
          <w:bCs/>
          <w:noProof/>
          <w:color w:val="auto"/>
        </w:rPr>
        <w:t xml:space="preserve">institutional agreement of 16 December 2020, the Council </w:t>
      </w:r>
      <w:r w:rsidR="0042146F" w:rsidRPr="001F1CE9">
        <w:rPr>
          <w:rStyle w:val="Strong"/>
          <w:b w:val="0"/>
          <w:bCs/>
          <w:noProof/>
          <w:color w:val="auto"/>
        </w:rPr>
        <w:t xml:space="preserve">monitored </w:t>
      </w:r>
      <w:r w:rsidR="0000384C" w:rsidRPr="001F1CE9">
        <w:rPr>
          <w:rStyle w:val="Strong"/>
          <w:b w:val="0"/>
          <w:bCs/>
          <w:noProof/>
          <w:color w:val="auto"/>
        </w:rPr>
        <w:t>the Commission’s proposal</w:t>
      </w:r>
      <w:r w:rsidR="00A173A7" w:rsidRPr="001F1CE9">
        <w:rPr>
          <w:rStyle w:val="Strong"/>
          <w:b w:val="0"/>
          <w:bCs/>
          <w:noProof/>
          <w:color w:val="auto"/>
        </w:rPr>
        <w:t>s</w:t>
      </w:r>
      <w:r w:rsidR="0000384C" w:rsidRPr="001F1CE9">
        <w:rPr>
          <w:rStyle w:val="Strong"/>
          <w:b w:val="0"/>
          <w:bCs/>
          <w:noProof/>
          <w:color w:val="auto"/>
        </w:rPr>
        <w:t xml:space="preserve"> of December 2021 on CBAM, ETS, and reallocated profits of multinationals, including </w:t>
      </w:r>
      <w:r w:rsidR="00C05627" w:rsidRPr="001F1CE9">
        <w:rPr>
          <w:rStyle w:val="Strong"/>
          <w:b w:val="0"/>
          <w:bCs/>
          <w:noProof/>
          <w:color w:val="auto"/>
        </w:rPr>
        <w:t xml:space="preserve">their share in </w:t>
      </w:r>
      <w:r w:rsidR="0000384C" w:rsidRPr="001F1CE9">
        <w:rPr>
          <w:rStyle w:val="Strong"/>
          <w:b w:val="0"/>
          <w:bCs/>
          <w:noProof/>
          <w:color w:val="auto"/>
        </w:rPr>
        <w:t xml:space="preserve">the ‘Fit-for-55’ package </w:t>
      </w:r>
      <w:r w:rsidR="00C05627" w:rsidRPr="001F1CE9">
        <w:rPr>
          <w:rStyle w:val="Strong"/>
          <w:b w:val="0"/>
          <w:bCs/>
          <w:noProof/>
          <w:color w:val="auto"/>
        </w:rPr>
        <w:t>of</w:t>
      </w:r>
      <w:r w:rsidR="0000384C" w:rsidRPr="001F1CE9">
        <w:rPr>
          <w:rStyle w:val="Strong"/>
          <w:b w:val="0"/>
          <w:bCs/>
          <w:noProof/>
          <w:color w:val="auto"/>
        </w:rPr>
        <w:t xml:space="preserve"> July 2021, a</w:t>
      </w:r>
      <w:r w:rsidR="0042146F" w:rsidRPr="001F1CE9">
        <w:rPr>
          <w:rStyle w:val="Strong"/>
          <w:b w:val="0"/>
          <w:bCs/>
          <w:noProof/>
          <w:color w:val="auto"/>
        </w:rPr>
        <w:t xml:space="preserve">nd </w:t>
      </w:r>
      <w:r w:rsidR="00A608E8" w:rsidRPr="001F1CE9">
        <w:rPr>
          <w:rStyle w:val="Strong"/>
          <w:b w:val="0"/>
          <w:bCs/>
          <w:noProof/>
          <w:color w:val="auto"/>
        </w:rPr>
        <w:t xml:space="preserve">the related implementing </w:t>
      </w:r>
      <w:r w:rsidR="00DA5160">
        <w:rPr>
          <w:rStyle w:val="Strong"/>
          <w:b w:val="0"/>
          <w:bCs/>
          <w:noProof/>
          <w:color w:val="auto"/>
        </w:rPr>
        <w:t>R</w:t>
      </w:r>
      <w:r w:rsidR="00A608E8" w:rsidRPr="001F1CE9">
        <w:rPr>
          <w:rStyle w:val="Strong"/>
          <w:b w:val="0"/>
          <w:bCs/>
          <w:noProof/>
          <w:color w:val="auto"/>
        </w:rPr>
        <w:t xml:space="preserve">egulations </w:t>
      </w:r>
      <w:r w:rsidR="00DA7CF1">
        <w:rPr>
          <w:rStyle w:val="Strong"/>
          <w:b w:val="0"/>
          <w:bCs/>
          <w:noProof/>
          <w:color w:val="auto"/>
        </w:rPr>
        <w:t>proposed in</w:t>
      </w:r>
      <w:r w:rsidR="00A608E8" w:rsidRPr="001F1CE9">
        <w:rPr>
          <w:rStyle w:val="Strong"/>
          <w:b w:val="0"/>
          <w:bCs/>
          <w:noProof/>
          <w:color w:val="auto"/>
        </w:rPr>
        <w:t xml:space="preserve"> March 2022</w:t>
      </w:r>
      <w:r w:rsidR="0042146F" w:rsidRPr="001F1CE9">
        <w:rPr>
          <w:rStyle w:val="Strong"/>
          <w:b w:val="0"/>
          <w:bCs/>
          <w:noProof/>
          <w:color w:val="auto"/>
        </w:rPr>
        <w:t>.</w:t>
      </w:r>
      <w:r w:rsidR="00A173A7" w:rsidRPr="001F1CE9">
        <w:rPr>
          <w:rStyle w:val="Strong"/>
          <w:b w:val="0"/>
          <w:bCs/>
          <w:noProof/>
          <w:color w:val="auto"/>
        </w:rPr>
        <w:t xml:space="preserve"> In this context, in 2022, the Council reached a general approach and started negotiations with the European Parliament on the sectoral </w:t>
      </w:r>
      <w:r w:rsidR="00DA5160">
        <w:rPr>
          <w:rStyle w:val="Strong"/>
          <w:b w:val="0"/>
          <w:bCs/>
          <w:noProof/>
          <w:color w:val="auto"/>
        </w:rPr>
        <w:t>R</w:t>
      </w:r>
      <w:r w:rsidR="00A173A7" w:rsidRPr="001F1CE9">
        <w:rPr>
          <w:rStyle w:val="Strong"/>
          <w:b w:val="0"/>
          <w:bCs/>
          <w:noProof/>
          <w:color w:val="auto"/>
        </w:rPr>
        <w:t>egulations of CBAM and ETS.</w:t>
      </w:r>
      <w:r w:rsidR="00AE7811" w:rsidRPr="001F1CE9">
        <w:rPr>
          <w:rStyle w:val="Strong"/>
          <w:b w:val="0"/>
          <w:bCs/>
          <w:noProof/>
          <w:color w:val="auto"/>
        </w:rPr>
        <w:t xml:space="preserve"> These took place mostly during the 2</w:t>
      </w:r>
      <w:r w:rsidR="00AE7811" w:rsidRPr="001F1CE9">
        <w:rPr>
          <w:rStyle w:val="Strong"/>
          <w:b w:val="0"/>
          <w:bCs/>
          <w:noProof/>
          <w:color w:val="auto"/>
          <w:vertAlign w:val="superscript"/>
        </w:rPr>
        <w:t>nd</w:t>
      </w:r>
      <w:r w:rsidR="00AE7811" w:rsidRPr="001F1CE9">
        <w:rPr>
          <w:rStyle w:val="Strong"/>
          <w:b w:val="0"/>
          <w:bCs/>
          <w:noProof/>
          <w:color w:val="auto"/>
        </w:rPr>
        <w:t xml:space="preserve"> half of 2022, under the Czech Presidency</w:t>
      </w:r>
      <w:r w:rsidR="006245F8">
        <w:rPr>
          <w:rStyle w:val="Strong"/>
          <w:rFonts w:cs="Calibri"/>
          <w:b w:val="0"/>
          <w:bCs/>
          <w:noProof/>
          <w:color w:val="auto"/>
        </w:rPr>
        <w:t>(</w:t>
      </w:r>
      <w:r w:rsidR="00AE7811" w:rsidRPr="001F1CE9">
        <w:rPr>
          <w:rStyle w:val="FootnoteReference"/>
          <w:bCs/>
          <w:noProof/>
        </w:rPr>
        <w:footnoteReference w:id="22"/>
      </w:r>
      <w:r w:rsidR="006245F8">
        <w:rPr>
          <w:rStyle w:val="Strong"/>
          <w:rFonts w:cs="Calibri"/>
          <w:b w:val="0"/>
          <w:bCs/>
          <w:noProof/>
          <w:color w:val="auto"/>
        </w:rPr>
        <w:t>)</w:t>
      </w:r>
      <w:r w:rsidR="00A23688">
        <w:rPr>
          <w:rStyle w:val="Strong"/>
          <w:b w:val="0"/>
          <w:noProof/>
          <w:color w:val="auto"/>
        </w:rPr>
        <w:t xml:space="preserve">. </w:t>
      </w:r>
      <w:r w:rsidR="00175C34">
        <w:rPr>
          <w:rStyle w:val="Strong"/>
          <w:b w:val="0"/>
          <w:noProof/>
          <w:color w:val="auto"/>
        </w:rPr>
        <w:t>Few</w:t>
      </w:r>
      <w:r w:rsidR="00A23688">
        <w:rPr>
          <w:rStyle w:val="Strong"/>
          <w:b w:val="0"/>
          <w:noProof/>
          <w:color w:val="auto"/>
        </w:rPr>
        <w:t xml:space="preserve"> delegations t</w:t>
      </w:r>
      <w:r w:rsidR="00175C34">
        <w:rPr>
          <w:rStyle w:val="Strong"/>
          <w:b w:val="0"/>
          <w:noProof/>
          <w:color w:val="auto"/>
        </w:rPr>
        <w:t>oo</w:t>
      </w:r>
      <w:r w:rsidR="00A23688">
        <w:rPr>
          <w:rStyle w:val="Strong"/>
          <w:b w:val="0"/>
          <w:noProof/>
          <w:color w:val="auto"/>
        </w:rPr>
        <w:t xml:space="preserve">k a </w:t>
      </w:r>
      <w:r w:rsidR="00175C34">
        <w:rPr>
          <w:rStyle w:val="Strong"/>
          <w:b w:val="0"/>
          <w:noProof/>
          <w:color w:val="auto"/>
        </w:rPr>
        <w:t>fully-fledged</w:t>
      </w:r>
      <w:r w:rsidR="00A23688">
        <w:rPr>
          <w:rStyle w:val="Strong"/>
          <w:b w:val="0"/>
          <w:noProof/>
          <w:color w:val="auto"/>
        </w:rPr>
        <w:t xml:space="preserve"> position on the own resources</w:t>
      </w:r>
      <w:r w:rsidR="00175C34">
        <w:rPr>
          <w:rStyle w:val="Strong"/>
          <w:b w:val="0"/>
          <w:noProof/>
          <w:color w:val="auto"/>
        </w:rPr>
        <w:t>’</w:t>
      </w:r>
      <w:r w:rsidR="00A23688">
        <w:rPr>
          <w:rStyle w:val="Strong"/>
          <w:b w:val="0"/>
          <w:noProof/>
          <w:color w:val="auto"/>
        </w:rPr>
        <w:t xml:space="preserve"> package</w:t>
      </w:r>
      <w:r w:rsidR="00175C34">
        <w:rPr>
          <w:rStyle w:val="Strong"/>
          <w:b w:val="0"/>
          <w:noProof/>
          <w:color w:val="auto"/>
        </w:rPr>
        <w:t>,</w:t>
      </w:r>
      <w:r w:rsidR="00A23688">
        <w:rPr>
          <w:rStyle w:val="Strong"/>
          <w:b w:val="0"/>
          <w:noProof/>
          <w:color w:val="auto"/>
        </w:rPr>
        <w:t xml:space="preserve"> given that not all Commission proposals were on the table</w:t>
      </w:r>
      <w:r w:rsidR="00B06469">
        <w:rPr>
          <w:rStyle w:val="Strong"/>
          <w:b w:val="0"/>
          <w:noProof/>
          <w:color w:val="auto"/>
        </w:rPr>
        <w:t>. Consequently,</w:t>
      </w:r>
      <w:r w:rsidR="0017089B" w:rsidRPr="0D5E584C">
        <w:rPr>
          <w:rStyle w:val="Strong"/>
          <w:b w:val="0"/>
          <w:noProof/>
          <w:color w:val="auto"/>
        </w:rPr>
        <w:t xml:space="preserve"> </w:t>
      </w:r>
      <w:r w:rsidR="00175C34">
        <w:rPr>
          <w:rStyle w:val="Strong"/>
          <w:b w:val="0"/>
          <w:noProof/>
          <w:color w:val="auto"/>
        </w:rPr>
        <w:t xml:space="preserve">there was </w:t>
      </w:r>
      <w:r w:rsidR="00B06469">
        <w:rPr>
          <w:rStyle w:val="Strong"/>
          <w:b w:val="0"/>
          <w:noProof/>
          <w:color w:val="auto"/>
        </w:rPr>
        <w:t xml:space="preserve">no substantial </w:t>
      </w:r>
      <w:r w:rsidR="0017089B" w:rsidRPr="0D5E584C">
        <w:rPr>
          <w:rStyle w:val="Strong"/>
          <w:b w:val="0"/>
          <w:noProof/>
          <w:color w:val="auto"/>
        </w:rPr>
        <w:t>progress</w:t>
      </w:r>
      <w:r w:rsidR="00B06469">
        <w:rPr>
          <w:rStyle w:val="Strong"/>
          <w:b w:val="0"/>
          <w:noProof/>
          <w:color w:val="auto"/>
        </w:rPr>
        <w:t xml:space="preserve"> </w:t>
      </w:r>
      <w:r w:rsidR="00175C34">
        <w:rPr>
          <w:rStyle w:val="Strong"/>
          <w:b w:val="0"/>
          <w:noProof/>
          <w:color w:val="auto"/>
        </w:rPr>
        <w:t>in the</w:t>
      </w:r>
      <w:r w:rsidR="00302759">
        <w:rPr>
          <w:rStyle w:val="Strong"/>
          <w:b w:val="0"/>
          <w:noProof/>
          <w:color w:val="auto"/>
        </w:rPr>
        <w:t>ir</w:t>
      </w:r>
      <w:r w:rsidR="005B6C2C">
        <w:rPr>
          <w:rStyle w:val="Strong"/>
          <w:b w:val="0"/>
          <w:noProof/>
          <w:color w:val="auto"/>
        </w:rPr>
        <w:t xml:space="preserve"> adoption</w:t>
      </w:r>
      <w:r w:rsidR="00B06469">
        <w:rPr>
          <w:rStyle w:val="Strong"/>
          <w:b w:val="0"/>
          <w:noProof/>
          <w:color w:val="auto"/>
        </w:rPr>
        <w:t xml:space="preserve"> so far</w:t>
      </w:r>
      <w:r w:rsidR="00AE7811" w:rsidRPr="0D5E584C">
        <w:rPr>
          <w:rStyle w:val="Strong"/>
          <w:b w:val="0"/>
          <w:noProof/>
          <w:color w:val="auto"/>
        </w:rPr>
        <w:t>.</w:t>
      </w:r>
    </w:p>
    <w:p w14:paraId="4B3528C2" w14:textId="3F00F225" w:rsidR="00454FE8" w:rsidRPr="009F2E4E" w:rsidRDefault="005C7DA1" w:rsidP="00500E0C">
      <w:pPr>
        <w:rPr>
          <w:noProof/>
          <w:lang w:eastAsia="en-GB"/>
        </w:rPr>
      </w:pPr>
      <w:r w:rsidRPr="009F2E4E">
        <w:rPr>
          <w:rStyle w:val="Strong"/>
          <w:noProof/>
        </w:rPr>
        <w:t xml:space="preserve">The European Court of Auditors’ </w:t>
      </w:r>
      <w:r w:rsidR="00454FE8" w:rsidRPr="009F2E4E">
        <w:rPr>
          <w:rStyle w:val="Strong"/>
          <w:noProof/>
        </w:rPr>
        <w:t>position</w:t>
      </w:r>
      <w:r w:rsidR="00454FE8" w:rsidRPr="00866D0C">
        <w:rPr>
          <w:rStyle w:val="Strong"/>
          <w:noProof/>
        </w:rPr>
        <w:t xml:space="preserve"> is</w:t>
      </w:r>
      <w:r w:rsidR="007154C8" w:rsidRPr="00866D0C">
        <w:rPr>
          <w:rStyle w:val="Strong"/>
          <w:noProof/>
        </w:rPr>
        <w:t xml:space="preserve"> also broadly favourable</w:t>
      </w:r>
      <w:r w:rsidR="00454FE8" w:rsidRPr="00866D0C">
        <w:rPr>
          <w:rStyle w:val="Strong"/>
          <w:noProof/>
        </w:rPr>
        <w:t>.</w:t>
      </w:r>
      <w:r w:rsidR="00454FE8" w:rsidRPr="00866D0C">
        <w:rPr>
          <w:noProof/>
          <w:lang w:eastAsia="en-GB"/>
        </w:rPr>
        <w:t xml:space="preserve"> The latest </w:t>
      </w:r>
      <w:r w:rsidR="00C83CDC" w:rsidRPr="00866D0C">
        <w:rPr>
          <w:noProof/>
          <w:lang w:eastAsia="en-GB"/>
        </w:rPr>
        <w:t>European Court of Auditor</w:t>
      </w:r>
      <w:r w:rsidR="00B8356A" w:rsidRPr="00866D0C">
        <w:rPr>
          <w:noProof/>
          <w:lang w:eastAsia="en-GB"/>
        </w:rPr>
        <w:t>s</w:t>
      </w:r>
      <w:r w:rsidR="005724FD" w:rsidRPr="00866D0C">
        <w:rPr>
          <w:noProof/>
          <w:lang w:eastAsia="en-GB"/>
        </w:rPr>
        <w:t xml:space="preserve"> </w:t>
      </w:r>
      <w:r w:rsidR="00454FE8" w:rsidRPr="00866D0C">
        <w:rPr>
          <w:noProof/>
          <w:lang w:eastAsia="en-GB"/>
        </w:rPr>
        <w:t>opinion on the Commission’s</w:t>
      </w:r>
      <w:r w:rsidR="00454FE8" w:rsidRPr="009F2E4E">
        <w:rPr>
          <w:noProof/>
          <w:lang w:eastAsia="en-GB"/>
        </w:rPr>
        <w:t xml:space="preserve"> proposal of </w:t>
      </w:r>
      <w:r w:rsidR="00B8356A" w:rsidRPr="009F2E4E">
        <w:rPr>
          <w:noProof/>
          <w:lang w:eastAsia="en-GB"/>
        </w:rPr>
        <w:t>December 2021</w:t>
      </w:r>
      <w:r w:rsidR="00454FE8" w:rsidRPr="009F2E4E">
        <w:rPr>
          <w:noProof/>
          <w:lang w:eastAsia="en-GB"/>
        </w:rPr>
        <w:t xml:space="preserve"> dates from Ju</w:t>
      </w:r>
      <w:r w:rsidR="00375AB7" w:rsidRPr="009F2E4E">
        <w:rPr>
          <w:noProof/>
          <w:lang w:eastAsia="en-GB"/>
        </w:rPr>
        <w:t>ly</w:t>
      </w:r>
      <w:r w:rsidR="00454FE8" w:rsidRPr="009F2E4E">
        <w:rPr>
          <w:noProof/>
          <w:lang w:eastAsia="en-GB"/>
        </w:rPr>
        <w:t xml:space="preserve"> 2022</w:t>
      </w:r>
      <w:r w:rsidR="006245F8">
        <w:rPr>
          <w:noProof/>
          <w:lang w:eastAsia="en-GB"/>
        </w:rPr>
        <w:t>(</w:t>
      </w:r>
      <w:r w:rsidR="00454FE8" w:rsidRPr="009F2E4E">
        <w:rPr>
          <w:noProof/>
          <w:vertAlign w:val="superscript"/>
          <w:lang w:eastAsia="en-GB"/>
        </w:rPr>
        <w:footnoteReference w:id="23"/>
      </w:r>
      <w:r w:rsidR="006245F8">
        <w:rPr>
          <w:noProof/>
          <w:lang w:eastAsia="en-GB"/>
        </w:rPr>
        <w:t>)</w:t>
      </w:r>
      <w:r w:rsidR="00454FE8" w:rsidRPr="009F2E4E">
        <w:rPr>
          <w:noProof/>
          <w:lang w:eastAsia="en-GB"/>
        </w:rPr>
        <w:t xml:space="preserve">. While the opinion recognised the progress made towards the introduction of new own resources, </w:t>
      </w:r>
      <w:r w:rsidR="00C83CDC" w:rsidRPr="009F2E4E">
        <w:rPr>
          <w:noProof/>
          <w:lang w:eastAsia="en-GB"/>
        </w:rPr>
        <w:t xml:space="preserve">it </w:t>
      </w:r>
      <w:r w:rsidR="00454FE8" w:rsidRPr="009F2E4E">
        <w:rPr>
          <w:noProof/>
          <w:lang w:eastAsia="en-GB"/>
        </w:rPr>
        <w:t xml:space="preserve">saw a need for more consistency in the rules for managing own resources. </w:t>
      </w:r>
    </w:p>
    <w:p w14:paraId="5494C520" w14:textId="4E7C4582" w:rsidR="004A6757" w:rsidRPr="009F2E4E" w:rsidRDefault="00523871" w:rsidP="00BA38BB">
      <w:pPr>
        <w:rPr>
          <w:noProof/>
          <w:lang w:eastAsia="en-GB"/>
        </w:rPr>
      </w:pPr>
      <w:r w:rsidRPr="009F2E4E">
        <w:rPr>
          <w:rStyle w:val="Strong"/>
          <w:noProof/>
        </w:rPr>
        <w:t>The European Economic and Social Committee</w:t>
      </w:r>
      <w:r w:rsidR="00EB32CD" w:rsidRPr="009F2E4E">
        <w:rPr>
          <w:rStyle w:val="Strong"/>
          <w:noProof/>
        </w:rPr>
        <w:t xml:space="preserve"> (EESC)</w:t>
      </w:r>
      <w:r w:rsidR="00554111" w:rsidRPr="009F2E4E">
        <w:rPr>
          <w:rStyle w:val="Strong"/>
          <w:noProof/>
        </w:rPr>
        <w:t xml:space="preserve"> also supported the Commission’s </w:t>
      </w:r>
      <w:r w:rsidR="00C12556">
        <w:rPr>
          <w:rStyle w:val="Strong"/>
          <w:noProof/>
        </w:rPr>
        <w:t xml:space="preserve">December 2021 </w:t>
      </w:r>
      <w:r w:rsidR="00554111" w:rsidRPr="009F2E4E">
        <w:rPr>
          <w:rStyle w:val="Strong"/>
          <w:noProof/>
        </w:rPr>
        <w:t xml:space="preserve">proposal for </w:t>
      </w:r>
      <w:r w:rsidR="003D5916" w:rsidRPr="009F2E4E">
        <w:rPr>
          <w:rStyle w:val="Strong"/>
          <w:noProof/>
        </w:rPr>
        <w:t xml:space="preserve">new </w:t>
      </w:r>
      <w:r w:rsidR="00554111" w:rsidRPr="009F2E4E">
        <w:rPr>
          <w:rStyle w:val="Strong"/>
          <w:noProof/>
        </w:rPr>
        <w:t>own resources</w:t>
      </w:r>
      <w:r w:rsidR="0098352D">
        <w:rPr>
          <w:rStyle w:val="Strong"/>
          <w:noProof/>
        </w:rPr>
        <w:t>,</w:t>
      </w:r>
      <w:r w:rsidR="00554111" w:rsidRPr="009F2E4E">
        <w:rPr>
          <w:rStyle w:val="Strong"/>
          <w:noProof/>
        </w:rPr>
        <w:t xml:space="preserve"> </w:t>
      </w:r>
      <w:r w:rsidR="003D5916" w:rsidRPr="009F2E4E">
        <w:rPr>
          <w:rStyle w:val="Strong"/>
          <w:noProof/>
        </w:rPr>
        <w:t xml:space="preserve">but was concerned with the competitiveness of EU businesses and the </w:t>
      </w:r>
      <w:r w:rsidR="000E6C9D" w:rsidRPr="009F2E4E">
        <w:rPr>
          <w:rStyle w:val="Strong"/>
          <w:noProof/>
        </w:rPr>
        <w:t xml:space="preserve">subsistence </w:t>
      </w:r>
      <w:r w:rsidR="003D5916" w:rsidRPr="009F2E4E">
        <w:rPr>
          <w:rStyle w:val="Strong"/>
          <w:noProof/>
        </w:rPr>
        <w:t>of households</w:t>
      </w:r>
      <w:r w:rsidR="00554111" w:rsidRPr="009F2E4E">
        <w:rPr>
          <w:rStyle w:val="Strong"/>
          <w:noProof/>
        </w:rPr>
        <w:t>.</w:t>
      </w:r>
      <w:r w:rsidRPr="009F2E4E">
        <w:rPr>
          <w:noProof/>
          <w:lang w:eastAsia="en-GB"/>
        </w:rPr>
        <w:t xml:space="preserve"> </w:t>
      </w:r>
      <w:r w:rsidR="00554111" w:rsidRPr="009F2E4E">
        <w:rPr>
          <w:noProof/>
          <w:lang w:eastAsia="en-GB"/>
        </w:rPr>
        <w:t xml:space="preserve">The Committee </w:t>
      </w:r>
      <w:r w:rsidR="004A720D" w:rsidRPr="009F2E4E">
        <w:rPr>
          <w:noProof/>
          <w:lang w:eastAsia="en-GB"/>
        </w:rPr>
        <w:t>deeme</w:t>
      </w:r>
      <w:r w:rsidR="003D5916" w:rsidRPr="009F2E4E">
        <w:rPr>
          <w:noProof/>
          <w:lang w:eastAsia="en-GB"/>
        </w:rPr>
        <w:t>d</w:t>
      </w:r>
      <w:r w:rsidR="004A720D" w:rsidRPr="009F2E4E">
        <w:rPr>
          <w:noProof/>
          <w:lang w:eastAsia="en-GB"/>
        </w:rPr>
        <w:t xml:space="preserve"> </w:t>
      </w:r>
      <w:r w:rsidRPr="009F2E4E">
        <w:rPr>
          <w:noProof/>
          <w:lang w:eastAsia="en-GB"/>
        </w:rPr>
        <w:t xml:space="preserve">new own resources </w:t>
      </w:r>
      <w:r w:rsidR="003D5916" w:rsidRPr="009F2E4E">
        <w:rPr>
          <w:noProof/>
          <w:lang w:eastAsia="en-GB"/>
        </w:rPr>
        <w:t xml:space="preserve">were </w:t>
      </w:r>
      <w:r w:rsidR="00554111" w:rsidRPr="009F2E4E">
        <w:rPr>
          <w:noProof/>
          <w:lang w:eastAsia="en-GB"/>
        </w:rPr>
        <w:t xml:space="preserve">necessary </w:t>
      </w:r>
      <w:r w:rsidRPr="009F2E4E">
        <w:rPr>
          <w:noProof/>
          <w:lang w:eastAsia="en-GB"/>
        </w:rPr>
        <w:t xml:space="preserve">to cover the debt repayment resulting from </w:t>
      </w:r>
      <w:r w:rsidRPr="009F2E4E">
        <w:rPr>
          <w:i/>
          <w:iCs/>
          <w:noProof/>
          <w:lang w:eastAsia="en-GB"/>
        </w:rPr>
        <w:t>NextGenerationEU</w:t>
      </w:r>
      <w:r w:rsidR="00316061" w:rsidRPr="009F2E4E">
        <w:rPr>
          <w:noProof/>
          <w:lang w:eastAsia="en-GB"/>
        </w:rPr>
        <w:t xml:space="preserve"> borrowing</w:t>
      </w:r>
      <w:r w:rsidR="00FC1FB6" w:rsidRPr="009F2E4E">
        <w:rPr>
          <w:noProof/>
          <w:lang w:eastAsia="en-GB"/>
        </w:rPr>
        <w:t xml:space="preserve"> and acknowledged the higher flexibility of an extended own resources model, with funds reacting more effectively to economic shocks</w:t>
      </w:r>
      <w:r w:rsidR="00933976" w:rsidRPr="009F2E4E">
        <w:rPr>
          <w:noProof/>
          <w:lang w:eastAsia="en-GB"/>
        </w:rPr>
        <w:t xml:space="preserve">. It </w:t>
      </w:r>
      <w:r w:rsidR="004A720D" w:rsidRPr="009F2E4E">
        <w:rPr>
          <w:noProof/>
          <w:lang w:eastAsia="en-GB"/>
        </w:rPr>
        <w:t>stresse</w:t>
      </w:r>
      <w:r w:rsidR="003D5916" w:rsidRPr="009F2E4E">
        <w:rPr>
          <w:noProof/>
          <w:lang w:eastAsia="en-GB"/>
        </w:rPr>
        <w:t>d</w:t>
      </w:r>
      <w:r w:rsidR="004A720D" w:rsidRPr="009F2E4E">
        <w:rPr>
          <w:noProof/>
          <w:lang w:eastAsia="en-GB"/>
        </w:rPr>
        <w:t xml:space="preserve"> the importance of </w:t>
      </w:r>
      <w:r w:rsidRPr="009F2E4E">
        <w:rPr>
          <w:noProof/>
          <w:lang w:eastAsia="en-GB"/>
        </w:rPr>
        <w:t xml:space="preserve">equity and fairness, efficiency, transparency, </w:t>
      </w:r>
      <w:r w:rsidR="006D324A" w:rsidRPr="009F2E4E">
        <w:rPr>
          <w:noProof/>
          <w:lang w:eastAsia="en-GB"/>
        </w:rPr>
        <w:t>simplicity,</w:t>
      </w:r>
      <w:r w:rsidRPr="009F2E4E">
        <w:rPr>
          <w:noProof/>
          <w:lang w:eastAsia="en-GB"/>
        </w:rPr>
        <w:t xml:space="preserve"> and stability</w:t>
      </w:r>
      <w:r w:rsidR="00316061" w:rsidRPr="009F2E4E">
        <w:rPr>
          <w:noProof/>
          <w:lang w:eastAsia="en-GB"/>
        </w:rPr>
        <w:t xml:space="preserve"> in the new system</w:t>
      </w:r>
      <w:r w:rsidRPr="009F2E4E">
        <w:rPr>
          <w:noProof/>
          <w:lang w:eastAsia="en-GB"/>
        </w:rPr>
        <w:t xml:space="preserve">, </w:t>
      </w:r>
      <w:r w:rsidR="00316061" w:rsidRPr="009F2E4E">
        <w:rPr>
          <w:noProof/>
          <w:lang w:eastAsia="en-GB"/>
        </w:rPr>
        <w:t xml:space="preserve">as well as of </w:t>
      </w:r>
      <w:r w:rsidRPr="009F2E4E">
        <w:rPr>
          <w:noProof/>
          <w:lang w:eastAsia="en-GB"/>
        </w:rPr>
        <w:t>a focus on competitiveness and applying solidarity</w:t>
      </w:r>
      <w:r w:rsidR="00316061" w:rsidRPr="009F2E4E">
        <w:rPr>
          <w:noProof/>
          <w:lang w:eastAsia="en-GB"/>
        </w:rPr>
        <w:t xml:space="preserve"> </w:t>
      </w:r>
      <w:r w:rsidRPr="009F2E4E">
        <w:rPr>
          <w:noProof/>
          <w:lang w:eastAsia="en-GB"/>
        </w:rPr>
        <w:t>to support households and businesses, where necessary</w:t>
      </w:r>
      <w:r w:rsidR="00316061" w:rsidRPr="009F2E4E">
        <w:rPr>
          <w:noProof/>
          <w:lang w:eastAsia="en-GB"/>
        </w:rPr>
        <w:t>. A</w:t>
      </w:r>
      <w:r w:rsidRPr="009F2E4E">
        <w:rPr>
          <w:noProof/>
          <w:lang w:eastAsia="en-GB"/>
        </w:rPr>
        <w:t xml:space="preserve"> targeted impact assessment</w:t>
      </w:r>
      <w:r w:rsidR="00554111" w:rsidRPr="009F2E4E">
        <w:rPr>
          <w:noProof/>
          <w:lang w:eastAsia="en-GB"/>
        </w:rPr>
        <w:t xml:space="preserve"> by country and sector (industr</w:t>
      </w:r>
      <w:r w:rsidR="00316061" w:rsidRPr="009F2E4E">
        <w:rPr>
          <w:noProof/>
          <w:lang w:eastAsia="en-GB"/>
        </w:rPr>
        <w:t>y</w:t>
      </w:r>
      <w:r w:rsidR="00554111" w:rsidRPr="009F2E4E">
        <w:rPr>
          <w:noProof/>
          <w:lang w:eastAsia="en-GB"/>
        </w:rPr>
        <w:t>)</w:t>
      </w:r>
      <w:r w:rsidR="00316061" w:rsidRPr="009F2E4E">
        <w:rPr>
          <w:noProof/>
          <w:lang w:eastAsia="en-GB"/>
        </w:rPr>
        <w:t xml:space="preserve"> was also </w:t>
      </w:r>
      <w:r w:rsidR="0080493C">
        <w:rPr>
          <w:noProof/>
          <w:lang w:eastAsia="en-GB"/>
        </w:rPr>
        <w:t>mentioned</w:t>
      </w:r>
      <w:r w:rsidR="00316061" w:rsidRPr="009F2E4E">
        <w:rPr>
          <w:noProof/>
          <w:lang w:eastAsia="en-GB"/>
        </w:rPr>
        <w:t>, together with preserving a level playing field of EU businesses in the international tax system</w:t>
      </w:r>
      <w:r w:rsidR="004A6757" w:rsidRPr="009F2E4E">
        <w:rPr>
          <w:noProof/>
          <w:lang w:eastAsia="en-GB"/>
        </w:rPr>
        <w:t xml:space="preserve">, avoiding </w:t>
      </w:r>
      <w:r w:rsidR="00316061" w:rsidRPr="009F2E4E">
        <w:rPr>
          <w:noProof/>
          <w:lang w:eastAsia="en-GB"/>
        </w:rPr>
        <w:t>competitive disadvantage</w:t>
      </w:r>
      <w:r w:rsidR="004A6757" w:rsidRPr="009F2E4E">
        <w:rPr>
          <w:noProof/>
          <w:lang w:eastAsia="en-GB"/>
        </w:rPr>
        <w:t>s</w:t>
      </w:r>
      <w:r w:rsidR="006245F8">
        <w:rPr>
          <w:rFonts w:ascii="Calibri" w:hAnsi="Calibri" w:cs="Calibri"/>
          <w:noProof/>
          <w:lang w:eastAsia="en-GB"/>
        </w:rPr>
        <w:t>(</w:t>
      </w:r>
      <w:r w:rsidR="00EA26F7" w:rsidRPr="009F2E4E">
        <w:rPr>
          <w:rStyle w:val="FootnoteReference"/>
          <w:noProof/>
          <w:lang w:eastAsia="en-GB"/>
        </w:rPr>
        <w:footnoteReference w:id="24"/>
      </w:r>
      <w:r w:rsidR="006245F8">
        <w:rPr>
          <w:rFonts w:ascii="Calibri" w:hAnsi="Calibri" w:cs="Calibri"/>
          <w:noProof/>
          <w:lang w:eastAsia="en-GB"/>
        </w:rPr>
        <w:t>)</w:t>
      </w:r>
      <w:r w:rsidR="004A6757" w:rsidRPr="009F2E4E">
        <w:rPr>
          <w:noProof/>
          <w:lang w:eastAsia="en-GB"/>
        </w:rPr>
        <w:t>.</w:t>
      </w:r>
      <w:r w:rsidR="00EA26F7" w:rsidRPr="009F2E4E">
        <w:rPr>
          <w:noProof/>
          <w:lang w:eastAsia="en-GB"/>
        </w:rPr>
        <w:t xml:space="preserve"> </w:t>
      </w:r>
    </w:p>
    <w:p w14:paraId="6A5B35A3" w14:textId="13683C7D" w:rsidR="009575E0" w:rsidRPr="009F2E4E" w:rsidRDefault="00EB32CD" w:rsidP="00BA38BB">
      <w:pPr>
        <w:rPr>
          <w:noProof/>
        </w:rPr>
      </w:pPr>
      <w:r w:rsidRPr="009F2E4E">
        <w:rPr>
          <w:rStyle w:val="Strong"/>
          <w:noProof/>
        </w:rPr>
        <w:t xml:space="preserve">The </w:t>
      </w:r>
      <w:r w:rsidR="009575E0" w:rsidRPr="009F2E4E">
        <w:rPr>
          <w:rStyle w:val="Strong"/>
          <w:noProof/>
        </w:rPr>
        <w:t xml:space="preserve">European </w:t>
      </w:r>
      <w:r w:rsidRPr="009F2E4E">
        <w:rPr>
          <w:rStyle w:val="Strong"/>
          <w:noProof/>
        </w:rPr>
        <w:t xml:space="preserve">Committee of the Regions (CoR) </w:t>
      </w:r>
      <w:r w:rsidR="006A059C" w:rsidRPr="009F2E4E">
        <w:rPr>
          <w:rStyle w:val="Strong"/>
          <w:noProof/>
        </w:rPr>
        <w:t xml:space="preserve">noted </w:t>
      </w:r>
      <w:r w:rsidRPr="009F2E4E">
        <w:rPr>
          <w:rStyle w:val="Strong"/>
          <w:noProof/>
        </w:rPr>
        <w:t>the Commission's proposal</w:t>
      </w:r>
      <w:r w:rsidR="00486174" w:rsidRPr="009F2E4E">
        <w:rPr>
          <w:rStyle w:val="Strong"/>
          <w:noProof/>
        </w:rPr>
        <w:t>, with a nuanced position.</w:t>
      </w:r>
      <w:r w:rsidR="00486174" w:rsidRPr="009F2E4E">
        <w:rPr>
          <w:noProof/>
          <w:lang w:eastAsia="en-GB"/>
        </w:rPr>
        <w:t xml:space="preserve"> </w:t>
      </w:r>
      <w:r w:rsidR="009575E0" w:rsidRPr="009F2E4E">
        <w:rPr>
          <w:noProof/>
          <w:lang w:eastAsia="en-GB"/>
        </w:rPr>
        <w:t>In its opinion of 30 Nov</w:t>
      </w:r>
      <w:r w:rsidR="0080493C">
        <w:rPr>
          <w:noProof/>
          <w:lang w:eastAsia="en-GB"/>
        </w:rPr>
        <w:t xml:space="preserve">ember </w:t>
      </w:r>
      <w:r w:rsidR="009575E0" w:rsidRPr="009F2E4E">
        <w:rPr>
          <w:noProof/>
          <w:lang w:eastAsia="en-GB"/>
        </w:rPr>
        <w:t>–</w:t>
      </w:r>
      <w:r w:rsidR="006A059C" w:rsidRPr="009F2E4E">
        <w:rPr>
          <w:noProof/>
          <w:lang w:eastAsia="en-GB"/>
        </w:rPr>
        <w:t xml:space="preserve"> </w:t>
      </w:r>
      <w:r w:rsidR="009575E0" w:rsidRPr="009F2E4E">
        <w:rPr>
          <w:noProof/>
          <w:lang w:eastAsia="en-GB"/>
        </w:rPr>
        <w:t>1 Dec</w:t>
      </w:r>
      <w:r w:rsidR="0080493C">
        <w:rPr>
          <w:noProof/>
          <w:lang w:eastAsia="en-GB"/>
        </w:rPr>
        <w:t>ember 2022</w:t>
      </w:r>
      <w:r w:rsidR="006245F8">
        <w:rPr>
          <w:noProof/>
          <w:lang w:eastAsia="en-GB"/>
        </w:rPr>
        <w:t>(</w:t>
      </w:r>
      <w:r w:rsidR="009575E0" w:rsidRPr="009F2E4E">
        <w:rPr>
          <w:rStyle w:val="FootnoteReference"/>
          <w:noProof/>
          <w:lang w:eastAsia="en-GB"/>
        </w:rPr>
        <w:footnoteReference w:id="25"/>
      </w:r>
      <w:r w:rsidR="006245F8">
        <w:rPr>
          <w:noProof/>
          <w:lang w:eastAsia="en-GB"/>
        </w:rPr>
        <w:t>)</w:t>
      </w:r>
      <w:r w:rsidR="009575E0" w:rsidRPr="009F2E4E">
        <w:rPr>
          <w:noProof/>
          <w:lang w:eastAsia="en-GB"/>
        </w:rPr>
        <w:t xml:space="preserve">, the Committee </w:t>
      </w:r>
      <w:r w:rsidR="009575E0" w:rsidRPr="009F2E4E">
        <w:rPr>
          <w:noProof/>
        </w:rPr>
        <w:t>note</w:t>
      </w:r>
      <w:r w:rsidR="00FA603B" w:rsidRPr="009F2E4E">
        <w:rPr>
          <w:noProof/>
        </w:rPr>
        <w:t>d</w:t>
      </w:r>
      <w:r w:rsidR="009575E0" w:rsidRPr="009F2E4E">
        <w:rPr>
          <w:noProof/>
        </w:rPr>
        <w:t xml:space="preserve"> that the introduction of a first basket of new </w:t>
      </w:r>
      <w:r w:rsidR="00704D9C" w:rsidRPr="009F2E4E">
        <w:rPr>
          <w:noProof/>
        </w:rPr>
        <w:t xml:space="preserve">own resources </w:t>
      </w:r>
      <w:r w:rsidR="009575E0" w:rsidRPr="009F2E4E">
        <w:rPr>
          <w:noProof/>
        </w:rPr>
        <w:t>w</w:t>
      </w:r>
      <w:r w:rsidR="006A059C" w:rsidRPr="009F2E4E">
        <w:rPr>
          <w:noProof/>
        </w:rPr>
        <w:t>ould</w:t>
      </w:r>
      <w:r w:rsidR="009575E0" w:rsidRPr="009F2E4E">
        <w:rPr>
          <w:noProof/>
        </w:rPr>
        <w:t xml:space="preserve"> send a positive message to investors on the financial markets and rating agencies</w:t>
      </w:r>
      <w:r w:rsidR="00704D9C" w:rsidRPr="009F2E4E">
        <w:rPr>
          <w:noProof/>
        </w:rPr>
        <w:t>;</w:t>
      </w:r>
      <w:r w:rsidR="00FA603B" w:rsidRPr="009F2E4E">
        <w:rPr>
          <w:noProof/>
        </w:rPr>
        <w:t xml:space="preserve"> simil</w:t>
      </w:r>
      <w:r w:rsidR="00AA6DD2" w:rsidRPr="009F2E4E">
        <w:rPr>
          <w:noProof/>
        </w:rPr>
        <w:t>a</w:t>
      </w:r>
      <w:r w:rsidR="00FA603B" w:rsidRPr="009F2E4E">
        <w:rPr>
          <w:noProof/>
        </w:rPr>
        <w:t xml:space="preserve">rly to other institutions, </w:t>
      </w:r>
      <w:r w:rsidR="006A059C" w:rsidRPr="009F2E4E">
        <w:rPr>
          <w:noProof/>
        </w:rPr>
        <w:t xml:space="preserve">it also </w:t>
      </w:r>
      <w:r w:rsidR="00704D9C" w:rsidRPr="009F2E4E">
        <w:rPr>
          <w:noProof/>
        </w:rPr>
        <w:t xml:space="preserve">stressed the need to establish new resources not only to repay the NGEU debt without jeopardizing EU programmes in the next MFF, but also to increase the EU budget's financial autonomy in a permanent, sustainable way for the Member States' budgets. </w:t>
      </w:r>
      <w:r w:rsidR="00D43529" w:rsidRPr="009F2E4E">
        <w:rPr>
          <w:noProof/>
        </w:rPr>
        <w:t xml:space="preserve">The Committee </w:t>
      </w:r>
      <w:r w:rsidR="00704D9C" w:rsidRPr="009F2E4E">
        <w:rPr>
          <w:noProof/>
        </w:rPr>
        <w:t xml:space="preserve">also </w:t>
      </w:r>
      <w:r w:rsidR="005A5B2E" w:rsidRPr="009F2E4E">
        <w:rPr>
          <w:noProof/>
        </w:rPr>
        <w:t xml:space="preserve">underlined that additional new own resources would be needed given </w:t>
      </w:r>
      <w:r w:rsidR="009575E0" w:rsidRPr="009F2E4E">
        <w:rPr>
          <w:noProof/>
        </w:rPr>
        <w:t xml:space="preserve">that, </w:t>
      </w:r>
      <w:r w:rsidR="009575E0" w:rsidRPr="00797CE1">
        <w:rPr>
          <w:noProof/>
        </w:rPr>
        <w:t>overall, the three new own resources proposed</w:t>
      </w:r>
      <w:r w:rsidR="005A5B2E" w:rsidRPr="00797CE1">
        <w:rPr>
          <w:noProof/>
        </w:rPr>
        <w:t xml:space="preserve"> in </w:t>
      </w:r>
      <w:r w:rsidR="0080493C" w:rsidRPr="00797CE1">
        <w:rPr>
          <w:noProof/>
        </w:rPr>
        <w:t>December 2021</w:t>
      </w:r>
      <w:r w:rsidR="009575E0" w:rsidRPr="00797CE1">
        <w:rPr>
          <w:noProof/>
        </w:rPr>
        <w:t xml:space="preserve"> </w:t>
      </w:r>
      <w:r w:rsidR="005A5B2E" w:rsidRPr="00797CE1">
        <w:rPr>
          <w:noProof/>
        </w:rPr>
        <w:t>would</w:t>
      </w:r>
      <w:r w:rsidR="009575E0" w:rsidRPr="00797CE1">
        <w:rPr>
          <w:noProof/>
        </w:rPr>
        <w:t xml:space="preserve"> yield up to </w:t>
      </w:r>
      <w:r w:rsidR="00865C82" w:rsidRPr="00797CE1">
        <w:rPr>
          <w:noProof/>
        </w:rPr>
        <w:t>EUR</w:t>
      </w:r>
      <w:r w:rsidR="005A5B2E" w:rsidRPr="00797CE1">
        <w:rPr>
          <w:noProof/>
        </w:rPr>
        <w:t xml:space="preserve"> </w:t>
      </w:r>
      <w:r w:rsidR="00D43529" w:rsidRPr="00797CE1">
        <w:rPr>
          <w:noProof/>
        </w:rPr>
        <w:t xml:space="preserve">17 </w:t>
      </w:r>
      <w:r w:rsidR="00BC372C" w:rsidRPr="00797CE1">
        <w:rPr>
          <w:noProof/>
        </w:rPr>
        <w:t>billion</w:t>
      </w:r>
      <w:r w:rsidR="009575E0" w:rsidRPr="00797CE1">
        <w:rPr>
          <w:noProof/>
        </w:rPr>
        <w:t xml:space="preserve"> </w:t>
      </w:r>
      <w:r w:rsidR="005A5B2E" w:rsidRPr="00797CE1">
        <w:rPr>
          <w:noProof/>
        </w:rPr>
        <w:t xml:space="preserve">/ </w:t>
      </w:r>
      <w:r w:rsidR="009575E0" w:rsidRPr="00797CE1">
        <w:rPr>
          <w:noProof/>
        </w:rPr>
        <w:t xml:space="preserve">year from 2026 to 2030 </w:t>
      </w:r>
      <w:r w:rsidR="00D43529" w:rsidRPr="00797CE1">
        <w:rPr>
          <w:noProof/>
        </w:rPr>
        <w:t>(</w:t>
      </w:r>
      <w:r w:rsidR="009575E0" w:rsidRPr="00797CE1">
        <w:rPr>
          <w:noProof/>
        </w:rPr>
        <w:t>European Commission estimates</w:t>
      </w:r>
      <w:r w:rsidR="00D43529" w:rsidRPr="00797CE1">
        <w:rPr>
          <w:noProof/>
        </w:rPr>
        <w:t>), an</w:t>
      </w:r>
      <w:r w:rsidR="009575E0" w:rsidRPr="00797CE1">
        <w:rPr>
          <w:noProof/>
        </w:rPr>
        <w:t xml:space="preserve"> amoun</w:t>
      </w:r>
      <w:r w:rsidR="005A5B2E" w:rsidRPr="00797CE1">
        <w:rPr>
          <w:noProof/>
        </w:rPr>
        <w:t>t</w:t>
      </w:r>
      <w:r w:rsidR="009575E0" w:rsidRPr="00797CE1">
        <w:rPr>
          <w:noProof/>
        </w:rPr>
        <w:t xml:space="preserve"> insufficient to cover both the costs of repaying the NGEU debt (</w:t>
      </w:r>
      <w:r w:rsidR="00865C82" w:rsidRPr="00797CE1">
        <w:rPr>
          <w:noProof/>
        </w:rPr>
        <w:t>EUR</w:t>
      </w:r>
      <w:r w:rsidR="009575E0" w:rsidRPr="00797CE1">
        <w:rPr>
          <w:noProof/>
        </w:rPr>
        <w:t xml:space="preserve"> 15 </w:t>
      </w:r>
      <w:r w:rsidR="00BC372C" w:rsidRPr="00797CE1">
        <w:rPr>
          <w:noProof/>
        </w:rPr>
        <w:t>billion</w:t>
      </w:r>
      <w:r w:rsidR="005A5B2E" w:rsidRPr="00797CE1">
        <w:rPr>
          <w:noProof/>
        </w:rPr>
        <w:t xml:space="preserve"> / </w:t>
      </w:r>
      <w:r w:rsidR="009575E0" w:rsidRPr="00797CE1">
        <w:rPr>
          <w:noProof/>
        </w:rPr>
        <w:t>year) and finance the Social Climate Fund (</w:t>
      </w:r>
      <w:r w:rsidR="00865C82" w:rsidRPr="00797CE1">
        <w:rPr>
          <w:noProof/>
        </w:rPr>
        <w:t>EUR</w:t>
      </w:r>
      <w:r w:rsidR="009575E0" w:rsidRPr="00797CE1">
        <w:rPr>
          <w:noProof/>
        </w:rPr>
        <w:t xml:space="preserve"> 9.7 </w:t>
      </w:r>
      <w:r w:rsidR="00BC372C" w:rsidRPr="00797CE1">
        <w:rPr>
          <w:noProof/>
        </w:rPr>
        <w:t>billion</w:t>
      </w:r>
      <w:r w:rsidR="009F2600" w:rsidRPr="00797CE1">
        <w:rPr>
          <w:noProof/>
        </w:rPr>
        <w:t xml:space="preserve"> </w:t>
      </w:r>
      <w:r w:rsidR="009575E0" w:rsidRPr="00797CE1">
        <w:rPr>
          <w:noProof/>
        </w:rPr>
        <w:t>/</w:t>
      </w:r>
      <w:r w:rsidR="009F2600" w:rsidRPr="00797CE1">
        <w:rPr>
          <w:noProof/>
        </w:rPr>
        <w:t xml:space="preserve"> </w:t>
      </w:r>
      <w:r w:rsidR="009575E0" w:rsidRPr="00797CE1">
        <w:rPr>
          <w:noProof/>
        </w:rPr>
        <w:t>year</w:t>
      </w:r>
      <w:r w:rsidR="005A5B2E" w:rsidRPr="00797CE1">
        <w:rPr>
          <w:noProof/>
        </w:rPr>
        <w:t>).</w:t>
      </w:r>
      <w:r w:rsidR="005A5B2E" w:rsidRPr="009F2E4E">
        <w:rPr>
          <w:noProof/>
        </w:rPr>
        <w:t xml:space="preserve"> F</w:t>
      </w:r>
      <w:r w:rsidR="00AA6DD2" w:rsidRPr="009F2E4E">
        <w:rPr>
          <w:noProof/>
        </w:rPr>
        <w:t>u</w:t>
      </w:r>
      <w:r w:rsidR="005A5B2E" w:rsidRPr="009F2E4E">
        <w:rPr>
          <w:noProof/>
        </w:rPr>
        <w:t xml:space="preserve">rthermore, the Committee called upon the Commission to </w:t>
      </w:r>
      <w:r w:rsidR="002D7207" w:rsidRPr="009F2E4E">
        <w:rPr>
          <w:noProof/>
        </w:rPr>
        <w:t>consider</w:t>
      </w:r>
      <w:r w:rsidR="005A5B2E" w:rsidRPr="009F2E4E">
        <w:rPr>
          <w:noProof/>
        </w:rPr>
        <w:t xml:space="preserve"> credible, territorial impact assessments regarding </w:t>
      </w:r>
      <w:r w:rsidR="0080493C">
        <w:rPr>
          <w:noProof/>
        </w:rPr>
        <w:t xml:space="preserve">potential </w:t>
      </w:r>
      <w:r w:rsidR="005A5B2E" w:rsidRPr="009F2E4E">
        <w:rPr>
          <w:noProof/>
        </w:rPr>
        <w:t xml:space="preserve">costs European companies and consumers </w:t>
      </w:r>
      <w:r w:rsidR="0080493C">
        <w:rPr>
          <w:noProof/>
        </w:rPr>
        <w:t>may</w:t>
      </w:r>
      <w:r w:rsidR="0080493C" w:rsidRPr="009F2E4E">
        <w:rPr>
          <w:noProof/>
        </w:rPr>
        <w:t xml:space="preserve"> </w:t>
      </w:r>
      <w:r w:rsidR="005A5B2E" w:rsidRPr="009F2E4E">
        <w:rPr>
          <w:noProof/>
        </w:rPr>
        <w:t>incur.</w:t>
      </w:r>
    </w:p>
    <w:p w14:paraId="4825A653" w14:textId="571FFB5B" w:rsidR="00AD3956" w:rsidRPr="009F2E4E" w:rsidRDefault="00D72925" w:rsidP="00F65EB9">
      <w:pPr>
        <w:pStyle w:val="Heading2"/>
      </w:pPr>
      <w:bookmarkStart w:id="137" w:name="_Toc133405546"/>
      <w:bookmarkStart w:id="138" w:name="_Toc133426649"/>
      <w:bookmarkStart w:id="139" w:name="_Toc134446542"/>
      <w:bookmarkStart w:id="140" w:name="_Toc135860240"/>
      <w:bookmarkStart w:id="141" w:name="_Toc136599809"/>
      <w:bookmarkStart w:id="142" w:name="_Toc136600387"/>
      <w:bookmarkStart w:id="143" w:name="_Toc137493992"/>
      <w:r w:rsidRPr="009F2E4E">
        <w:t>2.</w:t>
      </w:r>
      <w:r w:rsidR="00CE70FF" w:rsidRPr="009F2E4E">
        <w:t>3</w:t>
      </w:r>
      <w:r w:rsidRPr="009F2E4E">
        <w:t xml:space="preserve">. Evaluation of </w:t>
      </w:r>
      <w:r w:rsidR="00185C30" w:rsidRPr="009F2E4E">
        <w:t xml:space="preserve">potential </w:t>
      </w:r>
      <w:r w:rsidR="00057B1F" w:rsidRPr="009F2E4E">
        <w:t>new own resources – individual factsheet</w:t>
      </w:r>
      <w:r w:rsidR="00D87BA8" w:rsidRPr="009F2E4E">
        <w:t>s</w:t>
      </w:r>
      <w:bookmarkEnd w:id="137"/>
      <w:bookmarkEnd w:id="138"/>
      <w:bookmarkEnd w:id="139"/>
      <w:bookmarkEnd w:id="140"/>
      <w:bookmarkEnd w:id="141"/>
      <w:bookmarkEnd w:id="142"/>
      <w:bookmarkEnd w:id="143"/>
    </w:p>
    <w:p w14:paraId="676A9E82" w14:textId="6B2D0AEF" w:rsidR="004F6E4A" w:rsidRDefault="006518CE" w:rsidP="00500E0C">
      <w:pPr>
        <w:rPr>
          <w:noProof/>
          <w:lang w:eastAsia="en-GB"/>
        </w:rPr>
      </w:pPr>
      <w:r w:rsidRPr="009F2E4E">
        <w:rPr>
          <w:rStyle w:val="Strong"/>
          <w:noProof/>
        </w:rPr>
        <w:t xml:space="preserve">This section presents </w:t>
      </w:r>
      <w:r w:rsidR="006E06B6">
        <w:rPr>
          <w:rStyle w:val="Strong"/>
          <w:noProof/>
        </w:rPr>
        <w:t>eight</w:t>
      </w:r>
      <w:r w:rsidR="006E06B6" w:rsidRPr="009F2E4E">
        <w:rPr>
          <w:rStyle w:val="Strong"/>
          <w:noProof/>
        </w:rPr>
        <w:t xml:space="preserve"> potential</w:t>
      </w:r>
      <w:r w:rsidRPr="009F2E4E">
        <w:rPr>
          <w:rStyle w:val="Strong"/>
          <w:noProof/>
        </w:rPr>
        <w:t xml:space="preserve"> options for</w:t>
      </w:r>
      <w:r w:rsidR="00CC4F14" w:rsidRPr="009F2E4E">
        <w:rPr>
          <w:rStyle w:val="Strong"/>
          <w:noProof/>
        </w:rPr>
        <w:t xml:space="preserve"> new own resources</w:t>
      </w:r>
      <w:r w:rsidR="00AC69D1">
        <w:rPr>
          <w:rStyle w:val="Strong"/>
          <w:noProof/>
        </w:rPr>
        <w:t xml:space="preserve"> </w:t>
      </w:r>
      <w:r w:rsidR="00AC69D1" w:rsidRPr="004F22DF">
        <w:rPr>
          <w:rStyle w:val="Strong"/>
          <w:b w:val="0"/>
          <w:bCs/>
          <w:noProof/>
          <w:color w:val="000000" w:themeColor="text1"/>
        </w:rPr>
        <w:t xml:space="preserve">based </w:t>
      </w:r>
      <w:r w:rsidR="00AC69D1">
        <w:rPr>
          <w:rStyle w:val="Strong"/>
          <w:b w:val="0"/>
          <w:bCs/>
          <w:noProof/>
          <w:color w:val="000000" w:themeColor="text1"/>
        </w:rPr>
        <w:t>on either Commission’s</w:t>
      </w:r>
      <w:r w:rsidR="005F552C">
        <w:rPr>
          <w:rStyle w:val="Strong"/>
          <w:b w:val="0"/>
          <w:bCs/>
          <w:noProof/>
          <w:color w:val="000000" w:themeColor="text1"/>
        </w:rPr>
        <w:t xml:space="preserve"> existing or forthcoming sectorial proposals – such as BEFIT – or </w:t>
      </w:r>
      <w:r w:rsidR="005F552C">
        <w:rPr>
          <w:noProof/>
          <w:lang w:eastAsia="en-GB"/>
        </w:rPr>
        <w:t>the European Parliament’s own initiative report (see section 2.2)</w:t>
      </w:r>
      <w:r w:rsidR="00CC4F14" w:rsidRPr="004F22DF">
        <w:rPr>
          <w:rStyle w:val="Strong"/>
          <w:b w:val="0"/>
          <w:bCs/>
          <w:noProof/>
          <w:color w:val="000000" w:themeColor="text1"/>
        </w:rPr>
        <w:t>.</w:t>
      </w:r>
      <w:r w:rsidR="00CC4F14" w:rsidRPr="004F22DF">
        <w:rPr>
          <w:b/>
          <w:noProof/>
          <w:color w:val="000000" w:themeColor="text1"/>
          <w:lang w:eastAsia="en-GB"/>
        </w:rPr>
        <w:t xml:space="preserve"> </w:t>
      </w:r>
      <w:r w:rsidR="00CC4F14" w:rsidRPr="009F2E4E">
        <w:rPr>
          <w:noProof/>
          <w:lang w:eastAsia="en-GB"/>
        </w:rPr>
        <w:t>E</w:t>
      </w:r>
      <w:r w:rsidRPr="009F2E4E">
        <w:rPr>
          <w:noProof/>
          <w:lang w:eastAsia="en-GB"/>
        </w:rPr>
        <w:t xml:space="preserve">ach of the </w:t>
      </w:r>
      <w:r w:rsidR="00E8187A" w:rsidRPr="00AE6540">
        <w:rPr>
          <w:noProof/>
          <w:lang w:eastAsia="en-GB"/>
        </w:rPr>
        <w:t>eight</w:t>
      </w:r>
      <w:r w:rsidR="00E8187A" w:rsidRPr="009F2E4E">
        <w:rPr>
          <w:noProof/>
          <w:lang w:eastAsia="en-GB"/>
        </w:rPr>
        <w:t xml:space="preserve"> </w:t>
      </w:r>
      <w:r w:rsidR="000F6802" w:rsidRPr="008D12B0">
        <w:rPr>
          <w:noProof/>
          <w:lang w:eastAsia="en-GB"/>
        </w:rPr>
        <w:t>assessments</w:t>
      </w:r>
      <w:r w:rsidR="004F6E4A" w:rsidRPr="009F2E4E">
        <w:rPr>
          <w:noProof/>
          <w:lang w:eastAsia="en-GB"/>
        </w:rPr>
        <w:t xml:space="preserve"> </w:t>
      </w:r>
      <w:r w:rsidRPr="009F2E4E">
        <w:rPr>
          <w:noProof/>
          <w:lang w:eastAsia="en-GB"/>
        </w:rPr>
        <w:t xml:space="preserve">elaborates on </w:t>
      </w:r>
      <w:r w:rsidR="00CC4F14" w:rsidRPr="009F2E4E">
        <w:rPr>
          <w:noProof/>
          <w:lang w:eastAsia="en-GB"/>
        </w:rPr>
        <w:t xml:space="preserve">the three criteria </w:t>
      </w:r>
      <w:r w:rsidR="001D3C08" w:rsidRPr="009F2E4E">
        <w:rPr>
          <w:noProof/>
          <w:lang w:eastAsia="en-GB"/>
        </w:rPr>
        <w:t>– revenue potential, simplicity</w:t>
      </w:r>
      <w:r w:rsidR="00017821" w:rsidRPr="009F2E4E">
        <w:rPr>
          <w:noProof/>
          <w:lang w:eastAsia="en-GB"/>
        </w:rPr>
        <w:t>,</w:t>
      </w:r>
      <w:r w:rsidR="001D3C08" w:rsidRPr="009F2E4E">
        <w:rPr>
          <w:noProof/>
          <w:lang w:eastAsia="en-GB"/>
        </w:rPr>
        <w:t xml:space="preserve"> and fast mobilisation of revenues </w:t>
      </w:r>
      <w:r w:rsidR="004F6E4A" w:rsidRPr="009F2E4E">
        <w:rPr>
          <w:noProof/>
          <w:lang w:eastAsia="en-GB"/>
        </w:rPr>
        <w:t xml:space="preserve">– and scores each option </w:t>
      </w:r>
      <w:r w:rsidR="001D3C08" w:rsidRPr="009F2E4E">
        <w:rPr>
          <w:noProof/>
          <w:lang w:eastAsia="en-GB"/>
        </w:rPr>
        <w:t>on a qualitative basis and</w:t>
      </w:r>
      <w:r w:rsidR="00CC4F14" w:rsidRPr="009F2E4E">
        <w:rPr>
          <w:noProof/>
          <w:lang w:eastAsia="en-GB"/>
        </w:rPr>
        <w:t xml:space="preserve"> using expert judgement</w:t>
      </w:r>
      <w:r w:rsidR="004F6E4A" w:rsidRPr="009F2E4E">
        <w:rPr>
          <w:noProof/>
          <w:lang w:eastAsia="en-GB"/>
        </w:rPr>
        <w:t xml:space="preserve"> (for the methodology, see Box </w:t>
      </w:r>
      <w:r w:rsidR="004D53A6">
        <w:rPr>
          <w:noProof/>
          <w:lang w:eastAsia="en-GB"/>
        </w:rPr>
        <w:t>3</w:t>
      </w:r>
      <w:r w:rsidR="004F6E4A" w:rsidRPr="009F2E4E">
        <w:rPr>
          <w:noProof/>
          <w:lang w:eastAsia="en-GB"/>
        </w:rPr>
        <w:t>)</w:t>
      </w:r>
      <w:r w:rsidR="00CC4F14" w:rsidRPr="009F2E4E">
        <w:rPr>
          <w:noProof/>
          <w:lang w:eastAsia="en-GB"/>
        </w:rPr>
        <w:t xml:space="preserve">. </w:t>
      </w:r>
      <w:r w:rsidR="006D2C39" w:rsidRPr="009F2E4E">
        <w:rPr>
          <w:noProof/>
          <w:lang w:eastAsia="en-GB"/>
        </w:rPr>
        <w:t xml:space="preserve">A summary evaluation is presented in Table </w:t>
      </w:r>
      <w:r w:rsidR="006F7910" w:rsidRPr="009F2E4E">
        <w:rPr>
          <w:noProof/>
          <w:lang w:eastAsia="en-GB"/>
        </w:rPr>
        <w:t>2</w:t>
      </w:r>
      <w:r w:rsidR="006D2C39" w:rsidRPr="009F2E4E">
        <w:rPr>
          <w:noProof/>
          <w:lang w:eastAsia="en-GB"/>
        </w:rPr>
        <w:t>.</w:t>
      </w:r>
    </w:p>
    <w:p w14:paraId="49E3B3CF" w14:textId="367089E1" w:rsidR="00E8187A" w:rsidRPr="009F2E4E" w:rsidRDefault="008A7599" w:rsidP="00500E0C">
      <w:pPr>
        <w:rPr>
          <w:noProof/>
          <w:lang w:eastAsia="en-GB"/>
        </w:rPr>
      </w:pPr>
      <w:r>
        <w:rPr>
          <w:noProof/>
          <w:lang w:eastAsia="en-GB"/>
        </w:rPr>
        <w:t>A</w:t>
      </w:r>
      <w:r w:rsidR="00E8187A">
        <w:rPr>
          <w:noProof/>
          <w:lang w:eastAsia="en-GB"/>
        </w:rPr>
        <w:t xml:space="preserve"> tax on the digital economy is not part of this assessment</w:t>
      </w:r>
      <w:r w:rsidR="005F552C">
        <w:rPr>
          <w:noProof/>
          <w:lang w:eastAsia="en-GB"/>
        </w:rPr>
        <w:t>,</w:t>
      </w:r>
      <w:r w:rsidR="00E8187A">
        <w:rPr>
          <w:noProof/>
          <w:lang w:eastAsia="en-GB"/>
        </w:rPr>
        <w:t xml:space="preserve"> given the ongoing international discussions in the context of the OECD. </w:t>
      </w:r>
      <w:r w:rsidR="00DF6C46" w:rsidRPr="00DF6C46">
        <w:rPr>
          <w:noProof/>
          <w:lang w:eastAsia="en-GB"/>
        </w:rPr>
        <w:t>The EU has always considered the OECD’s Two-pillar Solution to Address the Tax Challenges Arising from the Digitalisation of the Economy a paradigm-changing reform of the international corporate tax system. Its implementation remains a key priority in the area of corporate taxation for the EU and its Member States. Enormous progress has been made following the October 2021 agreement. Certain building blocks now remain to be completed to pave the way for the signature of the Multilateral Convention</w:t>
      </w:r>
      <w:r w:rsidR="00E41CF8">
        <w:rPr>
          <w:noProof/>
          <w:lang w:eastAsia="en-GB"/>
        </w:rPr>
        <w:t xml:space="preserve"> before the end of the year</w:t>
      </w:r>
      <w:r w:rsidR="00DF6C46" w:rsidRPr="00DF6C46">
        <w:rPr>
          <w:noProof/>
          <w:lang w:eastAsia="en-GB"/>
        </w:rPr>
        <w:t>.. Against such backdrop, the EU will not consider further measures on the digital sector</w:t>
      </w:r>
      <w:r w:rsidR="005F552C">
        <w:rPr>
          <w:noProof/>
          <w:lang w:eastAsia="en-GB"/>
        </w:rPr>
        <w:t>,</w:t>
      </w:r>
      <w:r w:rsidR="00DF6C46" w:rsidRPr="00DF6C46">
        <w:rPr>
          <w:noProof/>
          <w:lang w:eastAsia="en-GB"/>
        </w:rPr>
        <w:t xml:space="preserve"> as long as the OECD’s Pillar One is in preparation or in place.</w:t>
      </w:r>
    </w:p>
    <w:p w14:paraId="678700D3" w14:textId="543AFE82" w:rsidR="00B878E0" w:rsidRPr="009F2E4E" w:rsidRDefault="00B878E0" w:rsidP="00B878E0">
      <w:pPr>
        <w:rPr>
          <w:noProof/>
          <w:lang w:eastAsia="en-GB"/>
        </w:rPr>
      </w:pPr>
      <w:r>
        <w:rPr>
          <w:noProof/>
          <w:lang w:eastAsia="en-GB"/>
        </w:rPr>
        <w:t>The European Parliament called for the establishment of a bio</w:t>
      </w:r>
      <w:r w:rsidR="00B3405F">
        <w:rPr>
          <w:noProof/>
          <w:lang w:eastAsia="en-GB"/>
        </w:rPr>
        <w:t>-</w:t>
      </w:r>
      <w:r>
        <w:rPr>
          <w:noProof/>
          <w:lang w:eastAsia="en-GB"/>
        </w:rPr>
        <w:t xml:space="preserve">waste-based own resource. </w:t>
      </w:r>
      <w:r w:rsidRPr="009F2E4E">
        <w:rPr>
          <w:noProof/>
        </w:rPr>
        <w:t>Since there are no specific statistics on bio-waste, but rather several statistical systems, the assessment considers two separate own resources based on the waste</w:t>
      </w:r>
      <w:r w:rsidR="0000778C">
        <w:rPr>
          <w:noProof/>
        </w:rPr>
        <w:t xml:space="preserve"> from</w:t>
      </w:r>
      <w:r w:rsidRPr="009F2E4E">
        <w:rPr>
          <w:noProof/>
        </w:rPr>
        <w:t xml:space="preserve"> electrical and electronic equipment – ‘e-waste’ </w:t>
      </w:r>
      <w:r w:rsidR="0000778C">
        <w:rPr>
          <w:noProof/>
        </w:rPr>
        <w:t xml:space="preserve">– </w:t>
      </w:r>
      <w:r w:rsidRPr="009F2E4E">
        <w:rPr>
          <w:noProof/>
        </w:rPr>
        <w:t>and</w:t>
      </w:r>
      <w:r w:rsidR="0000778C">
        <w:rPr>
          <w:noProof/>
        </w:rPr>
        <w:t xml:space="preserve"> </w:t>
      </w:r>
      <w:r w:rsidRPr="009F2E4E">
        <w:rPr>
          <w:noProof/>
        </w:rPr>
        <w:t>on food waste</w:t>
      </w:r>
      <w:r w:rsidR="0000778C">
        <w:rPr>
          <w:noProof/>
        </w:rPr>
        <w:t>.</w:t>
      </w:r>
      <w:r w:rsidRPr="009F2E4E">
        <w:rPr>
          <w:noProof/>
        </w:rPr>
        <w:t xml:space="preserve"> </w:t>
      </w:r>
    </w:p>
    <w:p w14:paraId="3443C2C4" w14:textId="57DBABD4" w:rsidR="00EC1502" w:rsidRDefault="00D163A3" w:rsidP="00EC1502">
      <w:pPr>
        <w:rPr>
          <w:noProof/>
        </w:rPr>
      </w:pPr>
      <w:r w:rsidRPr="009F2E4E">
        <w:rPr>
          <w:noProof/>
          <w:lang w:eastAsia="en-GB"/>
        </w:rPr>
        <w:t xml:space="preserve">The </w:t>
      </w:r>
      <w:r w:rsidR="00E8187A">
        <w:rPr>
          <w:noProof/>
          <w:lang w:eastAsia="en-GB"/>
        </w:rPr>
        <w:t>eight</w:t>
      </w:r>
      <w:r w:rsidR="00E8187A" w:rsidRPr="009F2E4E">
        <w:rPr>
          <w:noProof/>
          <w:lang w:eastAsia="en-GB"/>
        </w:rPr>
        <w:t xml:space="preserve"> </w:t>
      </w:r>
      <w:r w:rsidRPr="009F2E4E">
        <w:rPr>
          <w:noProof/>
          <w:lang w:eastAsia="en-GB"/>
        </w:rPr>
        <w:t xml:space="preserve">candidates are: </w:t>
      </w:r>
      <w:r w:rsidR="00EC1502" w:rsidRPr="00EC1502">
        <w:rPr>
          <w:noProof/>
        </w:rPr>
        <w:t>corporate taxation (BEFIT), including the financial sector</w:t>
      </w:r>
      <w:r w:rsidR="00EC1502">
        <w:rPr>
          <w:noProof/>
        </w:rPr>
        <w:t xml:space="preserve"> </w:t>
      </w:r>
      <w:r w:rsidR="00EC1502" w:rsidRPr="009F2E4E">
        <w:rPr>
          <w:noProof/>
        </w:rPr>
        <w:t>(section 2.3.1)</w:t>
      </w:r>
      <w:r w:rsidR="00EC1502" w:rsidRPr="00EC1502">
        <w:rPr>
          <w:noProof/>
        </w:rPr>
        <w:t>; a statistical own resource based on company profits</w:t>
      </w:r>
      <w:r w:rsidR="00EC1502">
        <w:rPr>
          <w:noProof/>
        </w:rPr>
        <w:t xml:space="preserve"> </w:t>
      </w:r>
      <w:r w:rsidR="00EC1502" w:rsidRPr="009F2E4E">
        <w:rPr>
          <w:noProof/>
        </w:rPr>
        <w:t>(section 2.3.</w:t>
      </w:r>
      <w:r w:rsidR="00EC1502">
        <w:rPr>
          <w:noProof/>
        </w:rPr>
        <w:t>2)</w:t>
      </w:r>
      <w:r w:rsidR="00EC1502" w:rsidRPr="00EC1502">
        <w:rPr>
          <w:noProof/>
        </w:rPr>
        <w:t>; a tax on the financial sector with an assessment of a financial transaction tax (FTT)</w:t>
      </w:r>
      <w:r w:rsidR="00EC1502">
        <w:rPr>
          <w:noProof/>
        </w:rPr>
        <w:t xml:space="preserve"> </w:t>
      </w:r>
      <w:r w:rsidR="00EC1502" w:rsidRPr="009F2E4E">
        <w:rPr>
          <w:noProof/>
        </w:rPr>
        <w:t>(section 2.3.</w:t>
      </w:r>
      <w:r w:rsidR="00EC1502">
        <w:rPr>
          <w:noProof/>
        </w:rPr>
        <w:t>3)</w:t>
      </w:r>
      <w:r w:rsidR="00EC1502" w:rsidRPr="00EC1502">
        <w:rPr>
          <w:noProof/>
        </w:rPr>
        <w:t>; an EU ‘fair border mechanism’</w:t>
      </w:r>
      <w:r w:rsidR="00EC1502">
        <w:rPr>
          <w:noProof/>
        </w:rPr>
        <w:t xml:space="preserve"> </w:t>
      </w:r>
      <w:r w:rsidR="00EC1502" w:rsidRPr="009F2E4E">
        <w:rPr>
          <w:noProof/>
        </w:rPr>
        <w:t>(section 2.3.</w:t>
      </w:r>
      <w:r w:rsidR="00EC1502">
        <w:rPr>
          <w:noProof/>
        </w:rPr>
        <w:t>4)</w:t>
      </w:r>
      <w:r w:rsidR="00EC1502" w:rsidRPr="00EC1502">
        <w:rPr>
          <w:noProof/>
        </w:rPr>
        <w:t>; a tax on cryptocurrencies</w:t>
      </w:r>
      <w:r w:rsidR="00EC1502">
        <w:rPr>
          <w:noProof/>
        </w:rPr>
        <w:t xml:space="preserve"> </w:t>
      </w:r>
      <w:r w:rsidR="00EC1502" w:rsidRPr="009F2E4E">
        <w:rPr>
          <w:noProof/>
        </w:rPr>
        <w:t>(section 2.3.</w:t>
      </w:r>
      <w:r w:rsidR="00EC1502">
        <w:rPr>
          <w:noProof/>
        </w:rPr>
        <w:t>5)</w:t>
      </w:r>
      <w:r w:rsidR="00EC1502" w:rsidRPr="00EC1502">
        <w:rPr>
          <w:noProof/>
        </w:rPr>
        <w:t>; a statistical own resource based on gender pay gap</w:t>
      </w:r>
      <w:r w:rsidR="00EC1502">
        <w:rPr>
          <w:noProof/>
        </w:rPr>
        <w:t xml:space="preserve"> </w:t>
      </w:r>
      <w:r w:rsidR="00EC1502" w:rsidRPr="009F2E4E">
        <w:rPr>
          <w:noProof/>
        </w:rPr>
        <w:t>(section 2.3.</w:t>
      </w:r>
      <w:r w:rsidR="00EC1502">
        <w:rPr>
          <w:noProof/>
        </w:rPr>
        <w:t>6)</w:t>
      </w:r>
      <w:r w:rsidR="00EC1502" w:rsidRPr="00EC1502">
        <w:rPr>
          <w:noProof/>
        </w:rPr>
        <w:t>; a statistical own resource based on food waste</w:t>
      </w:r>
      <w:r w:rsidR="00EC1502">
        <w:rPr>
          <w:noProof/>
        </w:rPr>
        <w:t xml:space="preserve"> </w:t>
      </w:r>
      <w:r w:rsidR="00EC1502" w:rsidRPr="009F2E4E">
        <w:rPr>
          <w:noProof/>
        </w:rPr>
        <w:t>(section 2.3.</w:t>
      </w:r>
      <w:r w:rsidR="00EC1502">
        <w:rPr>
          <w:noProof/>
        </w:rPr>
        <w:t>7)</w:t>
      </w:r>
      <w:r w:rsidR="00EC1502" w:rsidRPr="00EC1502">
        <w:rPr>
          <w:noProof/>
        </w:rPr>
        <w:t>; and a statistical own resource based on e-waste</w:t>
      </w:r>
      <w:r w:rsidR="00EC1502">
        <w:rPr>
          <w:noProof/>
        </w:rPr>
        <w:t xml:space="preserve"> </w:t>
      </w:r>
      <w:r w:rsidR="00EC1502" w:rsidRPr="009F2E4E">
        <w:rPr>
          <w:noProof/>
        </w:rPr>
        <w:t>(section 2.3.</w:t>
      </w:r>
      <w:r w:rsidR="00EC1502">
        <w:rPr>
          <w:noProof/>
        </w:rPr>
        <w:t>8)</w:t>
      </w:r>
      <w:r w:rsidR="00EC1502" w:rsidRPr="00EC1502">
        <w:rPr>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E1" w:themeFill="accent4" w:themeFillTint="33"/>
        <w:tblCellMar>
          <w:top w:w="170" w:type="dxa"/>
          <w:left w:w="170" w:type="dxa"/>
          <w:bottom w:w="170" w:type="dxa"/>
          <w:right w:w="170" w:type="dxa"/>
        </w:tblCellMar>
        <w:tblLook w:val="04A0" w:firstRow="1" w:lastRow="0" w:firstColumn="1" w:lastColumn="0" w:noHBand="0" w:noVBand="1"/>
      </w:tblPr>
      <w:tblGrid>
        <w:gridCol w:w="8602"/>
      </w:tblGrid>
      <w:tr w:rsidR="002C00EB" w:rsidRPr="009F2E4E" w14:paraId="60F9F503" w14:textId="77777777" w:rsidTr="00427292">
        <w:trPr>
          <w:trHeight w:val="3397"/>
        </w:trPr>
        <w:tc>
          <w:tcPr>
            <w:tcW w:w="8602" w:type="dxa"/>
            <w:shd w:val="clear" w:color="auto" w:fill="E8F2E1" w:themeFill="accent4" w:themeFillTint="33"/>
          </w:tcPr>
          <w:p w14:paraId="60EF02F6" w14:textId="215BB5D7" w:rsidR="002C00EB" w:rsidRPr="009F2E4E" w:rsidRDefault="002C00EB" w:rsidP="002C00EB">
            <w:pPr>
              <w:keepNext/>
              <w:spacing w:after="120"/>
              <w:rPr>
                <w:b/>
                <w:noProof/>
                <w:color w:val="023E8A" w:themeColor="accent1"/>
                <w:sz w:val="22"/>
                <w:szCs w:val="22"/>
              </w:rPr>
            </w:pPr>
            <w:r w:rsidRPr="0D5E584C">
              <w:rPr>
                <w:b/>
                <w:noProof/>
                <w:color w:val="023E8A" w:themeColor="accent1"/>
                <w:sz w:val="22"/>
                <w:szCs w:val="22"/>
              </w:rPr>
              <w:t xml:space="preserve">Box </w:t>
            </w:r>
            <w:r w:rsidR="004D53A6">
              <w:rPr>
                <w:b/>
                <w:noProof/>
                <w:color w:val="023E8A" w:themeColor="accent1"/>
                <w:sz w:val="22"/>
                <w:szCs w:val="22"/>
              </w:rPr>
              <w:t>3</w:t>
            </w:r>
            <w:r w:rsidRPr="0D5E584C">
              <w:rPr>
                <w:b/>
                <w:noProof/>
                <w:color w:val="023E8A" w:themeColor="accent1"/>
                <w:sz w:val="22"/>
                <w:szCs w:val="22"/>
              </w:rPr>
              <w:t>. Evaluation and scoring of new own resources</w:t>
            </w:r>
          </w:p>
          <w:p w14:paraId="4C51740E" w14:textId="77777777" w:rsidR="002C00EB" w:rsidRPr="009F2E4E" w:rsidRDefault="002C00EB" w:rsidP="002C00EB">
            <w:pPr>
              <w:keepNext/>
              <w:spacing w:after="120"/>
              <w:rPr>
                <w:noProof/>
                <w:color w:val="023E8A" w:themeColor="accent1"/>
              </w:rPr>
            </w:pPr>
            <w:r w:rsidRPr="009F2E4E">
              <w:rPr>
                <w:noProof/>
                <w:color w:val="023E8A" w:themeColor="accent1"/>
              </w:rPr>
              <w:t xml:space="preserve">Each potential new own resource is scored along the three criteria – 1) revenue potential, 2) simplicity of collection and implementation, and 3) fast mobilisation of new revenue sources to the EU budget. </w:t>
            </w:r>
          </w:p>
          <w:p w14:paraId="0A8A474D" w14:textId="7B118434" w:rsidR="005F7CF2" w:rsidRDefault="002C00EB" w:rsidP="00CE69DE">
            <w:pPr>
              <w:keepNext/>
              <w:spacing w:after="120"/>
              <w:rPr>
                <w:noProof/>
                <w:color w:val="023E8A" w:themeColor="accent1"/>
              </w:rPr>
            </w:pPr>
            <w:r w:rsidRPr="009F2E4E">
              <w:rPr>
                <w:noProof/>
                <w:color w:val="023E8A" w:themeColor="accent1"/>
              </w:rPr>
              <w:t xml:space="preserve">Each criterion is marked from 0 to 4 points (quarters of a circle), with 0 standing for no compliance and 4 standing for full compliance of the new measure with the criterion considered. With a maximum of 4 points per criterion, any given new own resource proposal can score a maximum number of 12 points (3 criteria * number of points/criterion).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E8F2E1" w:themeColor="accent4" w:themeTint="33"/>
              </w:tblBorders>
              <w:shd w:val="clear" w:color="auto" w:fill="FFFFFF" w:themeFill="background1"/>
              <w:tblLook w:val="04A0" w:firstRow="1" w:lastRow="0" w:firstColumn="1" w:lastColumn="0" w:noHBand="0" w:noVBand="1"/>
            </w:tblPr>
            <w:tblGrid>
              <w:gridCol w:w="1373"/>
              <w:gridCol w:w="1373"/>
              <w:gridCol w:w="1373"/>
              <w:gridCol w:w="1373"/>
              <w:gridCol w:w="1373"/>
              <w:gridCol w:w="1373"/>
            </w:tblGrid>
            <w:tr w:rsidR="003759B3" w14:paraId="66067EE7" w14:textId="77777777" w:rsidTr="005626A8">
              <w:trPr>
                <w:trHeight w:val="964"/>
              </w:trPr>
              <w:tc>
                <w:tcPr>
                  <w:tcW w:w="1373" w:type="dxa"/>
                  <w:shd w:val="clear" w:color="auto" w:fill="FFFFFF" w:themeFill="background1"/>
                  <w:vAlign w:val="center"/>
                </w:tcPr>
                <w:p w14:paraId="230D2408" w14:textId="112B8124" w:rsidR="003759B3" w:rsidRDefault="003759B3" w:rsidP="005626A8">
                  <w:pPr>
                    <w:keepNext/>
                    <w:spacing w:after="0"/>
                    <w:jc w:val="center"/>
                    <w:rPr>
                      <w:noProof/>
                      <w:color w:val="023E8A" w:themeColor="accent1"/>
                    </w:rPr>
                  </w:pPr>
                  <w:r w:rsidRPr="003759B3">
                    <w:rPr>
                      <w:b/>
                      <w:bCs/>
                      <w:noProof/>
                      <w:color w:val="023E8A" w:themeColor="accent1"/>
                    </w:rPr>
                    <w:t>Scoring</w:t>
                  </w:r>
                </w:p>
              </w:tc>
              <w:tc>
                <w:tcPr>
                  <w:tcW w:w="1373" w:type="dxa"/>
                  <w:shd w:val="clear" w:color="auto" w:fill="FFFFFF" w:themeFill="background1"/>
                  <w:vAlign w:val="center"/>
                </w:tcPr>
                <w:p w14:paraId="4A2C0CAA" w14:textId="009740A9" w:rsidR="003759B3" w:rsidRPr="0090453B" w:rsidRDefault="003759B3" w:rsidP="0090453B">
                  <w:pPr>
                    <w:keepNext/>
                    <w:spacing w:after="120"/>
                    <w:jc w:val="center"/>
                    <w:rPr>
                      <w:bCs/>
                      <w:noProof/>
                      <w:color w:val="023E8A" w:themeColor="accent1"/>
                      <w:sz w:val="18"/>
                      <w:szCs w:val="18"/>
                    </w:rPr>
                  </w:pPr>
                  <w:r w:rsidRPr="005E2905">
                    <w:rPr>
                      <w:noProof/>
                      <w:lang w:eastAsia="en-GB"/>
                    </w:rPr>
                    <w:drawing>
                      <wp:inline distT="0" distB="0" distL="0" distR="0" wp14:anchorId="75BE2C27" wp14:editId="4D0968B8">
                        <wp:extent cx="288000" cy="288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sidR="0090453B">
                    <w:rPr>
                      <w:bCs/>
                      <w:noProof/>
                      <w:color w:val="023E8A" w:themeColor="accent1"/>
                      <w:sz w:val="18"/>
                      <w:szCs w:val="18"/>
                    </w:rPr>
                    <w:br/>
                  </w:r>
                  <w:r>
                    <w:rPr>
                      <w:bCs/>
                      <w:noProof/>
                      <w:color w:val="023E8A" w:themeColor="accent1"/>
                      <w:sz w:val="18"/>
                      <w:szCs w:val="18"/>
                    </w:rPr>
                    <w:t>None</w:t>
                  </w:r>
                </w:p>
              </w:tc>
              <w:tc>
                <w:tcPr>
                  <w:tcW w:w="1373" w:type="dxa"/>
                  <w:shd w:val="clear" w:color="auto" w:fill="FFFFFF" w:themeFill="background1"/>
                  <w:vAlign w:val="center"/>
                </w:tcPr>
                <w:p w14:paraId="16EEB3B9" w14:textId="66F8D30D" w:rsidR="003759B3" w:rsidRDefault="003759B3" w:rsidP="0090453B">
                  <w:pPr>
                    <w:keepNext/>
                    <w:spacing w:after="120"/>
                    <w:jc w:val="center"/>
                    <w:rPr>
                      <w:noProof/>
                      <w:color w:val="023E8A" w:themeColor="accent1"/>
                    </w:rPr>
                  </w:pPr>
                  <w:r w:rsidRPr="00A25E1D">
                    <w:rPr>
                      <w:noProof/>
                      <w:lang w:eastAsia="en-GB"/>
                    </w:rPr>
                    <w:drawing>
                      <wp:inline distT="0" distB="0" distL="0" distR="0" wp14:anchorId="72C587DD" wp14:editId="1EFA29F0">
                        <wp:extent cx="288000" cy="2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Modest</w:t>
                  </w:r>
                </w:p>
              </w:tc>
              <w:tc>
                <w:tcPr>
                  <w:tcW w:w="1373" w:type="dxa"/>
                  <w:shd w:val="clear" w:color="auto" w:fill="FFFFFF" w:themeFill="background1"/>
                  <w:vAlign w:val="center"/>
                </w:tcPr>
                <w:p w14:paraId="5E716B24" w14:textId="7E27B161" w:rsidR="003759B3" w:rsidRDefault="003759B3" w:rsidP="003759B3">
                  <w:pPr>
                    <w:keepNext/>
                    <w:spacing w:after="120"/>
                    <w:jc w:val="center"/>
                    <w:rPr>
                      <w:noProof/>
                      <w:color w:val="023E8A" w:themeColor="accent1"/>
                    </w:rPr>
                  </w:pPr>
                  <w:r w:rsidRPr="005E2905">
                    <w:rPr>
                      <w:noProof/>
                      <w:lang w:eastAsia="en-GB"/>
                    </w:rPr>
                    <w:drawing>
                      <wp:inline distT="0" distB="0" distL="0" distR="0" wp14:anchorId="53CCC43B" wp14:editId="7190FE25">
                        <wp:extent cx="288000" cy="28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Adequate</w:t>
                  </w:r>
                </w:p>
              </w:tc>
              <w:tc>
                <w:tcPr>
                  <w:tcW w:w="1373" w:type="dxa"/>
                  <w:shd w:val="clear" w:color="auto" w:fill="FFFFFF" w:themeFill="background1"/>
                  <w:vAlign w:val="center"/>
                </w:tcPr>
                <w:p w14:paraId="402820FD" w14:textId="6272D52A" w:rsidR="003759B3" w:rsidRDefault="003759B3" w:rsidP="003759B3">
                  <w:pPr>
                    <w:keepNext/>
                    <w:spacing w:after="120"/>
                    <w:jc w:val="center"/>
                    <w:rPr>
                      <w:noProof/>
                      <w:color w:val="023E8A" w:themeColor="accent1"/>
                    </w:rPr>
                  </w:pPr>
                  <w:r w:rsidRPr="00A25E1D">
                    <w:rPr>
                      <w:noProof/>
                      <w:lang w:eastAsia="en-GB"/>
                    </w:rPr>
                    <w:drawing>
                      <wp:inline distT="0" distB="0" distL="0" distR="0" wp14:anchorId="6A6892AF" wp14:editId="48D02907">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Good</w:t>
                  </w:r>
                </w:p>
              </w:tc>
              <w:tc>
                <w:tcPr>
                  <w:tcW w:w="1373" w:type="dxa"/>
                  <w:shd w:val="clear" w:color="auto" w:fill="FFFFFF" w:themeFill="background1"/>
                  <w:vAlign w:val="center"/>
                </w:tcPr>
                <w:p w14:paraId="5E866CBD" w14:textId="74C2C922" w:rsidR="003759B3" w:rsidRDefault="003759B3" w:rsidP="003759B3">
                  <w:pPr>
                    <w:keepNext/>
                    <w:spacing w:after="120"/>
                    <w:jc w:val="center"/>
                    <w:rPr>
                      <w:noProof/>
                      <w:color w:val="023E8A" w:themeColor="accent1"/>
                    </w:rPr>
                  </w:pPr>
                  <w:r w:rsidRPr="00A25E1D">
                    <w:rPr>
                      <w:noProof/>
                      <w:lang w:eastAsia="en-GB"/>
                    </w:rPr>
                    <w:drawing>
                      <wp:inline distT="0" distB="0" distL="0" distR="0" wp14:anchorId="6FAB0427" wp14:editId="0ECB2E1A">
                        <wp:extent cx="288000" cy="28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Full</w:t>
                  </w:r>
                </w:p>
              </w:tc>
            </w:tr>
          </w:tbl>
          <w:p w14:paraId="790ABD0E" w14:textId="6F337135" w:rsidR="003759B3" w:rsidRDefault="003759B3" w:rsidP="009757A1">
            <w:pPr>
              <w:keepNext/>
              <w:spacing w:after="120"/>
              <w:rPr>
                <w:noProof/>
                <w:color w:val="023E8A" w:themeColor="accent1"/>
              </w:rPr>
            </w:pPr>
          </w:p>
          <w:p w14:paraId="244E0A9D" w14:textId="3A11BE42" w:rsidR="002C00EB" w:rsidRPr="009757A1" w:rsidRDefault="0090453B" w:rsidP="00CE69DE">
            <w:pPr>
              <w:keepNext/>
              <w:spacing w:after="120"/>
              <w:rPr>
                <w:noProof/>
                <w:color w:val="023E8A" w:themeColor="accent1"/>
              </w:rPr>
            </w:pPr>
            <w:r w:rsidRPr="39B20E48">
              <w:rPr>
                <w:noProof/>
                <w:color w:val="023D89"/>
              </w:rPr>
              <w:t xml:space="preserve">As in Monti et al., 2016 and Schratzenstaller et al., 2016, this scoring assessment is largely qualitative and reflects the expert judgment with each potential new measure. </w:t>
            </w:r>
          </w:p>
        </w:tc>
      </w:tr>
    </w:tbl>
    <w:p w14:paraId="31A1EFAB" w14:textId="7F982CBF" w:rsidR="002C00EB" w:rsidRDefault="002C00EB" w:rsidP="00D163A3">
      <w:pPr>
        <w:rPr>
          <w:noProof/>
        </w:rPr>
      </w:pPr>
    </w:p>
    <w:p w14:paraId="073B7EE1" w14:textId="58E58DBA" w:rsidR="00AD3956" w:rsidRPr="009F2E4E" w:rsidRDefault="00AD3956" w:rsidP="00CA641B">
      <w:pPr>
        <w:pStyle w:val="Heading3"/>
        <w:rPr>
          <w:noProof/>
          <w:color w:val="1F497D"/>
        </w:rPr>
      </w:pPr>
      <w:bookmarkStart w:id="144" w:name="_Toc134446543"/>
      <w:bookmarkStart w:id="145" w:name="_Toc133405547"/>
      <w:bookmarkStart w:id="146" w:name="_Toc133426650"/>
      <w:bookmarkStart w:id="147" w:name="_Toc135860241"/>
      <w:bookmarkStart w:id="148" w:name="_Toc136599810"/>
      <w:bookmarkStart w:id="149" w:name="_Toc136600388"/>
      <w:bookmarkStart w:id="150" w:name="_Toc137493993"/>
      <w:bookmarkStart w:id="151" w:name="_Hlk132094963"/>
      <w:r w:rsidRPr="007F5363">
        <w:rPr>
          <w:noProof/>
        </w:rPr>
        <w:t>2.</w:t>
      </w:r>
      <w:r w:rsidR="00D87BA8" w:rsidRPr="007F5363">
        <w:rPr>
          <w:noProof/>
        </w:rPr>
        <w:t>3</w:t>
      </w:r>
      <w:r w:rsidRPr="007F5363">
        <w:rPr>
          <w:noProof/>
        </w:rPr>
        <w:t xml:space="preserve">.1. </w:t>
      </w:r>
      <w:bookmarkStart w:id="152" w:name="_Toc133405548"/>
      <w:bookmarkStart w:id="153" w:name="_Toc133426651"/>
      <w:bookmarkStart w:id="154" w:name="_Toc134446544"/>
      <w:bookmarkEnd w:id="144"/>
      <w:bookmarkEnd w:id="145"/>
      <w:bookmarkEnd w:id="146"/>
      <w:r w:rsidR="0035538B" w:rsidRPr="00B830C5">
        <w:rPr>
          <w:noProof/>
        </w:rPr>
        <w:t>Corporate</w:t>
      </w:r>
      <w:r w:rsidR="0035538B" w:rsidRPr="009F2E4E">
        <w:rPr>
          <w:noProof/>
        </w:rPr>
        <w:t xml:space="preserve"> taxation (BEFIT)</w:t>
      </w:r>
      <w:r w:rsidR="00CD20E3" w:rsidRPr="009F2E4E">
        <w:rPr>
          <w:noProof/>
        </w:rPr>
        <w:t>,</w:t>
      </w:r>
      <w:r w:rsidR="0035538B" w:rsidRPr="009F2E4E">
        <w:rPr>
          <w:noProof/>
        </w:rPr>
        <w:t xml:space="preserve"> including financial sector</w:t>
      </w:r>
      <w:bookmarkEnd w:id="147"/>
      <w:bookmarkEnd w:id="148"/>
      <w:bookmarkEnd w:id="149"/>
      <w:bookmarkEnd w:id="152"/>
      <w:bookmarkEnd w:id="153"/>
      <w:bookmarkEnd w:id="154"/>
      <w:bookmarkEnd w:id="150"/>
      <w:r w:rsidR="00CD20E3" w:rsidRPr="009F2E4E">
        <w:rPr>
          <w:noProof/>
        </w:rPr>
        <w:t xml:space="preserve"> </w:t>
      </w:r>
    </w:p>
    <w:p w14:paraId="107F4483" w14:textId="77777777" w:rsidR="006A747A" w:rsidRPr="006A747A" w:rsidRDefault="006A747A" w:rsidP="006A747A">
      <w:pPr>
        <w:keepNext/>
        <w:rPr>
          <w:b/>
          <w:caps/>
          <w:noProof/>
          <w:color w:val="90BE6D"/>
          <w:lang w:eastAsia="en-GB"/>
        </w:rPr>
      </w:pPr>
      <w:r w:rsidRPr="006A747A">
        <w:rPr>
          <w:b/>
          <w:caps/>
          <w:noProof/>
          <w:color w:val="90BE6D"/>
          <w:lang w:eastAsia="en-GB"/>
        </w:rPr>
        <w:t>Description: Rationale and design</w:t>
      </w:r>
    </w:p>
    <w:p w14:paraId="5A915917" w14:textId="166657B4" w:rsidR="006A747A" w:rsidRPr="006A747A" w:rsidRDefault="006A747A" w:rsidP="006A747A">
      <w:pPr>
        <w:keepNext/>
        <w:rPr>
          <w:noProof/>
        </w:rPr>
      </w:pPr>
      <w:r w:rsidRPr="006A747A">
        <w:rPr>
          <w:noProof/>
        </w:rPr>
        <w:t>The initiative Business in Europe: Framework for Income Taxation (BEFIT)</w:t>
      </w:r>
      <w:r w:rsidRPr="006A747A" w:rsidDel="00546C8C">
        <w:rPr>
          <w:noProof/>
        </w:rPr>
        <w:t xml:space="preserve"> </w:t>
      </w:r>
      <w:r w:rsidRPr="006A747A">
        <w:rPr>
          <w:noProof/>
        </w:rPr>
        <w:t xml:space="preserve">would improve the functioning of the Single Market by simplifying corporate tax rules and tax compliance, and levelling the playing field for businesses, as well as stimulating growth and investment. BEFIT aims to address double taxation and reduce tax compliance costs that businesses, chiefly those with cross-border activity, currently face in the Single Market. This will help make the EU more attractive to investment and support growth. BEFIT will </w:t>
      </w:r>
      <w:r w:rsidR="05E152D8">
        <w:rPr>
          <w:noProof/>
        </w:rPr>
        <w:t>cover both the financial and non-financial sectors and</w:t>
      </w:r>
      <w:r w:rsidRPr="006A747A">
        <w:rPr>
          <w:noProof/>
        </w:rPr>
        <w:t xml:space="preserve"> will be mandatory for large groups, i.e. those with global combined annual revenues of EUR 750 million or more and therefore in scope of the Directive on ensuring a global minimum level of taxation for multinational groups in the Union (‘Pillar 2’) which will enter into force on 1 January 2024. It will remain an option for all other groups of companies that file consolidated financial statements and have a taxable presence in the EU. </w:t>
      </w:r>
    </w:p>
    <w:p w14:paraId="1513A000" w14:textId="6F6D8C97" w:rsidR="006A747A" w:rsidRPr="006A747A" w:rsidRDefault="006A747A" w:rsidP="006A747A">
      <w:pPr>
        <w:rPr>
          <w:noProof/>
          <w:lang w:val="en-IE"/>
        </w:rPr>
      </w:pPr>
      <w:r w:rsidRPr="006A747A">
        <w:rPr>
          <w:noProof/>
        </w:rPr>
        <w:t>The</w:t>
      </w:r>
      <w:r w:rsidR="0062398C">
        <w:rPr>
          <w:noProof/>
        </w:rPr>
        <w:t xml:space="preserve"> </w:t>
      </w:r>
      <w:r w:rsidRPr="006A747A">
        <w:rPr>
          <w:noProof/>
        </w:rPr>
        <w:t xml:space="preserve">BEFIT-based own resource could levy </w:t>
      </w:r>
      <w:r w:rsidR="00603403">
        <w:rPr>
          <w:noProof/>
        </w:rPr>
        <w:t>e.g. a</w:t>
      </w:r>
      <w:r w:rsidRPr="006A747A">
        <w:rPr>
          <w:noProof/>
        </w:rPr>
        <w:t xml:space="preserve"> call rate on the share of the aggregated tax base</w:t>
      </w:r>
      <w:bookmarkStart w:id="155" w:name="_Hlk137495285"/>
      <w:r w:rsidR="00DA32CE" w:rsidRPr="00290588">
        <w:rPr>
          <w:rStyle w:val="FootnoteReference"/>
          <w:noProof/>
        </w:rPr>
        <w:footnoteReference w:id="26"/>
      </w:r>
      <w:r w:rsidR="3D190624" w:rsidRPr="00290588">
        <w:rPr>
          <w:noProof/>
        </w:rPr>
        <w:t xml:space="preserve">, </w:t>
      </w:r>
      <w:bookmarkEnd w:id="155"/>
      <w:r w:rsidR="00603403" w:rsidRPr="00290588">
        <w:rPr>
          <w:noProof/>
        </w:rPr>
        <w:t xml:space="preserve">of all groups within the mandatory scope of BEFIT </w:t>
      </w:r>
      <w:r w:rsidRPr="00290588">
        <w:rPr>
          <w:noProof/>
        </w:rPr>
        <w:t>allocated to the</w:t>
      </w:r>
      <w:r w:rsidRPr="006A747A">
        <w:rPr>
          <w:noProof/>
        </w:rPr>
        <w:t xml:space="preserve"> </w:t>
      </w:r>
      <w:r w:rsidR="00603403">
        <w:rPr>
          <w:noProof/>
        </w:rPr>
        <w:t>Member States</w:t>
      </w:r>
      <w:r w:rsidRPr="006A747A">
        <w:rPr>
          <w:noProof/>
        </w:rPr>
        <w:t xml:space="preserve">, using a formulary apportionment. </w:t>
      </w:r>
    </w:p>
    <w:p w14:paraId="2CEDCEE8" w14:textId="77777777" w:rsidR="006A747A" w:rsidRPr="006A747A" w:rsidRDefault="006A747A" w:rsidP="006A747A">
      <w:pPr>
        <w:keepNext/>
        <w:rPr>
          <w:b/>
          <w:caps/>
          <w:noProof/>
          <w:color w:val="90BE6D"/>
          <w:lang w:eastAsia="en-GB"/>
        </w:rPr>
      </w:pPr>
      <w:r w:rsidRPr="006A747A">
        <w:rPr>
          <w:b/>
          <w:caps/>
          <w:noProof/>
          <w:color w:val="90BE6D"/>
          <w:lang w:eastAsia="en-GB"/>
        </w:rPr>
        <w:t>Assessment</w:t>
      </w:r>
    </w:p>
    <w:p w14:paraId="3A2768E2" w14:textId="77777777" w:rsidR="006A747A" w:rsidRPr="006A747A" w:rsidRDefault="006A747A" w:rsidP="006A747A">
      <w:pPr>
        <w:keepNext/>
        <w:numPr>
          <w:ilvl w:val="0"/>
          <w:numId w:val="26"/>
        </w:numPr>
        <w:rPr>
          <w:rFonts w:eastAsia="Calibri"/>
          <w:b/>
          <w:noProof/>
          <w:color w:val="023E8A"/>
          <w:szCs w:val="22"/>
          <w:lang w:eastAsia="en-GB"/>
        </w:rPr>
      </w:pPr>
      <w:r w:rsidRPr="006A747A">
        <w:rPr>
          <w:rFonts w:eastAsia="Calibri"/>
          <w:b/>
          <w:noProof/>
          <w:color w:val="023E8A"/>
          <w:szCs w:val="22"/>
          <w:lang w:eastAsia="en-GB"/>
        </w:rPr>
        <w:t xml:space="preserve">Revenue potential </w:t>
      </w:r>
    </w:p>
    <w:p w14:paraId="14EF6E56" w14:textId="002CC912" w:rsidR="006A747A" w:rsidRPr="006A747A" w:rsidRDefault="006A747A" w:rsidP="006A747A">
      <w:pPr>
        <w:rPr>
          <w:noProof/>
          <w:lang w:val="en-IE"/>
        </w:rPr>
      </w:pPr>
      <w:r w:rsidRPr="006A747A">
        <w:rPr>
          <w:noProof/>
        </w:rPr>
        <w:t>A BEFIT-based own resource would link the financing of the EU budget to the benefits enjoyed by companies operating in the Single Market and make for a strong and stable resource over time. Under a BEFIT</w:t>
      </w:r>
      <w:r w:rsidR="00946180">
        <w:rPr>
          <w:noProof/>
        </w:rPr>
        <w:t>-</w:t>
      </w:r>
      <w:r w:rsidRPr="006A747A">
        <w:rPr>
          <w:noProof/>
        </w:rPr>
        <w:t xml:space="preserve">based </w:t>
      </w:r>
      <w:r w:rsidR="00603403">
        <w:rPr>
          <w:noProof/>
        </w:rPr>
        <w:t>o</w:t>
      </w:r>
      <w:r w:rsidRPr="006A747A">
        <w:rPr>
          <w:noProof/>
        </w:rPr>
        <w:t xml:space="preserve">wn </w:t>
      </w:r>
      <w:r w:rsidR="00603403">
        <w:rPr>
          <w:noProof/>
        </w:rPr>
        <w:t>r</w:t>
      </w:r>
      <w:r w:rsidRPr="006A747A">
        <w:rPr>
          <w:noProof/>
        </w:rPr>
        <w:t>esource, Member States would transfer part of their corporate income tax revenues to the EU budget. A</w:t>
      </w:r>
      <w:r w:rsidRPr="006A747A">
        <w:rPr>
          <w:noProof/>
          <w:lang w:val="en-IE"/>
        </w:rPr>
        <w:t>pplying even a potentially small call rate could raise substantial revenues.</w:t>
      </w:r>
    </w:p>
    <w:p w14:paraId="52BE690E" w14:textId="70E50E8B" w:rsidR="006A747A" w:rsidRPr="006A747A" w:rsidRDefault="006A747A" w:rsidP="006A747A">
      <w:pPr>
        <w:numPr>
          <w:ilvl w:val="0"/>
          <w:numId w:val="26"/>
        </w:numPr>
        <w:rPr>
          <w:rFonts w:eastAsia="Calibri"/>
          <w:b/>
          <w:noProof/>
          <w:color w:val="023E8A"/>
          <w:szCs w:val="22"/>
          <w:lang w:eastAsia="en-GB"/>
        </w:rPr>
      </w:pPr>
      <w:r w:rsidRPr="006A747A">
        <w:rPr>
          <w:rFonts w:eastAsia="Calibri"/>
          <w:b/>
          <w:noProof/>
          <w:color w:val="023E8A"/>
          <w:szCs w:val="22"/>
          <w:lang w:eastAsia="en-GB"/>
        </w:rPr>
        <w:t xml:space="preserve">Simplicity of collection and implementation </w:t>
      </w:r>
    </w:p>
    <w:p w14:paraId="2BEAD291" w14:textId="6F3F5B7F" w:rsidR="006A747A" w:rsidRPr="006A747A" w:rsidRDefault="006A747A" w:rsidP="00A83C17">
      <w:pPr>
        <w:keepNext/>
        <w:rPr>
          <w:noProof/>
        </w:rPr>
      </w:pPr>
      <w:r w:rsidRPr="006A747A">
        <w:rPr>
          <w:noProof/>
        </w:rPr>
        <w:t>Member States would contribute based on a call rate that will be applied to the apportioned share of each member of a group within the mandatory BEFIT scope. Since the calculation of the apportioned shares is already part of the BEFIT system, only the aggregation of the tax base at Member State level would be required for the purpose of raising the own resource amount.</w:t>
      </w:r>
    </w:p>
    <w:p w14:paraId="0B83DA45" w14:textId="5B272D4F" w:rsidR="006A747A" w:rsidRPr="006A747A" w:rsidRDefault="006A747A" w:rsidP="00A83C17">
      <w:pPr>
        <w:keepNext/>
        <w:numPr>
          <w:ilvl w:val="0"/>
          <w:numId w:val="26"/>
        </w:numPr>
        <w:rPr>
          <w:rFonts w:eastAsia="Calibri"/>
          <w:b/>
          <w:noProof/>
          <w:color w:val="023E8A"/>
          <w:szCs w:val="22"/>
          <w:lang w:eastAsia="en-GB"/>
        </w:rPr>
      </w:pPr>
      <w:r w:rsidRPr="006A747A">
        <w:rPr>
          <w:rFonts w:eastAsia="Calibri"/>
          <w:b/>
          <w:noProof/>
          <w:color w:val="023E8A"/>
          <w:szCs w:val="22"/>
          <w:lang w:eastAsia="en-GB"/>
        </w:rPr>
        <w:t xml:space="preserve">Fast mobilisation of new sources of revenue to the EU budget </w:t>
      </w:r>
    </w:p>
    <w:p w14:paraId="739316A1" w14:textId="6CA5FF6F" w:rsidR="009213ED" w:rsidRDefault="006A747A" w:rsidP="00A83C17">
      <w:pPr>
        <w:keepNext/>
        <w:rPr>
          <w:noProof/>
        </w:rPr>
      </w:pPr>
      <w:r w:rsidRPr="006A747A">
        <w:rPr>
          <w:noProof/>
        </w:rPr>
        <w:t xml:space="preserve">The Commission will come forward with a proposal on BEFIT during the second half of 2023. The own resource element could be implemented only after the </w:t>
      </w:r>
      <w:r w:rsidR="00846C4D">
        <w:rPr>
          <w:noProof/>
        </w:rPr>
        <w:t>D</w:t>
      </w:r>
      <w:r w:rsidRPr="006A747A">
        <w:rPr>
          <w:noProof/>
        </w:rPr>
        <w:t>irective on BEFIT comes into effect. Negotiations on the sectorial BEFIT proposal in Council requires Member States’ unanimous vote.</w:t>
      </w:r>
    </w:p>
    <w:p w14:paraId="341E7410" w14:textId="67D93E91" w:rsidR="008766DF" w:rsidRPr="009F2E4E" w:rsidRDefault="008766DF" w:rsidP="008766DF">
      <w:pPr>
        <w:pStyle w:val="Heading3"/>
        <w:rPr>
          <w:noProof/>
          <w:color w:val="1F497D"/>
        </w:rPr>
      </w:pPr>
      <w:bookmarkStart w:id="156" w:name="_Toc135860242"/>
      <w:bookmarkStart w:id="157" w:name="_Toc136599811"/>
      <w:bookmarkStart w:id="158" w:name="_Toc136600389"/>
      <w:bookmarkStart w:id="159" w:name="_Toc137493994"/>
      <w:r w:rsidRPr="007F5363">
        <w:rPr>
          <w:noProof/>
        </w:rPr>
        <w:t>2.3.</w:t>
      </w:r>
      <w:r>
        <w:rPr>
          <w:noProof/>
        </w:rPr>
        <w:t>2</w:t>
      </w:r>
      <w:r w:rsidRPr="007F5363">
        <w:rPr>
          <w:noProof/>
        </w:rPr>
        <w:t xml:space="preserve">. </w:t>
      </w:r>
      <w:r w:rsidRPr="007F5363">
        <w:rPr>
          <w:noProof/>
          <w:lang w:eastAsia="en-US"/>
        </w:rPr>
        <w:t xml:space="preserve">Statistical </w:t>
      </w:r>
      <w:r w:rsidRPr="007F5363">
        <w:rPr>
          <w:noProof/>
        </w:rPr>
        <w:t xml:space="preserve">own resource </w:t>
      </w:r>
      <w:r w:rsidRPr="007F5363">
        <w:rPr>
          <w:noProof/>
          <w:lang w:eastAsia="en-US"/>
        </w:rPr>
        <w:t>based on company</w:t>
      </w:r>
      <w:r w:rsidRPr="007F5363">
        <w:rPr>
          <w:noProof/>
        </w:rPr>
        <w:t xml:space="preserve"> profits</w:t>
      </w:r>
      <w:bookmarkEnd w:id="156"/>
      <w:bookmarkEnd w:id="157"/>
      <w:bookmarkEnd w:id="158"/>
      <w:bookmarkEnd w:id="159"/>
      <w:r w:rsidRPr="009F2E4E" w:rsidDel="006571A1">
        <w:rPr>
          <w:noProof/>
        </w:rPr>
        <w:t xml:space="preserve"> </w:t>
      </w:r>
    </w:p>
    <w:p w14:paraId="0F57544B" w14:textId="77777777" w:rsidR="008766DF" w:rsidRPr="009F2E4E" w:rsidRDefault="008766DF" w:rsidP="008766DF">
      <w:pPr>
        <w:pStyle w:val="Titlelevel4"/>
        <w:keepNext/>
        <w:rPr>
          <w:noProof/>
        </w:rPr>
      </w:pPr>
      <w:r w:rsidRPr="009F2E4E">
        <w:rPr>
          <w:noProof/>
        </w:rPr>
        <w:t>DESCRIPTION:</w:t>
      </w:r>
      <w:r w:rsidRPr="009F2E4E">
        <w:rPr>
          <w:noProof/>
          <w:lang w:eastAsia="fr-BE"/>
        </w:rPr>
        <w:t xml:space="preserve"> </w:t>
      </w:r>
      <w:r w:rsidRPr="009F2E4E">
        <w:rPr>
          <w:noProof/>
        </w:rPr>
        <w:t>RATIONALE AND DESIGN</w:t>
      </w:r>
    </w:p>
    <w:p w14:paraId="244989DB" w14:textId="71A933EF" w:rsidR="008766DF" w:rsidRPr="00223AAD" w:rsidRDefault="00233DEC" w:rsidP="008766DF">
      <w:pPr>
        <w:keepNext/>
        <w:rPr>
          <w:noProof/>
        </w:rPr>
      </w:pPr>
      <w:r>
        <w:rPr>
          <w:noProof/>
        </w:rPr>
        <w:t>A</w:t>
      </w:r>
      <w:r w:rsidRPr="00D80EE5">
        <w:rPr>
          <w:noProof/>
        </w:rPr>
        <w:t xml:space="preserve"> statistical own resource</w:t>
      </w:r>
      <w:r>
        <w:rPr>
          <w:noProof/>
        </w:rPr>
        <w:t xml:space="preserve"> based on company profits would </w:t>
      </w:r>
      <w:r w:rsidRPr="00D80EE5">
        <w:rPr>
          <w:noProof/>
        </w:rPr>
        <w:t xml:space="preserve">not </w:t>
      </w:r>
      <w:r>
        <w:rPr>
          <w:noProof/>
        </w:rPr>
        <w:t xml:space="preserve">be </w:t>
      </w:r>
      <w:r w:rsidRPr="00D80EE5">
        <w:rPr>
          <w:noProof/>
        </w:rPr>
        <w:t>a tax on companies</w:t>
      </w:r>
      <w:r>
        <w:rPr>
          <w:noProof/>
        </w:rPr>
        <w:t>, nor would it increase their compliance costs. I</w:t>
      </w:r>
      <w:r w:rsidRPr="00D80EE5">
        <w:rPr>
          <w:noProof/>
        </w:rPr>
        <w:t xml:space="preserve">t would be a national contribution </w:t>
      </w:r>
      <w:r>
        <w:rPr>
          <w:noProof/>
        </w:rPr>
        <w:t>linked to the corporate sector</w:t>
      </w:r>
      <w:r w:rsidRPr="00D80EE5">
        <w:rPr>
          <w:noProof/>
        </w:rPr>
        <w:t xml:space="preserve">. </w:t>
      </w:r>
      <w:r w:rsidR="008766DF" w:rsidRPr="00223AAD">
        <w:rPr>
          <w:noProof/>
        </w:rPr>
        <w:t xml:space="preserve">A national contribution </w:t>
      </w:r>
      <w:r w:rsidR="00946180">
        <w:rPr>
          <w:noProof/>
        </w:rPr>
        <w:t xml:space="preserve">could be designed </w:t>
      </w:r>
      <w:r w:rsidR="008766DF" w:rsidRPr="00223AAD">
        <w:rPr>
          <w:noProof/>
        </w:rPr>
        <w:t>based on a “statistical proxy</w:t>
      </w:r>
      <w:r w:rsidR="00E57718" w:rsidRPr="00223AAD">
        <w:rPr>
          <w:noProof/>
        </w:rPr>
        <w:t>”</w:t>
      </w:r>
      <w:r w:rsidR="008766DF" w:rsidRPr="00223AAD">
        <w:rPr>
          <w:noProof/>
        </w:rPr>
        <w:t xml:space="preserve"> of corporate income or corporate profits. The measure could apply to </w:t>
      </w:r>
      <w:r w:rsidR="008766DF" w:rsidRPr="00223AAD">
        <w:rPr>
          <w:noProof/>
          <w:lang w:eastAsia="en-GB"/>
        </w:rPr>
        <w:t>financial and non-financial corporations (see part 3, for more details).</w:t>
      </w:r>
      <w:r w:rsidR="008766DF">
        <w:rPr>
          <w:noProof/>
          <w:lang w:eastAsia="en-GB"/>
        </w:rPr>
        <w:t xml:space="preserve"> </w:t>
      </w:r>
      <w:r w:rsidR="0012381D">
        <w:rPr>
          <w:noProof/>
          <w:lang w:eastAsia="en-GB"/>
        </w:rPr>
        <w:t>One such statistical indicator is gross operating surplus,</w:t>
      </w:r>
      <w:r w:rsidR="0012381D" w:rsidRPr="0012381D">
        <w:rPr>
          <w:noProof/>
          <w:lang w:eastAsia="en-GB"/>
        </w:rPr>
        <w:t xml:space="preserve"> </w:t>
      </w:r>
      <w:r w:rsidR="0012381D" w:rsidRPr="00223AAD">
        <w:rPr>
          <w:noProof/>
          <w:lang w:eastAsia="en-GB"/>
        </w:rPr>
        <w:t>as</w:t>
      </w:r>
      <w:r w:rsidR="0012381D">
        <w:rPr>
          <w:noProof/>
          <w:lang w:eastAsia="en-GB"/>
        </w:rPr>
        <w:t xml:space="preserve"> defined</w:t>
      </w:r>
      <w:r w:rsidR="0012381D" w:rsidRPr="00223AAD">
        <w:rPr>
          <w:noProof/>
          <w:lang w:eastAsia="en-GB"/>
        </w:rPr>
        <w:t xml:space="preserve"> in the European System o</w:t>
      </w:r>
      <w:r w:rsidR="0012381D">
        <w:rPr>
          <w:noProof/>
          <w:lang w:eastAsia="en-GB"/>
        </w:rPr>
        <w:t xml:space="preserve">f Accounts 2010 </w:t>
      </w:r>
      <w:r w:rsidR="0012381D" w:rsidRPr="00223AAD">
        <w:rPr>
          <w:noProof/>
          <w:lang w:eastAsia="en-GB"/>
        </w:rPr>
        <w:t>(ESA 2010)(</w:t>
      </w:r>
      <w:r w:rsidR="0012381D" w:rsidRPr="00223AAD">
        <w:rPr>
          <w:noProof/>
          <w:vertAlign w:val="superscript"/>
          <w:lang w:eastAsia="en-GB"/>
        </w:rPr>
        <w:footnoteReference w:id="27"/>
      </w:r>
      <w:r w:rsidR="0012381D" w:rsidRPr="00223AAD">
        <w:rPr>
          <w:noProof/>
          <w:lang w:eastAsia="en-GB"/>
        </w:rPr>
        <w:t>)</w:t>
      </w:r>
      <w:r w:rsidR="005A090A">
        <w:rPr>
          <w:noProof/>
          <w:lang w:eastAsia="en-GB"/>
        </w:rPr>
        <w:t>.</w:t>
      </w:r>
      <w:r>
        <w:rPr>
          <w:noProof/>
          <w:lang w:eastAsia="en-GB"/>
        </w:rPr>
        <w:t xml:space="preserve"> </w:t>
      </w:r>
    </w:p>
    <w:p w14:paraId="343A4A69" w14:textId="338A197E" w:rsidR="008766DF" w:rsidRPr="00223AAD" w:rsidRDefault="008766DF" w:rsidP="008766DF">
      <w:pPr>
        <w:rPr>
          <w:noProof/>
        </w:rPr>
      </w:pPr>
      <w:r w:rsidDel="0064370D">
        <w:rPr>
          <w:noProof/>
        </w:rPr>
        <w:t>Th</w:t>
      </w:r>
      <w:r w:rsidR="0012381D">
        <w:rPr>
          <w:noProof/>
        </w:rPr>
        <w:t>is</w:t>
      </w:r>
      <w:r w:rsidDel="0064370D">
        <w:rPr>
          <w:noProof/>
        </w:rPr>
        <w:t xml:space="preserve"> statistical indicator </w:t>
      </w:r>
      <w:r w:rsidR="008D3187">
        <w:rPr>
          <w:noProof/>
        </w:rPr>
        <w:t>covers</w:t>
      </w:r>
      <w:r w:rsidDel="0064370D">
        <w:rPr>
          <w:noProof/>
        </w:rPr>
        <w:t xml:space="preserve"> both profit generation due to the physical presence of companies and </w:t>
      </w:r>
      <w:r>
        <w:rPr>
          <w:noProof/>
        </w:rPr>
        <w:t>their related economic activities</w:t>
      </w:r>
      <w:r w:rsidR="00946180">
        <w:rPr>
          <w:noProof/>
        </w:rPr>
        <w:t>,</w:t>
      </w:r>
      <w:r>
        <w:rPr>
          <w:noProof/>
        </w:rPr>
        <w:t xml:space="preserve"> and - at least partially - </w:t>
      </w:r>
      <w:r w:rsidDel="0064370D">
        <w:rPr>
          <w:noProof/>
        </w:rPr>
        <w:t xml:space="preserve">the shifting of profits </w:t>
      </w:r>
      <w:r w:rsidR="0CBE5507">
        <w:rPr>
          <w:noProof/>
        </w:rPr>
        <w:t>for tax reasons</w:t>
      </w:r>
      <w:r>
        <w:rPr>
          <w:noProof/>
        </w:rPr>
        <w:t>.</w:t>
      </w:r>
      <w:r w:rsidDel="0064370D">
        <w:rPr>
          <w:noProof/>
        </w:rPr>
        <w:t xml:space="preserve"> Member States </w:t>
      </w:r>
      <w:r w:rsidRPr="00FD29F7" w:rsidDel="0064370D">
        <w:rPr>
          <w:noProof/>
        </w:rPr>
        <w:t xml:space="preserve">attracting company profits that are in principle potentially taxable </w:t>
      </w:r>
      <w:r w:rsidR="008D3187" w:rsidRPr="00FD29F7">
        <w:rPr>
          <w:noProof/>
        </w:rPr>
        <w:t>w</w:t>
      </w:r>
      <w:r w:rsidRPr="00FD29F7" w:rsidDel="0064370D">
        <w:rPr>
          <w:noProof/>
        </w:rPr>
        <w:t xml:space="preserve">ould </w:t>
      </w:r>
      <w:r w:rsidR="008D3187" w:rsidRPr="009F0AE0">
        <w:rPr>
          <w:noProof/>
        </w:rPr>
        <w:t>in principle</w:t>
      </w:r>
      <w:r w:rsidRPr="001E7F1F" w:rsidDel="0064370D">
        <w:rPr>
          <w:noProof/>
        </w:rPr>
        <w:t xml:space="preserve"> contribute more on this statistical own resource.</w:t>
      </w:r>
      <w:r w:rsidDel="0064370D">
        <w:rPr>
          <w:noProof/>
        </w:rPr>
        <w:t xml:space="preserve"> </w:t>
      </w:r>
    </w:p>
    <w:p w14:paraId="3B456C4C" w14:textId="77777777" w:rsidR="008766DF" w:rsidRPr="009F2E4E" w:rsidRDefault="008766DF" w:rsidP="008766DF">
      <w:pPr>
        <w:pStyle w:val="Titlelevel4"/>
        <w:keepNext/>
        <w:rPr>
          <w:noProof/>
        </w:rPr>
      </w:pPr>
      <w:r w:rsidRPr="009F2E4E">
        <w:rPr>
          <w:noProof/>
        </w:rPr>
        <w:t>Assessment</w:t>
      </w:r>
    </w:p>
    <w:p w14:paraId="71586464" w14:textId="77777777" w:rsidR="008766DF" w:rsidRPr="00686613" w:rsidRDefault="008766DF" w:rsidP="0085406D">
      <w:pPr>
        <w:pStyle w:val="Numbering"/>
        <w:keepNext/>
        <w:rPr>
          <w:rStyle w:val="Strong"/>
          <w:lang w:val="en-GB"/>
        </w:rPr>
      </w:pPr>
      <w:r w:rsidRPr="00686613">
        <w:rPr>
          <w:rStyle w:val="Strong"/>
          <w:lang w:val="en-GB"/>
        </w:rPr>
        <w:t xml:space="preserve">Revenue potential </w:t>
      </w:r>
    </w:p>
    <w:p w14:paraId="671046CA" w14:textId="4592C8EE" w:rsidR="008766DF" w:rsidRPr="00223AAD" w:rsidRDefault="008766DF" w:rsidP="008766DF">
      <w:pPr>
        <w:keepNext/>
        <w:rPr>
          <w:noProof/>
          <w:lang w:eastAsia="en-GB"/>
        </w:rPr>
      </w:pPr>
      <w:r w:rsidRPr="00223AAD">
        <w:rPr>
          <w:noProof/>
          <w:lang w:eastAsia="en-GB"/>
        </w:rPr>
        <w:t xml:space="preserve">The own resource base could comprise both financial and non-financial companies and would reflect the </w:t>
      </w:r>
      <w:r>
        <w:rPr>
          <w:noProof/>
          <w:lang w:eastAsia="en-GB"/>
        </w:rPr>
        <w:t>gross operating surplus</w:t>
      </w:r>
      <w:r w:rsidRPr="00223AAD">
        <w:rPr>
          <w:noProof/>
          <w:lang w:eastAsia="en-GB"/>
        </w:rPr>
        <w:t xml:space="preserve"> of both sectors. </w:t>
      </w:r>
      <w:r>
        <w:rPr>
          <w:noProof/>
          <w:lang w:eastAsia="en-GB"/>
        </w:rPr>
        <w:t>T</w:t>
      </w:r>
      <w:r w:rsidRPr="00223AAD">
        <w:rPr>
          <w:noProof/>
          <w:lang w:eastAsia="en-GB"/>
        </w:rPr>
        <w:t xml:space="preserve">he own resource base would </w:t>
      </w:r>
      <w:r>
        <w:rPr>
          <w:noProof/>
          <w:lang w:eastAsia="en-GB"/>
        </w:rPr>
        <w:t>be substantial and</w:t>
      </w:r>
      <w:r w:rsidRPr="00223AAD">
        <w:rPr>
          <w:noProof/>
          <w:lang w:eastAsia="en-GB"/>
        </w:rPr>
        <w:t xml:space="preserve"> reach around EUR </w:t>
      </w:r>
      <w:r w:rsidRPr="001B6712">
        <w:rPr>
          <w:noProof/>
          <w:lang w:eastAsia="en-GB"/>
        </w:rPr>
        <w:t>3</w:t>
      </w:r>
      <w:r w:rsidR="00A31675">
        <w:rPr>
          <w:rFonts w:ascii="Calibri" w:hAnsi="Calibri" w:cs="Calibri"/>
          <w:noProof/>
          <w:lang w:eastAsia="en-GB"/>
        </w:rPr>
        <w:t> </w:t>
      </w:r>
      <w:r w:rsidRPr="001B6712">
        <w:rPr>
          <w:noProof/>
          <w:lang w:eastAsia="en-GB"/>
        </w:rPr>
        <w:t xml:space="preserve">000 </w:t>
      </w:r>
      <w:r w:rsidR="00BC372C">
        <w:rPr>
          <w:noProof/>
          <w:lang w:eastAsia="en-GB"/>
        </w:rPr>
        <w:t>billion</w:t>
      </w:r>
      <w:r w:rsidRPr="00223AAD">
        <w:rPr>
          <w:noProof/>
          <w:lang w:eastAsia="en-GB"/>
        </w:rPr>
        <w:t xml:space="preserve"> </w:t>
      </w:r>
      <w:r>
        <w:rPr>
          <w:noProof/>
          <w:lang w:eastAsia="en-GB"/>
        </w:rPr>
        <w:t xml:space="preserve">in current prices </w:t>
      </w:r>
      <w:r w:rsidRPr="00223AAD">
        <w:rPr>
          <w:noProof/>
          <w:lang w:eastAsia="en-GB"/>
        </w:rPr>
        <w:t xml:space="preserve">on average for 2018-2020. </w:t>
      </w:r>
    </w:p>
    <w:p w14:paraId="767893F6" w14:textId="2BFC55C3" w:rsidR="008766DF" w:rsidRPr="00223AAD" w:rsidRDefault="008766DF" w:rsidP="008766DF">
      <w:pPr>
        <w:keepNext/>
        <w:rPr>
          <w:noProof/>
          <w:lang w:eastAsia="en-GB"/>
        </w:rPr>
      </w:pPr>
      <w:r w:rsidRPr="00E757FC">
        <w:rPr>
          <w:noProof/>
          <w:lang w:eastAsia="en-GB"/>
        </w:rPr>
        <w:t xml:space="preserve">The call rate could be low: a call rate between </w:t>
      </w:r>
      <w:r w:rsidR="00D6405D">
        <w:rPr>
          <w:noProof/>
          <w:lang w:eastAsia="en-GB"/>
        </w:rPr>
        <w:t>0.1</w:t>
      </w:r>
      <w:r w:rsidRPr="00E757FC">
        <w:rPr>
          <w:noProof/>
          <w:lang w:eastAsia="en-GB"/>
        </w:rPr>
        <w:t xml:space="preserve">% and </w:t>
      </w:r>
      <w:r w:rsidR="00D6405D">
        <w:rPr>
          <w:noProof/>
          <w:lang w:eastAsia="en-GB"/>
        </w:rPr>
        <w:t>0.5</w:t>
      </w:r>
      <w:r w:rsidRPr="00E757FC">
        <w:rPr>
          <w:noProof/>
          <w:lang w:eastAsia="en-GB"/>
        </w:rPr>
        <w:t xml:space="preserve">% applied on the sum of gross operating surplus for the sectors of financial and non-financial corporations could bring revenues between EUR </w:t>
      </w:r>
      <w:r w:rsidR="00D6405D">
        <w:rPr>
          <w:noProof/>
          <w:lang w:eastAsia="en-GB"/>
        </w:rPr>
        <w:t>3</w:t>
      </w:r>
      <w:r w:rsidRPr="00E757FC">
        <w:rPr>
          <w:noProof/>
          <w:lang w:eastAsia="en-GB"/>
        </w:rPr>
        <w:t xml:space="preserve"> </w:t>
      </w:r>
      <w:r w:rsidR="00BC372C" w:rsidRPr="00E757FC">
        <w:rPr>
          <w:noProof/>
          <w:lang w:eastAsia="en-GB"/>
        </w:rPr>
        <w:t>billion</w:t>
      </w:r>
      <w:r w:rsidRPr="00E757FC">
        <w:rPr>
          <w:noProof/>
          <w:lang w:eastAsia="en-GB"/>
        </w:rPr>
        <w:t xml:space="preserve"> and </w:t>
      </w:r>
      <w:r w:rsidR="00D6405D">
        <w:rPr>
          <w:noProof/>
          <w:lang w:eastAsia="en-GB"/>
        </w:rPr>
        <w:t>16</w:t>
      </w:r>
      <w:r w:rsidRPr="00E757FC">
        <w:rPr>
          <w:noProof/>
          <w:lang w:eastAsia="en-GB"/>
        </w:rPr>
        <w:t xml:space="preserve"> </w:t>
      </w:r>
      <w:r w:rsidR="00BC372C" w:rsidRPr="00E757FC">
        <w:rPr>
          <w:noProof/>
          <w:lang w:eastAsia="en-GB"/>
        </w:rPr>
        <w:t>billion</w:t>
      </w:r>
      <w:r w:rsidRPr="00E757FC">
        <w:rPr>
          <w:noProof/>
          <w:lang w:eastAsia="en-GB"/>
        </w:rPr>
        <w:t xml:space="preserve"> per year on average over </w:t>
      </w:r>
      <w:r w:rsidR="005D1E3F" w:rsidRPr="00E757FC">
        <w:rPr>
          <w:noProof/>
          <w:lang w:eastAsia="en-GB"/>
        </w:rPr>
        <w:t xml:space="preserve">the period </w:t>
      </w:r>
      <w:r w:rsidRPr="00E757FC">
        <w:rPr>
          <w:noProof/>
          <w:lang w:eastAsia="en-GB"/>
        </w:rPr>
        <w:t>2028-2030 (</w:t>
      </w:r>
      <w:r w:rsidR="005D1E3F" w:rsidRPr="00E757FC">
        <w:rPr>
          <w:noProof/>
          <w:lang w:eastAsia="en-GB"/>
        </w:rPr>
        <w:t xml:space="preserve">in </w:t>
      </w:r>
      <w:r w:rsidRPr="00E757FC">
        <w:rPr>
          <w:noProof/>
          <w:lang w:eastAsia="en-GB"/>
        </w:rPr>
        <w:t>2018 prices).</w:t>
      </w:r>
    </w:p>
    <w:p w14:paraId="0AD149BE" w14:textId="77777777" w:rsidR="008766DF" w:rsidRPr="00686613" w:rsidRDefault="008766DF" w:rsidP="00427292">
      <w:pPr>
        <w:pStyle w:val="Numbering"/>
        <w:keepNext/>
        <w:ind w:left="527" w:hanging="357"/>
        <w:rPr>
          <w:rStyle w:val="Strong"/>
          <w:rFonts w:cs="Times New Roman"/>
          <w:b w:val="0"/>
          <w:szCs w:val="20"/>
          <w:lang w:val="en-GB" w:eastAsia="en-IE"/>
        </w:rPr>
      </w:pPr>
      <w:r w:rsidRPr="00686613">
        <w:rPr>
          <w:rStyle w:val="Strong"/>
          <w:lang w:val="en-GB"/>
        </w:rPr>
        <w:t>Simplicity of collection and implementation</w:t>
      </w:r>
      <w:r w:rsidRPr="00686613">
        <w:rPr>
          <w:rStyle w:val="Strong"/>
          <w:b w:val="0"/>
          <w:lang w:val="en-GB"/>
        </w:rPr>
        <w:t xml:space="preserve"> </w:t>
      </w:r>
    </w:p>
    <w:p w14:paraId="1A06BDCA" w14:textId="541D0B26" w:rsidR="008766DF" w:rsidRPr="00223AAD" w:rsidRDefault="008766DF" w:rsidP="008766DF">
      <w:pPr>
        <w:rPr>
          <w:noProof/>
          <w:lang w:eastAsia="en-GB"/>
        </w:rPr>
      </w:pPr>
      <w:r w:rsidRPr="29FDEFEF">
        <w:rPr>
          <w:noProof/>
          <w:lang w:eastAsia="en-GB"/>
        </w:rPr>
        <w:t>In terms of implementation, the statistics on which this own resource would be levied already exist</w:t>
      </w:r>
      <w:r>
        <w:rPr>
          <w:noProof/>
          <w:lang w:eastAsia="en-GB"/>
        </w:rPr>
        <w:t xml:space="preserve">. </w:t>
      </w:r>
      <w:r w:rsidRPr="00016A17">
        <w:rPr>
          <w:noProof/>
          <w:lang w:eastAsia="en-GB"/>
        </w:rPr>
        <w:t>As a matter</w:t>
      </w:r>
      <w:r w:rsidRPr="009B64CA">
        <w:rPr>
          <w:noProof/>
          <w:lang w:eastAsia="en-GB"/>
        </w:rPr>
        <w:t xml:space="preserve"> of </w:t>
      </w:r>
      <w:r w:rsidRPr="00016A17">
        <w:rPr>
          <w:noProof/>
          <w:lang w:eastAsia="en-GB"/>
        </w:rPr>
        <w:t>efficiency and effectiveness, the implementing measures for</w:t>
      </w:r>
      <w:r>
        <w:rPr>
          <w:noProof/>
          <w:lang w:eastAsia="en-GB"/>
        </w:rPr>
        <w:t xml:space="preserve"> the supervision related to this own resource c</w:t>
      </w:r>
      <w:r w:rsidRPr="00016A17">
        <w:rPr>
          <w:noProof/>
          <w:lang w:eastAsia="en-GB"/>
        </w:rPr>
        <w:t xml:space="preserve">ould take into account the </w:t>
      </w:r>
      <w:r w:rsidR="00FF5E86">
        <w:rPr>
          <w:noProof/>
          <w:lang w:eastAsia="en-GB"/>
        </w:rPr>
        <w:t xml:space="preserve">existing </w:t>
      </w:r>
      <w:r w:rsidRPr="00016A17">
        <w:rPr>
          <w:noProof/>
          <w:lang w:eastAsia="en-GB"/>
        </w:rPr>
        <w:t>obligation</w:t>
      </w:r>
      <w:r w:rsidR="00FF5E86">
        <w:rPr>
          <w:noProof/>
          <w:lang w:eastAsia="en-GB"/>
        </w:rPr>
        <w:t>s</w:t>
      </w:r>
      <w:r w:rsidRPr="00016A17">
        <w:rPr>
          <w:noProof/>
          <w:lang w:eastAsia="en-GB"/>
        </w:rPr>
        <w:t xml:space="preserve"> on Member States under</w:t>
      </w:r>
      <w:r w:rsidR="005D1E3F">
        <w:rPr>
          <w:noProof/>
          <w:lang w:eastAsia="en-GB"/>
        </w:rPr>
        <w:t xml:space="preserve"> the</w:t>
      </w:r>
      <w:r w:rsidRPr="00016A17">
        <w:rPr>
          <w:noProof/>
          <w:lang w:eastAsia="en-GB"/>
        </w:rPr>
        <w:t xml:space="preserve"> GNI contro</w:t>
      </w:r>
      <w:r>
        <w:rPr>
          <w:noProof/>
          <w:lang w:eastAsia="en-GB"/>
        </w:rPr>
        <w:t>l framework</w:t>
      </w:r>
      <w:r w:rsidRPr="29FDEFEF">
        <w:rPr>
          <w:noProof/>
          <w:lang w:eastAsia="en-GB"/>
        </w:rPr>
        <w:t xml:space="preserve">. </w:t>
      </w:r>
    </w:p>
    <w:p w14:paraId="0FABB7F7" w14:textId="77777777" w:rsidR="008766DF" w:rsidRPr="00686613" w:rsidRDefault="008766DF" w:rsidP="0085406D">
      <w:pPr>
        <w:pStyle w:val="Numbering"/>
        <w:keepNext/>
        <w:rPr>
          <w:rStyle w:val="Strong"/>
          <w:b w:val="0"/>
          <w:lang w:val="en-GB"/>
        </w:rPr>
      </w:pPr>
      <w:r w:rsidRPr="00686613">
        <w:rPr>
          <w:rStyle w:val="Strong"/>
          <w:lang w:val="en-GB"/>
        </w:rPr>
        <w:t xml:space="preserve">Fast mobilisation of new sources of revenue to the EU budget </w:t>
      </w:r>
    </w:p>
    <w:p w14:paraId="49BD4071" w14:textId="5400C346" w:rsidR="008766DF" w:rsidRPr="00223AAD" w:rsidRDefault="008766DF" w:rsidP="008766DF">
      <w:pPr>
        <w:rPr>
          <w:i/>
          <w:noProof/>
          <w:lang w:eastAsia="en-GB"/>
        </w:rPr>
      </w:pPr>
      <w:r w:rsidRPr="00223AAD">
        <w:rPr>
          <w:noProof/>
          <w:lang w:eastAsia="en-GB"/>
        </w:rPr>
        <w:t xml:space="preserve">This own resource could be implemented quickly. This statistical own resource could be temporary and </w:t>
      </w:r>
      <w:r w:rsidR="00FF5E86">
        <w:rPr>
          <w:noProof/>
          <w:lang w:eastAsia="en-GB"/>
        </w:rPr>
        <w:t>cease to apply</w:t>
      </w:r>
      <w:r w:rsidR="00FF5E86" w:rsidRPr="00223AAD">
        <w:rPr>
          <w:noProof/>
          <w:lang w:eastAsia="en-GB"/>
        </w:rPr>
        <w:t xml:space="preserve"> </w:t>
      </w:r>
      <w:r w:rsidRPr="00223AAD">
        <w:rPr>
          <w:noProof/>
          <w:lang w:eastAsia="en-GB"/>
        </w:rPr>
        <w:t xml:space="preserve">once Member States agree on </w:t>
      </w:r>
      <w:r>
        <w:rPr>
          <w:noProof/>
          <w:lang w:eastAsia="en-GB"/>
        </w:rPr>
        <w:t xml:space="preserve">both </w:t>
      </w:r>
      <w:r w:rsidRPr="00223AAD">
        <w:rPr>
          <w:noProof/>
          <w:lang w:eastAsia="en-GB"/>
        </w:rPr>
        <w:t xml:space="preserve">the </w:t>
      </w:r>
      <w:r w:rsidR="00CF4F09">
        <w:rPr>
          <w:noProof/>
          <w:lang w:eastAsia="en-GB"/>
        </w:rPr>
        <w:t xml:space="preserve">forthcoming </w:t>
      </w:r>
      <w:r w:rsidR="00846C4D">
        <w:rPr>
          <w:noProof/>
          <w:lang w:eastAsia="en-GB"/>
        </w:rPr>
        <w:t>D</w:t>
      </w:r>
      <w:r w:rsidR="00CF4F09">
        <w:rPr>
          <w:noProof/>
          <w:lang w:eastAsia="en-GB"/>
        </w:rPr>
        <w:t>irective related to the BEFIT initiative</w:t>
      </w:r>
      <w:r>
        <w:rPr>
          <w:noProof/>
          <w:lang w:eastAsia="en-GB"/>
        </w:rPr>
        <w:t xml:space="preserve">, and </w:t>
      </w:r>
      <w:r w:rsidRPr="00F56A8B">
        <w:rPr>
          <w:noProof/>
          <w:lang w:eastAsia="en-GB"/>
        </w:rPr>
        <w:t xml:space="preserve">to draw a Union </w:t>
      </w:r>
      <w:r>
        <w:rPr>
          <w:noProof/>
          <w:lang w:eastAsia="en-GB"/>
        </w:rPr>
        <w:t>o</w:t>
      </w:r>
      <w:r w:rsidRPr="00F56A8B">
        <w:rPr>
          <w:noProof/>
          <w:lang w:eastAsia="en-GB"/>
        </w:rPr>
        <w:t xml:space="preserve">wn </w:t>
      </w:r>
      <w:r>
        <w:rPr>
          <w:noProof/>
          <w:lang w:eastAsia="en-GB"/>
        </w:rPr>
        <w:t>r</w:t>
      </w:r>
      <w:r w:rsidRPr="00F56A8B">
        <w:rPr>
          <w:noProof/>
          <w:lang w:eastAsia="en-GB"/>
        </w:rPr>
        <w:t>esource from th</w:t>
      </w:r>
      <w:r>
        <w:rPr>
          <w:noProof/>
          <w:lang w:eastAsia="en-GB"/>
        </w:rPr>
        <w:t>at</w:t>
      </w:r>
      <w:r w:rsidRPr="00F56A8B">
        <w:rPr>
          <w:noProof/>
          <w:lang w:eastAsia="en-GB"/>
        </w:rPr>
        <w:t xml:space="preserve"> tax base</w:t>
      </w:r>
      <w:r w:rsidRPr="00223AAD">
        <w:rPr>
          <w:noProof/>
          <w:lang w:eastAsia="en-GB"/>
        </w:rPr>
        <w:t xml:space="preserve"> (</w:t>
      </w:r>
      <w:r w:rsidR="00FF5E86">
        <w:rPr>
          <w:noProof/>
          <w:lang w:eastAsia="en-GB"/>
        </w:rPr>
        <w:t>e.g. as described in</w:t>
      </w:r>
      <w:r w:rsidR="00FF5E86" w:rsidRPr="00223AAD">
        <w:rPr>
          <w:noProof/>
          <w:lang w:eastAsia="en-GB"/>
        </w:rPr>
        <w:t xml:space="preserve"> </w:t>
      </w:r>
      <w:r w:rsidRPr="00223AAD">
        <w:rPr>
          <w:noProof/>
          <w:lang w:eastAsia="en-GB"/>
        </w:rPr>
        <w:t xml:space="preserve">factsheet </w:t>
      </w:r>
      <w:r w:rsidRPr="00223AAD">
        <w:rPr>
          <w:i/>
          <w:iCs/>
          <w:noProof/>
          <w:lang w:eastAsia="en-GB"/>
        </w:rPr>
        <w:t>2.3.</w:t>
      </w:r>
      <w:r w:rsidR="00BB0053">
        <w:rPr>
          <w:i/>
          <w:iCs/>
          <w:noProof/>
          <w:lang w:eastAsia="en-GB"/>
        </w:rPr>
        <w:t>1</w:t>
      </w:r>
      <w:r w:rsidRPr="00223AAD">
        <w:rPr>
          <w:noProof/>
          <w:lang w:eastAsia="en-GB"/>
        </w:rPr>
        <w:t xml:space="preserve">). </w:t>
      </w:r>
      <w:r w:rsidRPr="00223AAD">
        <w:rPr>
          <w:i/>
          <w:iCs/>
          <w:noProof/>
          <w:lang w:eastAsia="en-GB"/>
        </w:rPr>
        <w:t xml:space="preserve"> </w:t>
      </w:r>
    </w:p>
    <w:p w14:paraId="0AA913AA" w14:textId="21B12E7F" w:rsidR="008766DF" w:rsidRPr="009F2E4E" w:rsidRDefault="00AD3956" w:rsidP="008766DF">
      <w:pPr>
        <w:pStyle w:val="Heading3"/>
        <w:rPr>
          <w:noProof/>
        </w:rPr>
      </w:pPr>
      <w:bookmarkStart w:id="160" w:name="_Toc135860243"/>
      <w:bookmarkStart w:id="161" w:name="_Toc136599812"/>
      <w:bookmarkStart w:id="162" w:name="_Toc136600390"/>
      <w:bookmarkStart w:id="163" w:name="_Toc137493995"/>
      <w:bookmarkStart w:id="164" w:name="_Toc133405549"/>
      <w:bookmarkStart w:id="165" w:name="_Toc133426652"/>
      <w:bookmarkStart w:id="166" w:name="_Toc134446545"/>
      <w:r w:rsidRPr="009F2E4E">
        <w:rPr>
          <w:noProof/>
        </w:rPr>
        <w:t>2.</w:t>
      </w:r>
      <w:r w:rsidR="00D87BA8" w:rsidRPr="009F2E4E">
        <w:rPr>
          <w:noProof/>
        </w:rPr>
        <w:t>3</w:t>
      </w:r>
      <w:r w:rsidRPr="009F2E4E">
        <w:rPr>
          <w:noProof/>
        </w:rPr>
        <w:t xml:space="preserve">.3. </w:t>
      </w:r>
      <w:r w:rsidR="008766DF">
        <w:rPr>
          <w:noProof/>
        </w:rPr>
        <w:t>Financial Sector</w:t>
      </w:r>
      <w:r w:rsidR="0019384D">
        <w:rPr>
          <w:noProof/>
        </w:rPr>
        <w:t xml:space="preserve"> - F</w:t>
      </w:r>
      <w:r w:rsidR="0019384D" w:rsidRPr="0019384D">
        <w:rPr>
          <w:noProof/>
        </w:rPr>
        <w:t xml:space="preserve">inancial </w:t>
      </w:r>
      <w:r w:rsidR="0019384D">
        <w:rPr>
          <w:noProof/>
        </w:rPr>
        <w:t>T</w:t>
      </w:r>
      <w:r w:rsidR="0019384D" w:rsidRPr="0019384D">
        <w:rPr>
          <w:noProof/>
        </w:rPr>
        <w:t xml:space="preserve">ransaction </w:t>
      </w:r>
      <w:r w:rsidR="0019384D">
        <w:rPr>
          <w:noProof/>
        </w:rPr>
        <w:t>T</w:t>
      </w:r>
      <w:r w:rsidR="0019384D" w:rsidRPr="0019384D">
        <w:rPr>
          <w:noProof/>
        </w:rPr>
        <w:t>ax</w:t>
      </w:r>
      <w:r w:rsidR="0019384D">
        <w:rPr>
          <w:noProof/>
        </w:rPr>
        <w:t xml:space="preserve"> (FTT)</w:t>
      </w:r>
      <w:bookmarkEnd w:id="160"/>
      <w:bookmarkEnd w:id="161"/>
      <w:bookmarkEnd w:id="162"/>
      <w:bookmarkEnd w:id="163"/>
    </w:p>
    <w:p w14:paraId="13641489" w14:textId="758B3329" w:rsidR="008766DF" w:rsidRDefault="008766DF" w:rsidP="008766DF">
      <w:pPr>
        <w:pStyle w:val="Titlelevel4"/>
        <w:rPr>
          <w:noProof/>
        </w:rPr>
      </w:pPr>
      <w:r w:rsidRPr="009F2E4E">
        <w:rPr>
          <w:noProof/>
        </w:rPr>
        <w:t>Description: Rationale and design</w:t>
      </w:r>
    </w:p>
    <w:p w14:paraId="60E5361E" w14:textId="77777777" w:rsidR="00896893" w:rsidRPr="00896893" w:rsidRDefault="00896893" w:rsidP="00896893">
      <w:pPr>
        <w:rPr>
          <w:noProof/>
          <w:szCs w:val="24"/>
        </w:rPr>
      </w:pPr>
      <w:r w:rsidRPr="00896893">
        <w:rPr>
          <w:noProof/>
          <w:szCs w:val="24"/>
        </w:rPr>
        <w:t xml:space="preserve">The financial sector is perceived as being undertaxed. It faces different non-harmonised national taxes across the EU and is VAT exempt. To ensure a just and stable contribution of the financial sector to public finances, a contribution from the financial sector as a basis for an EU own resource could balance contributions from other sectors. </w:t>
      </w:r>
    </w:p>
    <w:p w14:paraId="545A1934" w14:textId="758EC3AE" w:rsidR="00896893" w:rsidRPr="00896893" w:rsidRDefault="00896893" w:rsidP="00896893">
      <w:pPr>
        <w:rPr>
          <w:noProof/>
        </w:rPr>
      </w:pPr>
      <w:r w:rsidRPr="00896893">
        <w:rPr>
          <w:noProof/>
        </w:rPr>
        <w:t>In the wake of the 2008-09 financial crisis and subsequent sovereign debt crisis, the introduction of a harmonised framework of national financial transaction taxes (FTTs) at EU level became part of the Commission’s political priorities in the field of taxation policy. The FTT was targeted at curbing excessive speculation and volatility, making the financial sector bear part of the costs of its rescue from the financial crisis and fostering harmonisation, as some Member States were considering introducing (or had already introduced) FTTs. The Commission put forward two FTT proposals, one in 2011 (for all</w:t>
      </w:r>
      <w:r w:rsidR="0048474C">
        <w:rPr>
          <w:noProof/>
        </w:rPr>
        <w:t xml:space="preserve"> </w:t>
      </w:r>
      <w:r w:rsidRPr="00896893">
        <w:rPr>
          <w:noProof/>
        </w:rPr>
        <w:t xml:space="preserve">Member States) and one in 2013 under enhanced cooperation. The latter proposal, still under discussion, is similar to a stamp duty and would apply only to purchases of shares issued by domestic listed companies with a market capitalisation higher than EUR 1 </w:t>
      </w:r>
      <w:r w:rsidR="00BC372C">
        <w:rPr>
          <w:noProof/>
        </w:rPr>
        <w:t>billion</w:t>
      </w:r>
      <w:r w:rsidRPr="00896893">
        <w:rPr>
          <w:noProof/>
        </w:rPr>
        <w:t xml:space="preserve">. </w:t>
      </w:r>
    </w:p>
    <w:p w14:paraId="1F85C6D8" w14:textId="77777777" w:rsidR="00896893" w:rsidRPr="00896893" w:rsidRDefault="00896893" w:rsidP="00896893">
      <w:pPr>
        <w:keepNext/>
        <w:rPr>
          <w:b/>
          <w:caps/>
          <w:noProof/>
          <w:color w:val="90BE6D"/>
          <w:lang w:eastAsia="en-GB"/>
        </w:rPr>
      </w:pPr>
      <w:r w:rsidRPr="00896893">
        <w:rPr>
          <w:b/>
          <w:caps/>
          <w:noProof/>
          <w:color w:val="90BE6D"/>
          <w:lang w:eastAsia="en-GB"/>
        </w:rPr>
        <w:t xml:space="preserve">Assessment </w:t>
      </w:r>
    </w:p>
    <w:p w14:paraId="6A2A15F9" w14:textId="77777777" w:rsidR="00896893" w:rsidRPr="00896893" w:rsidRDefault="00896893" w:rsidP="00427292">
      <w:pPr>
        <w:pStyle w:val="Numbering"/>
        <w:keepNext/>
        <w:numPr>
          <w:ilvl w:val="0"/>
          <w:numId w:val="29"/>
        </w:numPr>
        <w:jc w:val="left"/>
        <w:rPr>
          <w:rFonts w:eastAsia="Calibri"/>
          <w:b/>
          <w:color w:val="023E8A"/>
        </w:rPr>
      </w:pPr>
      <w:r w:rsidRPr="00896893">
        <w:rPr>
          <w:rFonts w:eastAsia="Calibri"/>
          <w:b/>
          <w:color w:val="023E8A"/>
        </w:rPr>
        <w:t xml:space="preserve">Revenue potential </w:t>
      </w:r>
    </w:p>
    <w:p w14:paraId="42A998E6" w14:textId="0A72F628" w:rsidR="009F5447" w:rsidRPr="00896893" w:rsidRDefault="00896893" w:rsidP="00896893">
      <w:pPr>
        <w:rPr>
          <w:noProof/>
        </w:rPr>
      </w:pPr>
      <w:r w:rsidRPr="00896893">
        <w:rPr>
          <w:noProof/>
          <w:lang w:val="en-IE"/>
        </w:rPr>
        <w:t xml:space="preserve">It was estimated that the initial 2011 Commission proposal would have generated revenues up to EUR </w:t>
      </w:r>
      <w:r w:rsidR="00A72288">
        <w:rPr>
          <w:noProof/>
          <w:lang w:val="en-IE"/>
        </w:rPr>
        <w:t>57</w:t>
      </w:r>
      <w:r w:rsidRPr="00896893">
        <w:rPr>
          <w:noProof/>
          <w:lang w:val="en-IE"/>
        </w:rPr>
        <w:t xml:space="preserve"> </w:t>
      </w:r>
      <w:r w:rsidR="00BC372C">
        <w:rPr>
          <w:noProof/>
          <w:lang w:val="en-IE"/>
        </w:rPr>
        <w:t>billion</w:t>
      </w:r>
      <w:r w:rsidRPr="00896893">
        <w:rPr>
          <w:noProof/>
          <w:lang w:val="en-IE"/>
        </w:rPr>
        <w:t xml:space="preserve"> per year. Design changes in the compromise FTT proposal that was put forward under enhanced cooperation would mean a much lower revenue potential. The significantly changed design and limited number of participating Member States would mean that, under the current design, the revenues to the EU budget would be rather limited.</w:t>
      </w:r>
    </w:p>
    <w:p w14:paraId="072FC7BE" w14:textId="4226B80A" w:rsidR="00896893" w:rsidRPr="00896893" w:rsidRDefault="00896893" w:rsidP="00427292">
      <w:pPr>
        <w:pStyle w:val="Numbering"/>
        <w:rPr>
          <w:rFonts w:eastAsia="Calibri"/>
          <w:b/>
          <w:color w:val="023E8A"/>
        </w:rPr>
      </w:pPr>
      <w:r w:rsidRPr="00896893">
        <w:rPr>
          <w:rFonts w:eastAsia="Calibri"/>
          <w:b/>
          <w:color w:val="023E8A"/>
        </w:rPr>
        <w:t xml:space="preserve">Simplicity of collection and implementation </w:t>
      </w:r>
    </w:p>
    <w:p w14:paraId="4F0E6704" w14:textId="77777777" w:rsidR="00896893" w:rsidRPr="00896893" w:rsidRDefault="00896893" w:rsidP="00896893">
      <w:pPr>
        <w:rPr>
          <w:noProof/>
        </w:rPr>
      </w:pPr>
      <w:r w:rsidRPr="00896893">
        <w:rPr>
          <w:noProof/>
          <w:lang w:val="en-IE"/>
        </w:rPr>
        <w:t xml:space="preserve">A uniform tax rate would be applied to transactions of financial assets in scope of an FTT in addition to the price and intermediary fees. The revenues would be collected by the financial intermediary and allocated to the relevant Member States. Part of that revenue would then accrue to the EU budget at a set call rate. </w:t>
      </w:r>
    </w:p>
    <w:p w14:paraId="7692D79F" w14:textId="77777777" w:rsidR="00896893" w:rsidRPr="00427292" w:rsidRDefault="00896893" w:rsidP="00427292">
      <w:pPr>
        <w:pStyle w:val="Numbering"/>
        <w:rPr>
          <w:b/>
          <w:color w:val="023E8A" w:themeColor="accent1"/>
        </w:rPr>
      </w:pPr>
      <w:r w:rsidRPr="00427292">
        <w:rPr>
          <w:b/>
          <w:color w:val="023E8A" w:themeColor="accent1"/>
        </w:rPr>
        <w:t xml:space="preserve">Fast mobilisation of new sources of revenue to the EU budget </w:t>
      </w:r>
    </w:p>
    <w:p w14:paraId="7A66E06D" w14:textId="5FDDB436" w:rsidR="00896893" w:rsidRPr="00896893" w:rsidRDefault="00896893" w:rsidP="00896893">
      <w:pPr>
        <w:rPr>
          <w:noProof/>
        </w:rPr>
      </w:pPr>
      <w:r w:rsidRPr="00896893">
        <w:rPr>
          <w:noProof/>
          <w:lang w:val="en-IE"/>
        </w:rPr>
        <w:t xml:space="preserve">After years of negotiation, no agreement has been found on the FTT proposal, progress has been very slow, the enhanced cooperation is reduced to ten Member States, and the prospects of reaching an agreement in the future are </w:t>
      </w:r>
      <w:r w:rsidR="000F6802">
        <w:rPr>
          <w:noProof/>
          <w:lang w:val="en-IE"/>
        </w:rPr>
        <w:t xml:space="preserve">limited given that </w:t>
      </w:r>
      <w:r w:rsidR="008D3187">
        <w:rPr>
          <w:noProof/>
          <w:lang w:val="en-IE"/>
        </w:rPr>
        <w:t xml:space="preserve">the </w:t>
      </w:r>
      <w:r w:rsidR="000F6802">
        <w:rPr>
          <w:noProof/>
          <w:lang w:val="en-IE"/>
        </w:rPr>
        <w:t xml:space="preserve">last </w:t>
      </w:r>
      <w:r w:rsidR="008D3187">
        <w:rPr>
          <w:noProof/>
          <w:lang w:val="en-IE"/>
        </w:rPr>
        <w:t>substantial</w:t>
      </w:r>
      <w:r w:rsidR="000F6802">
        <w:rPr>
          <w:noProof/>
          <w:lang w:val="en-IE"/>
        </w:rPr>
        <w:t xml:space="preserve"> discussions took place under the Portuguese Council Presidency in 2021</w:t>
      </w:r>
      <w:r w:rsidRPr="00896893">
        <w:rPr>
          <w:noProof/>
          <w:lang w:val="en-IE"/>
        </w:rPr>
        <w:t>. There is little expectation that any proposal would be agreed</w:t>
      </w:r>
      <w:r w:rsidR="009F5EA0">
        <w:rPr>
          <w:noProof/>
          <w:lang w:val="en-IE"/>
        </w:rPr>
        <w:t xml:space="preserve"> in the short term</w:t>
      </w:r>
      <w:r w:rsidRPr="00896893">
        <w:rPr>
          <w:noProof/>
          <w:lang w:val="en-IE"/>
        </w:rPr>
        <w:t>.</w:t>
      </w:r>
    </w:p>
    <w:p w14:paraId="161B9465" w14:textId="20CAA2EC" w:rsidR="001875D4" w:rsidRPr="009F2E4E" w:rsidRDefault="001875D4" w:rsidP="001875D4">
      <w:pPr>
        <w:pStyle w:val="Heading3"/>
        <w:rPr>
          <w:noProof/>
        </w:rPr>
      </w:pPr>
      <w:bookmarkStart w:id="167" w:name="_Toc135860244"/>
      <w:bookmarkStart w:id="168" w:name="_Toc136599813"/>
      <w:bookmarkStart w:id="169" w:name="_Toc136600391"/>
      <w:bookmarkStart w:id="170" w:name="_Toc137493996"/>
      <w:r w:rsidRPr="009F2E4E">
        <w:rPr>
          <w:noProof/>
        </w:rPr>
        <w:t>2.3.</w:t>
      </w:r>
      <w:r w:rsidR="006374EA">
        <w:rPr>
          <w:noProof/>
        </w:rPr>
        <w:t>4</w:t>
      </w:r>
      <w:r w:rsidRPr="009F2E4E">
        <w:rPr>
          <w:noProof/>
        </w:rPr>
        <w:t>.</w:t>
      </w:r>
      <w:bookmarkStart w:id="171" w:name="_Toc133405550"/>
      <w:bookmarkStart w:id="172" w:name="_Toc133426653"/>
      <w:bookmarkStart w:id="173" w:name="_Toc134446546"/>
      <w:bookmarkStart w:id="174" w:name="_Hlk132126863"/>
      <w:bookmarkEnd w:id="164"/>
      <w:bookmarkEnd w:id="165"/>
      <w:bookmarkEnd w:id="166"/>
      <w:r w:rsidR="0035538B" w:rsidRPr="009F2E4E">
        <w:rPr>
          <w:noProof/>
        </w:rPr>
        <w:t xml:space="preserve"> </w:t>
      </w:r>
      <w:r w:rsidRPr="009F2E4E">
        <w:rPr>
          <w:noProof/>
        </w:rPr>
        <w:t xml:space="preserve">EU ‘fair border </w:t>
      </w:r>
      <w:r>
        <w:rPr>
          <w:noProof/>
        </w:rPr>
        <w:t>M</w:t>
      </w:r>
      <w:r w:rsidRPr="00896A78">
        <w:rPr>
          <w:noProof/>
        </w:rPr>
        <w:t>echanism</w:t>
      </w:r>
      <w:r w:rsidRPr="009F2E4E">
        <w:rPr>
          <w:noProof/>
        </w:rPr>
        <w:t>’</w:t>
      </w:r>
      <w:bookmarkEnd w:id="167"/>
      <w:bookmarkEnd w:id="168"/>
      <w:bookmarkEnd w:id="169"/>
      <w:r w:rsidRPr="009F2E4E">
        <w:rPr>
          <w:noProof/>
        </w:rPr>
        <w:t xml:space="preserve"> </w:t>
      </w:r>
      <w:bookmarkEnd w:id="170"/>
    </w:p>
    <w:p w14:paraId="3B18A123" w14:textId="77777777" w:rsidR="001875D4" w:rsidRPr="009F2E4E" w:rsidRDefault="001875D4" w:rsidP="001875D4">
      <w:pPr>
        <w:pStyle w:val="Titlelevel4"/>
        <w:rPr>
          <w:noProof/>
        </w:rPr>
      </w:pPr>
      <w:r w:rsidRPr="009F2E4E">
        <w:rPr>
          <w:noProof/>
        </w:rPr>
        <w:t>Description: Rationale and design</w:t>
      </w:r>
    </w:p>
    <w:p w14:paraId="7CDE439C" w14:textId="0EF2D055" w:rsidR="001875D4" w:rsidRPr="00896A78" w:rsidRDefault="001875D4" w:rsidP="001875D4">
      <w:pPr>
        <w:rPr>
          <w:noProof/>
          <w:lang w:val="en-IE"/>
        </w:rPr>
      </w:pPr>
      <w:r w:rsidRPr="0D5E584C">
        <w:rPr>
          <w:noProof/>
          <w:lang w:val="en-IE"/>
        </w:rPr>
        <w:t>The EP report on own resources ‘A new start for EU finances. A new start for Europe’ (2022/2172(INI)) suggested establishing an EU Fair Border ‘Mechanism’. It should help fight the social dumping of commodities made by underpaid people in developing countries and imported into the EU market. The companies importing products into the European Union would be required to pay a charge for any worker in their global supply chain who is paid a wage below the relevant poverty line</w:t>
      </w:r>
      <w:r w:rsidR="00FC0113">
        <w:rPr>
          <w:noProof/>
          <w:lang w:val="en-IE"/>
        </w:rPr>
        <w:t xml:space="preserve"> of third countries</w:t>
      </w:r>
      <w:r w:rsidRPr="0D5E584C">
        <w:rPr>
          <w:noProof/>
          <w:lang w:val="en-IE"/>
        </w:rPr>
        <w:t xml:space="preserve">. </w:t>
      </w:r>
    </w:p>
    <w:p w14:paraId="75D4A0CB" w14:textId="77777777" w:rsidR="001875D4" w:rsidRPr="00896A78" w:rsidRDefault="001875D4" w:rsidP="001875D4">
      <w:pPr>
        <w:rPr>
          <w:noProof/>
          <w:szCs w:val="24"/>
        </w:rPr>
      </w:pPr>
      <w:r w:rsidRPr="0D5E584C">
        <w:rPr>
          <w:noProof/>
          <w:lang w:val="en-IE"/>
        </w:rPr>
        <w:t xml:space="preserve">The European Parliament refers to the example of textile production in Bangladesh. Bangladesh is a part of </w:t>
      </w:r>
      <w:r>
        <w:rPr>
          <w:noProof/>
        </w:rPr>
        <w:t>an EU programme that allows developing countries to export goods to the EU at lower or no tariffs, under the</w:t>
      </w:r>
      <w:r w:rsidRPr="0D5E584C">
        <w:rPr>
          <w:rFonts w:ascii="Calibri" w:hAnsi="Calibri" w:cs="Calibri"/>
          <w:noProof/>
        </w:rPr>
        <w:t> </w:t>
      </w:r>
      <w:hyperlink r:id="rId37">
        <w:r w:rsidR="0D5E584C" w:rsidRPr="0D5E584C">
          <w:rPr>
            <w:rStyle w:val="Hyperlink"/>
            <w:noProof/>
          </w:rPr>
          <w:t>Generalised Scheme of Preferences</w:t>
        </w:r>
      </w:hyperlink>
      <w:r w:rsidR="0D5E584C">
        <w:rPr>
          <w:noProof/>
        </w:rPr>
        <w:t xml:space="preserve"> (GSP).</w:t>
      </w:r>
      <w:r>
        <w:rPr>
          <w:noProof/>
        </w:rPr>
        <w:t xml:space="preserve"> The GSP is one of the key EU trade instruments to assist developing countries to integrate into the world economy, reduce poverty, and support sustainable development through the promotion of core human and labour rights, environmental protection, and good governance. A specific salary level is not part of the EU’s GSP conditionality. Therefore, the contemplated idea of a fair border tax could not be implemented via the GSP, but only as an additional selective tariff.  </w:t>
      </w:r>
    </w:p>
    <w:p w14:paraId="7264ABED" w14:textId="04F090C7" w:rsidR="00113BCE" w:rsidRPr="006823DE" w:rsidRDefault="006823DE" w:rsidP="001875D4">
      <w:pPr>
        <w:rPr>
          <w:bCs/>
          <w:noProof/>
        </w:rPr>
      </w:pPr>
      <w:r>
        <w:rPr>
          <w:noProof/>
        </w:rPr>
        <w:t>S</w:t>
      </w:r>
      <w:r w:rsidRPr="00145280">
        <w:rPr>
          <w:noProof/>
        </w:rPr>
        <w:t>uch mechanisms are uncommon in the world</w:t>
      </w:r>
      <w:r>
        <w:rPr>
          <w:noProof/>
        </w:rPr>
        <w:t>, and in particular do not include any trade measures</w:t>
      </w:r>
      <w:r w:rsidRPr="00145280">
        <w:rPr>
          <w:noProof/>
        </w:rPr>
        <w:t xml:space="preserve">. </w:t>
      </w:r>
      <w:r w:rsidRPr="008C1C2D">
        <w:rPr>
          <w:noProof/>
        </w:rPr>
        <w:t>In California, for instance, a Garment Worker Protection Act is in place since</w:t>
      </w:r>
      <w:r w:rsidR="008C1C2D">
        <w:rPr>
          <w:noProof/>
        </w:rPr>
        <w:t xml:space="preserve"> J</w:t>
      </w:r>
      <w:r w:rsidRPr="008C1C2D">
        <w:rPr>
          <w:noProof/>
        </w:rPr>
        <w:t>anuary 2022</w:t>
      </w:r>
      <w:r w:rsidR="00DE22D3" w:rsidRPr="00DE22D3">
        <w:rPr>
          <w:rFonts w:cs="Calibri"/>
          <w:noProof/>
        </w:rPr>
        <w:t> </w:t>
      </w:r>
      <w:r w:rsidR="00DE22D3" w:rsidRPr="00EA179D">
        <w:rPr>
          <w:noProof/>
        </w:rPr>
        <w:t>(</w:t>
      </w:r>
      <w:r w:rsidR="00DE22D3" w:rsidRPr="00EA179D">
        <w:rPr>
          <w:rStyle w:val="FootnoteReference"/>
          <w:noProof/>
        </w:rPr>
        <w:footnoteReference w:id="28"/>
      </w:r>
      <w:r w:rsidR="00DE22D3" w:rsidRPr="00EA179D">
        <w:rPr>
          <w:noProof/>
        </w:rPr>
        <w:t>)</w:t>
      </w:r>
      <w:r w:rsidRPr="008C1C2D">
        <w:rPr>
          <w:noProof/>
          <w:lang w:eastAsia="en-GB"/>
        </w:rPr>
        <w:t xml:space="preserve">. </w:t>
      </w:r>
      <w:r w:rsidRPr="008C1C2D">
        <w:rPr>
          <w:noProof/>
        </w:rPr>
        <w:t xml:space="preserve">It foresees that employees engaged in garment manufacturing in California must be paid an hourly rate not less than the minimum wage and forbids pay per piece, except in specific cases. These conditions seem to concern domestically produced garments, with no specific reference to trade. In the EU, the Commission proposed in 2022 two pieces of legislation - a Regulation aiming to prohibit products made using forced labour and a Directive on corporate sustainability due diligence (CSDDD). The Regulation covers cases of systematic and deliberate withholding of wages, as well as working involuntarily because of very low or no wage; it will empower national authorities to withdraw from the </w:t>
      </w:r>
      <w:r w:rsidR="0048474C">
        <w:rPr>
          <w:noProof/>
        </w:rPr>
        <w:t>EU</w:t>
      </w:r>
      <w:r w:rsidRPr="008C1C2D">
        <w:rPr>
          <w:noProof/>
        </w:rPr>
        <w:t xml:space="preserve"> market products made with forced labour or to stop such imports at </w:t>
      </w:r>
      <w:r w:rsidR="0048474C">
        <w:rPr>
          <w:noProof/>
        </w:rPr>
        <w:t>EU</w:t>
      </w:r>
      <w:r w:rsidRPr="008C1C2D">
        <w:rPr>
          <w:noProof/>
        </w:rPr>
        <w:t xml:space="preserve"> borders. The Directive aims to foster sustainable and responsible corporate behaviour throughout global value chains, requiring</w:t>
      </w:r>
      <w:r w:rsidRPr="003954DF">
        <w:rPr>
          <w:b/>
          <w:noProof/>
        </w:rPr>
        <w:t xml:space="preserve"> </w:t>
      </w:r>
      <w:r w:rsidRPr="003954DF">
        <w:rPr>
          <w:noProof/>
        </w:rPr>
        <w:t>companies to identify and, where necessary, prevent, end or mitigate adverse impacts of their activities on human rights, such as exploitation of workers.</w:t>
      </w:r>
      <w:r w:rsidRPr="003954DF">
        <w:rPr>
          <w:b/>
          <w:noProof/>
        </w:rPr>
        <w:t xml:space="preserve"> </w:t>
      </w:r>
    </w:p>
    <w:p w14:paraId="4904C55F" w14:textId="77777777" w:rsidR="001875D4" w:rsidRPr="009F2E4E" w:rsidRDefault="001875D4" w:rsidP="006374EA">
      <w:pPr>
        <w:pStyle w:val="Titlelevel4"/>
        <w:keepNext/>
        <w:rPr>
          <w:noProof/>
        </w:rPr>
      </w:pPr>
      <w:r w:rsidRPr="009F2E4E">
        <w:rPr>
          <w:noProof/>
        </w:rPr>
        <w:t>Assessment</w:t>
      </w:r>
    </w:p>
    <w:p w14:paraId="57149E5C" w14:textId="77777777" w:rsidR="001875D4" w:rsidRPr="009F2E4E" w:rsidRDefault="001875D4" w:rsidP="0085406D">
      <w:pPr>
        <w:pStyle w:val="Numbering"/>
        <w:keepNext/>
        <w:numPr>
          <w:ilvl w:val="0"/>
          <w:numId w:val="30"/>
        </w:numPr>
        <w:rPr>
          <w:rStyle w:val="Strong"/>
          <w:lang w:val="en-GB"/>
        </w:rPr>
      </w:pPr>
      <w:r w:rsidRPr="009F2E4E">
        <w:rPr>
          <w:rStyle w:val="Strong"/>
          <w:lang w:val="en-GB"/>
        </w:rPr>
        <w:t xml:space="preserve">Revenue potential </w:t>
      </w:r>
    </w:p>
    <w:p w14:paraId="02027576" w14:textId="77777777" w:rsidR="0084019C" w:rsidRDefault="001875D4" w:rsidP="001875D4">
      <w:pPr>
        <w:rPr>
          <w:noProof/>
          <w:lang w:val="en-IE"/>
        </w:rPr>
      </w:pPr>
      <w:r w:rsidRPr="009B49DE">
        <w:rPr>
          <w:noProof/>
          <w:lang w:val="en-IE"/>
        </w:rPr>
        <w:t xml:space="preserve">The EU Fair Border Mechanism would bring fresh money. If introduced, the duties paid on certain imported garments/goods will likely be classified as customs duties and thus Traditional Own Resources. Under the current own </w:t>
      </w:r>
      <w:r w:rsidR="00436B0D" w:rsidRPr="009B49DE">
        <w:rPr>
          <w:noProof/>
          <w:lang w:val="en-IE"/>
        </w:rPr>
        <w:t>resources’</w:t>
      </w:r>
      <w:r w:rsidRPr="009B49DE">
        <w:rPr>
          <w:noProof/>
          <w:lang w:val="en-IE"/>
        </w:rPr>
        <w:t xml:space="preserve"> rules, the Member States would be able to retain </w:t>
      </w:r>
      <w:r w:rsidRPr="00797CE1">
        <w:rPr>
          <w:noProof/>
          <w:lang w:val="en-IE"/>
        </w:rPr>
        <w:t>25% of the duties</w:t>
      </w:r>
      <w:r w:rsidRPr="009B49DE">
        <w:rPr>
          <w:noProof/>
          <w:lang w:val="en-IE"/>
        </w:rPr>
        <w:t xml:space="preserve"> as collection costs.</w:t>
      </w:r>
    </w:p>
    <w:p w14:paraId="47BB3807" w14:textId="2AC7AADA" w:rsidR="001875D4" w:rsidRPr="009B49DE" w:rsidRDefault="001875D4" w:rsidP="001875D4">
      <w:pPr>
        <w:rPr>
          <w:bCs/>
          <w:noProof/>
          <w:lang w:val="en-IE"/>
        </w:rPr>
      </w:pPr>
      <w:r w:rsidRPr="009B49DE">
        <w:rPr>
          <w:bCs/>
          <w:noProof/>
          <w:lang w:val="en-IE"/>
        </w:rPr>
        <w:t xml:space="preserve">The issue of how the charge would be determined and calculated across complex value chains should be considered – the production of garments has a fairly simple supply chain; however, more complex products have infinitely more complicated supply chains (e.g. a typical motor vehicle has over 20.000 parts and thousands of suppliers and suppliers to those suppliers). </w:t>
      </w:r>
      <w:r w:rsidR="00DD6200">
        <w:rPr>
          <w:bCs/>
          <w:noProof/>
          <w:lang w:val="en-IE"/>
        </w:rPr>
        <w:t>Therefore, the quantification of potential revenue is difficult to establish.</w:t>
      </w:r>
    </w:p>
    <w:p w14:paraId="746130E4" w14:textId="77777777" w:rsidR="001875D4" w:rsidRPr="009F2E4E" w:rsidRDefault="001875D4" w:rsidP="0085406D">
      <w:pPr>
        <w:pStyle w:val="Numbering"/>
        <w:rPr>
          <w:rStyle w:val="Strong"/>
          <w:lang w:val="en-GB"/>
        </w:rPr>
      </w:pPr>
      <w:r w:rsidRPr="009F2E4E">
        <w:rPr>
          <w:rStyle w:val="Strong"/>
          <w:lang w:val="en-GB"/>
        </w:rPr>
        <w:t>Simplicity of collection and implementation</w:t>
      </w:r>
    </w:p>
    <w:p w14:paraId="6CD86DA6" w14:textId="4F172FDD" w:rsidR="001875D4" w:rsidRPr="009B49DE" w:rsidRDefault="001875D4" w:rsidP="001875D4">
      <w:pPr>
        <w:rPr>
          <w:bCs/>
          <w:noProof/>
          <w:lang w:val="en-IE"/>
        </w:rPr>
      </w:pPr>
      <w:r w:rsidRPr="009B49DE">
        <w:rPr>
          <w:bCs/>
          <w:noProof/>
          <w:lang w:val="en-IE"/>
        </w:rPr>
        <w:t>The desired design of the charge is not clear – such as on what base the wage difference would need to be applied</w:t>
      </w:r>
      <w:r w:rsidR="005608FF">
        <w:rPr>
          <w:bCs/>
          <w:noProof/>
          <w:lang w:val="en-IE"/>
        </w:rPr>
        <w:t xml:space="preserve"> for a given assignment</w:t>
      </w:r>
      <w:r w:rsidRPr="009B49DE">
        <w:rPr>
          <w:bCs/>
          <w:noProof/>
          <w:lang w:val="en-IE"/>
        </w:rPr>
        <w:t xml:space="preserve">. Another question would be to know whether the importer would need to pay the difference in the wages on each piece of garment or would the difference be divided by the average daily output. </w:t>
      </w:r>
      <w:r w:rsidR="00CD6368" w:rsidRPr="009B49DE" w:rsidDel="009E7882">
        <w:rPr>
          <w:bCs/>
          <w:noProof/>
          <w:lang w:val="en-IE"/>
        </w:rPr>
        <w:t xml:space="preserve"> </w:t>
      </w:r>
      <w:r w:rsidR="00CD6368">
        <w:rPr>
          <w:bCs/>
          <w:noProof/>
          <w:lang w:val="en-IE"/>
        </w:rPr>
        <w:t>M</w:t>
      </w:r>
      <w:r w:rsidRPr="009B49DE">
        <w:rPr>
          <w:bCs/>
          <w:noProof/>
          <w:lang w:val="en-IE"/>
        </w:rPr>
        <w:t>oreover, the effect of the tax or charge on increasing the salaries in third countries seems to be uncertain – the importer is usually not the producer and has limited control over the production part of the supply chain</w:t>
      </w:r>
      <w:r w:rsidR="00D96609">
        <w:rPr>
          <w:bCs/>
          <w:noProof/>
          <w:lang w:val="en-IE"/>
        </w:rPr>
        <w:t>.</w:t>
      </w:r>
    </w:p>
    <w:p w14:paraId="45F35EC2" w14:textId="77777777" w:rsidR="001875D4" w:rsidRPr="009F2E4E" w:rsidRDefault="001875D4" w:rsidP="00150268">
      <w:pPr>
        <w:pStyle w:val="Numbering"/>
        <w:keepNext/>
        <w:rPr>
          <w:rStyle w:val="Strong"/>
          <w:lang w:val="en-GB"/>
        </w:rPr>
      </w:pPr>
      <w:r w:rsidRPr="009F2E4E">
        <w:rPr>
          <w:rStyle w:val="Strong"/>
          <w:lang w:val="en-GB"/>
        </w:rPr>
        <w:t xml:space="preserve">Fast mobilisation of new sources of revenue to the EU budget </w:t>
      </w:r>
    </w:p>
    <w:p w14:paraId="24871038" w14:textId="7EA2B8AC" w:rsidR="001875D4" w:rsidRPr="009B49DE" w:rsidRDefault="001875D4" w:rsidP="00150268">
      <w:pPr>
        <w:keepNext/>
        <w:rPr>
          <w:noProof/>
          <w:lang w:val="en-IE"/>
        </w:rPr>
      </w:pPr>
      <w:r w:rsidRPr="009B49DE">
        <w:rPr>
          <w:noProof/>
          <w:lang w:val="en-IE"/>
        </w:rPr>
        <w:t xml:space="preserve">The ‘Fair Border Mechanism’ would be a trade policy tool which would be introduced by the Commission as a legislative proposal under Article 207(1) and (2) TFEU. It would need to be compatible with the WTO Agreement and EU bilateral trade agreements. The tariff </w:t>
      </w:r>
      <w:r w:rsidR="00436B0D" w:rsidRPr="009B49DE">
        <w:rPr>
          <w:noProof/>
          <w:lang w:val="en-IE"/>
        </w:rPr>
        <w:t>must</w:t>
      </w:r>
      <w:r w:rsidRPr="009B49DE">
        <w:rPr>
          <w:noProof/>
          <w:lang w:val="en-IE"/>
        </w:rPr>
        <w:t xml:space="preserve"> be justified under an exception in the WTO’s General Agreement on Tariffs and Trade (GATT) because it would exceed the EU’s scheduled tariff commitments (Article II GATT, i.e. the maximum permitted tariff which normally is already applied) and there would inevitably be discrimination between countries (most-favoured-nation obligation).</w:t>
      </w:r>
      <w:r w:rsidRPr="009B49DE">
        <w:rPr>
          <w:rFonts w:ascii="Calibri" w:hAnsi="Calibri" w:cs="Calibri"/>
          <w:noProof/>
          <w:lang w:val="en-IE"/>
        </w:rPr>
        <w:t> </w:t>
      </w:r>
    </w:p>
    <w:p w14:paraId="5A8E1146" w14:textId="34C7DFEE" w:rsidR="001875D4" w:rsidRPr="001875D4" w:rsidRDefault="001875D4" w:rsidP="001875D4">
      <w:pPr>
        <w:rPr>
          <w:noProof/>
          <w:lang w:val="en-IE"/>
        </w:rPr>
      </w:pPr>
      <w:r w:rsidRPr="009B49DE">
        <w:rPr>
          <w:noProof/>
          <w:lang w:val="en-IE"/>
        </w:rPr>
        <w:t>This justification could theoretically be Article XX of GATT which allows WTO Members to restrict trade when this is necessary to protect public morals or human life or health, provided they do not unjustifiably or arbitrarily discriminate between countries or use this as disguised restriction on trade. Using this article to justify a “Fair Border Mechanism” would be a major political and legal challenge</w:t>
      </w:r>
      <w:r w:rsidR="0084019C">
        <w:rPr>
          <w:noProof/>
          <w:lang w:val="en-IE"/>
        </w:rPr>
        <w:t xml:space="preserve">. </w:t>
      </w:r>
      <w:r w:rsidRPr="009B49DE">
        <w:rPr>
          <w:noProof/>
          <w:lang w:val="en-IE"/>
        </w:rPr>
        <w:t xml:space="preserve">Properly designing and operating such a scheme would also create a high administrative burden on public authorities and the private sector, raising the question of whether poverty alleviation can be achieved more effectively and more efficiently through other means. </w:t>
      </w:r>
    </w:p>
    <w:p w14:paraId="54AA4F91" w14:textId="65989D9C" w:rsidR="001875D4" w:rsidRPr="009F2E4E" w:rsidRDefault="001875D4" w:rsidP="001875D4">
      <w:pPr>
        <w:pStyle w:val="Heading3"/>
        <w:rPr>
          <w:noProof/>
        </w:rPr>
      </w:pPr>
      <w:bookmarkStart w:id="175" w:name="_Toc133405551"/>
      <w:bookmarkStart w:id="176" w:name="_Toc133426654"/>
      <w:bookmarkStart w:id="177" w:name="_Toc134446547"/>
      <w:bookmarkStart w:id="178" w:name="_Toc135860245"/>
      <w:bookmarkStart w:id="179" w:name="_Toc136599814"/>
      <w:bookmarkStart w:id="180" w:name="_Toc136600392"/>
      <w:bookmarkStart w:id="181" w:name="_Toc137493997"/>
      <w:r w:rsidRPr="009F2E4E">
        <w:rPr>
          <w:noProof/>
        </w:rPr>
        <w:t>2.3.</w:t>
      </w:r>
      <w:r w:rsidR="006374EA">
        <w:rPr>
          <w:noProof/>
        </w:rPr>
        <w:t>5</w:t>
      </w:r>
      <w:r w:rsidRPr="009F2E4E">
        <w:rPr>
          <w:noProof/>
        </w:rPr>
        <w:t xml:space="preserve">. </w:t>
      </w:r>
      <w:bookmarkStart w:id="182" w:name="_Toc133405552"/>
      <w:bookmarkStart w:id="183" w:name="_Toc133426655"/>
      <w:bookmarkEnd w:id="175"/>
      <w:bookmarkEnd w:id="176"/>
      <w:bookmarkEnd w:id="177"/>
      <w:r w:rsidRPr="009F2E4E">
        <w:rPr>
          <w:noProof/>
        </w:rPr>
        <w:t xml:space="preserve">Tax on </w:t>
      </w:r>
      <w:bookmarkEnd w:id="182"/>
      <w:bookmarkEnd w:id="183"/>
      <w:r>
        <w:rPr>
          <w:noProof/>
        </w:rPr>
        <w:t>crypto assets</w:t>
      </w:r>
      <w:bookmarkEnd w:id="178"/>
      <w:bookmarkEnd w:id="179"/>
      <w:bookmarkEnd w:id="180"/>
      <w:bookmarkEnd w:id="181"/>
      <w:r w:rsidRPr="009F2E4E">
        <w:rPr>
          <w:noProof/>
          <w:lang w:eastAsia="en-US"/>
        </w:rPr>
        <w:t xml:space="preserve"> </w:t>
      </w:r>
    </w:p>
    <w:p w14:paraId="5A78E87C" w14:textId="77777777" w:rsidR="0085406D" w:rsidRPr="0085406D" w:rsidRDefault="0085406D" w:rsidP="0085406D">
      <w:pPr>
        <w:rPr>
          <w:b/>
          <w:caps/>
          <w:noProof/>
          <w:color w:val="90BE6D"/>
          <w:lang w:eastAsia="en-GB"/>
        </w:rPr>
      </w:pPr>
      <w:r w:rsidRPr="0085406D">
        <w:rPr>
          <w:b/>
          <w:caps/>
          <w:noProof/>
          <w:color w:val="90BE6D"/>
          <w:lang w:eastAsia="en-GB"/>
        </w:rPr>
        <w:t>Description: Rationale and design</w:t>
      </w:r>
    </w:p>
    <w:p w14:paraId="6B7BCDA9" w14:textId="77777777" w:rsidR="0085406D" w:rsidRPr="0085406D" w:rsidRDefault="0085406D" w:rsidP="0085406D">
      <w:pPr>
        <w:rPr>
          <w:noProof/>
        </w:rPr>
      </w:pPr>
      <w:r w:rsidRPr="0085406D">
        <w:rPr>
          <w:noProof/>
        </w:rPr>
        <w:t xml:space="preserve">The global market in crypto assets has grown rapidly over the past years. Crypto assets are increasingly used and citizens are increasingly investing in the crypto market, while businesses intensify their investments – whether in the necessary infrastructure or in tradable assets. There are many kinds of crypto assets, including cryptocurrencies with fluctuating prices (e.g. Bitcoin), “stablecoins” pegged to a currency (e.g. Tether pegged 1:1 to the USD), and “non-fungible tokens” (NFTs) representing a unique digital item (e.g. a cyber artwork). While crypto assets also have a hybrid or dual nature as an investment product (similar to financial assets) and payment method (similar to currency), to date, at the level of the EU Member States, the main tax implication arising from them has been as speculative assets that can deliver capital gains (and losses). </w:t>
      </w:r>
    </w:p>
    <w:p w14:paraId="078DCCD3" w14:textId="47942161" w:rsidR="0085406D" w:rsidRPr="0085406D" w:rsidRDefault="0085406D" w:rsidP="0085406D">
      <w:pPr>
        <w:rPr>
          <w:noProof/>
        </w:rPr>
      </w:pPr>
      <w:r w:rsidRPr="0085406D">
        <w:rPr>
          <w:noProof/>
        </w:rPr>
        <w:t xml:space="preserve">In view of the constantly evolving nature of the crypto market and the importance of its future potential, as well as the risks it brings to bear, this market’s evolution will need to be continuously assessed and monitored. As a first step, </w:t>
      </w:r>
      <w:r w:rsidR="008F4CD0">
        <w:rPr>
          <w:noProof/>
        </w:rPr>
        <w:t xml:space="preserve">the </w:t>
      </w:r>
      <w:r w:rsidR="00A14442">
        <w:rPr>
          <w:noProof/>
        </w:rPr>
        <w:t xml:space="preserve">recent </w:t>
      </w:r>
      <w:r w:rsidR="008F4CD0">
        <w:rPr>
          <w:noProof/>
        </w:rPr>
        <w:t xml:space="preserve">adoption of </w:t>
      </w:r>
      <w:r w:rsidR="00840B4D" w:rsidRPr="00A91DE6">
        <w:rPr>
          <w:noProof/>
        </w:rPr>
        <w:t xml:space="preserve">MiCA </w:t>
      </w:r>
      <w:r w:rsidR="008F4CD0" w:rsidRPr="00A91DE6">
        <w:rPr>
          <w:noProof/>
        </w:rPr>
        <w:t>(Markets in Crypto-assets)</w:t>
      </w:r>
      <w:r w:rsidR="008F4CD0" w:rsidRPr="00A91DE6">
        <w:rPr>
          <w:b/>
          <w:bCs/>
          <w:noProof/>
        </w:rPr>
        <w:t xml:space="preserve"> </w:t>
      </w:r>
      <w:r w:rsidR="00A14442" w:rsidRPr="00A91DE6">
        <w:rPr>
          <w:noProof/>
        </w:rPr>
        <w:t>R</w:t>
      </w:r>
      <w:r w:rsidR="00840B4D" w:rsidRPr="00A91DE6">
        <w:rPr>
          <w:noProof/>
        </w:rPr>
        <w:t xml:space="preserve">egulation </w:t>
      </w:r>
      <w:r w:rsidR="00A14442" w:rsidRPr="00A91DE6">
        <w:rPr>
          <w:noProof/>
        </w:rPr>
        <w:t xml:space="preserve">in April 2023 </w:t>
      </w:r>
      <w:r w:rsidR="00840B4D" w:rsidRPr="00A91DE6">
        <w:rPr>
          <w:noProof/>
        </w:rPr>
        <w:t>has already improved</w:t>
      </w:r>
      <w:r w:rsidR="00840B4D" w:rsidRPr="00FF6BC0">
        <w:rPr>
          <w:noProof/>
          <w:color w:val="1F497D"/>
        </w:rPr>
        <w:t xml:space="preserve"> </w:t>
      </w:r>
      <w:r w:rsidRPr="0085406D">
        <w:rPr>
          <w:noProof/>
        </w:rPr>
        <w:t>the opaque nature of the market</w:t>
      </w:r>
      <w:r w:rsidR="00840B4D">
        <w:rPr>
          <w:noProof/>
        </w:rPr>
        <w:t>. Transparency</w:t>
      </w:r>
      <w:r w:rsidRPr="0085406D">
        <w:rPr>
          <w:noProof/>
        </w:rPr>
        <w:t xml:space="preserve"> will </w:t>
      </w:r>
      <w:r w:rsidR="00840B4D">
        <w:rPr>
          <w:noProof/>
        </w:rPr>
        <w:t xml:space="preserve">continue to improve </w:t>
      </w:r>
      <w:r w:rsidRPr="0085406D">
        <w:rPr>
          <w:noProof/>
        </w:rPr>
        <w:t>with the entry into force of the DAC8 (Directive on Administrative Cooperation) proposal (</w:t>
      </w:r>
      <w:r w:rsidRPr="0085406D">
        <w:rPr>
          <w:noProof/>
          <w:vertAlign w:val="superscript"/>
        </w:rPr>
        <w:footnoteReference w:id="29"/>
      </w:r>
      <w:r w:rsidRPr="0085406D">
        <w:rPr>
          <w:noProof/>
        </w:rPr>
        <w:t>) on the automatic exchange of information, which will help boost crypto-asset related information sharing and tax compliance.</w:t>
      </w:r>
    </w:p>
    <w:p w14:paraId="65F77B04" w14:textId="30A544E2" w:rsidR="0085406D" w:rsidRPr="0085406D" w:rsidRDefault="002A2AB6" w:rsidP="0085406D">
      <w:pPr>
        <w:rPr>
          <w:noProof/>
        </w:rPr>
      </w:pPr>
      <w:r>
        <w:rPr>
          <w:noProof/>
        </w:rPr>
        <w:t xml:space="preserve">Most </w:t>
      </w:r>
      <w:r w:rsidR="0085406D" w:rsidRPr="0085406D">
        <w:rPr>
          <w:noProof/>
        </w:rPr>
        <w:t>Member States already tax capital gains and other income related to crypto assets as part of their national tax systems; however, they do so in a heterogeneous way. The European Parliament has suggested several ideas, including a harmonised direct tax on capital gains arising from increases in the value of crypto assets, applying across the EU, and accruing to the EU budget. Any work at the EU level on this front should ensure that the taxation of crypto assets is coherent with national tax systems. It should, moreover, be considered only over the medium-term, based on further analysis and close coordination with Member States.</w:t>
      </w:r>
    </w:p>
    <w:p w14:paraId="6237236A" w14:textId="77777777" w:rsidR="0085406D" w:rsidRPr="0085406D" w:rsidRDefault="0085406D" w:rsidP="0085406D">
      <w:pPr>
        <w:keepNext/>
        <w:rPr>
          <w:b/>
          <w:caps/>
          <w:noProof/>
          <w:color w:val="90BE6D"/>
          <w:lang w:eastAsia="en-GB"/>
        </w:rPr>
      </w:pPr>
      <w:r w:rsidRPr="0085406D">
        <w:rPr>
          <w:b/>
          <w:caps/>
          <w:noProof/>
          <w:color w:val="90BE6D"/>
          <w:lang w:eastAsia="en-GB"/>
        </w:rPr>
        <w:t>Assessment</w:t>
      </w:r>
    </w:p>
    <w:p w14:paraId="785686FA" w14:textId="77777777" w:rsidR="0085406D" w:rsidRPr="0085406D" w:rsidRDefault="0085406D" w:rsidP="0085406D">
      <w:pPr>
        <w:pStyle w:val="Numbering"/>
        <w:keepNext/>
        <w:numPr>
          <w:ilvl w:val="0"/>
          <w:numId w:val="35"/>
        </w:numPr>
        <w:jc w:val="left"/>
        <w:rPr>
          <w:rFonts w:eastAsia="Calibri"/>
          <w:b/>
          <w:color w:val="023E8A"/>
        </w:rPr>
      </w:pPr>
      <w:r w:rsidRPr="0085406D">
        <w:rPr>
          <w:rFonts w:eastAsia="Calibri"/>
          <w:b/>
          <w:color w:val="023E8A"/>
        </w:rPr>
        <w:t xml:space="preserve">Revenue potential </w:t>
      </w:r>
    </w:p>
    <w:p w14:paraId="2A850D1F" w14:textId="7B5B57A4" w:rsidR="0085406D" w:rsidRPr="0085406D" w:rsidRDefault="0085406D" w:rsidP="0085406D">
      <w:pPr>
        <w:keepNext/>
        <w:rPr>
          <w:noProof/>
        </w:rPr>
      </w:pPr>
      <w:r w:rsidRPr="0085406D">
        <w:rPr>
          <w:noProof/>
        </w:rPr>
        <w:t>According to a study of the European Parliament</w:t>
      </w:r>
      <w:r w:rsidR="00F512AF" w:rsidRPr="00F512AF">
        <w:rPr>
          <w:rFonts w:cs="Calibri"/>
          <w:noProof/>
        </w:rPr>
        <w:t> </w:t>
      </w:r>
      <w:r w:rsidR="00F512AF" w:rsidRPr="00F512AF">
        <w:rPr>
          <w:noProof/>
        </w:rPr>
        <w:t>(</w:t>
      </w:r>
      <w:r w:rsidR="00F512AF">
        <w:rPr>
          <w:rStyle w:val="FootnoteReference"/>
          <w:noProof/>
        </w:rPr>
        <w:footnoteReference w:id="30"/>
      </w:r>
      <w:r w:rsidR="00F512AF">
        <w:rPr>
          <w:noProof/>
        </w:rPr>
        <w:t>)</w:t>
      </w:r>
      <w:r w:rsidRPr="0085406D">
        <w:rPr>
          <w:noProof/>
        </w:rPr>
        <w:t xml:space="preserve"> and based on limited data availability</w:t>
      </w:r>
      <w:r w:rsidRPr="00797CE1">
        <w:rPr>
          <w:noProof/>
        </w:rPr>
        <w:t xml:space="preserve">, the value of the European cryptocurrency market had already reached EUR 4.3 </w:t>
      </w:r>
      <w:r w:rsidR="00BC372C" w:rsidRPr="00797CE1">
        <w:rPr>
          <w:noProof/>
        </w:rPr>
        <w:t>billion</w:t>
      </w:r>
      <w:r w:rsidRPr="00797CE1">
        <w:rPr>
          <w:noProof/>
        </w:rPr>
        <w:t xml:space="preserve"> in 2019 and it is expected to grow to EUR 12.9 </w:t>
      </w:r>
      <w:r w:rsidR="00BC372C" w:rsidRPr="00797CE1">
        <w:rPr>
          <w:noProof/>
        </w:rPr>
        <w:t>billion</w:t>
      </w:r>
      <w:r w:rsidRPr="00797CE1">
        <w:rPr>
          <w:noProof/>
        </w:rPr>
        <w:t xml:space="preserve"> by 2026.</w:t>
      </w:r>
    </w:p>
    <w:p w14:paraId="4D55321B" w14:textId="77777777" w:rsidR="0085406D" w:rsidRPr="0085406D" w:rsidRDefault="0085406D" w:rsidP="0085406D">
      <w:pPr>
        <w:rPr>
          <w:bCs/>
          <w:noProof/>
          <w:szCs w:val="24"/>
        </w:rPr>
      </w:pPr>
      <w:r w:rsidRPr="0085406D">
        <w:rPr>
          <w:noProof/>
        </w:rPr>
        <w:t>The yield would fundamentally depend on the evolution in the price of crypto assets. It would also depend on what tax and call rates are ultimately applied. Although there are concerns about under-reporting of income from crypto-assets (which DAC8 will contribute to alleviate), it should be noted that the crypto-asset market is characterised by high levels of price volatility, which introduces uncertainty as to the stability of revenue generation over time.</w:t>
      </w:r>
    </w:p>
    <w:p w14:paraId="58701976" w14:textId="77777777" w:rsidR="0085406D" w:rsidRPr="0085406D" w:rsidRDefault="0085406D" w:rsidP="0085406D">
      <w:pPr>
        <w:pStyle w:val="Numbering"/>
        <w:keepNext/>
        <w:numPr>
          <w:ilvl w:val="0"/>
          <w:numId w:val="35"/>
        </w:numPr>
        <w:jc w:val="left"/>
        <w:rPr>
          <w:b/>
          <w:bCs/>
          <w:color w:val="023E8A"/>
        </w:rPr>
      </w:pPr>
      <w:r w:rsidRPr="0085406D">
        <w:rPr>
          <w:b/>
          <w:bCs/>
          <w:color w:val="023E8A"/>
        </w:rPr>
        <w:t xml:space="preserve">Simplicity of collection </w:t>
      </w:r>
      <w:r w:rsidRPr="0085406D">
        <w:rPr>
          <w:rFonts w:eastAsia="Calibri"/>
          <w:b/>
          <w:color w:val="023E8A"/>
        </w:rPr>
        <w:t>and</w:t>
      </w:r>
      <w:r w:rsidRPr="0085406D">
        <w:rPr>
          <w:b/>
          <w:bCs/>
          <w:color w:val="023E8A"/>
        </w:rPr>
        <w:t xml:space="preserve"> implementation </w:t>
      </w:r>
    </w:p>
    <w:p w14:paraId="5F8DB409" w14:textId="61B4BA82" w:rsidR="0085406D" w:rsidRPr="0085406D" w:rsidRDefault="0085406D" w:rsidP="0085406D">
      <w:pPr>
        <w:rPr>
          <w:noProof/>
        </w:rPr>
      </w:pPr>
      <w:r w:rsidRPr="0085406D">
        <w:rPr>
          <w:noProof/>
        </w:rPr>
        <w:t>There are currently significant variations across the EU in the classification of crypto assets, what counts as a taxable event, tax rates and thresholds, how to value individual assets and gains on disposal, and the treatment of losses. What Member States already have in place varies greatly</w:t>
      </w:r>
      <w:r w:rsidR="004F22DF" w:rsidRPr="004F22DF">
        <w:rPr>
          <w:rFonts w:cs="Calibri"/>
          <w:noProof/>
        </w:rPr>
        <w:t> </w:t>
      </w:r>
      <w:r w:rsidR="004F22DF" w:rsidRPr="004F22DF">
        <w:rPr>
          <w:noProof/>
        </w:rPr>
        <w:t>(</w:t>
      </w:r>
      <w:r w:rsidR="004F22DF">
        <w:rPr>
          <w:rStyle w:val="FootnoteReference"/>
          <w:noProof/>
        </w:rPr>
        <w:footnoteReference w:id="31"/>
      </w:r>
      <w:r w:rsidR="004F22DF">
        <w:rPr>
          <w:noProof/>
        </w:rPr>
        <w:t>)</w:t>
      </w:r>
      <w:r w:rsidRPr="0085406D">
        <w:rPr>
          <w:noProof/>
        </w:rPr>
        <w:t xml:space="preserve">; and is interlinked with the national tax treatment of capital gains on other asset classes. Such issues would, therefore, have to be explored in greater detail and best practices shared to inform appropriate decisions. </w:t>
      </w:r>
    </w:p>
    <w:p w14:paraId="5A4093E3" w14:textId="7DDA32C0" w:rsidR="0085406D" w:rsidRPr="0085406D" w:rsidRDefault="0085406D" w:rsidP="0085406D">
      <w:pPr>
        <w:rPr>
          <w:bCs/>
          <w:noProof/>
        </w:rPr>
      </w:pPr>
      <w:r w:rsidRPr="0085406D">
        <w:rPr>
          <w:noProof/>
        </w:rPr>
        <w:t xml:space="preserve">Irrespective of the DAC8 proposal, a possible change in the taxation of crypto assets into a mechanism for the taxation of gains </w:t>
      </w:r>
      <w:r w:rsidR="00907A7D" w:rsidRPr="0084019C">
        <w:rPr>
          <w:noProof/>
        </w:rPr>
        <w:t>harmonised</w:t>
      </w:r>
      <w:r w:rsidR="00907A7D" w:rsidRPr="0085406D">
        <w:rPr>
          <w:noProof/>
        </w:rPr>
        <w:t xml:space="preserve"> </w:t>
      </w:r>
      <w:r w:rsidRPr="0085406D">
        <w:rPr>
          <w:noProof/>
        </w:rPr>
        <w:t xml:space="preserve">at the </w:t>
      </w:r>
      <w:r w:rsidRPr="00911B19">
        <w:rPr>
          <w:noProof/>
        </w:rPr>
        <w:t>EU</w:t>
      </w:r>
      <w:r w:rsidRPr="0085406D">
        <w:rPr>
          <w:noProof/>
        </w:rPr>
        <w:t xml:space="preserve"> level would entail significant resources to set up, in operating systems and collection mechanisms, all issues that would require careful consideration.</w:t>
      </w:r>
      <w:r w:rsidRPr="0085406D">
        <w:rPr>
          <w:bCs/>
          <w:noProof/>
        </w:rPr>
        <w:t xml:space="preserve"> </w:t>
      </w:r>
    </w:p>
    <w:p w14:paraId="7A764467" w14:textId="63AB7F72" w:rsidR="0085406D" w:rsidRPr="0085406D" w:rsidRDefault="0085406D" w:rsidP="0085406D">
      <w:pPr>
        <w:rPr>
          <w:bCs/>
          <w:noProof/>
        </w:rPr>
      </w:pPr>
      <w:r w:rsidRPr="0085406D">
        <w:rPr>
          <w:bCs/>
          <w:noProof/>
        </w:rPr>
        <w:t xml:space="preserve">An EU own resource call rate could then be applied </w:t>
      </w:r>
      <w:r w:rsidR="00ABEF48">
        <w:rPr>
          <w:noProof/>
        </w:rPr>
        <w:t xml:space="preserve">e.g. </w:t>
      </w:r>
      <w:r w:rsidRPr="0085406D">
        <w:rPr>
          <w:bCs/>
          <w:noProof/>
        </w:rPr>
        <w:t xml:space="preserve">to the </w:t>
      </w:r>
      <w:r w:rsidR="36C8F378">
        <w:rPr>
          <w:noProof/>
        </w:rPr>
        <w:t>capital gains tax base</w:t>
      </w:r>
      <w:r>
        <w:rPr>
          <w:bCs/>
          <w:noProof/>
        </w:rPr>
        <w:t xml:space="preserve">, </w:t>
      </w:r>
      <w:r>
        <w:rPr>
          <w:noProof/>
        </w:rPr>
        <w:t xml:space="preserve">provided </w:t>
      </w:r>
      <w:r w:rsidR="44BBDA2F">
        <w:rPr>
          <w:noProof/>
        </w:rPr>
        <w:t xml:space="preserve">Member States </w:t>
      </w:r>
      <w:r>
        <w:rPr>
          <w:noProof/>
        </w:rPr>
        <w:t xml:space="preserve">apply a harmonised tax </w:t>
      </w:r>
      <w:r w:rsidR="00226F74">
        <w:rPr>
          <w:noProof/>
        </w:rPr>
        <w:t xml:space="preserve">base </w:t>
      </w:r>
      <w:r>
        <w:rPr>
          <w:noProof/>
        </w:rPr>
        <w:t>across the EU</w:t>
      </w:r>
      <w:r w:rsidRPr="007155C4">
        <w:rPr>
          <w:bCs/>
          <w:noProof/>
        </w:rPr>
        <w:t>.</w:t>
      </w:r>
    </w:p>
    <w:p w14:paraId="262B1490" w14:textId="77777777" w:rsidR="0085406D" w:rsidRPr="0085406D" w:rsidRDefault="0085406D" w:rsidP="0085406D">
      <w:pPr>
        <w:pStyle w:val="Numbering"/>
        <w:keepNext/>
        <w:numPr>
          <w:ilvl w:val="0"/>
          <w:numId w:val="35"/>
        </w:numPr>
        <w:jc w:val="left"/>
        <w:rPr>
          <w:b/>
          <w:color w:val="023E8A"/>
        </w:rPr>
      </w:pPr>
      <w:r w:rsidRPr="0085406D">
        <w:rPr>
          <w:b/>
          <w:color w:val="023E8A"/>
        </w:rPr>
        <w:t xml:space="preserve">Fast </w:t>
      </w:r>
      <w:r w:rsidRPr="0085406D">
        <w:rPr>
          <w:rFonts w:eastAsia="Calibri"/>
          <w:b/>
          <w:color w:val="023E8A"/>
        </w:rPr>
        <w:t>mobilisation</w:t>
      </w:r>
      <w:r w:rsidRPr="0085406D">
        <w:rPr>
          <w:b/>
          <w:color w:val="023E8A"/>
        </w:rPr>
        <w:t xml:space="preserve"> of new sources of revenue to the EU budget </w:t>
      </w:r>
    </w:p>
    <w:p w14:paraId="1DAE3B62" w14:textId="2D343BBC" w:rsidR="0085406D" w:rsidRPr="0085406D" w:rsidRDefault="0085406D" w:rsidP="0085406D">
      <w:pPr>
        <w:keepNext/>
        <w:rPr>
          <w:noProof/>
          <w:szCs w:val="24"/>
        </w:rPr>
      </w:pPr>
      <w:r w:rsidRPr="0085406D">
        <w:rPr>
          <w:noProof/>
          <w:szCs w:val="24"/>
        </w:rPr>
        <w:t>Given the policy design and administrative challenges, the innovative and evolving nature of the crypto market and tradable assets, as well as the precedent that the application of any measure at EU level would set, further work is required to map and explore solutions to a plethora of challenging questions.</w:t>
      </w:r>
    </w:p>
    <w:p w14:paraId="3C3A0A57" w14:textId="47904373" w:rsidR="0035538B" w:rsidRPr="009F2E4E" w:rsidRDefault="00AD3956" w:rsidP="00EA179D">
      <w:pPr>
        <w:pStyle w:val="Heading3"/>
        <w:rPr>
          <w:noProof/>
        </w:rPr>
      </w:pPr>
      <w:bookmarkStart w:id="184" w:name="_Toc133405554"/>
      <w:bookmarkStart w:id="185" w:name="_Toc133426657"/>
      <w:bookmarkStart w:id="186" w:name="_Toc134446549"/>
      <w:bookmarkStart w:id="187" w:name="_Toc135860246"/>
      <w:bookmarkStart w:id="188" w:name="_Toc136599815"/>
      <w:bookmarkStart w:id="189" w:name="_Toc136600393"/>
      <w:bookmarkStart w:id="190" w:name="_Toc137493998"/>
      <w:bookmarkEnd w:id="171"/>
      <w:bookmarkEnd w:id="172"/>
      <w:bookmarkEnd w:id="173"/>
      <w:r w:rsidRPr="009F2E4E">
        <w:rPr>
          <w:noProof/>
        </w:rPr>
        <w:t>2.</w:t>
      </w:r>
      <w:r w:rsidR="00D87BA8" w:rsidRPr="009F2E4E">
        <w:rPr>
          <w:noProof/>
        </w:rPr>
        <w:t>3</w:t>
      </w:r>
      <w:r w:rsidRPr="009F2E4E">
        <w:rPr>
          <w:noProof/>
        </w:rPr>
        <w:t>.</w:t>
      </w:r>
      <w:r w:rsidR="001875D4">
        <w:rPr>
          <w:noProof/>
        </w:rPr>
        <w:t>6</w:t>
      </w:r>
      <w:bookmarkStart w:id="191" w:name="_Toc133405555"/>
      <w:bookmarkStart w:id="192" w:name="_Toc133426658"/>
      <w:bookmarkStart w:id="193" w:name="_Toc134446550"/>
      <w:bookmarkEnd w:id="184"/>
      <w:bookmarkEnd w:id="185"/>
      <w:bookmarkEnd w:id="186"/>
      <w:r w:rsidR="001875D4">
        <w:rPr>
          <w:noProof/>
        </w:rPr>
        <w:t>.</w:t>
      </w:r>
      <w:r w:rsidRPr="009F2E4E">
        <w:rPr>
          <w:noProof/>
        </w:rPr>
        <w:t xml:space="preserve"> </w:t>
      </w:r>
      <w:r w:rsidR="00197646" w:rsidRPr="009F2E4E">
        <w:rPr>
          <w:noProof/>
          <w:lang w:eastAsia="en-US"/>
        </w:rPr>
        <w:t xml:space="preserve">Statistical </w:t>
      </w:r>
      <w:r w:rsidR="00197646" w:rsidRPr="009F2E4E">
        <w:rPr>
          <w:noProof/>
        </w:rPr>
        <w:t xml:space="preserve">own resource </w:t>
      </w:r>
      <w:r w:rsidR="00197646" w:rsidRPr="009F2E4E">
        <w:rPr>
          <w:noProof/>
          <w:lang w:eastAsia="en-US"/>
        </w:rPr>
        <w:t xml:space="preserve">based on </w:t>
      </w:r>
      <w:r w:rsidR="00197646" w:rsidRPr="009F2E4E">
        <w:rPr>
          <w:noProof/>
        </w:rPr>
        <w:t>g</w:t>
      </w:r>
      <w:r w:rsidRPr="009F2E4E">
        <w:rPr>
          <w:noProof/>
        </w:rPr>
        <w:t xml:space="preserve">ender </w:t>
      </w:r>
      <w:r w:rsidR="007023C1" w:rsidRPr="009F2E4E">
        <w:rPr>
          <w:noProof/>
        </w:rPr>
        <w:t xml:space="preserve">pay </w:t>
      </w:r>
      <w:r w:rsidRPr="009F2E4E">
        <w:rPr>
          <w:noProof/>
        </w:rPr>
        <w:t>gap</w:t>
      </w:r>
      <w:bookmarkEnd w:id="187"/>
      <w:bookmarkEnd w:id="188"/>
      <w:bookmarkEnd w:id="189"/>
      <w:bookmarkEnd w:id="191"/>
      <w:bookmarkEnd w:id="192"/>
      <w:bookmarkEnd w:id="193"/>
      <w:bookmarkEnd w:id="190"/>
      <w:r w:rsidR="00CD20E3" w:rsidRPr="009F2E4E">
        <w:rPr>
          <w:noProof/>
        </w:rPr>
        <w:t xml:space="preserve"> </w:t>
      </w:r>
      <w:bookmarkEnd w:id="174"/>
    </w:p>
    <w:p w14:paraId="19AB7F01" w14:textId="77777777" w:rsidR="006A75F7" w:rsidRPr="009F2E4E" w:rsidRDefault="006A75F7" w:rsidP="00EA179D">
      <w:pPr>
        <w:pStyle w:val="Titlelevel4"/>
        <w:keepNext/>
        <w:rPr>
          <w:noProof/>
        </w:rPr>
      </w:pPr>
      <w:r w:rsidRPr="009F2E4E">
        <w:rPr>
          <w:noProof/>
        </w:rPr>
        <w:t>Description: Rationale and design</w:t>
      </w:r>
    </w:p>
    <w:p w14:paraId="75B29E58" w14:textId="3436DAAD" w:rsidR="00C009B1" w:rsidRPr="009F2E4E" w:rsidRDefault="006A75F7" w:rsidP="00EA179D">
      <w:pPr>
        <w:keepNext/>
        <w:rPr>
          <w:noProof/>
          <w:lang w:eastAsia="en-GB"/>
        </w:rPr>
      </w:pPr>
      <w:r w:rsidRPr="009F2E4E">
        <w:rPr>
          <w:noProof/>
        </w:rPr>
        <w:t>The strict prohibition of any discrimination on grounds of sex and the right to equal treatment between men and women in all areas, including employment, work and pay is directly enshrined in article 157 of the Treaty on the Functioning of the European Union, according to which “</w:t>
      </w:r>
      <w:r w:rsidRPr="009F2E4E">
        <w:rPr>
          <w:i/>
          <w:iCs/>
          <w:noProof/>
        </w:rPr>
        <w:t>Member States shall ensure that the principle of equal pay for male and female workers for equal work or work of equal value</w:t>
      </w:r>
      <w:r w:rsidRPr="009F2E4E">
        <w:rPr>
          <w:noProof/>
        </w:rPr>
        <w:t xml:space="preserve">” and in Directive 2006/54/EC. </w:t>
      </w:r>
    </w:p>
    <w:p w14:paraId="5D6BEAC8" w14:textId="5C35F2DB" w:rsidR="006A75F7" w:rsidRPr="009F2E4E" w:rsidRDefault="006A75F7" w:rsidP="00500E0C">
      <w:pPr>
        <w:rPr>
          <w:noProof/>
        </w:rPr>
      </w:pPr>
      <w:r w:rsidRPr="009F2E4E">
        <w:rPr>
          <w:noProof/>
        </w:rPr>
        <w:t>Although these provisions have direct effect and can be enforced by national courts</w:t>
      </w:r>
      <w:r w:rsidRPr="009F2E4E">
        <w:rPr>
          <w:bCs/>
          <w:noProof/>
        </w:rPr>
        <w:t>,</w:t>
      </w:r>
      <w:r w:rsidRPr="009F2E4E">
        <w:rPr>
          <w:b/>
          <w:noProof/>
        </w:rPr>
        <w:t xml:space="preserve"> </w:t>
      </w:r>
      <w:r w:rsidRPr="009F2E4E">
        <w:rPr>
          <w:noProof/>
        </w:rPr>
        <w:t xml:space="preserve">currently, </w:t>
      </w:r>
      <w:r w:rsidRPr="00797CE1">
        <w:rPr>
          <w:noProof/>
        </w:rPr>
        <w:t xml:space="preserve">the gender pay gap in the EU stands at </w:t>
      </w:r>
      <w:r w:rsidR="0069780F" w:rsidRPr="00797CE1">
        <w:rPr>
          <w:noProof/>
        </w:rPr>
        <w:t>12.7 % in 2021</w:t>
      </w:r>
      <w:r w:rsidRPr="00797CE1" w:rsidDel="0069780F">
        <w:rPr>
          <w:noProof/>
        </w:rPr>
        <w:t xml:space="preserve"> </w:t>
      </w:r>
      <w:r w:rsidRPr="00797CE1">
        <w:rPr>
          <w:noProof/>
        </w:rPr>
        <w:t xml:space="preserve">and has only changed minimally over the last decade. It means that women earn </w:t>
      </w:r>
      <w:r w:rsidR="0069780F" w:rsidRPr="00797CE1">
        <w:rPr>
          <w:noProof/>
        </w:rPr>
        <w:t xml:space="preserve">12.7 % </w:t>
      </w:r>
      <w:r w:rsidRPr="00797CE1">
        <w:rPr>
          <w:noProof/>
        </w:rPr>
        <w:t>on average less per hour than men</w:t>
      </w:r>
      <w:r w:rsidR="008B127E" w:rsidRPr="0093456F">
        <w:rPr>
          <w:rFonts w:cs="Calibri"/>
          <w:noProof/>
        </w:rPr>
        <w:t> </w:t>
      </w:r>
      <w:r w:rsidR="008B127E" w:rsidRPr="008B127E">
        <w:rPr>
          <w:noProof/>
        </w:rPr>
        <w:t>(</w:t>
      </w:r>
      <w:r w:rsidR="008B127E">
        <w:rPr>
          <w:rStyle w:val="FootnoteReference"/>
          <w:noProof/>
        </w:rPr>
        <w:footnoteReference w:id="32"/>
      </w:r>
      <w:r w:rsidR="008B127E">
        <w:rPr>
          <w:noProof/>
        </w:rPr>
        <w:t>)</w:t>
      </w:r>
      <w:r w:rsidRPr="00797CE1">
        <w:rPr>
          <w:noProof/>
        </w:rPr>
        <w:t>.</w:t>
      </w:r>
      <w:r w:rsidRPr="009F2E4E">
        <w:rPr>
          <w:noProof/>
        </w:rPr>
        <w:t xml:space="preserve"> </w:t>
      </w:r>
    </w:p>
    <w:p w14:paraId="101AF564" w14:textId="7877D45F" w:rsidR="006A75F7" w:rsidRPr="009F2E4E" w:rsidRDefault="006A75F7" w:rsidP="00500E0C">
      <w:pPr>
        <w:rPr>
          <w:noProof/>
        </w:rPr>
      </w:pPr>
      <w:r w:rsidRPr="009F2E4E">
        <w:rPr>
          <w:noProof/>
        </w:rPr>
        <w:t>In principle, an own resource based on the difference between the hourly earnings of women and men could incentiv</w:t>
      </w:r>
      <w:r w:rsidR="002B297C" w:rsidRPr="009F2E4E">
        <w:rPr>
          <w:noProof/>
        </w:rPr>
        <w:t>is</w:t>
      </w:r>
      <w:r w:rsidRPr="009F2E4E">
        <w:rPr>
          <w:noProof/>
        </w:rPr>
        <w:t xml:space="preserve">e Member </w:t>
      </w:r>
      <w:r w:rsidR="002A2AB6">
        <w:rPr>
          <w:noProof/>
        </w:rPr>
        <w:t>S</w:t>
      </w:r>
      <w:r w:rsidRPr="009F2E4E">
        <w:rPr>
          <w:noProof/>
        </w:rPr>
        <w:t xml:space="preserve">tates to take more action. </w:t>
      </w:r>
    </w:p>
    <w:p w14:paraId="7544C508" w14:textId="77777777" w:rsidR="006A75F7" w:rsidRPr="009F2E4E" w:rsidRDefault="006A75F7" w:rsidP="006374EA">
      <w:pPr>
        <w:pStyle w:val="Titlelevel4"/>
        <w:keepNext/>
        <w:rPr>
          <w:noProof/>
        </w:rPr>
      </w:pPr>
      <w:r w:rsidRPr="009F2E4E">
        <w:rPr>
          <w:noProof/>
        </w:rPr>
        <w:t>Assessment</w:t>
      </w:r>
    </w:p>
    <w:p w14:paraId="6A47BD96" w14:textId="0B266DFB" w:rsidR="006A75F7" w:rsidRPr="009F2E4E" w:rsidRDefault="006A75F7" w:rsidP="0085406D">
      <w:pPr>
        <w:pStyle w:val="Numbering"/>
        <w:keepNext/>
        <w:numPr>
          <w:ilvl w:val="0"/>
          <w:numId w:val="31"/>
        </w:numPr>
        <w:rPr>
          <w:rStyle w:val="Strong"/>
          <w:lang w:val="en-GB"/>
        </w:rPr>
      </w:pPr>
      <w:r w:rsidRPr="009F2E4E">
        <w:rPr>
          <w:rStyle w:val="Strong"/>
          <w:lang w:val="en-GB"/>
        </w:rPr>
        <w:t>Revenue potential</w:t>
      </w:r>
    </w:p>
    <w:p w14:paraId="5D412318" w14:textId="0DDA5BD8" w:rsidR="00687D41" w:rsidRPr="009F2E4E" w:rsidRDefault="00687D41" w:rsidP="006374EA">
      <w:pPr>
        <w:keepNext/>
        <w:rPr>
          <w:noProof/>
        </w:rPr>
      </w:pPr>
      <w:r w:rsidRPr="009F2E4E">
        <w:rPr>
          <w:noProof/>
        </w:rPr>
        <w:t>The relevant data are submitted to the Commission every year. The gender pay gap indicator is the relative difference between the average earnings of women and men:</w:t>
      </w:r>
    </w:p>
    <w:p w14:paraId="26EC365F" w14:textId="77777777" w:rsidR="00687D41" w:rsidRPr="009F2E4E" w:rsidRDefault="00451640" w:rsidP="00500E0C">
      <w:pPr>
        <w:rPr>
          <w:rFonts w:asciiTheme="minorHAnsi" w:hAnsiTheme="minorHAnsi" w:cstheme="minorBidi"/>
          <w:noProof/>
          <w:sz w:val="22"/>
          <w:szCs w:val="22"/>
        </w:rPr>
      </w:pPr>
      <m:oMathPara>
        <m:oMath>
          <m:f>
            <m:fPr>
              <m:ctrlPr>
                <w:rPr>
                  <w:rFonts w:ascii="Cambria Math" w:eastAsiaTheme="majorEastAsia" w:hAnsi="Cambria Math" w:cstheme="majorBidi"/>
                  <w:i/>
                  <w:noProof/>
                  <w:sz w:val="22"/>
                  <w:szCs w:val="22"/>
                  <w:lang w:eastAsia="en-US"/>
                </w:rPr>
              </m:ctrlPr>
            </m:fPr>
            <m:num>
              <m:r>
                <m:rPr>
                  <m:sty m:val="p"/>
                </m:rPr>
                <w:rPr>
                  <w:rFonts w:ascii="Cambria Math" w:hAnsi="Cambria Math"/>
                  <w:noProof/>
                </w:rPr>
                <m:t>Mean (gross) hourly earnings of men</m:t>
              </m:r>
              <m:r>
                <w:rPr>
                  <w:rFonts w:ascii="Cambria Math" w:eastAsiaTheme="majorEastAsia" w:hAnsi="Cambria Math" w:cstheme="majorBidi"/>
                  <w:noProof/>
                </w:rPr>
                <m:t>-</m:t>
              </m:r>
              <m:r>
                <m:rPr>
                  <m:sty m:val="p"/>
                </m:rPr>
                <w:rPr>
                  <w:rFonts w:ascii="Cambria Math" w:hAnsi="Cambria Math"/>
                  <w:noProof/>
                </w:rPr>
                <m:t xml:space="preserve">Mean (gross) hourly earnings of women </m:t>
              </m:r>
            </m:num>
            <m:den>
              <m:r>
                <m:rPr>
                  <m:sty m:val="p"/>
                </m:rPr>
                <w:rPr>
                  <w:rFonts w:ascii="Cambria Math" w:hAnsi="Cambria Math"/>
                  <w:noProof/>
                </w:rPr>
                <m:t>Mean (gross) hourly earnings of men</m:t>
              </m:r>
            </m:den>
          </m:f>
        </m:oMath>
      </m:oMathPara>
    </w:p>
    <w:p w14:paraId="4EEEAE81" w14:textId="77777777" w:rsidR="00687D41" w:rsidRPr="009F2E4E" w:rsidRDefault="00687D41" w:rsidP="00500E0C">
      <w:pPr>
        <w:rPr>
          <w:noProof/>
        </w:rPr>
      </w:pPr>
      <w:r w:rsidRPr="009F2E4E">
        <w:rPr>
          <w:noProof/>
        </w:rPr>
        <w:t>This indicator takes account of the fact that the two groups do not work the same number of hours on average. However, it does not take into account other characteristics of male and female employees, i.e. the difference in terms o</w:t>
      </w:r>
      <w:r w:rsidR="00177907" w:rsidRPr="009F2E4E">
        <w:rPr>
          <w:noProof/>
        </w:rPr>
        <w:t>f</w:t>
      </w:r>
      <w:r w:rsidRPr="009F2E4E">
        <w:rPr>
          <w:noProof/>
        </w:rPr>
        <w:t xml:space="preserve"> qualifications</w:t>
      </w:r>
      <w:r w:rsidR="00177907" w:rsidRPr="009F2E4E">
        <w:rPr>
          <w:noProof/>
        </w:rPr>
        <w:t>, which is higher for women in most of the Member States,</w:t>
      </w:r>
      <w:r w:rsidRPr="009F2E4E">
        <w:rPr>
          <w:noProof/>
        </w:rPr>
        <w:t xml:space="preserve"> and occupation as well as the concentration of one sex in certain economic activity and sectors. </w:t>
      </w:r>
    </w:p>
    <w:p w14:paraId="35A97C75" w14:textId="65DCF739" w:rsidR="006A75F7" w:rsidRPr="009F2E4E" w:rsidRDefault="00FE09BC" w:rsidP="00500E0C">
      <w:pPr>
        <w:rPr>
          <w:noProof/>
        </w:rPr>
      </w:pPr>
      <w:r>
        <w:rPr>
          <w:noProof/>
        </w:rPr>
        <w:t xml:space="preserve">Although the exact design of a related own resource would need to be developed, it seems that </w:t>
      </w:r>
      <w:r w:rsidR="00954927">
        <w:rPr>
          <w:noProof/>
        </w:rPr>
        <w:t>an</w:t>
      </w:r>
      <w:r w:rsidR="00687D41" w:rsidRPr="00682B69">
        <w:rPr>
          <w:noProof/>
        </w:rPr>
        <w:t xml:space="preserve"> </w:t>
      </w:r>
      <w:r w:rsidR="00177907" w:rsidRPr="00682B69">
        <w:rPr>
          <w:noProof/>
        </w:rPr>
        <w:t xml:space="preserve">own resource </w:t>
      </w:r>
      <w:r w:rsidR="0016773A">
        <w:rPr>
          <w:noProof/>
        </w:rPr>
        <w:t>w</w:t>
      </w:r>
      <w:r w:rsidR="00687D41" w:rsidRPr="00682B69">
        <w:rPr>
          <w:noProof/>
        </w:rPr>
        <w:t>ould</w:t>
      </w:r>
      <w:r w:rsidR="00687D41" w:rsidRPr="009F2E4E">
        <w:rPr>
          <w:noProof/>
        </w:rPr>
        <w:t xml:space="preserve"> generate </w:t>
      </w:r>
      <w:r w:rsidR="0D5E584C">
        <w:rPr>
          <w:noProof/>
        </w:rPr>
        <w:t>a</w:t>
      </w:r>
      <w:r w:rsidR="00954927">
        <w:rPr>
          <w:noProof/>
        </w:rPr>
        <w:t xml:space="preserve"> relatively limited amount of revenue</w:t>
      </w:r>
      <w:r w:rsidR="006A75F7" w:rsidRPr="009F2E4E">
        <w:rPr>
          <w:noProof/>
        </w:rPr>
        <w:t>.</w:t>
      </w:r>
    </w:p>
    <w:p w14:paraId="42185611" w14:textId="08A52AEE" w:rsidR="006A75F7" w:rsidRPr="009F2E4E" w:rsidRDefault="006A75F7" w:rsidP="0085406D">
      <w:pPr>
        <w:pStyle w:val="Numbering"/>
        <w:numPr>
          <w:ilvl w:val="0"/>
          <w:numId w:val="31"/>
        </w:numPr>
        <w:rPr>
          <w:rStyle w:val="Strong"/>
          <w:lang w:val="en-GB"/>
        </w:rPr>
      </w:pPr>
      <w:r w:rsidRPr="009F2E4E">
        <w:rPr>
          <w:rStyle w:val="Strong"/>
          <w:lang w:val="en-GB"/>
        </w:rPr>
        <w:t xml:space="preserve">Simplicity of collection and implementation </w:t>
      </w:r>
    </w:p>
    <w:p w14:paraId="3AAAA18B" w14:textId="6ACC5F29" w:rsidR="006A75F7" w:rsidRPr="009F2E4E" w:rsidRDefault="00687D41" w:rsidP="00500E0C">
      <w:pPr>
        <w:rPr>
          <w:noProof/>
        </w:rPr>
      </w:pPr>
      <w:r w:rsidRPr="009F2E4E">
        <w:rPr>
          <w:noProof/>
        </w:rPr>
        <w:t>A</w:t>
      </w:r>
      <w:r w:rsidR="006A75F7" w:rsidRPr="009F2E4E">
        <w:rPr>
          <w:noProof/>
        </w:rPr>
        <w:t>lthough the quality of statistic</w:t>
      </w:r>
      <w:r w:rsidR="007023C1" w:rsidRPr="009F2E4E">
        <w:rPr>
          <w:noProof/>
        </w:rPr>
        <w:t>s</w:t>
      </w:r>
      <w:r w:rsidR="006A75F7" w:rsidRPr="009F2E4E">
        <w:rPr>
          <w:noProof/>
        </w:rPr>
        <w:t xml:space="preserve"> is considered as satisfactory, the gender pay gap </w:t>
      </w:r>
      <w:r w:rsidR="008E1C76">
        <w:rPr>
          <w:noProof/>
        </w:rPr>
        <w:t xml:space="preserve">statistics </w:t>
      </w:r>
      <w:r w:rsidR="006A75F7" w:rsidRPr="009F2E4E">
        <w:rPr>
          <w:noProof/>
        </w:rPr>
        <w:t xml:space="preserve">published on a yearly basis by the Commission </w:t>
      </w:r>
      <w:r w:rsidRPr="009F2E4E">
        <w:rPr>
          <w:noProof/>
        </w:rPr>
        <w:t xml:space="preserve">do </w:t>
      </w:r>
      <w:r w:rsidR="008E1C76">
        <w:rPr>
          <w:noProof/>
        </w:rPr>
        <w:t xml:space="preserve">not </w:t>
      </w:r>
      <w:r w:rsidR="0069780F" w:rsidRPr="009F2E4E">
        <w:rPr>
          <w:noProof/>
        </w:rPr>
        <w:t>measure</w:t>
      </w:r>
      <w:r w:rsidR="006A75F7" w:rsidRPr="009F2E4E">
        <w:rPr>
          <w:noProof/>
        </w:rPr>
        <w:t xml:space="preserve"> discrimination</w:t>
      </w:r>
      <w:r w:rsidR="0069780F" w:rsidRPr="009F2E4E">
        <w:rPr>
          <w:noProof/>
        </w:rPr>
        <w:t xml:space="preserve"> as such</w:t>
      </w:r>
      <w:r w:rsidR="006A75F7" w:rsidRPr="009F2E4E">
        <w:rPr>
          <w:noProof/>
        </w:rPr>
        <w:t xml:space="preserve">. </w:t>
      </w:r>
      <w:r w:rsidR="001E4D8C">
        <w:rPr>
          <w:noProof/>
        </w:rPr>
        <w:t xml:space="preserve">Indeed, </w:t>
      </w:r>
      <w:r w:rsidR="000F00BC">
        <w:rPr>
          <w:noProof/>
        </w:rPr>
        <w:t xml:space="preserve">differences in pay between males and females can be explained </w:t>
      </w:r>
      <w:r w:rsidR="000F00BC" w:rsidRPr="00F46EFE">
        <w:rPr>
          <w:noProof/>
        </w:rPr>
        <w:t>by</w:t>
      </w:r>
      <w:r w:rsidR="00F46EFE">
        <w:rPr>
          <w:noProof/>
        </w:rPr>
        <w:t xml:space="preserve"> </w:t>
      </w:r>
      <w:r w:rsidR="0069780F" w:rsidRPr="009F2E4E">
        <w:rPr>
          <w:noProof/>
        </w:rPr>
        <w:t xml:space="preserve">other dimensions such as </w:t>
      </w:r>
      <w:r w:rsidR="00F46EFE">
        <w:rPr>
          <w:noProof/>
        </w:rPr>
        <w:t xml:space="preserve">the </w:t>
      </w:r>
      <w:r w:rsidR="0069780F" w:rsidRPr="009F2E4E">
        <w:rPr>
          <w:noProof/>
        </w:rPr>
        <w:t xml:space="preserve">differences in the overall structure of male versus female employment. </w:t>
      </w:r>
      <w:r w:rsidRPr="009F2E4E">
        <w:rPr>
          <w:noProof/>
        </w:rPr>
        <w:t>Statistical work is ongoing</w:t>
      </w:r>
      <w:r w:rsidR="00ED3886" w:rsidRPr="009F2E4E">
        <w:rPr>
          <w:noProof/>
        </w:rPr>
        <w:t xml:space="preserve"> to adjust the </w:t>
      </w:r>
      <w:r w:rsidR="009617F2" w:rsidRPr="009F2E4E">
        <w:rPr>
          <w:noProof/>
        </w:rPr>
        <w:t>pay gap</w:t>
      </w:r>
      <w:r w:rsidR="00ED3886" w:rsidRPr="009F2E4E">
        <w:rPr>
          <w:noProof/>
        </w:rPr>
        <w:t xml:space="preserve"> and compare the returns paid to women versus those paid to men with the same average characteristics</w:t>
      </w:r>
      <w:r w:rsidR="006245F8">
        <w:rPr>
          <w:noProof/>
        </w:rPr>
        <w:t>(</w:t>
      </w:r>
      <w:r w:rsidR="00ED3886" w:rsidRPr="009F2E4E">
        <w:rPr>
          <w:rStyle w:val="FootnoteReference"/>
          <w:noProof/>
        </w:rPr>
        <w:footnoteReference w:id="33"/>
      </w:r>
      <w:r w:rsidR="006245F8">
        <w:rPr>
          <w:noProof/>
        </w:rPr>
        <w:t>)</w:t>
      </w:r>
      <w:r w:rsidR="00ED3886" w:rsidRPr="009F2E4E">
        <w:rPr>
          <w:noProof/>
        </w:rPr>
        <w:t xml:space="preserve">. </w:t>
      </w:r>
    </w:p>
    <w:p w14:paraId="3F042365" w14:textId="222E2E08" w:rsidR="006A75F7" w:rsidRPr="009F2E4E" w:rsidRDefault="006A75F7" w:rsidP="0085406D">
      <w:pPr>
        <w:pStyle w:val="Numbering"/>
        <w:keepNext/>
        <w:rPr>
          <w:rStyle w:val="Strong"/>
          <w:lang w:val="en-GB"/>
        </w:rPr>
      </w:pPr>
      <w:r w:rsidRPr="009F2E4E">
        <w:rPr>
          <w:rStyle w:val="Strong"/>
          <w:lang w:val="en-GB"/>
        </w:rPr>
        <w:t xml:space="preserve">Fast mobilisation of new sources of revenue to the EU budget </w:t>
      </w:r>
    </w:p>
    <w:p w14:paraId="36471438" w14:textId="406A8F97" w:rsidR="001875D4" w:rsidRDefault="0069780F" w:rsidP="008D4B77">
      <w:pPr>
        <w:keepNext/>
        <w:rPr>
          <w:noProof/>
        </w:rPr>
      </w:pPr>
      <w:r w:rsidRPr="009F2E4E">
        <w:rPr>
          <w:noProof/>
        </w:rPr>
        <w:t xml:space="preserve">Though work </w:t>
      </w:r>
      <w:r w:rsidR="00487CE8">
        <w:rPr>
          <w:noProof/>
        </w:rPr>
        <w:t>to improve</w:t>
      </w:r>
      <w:r w:rsidR="003243F6">
        <w:rPr>
          <w:noProof/>
        </w:rPr>
        <w:t xml:space="preserve"> </w:t>
      </w:r>
      <w:r w:rsidR="00FE09BC">
        <w:rPr>
          <w:noProof/>
        </w:rPr>
        <w:t xml:space="preserve">the related </w:t>
      </w:r>
      <w:r w:rsidR="00B86B38">
        <w:rPr>
          <w:noProof/>
        </w:rPr>
        <w:t>statistics</w:t>
      </w:r>
      <w:r w:rsidRPr="009F2E4E">
        <w:rPr>
          <w:noProof/>
        </w:rPr>
        <w:t xml:space="preserve"> is ongoing, it is not sufficiently developed, nor tested, to propose a gender pay gap own resource </w:t>
      </w:r>
      <w:r w:rsidR="00D54DE6">
        <w:rPr>
          <w:noProof/>
        </w:rPr>
        <w:t>with</w:t>
      </w:r>
      <w:r w:rsidRPr="009F2E4E">
        <w:rPr>
          <w:noProof/>
        </w:rPr>
        <w:t>in a reasonable timeframe.</w:t>
      </w:r>
      <w:r w:rsidR="00697447">
        <w:rPr>
          <w:noProof/>
        </w:rPr>
        <w:t xml:space="preserve"> </w:t>
      </w:r>
    </w:p>
    <w:p w14:paraId="4B0A8045" w14:textId="1CD79B0C" w:rsidR="001875D4" w:rsidRPr="009F2E4E" w:rsidRDefault="001875D4" w:rsidP="006374EA">
      <w:pPr>
        <w:pStyle w:val="Heading3"/>
        <w:rPr>
          <w:noProof/>
        </w:rPr>
      </w:pPr>
      <w:bookmarkStart w:id="196" w:name="_Toc135860247"/>
      <w:bookmarkStart w:id="197" w:name="_Toc136599816"/>
      <w:bookmarkStart w:id="198" w:name="_Toc136600394"/>
      <w:bookmarkStart w:id="199" w:name="_Toc137493999"/>
      <w:r w:rsidRPr="009F2E4E">
        <w:rPr>
          <w:noProof/>
        </w:rPr>
        <w:t>2.3.</w:t>
      </w:r>
      <w:r>
        <w:rPr>
          <w:noProof/>
        </w:rPr>
        <w:t>7.</w:t>
      </w:r>
      <w:r w:rsidRPr="009F2E4E">
        <w:rPr>
          <w:noProof/>
        </w:rPr>
        <w:t xml:space="preserve"> </w:t>
      </w:r>
      <w:r w:rsidRPr="009F2E4E">
        <w:rPr>
          <w:noProof/>
          <w:lang w:eastAsia="en-US"/>
        </w:rPr>
        <w:t xml:space="preserve">Statistical </w:t>
      </w:r>
      <w:r w:rsidRPr="009F2E4E">
        <w:rPr>
          <w:noProof/>
        </w:rPr>
        <w:t xml:space="preserve">own resource </w:t>
      </w:r>
      <w:r w:rsidRPr="009F2E4E">
        <w:rPr>
          <w:noProof/>
          <w:lang w:eastAsia="en-US"/>
        </w:rPr>
        <w:t>based on f</w:t>
      </w:r>
      <w:r w:rsidRPr="009F2E4E">
        <w:rPr>
          <w:noProof/>
        </w:rPr>
        <w:t>ood waste</w:t>
      </w:r>
      <w:bookmarkEnd w:id="196"/>
      <w:bookmarkEnd w:id="197"/>
      <w:bookmarkEnd w:id="198"/>
      <w:r w:rsidRPr="009F2E4E">
        <w:rPr>
          <w:noProof/>
        </w:rPr>
        <w:t xml:space="preserve"> </w:t>
      </w:r>
      <w:bookmarkEnd w:id="199"/>
    </w:p>
    <w:p w14:paraId="6CE7ABBC" w14:textId="77777777" w:rsidR="001875D4" w:rsidRPr="009F2E4E" w:rsidRDefault="001875D4" w:rsidP="006374EA">
      <w:pPr>
        <w:pStyle w:val="Titlelevel4"/>
        <w:keepNext/>
        <w:rPr>
          <w:noProof/>
        </w:rPr>
      </w:pPr>
      <w:r w:rsidRPr="009F2E4E">
        <w:rPr>
          <w:noProof/>
        </w:rPr>
        <w:t>Description: Rationale and design</w:t>
      </w:r>
    </w:p>
    <w:p w14:paraId="0EB42EE1" w14:textId="77777777" w:rsidR="001875D4" w:rsidRPr="00387ECB" w:rsidRDefault="001875D4" w:rsidP="006374EA">
      <w:pPr>
        <w:keepNext/>
        <w:rPr>
          <w:noProof/>
        </w:rPr>
      </w:pPr>
      <w:r w:rsidRPr="0070519C">
        <w:rPr>
          <w:noProof/>
          <w:lang w:eastAsia="en-GB"/>
        </w:rPr>
        <w:t>Food waste is a part of bio-waste, but the</w:t>
      </w:r>
      <w:r>
        <w:rPr>
          <w:noProof/>
          <w:lang w:eastAsia="en-GB"/>
        </w:rPr>
        <w:t>r</w:t>
      </w:r>
      <w:r w:rsidRPr="0070519C">
        <w:rPr>
          <w:noProof/>
          <w:lang w:eastAsia="en-GB"/>
        </w:rPr>
        <w:t>e are two separate reporting obligations.</w:t>
      </w:r>
      <w:r>
        <w:rPr>
          <w:noProof/>
          <w:lang w:eastAsia="en-GB"/>
        </w:rPr>
        <w:t xml:space="preserve"> </w:t>
      </w:r>
      <w:r w:rsidRPr="00D622D4">
        <w:rPr>
          <w:noProof/>
        </w:rPr>
        <w:t>According to Eurostat estimates, around 10% of food made available to EU consumers (at retail, food services and households) are wasted. Reducing food waste would consequently provide many economic and environmental</w:t>
      </w:r>
      <w:r w:rsidRPr="00387ECB">
        <w:rPr>
          <w:noProof/>
        </w:rPr>
        <w:t xml:space="preserve"> benefits as it would lower the carbon and overall environmental footprint of food production and consumption. It would also increase food security. </w:t>
      </w:r>
    </w:p>
    <w:p w14:paraId="317730A7" w14:textId="5F0FC64E" w:rsidR="001875D4" w:rsidRPr="009F2E4E" w:rsidRDefault="001875D4" w:rsidP="001875D4">
      <w:pPr>
        <w:rPr>
          <w:noProof/>
        </w:rPr>
      </w:pPr>
      <w:r w:rsidRPr="00387ECB">
        <w:rPr>
          <w:noProof/>
        </w:rPr>
        <w:t xml:space="preserve">In June 2023, the Commission </w:t>
      </w:r>
      <w:r w:rsidR="00D54DE6">
        <w:rPr>
          <w:noProof/>
        </w:rPr>
        <w:t xml:space="preserve">[will </w:t>
      </w:r>
      <w:r w:rsidRPr="00387ECB">
        <w:rPr>
          <w:noProof/>
        </w:rPr>
        <w:t>propose</w:t>
      </w:r>
      <w:r w:rsidR="00D54DE6">
        <w:rPr>
          <w:noProof/>
        </w:rPr>
        <w:t>/proposed]</w:t>
      </w:r>
      <w:r w:rsidRPr="00387ECB">
        <w:rPr>
          <w:noProof/>
        </w:rPr>
        <w:t xml:space="preserve"> an amendment to the Waste Directive and </w:t>
      </w:r>
      <w:r w:rsidR="00D54DE6">
        <w:rPr>
          <w:noProof/>
        </w:rPr>
        <w:t xml:space="preserve">[will </w:t>
      </w:r>
      <w:r w:rsidRPr="00387ECB">
        <w:rPr>
          <w:noProof/>
        </w:rPr>
        <w:t>introduce</w:t>
      </w:r>
      <w:r w:rsidR="00D54DE6">
        <w:rPr>
          <w:noProof/>
        </w:rPr>
        <w:t>/introduced]</w:t>
      </w:r>
      <w:r w:rsidRPr="00387ECB">
        <w:rPr>
          <w:noProof/>
        </w:rPr>
        <w:t xml:space="preserve"> binding reduction targets for food waste (a percentage as from the reference year). An own resource proportional to the annual quantity of food waste in every Member State would complement this sectorial legislative</w:t>
      </w:r>
      <w:r w:rsidR="00487CE8">
        <w:rPr>
          <w:noProof/>
        </w:rPr>
        <w:t xml:space="preserve"> proposal</w:t>
      </w:r>
      <w:r w:rsidRPr="00387ECB">
        <w:rPr>
          <w:noProof/>
        </w:rPr>
        <w:t>.</w:t>
      </w:r>
      <w:r w:rsidRPr="00387ECB">
        <w:rPr>
          <w:rFonts w:ascii="Calibri" w:hAnsi="Calibri" w:cs="Calibri"/>
          <w:noProof/>
        </w:rPr>
        <w:t>  </w:t>
      </w:r>
    </w:p>
    <w:p w14:paraId="44923203" w14:textId="77777777" w:rsidR="001875D4" w:rsidRPr="009F2E4E" w:rsidRDefault="001875D4" w:rsidP="001875D4">
      <w:pPr>
        <w:pStyle w:val="Titlelevel4"/>
        <w:keepNext/>
        <w:rPr>
          <w:noProof/>
        </w:rPr>
      </w:pPr>
      <w:r w:rsidRPr="009F2E4E">
        <w:rPr>
          <w:noProof/>
        </w:rPr>
        <w:t>Assessment</w:t>
      </w:r>
    </w:p>
    <w:p w14:paraId="37957189" w14:textId="77777777" w:rsidR="001875D4" w:rsidRPr="009F2E4E" w:rsidRDefault="001875D4" w:rsidP="0085406D">
      <w:pPr>
        <w:pStyle w:val="ListParagraph"/>
        <w:keepNext/>
        <w:numPr>
          <w:ilvl w:val="0"/>
          <w:numId w:val="34"/>
        </w:numPr>
        <w:rPr>
          <w:rStyle w:val="Strong"/>
          <w:lang w:val="en-GB"/>
        </w:rPr>
      </w:pPr>
      <w:r w:rsidRPr="009F2E4E">
        <w:rPr>
          <w:rStyle w:val="Strong"/>
          <w:lang w:val="en-GB"/>
        </w:rPr>
        <w:t xml:space="preserve">Revenue potential  </w:t>
      </w:r>
    </w:p>
    <w:p w14:paraId="7B316371" w14:textId="01B4892A" w:rsidR="001875D4" w:rsidRPr="00B02287" w:rsidRDefault="001875D4" w:rsidP="001875D4">
      <w:pPr>
        <w:keepNext/>
        <w:rPr>
          <w:noProof/>
          <w:szCs w:val="24"/>
        </w:rPr>
      </w:pPr>
      <w:r w:rsidRPr="0D5E584C">
        <w:rPr>
          <w:noProof/>
        </w:rPr>
        <w:t>This new own resource would also apply to a statistical base, which is the quantity of food wasted in a year, valued in euro, as reported by Eurostat. In 2022, there were nearly 59 million tonnes of food waste (131 kg / inhabitant / year,</w:t>
      </w:r>
      <w:r w:rsidRPr="0D5E584C">
        <w:rPr>
          <w:noProof/>
          <w:vertAlign w:val="superscript"/>
        </w:rPr>
        <w:t xml:space="preserve"> </w:t>
      </w:r>
      <w:r w:rsidRPr="0D5E584C">
        <w:rPr>
          <w:noProof/>
        </w:rPr>
        <w:t>around 10% of the food produced in the EU)</w:t>
      </w:r>
      <w:r w:rsidR="006245F8">
        <w:rPr>
          <w:noProof/>
        </w:rPr>
        <w:t>(</w:t>
      </w:r>
      <w:r w:rsidRPr="0D5E584C">
        <w:rPr>
          <w:noProof/>
          <w:vertAlign w:val="superscript"/>
        </w:rPr>
        <w:footnoteReference w:id="34"/>
      </w:r>
      <w:r w:rsidR="006245F8">
        <w:rPr>
          <w:noProof/>
        </w:rPr>
        <w:t>)</w:t>
      </w:r>
      <w:r w:rsidRPr="0D5E584C">
        <w:rPr>
          <w:noProof/>
        </w:rPr>
        <w:t xml:space="preserve">. This had an associated market value estimated at EUR132 </w:t>
      </w:r>
      <w:r w:rsidR="00BC372C">
        <w:rPr>
          <w:noProof/>
        </w:rPr>
        <w:t>billion</w:t>
      </w:r>
      <w:r w:rsidRPr="0D5E584C">
        <w:rPr>
          <w:noProof/>
        </w:rPr>
        <w:t xml:space="preserve"> / year (2020).</w:t>
      </w:r>
      <w:r w:rsidR="007C17DC" w:rsidRPr="000C3652">
        <w:rPr>
          <w:rFonts w:cs="Calibri"/>
          <w:noProof/>
        </w:rPr>
        <w:t> </w:t>
      </w:r>
      <w:r w:rsidRPr="0D5E584C">
        <w:rPr>
          <w:noProof/>
        </w:rPr>
        <w:t xml:space="preserve"> </w:t>
      </w:r>
    </w:p>
    <w:p w14:paraId="30C0DB9D" w14:textId="1DD7D5E2" w:rsidR="001875D4" w:rsidRPr="00B02287" w:rsidRDefault="001875D4" w:rsidP="001875D4">
      <w:pPr>
        <w:rPr>
          <w:noProof/>
          <w:szCs w:val="24"/>
        </w:rPr>
      </w:pPr>
      <w:r w:rsidRPr="00E757FC">
        <w:rPr>
          <w:noProof/>
        </w:rPr>
        <w:t xml:space="preserve">Under the new own resource, the national contribution would be directly proportional to the quantity of food waste generated in each Member State (statistical base). Concretely, a call rate between EUR </w:t>
      </w:r>
      <w:r w:rsidR="00D05A4B">
        <w:rPr>
          <w:noProof/>
        </w:rPr>
        <w:t>0</w:t>
      </w:r>
      <w:r w:rsidR="0072707C">
        <w:rPr>
          <w:noProof/>
        </w:rPr>
        <w:t>.</w:t>
      </w:r>
      <w:r w:rsidR="00D05A4B">
        <w:rPr>
          <w:noProof/>
        </w:rPr>
        <w:t xml:space="preserve">05 </w:t>
      </w:r>
      <w:r w:rsidR="0072707C">
        <w:rPr>
          <w:noProof/>
        </w:rPr>
        <w:t>–</w:t>
      </w:r>
      <w:r w:rsidR="00D05A4B">
        <w:rPr>
          <w:noProof/>
        </w:rPr>
        <w:t xml:space="preserve"> 0</w:t>
      </w:r>
      <w:r w:rsidR="0072707C">
        <w:rPr>
          <w:noProof/>
        </w:rPr>
        <w:t>.</w:t>
      </w:r>
      <w:r w:rsidR="00D05A4B">
        <w:rPr>
          <w:noProof/>
        </w:rPr>
        <w:t>20</w:t>
      </w:r>
      <w:r w:rsidR="00D05A4B" w:rsidRPr="00E757FC" w:rsidDel="00D05A4B">
        <w:rPr>
          <w:noProof/>
        </w:rPr>
        <w:t xml:space="preserve"> </w:t>
      </w:r>
      <w:r w:rsidRPr="00E757FC">
        <w:rPr>
          <w:noProof/>
        </w:rPr>
        <w:t xml:space="preserve">per kg could apply to this base and could generate between EUR </w:t>
      </w:r>
      <w:r w:rsidR="00C624CC">
        <w:rPr>
          <w:noProof/>
        </w:rPr>
        <w:t>3</w:t>
      </w:r>
      <w:r w:rsidR="00D05A4B">
        <w:rPr>
          <w:noProof/>
        </w:rPr>
        <w:t xml:space="preserve"> and </w:t>
      </w:r>
      <w:r w:rsidR="00C624CC">
        <w:rPr>
          <w:noProof/>
        </w:rPr>
        <w:t>12</w:t>
      </w:r>
      <w:r w:rsidR="00E757FC" w:rsidRPr="00E757FC">
        <w:rPr>
          <w:noProof/>
        </w:rPr>
        <w:t xml:space="preserve"> </w:t>
      </w:r>
      <w:r w:rsidR="00BC372C" w:rsidRPr="00E757FC">
        <w:rPr>
          <w:noProof/>
        </w:rPr>
        <w:t>billion</w:t>
      </w:r>
      <w:r w:rsidRPr="00E757FC">
        <w:rPr>
          <w:noProof/>
        </w:rPr>
        <w:t>/year.</w:t>
      </w:r>
      <w:r w:rsidR="007C17DC">
        <w:rPr>
          <w:noProof/>
        </w:rPr>
        <w:t xml:space="preserve"> </w:t>
      </w:r>
      <w:r w:rsidR="007C17DC" w:rsidRPr="007C17DC">
        <w:rPr>
          <w:noProof/>
        </w:rPr>
        <w:t>(</w:t>
      </w:r>
      <w:r w:rsidR="007C17DC">
        <w:rPr>
          <w:rStyle w:val="FootnoteReference"/>
          <w:noProof/>
        </w:rPr>
        <w:footnoteReference w:id="35"/>
      </w:r>
      <w:r w:rsidR="007C17DC">
        <w:rPr>
          <w:noProof/>
        </w:rPr>
        <w:t>)</w:t>
      </w:r>
    </w:p>
    <w:p w14:paraId="71B5EFB9" w14:textId="77777777" w:rsidR="001875D4" w:rsidRPr="009F2E4E" w:rsidRDefault="001875D4" w:rsidP="0085406D">
      <w:pPr>
        <w:pStyle w:val="ListParagraph"/>
        <w:keepNext/>
        <w:numPr>
          <w:ilvl w:val="0"/>
          <w:numId w:val="34"/>
        </w:numPr>
        <w:rPr>
          <w:rStyle w:val="Strong"/>
          <w:rFonts w:cs="Times New Roman"/>
          <w:szCs w:val="20"/>
          <w:lang w:val="en-GB" w:eastAsia="en-IE"/>
        </w:rPr>
      </w:pPr>
      <w:r w:rsidRPr="009F2E4E">
        <w:rPr>
          <w:rStyle w:val="Strong"/>
          <w:lang w:val="en-GB"/>
        </w:rPr>
        <w:t xml:space="preserve">Simplicity of collection and implementation </w:t>
      </w:r>
    </w:p>
    <w:p w14:paraId="6BBA764E" w14:textId="4545206A" w:rsidR="001875D4" w:rsidRPr="00FC4586" w:rsidRDefault="001875D4" w:rsidP="001875D4">
      <w:pPr>
        <w:keepNext/>
        <w:rPr>
          <w:noProof/>
          <w:lang w:eastAsia="en-GB"/>
        </w:rPr>
      </w:pPr>
      <w:r w:rsidRPr="00FC4586">
        <w:rPr>
          <w:noProof/>
          <w:lang w:eastAsia="en-GB"/>
        </w:rPr>
        <w:t xml:space="preserve">The waste framework </w:t>
      </w:r>
      <w:r w:rsidR="00846C4D">
        <w:rPr>
          <w:noProof/>
          <w:lang w:eastAsia="en-GB"/>
        </w:rPr>
        <w:t>D</w:t>
      </w:r>
      <w:r w:rsidRPr="00FC4586">
        <w:rPr>
          <w:noProof/>
          <w:lang w:eastAsia="en-GB"/>
        </w:rPr>
        <w:t>irective</w:t>
      </w:r>
      <w:r w:rsidRPr="00FC4586">
        <w:rPr>
          <w:rFonts w:ascii="Calibri" w:hAnsi="Calibri" w:cs="Calibri"/>
          <w:noProof/>
          <w:lang w:eastAsia="en-GB"/>
        </w:rPr>
        <w:t> </w:t>
      </w:r>
      <w:r w:rsidRPr="00FC4586">
        <w:rPr>
          <w:noProof/>
          <w:lang w:eastAsia="en-GB"/>
        </w:rPr>
        <w:t>(</w:t>
      </w:r>
      <w:r w:rsidRPr="00FC4586">
        <w:rPr>
          <w:noProof/>
          <w:vertAlign w:val="superscript"/>
          <w:lang w:eastAsia="en-GB"/>
        </w:rPr>
        <w:footnoteReference w:id="36"/>
      </w:r>
      <w:r w:rsidRPr="00FC4586">
        <w:rPr>
          <w:noProof/>
          <w:lang w:eastAsia="en-GB"/>
        </w:rPr>
        <w:t>) imposes on Member States an obligation to submit data to the Commission on the amount of food waste generated. The measurement of waste</w:t>
      </w:r>
      <w:r>
        <w:rPr>
          <w:rFonts w:ascii="Calibri" w:hAnsi="Calibri" w:cs="Calibri"/>
          <w:noProof/>
          <w:lang w:eastAsia="en-GB"/>
        </w:rPr>
        <w:t xml:space="preserve"> </w:t>
      </w:r>
      <w:r w:rsidRPr="00FC4586">
        <w:rPr>
          <w:noProof/>
          <w:lang w:eastAsia="en-GB"/>
        </w:rPr>
        <w:t>is harmonised throughout the EU by a Commission Delegated Act (</w:t>
      </w:r>
      <w:r w:rsidRPr="00FC4586">
        <w:rPr>
          <w:noProof/>
          <w:vertAlign w:val="superscript"/>
          <w:lang w:eastAsia="en-GB"/>
        </w:rPr>
        <w:footnoteReference w:id="37"/>
      </w:r>
      <w:r w:rsidRPr="00FC4586">
        <w:rPr>
          <w:noProof/>
          <w:lang w:eastAsia="en-GB"/>
        </w:rPr>
        <w:t>).</w:t>
      </w:r>
    </w:p>
    <w:p w14:paraId="6B596FF7" w14:textId="3363A58F" w:rsidR="001875D4" w:rsidRPr="00FC4586" w:rsidRDefault="001875D4" w:rsidP="001875D4">
      <w:pPr>
        <w:rPr>
          <w:noProof/>
          <w:lang w:eastAsia="en-GB"/>
        </w:rPr>
      </w:pPr>
      <w:r w:rsidRPr="00FC4586">
        <w:rPr>
          <w:noProof/>
          <w:lang w:eastAsia="en-GB"/>
        </w:rPr>
        <w:t xml:space="preserve">A food waste own resource could make use of this existing statistical system. It should however be noted that </w:t>
      </w:r>
      <w:r w:rsidR="00487CE8">
        <w:rPr>
          <w:noProof/>
          <w:lang w:eastAsia="en-GB"/>
        </w:rPr>
        <w:t xml:space="preserve">the </w:t>
      </w:r>
      <w:r w:rsidRPr="00FC4586">
        <w:rPr>
          <w:noProof/>
          <w:lang w:eastAsia="en-GB"/>
        </w:rPr>
        <w:t xml:space="preserve">statistical system </w:t>
      </w:r>
      <w:r w:rsidR="002B6A43">
        <w:rPr>
          <w:noProof/>
          <w:lang w:eastAsia="en-GB"/>
        </w:rPr>
        <w:t>was just set up</w:t>
      </w:r>
      <w:r w:rsidRPr="00FC4586">
        <w:rPr>
          <w:noProof/>
          <w:lang w:eastAsia="en-GB"/>
        </w:rPr>
        <w:t>, and the results are still regarded as estimates rather than solid data, due to lack of data series</w:t>
      </w:r>
      <w:r w:rsidR="006245F8">
        <w:rPr>
          <w:noProof/>
          <w:lang w:eastAsia="en-GB"/>
        </w:rPr>
        <w:t>(</w:t>
      </w:r>
      <w:r w:rsidRPr="00FC4586">
        <w:rPr>
          <w:noProof/>
          <w:vertAlign w:val="superscript"/>
          <w:lang w:eastAsia="en-GB"/>
        </w:rPr>
        <w:footnoteReference w:id="38"/>
      </w:r>
      <w:r w:rsidR="006245F8">
        <w:rPr>
          <w:noProof/>
          <w:lang w:eastAsia="en-GB"/>
        </w:rPr>
        <w:t>)</w:t>
      </w:r>
      <w:r w:rsidRPr="00FC4586">
        <w:rPr>
          <w:noProof/>
          <w:lang w:eastAsia="en-GB"/>
        </w:rPr>
        <w:t xml:space="preserve">. The collection of the own resource could be similar to the plastic based own resource, however the system for food waste will be much more complex, less precise and require longer time to establish quality data series. </w:t>
      </w:r>
    </w:p>
    <w:p w14:paraId="61294AA5" w14:textId="5D9C2F97" w:rsidR="001875D4" w:rsidRPr="00E63F9F" w:rsidRDefault="001875D4" w:rsidP="001875D4">
      <w:pPr>
        <w:rPr>
          <w:noProof/>
          <w:lang w:eastAsia="en-GB"/>
        </w:rPr>
      </w:pPr>
      <w:r w:rsidRPr="00FC4586">
        <w:rPr>
          <w:noProof/>
          <w:lang w:eastAsia="en-GB"/>
        </w:rPr>
        <w:t xml:space="preserve">In particular, waste is generated throughout the whole food supply chain from production until consumption and the types of food waste and factors contributing to its generation. Moreover, important amounts of food waste </w:t>
      </w:r>
      <w:r w:rsidR="00D47937" w:rsidRPr="00FC4586">
        <w:rPr>
          <w:noProof/>
          <w:lang w:eastAsia="en-GB"/>
        </w:rPr>
        <w:t>are</w:t>
      </w:r>
      <w:r w:rsidRPr="00FC4586">
        <w:rPr>
          <w:noProof/>
          <w:lang w:eastAsia="en-GB"/>
        </w:rPr>
        <w:t xml:space="preserve"> currently not measured due to lack of methods for measuring which would ensure sufficient levels of confidence and comparability – e.g. food waste which is usually discarded with wastewater or food waste recycled by home composting. </w:t>
      </w:r>
    </w:p>
    <w:p w14:paraId="082175C9" w14:textId="77777777" w:rsidR="001875D4" w:rsidRPr="00FC4586" w:rsidRDefault="001875D4" w:rsidP="0085406D">
      <w:pPr>
        <w:pStyle w:val="ListParagraph"/>
        <w:keepNext/>
        <w:numPr>
          <w:ilvl w:val="0"/>
          <w:numId w:val="34"/>
        </w:numPr>
        <w:rPr>
          <w:rStyle w:val="Strong"/>
        </w:rPr>
      </w:pPr>
      <w:r w:rsidRPr="00FC4586">
        <w:rPr>
          <w:rStyle w:val="Strong"/>
        </w:rPr>
        <w:t xml:space="preserve">Fast mobilisation of new sources of revenue to the EU budget </w:t>
      </w:r>
    </w:p>
    <w:p w14:paraId="3446AEE8" w14:textId="56CD6AB3" w:rsidR="001875D4" w:rsidRDefault="00F46EFE" w:rsidP="00E07333">
      <w:pPr>
        <w:keepNext/>
        <w:rPr>
          <w:noProof/>
        </w:rPr>
      </w:pPr>
      <w:r>
        <w:rPr>
          <w:noProof/>
        </w:rPr>
        <w:t xml:space="preserve">As announced in </w:t>
      </w:r>
      <w:r w:rsidR="001875D4" w:rsidRPr="00FC4586">
        <w:rPr>
          <w:noProof/>
        </w:rPr>
        <w:t>the Commission Work Programme for 2023(</w:t>
      </w:r>
      <w:r w:rsidR="001875D4" w:rsidRPr="00492FE5">
        <w:rPr>
          <w:rStyle w:val="FootnoteReference"/>
          <w:noProof/>
        </w:rPr>
        <w:footnoteReference w:id="39"/>
      </w:r>
      <w:r w:rsidR="001875D4" w:rsidRPr="00492FE5">
        <w:rPr>
          <w:noProof/>
        </w:rPr>
        <w:t>)</w:t>
      </w:r>
      <w:r>
        <w:rPr>
          <w:noProof/>
        </w:rPr>
        <w:t>, the Commission proposes a revision</w:t>
      </w:r>
      <w:r w:rsidRPr="00F46EFE">
        <w:rPr>
          <w:noProof/>
        </w:rPr>
        <w:t xml:space="preserve"> of food waste and textiles aspects of the EU waste framework Directive</w:t>
      </w:r>
      <w:r w:rsidR="00F446B5">
        <w:rPr>
          <w:noProof/>
        </w:rPr>
        <w:t xml:space="preserve">. </w:t>
      </w:r>
      <w:r>
        <w:rPr>
          <w:noProof/>
        </w:rPr>
        <w:t>As regards the statistics</w:t>
      </w:r>
      <w:r w:rsidR="001875D4" w:rsidRPr="00FC4586">
        <w:rPr>
          <w:noProof/>
        </w:rPr>
        <w:t xml:space="preserve">, the complexity of the issue may require significant further work. </w:t>
      </w:r>
    </w:p>
    <w:p w14:paraId="16B0C882" w14:textId="33614435" w:rsidR="001875D4" w:rsidRPr="009F2E4E" w:rsidRDefault="00E07333" w:rsidP="001875D4">
      <w:pPr>
        <w:pStyle w:val="Heading3"/>
        <w:rPr>
          <w:noProof/>
        </w:rPr>
      </w:pPr>
      <w:bookmarkStart w:id="200" w:name="_Toc135860248"/>
      <w:bookmarkStart w:id="201" w:name="_Toc136599817"/>
      <w:bookmarkStart w:id="202" w:name="_Toc136600395"/>
      <w:bookmarkStart w:id="203" w:name="_Toc137494000"/>
      <w:r w:rsidRPr="009F2E4E">
        <w:rPr>
          <w:noProof/>
        </w:rPr>
        <w:t>2.3.</w:t>
      </w:r>
      <w:r>
        <w:rPr>
          <w:noProof/>
        </w:rPr>
        <w:t>8.</w:t>
      </w:r>
      <w:r w:rsidRPr="009F2E4E">
        <w:rPr>
          <w:noProof/>
        </w:rPr>
        <w:t xml:space="preserve"> </w:t>
      </w:r>
      <w:r w:rsidR="001875D4" w:rsidRPr="009F2E4E">
        <w:rPr>
          <w:noProof/>
          <w:lang w:eastAsia="en-US"/>
        </w:rPr>
        <w:t xml:space="preserve">Statistical </w:t>
      </w:r>
      <w:r w:rsidR="001875D4" w:rsidRPr="009F2E4E">
        <w:rPr>
          <w:noProof/>
        </w:rPr>
        <w:t xml:space="preserve">own resource </w:t>
      </w:r>
      <w:r w:rsidR="001875D4" w:rsidRPr="009F2E4E">
        <w:rPr>
          <w:noProof/>
          <w:lang w:eastAsia="en-US"/>
        </w:rPr>
        <w:t xml:space="preserve">based on </w:t>
      </w:r>
      <w:r w:rsidR="001875D4" w:rsidRPr="009F2E4E">
        <w:rPr>
          <w:noProof/>
        </w:rPr>
        <w:t>e-waste</w:t>
      </w:r>
      <w:bookmarkEnd w:id="200"/>
      <w:bookmarkEnd w:id="201"/>
      <w:bookmarkEnd w:id="202"/>
      <w:bookmarkEnd w:id="203"/>
      <w:r w:rsidR="001875D4" w:rsidRPr="009F2E4E">
        <w:rPr>
          <w:noProof/>
        </w:rPr>
        <w:t xml:space="preserve">  </w:t>
      </w:r>
    </w:p>
    <w:p w14:paraId="1708EEFB" w14:textId="77777777" w:rsidR="001875D4" w:rsidRPr="009F2E4E" w:rsidRDefault="001875D4" w:rsidP="001875D4">
      <w:pPr>
        <w:pStyle w:val="Titlelevel4"/>
        <w:rPr>
          <w:noProof/>
        </w:rPr>
      </w:pPr>
      <w:r w:rsidRPr="009F2E4E">
        <w:rPr>
          <w:noProof/>
        </w:rPr>
        <w:t>Description: Rationale and design</w:t>
      </w:r>
    </w:p>
    <w:p w14:paraId="4CC4DF29" w14:textId="39FB259D" w:rsidR="001875D4" w:rsidRDefault="001875D4" w:rsidP="001875D4">
      <w:pPr>
        <w:rPr>
          <w:noProof/>
        </w:rPr>
      </w:pPr>
      <w:r w:rsidRPr="00F20A17">
        <w:rPr>
          <w:noProof/>
        </w:rPr>
        <w:t>A new own resource based on waste from electrical and electronic equipment could support the EU priorities on the circular economy and the recent proposal of the Commission on Critical Raw Materials (CRM)(</w:t>
      </w:r>
      <w:r w:rsidRPr="00F20A17">
        <w:rPr>
          <w:noProof/>
          <w:vertAlign w:val="superscript"/>
        </w:rPr>
        <w:footnoteReference w:id="40"/>
      </w:r>
      <w:r w:rsidRPr="00F20A17">
        <w:rPr>
          <w:noProof/>
        </w:rPr>
        <w:t>) which aims to ensure EU access to a secure and sustainable supply of critical raw materials. This initiative underlines the necessary contribution of waste from electrical and electronic equipment to the efficient use of resources and to the retrieval of secondary raw materials, including critical ones.</w:t>
      </w:r>
      <w:r>
        <w:rPr>
          <w:noProof/>
        </w:rPr>
        <w:t xml:space="preserve"> </w:t>
      </w:r>
    </w:p>
    <w:p w14:paraId="37B208C7" w14:textId="48C98376" w:rsidR="001875D4" w:rsidRPr="009F2E4E" w:rsidRDefault="001875D4" w:rsidP="001875D4">
      <w:pPr>
        <w:rPr>
          <w:noProof/>
        </w:rPr>
      </w:pPr>
      <w:r w:rsidRPr="00F20A17">
        <w:rPr>
          <w:noProof/>
        </w:rPr>
        <w:t>The EU faces the challenge of further increasing e-waste collection, recycling, and reuse in Member States. An own resource based on the collection of e-waste could incentivise Member States to put in place measures to incentivise consumers to discard electrical and electronic equipment that it is hoarded in households in several ways. A call rate could be applied on the quantity of waste electrical and electronic equipment not collected, calculated by subtracting waste collected from waste generated. The use of waste generated compared to what is placed on the market has an important advantage, as it account</w:t>
      </w:r>
      <w:r w:rsidR="00D47937">
        <w:rPr>
          <w:noProof/>
        </w:rPr>
        <w:t>s for</w:t>
      </w:r>
      <w:r w:rsidRPr="00F20A17">
        <w:rPr>
          <w:noProof/>
        </w:rPr>
        <w:t xml:space="preserve"> the lifespan of EEE products.</w:t>
      </w:r>
      <w:r w:rsidRPr="00F20A17">
        <w:rPr>
          <w:b/>
          <w:bCs/>
          <w:noProof/>
        </w:rPr>
        <w:t xml:space="preserve"> </w:t>
      </w:r>
      <w:r w:rsidRPr="00F20A17">
        <w:rPr>
          <w:noProof/>
        </w:rPr>
        <w:t>This is particularly important in the current context of the energy crisis.</w:t>
      </w:r>
      <w:r>
        <w:rPr>
          <w:noProof/>
        </w:rPr>
        <w:t xml:space="preserve"> </w:t>
      </w:r>
    </w:p>
    <w:p w14:paraId="44078ED0" w14:textId="77777777" w:rsidR="001875D4" w:rsidRPr="009F2E4E" w:rsidRDefault="001875D4" w:rsidP="00EA4B39">
      <w:pPr>
        <w:pStyle w:val="Titlelevel4"/>
        <w:keepNext/>
        <w:rPr>
          <w:noProof/>
        </w:rPr>
      </w:pPr>
      <w:r w:rsidRPr="009F2E4E">
        <w:rPr>
          <w:noProof/>
        </w:rPr>
        <w:t>Assessment</w:t>
      </w:r>
    </w:p>
    <w:p w14:paraId="70FE9734" w14:textId="77777777" w:rsidR="001875D4" w:rsidRPr="009F2E4E" w:rsidRDefault="001875D4" w:rsidP="00EA4B39">
      <w:pPr>
        <w:pStyle w:val="ListParagraph"/>
        <w:keepNext/>
        <w:numPr>
          <w:ilvl w:val="0"/>
          <w:numId w:val="27"/>
        </w:numPr>
        <w:rPr>
          <w:rStyle w:val="Strong"/>
          <w:lang w:val="en-GB"/>
        </w:rPr>
      </w:pPr>
      <w:r w:rsidRPr="009F2E4E">
        <w:rPr>
          <w:rStyle w:val="Strong"/>
          <w:lang w:val="en-GB"/>
        </w:rPr>
        <w:t xml:space="preserve">Revenue potential </w:t>
      </w:r>
    </w:p>
    <w:p w14:paraId="71FB9754" w14:textId="77777777" w:rsidR="001875D4" w:rsidRPr="006F6D33" w:rsidRDefault="001875D4" w:rsidP="00EA4B39">
      <w:pPr>
        <w:keepNext/>
        <w:rPr>
          <w:noProof/>
          <w:lang w:val="en-IE"/>
        </w:rPr>
      </w:pPr>
      <w:r w:rsidRPr="006F6D33">
        <w:rPr>
          <w:noProof/>
        </w:rPr>
        <w:t xml:space="preserve">The base to which such measure could apply, </w:t>
      </w:r>
      <w:r w:rsidRPr="00797CE1">
        <w:rPr>
          <w:noProof/>
          <w:lang w:val="en-IE"/>
        </w:rPr>
        <w:t>the quantity of e-waste not collected,</w:t>
      </w:r>
      <w:r w:rsidRPr="00797CE1">
        <w:rPr>
          <w:noProof/>
        </w:rPr>
        <w:t xml:space="preserve"> would represent approximately 4 million tonnes per year (2016-2018).</w:t>
      </w:r>
      <w:r w:rsidRPr="006F6D33">
        <w:rPr>
          <w:noProof/>
        </w:rPr>
        <w:t xml:space="preserve"> This </w:t>
      </w:r>
      <w:r w:rsidRPr="006F6D33">
        <w:rPr>
          <w:noProof/>
          <w:lang w:val="en-IE"/>
        </w:rPr>
        <w:t xml:space="preserve">statistical </w:t>
      </w:r>
      <w:r w:rsidRPr="006F6D33">
        <w:rPr>
          <w:noProof/>
        </w:rPr>
        <w:t>base would be</w:t>
      </w:r>
      <w:r w:rsidRPr="006F6D33">
        <w:rPr>
          <w:noProof/>
          <w:lang w:val="en-IE"/>
        </w:rPr>
        <w:t xml:space="preserve"> calculated by subtracting e-waste collected from e-waste generated and would be based on the existing EU Directive on Waste Electrical and Electronic Equipment (WEEE Directive</w:t>
      </w:r>
      <w:r w:rsidRPr="006F6D33">
        <w:rPr>
          <w:rFonts w:ascii="Calibri" w:hAnsi="Calibri" w:cs="Calibri"/>
          <w:noProof/>
          <w:lang w:val="en-IE"/>
        </w:rPr>
        <w:t> </w:t>
      </w:r>
      <w:r w:rsidRPr="006F6D33">
        <w:rPr>
          <w:noProof/>
          <w:lang w:val="en-IE"/>
        </w:rPr>
        <w:t>(</w:t>
      </w:r>
      <w:r w:rsidRPr="006F6D33">
        <w:rPr>
          <w:noProof/>
          <w:vertAlign w:val="superscript"/>
          <w:lang w:val="en-IE"/>
        </w:rPr>
        <w:footnoteReference w:id="41"/>
      </w:r>
      <w:r w:rsidRPr="006F6D33">
        <w:rPr>
          <w:noProof/>
          <w:lang w:val="en-IE"/>
        </w:rPr>
        <w:t>))</w:t>
      </w:r>
      <w:r w:rsidRPr="006F6D33">
        <w:rPr>
          <w:b/>
          <w:bCs/>
          <w:noProof/>
          <w:lang w:val="en-IE"/>
        </w:rPr>
        <w:t>.</w:t>
      </w:r>
      <w:r w:rsidRPr="006F6D33">
        <w:rPr>
          <w:noProof/>
          <w:lang w:val="en-IE"/>
        </w:rPr>
        <w:t xml:space="preserve"> </w:t>
      </w:r>
    </w:p>
    <w:p w14:paraId="5BE97204" w14:textId="502198F2" w:rsidR="001875D4" w:rsidRPr="006F6D33" w:rsidRDefault="002F1E8A" w:rsidP="001875D4">
      <w:pPr>
        <w:rPr>
          <w:noProof/>
        </w:rPr>
      </w:pPr>
      <w:r w:rsidRPr="00E757FC">
        <w:rPr>
          <w:noProof/>
        </w:rPr>
        <w:t xml:space="preserve">A </w:t>
      </w:r>
      <w:r w:rsidR="001875D4" w:rsidRPr="00E757FC">
        <w:rPr>
          <w:noProof/>
        </w:rPr>
        <w:t xml:space="preserve">call rate in the range of EUR </w:t>
      </w:r>
      <w:r w:rsidR="005042BC" w:rsidRPr="006F6D33">
        <w:rPr>
          <w:noProof/>
        </w:rPr>
        <w:t xml:space="preserve">1 </w:t>
      </w:r>
      <w:r w:rsidR="001875D4" w:rsidRPr="00E757FC">
        <w:rPr>
          <w:noProof/>
        </w:rPr>
        <w:t xml:space="preserve">to EUR </w:t>
      </w:r>
      <w:r w:rsidR="005042BC">
        <w:rPr>
          <w:noProof/>
        </w:rPr>
        <w:t>2</w:t>
      </w:r>
      <w:r w:rsidR="00E757FC" w:rsidRPr="00E757FC">
        <w:rPr>
          <w:noProof/>
        </w:rPr>
        <w:t xml:space="preserve"> </w:t>
      </w:r>
      <w:r w:rsidR="001875D4" w:rsidRPr="00E757FC">
        <w:rPr>
          <w:noProof/>
        </w:rPr>
        <w:t xml:space="preserve">/ kg could be applied on the difference between the generation and the collection of waste of electric and electronic equipment. It would lead to a range of revenues between EUR </w:t>
      </w:r>
      <w:r w:rsidR="005042BC" w:rsidRPr="006F6D33">
        <w:rPr>
          <w:noProof/>
        </w:rPr>
        <w:t>4-8</w:t>
      </w:r>
      <w:r w:rsidR="00E757FC" w:rsidRPr="00E757FC">
        <w:rPr>
          <w:noProof/>
        </w:rPr>
        <w:t xml:space="preserve"> </w:t>
      </w:r>
      <w:r w:rsidR="00BC372C" w:rsidRPr="00E757FC">
        <w:rPr>
          <w:noProof/>
        </w:rPr>
        <w:t>billion</w:t>
      </w:r>
      <w:r w:rsidR="001875D4" w:rsidRPr="00E757FC">
        <w:rPr>
          <w:noProof/>
        </w:rPr>
        <w:t xml:space="preserve"> / year (average 2016-2018).</w:t>
      </w:r>
      <w:r w:rsidR="001875D4" w:rsidRPr="006F6D33">
        <w:rPr>
          <w:noProof/>
        </w:rPr>
        <w:t xml:space="preserve"> </w:t>
      </w:r>
    </w:p>
    <w:p w14:paraId="25C7F113" w14:textId="4DC69A35" w:rsidR="001875D4" w:rsidRPr="009F2E4E" w:rsidRDefault="001875D4" w:rsidP="001875D4">
      <w:pPr>
        <w:rPr>
          <w:noProof/>
        </w:rPr>
      </w:pPr>
      <w:r w:rsidRPr="006F6D33">
        <w:rPr>
          <w:noProof/>
        </w:rPr>
        <w:t xml:space="preserve">While the quality of e-waste statistics, including e-waste trade, are still being </w:t>
      </w:r>
      <w:r w:rsidR="002F1E8A">
        <w:rPr>
          <w:noProof/>
        </w:rPr>
        <w:t>improved</w:t>
      </w:r>
      <w:r w:rsidRPr="006F6D33">
        <w:rPr>
          <w:noProof/>
        </w:rPr>
        <w:t xml:space="preserve">, economic efficiency distortions linked to the firms’ incentives to report e-waste, including exports/imports as such cannot be excluded. These could affect the base of this potential new own resource, warping the related revenues across EU countries. Therefore, particular attention should be paid to the reporting of companies when importing or exporting e-waste. </w:t>
      </w:r>
    </w:p>
    <w:p w14:paraId="027835C8" w14:textId="77777777" w:rsidR="001875D4" w:rsidRPr="009F2E4E" w:rsidRDefault="001875D4" w:rsidP="001875D4">
      <w:pPr>
        <w:pStyle w:val="ListParagraph"/>
        <w:keepNext/>
        <w:numPr>
          <w:ilvl w:val="0"/>
          <w:numId w:val="27"/>
        </w:numPr>
        <w:rPr>
          <w:rStyle w:val="Strong"/>
          <w:lang w:val="en-GB"/>
        </w:rPr>
      </w:pPr>
      <w:r w:rsidRPr="009F2E4E">
        <w:rPr>
          <w:rStyle w:val="Strong"/>
          <w:lang w:val="en-GB"/>
        </w:rPr>
        <w:t xml:space="preserve">Simplicity of collection and implementation </w:t>
      </w:r>
    </w:p>
    <w:p w14:paraId="077ADB9A" w14:textId="2DB39532" w:rsidR="001875D4" w:rsidRPr="009F2E4E" w:rsidRDefault="001875D4" w:rsidP="001875D4">
      <w:pPr>
        <w:rPr>
          <w:noProof/>
        </w:rPr>
      </w:pPr>
      <w:bookmarkStart w:id="204" w:name="_Hlk131165539"/>
      <w:bookmarkEnd w:id="204"/>
      <w:r w:rsidRPr="006F6D33">
        <w:rPr>
          <w:noProof/>
        </w:rPr>
        <w:t>In terms of implementation, Member States already have the obligation to provide data necessary to calculate the own resource to E</w:t>
      </w:r>
      <w:r w:rsidR="00D67B3B">
        <w:rPr>
          <w:noProof/>
        </w:rPr>
        <w:t>urostat</w:t>
      </w:r>
      <w:r w:rsidRPr="006F6D33">
        <w:rPr>
          <w:noProof/>
        </w:rPr>
        <w:t xml:space="preserve"> in the context of the electronic and electric equipment waste </w:t>
      </w:r>
      <w:r w:rsidR="00846C4D">
        <w:rPr>
          <w:noProof/>
        </w:rPr>
        <w:t>D</w:t>
      </w:r>
      <w:r w:rsidRPr="006F6D33">
        <w:rPr>
          <w:noProof/>
        </w:rPr>
        <w:t>irective</w:t>
      </w:r>
      <w:r>
        <w:rPr>
          <w:noProof/>
        </w:rPr>
        <w:t xml:space="preserve"> (</w:t>
      </w:r>
      <w:r w:rsidRPr="006F6D33">
        <w:rPr>
          <w:noProof/>
          <w:lang w:val="en-IE"/>
        </w:rPr>
        <w:t>WEEE Directive(</w:t>
      </w:r>
      <w:r w:rsidRPr="006F6D33">
        <w:rPr>
          <w:noProof/>
          <w:vertAlign w:val="superscript"/>
          <w:lang w:val="en-IE"/>
        </w:rPr>
        <w:footnoteReference w:id="42"/>
      </w:r>
      <w:r w:rsidRPr="006F6D33">
        <w:rPr>
          <w:noProof/>
          <w:lang w:val="en-IE"/>
        </w:rPr>
        <w:t>)</w:t>
      </w:r>
      <w:r w:rsidR="006245F8">
        <w:rPr>
          <w:noProof/>
          <w:lang w:val="en-IE"/>
        </w:rPr>
        <w:t>)</w:t>
      </w:r>
      <w:r w:rsidRPr="006F6D33">
        <w:rPr>
          <w:noProof/>
        </w:rPr>
        <w:t>.The quality of statistics would need to be further improved</w:t>
      </w:r>
      <w:r w:rsidR="002F1E8A">
        <w:rPr>
          <w:noProof/>
        </w:rPr>
        <w:t xml:space="preserve"> on several levels. First, it needs to be ensured that </w:t>
      </w:r>
      <w:r w:rsidRPr="006F6D33">
        <w:rPr>
          <w:noProof/>
        </w:rPr>
        <w:t xml:space="preserve">waste generation data </w:t>
      </w:r>
      <w:r w:rsidR="002F1E8A">
        <w:rPr>
          <w:noProof/>
        </w:rPr>
        <w:t xml:space="preserve">is available </w:t>
      </w:r>
      <w:r w:rsidRPr="006F6D33">
        <w:rPr>
          <w:noProof/>
        </w:rPr>
        <w:t>for all Member States</w:t>
      </w:r>
      <w:r w:rsidR="002F1E8A">
        <w:rPr>
          <w:noProof/>
        </w:rPr>
        <w:t xml:space="preserve">. Second, </w:t>
      </w:r>
      <w:r w:rsidRPr="006F6D33">
        <w:rPr>
          <w:noProof/>
        </w:rPr>
        <w:t xml:space="preserve">internet trade </w:t>
      </w:r>
      <w:r w:rsidR="00F446B5">
        <w:rPr>
          <w:noProof/>
        </w:rPr>
        <w:t xml:space="preserve">- </w:t>
      </w:r>
      <w:r w:rsidR="002F1E8A">
        <w:rPr>
          <w:noProof/>
        </w:rPr>
        <w:t xml:space="preserve">in cases </w:t>
      </w:r>
      <w:r w:rsidRPr="006F6D33">
        <w:rPr>
          <w:noProof/>
        </w:rPr>
        <w:t>where producers outside the EU or importers of used goods do not report on the whole amount of electrical and electronic equipment placed on the market</w:t>
      </w:r>
      <w:r w:rsidR="002F1E8A">
        <w:rPr>
          <w:noProof/>
        </w:rPr>
        <w:t xml:space="preserve"> – needs to be taken into account</w:t>
      </w:r>
      <w:r w:rsidRPr="006F6D33">
        <w:rPr>
          <w:noProof/>
        </w:rPr>
        <w:t xml:space="preserve">. </w:t>
      </w:r>
      <w:r w:rsidR="002F1E8A">
        <w:rPr>
          <w:noProof/>
        </w:rPr>
        <w:t xml:space="preserve">Third, </w:t>
      </w:r>
      <w:r w:rsidRPr="006F6D33">
        <w:rPr>
          <w:noProof/>
        </w:rPr>
        <w:t>specific issues relate to second hand articles sold to another Member State, which are currently not reported</w:t>
      </w:r>
      <w:r w:rsidR="001C77AB">
        <w:rPr>
          <w:noProof/>
        </w:rPr>
        <w:t xml:space="preserve"> (</w:t>
      </w:r>
      <w:r w:rsidR="001C77AB" w:rsidRPr="006F6D33">
        <w:rPr>
          <w:noProof/>
        </w:rPr>
        <w:t>no tracking system of trade of electronic appliances between physical or legal persons after placing on the market or their storage before being wasted</w:t>
      </w:r>
      <w:r w:rsidR="001C77AB">
        <w:rPr>
          <w:noProof/>
        </w:rPr>
        <w:t>)</w:t>
      </w:r>
      <w:r w:rsidRPr="006F6D33">
        <w:rPr>
          <w:noProof/>
        </w:rPr>
        <w:t xml:space="preserve">, and the treatment of electronic and electric equipment waste as metal scrap under sub-standard conditions. </w:t>
      </w:r>
      <w:r w:rsidR="00635F6F">
        <w:rPr>
          <w:noProof/>
        </w:rPr>
        <w:t>Fourth</w:t>
      </w:r>
      <w:r w:rsidR="00635F6F" w:rsidRPr="00594A85">
        <w:rPr>
          <w:noProof/>
        </w:rPr>
        <w:t xml:space="preserve">, the </w:t>
      </w:r>
      <w:r w:rsidR="00635F6F" w:rsidRPr="00594A85">
        <w:rPr>
          <w:noProof/>
          <w:lang w:val="en-US"/>
        </w:rPr>
        <w:t>quality of statistics for e-waste generated and not collected</w:t>
      </w:r>
      <w:r w:rsidR="00635F6F" w:rsidRPr="00594A85">
        <w:rPr>
          <w:noProof/>
        </w:rPr>
        <w:t xml:space="preserve"> also reflects </w:t>
      </w:r>
      <w:r w:rsidR="00635F6F" w:rsidRPr="00594A85">
        <w:rPr>
          <w:noProof/>
          <w:lang w:val="en-US"/>
        </w:rPr>
        <w:t>country-specific coefficients for the lifespan of products</w:t>
      </w:r>
      <w:r w:rsidR="00635F6F">
        <w:rPr>
          <w:noProof/>
          <w:color w:val="1F497D"/>
          <w:lang w:val="en-US"/>
        </w:rPr>
        <w:t xml:space="preserve">. </w:t>
      </w:r>
      <w:r w:rsidRPr="006F6D33">
        <w:rPr>
          <w:noProof/>
        </w:rPr>
        <w:t xml:space="preserve">Not least, </w:t>
      </w:r>
      <w:r w:rsidRPr="006F6D33">
        <w:rPr>
          <w:noProof/>
          <w:lang w:val="en-IE"/>
        </w:rPr>
        <w:t xml:space="preserve">addressing illegal and sub-standard activities such as illegal exports and scavenging of </w:t>
      </w:r>
      <w:r w:rsidRPr="006F6D33">
        <w:rPr>
          <w:noProof/>
        </w:rPr>
        <w:t xml:space="preserve">electronic and electric equipment waste </w:t>
      </w:r>
      <w:r w:rsidRPr="006F6D33">
        <w:rPr>
          <w:noProof/>
          <w:lang w:val="en-IE"/>
        </w:rPr>
        <w:t xml:space="preserve">constitute key challenges to implementing this measure / </w:t>
      </w:r>
      <w:r w:rsidRPr="006F6D33">
        <w:rPr>
          <w:noProof/>
        </w:rPr>
        <w:t xml:space="preserve">electronic and electric equipment waste </w:t>
      </w:r>
      <w:r w:rsidRPr="006F6D33">
        <w:rPr>
          <w:noProof/>
          <w:lang w:val="en-IE"/>
        </w:rPr>
        <w:t>Directive</w:t>
      </w:r>
      <w:r w:rsidRPr="006F6D33">
        <w:rPr>
          <w:noProof/>
        </w:rPr>
        <w:t>(</w:t>
      </w:r>
      <w:r w:rsidRPr="006F6D33">
        <w:rPr>
          <w:noProof/>
          <w:vertAlign w:val="superscript"/>
        </w:rPr>
        <w:footnoteReference w:id="43"/>
      </w:r>
      <w:r w:rsidRPr="006F6D33">
        <w:rPr>
          <w:noProof/>
        </w:rPr>
        <w:t>).</w:t>
      </w:r>
    </w:p>
    <w:p w14:paraId="0F475659" w14:textId="77777777" w:rsidR="001875D4" w:rsidRPr="009F2E4E" w:rsidRDefault="001875D4" w:rsidP="001875D4">
      <w:pPr>
        <w:pStyle w:val="ListParagraph"/>
        <w:keepNext/>
        <w:numPr>
          <w:ilvl w:val="0"/>
          <w:numId w:val="27"/>
        </w:numPr>
        <w:rPr>
          <w:rStyle w:val="Strong"/>
          <w:lang w:val="en-GB"/>
        </w:rPr>
      </w:pPr>
      <w:r w:rsidRPr="009F2E4E">
        <w:rPr>
          <w:rStyle w:val="Strong"/>
          <w:lang w:val="en-GB"/>
        </w:rPr>
        <w:t xml:space="preserve">Fast mobilisation of new sources of revenue to the EU budget </w:t>
      </w:r>
    </w:p>
    <w:p w14:paraId="3E1B38FD" w14:textId="10799940" w:rsidR="0024515D" w:rsidRPr="009F2E4E" w:rsidRDefault="001875D4" w:rsidP="00D96609">
      <w:pPr>
        <w:keepNext/>
        <w:rPr>
          <w:noProof/>
        </w:rPr>
      </w:pPr>
      <w:r w:rsidRPr="00CF1F2F">
        <w:rPr>
          <w:noProof/>
        </w:rPr>
        <w:t xml:space="preserve">This own resource could generate revenues from the start. As announced in the </w:t>
      </w:r>
      <w:r w:rsidRPr="006C4CF7">
        <w:rPr>
          <w:noProof/>
        </w:rPr>
        <w:t xml:space="preserve">Critical Raw Materials </w:t>
      </w:r>
      <w:r w:rsidRPr="00CF1F2F">
        <w:rPr>
          <w:noProof/>
        </w:rPr>
        <w:t>communication(</w:t>
      </w:r>
      <w:r w:rsidRPr="00CF1F2F">
        <w:rPr>
          <w:noProof/>
          <w:vertAlign w:val="superscript"/>
        </w:rPr>
        <w:footnoteReference w:id="44"/>
      </w:r>
      <w:r w:rsidRPr="00CF1F2F">
        <w:rPr>
          <w:noProof/>
        </w:rPr>
        <w:t xml:space="preserve">), the Commission will review the electronic and electric equipment waste Directive to, inter alia, address </w:t>
      </w:r>
      <w:r w:rsidR="00D46EE9">
        <w:rPr>
          <w:noProof/>
        </w:rPr>
        <w:t>c</w:t>
      </w:r>
      <w:r w:rsidRPr="006C4CF7">
        <w:rPr>
          <w:noProof/>
        </w:rPr>
        <w:t xml:space="preserve">ritical </w:t>
      </w:r>
      <w:r w:rsidR="00D46EE9">
        <w:rPr>
          <w:noProof/>
        </w:rPr>
        <w:t>r</w:t>
      </w:r>
      <w:r w:rsidRPr="006C4CF7">
        <w:rPr>
          <w:noProof/>
        </w:rPr>
        <w:t xml:space="preserve">aw </w:t>
      </w:r>
      <w:r w:rsidR="00D46EE9">
        <w:rPr>
          <w:noProof/>
        </w:rPr>
        <w:t>m</w:t>
      </w:r>
      <w:r w:rsidRPr="006C4CF7">
        <w:rPr>
          <w:noProof/>
        </w:rPr>
        <w:t>aterial</w:t>
      </w:r>
      <w:r w:rsidR="00D46EE9">
        <w:rPr>
          <w:noProof/>
        </w:rPr>
        <w:t>s</w:t>
      </w:r>
      <w:r w:rsidRPr="00CF1F2F">
        <w:rPr>
          <w:noProof/>
        </w:rPr>
        <w:t xml:space="preserve">-rich equipment in provisions relating to information requirements and recovery targets. The evaluation of the electronic and electric equipment waste Directive is already ongoing and should be available in 2024. Furthermore, </w:t>
      </w:r>
      <w:r w:rsidR="00D67B3B">
        <w:rPr>
          <w:noProof/>
        </w:rPr>
        <w:t>significant</w:t>
      </w:r>
      <w:r w:rsidRPr="00CF1F2F">
        <w:rPr>
          <w:noProof/>
        </w:rPr>
        <w:t xml:space="preserve"> work on the quality and comparability of statistics would need to be done.</w:t>
      </w:r>
    </w:p>
    <w:p w14:paraId="4864F14E" w14:textId="5D6F5D81" w:rsidR="007A6D21" w:rsidRDefault="001E3735" w:rsidP="00B20A71">
      <w:pPr>
        <w:rPr>
          <w:noProof/>
        </w:rPr>
      </w:pPr>
      <w:r w:rsidRPr="001E3735">
        <w:rPr>
          <w:b/>
          <w:bCs/>
          <w:noProof/>
          <w:color w:val="023E8A" w:themeColor="accent1"/>
        </w:rPr>
        <w:t>In con</w:t>
      </w:r>
      <w:r w:rsidR="002F7B7C">
        <w:rPr>
          <w:b/>
          <w:bCs/>
          <w:noProof/>
          <w:color w:val="023E8A" w:themeColor="accent1"/>
        </w:rPr>
        <w:t>cl</w:t>
      </w:r>
      <w:r w:rsidRPr="001E3735">
        <w:rPr>
          <w:b/>
          <w:bCs/>
          <w:noProof/>
          <w:color w:val="023E8A" w:themeColor="accent1"/>
        </w:rPr>
        <w:t xml:space="preserve">usion, </w:t>
      </w:r>
      <w:r w:rsidR="002F7B7C">
        <w:rPr>
          <w:b/>
          <w:bCs/>
          <w:noProof/>
          <w:color w:val="023E8A" w:themeColor="accent1"/>
        </w:rPr>
        <w:t>t</w:t>
      </w:r>
      <w:r w:rsidR="00E6172C" w:rsidRPr="001E3735">
        <w:rPr>
          <w:b/>
          <w:bCs/>
          <w:noProof/>
          <w:color w:val="023E8A" w:themeColor="accent1"/>
        </w:rPr>
        <w:t>he</w:t>
      </w:r>
      <w:r w:rsidR="00E6172C" w:rsidRPr="00EA4B39">
        <w:rPr>
          <w:b/>
          <w:noProof/>
          <w:color w:val="023E8A" w:themeColor="accent1"/>
        </w:rPr>
        <w:t xml:space="preserve"> analy</w:t>
      </w:r>
      <w:r w:rsidR="0027281B" w:rsidRPr="00EA4B39">
        <w:rPr>
          <w:b/>
          <w:noProof/>
          <w:color w:val="023E8A" w:themeColor="accent1"/>
        </w:rPr>
        <w:t>s</w:t>
      </w:r>
      <w:r w:rsidR="00E6172C" w:rsidRPr="00EA4B39">
        <w:rPr>
          <w:b/>
          <w:noProof/>
          <w:color w:val="023E8A" w:themeColor="accent1"/>
        </w:rPr>
        <w:t>is shows that</w:t>
      </w:r>
      <w:r w:rsidR="00150268">
        <w:rPr>
          <w:b/>
          <w:noProof/>
          <w:color w:val="023E8A" w:themeColor="accent1"/>
        </w:rPr>
        <w:t>,</w:t>
      </w:r>
      <w:r w:rsidR="00E6172C" w:rsidRPr="00EA4B39">
        <w:rPr>
          <w:b/>
          <w:noProof/>
          <w:color w:val="023E8A" w:themeColor="accent1"/>
        </w:rPr>
        <w:t xml:space="preserve"> </w:t>
      </w:r>
      <w:r w:rsidR="00A61C30">
        <w:rPr>
          <w:b/>
          <w:bCs/>
          <w:noProof/>
          <w:color w:val="023E8A" w:themeColor="accent1"/>
        </w:rPr>
        <w:t>in principle</w:t>
      </w:r>
      <w:r w:rsidR="00150268">
        <w:rPr>
          <w:b/>
          <w:bCs/>
          <w:noProof/>
          <w:color w:val="023E8A" w:themeColor="accent1"/>
        </w:rPr>
        <w:t>,</w:t>
      </w:r>
      <w:r w:rsidR="002F7B7C">
        <w:rPr>
          <w:b/>
          <w:bCs/>
          <w:noProof/>
          <w:color w:val="023E8A" w:themeColor="accent1"/>
        </w:rPr>
        <w:t xml:space="preserve"> all</w:t>
      </w:r>
      <w:r w:rsidR="002F7B7C" w:rsidRPr="001E3735">
        <w:rPr>
          <w:b/>
          <w:bCs/>
          <w:noProof/>
          <w:color w:val="023E8A" w:themeColor="accent1"/>
        </w:rPr>
        <w:t xml:space="preserve"> </w:t>
      </w:r>
      <w:r w:rsidR="00E6172C" w:rsidRPr="00EA4B39">
        <w:rPr>
          <w:b/>
          <w:noProof/>
          <w:color w:val="023E8A" w:themeColor="accent1"/>
        </w:rPr>
        <w:t xml:space="preserve">candidates </w:t>
      </w:r>
      <w:r w:rsidR="00A61C30">
        <w:rPr>
          <w:b/>
          <w:bCs/>
          <w:noProof/>
          <w:color w:val="023E8A" w:themeColor="accent1"/>
        </w:rPr>
        <w:t>c</w:t>
      </w:r>
      <w:r w:rsidR="00E6172C" w:rsidRPr="001E3735">
        <w:rPr>
          <w:b/>
          <w:bCs/>
          <w:noProof/>
          <w:color w:val="023E8A" w:themeColor="accent1"/>
        </w:rPr>
        <w:t>ould</w:t>
      </w:r>
      <w:r w:rsidR="00E6172C" w:rsidRPr="00EA4B39">
        <w:rPr>
          <w:b/>
          <w:noProof/>
          <w:color w:val="023E8A" w:themeColor="accent1"/>
        </w:rPr>
        <w:t xml:space="preserve"> </w:t>
      </w:r>
      <w:r w:rsidR="002F7B7C">
        <w:rPr>
          <w:b/>
          <w:bCs/>
          <w:noProof/>
          <w:color w:val="023E8A" w:themeColor="accent1"/>
        </w:rPr>
        <w:t xml:space="preserve">become </w:t>
      </w:r>
      <w:r w:rsidR="00A61C30">
        <w:rPr>
          <w:b/>
          <w:bCs/>
          <w:noProof/>
          <w:color w:val="023E8A" w:themeColor="accent1"/>
        </w:rPr>
        <w:t xml:space="preserve">an </w:t>
      </w:r>
      <w:r w:rsidR="002F7B7C">
        <w:rPr>
          <w:b/>
          <w:bCs/>
          <w:noProof/>
          <w:color w:val="023E8A" w:themeColor="accent1"/>
        </w:rPr>
        <w:t>own resource,</w:t>
      </w:r>
      <w:r w:rsidR="00E6172C" w:rsidRPr="001E3735">
        <w:rPr>
          <w:b/>
          <w:bCs/>
          <w:noProof/>
          <w:color w:val="023E8A" w:themeColor="accent1"/>
        </w:rPr>
        <w:t xml:space="preserve"> </w:t>
      </w:r>
      <w:r w:rsidR="00E6172C" w:rsidRPr="00EA4B39">
        <w:rPr>
          <w:b/>
          <w:noProof/>
          <w:color w:val="023E8A" w:themeColor="accent1"/>
        </w:rPr>
        <w:t xml:space="preserve">but </w:t>
      </w:r>
      <w:r w:rsidR="00150268">
        <w:rPr>
          <w:b/>
          <w:noProof/>
          <w:color w:val="023E8A" w:themeColor="accent1"/>
        </w:rPr>
        <w:t xml:space="preserve">not all </w:t>
      </w:r>
      <w:r w:rsidR="23447F9D" w:rsidRPr="35FC81B3">
        <w:rPr>
          <w:b/>
          <w:bCs/>
          <w:noProof/>
          <w:color w:val="023E8A" w:themeColor="accent1"/>
        </w:rPr>
        <w:t>could</w:t>
      </w:r>
      <w:r w:rsidR="00E6172C" w:rsidRPr="00EA4B39">
        <w:rPr>
          <w:b/>
          <w:noProof/>
          <w:color w:val="023E8A" w:themeColor="accent1"/>
        </w:rPr>
        <w:t xml:space="preserve"> be mobilised in the short run.</w:t>
      </w:r>
      <w:r w:rsidR="00E6172C" w:rsidRPr="009F2E4E">
        <w:rPr>
          <w:noProof/>
        </w:rPr>
        <w:t xml:space="preserve"> </w:t>
      </w:r>
      <w:r w:rsidR="00150268">
        <w:rPr>
          <w:noProof/>
        </w:rPr>
        <w:t xml:space="preserve">Indeed, </w:t>
      </w:r>
      <w:r w:rsidR="002F7B7C">
        <w:rPr>
          <w:noProof/>
        </w:rPr>
        <w:t>candidates display different features and some</w:t>
      </w:r>
      <w:r w:rsidR="00E6172C" w:rsidRPr="009F2E4E">
        <w:rPr>
          <w:noProof/>
        </w:rPr>
        <w:t xml:space="preserve"> could be too complex to propose</w:t>
      </w:r>
      <w:r w:rsidR="002F7B7C">
        <w:rPr>
          <w:noProof/>
        </w:rPr>
        <w:t xml:space="preserve"> </w:t>
      </w:r>
      <w:r w:rsidR="00E6172C" w:rsidRPr="009F2E4E">
        <w:rPr>
          <w:noProof/>
        </w:rPr>
        <w:t>from a technical and/or political perspective. The table below presents the scoring of the own resource candidates</w:t>
      </w:r>
      <w:r w:rsidR="00025488">
        <w:rPr>
          <w:noProof/>
        </w:rPr>
        <w:t xml:space="preserve"> according to the three criteria</w:t>
      </w:r>
      <w:r w:rsidR="007A6D21">
        <w:rPr>
          <w:noProof/>
        </w:rPr>
        <w:t>.</w:t>
      </w:r>
    </w:p>
    <w:p w14:paraId="22768863" w14:textId="329DA61A" w:rsidR="00B20A71" w:rsidRDefault="00025488" w:rsidP="00B20A71">
      <w:pPr>
        <w:rPr>
          <w:noProof/>
        </w:rPr>
      </w:pPr>
      <w:r>
        <w:rPr>
          <w:noProof/>
        </w:rPr>
        <w:t>It shows that statistical based own resources are</w:t>
      </w:r>
      <w:r w:rsidR="002F7B7C">
        <w:rPr>
          <w:noProof/>
        </w:rPr>
        <w:t xml:space="preserve"> in general</w:t>
      </w:r>
      <w:r>
        <w:rPr>
          <w:noProof/>
        </w:rPr>
        <w:t xml:space="preserve"> easier to implement and to mobilise quickly. </w:t>
      </w:r>
      <w:r w:rsidR="00B20A71">
        <w:rPr>
          <w:noProof/>
        </w:rPr>
        <w:t xml:space="preserve">Depending on the call rates, they can generate substantial revenues. </w:t>
      </w:r>
      <w:r w:rsidR="002F7B7C">
        <w:rPr>
          <w:noProof/>
        </w:rPr>
        <w:t xml:space="preserve">However, the quality of statistics </w:t>
      </w:r>
      <w:r w:rsidR="0084185F">
        <w:rPr>
          <w:noProof/>
        </w:rPr>
        <w:t>differs</w:t>
      </w:r>
      <w:r w:rsidR="002F7B7C">
        <w:rPr>
          <w:noProof/>
        </w:rPr>
        <w:t xml:space="preserve"> among them, in particular when it comes to environmental own resources. </w:t>
      </w:r>
      <w:r w:rsidR="007A6D21">
        <w:rPr>
          <w:noProof/>
        </w:rPr>
        <w:t xml:space="preserve">As for </w:t>
      </w:r>
      <w:r w:rsidR="00B20A71">
        <w:rPr>
          <w:noProof/>
        </w:rPr>
        <w:t xml:space="preserve">the </w:t>
      </w:r>
      <w:r w:rsidR="00A61C30">
        <w:rPr>
          <w:noProof/>
        </w:rPr>
        <w:t xml:space="preserve">statistical own resource on </w:t>
      </w:r>
      <w:r w:rsidR="00B20A71">
        <w:rPr>
          <w:noProof/>
        </w:rPr>
        <w:t>company profit</w:t>
      </w:r>
      <w:r w:rsidR="00A61C30">
        <w:rPr>
          <w:noProof/>
        </w:rPr>
        <w:t>s</w:t>
      </w:r>
      <w:r w:rsidR="007A6D21">
        <w:rPr>
          <w:noProof/>
        </w:rPr>
        <w:t>, this</w:t>
      </w:r>
      <w:r w:rsidR="00B20A71">
        <w:rPr>
          <w:noProof/>
        </w:rPr>
        <w:t xml:space="preserve"> relies on a harmonised system of European statistics and therefore does not raise any major comparability issues. </w:t>
      </w:r>
    </w:p>
    <w:p w14:paraId="180AFFE3" w14:textId="058F968D" w:rsidR="00B20A71" w:rsidRDefault="00025488" w:rsidP="00500E0C">
      <w:pPr>
        <w:rPr>
          <w:noProof/>
        </w:rPr>
      </w:pPr>
      <w:r>
        <w:rPr>
          <w:noProof/>
        </w:rPr>
        <w:t xml:space="preserve">Tax candidates can be attractive </w:t>
      </w:r>
      <w:r w:rsidR="00B20A71">
        <w:rPr>
          <w:noProof/>
        </w:rPr>
        <w:t xml:space="preserve">as they can generate significant amounts of revenues. </w:t>
      </w:r>
      <w:r w:rsidR="0084185F">
        <w:rPr>
          <w:noProof/>
        </w:rPr>
        <w:t>However,</w:t>
      </w:r>
      <w:r w:rsidR="00F37F71">
        <w:rPr>
          <w:noProof/>
        </w:rPr>
        <w:t xml:space="preserve"> </w:t>
      </w:r>
      <w:r w:rsidR="00B20A71">
        <w:rPr>
          <w:noProof/>
        </w:rPr>
        <w:t>they</w:t>
      </w:r>
      <w:r w:rsidDel="00B20A71">
        <w:rPr>
          <w:noProof/>
        </w:rPr>
        <w:t xml:space="preserve"> </w:t>
      </w:r>
      <w:r>
        <w:rPr>
          <w:noProof/>
        </w:rPr>
        <w:t>would require unanimous agreement on the underlying sectoral legislation</w:t>
      </w:r>
      <w:r w:rsidR="0084185F">
        <w:rPr>
          <w:noProof/>
        </w:rPr>
        <w:t>,</w:t>
      </w:r>
      <w:r w:rsidR="002F7B7C">
        <w:rPr>
          <w:noProof/>
        </w:rPr>
        <w:t xml:space="preserve"> which may take time</w:t>
      </w:r>
      <w:r>
        <w:rPr>
          <w:noProof/>
        </w:rPr>
        <w:t xml:space="preserve">. </w:t>
      </w:r>
      <w:r w:rsidR="00B20A71">
        <w:rPr>
          <w:noProof/>
        </w:rPr>
        <w:t xml:space="preserve">Experience on some existing proposals such as the Financial Transaction Tax shows the difficulties to reach </w:t>
      </w:r>
      <w:r w:rsidR="0084185F">
        <w:rPr>
          <w:noProof/>
        </w:rPr>
        <w:t>swift</w:t>
      </w:r>
      <w:r w:rsidR="00B20A71">
        <w:rPr>
          <w:noProof/>
        </w:rPr>
        <w:t xml:space="preserve"> political consensus on that matter. </w:t>
      </w:r>
    </w:p>
    <w:p w14:paraId="654F1310" w14:textId="051167B3" w:rsidR="001E1E4F" w:rsidRPr="009F2E4E" w:rsidRDefault="00025488" w:rsidP="00500E0C">
      <w:pPr>
        <w:rPr>
          <w:noProof/>
        </w:rPr>
      </w:pPr>
      <w:r>
        <w:rPr>
          <w:noProof/>
        </w:rPr>
        <w:t>The EU fair border mechanism seems to raise substantial challenges at international level</w:t>
      </w:r>
      <w:r w:rsidR="002F7B7C">
        <w:rPr>
          <w:noProof/>
        </w:rPr>
        <w:t xml:space="preserve"> and would certainly need to be further explore</w:t>
      </w:r>
      <w:r w:rsidR="005F0075">
        <w:rPr>
          <w:noProof/>
        </w:rPr>
        <w:t>d</w:t>
      </w:r>
      <w:r w:rsidR="002F7B7C">
        <w:rPr>
          <w:noProof/>
        </w:rPr>
        <w:t xml:space="preserve"> and analysed</w:t>
      </w:r>
      <w:r w:rsidR="00E6172C" w:rsidRPr="009F2E4E">
        <w:rPr>
          <w:noProof/>
        </w:rPr>
        <w:t xml:space="preserve">. </w:t>
      </w:r>
    </w:p>
    <w:p w14:paraId="355C7898" w14:textId="3746ADF8" w:rsidR="00260BF1" w:rsidRDefault="00260BF1" w:rsidP="006374EA">
      <w:pPr>
        <w:keepNext/>
        <w:rPr>
          <w:rStyle w:val="Strong"/>
          <w:noProof/>
        </w:rPr>
      </w:pPr>
      <w:r w:rsidRPr="009F2E4E">
        <w:rPr>
          <w:rStyle w:val="Strong"/>
          <w:noProof/>
        </w:rPr>
        <w:t>Table 2: Evaluation of the own resources examined</w:t>
      </w:r>
    </w:p>
    <w:tbl>
      <w:tblPr>
        <w:tblStyle w:val="GridTable2-Accent1"/>
        <w:tblW w:w="9206" w:type="dxa"/>
        <w:tblBorders>
          <w:top w:val="none" w:sz="0" w:space="0" w:color="auto"/>
          <w:bottom w:val="none" w:sz="0" w:space="0" w:color="auto"/>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653"/>
        <w:gridCol w:w="1773"/>
        <w:gridCol w:w="1708"/>
        <w:gridCol w:w="330"/>
        <w:gridCol w:w="1704"/>
        <w:gridCol w:w="38"/>
      </w:tblGrid>
      <w:tr w:rsidR="008972AA" w:rsidRPr="009F2E4E" w14:paraId="1CF654C9" w14:textId="77777777" w:rsidTr="1BCD28A7">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653" w:type="dxa"/>
          </w:tcPr>
          <w:p w14:paraId="57425549" w14:textId="77777777" w:rsidR="00B1658D" w:rsidRPr="00260BF1" w:rsidRDefault="00B1658D" w:rsidP="00E91D34">
            <w:pPr>
              <w:keepNext/>
              <w:spacing w:after="60"/>
              <w:rPr>
                <w:noProof/>
              </w:rPr>
            </w:pPr>
          </w:p>
        </w:tc>
        <w:tc>
          <w:tcPr>
            <w:tcW w:w="1773" w:type="dxa"/>
            <w:shd w:val="clear" w:color="auto" w:fill="023E8A" w:themeFill="accent1"/>
            <w:vAlign w:val="center"/>
          </w:tcPr>
          <w:p w14:paraId="26CEA597" w14:textId="77777777" w:rsidR="00B1658D" w:rsidRPr="00260BF1" w:rsidRDefault="00B1658D" w:rsidP="00E91D34">
            <w:pPr>
              <w:keepNext/>
              <w:spacing w:after="60"/>
              <w:jc w:val="center"/>
              <w:cnfStyle w:val="100000000000" w:firstRow="1" w:lastRow="0" w:firstColumn="0" w:lastColumn="0" w:oddVBand="0" w:evenVBand="0" w:oddHBand="0" w:evenHBand="0" w:firstRowFirstColumn="0" w:firstRowLastColumn="0" w:lastRowFirstColumn="0" w:lastRowLastColumn="0"/>
              <w:rPr>
                <w:noProof/>
              </w:rPr>
            </w:pPr>
            <w:r w:rsidRPr="00260BF1">
              <w:rPr>
                <w:noProof/>
              </w:rPr>
              <w:t>Revenue potential</w:t>
            </w:r>
          </w:p>
        </w:tc>
        <w:tc>
          <w:tcPr>
            <w:tcW w:w="2038" w:type="dxa"/>
            <w:gridSpan w:val="2"/>
            <w:shd w:val="clear" w:color="auto" w:fill="023E8A" w:themeFill="accent1"/>
            <w:vAlign w:val="center"/>
          </w:tcPr>
          <w:p w14:paraId="60B3640D" w14:textId="77777777" w:rsidR="00B1658D" w:rsidRPr="00260BF1" w:rsidRDefault="00B1658D" w:rsidP="00E91D34">
            <w:pPr>
              <w:keepNext/>
              <w:spacing w:after="60"/>
              <w:jc w:val="center"/>
              <w:cnfStyle w:val="100000000000" w:firstRow="1" w:lastRow="0" w:firstColumn="0" w:lastColumn="0" w:oddVBand="0" w:evenVBand="0" w:oddHBand="0" w:evenHBand="0" w:firstRowFirstColumn="0" w:firstRowLastColumn="0" w:lastRowFirstColumn="0" w:lastRowLastColumn="0"/>
              <w:rPr>
                <w:noProof/>
              </w:rPr>
            </w:pPr>
            <w:r w:rsidRPr="00260BF1">
              <w:rPr>
                <w:noProof/>
              </w:rPr>
              <w:t>Simplicity</w:t>
            </w:r>
          </w:p>
        </w:tc>
        <w:tc>
          <w:tcPr>
            <w:tcW w:w="1742" w:type="dxa"/>
            <w:gridSpan w:val="2"/>
            <w:shd w:val="clear" w:color="auto" w:fill="023E8A" w:themeFill="accent1"/>
            <w:vAlign w:val="center"/>
          </w:tcPr>
          <w:p w14:paraId="5D122A87" w14:textId="77777777" w:rsidR="00B1658D" w:rsidRPr="00260BF1" w:rsidRDefault="00B1658D" w:rsidP="00E91D34">
            <w:pPr>
              <w:keepNext/>
              <w:spacing w:after="60"/>
              <w:jc w:val="center"/>
              <w:cnfStyle w:val="100000000000" w:firstRow="1" w:lastRow="0" w:firstColumn="0" w:lastColumn="0" w:oddVBand="0" w:evenVBand="0" w:oddHBand="0" w:evenHBand="0" w:firstRowFirstColumn="0" w:firstRowLastColumn="0" w:lastRowFirstColumn="0" w:lastRowLastColumn="0"/>
              <w:rPr>
                <w:noProof/>
              </w:rPr>
            </w:pPr>
            <w:r w:rsidRPr="00260BF1">
              <w:rPr>
                <w:noProof/>
              </w:rPr>
              <w:t>Fast mobilisation</w:t>
            </w:r>
          </w:p>
        </w:tc>
      </w:tr>
      <w:tr w:rsidR="008972AA" w:rsidRPr="009F2E4E" w14:paraId="2C3E2219" w14:textId="77777777" w:rsidTr="1BCD28A7">
        <w:trPr>
          <w:gridAfter w:val="1"/>
          <w:cnfStyle w:val="000000100000" w:firstRow="0" w:lastRow="0" w:firstColumn="0" w:lastColumn="0" w:oddVBand="0" w:evenVBand="0" w:oddHBand="1" w:evenHBand="0" w:firstRowFirstColumn="0" w:firstRowLastColumn="0" w:lastRowFirstColumn="0" w:lastRowLastColumn="0"/>
          <w:wAfter w:w="38" w:type="dxa"/>
          <w:trHeight w:val="646"/>
        </w:trPr>
        <w:tc>
          <w:tcPr>
            <w:cnfStyle w:val="001000000000" w:firstRow="0" w:lastRow="0" w:firstColumn="1" w:lastColumn="0" w:oddVBand="0" w:evenVBand="0" w:oddHBand="0" w:evenHBand="0" w:firstRowFirstColumn="0" w:firstRowLastColumn="0" w:lastRowFirstColumn="0" w:lastRowLastColumn="0"/>
            <w:tcW w:w="3653" w:type="dxa"/>
            <w:shd w:val="clear" w:color="auto" w:fill="auto"/>
            <w:vAlign w:val="center"/>
          </w:tcPr>
          <w:p w14:paraId="311F7165" w14:textId="77777777" w:rsidR="00B1658D" w:rsidRPr="00260BF1" w:rsidRDefault="00B1658D" w:rsidP="00E91D34">
            <w:pPr>
              <w:keepNext/>
              <w:numPr>
                <w:ilvl w:val="0"/>
                <w:numId w:val="24"/>
              </w:numPr>
              <w:spacing w:after="60"/>
              <w:ind w:left="357" w:hanging="357"/>
              <w:jc w:val="left"/>
              <w:rPr>
                <w:noProof/>
              </w:rPr>
            </w:pPr>
            <w:r w:rsidRPr="00260BF1">
              <w:rPr>
                <w:noProof/>
              </w:rPr>
              <w:t xml:space="preserve">Corporate taxation (BEFIT) </w:t>
            </w:r>
          </w:p>
        </w:tc>
        <w:tc>
          <w:tcPr>
            <w:tcW w:w="1773" w:type="dxa"/>
            <w:shd w:val="clear" w:color="auto" w:fill="auto"/>
            <w:vAlign w:val="center"/>
          </w:tcPr>
          <w:p w14:paraId="1E4E0962" w14:textId="77777777" w:rsidR="00B1658D"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1622E6DA" wp14:editId="53FEED45">
                  <wp:extent cx="288000" cy="288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p w14:paraId="32CAB856" w14:textId="77777777" w:rsidR="00B1658D" w:rsidRPr="00260BF1"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B5098F">
              <w:rPr>
                <w:noProof/>
                <w:color w:val="002060"/>
                <w:sz w:val="18"/>
                <w:szCs w:val="18"/>
              </w:rPr>
              <w:t>Good</w:t>
            </w:r>
          </w:p>
        </w:tc>
        <w:tc>
          <w:tcPr>
            <w:tcW w:w="1708" w:type="dxa"/>
            <w:shd w:val="clear" w:color="auto" w:fill="auto"/>
            <w:vAlign w:val="center"/>
          </w:tcPr>
          <w:p w14:paraId="260E9CE0" w14:textId="77777777" w:rsidR="00B1658D"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75E1531E" wp14:editId="603EAB0B">
                  <wp:extent cx="288000" cy="288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p w14:paraId="19A50ADB" w14:textId="77777777" w:rsidR="00B1658D" w:rsidRPr="00260BF1"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B5098F">
              <w:rPr>
                <w:noProof/>
                <w:color w:val="002060"/>
                <w:sz w:val="18"/>
                <w:szCs w:val="18"/>
              </w:rPr>
              <w:t>Good</w:t>
            </w:r>
          </w:p>
        </w:tc>
        <w:tc>
          <w:tcPr>
            <w:tcW w:w="2034" w:type="dxa"/>
            <w:gridSpan w:val="2"/>
            <w:shd w:val="clear" w:color="auto" w:fill="auto"/>
            <w:vAlign w:val="center"/>
          </w:tcPr>
          <w:p w14:paraId="6B9E1FFD" w14:textId="77777777" w:rsidR="00B1658D" w:rsidRPr="00260BF1"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5F34BCA8" wp14:editId="053655F2">
                  <wp:extent cx="288000" cy="288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Modest</w:t>
            </w:r>
          </w:p>
        </w:tc>
      </w:tr>
      <w:tr w:rsidR="008972AA" w:rsidRPr="009F2E4E" w14:paraId="4475883D" w14:textId="77777777" w:rsidTr="1BCD28A7">
        <w:trPr>
          <w:gridAfter w:val="1"/>
          <w:wAfter w:w="38" w:type="dxa"/>
          <w:trHeight w:val="450"/>
        </w:trPr>
        <w:tc>
          <w:tcPr>
            <w:cnfStyle w:val="001000000000" w:firstRow="0" w:lastRow="0" w:firstColumn="1" w:lastColumn="0" w:oddVBand="0" w:evenVBand="0" w:oddHBand="0" w:evenHBand="0" w:firstRowFirstColumn="0" w:firstRowLastColumn="0" w:lastRowFirstColumn="0" w:lastRowLastColumn="0"/>
            <w:tcW w:w="3653" w:type="dxa"/>
            <w:shd w:val="clear" w:color="auto" w:fill="auto"/>
            <w:vAlign w:val="center"/>
          </w:tcPr>
          <w:p w14:paraId="66AEF637" w14:textId="77777777" w:rsidR="00B1658D" w:rsidRPr="00260BF1" w:rsidRDefault="00B1658D" w:rsidP="00E91D34">
            <w:pPr>
              <w:keepNext/>
              <w:numPr>
                <w:ilvl w:val="0"/>
                <w:numId w:val="24"/>
              </w:numPr>
              <w:spacing w:after="60"/>
              <w:ind w:left="357" w:hanging="357"/>
              <w:jc w:val="left"/>
              <w:rPr>
                <w:noProof/>
              </w:rPr>
            </w:pPr>
            <w:r w:rsidRPr="00260BF1">
              <w:rPr>
                <w:noProof/>
              </w:rPr>
              <w:t xml:space="preserve">Statistical own resource based on </w:t>
            </w:r>
            <w:r>
              <w:rPr>
                <w:noProof/>
              </w:rPr>
              <w:t>Company profits</w:t>
            </w:r>
            <w:r w:rsidRPr="00260BF1">
              <w:rPr>
                <w:noProof/>
              </w:rPr>
              <w:t xml:space="preserve"> </w:t>
            </w:r>
          </w:p>
        </w:tc>
        <w:tc>
          <w:tcPr>
            <w:tcW w:w="1773" w:type="dxa"/>
            <w:shd w:val="clear" w:color="auto" w:fill="auto"/>
            <w:vAlign w:val="center"/>
          </w:tcPr>
          <w:p w14:paraId="612893B7" w14:textId="77777777" w:rsidR="00B1658D" w:rsidRDefault="00B1658D" w:rsidP="00E91D34">
            <w:pPr>
              <w:keepNext/>
              <w:spacing w:after="120"/>
              <w:jc w:val="center"/>
              <w:cnfStyle w:val="000000000000" w:firstRow="0" w:lastRow="0" w:firstColumn="0" w:lastColumn="0" w:oddVBand="0" w:evenVBand="0" w:oddHBand="0" w:evenHBand="0" w:firstRowFirstColumn="0" w:firstRowLastColumn="0" w:lastRowFirstColumn="0" w:lastRowLastColumn="0"/>
              <w:rPr>
                <w:noProof/>
                <w:color w:val="002060"/>
                <w:sz w:val="18"/>
                <w:szCs w:val="18"/>
              </w:rPr>
            </w:pPr>
            <w:r w:rsidRPr="00FF6BC0">
              <w:rPr>
                <w:noProof/>
                <w:lang w:eastAsia="en-GB"/>
              </w:rPr>
              <w:drawing>
                <wp:inline distT="0" distB="0" distL="0" distR="0" wp14:anchorId="108BE162" wp14:editId="6152367B">
                  <wp:extent cx="288000" cy="288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p w14:paraId="6CB7B75C" w14:textId="77777777" w:rsidR="00B1658D" w:rsidRPr="00260BF1" w:rsidRDefault="00B1658D"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rPr>
            </w:pPr>
            <w:r w:rsidRPr="00B5098F">
              <w:rPr>
                <w:noProof/>
                <w:color w:val="002060"/>
                <w:sz w:val="18"/>
                <w:szCs w:val="18"/>
              </w:rPr>
              <w:t>Good</w:t>
            </w:r>
          </w:p>
        </w:tc>
        <w:tc>
          <w:tcPr>
            <w:tcW w:w="1708" w:type="dxa"/>
            <w:shd w:val="clear" w:color="auto" w:fill="auto"/>
            <w:vAlign w:val="center"/>
          </w:tcPr>
          <w:p w14:paraId="5F022321" w14:textId="77777777" w:rsidR="00B1658D" w:rsidRDefault="00B1658D" w:rsidP="00E91D34">
            <w:pPr>
              <w:keepNext/>
              <w:spacing w:after="120"/>
              <w:jc w:val="center"/>
              <w:cnfStyle w:val="000000000000" w:firstRow="0" w:lastRow="0" w:firstColumn="0" w:lastColumn="0" w:oddVBand="0" w:evenVBand="0" w:oddHBand="0" w:evenHBand="0" w:firstRowFirstColumn="0" w:firstRowLastColumn="0" w:lastRowFirstColumn="0" w:lastRowLastColumn="0"/>
              <w:rPr>
                <w:noProof/>
                <w:color w:val="002060"/>
                <w:sz w:val="18"/>
                <w:szCs w:val="18"/>
              </w:rPr>
            </w:pPr>
            <w:r w:rsidRPr="00FF6BC0">
              <w:rPr>
                <w:noProof/>
                <w:lang w:eastAsia="en-GB"/>
              </w:rPr>
              <w:drawing>
                <wp:inline distT="0" distB="0" distL="0" distR="0" wp14:anchorId="2A00EA45" wp14:editId="00282DE4">
                  <wp:extent cx="288000" cy="288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p w14:paraId="700A999A" w14:textId="77777777" w:rsidR="00B1658D" w:rsidRPr="00260BF1" w:rsidRDefault="00B1658D"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rPr>
            </w:pPr>
            <w:r w:rsidRPr="00B5098F">
              <w:rPr>
                <w:noProof/>
                <w:color w:val="002060"/>
                <w:sz w:val="18"/>
                <w:szCs w:val="18"/>
              </w:rPr>
              <w:t>Good</w:t>
            </w:r>
          </w:p>
        </w:tc>
        <w:tc>
          <w:tcPr>
            <w:tcW w:w="2034" w:type="dxa"/>
            <w:gridSpan w:val="2"/>
            <w:shd w:val="clear" w:color="auto" w:fill="auto"/>
            <w:vAlign w:val="center"/>
          </w:tcPr>
          <w:p w14:paraId="61B3A95F" w14:textId="77777777" w:rsidR="00B1658D" w:rsidRPr="00260BF1" w:rsidRDefault="00B1658D"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2075289F" wp14:editId="49A4165B">
                  <wp:extent cx="288000" cy="2880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Full</w:t>
            </w:r>
          </w:p>
        </w:tc>
      </w:tr>
      <w:tr w:rsidR="008972AA" w:rsidRPr="009F2E4E" w14:paraId="48DC9D20" w14:textId="77777777" w:rsidTr="1BCD28A7">
        <w:trPr>
          <w:gridAfter w:val="1"/>
          <w:cnfStyle w:val="000000100000" w:firstRow="0" w:lastRow="0" w:firstColumn="0" w:lastColumn="0" w:oddVBand="0" w:evenVBand="0" w:oddHBand="1" w:evenHBand="0" w:firstRowFirstColumn="0" w:firstRowLastColumn="0" w:lastRowFirstColumn="0" w:lastRowLastColumn="0"/>
          <w:wAfter w:w="38" w:type="dxa"/>
          <w:trHeight w:val="377"/>
        </w:trPr>
        <w:tc>
          <w:tcPr>
            <w:cnfStyle w:val="001000000000" w:firstRow="0" w:lastRow="0" w:firstColumn="1" w:lastColumn="0" w:oddVBand="0" w:evenVBand="0" w:oddHBand="0" w:evenHBand="0" w:firstRowFirstColumn="0" w:firstRowLastColumn="0" w:lastRowFirstColumn="0" w:lastRowLastColumn="0"/>
            <w:tcW w:w="3653" w:type="dxa"/>
            <w:shd w:val="clear" w:color="auto" w:fill="auto"/>
            <w:vAlign w:val="center"/>
          </w:tcPr>
          <w:p w14:paraId="6BF8671F" w14:textId="77777777" w:rsidR="00B1658D" w:rsidRPr="00260BF1" w:rsidRDefault="00B1658D" w:rsidP="00E91D34">
            <w:pPr>
              <w:keepNext/>
              <w:numPr>
                <w:ilvl w:val="0"/>
                <w:numId w:val="24"/>
              </w:numPr>
              <w:spacing w:after="60"/>
              <w:ind w:left="357" w:hanging="357"/>
              <w:jc w:val="left"/>
              <w:rPr>
                <w:noProof/>
              </w:rPr>
            </w:pPr>
            <w:r>
              <w:rPr>
                <w:noProof/>
              </w:rPr>
              <w:t>Financial sector -</w:t>
            </w:r>
            <w:r w:rsidRPr="00260BF1">
              <w:rPr>
                <w:noProof/>
              </w:rPr>
              <w:t xml:space="preserve"> Financial Transaction Tax</w:t>
            </w:r>
            <w:r>
              <w:rPr>
                <w:noProof/>
              </w:rPr>
              <w:t xml:space="preserve"> (FTT)</w:t>
            </w:r>
          </w:p>
        </w:tc>
        <w:tc>
          <w:tcPr>
            <w:tcW w:w="1773" w:type="dxa"/>
            <w:shd w:val="clear" w:color="auto" w:fill="auto"/>
            <w:vAlign w:val="center"/>
          </w:tcPr>
          <w:p w14:paraId="3398FDBC" w14:textId="77777777" w:rsidR="00B1658D" w:rsidRPr="00260BF1"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36FA8AEF" wp14:editId="44B0BF8D">
                  <wp:extent cx="288000" cy="2880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Adequate</w:t>
            </w:r>
          </w:p>
        </w:tc>
        <w:tc>
          <w:tcPr>
            <w:tcW w:w="1708" w:type="dxa"/>
            <w:shd w:val="clear" w:color="auto" w:fill="auto"/>
            <w:vAlign w:val="center"/>
          </w:tcPr>
          <w:p w14:paraId="0F4AD750" w14:textId="1DDCB646" w:rsidR="00443669" w:rsidRPr="00260BF1"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4BB15E10" wp14:editId="13FA3CAA">
                  <wp:extent cx="288000" cy="2880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Adequate</w:t>
            </w:r>
          </w:p>
        </w:tc>
        <w:tc>
          <w:tcPr>
            <w:tcW w:w="2034" w:type="dxa"/>
            <w:gridSpan w:val="2"/>
            <w:shd w:val="clear" w:color="auto" w:fill="auto"/>
            <w:vAlign w:val="center"/>
          </w:tcPr>
          <w:p w14:paraId="4532CC83" w14:textId="3185D9F2" w:rsidR="00B1658D" w:rsidRPr="00260BF1"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34793770" wp14:editId="06B1AC17">
                  <wp:extent cx="288000" cy="2880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Modest</w:t>
            </w:r>
          </w:p>
        </w:tc>
      </w:tr>
      <w:tr w:rsidR="008972AA" w:rsidRPr="009F2E4E" w14:paraId="29E8CABB" w14:textId="77777777" w:rsidTr="1BCD28A7">
        <w:trPr>
          <w:gridAfter w:val="1"/>
          <w:wAfter w:w="38" w:type="dxa"/>
          <w:trHeight w:val="394"/>
        </w:trPr>
        <w:tc>
          <w:tcPr>
            <w:cnfStyle w:val="001000000000" w:firstRow="0" w:lastRow="0" w:firstColumn="1" w:lastColumn="0" w:oddVBand="0" w:evenVBand="0" w:oddHBand="0" w:evenHBand="0" w:firstRowFirstColumn="0" w:firstRowLastColumn="0" w:lastRowFirstColumn="0" w:lastRowLastColumn="0"/>
            <w:tcW w:w="3653" w:type="dxa"/>
            <w:shd w:val="clear" w:color="auto" w:fill="auto"/>
            <w:vAlign w:val="center"/>
          </w:tcPr>
          <w:p w14:paraId="52849ECE" w14:textId="77777777" w:rsidR="00B1658D" w:rsidRPr="00260BF1" w:rsidRDefault="00B1658D" w:rsidP="00E91D34">
            <w:pPr>
              <w:keepNext/>
              <w:numPr>
                <w:ilvl w:val="0"/>
                <w:numId w:val="24"/>
              </w:numPr>
              <w:spacing w:after="60"/>
              <w:ind w:left="357" w:hanging="357"/>
              <w:jc w:val="left"/>
              <w:rPr>
                <w:noProof/>
              </w:rPr>
            </w:pPr>
            <w:r w:rsidRPr="00260BF1">
              <w:rPr>
                <w:noProof/>
              </w:rPr>
              <w:t xml:space="preserve">EU ‘fair border </w:t>
            </w:r>
            <w:r>
              <w:rPr>
                <w:noProof/>
              </w:rPr>
              <w:t>mechanism</w:t>
            </w:r>
            <w:r w:rsidRPr="00260BF1">
              <w:rPr>
                <w:noProof/>
              </w:rPr>
              <w:t>’</w:t>
            </w:r>
          </w:p>
        </w:tc>
        <w:tc>
          <w:tcPr>
            <w:tcW w:w="1773" w:type="dxa"/>
            <w:shd w:val="clear" w:color="auto" w:fill="auto"/>
            <w:vAlign w:val="center"/>
          </w:tcPr>
          <w:p w14:paraId="44CD17EE" w14:textId="77777777" w:rsidR="00B1658D" w:rsidRPr="00260BF1" w:rsidRDefault="00B1658D"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12FD69A2" wp14:editId="1ECA33B6">
                  <wp:extent cx="288000" cy="2880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Modest</w:t>
            </w:r>
          </w:p>
        </w:tc>
        <w:tc>
          <w:tcPr>
            <w:tcW w:w="1708" w:type="dxa"/>
            <w:shd w:val="clear" w:color="auto" w:fill="auto"/>
            <w:vAlign w:val="center"/>
          </w:tcPr>
          <w:p w14:paraId="0B1BF02A" w14:textId="77777777" w:rsidR="00B1658D" w:rsidRPr="00260BF1" w:rsidRDefault="00B1658D"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4E2E8803" wp14:editId="6A24AC16">
                  <wp:extent cx="288000" cy="2880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Modest</w:t>
            </w:r>
          </w:p>
        </w:tc>
        <w:tc>
          <w:tcPr>
            <w:tcW w:w="2034" w:type="dxa"/>
            <w:gridSpan w:val="2"/>
            <w:shd w:val="clear" w:color="auto" w:fill="auto"/>
            <w:vAlign w:val="center"/>
          </w:tcPr>
          <w:p w14:paraId="49D9218C" w14:textId="77777777" w:rsidR="00B1658D" w:rsidRPr="00260BF1" w:rsidRDefault="00B1658D"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1BEAAF65" wp14:editId="155782A5">
                  <wp:extent cx="288000" cy="2880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Modest</w:t>
            </w:r>
          </w:p>
        </w:tc>
      </w:tr>
      <w:tr w:rsidR="008972AA" w:rsidRPr="009F2E4E" w14:paraId="4D662470" w14:textId="77777777" w:rsidTr="1BCD28A7">
        <w:trPr>
          <w:gridAfter w:val="1"/>
          <w:cnfStyle w:val="000000100000" w:firstRow="0" w:lastRow="0" w:firstColumn="0" w:lastColumn="0" w:oddVBand="0" w:evenVBand="0" w:oddHBand="1" w:evenHBand="0" w:firstRowFirstColumn="0" w:firstRowLastColumn="0" w:lastRowFirstColumn="0" w:lastRowLastColumn="0"/>
          <w:wAfter w:w="38" w:type="dxa"/>
          <w:trHeight w:val="377"/>
        </w:trPr>
        <w:tc>
          <w:tcPr>
            <w:cnfStyle w:val="001000000000" w:firstRow="0" w:lastRow="0" w:firstColumn="1" w:lastColumn="0" w:oddVBand="0" w:evenVBand="0" w:oddHBand="0" w:evenHBand="0" w:firstRowFirstColumn="0" w:firstRowLastColumn="0" w:lastRowFirstColumn="0" w:lastRowLastColumn="0"/>
            <w:tcW w:w="3653" w:type="dxa"/>
            <w:shd w:val="clear" w:color="auto" w:fill="auto"/>
            <w:vAlign w:val="center"/>
          </w:tcPr>
          <w:p w14:paraId="62B63DBA" w14:textId="77777777" w:rsidR="00B1658D" w:rsidRPr="00260BF1" w:rsidRDefault="00B1658D" w:rsidP="00E91D34">
            <w:pPr>
              <w:keepNext/>
              <w:numPr>
                <w:ilvl w:val="0"/>
                <w:numId w:val="24"/>
              </w:numPr>
              <w:spacing w:after="60"/>
              <w:ind w:left="357" w:hanging="357"/>
              <w:jc w:val="left"/>
              <w:rPr>
                <w:noProof/>
              </w:rPr>
            </w:pPr>
            <w:r w:rsidRPr="00260BF1">
              <w:rPr>
                <w:noProof/>
              </w:rPr>
              <w:t xml:space="preserve">Tax on </w:t>
            </w:r>
            <w:r>
              <w:rPr>
                <w:noProof/>
              </w:rPr>
              <w:t>c</w:t>
            </w:r>
            <w:r w:rsidRPr="00260BF1">
              <w:rPr>
                <w:noProof/>
              </w:rPr>
              <w:t xml:space="preserve">ryptocurrencies </w:t>
            </w:r>
          </w:p>
        </w:tc>
        <w:tc>
          <w:tcPr>
            <w:tcW w:w="1773" w:type="dxa"/>
            <w:shd w:val="clear" w:color="auto" w:fill="auto"/>
            <w:vAlign w:val="center"/>
          </w:tcPr>
          <w:p w14:paraId="046AE197" w14:textId="77777777" w:rsidR="00B1658D" w:rsidRPr="00260BF1"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593BBC52" wp14:editId="63B48176">
                  <wp:extent cx="288000" cy="2880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Modest</w:t>
            </w:r>
          </w:p>
        </w:tc>
        <w:tc>
          <w:tcPr>
            <w:tcW w:w="1708" w:type="dxa"/>
            <w:shd w:val="clear" w:color="auto" w:fill="auto"/>
            <w:vAlign w:val="center"/>
          </w:tcPr>
          <w:p w14:paraId="135D093E" w14:textId="1462FC80" w:rsidR="00B1658D" w:rsidRDefault="4792ABB9" w:rsidP="00E91D34">
            <w:pPr>
              <w:keepNext/>
              <w:spacing w:after="120"/>
              <w:jc w:val="center"/>
              <w:cnfStyle w:val="000000100000" w:firstRow="0" w:lastRow="0" w:firstColumn="0" w:lastColumn="0" w:oddVBand="0" w:evenVBand="0" w:oddHBand="1" w:evenHBand="0" w:firstRowFirstColumn="0" w:firstRowLastColumn="0" w:lastRowFirstColumn="0" w:lastRowLastColumn="0"/>
              <w:rPr>
                <w:noProof/>
                <w:color w:val="002060"/>
                <w:sz w:val="18"/>
                <w:szCs w:val="18"/>
              </w:rPr>
            </w:pPr>
            <w:r>
              <w:rPr>
                <w:noProof/>
                <w:lang w:eastAsia="en-GB"/>
              </w:rPr>
              <w:drawing>
                <wp:inline distT="0" distB="0" distL="0" distR="0" wp14:anchorId="0BA53FC3" wp14:editId="66EA1368">
                  <wp:extent cx="288000" cy="288000"/>
                  <wp:effectExtent l="0" t="0" r="0" b="0"/>
                  <wp:docPr id="1441300847" name="Picture 144130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288000" cy="288000"/>
                          </a:xfrm>
                          <a:prstGeom prst="rect">
                            <a:avLst/>
                          </a:prstGeom>
                          <a:noFill/>
                          <a:ln>
                            <a:noFill/>
                          </a:ln>
                        </pic:spPr>
                      </pic:pic>
                    </a:graphicData>
                  </a:graphic>
                </wp:inline>
              </w:drawing>
            </w:r>
          </w:p>
          <w:p w14:paraId="73384984" w14:textId="347D7DC9" w:rsidR="00B1658D" w:rsidRPr="008972AA" w:rsidRDefault="2B295930"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1BCD28A7">
              <w:rPr>
                <w:noProof/>
                <w:color w:val="002060"/>
                <w:sz w:val="18"/>
                <w:szCs w:val="18"/>
              </w:rPr>
              <w:t>Adequate</w:t>
            </w:r>
          </w:p>
        </w:tc>
        <w:tc>
          <w:tcPr>
            <w:tcW w:w="2034" w:type="dxa"/>
            <w:gridSpan w:val="2"/>
            <w:shd w:val="clear" w:color="auto" w:fill="auto"/>
            <w:vAlign w:val="center"/>
          </w:tcPr>
          <w:p w14:paraId="51693D6B" w14:textId="7A10BF17" w:rsidR="00B1658D" w:rsidRPr="008972AA" w:rsidRDefault="107C4088"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Pr>
                <w:noProof/>
                <w:lang w:eastAsia="en-GB"/>
              </w:rPr>
              <w:drawing>
                <wp:inline distT="0" distB="0" distL="0" distR="0" wp14:anchorId="3496733B" wp14:editId="027DA611">
                  <wp:extent cx="288000" cy="288000"/>
                  <wp:effectExtent l="0" t="0" r="0" b="0"/>
                  <wp:docPr id="1760264228" name="Picture 176026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88000" cy="288000"/>
                          </a:xfrm>
                          <a:prstGeom prst="rect">
                            <a:avLst/>
                          </a:prstGeom>
                          <a:noFill/>
                          <a:ln>
                            <a:noFill/>
                          </a:ln>
                        </pic:spPr>
                      </pic:pic>
                    </a:graphicData>
                  </a:graphic>
                </wp:inline>
              </w:drawing>
            </w:r>
            <w:r w:rsidR="3E027F20">
              <w:rPr>
                <w:noProof/>
              </w:rPr>
              <w:br/>
            </w:r>
            <w:r w:rsidR="4AD10F44" w:rsidRPr="1BCD28A7">
              <w:rPr>
                <w:noProof/>
                <w:color w:val="002060"/>
                <w:sz w:val="18"/>
                <w:szCs w:val="18"/>
              </w:rPr>
              <w:t>Modest</w:t>
            </w:r>
          </w:p>
        </w:tc>
      </w:tr>
      <w:tr w:rsidR="008972AA" w:rsidRPr="009F2E4E" w14:paraId="74F4B39F" w14:textId="77777777" w:rsidTr="1BCD28A7">
        <w:trPr>
          <w:gridAfter w:val="1"/>
          <w:wAfter w:w="38" w:type="dxa"/>
          <w:trHeight w:val="377"/>
        </w:trPr>
        <w:tc>
          <w:tcPr>
            <w:cnfStyle w:val="001000000000" w:firstRow="0" w:lastRow="0" w:firstColumn="1" w:lastColumn="0" w:oddVBand="0" w:evenVBand="0" w:oddHBand="0" w:evenHBand="0" w:firstRowFirstColumn="0" w:firstRowLastColumn="0" w:lastRowFirstColumn="0" w:lastRowLastColumn="0"/>
            <w:tcW w:w="3653" w:type="dxa"/>
            <w:shd w:val="clear" w:color="auto" w:fill="auto"/>
            <w:vAlign w:val="center"/>
          </w:tcPr>
          <w:p w14:paraId="6290AC1C" w14:textId="77777777" w:rsidR="00B1658D" w:rsidRPr="00260BF1" w:rsidRDefault="00B1658D" w:rsidP="00E91D34">
            <w:pPr>
              <w:keepNext/>
              <w:numPr>
                <w:ilvl w:val="0"/>
                <w:numId w:val="24"/>
              </w:numPr>
              <w:spacing w:after="60"/>
              <w:ind w:left="357" w:hanging="357"/>
              <w:jc w:val="left"/>
              <w:rPr>
                <w:noProof/>
              </w:rPr>
            </w:pPr>
            <w:r w:rsidRPr="00260BF1">
              <w:rPr>
                <w:noProof/>
              </w:rPr>
              <w:t>Statistical own resource based on Gender pay gap</w:t>
            </w:r>
          </w:p>
        </w:tc>
        <w:tc>
          <w:tcPr>
            <w:tcW w:w="1773" w:type="dxa"/>
            <w:shd w:val="clear" w:color="auto" w:fill="auto"/>
            <w:vAlign w:val="center"/>
          </w:tcPr>
          <w:p w14:paraId="63279CB0" w14:textId="77777777" w:rsidR="00B1658D" w:rsidRPr="00260BF1" w:rsidRDefault="00B1658D"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lang w:val="fr-BE" w:eastAsia="fr-BE"/>
              </w:rPr>
            </w:pPr>
            <w:r w:rsidRPr="00FF6BC0">
              <w:rPr>
                <w:noProof/>
                <w:lang w:eastAsia="en-GB"/>
              </w:rPr>
              <w:drawing>
                <wp:inline distT="0" distB="0" distL="0" distR="0" wp14:anchorId="3CE1BCCA" wp14:editId="3B1463BB">
                  <wp:extent cx="288000" cy="2880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Adequate</w:t>
            </w:r>
          </w:p>
        </w:tc>
        <w:tc>
          <w:tcPr>
            <w:tcW w:w="1708" w:type="dxa"/>
            <w:shd w:val="clear" w:color="auto" w:fill="auto"/>
            <w:vAlign w:val="center"/>
          </w:tcPr>
          <w:p w14:paraId="01B30912" w14:textId="77777777" w:rsidR="00B1658D" w:rsidRPr="00260BF1" w:rsidRDefault="00B1658D"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lang w:val="fr-BE" w:eastAsia="fr-BE"/>
              </w:rPr>
            </w:pPr>
            <w:r w:rsidRPr="00FF6BC0">
              <w:rPr>
                <w:noProof/>
                <w:lang w:eastAsia="en-GB"/>
              </w:rPr>
              <w:drawing>
                <wp:inline distT="0" distB="0" distL="0" distR="0" wp14:anchorId="1842C850" wp14:editId="550B748F">
                  <wp:extent cx="288000" cy="2880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Adequate</w:t>
            </w:r>
          </w:p>
        </w:tc>
        <w:tc>
          <w:tcPr>
            <w:tcW w:w="2034" w:type="dxa"/>
            <w:gridSpan w:val="2"/>
            <w:shd w:val="clear" w:color="auto" w:fill="auto"/>
            <w:vAlign w:val="center"/>
          </w:tcPr>
          <w:p w14:paraId="4C6FB80D" w14:textId="4DADFAC8" w:rsidR="00B1658D" w:rsidRPr="00260BF1" w:rsidRDefault="004E4A51"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lang w:val="fr-BE" w:eastAsia="fr-BE"/>
              </w:rPr>
            </w:pPr>
            <w:r w:rsidRPr="00FF6BC0">
              <w:rPr>
                <w:noProof/>
                <w:lang w:eastAsia="en-GB"/>
              </w:rPr>
              <w:drawing>
                <wp:inline distT="0" distB="0" distL="0" distR="0" wp14:anchorId="267A96A3" wp14:editId="47F1A5BC">
                  <wp:extent cx="288000" cy="28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Modest</w:t>
            </w:r>
          </w:p>
        </w:tc>
      </w:tr>
      <w:tr w:rsidR="008972AA" w:rsidRPr="009F2E4E" w14:paraId="7BFA9805" w14:textId="77777777" w:rsidTr="1BCD28A7">
        <w:trPr>
          <w:gridAfter w:val="1"/>
          <w:cnfStyle w:val="000000100000" w:firstRow="0" w:lastRow="0" w:firstColumn="0" w:lastColumn="0" w:oddVBand="0" w:evenVBand="0" w:oddHBand="1" w:evenHBand="0" w:firstRowFirstColumn="0" w:firstRowLastColumn="0" w:lastRowFirstColumn="0" w:lastRowLastColumn="0"/>
          <w:wAfter w:w="38" w:type="dxa"/>
          <w:trHeight w:val="377"/>
        </w:trPr>
        <w:tc>
          <w:tcPr>
            <w:cnfStyle w:val="001000000000" w:firstRow="0" w:lastRow="0" w:firstColumn="1" w:lastColumn="0" w:oddVBand="0" w:evenVBand="0" w:oddHBand="0" w:evenHBand="0" w:firstRowFirstColumn="0" w:firstRowLastColumn="0" w:lastRowFirstColumn="0" w:lastRowLastColumn="0"/>
            <w:tcW w:w="3653" w:type="dxa"/>
            <w:shd w:val="clear" w:color="auto" w:fill="auto"/>
            <w:vAlign w:val="center"/>
          </w:tcPr>
          <w:p w14:paraId="6A9BD6FE" w14:textId="77777777" w:rsidR="00B1658D" w:rsidRPr="00260BF1" w:rsidRDefault="00B1658D" w:rsidP="00B1658D">
            <w:pPr>
              <w:keepNext/>
              <w:numPr>
                <w:ilvl w:val="0"/>
                <w:numId w:val="24"/>
              </w:numPr>
              <w:spacing w:after="60"/>
              <w:ind w:left="357" w:hanging="357"/>
              <w:jc w:val="left"/>
              <w:rPr>
                <w:noProof/>
              </w:rPr>
            </w:pPr>
            <w:r w:rsidRPr="00260BF1">
              <w:rPr>
                <w:noProof/>
              </w:rPr>
              <w:t xml:space="preserve">Statistical own resource based on </w:t>
            </w:r>
            <w:r w:rsidRPr="00EB2743">
              <w:rPr>
                <w:noProof/>
              </w:rPr>
              <w:t>Food</w:t>
            </w:r>
            <w:r w:rsidRPr="00260BF1">
              <w:rPr>
                <w:noProof/>
              </w:rPr>
              <w:t xml:space="preserve"> waste  </w:t>
            </w:r>
          </w:p>
        </w:tc>
        <w:tc>
          <w:tcPr>
            <w:tcW w:w="1773" w:type="dxa"/>
            <w:shd w:val="clear" w:color="auto" w:fill="auto"/>
            <w:vAlign w:val="center"/>
          </w:tcPr>
          <w:p w14:paraId="7793AE67" w14:textId="77777777" w:rsidR="00B1658D" w:rsidRPr="00260BF1"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1FCCF222" wp14:editId="1471C15F">
                  <wp:extent cx="288000" cy="2880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Adequate</w:t>
            </w:r>
          </w:p>
        </w:tc>
        <w:tc>
          <w:tcPr>
            <w:tcW w:w="1708" w:type="dxa"/>
            <w:shd w:val="clear" w:color="auto" w:fill="auto"/>
            <w:vAlign w:val="center"/>
          </w:tcPr>
          <w:p w14:paraId="7796A757" w14:textId="77777777" w:rsidR="00B1658D" w:rsidRPr="00260BF1"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17355C">
              <w:rPr>
                <w:noProof/>
                <w:lang w:eastAsia="en-GB"/>
              </w:rPr>
              <w:drawing>
                <wp:inline distT="0" distB="0" distL="0" distR="0" wp14:anchorId="6B1403C5" wp14:editId="79E1877C">
                  <wp:extent cx="288000" cy="2880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Adequate</w:t>
            </w:r>
          </w:p>
        </w:tc>
        <w:tc>
          <w:tcPr>
            <w:tcW w:w="2034" w:type="dxa"/>
            <w:gridSpan w:val="2"/>
            <w:shd w:val="clear" w:color="auto" w:fill="auto"/>
            <w:vAlign w:val="center"/>
          </w:tcPr>
          <w:p w14:paraId="699EB39B" w14:textId="77777777" w:rsidR="00B1658D" w:rsidRDefault="00B1658D" w:rsidP="00E91D34">
            <w:pPr>
              <w:keepNext/>
              <w:spacing w:after="120"/>
              <w:jc w:val="center"/>
              <w:cnfStyle w:val="000000100000" w:firstRow="0" w:lastRow="0" w:firstColumn="0" w:lastColumn="0" w:oddVBand="0" w:evenVBand="0" w:oddHBand="1" w:evenHBand="0" w:firstRowFirstColumn="0" w:firstRowLastColumn="0" w:lastRowFirstColumn="0" w:lastRowLastColumn="0"/>
              <w:rPr>
                <w:noProof/>
                <w:color w:val="002060"/>
                <w:sz w:val="18"/>
                <w:szCs w:val="18"/>
              </w:rPr>
            </w:pPr>
            <w:r w:rsidRPr="00FF6BC0">
              <w:rPr>
                <w:noProof/>
                <w:lang w:eastAsia="en-GB"/>
              </w:rPr>
              <w:drawing>
                <wp:inline distT="0" distB="0" distL="0" distR="0" wp14:anchorId="5C17A80A" wp14:editId="12967B8D">
                  <wp:extent cx="288000" cy="2880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p w14:paraId="085D3D05" w14:textId="77777777" w:rsidR="00B1658D" w:rsidRPr="00260BF1" w:rsidRDefault="00B1658D" w:rsidP="00E91D34">
            <w:pPr>
              <w:keepNext/>
              <w:spacing w:after="60"/>
              <w:jc w:val="center"/>
              <w:cnfStyle w:val="000000100000" w:firstRow="0" w:lastRow="0" w:firstColumn="0" w:lastColumn="0" w:oddVBand="0" w:evenVBand="0" w:oddHBand="1" w:evenHBand="0" w:firstRowFirstColumn="0" w:firstRowLastColumn="0" w:lastRowFirstColumn="0" w:lastRowLastColumn="0"/>
              <w:rPr>
                <w:noProof/>
              </w:rPr>
            </w:pPr>
            <w:r w:rsidRPr="00B5098F">
              <w:rPr>
                <w:noProof/>
                <w:color w:val="002060"/>
                <w:sz w:val="18"/>
                <w:szCs w:val="18"/>
              </w:rPr>
              <w:t>Good</w:t>
            </w:r>
          </w:p>
        </w:tc>
      </w:tr>
      <w:tr w:rsidR="008972AA" w:rsidRPr="009F2E4E" w14:paraId="7C424A22" w14:textId="77777777" w:rsidTr="1BCD28A7">
        <w:trPr>
          <w:gridAfter w:val="1"/>
          <w:wAfter w:w="38" w:type="dxa"/>
          <w:trHeight w:val="423"/>
        </w:trPr>
        <w:tc>
          <w:tcPr>
            <w:cnfStyle w:val="001000000000" w:firstRow="0" w:lastRow="0" w:firstColumn="1" w:lastColumn="0" w:oddVBand="0" w:evenVBand="0" w:oddHBand="0" w:evenHBand="0" w:firstRowFirstColumn="0" w:firstRowLastColumn="0" w:lastRowFirstColumn="0" w:lastRowLastColumn="0"/>
            <w:tcW w:w="3653" w:type="dxa"/>
            <w:shd w:val="clear" w:color="auto" w:fill="auto"/>
            <w:vAlign w:val="center"/>
          </w:tcPr>
          <w:p w14:paraId="57A6E24A" w14:textId="2347EDFF" w:rsidR="00B1658D" w:rsidRPr="00260BF1" w:rsidRDefault="00B1658D" w:rsidP="00E91D34">
            <w:pPr>
              <w:keepNext/>
              <w:numPr>
                <w:ilvl w:val="0"/>
                <w:numId w:val="24"/>
              </w:numPr>
              <w:spacing w:after="60"/>
              <w:ind w:left="357" w:hanging="357"/>
              <w:jc w:val="left"/>
              <w:rPr>
                <w:noProof/>
              </w:rPr>
            </w:pPr>
            <w:r w:rsidRPr="00260BF1">
              <w:rPr>
                <w:noProof/>
              </w:rPr>
              <w:t xml:space="preserve">Statistical own resource based on E </w:t>
            </w:r>
            <w:r w:rsidR="00316D71">
              <w:rPr>
                <w:noProof/>
              </w:rPr>
              <w:t>–</w:t>
            </w:r>
            <w:r w:rsidRPr="00260BF1">
              <w:rPr>
                <w:noProof/>
              </w:rPr>
              <w:t xml:space="preserve"> waste</w:t>
            </w:r>
          </w:p>
        </w:tc>
        <w:tc>
          <w:tcPr>
            <w:tcW w:w="1773" w:type="dxa"/>
            <w:shd w:val="clear" w:color="auto" w:fill="auto"/>
            <w:vAlign w:val="center"/>
          </w:tcPr>
          <w:p w14:paraId="38440F12" w14:textId="77777777" w:rsidR="00B1658D" w:rsidRPr="00260BF1" w:rsidRDefault="00B1658D"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320E83A0" wp14:editId="71DC5BD3">
                  <wp:extent cx="288000" cy="2880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Adequate</w:t>
            </w:r>
          </w:p>
        </w:tc>
        <w:tc>
          <w:tcPr>
            <w:tcW w:w="1708" w:type="dxa"/>
            <w:shd w:val="clear" w:color="auto" w:fill="auto"/>
            <w:vAlign w:val="center"/>
          </w:tcPr>
          <w:p w14:paraId="2602E561" w14:textId="77777777" w:rsidR="00B1658D" w:rsidRPr="00260BF1" w:rsidRDefault="00B1658D"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2DBBB187" wp14:editId="149655E5">
                  <wp:extent cx="288000" cy="2880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Adequate</w:t>
            </w:r>
          </w:p>
        </w:tc>
        <w:tc>
          <w:tcPr>
            <w:tcW w:w="2034" w:type="dxa"/>
            <w:gridSpan w:val="2"/>
            <w:shd w:val="clear" w:color="auto" w:fill="auto"/>
            <w:vAlign w:val="center"/>
          </w:tcPr>
          <w:p w14:paraId="58268AC9" w14:textId="77777777" w:rsidR="00B1658D" w:rsidRDefault="00B1658D" w:rsidP="00E91D34">
            <w:pPr>
              <w:keepNext/>
              <w:spacing w:after="120"/>
              <w:jc w:val="center"/>
              <w:cnfStyle w:val="000000000000" w:firstRow="0" w:lastRow="0" w:firstColumn="0" w:lastColumn="0" w:oddVBand="0" w:evenVBand="0" w:oddHBand="0" w:evenHBand="0" w:firstRowFirstColumn="0" w:firstRowLastColumn="0" w:lastRowFirstColumn="0" w:lastRowLastColumn="0"/>
              <w:rPr>
                <w:noProof/>
                <w:color w:val="002060"/>
                <w:sz w:val="18"/>
                <w:szCs w:val="18"/>
              </w:rPr>
            </w:pPr>
            <w:r w:rsidRPr="00FF6BC0">
              <w:rPr>
                <w:noProof/>
                <w:lang w:eastAsia="en-GB"/>
              </w:rPr>
              <w:drawing>
                <wp:inline distT="0" distB="0" distL="0" distR="0" wp14:anchorId="666A0177" wp14:editId="0BC712D1">
                  <wp:extent cx="288000" cy="2880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p w14:paraId="59A724F9" w14:textId="77777777" w:rsidR="00B1658D" w:rsidRPr="00260BF1" w:rsidRDefault="00B1658D" w:rsidP="00E91D34">
            <w:pPr>
              <w:keepNext/>
              <w:spacing w:after="60"/>
              <w:jc w:val="center"/>
              <w:cnfStyle w:val="000000000000" w:firstRow="0" w:lastRow="0" w:firstColumn="0" w:lastColumn="0" w:oddVBand="0" w:evenVBand="0" w:oddHBand="0" w:evenHBand="0" w:firstRowFirstColumn="0" w:firstRowLastColumn="0" w:lastRowFirstColumn="0" w:lastRowLastColumn="0"/>
              <w:rPr>
                <w:noProof/>
              </w:rPr>
            </w:pPr>
            <w:r w:rsidRPr="00B5098F">
              <w:rPr>
                <w:noProof/>
                <w:color w:val="002060"/>
                <w:sz w:val="18"/>
                <w:szCs w:val="18"/>
              </w:rPr>
              <w:t>Good</w:t>
            </w:r>
          </w:p>
        </w:tc>
      </w:tr>
    </w:tbl>
    <w:p w14:paraId="2D8CDEA8" w14:textId="405AD568" w:rsidR="00EA4B39" w:rsidRDefault="00EA4B39" w:rsidP="006374EA">
      <w:pPr>
        <w:keepNex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E8F2E1" w:themeColor="accent4" w:themeTint="33"/>
        </w:tblBorders>
        <w:shd w:val="clear" w:color="auto" w:fill="FFFFFF" w:themeFill="background1"/>
        <w:tblLook w:val="04A0" w:firstRow="1" w:lastRow="0" w:firstColumn="1" w:lastColumn="0" w:noHBand="0" w:noVBand="1"/>
      </w:tblPr>
      <w:tblGrid>
        <w:gridCol w:w="988"/>
        <w:gridCol w:w="988"/>
        <w:gridCol w:w="988"/>
        <w:gridCol w:w="988"/>
        <w:gridCol w:w="988"/>
        <w:gridCol w:w="988"/>
      </w:tblGrid>
      <w:tr w:rsidR="00B1658D" w14:paraId="23057487" w14:textId="77777777" w:rsidTr="002E262C">
        <w:trPr>
          <w:trHeight w:val="562"/>
        </w:trPr>
        <w:tc>
          <w:tcPr>
            <w:tcW w:w="988" w:type="dxa"/>
            <w:shd w:val="clear" w:color="auto" w:fill="FFFFFF" w:themeFill="background1"/>
            <w:vAlign w:val="center"/>
          </w:tcPr>
          <w:p w14:paraId="310A22A2" w14:textId="13AFAD1D" w:rsidR="002E262C" w:rsidRDefault="002E262C" w:rsidP="00697447">
            <w:pPr>
              <w:keepNext/>
              <w:spacing w:after="0"/>
              <w:jc w:val="center"/>
              <w:rPr>
                <w:noProof/>
                <w:color w:val="023E8A" w:themeColor="accent1"/>
              </w:rPr>
            </w:pPr>
            <w:r w:rsidRPr="003759B3">
              <w:rPr>
                <w:b/>
                <w:bCs/>
                <w:noProof/>
                <w:color w:val="023E8A" w:themeColor="accent1"/>
              </w:rPr>
              <w:t>Scoring</w:t>
            </w:r>
            <w:r>
              <w:rPr>
                <w:b/>
                <w:bCs/>
                <w:noProof/>
                <w:color w:val="023E8A" w:themeColor="accent1"/>
              </w:rPr>
              <w:t>:</w:t>
            </w:r>
          </w:p>
        </w:tc>
        <w:tc>
          <w:tcPr>
            <w:tcW w:w="988" w:type="dxa"/>
            <w:shd w:val="clear" w:color="auto" w:fill="FFFFFF" w:themeFill="background1"/>
            <w:vAlign w:val="center"/>
          </w:tcPr>
          <w:p w14:paraId="6CDF6ABA" w14:textId="77777777" w:rsidR="002E262C" w:rsidRPr="0090453B" w:rsidRDefault="002E262C" w:rsidP="00697447">
            <w:pPr>
              <w:keepNext/>
              <w:spacing w:after="120"/>
              <w:jc w:val="center"/>
              <w:rPr>
                <w:bCs/>
                <w:noProof/>
                <w:color w:val="023E8A" w:themeColor="accent1"/>
                <w:sz w:val="18"/>
                <w:szCs w:val="18"/>
              </w:rPr>
            </w:pPr>
            <w:r w:rsidRPr="00FF6BC0">
              <w:rPr>
                <w:noProof/>
                <w:lang w:eastAsia="en-GB"/>
              </w:rPr>
              <w:drawing>
                <wp:inline distT="0" distB="0" distL="0" distR="0" wp14:anchorId="49A7CA00" wp14:editId="44FD3F36">
                  <wp:extent cx="288000" cy="2880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Cs/>
                <w:noProof/>
                <w:color w:val="023E8A" w:themeColor="accent1"/>
                <w:sz w:val="18"/>
                <w:szCs w:val="18"/>
              </w:rPr>
              <w:br/>
              <w:t>None</w:t>
            </w:r>
          </w:p>
        </w:tc>
        <w:tc>
          <w:tcPr>
            <w:tcW w:w="988" w:type="dxa"/>
            <w:shd w:val="clear" w:color="auto" w:fill="FFFFFF" w:themeFill="background1"/>
            <w:vAlign w:val="center"/>
          </w:tcPr>
          <w:p w14:paraId="520E6585" w14:textId="77777777" w:rsidR="002E262C" w:rsidRDefault="002E262C" w:rsidP="00697447">
            <w:pPr>
              <w:keepNext/>
              <w:spacing w:after="120"/>
              <w:jc w:val="center"/>
              <w:rPr>
                <w:noProof/>
                <w:color w:val="023E8A" w:themeColor="accent1"/>
              </w:rPr>
            </w:pPr>
            <w:r w:rsidRPr="0017355C">
              <w:rPr>
                <w:noProof/>
                <w:lang w:eastAsia="en-GB"/>
              </w:rPr>
              <w:drawing>
                <wp:inline distT="0" distB="0" distL="0" distR="0" wp14:anchorId="426ED2F5" wp14:editId="309FE0C3">
                  <wp:extent cx="288000" cy="2880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Modest</w:t>
            </w:r>
          </w:p>
        </w:tc>
        <w:tc>
          <w:tcPr>
            <w:tcW w:w="988" w:type="dxa"/>
            <w:shd w:val="clear" w:color="auto" w:fill="FFFFFF" w:themeFill="background1"/>
            <w:vAlign w:val="center"/>
          </w:tcPr>
          <w:p w14:paraId="0D597437" w14:textId="77777777" w:rsidR="002E262C" w:rsidRDefault="002E262C" w:rsidP="00697447">
            <w:pPr>
              <w:keepNext/>
              <w:spacing w:after="120"/>
              <w:jc w:val="center"/>
              <w:rPr>
                <w:noProof/>
                <w:color w:val="023E8A" w:themeColor="accent1"/>
              </w:rPr>
            </w:pPr>
            <w:r w:rsidRPr="0017355C">
              <w:rPr>
                <w:noProof/>
                <w:lang w:eastAsia="en-GB"/>
              </w:rPr>
              <w:drawing>
                <wp:inline distT="0" distB="0" distL="0" distR="0" wp14:anchorId="007E77EE" wp14:editId="0ECB85D5">
                  <wp:extent cx="288000" cy="2880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Adequate</w:t>
            </w:r>
          </w:p>
        </w:tc>
        <w:tc>
          <w:tcPr>
            <w:tcW w:w="988" w:type="dxa"/>
            <w:shd w:val="clear" w:color="auto" w:fill="FFFFFF" w:themeFill="background1"/>
            <w:vAlign w:val="center"/>
          </w:tcPr>
          <w:p w14:paraId="3BCC0DBD" w14:textId="77777777" w:rsidR="002E262C" w:rsidRDefault="002E262C" w:rsidP="00697447">
            <w:pPr>
              <w:keepNext/>
              <w:spacing w:after="120"/>
              <w:jc w:val="center"/>
              <w:rPr>
                <w:noProof/>
                <w:color w:val="023E8A" w:themeColor="accent1"/>
              </w:rPr>
            </w:pPr>
            <w:r w:rsidRPr="0017355C">
              <w:rPr>
                <w:noProof/>
                <w:lang w:eastAsia="en-GB"/>
              </w:rPr>
              <w:drawing>
                <wp:inline distT="0" distB="0" distL="0" distR="0" wp14:anchorId="30DA01D7" wp14:editId="368562B2">
                  <wp:extent cx="288000" cy="2880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Good</w:t>
            </w:r>
          </w:p>
        </w:tc>
        <w:tc>
          <w:tcPr>
            <w:tcW w:w="988" w:type="dxa"/>
            <w:shd w:val="clear" w:color="auto" w:fill="FFFFFF" w:themeFill="background1"/>
            <w:vAlign w:val="center"/>
          </w:tcPr>
          <w:p w14:paraId="1E37E880" w14:textId="77777777" w:rsidR="002E262C" w:rsidRDefault="002E262C" w:rsidP="00697447">
            <w:pPr>
              <w:keepNext/>
              <w:spacing w:after="120"/>
              <w:jc w:val="center"/>
              <w:rPr>
                <w:noProof/>
                <w:color w:val="023E8A" w:themeColor="accent1"/>
              </w:rPr>
            </w:pPr>
            <w:r w:rsidRPr="0017355C">
              <w:rPr>
                <w:noProof/>
                <w:lang w:eastAsia="en-GB"/>
              </w:rPr>
              <w:drawing>
                <wp:inline distT="0" distB="0" distL="0" distR="0" wp14:anchorId="362810BB" wp14:editId="3A16B1CC">
                  <wp:extent cx="288000" cy="2880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Pr>
                <w:b/>
                <w:noProof/>
                <w:color w:val="023E8A" w:themeColor="accent1"/>
                <w:sz w:val="22"/>
                <w:szCs w:val="22"/>
              </w:rPr>
              <w:br/>
            </w:r>
            <w:r w:rsidRPr="00B5098F">
              <w:rPr>
                <w:noProof/>
                <w:color w:val="002060"/>
                <w:sz w:val="18"/>
                <w:szCs w:val="18"/>
              </w:rPr>
              <w:t>Full</w:t>
            </w:r>
          </w:p>
        </w:tc>
      </w:tr>
    </w:tbl>
    <w:p w14:paraId="04FB8ABA" w14:textId="5BEA74CA" w:rsidR="001F5BBB" w:rsidRPr="009F2E4E" w:rsidRDefault="001F5BBB" w:rsidP="006374EA">
      <w:pPr>
        <w:keepNext/>
        <w:rPr>
          <w:noProof/>
        </w:rPr>
      </w:pPr>
      <w:r w:rsidRPr="009F2E4E">
        <w:rPr>
          <w:i/>
          <w:noProof/>
        </w:rPr>
        <w:t>Notes:</w:t>
      </w:r>
      <w:r w:rsidRPr="009F2E4E">
        <w:rPr>
          <w:noProof/>
        </w:rPr>
        <w:t xml:space="preserve"> (1) for more information about the scoring system, see Box </w:t>
      </w:r>
      <w:r w:rsidR="0016773A">
        <w:rPr>
          <w:noProof/>
        </w:rPr>
        <w:t>3</w:t>
      </w:r>
      <w:r w:rsidRPr="009F2E4E">
        <w:rPr>
          <w:noProof/>
        </w:rPr>
        <w:t xml:space="preserve">. </w:t>
      </w:r>
    </w:p>
    <w:p w14:paraId="4105B545" w14:textId="4468E25D" w:rsidR="001F5BBB" w:rsidRPr="009F2E4E" w:rsidRDefault="001F5BBB" w:rsidP="006374EA">
      <w:pPr>
        <w:keepNext/>
        <w:rPr>
          <w:noProof/>
        </w:rPr>
      </w:pPr>
      <w:r w:rsidRPr="009F2E4E">
        <w:rPr>
          <w:i/>
          <w:noProof/>
        </w:rPr>
        <w:t>Source:</w:t>
      </w:r>
      <w:r w:rsidRPr="009F2E4E">
        <w:rPr>
          <w:noProof/>
        </w:rPr>
        <w:t xml:space="preserve"> European Commission</w:t>
      </w:r>
      <w:r w:rsidR="005A090A">
        <w:rPr>
          <w:noProof/>
        </w:rPr>
        <w:t>.</w:t>
      </w:r>
    </w:p>
    <w:p w14:paraId="242920C4" w14:textId="3ECD0046" w:rsidR="001F5BBB" w:rsidRPr="009F2E4E" w:rsidRDefault="001F5BBB">
      <w:pPr>
        <w:spacing w:after="0"/>
        <w:jc w:val="left"/>
        <w:rPr>
          <w:noProof/>
        </w:rPr>
      </w:pPr>
      <w:r w:rsidRPr="009F2E4E">
        <w:rPr>
          <w:noProof/>
        </w:rPr>
        <w:br w:type="page"/>
      </w:r>
    </w:p>
    <w:p w14:paraId="09B597A4" w14:textId="09D96003" w:rsidR="001E09DC" w:rsidRPr="009F2E4E" w:rsidRDefault="00CC3082" w:rsidP="004D422C">
      <w:pPr>
        <w:pStyle w:val="Heading1"/>
        <w:rPr>
          <w:smallCaps/>
        </w:rPr>
      </w:pPr>
      <w:bookmarkStart w:id="205" w:name="_Toc133405556"/>
      <w:bookmarkStart w:id="206" w:name="_Toc133426660"/>
      <w:bookmarkStart w:id="207" w:name="_Toc134446552"/>
      <w:bookmarkStart w:id="208" w:name="_Toc135860250"/>
      <w:bookmarkStart w:id="209" w:name="_Toc136599818"/>
      <w:bookmarkStart w:id="210" w:name="_Toc136600396"/>
      <w:bookmarkStart w:id="211" w:name="_Toc137494001"/>
      <w:bookmarkEnd w:id="151"/>
      <w:r w:rsidRPr="00507DA1">
        <w:rPr>
          <w:b/>
        </w:rPr>
        <w:t>Part 3.</w:t>
      </w:r>
      <w:r w:rsidRPr="009F2E4E">
        <w:t xml:space="preserve"> The </w:t>
      </w:r>
      <w:r w:rsidR="00736A41" w:rsidRPr="009F2E4E">
        <w:t>n</w:t>
      </w:r>
      <w:r w:rsidRPr="009F2E4E">
        <w:t>ew own resource</w:t>
      </w:r>
      <w:r w:rsidR="00D46EE9">
        <w:t>s</w:t>
      </w:r>
      <w:r w:rsidRPr="009F2E4E">
        <w:t xml:space="preserve"> package</w:t>
      </w:r>
      <w:bookmarkEnd w:id="205"/>
      <w:bookmarkEnd w:id="206"/>
      <w:bookmarkEnd w:id="207"/>
      <w:bookmarkEnd w:id="208"/>
      <w:bookmarkEnd w:id="209"/>
      <w:bookmarkEnd w:id="210"/>
      <w:bookmarkEnd w:id="211"/>
    </w:p>
    <w:p w14:paraId="16872AF9" w14:textId="05A51490" w:rsidR="00E97CBD" w:rsidRPr="009F2E4E" w:rsidRDefault="00AA47FB" w:rsidP="00AC4F18">
      <w:pPr>
        <w:rPr>
          <w:noProof/>
        </w:rPr>
      </w:pPr>
      <w:bookmarkStart w:id="212" w:name="_Hlk135733842"/>
      <w:r>
        <w:rPr>
          <w:b/>
          <w:bCs/>
          <w:noProof/>
          <w:color w:val="023E8A" w:themeColor="accent1"/>
        </w:rPr>
        <w:t>Following the agreement on the Fit for 55 package</w:t>
      </w:r>
      <w:r w:rsidR="00AC4F18" w:rsidRPr="00AC4F18">
        <w:rPr>
          <w:bCs/>
          <w:noProof/>
          <w:lang w:val="en-IE"/>
        </w:rPr>
        <w:t xml:space="preserve">, </w:t>
      </w:r>
      <w:r w:rsidR="00AC4F18" w:rsidRPr="003D11D1">
        <w:rPr>
          <w:b/>
          <w:noProof/>
          <w:color w:val="023E8A" w:themeColor="accent1"/>
          <w:lang w:val="en-IE"/>
        </w:rPr>
        <w:t>the Commission proposes to adjust the first basket of</w:t>
      </w:r>
      <w:r w:rsidR="00AC4F18" w:rsidRPr="003D11D1">
        <w:rPr>
          <w:b/>
          <w:noProof/>
          <w:color w:val="023E8A" w:themeColor="accent1"/>
        </w:rPr>
        <w:t xml:space="preserve"> new own resources</w:t>
      </w:r>
      <w:r w:rsidR="00AC4F18" w:rsidRPr="00AC4F18">
        <w:rPr>
          <w:noProof/>
        </w:rPr>
        <w:t xml:space="preserve"> </w:t>
      </w:r>
      <w:r>
        <w:rPr>
          <w:noProof/>
        </w:rPr>
        <w:t xml:space="preserve">proposed in December 2021. </w:t>
      </w:r>
      <w:bookmarkEnd w:id="212"/>
      <w:r>
        <w:rPr>
          <w:noProof/>
        </w:rPr>
        <w:t>I</w:t>
      </w:r>
      <w:r w:rsidR="00207050" w:rsidRPr="008B36B8">
        <w:rPr>
          <w:noProof/>
        </w:rPr>
        <w:t>n</w:t>
      </w:r>
      <w:r w:rsidR="00207050">
        <w:rPr>
          <w:noProof/>
        </w:rPr>
        <w:t xml:space="preserve"> line with the inter</w:t>
      </w:r>
      <w:r w:rsidR="004E4A51">
        <w:rPr>
          <w:noProof/>
        </w:rPr>
        <w:t>-</w:t>
      </w:r>
      <w:r w:rsidR="00207050">
        <w:rPr>
          <w:noProof/>
        </w:rPr>
        <w:t xml:space="preserve">institutional agreement, the Commissions proposes to </w:t>
      </w:r>
      <w:r w:rsidR="0084185F">
        <w:rPr>
          <w:noProof/>
        </w:rPr>
        <w:t>adjust its proposal and puts forward</w:t>
      </w:r>
      <w:r w:rsidR="00207050">
        <w:rPr>
          <w:noProof/>
        </w:rPr>
        <w:t xml:space="preserve"> a corporate</w:t>
      </w:r>
      <w:r w:rsidR="0084185F">
        <w:rPr>
          <w:noProof/>
        </w:rPr>
        <w:t>-</w:t>
      </w:r>
      <w:r w:rsidR="00207050">
        <w:rPr>
          <w:noProof/>
        </w:rPr>
        <w:t xml:space="preserve">related own resource. </w:t>
      </w:r>
      <w:r w:rsidR="00AC4F18">
        <w:rPr>
          <w:noProof/>
        </w:rPr>
        <w:t>T</w:t>
      </w:r>
      <w:r w:rsidR="00E97CBD" w:rsidRPr="009F2E4E">
        <w:rPr>
          <w:noProof/>
        </w:rPr>
        <w:t xml:space="preserve">he assessment made in part </w:t>
      </w:r>
      <w:r w:rsidR="008B2085">
        <w:rPr>
          <w:noProof/>
        </w:rPr>
        <w:t>2</w:t>
      </w:r>
      <w:r w:rsidR="00E97CBD" w:rsidRPr="009F2E4E">
        <w:rPr>
          <w:noProof/>
        </w:rPr>
        <w:t xml:space="preserve"> shows that the statistical own resource </w:t>
      </w:r>
      <w:r w:rsidR="008B2085" w:rsidRPr="009F2E4E">
        <w:rPr>
          <w:noProof/>
        </w:rPr>
        <w:t xml:space="preserve">based </w:t>
      </w:r>
      <w:r w:rsidR="00E97CBD" w:rsidRPr="009F2E4E">
        <w:rPr>
          <w:noProof/>
        </w:rPr>
        <w:t>on company profit</w:t>
      </w:r>
      <w:r w:rsidR="0084185F">
        <w:rPr>
          <w:noProof/>
        </w:rPr>
        <w:t>s</w:t>
      </w:r>
      <w:r w:rsidR="00E97CBD" w:rsidRPr="009F2E4E">
        <w:rPr>
          <w:noProof/>
        </w:rPr>
        <w:t xml:space="preserve"> could generate revenues and be implemented quickly</w:t>
      </w:r>
      <w:r w:rsidR="00AC4F18">
        <w:rPr>
          <w:noProof/>
        </w:rPr>
        <w:t xml:space="preserve"> and </w:t>
      </w:r>
      <w:r w:rsidR="0084185F">
        <w:rPr>
          <w:noProof/>
        </w:rPr>
        <w:t>h</w:t>
      </w:r>
      <w:r w:rsidR="00207050">
        <w:rPr>
          <w:noProof/>
        </w:rPr>
        <w:t xml:space="preserve">as therefore </w:t>
      </w:r>
      <w:r w:rsidR="0084185F">
        <w:rPr>
          <w:noProof/>
        </w:rPr>
        <w:t>been</w:t>
      </w:r>
      <w:r w:rsidR="00207050">
        <w:rPr>
          <w:noProof/>
        </w:rPr>
        <w:t xml:space="preserve"> assessed to be a good candidate</w:t>
      </w:r>
      <w:r w:rsidR="00AC4F18">
        <w:rPr>
          <w:noProof/>
        </w:rPr>
        <w:t>.</w:t>
      </w:r>
      <w:r>
        <w:rPr>
          <w:noProof/>
        </w:rPr>
        <w:t xml:space="preserve"> </w:t>
      </w:r>
    </w:p>
    <w:p w14:paraId="511E2460" w14:textId="63456C06" w:rsidR="008B36B8" w:rsidRPr="009F2E4E" w:rsidRDefault="008B36B8" w:rsidP="00AC4F18">
      <w:pPr>
        <w:rPr>
          <w:noProof/>
        </w:rPr>
      </w:pPr>
      <w:r>
        <w:rPr>
          <w:noProof/>
        </w:rPr>
        <w:t xml:space="preserve">This part </w:t>
      </w:r>
      <w:r w:rsidR="006A795E">
        <w:rPr>
          <w:noProof/>
        </w:rPr>
        <w:t xml:space="preserve">describes in detail the package proposed by the Commission. </w:t>
      </w:r>
    </w:p>
    <w:p w14:paraId="3B3FD8DB" w14:textId="0CD4F9A5" w:rsidR="002F57F2" w:rsidRPr="009F2E4E" w:rsidRDefault="00507778" w:rsidP="00F65EB9">
      <w:pPr>
        <w:pStyle w:val="Heading2"/>
        <w:numPr>
          <w:ilvl w:val="1"/>
          <w:numId w:val="22"/>
        </w:numPr>
      </w:pPr>
      <w:bookmarkStart w:id="213" w:name="_Toc133405557"/>
      <w:bookmarkStart w:id="214" w:name="_Toc133426661"/>
      <w:bookmarkStart w:id="215" w:name="_Toc134446553"/>
      <w:bookmarkStart w:id="216" w:name="_Toc135860251"/>
      <w:bookmarkStart w:id="217" w:name="_Toc136599819"/>
      <w:bookmarkStart w:id="218" w:name="_Toc136600397"/>
      <w:bookmarkStart w:id="219" w:name="_Toc137494002"/>
      <w:r w:rsidRPr="009F2E4E">
        <w:t>Emission</w:t>
      </w:r>
      <w:r w:rsidR="00E50390">
        <w:t>s</w:t>
      </w:r>
      <w:r w:rsidRPr="009F2E4E">
        <w:t xml:space="preserve"> trading scheme (</w:t>
      </w:r>
      <w:r w:rsidR="005867EF" w:rsidRPr="009F2E4E">
        <w:t>ETS</w:t>
      </w:r>
      <w:r w:rsidRPr="009F2E4E">
        <w:t>)</w:t>
      </w:r>
      <w:r w:rsidR="005867EF" w:rsidRPr="009F2E4E">
        <w:t xml:space="preserve"> own resource</w:t>
      </w:r>
      <w:bookmarkEnd w:id="213"/>
      <w:bookmarkEnd w:id="214"/>
      <w:bookmarkEnd w:id="215"/>
      <w:bookmarkEnd w:id="216"/>
      <w:bookmarkEnd w:id="217"/>
      <w:bookmarkEnd w:id="218"/>
      <w:bookmarkEnd w:id="219"/>
    </w:p>
    <w:p w14:paraId="1B6F1E01" w14:textId="7F110F1B" w:rsidR="002F57F2" w:rsidRPr="009F2E4E" w:rsidRDefault="007A068D" w:rsidP="00F65EB9">
      <w:pPr>
        <w:pStyle w:val="Heading3"/>
        <w:rPr>
          <w:noProof/>
        </w:rPr>
      </w:pPr>
      <w:bookmarkStart w:id="220" w:name="_Toc133405558"/>
      <w:bookmarkStart w:id="221" w:name="_Toc133426662"/>
      <w:bookmarkStart w:id="222" w:name="_Toc134446554"/>
      <w:bookmarkStart w:id="223" w:name="_Toc135860252"/>
      <w:bookmarkStart w:id="224" w:name="_Toc136599820"/>
      <w:bookmarkStart w:id="225" w:name="_Toc136600398"/>
      <w:bookmarkStart w:id="226" w:name="_Toc137494003"/>
      <w:r w:rsidRPr="009F2E4E">
        <w:rPr>
          <w:noProof/>
        </w:rPr>
        <w:t xml:space="preserve">3.1.1. </w:t>
      </w:r>
      <w:r w:rsidR="002F57F2" w:rsidRPr="009F2E4E">
        <w:rPr>
          <w:noProof/>
        </w:rPr>
        <w:t>The 2021 proposal on ETS – a</w:t>
      </w:r>
      <w:r w:rsidR="00057B1F" w:rsidRPr="009F2E4E">
        <w:rPr>
          <w:noProof/>
        </w:rPr>
        <w:t>n overview</w:t>
      </w:r>
      <w:bookmarkEnd w:id="220"/>
      <w:bookmarkEnd w:id="221"/>
      <w:bookmarkEnd w:id="222"/>
      <w:bookmarkEnd w:id="223"/>
      <w:bookmarkEnd w:id="224"/>
      <w:bookmarkEnd w:id="225"/>
      <w:bookmarkEnd w:id="226"/>
    </w:p>
    <w:p w14:paraId="10DEDB0B" w14:textId="0E72BB28" w:rsidR="002F57F2" w:rsidRPr="009F2E4E" w:rsidRDefault="002F57F2" w:rsidP="00500E0C">
      <w:pPr>
        <w:rPr>
          <w:noProof/>
        </w:rPr>
      </w:pPr>
      <w:r w:rsidRPr="009F2E4E">
        <w:rPr>
          <w:rStyle w:val="Strong"/>
          <w:noProof/>
        </w:rPr>
        <w:t>In December 2021</w:t>
      </w:r>
      <w:r w:rsidR="008B2085">
        <w:rPr>
          <w:rStyle w:val="Strong"/>
          <w:noProof/>
        </w:rPr>
        <w:t>,</w:t>
      </w:r>
      <w:r w:rsidRPr="009F2E4E">
        <w:rPr>
          <w:rStyle w:val="Strong"/>
          <w:noProof/>
        </w:rPr>
        <w:t xml:space="preserve"> the Commission proposed to make part of the revenue</w:t>
      </w:r>
      <w:r w:rsidR="00FA5FF5">
        <w:rPr>
          <w:rStyle w:val="Strong"/>
          <w:noProof/>
        </w:rPr>
        <w:t>s</w:t>
      </w:r>
      <w:r w:rsidRPr="009F2E4E">
        <w:rPr>
          <w:rStyle w:val="Strong"/>
          <w:noProof/>
        </w:rPr>
        <w:t xml:space="preserve"> from </w:t>
      </w:r>
      <w:r w:rsidR="00FA5FF5">
        <w:rPr>
          <w:rStyle w:val="Strong"/>
          <w:noProof/>
        </w:rPr>
        <w:t>the</w:t>
      </w:r>
      <w:r w:rsidR="00FA5FF5" w:rsidRPr="009F2E4E">
        <w:rPr>
          <w:rStyle w:val="Strong"/>
          <w:noProof/>
        </w:rPr>
        <w:t xml:space="preserve"> </w:t>
      </w:r>
      <w:r w:rsidRPr="009F2E4E">
        <w:rPr>
          <w:rStyle w:val="Strong"/>
          <w:noProof/>
        </w:rPr>
        <w:t>ETS an own resource.</w:t>
      </w:r>
      <w:r w:rsidRPr="009F2E4E">
        <w:rPr>
          <w:noProof/>
        </w:rPr>
        <w:t xml:space="preserve"> This proposal built on the revised ETS architecture of the </w:t>
      </w:r>
      <w:r w:rsidR="00D47937">
        <w:rPr>
          <w:noProof/>
        </w:rPr>
        <w:t>‘</w:t>
      </w:r>
      <w:r w:rsidR="008B2085">
        <w:rPr>
          <w:noProof/>
        </w:rPr>
        <w:t>F</w:t>
      </w:r>
      <w:r w:rsidRPr="009F2E4E">
        <w:rPr>
          <w:noProof/>
        </w:rPr>
        <w:t>it</w:t>
      </w:r>
      <w:r w:rsidR="00D47937">
        <w:rPr>
          <w:noProof/>
        </w:rPr>
        <w:t>-</w:t>
      </w:r>
      <w:r w:rsidRPr="009F2E4E">
        <w:rPr>
          <w:noProof/>
        </w:rPr>
        <w:t>for</w:t>
      </w:r>
      <w:r w:rsidR="0095663F">
        <w:rPr>
          <w:noProof/>
        </w:rPr>
        <w:t>-</w:t>
      </w:r>
      <w:r w:rsidRPr="009F2E4E">
        <w:rPr>
          <w:noProof/>
        </w:rPr>
        <w:t>55</w:t>
      </w:r>
      <w:r w:rsidR="00D47937">
        <w:rPr>
          <w:noProof/>
        </w:rPr>
        <w:t>’</w:t>
      </w:r>
      <w:r w:rsidRPr="009F2E4E">
        <w:rPr>
          <w:noProof/>
        </w:rPr>
        <w:t xml:space="preserve"> package tabled a few months earlier. In this package</w:t>
      </w:r>
      <w:r w:rsidR="008B2085">
        <w:rPr>
          <w:noProof/>
        </w:rPr>
        <w:t>,</w:t>
      </w:r>
      <w:r w:rsidRPr="009F2E4E">
        <w:rPr>
          <w:noProof/>
        </w:rPr>
        <w:t xml:space="preserve"> major changes were proposed, including the creation of a separate emission trading system encompassing road transport and building emissions with full auctioning from the start, accompanied by a Social Climate Fund.</w:t>
      </w:r>
    </w:p>
    <w:p w14:paraId="5085DDD5" w14:textId="45C2CCB0" w:rsidR="002F57F2" w:rsidRPr="009F2E4E" w:rsidRDefault="002F57F2" w:rsidP="00500E0C">
      <w:pPr>
        <w:rPr>
          <w:noProof/>
        </w:rPr>
      </w:pPr>
      <w:r w:rsidRPr="009F2E4E">
        <w:rPr>
          <w:rStyle w:val="Strong"/>
          <w:noProof/>
        </w:rPr>
        <w:t>In principle, allowances designated for auctioning with revenues accruing to Member States fall under the scope of the proposed own resource.</w:t>
      </w:r>
      <w:r w:rsidRPr="009F2E4E">
        <w:rPr>
          <w:noProof/>
        </w:rPr>
        <w:t xml:space="preserve"> </w:t>
      </w:r>
      <w:r w:rsidRPr="00E757FC">
        <w:rPr>
          <w:noProof/>
        </w:rPr>
        <w:t>A uniform share of 25 % per allowance auctioned would accrue to the EU budget</w:t>
      </w:r>
      <w:r w:rsidR="00AC4F18" w:rsidRPr="00E757FC">
        <w:rPr>
          <w:noProof/>
        </w:rPr>
        <w:t>, as per the proposal of December 2021</w:t>
      </w:r>
      <w:r w:rsidRPr="00E757FC">
        <w:rPr>
          <w:noProof/>
        </w:rPr>
        <w:t>.</w:t>
      </w:r>
      <w:r w:rsidRPr="009F2E4E">
        <w:rPr>
          <w:noProof/>
        </w:rPr>
        <w:t xml:space="preserve"> This leaves outside the scope those allowances auctioned to mobilise resources for both the Innovation Fund a</w:t>
      </w:r>
      <w:r w:rsidR="008B2085">
        <w:rPr>
          <w:noProof/>
        </w:rPr>
        <w:t xml:space="preserve">nd </w:t>
      </w:r>
      <w:r w:rsidRPr="009F2E4E">
        <w:rPr>
          <w:noProof/>
        </w:rPr>
        <w:t>the Modernisation Fund (2% of the ETS cap for power and industry</w:t>
      </w:r>
      <w:r w:rsidR="008B2085">
        <w:rPr>
          <w:noProof/>
        </w:rPr>
        <w:t>,</w:t>
      </w:r>
      <w:r w:rsidRPr="009F2E4E">
        <w:rPr>
          <w:noProof/>
        </w:rPr>
        <w:t xml:space="preserve"> as well as an additional 2,5% as of 2024 from the ETS cap for power, industry</w:t>
      </w:r>
      <w:r w:rsidR="00D47937">
        <w:rPr>
          <w:noProof/>
        </w:rPr>
        <w:t>,</w:t>
      </w:r>
      <w:r w:rsidRPr="009F2E4E">
        <w:rPr>
          <w:noProof/>
        </w:rPr>
        <w:t xml:space="preserve"> and maritime transport).</w:t>
      </w:r>
    </w:p>
    <w:p w14:paraId="46459448" w14:textId="6D5C718E" w:rsidR="001E1E4F" w:rsidRPr="009F2E4E" w:rsidRDefault="001E09DC" w:rsidP="00500E0C">
      <w:pPr>
        <w:rPr>
          <w:noProof/>
        </w:rPr>
      </w:pPr>
      <w:r w:rsidRPr="009F2E4E">
        <w:rPr>
          <w:rStyle w:val="Strong"/>
          <w:noProof/>
        </w:rPr>
        <w:t>Following interinstitutional negotiations</w:t>
      </w:r>
      <w:r w:rsidR="008B2085">
        <w:rPr>
          <w:rStyle w:val="Strong"/>
          <w:noProof/>
        </w:rPr>
        <w:t>,</w:t>
      </w:r>
      <w:r w:rsidRPr="009F2E4E">
        <w:rPr>
          <w:rStyle w:val="Strong"/>
          <w:noProof/>
        </w:rPr>
        <w:t xml:space="preserve"> the revised ETS Directive has </w:t>
      </w:r>
      <w:r w:rsidR="0D5E584C" w:rsidRPr="009F2E4E">
        <w:rPr>
          <w:rStyle w:val="Strong"/>
          <w:noProof/>
        </w:rPr>
        <w:t>entered into force</w:t>
      </w:r>
      <w:r w:rsidRPr="009F2E4E">
        <w:rPr>
          <w:rStyle w:val="Strong"/>
          <w:noProof/>
        </w:rPr>
        <w:t xml:space="preserve"> in </w:t>
      </w:r>
      <w:r w:rsidR="00FC106D">
        <w:rPr>
          <w:rStyle w:val="Strong"/>
          <w:noProof/>
        </w:rPr>
        <w:t>June</w:t>
      </w:r>
      <w:r w:rsidR="00FC106D" w:rsidRPr="009F2E4E">
        <w:rPr>
          <w:rStyle w:val="Strong"/>
          <w:noProof/>
        </w:rPr>
        <w:t xml:space="preserve"> </w:t>
      </w:r>
      <w:r w:rsidRPr="009F2E4E">
        <w:rPr>
          <w:rStyle w:val="Strong"/>
          <w:noProof/>
        </w:rPr>
        <w:t>202</w:t>
      </w:r>
      <w:r w:rsidR="0D5E584C" w:rsidRPr="009F2E4E">
        <w:rPr>
          <w:rStyle w:val="Strong"/>
          <w:noProof/>
        </w:rPr>
        <w:t>3</w:t>
      </w:r>
      <w:r w:rsidRPr="009F2E4E">
        <w:rPr>
          <w:rStyle w:val="Strong"/>
          <w:noProof/>
        </w:rPr>
        <w:t xml:space="preserve">, creating </w:t>
      </w:r>
      <w:r w:rsidR="003538E7">
        <w:rPr>
          <w:rStyle w:val="Strong"/>
          <w:noProof/>
        </w:rPr>
        <w:t>the legal</w:t>
      </w:r>
      <w:r w:rsidR="00D56133">
        <w:rPr>
          <w:rStyle w:val="Strong"/>
          <w:noProof/>
        </w:rPr>
        <w:t xml:space="preserve"> </w:t>
      </w:r>
      <w:r w:rsidRPr="009F2E4E">
        <w:rPr>
          <w:rStyle w:val="Strong"/>
          <w:noProof/>
        </w:rPr>
        <w:t xml:space="preserve">basis for </w:t>
      </w:r>
      <w:r w:rsidR="003538E7">
        <w:rPr>
          <w:rStyle w:val="Strong"/>
          <w:noProof/>
        </w:rPr>
        <w:t xml:space="preserve">an </w:t>
      </w:r>
      <w:r w:rsidR="0D5E584C">
        <w:rPr>
          <w:rStyle w:val="Strong"/>
          <w:noProof/>
        </w:rPr>
        <w:t>ETS</w:t>
      </w:r>
      <w:r w:rsidR="003538E7">
        <w:rPr>
          <w:rStyle w:val="Strong"/>
          <w:noProof/>
        </w:rPr>
        <w:t>-based</w:t>
      </w:r>
      <w:r w:rsidRPr="009F2E4E">
        <w:rPr>
          <w:rStyle w:val="Strong"/>
          <w:noProof/>
        </w:rPr>
        <w:t xml:space="preserve"> own resource.</w:t>
      </w:r>
      <w:r w:rsidRPr="009F2E4E">
        <w:rPr>
          <w:noProof/>
        </w:rPr>
        <w:t xml:space="preserve"> In parallel and in response to the challenges </w:t>
      </w:r>
      <w:r w:rsidR="00D56133">
        <w:rPr>
          <w:noProof/>
        </w:rPr>
        <w:t>faced by</w:t>
      </w:r>
      <w:r w:rsidRPr="009F2E4E">
        <w:rPr>
          <w:noProof/>
        </w:rPr>
        <w:t xml:space="preserve"> the energy sector resulting from the Russian invasion in Ukraine, </w:t>
      </w:r>
      <w:r w:rsidRPr="00E757FC">
        <w:rPr>
          <w:noProof/>
        </w:rPr>
        <w:t xml:space="preserve">the </w:t>
      </w:r>
      <w:r w:rsidRPr="00E757FC">
        <w:rPr>
          <w:i/>
          <w:iCs/>
          <w:noProof/>
        </w:rPr>
        <w:t>REPower</w:t>
      </w:r>
      <w:r w:rsidR="00D56133" w:rsidRPr="00E757FC">
        <w:rPr>
          <w:i/>
          <w:iCs/>
          <w:noProof/>
        </w:rPr>
        <w:t>EU</w:t>
      </w:r>
      <w:r w:rsidRPr="00E757FC">
        <w:rPr>
          <w:noProof/>
        </w:rPr>
        <w:t xml:space="preserve"> </w:t>
      </w:r>
      <w:r w:rsidR="00D56133" w:rsidRPr="00E757FC">
        <w:rPr>
          <w:noProof/>
        </w:rPr>
        <w:t xml:space="preserve">Plan </w:t>
      </w:r>
      <w:r w:rsidRPr="00E757FC">
        <w:rPr>
          <w:noProof/>
        </w:rPr>
        <w:t>has led to another change in the ETS Directive</w:t>
      </w:r>
      <w:r w:rsidR="008B2085" w:rsidRPr="00E757FC">
        <w:rPr>
          <w:noProof/>
        </w:rPr>
        <w:t>,</w:t>
      </w:r>
      <w:r w:rsidRPr="00E757FC">
        <w:rPr>
          <w:noProof/>
        </w:rPr>
        <w:t xml:space="preserve"> directing </w:t>
      </w:r>
      <w:r w:rsidR="007D028C" w:rsidRPr="00E757FC">
        <w:rPr>
          <w:noProof/>
        </w:rPr>
        <w:t>EUR</w:t>
      </w:r>
      <w:r w:rsidR="00507778" w:rsidRPr="00E757FC">
        <w:rPr>
          <w:noProof/>
        </w:rPr>
        <w:t xml:space="preserve"> </w:t>
      </w:r>
      <w:r w:rsidRPr="00E757FC">
        <w:rPr>
          <w:noProof/>
        </w:rPr>
        <w:t xml:space="preserve">20 </w:t>
      </w:r>
      <w:r w:rsidR="00BC372C" w:rsidRPr="00E757FC">
        <w:rPr>
          <w:noProof/>
        </w:rPr>
        <w:t>billion</w:t>
      </w:r>
      <w:r w:rsidRPr="00E757FC">
        <w:rPr>
          <w:noProof/>
        </w:rPr>
        <w:t xml:space="preserve"> of ETS auction revenue to the Recovery and Resilience Facility in the coming years,</w:t>
      </w:r>
      <w:r w:rsidRPr="009F2E4E">
        <w:rPr>
          <w:noProof/>
        </w:rPr>
        <w:t xml:space="preserve"> </w:t>
      </w:r>
      <w:r w:rsidR="00D56133">
        <w:rPr>
          <w:noProof/>
        </w:rPr>
        <w:t xml:space="preserve">which are also </w:t>
      </w:r>
      <w:r w:rsidR="003538E7">
        <w:rPr>
          <w:noProof/>
        </w:rPr>
        <w:t>outside</w:t>
      </w:r>
      <w:r w:rsidRPr="009F2E4E">
        <w:rPr>
          <w:noProof/>
        </w:rPr>
        <w:t xml:space="preserve"> the scope of the own resource.</w:t>
      </w:r>
    </w:p>
    <w:p w14:paraId="2822A89D" w14:textId="77777777" w:rsidR="00772FC7" w:rsidRDefault="00772FC7">
      <w:pPr>
        <w:spacing w:after="0"/>
        <w:jc w:val="left"/>
        <w:rPr>
          <w:noProof/>
        </w:rPr>
      </w:pPr>
      <w:r>
        <w:rPr>
          <w:noProof/>
        </w:rPr>
        <w:br w:type="page"/>
      </w:r>
    </w:p>
    <w:p w14:paraId="09FF94D4" w14:textId="2A258174" w:rsidR="00772FC7" w:rsidRDefault="00772FC7" w:rsidP="00500E0C">
      <w:pPr>
        <w:rPr>
          <w:rStyle w:val="Strong"/>
          <w:noProof/>
        </w:rPr>
      </w:pPr>
      <w:r w:rsidRPr="009F2E4E">
        <w:rPr>
          <w:rStyle w:val="Strong"/>
          <w:noProof/>
        </w:rPr>
        <w:t>Graph 9. Scope of the Emission Trading Own Resource</w:t>
      </w:r>
      <w:r w:rsidR="00436071">
        <w:rPr>
          <w:rStyle w:val="Strong"/>
          <w:noProof/>
        </w:rPr>
        <w:t>,</w:t>
      </w:r>
      <w:r w:rsidR="00EF1AD4">
        <w:rPr>
          <w:rStyle w:val="Strong"/>
          <w:noProof/>
        </w:rPr>
        <w:t xml:space="preserve"> illustrative representation</w:t>
      </w:r>
      <w:r w:rsidR="00436071">
        <w:rPr>
          <w:rStyle w:val="Strong"/>
          <w:noProof/>
        </w:rPr>
        <w:t xml:space="preserve"> </w:t>
      </w:r>
    </w:p>
    <w:p w14:paraId="4239C897" w14:textId="286F995A" w:rsidR="00DB20EB" w:rsidRDefault="00DB20EB" w:rsidP="003D11D1">
      <w:pPr>
        <w:jc w:val="center"/>
        <w:rPr>
          <w:rStyle w:val="Strong"/>
          <w:noProof/>
        </w:rPr>
      </w:pPr>
      <w:r w:rsidRPr="003D11D1">
        <w:rPr>
          <w:b/>
          <w:noProof/>
          <w:color w:val="023E8A" w:themeColor="accent1"/>
        </w:rPr>
        <w:t>ETS for stationary, aviation and maritime sectors (ETS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2"/>
      </w:tblGrid>
      <w:tr w:rsidR="001063D1" w:rsidRPr="009F2E4E" w14:paraId="5291EC62" w14:textId="77777777" w:rsidTr="00616486">
        <w:tc>
          <w:tcPr>
            <w:tcW w:w="8602" w:type="dxa"/>
          </w:tcPr>
          <w:p w14:paraId="733BD6E1" w14:textId="59A21AA3" w:rsidR="001063D1" w:rsidRDefault="00436071" w:rsidP="003D11D1">
            <w:pPr>
              <w:keepNext/>
              <w:jc w:val="center"/>
              <w:rPr>
                <w:noProof/>
              </w:rPr>
            </w:pPr>
            <w:r>
              <w:rPr>
                <w:noProof/>
              </w:rPr>
              <w:t xml:space="preserve"> </w:t>
            </w:r>
            <w:r w:rsidR="00C22D99">
              <w:rPr>
                <w:noProof/>
                <w:lang w:eastAsia="en-GB"/>
              </w:rPr>
              <w:drawing>
                <wp:inline distT="0" distB="0" distL="0" distR="0" wp14:anchorId="4985B45D" wp14:editId="29651D71">
                  <wp:extent cx="3431058" cy="25070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455926" cy="2525176"/>
                          </a:xfrm>
                          <a:prstGeom prst="rect">
                            <a:avLst/>
                          </a:prstGeom>
                        </pic:spPr>
                      </pic:pic>
                    </a:graphicData>
                  </a:graphic>
                </wp:inline>
              </w:drawing>
            </w:r>
          </w:p>
          <w:p w14:paraId="7B3CD6A8" w14:textId="77777777" w:rsidR="00DB20EB" w:rsidRDefault="00DB20EB" w:rsidP="003D11D1">
            <w:pPr>
              <w:keepNext/>
              <w:jc w:val="center"/>
              <w:rPr>
                <w:b/>
                <w:noProof/>
                <w:color w:val="023E8A" w:themeColor="accent1"/>
              </w:rPr>
            </w:pPr>
            <w:r w:rsidRPr="00DB20EB">
              <w:rPr>
                <w:b/>
                <w:noProof/>
                <w:color w:val="023E8A" w:themeColor="accent1"/>
              </w:rPr>
              <w:t>ETS for road transport, buildings, and fuels in additional sectors (ETS 2)</w:t>
            </w:r>
          </w:p>
          <w:p w14:paraId="34985216" w14:textId="6B5A83E2" w:rsidR="001063D1" w:rsidRPr="009F2E4E" w:rsidRDefault="004E4A51" w:rsidP="004E4A51">
            <w:pPr>
              <w:keepNext/>
              <w:jc w:val="center"/>
              <w:rPr>
                <w:noProof/>
              </w:rPr>
            </w:pPr>
            <w:r w:rsidRPr="00FF6BC0">
              <w:rPr>
                <w:noProof/>
                <w:lang w:eastAsia="en-GB"/>
              </w:rPr>
              <w:drawing>
                <wp:inline distT="0" distB="0" distL="0" distR="0" wp14:anchorId="49FA7602" wp14:editId="0614F8B5">
                  <wp:extent cx="3910330" cy="1125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15366" cy="1126724"/>
                          </a:xfrm>
                          <a:prstGeom prst="rect">
                            <a:avLst/>
                          </a:prstGeom>
                          <a:noFill/>
                          <a:ln>
                            <a:noFill/>
                          </a:ln>
                        </pic:spPr>
                      </pic:pic>
                    </a:graphicData>
                  </a:graphic>
                </wp:inline>
              </w:drawing>
            </w:r>
          </w:p>
        </w:tc>
      </w:tr>
    </w:tbl>
    <w:p w14:paraId="40F68232" w14:textId="019FD10B" w:rsidR="00772FC7" w:rsidRDefault="00772FC7" w:rsidP="00772FC7">
      <w:pPr>
        <w:keepNext/>
        <w:rPr>
          <w:noProof/>
        </w:rPr>
      </w:pPr>
      <w:r w:rsidRPr="009405B5">
        <w:rPr>
          <w:i/>
          <w:iCs/>
          <w:noProof/>
        </w:rPr>
        <w:t>Note</w:t>
      </w:r>
      <w:r>
        <w:rPr>
          <w:i/>
          <w:iCs/>
          <w:noProof/>
        </w:rPr>
        <w:t>s</w:t>
      </w:r>
      <w:r w:rsidRPr="009405B5">
        <w:rPr>
          <w:i/>
          <w:iCs/>
          <w:noProof/>
        </w:rPr>
        <w:t>:</w:t>
      </w:r>
      <w:r>
        <w:rPr>
          <w:noProof/>
        </w:rPr>
        <w:t xml:space="preserve"> (1) </w:t>
      </w:r>
      <w:r w:rsidR="0029455A">
        <w:rPr>
          <w:noProof/>
        </w:rPr>
        <w:t>In both graphic representations</w:t>
      </w:r>
      <w:r w:rsidR="0029455A" w:rsidRPr="00D56133">
        <w:rPr>
          <w:noProof/>
        </w:rPr>
        <w:t xml:space="preserve">, </w:t>
      </w:r>
      <w:r w:rsidR="0029455A" w:rsidRPr="004F22DF">
        <w:rPr>
          <w:noProof/>
        </w:rPr>
        <w:t>the relative size of the boxes may not be to scale.</w:t>
      </w:r>
      <w:r w:rsidR="0029455A">
        <w:rPr>
          <w:noProof/>
        </w:rPr>
        <w:t xml:space="preserve"> (2) </w:t>
      </w:r>
      <w:r>
        <w:rPr>
          <w:noProof/>
        </w:rPr>
        <w:t xml:space="preserve">In the graphic representation of ETS for stationary, aviation and maritime sectors (ETS 1), </w:t>
      </w:r>
      <w:r w:rsidRPr="009405B5">
        <w:rPr>
          <w:noProof/>
          <w:lang w:val="en-US"/>
        </w:rPr>
        <w:t>the breakdown does not account for the operation of the Market Stability Reserve</w:t>
      </w:r>
      <w:r>
        <w:rPr>
          <w:noProof/>
          <w:lang w:val="en-US"/>
        </w:rPr>
        <w:t>. (</w:t>
      </w:r>
      <w:r w:rsidR="0029455A">
        <w:rPr>
          <w:noProof/>
          <w:lang w:val="en-US"/>
        </w:rPr>
        <w:t>3</w:t>
      </w:r>
      <w:r>
        <w:rPr>
          <w:noProof/>
          <w:lang w:val="en-US"/>
        </w:rPr>
        <w:t xml:space="preserve">) </w:t>
      </w:r>
      <w:r w:rsidR="00191DFB">
        <w:rPr>
          <w:noProof/>
        </w:rPr>
        <w:t xml:space="preserve">In the graphic representation of ETS </w:t>
      </w:r>
      <w:r w:rsidR="00191DFB" w:rsidRPr="007224BD">
        <w:rPr>
          <w:noProof/>
        </w:rPr>
        <w:t xml:space="preserve">for </w:t>
      </w:r>
      <w:r w:rsidR="00191DFB" w:rsidRPr="00A91DE6">
        <w:rPr>
          <w:iCs/>
          <w:noProof/>
        </w:rPr>
        <w:t>road transport, buildings, and fuels in additional sectors</w:t>
      </w:r>
      <w:r w:rsidR="00191DFB">
        <w:rPr>
          <w:i/>
          <w:iCs/>
          <w:noProof/>
        </w:rPr>
        <w:t xml:space="preserve"> </w:t>
      </w:r>
      <w:r w:rsidR="00191DFB">
        <w:rPr>
          <w:noProof/>
        </w:rPr>
        <w:t>(ETS 2)</w:t>
      </w:r>
      <w:r w:rsidR="00191DFB" w:rsidRPr="00D56133">
        <w:rPr>
          <w:noProof/>
        </w:rPr>
        <w:t xml:space="preserve">, </w:t>
      </w:r>
      <w:r w:rsidR="00191DFB" w:rsidRPr="00191DFB">
        <w:rPr>
          <w:noProof/>
        </w:rPr>
        <w:t>the use of th</w:t>
      </w:r>
      <w:r w:rsidR="00191DFB">
        <w:rPr>
          <w:noProof/>
        </w:rPr>
        <w:t xml:space="preserve">e </w:t>
      </w:r>
      <w:r w:rsidR="00191DFB" w:rsidRPr="00191DFB">
        <w:rPr>
          <w:noProof/>
        </w:rPr>
        <w:t>option</w:t>
      </w:r>
      <w:r w:rsidR="00191DFB">
        <w:rPr>
          <w:noProof/>
        </w:rPr>
        <w:t xml:space="preserve"> represented in</w:t>
      </w:r>
      <w:r w:rsidR="00191DFB" w:rsidRPr="00191DFB">
        <w:rPr>
          <w:noProof/>
        </w:rPr>
        <w:t xml:space="preserve"> </w:t>
      </w:r>
      <w:r w:rsidR="00191DFB">
        <w:rPr>
          <w:noProof/>
        </w:rPr>
        <w:t xml:space="preserve">dark blue </w:t>
      </w:r>
      <w:r w:rsidR="00191DFB" w:rsidRPr="00191DFB">
        <w:rPr>
          <w:noProof/>
        </w:rPr>
        <w:t>is uncertain</w:t>
      </w:r>
      <w:r w:rsidR="0029455A">
        <w:rPr>
          <w:noProof/>
        </w:rPr>
        <w:t xml:space="preserve">. </w:t>
      </w:r>
    </w:p>
    <w:p w14:paraId="75170F4D" w14:textId="4BED89B0" w:rsidR="00772FC7" w:rsidRDefault="00772FC7" w:rsidP="00772FC7">
      <w:pPr>
        <w:rPr>
          <w:rStyle w:val="Strong"/>
          <w:noProof/>
        </w:rPr>
      </w:pPr>
      <w:r w:rsidRPr="009405B5">
        <w:rPr>
          <w:i/>
          <w:iCs/>
          <w:noProof/>
        </w:rPr>
        <w:t>Source</w:t>
      </w:r>
      <w:r w:rsidRPr="009F2E4E">
        <w:rPr>
          <w:noProof/>
        </w:rPr>
        <w:t>: Commission services.</w:t>
      </w:r>
    </w:p>
    <w:p w14:paraId="073DE970" w14:textId="3A449BBA" w:rsidR="001E09DC" w:rsidRPr="009F2E4E" w:rsidRDefault="003C5C75" w:rsidP="00500E0C">
      <w:pPr>
        <w:rPr>
          <w:noProof/>
        </w:rPr>
      </w:pPr>
      <w:r w:rsidRPr="009F2E4E">
        <w:rPr>
          <w:rStyle w:val="Strong"/>
          <w:noProof/>
        </w:rPr>
        <w:t>Making a part of the ETS revenue an own resource builds on and does not necessitate a change to the well-functioning auction infrastructure.</w:t>
      </w:r>
      <w:r w:rsidRPr="009F2E4E">
        <w:rPr>
          <w:noProof/>
        </w:rPr>
        <w:t xml:space="preserve"> Auctions take place on a daily basis. Collection and administration of ETS revenue is ensured at national level by authorities designated by Member States. Collecting part of the revenue as an own resource would not entail any major additional tasks. All categories of allowances in the own resource scope are to be auctioned based on the infrastructure established by the ETS Auctioning Regulation with a common auction platform at its centre. The simplest and leanest approach is to arrange for the transfer of part of this revenue to the EU level from the auction platforms used by Member States. This minimises administrative efforts for both Member States and the Commission.</w:t>
      </w:r>
      <w:r w:rsidR="00740A32" w:rsidRPr="009F2E4E">
        <w:rPr>
          <w:noProof/>
        </w:rPr>
        <w:t xml:space="preserve"> </w:t>
      </w:r>
    </w:p>
    <w:p w14:paraId="6D311B9E" w14:textId="77777777" w:rsidR="001E09DC" w:rsidRPr="009F2E4E" w:rsidRDefault="001E09DC" w:rsidP="00F65EB9">
      <w:pPr>
        <w:pStyle w:val="Heading3"/>
        <w:rPr>
          <w:noProof/>
        </w:rPr>
      </w:pPr>
      <w:bookmarkStart w:id="227" w:name="_Toc134446555"/>
      <w:bookmarkStart w:id="228" w:name="_Toc135860253"/>
      <w:bookmarkStart w:id="229" w:name="_Toc136599821"/>
      <w:bookmarkStart w:id="230" w:name="_Toc136600399"/>
      <w:bookmarkStart w:id="231" w:name="_Toc137494004"/>
      <w:r w:rsidRPr="009F2E4E">
        <w:rPr>
          <w:noProof/>
        </w:rPr>
        <w:t>3.1.2. Ensuring fairness</w:t>
      </w:r>
      <w:r w:rsidR="00740A32" w:rsidRPr="009F2E4E">
        <w:rPr>
          <w:noProof/>
        </w:rPr>
        <w:t xml:space="preserve"> – the Valuation Mechanism and Solidarity Adjustment Mechanisms</w:t>
      </w:r>
      <w:bookmarkEnd w:id="227"/>
      <w:bookmarkEnd w:id="228"/>
      <w:bookmarkEnd w:id="229"/>
      <w:bookmarkEnd w:id="230"/>
      <w:bookmarkEnd w:id="231"/>
    </w:p>
    <w:p w14:paraId="0FFD6381" w14:textId="201CF068" w:rsidR="002F57F2" w:rsidRPr="009F2E4E" w:rsidRDefault="001E09DC" w:rsidP="00500E0C">
      <w:pPr>
        <w:rPr>
          <w:noProof/>
        </w:rPr>
      </w:pPr>
      <w:r w:rsidRPr="009F2E4E">
        <w:rPr>
          <w:rStyle w:val="Strong"/>
          <w:noProof/>
        </w:rPr>
        <w:t>The scope of the own r</w:t>
      </w:r>
      <w:r w:rsidR="00F95049" w:rsidRPr="009F2E4E">
        <w:rPr>
          <w:rStyle w:val="Strong"/>
          <w:noProof/>
        </w:rPr>
        <w:t>e</w:t>
      </w:r>
      <w:r w:rsidRPr="009F2E4E">
        <w:rPr>
          <w:rStyle w:val="Strong"/>
          <w:noProof/>
        </w:rPr>
        <w:t>source includes allowances that may not be auctioned.</w:t>
      </w:r>
      <w:r w:rsidRPr="009F2E4E">
        <w:rPr>
          <w:bCs/>
          <w:noProof/>
        </w:rPr>
        <w:t xml:space="preserve"> </w:t>
      </w:r>
      <w:r w:rsidR="003A3655">
        <w:rPr>
          <w:bCs/>
          <w:noProof/>
        </w:rPr>
        <w:t xml:space="preserve">The ETS </w:t>
      </w:r>
      <w:r w:rsidR="0096457F">
        <w:rPr>
          <w:bCs/>
          <w:noProof/>
        </w:rPr>
        <w:t>D</w:t>
      </w:r>
      <w:r w:rsidR="003A3655">
        <w:rPr>
          <w:bCs/>
          <w:noProof/>
        </w:rPr>
        <w:t>irective foresees several mechanisms</w:t>
      </w:r>
      <w:r w:rsidR="00540AF5">
        <w:rPr>
          <w:bCs/>
          <w:noProof/>
        </w:rPr>
        <w:t xml:space="preserve"> to support energy intensive sectors (such as </w:t>
      </w:r>
      <w:r w:rsidR="00D56133">
        <w:rPr>
          <w:bCs/>
          <w:noProof/>
        </w:rPr>
        <w:t xml:space="preserve">the </w:t>
      </w:r>
      <w:r w:rsidR="00540AF5">
        <w:rPr>
          <w:bCs/>
          <w:noProof/>
        </w:rPr>
        <w:t>power</w:t>
      </w:r>
      <w:r w:rsidR="00D56133">
        <w:rPr>
          <w:bCs/>
          <w:noProof/>
        </w:rPr>
        <w:t xml:space="preserve"> sector</w:t>
      </w:r>
      <w:r w:rsidR="00540AF5">
        <w:rPr>
          <w:bCs/>
          <w:noProof/>
        </w:rPr>
        <w:t>), in particular in carbon</w:t>
      </w:r>
      <w:r w:rsidR="00D56133">
        <w:rPr>
          <w:bCs/>
          <w:noProof/>
        </w:rPr>
        <w:t>-</w:t>
      </w:r>
      <w:r w:rsidR="00540AF5">
        <w:rPr>
          <w:bCs/>
          <w:noProof/>
        </w:rPr>
        <w:t xml:space="preserve">intensive economies, </w:t>
      </w:r>
      <w:r w:rsidR="003A3655">
        <w:rPr>
          <w:bCs/>
          <w:noProof/>
        </w:rPr>
        <w:t>and help</w:t>
      </w:r>
      <w:r w:rsidR="00D56133">
        <w:rPr>
          <w:bCs/>
          <w:noProof/>
        </w:rPr>
        <w:t>s</w:t>
      </w:r>
      <w:r w:rsidR="003A3655">
        <w:rPr>
          <w:bCs/>
          <w:noProof/>
        </w:rPr>
        <w:t xml:space="preserve"> them</w:t>
      </w:r>
      <w:r w:rsidR="00540AF5">
        <w:rPr>
          <w:bCs/>
          <w:noProof/>
        </w:rPr>
        <w:t xml:space="preserve"> invest in climate-friendly technologies. </w:t>
      </w:r>
      <w:r w:rsidR="00540AF5">
        <w:rPr>
          <w:noProof/>
        </w:rPr>
        <w:t>For that purpose, t</w:t>
      </w:r>
      <w:r w:rsidR="002F57F2" w:rsidRPr="009F2E4E">
        <w:rPr>
          <w:noProof/>
        </w:rPr>
        <w:t>he ETS legislation allows</w:t>
      </w:r>
      <w:r w:rsidR="00540AF5">
        <w:rPr>
          <w:noProof/>
        </w:rPr>
        <w:t xml:space="preserve"> several</w:t>
      </w:r>
      <w:r w:rsidR="002F57F2" w:rsidRPr="009F2E4E">
        <w:rPr>
          <w:noProof/>
        </w:rPr>
        <w:t xml:space="preserve"> individual Member States to exercise national discretion and not auction some allowances designated to be auctioned</w:t>
      </w:r>
      <w:r w:rsidR="00D11DEF">
        <w:rPr>
          <w:noProof/>
        </w:rPr>
        <w:t xml:space="preserve"> (</w:t>
      </w:r>
      <w:r w:rsidR="00540AF5">
        <w:rPr>
          <w:noProof/>
        </w:rPr>
        <w:t xml:space="preserve">see </w:t>
      </w:r>
      <w:r w:rsidR="00D11DEF">
        <w:rPr>
          <w:noProof/>
        </w:rPr>
        <w:t>table 3</w:t>
      </w:r>
      <w:r w:rsidR="00540AF5">
        <w:rPr>
          <w:noProof/>
        </w:rPr>
        <w:t xml:space="preserve"> for </w:t>
      </w:r>
      <w:r w:rsidR="003A3655" w:rsidRPr="009F2E4E">
        <w:rPr>
          <w:noProof/>
        </w:rPr>
        <w:t>an overview which Member States have made use of discretionary choices in the existing ETS</w:t>
      </w:r>
      <w:r w:rsidR="00D11DEF">
        <w:rPr>
          <w:noProof/>
        </w:rPr>
        <w:t>)</w:t>
      </w:r>
      <w:r w:rsidR="002F57F2" w:rsidRPr="009F2E4E">
        <w:rPr>
          <w:noProof/>
        </w:rPr>
        <w:t>.</w:t>
      </w:r>
      <w:r w:rsidR="002F57F2" w:rsidRPr="009F2E4E">
        <w:rPr>
          <w:b/>
          <w:bCs/>
          <w:noProof/>
        </w:rPr>
        <w:t xml:space="preserve"> </w:t>
      </w:r>
      <w:r w:rsidR="00540AF5" w:rsidRPr="008D4B77">
        <w:rPr>
          <w:bCs/>
          <w:noProof/>
        </w:rPr>
        <w:t>In particular,</w:t>
      </w:r>
      <w:r w:rsidR="00540AF5">
        <w:rPr>
          <w:b/>
          <w:bCs/>
          <w:noProof/>
        </w:rPr>
        <w:t xml:space="preserve"> </w:t>
      </w:r>
      <w:r w:rsidR="00540AF5">
        <w:rPr>
          <w:noProof/>
        </w:rPr>
        <w:t>some</w:t>
      </w:r>
      <w:r w:rsidR="00540AF5" w:rsidRPr="00026F3F">
        <w:rPr>
          <w:noProof/>
        </w:rPr>
        <w:t xml:space="preserve"> </w:t>
      </w:r>
      <w:r w:rsidR="00540AF5" w:rsidRPr="009F2E4E">
        <w:rPr>
          <w:noProof/>
        </w:rPr>
        <w:t>Member States have decided to make use of the derogation to provide free allocation for the modernisation of the energy sector</w:t>
      </w:r>
      <w:r w:rsidR="006245F8">
        <w:rPr>
          <w:noProof/>
        </w:rPr>
        <w:t>(</w:t>
      </w:r>
      <w:r w:rsidR="00540AF5" w:rsidRPr="004F22DF">
        <w:rPr>
          <w:rStyle w:val="FootnoteReference"/>
          <w:bCs/>
          <w:noProof/>
        </w:rPr>
        <w:footnoteReference w:id="45"/>
      </w:r>
      <w:r w:rsidR="006245F8">
        <w:rPr>
          <w:noProof/>
        </w:rPr>
        <w:t>)</w:t>
      </w:r>
      <w:r w:rsidR="00540AF5" w:rsidRPr="009F2E4E">
        <w:rPr>
          <w:noProof/>
        </w:rPr>
        <w:t xml:space="preserve">. </w:t>
      </w:r>
      <w:r w:rsidR="00540AF5">
        <w:rPr>
          <w:noProof/>
        </w:rPr>
        <w:t xml:space="preserve">Some </w:t>
      </w:r>
      <w:r w:rsidR="00540AF5" w:rsidRPr="009F2E4E">
        <w:rPr>
          <w:noProof/>
        </w:rPr>
        <w:t>Member States have given up</w:t>
      </w:r>
      <w:r w:rsidR="00614C3C">
        <w:rPr>
          <w:noProof/>
        </w:rPr>
        <w:t xml:space="preserve"> auctioning allowances</w:t>
      </w:r>
      <w:r w:rsidR="00614C3C" w:rsidRPr="009F2E4E">
        <w:rPr>
          <w:noProof/>
        </w:rPr>
        <w:t xml:space="preserve"> </w:t>
      </w:r>
      <w:r w:rsidR="00540AF5" w:rsidRPr="009F2E4E">
        <w:rPr>
          <w:noProof/>
        </w:rPr>
        <w:t>to increase their resources in the Modernisation Fund</w:t>
      </w:r>
      <w:r w:rsidR="006245F8">
        <w:rPr>
          <w:rFonts w:cs="Calibri"/>
          <w:noProof/>
        </w:rPr>
        <w:t>(</w:t>
      </w:r>
      <w:r w:rsidR="00540AF5">
        <w:rPr>
          <w:rStyle w:val="FootnoteReference"/>
          <w:noProof/>
        </w:rPr>
        <w:footnoteReference w:id="46"/>
      </w:r>
      <w:r w:rsidR="006245F8">
        <w:rPr>
          <w:rFonts w:cs="Calibri"/>
          <w:noProof/>
        </w:rPr>
        <w:t>)</w:t>
      </w:r>
      <w:r w:rsidR="00540AF5" w:rsidRPr="009F2E4E">
        <w:rPr>
          <w:noProof/>
        </w:rPr>
        <w:t xml:space="preserve">. </w:t>
      </w:r>
      <w:r w:rsidR="00170501" w:rsidRPr="008D4B77">
        <w:rPr>
          <w:noProof/>
        </w:rPr>
        <w:t xml:space="preserve">Some </w:t>
      </w:r>
      <w:r w:rsidR="002F57F2" w:rsidRPr="009F2E4E">
        <w:rPr>
          <w:noProof/>
        </w:rPr>
        <w:t>Member States have already decided to use some ETS allowances for compliance with their targets under the Effort Sharing Regulation</w:t>
      </w:r>
      <w:r w:rsidR="006245F8">
        <w:rPr>
          <w:noProof/>
        </w:rPr>
        <w:t>(</w:t>
      </w:r>
      <w:r w:rsidR="00B67D5E" w:rsidRPr="004F22DF">
        <w:rPr>
          <w:rStyle w:val="FootnoteReference"/>
          <w:bCs/>
          <w:noProof/>
        </w:rPr>
        <w:footnoteReference w:id="47"/>
      </w:r>
      <w:r w:rsidR="006245F8">
        <w:rPr>
          <w:noProof/>
        </w:rPr>
        <w:t>)</w:t>
      </w:r>
      <w:r w:rsidR="002F57F2" w:rsidRPr="009F2E4E">
        <w:rPr>
          <w:noProof/>
        </w:rPr>
        <w:t xml:space="preserve">. </w:t>
      </w:r>
      <w:r w:rsidR="00540AF5">
        <w:rPr>
          <w:noProof/>
        </w:rPr>
        <w:t>In the context of the own resource prop</w:t>
      </w:r>
      <w:r w:rsidR="003A3655">
        <w:rPr>
          <w:noProof/>
        </w:rPr>
        <w:t>osal</w:t>
      </w:r>
      <w:r w:rsidR="00540AF5">
        <w:rPr>
          <w:noProof/>
        </w:rPr>
        <w:t>,</w:t>
      </w:r>
      <w:r w:rsidR="002F57F2" w:rsidRPr="009F2E4E">
        <w:rPr>
          <w:noProof/>
        </w:rPr>
        <w:t xml:space="preserve"> </w:t>
      </w:r>
      <w:r w:rsidR="00F943BF">
        <w:rPr>
          <w:noProof/>
        </w:rPr>
        <w:t>these</w:t>
      </w:r>
      <w:r w:rsidR="00F943BF" w:rsidRPr="009F2E4E">
        <w:rPr>
          <w:noProof/>
        </w:rPr>
        <w:t xml:space="preserve"> </w:t>
      </w:r>
      <w:r w:rsidR="002F57F2" w:rsidRPr="009F2E4E">
        <w:rPr>
          <w:noProof/>
        </w:rPr>
        <w:t>allowances would be subject to an equivalent contribution as allowances auctioned</w:t>
      </w:r>
      <w:r w:rsidR="003A3655">
        <w:rPr>
          <w:noProof/>
        </w:rPr>
        <w:t xml:space="preserve"> – </w:t>
      </w:r>
      <w:r w:rsidR="0096457F">
        <w:rPr>
          <w:noProof/>
        </w:rPr>
        <w:t xml:space="preserve">the </w:t>
      </w:r>
      <w:r w:rsidR="003A3655">
        <w:rPr>
          <w:noProof/>
        </w:rPr>
        <w:t>so-called valuation mechanism</w:t>
      </w:r>
      <w:r w:rsidRPr="009F2E4E">
        <w:rPr>
          <w:noProof/>
        </w:rPr>
        <w:t xml:space="preserve"> </w:t>
      </w:r>
      <w:r w:rsidRPr="00DB20EB">
        <w:rPr>
          <w:noProof/>
        </w:rPr>
        <w:t>(</w:t>
      </w:r>
      <w:r w:rsidR="00507778" w:rsidRPr="00DB20EB">
        <w:rPr>
          <w:noProof/>
        </w:rPr>
        <w:t>G</w:t>
      </w:r>
      <w:r w:rsidR="00BB7BDC" w:rsidRPr="00DB20EB">
        <w:rPr>
          <w:noProof/>
        </w:rPr>
        <w:t xml:space="preserve">raph </w:t>
      </w:r>
      <w:r w:rsidR="00507778" w:rsidRPr="00DB20EB">
        <w:rPr>
          <w:noProof/>
        </w:rPr>
        <w:t>10</w:t>
      </w:r>
      <w:r w:rsidRPr="00DB20EB">
        <w:rPr>
          <w:noProof/>
        </w:rPr>
        <w:t>)</w:t>
      </w:r>
      <w:r w:rsidR="002F57F2" w:rsidRPr="00DB20EB">
        <w:rPr>
          <w:noProof/>
        </w:rPr>
        <w:t>.</w:t>
      </w:r>
    </w:p>
    <w:p w14:paraId="339A826B" w14:textId="11ABE8E1" w:rsidR="002C48D3" w:rsidRPr="009F2E4E" w:rsidRDefault="002C48D3" w:rsidP="00500E0C">
      <w:pPr>
        <w:rPr>
          <w:rStyle w:val="Strong"/>
          <w:noProof/>
        </w:rPr>
      </w:pPr>
      <w:r w:rsidRPr="009F2E4E">
        <w:rPr>
          <w:rStyle w:val="Strong"/>
          <w:noProof/>
        </w:rPr>
        <w:t xml:space="preserve">Table </w:t>
      </w:r>
      <w:r w:rsidR="00BC0154" w:rsidRPr="009F2E4E">
        <w:rPr>
          <w:rStyle w:val="Strong"/>
          <w:noProof/>
        </w:rPr>
        <w:t>3</w:t>
      </w:r>
      <w:r w:rsidRPr="009F2E4E">
        <w:rPr>
          <w:rStyle w:val="Strong"/>
          <w:noProof/>
        </w:rPr>
        <w:t>: Discretionary choices in ETS legislation - Non-auctioned allowances in own resources scope</w:t>
      </w:r>
    </w:p>
    <w:tbl>
      <w:tblPr>
        <w:tblStyle w:val="GridTable2-Accent1"/>
        <w:tblW w:w="8789" w:type="dxa"/>
        <w:jc w:val="center"/>
        <w:tblBorders>
          <w:top w:val="none" w:sz="0" w:space="0" w:color="auto"/>
          <w:bottom w:val="single" w:sz="4" w:space="0" w:color="E8F2E1" w:themeColor="accent4" w:themeTint="33"/>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4A0" w:firstRow="1" w:lastRow="0" w:firstColumn="1" w:lastColumn="0" w:noHBand="0" w:noVBand="1"/>
      </w:tblPr>
      <w:tblGrid>
        <w:gridCol w:w="1362"/>
        <w:gridCol w:w="2410"/>
        <w:gridCol w:w="65"/>
        <w:gridCol w:w="2476"/>
        <w:gridCol w:w="10"/>
        <w:gridCol w:w="2466"/>
      </w:tblGrid>
      <w:tr w:rsidR="0047638E" w:rsidRPr="009F2E4E" w14:paraId="20ABA2CD" w14:textId="77777777" w:rsidTr="00C33D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023E8A" w:themeFill="accent1"/>
          </w:tcPr>
          <w:p w14:paraId="498A06AE" w14:textId="77777777" w:rsidR="002C48D3" w:rsidRPr="009F2E4E" w:rsidRDefault="002C48D3" w:rsidP="00E86D7C">
            <w:pPr>
              <w:spacing w:after="0"/>
              <w:rPr>
                <w:noProof/>
              </w:rPr>
            </w:pPr>
          </w:p>
        </w:tc>
        <w:tc>
          <w:tcPr>
            <w:tcW w:w="2475" w:type="dxa"/>
            <w:gridSpan w:val="2"/>
            <w:shd w:val="clear" w:color="auto" w:fill="023E8A" w:themeFill="accent1"/>
          </w:tcPr>
          <w:p w14:paraId="4F2F29CF" w14:textId="77777777" w:rsidR="002C48D3" w:rsidRPr="009F2E4E" w:rsidRDefault="002C48D3" w:rsidP="006F1ECB">
            <w:pPr>
              <w:spacing w:after="0"/>
              <w:jc w:val="left"/>
              <w:cnfStyle w:val="100000000000" w:firstRow="1" w:lastRow="0" w:firstColumn="0" w:lastColumn="0" w:oddVBand="0" w:evenVBand="0" w:oddHBand="0" w:evenHBand="0" w:firstRowFirstColumn="0" w:firstRowLastColumn="0" w:lastRowFirstColumn="0" w:lastRowLastColumn="0"/>
              <w:rPr>
                <w:noProof/>
              </w:rPr>
            </w:pPr>
            <w:r w:rsidRPr="009F2E4E">
              <w:rPr>
                <w:noProof/>
              </w:rPr>
              <w:t>Effort Sharing Regulation flexibility</w:t>
            </w:r>
          </w:p>
        </w:tc>
        <w:tc>
          <w:tcPr>
            <w:tcW w:w="2476" w:type="dxa"/>
            <w:shd w:val="clear" w:color="auto" w:fill="023E8A" w:themeFill="accent1"/>
          </w:tcPr>
          <w:p w14:paraId="5F63D9EA" w14:textId="77777777" w:rsidR="002C48D3" w:rsidRPr="009F2E4E" w:rsidRDefault="002C48D3" w:rsidP="006F1ECB">
            <w:pPr>
              <w:spacing w:after="0"/>
              <w:jc w:val="left"/>
              <w:cnfStyle w:val="100000000000" w:firstRow="1" w:lastRow="0" w:firstColumn="0" w:lastColumn="0" w:oddVBand="0" w:evenVBand="0" w:oddHBand="0" w:evenHBand="0" w:firstRowFirstColumn="0" w:firstRowLastColumn="0" w:lastRowFirstColumn="0" w:lastRowLastColumn="0"/>
              <w:rPr>
                <w:noProof/>
              </w:rPr>
            </w:pPr>
            <w:r w:rsidRPr="009F2E4E">
              <w:rPr>
                <w:noProof/>
              </w:rPr>
              <w:t>Transfer for free to the power sector (10c)</w:t>
            </w:r>
          </w:p>
        </w:tc>
        <w:tc>
          <w:tcPr>
            <w:tcW w:w="2476" w:type="dxa"/>
            <w:gridSpan w:val="2"/>
            <w:shd w:val="clear" w:color="auto" w:fill="023E8A" w:themeFill="accent1"/>
          </w:tcPr>
          <w:p w14:paraId="14ABDF8B" w14:textId="77777777" w:rsidR="002C48D3" w:rsidRPr="009F2E4E" w:rsidRDefault="002C48D3" w:rsidP="006F1ECB">
            <w:pPr>
              <w:spacing w:after="0"/>
              <w:jc w:val="left"/>
              <w:cnfStyle w:val="100000000000" w:firstRow="1" w:lastRow="0" w:firstColumn="0" w:lastColumn="0" w:oddVBand="0" w:evenVBand="0" w:oddHBand="0" w:evenHBand="0" w:firstRowFirstColumn="0" w:firstRowLastColumn="0" w:lastRowFirstColumn="0" w:lastRowLastColumn="0"/>
              <w:rPr>
                <w:noProof/>
              </w:rPr>
            </w:pPr>
            <w:r w:rsidRPr="009F2E4E">
              <w:rPr>
                <w:noProof/>
              </w:rPr>
              <w:t>Transfer to the Modernisation Fund</w:t>
            </w:r>
          </w:p>
        </w:tc>
      </w:tr>
      <w:tr w:rsidR="0047638E" w:rsidRPr="009F2E4E" w14:paraId="21C5FFAA"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73915B00" w14:textId="77777777" w:rsidR="002C48D3" w:rsidRPr="009F2E4E" w:rsidRDefault="002C48D3" w:rsidP="00E86D7C">
            <w:pPr>
              <w:spacing w:after="0"/>
              <w:rPr>
                <w:noProof/>
              </w:rPr>
            </w:pPr>
            <w:r w:rsidRPr="009F2E4E">
              <w:rPr>
                <w:noProof/>
              </w:rPr>
              <w:t>BE</w:t>
            </w:r>
          </w:p>
        </w:tc>
        <w:tc>
          <w:tcPr>
            <w:tcW w:w="2475" w:type="dxa"/>
            <w:gridSpan w:val="2"/>
            <w:shd w:val="clear" w:color="auto" w:fill="E8F2E1" w:themeFill="accent4" w:themeFillTint="33"/>
          </w:tcPr>
          <w:p w14:paraId="2A5D089C" w14:textId="52B2E6D3" w:rsidR="002C48D3" w:rsidRPr="009F2E4E" w:rsidRDefault="00C33D4E"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7C9B05E9" wp14:editId="65F1597B">
                  <wp:extent cx="95250" cy="952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inline>
              </w:drawing>
            </w:r>
          </w:p>
        </w:tc>
        <w:tc>
          <w:tcPr>
            <w:tcW w:w="2476" w:type="dxa"/>
            <w:shd w:val="clear" w:color="auto" w:fill="E8F2E1" w:themeFill="accent4" w:themeFillTint="33"/>
          </w:tcPr>
          <w:p w14:paraId="4E201B04"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76" w:type="dxa"/>
            <w:gridSpan w:val="2"/>
            <w:shd w:val="clear" w:color="auto" w:fill="E8F2E1" w:themeFill="accent4" w:themeFillTint="33"/>
          </w:tcPr>
          <w:p w14:paraId="40B95A32"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r>
      <w:tr w:rsidR="0047638E" w:rsidRPr="009F2E4E" w14:paraId="1799E2D8"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43EDEBE2" w14:textId="77777777" w:rsidR="002C48D3" w:rsidRPr="009F2E4E" w:rsidRDefault="002C48D3" w:rsidP="00E86D7C">
            <w:pPr>
              <w:spacing w:after="0"/>
              <w:rPr>
                <w:noProof/>
              </w:rPr>
            </w:pPr>
            <w:r w:rsidRPr="009F2E4E">
              <w:rPr>
                <w:noProof/>
              </w:rPr>
              <w:t>BG</w:t>
            </w:r>
          </w:p>
        </w:tc>
        <w:tc>
          <w:tcPr>
            <w:tcW w:w="2475" w:type="dxa"/>
            <w:gridSpan w:val="2"/>
            <w:shd w:val="clear" w:color="auto" w:fill="E8F2E1" w:themeFill="accent4" w:themeFillTint="33"/>
          </w:tcPr>
          <w:p w14:paraId="197F0FC0"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76" w:type="dxa"/>
            <w:shd w:val="clear" w:color="auto" w:fill="E8F2E1" w:themeFill="accent4" w:themeFillTint="33"/>
          </w:tcPr>
          <w:p w14:paraId="3A8BF9A3" w14:textId="6FDEA1CE" w:rsidR="002C48D3" w:rsidRPr="009F2E4E" w:rsidRDefault="00C33D4E"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38568ADC" wp14:editId="318002E7">
                  <wp:extent cx="95250" cy="952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inline>
              </w:drawing>
            </w:r>
          </w:p>
        </w:tc>
        <w:tc>
          <w:tcPr>
            <w:tcW w:w="2476" w:type="dxa"/>
            <w:gridSpan w:val="2"/>
            <w:shd w:val="clear" w:color="auto" w:fill="E8F2E1" w:themeFill="accent4" w:themeFillTint="33"/>
          </w:tcPr>
          <w:p w14:paraId="26F4C798"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38493D45"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05A03D08" w14:textId="77777777" w:rsidR="002C48D3" w:rsidRPr="009F2E4E" w:rsidRDefault="002C48D3" w:rsidP="00E86D7C">
            <w:pPr>
              <w:spacing w:after="0"/>
              <w:rPr>
                <w:noProof/>
              </w:rPr>
            </w:pPr>
            <w:r w:rsidRPr="009F2E4E">
              <w:rPr>
                <w:noProof/>
              </w:rPr>
              <w:t>CZ</w:t>
            </w:r>
          </w:p>
        </w:tc>
        <w:tc>
          <w:tcPr>
            <w:tcW w:w="2475" w:type="dxa"/>
            <w:gridSpan w:val="2"/>
            <w:shd w:val="clear" w:color="auto" w:fill="E8F2E1" w:themeFill="accent4" w:themeFillTint="33"/>
          </w:tcPr>
          <w:p w14:paraId="6F521719"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76" w:type="dxa"/>
            <w:shd w:val="clear" w:color="auto" w:fill="E8F2E1" w:themeFill="accent4" w:themeFillTint="33"/>
          </w:tcPr>
          <w:p w14:paraId="3B4D06F4"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76" w:type="dxa"/>
            <w:gridSpan w:val="2"/>
            <w:shd w:val="clear" w:color="auto" w:fill="E8F2E1" w:themeFill="accent4" w:themeFillTint="33"/>
          </w:tcPr>
          <w:p w14:paraId="151095A3" w14:textId="2F2CDBC7" w:rsidR="002C48D3" w:rsidRPr="009F2E4E" w:rsidRDefault="00C33D4E"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3CB3618D" wp14:editId="3CE5A326">
                  <wp:extent cx="95250" cy="952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inline>
              </w:drawing>
            </w:r>
          </w:p>
        </w:tc>
      </w:tr>
      <w:tr w:rsidR="0047638E" w:rsidRPr="009F2E4E" w14:paraId="09B52A2C"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6CC05C9A" w14:textId="77777777" w:rsidR="002C48D3" w:rsidRPr="009F2E4E" w:rsidRDefault="002C48D3" w:rsidP="00E86D7C">
            <w:pPr>
              <w:spacing w:after="0"/>
              <w:rPr>
                <w:noProof/>
              </w:rPr>
            </w:pPr>
            <w:r w:rsidRPr="009F2E4E">
              <w:rPr>
                <w:noProof/>
              </w:rPr>
              <w:t>DK</w:t>
            </w:r>
          </w:p>
        </w:tc>
        <w:tc>
          <w:tcPr>
            <w:tcW w:w="2475" w:type="dxa"/>
            <w:gridSpan w:val="2"/>
            <w:shd w:val="clear" w:color="auto" w:fill="E8F2E1" w:themeFill="accent4" w:themeFillTint="33"/>
          </w:tcPr>
          <w:p w14:paraId="2AAD664D" w14:textId="0D60A071" w:rsidR="002C48D3" w:rsidRPr="009F2E4E" w:rsidRDefault="00C33D4E"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5EEBBA8D" wp14:editId="33F13EB7">
                  <wp:extent cx="95250" cy="952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inline>
              </w:drawing>
            </w:r>
          </w:p>
        </w:tc>
        <w:tc>
          <w:tcPr>
            <w:tcW w:w="2476" w:type="dxa"/>
            <w:shd w:val="clear" w:color="auto" w:fill="E8F2E1" w:themeFill="accent4" w:themeFillTint="33"/>
          </w:tcPr>
          <w:p w14:paraId="593A503E"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76" w:type="dxa"/>
            <w:gridSpan w:val="2"/>
            <w:shd w:val="clear" w:color="auto" w:fill="E8F2E1" w:themeFill="accent4" w:themeFillTint="33"/>
          </w:tcPr>
          <w:p w14:paraId="2D25442C"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116C15EC"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061F99D4" w14:textId="77777777" w:rsidR="002C48D3" w:rsidRPr="009F2E4E" w:rsidRDefault="002C48D3" w:rsidP="00E86D7C">
            <w:pPr>
              <w:spacing w:after="0"/>
              <w:rPr>
                <w:noProof/>
              </w:rPr>
            </w:pPr>
            <w:r w:rsidRPr="009F2E4E">
              <w:rPr>
                <w:noProof/>
              </w:rPr>
              <w:t>DE</w:t>
            </w:r>
          </w:p>
        </w:tc>
        <w:tc>
          <w:tcPr>
            <w:tcW w:w="2475" w:type="dxa"/>
            <w:gridSpan w:val="2"/>
            <w:shd w:val="clear" w:color="auto" w:fill="E8F2E1" w:themeFill="accent4" w:themeFillTint="33"/>
          </w:tcPr>
          <w:p w14:paraId="055D0434"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76" w:type="dxa"/>
            <w:shd w:val="clear" w:color="auto" w:fill="E8F2E1" w:themeFill="accent4" w:themeFillTint="33"/>
          </w:tcPr>
          <w:p w14:paraId="5C76FC7B"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76" w:type="dxa"/>
            <w:gridSpan w:val="2"/>
            <w:shd w:val="clear" w:color="auto" w:fill="E8F2E1" w:themeFill="accent4" w:themeFillTint="33"/>
          </w:tcPr>
          <w:p w14:paraId="5BC0E05C"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r>
      <w:tr w:rsidR="0047638E" w:rsidRPr="009F2E4E" w14:paraId="534E1584"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7A91B2CE" w14:textId="77777777" w:rsidR="002C48D3" w:rsidRPr="009F2E4E" w:rsidRDefault="002C48D3" w:rsidP="00E86D7C">
            <w:pPr>
              <w:spacing w:after="0"/>
              <w:rPr>
                <w:noProof/>
              </w:rPr>
            </w:pPr>
            <w:r w:rsidRPr="009F2E4E">
              <w:rPr>
                <w:noProof/>
              </w:rPr>
              <w:t>EE</w:t>
            </w:r>
          </w:p>
        </w:tc>
        <w:tc>
          <w:tcPr>
            <w:tcW w:w="2475" w:type="dxa"/>
            <w:gridSpan w:val="2"/>
            <w:shd w:val="clear" w:color="auto" w:fill="E8F2E1" w:themeFill="accent4" w:themeFillTint="33"/>
          </w:tcPr>
          <w:p w14:paraId="42859241"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76" w:type="dxa"/>
            <w:shd w:val="clear" w:color="auto" w:fill="E8F2E1" w:themeFill="accent4" w:themeFillTint="33"/>
          </w:tcPr>
          <w:p w14:paraId="1948A68D"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76" w:type="dxa"/>
            <w:gridSpan w:val="2"/>
            <w:shd w:val="clear" w:color="auto" w:fill="E8F2E1" w:themeFill="accent4" w:themeFillTint="33"/>
          </w:tcPr>
          <w:p w14:paraId="132A2805"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03289096"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759C50A7" w14:textId="77777777" w:rsidR="002C48D3" w:rsidRPr="009F2E4E" w:rsidRDefault="002C48D3" w:rsidP="00E86D7C">
            <w:pPr>
              <w:spacing w:after="0"/>
              <w:rPr>
                <w:noProof/>
              </w:rPr>
            </w:pPr>
            <w:r w:rsidRPr="009F2E4E">
              <w:rPr>
                <w:noProof/>
              </w:rPr>
              <w:t>IE</w:t>
            </w:r>
          </w:p>
        </w:tc>
        <w:tc>
          <w:tcPr>
            <w:tcW w:w="2475" w:type="dxa"/>
            <w:gridSpan w:val="2"/>
            <w:shd w:val="clear" w:color="auto" w:fill="E8F2E1" w:themeFill="accent4" w:themeFillTint="33"/>
          </w:tcPr>
          <w:p w14:paraId="08CEFF7F" w14:textId="37A5F247" w:rsidR="002C48D3" w:rsidRPr="009F2E4E" w:rsidRDefault="00C33D4E"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1AF85BF0" wp14:editId="7C788D0E">
                  <wp:extent cx="95250" cy="952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inline>
              </w:drawing>
            </w:r>
          </w:p>
        </w:tc>
        <w:tc>
          <w:tcPr>
            <w:tcW w:w="2476" w:type="dxa"/>
            <w:shd w:val="clear" w:color="auto" w:fill="E8F2E1" w:themeFill="accent4" w:themeFillTint="33"/>
          </w:tcPr>
          <w:p w14:paraId="082C631D"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76" w:type="dxa"/>
            <w:gridSpan w:val="2"/>
            <w:shd w:val="clear" w:color="auto" w:fill="E8F2E1" w:themeFill="accent4" w:themeFillTint="33"/>
          </w:tcPr>
          <w:p w14:paraId="29E2F6F3"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r>
      <w:tr w:rsidR="0047638E" w:rsidRPr="009F2E4E" w14:paraId="0063E71C"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463F88D5" w14:textId="77777777" w:rsidR="002C48D3" w:rsidRPr="009F2E4E" w:rsidRDefault="002C48D3" w:rsidP="00E86D7C">
            <w:pPr>
              <w:spacing w:after="0"/>
              <w:rPr>
                <w:noProof/>
              </w:rPr>
            </w:pPr>
            <w:r w:rsidRPr="009F2E4E">
              <w:rPr>
                <w:noProof/>
              </w:rPr>
              <w:t>EL</w:t>
            </w:r>
          </w:p>
        </w:tc>
        <w:tc>
          <w:tcPr>
            <w:tcW w:w="2475" w:type="dxa"/>
            <w:gridSpan w:val="2"/>
            <w:shd w:val="clear" w:color="auto" w:fill="E8F2E1" w:themeFill="accent4" w:themeFillTint="33"/>
          </w:tcPr>
          <w:p w14:paraId="0E713205"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76" w:type="dxa"/>
            <w:shd w:val="clear" w:color="auto" w:fill="E8F2E1" w:themeFill="accent4" w:themeFillTint="33"/>
          </w:tcPr>
          <w:p w14:paraId="27989DBE"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76" w:type="dxa"/>
            <w:gridSpan w:val="2"/>
            <w:shd w:val="clear" w:color="auto" w:fill="E8F2E1" w:themeFill="accent4" w:themeFillTint="33"/>
          </w:tcPr>
          <w:p w14:paraId="24E85725"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361BCF9A"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13A5C749" w14:textId="77777777" w:rsidR="002C48D3" w:rsidRPr="009F2E4E" w:rsidRDefault="002C48D3" w:rsidP="00E86D7C">
            <w:pPr>
              <w:spacing w:after="0"/>
              <w:rPr>
                <w:noProof/>
              </w:rPr>
            </w:pPr>
            <w:r w:rsidRPr="009F2E4E">
              <w:rPr>
                <w:noProof/>
              </w:rPr>
              <w:t>ES</w:t>
            </w:r>
          </w:p>
        </w:tc>
        <w:tc>
          <w:tcPr>
            <w:tcW w:w="2475" w:type="dxa"/>
            <w:gridSpan w:val="2"/>
            <w:shd w:val="clear" w:color="auto" w:fill="E8F2E1" w:themeFill="accent4" w:themeFillTint="33"/>
          </w:tcPr>
          <w:p w14:paraId="59DAF224"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76" w:type="dxa"/>
            <w:shd w:val="clear" w:color="auto" w:fill="E8F2E1" w:themeFill="accent4" w:themeFillTint="33"/>
          </w:tcPr>
          <w:p w14:paraId="3F88473F"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76" w:type="dxa"/>
            <w:gridSpan w:val="2"/>
            <w:shd w:val="clear" w:color="auto" w:fill="E8F2E1" w:themeFill="accent4" w:themeFillTint="33"/>
          </w:tcPr>
          <w:p w14:paraId="6A2204B7"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r>
      <w:tr w:rsidR="0047638E" w:rsidRPr="009F2E4E" w14:paraId="1909E45A"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63F808BB" w14:textId="77777777" w:rsidR="002C48D3" w:rsidRPr="009F2E4E" w:rsidRDefault="002C48D3" w:rsidP="00E86D7C">
            <w:pPr>
              <w:spacing w:after="0"/>
              <w:rPr>
                <w:noProof/>
              </w:rPr>
            </w:pPr>
            <w:r w:rsidRPr="009F2E4E">
              <w:rPr>
                <w:noProof/>
              </w:rPr>
              <w:t>HR</w:t>
            </w:r>
          </w:p>
        </w:tc>
        <w:tc>
          <w:tcPr>
            <w:tcW w:w="2475" w:type="dxa"/>
            <w:gridSpan w:val="2"/>
            <w:shd w:val="clear" w:color="auto" w:fill="E8F2E1" w:themeFill="accent4" w:themeFillTint="33"/>
          </w:tcPr>
          <w:p w14:paraId="3D73DA35"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76" w:type="dxa"/>
            <w:shd w:val="clear" w:color="auto" w:fill="E8F2E1" w:themeFill="accent4" w:themeFillTint="33"/>
          </w:tcPr>
          <w:p w14:paraId="2086E8CA"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76" w:type="dxa"/>
            <w:gridSpan w:val="2"/>
            <w:shd w:val="clear" w:color="auto" w:fill="E8F2E1" w:themeFill="accent4" w:themeFillTint="33"/>
          </w:tcPr>
          <w:p w14:paraId="729D566F" w14:textId="6D2D30C8" w:rsidR="002C48D3" w:rsidRPr="009F2E4E" w:rsidRDefault="00C33D4E"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6502B415" wp14:editId="2419E3FF">
                  <wp:extent cx="95250" cy="952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inline>
              </w:drawing>
            </w:r>
          </w:p>
        </w:tc>
      </w:tr>
      <w:tr w:rsidR="0047638E" w:rsidRPr="009F2E4E" w14:paraId="28C6F8F4"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2B8A0645" w14:textId="77777777" w:rsidR="002C48D3" w:rsidRPr="009F2E4E" w:rsidRDefault="002C48D3" w:rsidP="00E86D7C">
            <w:pPr>
              <w:spacing w:after="0"/>
              <w:rPr>
                <w:noProof/>
              </w:rPr>
            </w:pPr>
            <w:r w:rsidRPr="009F2E4E">
              <w:rPr>
                <w:noProof/>
              </w:rPr>
              <w:t>FR</w:t>
            </w:r>
          </w:p>
        </w:tc>
        <w:tc>
          <w:tcPr>
            <w:tcW w:w="2410" w:type="dxa"/>
            <w:shd w:val="clear" w:color="auto" w:fill="E8F2E1" w:themeFill="accent4" w:themeFillTint="33"/>
          </w:tcPr>
          <w:p w14:paraId="691F5A08"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551" w:type="dxa"/>
            <w:gridSpan w:val="3"/>
            <w:shd w:val="clear" w:color="auto" w:fill="E8F2E1" w:themeFill="accent4" w:themeFillTint="33"/>
          </w:tcPr>
          <w:p w14:paraId="72CDE45B"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66" w:type="dxa"/>
            <w:shd w:val="clear" w:color="auto" w:fill="E8F2E1" w:themeFill="accent4" w:themeFillTint="33"/>
          </w:tcPr>
          <w:p w14:paraId="5FBE7623"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r>
      <w:tr w:rsidR="0047638E" w:rsidRPr="009F2E4E" w14:paraId="5831455C"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7449731E" w14:textId="77777777" w:rsidR="002C48D3" w:rsidRPr="009F2E4E" w:rsidRDefault="002C48D3" w:rsidP="00E86D7C">
            <w:pPr>
              <w:spacing w:after="0"/>
              <w:rPr>
                <w:noProof/>
              </w:rPr>
            </w:pPr>
            <w:r w:rsidRPr="009F2E4E">
              <w:rPr>
                <w:noProof/>
              </w:rPr>
              <w:t>IT</w:t>
            </w:r>
          </w:p>
        </w:tc>
        <w:tc>
          <w:tcPr>
            <w:tcW w:w="2410" w:type="dxa"/>
            <w:shd w:val="clear" w:color="auto" w:fill="E8F2E1" w:themeFill="accent4" w:themeFillTint="33"/>
          </w:tcPr>
          <w:p w14:paraId="40D234DE"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551" w:type="dxa"/>
            <w:gridSpan w:val="3"/>
            <w:shd w:val="clear" w:color="auto" w:fill="E8F2E1" w:themeFill="accent4" w:themeFillTint="33"/>
          </w:tcPr>
          <w:p w14:paraId="5B4302F0"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66" w:type="dxa"/>
            <w:shd w:val="clear" w:color="auto" w:fill="E8F2E1" w:themeFill="accent4" w:themeFillTint="33"/>
          </w:tcPr>
          <w:p w14:paraId="34D4864F"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78586C16"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753ED141" w14:textId="77777777" w:rsidR="002C48D3" w:rsidRPr="009F2E4E" w:rsidRDefault="002C48D3" w:rsidP="00E86D7C">
            <w:pPr>
              <w:spacing w:after="0"/>
              <w:rPr>
                <w:noProof/>
              </w:rPr>
            </w:pPr>
            <w:r w:rsidRPr="009F2E4E">
              <w:rPr>
                <w:noProof/>
              </w:rPr>
              <w:t>CY</w:t>
            </w:r>
          </w:p>
        </w:tc>
        <w:tc>
          <w:tcPr>
            <w:tcW w:w="2410" w:type="dxa"/>
            <w:shd w:val="clear" w:color="auto" w:fill="E8F2E1" w:themeFill="accent4" w:themeFillTint="33"/>
          </w:tcPr>
          <w:p w14:paraId="05EEADF7"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551" w:type="dxa"/>
            <w:gridSpan w:val="3"/>
            <w:shd w:val="clear" w:color="auto" w:fill="E8F2E1" w:themeFill="accent4" w:themeFillTint="33"/>
          </w:tcPr>
          <w:p w14:paraId="3094A03E"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66" w:type="dxa"/>
            <w:shd w:val="clear" w:color="auto" w:fill="E8F2E1" w:themeFill="accent4" w:themeFillTint="33"/>
          </w:tcPr>
          <w:p w14:paraId="50D43740"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r>
      <w:tr w:rsidR="0047638E" w:rsidRPr="009F2E4E" w14:paraId="7A19F4BE"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73378006" w14:textId="77777777" w:rsidR="002C48D3" w:rsidRPr="009F2E4E" w:rsidRDefault="002C48D3" w:rsidP="00E86D7C">
            <w:pPr>
              <w:spacing w:after="0"/>
              <w:rPr>
                <w:noProof/>
              </w:rPr>
            </w:pPr>
            <w:r w:rsidRPr="009F2E4E">
              <w:rPr>
                <w:noProof/>
              </w:rPr>
              <w:t>LV</w:t>
            </w:r>
          </w:p>
        </w:tc>
        <w:tc>
          <w:tcPr>
            <w:tcW w:w="2410" w:type="dxa"/>
            <w:shd w:val="clear" w:color="auto" w:fill="E8F2E1" w:themeFill="accent4" w:themeFillTint="33"/>
          </w:tcPr>
          <w:p w14:paraId="33376615"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551" w:type="dxa"/>
            <w:gridSpan w:val="3"/>
            <w:shd w:val="clear" w:color="auto" w:fill="E8F2E1" w:themeFill="accent4" w:themeFillTint="33"/>
          </w:tcPr>
          <w:p w14:paraId="6F540FDD"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66" w:type="dxa"/>
            <w:shd w:val="clear" w:color="auto" w:fill="E8F2E1" w:themeFill="accent4" w:themeFillTint="33"/>
          </w:tcPr>
          <w:p w14:paraId="06F18222"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59581402"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50CF052C" w14:textId="77777777" w:rsidR="002C48D3" w:rsidRPr="009F2E4E" w:rsidRDefault="002C48D3" w:rsidP="00E86D7C">
            <w:pPr>
              <w:spacing w:after="0"/>
              <w:rPr>
                <w:noProof/>
              </w:rPr>
            </w:pPr>
            <w:r w:rsidRPr="009F2E4E">
              <w:rPr>
                <w:noProof/>
              </w:rPr>
              <w:t>LT</w:t>
            </w:r>
          </w:p>
        </w:tc>
        <w:tc>
          <w:tcPr>
            <w:tcW w:w="2410" w:type="dxa"/>
            <w:shd w:val="clear" w:color="auto" w:fill="E8F2E1" w:themeFill="accent4" w:themeFillTint="33"/>
          </w:tcPr>
          <w:p w14:paraId="31065568"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551" w:type="dxa"/>
            <w:gridSpan w:val="3"/>
            <w:shd w:val="clear" w:color="auto" w:fill="E8F2E1" w:themeFill="accent4" w:themeFillTint="33"/>
          </w:tcPr>
          <w:p w14:paraId="5B074A40"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66" w:type="dxa"/>
            <w:shd w:val="clear" w:color="auto" w:fill="E8F2E1" w:themeFill="accent4" w:themeFillTint="33"/>
          </w:tcPr>
          <w:p w14:paraId="41B8606D" w14:textId="79F27EDC" w:rsidR="002C48D3" w:rsidRPr="009F2E4E" w:rsidRDefault="00C33D4E"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6D2BE94D" wp14:editId="60669D01">
                  <wp:extent cx="97790" cy="9779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tc>
      </w:tr>
      <w:tr w:rsidR="0047638E" w:rsidRPr="009F2E4E" w14:paraId="6DB950DA"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23046579" w14:textId="77777777" w:rsidR="002C48D3" w:rsidRPr="009F2E4E" w:rsidRDefault="002C48D3" w:rsidP="00E86D7C">
            <w:pPr>
              <w:spacing w:after="0"/>
              <w:rPr>
                <w:noProof/>
              </w:rPr>
            </w:pPr>
            <w:r w:rsidRPr="009F2E4E">
              <w:rPr>
                <w:noProof/>
              </w:rPr>
              <w:t>LU</w:t>
            </w:r>
          </w:p>
        </w:tc>
        <w:tc>
          <w:tcPr>
            <w:tcW w:w="2410" w:type="dxa"/>
            <w:shd w:val="clear" w:color="auto" w:fill="E8F2E1" w:themeFill="accent4" w:themeFillTint="33"/>
          </w:tcPr>
          <w:p w14:paraId="7AB59723" w14:textId="1E1E9C4F" w:rsidR="002C48D3" w:rsidRPr="009F2E4E" w:rsidRDefault="00C33D4E"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273B2DCB" wp14:editId="6874E99B">
                  <wp:extent cx="97790" cy="9779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tc>
        <w:tc>
          <w:tcPr>
            <w:tcW w:w="2551" w:type="dxa"/>
            <w:gridSpan w:val="3"/>
            <w:shd w:val="clear" w:color="auto" w:fill="E8F2E1" w:themeFill="accent4" w:themeFillTint="33"/>
          </w:tcPr>
          <w:p w14:paraId="23742529"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66" w:type="dxa"/>
            <w:shd w:val="clear" w:color="auto" w:fill="E8F2E1" w:themeFill="accent4" w:themeFillTint="33"/>
          </w:tcPr>
          <w:p w14:paraId="39C24AB8"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16CC9F66"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795FBD7E" w14:textId="77777777" w:rsidR="002C48D3" w:rsidRPr="009F2E4E" w:rsidRDefault="002C48D3" w:rsidP="00E86D7C">
            <w:pPr>
              <w:spacing w:after="0"/>
              <w:rPr>
                <w:noProof/>
              </w:rPr>
            </w:pPr>
            <w:r w:rsidRPr="009F2E4E">
              <w:rPr>
                <w:noProof/>
              </w:rPr>
              <w:t>HU</w:t>
            </w:r>
          </w:p>
        </w:tc>
        <w:tc>
          <w:tcPr>
            <w:tcW w:w="2410" w:type="dxa"/>
            <w:shd w:val="clear" w:color="auto" w:fill="E8F2E1" w:themeFill="accent4" w:themeFillTint="33"/>
          </w:tcPr>
          <w:p w14:paraId="68F5862E"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551" w:type="dxa"/>
            <w:gridSpan w:val="3"/>
            <w:shd w:val="clear" w:color="auto" w:fill="E8F2E1" w:themeFill="accent4" w:themeFillTint="33"/>
          </w:tcPr>
          <w:p w14:paraId="2E2972D8" w14:textId="4D025F63" w:rsidR="002C48D3" w:rsidRPr="009F2E4E" w:rsidRDefault="00C33D4E"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70F4E847" wp14:editId="24E3BF41">
                  <wp:extent cx="97790" cy="9779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tc>
        <w:tc>
          <w:tcPr>
            <w:tcW w:w="2466" w:type="dxa"/>
            <w:shd w:val="clear" w:color="auto" w:fill="E8F2E1" w:themeFill="accent4" w:themeFillTint="33"/>
          </w:tcPr>
          <w:p w14:paraId="0727A409"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r>
      <w:tr w:rsidR="0047638E" w:rsidRPr="009F2E4E" w14:paraId="687A5583"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430BD363" w14:textId="77777777" w:rsidR="002C48D3" w:rsidRPr="009F2E4E" w:rsidRDefault="002C48D3" w:rsidP="00E86D7C">
            <w:pPr>
              <w:spacing w:after="0"/>
              <w:rPr>
                <w:noProof/>
              </w:rPr>
            </w:pPr>
            <w:r w:rsidRPr="009F2E4E">
              <w:rPr>
                <w:noProof/>
              </w:rPr>
              <w:t>MT</w:t>
            </w:r>
          </w:p>
        </w:tc>
        <w:tc>
          <w:tcPr>
            <w:tcW w:w="2410" w:type="dxa"/>
            <w:shd w:val="clear" w:color="auto" w:fill="E8F2E1" w:themeFill="accent4" w:themeFillTint="33"/>
          </w:tcPr>
          <w:p w14:paraId="37B953CF" w14:textId="279A4E58" w:rsidR="002C48D3" w:rsidRPr="009F2E4E" w:rsidRDefault="00C33D4E"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5F01FC6E" wp14:editId="6344EDAC">
                  <wp:extent cx="97790" cy="977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tc>
        <w:tc>
          <w:tcPr>
            <w:tcW w:w="2551" w:type="dxa"/>
            <w:gridSpan w:val="3"/>
            <w:shd w:val="clear" w:color="auto" w:fill="E8F2E1" w:themeFill="accent4" w:themeFillTint="33"/>
          </w:tcPr>
          <w:p w14:paraId="5BD0F3AE"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66" w:type="dxa"/>
            <w:shd w:val="clear" w:color="auto" w:fill="E8F2E1" w:themeFill="accent4" w:themeFillTint="33"/>
          </w:tcPr>
          <w:p w14:paraId="7A213EFC"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2BF24411"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382F681E" w14:textId="77777777" w:rsidR="002C48D3" w:rsidRPr="009F2E4E" w:rsidRDefault="002C48D3" w:rsidP="00E86D7C">
            <w:pPr>
              <w:spacing w:after="0"/>
              <w:rPr>
                <w:noProof/>
              </w:rPr>
            </w:pPr>
            <w:r w:rsidRPr="009F2E4E">
              <w:rPr>
                <w:noProof/>
              </w:rPr>
              <w:t>NL</w:t>
            </w:r>
          </w:p>
        </w:tc>
        <w:tc>
          <w:tcPr>
            <w:tcW w:w="2410" w:type="dxa"/>
            <w:shd w:val="clear" w:color="auto" w:fill="E8F2E1" w:themeFill="accent4" w:themeFillTint="33"/>
          </w:tcPr>
          <w:p w14:paraId="0DBA2576" w14:textId="193551D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551" w:type="dxa"/>
            <w:gridSpan w:val="3"/>
            <w:shd w:val="clear" w:color="auto" w:fill="E8F2E1" w:themeFill="accent4" w:themeFillTint="33"/>
          </w:tcPr>
          <w:p w14:paraId="393BDC2F"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66" w:type="dxa"/>
            <w:shd w:val="clear" w:color="auto" w:fill="E8F2E1" w:themeFill="accent4" w:themeFillTint="33"/>
          </w:tcPr>
          <w:p w14:paraId="487AD961"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r>
      <w:tr w:rsidR="0047638E" w:rsidRPr="009F2E4E" w14:paraId="5F4A608D"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082A1440" w14:textId="77777777" w:rsidR="002C48D3" w:rsidRPr="009F2E4E" w:rsidRDefault="002C48D3" w:rsidP="00E86D7C">
            <w:pPr>
              <w:spacing w:after="0"/>
              <w:rPr>
                <w:noProof/>
              </w:rPr>
            </w:pPr>
            <w:r w:rsidRPr="009F2E4E">
              <w:rPr>
                <w:noProof/>
              </w:rPr>
              <w:t>AT</w:t>
            </w:r>
          </w:p>
        </w:tc>
        <w:tc>
          <w:tcPr>
            <w:tcW w:w="2410" w:type="dxa"/>
            <w:shd w:val="clear" w:color="auto" w:fill="E8F2E1" w:themeFill="accent4" w:themeFillTint="33"/>
          </w:tcPr>
          <w:p w14:paraId="51578715" w14:textId="225A15A2" w:rsidR="002C48D3" w:rsidRPr="009F2E4E" w:rsidRDefault="00C33D4E"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0DAC221D" wp14:editId="0D605E70">
                  <wp:extent cx="97790" cy="9779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tc>
        <w:tc>
          <w:tcPr>
            <w:tcW w:w="2551" w:type="dxa"/>
            <w:gridSpan w:val="3"/>
            <w:shd w:val="clear" w:color="auto" w:fill="E8F2E1" w:themeFill="accent4" w:themeFillTint="33"/>
          </w:tcPr>
          <w:p w14:paraId="25E6146F"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66" w:type="dxa"/>
            <w:shd w:val="clear" w:color="auto" w:fill="E8F2E1" w:themeFill="accent4" w:themeFillTint="33"/>
          </w:tcPr>
          <w:p w14:paraId="06AABE12"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662EE805"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4366DAE9" w14:textId="77777777" w:rsidR="002C48D3" w:rsidRPr="009F2E4E" w:rsidRDefault="002C48D3" w:rsidP="00E86D7C">
            <w:pPr>
              <w:spacing w:after="0"/>
              <w:rPr>
                <w:noProof/>
              </w:rPr>
            </w:pPr>
            <w:r w:rsidRPr="009F2E4E">
              <w:rPr>
                <w:noProof/>
              </w:rPr>
              <w:t>PL</w:t>
            </w:r>
          </w:p>
        </w:tc>
        <w:tc>
          <w:tcPr>
            <w:tcW w:w="2410" w:type="dxa"/>
            <w:shd w:val="clear" w:color="auto" w:fill="E8F2E1" w:themeFill="accent4" w:themeFillTint="33"/>
          </w:tcPr>
          <w:p w14:paraId="5BE906BE"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551" w:type="dxa"/>
            <w:gridSpan w:val="3"/>
            <w:shd w:val="clear" w:color="auto" w:fill="E8F2E1" w:themeFill="accent4" w:themeFillTint="33"/>
          </w:tcPr>
          <w:p w14:paraId="15B488A8"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66" w:type="dxa"/>
            <w:shd w:val="clear" w:color="auto" w:fill="E8F2E1" w:themeFill="accent4" w:themeFillTint="33"/>
          </w:tcPr>
          <w:p w14:paraId="49EB6282"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r>
      <w:tr w:rsidR="0047638E" w:rsidRPr="009F2E4E" w14:paraId="2766F248"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3087FD01" w14:textId="77777777" w:rsidR="002C48D3" w:rsidRPr="009F2E4E" w:rsidRDefault="002C48D3" w:rsidP="00E86D7C">
            <w:pPr>
              <w:spacing w:after="0"/>
              <w:rPr>
                <w:noProof/>
              </w:rPr>
            </w:pPr>
            <w:r w:rsidRPr="009F2E4E">
              <w:rPr>
                <w:noProof/>
              </w:rPr>
              <w:t>PT</w:t>
            </w:r>
          </w:p>
        </w:tc>
        <w:tc>
          <w:tcPr>
            <w:tcW w:w="2410" w:type="dxa"/>
            <w:shd w:val="clear" w:color="auto" w:fill="E8F2E1" w:themeFill="accent4" w:themeFillTint="33"/>
          </w:tcPr>
          <w:p w14:paraId="6C01EC7F"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551" w:type="dxa"/>
            <w:gridSpan w:val="3"/>
            <w:shd w:val="clear" w:color="auto" w:fill="E8F2E1" w:themeFill="accent4" w:themeFillTint="33"/>
          </w:tcPr>
          <w:p w14:paraId="20DABBE0"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66" w:type="dxa"/>
            <w:shd w:val="clear" w:color="auto" w:fill="E8F2E1" w:themeFill="accent4" w:themeFillTint="33"/>
          </w:tcPr>
          <w:p w14:paraId="02663E0C"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71C13B87"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3369762C" w14:textId="77777777" w:rsidR="002C48D3" w:rsidRPr="009F2E4E" w:rsidRDefault="002C48D3" w:rsidP="00E86D7C">
            <w:pPr>
              <w:spacing w:after="0"/>
              <w:rPr>
                <w:noProof/>
              </w:rPr>
            </w:pPr>
            <w:r w:rsidRPr="009F2E4E">
              <w:rPr>
                <w:noProof/>
              </w:rPr>
              <w:t>RO</w:t>
            </w:r>
          </w:p>
        </w:tc>
        <w:tc>
          <w:tcPr>
            <w:tcW w:w="2410" w:type="dxa"/>
            <w:shd w:val="clear" w:color="auto" w:fill="E8F2E1" w:themeFill="accent4" w:themeFillTint="33"/>
          </w:tcPr>
          <w:p w14:paraId="6FE7416F"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551" w:type="dxa"/>
            <w:gridSpan w:val="3"/>
            <w:shd w:val="clear" w:color="auto" w:fill="E8F2E1" w:themeFill="accent4" w:themeFillTint="33"/>
          </w:tcPr>
          <w:p w14:paraId="15C63C28" w14:textId="1ED6A26E" w:rsidR="002C48D3" w:rsidRPr="009F2E4E" w:rsidRDefault="00C33D4E"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3EE055B6" wp14:editId="4FB7B3D5">
                  <wp:extent cx="97790" cy="977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tc>
        <w:tc>
          <w:tcPr>
            <w:tcW w:w="2466" w:type="dxa"/>
            <w:shd w:val="clear" w:color="auto" w:fill="E8F2E1" w:themeFill="accent4" w:themeFillTint="33"/>
          </w:tcPr>
          <w:p w14:paraId="70FE95AF" w14:textId="22519581" w:rsidR="002C48D3" w:rsidRPr="009F2E4E" w:rsidRDefault="00C33D4E"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1A5D0734" wp14:editId="7C0A36F0">
                  <wp:extent cx="97790" cy="9779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tc>
      </w:tr>
      <w:tr w:rsidR="0047638E" w:rsidRPr="009F2E4E" w14:paraId="08442632"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1D15AC0C" w14:textId="77777777" w:rsidR="002C48D3" w:rsidRPr="009F2E4E" w:rsidRDefault="002C48D3" w:rsidP="00E86D7C">
            <w:pPr>
              <w:spacing w:after="0"/>
              <w:rPr>
                <w:noProof/>
              </w:rPr>
            </w:pPr>
            <w:r w:rsidRPr="009F2E4E">
              <w:rPr>
                <w:noProof/>
              </w:rPr>
              <w:t>SI</w:t>
            </w:r>
          </w:p>
        </w:tc>
        <w:tc>
          <w:tcPr>
            <w:tcW w:w="2410" w:type="dxa"/>
            <w:shd w:val="clear" w:color="auto" w:fill="E8F2E1" w:themeFill="accent4" w:themeFillTint="33"/>
          </w:tcPr>
          <w:p w14:paraId="63760187"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551" w:type="dxa"/>
            <w:gridSpan w:val="3"/>
            <w:shd w:val="clear" w:color="auto" w:fill="E8F2E1" w:themeFill="accent4" w:themeFillTint="33"/>
          </w:tcPr>
          <w:p w14:paraId="41258896"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66" w:type="dxa"/>
            <w:shd w:val="clear" w:color="auto" w:fill="E8F2E1" w:themeFill="accent4" w:themeFillTint="33"/>
          </w:tcPr>
          <w:p w14:paraId="57F5B596"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3AB4EEA5"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3979F274" w14:textId="77777777" w:rsidR="002C48D3" w:rsidRPr="009F2E4E" w:rsidRDefault="002C48D3" w:rsidP="00E86D7C">
            <w:pPr>
              <w:spacing w:after="0"/>
              <w:rPr>
                <w:noProof/>
              </w:rPr>
            </w:pPr>
            <w:r w:rsidRPr="009F2E4E">
              <w:rPr>
                <w:noProof/>
              </w:rPr>
              <w:t>SK</w:t>
            </w:r>
          </w:p>
        </w:tc>
        <w:tc>
          <w:tcPr>
            <w:tcW w:w="2410" w:type="dxa"/>
            <w:shd w:val="clear" w:color="auto" w:fill="E8F2E1" w:themeFill="accent4" w:themeFillTint="33"/>
          </w:tcPr>
          <w:p w14:paraId="16571F04"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551" w:type="dxa"/>
            <w:gridSpan w:val="3"/>
            <w:shd w:val="clear" w:color="auto" w:fill="E8F2E1" w:themeFill="accent4" w:themeFillTint="33"/>
          </w:tcPr>
          <w:p w14:paraId="274D8BE2"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66" w:type="dxa"/>
            <w:shd w:val="clear" w:color="auto" w:fill="E8F2E1" w:themeFill="accent4" w:themeFillTint="33"/>
          </w:tcPr>
          <w:p w14:paraId="64FC361D" w14:textId="472254C6" w:rsidR="002C48D3" w:rsidRPr="009F2E4E" w:rsidRDefault="00C33D4E"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r w:rsidRPr="00FF6BC0">
              <w:rPr>
                <w:noProof/>
                <w:lang w:eastAsia="en-GB"/>
              </w:rPr>
              <w:drawing>
                <wp:inline distT="0" distB="0" distL="0" distR="0" wp14:anchorId="525BF167" wp14:editId="7BA43D90">
                  <wp:extent cx="97790" cy="977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tc>
      </w:tr>
      <w:tr w:rsidR="0047638E" w:rsidRPr="009F2E4E" w14:paraId="4268F415" w14:textId="77777777" w:rsidTr="00C33D4E">
        <w:trPr>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4A34104D" w14:textId="77777777" w:rsidR="002C48D3" w:rsidRPr="009F2E4E" w:rsidRDefault="002C48D3" w:rsidP="00E86D7C">
            <w:pPr>
              <w:spacing w:after="0"/>
              <w:rPr>
                <w:noProof/>
              </w:rPr>
            </w:pPr>
            <w:r w:rsidRPr="009F2E4E">
              <w:rPr>
                <w:noProof/>
              </w:rPr>
              <w:t>FI</w:t>
            </w:r>
          </w:p>
        </w:tc>
        <w:tc>
          <w:tcPr>
            <w:tcW w:w="2410" w:type="dxa"/>
            <w:shd w:val="clear" w:color="auto" w:fill="E8F2E1" w:themeFill="accent4" w:themeFillTint="33"/>
          </w:tcPr>
          <w:p w14:paraId="4A622414" w14:textId="4AB9C86D" w:rsidR="002C48D3" w:rsidRPr="009F2E4E" w:rsidRDefault="00C33D4E"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FF6BC0">
              <w:rPr>
                <w:noProof/>
                <w:lang w:eastAsia="en-GB"/>
              </w:rPr>
              <w:drawing>
                <wp:inline distT="0" distB="0" distL="0" distR="0" wp14:anchorId="732E6A53" wp14:editId="49B1690F">
                  <wp:extent cx="97790" cy="977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tc>
        <w:tc>
          <w:tcPr>
            <w:tcW w:w="2551" w:type="dxa"/>
            <w:gridSpan w:val="3"/>
            <w:shd w:val="clear" w:color="auto" w:fill="E8F2E1" w:themeFill="accent4" w:themeFillTint="33"/>
          </w:tcPr>
          <w:p w14:paraId="320EDF65"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2466" w:type="dxa"/>
            <w:shd w:val="clear" w:color="auto" w:fill="E8F2E1" w:themeFill="accent4" w:themeFillTint="33"/>
          </w:tcPr>
          <w:p w14:paraId="7F9CEE25" w14:textId="77777777" w:rsidR="002C48D3" w:rsidRPr="009F2E4E" w:rsidRDefault="002C48D3" w:rsidP="00BC0154">
            <w:pPr>
              <w:spacing w:after="0"/>
              <w:jc w:val="center"/>
              <w:cnfStyle w:val="000000000000" w:firstRow="0" w:lastRow="0" w:firstColumn="0" w:lastColumn="0" w:oddVBand="0" w:evenVBand="0" w:oddHBand="0" w:evenHBand="0" w:firstRowFirstColumn="0" w:firstRowLastColumn="0" w:lastRowFirstColumn="0" w:lastRowLastColumn="0"/>
              <w:rPr>
                <w:noProof/>
              </w:rPr>
            </w:pPr>
          </w:p>
        </w:tc>
      </w:tr>
      <w:tr w:rsidR="0047638E" w:rsidRPr="009F2E4E" w14:paraId="55E4E74D" w14:textId="77777777" w:rsidTr="00C33D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shd w:val="clear" w:color="auto" w:fill="E8F2E1" w:themeFill="accent4" w:themeFillTint="33"/>
          </w:tcPr>
          <w:p w14:paraId="4F68A02C" w14:textId="77777777" w:rsidR="002C48D3" w:rsidRPr="009F2E4E" w:rsidRDefault="002C48D3" w:rsidP="00E86D7C">
            <w:pPr>
              <w:spacing w:after="0"/>
              <w:rPr>
                <w:noProof/>
              </w:rPr>
            </w:pPr>
            <w:r w:rsidRPr="009F2E4E">
              <w:rPr>
                <w:noProof/>
              </w:rPr>
              <w:t>SE</w:t>
            </w:r>
          </w:p>
        </w:tc>
        <w:tc>
          <w:tcPr>
            <w:tcW w:w="2410" w:type="dxa"/>
            <w:shd w:val="clear" w:color="auto" w:fill="E8F2E1" w:themeFill="accent4" w:themeFillTint="33"/>
          </w:tcPr>
          <w:p w14:paraId="7BD589F4" w14:textId="33FBD1FA"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551" w:type="dxa"/>
            <w:gridSpan w:val="3"/>
            <w:shd w:val="clear" w:color="auto" w:fill="E8F2E1" w:themeFill="accent4" w:themeFillTint="33"/>
          </w:tcPr>
          <w:p w14:paraId="4A1A4AE7"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c>
          <w:tcPr>
            <w:tcW w:w="2466" w:type="dxa"/>
            <w:shd w:val="clear" w:color="auto" w:fill="E8F2E1" w:themeFill="accent4" w:themeFillTint="33"/>
          </w:tcPr>
          <w:p w14:paraId="6DB86418" w14:textId="77777777" w:rsidR="002C48D3" w:rsidRPr="009F2E4E" w:rsidRDefault="002C48D3" w:rsidP="00BC0154">
            <w:pPr>
              <w:spacing w:after="0"/>
              <w:jc w:val="center"/>
              <w:cnfStyle w:val="000000100000" w:firstRow="0" w:lastRow="0" w:firstColumn="0" w:lastColumn="0" w:oddVBand="0" w:evenVBand="0" w:oddHBand="1" w:evenHBand="0" w:firstRowFirstColumn="0" w:firstRowLastColumn="0" w:lastRowFirstColumn="0" w:lastRowLastColumn="0"/>
              <w:rPr>
                <w:noProof/>
              </w:rPr>
            </w:pPr>
          </w:p>
        </w:tc>
      </w:tr>
    </w:tbl>
    <w:p w14:paraId="50780499" w14:textId="275552CD" w:rsidR="00507778" w:rsidRPr="009F2E4E" w:rsidRDefault="002C48D3" w:rsidP="00500E0C">
      <w:pPr>
        <w:rPr>
          <w:noProof/>
        </w:rPr>
      </w:pPr>
      <w:r w:rsidRPr="009F2E4E">
        <w:rPr>
          <w:i/>
          <w:iCs/>
          <w:noProof/>
        </w:rPr>
        <w:t xml:space="preserve">Source: </w:t>
      </w:r>
      <w:r w:rsidRPr="009F2E4E">
        <w:rPr>
          <w:noProof/>
        </w:rPr>
        <w:t>Commission services</w:t>
      </w:r>
    </w:p>
    <w:p w14:paraId="0CB10F26" w14:textId="36588A58" w:rsidR="00696283" w:rsidRPr="009F2E4E" w:rsidRDefault="00696283" w:rsidP="00696283">
      <w:pPr>
        <w:rPr>
          <w:noProof/>
        </w:rPr>
      </w:pPr>
      <w:r w:rsidRPr="009F2E4E">
        <w:rPr>
          <w:rStyle w:val="Strong"/>
          <w:noProof/>
        </w:rPr>
        <w:t>Several changes in revised legislation reaffirm the importance of the valuation mechanism.</w:t>
      </w:r>
      <w:r w:rsidRPr="009F2E4E">
        <w:rPr>
          <w:noProof/>
        </w:rPr>
        <w:t xml:space="preserve"> Firstly, in an amendment of the Effort Sharing Regulation (ESR) the discretionary flexibility for some Member States to cancel ETS allowances and use the volumes for compliance with national targets has been extended. Eligible Member States may notify changes by end 2024 and again end 2027 to the discretionary choices made and notified in 2019. In addition, the two eligible Member States who initially had not notified the Commission to use this flexibility may decide by end 2023 to make use of it. Secondly, the derogation pursuant to </w:t>
      </w:r>
      <w:r w:rsidR="0096457F">
        <w:rPr>
          <w:noProof/>
        </w:rPr>
        <w:t>A</w:t>
      </w:r>
      <w:r w:rsidRPr="009F2E4E">
        <w:rPr>
          <w:noProof/>
        </w:rPr>
        <w:t>rticle 10c of the ETS Directive will end in 2024. The three Member States who had notified the Commission to make use of it will have t</w:t>
      </w:r>
      <w:r w:rsidR="0096457F">
        <w:rPr>
          <w:noProof/>
        </w:rPr>
        <w:t>he</w:t>
      </w:r>
      <w:r w:rsidRPr="009F2E4E">
        <w:rPr>
          <w:noProof/>
        </w:rPr>
        <w:t xml:space="preserve"> possibility to transfer by mid-May 2024 some or all of these allowances to the Modernisation Fund</w:t>
      </w:r>
      <w:r w:rsidR="0096457F">
        <w:rPr>
          <w:noProof/>
        </w:rPr>
        <w:t>, or to auction them</w:t>
      </w:r>
      <w:r w:rsidRPr="009F2E4E">
        <w:rPr>
          <w:noProof/>
        </w:rPr>
        <w:t>. Thirdly, pursuant to Article 30e(3)</w:t>
      </w:r>
      <w:r w:rsidR="00463682">
        <w:rPr>
          <w:noProof/>
        </w:rPr>
        <w:t>,</w:t>
      </w:r>
      <w:r w:rsidRPr="009F2E4E">
        <w:rPr>
          <w:noProof/>
        </w:rPr>
        <w:t xml:space="preserve"> Member States with a national carbon tax applied to some or </w:t>
      </w:r>
      <w:r w:rsidR="002D7207" w:rsidRPr="009F2E4E">
        <w:rPr>
          <w:noProof/>
        </w:rPr>
        <w:t>all</w:t>
      </w:r>
      <w:r w:rsidRPr="009F2E4E">
        <w:rPr>
          <w:noProof/>
        </w:rPr>
        <w:t xml:space="preserve"> the emissions covered by ETS </w:t>
      </w:r>
      <w:r w:rsidR="0096457F">
        <w:rPr>
          <w:noProof/>
        </w:rPr>
        <w:t>2</w:t>
      </w:r>
      <w:r w:rsidRPr="009F2E4E">
        <w:rPr>
          <w:noProof/>
        </w:rPr>
        <w:t xml:space="preserve"> have the discretionary option not to apply up to 2030 the ETS </w:t>
      </w:r>
      <w:r w:rsidR="0096457F">
        <w:rPr>
          <w:noProof/>
        </w:rPr>
        <w:t>2</w:t>
      </w:r>
      <w:r w:rsidRPr="009F2E4E">
        <w:rPr>
          <w:noProof/>
        </w:rPr>
        <w:t xml:space="preserve"> to these emissions and cancel allowances. As the purpose of the valuation mechanism is to ensure that discretionary choices at the disposal of individual Member States are made on climate policy merits and not </w:t>
      </w:r>
      <w:r w:rsidR="00137468">
        <w:rPr>
          <w:noProof/>
        </w:rPr>
        <w:t>on</w:t>
      </w:r>
      <w:r w:rsidRPr="009F2E4E">
        <w:rPr>
          <w:noProof/>
        </w:rPr>
        <w:t xml:space="preserve"> budgetary considerations, the extended choices confirm the need for this mechanism.</w:t>
      </w:r>
    </w:p>
    <w:p w14:paraId="3BE6BD01" w14:textId="24DB11BD" w:rsidR="002F57F2" w:rsidRPr="009F2E4E" w:rsidRDefault="002F57F2" w:rsidP="00500E0C">
      <w:pPr>
        <w:rPr>
          <w:noProof/>
        </w:rPr>
      </w:pPr>
      <w:r w:rsidRPr="009F2E4E">
        <w:rPr>
          <w:rStyle w:val="Strong"/>
          <w:noProof/>
        </w:rPr>
        <w:t>The Commission additionally proposed a temporary solidarity adjustment mechanism to ensure a fair emissions trading-based own resource contribution from all Member States.</w:t>
      </w:r>
      <w:r w:rsidRPr="009F2E4E">
        <w:rPr>
          <w:noProof/>
        </w:rPr>
        <w:t xml:space="preserve"> Until 2030</w:t>
      </w:r>
      <w:r w:rsidR="00463682">
        <w:rPr>
          <w:noProof/>
        </w:rPr>
        <w:t>,</w:t>
      </w:r>
      <w:r w:rsidRPr="009F2E4E">
        <w:rPr>
          <w:noProof/>
        </w:rPr>
        <w:t xml:space="preserve"> an upper and lower boundary for the own resource contribution applies, in relation to the gross national income key. This avoids that some Member States contribute disproportionally to the EU budget in comparison to the size of their economy during the period of transition to more sustainable economies and societies and ensures a just contribution from all. The upper and lower boundary have been proposed to be fixed at 150% and 75%, respectively. While the lower boundary applies to all Member States, the application of the upper boundary is limited to lower income Member States.</w:t>
      </w:r>
      <w:r w:rsidR="007C0CC0">
        <w:rPr>
          <w:noProof/>
        </w:rPr>
        <w:br w:type="page"/>
      </w:r>
    </w:p>
    <w:p w14:paraId="3272D558" w14:textId="7A6F6DF4" w:rsidR="00772FC7" w:rsidRPr="009F2E4E" w:rsidRDefault="00772FC7" w:rsidP="003D11D1">
      <w:pPr>
        <w:keepNext/>
        <w:spacing w:after="60"/>
        <w:rPr>
          <w:noProof/>
        </w:rPr>
      </w:pPr>
      <w:r w:rsidRPr="009F2E4E">
        <w:rPr>
          <w:rStyle w:val="Strong"/>
          <w:bCs/>
          <w:noProof/>
        </w:rPr>
        <w:t xml:space="preserve">Graph 10. </w:t>
      </w:r>
      <w:r>
        <w:rPr>
          <w:rStyle w:val="Strong"/>
          <w:bCs/>
          <w:noProof/>
        </w:rPr>
        <w:t xml:space="preserve">The effect of </w:t>
      </w:r>
      <w:r w:rsidRPr="009F2E4E">
        <w:rPr>
          <w:rStyle w:val="Strong"/>
          <w:bCs/>
          <w:noProof/>
        </w:rPr>
        <w:t>the Solidarity Adjustment Mechanism</w:t>
      </w:r>
      <w:r>
        <w:rPr>
          <w:rStyle w:val="Strong"/>
          <w:bCs/>
          <w:noProof/>
        </w:rPr>
        <w:t xml:space="preserve"> on Member State contribution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D4414D" w:rsidRPr="009F2E4E" w14:paraId="4F3CC788" w14:textId="77777777" w:rsidTr="006F1ECB">
        <w:tc>
          <w:tcPr>
            <w:tcW w:w="8834" w:type="dxa"/>
          </w:tcPr>
          <w:p w14:paraId="27359FB6" w14:textId="26C1D986" w:rsidR="00D4414D" w:rsidRPr="009F2E4E" w:rsidRDefault="00D4414D" w:rsidP="003D11D1">
            <w:pPr>
              <w:keepNext/>
              <w:jc w:val="center"/>
              <w:rPr>
                <w:noProof/>
              </w:rPr>
            </w:pPr>
            <w:r w:rsidRPr="006F1ECB">
              <w:rPr>
                <w:noProof/>
                <w:lang w:eastAsia="en-GB"/>
              </w:rPr>
              <w:drawing>
                <wp:inline distT="0" distB="0" distL="0" distR="0" wp14:anchorId="1DCEA2C8" wp14:editId="4FE134AD">
                  <wp:extent cx="5184842" cy="301115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2">
                            <a:extLst>
                              <a:ext uri="{28A0092B-C50C-407E-A947-70E740481C1C}">
                                <a14:useLocalDpi xmlns:a14="http://schemas.microsoft.com/office/drawing/2010/main" val="0"/>
                              </a:ext>
                            </a:extLst>
                          </a:blip>
                          <a:srcRect t="5436" b="3863"/>
                          <a:stretch/>
                        </pic:blipFill>
                        <pic:spPr bwMode="auto">
                          <a:xfrm>
                            <a:off x="0" y="0"/>
                            <a:ext cx="5206180" cy="302355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924EFB8" w14:textId="2162AF32" w:rsidR="00772FC7" w:rsidRDefault="00772FC7" w:rsidP="003D11D1">
      <w:pPr>
        <w:keepNext/>
        <w:rPr>
          <w:noProof/>
        </w:rPr>
      </w:pPr>
      <w:bookmarkStart w:id="232" w:name="_Toc133405559"/>
      <w:bookmarkStart w:id="233" w:name="_Toc133426663"/>
      <w:bookmarkStart w:id="234" w:name="_Toc134446556"/>
      <w:r w:rsidRPr="00D96609">
        <w:rPr>
          <w:i/>
          <w:iCs/>
          <w:noProof/>
        </w:rPr>
        <w:t>Source:</w:t>
      </w:r>
      <w:r w:rsidRPr="009F2E4E">
        <w:rPr>
          <w:noProof/>
        </w:rPr>
        <w:t xml:space="preserve"> Commission Services.</w:t>
      </w:r>
    </w:p>
    <w:p w14:paraId="4881682C" w14:textId="22704C1E" w:rsidR="002F57F2" w:rsidRPr="009F2E4E" w:rsidRDefault="007A068D" w:rsidP="00F65EB9">
      <w:pPr>
        <w:pStyle w:val="Heading3"/>
        <w:rPr>
          <w:noProof/>
        </w:rPr>
      </w:pPr>
      <w:bookmarkStart w:id="235" w:name="_Toc135860254"/>
      <w:bookmarkStart w:id="236" w:name="_Toc136599822"/>
      <w:bookmarkStart w:id="237" w:name="_Toc136600400"/>
      <w:bookmarkStart w:id="238" w:name="_Toc137494005"/>
      <w:r w:rsidRPr="009F2E4E">
        <w:rPr>
          <w:noProof/>
        </w:rPr>
        <w:t>3.1.</w:t>
      </w:r>
      <w:r w:rsidR="001E09DC" w:rsidRPr="009F2E4E">
        <w:rPr>
          <w:noProof/>
        </w:rPr>
        <w:t>3</w:t>
      </w:r>
      <w:r w:rsidRPr="009F2E4E">
        <w:rPr>
          <w:noProof/>
        </w:rPr>
        <w:t xml:space="preserve">. </w:t>
      </w:r>
      <w:r w:rsidR="00B302F2">
        <w:rPr>
          <w:noProof/>
        </w:rPr>
        <w:t>T</w:t>
      </w:r>
      <w:r w:rsidR="001E09DC" w:rsidRPr="009F2E4E">
        <w:rPr>
          <w:noProof/>
        </w:rPr>
        <w:t>he evolution of the carbon market</w:t>
      </w:r>
      <w:bookmarkEnd w:id="232"/>
      <w:bookmarkEnd w:id="233"/>
      <w:bookmarkEnd w:id="234"/>
      <w:bookmarkEnd w:id="235"/>
      <w:bookmarkEnd w:id="236"/>
      <w:bookmarkEnd w:id="237"/>
      <w:bookmarkEnd w:id="238"/>
    </w:p>
    <w:p w14:paraId="278642D1" w14:textId="1DE57AA6" w:rsidR="002F57F2" w:rsidRPr="009F2E4E" w:rsidRDefault="00134586" w:rsidP="00500E0C">
      <w:pPr>
        <w:rPr>
          <w:noProof/>
        </w:rPr>
      </w:pPr>
      <w:r w:rsidRPr="009F2E4E">
        <w:rPr>
          <w:rStyle w:val="Strong"/>
          <w:noProof/>
        </w:rPr>
        <w:t>Recent evolutions on the carbon markets have increased the revenue potential of the Emission Trading System</w:t>
      </w:r>
      <w:r w:rsidR="002F57F2" w:rsidRPr="009F2E4E">
        <w:rPr>
          <w:rStyle w:val="Strong"/>
          <w:noProof/>
        </w:rPr>
        <w:t>.</w:t>
      </w:r>
      <w:r w:rsidR="002F57F2" w:rsidRPr="009F2E4E">
        <w:rPr>
          <w:noProof/>
        </w:rPr>
        <w:t xml:space="preserve"> In contrast to </w:t>
      </w:r>
      <w:r w:rsidR="00A33AB1">
        <w:rPr>
          <w:noProof/>
        </w:rPr>
        <w:t>price assumption</w:t>
      </w:r>
      <w:r w:rsidR="00A33AB1" w:rsidRPr="009F2E4E">
        <w:rPr>
          <w:noProof/>
        </w:rPr>
        <w:t xml:space="preserve">s </w:t>
      </w:r>
      <w:r w:rsidR="0045130E">
        <w:rPr>
          <w:noProof/>
        </w:rPr>
        <w:t xml:space="preserve">used </w:t>
      </w:r>
      <w:r w:rsidR="002F57F2" w:rsidRPr="009F2E4E">
        <w:rPr>
          <w:noProof/>
        </w:rPr>
        <w:t>at the time the proposal was made and encapsulated in the accompanying impact assessment</w:t>
      </w:r>
      <w:r w:rsidR="006245F8">
        <w:rPr>
          <w:noProof/>
        </w:rPr>
        <w:t>(</w:t>
      </w:r>
      <w:r w:rsidR="002F57F2" w:rsidRPr="009F2E4E">
        <w:rPr>
          <w:rStyle w:val="FootnoteReference"/>
          <w:noProof/>
        </w:rPr>
        <w:footnoteReference w:id="48"/>
      </w:r>
      <w:r w:rsidR="006245F8">
        <w:rPr>
          <w:noProof/>
        </w:rPr>
        <w:t>)</w:t>
      </w:r>
      <w:r w:rsidR="002F57F2" w:rsidRPr="009F2E4E">
        <w:rPr>
          <w:noProof/>
        </w:rPr>
        <w:t xml:space="preserve">, the market value of allowances </w:t>
      </w:r>
      <w:r w:rsidR="00CC1DC9">
        <w:rPr>
          <w:noProof/>
        </w:rPr>
        <w:t>in the existing ETS</w:t>
      </w:r>
      <w:r w:rsidR="002F57F2" w:rsidRPr="009F2E4E">
        <w:rPr>
          <w:noProof/>
        </w:rPr>
        <w:t xml:space="preserve"> has </w:t>
      </w:r>
      <w:r w:rsidR="00764E14">
        <w:rPr>
          <w:noProof/>
        </w:rPr>
        <w:t>signif</w:t>
      </w:r>
      <w:r w:rsidR="00BD582F">
        <w:rPr>
          <w:noProof/>
        </w:rPr>
        <w:t>i</w:t>
      </w:r>
      <w:r w:rsidR="00764E14">
        <w:rPr>
          <w:noProof/>
        </w:rPr>
        <w:t xml:space="preserve">cantly </w:t>
      </w:r>
      <w:r w:rsidR="00CC1DC9">
        <w:rPr>
          <w:noProof/>
        </w:rPr>
        <w:t xml:space="preserve">increased </w:t>
      </w:r>
      <w:r w:rsidR="002F57F2" w:rsidRPr="009F2E4E">
        <w:rPr>
          <w:noProof/>
        </w:rPr>
        <w:t xml:space="preserve">in the months following the proposal and </w:t>
      </w:r>
      <w:r w:rsidR="002F57F2" w:rsidRPr="00B3405F">
        <w:rPr>
          <w:noProof/>
        </w:rPr>
        <w:t>exceeded the</w:t>
      </w:r>
      <w:r w:rsidR="002F57F2" w:rsidRPr="009F2E4E">
        <w:rPr>
          <w:noProof/>
        </w:rPr>
        <w:t xml:space="preserve"> price level of </w:t>
      </w:r>
      <w:r w:rsidR="00865C82" w:rsidRPr="009F2E4E">
        <w:rPr>
          <w:noProof/>
        </w:rPr>
        <w:t>EUR</w:t>
      </w:r>
      <w:r w:rsidR="0D5E584C" w:rsidRPr="009F2E4E">
        <w:rPr>
          <w:noProof/>
        </w:rPr>
        <w:t xml:space="preserve"> </w:t>
      </w:r>
      <w:r w:rsidR="002F57F2" w:rsidRPr="009F2E4E">
        <w:rPr>
          <w:noProof/>
        </w:rPr>
        <w:t xml:space="preserve">55 </w:t>
      </w:r>
      <w:r w:rsidR="0045130E">
        <w:rPr>
          <w:noProof/>
        </w:rPr>
        <w:t xml:space="preserve">(in 2020 prices) </w:t>
      </w:r>
      <w:r w:rsidR="002F57F2" w:rsidRPr="009F2E4E">
        <w:rPr>
          <w:noProof/>
        </w:rPr>
        <w:t xml:space="preserve">up to 2030 </w:t>
      </w:r>
      <w:r w:rsidR="00A33AB1">
        <w:rPr>
          <w:noProof/>
        </w:rPr>
        <w:t xml:space="preserve">considered </w:t>
      </w:r>
      <w:r w:rsidR="002F57F2" w:rsidRPr="009F2E4E">
        <w:rPr>
          <w:noProof/>
        </w:rPr>
        <w:t>in the impact assessment. In 2022</w:t>
      </w:r>
      <w:r w:rsidR="00463682">
        <w:rPr>
          <w:noProof/>
        </w:rPr>
        <w:t>,</w:t>
      </w:r>
      <w:r w:rsidR="002F57F2" w:rsidRPr="009F2E4E">
        <w:rPr>
          <w:noProof/>
        </w:rPr>
        <w:t xml:space="preserve"> allowance auctions cleared on average slightly below </w:t>
      </w:r>
      <w:r w:rsidR="00865C82" w:rsidRPr="009F2E4E">
        <w:rPr>
          <w:noProof/>
        </w:rPr>
        <w:t>EUR</w:t>
      </w:r>
      <w:r w:rsidR="0D5E584C" w:rsidRPr="009F2E4E">
        <w:rPr>
          <w:noProof/>
        </w:rPr>
        <w:t xml:space="preserve"> </w:t>
      </w:r>
      <w:r w:rsidR="002F57F2" w:rsidRPr="009F2E4E">
        <w:rPr>
          <w:noProof/>
        </w:rPr>
        <w:t xml:space="preserve">80. </w:t>
      </w:r>
      <w:r w:rsidR="002F57F2" w:rsidRPr="00E757FC">
        <w:rPr>
          <w:noProof/>
        </w:rPr>
        <w:t xml:space="preserve">Member States’ annual revenue in 2022 reached an unprecedented level of </w:t>
      </w:r>
      <w:r w:rsidR="00E17BD2">
        <w:rPr>
          <w:noProof/>
        </w:rPr>
        <w:t>almost</w:t>
      </w:r>
      <w:r w:rsidR="002F57F2" w:rsidRPr="00E757FC">
        <w:rPr>
          <w:noProof/>
        </w:rPr>
        <w:t xml:space="preserve"> </w:t>
      </w:r>
      <w:r w:rsidR="00865C82" w:rsidRPr="00E757FC">
        <w:rPr>
          <w:noProof/>
        </w:rPr>
        <w:t xml:space="preserve">EUR </w:t>
      </w:r>
      <w:r w:rsidR="002F57F2" w:rsidRPr="00E757FC">
        <w:rPr>
          <w:noProof/>
        </w:rPr>
        <w:t xml:space="preserve">30 </w:t>
      </w:r>
      <w:r w:rsidR="00BC372C" w:rsidRPr="00E757FC">
        <w:rPr>
          <w:noProof/>
        </w:rPr>
        <w:t>billion</w:t>
      </w:r>
      <w:r w:rsidR="002F57F2" w:rsidRPr="00E757FC">
        <w:rPr>
          <w:noProof/>
        </w:rPr>
        <w:t>.</w:t>
      </w:r>
      <w:r w:rsidR="002F57F2" w:rsidRPr="009F2E4E">
        <w:rPr>
          <w:noProof/>
        </w:rPr>
        <w:t xml:space="preserve"> Independent market analysts</w:t>
      </w:r>
      <w:r w:rsidR="004F22DF" w:rsidRPr="004F22DF">
        <w:rPr>
          <w:noProof/>
        </w:rPr>
        <w:t>(</w:t>
      </w:r>
      <w:r w:rsidR="00F943BF" w:rsidRPr="00937B0E">
        <w:rPr>
          <w:noProof/>
          <w:vertAlign w:val="superscript"/>
        </w:rPr>
        <w:footnoteReference w:id="49"/>
      </w:r>
      <w:r w:rsidR="004F22DF">
        <w:rPr>
          <w:noProof/>
        </w:rPr>
        <w:t>)</w:t>
      </w:r>
      <w:r w:rsidR="002F57F2" w:rsidRPr="009F2E4E">
        <w:rPr>
          <w:noProof/>
        </w:rPr>
        <w:t xml:space="preserve"> expect that market prices will remain above </w:t>
      </w:r>
      <w:r w:rsidR="00865C82" w:rsidRPr="009F2E4E">
        <w:rPr>
          <w:noProof/>
        </w:rPr>
        <w:t>EUR</w:t>
      </w:r>
      <w:r w:rsidR="0D5E584C" w:rsidRPr="009F2E4E">
        <w:rPr>
          <w:noProof/>
        </w:rPr>
        <w:t xml:space="preserve"> </w:t>
      </w:r>
      <w:r w:rsidR="002F57F2" w:rsidRPr="009F2E4E">
        <w:rPr>
          <w:noProof/>
        </w:rPr>
        <w:t>55 in the coming years</w:t>
      </w:r>
      <w:r w:rsidRPr="009F2E4E">
        <w:rPr>
          <w:noProof/>
        </w:rPr>
        <w:t xml:space="preserve"> (</w:t>
      </w:r>
      <w:r w:rsidR="00507778" w:rsidRPr="009F2E4E">
        <w:rPr>
          <w:noProof/>
        </w:rPr>
        <w:t>G</w:t>
      </w:r>
      <w:r w:rsidRPr="009F2E4E">
        <w:rPr>
          <w:noProof/>
        </w:rPr>
        <w:t xml:space="preserve">raph </w:t>
      </w:r>
      <w:r w:rsidR="00507778" w:rsidRPr="009F2E4E">
        <w:rPr>
          <w:noProof/>
        </w:rPr>
        <w:t>11</w:t>
      </w:r>
      <w:r w:rsidRPr="009F2E4E">
        <w:rPr>
          <w:noProof/>
        </w:rPr>
        <w:t>)</w:t>
      </w:r>
      <w:r w:rsidR="002F57F2" w:rsidRPr="009F2E4E">
        <w:rPr>
          <w:noProof/>
        </w:rPr>
        <w:t>.</w:t>
      </w:r>
      <w:r w:rsidR="007C0CC0">
        <w:rPr>
          <w:noProof/>
        </w:rPr>
        <w:br w:type="page"/>
      </w:r>
    </w:p>
    <w:p w14:paraId="19DA3871" w14:textId="4DF632B7" w:rsidR="007C0CC0" w:rsidRDefault="007C0CC0" w:rsidP="00500E0C">
      <w:pPr>
        <w:rPr>
          <w:rStyle w:val="Strong"/>
          <w:noProof/>
        </w:rPr>
      </w:pPr>
      <w:r w:rsidRPr="009F2E4E">
        <w:rPr>
          <w:rStyle w:val="Strong"/>
          <w:noProof/>
        </w:rPr>
        <w:t>Graph 11. Carbon price, 2018-2023</w:t>
      </w:r>
      <w:r w:rsidR="009C1D40">
        <w:rPr>
          <w:rStyle w:val="Strong"/>
          <w:noProof/>
        </w:rPr>
        <w:t>, eur</w:t>
      </w:r>
    </w:p>
    <w:p w14:paraId="4F72F79B" w14:textId="797AA7DA" w:rsidR="007C0CC0" w:rsidRDefault="007C0CC0" w:rsidP="00EA179D">
      <w:pPr>
        <w:jc w:val="center"/>
        <w:rPr>
          <w:noProof/>
        </w:rPr>
      </w:pPr>
      <w:r w:rsidRPr="00FF6BC0">
        <w:rPr>
          <w:noProof/>
          <w:lang w:eastAsia="en-GB"/>
        </w:rPr>
        <w:drawing>
          <wp:inline distT="0" distB="0" distL="0" distR="0" wp14:anchorId="54D0F3B0" wp14:editId="35BF77AE">
            <wp:extent cx="4920862" cy="32040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 11.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925009" cy="3206792"/>
                    </a:xfrm>
                    <a:prstGeom prst="rect">
                      <a:avLst/>
                    </a:prstGeom>
                  </pic:spPr>
                </pic:pic>
              </a:graphicData>
            </a:graphic>
          </wp:inline>
        </w:drawing>
      </w:r>
    </w:p>
    <w:p w14:paraId="71864A55" w14:textId="23F8D922" w:rsidR="00CD2037" w:rsidRPr="009F2E4E" w:rsidRDefault="00CD2037" w:rsidP="00CD2037">
      <w:pPr>
        <w:jc w:val="left"/>
        <w:rPr>
          <w:noProof/>
        </w:rPr>
      </w:pPr>
      <w:r w:rsidRPr="00D96609">
        <w:rPr>
          <w:i/>
          <w:iCs/>
          <w:noProof/>
        </w:rPr>
        <w:t>Source:</w:t>
      </w:r>
      <w:r>
        <w:rPr>
          <w:noProof/>
        </w:rPr>
        <w:t xml:space="preserve"> EEX auction clearing prices</w:t>
      </w:r>
      <w:r w:rsidR="00D96609">
        <w:rPr>
          <w:noProof/>
        </w:rPr>
        <w:t>.</w:t>
      </w:r>
    </w:p>
    <w:p w14:paraId="7CAB0A6F" w14:textId="520DCAA2" w:rsidR="00CC3082" w:rsidRPr="009F2E4E" w:rsidRDefault="006E728C" w:rsidP="006F1ECB">
      <w:pPr>
        <w:pStyle w:val="Heading2"/>
        <w:numPr>
          <w:ilvl w:val="1"/>
          <w:numId w:val="22"/>
        </w:numPr>
        <w:spacing w:before="240"/>
        <w:ind w:left="714" w:hanging="357"/>
        <w:rPr>
          <w:smallCaps/>
        </w:rPr>
      </w:pPr>
      <w:bookmarkStart w:id="239" w:name="_Toc133426664"/>
      <w:bookmarkStart w:id="240" w:name="_Toc134446557"/>
      <w:bookmarkStart w:id="241" w:name="_Toc135860255"/>
      <w:bookmarkStart w:id="242" w:name="_Toc136599823"/>
      <w:bookmarkStart w:id="243" w:name="_Toc136600401"/>
      <w:bookmarkStart w:id="244" w:name="_Toc137494006"/>
      <w:bookmarkStart w:id="245" w:name="_Toc132985371"/>
      <w:bookmarkStart w:id="246" w:name="_Toc133405560"/>
      <w:r w:rsidRPr="009F2E4E">
        <w:t>The statistic</w:t>
      </w:r>
      <w:r w:rsidR="002D0099" w:rsidRPr="009F2E4E">
        <w:t>al</w:t>
      </w:r>
      <w:r w:rsidRPr="009F2E4E">
        <w:t xml:space="preserve"> own resource </w:t>
      </w:r>
      <w:r w:rsidR="002D0099" w:rsidRPr="009F2E4E">
        <w:t>based on</w:t>
      </w:r>
      <w:r w:rsidRPr="009F2E4E">
        <w:t xml:space="preserve"> company profits</w:t>
      </w:r>
      <w:bookmarkEnd w:id="239"/>
      <w:bookmarkEnd w:id="240"/>
      <w:bookmarkEnd w:id="241"/>
      <w:bookmarkEnd w:id="242"/>
      <w:bookmarkEnd w:id="243"/>
      <w:bookmarkEnd w:id="244"/>
      <w:r w:rsidRPr="009F2E4E">
        <w:t xml:space="preserve"> </w:t>
      </w:r>
      <w:bookmarkEnd w:id="245"/>
      <w:r w:rsidR="00552588" w:rsidRPr="009F2E4E">
        <w:t xml:space="preserve"> </w:t>
      </w:r>
      <w:bookmarkEnd w:id="246"/>
    </w:p>
    <w:p w14:paraId="56F96A17" w14:textId="31B7D44D" w:rsidR="00BC35FB" w:rsidRPr="004F22DF" w:rsidRDefault="00B61457" w:rsidP="003D628D">
      <w:pPr>
        <w:rPr>
          <w:rStyle w:val="Strong"/>
          <w:b w:val="0"/>
          <w:noProof/>
          <w:color w:val="000000" w:themeColor="text1"/>
        </w:rPr>
      </w:pPr>
      <w:bookmarkStart w:id="247" w:name="_Toc133426665"/>
      <w:bookmarkStart w:id="248" w:name="_Toc134446558"/>
      <w:r>
        <w:rPr>
          <w:rStyle w:val="Strong"/>
          <w:noProof/>
        </w:rPr>
        <w:t>I</w:t>
      </w:r>
      <w:r w:rsidR="00BC35FB" w:rsidRPr="00461A7A">
        <w:rPr>
          <w:rStyle w:val="Strong"/>
          <w:noProof/>
        </w:rPr>
        <w:t xml:space="preserve">nsufficient tax harmonisation in the EU allows large </w:t>
      </w:r>
      <w:r w:rsidR="00BC35FB" w:rsidRPr="00254CD9">
        <w:rPr>
          <w:rStyle w:val="Strong"/>
          <w:noProof/>
        </w:rPr>
        <w:t>multinational enterprises to exploit loopholes and mismatches in national tax systems</w:t>
      </w:r>
      <w:r w:rsidR="00BC35FB" w:rsidRPr="004F22DF">
        <w:rPr>
          <w:rStyle w:val="Strong"/>
          <w:noProof/>
        </w:rPr>
        <w:t>.</w:t>
      </w:r>
      <w:r w:rsidR="00BC35FB" w:rsidRPr="00BC35FB">
        <w:rPr>
          <w:rStyle w:val="Strong"/>
          <w:b w:val="0"/>
          <w:noProof/>
        </w:rPr>
        <w:t xml:space="preserve"> </w:t>
      </w:r>
      <w:r w:rsidR="00BC35FB" w:rsidRPr="004F22DF">
        <w:rPr>
          <w:rStyle w:val="Strong"/>
          <w:b w:val="0"/>
          <w:noProof/>
          <w:color w:val="000000" w:themeColor="text1"/>
        </w:rPr>
        <w:t>Large Multinational enterprises (MNE’s) are able to account part of their activities in different Member States and benefit from tax differentials. They can reduce their effective tax burden by allocating functions in several countries in the areas of financing and intellectual property rights. They can shift profits through the pricing of intra-group transaction</w:t>
      </w:r>
      <w:r w:rsidR="0091732A">
        <w:rPr>
          <w:rStyle w:val="Strong"/>
          <w:b w:val="0"/>
          <w:noProof/>
          <w:color w:val="000000" w:themeColor="text1"/>
        </w:rPr>
        <w:t>s</w:t>
      </w:r>
      <w:r w:rsidR="00BC35FB" w:rsidRPr="004F22DF">
        <w:rPr>
          <w:rStyle w:val="Strong"/>
          <w:b w:val="0"/>
          <w:noProof/>
          <w:color w:val="000000" w:themeColor="text1"/>
        </w:rPr>
        <w:t>. They can also limit their physical presence in some high</w:t>
      </w:r>
      <w:r>
        <w:rPr>
          <w:rStyle w:val="Strong"/>
          <w:b w:val="0"/>
          <w:noProof/>
          <w:color w:val="000000" w:themeColor="text1"/>
        </w:rPr>
        <w:t>-</w:t>
      </w:r>
      <w:r w:rsidR="00BC35FB" w:rsidRPr="004F22DF">
        <w:rPr>
          <w:rStyle w:val="Strong"/>
          <w:b w:val="0"/>
          <w:noProof/>
          <w:color w:val="000000" w:themeColor="text1"/>
        </w:rPr>
        <w:t xml:space="preserve">tax jurisdictions. Since a few years, the EU has been adopting measures to reduce this phenomenon and ensure a fairer taxation to preserve the </w:t>
      </w:r>
      <w:r w:rsidR="00BB4D35">
        <w:rPr>
          <w:rStyle w:val="Strong"/>
          <w:b w:val="0"/>
          <w:noProof/>
          <w:color w:val="000000" w:themeColor="text1"/>
        </w:rPr>
        <w:t>Single</w:t>
      </w:r>
      <w:r w:rsidR="00BB4D35" w:rsidRPr="004F22DF">
        <w:rPr>
          <w:rStyle w:val="Strong"/>
          <w:b w:val="0"/>
          <w:noProof/>
          <w:color w:val="000000" w:themeColor="text1"/>
        </w:rPr>
        <w:t xml:space="preserve"> </w:t>
      </w:r>
      <w:r w:rsidR="00BC35FB" w:rsidRPr="004F22DF">
        <w:rPr>
          <w:rStyle w:val="Strong"/>
          <w:b w:val="0"/>
          <w:noProof/>
          <w:color w:val="000000" w:themeColor="text1"/>
        </w:rPr>
        <w:t>market.</w:t>
      </w:r>
    </w:p>
    <w:p w14:paraId="62706676" w14:textId="22D0E61B" w:rsidR="00952E27" w:rsidRPr="004F22DF" w:rsidRDefault="00952E27" w:rsidP="00952E27">
      <w:pPr>
        <w:rPr>
          <w:rStyle w:val="Strong"/>
          <w:b w:val="0"/>
          <w:noProof/>
          <w:color w:val="000000" w:themeColor="text1"/>
        </w:rPr>
      </w:pPr>
      <w:r w:rsidRPr="00B302F2">
        <w:rPr>
          <w:rStyle w:val="Strong"/>
          <w:noProof/>
        </w:rPr>
        <w:t>At global level, the process launched by the OECD and supported by the European Commission aimed at addressing these challenges and ensur</w:t>
      </w:r>
      <w:r w:rsidR="00B61457">
        <w:rPr>
          <w:rStyle w:val="Strong"/>
          <w:noProof/>
        </w:rPr>
        <w:t>ing</w:t>
      </w:r>
      <w:r w:rsidRPr="00B302F2">
        <w:rPr>
          <w:rStyle w:val="Strong"/>
          <w:noProof/>
        </w:rPr>
        <w:t xml:space="preserve"> a fair taxation among tax jurisdictions</w:t>
      </w:r>
      <w:r w:rsidRPr="00B302F2">
        <w:rPr>
          <w:rStyle w:val="Strong"/>
          <w:b w:val="0"/>
          <w:noProof/>
        </w:rPr>
        <w:t xml:space="preserve">. </w:t>
      </w:r>
      <w:r w:rsidRPr="004F22DF">
        <w:rPr>
          <w:rStyle w:val="Strong"/>
          <w:b w:val="0"/>
          <w:noProof/>
          <w:color w:val="000000" w:themeColor="text1"/>
        </w:rPr>
        <w:t>In a continued effort to put an end to tax practices of MNE’s</w:t>
      </w:r>
      <w:r w:rsidR="00BB4D35">
        <w:rPr>
          <w:rStyle w:val="Strong"/>
          <w:b w:val="0"/>
          <w:noProof/>
          <w:color w:val="000000" w:themeColor="text1"/>
        </w:rPr>
        <w:t>,</w:t>
      </w:r>
      <w:r w:rsidRPr="004F22DF">
        <w:rPr>
          <w:rStyle w:val="Strong"/>
          <w:b w:val="0"/>
          <w:noProof/>
          <w:color w:val="000000" w:themeColor="text1"/>
        </w:rPr>
        <w:t xml:space="preserve"> which allow them to shift profits to jurisdictions where they are subject to no or very low taxation, the OECD has further developed a set of international tax rules to ensure that MNEs pay a fair share of tax wherever they operate. This major reform aims to put a floor on competition over corporate income tax rates through the establishment of a global minimum level of taxation. By removing a substantial part of the advantages of shifting profits to jurisdictions with no or very low taxation, the global minimum tax reform will level the playing field for businesses worldwide and allow jurisdictions to better protect their tax bases. </w:t>
      </w:r>
    </w:p>
    <w:p w14:paraId="0D179775" w14:textId="77777777" w:rsidR="00952E27" w:rsidRPr="00B302F2" w:rsidRDefault="00952E27" w:rsidP="00952E27">
      <w:pPr>
        <w:rPr>
          <w:rStyle w:val="Strong"/>
          <w:b w:val="0"/>
          <w:noProof/>
        </w:rPr>
      </w:pPr>
      <w:r w:rsidRPr="00B302F2">
        <w:rPr>
          <w:rStyle w:val="Strong"/>
          <w:noProof/>
        </w:rPr>
        <w:t>In recent years, the Union has adopted landmark measures to reinforce the fight against aggressive tax planning within the internal market</w:t>
      </w:r>
      <w:r w:rsidRPr="00B302F2">
        <w:rPr>
          <w:rStyle w:val="Strong"/>
          <w:b w:val="0"/>
          <w:noProof/>
        </w:rPr>
        <w:t xml:space="preserve">. </w:t>
      </w:r>
      <w:r w:rsidRPr="004F22DF">
        <w:rPr>
          <w:rStyle w:val="Strong"/>
          <w:b w:val="0"/>
          <w:noProof/>
          <w:color w:val="000000" w:themeColor="text1"/>
        </w:rPr>
        <w:t xml:space="preserve">The anti-tax avoidance directives have laid down rules against the erosion of tax bases in the internal market and the shifting of profits out of the internal market. Those rules converted into Union law the recommendations made by the Organisation for Economic Cooperation and Development (OECD) in the context of the initiative against base erosion and profit shifting (BEPS) to ensure that profits of multinational enterprises (MNEs) are taxed where economic activities generating the profits are performed and where value is created. </w:t>
      </w:r>
    </w:p>
    <w:p w14:paraId="5045F2AE" w14:textId="6E899C6D" w:rsidR="00BB4D35" w:rsidRPr="004F22DF" w:rsidRDefault="00BB4D35" w:rsidP="00BB4D35">
      <w:pPr>
        <w:rPr>
          <w:noProof/>
          <w:color w:val="000000" w:themeColor="text1"/>
          <w:lang w:val="en-IE"/>
        </w:rPr>
      </w:pPr>
      <w:bookmarkStart w:id="249" w:name="_Hlk135727234"/>
      <w:r w:rsidRPr="00BB4D35">
        <w:rPr>
          <w:b/>
          <w:bCs/>
          <w:noProof/>
          <w:color w:val="023E8A" w:themeColor="accent1"/>
          <w:lang w:val="en-IE"/>
        </w:rPr>
        <w:t xml:space="preserve">The implementation of the OECD/G20 Pillar 1 agreement remains </w:t>
      </w:r>
      <w:r w:rsidR="00F5758C">
        <w:rPr>
          <w:b/>
          <w:bCs/>
          <w:noProof/>
          <w:color w:val="023E8A" w:themeColor="accent1"/>
          <w:lang w:val="en-IE"/>
        </w:rPr>
        <w:t>an essential</w:t>
      </w:r>
      <w:r w:rsidRPr="00BB4D35">
        <w:rPr>
          <w:b/>
          <w:bCs/>
          <w:noProof/>
          <w:color w:val="023E8A" w:themeColor="accent1"/>
          <w:lang w:val="en-IE"/>
        </w:rPr>
        <w:t xml:space="preserve"> priority in the area of corporate taxation for the EU and its Member States.</w:t>
      </w:r>
      <w:r w:rsidRPr="00BB4D35">
        <w:rPr>
          <w:noProof/>
          <w:color w:val="023E8A" w:themeColor="accent1"/>
          <w:lang w:val="en-IE"/>
        </w:rPr>
        <w:t xml:space="preserve"> </w:t>
      </w:r>
      <w:r w:rsidRPr="004F22DF">
        <w:rPr>
          <w:noProof/>
          <w:color w:val="000000" w:themeColor="text1"/>
          <w:lang w:val="en-IE"/>
        </w:rPr>
        <w:t xml:space="preserve">In 2021, the Commission proposed an own resource based on a share of residual profits from multinationals that will be re-allocated to EU Member States under the OECD/G20 agreement on so-called ‘Pillar One’. This agreement addresses the tax challenges arising from the digitalisation of the economy and will reform significantly the international corporate tax system. Substantive progress has been made following the </w:t>
      </w:r>
      <w:r w:rsidRPr="00F5758C">
        <w:rPr>
          <w:noProof/>
          <w:color w:val="000000" w:themeColor="text1"/>
          <w:lang w:val="en-IE"/>
        </w:rPr>
        <w:t>October 2021 agreement. However, the multilateral convention has not yet been signed</w:t>
      </w:r>
      <w:r w:rsidR="00F5758C">
        <w:rPr>
          <w:noProof/>
          <w:color w:val="000000" w:themeColor="text1"/>
          <w:lang w:val="en-IE"/>
        </w:rPr>
        <w:t xml:space="preserve"> and ratified</w:t>
      </w:r>
      <w:r w:rsidRPr="00F5758C">
        <w:rPr>
          <w:noProof/>
          <w:color w:val="000000" w:themeColor="text1"/>
          <w:lang w:val="en-IE"/>
        </w:rPr>
        <w:t>, which means that</w:t>
      </w:r>
      <w:r w:rsidR="00FC0868" w:rsidRPr="00F5758C">
        <w:rPr>
          <w:noProof/>
          <w:color w:val="000000" w:themeColor="text1"/>
          <w:lang w:val="en-IE"/>
        </w:rPr>
        <w:t>,</w:t>
      </w:r>
      <w:r w:rsidRPr="00F5758C">
        <w:rPr>
          <w:noProof/>
          <w:color w:val="000000" w:themeColor="text1"/>
          <w:lang w:val="en-IE"/>
        </w:rPr>
        <w:t xml:space="preserve"> </w:t>
      </w:r>
      <w:r w:rsidR="00FC0868" w:rsidRPr="00F5758C">
        <w:rPr>
          <w:noProof/>
          <w:color w:val="000000" w:themeColor="text1"/>
          <w:lang w:val="en-IE"/>
        </w:rPr>
        <w:t>it</w:t>
      </w:r>
      <w:r w:rsidRPr="00F5758C">
        <w:rPr>
          <w:noProof/>
          <w:color w:val="000000" w:themeColor="text1"/>
          <w:lang w:val="en-IE"/>
        </w:rPr>
        <w:t xml:space="preserve"> cannot yet enter into force</w:t>
      </w:r>
      <w:r w:rsidR="00D214BF" w:rsidRPr="00F5758C">
        <w:rPr>
          <w:noProof/>
          <w:color w:val="000000" w:themeColor="text1"/>
          <w:lang w:val="en-IE"/>
        </w:rPr>
        <w:t xml:space="preserve"> (see Box 4)</w:t>
      </w:r>
      <w:r w:rsidRPr="00F5758C">
        <w:rPr>
          <w:noProof/>
          <w:color w:val="000000" w:themeColor="text1"/>
          <w:lang w:val="en-IE"/>
        </w:rPr>
        <w:t>.</w:t>
      </w:r>
      <w:r w:rsidRPr="004F22DF">
        <w:rPr>
          <w:noProof/>
          <w:color w:val="000000" w:themeColor="text1"/>
          <w:lang w:val="en-IE"/>
        </w:rPr>
        <w:t xml:space="preserve"> </w:t>
      </w:r>
    </w:p>
    <w:p w14:paraId="267BD4CE" w14:textId="762925BF" w:rsidR="00BB4D35" w:rsidRPr="004F22DF" w:rsidRDefault="00BB4D35" w:rsidP="00BB4D35">
      <w:pPr>
        <w:rPr>
          <w:noProof/>
          <w:color w:val="000000" w:themeColor="text1"/>
          <w:lang w:val="en-IE"/>
        </w:rPr>
      </w:pPr>
      <w:r w:rsidRPr="00BB4D35">
        <w:rPr>
          <w:b/>
          <w:bCs/>
          <w:noProof/>
          <w:color w:val="023E8A" w:themeColor="accent1"/>
          <w:lang w:val="en-IE"/>
        </w:rPr>
        <w:t>As announced in the Commission Work Programme, the</w:t>
      </w:r>
      <w:r w:rsidRPr="00BB4D35">
        <w:rPr>
          <w:b/>
          <w:noProof/>
          <w:color w:val="023E8A" w:themeColor="accent1"/>
          <w:lang w:val="en-IE"/>
        </w:rPr>
        <w:t xml:space="preserve"> Commission intends to propose its </w:t>
      </w:r>
      <w:r w:rsidRPr="00BB4D35">
        <w:rPr>
          <w:b/>
          <w:bCs/>
          <w:noProof/>
          <w:color w:val="023E8A" w:themeColor="accent1"/>
          <w:lang w:val="en-IE"/>
        </w:rPr>
        <w:t>Business in Europe: Framework for Income Taxation (BEFIT) in the third quarter of 2023</w:t>
      </w:r>
      <w:r w:rsidRPr="00BB4D35">
        <w:rPr>
          <w:noProof/>
          <w:color w:val="023E8A" w:themeColor="accent1"/>
          <w:lang w:val="en-IE"/>
        </w:rPr>
        <w:t xml:space="preserve">. </w:t>
      </w:r>
      <w:r w:rsidRPr="004F22DF">
        <w:rPr>
          <w:noProof/>
          <w:color w:val="000000" w:themeColor="text1"/>
          <w:lang w:val="en-IE"/>
        </w:rPr>
        <w:t xml:space="preserve">This initiative will improve the functioning of the Single Market by simplifying corporate tax rules and tax compliance, and levelling the playing field for businesses. BEFIT aims at tackling the complexity, double taxation and reducing tax compliance costs that businesses, chiefly those with cross-border activity, currently face in the Single Market. It will contribute to making the EU more attractive to cross-border investment and support growth. BEFIT will be mandatory for large groups with global combined annual revenues of EUR 750 million or more. The discussions in Council are expected to start in the fourth quarter of 2023. </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8834"/>
      </w:tblGrid>
      <w:tr w:rsidR="00D32651" w14:paraId="14131063" w14:textId="77777777" w:rsidTr="003D11D1">
        <w:trPr>
          <w:trHeight w:val="3054"/>
        </w:trPr>
        <w:tc>
          <w:tcPr>
            <w:tcW w:w="8834" w:type="dxa"/>
            <w:tcBorders>
              <w:top w:val="nil"/>
              <w:left w:val="nil"/>
              <w:bottom w:val="nil"/>
              <w:right w:val="nil"/>
            </w:tcBorders>
            <w:shd w:val="clear" w:color="auto" w:fill="E8F2E1" w:themeFill="accent4" w:themeFillTint="33"/>
          </w:tcPr>
          <w:bookmarkEnd w:id="249"/>
          <w:p w14:paraId="77C9F7CA" w14:textId="77777777" w:rsidR="00D32651" w:rsidRPr="00B302F2" w:rsidRDefault="00D32651" w:rsidP="00D32651">
            <w:pPr>
              <w:shd w:val="clear" w:color="auto" w:fill="E8F2E1" w:themeFill="accent4" w:themeFillTint="33"/>
              <w:jc w:val="left"/>
              <w:rPr>
                <w:rStyle w:val="Strong"/>
                <w:noProof/>
                <w:sz w:val="22"/>
                <w:szCs w:val="22"/>
              </w:rPr>
            </w:pPr>
            <w:r w:rsidRPr="0D5E584C">
              <w:rPr>
                <w:rStyle w:val="Strong"/>
                <w:noProof/>
                <w:sz w:val="22"/>
                <w:szCs w:val="22"/>
              </w:rPr>
              <w:t xml:space="preserve">Box </w:t>
            </w:r>
            <w:r>
              <w:rPr>
                <w:rStyle w:val="Strong"/>
                <w:noProof/>
                <w:sz w:val="22"/>
                <w:szCs w:val="22"/>
              </w:rPr>
              <w:t>4.</w:t>
            </w:r>
            <w:r w:rsidRPr="0D5E584C">
              <w:rPr>
                <w:rStyle w:val="Strong"/>
                <w:noProof/>
                <w:sz w:val="22"/>
                <w:szCs w:val="22"/>
              </w:rPr>
              <w:t xml:space="preserve"> OECD Pillar 1</w:t>
            </w:r>
          </w:p>
          <w:p w14:paraId="64FE8A78" w14:textId="26FFDEB0" w:rsidR="00D32651" w:rsidRPr="00D32651" w:rsidRDefault="00D32651" w:rsidP="00254530">
            <w:pPr>
              <w:keepNext/>
              <w:shd w:val="clear" w:color="auto" w:fill="E8F2E1" w:themeFill="accent4" w:themeFillTint="33"/>
              <w:rPr>
                <w:noProof/>
                <w:color w:val="000000" w:themeColor="text1"/>
              </w:rPr>
            </w:pPr>
            <w:r w:rsidRPr="00B302F2">
              <w:rPr>
                <w:noProof/>
              </w:rPr>
              <w:t xml:space="preserve">There have been delays in the international process agreeing on Pillar One. In December 2021 the Commission proposed an own resource equivalent to 15% of the share of the residual profits of the largest and most profitable multinational enterprises that are reallocated to EU Member States under the agreement on a reform of the international tax framework (OECD/G20 Inclusive Framework on Base Erosion and Profit Shifting). ‘Pillar One’ of the agreement provides for the re-allocation of a share of the residual profits of the largest and most profitable multinational enterprises to end market jurisdictions where goods or services </w:t>
            </w:r>
            <w:r>
              <w:rPr>
                <w:noProof/>
              </w:rPr>
              <w:t>are used or consumed. Negotia</w:t>
            </w:r>
            <w:r w:rsidRPr="00B302F2">
              <w:rPr>
                <w:noProof/>
              </w:rPr>
              <w:t xml:space="preserve">ting the practical implementation aspects of the agreement is taking more time than initially expected, so that it seems unclear at what point in </w:t>
            </w:r>
            <w:r>
              <w:rPr>
                <w:noProof/>
              </w:rPr>
              <w:t>time the underlying and forthco</w:t>
            </w:r>
            <w:r w:rsidRPr="00B302F2">
              <w:rPr>
                <w:noProof/>
              </w:rPr>
              <w:t xml:space="preserve">ming EU Directive for the Pillar One based own resource will start to be negotiated. </w:t>
            </w:r>
          </w:p>
        </w:tc>
      </w:tr>
    </w:tbl>
    <w:p w14:paraId="239A1383" w14:textId="77777777" w:rsidR="00D32651" w:rsidRPr="004F22DF" w:rsidRDefault="00D32651" w:rsidP="00BB4D35">
      <w:pPr>
        <w:rPr>
          <w:noProof/>
          <w:color w:val="000000" w:themeColor="text1"/>
          <w:lang w:val="en-IE"/>
        </w:rPr>
      </w:pPr>
    </w:p>
    <w:p w14:paraId="171A4424" w14:textId="52B020F8" w:rsidR="005B6C2C" w:rsidRPr="004F22DF" w:rsidRDefault="005B6C2C" w:rsidP="005B6C2C">
      <w:pPr>
        <w:rPr>
          <w:noProof/>
          <w:color w:val="000000" w:themeColor="text1"/>
          <w:lang w:val="en-IE"/>
        </w:rPr>
      </w:pPr>
      <w:r w:rsidRPr="00BB4D35">
        <w:rPr>
          <w:b/>
          <w:noProof/>
          <w:color w:val="023E8A" w:themeColor="accent1"/>
          <w:lang w:val="en-IE"/>
        </w:rPr>
        <w:t>Until the possible establishment of an own resource based on an underlying tax proposal, the Commission is proposing a corporate statistical own resource based on national accounts statistics, prepared under the European system of accounts (ESA).</w:t>
      </w:r>
      <w:r w:rsidRPr="00BB4D35">
        <w:rPr>
          <w:noProof/>
          <w:color w:val="023E8A" w:themeColor="accent1"/>
          <w:lang w:val="en-IE"/>
        </w:rPr>
        <w:t xml:space="preserve"> </w:t>
      </w:r>
      <w:r w:rsidRPr="004F22DF">
        <w:rPr>
          <w:noProof/>
          <w:color w:val="000000" w:themeColor="text1"/>
          <w:lang w:val="en-IE"/>
        </w:rPr>
        <w:t xml:space="preserve">It </w:t>
      </w:r>
      <w:r w:rsidRPr="00B81CBB">
        <w:rPr>
          <w:noProof/>
          <w:color w:val="000000" w:themeColor="text1"/>
          <w:lang w:val="en-IE"/>
        </w:rPr>
        <w:t>aims to levy the own resource on an approximation of where profits are generated in the different Member States. A contribution from the corporate sector would ensure that all Member States pay their fair share. It would also</w:t>
      </w:r>
      <w:r w:rsidRPr="004F22DF">
        <w:rPr>
          <w:noProof/>
          <w:color w:val="000000" w:themeColor="text1"/>
          <w:lang w:val="en-IE"/>
        </w:rPr>
        <w:t xml:space="preserve"> help to balance the basket of own resources and further diversify the revenue sources for the EU budget.</w:t>
      </w:r>
      <w:r w:rsidRPr="004F22DF">
        <w:rPr>
          <w:rFonts w:ascii="Calibri" w:hAnsi="Calibri" w:cs="Calibri"/>
          <w:noProof/>
          <w:color w:val="000000" w:themeColor="text1"/>
          <w:lang w:val="en-IE"/>
        </w:rPr>
        <w:t> </w:t>
      </w:r>
    </w:p>
    <w:p w14:paraId="031E1EE3" w14:textId="2DDD66D1" w:rsidR="00911A71" w:rsidRPr="009F2E4E" w:rsidRDefault="00911A71" w:rsidP="00B302F2">
      <w:pPr>
        <w:pStyle w:val="Heading3"/>
        <w:rPr>
          <w:noProof/>
        </w:rPr>
      </w:pPr>
      <w:bookmarkStart w:id="250" w:name="_Toc135860256"/>
      <w:bookmarkStart w:id="251" w:name="_Toc136599824"/>
      <w:bookmarkStart w:id="252" w:name="_Toc136600402"/>
      <w:bookmarkStart w:id="253" w:name="_Toc137494007"/>
      <w:r w:rsidRPr="009F2E4E">
        <w:rPr>
          <w:noProof/>
        </w:rPr>
        <w:t>3.2.</w:t>
      </w:r>
      <w:r w:rsidR="00FC72C6" w:rsidRPr="009F2E4E">
        <w:rPr>
          <w:noProof/>
        </w:rPr>
        <w:t>1</w:t>
      </w:r>
      <w:r w:rsidRPr="009F2E4E">
        <w:rPr>
          <w:noProof/>
        </w:rPr>
        <w:t xml:space="preserve">. </w:t>
      </w:r>
      <w:r w:rsidR="00A663E4" w:rsidRPr="009F2E4E">
        <w:rPr>
          <w:noProof/>
        </w:rPr>
        <w:t>Characteristics of the statistical based own resource on company profit</w:t>
      </w:r>
      <w:bookmarkEnd w:id="247"/>
      <w:bookmarkEnd w:id="248"/>
      <w:bookmarkEnd w:id="250"/>
      <w:r w:rsidR="00257DEA">
        <w:rPr>
          <w:noProof/>
        </w:rPr>
        <w:t>s</w:t>
      </w:r>
      <w:bookmarkEnd w:id="251"/>
      <w:bookmarkEnd w:id="252"/>
      <w:bookmarkEnd w:id="253"/>
    </w:p>
    <w:p w14:paraId="37631048" w14:textId="3AC356E7" w:rsidR="000F1001" w:rsidRPr="002F5C19" w:rsidRDefault="000F1001" w:rsidP="000F1001">
      <w:pPr>
        <w:rPr>
          <w:noProof/>
        </w:rPr>
      </w:pPr>
      <w:bookmarkStart w:id="254" w:name="_Toc133426666"/>
      <w:bookmarkStart w:id="255" w:name="_Toc134446559"/>
      <w:r w:rsidRPr="002F5C19">
        <w:rPr>
          <w:b/>
          <w:noProof/>
          <w:color w:val="023E8A"/>
        </w:rPr>
        <w:t>The statistical own resource on companies’ profits would be temporary</w:t>
      </w:r>
      <w:r w:rsidR="00233DEC">
        <w:rPr>
          <w:b/>
          <w:noProof/>
          <w:color w:val="023E8A"/>
        </w:rPr>
        <w:t xml:space="preserve"> and would constitute</w:t>
      </w:r>
      <w:r w:rsidR="00233DEC" w:rsidRPr="00B270BC">
        <w:rPr>
          <w:b/>
          <w:noProof/>
          <w:color w:val="023E8A"/>
        </w:rPr>
        <w:t xml:space="preserve"> </w:t>
      </w:r>
      <w:r w:rsidR="00233DEC">
        <w:rPr>
          <w:b/>
          <w:noProof/>
          <w:color w:val="023E8A"/>
        </w:rPr>
        <w:t>a national contribution, not a tax</w:t>
      </w:r>
      <w:r w:rsidRPr="002F5C19">
        <w:rPr>
          <w:b/>
          <w:noProof/>
          <w:color w:val="023E8A"/>
        </w:rPr>
        <w:t>.</w:t>
      </w:r>
      <w:r w:rsidRPr="002F5C19">
        <w:rPr>
          <w:noProof/>
        </w:rPr>
        <w:t xml:space="preserve"> </w:t>
      </w:r>
      <w:r w:rsidR="002C36CF">
        <w:rPr>
          <w:noProof/>
        </w:rPr>
        <w:t>While it</w:t>
      </w:r>
      <w:r w:rsidRPr="00744FC8">
        <w:rPr>
          <w:noProof/>
        </w:rPr>
        <w:t xml:space="preserve"> </w:t>
      </w:r>
      <w:r w:rsidRPr="002078A6">
        <w:rPr>
          <w:noProof/>
        </w:rPr>
        <w:t>constitute</w:t>
      </w:r>
      <w:r w:rsidRPr="00744FC8">
        <w:rPr>
          <w:noProof/>
        </w:rPr>
        <w:t>s</w:t>
      </w:r>
      <w:r w:rsidRPr="002078A6">
        <w:rPr>
          <w:noProof/>
        </w:rPr>
        <w:t xml:space="preserve"> a</w:t>
      </w:r>
      <w:r w:rsidRPr="00744FC8">
        <w:rPr>
          <w:b/>
          <w:noProof/>
          <w:color w:val="023E8A"/>
        </w:rPr>
        <w:t xml:space="preserve"> </w:t>
      </w:r>
      <w:r w:rsidR="002C36CF">
        <w:rPr>
          <w:noProof/>
        </w:rPr>
        <w:t>proxy for company profits at Member States’ level, the base of</w:t>
      </w:r>
      <w:r w:rsidRPr="002F5C19">
        <w:rPr>
          <w:noProof/>
        </w:rPr>
        <w:t xml:space="preserve"> this new own resource </w:t>
      </w:r>
      <w:r w:rsidR="002C36CF">
        <w:rPr>
          <w:noProof/>
        </w:rPr>
        <w:t>does</w:t>
      </w:r>
      <w:r w:rsidR="00D9629D">
        <w:rPr>
          <w:noProof/>
        </w:rPr>
        <w:t xml:space="preserve"> not </w:t>
      </w:r>
      <w:r w:rsidR="002C36CF">
        <w:rPr>
          <w:noProof/>
        </w:rPr>
        <w:t xml:space="preserve">constitute </w:t>
      </w:r>
      <w:r w:rsidR="00D9629D">
        <w:rPr>
          <w:noProof/>
        </w:rPr>
        <w:t>a tax</w:t>
      </w:r>
      <w:r w:rsidR="00233DEC">
        <w:rPr>
          <w:noProof/>
        </w:rPr>
        <w:t xml:space="preserve"> on companies</w:t>
      </w:r>
      <w:r w:rsidR="009C4BE6">
        <w:rPr>
          <w:noProof/>
        </w:rPr>
        <w:t>,</w:t>
      </w:r>
      <w:r w:rsidR="00D9629D">
        <w:rPr>
          <w:noProof/>
        </w:rPr>
        <w:t xml:space="preserve"> but </w:t>
      </w:r>
      <w:r w:rsidR="002C36CF">
        <w:rPr>
          <w:noProof/>
        </w:rPr>
        <w:t xml:space="preserve">rather </w:t>
      </w:r>
      <w:r w:rsidR="00D9629D">
        <w:rPr>
          <w:noProof/>
        </w:rPr>
        <w:t xml:space="preserve">a national contribution paid by Member States based on </w:t>
      </w:r>
      <w:r w:rsidR="002C36CF">
        <w:rPr>
          <w:noProof/>
        </w:rPr>
        <w:t xml:space="preserve">harmonised </w:t>
      </w:r>
      <w:r w:rsidR="00D9629D">
        <w:rPr>
          <w:noProof/>
        </w:rPr>
        <w:t>statistics</w:t>
      </w:r>
      <w:r w:rsidR="00233DEC">
        <w:rPr>
          <w:noProof/>
        </w:rPr>
        <w:t xml:space="preserve"> </w:t>
      </w:r>
      <w:r w:rsidR="00233DEC" w:rsidRPr="00223AAD">
        <w:rPr>
          <w:noProof/>
        </w:rPr>
        <w:t>of corporate income or corporate profits</w:t>
      </w:r>
      <w:r w:rsidR="00233DEC">
        <w:rPr>
          <w:noProof/>
        </w:rPr>
        <w:t xml:space="preserve">. As such, </w:t>
      </w:r>
      <w:r w:rsidR="00233DEC" w:rsidRPr="00B270BC">
        <w:rPr>
          <w:noProof/>
        </w:rPr>
        <w:t>it would not increase companies’ compliance costs</w:t>
      </w:r>
      <w:r w:rsidR="00D9629D">
        <w:rPr>
          <w:noProof/>
        </w:rPr>
        <w:t xml:space="preserve">. </w:t>
      </w:r>
      <w:r w:rsidR="004F5F7A">
        <w:rPr>
          <w:noProof/>
        </w:rPr>
        <w:t>A</w:t>
      </w:r>
      <w:r w:rsidR="004F5F7A">
        <w:rPr>
          <w:noProof/>
          <w:color w:val="023E8A"/>
        </w:rPr>
        <w:t xml:space="preserve"> </w:t>
      </w:r>
      <w:r w:rsidR="004F5F7A" w:rsidRPr="00150DA5">
        <w:rPr>
          <w:noProof/>
        </w:rPr>
        <w:t xml:space="preserve">statistical own resource based on company profits would </w:t>
      </w:r>
      <w:r w:rsidR="004F5F7A" w:rsidRPr="00B81CBB">
        <w:rPr>
          <w:noProof/>
        </w:rPr>
        <w:t xml:space="preserve">aim to levy own resource </w:t>
      </w:r>
      <w:r w:rsidR="002C36CF" w:rsidRPr="00B81CBB">
        <w:rPr>
          <w:noProof/>
        </w:rPr>
        <w:t>revenue</w:t>
      </w:r>
      <w:r w:rsidR="004F5F7A" w:rsidRPr="00B81CBB">
        <w:rPr>
          <w:noProof/>
        </w:rPr>
        <w:t xml:space="preserve"> on an approximation of where profits are generated in the different Member States</w:t>
      </w:r>
      <w:r w:rsidR="00170501" w:rsidRPr="009F0AE0">
        <w:rPr>
          <w:noProof/>
        </w:rPr>
        <w:t>.</w:t>
      </w:r>
      <w:r w:rsidR="004F5F7A" w:rsidRPr="00150DA5">
        <w:rPr>
          <w:noProof/>
        </w:rPr>
        <w:t xml:space="preserve"> </w:t>
      </w:r>
    </w:p>
    <w:p w14:paraId="6E746109" w14:textId="04A96468" w:rsidR="000F1001" w:rsidRPr="002F5C19" w:rsidRDefault="000F1001" w:rsidP="000F1001">
      <w:pPr>
        <w:rPr>
          <w:noProof/>
        </w:rPr>
      </w:pPr>
      <w:r w:rsidRPr="0D5E584C">
        <w:rPr>
          <w:b/>
          <w:noProof/>
          <w:color w:val="023E8A" w:themeColor="accent1"/>
        </w:rPr>
        <w:t>The own resource on company profits could improve the stabilisation function of the EU budget against asymmetric shocks.</w:t>
      </w:r>
      <w:r w:rsidRPr="002F5C19">
        <w:rPr>
          <w:noProof/>
        </w:rPr>
        <w:t xml:space="preserve"> The statistical indicator on company profits reacts to changes in business cycles more quickly and strongly than GNI (Graph 12). The more significant drop of company profits compared to GNI in the years of the financial crisis and the faster take-up in the following years, would provide relie</w:t>
      </w:r>
      <w:r>
        <w:rPr>
          <w:noProof/>
        </w:rPr>
        <w:t>f</w:t>
      </w:r>
      <w:r w:rsidRPr="002F5C19">
        <w:rPr>
          <w:noProof/>
        </w:rPr>
        <w:t xml:space="preserve"> to Member States experiencing an asymmetric shock. The potential loss in revenues from the statistical own resource on company profits will be compensated by the total GNI contribution from all Member States, getting relatively more contributions from Member States that have better conditions in the economic cycle (Graph 13). </w:t>
      </w:r>
    </w:p>
    <w:p w14:paraId="21711181" w14:textId="2028F625" w:rsidR="00434839" w:rsidRDefault="00434839" w:rsidP="000F1001">
      <w:pPr>
        <w:rPr>
          <w:b/>
          <w:noProof/>
          <w:color w:val="023E8A"/>
        </w:rPr>
      </w:pPr>
      <w:r w:rsidRPr="002F5C19">
        <w:rPr>
          <w:b/>
          <w:noProof/>
          <w:color w:val="023E8A"/>
        </w:rPr>
        <w:t xml:space="preserve">Graph 12. Evolution of </w:t>
      </w:r>
      <w:r>
        <w:rPr>
          <w:b/>
          <w:noProof/>
          <w:color w:val="023E8A"/>
        </w:rPr>
        <w:t>gross operating surplus</w:t>
      </w:r>
      <w:r w:rsidRPr="002F5C19">
        <w:rPr>
          <w:b/>
          <w:noProof/>
          <w:color w:val="023E8A"/>
        </w:rPr>
        <w:t xml:space="preserve"> </w:t>
      </w:r>
      <w:r w:rsidRPr="009C5F5A">
        <w:rPr>
          <w:b/>
          <w:noProof/>
          <w:color w:val="023E8A"/>
        </w:rPr>
        <w:t xml:space="preserve">for </w:t>
      </w:r>
      <w:r w:rsidRPr="002F5C19">
        <w:rPr>
          <w:b/>
          <w:noProof/>
          <w:color w:val="023E8A"/>
        </w:rPr>
        <w:t>financial and non-financial corporations</w:t>
      </w:r>
      <w:r w:rsidRPr="002F5C19">
        <w:rPr>
          <w:noProof/>
        </w:rPr>
        <w:t xml:space="preserve"> </w:t>
      </w:r>
      <w:r>
        <w:rPr>
          <w:noProof/>
        </w:rPr>
        <w:t>(</w:t>
      </w:r>
      <w:r w:rsidRPr="009C5F5A">
        <w:rPr>
          <w:b/>
          <w:noProof/>
          <w:color w:val="023E8A"/>
        </w:rPr>
        <w:t>sectors S1</w:t>
      </w:r>
      <w:r>
        <w:rPr>
          <w:b/>
          <w:noProof/>
          <w:color w:val="023E8A"/>
        </w:rPr>
        <w:t>2</w:t>
      </w:r>
      <w:r w:rsidRPr="009C5F5A">
        <w:rPr>
          <w:b/>
          <w:noProof/>
          <w:color w:val="023E8A"/>
        </w:rPr>
        <w:t xml:space="preserve"> and S1</w:t>
      </w:r>
      <w:r>
        <w:rPr>
          <w:b/>
          <w:noProof/>
          <w:color w:val="023E8A"/>
        </w:rPr>
        <w:t>1)</w:t>
      </w:r>
      <w:r w:rsidRPr="009C5F5A">
        <w:rPr>
          <w:b/>
          <w:noProof/>
          <w:color w:val="023E8A"/>
        </w:rPr>
        <w:t xml:space="preserve"> </w:t>
      </w:r>
      <w:r w:rsidRPr="002F5C19">
        <w:rPr>
          <w:b/>
          <w:noProof/>
          <w:color w:val="023E8A"/>
        </w:rPr>
        <w:t>compared to GNI</w:t>
      </w:r>
      <w:r>
        <w:rPr>
          <w:b/>
          <w:noProof/>
          <w:color w:val="023E8A"/>
        </w:rPr>
        <w:t>,</w:t>
      </w:r>
      <w:r w:rsidRPr="002F5C19">
        <w:rPr>
          <w:b/>
          <w:noProof/>
          <w:color w:val="023E8A"/>
        </w:rPr>
        <w:t xml:space="preserve"> </w:t>
      </w:r>
      <w:r w:rsidRPr="009C5F5A">
        <w:rPr>
          <w:b/>
          <w:noProof/>
          <w:color w:val="023E8A"/>
        </w:rPr>
        <w:t xml:space="preserve">total economy </w:t>
      </w:r>
      <w:r>
        <w:rPr>
          <w:b/>
          <w:noProof/>
          <w:color w:val="023E8A"/>
        </w:rPr>
        <w:t>(</w:t>
      </w:r>
      <w:r w:rsidRPr="009C5F5A">
        <w:rPr>
          <w:b/>
          <w:noProof/>
          <w:color w:val="023E8A"/>
        </w:rPr>
        <w:t>S1)</w:t>
      </w:r>
      <w:r>
        <w:rPr>
          <w:b/>
          <w:noProof/>
          <w:color w:val="023E8A"/>
        </w:rPr>
        <w:t>,</w:t>
      </w:r>
      <w:r w:rsidRPr="009C5F5A">
        <w:rPr>
          <w:b/>
          <w:noProof/>
          <w:color w:val="023E8A"/>
        </w:rPr>
        <w:t xml:space="preserve"> </w:t>
      </w:r>
      <w:r w:rsidRPr="002F5C19">
        <w:rPr>
          <w:b/>
          <w:noProof/>
          <w:color w:val="023E8A"/>
        </w:rPr>
        <w:t>for EU27</w:t>
      </w:r>
      <w:r>
        <w:rPr>
          <w:noProof/>
        </w:rPr>
        <w:t xml:space="preserve"> </w:t>
      </w:r>
      <w:r w:rsidRPr="009C5F5A">
        <w:rPr>
          <w:b/>
          <w:noProof/>
          <w:color w:val="023E8A"/>
        </w:rPr>
        <w:t>(sum of countries data)</w:t>
      </w:r>
    </w:p>
    <w:p w14:paraId="5E77B86A" w14:textId="23875A02" w:rsidR="00434839" w:rsidRDefault="00434839" w:rsidP="003D11D1">
      <w:pPr>
        <w:jc w:val="center"/>
        <w:rPr>
          <w:noProof/>
        </w:rPr>
      </w:pPr>
      <w:r w:rsidRPr="00FF6BC0">
        <w:rPr>
          <w:noProof/>
          <w:lang w:eastAsia="en-GB"/>
        </w:rPr>
        <w:drawing>
          <wp:inline distT="0" distB="0" distL="0" distR="0" wp14:anchorId="7EDFC8B3" wp14:editId="3B7049B1">
            <wp:extent cx="5529580" cy="33554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5588792" cy="3391382"/>
                    </a:xfrm>
                    <a:prstGeom prst="rect">
                      <a:avLst/>
                    </a:prstGeom>
                    <a:noFill/>
                    <a:ln>
                      <a:noFill/>
                    </a:ln>
                  </pic:spPr>
                </pic:pic>
              </a:graphicData>
            </a:graphic>
          </wp:inline>
        </w:drawing>
      </w:r>
    </w:p>
    <w:p w14:paraId="13747983" w14:textId="1CAEBFA0" w:rsidR="00434839" w:rsidRPr="002F5C19" w:rsidRDefault="00434839" w:rsidP="000F1001">
      <w:pPr>
        <w:rPr>
          <w:noProof/>
        </w:rPr>
      </w:pPr>
      <w:r w:rsidRPr="003D11D1">
        <w:rPr>
          <w:i/>
          <w:noProof/>
        </w:rPr>
        <w:t>Source:</w:t>
      </w:r>
      <w:r w:rsidRPr="00434839">
        <w:rPr>
          <w:noProof/>
        </w:rPr>
        <w:t xml:space="preserve"> DG BUDG calculations based on Eurostat annual NFSA data tables nasa_10_nf_tr and naidsa_10_nf_tr, data accessed on 29/03/2023 and 16/05/2023, respectively</w:t>
      </w:r>
      <w:r w:rsidR="00D96609">
        <w:rPr>
          <w:noProof/>
        </w:rPr>
        <w:t>.</w:t>
      </w:r>
    </w:p>
    <w:p w14:paraId="11635C04" w14:textId="77777777" w:rsidR="009F5447" w:rsidRDefault="009F5447" w:rsidP="000F1001">
      <w:pPr>
        <w:rPr>
          <w:b/>
          <w:noProof/>
          <w:color w:val="023E8A"/>
        </w:rPr>
      </w:pPr>
      <w:r>
        <w:rPr>
          <w:b/>
          <w:noProof/>
          <w:color w:val="023E8A"/>
        </w:rPr>
        <w:br w:type="page"/>
      </w:r>
    </w:p>
    <w:p w14:paraId="6978BD03" w14:textId="4738A549" w:rsidR="0019189C" w:rsidRDefault="0019189C" w:rsidP="000F1001">
      <w:pPr>
        <w:rPr>
          <w:b/>
          <w:noProof/>
          <w:color w:val="023E8A"/>
        </w:rPr>
      </w:pPr>
      <w:r>
        <w:rPr>
          <w:b/>
          <w:noProof/>
          <w:color w:val="023E8A"/>
        </w:rPr>
        <w:t>Graph 13</w:t>
      </w:r>
      <w:r w:rsidRPr="002F5C19">
        <w:rPr>
          <w:b/>
          <w:noProof/>
          <w:color w:val="023E8A"/>
        </w:rPr>
        <w:t>.</w:t>
      </w:r>
      <w:r w:rsidR="009F5447" w:rsidRPr="009F5447">
        <w:rPr>
          <w:noProof/>
        </w:rPr>
        <w:t xml:space="preserve"> </w:t>
      </w:r>
      <w:r w:rsidR="00D16D5B" w:rsidRPr="003D11D1">
        <w:rPr>
          <w:b/>
          <w:noProof/>
          <w:color w:val="023E8A"/>
        </w:rPr>
        <w:t>Development of gross operating surplus for financial and non-financial corporations (sectors S12 and S11) and GNI, total economy (sector S1) growth, 2017-2021 annual average, by country</w:t>
      </w:r>
    </w:p>
    <w:p w14:paraId="413BDB67" w14:textId="420F34C8" w:rsidR="0019189C" w:rsidRPr="002F5C19" w:rsidRDefault="0019189C" w:rsidP="003D11D1">
      <w:pPr>
        <w:jc w:val="right"/>
        <w:rPr>
          <w:noProof/>
        </w:rPr>
      </w:pPr>
      <w:r w:rsidRPr="00FF6BC0">
        <w:rPr>
          <w:noProof/>
          <w:lang w:eastAsia="en-GB"/>
        </w:rPr>
        <w:drawing>
          <wp:inline distT="0" distB="0" distL="0" distR="0" wp14:anchorId="5C68ADCD" wp14:editId="36A8D4BA">
            <wp:extent cx="5274234" cy="33770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5341424" cy="3420111"/>
                    </a:xfrm>
                    <a:prstGeom prst="rect">
                      <a:avLst/>
                    </a:prstGeom>
                  </pic:spPr>
                </pic:pic>
              </a:graphicData>
            </a:graphic>
          </wp:inline>
        </w:drawing>
      </w:r>
    </w:p>
    <w:p w14:paraId="2F7D9202" w14:textId="77777777" w:rsidR="0019189C" w:rsidRDefault="0019189C" w:rsidP="0019189C">
      <w:pPr>
        <w:rPr>
          <w:noProof/>
        </w:rPr>
      </w:pPr>
      <w:r w:rsidRPr="00D96609">
        <w:rPr>
          <w:i/>
          <w:iCs/>
          <w:noProof/>
        </w:rPr>
        <w:t>Note:</w:t>
      </w:r>
      <w:r>
        <w:rPr>
          <w:noProof/>
        </w:rPr>
        <w:t xml:space="preserve"> * Missing data for BG 2018-2021 and RO 2021 estimated with annual average growth rate for EU27.</w:t>
      </w:r>
    </w:p>
    <w:p w14:paraId="15EC0C64" w14:textId="76FA2188" w:rsidR="00D32651" w:rsidRPr="002F5C19" w:rsidRDefault="0019189C" w:rsidP="000F1001">
      <w:pPr>
        <w:rPr>
          <w:noProof/>
        </w:rPr>
      </w:pPr>
      <w:r w:rsidRPr="00D96609">
        <w:rPr>
          <w:i/>
          <w:iCs/>
          <w:noProof/>
        </w:rPr>
        <w:t>Source:</w:t>
      </w:r>
      <w:r>
        <w:rPr>
          <w:noProof/>
        </w:rPr>
        <w:t xml:space="preserve"> DG BUDG calculations based on Eurostat annual NFSA data table nasa_10_nf_tr and ECFIN forecast file SF 2023, data accessed on 29/03/2023 and 02/05/2023, respectively</w:t>
      </w:r>
      <w:r w:rsidR="00D96609">
        <w:rPr>
          <w:noProof/>
        </w:rPr>
        <w:t>.</w:t>
      </w:r>
    </w:p>
    <w:p w14:paraId="04AACFA7" w14:textId="2B2E772A" w:rsidR="000F1001" w:rsidRPr="002F5C19" w:rsidRDefault="000F1001" w:rsidP="000F1001">
      <w:pPr>
        <w:rPr>
          <w:noProof/>
        </w:rPr>
      </w:pPr>
      <w:r w:rsidRPr="0D5E584C">
        <w:rPr>
          <w:b/>
          <w:noProof/>
          <w:color w:val="023E8A" w:themeColor="accent1"/>
        </w:rPr>
        <w:t>Similarly to other existing own resources built on statistics, this new own resource would be Treaty-based.</w:t>
      </w:r>
      <w:r w:rsidRPr="002F5C19">
        <w:rPr>
          <w:b/>
          <w:bCs/>
          <w:noProof/>
        </w:rPr>
        <w:t xml:space="preserve"> </w:t>
      </w:r>
      <w:r w:rsidRPr="002F5C19">
        <w:rPr>
          <w:noProof/>
        </w:rPr>
        <w:t xml:space="preserve">Existing own resources such as the GNI or the plastic own resource are also </w:t>
      </w:r>
      <w:r w:rsidRPr="002F5C19">
        <w:rPr>
          <w:bCs/>
          <w:i/>
          <w:iCs/>
          <w:noProof/>
        </w:rPr>
        <w:t>statistically based</w:t>
      </w:r>
      <w:r w:rsidRPr="002F5C19">
        <w:rPr>
          <w:noProof/>
        </w:rPr>
        <w:t>, meaning that the revenues they generate do not come from national levies or taxes such as customs duties or VAT, rather, they constitute contributions based on statistics reported by Eurostat. All statistics-based own resources are grounded in Article 311 TFEU and do not require an underlying sectoral legislation to be adopted. Once these contributions to the EU budget are established, Member States would be free to recoup them via domestic fiscal measures.</w:t>
      </w:r>
    </w:p>
    <w:p w14:paraId="5077B454" w14:textId="1002880B" w:rsidR="00A663E4" w:rsidRPr="009F2E4E" w:rsidRDefault="00A663E4" w:rsidP="00F65EB9">
      <w:pPr>
        <w:pStyle w:val="Heading3"/>
        <w:rPr>
          <w:noProof/>
        </w:rPr>
      </w:pPr>
      <w:bookmarkStart w:id="256" w:name="_Toc135860257"/>
      <w:bookmarkStart w:id="257" w:name="_Toc136599825"/>
      <w:bookmarkStart w:id="258" w:name="_Toc136600403"/>
      <w:bookmarkStart w:id="259" w:name="_Toc137494008"/>
      <w:r w:rsidRPr="009F2E4E">
        <w:rPr>
          <w:noProof/>
        </w:rPr>
        <w:t>3.2.</w:t>
      </w:r>
      <w:r w:rsidR="0062462B">
        <w:rPr>
          <w:noProof/>
        </w:rPr>
        <w:t>2</w:t>
      </w:r>
      <w:r w:rsidRPr="009F2E4E">
        <w:rPr>
          <w:noProof/>
        </w:rPr>
        <w:t>. How would it work?</w:t>
      </w:r>
      <w:bookmarkEnd w:id="254"/>
      <w:bookmarkEnd w:id="255"/>
      <w:bookmarkEnd w:id="256"/>
      <w:bookmarkEnd w:id="257"/>
      <w:bookmarkEnd w:id="258"/>
      <w:bookmarkEnd w:id="259"/>
    </w:p>
    <w:p w14:paraId="5FE2892E" w14:textId="224A2626" w:rsidR="000F1001" w:rsidRPr="002F5C19" w:rsidRDefault="000F1001" w:rsidP="000F1001">
      <w:pPr>
        <w:rPr>
          <w:noProof/>
        </w:rPr>
      </w:pPr>
      <w:r w:rsidRPr="002F5C19">
        <w:rPr>
          <w:b/>
          <w:noProof/>
          <w:color w:val="023E8A"/>
        </w:rPr>
        <w:t>This new statistics-based own resource would be calculated by applying a call rate on a base defined using sectoral national accounts data from Eurostat</w:t>
      </w:r>
      <w:r w:rsidRPr="002F5C19">
        <w:rPr>
          <w:noProof/>
        </w:rPr>
        <w:t xml:space="preserve"> (</w:t>
      </w:r>
      <w:r w:rsidRPr="00386EDB">
        <w:rPr>
          <w:i/>
          <w:noProof/>
        </w:rPr>
        <w:t>expression</w:t>
      </w:r>
      <w:r w:rsidRPr="00386EDB">
        <w:rPr>
          <w:noProof/>
        </w:rPr>
        <w:t xml:space="preserve"> </w:t>
      </w:r>
      <w:r w:rsidRPr="00386EDB">
        <w:rPr>
          <w:i/>
          <w:iCs/>
          <w:noProof/>
        </w:rPr>
        <w:t>(1)</w:t>
      </w:r>
      <w:r w:rsidRPr="00386EDB">
        <w:rPr>
          <w:noProof/>
        </w:rPr>
        <w:t>).</w:t>
      </w:r>
      <w:r w:rsidRPr="002F5C19">
        <w:rPr>
          <w:noProof/>
        </w:rPr>
        <w:t xml:space="preserve"> The statistical base would be defined </w:t>
      </w:r>
      <w:r>
        <w:rPr>
          <w:noProof/>
        </w:rPr>
        <w:t>using</w:t>
      </w:r>
      <w:r w:rsidRPr="002F5C19">
        <w:rPr>
          <w:noProof/>
        </w:rPr>
        <w:t xml:space="preserve"> a harmonised indicator </w:t>
      </w:r>
      <w:r>
        <w:rPr>
          <w:noProof/>
        </w:rPr>
        <w:t xml:space="preserve">that roughly approximates </w:t>
      </w:r>
      <w:r w:rsidRPr="002F5C19">
        <w:rPr>
          <w:noProof/>
        </w:rPr>
        <w:t xml:space="preserve">company profits. </w:t>
      </w:r>
      <w:r w:rsidRPr="002F5C19">
        <w:rPr>
          <w:iCs/>
          <w:noProof/>
          <w:lang w:val="en-IE"/>
        </w:rPr>
        <w:t>This notional EU compan</w:t>
      </w:r>
      <w:r w:rsidRPr="002F5C19">
        <w:rPr>
          <w:i/>
          <w:iCs/>
          <w:noProof/>
          <w:lang w:val="en-IE"/>
        </w:rPr>
        <w:t>y</w:t>
      </w:r>
      <w:r w:rsidRPr="002F5C19">
        <w:rPr>
          <w:iCs/>
          <w:noProof/>
          <w:lang w:val="en-IE"/>
        </w:rPr>
        <w:t xml:space="preserve"> income [or profit] base would be calculated according to the </w:t>
      </w:r>
      <w:r w:rsidRPr="002F5C19">
        <w:rPr>
          <w:iCs/>
          <w:noProof/>
        </w:rPr>
        <w:t xml:space="preserve">European </w:t>
      </w:r>
      <w:r w:rsidR="00AB491A">
        <w:rPr>
          <w:iCs/>
          <w:noProof/>
        </w:rPr>
        <w:t>S</w:t>
      </w:r>
      <w:r w:rsidRPr="002F5C19">
        <w:rPr>
          <w:iCs/>
          <w:noProof/>
        </w:rPr>
        <w:t xml:space="preserve">ystem of </w:t>
      </w:r>
      <w:r w:rsidR="00AB491A">
        <w:rPr>
          <w:iCs/>
          <w:noProof/>
        </w:rPr>
        <w:t>A</w:t>
      </w:r>
      <w:r w:rsidRPr="002F5C19">
        <w:rPr>
          <w:iCs/>
          <w:noProof/>
        </w:rPr>
        <w:t xml:space="preserve">ccounts 2010, which has the advantage of harmonised </w:t>
      </w:r>
      <w:r w:rsidR="00AB491A">
        <w:rPr>
          <w:iCs/>
          <w:noProof/>
        </w:rPr>
        <w:t xml:space="preserve">national </w:t>
      </w:r>
      <w:r w:rsidRPr="002F5C19">
        <w:rPr>
          <w:iCs/>
          <w:noProof/>
        </w:rPr>
        <w:t>accounting across Member States</w:t>
      </w:r>
      <w:r w:rsidR="00AB491A">
        <w:rPr>
          <w:iCs/>
          <w:noProof/>
        </w:rPr>
        <w:t xml:space="preserve"> based on Regulation (EU) 549/2013</w:t>
      </w:r>
      <w:r w:rsidRPr="002F5C19">
        <w:rPr>
          <w:iCs/>
          <w:noProof/>
        </w:rPr>
        <w:t>.</w:t>
      </w:r>
      <w:r w:rsidRPr="002F5C19">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blLook w:val="04A0" w:firstRow="1" w:lastRow="0" w:firstColumn="1" w:lastColumn="0" w:noHBand="0" w:noVBand="1"/>
      </w:tblPr>
      <w:tblGrid>
        <w:gridCol w:w="8602"/>
      </w:tblGrid>
      <w:tr w:rsidR="000F1001" w:rsidRPr="002F5C19" w14:paraId="203C561C" w14:textId="77777777" w:rsidTr="0D5E584C">
        <w:trPr>
          <w:trHeight w:val="567"/>
        </w:trPr>
        <w:tc>
          <w:tcPr>
            <w:tcW w:w="8602" w:type="dxa"/>
            <w:shd w:val="clear" w:color="auto" w:fill="E7E6E6" w:themeFill="background2"/>
            <w:vAlign w:val="center"/>
          </w:tcPr>
          <w:p w14:paraId="10B58F04" w14:textId="50370702" w:rsidR="000F1001" w:rsidRPr="002F5C19" w:rsidRDefault="000F1001" w:rsidP="00B4562E">
            <w:pPr>
              <w:shd w:val="clear" w:color="auto" w:fill="E7E6E6" w:themeFill="background2"/>
              <w:spacing w:before="120" w:after="120"/>
              <w:rPr>
                <w:noProof/>
              </w:rPr>
            </w:pPr>
            <w:r w:rsidRPr="002F5C19">
              <w:rPr>
                <w:noProof/>
                <w:lang w:val="en-IE"/>
              </w:rPr>
              <w:t>S</w:t>
            </w:r>
            <w:r w:rsidRPr="002F5C19">
              <w:rPr>
                <w:noProof/>
              </w:rPr>
              <w:t xml:space="preserve">tatistical own resource on company profits = a call rate (e.g. </w:t>
            </w:r>
            <w:r w:rsidR="00370AA2" w:rsidRPr="002F5C19">
              <w:rPr>
                <w:noProof/>
              </w:rPr>
              <w:t>0.</w:t>
            </w:r>
            <w:r w:rsidR="00370AA2">
              <w:rPr>
                <w:noProof/>
              </w:rPr>
              <w:t>5</w:t>
            </w:r>
            <w:r w:rsidRPr="002F5C19">
              <w:rPr>
                <w:noProof/>
              </w:rPr>
              <w:t>%) * statistical base on company profits</w:t>
            </w:r>
            <w:r>
              <w:rPr>
                <w:noProof/>
              </w:rPr>
              <w:t xml:space="preserve">                                                                                                                                             (1)</w:t>
            </w:r>
          </w:p>
        </w:tc>
      </w:tr>
    </w:tbl>
    <w:p w14:paraId="45C038DA" w14:textId="77777777" w:rsidR="000F1001" w:rsidRPr="00275F39" w:rsidRDefault="000F1001" w:rsidP="000F1001">
      <w:pPr>
        <w:rPr>
          <w:iCs/>
          <w:noProof/>
        </w:rPr>
      </w:pPr>
    </w:p>
    <w:p w14:paraId="7A51E460" w14:textId="0C53B337" w:rsidR="000F1001" w:rsidRDefault="000F1001" w:rsidP="000F1001">
      <w:pPr>
        <w:rPr>
          <w:iCs/>
          <w:noProof/>
          <w:lang w:val="en-IE"/>
        </w:rPr>
      </w:pPr>
      <w:r w:rsidRPr="002F5C19">
        <w:rPr>
          <w:b/>
          <w:noProof/>
          <w:color w:val="023E8A"/>
        </w:rPr>
        <w:t xml:space="preserve">The statistical base for the own resource on company profits would be defined as the gross </w:t>
      </w:r>
      <w:r>
        <w:rPr>
          <w:b/>
          <w:noProof/>
          <w:color w:val="023E8A"/>
        </w:rPr>
        <w:t>operating surplus</w:t>
      </w:r>
      <w:r w:rsidRPr="002F5C19">
        <w:rPr>
          <w:noProof/>
        </w:rPr>
        <w:t xml:space="preserve"> </w:t>
      </w:r>
      <w:r w:rsidRPr="002F5C19">
        <w:rPr>
          <w:b/>
          <w:noProof/>
          <w:color w:val="023E8A"/>
        </w:rPr>
        <w:t>of financial and non-financial corporations</w:t>
      </w:r>
      <w:r w:rsidRPr="002F5C19">
        <w:rPr>
          <w:noProof/>
        </w:rPr>
        <w:t xml:space="preserve"> </w:t>
      </w:r>
      <w:r w:rsidRPr="002F5C19">
        <w:rPr>
          <w:i/>
          <w:iCs/>
          <w:noProof/>
        </w:rPr>
        <w:t>(ESA sectors S1</w:t>
      </w:r>
      <w:r w:rsidR="00C92FD1">
        <w:rPr>
          <w:i/>
          <w:iCs/>
          <w:noProof/>
        </w:rPr>
        <w:t>2</w:t>
      </w:r>
      <w:r w:rsidRPr="002F5C19">
        <w:rPr>
          <w:i/>
          <w:iCs/>
          <w:noProof/>
        </w:rPr>
        <w:t xml:space="preserve"> and S1</w:t>
      </w:r>
      <w:r w:rsidR="00C92FD1">
        <w:rPr>
          <w:i/>
          <w:iCs/>
          <w:noProof/>
        </w:rPr>
        <w:t>1</w:t>
      </w:r>
      <w:r w:rsidRPr="002F5C19">
        <w:rPr>
          <w:i/>
          <w:iCs/>
          <w:noProof/>
        </w:rPr>
        <w:t>).</w:t>
      </w:r>
      <w:r w:rsidRPr="002F5C19">
        <w:rPr>
          <w:noProof/>
        </w:rPr>
        <w:t xml:space="preserve"> </w:t>
      </w:r>
      <w:r w:rsidRPr="00C92FD1">
        <w:rPr>
          <w:noProof/>
        </w:rPr>
        <w:t xml:space="preserve">Gross operating surplus </w:t>
      </w:r>
      <w:r w:rsidR="00C92FD1" w:rsidRPr="002F5C19">
        <w:rPr>
          <w:noProof/>
        </w:rPr>
        <w:t>(</w:t>
      </w:r>
      <w:r w:rsidR="00C92FD1" w:rsidRPr="002F5C19">
        <w:rPr>
          <w:i/>
          <w:iCs/>
          <w:noProof/>
        </w:rPr>
        <w:t>ESA balancing item B.</w:t>
      </w:r>
      <w:r w:rsidR="00C92FD1">
        <w:rPr>
          <w:i/>
          <w:iCs/>
          <w:noProof/>
        </w:rPr>
        <w:t>2</w:t>
      </w:r>
      <w:r w:rsidR="00C92FD1" w:rsidRPr="002F5C19">
        <w:rPr>
          <w:i/>
          <w:iCs/>
          <w:noProof/>
        </w:rPr>
        <w:t>g</w:t>
      </w:r>
      <w:r w:rsidR="00C92FD1" w:rsidRPr="002F5C19">
        <w:rPr>
          <w:noProof/>
        </w:rPr>
        <w:t xml:space="preserve">) </w:t>
      </w:r>
      <w:r w:rsidRPr="00B35753">
        <w:rPr>
          <w:noProof/>
        </w:rPr>
        <w:t xml:space="preserve">equals </w:t>
      </w:r>
      <w:r w:rsidR="00C92FD1" w:rsidRPr="00AB491A">
        <w:rPr>
          <w:noProof/>
        </w:rPr>
        <w:t xml:space="preserve">the sector’s </w:t>
      </w:r>
      <w:r w:rsidR="001825DA">
        <w:rPr>
          <w:noProof/>
        </w:rPr>
        <w:t>‘G</w:t>
      </w:r>
      <w:r w:rsidR="00C92FD1" w:rsidRPr="00AB491A">
        <w:rPr>
          <w:noProof/>
        </w:rPr>
        <w:t>ross value added</w:t>
      </w:r>
      <w:r w:rsidR="001825DA">
        <w:rPr>
          <w:noProof/>
        </w:rPr>
        <w:t>’</w:t>
      </w:r>
      <w:r w:rsidR="00C92FD1" w:rsidRPr="00AB491A">
        <w:rPr>
          <w:noProof/>
        </w:rPr>
        <w:t xml:space="preserve"> (ESA balancing item B.1g) plus </w:t>
      </w:r>
      <w:r w:rsidR="001825DA">
        <w:rPr>
          <w:noProof/>
        </w:rPr>
        <w:t>‘</w:t>
      </w:r>
      <w:r w:rsidR="00C92FD1" w:rsidRPr="00AB491A">
        <w:rPr>
          <w:noProof/>
        </w:rPr>
        <w:t>Other subsidies on production</w:t>
      </w:r>
      <w:r w:rsidR="001825DA">
        <w:rPr>
          <w:noProof/>
        </w:rPr>
        <w:t>’</w:t>
      </w:r>
      <w:r w:rsidR="00C92FD1" w:rsidRPr="00AB491A">
        <w:rPr>
          <w:noProof/>
        </w:rPr>
        <w:t xml:space="preserve"> (ESA item D.39) minus </w:t>
      </w:r>
      <w:r w:rsidR="001825DA">
        <w:rPr>
          <w:noProof/>
        </w:rPr>
        <w:t>‘C</w:t>
      </w:r>
      <w:r w:rsidR="00C92FD1" w:rsidRPr="00AB491A">
        <w:rPr>
          <w:noProof/>
        </w:rPr>
        <w:t>ompensation of employees</w:t>
      </w:r>
      <w:r w:rsidR="001825DA">
        <w:rPr>
          <w:noProof/>
        </w:rPr>
        <w:t>’</w:t>
      </w:r>
      <w:r w:rsidR="00C92FD1" w:rsidRPr="00AB491A">
        <w:rPr>
          <w:noProof/>
        </w:rPr>
        <w:t xml:space="preserve"> (ESA item D.1) and </w:t>
      </w:r>
      <w:r w:rsidR="001825DA">
        <w:rPr>
          <w:noProof/>
        </w:rPr>
        <w:t>O</w:t>
      </w:r>
      <w:r w:rsidR="00C92FD1" w:rsidRPr="00AB491A">
        <w:rPr>
          <w:noProof/>
        </w:rPr>
        <w:t>ther taxes on production</w:t>
      </w:r>
      <w:r w:rsidR="001825DA">
        <w:rPr>
          <w:noProof/>
        </w:rPr>
        <w:t>’</w:t>
      </w:r>
      <w:r w:rsidR="00C92FD1" w:rsidRPr="00AB491A">
        <w:rPr>
          <w:noProof/>
        </w:rPr>
        <w:t xml:space="preserve"> (ESA item D.29).</w:t>
      </w:r>
    </w:p>
    <w:p w14:paraId="32B32745" w14:textId="559D9326" w:rsidR="000F1001" w:rsidRDefault="000F1001" w:rsidP="000F1001">
      <w:pPr>
        <w:rPr>
          <w:iCs/>
          <w:noProof/>
          <w:lang w:val="en-IE"/>
        </w:rPr>
      </w:pPr>
      <w:r w:rsidRPr="006E307F">
        <w:rPr>
          <w:b/>
          <w:noProof/>
          <w:color w:val="023E8A"/>
        </w:rPr>
        <w:t>T</w:t>
      </w:r>
      <w:r w:rsidRPr="000A4FED">
        <w:rPr>
          <w:b/>
          <w:noProof/>
          <w:color w:val="023E8A"/>
        </w:rPr>
        <w:t>he operating surplus constitutes</w:t>
      </w:r>
      <w:r w:rsidRPr="006E307F">
        <w:rPr>
          <w:b/>
          <w:noProof/>
          <w:color w:val="023E8A"/>
        </w:rPr>
        <w:t xml:space="preserve"> a commonly used and relatively simple concept (see Box </w:t>
      </w:r>
      <w:r w:rsidR="00296A63">
        <w:rPr>
          <w:b/>
          <w:noProof/>
          <w:color w:val="023E8A"/>
        </w:rPr>
        <w:t>5</w:t>
      </w:r>
      <w:r w:rsidRPr="006E307F">
        <w:rPr>
          <w:b/>
          <w:noProof/>
          <w:color w:val="023E8A"/>
        </w:rPr>
        <w:t>)</w:t>
      </w:r>
      <w:r>
        <w:rPr>
          <w:noProof/>
        </w:rPr>
        <w:t xml:space="preserve">. Indeed, the operating surplus </w:t>
      </w:r>
      <w:r>
        <w:rPr>
          <w:iCs/>
          <w:noProof/>
          <w:lang w:val="en-IE"/>
        </w:rPr>
        <w:t>is</w:t>
      </w:r>
      <w:r w:rsidRPr="007E3550">
        <w:rPr>
          <w:iCs/>
          <w:noProof/>
          <w:lang w:val="en-IE"/>
        </w:rPr>
        <w:t xml:space="preserve"> a</w:t>
      </w:r>
      <w:r>
        <w:rPr>
          <w:iCs/>
          <w:noProof/>
          <w:lang w:val="en-IE"/>
        </w:rPr>
        <w:t xml:space="preserve"> well-known ESA item and </w:t>
      </w:r>
      <w:r w:rsidRPr="007E3550">
        <w:rPr>
          <w:iCs/>
          <w:noProof/>
          <w:lang w:val="en-IE"/>
        </w:rPr>
        <w:t>simple approach</w:t>
      </w:r>
      <w:r>
        <w:rPr>
          <w:iCs/>
          <w:noProof/>
          <w:lang w:val="en-IE"/>
        </w:rPr>
        <w:t xml:space="preserve">, </w:t>
      </w:r>
      <w:r w:rsidR="00933959">
        <w:rPr>
          <w:noProof/>
          <w:lang w:val="en-IE"/>
        </w:rPr>
        <w:t>which</w:t>
      </w:r>
      <w:r w:rsidRPr="006E307F">
        <w:rPr>
          <w:iCs/>
          <w:noProof/>
          <w:lang w:val="en-IE"/>
        </w:rPr>
        <w:t xml:space="preserve"> reflects</w:t>
      </w:r>
      <w:r>
        <w:rPr>
          <w:noProof/>
        </w:rPr>
        <w:t xml:space="preserve"> </w:t>
      </w:r>
      <w:r w:rsidRPr="00A05B8D">
        <w:rPr>
          <w:iCs/>
          <w:noProof/>
          <w:lang w:val="en-IE"/>
        </w:rPr>
        <w:t>the surplus (or deficit) on production activities before account</w:t>
      </w:r>
      <w:r>
        <w:rPr>
          <w:iCs/>
          <w:noProof/>
          <w:lang w:val="en-IE"/>
        </w:rPr>
        <w:t>ing for</w:t>
      </w:r>
      <w:r w:rsidRPr="00A05B8D">
        <w:rPr>
          <w:iCs/>
          <w:noProof/>
          <w:lang w:val="en-IE"/>
        </w:rPr>
        <w:t xml:space="preserve"> interest, rents or charges paid or received for the use of assets</w:t>
      </w:r>
      <w:r>
        <w:rPr>
          <w:iCs/>
          <w:noProof/>
          <w:lang w:val="en-IE"/>
        </w:rPr>
        <w:t xml:space="preserve"> (property income).</w:t>
      </w:r>
      <w:r w:rsidRPr="007E3550">
        <w:rPr>
          <w:iCs/>
          <w:noProof/>
          <w:lang w:val="en-IE"/>
        </w:rPr>
        <w:t xml:space="preserve"> </w:t>
      </w:r>
      <w:r>
        <w:rPr>
          <w:iCs/>
          <w:noProof/>
          <w:lang w:val="en-IE"/>
        </w:rPr>
        <w:t xml:space="preserve">However, operating surplus is only a very rough approximation of aggregated potentially </w:t>
      </w:r>
      <w:r w:rsidRPr="007E3550">
        <w:rPr>
          <w:iCs/>
          <w:noProof/>
          <w:lang w:val="en-IE"/>
        </w:rPr>
        <w:t xml:space="preserve">taxable </w:t>
      </w:r>
      <w:r>
        <w:rPr>
          <w:iCs/>
          <w:noProof/>
          <w:lang w:val="en-IE"/>
        </w:rPr>
        <w:t xml:space="preserve">company </w:t>
      </w:r>
      <w:r w:rsidRPr="007E3550">
        <w:rPr>
          <w:iCs/>
          <w:noProof/>
          <w:lang w:val="en-IE"/>
        </w:rPr>
        <w:t>profit</w:t>
      </w:r>
      <w:r>
        <w:rPr>
          <w:iCs/>
          <w:noProof/>
          <w:lang w:val="en-IE"/>
        </w:rPr>
        <w:t>s,</w:t>
      </w:r>
      <w:r w:rsidRPr="007E3550">
        <w:rPr>
          <w:iCs/>
          <w:noProof/>
          <w:lang w:val="en-IE"/>
        </w:rPr>
        <w:t xml:space="preserve"> </w:t>
      </w:r>
      <w:r>
        <w:rPr>
          <w:iCs/>
          <w:noProof/>
          <w:lang w:val="en-IE"/>
        </w:rPr>
        <w:t xml:space="preserve">as major </w:t>
      </w:r>
      <w:r w:rsidRPr="007E3550">
        <w:rPr>
          <w:iCs/>
          <w:noProof/>
          <w:lang w:val="en-IE"/>
        </w:rPr>
        <w:t xml:space="preserve">tax-deductible items </w:t>
      </w:r>
      <w:r>
        <w:rPr>
          <w:iCs/>
          <w:noProof/>
          <w:lang w:val="en-IE"/>
        </w:rPr>
        <w:t xml:space="preserve">such as the </w:t>
      </w:r>
      <w:r w:rsidRPr="007E3550">
        <w:rPr>
          <w:iCs/>
          <w:noProof/>
          <w:lang w:val="en-IE"/>
        </w:rPr>
        <w:t xml:space="preserve">cost of financing remain in the </w:t>
      </w:r>
      <w:r>
        <w:rPr>
          <w:iCs/>
          <w:noProof/>
          <w:lang w:val="en-IE"/>
        </w:rPr>
        <w:t>base</w:t>
      </w:r>
      <w:r w:rsidRPr="007E3550">
        <w:rPr>
          <w:iCs/>
          <w:noProof/>
          <w:lang w:val="en-IE"/>
        </w:rPr>
        <w:t xml:space="preserve">. </w:t>
      </w:r>
    </w:p>
    <w:p w14:paraId="1DF6473A" w14:textId="39D8FD75" w:rsidR="000F1001" w:rsidRPr="002F5C19" w:rsidRDefault="000F1001" w:rsidP="000F1001">
      <w:pPr>
        <w:rPr>
          <w:iCs/>
          <w:noProof/>
          <w:lang w:val="en-IE"/>
        </w:rPr>
      </w:pPr>
      <w:r w:rsidRPr="00061F90">
        <w:rPr>
          <w:b/>
          <w:noProof/>
          <w:color w:val="023E8A"/>
        </w:rPr>
        <w:t>A measure in gross terms is preferable</w:t>
      </w:r>
      <w:r>
        <w:rPr>
          <w:b/>
          <w:bCs/>
          <w:iCs/>
          <w:noProof/>
          <w:lang w:val="en-IE"/>
        </w:rPr>
        <w:t>.</w:t>
      </w:r>
      <w:r>
        <w:rPr>
          <w:iCs/>
          <w:noProof/>
          <w:lang w:val="en-IE"/>
        </w:rPr>
        <w:t xml:space="preserve"> </w:t>
      </w:r>
      <w:r w:rsidR="000E4364">
        <w:rPr>
          <w:iCs/>
          <w:noProof/>
          <w:lang w:val="en-IE"/>
        </w:rPr>
        <w:t>T</w:t>
      </w:r>
      <w:r>
        <w:rPr>
          <w:iCs/>
          <w:noProof/>
          <w:lang w:val="en-IE"/>
        </w:rPr>
        <w:t>he</w:t>
      </w:r>
      <w:r w:rsidRPr="007E3550">
        <w:rPr>
          <w:iCs/>
          <w:noProof/>
          <w:lang w:val="en-IE"/>
        </w:rPr>
        <w:t xml:space="preserve"> decision to use </w:t>
      </w:r>
      <w:r>
        <w:rPr>
          <w:iCs/>
          <w:noProof/>
          <w:lang w:val="en-IE"/>
        </w:rPr>
        <w:t>a ‘</w:t>
      </w:r>
      <w:r w:rsidRPr="007E3550">
        <w:rPr>
          <w:iCs/>
          <w:noProof/>
          <w:lang w:val="en-IE"/>
        </w:rPr>
        <w:t>gross</w:t>
      </w:r>
      <w:r>
        <w:rPr>
          <w:iCs/>
          <w:noProof/>
          <w:lang w:val="en-IE"/>
        </w:rPr>
        <w:t>’</w:t>
      </w:r>
      <w:r w:rsidRPr="007E3550">
        <w:rPr>
          <w:iCs/>
          <w:noProof/>
          <w:lang w:val="en-IE"/>
        </w:rPr>
        <w:t xml:space="preserve"> </w:t>
      </w:r>
      <w:r>
        <w:rPr>
          <w:iCs/>
          <w:noProof/>
          <w:lang w:val="en-IE"/>
        </w:rPr>
        <w:t xml:space="preserve">versus ‘net’ concept </w:t>
      </w:r>
      <w:r w:rsidRPr="007E3550">
        <w:rPr>
          <w:iCs/>
          <w:noProof/>
          <w:lang w:val="en-IE"/>
        </w:rPr>
        <w:t xml:space="preserve">owes to the depreciation of tangible </w:t>
      </w:r>
      <w:r w:rsidR="00C2267A">
        <w:rPr>
          <w:iCs/>
          <w:noProof/>
          <w:lang w:val="en-IE"/>
        </w:rPr>
        <w:t>and intangible</w:t>
      </w:r>
      <w:r w:rsidR="00C2267A" w:rsidRPr="007E3550">
        <w:rPr>
          <w:iCs/>
          <w:noProof/>
          <w:lang w:val="en-IE"/>
        </w:rPr>
        <w:t xml:space="preserve"> </w:t>
      </w:r>
      <w:r w:rsidRPr="007E3550">
        <w:rPr>
          <w:iCs/>
          <w:noProof/>
          <w:lang w:val="en-IE"/>
        </w:rPr>
        <w:t xml:space="preserve">assets. The difference between gross and net </w:t>
      </w:r>
      <w:r>
        <w:rPr>
          <w:iCs/>
          <w:noProof/>
          <w:lang w:val="en-IE"/>
        </w:rPr>
        <w:t>operating surplus</w:t>
      </w:r>
      <w:r w:rsidRPr="007E3550">
        <w:rPr>
          <w:iCs/>
          <w:noProof/>
          <w:lang w:val="en-IE"/>
        </w:rPr>
        <w:t xml:space="preserve"> is </w:t>
      </w:r>
      <w:r>
        <w:rPr>
          <w:iCs/>
          <w:noProof/>
          <w:lang w:val="en-IE"/>
        </w:rPr>
        <w:t xml:space="preserve">the </w:t>
      </w:r>
      <w:r w:rsidR="00C2267A">
        <w:rPr>
          <w:iCs/>
          <w:noProof/>
          <w:lang w:val="en-IE"/>
        </w:rPr>
        <w:t>consumption of fixed capital</w:t>
      </w:r>
      <w:r w:rsidRPr="007E3550">
        <w:rPr>
          <w:iCs/>
          <w:noProof/>
          <w:lang w:val="en-IE"/>
        </w:rPr>
        <w:t xml:space="preserve">. </w:t>
      </w:r>
      <w:r>
        <w:rPr>
          <w:iCs/>
          <w:noProof/>
          <w:lang w:val="en-IE"/>
        </w:rPr>
        <w:t xml:space="preserve">Since </w:t>
      </w:r>
      <w:r w:rsidRPr="007E3550">
        <w:rPr>
          <w:iCs/>
          <w:noProof/>
          <w:lang w:val="en-IE"/>
        </w:rPr>
        <w:t xml:space="preserve">the </w:t>
      </w:r>
      <w:r w:rsidR="00C2267A">
        <w:rPr>
          <w:iCs/>
          <w:noProof/>
          <w:lang w:val="en-IE"/>
        </w:rPr>
        <w:t xml:space="preserve">calculation methods of </w:t>
      </w:r>
      <w:r>
        <w:rPr>
          <w:iCs/>
          <w:noProof/>
          <w:lang w:val="en-IE"/>
        </w:rPr>
        <w:t>‘</w:t>
      </w:r>
      <w:r w:rsidRPr="007E3550">
        <w:rPr>
          <w:iCs/>
          <w:noProof/>
          <w:lang w:val="en-IE"/>
        </w:rPr>
        <w:t>consumption of fixed capital</w:t>
      </w:r>
      <w:r>
        <w:rPr>
          <w:iCs/>
          <w:noProof/>
          <w:lang w:val="en-IE"/>
        </w:rPr>
        <w:t>’</w:t>
      </w:r>
      <w:r w:rsidRPr="007E3550">
        <w:rPr>
          <w:iCs/>
          <w:noProof/>
          <w:lang w:val="en-IE"/>
        </w:rPr>
        <w:t xml:space="preserve"> and the lifetime of assets </w:t>
      </w:r>
      <w:r w:rsidR="00184B6A">
        <w:rPr>
          <w:iCs/>
          <w:noProof/>
          <w:lang w:val="en-IE"/>
        </w:rPr>
        <w:t>may</w:t>
      </w:r>
      <w:r w:rsidRPr="007E3550">
        <w:rPr>
          <w:iCs/>
          <w:noProof/>
          <w:lang w:val="en-IE"/>
        </w:rPr>
        <w:t xml:space="preserve"> vary </w:t>
      </w:r>
      <w:r>
        <w:rPr>
          <w:iCs/>
          <w:noProof/>
          <w:lang w:val="en-IE"/>
        </w:rPr>
        <w:t xml:space="preserve">across </w:t>
      </w:r>
      <w:r w:rsidRPr="007E3550">
        <w:rPr>
          <w:iCs/>
          <w:noProof/>
          <w:lang w:val="en-IE"/>
        </w:rPr>
        <w:t>Member States</w:t>
      </w:r>
      <w:r>
        <w:rPr>
          <w:iCs/>
          <w:noProof/>
          <w:lang w:val="en-IE"/>
        </w:rPr>
        <w:t>, a measure in gross terms avoids</w:t>
      </w:r>
      <w:r w:rsidRPr="007E3550">
        <w:rPr>
          <w:iCs/>
          <w:noProof/>
          <w:lang w:val="en-IE"/>
        </w:rPr>
        <w:t xml:space="preserve"> </w:t>
      </w:r>
      <w:r>
        <w:rPr>
          <w:iCs/>
          <w:noProof/>
          <w:lang w:val="en-IE"/>
        </w:rPr>
        <w:t>introducing methodological discrepancies in the approximation of the company profits base</w:t>
      </w:r>
      <w:r w:rsidRPr="007E3550">
        <w:rPr>
          <w:iCs/>
          <w:noProof/>
          <w:lang w:val="en-IE"/>
        </w:rPr>
        <w:t>.</w:t>
      </w:r>
    </w:p>
    <w:p w14:paraId="0C1748A7" w14:textId="21F2C398" w:rsidR="000F1001" w:rsidRPr="002F5C19" w:rsidRDefault="000F1001" w:rsidP="000F1001">
      <w:pPr>
        <w:rPr>
          <w:noProof/>
        </w:rPr>
      </w:pPr>
      <w:r w:rsidRPr="002F5C19">
        <w:rPr>
          <w:b/>
          <w:noProof/>
          <w:color w:val="023E8A"/>
        </w:rPr>
        <w:t xml:space="preserve">A call rate of </w:t>
      </w:r>
      <w:r w:rsidR="00370AA2" w:rsidRPr="002F5C19">
        <w:rPr>
          <w:b/>
          <w:noProof/>
          <w:color w:val="023E8A"/>
        </w:rPr>
        <w:t>0.</w:t>
      </w:r>
      <w:r w:rsidR="00370AA2">
        <w:rPr>
          <w:b/>
          <w:noProof/>
          <w:color w:val="023E8A"/>
        </w:rPr>
        <w:t>5</w:t>
      </w:r>
      <w:r w:rsidRPr="002F5C19">
        <w:rPr>
          <w:b/>
          <w:noProof/>
          <w:color w:val="023E8A"/>
        </w:rPr>
        <w:t xml:space="preserve">% would provide revenues of EUR </w:t>
      </w:r>
      <w:r w:rsidR="00933959">
        <w:rPr>
          <w:b/>
          <w:bCs/>
          <w:noProof/>
          <w:color w:val="023E8A"/>
        </w:rPr>
        <w:t xml:space="preserve">about </w:t>
      </w:r>
      <w:r w:rsidR="00370AA2" w:rsidRPr="0D5E584C">
        <w:rPr>
          <w:b/>
          <w:bCs/>
          <w:noProof/>
          <w:color w:val="023E8A"/>
        </w:rPr>
        <w:t>1</w:t>
      </w:r>
      <w:r w:rsidR="00370AA2">
        <w:rPr>
          <w:b/>
          <w:bCs/>
          <w:noProof/>
          <w:color w:val="023E8A"/>
        </w:rPr>
        <w:t>6</w:t>
      </w:r>
      <w:r w:rsidRPr="002F5C19">
        <w:rPr>
          <w:b/>
          <w:noProof/>
          <w:color w:val="023E8A"/>
        </w:rPr>
        <w:t xml:space="preserve"> </w:t>
      </w:r>
      <w:r w:rsidR="00BC372C">
        <w:rPr>
          <w:b/>
          <w:noProof/>
          <w:color w:val="023E8A"/>
        </w:rPr>
        <w:t>billion</w:t>
      </w:r>
      <w:r>
        <w:rPr>
          <w:b/>
          <w:noProof/>
          <w:color w:val="023E8A"/>
        </w:rPr>
        <w:t xml:space="preserve"> </w:t>
      </w:r>
      <w:r w:rsidRPr="00466C6A">
        <w:rPr>
          <w:bCs/>
          <w:noProof/>
          <w:color w:val="000000" w:themeColor="text1"/>
        </w:rPr>
        <w:t>(2018 prices)</w:t>
      </w:r>
      <w:r>
        <w:rPr>
          <w:b/>
          <w:noProof/>
          <w:color w:val="023E8A"/>
        </w:rPr>
        <w:t xml:space="preserve"> </w:t>
      </w:r>
      <w:r w:rsidRPr="002F5C19">
        <w:rPr>
          <w:b/>
          <w:noProof/>
          <w:color w:val="023E8A"/>
        </w:rPr>
        <w:t xml:space="preserve">on average </w:t>
      </w:r>
      <w:r w:rsidR="00AF12AB">
        <w:rPr>
          <w:b/>
          <w:noProof/>
          <w:color w:val="023E8A"/>
        </w:rPr>
        <w:t>per year</w:t>
      </w:r>
      <w:r w:rsidRPr="002F5C19">
        <w:rPr>
          <w:b/>
          <w:noProof/>
          <w:color w:val="023E8A"/>
        </w:rPr>
        <w:t>.</w:t>
      </w:r>
      <w:r w:rsidRPr="002F5C19">
        <w:rPr>
          <w:b/>
          <w:bCs/>
          <w:noProof/>
        </w:rPr>
        <w:t xml:space="preserve"> </w:t>
      </w:r>
      <w:r w:rsidRPr="002F5C19">
        <w:rPr>
          <w:noProof/>
        </w:rPr>
        <w:t>Revenue estimates depend on both the call rate and the statistical base (Graphs 1</w:t>
      </w:r>
      <w:r w:rsidR="008A577B">
        <w:rPr>
          <w:noProof/>
        </w:rPr>
        <w:t>4</w:t>
      </w:r>
      <w:r w:rsidRPr="002F5C19">
        <w:rPr>
          <w:noProof/>
        </w:rPr>
        <w:t>).</w:t>
      </w:r>
      <w:r w:rsidR="0019189C">
        <w:rPr>
          <w:noProof/>
        </w:rPr>
        <w:br w:type="page"/>
      </w:r>
    </w:p>
    <w:p w14:paraId="1F7AB05E" w14:textId="1A70A743" w:rsidR="000F1001" w:rsidRDefault="0019189C" w:rsidP="000F1001">
      <w:pPr>
        <w:rPr>
          <w:b/>
          <w:noProof/>
        </w:rPr>
      </w:pPr>
      <w:r w:rsidRPr="002F5C19">
        <w:rPr>
          <w:b/>
          <w:noProof/>
          <w:color w:val="023E8A"/>
        </w:rPr>
        <w:t>Graphs 1</w:t>
      </w:r>
      <w:r>
        <w:rPr>
          <w:b/>
          <w:noProof/>
          <w:color w:val="023E8A"/>
        </w:rPr>
        <w:t>4</w:t>
      </w:r>
      <w:r w:rsidRPr="002F5C19">
        <w:rPr>
          <w:b/>
          <w:noProof/>
          <w:color w:val="023E8A"/>
        </w:rPr>
        <w:t xml:space="preserve">. </w:t>
      </w:r>
      <w:r>
        <w:rPr>
          <w:b/>
          <w:noProof/>
          <w:color w:val="023E8A"/>
        </w:rPr>
        <w:t>C</w:t>
      </w:r>
      <w:r w:rsidRPr="00370274">
        <w:rPr>
          <w:b/>
          <w:noProof/>
          <w:color w:val="023E8A"/>
        </w:rPr>
        <w:t xml:space="preserve">ompany profit </w:t>
      </w:r>
      <w:r>
        <w:rPr>
          <w:b/>
          <w:noProof/>
          <w:color w:val="023E8A"/>
        </w:rPr>
        <w:t>e</w:t>
      </w:r>
      <w:r w:rsidRPr="00370274">
        <w:rPr>
          <w:b/>
          <w:noProof/>
          <w:color w:val="023E8A"/>
        </w:rPr>
        <w:t>stimate</w:t>
      </w:r>
      <w:r>
        <w:rPr>
          <w:b/>
          <w:noProof/>
          <w:color w:val="023E8A"/>
        </w:rPr>
        <w:t>s</w:t>
      </w:r>
      <w:r w:rsidRPr="00370274">
        <w:rPr>
          <w:b/>
          <w:noProof/>
          <w:color w:val="023E8A"/>
        </w:rPr>
        <w:t xml:space="preserve"> based on </w:t>
      </w:r>
      <w:r>
        <w:rPr>
          <w:b/>
          <w:noProof/>
          <w:color w:val="023E8A"/>
        </w:rPr>
        <w:t xml:space="preserve">the </w:t>
      </w:r>
      <w:r w:rsidRPr="00370274">
        <w:rPr>
          <w:b/>
          <w:noProof/>
          <w:color w:val="023E8A"/>
        </w:rPr>
        <w:t>gross operating surplus (B.2g) variables</w:t>
      </w:r>
      <w:r>
        <w:rPr>
          <w:b/>
          <w:noProof/>
          <w:color w:val="023E8A"/>
        </w:rPr>
        <w:t xml:space="preserve">, </w:t>
      </w:r>
      <w:r w:rsidRPr="002F5C19">
        <w:rPr>
          <w:b/>
          <w:noProof/>
          <w:color w:val="023E8A"/>
        </w:rPr>
        <w:t>financial and non-financial corporations (sectors S1</w:t>
      </w:r>
      <w:r>
        <w:rPr>
          <w:b/>
          <w:noProof/>
          <w:color w:val="023E8A"/>
        </w:rPr>
        <w:t>2</w:t>
      </w:r>
      <w:r w:rsidRPr="002F5C19">
        <w:rPr>
          <w:b/>
          <w:noProof/>
          <w:color w:val="023E8A"/>
        </w:rPr>
        <w:t xml:space="preserve"> and S1</w:t>
      </w:r>
      <w:r>
        <w:rPr>
          <w:b/>
          <w:noProof/>
          <w:color w:val="023E8A"/>
        </w:rPr>
        <w:t>1</w:t>
      </w:r>
      <w:r w:rsidRPr="002F5C19">
        <w:rPr>
          <w:b/>
          <w:noProof/>
          <w:color w:val="023E8A"/>
        </w:rPr>
        <w:t>)</w:t>
      </w:r>
      <w:r>
        <w:rPr>
          <w:b/>
          <w:noProof/>
          <w:color w:val="023E8A"/>
        </w:rPr>
        <w:t>, in current prices</w:t>
      </w:r>
      <w:r w:rsidRPr="00370274">
        <w:rPr>
          <w:b/>
          <w:noProof/>
        </w:rPr>
        <w:t xml:space="preserve"> </w:t>
      </w:r>
    </w:p>
    <w:p w14:paraId="5CCF3E51" w14:textId="22B83040" w:rsidR="007C0CC0" w:rsidRDefault="0019189C" w:rsidP="0019189C">
      <w:pPr>
        <w:keepNext/>
        <w:rPr>
          <w:i/>
          <w:iCs/>
          <w:noProof/>
        </w:rPr>
      </w:pPr>
      <w:r>
        <w:rPr>
          <w:noProof/>
          <w:lang w:eastAsia="en-GB"/>
        </w:rPr>
        <w:drawing>
          <wp:inline distT="0" distB="0" distL="0" distR="0" wp14:anchorId="7DF58C53" wp14:editId="0997AD60">
            <wp:extent cx="5498333" cy="358950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cstate="print">
                      <a:extLst>
                        <a:ext uri="{28A0092B-C50C-407E-A947-70E740481C1C}">
                          <a14:useLocalDpi xmlns:a14="http://schemas.microsoft.com/office/drawing/2010/main" val="0"/>
                        </a:ext>
                      </a:extLst>
                    </a:blip>
                    <a:srcRect/>
                    <a:stretch/>
                  </pic:blipFill>
                  <pic:spPr bwMode="auto">
                    <a:xfrm>
                      <a:off x="0" y="0"/>
                      <a:ext cx="5526553" cy="3607929"/>
                    </a:xfrm>
                    <a:prstGeom prst="rect">
                      <a:avLst/>
                    </a:prstGeom>
                    <a:ln>
                      <a:noFill/>
                    </a:ln>
                    <a:extLst>
                      <a:ext uri="{53640926-AAD7-44D8-BBD7-CCE9431645EC}">
                        <a14:shadowObscured xmlns:a14="http://schemas.microsoft.com/office/drawing/2010/main"/>
                      </a:ext>
                    </a:extLst>
                  </pic:spPr>
                </pic:pic>
              </a:graphicData>
            </a:graphic>
          </wp:inline>
        </w:drawing>
      </w:r>
    </w:p>
    <w:p w14:paraId="134AD24C" w14:textId="74E55863" w:rsidR="0019189C" w:rsidRDefault="007C0CC0" w:rsidP="0019189C">
      <w:pPr>
        <w:keepNext/>
        <w:rPr>
          <w:i/>
          <w:noProof/>
        </w:rPr>
      </w:pPr>
      <w:r w:rsidRPr="00FF6BC0">
        <w:rPr>
          <w:i/>
          <w:noProof/>
          <w:lang w:eastAsia="en-GB"/>
        </w:rPr>
        <w:drawing>
          <wp:inline distT="0" distB="0" distL="0" distR="0" wp14:anchorId="03098B5A" wp14:editId="7B638AAE">
            <wp:extent cx="5472430" cy="32740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 15.png"/>
                    <pic:cNvPicPr/>
                  </pic:nvPicPr>
                  <pic:blipFill>
                    <a:blip r:embed="rId47">
                      <a:extLst>
                        <a:ext uri="{28A0092B-C50C-407E-A947-70E740481C1C}">
                          <a14:useLocalDpi xmlns:a14="http://schemas.microsoft.com/office/drawing/2010/main" val="0"/>
                        </a:ext>
                      </a:extLst>
                    </a:blip>
                    <a:stretch>
                      <a:fillRect/>
                    </a:stretch>
                  </pic:blipFill>
                  <pic:spPr>
                    <a:xfrm>
                      <a:off x="0" y="0"/>
                      <a:ext cx="5472430" cy="3274060"/>
                    </a:xfrm>
                    <a:prstGeom prst="rect">
                      <a:avLst/>
                    </a:prstGeom>
                  </pic:spPr>
                </pic:pic>
              </a:graphicData>
            </a:graphic>
          </wp:inline>
        </w:drawing>
      </w:r>
      <w:r w:rsidR="0019189C" w:rsidRPr="002F5C19">
        <w:rPr>
          <w:i/>
          <w:iCs/>
          <w:noProof/>
        </w:rPr>
        <w:t xml:space="preserve">Source: </w:t>
      </w:r>
      <w:r w:rsidR="0019189C" w:rsidRPr="00370274">
        <w:rPr>
          <w:i/>
          <w:noProof/>
        </w:rPr>
        <w:t xml:space="preserve">DG BUDG calculations based on Eurostat annual NFSA data table nasa_10_nf_tr, data accessed on </w:t>
      </w:r>
      <w:r w:rsidR="0019189C" w:rsidRPr="007C152B">
        <w:rPr>
          <w:i/>
          <w:noProof/>
        </w:rPr>
        <w:t>29/03/2023</w:t>
      </w:r>
      <w:r w:rsidR="00D96609">
        <w:rPr>
          <w:i/>
          <w:noProof/>
        </w:rPr>
        <w:t>.</w:t>
      </w:r>
    </w:p>
    <w:p w14:paraId="329E0B04" w14:textId="77777777" w:rsidR="007C0CC0" w:rsidRPr="002F5C19" w:rsidRDefault="007C0CC0">
      <w:pPr>
        <w:keepNext/>
        <w:rPr>
          <w:noProof/>
        </w:rPr>
      </w:pPr>
    </w:p>
    <w:p w14:paraId="60EA2E28" w14:textId="130BC5E4" w:rsidR="00466C6A" w:rsidRDefault="00466C6A" w:rsidP="00BA14AC">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2E1"/>
        <w:tblCellMar>
          <w:top w:w="170" w:type="dxa"/>
          <w:left w:w="170" w:type="dxa"/>
          <w:bottom w:w="170" w:type="dxa"/>
          <w:right w:w="170" w:type="dxa"/>
        </w:tblCellMar>
        <w:tblLook w:val="04A0" w:firstRow="1" w:lastRow="0" w:firstColumn="1" w:lastColumn="0" w:noHBand="0" w:noVBand="1"/>
      </w:tblPr>
      <w:tblGrid>
        <w:gridCol w:w="8602"/>
      </w:tblGrid>
      <w:tr w:rsidR="000F1001" w:rsidRPr="002F5C19" w14:paraId="04E75AA3" w14:textId="77777777" w:rsidTr="0D5E584C">
        <w:tc>
          <w:tcPr>
            <w:tcW w:w="8602" w:type="dxa"/>
            <w:shd w:val="clear" w:color="auto" w:fill="E8F2E1" w:themeFill="accent4" w:themeFillTint="33"/>
          </w:tcPr>
          <w:p w14:paraId="5B95FF11" w14:textId="0D5C9657" w:rsidR="000F1001" w:rsidRPr="00F276F5" w:rsidRDefault="00466C6A" w:rsidP="00F276F5">
            <w:pPr>
              <w:shd w:val="clear" w:color="auto" w:fill="E8F2E1" w:themeFill="accent4" w:themeFillTint="33"/>
              <w:jc w:val="left"/>
              <w:rPr>
                <w:rStyle w:val="Strong"/>
                <w:noProof/>
                <w:sz w:val="22"/>
                <w:szCs w:val="22"/>
              </w:rPr>
            </w:pPr>
            <w:r>
              <w:rPr>
                <w:noProof/>
              </w:rPr>
              <w:br w:type="page"/>
            </w:r>
            <w:r w:rsidR="000F1001" w:rsidRPr="0D5E584C">
              <w:rPr>
                <w:rStyle w:val="Strong"/>
                <w:noProof/>
                <w:sz w:val="22"/>
                <w:szCs w:val="22"/>
              </w:rPr>
              <w:t xml:space="preserve">Box </w:t>
            </w:r>
            <w:r w:rsidR="00AF12AB">
              <w:rPr>
                <w:rStyle w:val="Strong"/>
                <w:noProof/>
                <w:sz w:val="22"/>
                <w:szCs w:val="22"/>
              </w:rPr>
              <w:t>5</w:t>
            </w:r>
            <w:r w:rsidR="000F1001" w:rsidRPr="0D5E584C">
              <w:rPr>
                <w:rStyle w:val="Strong"/>
                <w:noProof/>
                <w:sz w:val="22"/>
                <w:szCs w:val="22"/>
              </w:rPr>
              <w:t xml:space="preserve">. Alternative </w:t>
            </w:r>
            <w:r w:rsidR="00B67BE3" w:rsidRPr="0D5E584C">
              <w:rPr>
                <w:rStyle w:val="Strong"/>
                <w:noProof/>
                <w:sz w:val="22"/>
                <w:szCs w:val="22"/>
              </w:rPr>
              <w:t>statistical bases</w:t>
            </w:r>
            <w:r w:rsidR="000F1001" w:rsidRPr="0D5E584C">
              <w:rPr>
                <w:rStyle w:val="Strong"/>
                <w:noProof/>
                <w:sz w:val="22"/>
                <w:szCs w:val="22"/>
              </w:rPr>
              <w:t xml:space="preserve"> considered</w:t>
            </w:r>
          </w:p>
          <w:p w14:paraId="24671023" w14:textId="5A3AA2BB" w:rsidR="000F1001" w:rsidRPr="002F5C19" w:rsidRDefault="000F1001" w:rsidP="004E5285">
            <w:pPr>
              <w:keepNext/>
              <w:rPr>
                <w:noProof/>
                <w:lang w:val="en-IE"/>
              </w:rPr>
            </w:pPr>
            <w:r w:rsidRPr="002F5C19">
              <w:rPr>
                <w:noProof/>
                <w:lang w:val="en-IE"/>
              </w:rPr>
              <w:t xml:space="preserve">In the process of selecting data source to be used as the statistical base for the own resource on company profits, a number of alternatives to </w:t>
            </w:r>
            <w:r w:rsidR="00B67BE3">
              <w:rPr>
                <w:noProof/>
                <w:lang w:val="en-IE"/>
              </w:rPr>
              <w:t xml:space="preserve">gross operating surplus </w:t>
            </w:r>
            <w:r w:rsidRPr="002F5C19">
              <w:rPr>
                <w:noProof/>
                <w:lang w:val="en-IE"/>
              </w:rPr>
              <w:t xml:space="preserve">were considered. </w:t>
            </w:r>
          </w:p>
          <w:p w14:paraId="20E2C3D7" w14:textId="0E5A0322" w:rsidR="000F1001" w:rsidRPr="002F5C19" w:rsidDel="00B44551" w:rsidRDefault="000F1001" w:rsidP="00BA14AC">
            <w:pPr>
              <w:keepNext/>
              <w:numPr>
                <w:ilvl w:val="0"/>
                <w:numId w:val="32"/>
              </w:numPr>
              <w:ind w:left="714" w:hanging="357"/>
              <w:rPr>
                <w:rFonts w:eastAsia="Calibri"/>
                <w:b/>
                <w:noProof/>
                <w:color w:val="023E8A"/>
                <w:lang w:val="en-IE" w:eastAsia="en-GB"/>
              </w:rPr>
            </w:pPr>
            <w:r w:rsidRPr="002F5C19" w:rsidDel="00B44551">
              <w:rPr>
                <w:rFonts w:eastAsia="Calibri"/>
                <w:b/>
                <w:noProof/>
                <w:color w:val="023E8A"/>
                <w:lang w:val="en-IE" w:eastAsia="en-GB"/>
              </w:rPr>
              <w:t>Structural business statistics (SBS)</w:t>
            </w:r>
          </w:p>
          <w:p w14:paraId="367FE0A1" w14:textId="1FACAAAB" w:rsidR="000F1001" w:rsidRPr="002F5C19" w:rsidDel="00B44551" w:rsidRDefault="000F1001" w:rsidP="004E5285">
            <w:pPr>
              <w:keepNext/>
              <w:rPr>
                <w:noProof/>
              </w:rPr>
            </w:pPr>
            <w:r w:rsidRPr="002F5C19" w:rsidDel="00B44551">
              <w:rPr>
                <w:noProof/>
                <w:lang w:val="en-IE"/>
              </w:rPr>
              <w:t>SBS are compiled under the legal basis provided by European Parliament and Council Regulation (EC) No 295/2008</w:t>
            </w:r>
            <w:r w:rsidR="00466C6A" w:rsidRPr="00466C6A">
              <w:rPr>
                <w:rFonts w:cs="Calibri"/>
                <w:noProof/>
                <w:lang w:val="en-IE"/>
              </w:rPr>
              <w:t> </w:t>
            </w:r>
            <w:r w:rsidR="00466C6A" w:rsidRPr="00466C6A">
              <w:rPr>
                <w:noProof/>
                <w:lang w:val="en-IE"/>
              </w:rPr>
              <w:t>(</w:t>
            </w:r>
            <w:r w:rsidR="00466C6A">
              <w:rPr>
                <w:rStyle w:val="FootnoteReference"/>
                <w:noProof/>
                <w:lang w:val="en-IE"/>
              </w:rPr>
              <w:footnoteReference w:id="50"/>
            </w:r>
            <w:r w:rsidR="00466C6A">
              <w:rPr>
                <w:noProof/>
                <w:lang w:val="en-IE"/>
              </w:rPr>
              <w:t>)</w:t>
            </w:r>
            <w:r w:rsidRPr="002F5C19" w:rsidDel="00B44551">
              <w:rPr>
                <w:noProof/>
                <w:lang w:val="en-IE"/>
              </w:rPr>
              <w:t>.</w:t>
            </w:r>
            <w:r w:rsidR="004F22DF" w:rsidRPr="004F22DF">
              <w:rPr>
                <w:rFonts w:cs="Calibri"/>
                <w:noProof/>
                <w:lang w:val="en-IE"/>
              </w:rPr>
              <w:t> </w:t>
            </w:r>
            <w:r w:rsidRPr="002F5C19" w:rsidDel="00B44551">
              <w:rPr>
                <w:noProof/>
              </w:rPr>
              <w:t xml:space="preserve">SBS provides a statistical base with statics on the activities of the business economy and could allow to target large enterprises (&gt;249 employed). SBS covers the </w:t>
            </w:r>
            <w:r w:rsidRPr="002F5C19" w:rsidDel="00B44551">
              <w:rPr>
                <w:i/>
                <w:noProof/>
              </w:rPr>
              <w:t>non-financial business economy</w:t>
            </w:r>
            <w:r w:rsidRPr="002F5C19" w:rsidDel="00B44551">
              <w:rPr>
                <w:noProof/>
              </w:rPr>
              <w:t xml:space="preserve">, including industry, construction, distributive trades, and market services. </w:t>
            </w:r>
            <w:r w:rsidRPr="002F5C19" w:rsidDel="00B44551">
              <w:rPr>
                <w:noProof/>
                <w:lang w:val="en-IE"/>
              </w:rPr>
              <w:t xml:space="preserve">For data collection, Member States are free to choose, within quality limitations, how to produce SBS data. </w:t>
            </w:r>
            <w:r w:rsidRPr="002F5C19" w:rsidDel="00B44551">
              <w:rPr>
                <w:bCs/>
                <w:noProof/>
              </w:rPr>
              <w:t>In some Member States either</w:t>
            </w:r>
            <w:r w:rsidRPr="002F5C19" w:rsidDel="00B44551">
              <w:rPr>
                <w:noProof/>
                <w:lang w:val="en-IE"/>
              </w:rPr>
              <w:t xml:space="preserve"> administrative records or surveys</w:t>
            </w:r>
            <w:r w:rsidRPr="002F5C19" w:rsidDel="00B44551">
              <w:rPr>
                <w:bCs/>
                <w:noProof/>
              </w:rPr>
              <w:t xml:space="preserve"> are used while others rely on both methods</w:t>
            </w:r>
            <w:r w:rsidR="00466C6A" w:rsidRPr="00466C6A">
              <w:rPr>
                <w:rFonts w:cs="Calibri"/>
                <w:bCs/>
                <w:noProof/>
              </w:rPr>
              <w:t> </w:t>
            </w:r>
            <w:r w:rsidR="00466C6A" w:rsidRPr="00466C6A">
              <w:rPr>
                <w:bCs/>
                <w:noProof/>
              </w:rPr>
              <w:t>(</w:t>
            </w:r>
            <w:r w:rsidR="00466C6A">
              <w:rPr>
                <w:rStyle w:val="FootnoteReference"/>
                <w:bCs/>
                <w:noProof/>
              </w:rPr>
              <w:footnoteReference w:id="51"/>
            </w:r>
            <w:r w:rsidR="00466C6A">
              <w:rPr>
                <w:bCs/>
                <w:noProof/>
              </w:rPr>
              <w:t>)</w:t>
            </w:r>
            <w:r w:rsidRPr="002F5C19" w:rsidDel="00B44551">
              <w:rPr>
                <w:bCs/>
                <w:noProof/>
              </w:rPr>
              <w:t>.</w:t>
            </w:r>
          </w:p>
          <w:p w14:paraId="62D94BF0" w14:textId="2F69EAAC" w:rsidR="000F1001" w:rsidRPr="002F5C19" w:rsidDel="00B44551" w:rsidRDefault="000F1001" w:rsidP="004E5285">
            <w:pPr>
              <w:rPr>
                <w:noProof/>
                <w:lang w:val="en-IE"/>
              </w:rPr>
            </w:pPr>
            <w:r w:rsidRPr="002F5C19" w:rsidDel="00B44551">
              <w:rPr>
                <w:noProof/>
                <w:lang w:val="en-IE"/>
              </w:rPr>
              <w:t xml:space="preserve">The definition of profit in SBS is </w:t>
            </w:r>
            <w:r w:rsidRPr="002F5C19" w:rsidDel="00B44551">
              <w:rPr>
                <w:i/>
                <w:iCs/>
                <w:noProof/>
                <w:lang w:val="en-IE"/>
              </w:rPr>
              <w:t>gross operating surplus</w:t>
            </w:r>
            <w:r w:rsidRPr="002F5C19" w:rsidDel="00B44551">
              <w:rPr>
                <w:noProof/>
                <w:lang w:val="en-IE"/>
              </w:rPr>
              <w:t xml:space="preserve"> which includes value added minus personnel costs. </w:t>
            </w:r>
            <w:r w:rsidR="00CD0712">
              <w:rPr>
                <w:noProof/>
                <w:lang w:val="en-IE"/>
              </w:rPr>
              <w:t xml:space="preserve">As financial companies are not included, </w:t>
            </w:r>
            <w:r w:rsidRPr="002F5C19" w:rsidDel="00B44551">
              <w:rPr>
                <w:noProof/>
                <w:lang w:val="en-IE"/>
              </w:rPr>
              <w:t xml:space="preserve">other Eurostat sources such as </w:t>
            </w:r>
            <w:r w:rsidR="00CD0712">
              <w:rPr>
                <w:noProof/>
                <w:lang w:val="en-IE"/>
              </w:rPr>
              <w:t>gross operating surplus (</w:t>
            </w:r>
            <w:r w:rsidRPr="002F5C19">
              <w:rPr>
                <w:noProof/>
                <w:lang w:val="en-IE"/>
              </w:rPr>
              <w:t>B2g</w:t>
            </w:r>
            <w:r w:rsidR="00CD0712">
              <w:rPr>
                <w:noProof/>
                <w:lang w:val="en-IE"/>
              </w:rPr>
              <w:t>)</w:t>
            </w:r>
            <w:r w:rsidRPr="002F5C19">
              <w:rPr>
                <w:noProof/>
                <w:lang w:val="en-IE"/>
              </w:rPr>
              <w:t xml:space="preserve"> </w:t>
            </w:r>
            <w:r w:rsidR="00CD0712">
              <w:rPr>
                <w:noProof/>
                <w:lang w:val="en-IE"/>
              </w:rPr>
              <w:t xml:space="preserve">of sectoral national accounts </w:t>
            </w:r>
            <w:r w:rsidRPr="002F5C19">
              <w:rPr>
                <w:noProof/>
                <w:lang w:val="en-IE"/>
              </w:rPr>
              <w:t xml:space="preserve">seem more appropriate. </w:t>
            </w:r>
          </w:p>
          <w:p w14:paraId="45433305" w14:textId="44E37020" w:rsidR="000F1001" w:rsidRPr="002F5C19" w:rsidRDefault="000F1001" w:rsidP="00BA14AC">
            <w:pPr>
              <w:numPr>
                <w:ilvl w:val="0"/>
                <w:numId w:val="32"/>
              </w:numPr>
              <w:ind w:left="714" w:hanging="357"/>
              <w:rPr>
                <w:rFonts w:eastAsia="Calibri"/>
                <w:b/>
                <w:noProof/>
                <w:color w:val="023E8A"/>
                <w:lang w:val="en-IE" w:eastAsia="en-GB"/>
              </w:rPr>
            </w:pPr>
            <w:r w:rsidRPr="008972AA">
              <w:rPr>
                <w:rFonts w:eastAsia="Calibri"/>
                <w:b/>
                <w:noProof/>
                <w:color w:val="023E8A"/>
                <w:lang w:val="en-IE"/>
              </w:rPr>
              <w:t>OECD Country by Country Report (CbCR)</w:t>
            </w:r>
            <w:r w:rsidR="738D34E3" w:rsidRPr="35D3FCF8">
              <w:rPr>
                <w:rFonts w:eastAsia="Calibri"/>
                <w:b/>
                <w:bCs/>
                <w:noProof/>
                <w:color w:val="023E8A" w:themeColor="accent1"/>
                <w:lang w:val="en-IE" w:eastAsia="en-GB"/>
              </w:rPr>
              <w:t xml:space="preserve"> </w:t>
            </w:r>
            <w:r w:rsidR="463D4DA4" w:rsidRPr="35D3FCF8">
              <w:rPr>
                <w:rFonts w:eastAsia="Calibri"/>
                <w:b/>
                <w:bCs/>
                <w:noProof/>
                <w:color w:val="023E8A" w:themeColor="accent1"/>
                <w:lang w:val="en-IE" w:eastAsia="en-GB"/>
              </w:rPr>
              <w:t>statistics</w:t>
            </w:r>
          </w:p>
          <w:p w14:paraId="3E0911D2" w14:textId="1E6851FE" w:rsidR="000F1001" w:rsidRPr="002F5C19" w:rsidRDefault="000F1001" w:rsidP="004E5285">
            <w:pPr>
              <w:rPr>
                <w:noProof/>
                <w:lang w:val="en-IE"/>
              </w:rPr>
            </w:pPr>
            <w:r w:rsidRPr="002F5C19">
              <w:rPr>
                <w:noProof/>
                <w:lang w:val="en-IE"/>
              </w:rPr>
              <w:t xml:space="preserve">OECD CbCR </w:t>
            </w:r>
            <w:r w:rsidR="2935C25F" w:rsidRPr="35D3FCF8">
              <w:rPr>
                <w:noProof/>
                <w:lang w:val="en-IE"/>
              </w:rPr>
              <w:t xml:space="preserve">statistics </w:t>
            </w:r>
            <w:r w:rsidRPr="002F5C19">
              <w:rPr>
                <w:noProof/>
                <w:lang w:val="en-IE"/>
              </w:rPr>
              <w:t xml:space="preserve">provide a range of </w:t>
            </w:r>
            <w:r w:rsidR="2AFBFD02" w:rsidRPr="35D3FCF8">
              <w:rPr>
                <w:noProof/>
                <w:lang w:val="en-IE"/>
              </w:rPr>
              <w:t xml:space="preserve">aggregate </w:t>
            </w:r>
            <w:r w:rsidRPr="002F5C19">
              <w:rPr>
                <w:noProof/>
                <w:lang w:val="en-IE"/>
              </w:rPr>
              <w:t xml:space="preserve">data on the economic activities of large MNEs (revenue &gt; EUR 750 m). This data includes the profit of MNEs. </w:t>
            </w:r>
          </w:p>
          <w:p w14:paraId="7CFD784E" w14:textId="3546B0CB" w:rsidR="000F1001" w:rsidRPr="002F5C19" w:rsidRDefault="000F1001" w:rsidP="004E5285">
            <w:pPr>
              <w:rPr>
                <w:noProof/>
                <w:lang w:val="en-IE"/>
              </w:rPr>
            </w:pPr>
            <w:r w:rsidRPr="002F5C19">
              <w:rPr>
                <w:noProof/>
                <w:lang w:val="en-IE"/>
              </w:rPr>
              <w:t>However, several issues limit comparability of data across countries. Methodologies and requirements vary in different jurisdictions. In general, tax-exempt entities and MNE groups are included, but some jurisdictions exclude them. There is no consistent approach for treatment of dividends from constituent entities. The checks on figures submitted by MNE groups vary between jurisdictions. Differences in accounting rules between jurisdictions further affect the comparability of CbCR data across jurisdictions. Additionally, due to confidentiality, not all MS are able to provide anonymised and aggregated datasets. These challenges in comparability between jurisdiction would present a serious issue of fairness between Member States.</w:t>
            </w:r>
            <w:r w:rsidR="00576D39">
              <w:rPr>
                <w:noProof/>
                <w:lang w:val="en-IE"/>
              </w:rPr>
              <w:t xml:space="preserve"> Moreover, not all EU Member States are represented.</w:t>
            </w:r>
          </w:p>
          <w:p w14:paraId="22FD526E" w14:textId="77777777" w:rsidR="000F1001" w:rsidRPr="002F5C19" w:rsidRDefault="000F1001" w:rsidP="00BA14AC">
            <w:pPr>
              <w:numPr>
                <w:ilvl w:val="0"/>
                <w:numId w:val="32"/>
              </w:numPr>
              <w:ind w:left="714" w:hanging="357"/>
              <w:rPr>
                <w:rFonts w:eastAsia="Calibri"/>
                <w:b/>
                <w:noProof/>
                <w:color w:val="023E8A"/>
                <w:lang w:val="en-IE" w:eastAsia="en-GB"/>
              </w:rPr>
            </w:pPr>
            <w:r w:rsidRPr="00FF6BC0">
              <w:rPr>
                <w:rFonts w:eastAsia="Calibri"/>
                <w:b/>
                <w:noProof/>
                <w:color w:val="023E8A" w:themeColor="accent1"/>
                <w:lang w:val="en-IE"/>
              </w:rPr>
              <w:t>Entrepreneurial income</w:t>
            </w:r>
            <w:r w:rsidRPr="008972AA">
              <w:rPr>
                <w:rFonts w:eastAsia="Calibri"/>
                <w:b/>
                <w:noProof/>
                <w:color w:val="023E8A"/>
                <w:lang w:val="en-IE"/>
              </w:rPr>
              <w:t xml:space="preserve"> (ESA balancing item B.</w:t>
            </w:r>
            <w:r w:rsidRPr="00FF6BC0">
              <w:rPr>
                <w:rFonts w:eastAsia="Calibri"/>
                <w:b/>
                <w:noProof/>
                <w:color w:val="023E8A" w:themeColor="accent1"/>
                <w:lang w:val="en-IE"/>
              </w:rPr>
              <w:t>4</w:t>
            </w:r>
            <w:r w:rsidRPr="008972AA">
              <w:rPr>
                <w:rFonts w:eastAsia="Calibri"/>
                <w:b/>
                <w:noProof/>
                <w:color w:val="023E8A"/>
                <w:lang w:val="en-IE"/>
              </w:rPr>
              <w:t>g)</w:t>
            </w:r>
          </w:p>
          <w:p w14:paraId="6B5016CE" w14:textId="77777777" w:rsidR="000F1001" w:rsidRDefault="000F1001" w:rsidP="004E5285">
            <w:pPr>
              <w:rPr>
                <w:noProof/>
                <w:lang w:val="en-IE"/>
              </w:rPr>
            </w:pPr>
            <w:r w:rsidRPr="002F5C19">
              <w:rPr>
                <w:noProof/>
                <w:lang w:val="en-IE"/>
              </w:rPr>
              <w:t xml:space="preserve">The balancing item </w:t>
            </w:r>
            <w:r>
              <w:rPr>
                <w:i/>
                <w:iCs/>
                <w:noProof/>
                <w:lang w:val="en-IE"/>
              </w:rPr>
              <w:t>entrepreneurial income</w:t>
            </w:r>
            <w:r w:rsidRPr="002F5C19">
              <w:rPr>
                <w:noProof/>
                <w:lang w:val="en-IE"/>
              </w:rPr>
              <w:t xml:space="preserve"> (B.</w:t>
            </w:r>
            <w:r>
              <w:rPr>
                <w:noProof/>
                <w:lang w:val="en-IE"/>
              </w:rPr>
              <w:t>4</w:t>
            </w:r>
            <w:r w:rsidRPr="002F5C19">
              <w:rPr>
                <w:noProof/>
                <w:lang w:val="en-IE"/>
              </w:rPr>
              <w:t>g) from Eurostat sectorial national accounts was also considered as a possible statistical base.</w:t>
            </w:r>
            <w:r>
              <w:rPr>
                <w:noProof/>
                <w:lang w:val="en-IE"/>
              </w:rPr>
              <w:t xml:space="preserve"> </w:t>
            </w:r>
          </w:p>
          <w:p w14:paraId="7A87DCA9" w14:textId="6EF55912" w:rsidR="000F1001" w:rsidRPr="002F5C19" w:rsidRDefault="000F1001" w:rsidP="004E5285">
            <w:pPr>
              <w:rPr>
                <w:noProof/>
              </w:rPr>
            </w:pPr>
            <w:r w:rsidRPr="0D5E584C">
              <w:rPr>
                <w:b/>
                <w:noProof/>
                <w:color w:val="023E8A" w:themeColor="accent1"/>
              </w:rPr>
              <w:t>Gross entrepreneurial income</w:t>
            </w:r>
            <w:r w:rsidRPr="002F5C19">
              <w:rPr>
                <w:b/>
                <w:bCs/>
                <w:noProof/>
                <w:color w:val="0070C0"/>
              </w:rPr>
              <w:t xml:space="preserve"> </w:t>
            </w:r>
            <w:r w:rsidRPr="002F5C19">
              <w:rPr>
                <w:noProof/>
              </w:rPr>
              <w:t>(</w:t>
            </w:r>
            <w:r w:rsidRPr="002F5C19">
              <w:rPr>
                <w:i/>
                <w:iCs/>
                <w:noProof/>
              </w:rPr>
              <w:t>ESA balancing item B.4g</w:t>
            </w:r>
            <w:r w:rsidRPr="002F5C19">
              <w:rPr>
                <w:noProof/>
              </w:rPr>
              <w:t>) of non-financial (S11) and financial corporations (S12) (both including quasi-corporations)</w:t>
            </w:r>
          </w:p>
          <w:p w14:paraId="4DCD2A16" w14:textId="7061D57E" w:rsidR="000F1001" w:rsidRPr="002F5C19" w:rsidRDefault="000F1001" w:rsidP="00F3236C">
            <w:pPr>
              <w:tabs>
                <w:tab w:val="left" w:pos="851"/>
              </w:tabs>
              <w:rPr>
                <w:noProof/>
              </w:rPr>
            </w:pPr>
            <w:r w:rsidRPr="0D5E584C">
              <w:rPr>
                <w:b/>
                <w:noProof/>
                <w:color w:val="023E8A" w:themeColor="accent1"/>
              </w:rPr>
              <w:t>equals</w:t>
            </w:r>
            <w:r w:rsidRPr="002F5C19">
              <w:rPr>
                <w:i/>
                <w:iCs/>
                <w:noProof/>
              </w:rPr>
              <w:t xml:space="preserve"> </w:t>
            </w:r>
            <w:r w:rsidRPr="002F5C19">
              <w:rPr>
                <w:i/>
                <w:iCs/>
                <w:noProof/>
              </w:rPr>
              <w:tab/>
            </w:r>
            <w:r w:rsidRPr="006E307F">
              <w:rPr>
                <w:i/>
                <w:iCs/>
                <w:noProof/>
                <w:color w:val="0070C0"/>
              </w:rPr>
              <w:t>gross operating surplus</w:t>
            </w:r>
            <w:r w:rsidRPr="002F5C19">
              <w:rPr>
                <w:i/>
                <w:iCs/>
                <w:noProof/>
                <w:color w:val="0070C0"/>
                <w:lang w:val="en-IE"/>
              </w:rPr>
              <w:t xml:space="preserve"> </w:t>
            </w:r>
            <w:r w:rsidRPr="002F5C19">
              <w:rPr>
                <w:i/>
                <w:iCs/>
                <w:noProof/>
                <w:lang w:val="en-IE"/>
              </w:rPr>
              <w:t>(</w:t>
            </w:r>
            <w:r w:rsidRPr="002F5C19">
              <w:rPr>
                <w:i/>
                <w:iCs/>
                <w:noProof/>
              </w:rPr>
              <w:t>ESA balancing item B.2g</w:t>
            </w:r>
            <w:r w:rsidRPr="002F5C19">
              <w:rPr>
                <w:i/>
                <w:iCs/>
                <w:noProof/>
                <w:lang w:val="en-IE"/>
              </w:rPr>
              <w:t>)</w:t>
            </w:r>
          </w:p>
          <w:p w14:paraId="52D47F6F" w14:textId="251416F4" w:rsidR="000F1001" w:rsidRPr="002F5C19" w:rsidRDefault="000F1001" w:rsidP="004E5285">
            <w:pPr>
              <w:tabs>
                <w:tab w:val="left" w:pos="851"/>
              </w:tabs>
              <w:rPr>
                <w:noProof/>
              </w:rPr>
            </w:pPr>
            <w:r w:rsidRPr="002F5C19">
              <w:rPr>
                <w:b/>
                <w:noProof/>
                <w:color w:val="023E8A"/>
              </w:rPr>
              <w:t>plus</w:t>
            </w:r>
            <w:r w:rsidRPr="002F5C19">
              <w:rPr>
                <w:noProof/>
              </w:rPr>
              <w:t xml:space="preserve"> </w:t>
            </w:r>
            <w:r w:rsidR="00E371FD">
              <w:rPr>
                <w:noProof/>
              </w:rPr>
              <w:t xml:space="preserve">    </w:t>
            </w:r>
            <w:r w:rsidRPr="002F5C19">
              <w:rPr>
                <w:noProof/>
              </w:rPr>
              <w:tab/>
            </w:r>
            <w:r w:rsidRPr="006E307F">
              <w:rPr>
                <w:i/>
                <w:iCs/>
                <w:noProof/>
                <w:color w:val="0070C0"/>
              </w:rPr>
              <w:t xml:space="preserve">property income received </w:t>
            </w:r>
            <w:r w:rsidRPr="002F5C19">
              <w:rPr>
                <w:noProof/>
              </w:rPr>
              <w:t>(ESA item D.4)</w:t>
            </w:r>
          </w:p>
          <w:p w14:paraId="3D299F50" w14:textId="77777777" w:rsidR="000F1001" w:rsidRPr="002F5C19" w:rsidRDefault="000F1001" w:rsidP="004E5285">
            <w:pPr>
              <w:ind w:left="851" w:hanging="851"/>
              <w:rPr>
                <w:noProof/>
              </w:rPr>
            </w:pPr>
            <w:r w:rsidRPr="002F5C19">
              <w:rPr>
                <w:b/>
                <w:noProof/>
                <w:color w:val="023E8A"/>
              </w:rPr>
              <w:t>minus</w:t>
            </w:r>
            <w:r w:rsidRPr="002F5C19">
              <w:rPr>
                <w:noProof/>
              </w:rPr>
              <w:t xml:space="preserve"> </w:t>
            </w:r>
            <w:r w:rsidRPr="002F5C19">
              <w:rPr>
                <w:noProof/>
              </w:rPr>
              <w:tab/>
            </w:r>
            <w:r w:rsidRPr="006E307F">
              <w:rPr>
                <w:i/>
                <w:iCs/>
                <w:noProof/>
                <w:color w:val="0070C0"/>
              </w:rPr>
              <w:t>selected property income paid</w:t>
            </w:r>
            <w:r w:rsidRPr="002F5C19">
              <w:rPr>
                <w:noProof/>
                <w:color w:val="0070C0"/>
              </w:rPr>
              <w:t xml:space="preserve"> </w:t>
            </w:r>
            <w:r w:rsidRPr="002F5C19">
              <w:rPr>
                <w:noProof/>
              </w:rPr>
              <w:t>/ interest on debt / rents</w:t>
            </w:r>
            <w:r>
              <w:rPr>
                <w:noProof/>
              </w:rPr>
              <w:t xml:space="preserve"> / </w:t>
            </w:r>
            <w:r w:rsidRPr="002F5C19">
              <w:rPr>
                <w:noProof/>
              </w:rPr>
              <w:t>income on insurance and pension investments, and non-financial assets (selected ESA D.4 items)</w:t>
            </w:r>
          </w:p>
          <w:p w14:paraId="00D19FAD" w14:textId="06DB2DE5" w:rsidR="000F1001" w:rsidRPr="002F5C19" w:rsidRDefault="000F1001" w:rsidP="004E5285">
            <w:pPr>
              <w:rPr>
                <w:noProof/>
                <w:lang w:val="en-IE"/>
              </w:rPr>
            </w:pPr>
            <w:r>
              <w:rPr>
                <w:noProof/>
              </w:rPr>
              <w:t>Although this concept sounds in principle to be closer to a concept of company profits at individual firm level, there are methodological issues when using statistical aggregates for sectors of companies. As the sector data is non-consolidated</w:t>
            </w:r>
            <w:r w:rsidR="00B44551">
              <w:rPr>
                <w:noProof/>
              </w:rPr>
              <w:t xml:space="preserve"> under ESA 2010</w:t>
            </w:r>
            <w:r>
              <w:rPr>
                <w:noProof/>
              </w:rPr>
              <w:t xml:space="preserve">, the amounts of profits distributed </w:t>
            </w:r>
            <w:r w:rsidR="00B44551">
              <w:rPr>
                <w:noProof/>
              </w:rPr>
              <w:t>through</w:t>
            </w:r>
            <w:r>
              <w:rPr>
                <w:noProof/>
              </w:rPr>
              <w:t xml:space="preserve"> dividends to the sector of non-financial or financial corporations within the same Member State are partially counted twice</w:t>
            </w:r>
            <w:r w:rsidR="00B44551">
              <w:rPr>
                <w:noProof/>
              </w:rPr>
              <w:t xml:space="preserve"> in the calculation of entrepreneurial income</w:t>
            </w:r>
            <w:r>
              <w:rPr>
                <w:noProof/>
              </w:rPr>
              <w:t xml:space="preserve">. This might lead to an artificial </w:t>
            </w:r>
            <w:r w:rsidR="00B44551">
              <w:rPr>
                <w:noProof/>
              </w:rPr>
              <w:t xml:space="preserve">overstatement </w:t>
            </w:r>
            <w:r>
              <w:rPr>
                <w:noProof/>
              </w:rPr>
              <w:t>of the own resource base</w:t>
            </w:r>
            <w:r w:rsidRPr="002F5C19">
              <w:rPr>
                <w:noProof/>
                <w:lang w:val="en-IE"/>
              </w:rPr>
              <w:t>.</w:t>
            </w:r>
          </w:p>
        </w:tc>
      </w:tr>
    </w:tbl>
    <w:p w14:paraId="3A8CC7D4" w14:textId="77777777" w:rsidR="00BE3726" w:rsidRPr="009F2E4E" w:rsidRDefault="00BE3726" w:rsidP="004F22DF">
      <w:pPr>
        <w:rPr>
          <w:noProof/>
        </w:rPr>
      </w:pPr>
    </w:p>
    <w:sectPr w:rsidR="00BE3726" w:rsidRPr="009F2E4E" w:rsidSect="008221AE">
      <w:headerReference w:type="even" r:id="rId48"/>
      <w:headerReference w:type="default" r:id="rId49"/>
      <w:footerReference w:type="even" r:id="rId50"/>
      <w:footerReference w:type="default" r:id="rId51"/>
      <w:headerReference w:type="first" r:id="rId52"/>
      <w:footerReference w:type="first" r:id="rId53"/>
      <w:endnotePr>
        <w:numFmt w:val="decimal"/>
      </w:endnotePr>
      <w:pgSz w:w="11906" w:h="16838"/>
      <w:pgMar w:top="1134" w:right="1417" w:bottom="1134" w:left="1417" w:header="709" w:footer="709"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318A" w14:textId="77777777" w:rsidR="00856F69" w:rsidRDefault="00856F69" w:rsidP="00500E0C">
      <w:r>
        <w:separator/>
      </w:r>
    </w:p>
    <w:p w14:paraId="6BAB5678" w14:textId="77777777" w:rsidR="00856F69" w:rsidRDefault="00856F69" w:rsidP="00500E0C"/>
  </w:endnote>
  <w:endnote w:type="continuationSeparator" w:id="0">
    <w:p w14:paraId="3D5D5F57" w14:textId="77777777" w:rsidR="00856F69" w:rsidRDefault="00856F69" w:rsidP="00500E0C">
      <w:r>
        <w:continuationSeparator/>
      </w:r>
    </w:p>
    <w:p w14:paraId="421F7043" w14:textId="77777777" w:rsidR="00856F69" w:rsidRDefault="00856F69" w:rsidP="00500E0C"/>
  </w:endnote>
  <w:endnote w:type="continuationNotice" w:id="1">
    <w:p w14:paraId="06345610" w14:textId="77777777" w:rsidR="00856F69" w:rsidRDefault="00856F69" w:rsidP="00500E0C"/>
    <w:p w14:paraId="20D65664" w14:textId="77777777" w:rsidR="00856F69" w:rsidRDefault="00856F69" w:rsidP="00500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C Square Sans Pro Medium">
    <w:altName w:val="Corbel"/>
    <w:charset w:val="00"/>
    <w:family w:val="swiss"/>
    <w:pitch w:val="variable"/>
    <w:sig w:usb0="00000001"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C Square Sans Pro">
    <w:altName w:val="Bahnschrift Light"/>
    <w:charset w:val="00"/>
    <w:family w:val="swiss"/>
    <w:pitch w:val="variable"/>
    <w:sig w:usb0="00000001" w:usb1="00000001" w:usb2="00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0E9D" w14:textId="50A8FD79" w:rsidR="000F0591" w:rsidRPr="00451640" w:rsidRDefault="000F0591" w:rsidP="00451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6457" w14:textId="5627EAF6" w:rsidR="000F0591" w:rsidRPr="00451640" w:rsidRDefault="00451640" w:rsidP="00451640">
    <w:pPr>
      <w:pStyle w:val="FooterCoverPage"/>
      <w:rPr>
        <w:rFonts w:ascii="Arial" w:hAnsi="Arial" w:cs="Arial"/>
        <w:b/>
        <w:sz w:val="48"/>
      </w:rPr>
    </w:pPr>
    <w:r w:rsidRPr="00451640">
      <w:rPr>
        <w:rFonts w:ascii="Arial" w:hAnsi="Arial" w:cs="Arial"/>
        <w:b/>
        <w:sz w:val="48"/>
      </w:rPr>
      <w:t>EN</w:t>
    </w:r>
    <w:r w:rsidRPr="00451640">
      <w:rPr>
        <w:rFonts w:ascii="Arial" w:hAnsi="Arial" w:cs="Arial"/>
        <w:b/>
        <w:sz w:val="48"/>
      </w:rPr>
      <w:tab/>
    </w:r>
    <w:r w:rsidRPr="00451640">
      <w:rPr>
        <w:rFonts w:ascii="Arial" w:hAnsi="Arial" w:cs="Arial"/>
        <w:b/>
        <w:sz w:val="48"/>
      </w:rPr>
      <w:tab/>
    </w:r>
    <w:r w:rsidRPr="00451640">
      <w:tab/>
    </w:r>
    <w:r w:rsidRPr="0045164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E7C2" w14:textId="77777777" w:rsidR="00451640" w:rsidRPr="00451640" w:rsidRDefault="00451640" w:rsidP="0045164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674A" w14:textId="13FF8AC8" w:rsidR="00856F69" w:rsidRPr="00DD47E0" w:rsidRDefault="00856F69" w:rsidP="00DD47E0">
    <w:pPr>
      <w:pStyle w:val="FooterCoverPage"/>
      <w:rPr>
        <w:rFonts w:ascii="Arial" w:hAnsi="Arial" w:cs="Arial"/>
        <w:b/>
        <w:sz w:val="48"/>
      </w:rPr>
    </w:pPr>
    <w:r w:rsidRPr="00DD47E0">
      <w:rPr>
        <w:rFonts w:ascii="Arial" w:hAnsi="Arial" w:cs="Arial"/>
        <w:b/>
        <w:sz w:val="48"/>
      </w:rPr>
      <w:t>EN</w:t>
    </w:r>
    <w:r w:rsidRPr="00DD47E0">
      <w:rPr>
        <w:rFonts w:ascii="Arial" w:hAnsi="Arial" w:cs="Arial"/>
        <w:b/>
        <w:sz w:val="48"/>
      </w:rPr>
      <w:tab/>
    </w:r>
    <w:r w:rsidRPr="00DD47E0">
      <w:rPr>
        <w:rFonts w:ascii="Arial" w:hAnsi="Arial" w:cs="Arial"/>
        <w:b/>
        <w:sz w:val="48"/>
      </w:rPr>
      <w:tab/>
    </w:r>
    <w:r w:rsidRPr="00DD47E0">
      <w:tab/>
    </w:r>
    <w:r w:rsidRPr="00DD47E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148632"/>
      <w:docPartObj>
        <w:docPartGallery w:val="Page Numbers (Bottom of Page)"/>
        <w:docPartUnique/>
      </w:docPartObj>
    </w:sdtPr>
    <w:sdtEndPr>
      <w:rPr>
        <w:noProof/>
      </w:rPr>
    </w:sdtEndPr>
    <w:sdtContent>
      <w:p w14:paraId="6C611532" w14:textId="705FD15A" w:rsidR="00856F69" w:rsidRDefault="00856F69" w:rsidP="008221AE">
        <w:pPr>
          <w:pStyle w:val="Footer"/>
          <w:jc w:val="center"/>
        </w:pPr>
        <w:r>
          <w:fldChar w:fldCharType="begin"/>
        </w:r>
        <w:r>
          <w:instrText xml:space="preserve"> PAGE   \* MERGEFORMAT </w:instrText>
        </w:r>
        <w:r>
          <w:fldChar w:fldCharType="separate"/>
        </w:r>
        <w:r w:rsidR="00451640">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79928"/>
      <w:docPartObj>
        <w:docPartGallery w:val="Page Numbers (Bottom of Page)"/>
        <w:docPartUnique/>
      </w:docPartObj>
    </w:sdtPr>
    <w:sdtEndPr>
      <w:rPr>
        <w:noProof/>
      </w:rPr>
    </w:sdtEndPr>
    <w:sdtContent>
      <w:p w14:paraId="33268289" w14:textId="5ABC16E0" w:rsidR="00856F69" w:rsidRDefault="00856F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28723" w14:textId="77777777" w:rsidR="00856F69" w:rsidRDefault="00856F69" w:rsidP="00500E0C">
      <w:r>
        <w:separator/>
      </w:r>
    </w:p>
    <w:p w14:paraId="4F9715D7" w14:textId="77777777" w:rsidR="00856F69" w:rsidRDefault="00856F69" w:rsidP="00500E0C"/>
  </w:footnote>
  <w:footnote w:type="continuationSeparator" w:id="0">
    <w:p w14:paraId="615B9B5F" w14:textId="77777777" w:rsidR="00856F69" w:rsidRDefault="00856F69" w:rsidP="00500E0C">
      <w:r>
        <w:continuationSeparator/>
      </w:r>
    </w:p>
    <w:p w14:paraId="1264886C" w14:textId="77777777" w:rsidR="00856F69" w:rsidRDefault="00856F69" w:rsidP="00500E0C"/>
  </w:footnote>
  <w:footnote w:type="continuationNotice" w:id="1">
    <w:p w14:paraId="5E5B275E" w14:textId="77777777" w:rsidR="00856F69" w:rsidRDefault="00856F69" w:rsidP="00500E0C"/>
    <w:p w14:paraId="6A022540" w14:textId="77777777" w:rsidR="00856F69" w:rsidRDefault="00856F69" w:rsidP="00500E0C"/>
  </w:footnote>
  <w:footnote w:id="2">
    <w:p w14:paraId="01055451" w14:textId="44E8C484" w:rsidR="00856F69" w:rsidRPr="00990368" w:rsidRDefault="00856F69" w:rsidP="00990368">
      <w:pPr>
        <w:pStyle w:val="FootnoteText"/>
      </w:pPr>
      <w:r w:rsidRPr="00990368">
        <w:t>(</w:t>
      </w:r>
      <w:r w:rsidRPr="00F512AF">
        <w:rPr>
          <w:rStyle w:val="FootnoteReference"/>
        </w:rPr>
        <w:footnoteRef/>
      </w:r>
      <w:r w:rsidRPr="00990368">
        <w:t xml:space="preserve">) </w:t>
      </w:r>
      <w:r w:rsidRPr="00990368">
        <w:tab/>
        <w:t>Proposal for a Council Decision on the system of own resources of the European Union (COM(2011) 510 final) suggest</w:t>
      </w:r>
      <w:r>
        <w:t xml:space="preserve">s </w:t>
      </w:r>
      <w:r w:rsidRPr="00990368">
        <w:t>the introduction of a Financial Transaction Tax and a new Value Added Tax based Own Resource. As a result, a High</w:t>
      </w:r>
      <w:r>
        <w:t>-</w:t>
      </w:r>
      <w:r w:rsidRPr="00990368">
        <w:t>Level Group chaired by Mario Monti was mandated to identify possible new own resources.</w:t>
      </w:r>
    </w:p>
  </w:footnote>
  <w:footnote w:id="3">
    <w:p w14:paraId="44806983" w14:textId="77777777" w:rsidR="00856F69" w:rsidRPr="00242B75" w:rsidRDefault="00856F69" w:rsidP="00990368">
      <w:pPr>
        <w:pStyle w:val="FootnoteText"/>
        <w:rPr>
          <w:lang w:val="en-IE"/>
        </w:rPr>
      </w:pPr>
      <w:r>
        <w:t>(</w:t>
      </w:r>
      <w:r>
        <w:rPr>
          <w:rStyle w:val="FootnoteReference"/>
        </w:rPr>
        <w:footnoteRef/>
      </w:r>
      <w:r>
        <w:t>)</w:t>
      </w:r>
      <w:r>
        <w:tab/>
      </w:r>
      <w:r w:rsidRPr="00242B75">
        <w:t>In December 2020, the Council established the European Union Recovery Instrument (</w:t>
      </w:r>
      <w:r w:rsidRPr="009617F2">
        <w:rPr>
          <w:i/>
          <w:iCs/>
        </w:rPr>
        <w:t>NextGenerationEU</w:t>
      </w:r>
      <w:r w:rsidRPr="00242B75">
        <w:t>) to help the EU tackle the crisis caused by the COVID-19 pandemic. It is put in place for a temporary period to be used exclusively for crisis response and recovery measures.</w:t>
      </w:r>
    </w:p>
  </w:footnote>
  <w:footnote w:id="4">
    <w:p w14:paraId="0BB07EC8" w14:textId="77777777" w:rsidR="00856F69" w:rsidRPr="00674DF1" w:rsidRDefault="00856F69" w:rsidP="00EC5C70">
      <w:pPr>
        <w:pStyle w:val="FootnoteText"/>
        <w:rPr>
          <w:lang w:val="en-IE"/>
        </w:rPr>
      </w:pPr>
      <w:r>
        <w:t>(</w:t>
      </w:r>
      <w:r>
        <w:rPr>
          <w:rStyle w:val="FootnoteReference"/>
        </w:rPr>
        <w:footnoteRef/>
      </w:r>
      <w:r>
        <w:t xml:space="preserve">) </w:t>
      </w:r>
      <w:r w:rsidRPr="00CA2616">
        <w:tab/>
      </w:r>
      <w:r w:rsidRPr="00674DF1">
        <w:t>Council Decision (EU, Euratom) 2020/2053 of 14 December 2020 on the system of own resources of the European Union and repealing Decision 2014/335/EU, Euratom.</w:t>
      </w:r>
    </w:p>
  </w:footnote>
  <w:footnote w:id="5">
    <w:p w14:paraId="36B42B64" w14:textId="147AB134" w:rsidR="00856F69" w:rsidRPr="00277B0F" w:rsidRDefault="00856F69" w:rsidP="00990368">
      <w:pPr>
        <w:pStyle w:val="FootnoteText"/>
      </w:pPr>
      <w:r>
        <w:t>(</w:t>
      </w:r>
      <w:r>
        <w:rPr>
          <w:rStyle w:val="FootnoteReference"/>
        </w:rPr>
        <w:footnoteRef/>
      </w:r>
      <w:r>
        <w:t xml:space="preserve">) </w:t>
      </w:r>
      <w:r>
        <w:tab/>
        <w:t xml:space="preserve">The reference year is 2016. It is applied throughout the Multiannual Financial Framework </w:t>
      </w:r>
      <w:r w:rsidR="00F835D4">
        <w:t>2021</w:t>
      </w:r>
      <w:r>
        <w:t>-2027. The weighted average rate is determined by allocating all taxable transactions to the appropriate rate of value added tax using data from national accounts and other sources. Before the reform, the weighted average rate had to be calculated annually.</w:t>
      </w:r>
    </w:p>
  </w:footnote>
  <w:footnote w:id="6">
    <w:p w14:paraId="34C145FA" w14:textId="77777777" w:rsidR="00856F69" w:rsidRPr="00277B0F" w:rsidRDefault="00856F69" w:rsidP="00EB7CDA">
      <w:pPr>
        <w:pStyle w:val="FootnoteText"/>
      </w:pPr>
      <w:r>
        <w:t>(</w:t>
      </w:r>
      <w:r>
        <w:rPr>
          <w:rStyle w:val="FootnoteReference"/>
        </w:rPr>
        <w:footnoteRef/>
      </w:r>
      <w:r>
        <w:t xml:space="preserve">) </w:t>
      </w:r>
      <w:r>
        <w:tab/>
        <w:t>Commission Staff Working Document: Financing the EU budget: report on the operation of the own resources system, SWD(2018) 172 final, accompanying the document “Proposal for a Council Decision on the system of Own Resources of the European Union”, COM(2018) 325 final. 2 May 2018.</w:t>
      </w:r>
    </w:p>
  </w:footnote>
  <w:footnote w:id="7">
    <w:p w14:paraId="437FE121" w14:textId="23B31456" w:rsidR="00856F69" w:rsidRPr="00277B0F" w:rsidRDefault="00856F69" w:rsidP="00A158C7">
      <w:pPr>
        <w:pStyle w:val="FootnoteText"/>
      </w:pPr>
      <w:r>
        <w:t>(</w:t>
      </w:r>
      <w:r>
        <w:rPr>
          <w:rStyle w:val="FootnoteReference"/>
        </w:rPr>
        <w:footnoteRef/>
      </w:r>
      <w:r>
        <w:t xml:space="preserve">) </w:t>
      </w:r>
      <w:r>
        <w:tab/>
      </w:r>
      <w:r w:rsidRPr="00DF1F1D">
        <w:t>In the short run, this has a limited impact, although changes in the scope of application of reduced VAT rates could have a larger impact in the longer run.</w:t>
      </w:r>
    </w:p>
  </w:footnote>
  <w:footnote w:id="8">
    <w:p w14:paraId="1EAACC84" w14:textId="5219F429" w:rsidR="00856F69" w:rsidRPr="001C4770" w:rsidRDefault="00856F69" w:rsidP="00990368">
      <w:pPr>
        <w:pStyle w:val="FootnoteText"/>
      </w:pPr>
      <w:r>
        <w:t>(</w:t>
      </w:r>
      <w:r>
        <w:rPr>
          <w:rStyle w:val="FootnoteReference"/>
        </w:rPr>
        <w:footnoteRef/>
      </w:r>
      <w:r>
        <w:t xml:space="preserve">) </w:t>
      </w:r>
      <w:r>
        <w:tab/>
      </w:r>
      <w:r w:rsidRPr="001C4770">
        <w:t xml:space="preserve">The July 2020 European Council agreed to introduce a correction mechanism mitigating the financial impact on the lower-income Member States. </w:t>
      </w:r>
      <w:r>
        <w:t>T</w:t>
      </w:r>
      <w:r w:rsidRPr="001C4770">
        <w:t xml:space="preserve">o </w:t>
      </w:r>
      <w:r>
        <w:t>sharpen</w:t>
      </w:r>
      <w:r w:rsidRPr="001C4770">
        <w:t xml:space="preserve"> incentive</w:t>
      </w:r>
      <w:r>
        <w:t>s</w:t>
      </w:r>
      <w:r w:rsidRPr="001C4770">
        <w:t xml:space="preserve"> </w:t>
      </w:r>
      <w:r>
        <w:t>to reduce non-recycled waste</w:t>
      </w:r>
      <w:r w:rsidRPr="001C4770">
        <w:t>, the correction takes the form of a lump sum, proportional to the quantity of non-recycled plastic packaging waste per capita in each country in 2017.</w:t>
      </w:r>
    </w:p>
  </w:footnote>
  <w:footnote w:id="9">
    <w:p w14:paraId="1974A6A4" w14:textId="77777777" w:rsidR="00856F69" w:rsidRPr="001C4770" w:rsidRDefault="00856F69" w:rsidP="00990368">
      <w:pPr>
        <w:pStyle w:val="FootnoteText"/>
      </w:pPr>
      <w:r>
        <w:t>(</w:t>
      </w:r>
      <w:r>
        <w:rPr>
          <w:rStyle w:val="FootnoteReference"/>
        </w:rPr>
        <w:footnoteRef/>
      </w:r>
      <w:r>
        <w:t xml:space="preserve">) </w:t>
      </w:r>
      <w:r>
        <w:tab/>
      </w:r>
      <w:r w:rsidRPr="001C4770">
        <w:t>European Parliament and Council Directive 94/62/EC of 20 December 1994 on packaging and packaging waste</w:t>
      </w:r>
      <w:r>
        <w:t xml:space="preserve"> (Official Journal L 365</w:t>
      </w:r>
      <w:r w:rsidRPr="00E037E9">
        <w:t>, 31/12/1994</w:t>
      </w:r>
      <w:r>
        <w:t>,</w:t>
      </w:r>
      <w:r w:rsidRPr="00E037E9">
        <w:t xml:space="preserve"> P. 0010 - 0023</w:t>
      </w:r>
      <w:r>
        <w:t>)</w:t>
      </w:r>
      <w:r w:rsidRPr="001C4770">
        <w:t>.</w:t>
      </w:r>
    </w:p>
  </w:footnote>
  <w:footnote w:id="10">
    <w:p w14:paraId="00006781" w14:textId="77777777" w:rsidR="00856F69" w:rsidRPr="004A4046" w:rsidRDefault="00856F69" w:rsidP="00F65EB9">
      <w:pPr>
        <w:pStyle w:val="FootnoteText"/>
        <w:rPr>
          <w:lang w:val="en-IE"/>
        </w:rPr>
      </w:pPr>
      <w:r>
        <w:t>(</w:t>
      </w:r>
      <w:r>
        <w:rPr>
          <w:rStyle w:val="FootnoteReference"/>
        </w:rPr>
        <w:footnoteRef/>
      </w:r>
      <w:r>
        <w:t>)</w:t>
      </w:r>
      <w:r>
        <w:tab/>
      </w:r>
      <w:r w:rsidRPr="00E33D28">
        <w:t>ETIAS is a pre-travel authorisation system for visa exempt third country nationals and will enter into operation in November 2023. Its key function is to verify if such third country nationals meet entry requirements before travelling to the Schengen area. Revenues from fees applied under ETIAS are revenues to the EU budget (Title 6).</w:t>
      </w:r>
    </w:p>
  </w:footnote>
  <w:footnote w:id="11">
    <w:p w14:paraId="2A8F6EEB" w14:textId="231E3ED6" w:rsidR="00856F69" w:rsidRPr="004A4046" w:rsidRDefault="00856F69" w:rsidP="00F65EB9">
      <w:pPr>
        <w:pStyle w:val="FootnoteText"/>
        <w:rPr>
          <w:lang w:val="en-IE"/>
        </w:rPr>
      </w:pPr>
      <w:r>
        <w:t>(</w:t>
      </w:r>
      <w:r>
        <w:rPr>
          <w:rStyle w:val="FootnoteReference"/>
        </w:rPr>
        <w:footnoteRef/>
      </w:r>
      <w:r>
        <w:t>)</w:t>
      </w:r>
      <w:r>
        <w:tab/>
      </w:r>
      <w:r w:rsidRPr="00E33D28">
        <w:t xml:space="preserve">The </w:t>
      </w:r>
      <w:r>
        <w:t>R</w:t>
      </w:r>
      <w:r w:rsidRPr="00E33D28">
        <w:t>egulation proposes stronger requirements for passenger cars and light duty vehicles and includes an excess emissions premium for manufacturers whose fleets of newly registered vehicle</w:t>
      </w:r>
      <w:r>
        <w:t>s</w:t>
      </w:r>
      <w:r w:rsidRPr="00E33D28">
        <w:t xml:space="preserve"> exceed a specific emission target.</w:t>
      </w:r>
      <w:r>
        <w:t xml:space="preserve"> </w:t>
      </w:r>
      <w:r w:rsidRPr="00E33D28">
        <w:t>For the year 2019 and 2020, automotive manufacturers were required to pay excess emission premiums of around EUR 13.6 m and EUR 510 m respectively (included in Title 4).</w:t>
      </w:r>
    </w:p>
  </w:footnote>
  <w:footnote w:id="12">
    <w:p w14:paraId="5B9F09E8" w14:textId="77777777" w:rsidR="00856F69" w:rsidRPr="004A4046" w:rsidRDefault="00856F69" w:rsidP="00F65EB9">
      <w:pPr>
        <w:pStyle w:val="FootnoteText"/>
        <w:rPr>
          <w:lang w:val="en-IE"/>
        </w:rPr>
      </w:pPr>
      <w:r>
        <w:t>(</w:t>
      </w:r>
      <w:r>
        <w:rPr>
          <w:rStyle w:val="FootnoteReference"/>
        </w:rPr>
        <w:footnoteRef/>
      </w:r>
      <w:r>
        <w:t>)</w:t>
      </w:r>
      <w:r>
        <w:tab/>
      </w:r>
      <w:r w:rsidRPr="00E33D28">
        <w:t>In 2019, the legislation setting CO2 emission standards for HDV was adopted. It includes an excess emissions premium for fleets of newly registered vehicle exceeding a specific emission target as of 2025. The revenues will be assigned to the EU budget as other revenues. A revision of the legislation is currently in preparation.</w:t>
      </w:r>
    </w:p>
  </w:footnote>
  <w:footnote w:id="13">
    <w:p w14:paraId="3CB3F8A4" w14:textId="6FEB8516" w:rsidR="00856F69" w:rsidRPr="00BD2481" w:rsidRDefault="00856F69" w:rsidP="001F5F49">
      <w:pPr>
        <w:pStyle w:val="FootnoteText"/>
      </w:pPr>
      <w:r w:rsidRPr="00FF5D40">
        <w:t>(</w:t>
      </w:r>
      <w:r w:rsidRPr="00FF5D40">
        <w:rPr>
          <w:rStyle w:val="FootnoteReference"/>
        </w:rPr>
        <w:footnoteRef/>
      </w:r>
      <w:r w:rsidRPr="00FF5D40">
        <w:t xml:space="preserve">) </w:t>
      </w:r>
      <w:r>
        <w:t xml:space="preserve"> </w:t>
      </w:r>
      <w:r w:rsidRPr="00FF5D40">
        <w:t xml:space="preserve">European Court of Auditors, </w:t>
      </w:r>
      <w:r w:rsidRPr="00BD2481">
        <w:t xml:space="preserve">Opinion No 5/2018 on the Proposal for a Council Decision on the system of own resources of the European Union (COM(2018) 325 final) and related implementing acts; and Commission Staff Working Document, 'Financing the EU budget: report on the operation of the </w:t>
      </w:r>
      <w:r>
        <w:t>own resources system</w:t>
      </w:r>
      <w:r w:rsidRPr="00BD2481">
        <w:t>', Commission Staff Working Document No SWD(2018) 172 final of 2.05.2018, accompanying the Proposal for a Council Decision on the system of Own Resources of the European Union, No COM(2018) 325 final.</w:t>
      </w:r>
    </w:p>
  </w:footnote>
  <w:footnote w:id="14">
    <w:p w14:paraId="62D6A8A0" w14:textId="77777777" w:rsidR="00856F69" w:rsidRPr="009C0D2B" w:rsidRDefault="00856F69" w:rsidP="009C0D2B">
      <w:pPr>
        <w:pStyle w:val="FootnoteText"/>
        <w:rPr>
          <w:lang w:val="en-IE"/>
        </w:rPr>
      </w:pPr>
      <w:r w:rsidRPr="009C0D2B">
        <w:rPr>
          <w:lang w:val="en-IE"/>
        </w:rPr>
        <w:t>(</w:t>
      </w:r>
      <w:r>
        <w:rPr>
          <w:rStyle w:val="FootnoteReference"/>
        </w:rPr>
        <w:footnoteRef/>
      </w:r>
      <w:r w:rsidRPr="009C0D2B">
        <w:rPr>
          <w:lang w:val="en-IE"/>
        </w:rPr>
        <w:t>)</w:t>
      </w:r>
      <w:r w:rsidRPr="009C0D2B">
        <w:rPr>
          <w:lang w:val="en-IE"/>
        </w:rPr>
        <w:tab/>
        <w:t>See Part 1, section 1.2.</w:t>
      </w:r>
    </w:p>
  </w:footnote>
  <w:footnote w:id="15">
    <w:p w14:paraId="768E3B0C" w14:textId="77777777" w:rsidR="00856F69" w:rsidRPr="00B77255" w:rsidRDefault="00856F69" w:rsidP="009F5447">
      <w:pPr>
        <w:pStyle w:val="FootnoteText"/>
        <w:rPr>
          <w:b/>
          <w:bCs/>
          <w:lang w:val="en-IE"/>
        </w:rPr>
      </w:pPr>
      <w:r w:rsidRPr="00B77255">
        <w:t>(</w:t>
      </w:r>
      <w:r w:rsidRPr="00B77255">
        <w:rPr>
          <w:rStyle w:val="FootnoteReference"/>
        </w:rPr>
        <w:footnoteRef/>
      </w:r>
      <w:r w:rsidRPr="00B77255">
        <w:t xml:space="preserve">) </w:t>
      </w:r>
      <w:r w:rsidRPr="00B77255">
        <w:rPr>
          <w:lang w:val="en-IE"/>
        </w:rPr>
        <w:t xml:space="preserve">Smith, S., 2015, </w:t>
      </w:r>
      <w:hyperlink r:id="rId1" w:tgtFrame="_blank" w:history="1">
        <w:r w:rsidRPr="00B77255">
          <w:rPr>
            <w:rStyle w:val="Hyperlink"/>
            <w:lang w:val="en-IE"/>
          </w:rPr>
          <w:t>Taxation: A Very Short Introduction</w:t>
        </w:r>
      </w:hyperlink>
      <w:r w:rsidRPr="00B77255">
        <w:rPr>
          <w:lang w:val="en-IE"/>
        </w:rPr>
        <w:t>, Oxford University Press.</w:t>
      </w:r>
      <w:r w:rsidRPr="00B77255">
        <w:rPr>
          <w:rFonts w:ascii="Calibri" w:hAnsi="Calibri" w:cs="Calibri"/>
          <w:lang w:val="en-IE"/>
        </w:rPr>
        <w:t> </w:t>
      </w:r>
      <w:hyperlink r:id="rId2" w:history="1">
        <w:r w:rsidRPr="00B77255">
          <w:rPr>
            <w:rStyle w:val="Hyperlink"/>
          </w:rPr>
          <w:t>Law Journal Library - HeinOnline.org</w:t>
        </w:r>
      </w:hyperlink>
      <w:r w:rsidRPr="00B77255">
        <w:rPr>
          <w:rStyle w:val="Hyperlink"/>
        </w:rPr>
        <w:t>.</w:t>
      </w:r>
    </w:p>
  </w:footnote>
  <w:footnote w:id="16">
    <w:p w14:paraId="497C33D8" w14:textId="77777777" w:rsidR="00856F69" w:rsidRPr="00B77255" w:rsidRDefault="00856F69" w:rsidP="009F5447">
      <w:pPr>
        <w:pStyle w:val="FootnoteText"/>
        <w:rPr>
          <w:lang w:val="en-IE"/>
        </w:rPr>
      </w:pPr>
      <w:r w:rsidRPr="00B77255">
        <w:t>(</w:t>
      </w:r>
      <w:r w:rsidRPr="00B77255">
        <w:rPr>
          <w:rStyle w:val="FootnoteReference"/>
        </w:rPr>
        <w:footnoteRef/>
      </w:r>
      <w:r w:rsidRPr="00B77255">
        <w:t>)</w:t>
      </w:r>
      <w:r>
        <w:t xml:space="preserve"> </w:t>
      </w:r>
      <w:r w:rsidRPr="00B77255">
        <w:t xml:space="preserve">See for instance De Mooij, R. and M. Keen, 2014, </w:t>
      </w:r>
      <w:hyperlink r:id="rId3" w:tgtFrame="_blank" w:history="1">
        <w:r w:rsidRPr="00B77255">
          <w:rPr>
            <w:rStyle w:val="Hyperlink"/>
          </w:rPr>
          <w:t>“Taxing Principles”</w:t>
        </w:r>
      </w:hyperlink>
      <w:r w:rsidRPr="00B77255">
        <w:t xml:space="preserve">, IMF Back to Basics, Finance and Development, Vol. 51, No.4.; </w:t>
      </w:r>
      <w:r w:rsidRPr="00B77255">
        <w:rPr>
          <w:lang w:val="en-IE"/>
        </w:rPr>
        <w:t xml:space="preserve">Stiglitz, J. E., 2015, </w:t>
      </w:r>
      <w:hyperlink r:id="rId4" w:tgtFrame="_blank" w:history="1">
        <w:r w:rsidRPr="00B77255">
          <w:rPr>
            <w:rStyle w:val="Hyperlink"/>
            <w:lang w:val="en-IE"/>
          </w:rPr>
          <w:t>Economics of the Public Sector</w:t>
        </w:r>
      </w:hyperlink>
      <w:r w:rsidRPr="00B77255">
        <w:rPr>
          <w:lang w:val="en-IE"/>
        </w:rPr>
        <w:t xml:space="preserve">, W.W. Norton &amp; Company, Fourth Edition, Chapter 17; </w:t>
      </w:r>
      <w:r w:rsidRPr="00B77255">
        <w:t xml:space="preserve">Keen, M., and others, 2015, </w:t>
      </w:r>
      <w:hyperlink r:id="rId5" w:tgtFrame="_blank" w:history="1">
        <w:r w:rsidRPr="00B77255">
          <w:rPr>
            <w:rStyle w:val="Hyperlink"/>
          </w:rPr>
          <w:t>“Current Challenges in Revenue Mobilization - Improving Tax Compliance”</w:t>
        </w:r>
      </w:hyperlink>
      <w:r w:rsidRPr="00B77255">
        <w:t>, IMF Policy Paper</w:t>
      </w:r>
      <w:r>
        <w:t>;</w:t>
      </w:r>
      <w:r w:rsidRPr="00B77255">
        <w:rPr>
          <w:lang w:val="en-IE"/>
        </w:rPr>
        <w:t xml:space="preserve"> </w:t>
      </w:r>
      <w:r w:rsidRPr="00B77255">
        <w:rPr>
          <w:rFonts w:ascii="Calibri" w:hAnsi="Calibri" w:cs="Calibri"/>
          <w:lang w:val="en-IE"/>
        </w:rPr>
        <w:t> </w:t>
      </w:r>
      <w:r w:rsidRPr="00B77255">
        <w:rPr>
          <w:lang w:val="en-IE"/>
        </w:rPr>
        <w:t xml:space="preserve">Grote, Martin, </w:t>
      </w:r>
      <w:hyperlink r:id="rId6" w:tgtFrame="_blank" w:history="1">
        <w:r w:rsidRPr="00B77255">
          <w:rPr>
            <w:rStyle w:val="Hyperlink"/>
            <w:lang w:val="en-IE"/>
          </w:rPr>
          <w:t>"Establishing a Tax Policy Unit"</w:t>
        </w:r>
      </w:hyperlink>
      <w:r w:rsidRPr="00B77255">
        <w:rPr>
          <w:lang w:val="en-IE"/>
        </w:rPr>
        <w:t>, IMF How-to-Notes,</w:t>
      </w:r>
      <w:r w:rsidRPr="00B77255">
        <w:rPr>
          <w:rFonts w:ascii="Calibri" w:hAnsi="Calibri" w:cs="Calibri"/>
          <w:lang w:val="en-IE"/>
        </w:rPr>
        <w:t> </w:t>
      </w:r>
      <w:r w:rsidRPr="00B77255">
        <w:rPr>
          <w:lang w:val="en-IE"/>
        </w:rPr>
        <w:t xml:space="preserve">October 2017 </w:t>
      </w:r>
      <w:r w:rsidRPr="00B77255">
        <w:t xml:space="preserve">or </w:t>
      </w:r>
      <w:hyperlink r:id="rId7" w:history="1">
        <w:r w:rsidRPr="00B77255">
          <w:rPr>
            <w:rStyle w:val="Hyperlink"/>
          </w:rPr>
          <w:t>The qualities of a good tax</w:t>
        </w:r>
      </w:hyperlink>
      <w:r w:rsidRPr="00B77255">
        <w:rPr>
          <w:rStyle w:val="Hyperlink"/>
        </w:rPr>
        <w:t>.</w:t>
      </w:r>
      <w:r w:rsidRPr="00B77255">
        <w:t xml:space="preserve"> </w:t>
      </w:r>
    </w:p>
  </w:footnote>
  <w:footnote w:id="17">
    <w:p w14:paraId="7B80603F" w14:textId="77777777" w:rsidR="00856F69" w:rsidRPr="00EC0A4B" w:rsidRDefault="00856F69" w:rsidP="001162B0">
      <w:pPr>
        <w:pStyle w:val="FootnoteText"/>
      </w:pPr>
      <w:r>
        <w:t>(</w:t>
      </w:r>
      <w:r>
        <w:rPr>
          <w:rStyle w:val="FootnoteReference"/>
        </w:rPr>
        <w:footnoteRef/>
      </w:r>
      <w:r>
        <w:t>)</w:t>
      </w:r>
      <w:r>
        <w:tab/>
        <w:t xml:space="preserve">This refers to stable and reliable </w:t>
      </w:r>
      <w:r w:rsidRPr="0019226A">
        <w:t>resources</w:t>
      </w:r>
      <w:r>
        <w:t xml:space="preserve"> over time</w:t>
      </w:r>
      <w:r w:rsidRPr="0019226A">
        <w:t xml:space="preserve">, </w:t>
      </w:r>
      <w:r>
        <w:t xml:space="preserve">an aspect </w:t>
      </w:r>
      <w:r w:rsidRPr="0019226A">
        <w:t xml:space="preserve">relevant </w:t>
      </w:r>
      <w:r>
        <w:t xml:space="preserve">in the context of </w:t>
      </w:r>
      <w:r w:rsidRPr="0019226A">
        <w:t>medium-term budgeting and fiscal planning</w:t>
      </w:r>
      <w:r>
        <w:t>,</w:t>
      </w:r>
      <w:r w:rsidRPr="0019226A">
        <w:t xml:space="preserve"> </w:t>
      </w:r>
      <w:r>
        <w:t xml:space="preserve">which </w:t>
      </w:r>
      <w:r w:rsidRPr="0019226A">
        <w:t>finance ministries are encouraged t</w:t>
      </w:r>
      <w:r>
        <w:t>o</w:t>
      </w:r>
      <w:r w:rsidRPr="0019226A">
        <w:t xml:space="preserve"> apply</w:t>
      </w:r>
      <w:r>
        <w:t xml:space="preserve">; indeed, </w:t>
      </w:r>
      <w:r w:rsidRPr="0019226A">
        <w:t xml:space="preserve">Medium-Term Fiscal Frameworks (MTFFs) </w:t>
      </w:r>
      <w:r>
        <w:t xml:space="preserve">and </w:t>
      </w:r>
      <w:r w:rsidRPr="0019226A">
        <w:t>Medium-Term Budget Framework (MTBF</w:t>
      </w:r>
      <w:r>
        <w:t xml:space="preserve">) have </w:t>
      </w:r>
      <w:r>
        <w:rPr>
          <w:rFonts w:ascii="Helvetica" w:hAnsi="Helvetica" w:cs="Helvetica"/>
          <w:color w:val="2C2825"/>
          <w:shd w:val="clear" w:color="auto" w:fill="FFFFFF"/>
        </w:rPr>
        <w:t xml:space="preserve">benefits for </w:t>
      </w:r>
      <w:r>
        <w:t>fiscal discipline, macro stability, control, and accountability (IMF Institute for Capacity Development).</w:t>
      </w:r>
      <w:r>
        <w:rPr>
          <w:rFonts w:ascii="Helvetica" w:hAnsi="Helvetica" w:cs="Helvetica"/>
          <w:color w:val="2C2825"/>
          <w:shd w:val="clear" w:color="auto" w:fill="FFFFFF"/>
        </w:rPr>
        <w:t xml:space="preserve"> </w:t>
      </w:r>
    </w:p>
  </w:footnote>
  <w:footnote w:id="18">
    <w:p w14:paraId="22740633" w14:textId="77777777" w:rsidR="00856F69" w:rsidRPr="00511F8E" w:rsidRDefault="00856F69" w:rsidP="009F5447">
      <w:pPr>
        <w:pStyle w:val="FootnoteText"/>
      </w:pPr>
      <w:r w:rsidRPr="00511F8E">
        <w:t>(</w:t>
      </w:r>
      <w:r w:rsidRPr="00511F8E">
        <w:rPr>
          <w:rStyle w:val="FootnoteReference"/>
        </w:rPr>
        <w:footnoteRef/>
      </w:r>
      <w:r w:rsidRPr="00511F8E">
        <w:t>) Tax wedge can happen between producer and consumer, seller and buyer, or employer and employee</w:t>
      </w:r>
      <w:r w:rsidRPr="00511F8E" w:rsidDel="000F6802">
        <w:t>)</w:t>
      </w:r>
      <w:r w:rsidRPr="00511F8E">
        <w:t xml:space="preserve">. To derive the behavioural responses and macroeconomic implications of tax policy changes on the labour market, investment, aggregate inflation, economic growth, partial and/or general equilibrium models are usually employed. The role of performing revenue and economic impact analyses usually belongs to Tax Policy Units (TPU). </w:t>
      </w:r>
      <w:r w:rsidRPr="00511F8E">
        <w:rPr>
          <w:lang w:val="en-IE"/>
        </w:rPr>
        <w:t xml:space="preserve">See Grote, Martin, </w:t>
      </w:r>
      <w:hyperlink r:id="rId8" w:tgtFrame="_blank" w:history="1">
        <w:r w:rsidRPr="00511F8E">
          <w:rPr>
            <w:rStyle w:val="Hyperlink"/>
            <w:lang w:val="en-IE"/>
          </w:rPr>
          <w:t>"Establishing a Tax Policy Unit"</w:t>
        </w:r>
      </w:hyperlink>
      <w:r w:rsidRPr="00511F8E">
        <w:rPr>
          <w:lang w:val="en-IE"/>
        </w:rPr>
        <w:t>, IMF How-to-Notes,</w:t>
      </w:r>
      <w:r w:rsidRPr="00511F8E">
        <w:rPr>
          <w:rFonts w:ascii="Calibri" w:hAnsi="Calibri" w:cs="Calibri"/>
          <w:lang w:val="en-IE"/>
        </w:rPr>
        <w:t> </w:t>
      </w:r>
      <w:r w:rsidRPr="00511F8E">
        <w:rPr>
          <w:lang w:val="en-IE"/>
        </w:rPr>
        <w:t>October 2017.</w:t>
      </w:r>
    </w:p>
  </w:footnote>
  <w:footnote w:id="19">
    <w:p w14:paraId="581EA087" w14:textId="77777777" w:rsidR="00856F69" w:rsidRPr="00724345" w:rsidRDefault="00856F69" w:rsidP="009F5447">
      <w:pPr>
        <w:pStyle w:val="FootnoteText"/>
        <w:rPr>
          <w:lang w:val="en-IE"/>
        </w:rPr>
      </w:pPr>
      <w:r>
        <w:t>(</w:t>
      </w:r>
      <w:r>
        <w:rPr>
          <w:rStyle w:val="FootnoteReference"/>
        </w:rPr>
        <w:footnoteRef/>
      </w:r>
      <w:r>
        <w:t>)</w:t>
      </w:r>
      <w:r>
        <w:tab/>
      </w:r>
      <w:r w:rsidRPr="00724345">
        <w:t>Stiglitz, J. E.</w:t>
      </w:r>
      <w:r>
        <w:t>,</w:t>
      </w:r>
      <w:r w:rsidRPr="00724345">
        <w:t xml:space="preserve"> 2000</w:t>
      </w:r>
      <w:r>
        <w:t>, ‘</w:t>
      </w:r>
      <w:r w:rsidRPr="00724345">
        <w:t>Economics of the Public Sector</w:t>
      </w:r>
      <w:r>
        <w:t xml:space="preserve">’, </w:t>
      </w:r>
      <w:r w:rsidRPr="00724345">
        <w:t>W. W. Norton &amp; Company.</w:t>
      </w:r>
    </w:p>
  </w:footnote>
  <w:footnote w:id="20">
    <w:p w14:paraId="28EB273F" w14:textId="7068AE30" w:rsidR="00856F69" w:rsidRPr="00935D11" w:rsidRDefault="00856F69" w:rsidP="00990368">
      <w:pPr>
        <w:pStyle w:val="FootnoteText"/>
      </w:pPr>
      <w:r>
        <w:t>(</w:t>
      </w:r>
      <w:r>
        <w:rPr>
          <w:rStyle w:val="FootnoteReference"/>
        </w:rPr>
        <w:footnoteRef/>
      </w:r>
      <w:r>
        <w:t xml:space="preserve">) EP(2023), </w:t>
      </w:r>
      <w:r w:rsidRPr="00935D11">
        <w:t>Committee on Budgets</w:t>
      </w:r>
      <w:r>
        <w:t xml:space="preserve">, </w:t>
      </w:r>
      <w:r w:rsidRPr="00935D11">
        <w:t>2022/2172(INI)</w:t>
      </w:r>
      <w:r>
        <w:t xml:space="preserve"> </w:t>
      </w:r>
      <w:hyperlink r:id="rId9" w:history="1">
        <w:r w:rsidRPr="00175C34">
          <w:rPr>
            <w:rStyle w:val="Hyperlink"/>
          </w:rPr>
          <w:t>https://www.europarl.europa.eu/doceo/document/BUDG-PR-739558_EN.pdf</w:t>
        </w:r>
      </w:hyperlink>
      <w:r>
        <w:rPr>
          <w:rStyle w:val="Hyperlink"/>
        </w:rPr>
        <w:t>.</w:t>
      </w:r>
      <w:r>
        <w:t xml:space="preserve">  </w:t>
      </w:r>
    </w:p>
  </w:footnote>
  <w:footnote w:id="21">
    <w:p w14:paraId="604D69BC" w14:textId="77777777" w:rsidR="00856F69" w:rsidRPr="00154AA7" w:rsidRDefault="00856F69" w:rsidP="00990368">
      <w:pPr>
        <w:pStyle w:val="FootnoteText"/>
        <w:rPr>
          <w:lang w:val="en-IE"/>
        </w:rPr>
      </w:pPr>
      <w:r>
        <w:t>(</w:t>
      </w:r>
      <w:r>
        <w:rPr>
          <w:rStyle w:val="FootnoteReference"/>
        </w:rPr>
        <w:footnoteRef/>
      </w:r>
      <w:r>
        <w:t>)</w:t>
      </w:r>
      <w:r>
        <w:tab/>
      </w:r>
      <w:r w:rsidRPr="00C46783">
        <w:t>Bio-waste is defined as “</w:t>
      </w:r>
      <w:r w:rsidRPr="00E05893">
        <w:t>biodegradable garden and park waste, food and kitchen waste from households, restaurants, caterers and retail premises, and comparable waste from food processing plants. It does not include forestry or agricultural residues, manure, sewage sludge, or other biodegradable waste such as natural textiles, paper or processed wood</w:t>
      </w:r>
      <w:r w:rsidRPr="00C46783">
        <w:t>”.</w:t>
      </w:r>
    </w:p>
  </w:footnote>
  <w:footnote w:id="22">
    <w:p w14:paraId="7CA92F37" w14:textId="14D6F833" w:rsidR="00856F69" w:rsidRPr="00CF61E8" w:rsidRDefault="00856F69">
      <w:pPr>
        <w:pStyle w:val="FootnoteText"/>
        <w:rPr>
          <w:lang w:val="en-IE"/>
        </w:rPr>
      </w:pPr>
      <w:r>
        <w:t>(</w:t>
      </w:r>
      <w:r>
        <w:rPr>
          <w:rStyle w:val="FootnoteReference"/>
        </w:rPr>
        <w:footnoteRef/>
      </w:r>
      <w:r>
        <w:t>)</w:t>
      </w:r>
      <w:r>
        <w:tab/>
        <w:t>Council of the European Union Report 15178/22; Presidency report on new own resources, 25 November 2022.</w:t>
      </w:r>
    </w:p>
  </w:footnote>
  <w:footnote w:id="23">
    <w:p w14:paraId="2E541F68" w14:textId="782E23F7" w:rsidR="00856F69" w:rsidRPr="009757A1" w:rsidRDefault="00856F69" w:rsidP="00C61E07">
      <w:pPr>
        <w:pStyle w:val="FootnoteText"/>
        <w:rPr>
          <w:lang w:val="en-IE"/>
        </w:rPr>
      </w:pPr>
      <w:r>
        <w:t>(</w:t>
      </w:r>
      <w:r>
        <w:rPr>
          <w:rStyle w:val="FootnoteReference"/>
        </w:rPr>
        <w:footnoteRef/>
      </w:r>
      <w:r>
        <w:t xml:space="preserve">) </w:t>
      </w:r>
      <w:r w:rsidRPr="00A55F0D">
        <w:t>ECA</w:t>
      </w:r>
      <w:r w:rsidRPr="00375AB7">
        <w:t xml:space="preserve"> </w:t>
      </w:r>
      <w:hyperlink r:id="rId10" w:history="1">
        <w:r w:rsidRPr="00375AB7">
          <w:rPr>
            <w:rStyle w:val="Hyperlink"/>
          </w:rPr>
          <w:t>Opinion 03/2022: Methods and procedure for making available own resources based on the Emissions Trading System, the Carbon Border Adjustment Mechanism and reallocated profits, and measures to meet cash requirements | European Court of Auditors (europa.eu)</w:t>
        </w:r>
      </w:hyperlink>
      <w:r>
        <w:t>.</w:t>
      </w:r>
    </w:p>
  </w:footnote>
  <w:footnote w:id="24">
    <w:p w14:paraId="6C45B7CA" w14:textId="77777777" w:rsidR="00856F69" w:rsidRPr="00EA26F7" w:rsidRDefault="00856F69" w:rsidP="00990368">
      <w:pPr>
        <w:pStyle w:val="FootnoteText"/>
        <w:rPr>
          <w:lang w:val="en-IE"/>
        </w:rPr>
      </w:pPr>
      <w:r>
        <w:t>(</w:t>
      </w:r>
      <w:r>
        <w:rPr>
          <w:rStyle w:val="FootnoteReference"/>
        </w:rPr>
        <w:footnoteRef/>
      </w:r>
      <w:r>
        <w:t>)</w:t>
      </w:r>
      <w:r>
        <w:tab/>
        <w:t xml:space="preserve">for instance, the Committee had doubts </w:t>
      </w:r>
      <w:r w:rsidRPr="00EA26F7">
        <w:t>as to whether the Innovation Fund (IF)</w:t>
      </w:r>
      <w:r w:rsidRPr="00EA26F7">
        <w:rPr>
          <w:sz w:val="22"/>
          <w:szCs w:val="22"/>
          <w:lang w:eastAsia="en-US"/>
        </w:rPr>
        <w:t xml:space="preserve"> </w:t>
      </w:r>
      <w:r w:rsidRPr="00EA26F7">
        <w:t>with revenues derived from the auctioning ETS allowances w</w:t>
      </w:r>
      <w:r>
        <w:t>ould</w:t>
      </w:r>
      <w:r w:rsidRPr="00EA26F7">
        <w:t xml:space="preserve"> maintain and strengthen the EU industry’s competitive position.</w:t>
      </w:r>
    </w:p>
  </w:footnote>
  <w:footnote w:id="25">
    <w:p w14:paraId="49A8A683" w14:textId="7AEF59ED" w:rsidR="00856F69" w:rsidRPr="009575E0" w:rsidRDefault="00856F69" w:rsidP="00990368">
      <w:pPr>
        <w:pStyle w:val="FootnoteText"/>
        <w:rPr>
          <w:lang w:val="en-IE"/>
        </w:rPr>
      </w:pPr>
      <w:r>
        <w:t>(</w:t>
      </w:r>
      <w:r>
        <w:rPr>
          <w:rStyle w:val="FootnoteReference"/>
        </w:rPr>
        <w:footnoteRef/>
      </w:r>
      <w:r>
        <w:t>)</w:t>
      </w:r>
      <w:r>
        <w:tab/>
      </w:r>
      <w:r w:rsidRPr="009575E0">
        <w:t>COTER-VII/021, 152nd plenary session</w:t>
      </w:r>
      <w:r>
        <w:t xml:space="preserve"> </w:t>
      </w:r>
      <w:hyperlink r:id="rId11" w:history="1">
        <w:r>
          <w:rPr>
            <w:rStyle w:val="Hyperlink"/>
          </w:rPr>
          <w:t>The next generation of own resources for the EU budget | PES Group in the European Committee of the Regions (europa.eu)</w:t>
        </w:r>
      </w:hyperlink>
      <w:r>
        <w:rPr>
          <w:rStyle w:val="Hyperlink"/>
        </w:rPr>
        <w:t>.</w:t>
      </w:r>
    </w:p>
  </w:footnote>
  <w:footnote w:id="26">
    <w:p w14:paraId="7868CE19" w14:textId="7750D71E" w:rsidR="00856F69" w:rsidRPr="002B6986" w:rsidRDefault="00856F69" w:rsidP="00DA32CE">
      <w:pPr>
        <w:pStyle w:val="FootnoteText"/>
        <w:rPr>
          <w:lang w:val="en-IE"/>
        </w:rPr>
      </w:pPr>
      <w:r>
        <w:rPr>
          <w:rStyle w:val="FootnoteReference"/>
        </w:rPr>
        <w:footnoteRef/>
      </w:r>
      <w:r>
        <w:t xml:space="preserve"> </w:t>
      </w:r>
      <w:r>
        <w:tab/>
      </w:r>
      <w:r>
        <w:rPr>
          <w:lang w:val="en-IE"/>
        </w:rPr>
        <w:t xml:space="preserve">BEFIT will foresee a two staged process to calculate the tax base. In the second step national adjustments will be possible. </w:t>
      </w:r>
    </w:p>
  </w:footnote>
  <w:footnote w:id="27">
    <w:p w14:paraId="24FD147C" w14:textId="77777777" w:rsidR="00856F69" w:rsidRPr="0059770E" w:rsidRDefault="00856F69" w:rsidP="0012381D">
      <w:pPr>
        <w:pStyle w:val="FootnoteText"/>
        <w:rPr>
          <w:lang w:val="en-IE"/>
        </w:rPr>
      </w:pPr>
      <w:r>
        <w:t>(</w:t>
      </w:r>
      <w:r w:rsidRPr="0D5E584C">
        <w:rPr>
          <w:rStyle w:val="FootnoteReference"/>
          <w:rFonts w:eastAsiaTheme="minorEastAsia"/>
        </w:rPr>
        <w:footnoteRef/>
      </w:r>
      <w:r>
        <w:t>)</w:t>
      </w:r>
      <w:r>
        <w:tab/>
      </w:r>
      <w:r w:rsidRPr="00CB66A9">
        <w:t>Gross operating surplus corresponds to ESA balancing item B.2g of financial and non-financial corporations (sectors S12 and S11, respectively). It equals the sector</w:t>
      </w:r>
      <w:r>
        <w:t>s’</w:t>
      </w:r>
      <w:r w:rsidRPr="00CB66A9">
        <w:t xml:space="preserve"> gross value added (ESA balancing item B.1g) plus Other subsidies on production (ESA item D.39) minus compensation of employees (ESA item D.1) and other taxes on production (ESA item D.29).</w:t>
      </w:r>
      <w:r>
        <w:t xml:space="preserve"> </w:t>
      </w:r>
      <w:r w:rsidRPr="00A63787">
        <w:t>See part</w:t>
      </w:r>
      <w:r>
        <w:t xml:space="preserve"> III for details on this measure and B</w:t>
      </w:r>
      <w:r w:rsidRPr="0070519C">
        <w:t xml:space="preserve">ox </w:t>
      </w:r>
      <w:r>
        <w:t>5 for</w:t>
      </w:r>
      <w:r w:rsidRPr="00A63787">
        <w:t xml:space="preserve"> </w:t>
      </w:r>
      <w:r>
        <w:t>a discussion of alternative statistics.</w:t>
      </w:r>
    </w:p>
  </w:footnote>
  <w:footnote w:id="28">
    <w:p w14:paraId="5E78983D" w14:textId="4E574EB9" w:rsidR="00856F69" w:rsidRPr="00DE22D3" w:rsidRDefault="00856F69">
      <w:pPr>
        <w:pStyle w:val="FootnoteText"/>
        <w:rPr>
          <w:lang w:val="en-IE"/>
        </w:rPr>
      </w:pPr>
      <w:r>
        <w:t>(</w:t>
      </w:r>
      <w:r>
        <w:rPr>
          <w:rStyle w:val="FootnoteReference"/>
        </w:rPr>
        <w:footnoteRef/>
      </w:r>
      <w:r>
        <w:t>)</w:t>
      </w:r>
      <w:r>
        <w:tab/>
      </w:r>
      <w:hyperlink r:id="rId12" w:history="1">
        <w:r w:rsidRPr="0D5E584C">
          <w:rPr>
            <w:rFonts w:eastAsiaTheme="minorEastAsia"/>
          </w:rPr>
          <w:t>Garment Worker Protection Act Frequently Asked Questions (ca.gov)</w:t>
        </w:r>
      </w:hyperlink>
      <w:r>
        <w:rPr>
          <w:rFonts w:eastAsiaTheme="minorEastAsia"/>
        </w:rPr>
        <w:t>.</w:t>
      </w:r>
    </w:p>
  </w:footnote>
  <w:footnote w:id="29">
    <w:p w14:paraId="08224F72" w14:textId="0673EC92" w:rsidR="00856F69" w:rsidRPr="000F0591" w:rsidRDefault="00856F69" w:rsidP="0085406D">
      <w:pPr>
        <w:pStyle w:val="FootnoteText"/>
        <w:rPr>
          <w:lang w:val="fr-BE"/>
        </w:rPr>
      </w:pPr>
      <w:r>
        <w:t>(</w:t>
      </w:r>
      <w:r w:rsidRPr="006010AD">
        <w:rPr>
          <w:rStyle w:val="FootnoteReference"/>
          <w:rFonts w:eastAsia="Calibri"/>
        </w:rPr>
        <w:footnoteRef/>
      </w:r>
      <w:r>
        <w:t xml:space="preserve">) </w:t>
      </w:r>
      <w:r w:rsidRPr="00D723D0">
        <w:t xml:space="preserve">DAC 8 </w:t>
      </w:r>
      <w:r>
        <w:t>sh</w:t>
      </w:r>
      <w:r w:rsidRPr="00D723D0">
        <w:t xml:space="preserve">ould enter into force on 1 January 2026. </w:t>
      </w:r>
      <w:r w:rsidRPr="000F0591">
        <w:rPr>
          <w:lang w:val="fr-BE"/>
        </w:rPr>
        <w:t xml:space="preserve">"https://taxation-customs.ec.europa.eu/news/new-transparency-rules-require-service-providers-report-crypto-asset-transactions-2022-12-08_en" (europa.eu). </w:t>
      </w:r>
    </w:p>
  </w:footnote>
  <w:footnote w:id="30">
    <w:p w14:paraId="7FEAF2ED" w14:textId="28475CF4" w:rsidR="00856F69" w:rsidRPr="00F512AF" w:rsidRDefault="00856F69">
      <w:pPr>
        <w:pStyle w:val="FootnoteText"/>
        <w:rPr>
          <w:lang w:val="en-IE"/>
        </w:rPr>
      </w:pPr>
      <w:r>
        <w:t>(</w:t>
      </w:r>
      <w:r>
        <w:rPr>
          <w:rStyle w:val="FootnoteReference"/>
        </w:rPr>
        <w:footnoteRef/>
      </w:r>
      <w:r>
        <w:t>)</w:t>
      </w:r>
      <w:r>
        <w:tab/>
      </w:r>
      <w:hyperlink r:id="rId13" w:history="1">
        <w:r w:rsidRPr="00F512AF">
          <w:rPr>
            <w:rStyle w:val="Hyperlink"/>
          </w:rPr>
          <w:t>New EU own resources: possibilities and limitations of steering effects and sectoral policy co-benefits (europa.eu)</w:t>
        </w:r>
      </w:hyperlink>
      <w:r>
        <w:rPr>
          <w:rStyle w:val="Hyperlink"/>
        </w:rPr>
        <w:t>.</w:t>
      </w:r>
    </w:p>
  </w:footnote>
  <w:footnote w:id="31">
    <w:p w14:paraId="1345FC4A" w14:textId="08CFBCF4" w:rsidR="00856F69" w:rsidRPr="004F22DF" w:rsidRDefault="00856F69" w:rsidP="004F22DF">
      <w:pPr>
        <w:pStyle w:val="FootnoteText"/>
        <w:ind w:left="0" w:firstLine="0"/>
        <w:rPr>
          <w:lang w:val="en-IE"/>
        </w:rPr>
      </w:pPr>
      <w:r>
        <w:t>(</w:t>
      </w:r>
      <w:r>
        <w:rPr>
          <w:rStyle w:val="FootnoteReference"/>
        </w:rPr>
        <w:footnoteRef/>
      </w:r>
      <w:r>
        <w:t xml:space="preserve">) </w:t>
      </w:r>
      <w:r w:rsidRPr="009A288F">
        <w:t xml:space="preserve">Crypto assets were addressed in recent guidelines of the VAT Committee (Guidelines resulting from meetings of the VAT Committee) and their VAT treatment might change </w:t>
      </w:r>
      <w:r>
        <w:t>as part of</w:t>
      </w:r>
      <w:r w:rsidRPr="009A288F">
        <w:t xml:space="preserve"> a review of rules </w:t>
      </w:r>
      <w:r>
        <w:t xml:space="preserve">on </w:t>
      </w:r>
      <w:r w:rsidRPr="009A288F">
        <w:t>VAT for financial servic</w:t>
      </w:r>
      <w:r>
        <w:t>es.</w:t>
      </w:r>
      <w:r>
        <w:tab/>
      </w:r>
    </w:p>
  </w:footnote>
  <w:footnote w:id="32">
    <w:p w14:paraId="2436B5D8" w14:textId="14401FB2" w:rsidR="00856F69" w:rsidRPr="006545F7" w:rsidRDefault="00856F69">
      <w:pPr>
        <w:pStyle w:val="FootnoteText"/>
      </w:pPr>
      <w:r>
        <w:t>(</w:t>
      </w:r>
      <w:r>
        <w:rPr>
          <w:rStyle w:val="FootnoteReference"/>
        </w:rPr>
        <w:footnoteRef/>
      </w:r>
      <w:r>
        <w:t>)</w:t>
      </w:r>
      <w:r>
        <w:tab/>
      </w:r>
      <w:r w:rsidRPr="006545F7">
        <w:t xml:space="preserve">Eurostat, </w:t>
      </w:r>
      <w:bookmarkStart w:id="194" w:name="_Hlk137549437"/>
      <w:r w:rsidRPr="006545F7">
        <w:t>annual gender pay gap 2021</w:t>
      </w:r>
      <w:r>
        <w:t>.</w:t>
      </w:r>
      <w:bookmarkEnd w:id="194"/>
    </w:p>
  </w:footnote>
  <w:footnote w:id="33">
    <w:p w14:paraId="6E038D92" w14:textId="0C29D947" w:rsidR="00856F69" w:rsidRPr="00FD0703" w:rsidRDefault="00856F69" w:rsidP="00990368">
      <w:pPr>
        <w:pStyle w:val="FootnoteText"/>
        <w:rPr>
          <w:rFonts w:asciiTheme="minorHAnsi" w:hAnsiTheme="minorHAnsi" w:cstheme="minorBidi"/>
          <w:lang w:val="en-IE"/>
        </w:rPr>
      </w:pPr>
      <w:r w:rsidRPr="000F0591">
        <w:rPr>
          <w:lang w:val="fr-BE"/>
        </w:rPr>
        <w:t>(</w:t>
      </w:r>
      <w:r>
        <w:rPr>
          <w:rStyle w:val="FootnoteReference"/>
        </w:rPr>
        <w:footnoteRef/>
      </w:r>
      <w:r w:rsidRPr="000F0591">
        <w:rPr>
          <w:lang w:val="fr-BE"/>
        </w:rPr>
        <w:t xml:space="preserve">) </w:t>
      </w:r>
      <w:bookmarkStart w:id="195" w:name="_Hlk137492807"/>
      <w:r w:rsidRPr="000F0591">
        <w:rPr>
          <w:lang w:val="fr-BE"/>
        </w:rPr>
        <w:tab/>
        <w:t xml:space="preserve">Eurostat </w:t>
      </w:r>
      <w:hyperlink r:id="rId14" w:history="1">
        <w:r w:rsidRPr="00945DCE">
          <w:rPr>
            <w:rStyle w:val="Hyperlink"/>
            <w:lang w:val="fi-FI"/>
          </w:rPr>
          <w:t>https://ec.europa.eu/eurostat/en/web/products-statistical-working-papers/-/ks-tc-22-002</w:t>
        </w:r>
      </w:hyperlink>
      <w:r w:rsidRPr="00945DCE">
        <w:rPr>
          <w:rStyle w:val="Hyperlink"/>
          <w:lang w:val="fi-FI"/>
        </w:rPr>
        <w:t>.</w:t>
      </w:r>
      <w:r w:rsidRPr="000F0591">
        <w:rPr>
          <w:rStyle w:val="Hyperlink"/>
          <w:lang w:val="fr-BE"/>
        </w:rPr>
        <w:t xml:space="preserve"> </w:t>
      </w:r>
      <w:r>
        <w:t xml:space="preserve">In the analysis employees working in ‘public administration, defence and compulsory social security’ (NACE rev.2 section O) or in enterprises with less than 10 employees have been excluded as data are not available for all Member States. </w:t>
      </w:r>
      <w:bookmarkEnd w:id="195"/>
    </w:p>
  </w:footnote>
  <w:footnote w:id="34">
    <w:p w14:paraId="27F2B9C8" w14:textId="77777777" w:rsidR="00856F69" w:rsidRPr="00A91DE6" w:rsidRDefault="00856F69" w:rsidP="001875D4">
      <w:pPr>
        <w:pStyle w:val="FootnoteText"/>
        <w:spacing w:after="0"/>
        <w:rPr>
          <w:lang w:val="en-IE"/>
        </w:rPr>
      </w:pPr>
      <w:r w:rsidRPr="00A91DE6">
        <w:rPr>
          <w:lang w:val="en-IE"/>
        </w:rPr>
        <w:t>(</w:t>
      </w:r>
      <w:r w:rsidRPr="00A91DE6">
        <w:rPr>
          <w:lang w:val="fr-BE"/>
        </w:rPr>
        <w:footnoteRef/>
      </w:r>
      <w:r w:rsidRPr="00A91DE6">
        <w:rPr>
          <w:lang w:val="en-IE"/>
        </w:rPr>
        <w:t xml:space="preserve">)  Eurostat, (2022) Statistics explained: Food waste and food waste prevention – estimates. </w:t>
      </w:r>
    </w:p>
  </w:footnote>
  <w:footnote w:id="35">
    <w:p w14:paraId="6D2E0092" w14:textId="0B8FB491" w:rsidR="00856F69" w:rsidRPr="00A91DE6" w:rsidRDefault="00856F69" w:rsidP="00A91DE6">
      <w:pPr>
        <w:pStyle w:val="FootnoteText"/>
        <w:rPr>
          <w:lang w:val="en-IE"/>
        </w:rPr>
      </w:pPr>
      <w:r w:rsidRPr="00A91DE6">
        <w:rPr>
          <w:lang w:val="en-IE"/>
        </w:rPr>
        <w:t>(</w:t>
      </w:r>
      <w:r w:rsidRPr="00A91DE6">
        <w:rPr>
          <w:lang w:val="fr-BE"/>
        </w:rPr>
        <w:footnoteRef/>
      </w:r>
      <w:r w:rsidRPr="00A91DE6">
        <w:rPr>
          <w:lang w:val="en-IE"/>
        </w:rPr>
        <w:t>) This design differs somewhat from that of other own resources based on environmental statistics, such as plastic or e-waste. Contrary to the latter, the base of a food waste own resource would use only the volume of waste generated and not the difference between the volume of waste generated and the volume of waste recycled. This is the case because, under food waste legislation, no comparable data is collected or can be derived for recycled food-waste.</w:t>
      </w:r>
    </w:p>
    <w:p w14:paraId="18D8C811" w14:textId="77777777" w:rsidR="00856F69" w:rsidRPr="007C17DC" w:rsidRDefault="00856F69" w:rsidP="007C17DC">
      <w:pPr>
        <w:pStyle w:val="FootnoteText"/>
      </w:pPr>
    </w:p>
  </w:footnote>
  <w:footnote w:id="36">
    <w:p w14:paraId="25CDFB82" w14:textId="77777777" w:rsidR="00856F69" w:rsidRPr="0049414E" w:rsidRDefault="00856F69" w:rsidP="001875D4">
      <w:pPr>
        <w:pStyle w:val="FootnoteText"/>
        <w:spacing w:after="0"/>
        <w:rPr>
          <w:lang w:val="en-IE"/>
        </w:rPr>
      </w:pPr>
      <w:r>
        <w:t>(</w:t>
      </w:r>
      <w:r>
        <w:rPr>
          <w:rStyle w:val="FootnoteReference"/>
        </w:rPr>
        <w:footnoteRef/>
      </w:r>
      <w:r>
        <w:t>)</w:t>
      </w:r>
      <w:r>
        <w:tab/>
      </w:r>
      <w:r w:rsidRPr="002D0382">
        <w:t>Directive 2008/98/EC</w:t>
      </w:r>
      <w:r>
        <w:t xml:space="preserve"> o</w:t>
      </w:r>
      <w:r w:rsidRPr="0049414E">
        <w:t>f the European Parliament and of the Council of 19 November 2008 on waste and repealing certain Directives</w:t>
      </w:r>
      <w:r>
        <w:t>.</w:t>
      </w:r>
    </w:p>
  </w:footnote>
  <w:footnote w:id="37">
    <w:p w14:paraId="6A367980" w14:textId="77777777" w:rsidR="00856F69" w:rsidRPr="0049414E" w:rsidRDefault="00856F69" w:rsidP="001875D4">
      <w:pPr>
        <w:pStyle w:val="FootnoteText"/>
        <w:spacing w:after="0"/>
        <w:rPr>
          <w:lang w:val="en-IE"/>
        </w:rPr>
      </w:pPr>
      <w:r>
        <w:t>(</w:t>
      </w:r>
      <w:r>
        <w:rPr>
          <w:rStyle w:val="FootnoteReference"/>
        </w:rPr>
        <w:footnoteRef/>
      </w:r>
      <w:r>
        <w:t>)</w:t>
      </w:r>
      <w:r>
        <w:tab/>
      </w:r>
      <w:r w:rsidRPr="0049414E">
        <w:t>Commission Delegated Decision (EU) 2019/1597 of 3 May 2019 supplementing Directive 2008/98/EC of the European Parliament and of the Council as regards a common methodology and minimum quality requirements for the uniform measurement of levels of food waste (Text with EEA relevance)</w:t>
      </w:r>
      <w:r>
        <w:t>.</w:t>
      </w:r>
    </w:p>
  </w:footnote>
  <w:footnote w:id="38">
    <w:p w14:paraId="46E00415" w14:textId="77777777" w:rsidR="00856F69" w:rsidRPr="00715FAD" w:rsidRDefault="00856F69" w:rsidP="001875D4">
      <w:pPr>
        <w:pStyle w:val="FootnoteText"/>
        <w:rPr>
          <w:lang w:val="en-IE"/>
        </w:rPr>
      </w:pPr>
      <w:r>
        <w:t>(</w:t>
      </w:r>
      <w:r>
        <w:rPr>
          <w:rStyle w:val="FootnoteReference"/>
        </w:rPr>
        <w:footnoteRef/>
      </w:r>
      <w:r>
        <w:t>)</w:t>
      </w:r>
      <w:r>
        <w:tab/>
        <w:t>The Commission so far has data only for 2020. For comparison, data on recycling of plastics have been collected since 1994 (i.e. there is almost 30 years of experience in data collection on plastics).</w:t>
      </w:r>
    </w:p>
  </w:footnote>
  <w:footnote w:id="39">
    <w:p w14:paraId="1B0978A4" w14:textId="3C0DEDC2" w:rsidR="00856F69" w:rsidRPr="00333C14" w:rsidRDefault="00856F69" w:rsidP="001875D4">
      <w:pPr>
        <w:pStyle w:val="FootnoteText"/>
        <w:rPr>
          <w:lang w:val="en-IE"/>
        </w:rPr>
      </w:pPr>
      <w:r w:rsidRPr="00F56177">
        <w:t>(</w:t>
      </w:r>
      <w:r w:rsidRPr="00F56177">
        <w:rPr>
          <w:rStyle w:val="FootnoteReference"/>
        </w:rPr>
        <w:footnoteRef/>
      </w:r>
      <w:r w:rsidRPr="00F56177">
        <w:t>)</w:t>
      </w:r>
      <w:r w:rsidRPr="00F56177">
        <w:tab/>
        <w:t>The Commission is working on a food waste target</w:t>
      </w:r>
      <w:r w:rsidRPr="00E060EC">
        <w:t xml:space="preserve"> </w:t>
      </w:r>
      <w:r>
        <w:t xml:space="preserve">currently </w:t>
      </w:r>
      <w:r>
        <w:rPr>
          <w:lang w:val="en-IE"/>
        </w:rPr>
        <w:t xml:space="preserve">planned for June 2023: </w:t>
      </w:r>
      <w:hyperlink r:id="rId15" w:history="1">
        <w:r w:rsidRPr="00411D4C">
          <w:rPr>
            <w:rStyle w:val="Hyperlink"/>
            <w:lang w:val="en-IE"/>
          </w:rPr>
          <w:t>https://ec.europa.eu/info/law/better-regulation/have-your-say/initiatives/13223-Food-waste-reduction-targets_en</w:t>
        </w:r>
      </w:hyperlink>
      <w:r>
        <w:rPr>
          <w:rStyle w:val="Hyperlink"/>
          <w:lang w:val="en-IE"/>
        </w:rPr>
        <w:t>.</w:t>
      </w:r>
    </w:p>
  </w:footnote>
  <w:footnote w:id="40">
    <w:p w14:paraId="5565EB57" w14:textId="3C0CB331" w:rsidR="00856F69" w:rsidRPr="00993CC9" w:rsidRDefault="00856F69" w:rsidP="001875D4">
      <w:pPr>
        <w:pStyle w:val="FootnoteText"/>
        <w:rPr>
          <w:lang w:val="en-IE"/>
        </w:rPr>
      </w:pPr>
      <w:r>
        <w:t>(</w:t>
      </w:r>
      <w:r>
        <w:rPr>
          <w:rStyle w:val="FootnoteReference"/>
        </w:rPr>
        <w:footnoteRef/>
      </w:r>
      <w:r>
        <w:t>)</w:t>
      </w:r>
      <w:r>
        <w:tab/>
        <w:t>Proposal for a Regulation of the European Parliament and of the Council establishing a framework for ensuring a secure and sustainable supply of critical raw materials (COM(2023) 160 final).</w:t>
      </w:r>
    </w:p>
  </w:footnote>
  <w:footnote w:id="41">
    <w:p w14:paraId="4202588C" w14:textId="2E749647" w:rsidR="00856F69" w:rsidRPr="002A37F9" w:rsidRDefault="00856F69" w:rsidP="001875D4">
      <w:pPr>
        <w:pStyle w:val="FootnoteText"/>
        <w:spacing w:after="0"/>
        <w:rPr>
          <w:rFonts w:cs="Calibri"/>
          <w:sz w:val="16"/>
          <w:szCs w:val="16"/>
          <w:lang w:val="en-IE"/>
        </w:rPr>
      </w:pPr>
      <w:r>
        <w:t>(</w:t>
      </w:r>
      <w:r>
        <w:rPr>
          <w:rStyle w:val="FootnoteReference"/>
        </w:rPr>
        <w:footnoteRef/>
      </w:r>
      <w:r>
        <w:t xml:space="preserve">) </w:t>
      </w:r>
      <w:r>
        <w:tab/>
      </w:r>
      <w:r>
        <w:rPr>
          <w:lang w:val="en-IE"/>
        </w:rPr>
        <w:t>Directive 2012/19/EU of the European Parliament and of the Council of 4 July 2012 on waste electrical and electronic equipment (WEEE) (recast) (OJ L 197, 24.7.2012, p. 38–71).</w:t>
      </w:r>
    </w:p>
  </w:footnote>
  <w:footnote w:id="42">
    <w:p w14:paraId="6F0BDAEF" w14:textId="54C5D428" w:rsidR="00856F69" w:rsidRPr="00E82936" w:rsidRDefault="00856F69" w:rsidP="001875D4">
      <w:pPr>
        <w:pStyle w:val="FootnoteText"/>
        <w:rPr>
          <w:lang w:val="en-IE"/>
        </w:rPr>
      </w:pPr>
      <w:r>
        <w:t>(</w:t>
      </w:r>
      <w:r>
        <w:rPr>
          <w:rStyle w:val="FootnoteReference"/>
        </w:rPr>
        <w:footnoteRef/>
      </w:r>
      <w:r>
        <w:t>)</w:t>
      </w:r>
      <w:r>
        <w:tab/>
        <w:t xml:space="preserve">Member States can report waste generation and/or electrical and electronic equipment placed on the market. The latter can be converted to waste generation according to </w:t>
      </w:r>
      <w:hyperlink r:id="rId16" w:history="1">
        <w:r w:rsidRPr="0D5E584C">
          <w:rPr>
            <w:rStyle w:val="Hyperlink"/>
            <w:rFonts w:eastAsiaTheme="minorEastAsia"/>
          </w:rPr>
          <w:t>Commission Implementing Regulation (EU) 2017/699 establishing a common methodology for the calculation of the weight of electrical and electronic equipment (EEE) placed on the market of each Member State and a common methodology for the calculation of the quantity of waste electrical and electronic equipment (WEEE) generated by weight in each Member State</w:t>
        </w:r>
      </w:hyperlink>
      <w:r>
        <w:t xml:space="preserve"> and using the tools provided in </w:t>
      </w:r>
      <w:hyperlink r:id="rId17" w:history="1">
        <w:r w:rsidRPr="0D5E584C">
          <w:rPr>
            <w:rStyle w:val="Hyperlink"/>
            <w:rFonts w:eastAsiaTheme="minorEastAsia"/>
          </w:rPr>
          <w:t>https://environment.ec.europa.eu/topics/waste-and-recycling/waste-electrical-and-electronic-equipment-weee/implementation-weee-directive_en</w:t>
        </w:r>
      </w:hyperlink>
      <w:r>
        <w:rPr>
          <w:rStyle w:val="Hyperlink"/>
          <w:rFonts w:eastAsiaTheme="minorEastAsia"/>
        </w:rPr>
        <w:t>.</w:t>
      </w:r>
      <w:r>
        <w:t xml:space="preserve"> </w:t>
      </w:r>
    </w:p>
  </w:footnote>
  <w:footnote w:id="43">
    <w:p w14:paraId="34DAE821" w14:textId="2668C80A" w:rsidR="00856F69" w:rsidRPr="005426F5" w:rsidRDefault="00856F69" w:rsidP="001875D4">
      <w:pPr>
        <w:pStyle w:val="FootnoteText"/>
        <w:spacing w:after="0"/>
        <w:rPr>
          <w:lang w:val="en-IE"/>
        </w:rPr>
      </w:pPr>
      <w:r>
        <w:t>(</w:t>
      </w:r>
      <w:r>
        <w:rPr>
          <w:rStyle w:val="FootnoteReference"/>
        </w:rPr>
        <w:footnoteRef/>
      </w:r>
      <w:r>
        <w:t>)</w:t>
      </w:r>
      <w:r>
        <w:tab/>
        <w:t>I</w:t>
      </w:r>
      <w:r w:rsidRPr="006D5382">
        <w:t xml:space="preserve">llegal imports / exports of e-waste and other toxic materials are multiplying in the EU recently, increasingly affecting countries with reduced administrative capacity </w:t>
      </w:r>
      <w:r>
        <w:t>E</w:t>
      </w:r>
      <w:r w:rsidRPr="00D92E36">
        <w:t>U</w:t>
      </w:r>
      <w:r>
        <w:t>o</w:t>
      </w:r>
      <w:r w:rsidRPr="00D92E36">
        <w:t xml:space="preserve">bserver </w:t>
      </w:r>
      <w:r>
        <w:t>(2021), ‘</w:t>
      </w:r>
      <w:hyperlink r:id="rId18" w:history="1">
        <w:r w:rsidRPr="00D92E36">
          <w:t>After China ban, Romania hit by illegal waste imports</w:t>
        </w:r>
        <w:r>
          <w:t>’</w:t>
        </w:r>
        <w:r w:rsidRPr="00D92E36">
          <w:t xml:space="preserve"> (euobserver.com)</w:t>
        </w:r>
      </w:hyperlink>
      <w:r>
        <w:t xml:space="preserve">. </w:t>
      </w:r>
    </w:p>
  </w:footnote>
  <w:footnote w:id="44">
    <w:p w14:paraId="4D0803A4" w14:textId="70E5FD04" w:rsidR="00856F69" w:rsidRPr="00F14C8D" w:rsidRDefault="00856F69" w:rsidP="001875D4">
      <w:pPr>
        <w:pStyle w:val="FootnoteText"/>
        <w:rPr>
          <w:lang w:val="en-IE"/>
        </w:rPr>
      </w:pPr>
      <w:r>
        <w:t>(</w:t>
      </w:r>
      <w:r>
        <w:rPr>
          <w:rStyle w:val="FootnoteReference"/>
        </w:rPr>
        <w:footnoteRef/>
      </w:r>
      <w:r>
        <w:t>)</w:t>
      </w:r>
      <w:r>
        <w:tab/>
        <w:t xml:space="preserve">Communication from the Commission to the European Parliament, the Council, the European Economic and Social Committee and the Committee of the Regions, A secure and sustainable supply of critical raw materials in support of the twin transition, COM(2023) 165 final. </w:t>
      </w:r>
    </w:p>
  </w:footnote>
  <w:footnote w:id="45">
    <w:p w14:paraId="6C11B886" w14:textId="06C0EFD7" w:rsidR="00856F69" w:rsidRPr="006F2649" w:rsidRDefault="00856F69" w:rsidP="00540AF5">
      <w:pPr>
        <w:pStyle w:val="FootnoteText"/>
      </w:pPr>
      <w:r>
        <w:t>(</w:t>
      </w:r>
      <w:r>
        <w:rPr>
          <w:rStyle w:val="FootnoteReference"/>
        </w:rPr>
        <w:footnoteRef/>
      </w:r>
      <w:r>
        <w:t>) P</w:t>
      </w:r>
      <w:r w:rsidRPr="00540AF5">
        <w:t xml:space="preserve">ursuant to Article 10c of the ETS Directive </w:t>
      </w:r>
      <w:r>
        <w:t xml:space="preserve">For further details see </w:t>
      </w:r>
      <w:hyperlink r:id="rId19" w:history="1">
        <w:r w:rsidRPr="00C025D4">
          <w:rPr>
            <w:rStyle w:val="Hyperlink"/>
          </w:rPr>
          <w:t>https://climate.ec.europa.eu/eu-action/eu-emissions-trading-system-eu-ets/free-allocation/allocation-modernise-energy-sector_en</w:t>
        </w:r>
      </w:hyperlink>
      <w:r>
        <w:t xml:space="preserve"> and </w:t>
      </w:r>
      <w:hyperlink r:id="rId20" w:history="1">
        <w:r w:rsidRPr="00A31EDA">
          <w:rPr>
            <w:rStyle w:val="Hyperlink"/>
          </w:rPr>
          <w:t>https://climate.ec.europa.eu/eu-action/funding-climate-action/modernisation-fund_en</w:t>
        </w:r>
      </w:hyperlink>
      <w:r>
        <w:rPr>
          <w:rStyle w:val="Hyperlink"/>
        </w:rPr>
        <w:t>.</w:t>
      </w:r>
    </w:p>
  </w:footnote>
  <w:footnote w:id="46">
    <w:p w14:paraId="54A28D2E" w14:textId="31F9140F" w:rsidR="00856F69" w:rsidRPr="008D4B77" w:rsidRDefault="00856F69">
      <w:pPr>
        <w:pStyle w:val="FootnoteText"/>
        <w:rPr>
          <w:lang w:val="en-IE"/>
        </w:rPr>
      </w:pPr>
      <w:r>
        <w:t>(</w:t>
      </w:r>
      <w:r>
        <w:rPr>
          <w:rStyle w:val="FootnoteReference"/>
        </w:rPr>
        <w:footnoteRef/>
      </w:r>
      <w:r>
        <w:t>)</w:t>
      </w:r>
      <w:r>
        <w:tab/>
        <w:t>U</w:t>
      </w:r>
      <w:r w:rsidRPr="00540AF5">
        <w:t>nder Article 10(2)(b) and/or Article 10c of the ETS Directive</w:t>
      </w:r>
      <w:r>
        <w:t>.</w:t>
      </w:r>
    </w:p>
  </w:footnote>
  <w:footnote w:id="47">
    <w:p w14:paraId="195B1992" w14:textId="192326EC" w:rsidR="00856F69" w:rsidRPr="006F2649" w:rsidRDefault="00856F69" w:rsidP="00990368">
      <w:pPr>
        <w:pStyle w:val="FootnoteText"/>
      </w:pPr>
      <w:r>
        <w:t>(</w:t>
      </w:r>
      <w:r>
        <w:rPr>
          <w:rStyle w:val="FootnoteReference"/>
        </w:rPr>
        <w:footnoteRef/>
      </w:r>
      <w:r>
        <w:t xml:space="preserve">) For further details see </w:t>
      </w:r>
      <w:hyperlink r:id="rId21" w:history="1">
        <w:r w:rsidRPr="00C025D4">
          <w:rPr>
            <w:rStyle w:val="Hyperlink"/>
          </w:rPr>
          <w:t>https://climate.ec.europa.eu/eu-action/effort-sharing-member-states-emission-targets/effort-sharing-2021-2030-targets-and-flexibilities_en</w:t>
        </w:r>
      </w:hyperlink>
      <w:r>
        <w:t xml:space="preserve">. </w:t>
      </w:r>
    </w:p>
  </w:footnote>
  <w:footnote w:id="48">
    <w:p w14:paraId="6A89F447" w14:textId="32BDCDB8" w:rsidR="00856F69" w:rsidRPr="009E2433" w:rsidRDefault="00856F69" w:rsidP="00990368">
      <w:pPr>
        <w:pStyle w:val="FootnoteText"/>
      </w:pPr>
      <w:r>
        <w:t>(</w:t>
      </w:r>
      <w:r>
        <w:rPr>
          <w:rStyle w:val="FootnoteReference"/>
        </w:rPr>
        <w:footnoteRef/>
      </w:r>
      <w:r>
        <w:t xml:space="preserve">) </w:t>
      </w:r>
      <w:hyperlink r:id="rId22" w:history="1">
        <w:r w:rsidRPr="00DF7060">
          <w:rPr>
            <w:rStyle w:val="Hyperlink"/>
          </w:rPr>
          <w:t>https://eur-lex.europa.eu/legal-content/EN/TXT/?uri=CELEX:52021SC0601</w:t>
        </w:r>
      </w:hyperlink>
      <w:r>
        <w:rPr>
          <w:rStyle w:val="Hyperlink"/>
        </w:rPr>
        <w:t>.</w:t>
      </w:r>
      <w:r>
        <w:t xml:space="preserve"> </w:t>
      </w:r>
    </w:p>
  </w:footnote>
  <w:footnote w:id="49">
    <w:p w14:paraId="7556094A" w14:textId="3689D1AE" w:rsidR="00856F69" w:rsidRPr="00F943BF" w:rsidRDefault="00856F69" w:rsidP="00F943BF">
      <w:r>
        <w:rPr>
          <w:sz w:val="18"/>
          <w:szCs w:val="18"/>
        </w:rPr>
        <w:t>(</w:t>
      </w:r>
      <w:r w:rsidRPr="00702400">
        <w:rPr>
          <w:sz w:val="18"/>
          <w:szCs w:val="18"/>
          <w:vertAlign w:val="superscript"/>
        </w:rPr>
        <w:footnoteRef/>
      </w:r>
      <w:r>
        <w:rPr>
          <w:sz w:val="18"/>
          <w:szCs w:val="18"/>
        </w:rPr>
        <w:t>)</w:t>
      </w:r>
      <w:r w:rsidRPr="00702400">
        <w:rPr>
          <w:sz w:val="18"/>
          <w:szCs w:val="18"/>
        </w:rPr>
        <w:t xml:space="preserve"> </w:t>
      </w:r>
      <w:r w:rsidRPr="00702400">
        <w:rPr>
          <w:rFonts w:eastAsia="Calibri" w:cs="Calibri"/>
          <w:sz w:val="18"/>
          <w:szCs w:val="18"/>
          <w:lang w:val="en-IE"/>
        </w:rPr>
        <w:t xml:space="preserve">See for example </w:t>
      </w:r>
      <w:r>
        <w:rPr>
          <w:rFonts w:eastAsia="Calibri" w:cs="Calibri"/>
          <w:sz w:val="18"/>
          <w:szCs w:val="18"/>
          <w:lang w:val="en-IE"/>
        </w:rPr>
        <w:t>“</w:t>
      </w:r>
      <w:r w:rsidRPr="00702400">
        <w:rPr>
          <w:rFonts w:eastAsia="Calibri" w:cs="Calibri"/>
          <w:sz w:val="18"/>
          <w:szCs w:val="18"/>
          <w:lang w:val="en-IE"/>
        </w:rPr>
        <w:t>The EU-ETS price through 2030 and beyond: A closer look at drivers, models and assumptions</w:t>
      </w:r>
      <w:r>
        <w:rPr>
          <w:rFonts w:eastAsia="Calibri" w:cs="Calibri"/>
          <w:sz w:val="18"/>
          <w:szCs w:val="18"/>
          <w:lang w:val="en-IE"/>
        </w:rPr>
        <w:t>”</w:t>
      </w:r>
      <w:r w:rsidRPr="00702400">
        <w:rPr>
          <w:rFonts w:eastAsia="Calibri" w:cs="Calibri"/>
          <w:sz w:val="18"/>
          <w:szCs w:val="18"/>
          <w:lang w:val="en-IE"/>
        </w:rPr>
        <w:t>, December 2022, published by Kopernikus-Projekt Ariadne</w:t>
      </w:r>
      <w:r>
        <w:rPr>
          <w:rFonts w:eastAsia="Calibri" w:cs="Calibri"/>
          <w:sz w:val="18"/>
          <w:szCs w:val="18"/>
          <w:lang w:val="en-IE"/>
        </w:rPr>
        <w:t>.</w:t>
      </w:r>
    </w:p>
  </w:footnote>
  <w:footnote w:id="50">
    <w:p w14:paraId="745FB6B5" w14:textId="603DBEC6" w:rsidR="00856F69" w:rsidRPr="0047638E" w:rsidRDefault="00856F69">
      <w:pPr>
        <w:pStyle w:val="FootnoteText"/>
        <w:rPr>
          <w:lang w:val="en-IE"/>
        </w:rPr>
      </w:pPr>
      <w:r>
        <w:t>(</w:t>
      </w:r>
      <w:r>
        <w:rPr>
          <w:rStyle w:val="FootnoteReference"/>
        </w:rPr>
        <w:footnoteRef/>
      </w:r>
      <w:r>
        <w:t>)</w:t>
      </w:r>
      <w:r>
        <w:tab/>
      </w:r>
      <w:hyperlink r:id="rId23" w:anchor="Summary" w:history="1">
        <w:r w:rsidRPr="00466C6A">
          <w:rPr>
            <w:rStyle w:val="Hyperlink"/>
          </w:rPr>
          <w:t>Structural business statistics introduced - Statistics Explained (europa.eu)</w:t>
        </w:r>
      </w:hyperlink>
      <w:r>
        <w:rPr>
          <w:rStyle w:val="Hyperlink"/>
        </w:rPr>
        <w:t>.</w:t>
      </w:r>
      <w:r>
        <w:t xml:space="preserve"> </w:t>
      </w:r>
    </w:p>
  </w:footnote>
  <w:footnote w:id="51">
    <w:p w14:paraId="1C64C067" w14:textId="3BCCA578" w:rsidR="00856F69" w:rsidRPr="0047638E" w:rsidRDefault="00856F69">
      <w:pPr>
        <w:pStyle w:val="FootnoteText"/>
        <w:rPr>
          <w:lang w:val="en-IE"/>
        </w:rPr>
      </w:pPr>
      <w:r>
        <w:t>(</w:t>
      </w:r>
      <w:r>
        <w:rPr>
          <w:rStyle w:val="FootnoteReference"/>
        </w:rPr>
        <w:footnoteRef/>
      </w:r>
      <w:r>
        <w:t>)</w:t>
      </w:r>
      <w:r>
        <w:tab/>
      </w:r>
      <w:r w:rsidRPr="00466C6A">
        <w:t xml:space="preserve">Section 5 Methodological manual on European Structural Business Statistics 2021 edition </w:t>
      </w:r>
      <w:hyperlink r:id="rId24" w:history="1">
        <w:r w:rsidRPr="00466C6A">
          <w:rPr>
            <w:rStyle w:val="Hyperlink"/>
          </w:rPr>
          <w:t>Methodological manual on European Structural Business Statistics (europa.eu)</w:t>
        </w:r>
      </w:hyperlink>
      <w:r>
        <w:rPr>
          <w:rStyle w:val="Hyperlink"/>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C865" w14:textId="77777777" w:rsidR="00451640" w:rsidRPr="00451640" w:rsidRDefault="00451640" w:rsidP="00451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BDF5" w14:textId="77777777" w:rsidR="00451640" w:rsidRPr="00451640" w:rsidRDefault="00451640" w:rsidP="0045164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885EB" w14:textId="77777777" w:rsidR="00451640" w:rsidRPr="00451640" w:rsidRDefault="00451640" w:rsidP="0045164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8C68" w14:textId="77777777" w:rsidR="00856F69" w:rsidRPr="00DD47E0" w:rsidRDefault="00856F69" w:rsidP="00DD47E0">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2BEF" w14:textId="77777777" w:rsidR="00856F69" w:rsidRPr="00DD47E0" w:rsidRDefault="00856F69" w:rsidP="00DD47E0">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C1F1" w14:textId="77777777" w:rsidR="00856F69" w:rsidRPr="00DD47E0" w:rsidRDefault="00856F69" w:rsidP="00DD47E0">
    <w:pPr>
      <w:pStyle w:val="HeaderCover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6B147F9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BEB749C"/>
    <w:multiLevelType w:val="hybridMultilevel"/>
    <w:tmpl w:val="56E4FCB8"/>
    <w:lvl w:ilvl="0" w:tplc="E89412E4">
      <w:start w:val="1"/>
      <w:numFmt w:val="bullet"/>
      <w:pStyle w:val="bullets-orange"/>
      <w:lvlText w:val="‒"/>
      <w:lvlJc w:val="left"/>
      <w:pPr>
        <w:ind w:left="720" w:hanging="360"/>
      </w:pPr>
      <w:rPr>
        <w:rFonts w:ascii="EC Square Sans Pro Medium" w:hAnsi="EC Square Sans Pro Medium" w:hint="default"/>
        <w:b/>
        <w:color w:val="023E8A" w:themeColor="accen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E27A1"/>
    <w:multiLevelType w:val="hybridMultilevel"/>
    <w:tmpl w:val="2E46A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B7115"/>
    <w:multiLevelType w:val="multilevel"/>
    <w:tmpl w:val="A9AE00F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3F807B9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D13C6BA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8A7646D0"/>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7D0E0F6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5D526E0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A240FD8"/>
    <w:multiLevelType w:val="hybridMultilevel"/>
    <w:tmpl w:val="47A29260"/>
    <w:lvl w:ilvl="0" w:tplc="17404840">
      <w:start w:val="1"/>
      <w:numFmt w:val="decimal"/>
      <w:lvlText w:val="%1."/>
      <w:lvlJc w:val="left"/>
      <w:pPr>
        <w:ind w:left="1069" w:hanging="360"/>
      </w:pPr>
      <w:rPr>
        <w:rFonts w:hint="default"/>
        <w:b/>
        <w:color w:val="023E8A" w:themeColor="accen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7B624F"/>
    <w:multiLevelType w:val="multilevel"/>
    <w:tmpl w:val="DF44F5C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4770FD5"/>
    <w:multiLevelType w:val="hybridMultilevel"/>
    <w:tmpl w:val="1680B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57ED9"/>
    <w:multiLevelType w:val="hybridMultilevel"/>
    <w:tmpl w:val="5E56622A"/>
    <w:lvl w:ilvl="0" w:tplc="0D5CE5C6">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8DFDF8"/>
    <w:multiLevelType w:val="multilevel"/>
    <w:tmpl w:val="77A452C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E3"/>
    <w:multiLevelType w:val="multilevel"/>
    <w:tmpl w:val="9B9AE46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F4"/>
    <w:multiLevelType w:val="multilevel"/>
    <w:tmpl w:val="9FC27E4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324F1E"/>
    <w:multiLevelType w:val="multilevel"/>
    <w:tmpl w:val="EDBE29B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B39635A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8D08DD1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B68407E"/>
    <w:multiLevelType w:val="hybridMultilevel"/>
    <w:tmpl w:val="6CAEC7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F833C89"/>
    <w:multiLevelType w:val="hybridMultilevel"/>
    <w:tmpl w:val="856E4AAA"/>
    <w:lvl w:ilvl="0" w:tplc="04B28DEE">
      <w:start w:val="1"/>
      <w:numFmt w:val="decimal"/>
      <w:lvlText w:val="%1."/>
      <w:lvlJc w:val="left"/>
      <w:pPr>
        <w:ind w:left="531" w:hanging="360"/>
      </w:pPr>
      <w:rPr>
        <w:rFonts w:hint="default"/>
      </w:rPr>
    </w:lvl>
    <w:lvl w:ilvl="1" w:tplc="18090019" w:tentative="1">
      <w:start w:val="1"/>
      <w:numFmt w:val="lowerLetter"/>
      <w:lvlText w:val="%2."/>
      <w:lvlJc w:val="left"/>
      <w:pPr>
        <w:ind w:left="1251" w:hanging="360"/>
      </w:pPr>
    </w:lvl>
    <w:lvl w:ilvl="2" w:tplc="1809001B" w:tentative="1">
      <w:start w:val="1"/>
      <w:numFmt w:val="lowerRoman"/>
      <w:lvlText w:val="%3."/>
      <w:lvlJc w:val="right"/>
      <w:pPr>
        <w:ind w:left="1971" w:hanging="180"/>
      </w:pPr>
    </w:lvl>
    <w:lvl w:ilvl="3" w:tplc="1809000F" w:tentative="1">
      <w:start w:val="1"/>
      <w:numFmt w:val="decimal"/>
      <w:lvlText w:val="%4."/>
      <w:lvlJc w:val="left"/>
      <w:pPr>
        <w:ind w:left="2691" w:hanging="360"/>
      </w:pPr>
    </w:lvl>
    <w:lvl w:ilvl="4" w:tplc="18090019" w:tentative="1">
      <w:start w:val="1"/>
      <w:numFmt w:val="lowerLetter"/>
      <w:lvlText w:val="%5."/>
      <w:lvlJc w:val="left"/>
      <w:pPr>
        <w:ind w:left="3411" w:hanging="360"/>
      </w:pPr>
    </w:lvl>
    <w:lvl w:ilvl="5" w:tplc="1809001B" w:tentative="1">
      <w:start w:val="1"/>
      <w:numFmt w:val="lowerRoman"/>
      <w:lvlText w:val="%6."/>
      <w:lvlJc w:val="right"/>
      <w:pPr>
        <w:ind w:left="4131" w:hanging="180"/>
      </w:pPr>
    </w:lvl>
    <w:lvl w:ilvl="6" w:tplc="1809000F" w:tentative="1">
      <w:start w:val="1"/>
      <w:numFmt w:val="decimal"/>
      <w:lvlText w:val="%7."/>
      <w:lvlJc w:val="left"/>
      <w:pPr>
        <w:ind w:left="4851" w:hanging="360"/>
      </w:pPr>
    </w:lvl>
    <w:lvl w:ilvl="7" w:tplc="18090019" w:tentative="1">
      <w:start w:val="1"/>
      <w:numFmt w:val="lowerLetter"/>
      <w:lvlText w:val="%8."/>
      <w:lvlJc w:val="left"/>
      <w:pPr>
        <w:ind w:left="5571" w:hanging="360"/>
      </w:pPr>
    </w:lvl>
    <w:lvl w:ilvl="8" w:tplc="1809001B" w:tentative="1">
      <w:start w:val="1"/>
      <w:numFmt w:val="lowerRoman"/>
      <w:lvlText w:val="%9."/>
      <w:lvlJc w:val="right"/>
      <w:pPr>
        <w:ind w:left="6291" w:hanging="180"/>
      </w:pPr>
    </w:lvl>
  </w:abstractNum>
  <w:abstractNum w:abstractNumId="21" w15:restartNumberingAfterBreak="0">
    <w:nsid w:val="41BB5CFA"/>
    <w:multiLevelType w:val="hybridMultilevel"/>
    <w:tmpl w:val="F5C41D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E662A"/>
    <w:multiLevelType w:val="multilevel"/>
    <w:tmpl w:val="22E0399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A254075"/>
    <w:multiLevelType w:val="hybridMultilevel"/>
    <w:tmpl w:val="B24A48E2"/>
    <w:lvl w:ilvl="0" w:tplc="A40020D4">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15:restartNumberingAfterBreak="0">
    <w:nsid w:val="4E1A63DF"/>
    <w:multiLevelType w:val="multilevel"/>
    <w:tmpl w:val="90464148"/>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E1A982C"/>
    <w:multiLevelType w:val="multilevel"/>
    <w:tmpl w:val="D0609CF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619B"/>
    <w:multiLevelType w:val="multilevel"/>
    <w:tmpl w:val="01CE7B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0729B52"/>
    <w:multiLevelType w:val="multilevel"/>
    <w:tmpl w:val="79EA959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6977472E"/>
    <w:multiLevelType w:val="multilevel"/>
    <w:tmpl w:val="5ABC611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6FEC0D2A"/>
    <w:multiLevelType w:val="hybridMultilevel"/>
    <w:tmpl w:val="69F2EFD6"/>
    <w:lvl w:ilvl="0" w:tplc="9B4AFFD8">
      <w:start w:val="1"/>
      <w:numFmt w:val="bullet"/>
      <w:pStyle w:val="ListParagraph"/>
      <w:lvlText w:val=""/>
      <w:lvlJc w:val="left"/>
      <w:pPr>
        <w:ind w:left="530" w:hanging="360"/>
      </w:pPr>
      <w:rPr>
        <w:rFonts w:ascii="Symbol" w:hAnsi="Symbol" w:hint="default"/>
        <w:color w:val="023E8A"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96143"/>
    <w:multiLevelType w:val="hybridMultilevel"/>
    <w:tmpl w:val="286AF66A"/>
    <w:lvl w:ilvl="0" w:tplc="2F4CFD4E">
      <w:start w:val="1"/>
      <w:numFmt w:val="decimal"/>
      <w:pStyle w:val="Numbering"/>
      <w:lvlText w:val="%1."/>
      <w:lvlJc w:val="left"/>
      <w:rPr>
        <w:b/>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AD3251"/>
    <w:multiLevelType w:val="multilevel"/>
    <w:tmpl w:val="2B6AD95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7A932F11"/>
    <w:multiLevelType w:val="hybridMultilevel"/>
    <w:tmpl w:val="1878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65145E"/>
    <w:multiLevelType w:val="multilevel"/>
    <w:tmpl w:val="BDFE6668"/>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3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5" w15:restartNumberingAfterBreak="0">
    <w:nsid w:val="7FD72D60"/>
    <w:multiLevelType w:val="hybridMultilevel"/>
    <w:tmpl w:val="3F9EE98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7"/>
  </w:num>
  <w:num w:numId="5">
    <w:abstractNumId w:val="26"/>
  </w:num>
  <w:num w:numId="6">
    <w:abstractNumId w:val="28"/>
  </w:num>
  <w:num w:numId="7">
    <w:abstractNumId w:val="3"/>
  </w:num>
  <w:num w:numId="8">
    <w:abstractNumId w:val="8"/>
  </w:num>
  <w:num w:numId="9">
    <w:abstractNumId w:val="22"/>
  </w:num>
  <w:num w:numId="10">
    <w:abstractNumId w:val="4"/>
  </w:num>
  <w:num w:numId="11">
    <w:abstractNumId w:val="6"/>
  </w:num>
  <w:num w:numId="12">
    <w:abstractNumId w:val="7"/>
  </w:num>
  <w:num w:numId="13">
    <w:abstractNumId w:val="13"/>
  </w:num>
  <w:num w:numId="14">
    <w:abstractNumId w:val="18"/>
  </w:num>
  <w:num w:numId="15">
    <w:abstractNumId w:val="25"/>
  </w:num>
  <w:num w:numId="16">
    <w:abstractNumId w:val="14"/>
  </w:num>
  <w:num w:numId="17">
    <w:abstractNumId w:val="15"/>
  </w:num>
  <w:num w:numId="18">
    <w:abstractNumId w:val="34"/>
  </w:num>
  <w:num w:numId="19">
    <w:abstractNumId w:val="24"/>
  </w:num>
  <w:num w:numId="20">
    <w:abstractNumId w:val="27"/>
  </w:num>
  <w:num w:numId="21">
    <w:abstractNumId w:val="5"/>
  </w:num>
  <w:num w:numId="22">
    <w:abstractNumId w:val="31"/>
  </w:num>
  <w:num w:numId="23">
    <w:abstractNumId w:val="9"/>
  </w:num>
  <w:num w:numId="24">
    <w:abstractNumId w:val="20"/>
  </w:num>
  <w:num w:numId="25">
    <w:abstractNumId w:val="29"/>
  </w:num>
  <w:num w:numId="26">
    <w:abstractNumId w:val="2"/>
  </w:num>
  <w:num w:numId="27">
    <w:abstractNumId w:val="21"/>
  </w:num>
  <w:num w:numId="28">
    <w:abstractNumId w:val="30"/>
  </w:num>
  <w:num w:numId="29">
    <w:abstractNumId w:val="30"/>
    <w:lvlOverride w:ilvl="0">
      <w:startOverride w:val="1"/>
    </w:lvlOverride>
  </w:num>
  <w:num w:numId="30">
    <w:abstractNumId w:val="30"/>
    <w:lvlOverride w:ilvl="0">
      <w:startOverride w:val="1"/>
    </w:lvlOverride>
  </w:num>
  <w:num w:numId="31">
    <w:abstractNumId w:val="30"/>
    <w:lvlOverride w:ilvl="0">
      <w:startOverride w:val="1"/>
    </w:lvlOverride>
  </w:num>
  <w:num w:numId="32">
    <w:abstractNumId w:val="23"/>
  </w:num>
  <w:num w:numId="33">
    <w:abstractNumId w:val="1"/>
  </w:num>
  <w:num w:numId="34">
    <w:abstractNumId w:val="35"/>
  </w:num>
  <w:num w:numId="35">
    <w:abstractNumId w:val="30"/>
    <w:lvlOverride w:ilvl="0">
      <w:startOverride w:val="1"/>
    </w:lvlOverride>
  </w:num>
  <w:num w:numId="36">
    <w:abstractNumId w:val="32"/>
  </w:num>
  <w:num w:numId="37">
    <w:abstractNumId w:val="11"/>
  </w:num>
  <w:num w:numId="38">
    <w:abstractNumId w:val="12"/>
  </w:num>
  <w:num w:numId="39">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it-IT" w:vendorID="64" w:dllVersion="6" w:nlCheck="1" w:checkStyle="0"/>
  <w:activeWritingStyle w:appName="MSWord" w:lang="fi-FI" w:vendorID="64" w:dllVersion="0" w:nlCheck="1" w:checkStyle="0"/>
  <w:activeWritingStyle w:appName="MSWord" w:lang="fi-FI" w:vendorID="64" w:dllVersion="6" w:nlCheck="1" w:checkStyle="0"/>
  <w:activeWritingStyle w:appName="MSWord" w:lang="de-DE" w:vendorID="64" w:dllVersion="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
  <w:docVars>
    <w:docVar w:name="DocStatus" w:val="Green"/>
    <w:docVar w:name="LW_ACCOMPAGNANT.CP" w:val="Accompanying the document"/>
    <w:docVar w:name="LW_CORRIGENDUM" w:val="&lt;UNUSED&gt;"/>
    <w:docVar w:name="LW_COVERPAGE_EXISTS" w:val="True"/>
    <w:docVar w:name="LW_COVERPAGE_GUID" w:val="9F30C497-CF0C-4DFD-99D2-6B42384BA0B2"/>
    <w:docVar w:name="LW_COVERPAGE_TYPE" w:val="1"/>
    <w:docVar w:name="LW_CROSSREFERENCE" w:val="{COM(2023) 331 final}"/>
    <w:docVar w:name="LW_DocType" w:val="EUROLOOK"/>
    <w:docVar w:name="LW_EMISSION" w:val="20.6.2023"/>
    <w:docVar w:name="LW_EMISSION_ISODATE" w:val="2023-06-2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mending Decision (EU, Euratom) 2020/2053 on the system of own resources of the European Union"/>
    <w:docVar w:name="LW_PART_NBR" w:val="1"/>
    <w:docVar w:name="LW_PART_NBR_TOTAL" w:val="1"/>
    <w:docVar w:name="LW_REF.INST.NEW" w:val="SWD"/>
    <w:docVar w:name="LW_REF.INST.NEW_ADOPTED" w:val="final"/>
    <w:docVar w:name="LW_REF.INST.NEW_TEXT" w:val="(2023) 33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Style_Marker&gt; &lt;/FMT&gt;"/>
    <w:docVar w:name="LW_TYPE.DOC.CP" w:val="COMMISSION STAFF WORKING DOCUMENT"/>
    <w:docVar w:name="LW_TYPEACTEPRINCIPAL.CP" w:val="Amended Proposal for a Council Decision"/>
    <w:docVar w:name="LwApiVersions" w:val="LW4CoDe 1.23.2.0; LW 8.0, Build 20211117"/>
  </w:docVars>
  <w:rsids>
    <w:rsidRoot w:val="00027AC3"/>
    <w:rsid w:val="000002B1"/>
    <w:rsid w:val="00001702"/>
    <w:rsid w:val="00002122"/>
    <w:rsid w:val="0000384C"/>
    <w:rsid w:val="00003879"/>
    <w:rsid w:val="00005FC4"/>
    <w:rsid w:val="000062C2"/>
    <w:rsid w:val="0000778C"/>
    <w:rsid w:val="000100FC"/>
    <w:rsid w:val="000105FF"/>
    <w:rsid w:val="00010AAE"/>
    <w:rsid w:val="00012D91"/>
    <w:rsid w:val="0001308A"/>
    <w:rsid w:val="00014895"/>
    <w:rsid w:val="00015DB0"/>
    <w:rsid w:val="00016A17"/>
    <w:rsid w:val="00017821"/>
    <w:rsid w:val="00020C68"/>
    <w:rsid w:val="00021B92"/>
    <w:rsid w:val="00023F80"/>
    <w:rsid w:val="00024164"/>
    <w:rsid w:val="0002471A"/>
    <w:rsid w:val="0002482A"/>
    <w:rsid w:val="00025488"/>
    <w:rsid w:val="000275F4"/>
    <w:rsid w:val="00027AC3"/>
    <w:rsid w:val="000301B0"/>
    <w:rsid w:val="000309C6"/>
    <w:rsid w:val="00030D59"/>
    <w:rsid w:val="000310B9"/>
    <w:rsid w:val="00034641"/>
    <w:rsid w:val="0003476C"/>
    <w:rsid w:val="00034B5C"/>
    <w:rsid w:val="00034D0B"/>
    <w:rsid w:val="00034E60"/>
    <w:rsid w:val="000359C9"/>
    <w:rsid w:val="000408B9"/>
    <w:rsid w:val="00040DE0"/>
    <w:rsid w:val="0004257C"/>
    <w:rsid w:val="00043A64"/>
    <w:rsid w:val="00043AAF"/>
    <w:rsid w:val="0004475E"/>
    <w:rsid w:val="000469CC"/>
    <w:rsid w:val="00047E2E"/>
    <w:rsid w:val="000512D0"/>
    <w:rsid w:val="000528EE"/>
    <w:rsid w:val="00053806"/>
    <w:rsid w:val="00053DDA"/>
    <w:rsid w:val="000556F1"/>
    <w:rsid w:val="00056F71"/>
    <w:rsid w:val="00057B1F"/>
    <w:rsid w:val="00061F90"/>
    <w:rsid w:val="00062D7D"/>
    <w:rsid w:val="00065737"/>
    <w:rsid w:val="00066607"/>
    <w:rsid w:val="000669CE"/>
    <w:rsid w:val="0007018E"/>
    <w:rsid w:val="00072F88"/>
    <w:rsid w:val="000734A1"/>
    <w:rsid w:val="000738F7"/>
    <w:rsid w:val="000749E4"/>
    <w:rsid w:val="00074BCD"/>
    <w:rsid w:val="0007548B"/>
    <w:rsid w:val="000760CC"/>
    <w:rsid w:val="000800FE"/>
    <w:rsid w:val="00084D66"/>
    <w:rsid w:val="00085D25"/>
    <w:rsid w:val="00087359"/>
    <w:rsid w:val="000902F6"/>
    <w:rsid w:val="00090685"/>
    <w:rsid w:val="00090AB7"/>
    <w:rsid w:val="0009303D"/>
    <w:rsid w:val="000935EA"/>
    <w:rsid w:val="00093E58"/>
    <w:rsid w:val="00094037"/>
    <w:rsid w:val="00094939"/>
    <w:rsid w:val="0009495E"/>
    <w:rsid w:val="000A0014"/>
    <w:rsid w:val="000A1188"/>
    <w:rsid w:val="000A1316"/>
    <w:rsid w:val="000A2DDC"/>
    <w:rsid w:val="000A3982"/>
    <w:rsid w:val="000A402F"/>
    <w:rsid w:val="000A5DF4"/>
    <w:rsid w:val="000A6240"/>
    <w:rsid w:val="000A6556"/>
    <w:rsid w:val="000A679B"/>
    <w:rsid w:val="000A6CF9"/>
    <w:rsid w:val="000B1B1B"/>
    <w:rsid w:val="000B213F"/>
    <w:rsid w:val="000B3137"/>
    <w:rsid w:val="000B3569"/>
    <w:rsid w:val="000B6199"/>
    <w:rsid w:val="000C0B94"/>
    <w:rsid w:val="000C0EEE"/>
    <w:rsid w:val="000C1823"/>
    <w:rsid w:val="000C3652"/>
    <w:rsid w:val="000C383D"/>
    <w:rsid w:val="000C3EE2"/>
    <w:rsid w:val="000C44F8"/>
    <w:rsid w:val="000C6904"/>
    <w:rsid w:val="000C7835"/>
    <w:rsid w:val="000D2B1D"/>
    <w:rsid w:val="000D3294"/>
    <w:rsid w:val="000D4BEE"/>
    <w:rsid w:val="000D4FFB"/>
    <w:rsid w:val="000D50B9"/>
    <w:rsid w:val="000E0B7C"/>
    <w:rsid w:val="000E0FB5"/>
    <w:rsid w:val="000E23E4"/>
    <w:rsid w:val="000E2F14"/>
    <w:rsid w:val="000E3952"/>
    <w:rsid w:val="000E3D91"/>
    <w:rsid w:val="000E406C"/>
    <w:rsid w:val="000E4364"/>
    <w:rsid w:val="000E46B9"/>
    <w:rsid w:val="000E54DA"/>
    <w:rsid w:val="000E6C9D"/>
    <w:rsid w:val="000F00BC"/>
    <w:rsid w:val="000F0591"/>
    <w:rsid w:val="000F0C3D"/>
    <w:rsid w:val="000F1001"/>
    <w:rsid w:val="000F2C5D"/>
    <w:rsid w:val="000F2F93"/>
    <w:rsid w:val="000F32AE"/>
    <w:rsid w:val="000F6802"/>
    <w:rsid w:val="00101627"/>
    <w:rsid w:val="001020DA"/>
    <w:rsid w:val="00102109"/>
    <w:rsid w:val="001021D1"/>
    <w:rsid w:val="00104962"/>
    <w:rsid w:val="00106036"/>
    <w:rsid w:val="001063D1"/>
    <w:rsid w:val="0010650C"/>
    <w:rsid w:val="00113BCE"/>
    <w:rsid w:val="00115E4D"/>
    <w:rsid w:val="001162B0"/>
    <w:rsid w:val="0011747C"/>
    <w:rsid w:val="00117B7C"/>
    <w:rsid w:val="00117C8F"/>
    <w:rsid w:val="00117F96"/>
    <w:rsid w:val="001225F7"/>
    <w:rsid w:val="001227D4"/>
    <w:rsid w:val="00122F78"/>
    <w:rsid w:val="0012381D"/>
    <w:rsid w:val="00125A66"/>
    <w:rsid w:val="00130C88"/>
    <w:rsid w:val="0013258B"/>
    <w:rsid w:val="00132C1B"/>
    <w:rsid w:val="001335C0"/>
    <w:rsid w:val="00133860"/>
    <w:rsid w:val="00133BB5"/>
    <w:rsid w:val="001343E4"/>
    <w:rsid w:val="00134586"/>
    <w:rsid w:val="0013472F"/>
    <w:rsid w:val="00134F53"/>
    <w:rsid w:val="001359A7"/>
    <w:rsid w:val="00135FB1"/>
    <w:rsid w:val="00136B5D"/>
    <w:rsid w:val="00137468"/>
    <w:rsid w:val="001374E3"/>
    <w:rsid w:val="001379B7"/>
    <w:rsid w:val="00137B76"/>
    <w:rsid w:val="00140062"/>
    <w:rsid w:val="0014132E"/>
    <w:rsid w:val="001424D5"/>
    <w:rsid w:val="00142656"/>
    <w:rsid w:val="00142C3E"/>
    <w:rsid w:val="00144A8B"/>
    <w:rsid w:val="00145280"/>
    <w:rsid w:val="00145E4B"/>
    <w:rsid w:val="00146752"/>
    <w:rsid w:val="001467B0"/>
    <w:rsid w:val="0014692C"/>
    <w:rsid w:val="00147342"/>
    <w:rsid w:val="00150268"/>
    <w:rsid w:val="001509F2"/>
    <w:rsid w:val="00150DA5"/>
    <w:rsid w:val="00150EB9"/>
    <w:rsid w:val="001525F9"/>
    <w:rsid w:val="00152972"/>
    <w:rsid w:val="0015418B"/>
    <w:rsid w:val="00154AA7"/>
    <w:rsid w:val="00155A64"/>
    <w:rsid w:val="00156372"/>
    <w:rsid w:val="00161150"/>
    <w:rsid w:val="00161F04"/>
    <w:rsid w:val="00162CE7"/>
    <w:rsid w:val="001633A8"/>
    <w:rsid w:val="00164982"/>
    <w:rsid w:val="0016735F"/>
    <w:rsid w:val="0016773A"/>
    <w:rsid w:val="00170501"/>
    <w:rsid w:val="0017089B"/>
    <w:rsid w:val="001714BF"/>
    <w:rsid w:val="00171794"/>
    <w:rsid w:val="001718A0"/>
    <w:rsid w:val="00171DCD"/>
    <w:rsid w:val="00172455"/>
    <w:rsid w:val="00172968"/>
    <w:rsid w:val="00172A1E"/>
    <w:rsid w:val="0017355C"/>
    <w:rsid w:val="0017367B"/>
    <w:rsid w:val="0017446E"/>
    <w:rsid w:val="00175159"/>
    <w:rsid w:val="00175C34"/>
    <w:rsid w:val="001761EC"/>
    <w:rsid w:val="001766B6"/>
    <w:rsid w:val="001772AB"/>
    <w:rsid w:val="00177907"/>
    <w:rsid w:val="0018031B"/>
    <w:rsid w:val="00181EA7"/>
    <w:rsid w:val="001825DA"/>
    <w:rsid w:val="00183053"/>
    <w:rsid w:val="00183935"/>
    <w:rsid w:val="001846A1"/>
    <w:rsid w:val="00184B6A"/>
    <w:rsid w:val="00185C30"/>
    <w:rsid w:val="0018612E"/>
    <w:rsid w:val="00186507"/>
    <w:rsid w:val="00187446"/>
    <w:rsid w:val="001875D4"/>
    <w:rsid w:val="001900A0"/>
    <w:rsid w:val="00190506"/>
    <w:rsid w:val="0019189C"/>
    <w:rsid w:val="00191DFB"/>
    <w:rsid w:val="0019226A"/>
    <w:rsid w:val="0019384D"/>
    <w:rsid w:val="00193984"/>
    <w:rsid w:val="00193D6E"/>
    <w:rsid w:val="001948BA"/>
    <w:rsid w:val="001975AD"/>
    <w:rsid w:val="001975B7"/>
    <w:rsid w:val="00197646"/>
    <w:rsid w:val="001977FA"/>
    <w:rsid w:val="00197C0E"/>
    <w:rsid w:val="00197F68"/>
    <w:rsid w:val="001A0DC4"/>
    <w:rsid w:val="001A37C1"/>
    <w:rsid w:val="001A51A4"/>
    <w:rsid w:val="001A58AD"/>
    <w:rsid w:val="001A5CCA"/>
    <w:rsid w:val="001A6404"/>
    <w:rsid w:val="001A6895"/>
    <w:rsid w:val="001A6926"/>
    <w:rsid w:val="001A7419"/>
    <w:rsid w:val="001A7913"/>
    <w:rsid w:val="001A7BA6"/>
    <w:rsid w:val="001B06C6"/>
    <w:rsid w:val="001B144A"/>
    <w:rsid w:val="001B1AE0"/>
    <w:rsid w:val="001B42CA"/>
    <w:rsid w:val="001B51E0"/>
    <w:rsid w:val="001B54E7"/>
    <w:rsid w:val="001B5C3B"/>
    <w:rsid w:val="001B6181"/>
    <w:rsid w:val="001B6197"/>
    <w:rsid w:val="001B6712"/>
    <w:rsid w:val="001B6E6D"/>
    <w:rsid w:val="001B7FAD"/>
    <w:rsid w:val="001C087F"/>
    <w:rsid w:val="001C095F"/>
    <w:rsid w:val="001C12EC"/>
    <w:rsid w:val="001C1B99"/>
    <w:rsid w:val="001C3495"/>
    <w:rsid w:val="001C3E6A"/>
    <w:rsid w:val="001C4867"/>
    <w:rsid w:val="001C4D08"/>
    <w:rsid w:val="001C512E"/>
    <w:rsid w:val="001C68C9"/>
    <w:rsid w:val="001C77AB"/>
    <w:rsid w:val="001D3B49"/>
    <w:rsid w:val="001D3C08"/>
    <w:rsid w:val="001D44F1"/>
    <w:rsid w:val="001D63F1"/>
    <w:rsid w:val="001D7145"/>
    <w:rsid w:val="001D7525"/>
    <w:rsid w:val="001D7F04"/>
    <w:rsid w:val="001D7F93"/>
    <w:rsid w:val="001E0046"/>
    <w:rsid w:val="001E064B"/>
    <w:rsid w:val="001E09DC"/>
    <w:rsid w:val="001E1452"/>
    <w:rsid w:val="001E1E4F"/>
    <w:rsid w:val="001E3732"/>
    <w:rsid w:val="001E3735"/>
    <w:rsid w:val="001E3C74"/>
    <w:rsid w:val="001E4D44"/>
    <w:rsid w:val="001E4D8C"/>
    <w:rsid w:val="001E7958"/>
    <w:rsid w:val="001E7D38"/>
    <w:rsid w:val="001E7F1F"/>
    <w:rsid w:val="001F1CE9"/>
    <w:rsid w:val="001F30DB"/>
    <w:rsid w:val="001F3624"/>
    <w:rsid w:val="001F3871"/>
    <w:rsid w:val="001F419B"/>
    <w:rsid w:val="001F4B69"/>
    <w:rsid w:val="001F5004"/>
    <w:rsid w:val="001F5BBB"/>
    <w:rsid w:val="001F5DC5"/>
    <w:rsid w:val="001F5F49"/>
    <w:rsid w:val="001F7A7B"/>
    <w:rsid w:val="00200433"/>
    <w:rsid w:val="00201DA3"/>
    <w:rsid w:val="00202B63"/>
    <w:rsid w:val="00203530"/>
    <w:rsid w:val="00203C6B"/>
    <w:rsid w:val="00204BE7"/>
    <w:rsid w:val="00207050"/>
    <w:rsid w:val="002078A6"/>
    <w:rsid w:val="00211B1B"/>
    <w:rsid w:val="00211C46"/>
    <w:rsid w:val="00212664"/>
    <w:rsid w:val="002129FB"/>
    <w:rsid w:val="00214B45"/>
    <w:rsid w:val="002154EE"/>
    <w:rsid w:val="00217013"/>
    <w:rsid w:val="002178FF"/>
    <w:rsid w:val="00221BD6"/>
    <w:rsid w:val="00223565"/>
    <w:rsid w:val="002243F0"/>
    <w:rsid w:val="002248FF"/>
    <w:rsid w:val="00224B51"/>
    <w:rsid w:val="00224B67"/>
    <w:rsid w:val="00224BAF"/>
    <w:rsid w:val="00225507"/>
    <w:rsid w:val="0022618B"/>
    <w:rsid w:val="00226272"/>
    <w:rsid w:val="00226F74"/>
    <w:rsid w:val="0023071C"/>
    <w:rsid w:val="002311FE"/>
    <w:rsid w:val="00233DEC"/>
    <w:rsid w:val="002344C4"/>
    <w:rsid w:val="00234923"/>
    <w:rsid w:val="00234DE3"/>
    <w:rsid w:val="00235FC3"/>
    <w:rsid w:val="002368FA"/>
    <w:rsid w:val="00236B83"/>
    <w:rsid w:val="00236C47"/>
    <w:rsid w:val="002372C5"/>
    <w:rsid w:val="002403C5"/>
    <w:rsid w:val="00241187"/>
    <w:rsid w:val="002414B7"/>
    <w:rsid w:val="00242479"/>
    <w:rsid w:val="00242AC8"/>
    <w:rsid w:val="00243E0D"/>
    <w:rsid w:val="00243EF8"/>
    <w:rsid w:val="0024515D"/>
    <w:rsid w:val="00245942"/>
    <w:rsid w:val="0024651E"/>
    <w:rsid w:val="00246B1D"/>
    <w:rsid w:val="00250B08"/>
    <w:rsid w:val="0025132B"/>
    <w:rsid w:val="002514C9"/>
    <w:rsid w:val="00251EA1"/>
    <w:rsid w:val="002522E7"/>
    <w:rsid w:val="00252350"/>
    <w:rsid w:val="00254450"/>
    <w:rsid w:val="00254530"/>
    <w:rsid w:val="00254B4F"/>
    <w:rsid w:val="00254CD9"/>
    <w:rsid w:val="00256CE3"/>
    <w:rsid w:val="00257C7A"/>
    <w:rsid w:val="00257DEA"/>
    <w:rsid w:val="00260BF1"/>
    <w:rsid w:val="00262C96"/>
    <w:rsid w:val="00265103"/>
    <w:rsid w:val="00265BA9"/>
    <w:rsid w:val="00267E83"/>
    <w:rsid w:val="00270D87"/>
    <w:rsid w:val="00271A05"/>
    <w:rsid w:val="00271D23"/>
    <w:rsid w:val="00272209"/>
    <w:rsid w:val="0027281B"/>
    <w:rsid w:val="00272E18"/>
    <w:rsid w:val="002739E3"/>
    <w:rsid w:val="002747C9"/>
    <w:rsid w:val="00274964"/>
    <w:rsid w:val="00275622"/>
    <w:rsid w:val="002757CE"/>
    <w:rsid w:val="00275F56"/>
    <w:rsid w:val="00277279"/>
    <w:rsid w:val="0028076C"/>
    <w:rsid w:val="002811E3"/>
    <w:rsid w:val="00281440"/>
    <w:rsid w:val="00283717"/>
    <w:rsid w:val="00284D38"/>
    <w:rsid w:val="002859EA"/>
    <w:rsid w:val="00286017"/>
    <w:rsid w:val="002860DE"/>
    <w:rsid w:val="00286941"/>
    <w:rsid w:val="00290588"/>
    <w:rsid w:val="0029137E"/>
    <w:rsid w:val="00291A8F"/>
    <w:rsid w:val="00291AB4"/>
    <w:rsid w:val="0029272B"/>
    <w:rsid w:val="00292C90"/>
    <w:rsid w:val="00292DAD"/>
    <w:rsid w:val="002942F4"/>
    <w:rsid w:val="0029455A"/>
    <w:rsid w:val="002945CB"/>
    <w:rsid w:val="0029494F"/>
    <w:rsid w:val="00296A63"/>
    <w:rsid w:val="00296B21"/>
    <w:rsid w:val="00297FDE"/>
    <w:rsid w:val="002A05BF"/>
    <w:rsid w:val="002A1053"/>
    <w:rsid w:val="002A13DB"/>
    <w:rsid w:val="002A2292"/>
    <w:rsid w:val="002A2AB6"/>
    <w:rsid w:val="002A35BD"/>
    <w:rsid w:val="002A3DC7"/>
    <w:rsid w:val="002A4AC6"/>
    <w:rsid w:val="002A4CED"/>
    <w:rsid w:val="002A52A9"/>
    <w:rsid w:val="002A6ADB"/>
    <w:rsid w:val="002A6DAA"/>
    <w:rsid w:val="002A71B2"/>
    <w:rsid w:val="002A7353"/>
    <w:rsid w:val="002A773E"/>
    <w:rsid w:val="002A7886"/>
    <w:rsid w:val="002B0666"/>
    <w:rsid w:val="002B1AEC"/>
    <w:rsid w:val="002B1E71"/>
    <w:rsid w:val="002B281E"/>
    <w:rsid w:val="002B297C"/>
    <w:rsid w:val="002B2CC5"/>
    <w:rsid w:val="002B34AA"/>
    <w:rsid w:val="002B3743"/>
    <w:rsid w:val="002B53DB"/>
    <w:rsid w:val="002B6A43"/>
    <w:rsid w:val="002B72FE"/>
    <w:rsid w:val="002B779E"/>
    <w:rsid w:val="002C00EB"/>
    <w:rsid w:val="002C0CC0"/>
    <w:rsid w:val="002C2435"/>
    <w:rsid w:val="002C36CF"/>
    <w:rsid w:val="002C3913"/>
    <w:rsid w:val="002C39DA"/>
    <w:rsid w:val="002C48D3"/>
    <w:rsid w:val="002C4A96"/>
    <w:rsid w:val="002C5276"/>
    <w:rsid w:val="002C54C5"/>
    <w:rsid w:val="002C61DE"/>
    <w:rsid w:val="002C7586"/>
    <w:rsid w:val="002C7EB9"/>
    <w:rsid w:val="002C7F95"/>
    <w:rsid w:val="002D0099"/>
    <w:rsid w:val="002D1FD8"/>
    <w:rsid w:val="002D494A"/>
    <w:rsid w:val="002D55EA"/>
    <w:rsid w:val="002D7207"/>
    <w:rsid w:val="002E1DD3"/>
    <w:rsid w:val="002E23BA"/>
    <w:rsid w:val="002E262C"/>
    <w:rsid w:val="002E376F"/>
    <w:rsid w:val="002E4220"/>
    <w:rsid w:val="002E51F5"/>
    <w:rsid w:val="002E53CB"/>
    <w:rsid w:val="002E649F"/>
    <w:rsid w:val="002E7269"/>
    <w:rsid w:val="002F1011"/>
    <w:rsid w:val="002F1B32"/>
    <w:rsid w:val="002F1E8A"/>
    <w:rsid w:val="002F2981"/>
    <w:rsid w:val="002F4216"/>
    <w:rsid w:val="002F57F2"/>
    <w:rsid w:val="002F6275"/>
    <w:rsid w:val="002F63C5"/>
    <w:rsid w:val="002F6950"/>
    <w:rsid w:val="002F6D40"/>
    <w:rsid w:val="002F6D83"/>
    <w:rsid w:val="002F7068"/>
    <w:rsid w:val="002F7B7C"/>
    <w:rsid w:val="003003D7"/>
    <w:rsid w:val="00302759"/>
    <w:rsid w:val="00302A9E"/>
    <w:rsid w:val="0030438D"/>
    <w:rsid w:val="00306FB9"/>
    <w:rsid w:val="0031030B"/>
    <w:rsid w:val="00311916"/>
    <w:rsid w:val="00311AD4"/>
    <w:rsid w:val="00312738"/>
    <w:rsid w:val="00314214"/>
    <w:rsid w:val="00316045"/>
    <w:rsid w:val="00316061"/>
    <w:rsid w:val="00316D71"/>
    <w:rsid w:val="00317137"/>
    <w:rsid w:val="00317AAA"/>
    <w:rsid w:val="003203ED"/>
    <w:rsid w:val="00320CE9"/>
    <w:rsid w:val="00321A57"/>
    <w:rsid w:val="00321C2A"/>
    <w:rsid w:val="003228D9"/>
    <w:rsid w:val="00322FDC"/>
    <w:rsid w:val="003243F6"/>
    <w:rsid w:val="00324AFB"/>
    <w:rsid w:val="003266CA"/>
    <w:rsid w:val="00327246"/>
    <w:rsid w:val="00327E27"/>
    <w:rsid w:val="00330BDA"/>
    <w:rsid w:val="00330E73"/>
    <w:rsid w:val="003316A6"/>
    <w:rsid w:val="0033341C"/>
    <w:rsid w:val="003338B9"/>
    <w:rsid w:val="00333C14"/>
    <w:rsid w:val="00334C07"/>
    <w:rsid w:val="00334C75"/>
    <w:rsid w:val="00334EB5"/>
    <w:rsid w:val="00335CD0"/>
    <w:rsid w:val="00336DBB"/>
    <w:rsid w:val="00337364"/>
    <w:rsid w:val="00337598"/>
    <w:rsid w:val="00340608"/>
    <w:rsid w:val="00340A1B"/>
    <w:rsid w:val="0034131B"/>
    <w:rsid w:val="00341CD0"/>
    <w:rsid w:val="00342F17"/>
    <w:rsid w:val="0034345D"/>
    <w:rsid w:val="00344C8F"/>
    <w:rsid w:val="00346346"/>
    <w:rsid w:val="00347557"/>
    <w:rsid w:val="00351410"/>
    <w:rsid w:val="00351F08"/>
    <w:rsid w:val="0035248B"/>
    <w:rsid w:val="00352688"/>
    <w:rsid w:val="00352FDE"/>
    <w:rsid w:val="003535D5"/>
    <w:rsid w:val="003538E7"/>
    <w:rsid w:val="00353D2E"/>
    <w:rsid w:val="00355164"/>
    <w:rsid w:val="0035538B"/>
    <w:rsid w:val="00355C38"/>
    <w:rsid w:val="0035604B"/>
    <w:rsid w:val="00356207"/>
    <w:rsid w:val="003565AB"/>
    <w:rsid w:val="003609AB"/>
    <w:rsid w:val="00361898"/>
    <w:rsid w:val="003619EC"/>
    <w:rsid w:val="003622C1"/>
    <w:rsid w:val="00362669"/>
    <w:rsid w:val="00365601"/>
    <w:rsid w:val="003662F9"/>
    <w:rsid w:val="00370274"/>
    <w:rsid w:val="00370AA2"/>
    <w:rsid w:val="003712E7"/>
    <w:rsid w:val="0037158F"/>
    <w:rsid w:val="003721BC"/>
    <w:rsid w:val="00373DEE"/>
    <w:rsid w:val="00373E2A"/>
    <w:rsid w:val="00374230"/>
    <w:rsid w:val="003759B3"/>
    <w:rsid w:val="00375AB7"/>
    <w:rsid w:val="00375D39"/>
    <w:rsid w:val="0037723F"/>
    <w:rsid w:val="003773D8"/>
    <w:rsid w:val="003777C2"/>
    <w:rsid w:val="0038048E"/>
    <w:rsid w:val="003805F4"/>
    <w:rsid w:val="00380949"/>
    <w:rsid w:val="00382933"/>
    <w:rsid w:val="00383B18"/>
    <w:rsid w:val="00384BAD"/>
    <w:rsid w:val="003852FC"/>
    <w:rsid w:val="00385790"/>
    <w:rsid w:val="003865BF"/>
    <w:rsid w:val="00386A95"/>
    <w:rsid w:val="00386EDB"/>
    <w:rsid w:val="003879CA"/>
    <w:rsid w:val="00387ECB"/>
    <w:rsid w:val="003909A3"/>
    <w:rsid w:val="00390F9E"/>
    <w:rsid w:val="00391C34"/>
    <w:rsid w:val="003954DF"/>
    <w:rsid w:val="00395C5C"/>
    <w:rsid w:val="0039676D"/>
    <w:rsid w:val="003973DC"/>
    <w:rsid w:val="00397D9B"/>
    <w:rsid w:val="003A00AA"/>
    <w:rsid w:val="003A0F3A"/>
    <w:rsid w:val="003A2AA6"/>
    <w:rsid w:val="003A2CFE"/>
    <w:rsid w:val="003A3655"/>
    <w:rsid w:val="003A49DA"/>
    <w:rsid w:val="003A4D93"/>
    <w:rsid w:val="003A5732"/>
    <w:rsid w:val="003A58DB"/>
    <w:rsid w:val="003A67A8"/>
    <w:rsid w:val="003A6909"/>
    <w:rsid w:val="003A71C2"/>
    <w:rsid w:val="003A7F4C"/>
    <w:rsid w:val="003B11D2"/>
    <w:rsid w:val="003B1819"/>
    <w:rsid w:val="003B1AB0"/>
    <w:rsid w:val="003B30A1"/>
    <w:rsid w:val="003B369A"/>
    <w:rsid w:val="003B3BFA"/>
    <w:rsid w:val="003B3FD5"/>
    <w:rsid w:val="003B517F"/>
    <w:rsid w:val="003B54B2"/>
    <w:rsid w:val="003B5541"/>
    <w:rsid w:val="003B5897"/>
    <w:rsid w:val="003B5D8F"/>
    <w:rsid w:val="003B5F92"/>
    <w:rsid w:val="003B67B0"/>
    <w:rsid w:val="003C08D1"/>
    <w:rsid w:val="003C0A8B"/>
    <w:rsid w:val="003C2C69"/>
    <w:rsid w:val="003C3391"/>
    <w:rsid w:val="003C3DDB"/>
    <w:rsid w:val="003C4492"/>
    <w:rsid w:val="003C564A"/>
    <w:rsid w:val="003C5C75"/>
    <w:rsid w:val="003C6054"/>
    <w:rsid w:val="003C6BA7"/>
    <w:rsid w:val="003D11D1"/>
    <w:rsid w:val="003D2A60"/>
    <w:rsid w:val="003D2BFF"/>
    <w:rsid w:val="003D2DBB"/>
    <w:rsid w:val="003D3220"/>
    <w:rsid w:val="003D3584"/>
    <w:rsid w:val="003D3C16"/>
    <w:rsid w:val="003D3D30"/>
    <w:rsid w:val="003D40C5"/>
    <w:rsid w:val="003D55FB"/>
    <w:rsid w:val="003D5916"/>
    <w:rsid w:val="003D5DA1"/>
    <w:rsid w:val="003D628D"/>
    <w:rsid w:val="003D691D"/>
    <w:rsid w:val="003E0003"/>
    <w:rsid w:val="003E257D"/>
    <w:rsid w:val="003E32F3"/>
    <w:rsid w:val="003E3B1B"/>
    <w:rsid w:val="003E4899"/>
    <w:rsid w:val="003E5EAC"/>
    <w:rsid w:val="003E6435"/>
    <w:rsid w:val="003E683F"/>
    <w:rsid w:val="003F0A61"/>
    <w:rsid w:val="003F2987"/>
    <w:rsid w:val="003F2AE5"/>
    <w:rsid w:val="003F3329"/>
    <w:rsid w:val="003F3CD3"/>
    <w:rsid w:val="003F6969"/>
    <w:rsid w:val="003F6F3E"/>
    <w:rsid w:val="003F71CE"/>
    <w:rsid w:val="003F71D3"/>
    <w:rsid w:val="003F7909"/>
    <w:rsid w:val="00401698"/>
    <w:rsid w:val="0040224F"/>
    <w:rsid w:val="00405463"/>
    <w:rsid w:val="00407353"/>
    <w:rsid w:val="004105C5"/>
    <w:rsid w:val="00410868"/>
    <w:rsid w:val="00410C7A"/>
    <w:rsid w:val="00411397"/>
    <w:rsid w:val="00411764"/>
    <w:rsid w:val="004138B8"/>
    <w:rsid w:val="00413FFA"/>
    <w:rsid w:val="0041406C"/>
    <w:rsid w:val="00414B42"/>
    <w:rsid w:val="00414CD1"/>
    <w:rsid w:val="00415C66"/>
    <w:rsid w:val="00416481"/>
    <w:rsid w:val="00417E44"/>
    <w:rsid w:val="004211D8"/>
    <w:rsid w:val="0042146F"/>
    <w:rsid w:val="004216C7"/>
    <w:rsid w:val="00422769"/>
    <w:rsid w:val="00422B08"/>
    <w:rsid w:val="00424423"/>
    <w:rsid w:val="004254E9"/>
    <w:rsid w:val="00426594"/>
    <w:rsid w:val="00426B0F"/>
    <w:rsid w:val="00427292"/>
    <w:rsid w:val="00432019"/>
    <w:rsid w:val="00434161"/>
    <w:rsid w:val="00434839"/>
    <w:rsid w:val="0043489D"/>
    <w:rsid w:val="0043503C"/>
    <w:rsid w:val="00435581"/>
    <w:rsid w:val="00435E33"/>
    <w:rsid w:val="00436071"/>
    <w:rsid w:val="00436B0D"/>
    <w:rsid w:val="00436CF1"/>
    <w:rsid w:val="00436E1A"/>
    <w:rsid w:val="00440307"/>
    <w:rsid w:val="00443669"/>
    <w:rsid w:val="00443E78"/>
    <w:rsid w:val="004447A6"/>
    <w:rsid w:val="00444D4C"/>
    <w:rsid w:val="00445755"/>
    <w:rsid w:val="0044622C"/>
    <w:rsid w:val="0044649C"/>
    <w:rsid w:val="00446FF2"/>
    <w:rsid w:val="0045013A"/>
    <w:rsid w:val="00450BC3"/>
    <w:rsid w:val="0045130E"/>
    <w:rsid w:val="0045142A"/>
    <w:rsid w:val="00451640"/>
    <w:rsid w:val="00451D49"/>
    <w:rsid w:val="004533BB"/>
    <w:rsid w:val="00453E8F"/>
    <w:rsid w:val="00453EF4"/>
    <w:rsid w:val="00454847"/>
    <w:rsid w:val="00454FE8"/>
    <w:rsid w:val="004550F6"/>
    <w:rsid w:val="0045590E"/>
    <w:rsid w:val="00456335"/>
    <w:rsid w:val="00456608"/>
    <w:rsid w:val="00456D37"/>
    <w:rsid w:val="0046060F"/>
    <w:rsid w:val="00461603"/>
    <w:rsid w:val="00461A7A"/>
    <w:rsid w:val="004624FD"/>
    <w:rsid w:val="00463205"/>
    <w:rsid w:val="00463682"/>
    <w:rsid w:val="00463943"/>
    <w:rsid w:val="00464B60"/>
    <w:rsid w:val="0046516E"/>
    <w:rsid w:val="00465424"/>
    <w:rsid w:val="00466077"/>
    <w:rsid w:val="00466174"/>
    <w:rsid w:val="00466C6A"/>
    <w:rsid w:val="00472996"/>
    <w:rsid w:val="0047638E"/>
    <w:rsid w:val="004768FB"/>
    <w:rsid w:val="00477628"/>
    <w:rsid w:val="0048168B"/>
    <w:rsid w:val="00482A2C"/>
    <w:rsid w:val="00482D7F"/>
    <w:rsid w:val="00482FE4"/>
    <w:rsid w:val="004831FC"/>
    <w:rsid w:val="00483E8B"/>
    <w:rsid w:val="0048474C"/>
    <w:rsid w:val="00486174"/>
    <w:rsid w:val="004876E5"/>
    <w:rsid w:val="00487CE8"/>
    <w:rsid w:val="0049092B"/>
    <w:rsid w:val="004926EE"/>
    <w:rsid w:val="00492FE5"/>
    <w:rsid w:val="0049304E"/>
    <w:rsid w:val="00493262"/>
    <w:rsid w:val="004933E3"/>
    <w:rsid w:val="00493948"/>
    <w:rsid w:val="00493C6D"/>
    <w:rsid w:val="00494A79"/>
    <w:rsid w:val="004958D7"/>
    <w:rsid w:val="0049595B"/>
    <w:rsid w:val="00495B50"/>
    <w:rsid w:val="004A0847"/>
    <w:rsid w:val="004A282E"/>
    <w:rsid w:val="004A4046"/>
    <w:rsid w:val="004A4906"/>
    <w:rsid w:val="004A507E"/>
    <w:rsid w:val="004A5385"/>
    <w:rsid w:val="004A5B21"/>
    <w:rsid w:val="004A6757"/>
    <w:rsid w:val="004A720D"/>
    <w:rsid w:val="004B057B"/>
    <w:rsid w:val="004B31B2"/>
    <w:rsid w:val="004B4DD9"/>
    <w:rsid w:val="004B569D"/>
    <w:rsid w:val="004C21AC"/>
    <w:rsid w:val="004C36E0"/>
    <w:rsid w:val="004C4816"/>
    <w:rsid w:val="004C4AD9"/>
    <w:rsid w:val="004C75D0"/>
    <w:rsid w:val="004D035F"/>
    <w:rsid w:val="004D1051"/>
    <w:rsid w:val="004D3301"/>
    <w:rsid w:val="004D422C"/>
    <w:rsid w:val="004D53A6"/>
    <w:rsid w:val="004D6275"/>
    <w:rsid w:val="004D6B27"/>
    <w:rsid w:val="004D6E53"/>
    <w:rsid w:val="004D7003"/>
    <w:rsid w:val="004D70D3"/>
    <w:rsid w:val="004D787C"/>
    <w:rsid w:val="004D7AB5"/>
    <w:rsid w:val="004E0C36"/>
    <w:rsid w:val="004E0DCC"/>
    <w:rsid w:val="004E37C8"/>
    <w:rsid w:val="004E37D8"/>
    <w:rsid w:val="004E3FFC"/>
    <w:rsid w:val="004E4241"/>
    <w:rsid w:val="004E4A51"/>
    <w:rsid w:val="004E50B2"/>
    <w:rsid w:val="004E5285"/>
    <w:rsid w:val="004E55D2"/>
    <w:rsid w:val="004E5BD7"/>
    <w:rsid w:val="004E614F"/>
    <w:rsid w:val="004E634A"/>
    <w:rsid w:val="004F1971"/>
    <w:rsid w:val="004F1EC2"/>
    <w:rsid w:val="004F22DF"/>
    <w:rsid w:val="004F358F"/>
    <w:rsid w:val="004F45FC"/>
    <w:rsid w:val="004F55FA"/>
    <w:rsid w:val="004F5C7E"/>
    <w:rsid w:val="004F5F7A"/>
    <w:rsid w:val="004F5FF6"/>
    <w:rsid w:val="004F6E4A"/>
    <w:rsid w:val="004F7706"/>
    <w:rsid w:val="00500E0C"/>
    <w:rsid w:val="0050155A"/>
    <w:rsid w:val="005015B8"/>
    <w:rsid w:val="00502354"/>
    <w:rsid w:val="00502AA0"/>
    <w:rsid w:val="00503030"/>
    <w:rsid w:val="00503454"/>
    <w:rsid w:val="00503B08"/>
    <w:rsid w:val="005042BC"/>
    <w:rsid w:val="00505A7D"/>
    <w:rsid w:val="00507778"/>
    <w:rsid w:val="00507A38"/>
    <w:rsid w:val="00507DA1"/>
    <w:rsid w:val="00507EF0"/>
    <w:rsid w:val="0051039C"/>
    <w:rsid w:val="00511088"/>
    <w:rsid w:val="00511C91"/>
    <w:rsid w:val="00511F8E"/>
    <w:rsid w:val="00513660"/>
    <w:rsid w:val="00513BF2"/>
    <w:rsid w:val="00514570"/>
    <w:rsid w:val="005158C3"/>
    <w:rsid w:val="00516CCB"/>
    <w:rsid w:val="005177AF"/>
    <w:rsid w:val="005178A3"/>
    <w:rsid w:val="0052105D"/>
    <w:rsid w:val="00521FD5"/>
    <w:rsid w:val="005229A7"/>
    <w:rsid w:val="00522A58"/>
    <w:rsid w:val="00522C19"/>
    <w:rsid w:val="00523622"/>
    <w:rsid w:val="00523871"/>
    <w:rsid w:val="00523FAB"/>
    <w:rsid w:val="00525732"/>
    <w:rsid w:val="005269F1"/>
    <w:rsid w:val="005301B5"/>
    <w:rsid w:val="00530D70"/>
    <w:rsid w:val="00531D92"/>
    <w:rsid w:val="005324C3"/>
    <w:rsid w:val="00532A8E"/>
    <w:rsid w:val="00533F08"/>
    <w:rsid w:val="00534FDD"/>
    <w:rsid w:val="0053517B"/>
    <w:rsid w:val="005352F7"/>
    <w:rsid w:val="00537637"/>
    <w:rsid w:val="0054083B"/>
    <w:rsid w:val="00540A72"/>
    <w:rsid w:val="00540AF5"/>
    <w:rsid w:val="0054194F"/>
    <w:rsid w:val="00542103"/>
    <w:rsid w:val="005426F5"/>
    <w:rsid w:val="005434E1"/>
    <w:rsid w:val="00547546"/>
    <w:rsid w:val="0054769E"/>
    <w:rsid w:val="00547719"/>
    <w:rsid w:val="00551958"/>
    <w:rsid w:val="00552588"/>
    <w:rsid w:val="00552B30"/>
    <w:rsid w:val="00553E35"/>
    <w:rsid w:val="00554111"/>
    <w:rsid w:val="00554D65"/>
    <w:rsid w:val="005608FF"/>
    <w:rsid w:val="005626A8"/>
    <w:rsid w:val="00564C09"/>
    <w:rsid w:val="00565024"/>
    <w:rsid w:val="005658A9"/>
    <w:rsid w:val="0056640A"/>
    <w:rsid w:val="0056679E"/>
    <w:rsid w:val="00566E34"/>
    <w:rsid w:val="00567CCC"/>
    <w:rsid w:val="00570473"/>
    <w:rsid w:val="0057161A"/>
    <w:rsid w:val="00571AB8"/>
    <w:rsid w:val="005724FD"/>
    <w:rsid w:val="00574003"/>
    <w:rsid w:val="00574295"/>
    <w:rsid w:val="00576784"/>
    <w:rsid w:val="00576C5E"/>
    <w:rsid w:val="00576D39"/>
    <w:rsid w:val="00576D5B"/>
    <w:rsid w:val="00585885"/>
    <w:rsid w:val="0058619F"/>
    <w:rsid w:val="0058636A"/>
    <w:rsid w:val="005867EF"/>
    <w:rsid w:val="00586B32"/>
    <w:rsid w:val="00590153"/>
    <w:rsid w:val="0059050F"/>
    <w:rsid w:val="0059126C"/>
    <w:rsid w:val="00593639"/>
    <w:rsid w:val="00593754"/>
    <w:rsid w:val="005943BE"/>
    <w:rsid w:val="00594A85"/>
    <w:rsid w:val="00596086"/>
    <w:rsid w:val="005974A7"/>
    <w:rsid w:val="00597D24"/>
    <w:rsid w:val="005A090A"/>
    <w:rsid w:val="005A0B65"/>
    <w:rsid w:val="005A0EAC"/>
    <w:rsid w:val="005A10FD"/>
    <w:rsid w:val="005A27B8"/>
    <w:rsid w:val="005A2808"/>
    <w:rsid w:val="005A4CE0"/>
    <w:rsid w:val="005A5B2E"/>
    <w:rsid w:val="005A6274"/>
    <w:rsid w:val="005A6FDC"/>
    <w:rsid w:val="005B0325"/>
    <w:rsid w:val="005B12A1"/>
    <w:rsid w:val="005B21B8"/>
    <w:rsid w:val="005B28B2"/>
    <w:rsid w:val="005B65D2"/>
    <w:rsid w:val="005B6A0B"/>
    <w:rsid w:val="005B6C2C"/>
    <w:rsid w:val="005B75BD"/>
    <w:rsid w:val="005C131B"/>
    <w:rsid w:val="005C3691"/>
    <w:rsid w:val="005C4D42"/>
    <w:rsid w:val="005C5389"/>
    <w:rsid w:val="005C593E"/>
    <w:rsid w:val="005C5FB7"/>
    <w:rsid w:val="005C6286"/>
    <w:rsid w:val="005C762B"/>
    <w:rsid w:val="005C7DA1"/>
    <w:rsid w:val="005D0E24"/>
    <w:rsid w:val="005D1B12"/>
    <w:rsid w:val="005D1E3F"/>
    <w:rsid w:val="005D25B9"/>
    <w:rsid w:val="005D357A"/>
    <w:rsid w:val="005D3F88"/>
    <w:rsid w:val="005D500F"/>
    <w:rsid w:val="005D6E6B"/>
    <w:rsid w:val="005E076F"/>
    <w:rsid w:val="005E0E42"/>
    <w:rsid w:val="005E2905"/>
    <w:rsid w:val="005E31D3"/>
    <w:rsid w:val="005E4DC1"/>
    <w:rsid w:val="005E61A7"/>
    <w:rsid w:val="005E6BF1"/>
    <w:rsid w:val="005F0075"/>
    <w:rsid w:val="005F0507"/>
    <w:rsid w:val="005F064A"/>
    <w:rsid w:val="005F1459"/>
    <w:rsid w:val="005F2CAC"/>
    <w:rsid w:val="005F3BCB"/>
    <w:rsid w:val="005F552C"/>
    <w:rsid w:val="005F6CCA"/>
    <w:rsid w:val="005F6E65"/>
    <w:rsid w:val="005F7CB5"/>
    <w:rsid w:val="005F7CF2"/>
    <w:rsid w:val="00601956"/>
    <w:rsid w:val="00603403"/>
    <w:rsid w:val="0060661F"/>
    <w:rsid w:val="00607607"/>
    <w:rsid w:val="00610008"/>
    <w:rsid w:val="00613128"/>
    <w:rsid w:val="0061315E"/>
    <w:rsid w:val="0061493E"/>
    <w:rsid w:val="00614C3C"/>
    <w:rsid w:val="00614D7E"/>
    <w:rsid w:val="00615032"/>
    <w:rsid w:val="00615415"/>
    <w:rsid w:val="00615499"/>
    <w:rsid w:val="00616486"/>
    <w:rsid w:val="0062037E"/>
    <w:rsid w:val="00620CCB"/>
    <w:rsid w:val="00621D10"/>
    <w:rsid w:val="00622E8E"/>
    <w:rsid w:val="0062398C"/>
    <w:rsid w:val="006245F8"/>
    <w:rsid w:val="0062462B"/>
    <w:rsid w:val="0062664A"/>
    <w:rsid w:val="00627F3D"/>
    <w:rsid w:val="00630BD8"/>
    <w:rsid w:val="0063102B"/>
    <w:rsid w:val="00631986"/>
    <w:rsid w:val="00631D3D"/>
    <w:rsid w:val="006320F9"/>
    <w:rsid w:val="006336E8"/>
    <w:rsid w:val="0063395B"/>
    <w:rsid w:val="00634272"/>
    <w:rsid w:val="006344CF"/>
    <w:rsid w:val="00634B7D"/>
    <w:rsid w:val="00635A25"/>
    <w:rsid w:val="00635F6F"/>
    <w:rsid w:val="00636D4D"/>
    <w:rsid w:val="00637299"/>
    <w:rsid w:val="006374EA"/>
    <w:rsid w:val="00637BDB"/>
    <w:rsid w:val="0064048C"/>
    <w:rsid w:val="00640D04"/>
    <w:rsid w:val="00641966"/>
    <w:rsid w:val="00642D9E"/>
    <w:rsid w:val="0064370D"/>
    <w:rsid w:val="00643C3A"/>
    <w:rsid w:val="00646989"/>
    <w:rsid w:val="00647085"/>
    <w:rsid w:val="0064774E"/>
    <w:rsid w:val="006518CE"/>
    <w:rsid w:val="0065385A"/>
    <w:rsid w:val="00653C3E"/>
    <w:rsid w:val="00654198"/>
    <w:rsid w:val="006545F7"/>
    <w:rsid w:val="006569DC"/>
    <w:rsid w:val="006571A1"/>
    <w:rsid w:val="00661699"/>
    <w:rsid w:val="00661724"/>
    <w:rsid w:val="00662123"/>
    <w:rsid w:val="0066232C"/>
    <w:rsid w:val="006628F1"/>
    <w:rsid w:val="006631ED"/>
    <w:rsid w:val="006636CB"/>
    <w:rsid w:val="00665314"/>
    <w:rsid w:val="00666DCD"/>
    <w:rsid w:val="006676A6"/>
    <w:rsid w:val="00667D3E"/>
    <w:rsid w:val="006704E9"/>
    <w:rsid w:val="00671B57"/>
    <w:rsid w:val="00672D18"/>
    <w:rsid w:val="00672FD5"/>
    <w:rsid w:val="00673DC2"/>
    <w:rsid w:val="00676836"/>
    <w:rsid w:val="0067767E"/>
    <w:rsid w:val="00680858"/>
    <w:rsid w:val="00682249"/>
    <w:rsid w:val="006823DE"/>
    <w:rsid w:val="0068277E"/>
    <w:rsid w:val="00682B69"/>
    <w:rsid w:val="006830D1"/>
    <w:rsid w:val="00683EAC"/>
    <w:rsid w:val="0068546D"/>
    <w:rsid w:val="0068567F"/>
    <w:rsid w:val="00685BD4"/>
    <w:rsid w:val="00686613"/>
    <w:rsid w:val="00687AF4"/>
    <w:rsid w:val="00687D41"/>
    <w:rsid w:val="0069041E"/>
    <w:rsid w:val="00690F38"/>
    <w:rsid w:val="00693094"/>
    <w:rsid w:val="00694402"/>
    <w:rsid w:val="006946B7"/>
    <w:rsid w:val="0069470C"/>
    <w:rsid w:val="00695B9A"/>
    <w:rsid w:val="00695CB9"/>
    <w:rsid w:val="00696283"/>
    <w:rsid w:val="006967AF"/>
    <w:rsid w:val="00697447"/>
    <w:rsid w:val="0069780F"/>
    <w:rsid w:val="006A059C"/>
    <w:rsid w:val="006A0F27"/>
    <w:rsid w:val="006A3C76"/>
    <w:rsid w:val="006A4D81"/>
    <w:rsid w:val="006A52A4"/>
    <w:rsid w:val="006A6247"/>
    <w:rsid w:val="006A747A"/>
    <w:rsid w:val="006A75F7"/>
    <w:rsid w:val="006A76A4"/>
    <w:rsid w:val="006A795E"/>
    <w:rsid w:val="006B0D14"/>
    <w:rsid w:val="006B2508"/>
    <w:rsid w:val="006B260E"/>
    <w:rsid w:val="006B2A70"/>
    <w:rsid w:val="006B2A7D"/>
    <w:rsid w:val="006B2BB6"/>
    <w:rsid w:val="006B5425"/>
    <w:rsid w:val="006B7088"/>
    <w:rsid w:val="006C14A8"/>
    <w:rsid w:val="006C213C"/>
    <w:rsid w:val="006C280F"/>
    <w:rsid w:val="006C2AA1"/>
    <w:rsid w:val="006C308F"/>
    <w:rsid w:val="006C3EB4"/>
    <w:rsid w:val="006C478C"/>
    <w:rsid w:val="006C4CF7"/>
    <w:rsid w:val="006C4EEE"/>
    <w:rsid w:val="006C5680"/>
    <w:rsid w:val="006C77E6"/>
    <w:rsid w:val="006C781F"/>
    <w:rsid w:val="006D00B9"/>
    <w:rsid w:val="006D2C39"/>
    <w:rsid w:val="006D324A"/>
    <w:rsid w:val="006D5382"/>
    <w:rsid w:val="006D5DA4"/>
    <w:rsid w:val="006D5F98"/>
    <w:rsid w:val="006E04B5"/>
    <w:rsid w:val="006E06B6"/>
    <w:rsid w:val="006E080A"/>
    <w:rsid w:val="006E0D45"/>
    <w:rsid w:val="006E205F"/>
    <w:rsid w:val="006E4C22"/>
    <w:rsid w:val="006E51F0"/>
    <w:rsid w:val="006E728C"/>
    <w:rsid w:val="006E77AB"/>
    <w:rsid w:val="006F0B0F"/>
    <w:rsid w:val="006F1214"/>
    <w:rsid w:val="006F1478"/>
    <w:rsid w:val="006F1A26"/>
    <w:rsid w:val="006F1ECB"/>
    <w:rsid w:val="006F207E"/>
    <w:rsid w:val="006F3749"/>
    <w:rsid w:val="006F48F2"/>
    <w:rsid w:val="006F4A4E"/>
    <w:rsid w:val="006F4F4D"/>
    <w:rsid w:val="006F6D33"/>
    <w:rsid w:val="006F6EFC"/>
    <w:rsid w:val="006F73E8"/>
    <w:rsid w:val="006F7623"/>
    <w:rsid w:val="006F7910"/>
    <w:rsid w:val="006F7CD9"/>
    <w:rsid w:val="00700C5C"/>
    <w:rsid w:val="00702216"/>
    <w:rsid w:val="007023C1"/>
    <w:rsid w:val="007038F4"/>
    <w:rsid w:val="00703B40"/>
    <w:rsid w:val="00704636"/>
    <w:rsid w:val="00704D9C"/>
    <w:rsid w:val="0070519C"/>
    <w:rsid w:val="007054FC"/>
    <w:rsid w:val="00707F9E"/>
    <w:rsid w:val="0071032C"/>
    <w:rsid w:val="007103FE"/>
    <w:rsid w:val="007106A9"/>
    <w:rsid w:val="007112A5"/>
    <w:rsid w:val="00713AEE"/>
    <w:rsid w:val="00715307"/>
    <w:rsid w:val="007154C8"/>
    <w:rsid w:val="0071558C"/>
    <w:rsid w:val="007155C4"/>
    <w:rsid w:val="00715743"/>
    <w:rsid w:val="00716067"/>
    <w:rsid w:val="00716196"/>
    <w:rsid w:val="00716639"/>
    <w:rsid w:val="0071681E"/>
    <w:rsid w:val="007173E3"/>
    <w:rsid w:val="00717CD0"/>
    <w:rsid w:val="00722308"/>
    <w:rsid w:val="0072235A"/>
    <w:rsid w:val="007224BD"/>
    <w:rsid w:val="00724345"/>
    <w:rsid w:val="0072707C"/>
    <w:rsid w:val="007270DE"/>
    <w:rsid w:val="007279D6"/>
    <w:rsid w:val="00727EDA"/>
    <w:rsid w:val="00730125"/>
    <w:rsid w:val="0073030E"/>
    <w:rsid w:val="00730F29"/>
    <w:rsid w:val="00732F84"/>
    <w:rsid w:val="007330A7"/>
    <w:rsid w:val="00733463"/>
    <w:rsid w:val="00735784"/>
    <w:rsid w:val="0073695B"/>
    <w:rsid w:val="00736A41"/>
    <w:rsid w:val="00740A32"/>
    <w:rsid w:val="00742D88"/>
    <w:rsid w:val="00743074"/>
    <w:rsid w:val="00743BC2"/>
    <w:rsid w:val="00744FC8"/>
    <w:rsid w:val="00746E6C"/>
    <w:rsid w:val="00746F14"/>
    <w:rsid w:val="00747408"/>
    <w:rsid w:val="0075064F"/>
    <w:rsid w:val="0075143A"/>
    <w:rsid w:val="0075297C"/>
    <w:rsid w:val="007535E5"/>
    <w:rsid w:val="00753821"/>
    <w:rsid w:val="007549F9"/>
    <w:rsid w:val="00756C0A"/>
    <w:rsid w:val="007576F8"/>
    <w:rsid w:val="007602BC"/>
    <w:rsid w:val="007614D8"/>
    <w:rsid w:val="0076173F"/>
    <w:rsid w:val="007622AD"/>
    <w:rsid w:val="00764E14"/>
    <w:rsid w:val="0076591F"/>
    <w:rsid w:val="00765C39"/>
    <w:rsid w:val="00767C03"/>
    <w:rsid w:val="007702C0"/>
    <w:rsid w:val="007706E5"/>
    <w:rsid w:val="00770EC3"/>
    <w:rsid w:val="0077149D"/>
    <w:rsid w:val="00771B42"/>
    <w:rsid w:val="0077234F"/>
    <w:rsid w:val="00772FC7"/>
    <w:rsid w:val="007739D8"/>
    <w:rsid w:val="0077645C"/>
    <w:rsid w:val="00776E20"/>
    <w:rsid w:val="00776FFA"/>
    <w:rsid w:val="007770D7"/>
    <w:rsid w:val="00777DD7"/>
    <w:rsid w:val="0078002D"/>
    <w:rsid w:val="00781A43"/>
    <w:rsid w:val="00781D0B"/>
    <w:rsid w:val="007825A0"/>
    <w:rsid w:val="00782EBF"/>
    <w:rsid w:val="00784D83"/>
    <w:rsid w:val="0078507A"/>
    <w:rsid w:val="00787E03"/>
    <w:rsid w:val="0079280C"/>
    <w:rsid w:val="007930F8"/>
    <w:rsid w:val="00796855"/>
    <w:rsid w:val="00796C53"/>
    <w:rsid w:val="00796E66"/>
    <w:rsid w:val="007976B0"/>
    <w:rsid w:val="00797CE1"/>
    <w:rsid w:val="00797F0A"/>
    <w:rsid w:val="007A0302"/>
    <w:rsid w:val="007A068D"/>
    <w:rsid w:val="007A13E6"/>
    <w:rsid w:val="007A13F3"/>
    <w:rsid w:val="007A33F4"/>
    <w:rsid w:val="007A3A02"/>
    <w:rsid w:val="007A3ED8"/>
    <w:rsid w:val="007A494D"/>
    <w:rsid w:val="007A5FD6"/>
    <w:rsid w:val="007A6D21"/>
    <w:rsid w:val="007B07CE"/>
    <w:rsid w:val="007B0A26"/>
    <w:rsid w:val="007B16FC"/>
    <w:rsid w:val="007B1AC3"/>
    <w:rsid w:val="007B292A"/>
    <w:rsid w:val="007B2DB6"/>
    <w:rsid w:val="007B3D59"/>
    <w:rsid w:val="007B4596"/>
    <w:rsid w:val="007B46FE"/>
    <w:rsid w:val="007B4B44"/>
    <w:rsid w:val="007B5847"/>
    <w:rsid w:val="007B5BD3"/>
    <w:rsid w:val="007B670E"/>
    <w:rsid w:val="007C0CC0"/>
    <w:rsid w:val="007C152B"/>
    <w:rsid w:val="007C17DC"/>
    <w:rsid w:val="007C4993"/>
    <w:rsid w:val="007C5712"/>
    <w:rsid w:val="007C6A1B"/>
    <w:rsid w:val="007C7902"/>
    <w:rsid w:val="007D00E0"/>
    <w:rsid w:val="007D028C"/>
    <w:rsid w:val="007D08D4"/>
    <w:rsid w:val="007D23AE"/>
    <w:rsid w:val="007D27DD"/>
    <w:rsid w:val="007D2C2D"/>
    <w:rsid w:val="007D4367"/>
    <w:rsid w:val="007D538C"/>
    <w:rsid w:val="007D5635"/>
    <w:rsid w:val="007D5C9A"/>
    <w:rsid w:val="007D703F"/>
    <w:rsid w:val="007E03B8"/>
    <w:rsid w:val="007E13C4"/>
    <w:rsid w:val="007E1AF9"/>
    <w:rsid w:val="007E22BD"/>
    <w:rsid w:val="007E47B7"/>
    <w:rsid w:val="007E57A5"/>
    <w:rsid w:val="007E6FB9"/>
    <w:rsid w:val="007E758A"/>
    <w:rsid w:val="007E75FC"/>
    <w:rsid w:val="007E777B"/>
    <w:rsid w:val="007F102E"/>
    <w:rsid w:val="007F13F8"/>
    <w:rsid w:val="007F2A20"/>
    <w:rsid w:val="007F3EA8"/>
    <w:rsid w:val="007F4CC6"/>
    <w:rsid w:val="007F5363"/>
    <w:rsid w:val="007F6032"/>
    <w:rsid w:val="007F652F"/>
    <w:rsid w:val="007F699C"/>
    <w:rsid w:val="007F6B5F"/>
    <w:rsid w:val="007F7EEF"/>
    <w:rsid w:val="008005DE"/>
    <w:rsid w:val="00801080"/>
    <w:rsid w:val="008018D1"/>
    <w:rsid w:val="00801E9A"/>
    <w:rsid w:val="00802422"/>
    <w:rsid w:val="00802CCD"/>
    <w:rsid w:val="008037DC"/>
    <w:rsid w:val="008039F0"/>
    <w:rsid w:val="0080493C"/>
    <w:rsid w:val="00804DE2"/>
    <w:rsid w:val="0080600D"/>
    <w:rsid w:val="00806ABB"/>
    <w:rsid w:val="00807304"/>
    <w:rsid w:val="0080756E"/>
    <w:rsid w:val="00807653"/>
    <w:rsid w:val="0080771F"/>
    <w:rsid w:val="00807BB0"/>
    <w:rsid w:val="0081302D"/>
    <w:rsid w:val="008146F2"/>
    <w:rsid w:val="00817C96"/>
    <w:rsid w:val="0082104B"/>
    <w:rsid w:val="00821361"/>
    <w:rsid w:val="00821734"/>
    <w:rsid w:val="0082210D"/>
    <w:rsid w:val="008221AE"/>
    <w:rsid w:val="0082294E"/>
    <w:rsid w:val="008237CE"/>
    <w:rsid w:val="00823AB1"/>
    <w:rsid w:val="0082464B"/>
    <w:rsid w:val="008259BC"/>
    <w:rsid w:val="00826D07"/>
    <w:rsid w:val="0083069C"/>
    <w:rsid w:val="00830BC2"/>
    <w:rsid w:val="0083356E"/>
    <w:rsid w:val="00833BC6"/>
    <w:rsid w:val="0083424E"/>
    <w:rsid w:val="00835386"/>
    <w:rsid w:val="0083639A"/>
    <w:rsid w:val="00836D0C"/>
    <w:rsid w:val="00836E55"/>
    <w:rsid w:val="00836F0B"/>
    <w:rsid w:val="0084019C"/>
    <w:rsid w:val="0084032D"/>
    <w:rsid w:val="00840B4D"/>
    <w:rsid w:val="00841258"/>
    <w:rsid w:val="0084185F"/>
    <w:rsid w:val="0084522D"/>
    <w:rsid w:val="00846A8C"/>
    <w:rsid w:val="00846C4D"/>
    <w:rsid w:val="008476C3"/>
    <w:rsid w:val="008477CE"/>
    <w:rsid w:val="008500BC"/>
    <w:rsid w:val="00851371"/>
    <w:rsid w:val="00852045"/>
    <w:rsid w:val="008520D3"/>
    <w:rsid w:val="00852C36"/>
    <w:rsid w:val="0085341A"/>
    <w:rsid w:val="00853695"/>
    <w:rsid w:val="0085406D"/>
    <w:rsid w:val="00854087"/>
    <w:rsid w:val="00854674"/>
    <w:rsid w:val="008565F2"/>
    <w:rsid w:val="00856F69"/>
    <w:rsid w:val="008577C5"/>
    <w:rsid w:val="0086146A"/>
    <w:rsid w:val="00862C5E"/>
    <w:rsid w:val="00863652"/>
    <w:rsid w:val="00864311"/>
    <w:rsid w:val="00864474"/>
    <w:rsid w:val="00865348"/>
    <w:rsid w:val="00865C62"/>
    <w:rsid w:val="00865C82"/>
    <w:rsid w:val="0086649D"/>
    <w:rsid w:val="00866D0C"/>
    <w:rsid w:val="00867658"/>
    <w:rsid w:val="00867A24"/>
    <w:rsid w:val="00870975"/>
    <w:rsid w:val="00871146"/>
    <w:rsid w:val="00872589"/>
    <w:rsid w:val="00872D5F"/>
    <w:rsid w:val="00873600"/>
    <w:rsid w:val="0087574A"/>
    <w:rsid w:val="00875BF4"/>
    <w:rsid w:val="008766DF"/>
    <w:rsid w:val="00876996"/>
    <w:rsid w:val="008801E6"/>
    <w:rsid w:val="00880F40"/>
    <w:rsid w:val="0088127B"/>
    <w:rsid w:val="0088264E"/>
    <w:rsid w:val="00886402"/>
    <w:rsid w:val="00886E55"/>
    <w:rsid w:val="00886FAF"/>
    <w:rsid w:val="0088744E"/>
    <w:rsid w:val="00890B61"/>
    <w:rsid w:val="00890BB0"/>
    <w:rsid w:val="00891D76"/>
    <w:rsid w:val="00892078"/>
    <w:rsid w:val="0089226F"/>
    <w:rsid w:val="00892699"/>
    <w:rsid w:val="0089580C"/>
    <w:rsid w:val="008959E9"/>
    <w:rsid w:val="00895BFD"/>
    <w:rsid w:val="00896268"/>
    <w:rsid w:val="00896893"/>
    <w:rsid w:val="00896A78"/>
    <w:rsid w:val="008972AA"/>
    <w:rsid w:val="008A2189"/>
    <w:rsid w:val="008A2706"/>
    <w:rsid w:val="008A27BC"/>
    <w:rsid w:val="008A2CFA"/>
    <w:rsid w:val="008A3B18"/>
    <w:rsid w:val="008A51E6"/>
    <w:rsid w:val="008A5291"/>
    <w:rsid w:val="008A577B"/>
    <w:rsid w:val="008A5ED5"/>
    <w:rsid w:val="008A7285"/>
    <w:rsid w:val="008A7599"/>
    <w:rsid w:val="008A79F1"/>
    <w:rsid w:val="008B0BFB"/>
    <w:rsid w:val="008B127E"/>
    <w:rsid w:val="008B13E7"/>
    <w:rsid w:val="008B177B"/>
    <w:rsid w:val="008B1FB4"/>
    <w:rsid w:val="008B2085"/>
    <w:rsid w:val="008B27CD"/>
    <w:rsid w:val="008B36B8"/>
    <w:rsid w:val="008B3CA1"/>
    <w:rsid w:val="008B59FB"/>
    <w:rsid w:val="008B7250"/>
    <w:rsid w:val="008B76F4"/>
    <w:rsid w:val="008C02D8"/>
    <w:rsid w:val="008C1405"/>
    <w:rsid w:val="008C1B2A"/>
    <w:rsid w:val="008C1C2D"/>
    <w:rsid w:val="008C1DDB"/>
    <w:rsid w:val="008C29F1"/>
    <w:rsid w:val="008C44CA"/>
    <w:rsid w:val="008C5433"/>
    <w:rsid w:val="008C5584"/>
    <w:rsid w:val="008C57FB"/>
    <w:rsid w:val="008C74D4"/>
    <w:rsid w:val="008D12B0"/>
    <w:rsid w:val="008D3187"/>
    <w:rsid w:val="008D4739"/>
    <w:rsid w:val="008D4AFF"/>
    <w:rsid w:val="008D4B77"/>
    <w:rsid w:val="008D5626"/>
    <w:rsid w:val="008D57E6"/>
    <w:rsid w:val="008D5837"/>
    <w:rsid w:val="008D5E8A"/>
    <w:rsid w:val="008D6AED"/>
    <w:rsid w:val="008E03C9"/>
    <w:rsid w:val="008E0785"/>
    <w:rsid w:val="008E0C8E"/>
    <w:rsid w:val="008E1C76"/>
    <w:rsid w:val="008E224C"/>
    <w:rsid w:val="008E28FF"/>
    <w:rsid w:val="008E450C"/>
    <w:rsid w:val="008E49B0"/>
    <w:rsid w:val="008E4F58"/>
    <w:rsid w:val="008E6A27"/>
    <w:rsid w:val="008F01E2"/>
    <w:rsid w:val="008F0F55"/>
    <w:rsid w:val="008F204E"/>
    <w:rsid w:val="008F3114"/>
    <w:rsid w:val="008F37EA"/>
    <w:rsid w:val="008F39F1"/>
    <w:rsid w:val="008F4CA1"/>
    <w:rsid w:val="008F4CD0"/>
    <w:rsid w:val="008F4DB4"/>
    <w:rsid w:val="008F5B34"/>
    <w:rsid w:val="008F5E62"/>
    <w:rsid w:val="008F7815"/>
    <w:rsid w:val="008F7825"/>
    <w:rsid w:val="00901197"/>
    <w:rsid w:val="009014FD"/>
    <w:rsid w:val="00901CC4"/>
    <w:rsid w:val="00902022"/>
    <w:rsid w:val="00902A22"/>
    <w:rsid w:val="00903190"/>
    <w:rsid w:val="00903979"/>
    <w:rsid w:val="00903DA3"/>
    <w:rsid w:val="0090453B"/>
    <w:rsid w:val="009049B4"/>
    <w:rsid w:val="00904C95"/>
    <w:rsid w:val="00905E74"/>
    <w:rsid w:val="0090666E"/>
    <w:rsid w:val="00907A7D"/>
    <w:rsid w:val="00907CF2"/>
    <w:rsid w:val="00911A71"/>
    <w:rsid w:val="00911B19"/>
    <w:rsid w:val="00912C77"/>
    <w:rsid w:val="009164BA"/>
    <w:rsid w:val="0091732A"/>
    <w:rsid w:val="00917624"/>
    <w:rsid w:val="009213ED"/>
    <w:rsid w:val="009215E1"/>
    <w:rsid w:val="00921F10"/>
    <w:rsid w:val="0092296F"/>
    <w:rsid w:val="00922984"/>
    <w:rsid w:val="00923FBB"/>
    <w:rsid w:val="00924008"/>
    <w:rsid w:val="00924F7E"/>
    <w:rsid w:val="0092730F"/>
    <w:rsid w:val="00927AB5"/>
    <w:rsid w:val="00930037"/>
    <w:rsid w:val="00930A52"/>
    <w:rsid w:val="00932551"/>
    <w:rsid w:val="00932732"/>
    <w:rsid w:val="009338C6"/>
    <w:rsid w:val="009338E8"/>
    <w:rsid w:val="00933959"/>
    <w:rsid w:val="00933976"/>
    <w:rsid w:val="009340FB"/>
    <w:rsid w:val="0093456F"/>
    <w:rsid w:val="00935BF0"/>
    <w:rsid w:val="0093669F"/>
    <w:rsid w:val="00936C5F"/>
    <w:rsid w:val="00937B0E"/>
    <w:rsid w:val="00937F3E"/>
    <w:rsid w:val="009405B5"/>
    <w:rsid w:val="00942A7E"/>
    <w:rsid w:val="009436C8"/>
    <w:rsid w:val="0094421A"/>
    <w:rsid w:val="009445E3"/>
    <w:rsid w:val="00945DCE"/>
    <w:rsid w:val="00946180"/>
    <w:rsid w:val="009465F2"/>
    <w:rsid w:val="00946B76"/>
    <w:rsid w:val="00947B44"/>
    <w:rsid w:val="0095125A"/>
    <w:rsid w:val="009518EE"/>
    <w:rsid w:val="0095292F"/>
    <w:rsid w:val="00952E27"/>
    <w:rsid w:val="009539CD"/>
    <w:rsid w:val="00953AED"/>
    <w:rsid w:val="00953BFA"/>
    <w:rsid w:val="00954927"/>
    <w:rsid w:val="00955B43"/>
    <w:rsid w:val="00956189"/>
    <w:rsid w:val="009561C6"/>
    <w:rsid w:val="0095663F"/>
    <w:rsid w:val="00956F66"/>
    <w:rsid w:val="009573B3"/>
    <w:rsid w:val="009575E0"/>
    <w:rsid w:val="009605EC"/>
    <w:rsid w:val="00960F83"/>
    <w:rsid w:val="009617F2"/>
    <w:rsid w:val="00962208"/>
    <w:rsid w:val="009642CA"/>
    <w:rsid w:val="0096457F"/>
    <w:rsid w:val="00964E6B"/>
    <w:rsid w:val="00965637"/>
    <w:rsid w:val="00966C9C"/>
    <w:rsid w:val="00967ECF"/>
    <w:rsid w:val="0097077D"/>
    <w:rsid w:val="00970988"/>
    <w:rsid w:val="009709C7"/>
    <w:rsid w:val="009713F8"/>
    <w:rsid w:val="00971B1F"/>
    <w:rsid w:val="00972348"/>
    <w:rsid w:val="00972A2D"/>
    <w:rsid w:val="009736BD"/>
    <w:rsid w:val="00974F75"/>
    <w:rsid w:val="00975110"/>
    <w:rsid w:val="009757A1"/>
    <w:rsid w:val="00975BAC"/>
    <w:rsid w:val="00976092"/>
    <w:rsid w:val="00976100"/>
    <w:rsid w:val="00976138"/>
    <w:rsid w:val="0097708A"/>
    <w:rsid w:val="00980B7E"/>
    <w:rsid w:val="00980E59"/>
    <w:rsid w:val="00981E47"/>
    <w:rsid w:val="009827E0"/>
    <w:rsid w:val="00983239"/>
    <w:rsid w:val="0098352D"/>
    <w:rsid w:val="00983A49"/>
    <w:rsid w:val="00983E2C"/>
    <w:rsid w:val="009842B0"/>
    <w:rsid w:val="00984DB7"/>
    <w:rsid w:val="0098507B"/>
    <w:rsid w:val="00985AFD"/>
    <w:rsid w:val="00986B7F"/>
    <w:rsid w:val="00990368"/>
    <w:rsid w:val="00990A6D"/>
    <w:rsid w:val="00990B41"/>
    <w:rsid w:val="00991924"/>
    <w:rsid w:val="00992413"/>
    <w:rsid w:val="00992F22"/>
    <w:rsid w:val="00993998"/>
    <w:rsid w:val="00994CE8"/>
    <w:rsid w:val="0099552B"/>
    <w:rsid w:val="00995577"/>
    <w:rsid w:val="009956EF"/>
    <w:rsid w:val="00997965"/>
    <w:rsid w:val="00997B61"/>
    <w:rsid w:val="009A0899"/>
    <w:rsid w:val="009A08B3"/>
    <w:rsid w:val="009A2CA5"/>
    <w:rsid w:val="009A36B5"/>
    <w:rsid w:val="009A3DBD"/>
    <w:rsid w:val="009A3FFC"/>
    <w:rsid w:val="009A4401"/>
    <w:rsid w:val="009A4792"/>
    <w:rsid w:val="009A5350"/>
    <w:rsid w:val="009A5E8C"/>
    <w:rsid w:val="009A60C8"/>
    <w:rsid w:val="009A6D43"/>
    <w:rsid w:val="009B2C72"/>
    <w:rsid w:val="009B3900"/>
    <w:rsid w:val="009B49DE"/>
    <w:rsid w:val="009B64CA"/>
    <w:rsid w:val="009B751C"/>
    <w:rsid w:val="009C0D2B"/>
    <w:rsid w:val="009C1D40"/>
    <w:rsid w:val="009C2277"/>
    <w:rsid w:val="009C22C3"/>
    <w:rsid w:val="009C23EC"/>
    <w:rsid w:val="009C2FFF"/>
    <w:rsid w:val="009C3D50"/>
    <w:rsid w:val="009C4BE6"/>
    <w:rsid w:val="009C5F5A"/>
    <w:rsid w:val="009D0255"/>
    <w:rsid w:val="009D1B3B"/>
    <w:rsid w:val="009D2CB1"/>
    <w:rsid w:val="009D5DB1"/>
    <w:rsid w:val="009D79C1"/>
    <w:rsid w:val="009E0127"/>
    <w:rsid w:val="009E207C"/>
    <w:rsid w:val="009E2338"/>
    <w:rsid w:val="009E30CB"/>
    <w:rsid w:val="009E310C"/>
    <w:rsid w:val="009E31E9"/>
    <w:rsid w:val="009E4624"/>
    <w:rsid w:val="009E7882"/>
    <w:rsid w:val="009F019D"/>
    <w:rsid w:val="009F0AE0"/>
    <w:rsid w:val="009F0B19"/>
    <w:rsid w:val="009F1EA2"/>
    <w:rsid w:val="009F2600"/>
    <w:rsid w:val="009F2E4E"/>
    <w:rsid w:val="009F41F5"/>
    <w:rsid w:val="009F527B"/>
    <w:rsid w:val="009F533E"/>
    <w:rsid w:val="009F5447"/>
    <w:rsid w:val="009F5E1B"/>
    <w:rsid w:val="009F5EA0"/>
    <w:rsid w:val="009F73D8"/>
    <w:rsid w:val="009F7571"/>
    <w:rsid w:val="009F7906"/>
    <w:rsid w:val="009F7AF3"/>
    <w:rsid w:val="00A00B14"/>
    <w:rsid w:val="00A015C0"/>
    <w:rsid w:val="00A01854"/>
    <w:rsid w:val="00A02904"/>
    <w:rsid w:val="00A02E23"/>
    <w:rsid w:val="00A0341A"/>
    <w:rsid w:val="00A041F3"/>
    <w:rsid w:val="00A043DF"/>
    <w:rsid w:val="00A049F0"/>
    <w:rsid w:val="00A05AFB"/>
    <w:rsid w:val="00A05DF7"/>
    <w:rsid w:val="00A05EC7"/>
    <w:rsid w:val="00A0650A"/>
    <w:rsid w:val="00A065ED"/>
    <w:rsid w:val="00A12013"/>
    <w:rsid w:val="00A12F8B"/>
    <w:rsid w:val="00A1370F"/>
    <w:rsid w:val="00A13D9A"/>
    <w:rsid w:val="00A13F8D"/>
    <w:rsid w:val="00A14099"/>
    <w:rsid w:val="00A14225"/>
    <w:rsid w:val="00A14442"/>
    <w:rsid w:val="00A14C7D"/>
    <w:rsid w:val="00A158C7"/>
    <w:rsid w:val="00A16563"/>
    <w:rsid w:val="00A173A7"/>
    <w:rsid w:val="00A22FF0"/>
    <w:rsid w:val="00A23005"/>
    <w:rsid w:val="00A23688"/>
    <w:rsid w:val="00A23FBE"/>
    <w:rsid w:val="00A24344"/>
    <w:rsid w:val="00A24B43"/>
    <w:rsid w:val="00A25255"/>
    <w:rsid w:val="00A25D47"/>
    <w:rsid w:val="00A25E1D"/>
    <w:rsid w:val="00A26818"/>
    <w:rsid w:val="00A26E31"/>
    <w:rsid w:val="00A31273"/>
    <w:rsid w:val="00A31675"/>
    <w:rsid w:val="00A328C2"/>
    <w:rsid w:val="00A33AB1"/>
    <w:rsid w:val="00A33C15"/>
    <w:rsid w:val="00A34B2F"/>
    <w:rsid w:val="00A35610"/>
    <w:rsid w:val="00A4029A"/>
    <w:rsid w:val="00A41970"/>
    <w:rsid w:val="00A41FE1"/>
    <w:rsid w:val="00A43949"/>
    <w:rsid w:val="00A446EC"/>
    <w:rsid w:val="00A45747"/>
    <w:rsid w:val="00A45FCB"/>
    <w:rsid w:val="00A460D1"/>
    <w:rsid w:val="00A46582"/>
    <w:rsid w:val="00A47625"/>
    <w:rsid w:val="00A47CF6"/>
    <w:rsid w:val="00A51866"/>
    <w:rsid w:val="00A52B2E"/>
    <w:rsid w:val="00A579D3"/>
    <w:rsid w:val="00A608E8"/>
    <w:rsid w:val="00A6162F"/>
    <w:rsid w:val="00A61C30"/>
    <w:rsid w:val="00A62612"/>
    <w:rsid w:val="00A63787"/>
    <w:rsid w:val="00A64316"/>
    <w:rsid w:val="00A663E4"/>
    <w:rsid w:val="00A66A09"/>
    <w:rsid w:val="00A66F43"/>
    <w:rsid w:val="00A6780C"/>
    <w:rsid w:val="00A70480"/>
    <w:rsid w:val="00A715FD"/>
    <w:rsid w:val="00A72288"/>
    <w:rsid w:val="00A7291F"/>
    <w:rsid w:val="00A73458"/>
    <w:rsid w:val="00A73888"/>
    <w:rsid w:val="00A73B69"/>
    <w:rsid w:val="00A740BB"/>
    <w:rsid w:val="00A740FD"/>
    <w:rsid w:val="00A74C14"/>
    <w:rsid w:val="00A759DC"/>
    <w:rsid w:val="00A75D83"/>
    <w:rsid w:val="00A76367"/>
    <w:rsid w:val="00A776AF"/>
    <w:rsid w:val="00A77B13"/>
    <w:rsid w:val="00A80301"/>
    <w:rsid w:val="00A806A5"/>
    <w:rsid w:val="00A81F1E"/>
    <w:rsid w:val="00A82253"/>
    <w:rsid w:val="00A8249E"/>
    <w:rsid w:val="00A82741"/>
    <w:rsid w:val="00A8334D"/>
    <w:rsid w:val="00A83C17"/>
    <w:rsid w:val="00A83F35"/>
    <w:rsid w:val="00A85D52"/>
    <w:rsid w:val="00A87055"/>
    <w:rsid w:val="00A87325"/>
    <w:rsid w:val="00A902A6"/>
    <w:rsid w:val="00A90F09"/>
    <w:rsid w:val="00A91634"/>
    <w:rsid w:val="00A91DE6"/>
    <w:rsid w:val="00A92561"/>
    <w:rsid w:val="00A941E8"/>
    <w:rsid w:val="00A943EA"/>
    <w:rsid w:val="00A947F5"/>
    <w:rsid w:val="00A970EF"/>
    <w:rsid w:val="00A97E58"/>
    <w:rsid w:val="00AA28F8"/>
    <w:rsid w:val="00AA3737"/>
    <w:rsid w:val="00AA3BE0"/>
    <w:rsid w:val="00AA3E75"/>
    <w:rsid w:val="00AA47FB"/>
    <w:rsid w:val="00AA6DD2"/>
    <w:rsid w:val="00AB2548"/>
    <w:rsid w:val="00AB2C22"/>
    <w:rsid w:val="00AB412C"/>
    <w:rsid w:val="00AB491A"/>
    <w:rsid w:val="00AB58D6"/>
    <w:rsid w:val="00ABEF48"/>
    <w:rsid w:val="00AC12D4"/>
    <w:rsid w:val="00AC3B1B"/>
    <w:rsid w:val="00AC40E3"/>
    <w:rsid w:val="00AC4F18"/>
    <w:rsid w:val="00AC6302"/>
    <w:rsid w:val="00AC68B3"/>
    <w:rsid w:val="00AC69D1"/>
    <w:rsid w:val="00AC71CF"/>
    <w:rsid w:val="00AC7204"/>
    <w:rsid w:val="00AC7530"/>
    <w:rsid w:val="00AC7C47"/>
    <w:rsid w:val="00AD08C7"/>
    <w:rsid w:val="00AD1480"/>
    <w:rsid w:val="00AD1BE1"/>
    <w:rsid w:val="00AD2702"/>
    <w:rsid w:val="00AD3956"/>
    <w:rsid w:val="00AE0440"/>
    <w:rsid w:val="00AE05D4"/>
    <w:rsid w:val="00AE063A"/>
    <w:rsid w:val="00AE2C34"/>
    <w:rsid w:val="00AE568A"/>
    <w:rsid w:val="00AE6540"/>
    <w:rsid w:val="00AE666A"/>
    <w:rsid w:val="00AE6696"/>
    <w:rsid w:val="00AE66CC"/>
    <w:rsid w:val="00AE7811"/>
    <w:rsid w:val="00AF05A4"/>
    <w:rsid w:val="00AF12AB"/>
    <w:rsid w:val="00AF1E35"/>
    <w:rsid w:val="00AF2713"/>
    <w:rsid w:val="00AF3AB6"/>
    <w:rsid w:val="00AF3C4F"/>
    <w:rsid w:val="00AF449D"/>
    <w:rsid w:val="00AF4888"/>
    <w:rsid w:val="00AF55EA"/>
    <w:rsid w:val="00AF5D21"/>
    <w:rsid w:val="00AF71D1"/>
    <w:rsid w:val="00B0009A"/>
    <w:rsid w:val="00B00263"/>
    <w:rsid w:val="00B00C21"/>
    <w:rsid w:val="00B00DC2"/>
    <w:rsid w:val="00B01587"/>
    <w:rsid w:val="00B0218C"/>
    <w:rsid w:val="00B02287"/>
    <w:rsid w:val="00B03FB2"/>
    <w:rsid w:val="00B04427"/>
    <w:rsid w:val="00B06469"/>
    <w:rsid w:val="00B07CC3"/>
    <w:rsid w:val="00B102D1"/>
    <w:rsid w:val="00B10651"/>
    <w:rsid w:val="00B11078"/>
    <w:rsid w:val="00B13621"/>
    <w:rsid w:val="00B15493"/>
    <w:rsid w:val="00B15B49"/>
    <w:rsid w:val="00B1658D"/>
    <w:rsid w:val="00B17303"/>
    <w:rsid w:val="00B20A71"/>
    <w:rsid w:val="00B212B2"/>
    <w:rsid w:val="00B2156A"/>
    <w:rsid w:val="00B21A0F"/>
    <w:rsid w:val="00B2214A"/>
    <w:rsid w:val="00B22839"/>
    <w:rsid w:val="00B22ABB"/>
    <w:rsid w:val="00B236FE"/>
    <w:rsid w:val="00B25739"/>
    <w:rsid w:val="00B27C94"/>
    <w:rsid w:val="00B301A2"/>
    <w:rsid w:val="00B302F2"/>
    <w:rsid w:val="00B30FBD"/>
    <w:rsid w:val="00B31E96"/>
    <w:rsid w:val="00B326CE"/>
    <w:rsid w:val="00B33B7A"/>
    <w:rsid w:val="00B33CE2"/>
    <w:rsid w:val="00B3405F"/>
    <w:rsid w:val="00B419B8"/>
    <w:rsid w:val="00B424FB"/>
    <w:rsid w:val="00B42FCA"/>
    <w:rsid w:val="00B431B1"/>
    <w:rsid w:val="00B43862"/>
    <w:rsid w:val="00B43B75"/>
    <w:rsid w:val="00B43D31"/>
    <w:rsid w:val="00B44551"/>
    <w:rsid w:val="00B44D6F"/>
    <w:rsid w:val="00B4562E"/>
    <w:rsid w:val="00B459AA"/>
    <w:rsid w:val="00B46D4A"/>
    <w:rsid w:val="00B47949"/>
    <w:rsid w:val="00B479D5"/>
    <w:rsid w:val="00B500EC"/>
    <w:rsid w:val="00B502C5"/>
    <w:rsid w:val="00B5098F"/>
    <w:rsid w:val="00B50EF6"/>
    <w:rsid w:val="00B51FBE"/>
    <w:rsid w:val="00B5260B"/>
    <w:rsid w:val="00B52937"/>
    <w:rsid w:val="00B5536E"/>
    <w:rsid w:val="00B55AC1"/>
    <w:rsid w:val="00B57872"/>
    <w:rsid w:val="00B608C3"/>
    <w:rsid w:val="00B60A07"/>
    <w:rsid w:val="00B60CF8"/>
    <w:rsid w:val="00B61457"/>
    <w:rsid w:val="00B61D39"/>
    <w:rsid w:val="00B62291"/>
    <w:rsid w:val="00B62B8B"/>
    <w:rsid w:val="00B63573"/>
    <w:rsid w:val="00B63E73"/>
    <w:rsid w:val="00B64F8C"/>
    <w:rsid w:val="00B65587"/>
    <w:rsid w:val="00B65740"/>
    <w:rsid w:val="00B659A0"/>
    <w:rsid w:val="00B67343"/>
    <w:rsid w:val="00B67BE3"/>
    <w:rsid w:val="00B67C9C"/>
    <w:rsid w:val="00B67D5E"/>
    <w:rsid w:val="00B67F33"/>
    <w:rsid w:val="00B70940"/>
    <w:rsid w:val="00B709D5"/>
    <w:rsid w:val="00B717CB"/>
    <w:rsid w:val="00B71F13"/>
    <w:rsid w:val="00B75B12"/>
    <w:rsid w:val="00B76598"/>
    <w:rsid w:val="00B80251"/>
    <w:rsid w:val="00B807FC"/>
    <w:rsid w:val="00B81A01"/>
    <w:rsid w:val="00B81CBB"/>
    <w:rsid w:val="00B830C5"/>
    <w:rsid w:val="00B8356A"/>
    <w:rsid w:val="00B8383B"/>
    <w:rsid w:val="00B855ED"/>
    <w:rsid w:val="00B86B38"/>
    <w:rsid w:val="00B878E0"/>
    <w:rsid w:val="00B8797C"/>
    <w:rsid w:val="00B903BE"/>
    <w:rsid w:val="00B91264"/>
    <w:rsid w:val="00B9282B"/>
    <w:rsid w:val="00B9520F"/>
    <w:rsid w:val="00B95ADB"/>
    <w:rsid w:val="00B96186"/>
    <w:rsid w:val="00B97086"/>
    <w:rsid w:val="00B9745D"/>
    <w:rsid w:val="00B97686"/>
    <w:rsid w:val="00BA0299"/>
    <w:rsid w:val="00BA14AC"/>
    <w:rsid w:val="00BA215E"/>
    <w:rsid w:val="00BA2D9F"/>
    <w:rsid w:val="00BA371D"/>
    <w:rsid w:val="00BA38BB"/>
    <w:rsid w:val="00BA3A6F"/>
    <w:rsid w:val="00BA52A8"/>
    <w:rsid w:val="00BB0053"/>
    <w:rsid w:val="00BB3767"/>
    <w:rsid w:val="00BB3D47"/>
    <w:rsid w:val="00BB4C86"/>
    <w:rsid w:val="00BB4D35"/>
    <w:rsid w:val="00BB704A"/>
    <w:rsid w:val="00BB7233"/>
    <w:rsid w:val="00BB7BDC"/>
    <w:rsid w:val="00BC0154"/>
    <w:rsid w:val="00BC16F4"/>
    <w:rsid w:val="00BC19E2"/>
    <w:rsid w:val="00BC1A34"/>
    <w:rsid w:val="00BC2DAF"/>
    <w:rsid w:val="00BC35FB"/>
    <w:rsid w:val="00BC372C"/>
    <w:rsid w:val="00BC4409"/>
    <w:rsid w:val="00BC51DF"/>
    <w:rsid w:val="00BC5725"/>
    <w:rsid w:val="00BC6330"/>
    <w:rsid w:val="00BC6CBE"/>
    <w:rsid w:val="00BD1228"/>
    <w:rsid w:val="00BD44E4"/>
    <w:rsid w:val="00BD48EA"/>
    <w:rsid w:val="00BD582F"/>
    <w:rsid w:val="00BD5908"/>
    <w:rsid w:val="00BD659B"/>
    <w:rsid w:val="00BD6724"/>
    <w:rsid w:val="00BD6728"/>
    <w:rsid w:val="00BD6CFC"/>
    <w:rsid w:val="00BD7C9F"/>
    <w:rsid w:val="00BD7DFD"/>
    <w:rsid w:val="00BE0556"/>
    <w:rsid w:val="00BE0E42"/>
    <w:rsid w:val="00BE1728"/>
    <w:rsid w:val="00BE25E3"/>
    <w:rsid w:val="00BE2C17"/>
    <w:rsid w:val="00BE3726"/>
    <w:rsid w:val="00BE432A"/>
    <w:rsid w:val="00BE6DC6"/>
    <w:rsid w:val="00BE6DE2"/>
    <w:rsid w:val="00BE7151"/>
    <w:rsid w:val="00BF1BF6"/>
    <w:rsid w:val="00BF203F"/>
    <w:rsid w:val="00BF2188"/>
    <w:rsid w:val="00BF2A3F"/>
    <w:rsid w:val="00BF30B2"/>
    <w:rsid w:val="00BF62ED"/>
    <w:rsid w:val="00BF727F"/>
    <w:rsid w:val="00C009B1"/>
    <w:rsid w:val="00C01656"/>
    <w:rsid w:val="00C0197A"/>
    <w:rsid w:val="00C02023"/>
    <w:rsid w:val="00C025D4"/>
    <w:rsid w:val="00C02CBE"/>
    <w:rsid w:val="00C0352F"/>
    <w:rsid w:val="00C03704"/>
    <w:rsid w:val="00C05465"/>
    <w:rsid w:val="00C0549C"/>
    <w:rsid w:val="00C05627"/>
    <w:rsid w:val="00C05D56"/>
    <w:rsid w:val="00C068EE"/>
    <w:rsid w:val="00C072BD"/>
    <w:rsid w:val="00C111EB"/>
    <w:rsid w:val="00C118F4"/>
    <w:rsid w:val="00C11991"/>
    <w:rsid w:val="00C11B49"/>
    <w:rsid w:val="00C12556"/>
    <w:rsid w:val="00C130BD"/>
    <w:rsid w:val="00C14B25"/>
    <w:rsid w:val="00C16EE6"/>
    <w:rsid w:val="00C17994"/>
    <w:rsid w:val="00C2267A"/>
    <w:rsid w:val="00C22D99"/>
    <w:rsid w:val="00C23CF3"/>
    <w:rsid w:val="00C24486"/>
    <w:rsid w:val="00C24C33"/>
    <w:rsid w:val="00C24E5C"/>
    <w:rsid w:val="00C25C36"/>
    <w:rsid w:val="00C25D77"/>
    <w:rsid w:val="00C277B6"/>
    <w:rsid w:val="00C30B8D"/>
    <w:rsid w:val="00C312BB"/>
    <w:rsid w:val="00C3191B"/>
    <w:rsid w:val="00C32911"/>
    <w:rsid w:val="00C32BCF"/>
    <w:rsid w:val="00C33878"/>
    <w:rsid w:val="00C33D4E"/>
    <w:rsid w:val="00C35742"/>
    <w:rsid w:val="00C3692E"/>
    <w:rsid w:val="00C37239"/>
    <w:rsid w:val="00C3766E"/>
    <w:rsid w:val="00C37837"/>
    <w:rsid w:val="00C40080"/>
    <w:rsid w:val="00C41EC9"/>
    <w:rsid w:val="00C428B0"/>
    <w:rsid w:val="00C432D6"/>
    <w:rsid w:val="00C44D77"/>
    <w:rsid w:val="00C45801"/>
    <w:rsid w:val="00C45C0B"/>
    <w:rsid w:val="00C46398"/>
    <w:rsid w:val="00C46665"/>
    <w:rsid w:val="00C47FA6"/>
    <w:rsid w:val="00C5137E"/>
    <w:rsid w:val="00C527E1"/>
    <w:rsid w:val="00C53C24"/>
    <w:rsid w:val="00C53FFF"/>
    <w:rsid w:val="00C54F05"/>
    <w:rsid w:val="00C552C1"/>
    <w:rsid w:val="00C5665B"/>
    <w:rsid w:val="00C57A2A"/>
    <w:rsid w:val="00C57AD3"/>
    <w:rsid w:val="00C60C67"/>
    <w:rsid w:val="00C60CB6"/>
    <w:rsid w:val="00C61524"/>
    <w:rsid w:val="00C618F7"/>
    <w:rsid w:val="00C61E07"/>
    <w:rsid w:val="00C62130"/>
    <w:rsid w:val="00C624CC"/>
    <w:rsid w:val="00C63BA8"/>
    <w:rsid w:val="00C655F4"/>
    <w:rsid w:val="00C660D6"/>
    <w:rsid w:val="00C678BB"/>
    <w:rsid w:val="00C71109"/>
    <w:rsid w:val="00C71D84"/>
    <w:rsid w:val="00C72340"/>
    <w:rsid w:val="00C74866"/>
    <w:rsid w:val="00C7581A"/>
    <w:rsid w:val="00C75EC1"/>
    <w:rsid w:val="00C76B9D"/>
    <w:rsid w:val="00C76CE2"/>
    <w:rsid w:val="00C77EFE"/>
    <w:rsid w:val="00C80A26"/>
    <w:rsid w:val="00C80E5E"/>
    <w:rsid w:val="00C818D3"/>
    <w:rsid w:val="00C81DA7"/>
    <w:rsid w:val="00C826D9"/>
    <w:rsid w:val="00C82B4E"/>
    <w:rsid w:val="00C8359B"/>
    <w:rsid w:val="00C83CDC"/>
    <w:rsid w:val="00C84BE9"/>
    <w:rsid w:val="00C84C17"/>
    <w:rsid w:val="00C84D6D"/>
    <w:rsid w:val="00C84FE2"/>
    <w:rsid w:val="00C861CB"/>
    <w:rsid w:val="00C8760B"/>
    <w:rsid w:val="00C92371"/>
    <w:rsid w:val="00C92AF4"/>
    <w:rsid w:val="00C92FD1"/>
    <w:rsid w:val="00C95E79"/>
    <w:rsid w:val="00C960E3"/>
    <w:rsid w:val="00C967EC"/>
    <w:rsid w:val="00C96BD7"/>
    <w:rsid w:val="00C973BE"/>
    <w:rsid w:val="00C97AB0"/>
    <w:rsid w:val="00CA01A3"/>
    <w:rsid w:val="00CA03E4"/>
    <w:rsid w:val="00CA06AE"/>
    <w:rsid w:val="00CA0CC8"/>
    <w:rsid w:val="00CA150E"/>
    <w:rsid w:val="00CA3D16"/>
    <w:rsid w:val="00CA45DE"/>
    <w:rsid w:val="00CA4880"/>
    <w:rsid w:val="00CA5435"/>
    <w:rsid w:val="00CA5B06"/>
    <w:rsid w:val="00CA641B"/>
    <w:rsid w:val="00CA7807"/>
    <w:rsid w:val="00CA7A8C"/>
    <w:rsid w:val="00CB0022"/>
    <w:rsid w:val="00CB012B"/>
    <w:rsid w:val="00CB0858"/>
    <w:rsid w:val="00CB21D9"/>
    <w:rsid w:val="00CB3022"/>
    <w:rsid w:val="00CB3101"/>
    <w:rsid w:val="00CB3FE0"/>
    <w:rsid w:val="00CB44BF"/>
    <w:rsid w:val="00CB4B95"/>
    <w:rsid w:val="00CB57CC"/>
    <w:rsid w:val="00CB5BA6"/>
    <w:rsid w:val="00CB66A9"/>
    <w:rsid w:val="00CB66DB"/>
    <w:rsid w:val="00CB6702"/>
    <w:rsid w:val="00CB67C1"/>
    <w:rsid w:val="00CB7992"/>
    <w:rsid w:val="00CC174D"/>
    <w:rsid w:val="00CC1DBE"/>
    <w:rsid w:val="00CC1DC9"/>
    <w:rsid w:val="00CC2EC8"/>
    <w:rsid w:val="00CC3082"/>
    <w:rsid w:val="00CC31B1"/>
    <w:rsid w:val="00CC4100"/>
    <w:rsid w:val="00CC4F14"/>
    <w:rsid w:val="00CC6957"/>
    <w:rsid w:val="00CD04FF"/>
    <w:rsid w:val="00CD0712"/>
    <w:rsid w:val="00CD2037"/>
    <w:rsid w:val="00CD20E3"/>
    <w:rsid w:val="00CD33DA"/>
    <w:rsid w:val="00CD6368"/>
    <w:rsid w:val="00CD6C06"/>
    <w:rsid w:val="00CE1EFA"/>
    <w:rsid w:val="00CE5531"/>
    <w:rsid w:val="00CE5908"/>
    <w:rsid w:val="00CE69DE"/>
    <w:rsid w:val="00CE70FF"/>
    <w:rsid w:val="00CE7FD3"/>
    <w:rsid w:val="00CF0266"/>
    <w:rsid w:val="00CF1F2F"/>
    <w:rsid w:val="00CF3185"/>
    <w:rsid w:val="00CF465C"/>
    <w:rsid w:val="00CF4F09"/>
    <w:rsid w:val="00CF61E8"/>
    <w:rsid w:val="00CF629E"/>
    <w:rsid w:val="00CF6FBE"/>
    <w:rsid w:val="00CF7CF7"/>
    <w:rsid w:val="00D01268"/>
    <w:rsid w:val="00D01E16"/>
    <w:rsid w:val="00D025A8"/>
    <w:rsid w:val="00D03098"/>
    <w:rsid w:val="00D0390F"/>
    <w:rsid w:val="00D03B43"/>
    <w:rsid w:val="00D03C4C"/>
    <w:rsid w:val="00D05253"/>
    <w:rsid w:val="00D05A4B"/>
    <w:rsid w:val="00D060B8"/>
    <w:rsid w:val="00D0739A"/>
    <w:rsid w:val="00D11B2A"/>
    <w:rsid w:val="00D11DEF"/>
    <w:rsid w:val="00D13184"/>
    <w:rsid w:val="00D13361"/>
    <w:rsid w:val="00D13606"/>
    <w:rsid w:val="00D13AF8"/>
    <w:rsid w:val="00D13DC0"/>
    <w:rsid w:val="00D15391"/>
    <w:rsid w:val="00D157A4"/>
    <w:rsid w:val="00D163A3"/>
    <w:rsid w:val="00D163DA"/>
    <w:rsid w:val="00D16D5B"/>
    <w:rsid w:val="00D20416"/>
    <w:rsid w:val="00D214BF"/>
    <w:rsid w:val="00D21638"/>
    <w:rsid w:val="00D21F7D"/>
    <w:rsid w:val="00D2272C"/>
    <w:rsid w:val="00D247FD"/>
    <w:rsid w:val="00D27AEF"/>
    <w:rsid w:val="00D30823"/>
    <w:rsid w:val="00D30B4A"/>
    <w:rsid w:val="00D32651"/>
    <w:rsid w:val="00D32743"/>
    <w:rsid w:val="00D32E89"/>
    <w:rsid w:val="00D32F5D"/>
    <w:rsid w:val="00D334EB"/>
    <w:rsid w:val="00D36945"/>
    <w:rsid w:val="00D404FC"/>
    <w:rsid w:val="00D40EC7"/>
    <w:rsid w:val="00D414B3"/>
    <w:rsid w:val="00D41598"/>
    <w:rsid w:val="00D43529"/>
    <w:rsid w:val="00D4414D"/>
    <w:rsid w:val="00D4648A"/>
    <w:rsid w:val="00D46EE9"/>
    <w:rsid w:val="00D47937"/>
    <w:rsid w:val="00D50573"/>
    <w:rsid w:val="00D51BF1"/>
    <w:rsid w:val="00D52DED"/>
    <w:rsid w:val="00D533FD"/>
    <w:rsid w:val="00D53AAC"/>
    <w:rsid w:val="00D53BD7"/>
    <w:rsid w:val="00D544DF"/>
    <w:rsid w:val="00D54DE6"/>
    <w:rsid w:val="00D56133"/>
    <w:rsid w:val="00D563B9"/>
    <w:rsid w:val="00D57859"/>
    <w:rsid w:val="00D57A4A"/>
    <w:rsid w:val="00D6061D"/>
    <w:rsid w:val="00D61E29"/>
    <w:rsid w:val="00D61E4A"/>
    <w:rsid w:val="00D622D4"/>
    <w:rsid w:val="00D62943"/>
    <w:rsid w:val="00D62A0A"/>
    <w:rsid w:val="00D62A98"/>
    <w:rsid w:val="00D63971"/>
    <w:rsid w:val="00D64045"/>
    <w:rsid w:val="00D6405D"/>
    <w:rsid w:val="00D6481F"/>
    <w:rsid w:val="00D65C3C"/>
    <w:rsid w:val="00D678F4"/>
    <w:rsid w:val="00D67B3B"/>
    <w:rsid w:val="00D704B6"/>
    <w:rsid w:val="00D71A0F"/>
    <w:rsid w:val="00D723C9"/>
    <w:rsid w:val="00D723D0"/>
    <w:rsid w:val="00D72925"/>
    <w:rsid w:val="00D7459A"/>
    <w:rsid w:val="00D7503B"/>
    <w:rsid w:val="00D75196"/>
    <w:rsid w:val="00D75BBA"/>
    <w:rsid w:val="00D7711A"/>
    <w:rsid w:val="00D77203"/>
    <w:rsid w:val="00D80FCA"/>
    <w:rsid w:val="00D82731"/>
    <w:rsid w:val="00D853AD"/>
    <w:rsid w:val="00D8689D"/>
    <w:rsid w:val="00D87BA8"/>
    <w:rsid w:val="00D90828"/>
    <w:rsid w:val="00D913B1"/>
    <w:rsid w:val="00D92E36"/>
    <w:rsid w:val="00D93763"/>
    <w:rsid w:val="00D93F38"/>
    <w:rsid w:val="00D942AF"/>
    <w:rsid w:val="00D9629D"/>
    <w:rsid w:val="00D96609"/>
    <w:rsid w:val="00D96684"/>
    <w:rsid w:val="00D97779"/>
    <w:rsid w:val="00DA00C8"/>
    <w:rsid w:val="00DA32CE"/>
    <w:rsid w:val="00DA4B8A"/>
    <w:rsid w:val="00DA4D61"/>
    <w:rsid w:val="00DA5160"/>
    <w:rsid w:val="00DA60F5"/>
    <w:rsid w:val="00DA6E4E"/>
    <w:rsid w:val="00DA6EDB"/>
    <w:rsid w:val="00DA710F"/>
    <w:rsid w:val="00DA7C25"/>
    <w:rsid w:val="00DA7CF1"/>
    <w:rsid w:val="00DB0AB3"/>
    <w:rsid w:val="00DB1A56"/>
    <w:rsid w:val="00DB1FE0"/>
    <w:rsid w:val="00DB20EB"/>
    <w:rsid w:val="00DB2586"/>
    <w:rsid w:val="00DB42C1"/>
    <w:rsid w:val="00DB6434"/>
    <w:rsid w:val="00DC1791"/>
    <w:rsid w:val="00DC1F0F"/>
    <w:rsid w:val="00DC2797"/>
    <w:rsid w:val="00DC331C"/>
    <w:rsid w:val="00DC7C32"/>
    <w:rsid w:val="00DD01E1"/>
    <w:rsid w:val="00DD247D"/>
    <w:rsid w:val="00DD2A0C"/>
    <w:rsid w:val="00DD47E0"/>
    <w:rsid w:val="00DD5066"/>
    <w:rsid w:val="00DD555F"/>
    <w:rsid w:val="00DD56A8"/>
    <w:rsid w:val="00DD6200"/>
    <w:rsid w:val="00DD6D17"/>
    <w:rsid w:val="00DD7774"/>
    <w:rsid w:val="00DD7A4A"/>
    <w:rsid w:val="00DE08EB"/>
    <w:rsid w:val="00DE111D"/>
    <w:rsid w:val="00DE1C18"/>
    <w:rsid w:val="00DE209E"/>
    <w:rsid w:val="00DE20C1"/>
    <w:rsid w:val="00DE22D3"/>
    <w:rsid w:val="00DE2753"/>
    <w:rsid w:val="00DE2968"/>
    <w:rsid w:val="00DE2CEC"/>
    <w:rsid w:val="00DE4FCC"/>
    <w:rsid w:val="00DE524E"/>
    <w:rsid w:val="00DE7327"/>
    <w:rsid w:val="00DE7AB6"/>
    <w:rsid w:val="00DF1F1D"/>
    <w:rsid w:val="00DF2A5A"/>
    <w:rsid w:val="00DF3819"/>
    <w:rsid w:val="00DF3CF1"/>
    <w:rsid w:val="00DF4810"/>
    <w:rsid w:val="00DF4D70"/>
    <w:rsid w:val="00DF4F71"/>
    <w:rsid w:val="00DF57B1"/>
    <w:rsid w:val="00DF5B68"/>
    <w:rsid w:val="00DF5D24"/>
    <w:rsid w:val="00DF6C46"/>
    <w:rsid w:val="00E00126"/>
    <w:rsid w:val="00E00451"/>
    <w:rsid w:val="00E008DF"/>
    <w:rsid w:val="00E01161"/>
    <w:rsid w:val="00E01DB7"/>
    <w:rsid w:val="00E040D9"/>
    <w:rsid w:val="00E051AF"/>
    <w:rsid w:val="00E055D5"/>
    <w:rsid w:val="00E060EC"/>
    <w:rsid w:val="00E0696C"/>
    <w:rsid w:val="00E07333"/>
    <w:rsid w:val="00E0737C"/>
    <w:rsid w:val="00E073D2"/>
    <w:rsid w:val="00E07765"/>
    <w:rsid w:val="00E07890"/>
    <w:rsid w:val="00E1090B"/>
    <w:rsid w:val="00E10DB2"/>
    <w:rsid w:val="00E10DFB"/>
    <w:rsid w:val="00E11553"/>
    <w:rsid w:val="00E120F2"/>
    <w:rsid w:val="00E12F0A"/>
    <w:rsid w:val="00E14252"/>
    <w:rsid w:val="00E14572"/>
    <w:rsid w:val="00E14F17"/>
    <w:rsid w:val="00E15879"/>
    <w:rsid w:val="00E17BD2"/>
    <w:rsid w:val="00E2105D"/>
    <w:rsid w:val="00E2126D"/>
    <w:rsid w:val="00E219D3"/>
    <w:rsid w:val="00E21AAE"/>
    <w:rsid w:val="00E23FEE"/>
    <w:rsid w:val="00E23FF8"/>
    <w:rsid w:val="00E24101"/>
    <w:rsid w:val="00E264EF"/>
    <w:rsid w:val="00E264FA"/>
    <w:rsid w:val="00E3059B"/>
    <w:rsid w:val="00E30AEA"/>
    <w:rsid w:val="00E31718"/>
    <w:rsid w:val="00E33A16"/>
    <w:rsid w:val="00E33D28"/>
    <w:rsid w:val="00E343A8"/>
    <w:rsid w:val="00E35883"/>
    <w:rsid w:val="00E36761"/>
    <w:rsid w:val="00E36D75"/>
    <w:rsid w:val="00E36DF0"/>
    <w:rsid w:val="00E371FD"/>
    <w:rsid w:val="00E37EC1"/>
    <w:rsid w:val="00E40CD3"/>
    <w:rsid w:val="00E4139B"/>
    <w:rsid w:val="00E41CC5"/>
    <w:rsid w:val="00E41CF8"/>
    <w:rsid w:val="00E42130"/>
    <w:rsid w:val="00E451F6"/>
    <w:rsid w:val="00E45585"/>
    <w:rsid w:val="00E463FA"/>
    <w:rsid w:val="00E466D8"/>
    <w:rsid w:val="00E466F4"/>
    <w:rsid w:val="00E46B48"/>
    <w:rsid w:val="00E47485"/>
    <w:rsid w:val="00E50390"/>
    <w:rsid w:val="00E51944"/>
    <w:rsid w:val="00E51F2E"/>
    <w:rsid w:val="00E5205C"/>
    <w:rsid w:val="00E5221C"/>
    <w:rsid w:val="00E53857"/>
    <w:rsid w:val="00E549F7"/>
    <w:rsid w:val="00E5544F"/>
    <w:rsid w:val="00E575CE"/>
    <w:rsid w:val="00E5761E"/>
    <w:rsid w:val="00E57718"/>
    <w:rsid w:val="00E61445"/>
    <w:rsid w:val="00E6172C"/>
    <w:rsid w:val="00E6350A"/>
    <w:rsid w:val="00E63F9F"/>
    <w:rsid w:val="00E64657"/>
    <w:rsid w:val="00E65CE2"/>
    <w:rsid w:val="00E660F2"/>
    <w:rsid w:val="00E660FD"/>
    <w:rsid w:val="00E6783B"/>
    <w:rsid w:val="00E67FBD"/>
    <w:rsid w:val="00E7060F"/>
    <w:rsid w:val="00E71E91"/>
    <w:rsid w:val="00E74733"/>
    <w:rsid w:val="00E757FC"/>
    <w:rsid w:val="00E775F7"/>
    <w:rsid w:val="00E77F00"/>
    <w:rsid w:val="00E80117"/>
    <w:rsid w:val="00E806B5"/>
    <w:rsid w:val="00E8127A"/>
    <w:rsid w:val="00E81412"/>
    <w:rsid w:val="00E817A3"/>
    <w:rsid w:val="00E8187A"/>
    <w:rsid w:val="00E83C7F"/>
    <w:rsid w:val="00E85F5D"/>
    <w:rsid w:val="00E869D1"/>
    <w:rsid w:val="00E86D7C"/>
    <w:rsid w:val="00E87130"/>
    <w:rsid w:val="00E91113"/>
    <w:rsid w:val="00E91625"/>
    <w:rsid w:val="00E9168A"/>
    <w:rsid w:val="00E91C4F"/>
    <w:rsid w:val="00E91D34"/>
    <w:rsid w:val="00E91D3F"/>
    <w:rsid w:val="00E9291D"/>
    <w:rsid w:val="00E92EE8"/>
    <w:rsid w:val="00E932F7"/>
    <w:rsid w:val="00E946F0"/>
    <w:rsid w:val="00E94CAC"/>
    <w:rsid w:val="00E94F3D"/>
    <w:rsid w:val="00E953C2"/>
    <w:rsid w:val="00E95C4B"/>
    <w:rsid w:val="00E96801"/>
    <w:rsid w:val="00E97CBD"/>
    <w:rsid w:val="00EA00AD"/>
    <w:rsid w:val="00EA179D"/>
    <w:rsid w:val="00EA26F7"/>
    <w:rsid w:val="00EA29D7"/>
    <w:rsid w:val="00EA3B15"/>
    <w:rsid w:val="00EA4B39"/>
    <w:rsid w:val="00EA64C1"/>
    <w:rsid w:val="00EA7447"/>
    <w:rsid w:val="00EA788F"/>
    <w:rsid w:val="00EB0DC4"/>
    <w:rsid w:val="00EB2743"/>
    <w:rsid w:val="00EB32CD"/>
    <w:rsid w:val="00EB333F"/>
    <w:rsid w:val="00EB4290"/>
    <w:rsid w:val="00EB4354"/>
    <w:rsid w:val="00EB48D4"/>
    <w:rsid w:val="00EB4E82"/>
    <w:rsid w:val="00EB644C"/>
    <w:rsid w:val="00EB7736"/>
    <w:rsid w:val="00EB7CDA"/>
    <w:rsid w:val="00EC067A"/>
    <w:rsid w:val="00EC0A4B"/>
    <w:rsid w:val="00EC1502"/>
    <w:rsid w:val="00EC387F"/>
    <w:rsid w:val="00EC3DF5"/>
    <w:rsid w:val="00EC3EFF"/>
    <w:rsid w:val="00EC59A7"/>
    <w:rsid w:val="00EC59D3"/>
    <w:rsid w:val="00EC5C70"/>
    <w:rsid w:val="00EC75B2"/>
    <w:rsid w:val="00EC75E6"/>
    <w:rsid w:val="00EC778B"/>
    <w:rsid w:val="00EC7E35"/>
    <w:rsid w:val="00ED0CB0"/>
    <w:rsid w:val="00ED1CF0"/>
    <w:rsid w:val="00ED1F2A"/>
    <w:rsid w:val="00ED3886"/>
    <w:rsid w:val="00ED4E2E"/>
    <w:rsid w:val="00ED4E47"/>
    <w:rsid w:val="00ED66D1"/>
    <w:rsid w:val="00ED728C"/>
    <w:rsid w:val="00ED7C33"/>
    <w:rsid w:val="00EE1215"/>
    <w:rsid w:val="00EE13E9"/>
    <w:rsid w:val="00EE254B"/>
    <w:rsid w:val="00EE3F59"/>
    <w:rsid w:val="00EE3F6C"/>
    <w:rsid w:val="00EE4249"/>
    <w:rsid w:val="00EE5F14"/>
    <w:rsid w:val="00EE6EF4"/>
    <w:rsid w:val="00EE6F55"/>
    <w:rsid w:val="00EF05CA"/>
    <w:rsid w:val="00EF0D9D"/>
    <w:rsid w:val="00EF0FA1"/>
    <w:rsid w:val="00EF16B7"/>
    <w:rsid w:val="00EF1AD4"/>
    <w:rsid w:val="00EF20B9"/>
    <w:rsid w:val="00EF25C5"/>
    <w:rsid w:val="00EF2A0E"/>
    <w:rsid w:val="00EF463E"/>
    <w:rsid w:val="00EF473C"/>
    <w:rsid w:val="00EF6F62"/>
    <w:rsid w:val="00EF72BE"/>
    <w:rsid w:val="00EF7B73"/>
    <w:rsid w:val="00F004D4"/>
    <w:rsid w:val="00F009CC"/>
    <w:rsid w:val="00F02F84"/>
    <w:rsid w:val="00F03E2A"/>
    <w:rsid w:val="00F044A1"/>
    <w:rsid w:val="00F051A3"/>
    <w:rsid w:val="00F10CAF"/>
    <w:rsid w:val="00F12F21"/>
    <w:rsid w:val="00F1505C"/>
    <w:rsid w:val="00F15BAF"/>
    <w:rsid w:val="00F16FF3"/>
    <w:rsid w:val="00F201BC"/>
    <w:rsid w:val="00F20279"/>
    <w:rsid w:val="00F20A17"/>
    <w:rsid w:val="00F20C37"/>
    <w:rsid w:val="00F22992"/>
    <w:rsid w:val="00F2429A"/>
    <w:rsid w:val="00F255E0"/>
    <w:rsid w:val="00F276F5"/>
    <w:rsid w:val="00F300F1"/>
    <w:rsid w:val="00F302B3"/>
    <w:rsid w:val="00F30447"/>
    <w:rsid w:val="00F314A2"/>
    <w:rsid w:val="00F3236C"/>
    <w:rsid w:val="00F32645"/>
    <w:rsid w:val="00F32DB8"/>
    <w:rsid w:val="00F34115"/>
    <w:rsid w:val="00F3677D"/>
    <w:rsid w:val="00F36DA6"/>
    <w:rsid w:val="00F36F4C"/>
    <w:rsid w:val="00F371A0"/>
    <w:rsid w:val="00F37213"/>
    <w:rsid w:val="00F37F71"/>
    <w:rsid w:val="00F40074"/>
    <w:rsid w:val="00F402C6"/>
    <w:rsid w:val="00F416E7"/>
    <w:rsid w:val="00F41DD8"/>
    <w:rsid w:val="00F42ACC"/>
    <w:rsid w:val="00F43547"/>
    <w:rsid w:val="00F43662"/>
    <w:rsid w:val="00F438F9"/>
    <w:rsid w:val="00F446B5"/>
    <w:rsid w:val="00F458D3"/>
    <w:rsid w:val="00F46160"/>
    <w:rsid w:val="00F46EFE"/>
    <w:rsid w:val="00F5016F"/>
    <w:rsid w:val="00F50464"/>
    <w:rsid w:val="00F512AF"/>
    <w:rsid w:val="00F52A41"/>
    <w:rsid w:val="00F53311"/>
    <w:rsid w:val="00F56177"/>
    <w:rsid w:val="00F57090"/>
    <w:rsid w:val="00F5722E"/>
    <w:rsid w:val="00F5758C"/>
    <w:rsid w:val="00F57850"/>
    <w:rsid w:val="00F57F3F"/>
    <w:rsid w:val="00F60D67"/>
    <w:rsid w:val="00F61D28"/>
    <w:rsid w:val="00F63C07"/>
    <w:rsid w:val="00F65EB9"/>
    <w:rsid w:val="00F6623D"/>
    <w:rsid w:val="00F6683A"/>
    <w:rsid w:val="00F669EE"/>
    <w:rsid w:val="00F677AB"/>
    <w:rsid w:val="00F7001D"/>
    <w:rsid w:val="00F70A5C"/>
    <w:rsid w:val="00F73C02"/>
    <w:rsid w:val="00F745DC"/>
    <w:rsid w:val="00F749C5"/>
    <w:rsid w:val="00F762BA"/>
    <w:rsid w:val="00F7745D"/>
    <w:rsid w:val="00F77A0A"/>
    <w:rsid w:val="00F80588"/>
    <w:rsid w:val="00F80E2C"/>
    <w:rsid w:val="00F82C11"/>
    <w:rsid w:val="00F835D4"/>
    <w:rsid w:val="00F83F18"/>
    <w:rsid w:val="00F86475"/>
    <w:rsid w:val="00F869FC"/>
    <w:rsid w:val="00F86F33"/>
    <w:rsid w:val="00F91544"/>
    <w:rsid w:val="00F915C1"/>
    <w:rsid w:val="00F931A3"/>
    <w:rsid w:val="00F943BF"/>
    <w:rsid w:val="00F94CEE"/>
    <w:rsid w:val="00F95049"/>
    <w:rsid w:val="00F95389"/>
    <w:rsid w:val="00F9554D"/>
    <w:rsid w:val="00FA0237"/>
    <w:rsid w:val="00FA0D53"/>
    <w:rsid w:val="00FA10DA"/>
    <w:rsid w:val="00FA1A88"/>
    <w:rsid w:val="00FA3E1E"/>
    <w:rsid w:val="00FA3F6E"/>
    <w:rsid w:val="00FA4195"/>
    <w:rsid w:val="00FA544D"/>
    <w:rsid w:val="00FA59A1"/>
    <w:rsid w:val="00FA5FF5"/>
    <w:rsid w:val="00FA603B"/>
    <w:rsid w:val="00FA799F"/>
    <w:rsid w:val="00FA7BFF"/>
    <w:rsid w:val="00FB1272"/>
    <w:rsid w:val="00FB16B1"/>
    <w:rsid w:val="00FB4297"/>
    <w:rsid w:val="00FB49F1"/>
    <w:rsid w:val="00FB5CCF"/>
    <w:rsid w:val="00FB7949"/>
    <w:rsid w:val="00FC0113"/>
    <w:rsid w:val="00FC0712"/>
    <w:rsid w:val="00FC0868"/>
    <w:rsid w:val="00FC106D"/>
    <w:rsid w:val="00FC1F32"/>
    <w:rsid w:val="00FC1FB6"/>
    <w:rsid w:val="00FC264B"/>
    <w:rsid w:val="00FC386D"/>
    <w:rsid w:val="00FC3F11"/>
    <w:rsid w:val="00FC4586"/>
    <w:rsid w:val="00FC48A3"/>
    <w:rsid w:val="00FC6031"/>
    <w:rsid w:val="00FC663A"/>
    <w:rsid w:val="00FC72C6"/>
    <w:rsid w:val="00FC799C"/>
    <w:rsid w:val="00FD06DD"/>
    <w:rsid w:val="00FD0703"/>
    <w:rsid w:val="00FD0C92"/>
    <w:rsid w:val="00FD1050"/>
    <w:rsid w:val="00FD1307"/>
    <w:rsid w:val="00FD29F7"/>
    <w:rsid w:val="00FD3077"/>
    <w:rsid w:val="00FD3718"/>
    <w:rsid w:val="00FD4398"/>
    <w:rsid w:val="00FD4504"/>
    <w:rsid w:val="00FE0147"/>
    <w:rsid w:val="00FE09BC"/>
    <w:rsid w:val="00FE0CD1"/>
    <w:rsid w:val="00FE2DBF"/>
    <w:rsid w:val="00FE448B"/>
    <w:rsid w:val="00FE4843"/>
    <w:rsid w:val="00FE4C50"/>
    <w:rsid w:val="00FE4FCD"/>
    <w:rsid w:val="00FE5F92"/>
    <w:rsid w:val="00FE7504"/>
    <w:rsid w:val="00FE770F"/>
    <w:rsid w:val="00FF0A61"/>
    <w:rsid w:val="00FF3914"/>
    <w:rsid w:val="00FF4F68"/>
    <w:rsid w:val="00FF5E86"/>
    <w:rsid w:val="00FF5FF4"/>
    <w:rsid w:val="00FF607C"/>
    <w:rsid w:val="00FF6944"/>
    <w:rsid w:val="00FF6A52"/>
    <w:rsid w:val="00FF6BC0"/>
    <w:rsid w:val="00FF6E6C"/>
    <w:rsid w:val="043A1D3F"/>
    <w:rsid w:val="05E152D8"/>
    <w:rsid w:val="080EB792"/>
    <w:rsid w:val="0C5E2684"/>
    <w:rsid w:val="0CBE5507"/>
    <w:rsid w:val="0D5E584C"/>
    <w:rsid w:val="105665D9"/>
    <w:rsid w:val="107C4088"/>
    <w:rsid w:val="11D5D077"/>
    <w:rsid w:val="11EFF15E"/>
    <w:rsid w:val="1888076D"/>
    <w:rsid w:val="1BCD28A7"/>
    <w:rsid w:val="1BE70F6C"/>
    <w:rsid w:val="1C34FD0F"/>
    <w:rsid w:val="1CBD8DA8"/>
    <w:rsid w:val="1D068020"/>
    <w:rsid w:val="2115579C"/>
    <w:rsid w:val="2286F88D"/>
    <w:rsid w:val="22D73EF0"/>
    <w:rsid w:val="22DE9D94"/>
    <w:rsid w:val="23447F9D"/>
    <w:rsid w:val="2935C25F"/>
    <w:rsid w:val="2AFBFD02"/>
    <w:rsid w:val="2B295930"/>
    <w:rsid w:val="2EF93C3C"/>
    <w:rsid w:val="3241BE7D"/>
    <w:rsid w:val="33F72A5A"/>
    <w:rsid w:val="35D3FCF8"/>
    <w:rsid w:val="35FC81B3"/>
    <w:rsid w:val="36C8F378"/>
    <w:rsid w:val="38270F47"/>
    <w:rsid w:val="38732AAA"/>
    <w:rsid w:val="39B20E48"/>
    <w:rsid w:val="3A35A0A5"/>
    <w:rsid w:val="3B60D626"/>
    <w:rsid w:val="3B63177B"/>
    <w:rsid w:val="3C8A4DA0"/>
    <w:rsid w:val="3D190624"/>
    <w:rsid w:val="3E027F20"/>
    <w:rsid w:val="3F1E320B"/>
    <w:rsid w:val="41155971"/>
    <w:rsid w:val="444EB1E2"/>
    <w:rsid w:val="445DCFEA"/>
    <w:rsid w:val="44BBDA2F"/>
    <w:rsid w:val="463D4DA4"/>
    <w:rsid w:val="466518E2"/>
    <w:rsid w:val="47270BB5"/>
    <w:rsid w:val="4792ABB9"/>
    <w:rsid w:val="4A28794F"/>
    <w:rsid w:val="4AD10F44"/>
    <w:rsid w:val="4B29488D"/>
    <w:rsid w:val="4F0C9916"/>
    <w:rsid w:val="4F573CBB"/>
    <w:rsid w:val="55510A8A"/>
    <w:rsid w:val="5B1317C7"/>
    <w:rsid w:val="5CC87781"/>
    <w:rsid w:val="5F51612E"/>
    <w:rsid w:val="63A8155E"/>
    <w:rsid w:val="69AA6AD6"/>
    <w:rsid w:val="6A853122"/>
    <w:rsid w:val="6D81E973"/>
    <w:rsid w:val="6F639495"/>
    <w:rsid w:val="6FC3F36E"/>
    <w:rsid w:val="7190A2DE"/>
    <w:rsid w:val="738D34E3"/>
    <w:rsid w:val="74DC0B5F"/>
    <w:rsid w:val="756053F2"/>
    <w:rsid w:val="75CE1393"/>
    <w:rsid w:val="78038F28"/>
    <w:rsid w:val="79D759E2"/>
    <w:rsid w:val="79F5EA21"/>
    <w:rsid w:val="7CE02C7A"/>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BF2DFC"/>
  <w15:docId w15:val="{84B3FB13-49B2-4FB4-B30E-CA94E2B0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uiPriority="99"/>
    <w:lsdException w:name="header" w:uiPriority="2"/>
    <w:lsdException w:name="footer" w:uiPriority="99"/>
    <w:lsdException w:name="index heading" w:semiHidden="1"/>
    <w:lsdException w:name="caption" w:semiHidden="1" w:uiPriority="2" w:qFormat="1"/>
    <w:lsdException w:name="table of figures" w:semiHidden="1"/>
    <w:lsdException w:name="envelope address" w:semiHidden="1"/>
    <w:lsdException w:name="envelope return" w:semiHidden="1"/>
    <w:lsdException w:name="footnote reference" w:semiHidden="1" w:qFormat="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Accent 5" w:uiPriority="49"/>
  </w:latentStyles>
  <w:style w:type="paragraph" w:default="1" w:styleId="Normal">
    <w:name w:val="Normal"/>
    <w:uiPriority w:val="1"/>
    <w:qFormat/>
    <w:rsid w:val="001E1E4F"/>
    <w:pPr>
      <w:spacing w:after="240"/>
      <w:jc w:val="both"/>
    </w:pPr>
    <w:rPr>
      <w:rFonts w:ascii="EC Square Sans Pro" w:hAnsi="EC Square Sans Pro"/>
      <w:sz w:val="20"/>
    </w:rPr>
  </w:style>
  <w:style w:type="paragraph" w:styleId="Heading1">
    <w:name w:val="heading 1"/>
    <w:basedOn w:val="Normal"/>
    <w:next w:val="Text1"/>
    <w:uiPriority w:val="1"/>
    <w:qFormat/>
    <w:rsid w:val="004D422C"/>
    <w:pPr>
      <w:keepNext/>
      <w:tabs>
        <w:tab w:val="num" w:pos="482"/>
      </w:tabs>
      <w:spacing w:before="240" w:after="480"/>
      <w:jc w:val="left"/>
      <w:outlineLvl w:val="0"/>
    </w:pPr>
    <w:rPr>
      <w:noProof/>
      <w:color w:val="023E8A" w:themeColor="accent1"/>
      <w:sz w:val="36"/>
      <w:szCs w:val="26"/>
    </w:rPr>
  </w:style>
  <w:style w:type="paragraph" w:styleId="Heading2">
    <w:name w:val="heading 2"/>
    <w:basedOn w:val="Normal"/>
    <w:next w:val="Text2"/>
    <w:uiPriority w:val="1"/>
    <w:qFormat/>
    <w:rsid w:val="00F65EB9"/>
    <w:pPr>
      <w:keepNext/>
      <w:spacing w:before="120" w:after="120"/>
      <w:outlineLvl w:val="1"/>
    </w:pPr>
    <w:rPr>
      <w:b/>
      <w:noProof/>
      <w:color w:val="90BE6D" w:themeColor="accent4"/>
      <w:sz w:val="28"/>
      <w:szCs w:val="24"/>
      <w:lang w:eastAsia="en-US"/>
    </w:rPr>
  </w:style>
  <w:style w:type="paragraph" w:styleId="Heading3">
    <w:name w:val="heading 3"/>
    <w:basedOn w:val="Normal"/>
    <w:next w:val="Text3"/>
    <w:uiPriority w:val="1"/>
    <w:qFormat/>
    <w:rsid w:val="00F65EB9"/>
    <w:pPr>
      <w:keepNext/>
      <w:tabs>
        <w:tab w:val="num" w:pos="1922"/>
      </w:tabs>
      <w:spacing w:before="180"/>
      <w:ind w:left="794" w:hanging="340"/>
      <w:outlineLvl w:val="2"/>
    </w:pPr>
    <w:rPr>
      <w:color w:val="023E8A" w:themeColor="accent1"/>
      <w:sz w:val="24"/>
      <w:lang w:eastAsia="en-GB"/>
    </w:rPr>
  </w:style>
  <w:style w:type="paragraph" w:styleId="Heading4">
    <w:name w:val="heading 4"/>
    <w:basedOn w:val="Normal"/>
    <w:next w:val="Text4"/>
    <w:uiPriority w:val="1"/>
    <w:qFormat/>
    <w:pPr>
      <w:keepNext/>
      <w:outlineLvl w:val="3"/>
    </w:pPr>
  </w:style>
  <w:style w:type="paragraph" w:styleId="Heading5">
    <w:name w:val="heading 5"/>
    <w:basedOn w:val="Normal"/>
    <w:next w:val="Normal"/>
    <w:semiHidden/>
    <w:pPr>
      <w:keepNext/>
      <w:outlineLvl w:val="4"/>
    </w:pPr>
  </w:style>
  <w:style w:type="paragraph" w:styleId="Heading6">
    <w:name w:val="heading 6"/>
    <w:basedOn w:val="Normal"/>
    <w:next w:val="Normal"/>
    <w:semiHidden/>
    <w:pPr>
      <w:keepNext/>
      <w:outlineLvl w:val="5"/>
    </w:pPr>
  </w:style>
  <w:style w:type="paragraph" w:styleId="Heading7">
    <w:name w:val="heading 7"/>
    <w:basedOn w:val="Normal"/>
    <w:next w:val="Normal"/>
    <w:semiHidden/>
    <w:pPr>
      <w:keepNext/>
      <w:outlineLvl w:val="6"/>
    </w:pPr>
  </w:style>
  <w:style w:type="paragraph" w:styleId="Heading8">
    <w:name w:val="heading 8"/>
    <w:basedOn w:val="Normal"/>
    <w:next w:val="Normal"/>
    <w:semiHidden/>
    <w:pPr>
      <w:keepNext/>
      <w:outlineLvl w:val="7"/>
    </w:pPr>
  </w:style>
  <w:style w:type="paragraph" w:styleId="Heading9">
    <w:name w:val="heading 9"/>
    <w:basedOn w:val="Normal"/>
    <w:next w:val="Normal"/>
    <w:semiHidden/>
    <w:pPr>
      <w:keepNex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8"/>
      </w:numPr>
      <w:spacing w:after="480"/>
      <w:outlineLvl w:val="0"/>
    </w:pPr>
    <w:rPr>
      <w:b/>
      <w:sz w:val="32"/>
    </w:rPr>
  </w:style>
  <w:style w:type="paragraph" w:styleId="Caption">
    <w:name w:val="caption"/>
    <w:basedOn w:val="Normal"/>
    <w:next w:val="Normal"/>
    <w:uiPriority w:val="2"/>
    <w:qFormat/>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7"/>
      </w:numPr>
    </w:pPr>
  </w:style>
  <w:style w:type="paragraph" w:customStyle="1" w:styleId="ContNumLevel2">
    <w:name w:val="ContNum (Level 2)"/>
    <w:basedOn w:val="Normal"/>
    <w:uiPriority w:val="1"/>
    <w:pPr>
      <w:numPr>
        <w:ilvl w:val="1"/>
        <w:numId w:val="17"/>
      </w:numPr>
    </w:pPr>
  </w:style>
  <w:style w:type="paragraph" w:customStyle="1" w:styleId="ContNumLevel3">
    <w:name w:val="ContNum (Level 3)"/>
    <w:basedOn w:val="Normal"/>
    <w:uiPriority w:val="1"/>
    <w:pPr>
      <w:numPr>
        <w:ilvl w:val="2"/>
        <w:numId w:val="17"/>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pPr>
      <w:spacing w:after="120"/>
      <w:ind w:left="357" w:hanging="357"/>
    </w:p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style>
  <w:style w:type="paragraph" w:customStyle="1" w:styleId="FigureSource1">
    <w:name w:val="Figure Source 1"/>
    <w:basedOn w:val="Text1"/>
    <w:next w:val="Text1"/>
    <w:uiPriority w:val="2"/>
  </w:style>
  <w:style w:type="paragraph" w:customStyle="1" w:styleId="FigureSource2">
    <w:name w:val="Figure Source 2"/>
    <w:basedOn w:val="Text2"/>
    <w:next w:val="Text2"/>
    <w:uiPriority w:val="2"/>
  </w:style>
  <w:style w:type="paragraph" w:customStyle="1" w:styleId="FigureSource3">
    <w:name w:val="Figure Source 3"/>
    <w:basedOn w:val="Text3"/>
    <w:next w:val="Text3"/>
    <w:uiPriority w:val="2"/>
  </w:style>
  <w:style w:type="paragraph" w:customStyle="1" w:styleId="FigureSource4">
    <w:name w:val="Figure Source 4"/>
    <w:basedOn w:val="Text4"/>
    <w:next w:val="Text4"/>
    <w:uiPriority w:val="2"/>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single spac,footnote,fn,Char,f"/>
    <w:basedOn w:val="Normal"/>
    <w:link w:val="FootnoteTextChar"/>
    <w:uiPriority w:val="99"/>
    <w:unhideWhenUsed/>
    <w:qFormat/>
    <w:rsid w:val="00990368"/>
    <w:pPr>
      <w:spacing w:after="120"/>
      <w:ind w:left="357" w:hanging="357"/>
    </w:pPr>
    <w:rPr>
      <w:sz w:val="18"/>
    </w:rPr>
  </w:style>
  <w:style w:type="paragraph" w:customStyle="1" w:styleId="HistoryTable">
    <w:name w:val="HistoryTable"/>
    <w:basedOn w:val="Normal"/>
    <w:uiPriority w:val="2"/>
    <w:pPr>
      <w:spacing w:before="60" w:after="60"/>
      <w:jc w:val="left"/>
    </w:p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6"/>
      </w:numPr>
      <w:spacing w:line="360" w:lineRule="auto"/>
    </w:pPr>
  </w:style>
  <w:style w:type="paragraph" w:customStyle="1" w:styleId="LegalNumPar2">
    <w:name w:val="LegalNumPar2"/>
    <w:basedOn w:val="Normal"/>
    <w:uiPriority w:val="1"/>
    <w:pPr>
      <w:numPr>
        <w:ilvl w:val="1"/>
        <w:numId w:val="16"/>
      </w:numPr>
      <w:spacing w:line="360" w:lineRule="auto"/>
    </w:pPr>
  </w:style>
  <w:style w:type="paragraph" w:customStyle="1" w:styleId="LegalNumPar3">
    <w:name w:val="LegalNumPar3"/>
    <w:basedOn w:val="Normal"/>
    <w:uiPriority w:val="1"/>
    <w:pPr>
      <w:numPr>
        <w:ilvl w:val="2"/>
        <w:numId w:val="16"/>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umPar1">
    <w:name w:val="NumPar 1"/>
    <w:basedOn w:val="Heading1"/>
    <w:uiPriority w:val="1"/>
    <w:qFormat/>
    <w:pPr>
      <w:keepNext w:val="0"/>
      <w:spacing w:before="0"/>
      <w:outlineLvl w:val="9"/>
    </w:pPr>
    <w:rPr>
      <w:b/>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19"/>
      </w:numPr>
    </w:pPr>
  </w:style>
  <w:style w:type="paragraph" w:customStyle="1" w:styleId="TableListBulletLevel2">
    <w:name w:val="Table List Bullet (Level 2)"/>
    <w:basedOn w:val="TableText"/>
    <w:uiPriority w:val="1"/>
    <w:pPr>
      <w:numPr>
        <w:ilvl w:val="1"/>
        <w:numId w:val="19"/>
      </w:numPr>
    </w:pPr>
  </w:style>
  <w:style w:type="paragraph" w:customStyle="1" w:styleId="TableListBulletLevel3">
    <w:name w:val="Table List Bullet (Level 3)"/>
    <w:basedOn w:val="TableText"/>
    <w:uiPriority w:val="1"/>
    <w:semiHidden/>
    <w:unhideWhenUsed/>
    <w:pPr>
      <w:numPr>
        <w:ilvl w:val="2"/>
        <w:numId w:val="19"/>
      </w:numPr>
    </w:pPr>
  </w:style>
  <w:style w:type="paragraph" w:customStyle="1" w:styleId="TableListBulletLevel4">
    <w:name w:val="Table List Bullet (Level 4)"/>
    <w:basedOn w:val="TableText"/>
    <w:uiPriority w:val="1"/>
    <w:semiHidden/>
    <w:unhideWhenUsed/>
    <w:pPr>
      <w:numPr>
        <w:ilvl w:val="3"/>
        <w:numId w:val="19"/>
      </w:numPr>
    </w:pPr>
  </w:style>
  <w:style w:type="paragraph" w:customStyle="1" w:styleId="TableListDash">
    <w:name w:val="Table List Dash"/>
    <w:basedOn w:val="TableText"/>
    <w:uiPriority w:val="1"/>
    <w:pPr>
      <w:numPr>
        <w:numId w:val="20"/>
      </w:numPr>
    </w:pPr>
  </w:style>
  <w:style w:type="paragraph" w:customStyle="1" w:styleId="TableListDashLevel2">
    <w:name w:val="Table List Dash (Level 2)"/>
    <w:basedOn w:val="TableText"/>
    <w:uiPriority w:val="1"/>
    <w:pPr>
      <w:numPr>
        <w:ilvl w:val="1"/>
        <w:numId w:val="20"/>
      </w:numPr>
    </w:pPr>
  </w:style>
  <w:style w:type="paragraph" w:customStyle="1" w:styleId="TableListDashLevel3">
    <w:name w:val="Table List Dash (Level 3)"/>
    <w:basedOn w:val="TableText"/>
    <w:uiPriority w:val="1"/>
    <w:semiHidden/>
    <w:unhideWhenUsed/>
    <w:pPr>
      <w:numPr>
        <w:ilvl w:val="2"/>
        <w:numId w:val="20"/>
      </w:numPr>
    </w:pPr>
  </w:style>
  <w:style w:type="paragraph" w:customStyle="1" w:styleId="TableListDashLevel4">
    <w:name w:val="Table List Dash (Level 4)"/>
    <w:basedOn w:val="TableText"/>
    <w:uiPriority w:val="1"/>
    <w:semiHidden/>
    <w:unhideWhenUsed/>
    <w:pPr>
      <w:numPr>
        <w:ilvl w:val="3"/>
        <w:numId w:val="20"/>
      </w:numPr>
    </w:pPr>
  </w:style>
  <w:style w:type="paragraph" w:customStyle="1" w:styleId="TableListNumber">
    <w:name w:val="Table List Number"/>
    <w:basedOn w:val="TableText"/>
    <w:uiPriority w:val="1"/>
    <w:pPr>
      <w:numPr>
        <w:numId w:val="21"/>
      </w:numPr>
    </w:pPr>
  </w:style>
  <w:style w:type="paragraph" w:customStyle="1" w:styleId="TableListNumberLevel2">
    <w:name w:val="Table List Number (Level 2)"/>
    <w:basedOn w:val="TableText"/>
    <w:uiPriority w:val="1"/>
    <w:pPr>
      <w:numPr>
        <w:ilvl w:val="1"/>
        <w:numId w:val="21"/>
      </w:numPr>
    </w:pPr>
  </w:style>
  <w:style w:type="paragraph" w:customStyle="1" w:styleId="TableListNumberLevel3">
    <w:name w:val="Table List Number (Level 3)"/>
    <w:basedOn w:val="TableText"/>
    <w:uiPriority w:val="1"/>
    <w:semiHidden/>
    <w:unhideWhenUsed/>
    <w:pPr>
      <w:numPr>
        <w:ilvl w:val="2"/>
        <w:numId w:val="21"/>
      </w:numPr>
    </w:pPr>
  </w:style>
  <w:style w:type="paragraph" w:customStyle="1" w:styleId="TableListNumberLevel4">
    <w:name w:val="Table List Number (Level 4)"/>
    <w:basedOn w:val="TableText"/>
    <w:uiPriority w:val="1"/>
    <w:semiHidden/>
    <w:unhideWhenUsed/>
    <w:pPr>
      <w:numPr>
        <w:ilvl w:val="3"/>
        <w:numId w:val="21"/>
      </w:numPr>
    </w:pPr>
  </w:style>
  <w:style w:type="paragraph" w:customStyle="1" w:styleId="TableSource">
    <w:name w:val="Table Source"/>
    <w:basedOn w:val="Normal"/>
    <w:next w:val="Normal"/>
    <w:semiHidden/>
    <w:unhideWhenUsed/>
  </w:style>
  <w:style w:type="paragraph" w:customStyle="1" w:styleId="TableSource1">
    <w:name w:val="Table Source 1"/>
    <w:basedOn w:val="Text1"/>
    <w:next w:val="Text1"/>
    <w:semiHidden/>
    <w:unhideWhenUsed/>
  </w:style>
  <w:style w:type="paragraph" w:customStyle="1" w:styleId="TableSource2">
    <w:name w:val="Table Source 2"/>
    <w:basedOn w:val="Text2"/>
    <w:next w:val="Text2"/>
    <w:semiHidden/>
    <w:unhideWhenUsed/>
  </w:style>
  <w:style w:type="paragraph" w:customStyle="1" w:styleId="TableSource3">
    <w:name w:val="Table Source 3"/>
    <w:basedOn w:val="Text3"/>
    <w:next w:val="Text3"/>
    <w:semiHidden/>
    <w:unhideWhenUsed/>
  </w:style>
  <w:style w:type="paragraph" w:customStyle="1" w:styleId="TableSource4">
    <w:name w:val="Table Source 4"/>
    <w:basedOn w:val="Text4"/>
    <w:next w:val="Text4"/>
    <w:semiHidden/>
    <w:unhideWhenUsed/>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202"/>
    </w:pPr>
  </w:style>
  <w:style w:type="paragraph" w:customStyle="1" w:styleId="Text3">
    <w:name w:val="Text 3"/>
    <w:basedOn w:val="Normal"/>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link w:val="TitleChar"/>
    <w:uiPriority w:val="1"/>
    <w:qFormat/>
    <w:pPr>
      <w:spacing w:after="480"/>
      <w:jc w:val="center"/>
    </w:pPr>
    <w:rPr>
      <w:b/>
      <w:kern w:val="28"/>
      <w:sz w:val="48"/>
    </w:rPr>
  </w:style>
  <w:style w:type="paragraph" w:styleId="TOC1">
    <w:name w:val="toc 1"/>
    <w:basedOn w:val="Normal"/>
    <w:next w:val="Normal"/>
    <w:uiPriority w:val="39"/>
    <w:pPr>
      <w:tabs>
        <w:tab w:val="right" w:leader="dot" w:pos="8640"/>
      </w:tabs>
      <w:spacing w:before="120" w:after="120"/>
      <w:ind w:left="482" w:right="720" w:hanging="482"/>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202" w:type="dxa"/>
    </w:tblPr>
    <w:tblStylePr w:type="firstRow">
      <w:rPr>
        <w:b/>
      </w:rPr>
      <w:tblPr/>
      <w:trPr>
        <w:cantSplit/>
        <w:tblHeader/>
      </w:trPr>
    </w:tblStylePr>
  </w:style>
  <w:style w:type="table" w:customStyle="1" w:styleId="EurolookTable3">
    <w:name w:val="Eurolook Table 3"/>
    <w:basedOn w:val="EurolookTable"/>
    <w:semiHidden/>
    <w:unhideWhenUsed/>
    <w:tblPr>
      <w:tblInd w:w="1202" w:type="dxa"/>
    </w:tblPr>
    <w:tblStylePr w:type="firstRow">
      <w:rPr>
        <w:b/>
      </w:rPr>
      <w:tblPr/>
      <w:trPr>
        <w:cantSplit/>
        <w:tblHeader/>
      </w:trPr>
    </w:tblStylePr>
  </w:style>
  <w:style w:type="table" w:customStyle="1" w:styleId="EurolookTable4">
    <w:name w:val="Eurolook Table 4"/>
    <w:basedOn w:val="EurolookTable"/>
    <w:semiHidden/>
    <w:unhideWhenUsed/>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uiPriority w:val="3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FootnoteReference">
    <w:name w:val="footnote reference"/>
    <w:aliases w:val="stylish,Ref,de nota al pie,Footnote reference number,Footnote symbol,note TESI,Footnote Reference1,Times 10 Point,Exposant 3 Point,Footnote,Voetnootverwijzing,SUPERS,EN Footnote Reference,Ref1,de nota al pie1,Ref2,de nota al pie2,fr,E"/>
    <w:basedOn w:val="DefaultParagraphFont"/>
    <w:link w:val="FootnoteReferenceCharCarCharCharCarCharCarCharCarCharCarCharCharCarCarCharCharCharCharCharCarCharCarCharCharCarCharCar"/>
    <w:unhideWhenUsed/>
    <w:qFormat/>
    <w:locked/>
    <w:rsid w:val="00027AC3"/>
    <w:rPr>
      <w:vertAlign w:val="superscript"/>
    </w:rPr>
  </w:style>
  <w:style w:type="character" w:styleId="Hyperlink">
    <w:name w:val="Hyperlink"/>
    <w:basedOn w:val="DefaultParagraphFont"/>
    <w:uiPriority w:val="99"/>
    <w:unhideWhenUsed/>
    <w:locked/>
    <w:rsid w:val="00027AC3"/>
    <w:rPr>
      <w:color w:val="0563C1" w:themeColor="hyperlink"/>
      <w:u w:val="single"/>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locked/>
    <w:rsid w:val="00BA38BB"/>
    <w:pPr>
      <w:numPr>
        <w:numId w:val="25"/>
      </w:numPr>
      <w:spacing w:after="200" w:line="276" w:lineRule="auto"/>
    </w:pPr>
    <w:rPr>
      <w:rFonts w:eastAsiaTheme="minorHAnsi" w:cstheme="minorBidi"/>
      <w:noProof/>
      <w:szCs w:val="22"/>
      <w:lang w:val="en-IE" w:eastAsia="en-GB"/>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qFormat/>
    <w:locked/>
    <w:rsid w:val="00990368"/>
    <w:rPr>
      <w:rFonts w:ascii="EC Square Sans Pro" w:hAnsi="EC Square Sans Pro"/>
      <w:sz w:val="18"/>
    </w:rPr>
  </w:style>
  <w:style w:type="character" w:styleId="CommentReference">
    <w:name w:val="annotation reference"/>
    <w:basedOn w:val="DefaultParagraphFont"/>
    <w:uiPriority w:val="99"/>
    <w:semiHidden/>
    <w:unhideWhenUsed/>
    <w:locked/>
    <w:rsid w:val="001D7F93"/>
    <w:rPr>
      <w:sz w:val="16"/>
      <w:szCs w:val="16"/>
    </w:rPr>
  </w:style>
  <w:style w:type="paragraph" w:styleId="CommentText">
    <w:name w:val="annotation text"/>
    <w:basedOn w:val="Normal"/>
    <w:link w:val="CommentTextChar"/>
    <w:uiPriority w:val="99"/>
    <w:unhideWhenUsed/>
    <w:locked/>
    <w:rsid w:val="001D7F93"/>
    <w:pPr>
      <w:spacing w:after="200"/>
      <w:jc w:val="left"/>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1D7F93"/>
    <w:rPr>
      <w:rFonts w:asciiTheme="minorHAnsi" w:eastAsiaTheme="minorHAnsi" w:hAnsiTheme="minorHAnsi" w:cstheme="minorBidi"/>
      <w:sz w:val="20"/>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1D7F93"/>
    <w:pPr>
      <w:keepLines/>
      <w:spacing w:after="160" w:line="240" w:lineRule="exact"/>
    </w:pPr>
    <w:rPr>
      <w:vertAlign w:val="superscript"/>
    </w:rPr>
  </w:style>
  <w:style w:type="table" w:styleId="GridTable4-Accent5">
    <w:name w:val="Grid Table 4 Accent 5"/>
    <w:basedOn w:val="TableNormal"/>
    <w:uiPriority w:val="49"/>
    <w:locked/>
    <w:rsid w:val="001D7F93"/>
    <w:rPr>
      <w:rFonts w:asciiTheme="minorHAnsi" w:eastAsiaTheme="minorHAnsi" w:hAnsiTheme="minorHAnsi" w:cstheme="minorBidi"/>
      <w:sz w:val="22"/>
      <w:szCs w:val="22"/>
      <w:lang w:eastAsia="en-US"/>
    </w:rPr>
    <w:tblPr>
      <w:tblStyleRowBandSize w:val="1"/>
      <w:tblStyleColBandSize w:val="1"/>
      <w:tblBorders>
        <w:top w:val="single" w:sz="4" w:space="0" w:color="AFA7D0" w:themeColor="accent5" w:themeTint="99"/>
        <w:left w:val="single" w:sz="4" w:space="0" w:color="AFA7D0" w:themeColor="accent5" w:themeTint="99"/>
        <w:bottom w:val="single" w:sz="4" w:space="0" w:color="AFA7D0" w:themeColor="accent5" w:themeTint="99"/>
        <w:right w:val="single" w:sz="4" w:space="0" w:color="AFA7D0" w:themeColor="accent5" w:themeTint="99"/>
        <w:insideH w:val="single" w:sz="4" w:space="0" w:color="AFA7D0" w:themeColor="accent5" w:themeTint="99"/>
        <w:insideV w:val="single" w:sz="4" w:space="0" w:color="AFA7D0" w:themeColor="accent5" w:themeTint="99"/>
      </w:tblBorders>
    </w:tblPr>
    <w:tblStylePr w:type="firstRow">
      <w:rPr>
        <w:b/>
        <w:bCs/>
        <w:color w:val="FFFFFF" w:themeColor="background1"/>
      </w:rPr>
      <w:tblPr/>
      <w:tcPr>
        <w:tcBorders>
          <w:top w:val="single" w:sz="4" w:space="0" w:color="7A6DB2" w:themeColor="accent5"/>
          <w:left w:val="single" w:sz="4" w:space="0" w:color="7A6DB2" w:themeColor="accent5"/>
          <w:bottom w:val="single" w:sz="4" w:space="0" w:color="7A6DB2" w:themeColor="accent5"/>
          <w:right w:val="single" w:sz="4" w:space="0" w:color="7A6DB2" w:themeColor="accent5"/>
          <w:insideH w:val="nil"/>
          <w:insideV w:val="nil"/>
        </w:tcBorders>
        <w:shd w:val="clear" w:color="auto" w:fill="7A6DB2" w:themeFill="accent5"/>
      </w:tcPr>
    </w:tblStylePr>
    <w:tblStylePr w:type="lastRow">
      <w:rPr>
        <w:b/>
        <w:bCs/>
      </w:rPr>
      <w:tblPr/>
      <w:tcPr>
        <w:tcBorders>
          <w:top w:val="double" w:sz="4" w:space="0" w:color="7A6DB2" w:themeColor="accent5"/>
        </w:tcBorders>
      </w:tcPr>
    </w:tblStylePr>
    <w:tblStylePr w:type="firstCol">
      <w:rPr>
        <w:b/>
        <w:bCs/>
      </w:rPr>
    </w:tblStylePr>
    <w:tblStylePr w:type="lastCol">
      <w:rPr>
        <w:b/>
        <w:bCs/>
      </w:rPr>
    </w:tblStylePr>
    <w:tblStylePr w:type="band1Vert">
      <w:tblPr/>
      <w:tcPr>
        <w:shd w:val="clear" w:color="auto" w:fill="E4E1EF" w:themeFill="accent5" w:themeFillTint="33"/>
      </w:tcPr>
    </w:tblStylePr>
    <w:tblStylePr w:type="band1Horz">
      <w:tblPr/>
      <w:tcPr>
        <w:shd w:val="clear" w:color="auto" w:fill="E4E1EF" w:themeFill="accent5" w:themeFillTint="33"/>
      </w:tcPr>
    </w:tblStylePr>
  </w:style>
  <w:style w:type="paragraph" w:styleId="Revision">
    <w:name w:val="Revision"/>
    <w:hidden/>
    <w:semiHidden/>
    <w:locked/>
    <w:rsid w:val="00A45FCB"/>
  </w:style>
  <w:style w:type="paragraph" w:styleId="CommentSubject">
    <w:name w:val="annotation subject"/>
    <w:basedOn w:val="CommentText"/>
    <w:next w:val="CommentText"/>
    <w:link w:val="CommentSubjectChar"/>
    <w:semiHidden/>
    <w:unhideWhenUsed/>
    <w:locked/>
    <w:rsid w:val="003F3CD3"/>
    <w:pPr>
      <w:spacing w:after="240"/>
      <w:jc w:val="both"/>
    </w:pPr>
    <w:rPr>
      <w:rFonts w:ascii="Times New Roman" w:eastAsia="Times New Roman" w:hAnsi="Times New Roman" w:cs="Times New Roman"/>
      <w:b/>
      <w:bCs/>
      <w:lang w:eastAsia="en-IE"/>
    </w:rPr>
  </w:style>
  <w:style w:type="character" w:customStyle="1" w:styleId="CommentSubjectChar">
    <w:name w:val="Comment Subject Char"/>
    <w:basedOn w:val="CommentTextChar"/>
    <w:link w:val="CommentSubject"/>
    <w:semiHidden/>
    <w:rsid w:val="003F3CD3"/>
    <w:rPr>
      <w:rFonts w:asciiTheme="minorHAnsi" w:eastAsiaTheme="minorHAnsi" w:hAnsiTheme="minorHAnsi" w:cstheme="minorBidi"/>
      <w:b/>
      <w:bCs/>
      <w:sz w:val="20"/>
      <w:lang w:eastAsia="en-US"/>
    </w:rPr>
  </w:style>
  <w:style w:type="character" w:styleId="FollowedHyperlink">
    <w:name w:val="FollowedHyperlink"/>
    <w:basedOn w:val="DefaultParagraphFont"/>
    <w:semiHidden/>
    <w:locked/>
    <w:rsid w:val="007B07CE"/>
    <w:rPr>
      <w:color w:val="0070C0" w:themeColor="followedHyperlink"/>
      <w:u w:val="single"/>
    </w:rPr>
  </w:style>
  <w:style w:type="table" w:styleId="GridTable2-Accent1">
    <w:name w:val="Grid Table 2 Accent 1"/>
    <w:basedOn w:val="TableNormal"/>
    <w:locked/>
    <w:rsid w:val="008A7285"/>
    <w:tblPr>
      <w:tblStyleRowBandSize w:val="1"/>
      <w:tblStyleColBandSize w:val="1"/>
      <w:tblBorders>
        <w:top w:val="single" w:sz="2" w:space="0" w:color="2482FB" w:themeColor="accent1" w:themeTint="99"/>
        <w:bottom w:val="single" w:sz="2" w:space="0" w:color="2482FB" w:themeColor="accent1" w:themeTint="99"/>
        <w:insideH w:val="single" w:sz="2" w:space="0" w:color="2482FB" w:themeColor="accent1" w:themeTint="99"/>
        <w:insideV w:val="single" w:sz="2" w:space="0" w:color="2482FB" w:themeColor="accent1" w:themeTint="99"/>
      </w:tblBorders>
    </w:tblPr>
    <w:tblStylePr w:type="firstRow">
      <w:rPr>
        <w:b/>
        <w:bCs/>
      </w:rPr>
      <w:tblPr/>
      <w:tcPr>
        <w:tcBorders>
          <w:top w:val="nil"/>
          <w:bottom w:val="single" w:sz="12" w:space="0" w:color="2482FB" w:themeColor="accent1" w:themeTint="99"/>
          <w:insideH w:val="nil"/>
          <w:insideV w:val="nil"/>
        </w:tcBorders>
        <w:shd w:val="clear" w:color="auto" w:fill="FFFFFF" w:themeFill="background1"/>
      </w:tcPr>
    </w:tblStylePr>
    <w:tblStylePr w:type="lastRow">
      <w:rPr>
        <w:b/>
        <w:bCs/>
      </w:rPr>
      <w:tblPr/>
      <w:tcPr>
        <w:tcBorders>
          <w:top w:val="double" w:sz="2" w:space="0" w:color="2482F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5FE" w:themeFill="accent1" w:themeFillTint="33"/>
      </w:tcPr>
    </w:tblStylePr>
    <w:tblStylePr w:type="band1Horz">
      <w:tblPr/>
      <w:tcPr>
        <w:shd w:val="clear" w:color="auto" w:fill="B6D5FE" w:themeFill="accent1" w:themeFillTint="33"/>
      </w:tcPr>
    </w:tblStyle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AF5D21"/>
    <w:pPr>
      <w:spacing w:after="160" w:line="240" w:lineRule="exact"/>
      <w:jc w:val="left"/>
    </w:pPr>
    <w:rPr>
      <w:vertAlign w:val="superscript"/>
      <w:lang w:eastAsia="fr-BE"/>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sid w:val="00BA38BB"/>
    <w:rPr>
      <w:rFonts w:ascii="EC Square Sans Pro" w:eastAsiaTheme="minorHAnsi" w:hAnsi="EC Square Sans Pro" w:cstheme="minorBidi"/>
      <w:noProof/>
      <w:sz w:val="20"/>
      <w:szCs w:val="22"/>
      <w:lang w:val="en-IE" w:eastAsia="en-GB"/>
    </w:rPr>
  </w:style>
  <w:style w:type="paragraph" w:styleId="BalloonText">
    <w:name w:val="Balloon Text"/>
    <w:basedOn w:val="Normal"/>
    <w:link w:val="BalloonTextChar"/>
    <w:semiHidden/>
    <w:unhideWhenUsed/>
    <w:locked/>
    <w:rsid w:val="0041139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11397"/>
    <w:rPr>
      <w:rFonts w:ascii="Segoe UI" w:hAnsi="Segoe UI" w:cs="Segoe UI"/>
      <w:sz w:val="18"/>
      <w:szCs w:val="18"/>
    </w:rPr>
  </w:style>
  <w:style w:type="character" w:customStyle="1" w:styleId="UnresolvedMention1">
    <w:name w:val="Unresolved Mention1"/>
    <w:basedOn w:val="DefaultParagraphFont"/>
    <w:uiPriority w:val="99"/>
    <w:semiHidden/>
    <w:unhideWhenUsed/>
    <w:rsid w:val="002344C4"/>
    <w:rPr>
      <w:color w:val="605E5C"/>
      <w:shd w:val="clear" w:color="auto" w:fill="E1DFDD"/>
    </w:rPr>
  </w:style>
  <w:style w:type="paragraph" w:styleId="NormalWeb">
    <w:name w:val="Normal (Web)"/>
    <w:basedOn w:val="Normal"/>
    <w:uiPriority w:val="99"/>
    <w:semiHidden/>
    <w:unhideWhenUsed/>
    <w:locked/>
    <w:rsid w:val="0010650C"/>
    <w:pPr>
      <w:spacing w:before="100" w:beforeAutospacing="1" w:after="100" w:afterAutospacing="1"/>
      <w:jc w:val="left"/>
    </w:pPr>
    <w:rPr>
      <w:szCs w:val="24"/>
      <w:lang w:val="en-IE"/>
    </w:rPr>
  </w:style>
  <w:style w:type="character" w:styleId="Strong">
    <w:name w:val="Strong"/>
    <w:uiPriority w:val="22"/>
    <w:qFormat/>
    <w:locked/>
    <w:rsid w:val="00F65EB9"/>
    <w:rPr>
      <w:rFonts w:ascii="EC Square Sans Pro" w:hAnsi="EC Square Sans Pro"/>
      <w:b/>
      <w:color w:val="023E8A" w:themeColor="accent1"/>
      <w:sz w:val="20"/>
    </w:rPr>
  </w:style>
  <w:style w:type="character" w:customStyle="1" w:styleId="UnresolvedMention2">
    <w:name w:val="Unresolved Mention2"/>
    <w:basedOn w:val="DefaultParagraphFont"/>
    <w:uiPriority w:val="99"/>
    <w:semiHidden/>
    <w:unhideWhenUsed/>
    <w:rsid w:val="00133860"/>
    <w:rPr>
      <w:color w:val="605E5C"/>
      <w:shd w:val="clear" w:color="auto" w:fill="E1DFDD"/>
    </w:rPr>
  </w:style>
  <w:style w:type="character" w:customStyle="1" w:styleId="UnresolvedMention3">
    <w:name w:val="Unresolved Mention3"/>
    <w:basedOn w:val="DefaultParagraphFont"/>
    <w:uiPriority w:val="99"/>
    <w:semiHidden/>
    <w:unhideWhenUsed/>
    <w:rsid w:val="000E3D91"/>
    <w:rPr>
      <w:color w:val="605E5C"/>
      <w:shd w:val="clear" w:color="auto" w:fill="E1DFDD"/>
    </w:rPr>
  </w:style>
  <w:style w:type="character" w:customStyle="1" w:styleId="hgkelc">
    <w:name w:val="hgkelc"/>
    <w:basedOn w:val="DefaultParagraphFont"/>
    <w:rsid w:val="00435E33"/>
  </w:style>
  <w:style w:type="character" w:customStyle="1" w:styleId="UnresolvedMention4">
    <w:name w:val="Unresolved Mention4"/>
    <w:basedOn w:val="DefaultParagraphFont"/>
    <w:uiPriority w:val="99"/>
    <w:semiHidden/>
    <w:unhideWhenUsed/>
    <w:rsid w:val="00175159"/>
    <w:rPr>
      <w:color w:val="605E5C"/>
      <w:shd w:val="clear" w:color="auto" w:fill="E1DFDD"/>
    </w:rPr>
  </w:style>
  <w:style w:type="character" w:customStyle="1" w:styleId="TitleChar">
    <w:name w:val="Title Char"/>
    <w:basedOn w:val="DefaultParagraphFont"/>
    <w:link w:val="Title"/>
    <w:uiPriority w:val="1"/>
    <w:rsid w:val="00500E0C"/>
    <w:rPr>
      <w:rFonts w:ascii="EC Square Sans Pro" w:hAnsi="EC Square Sans Pro"/>
      <w:b/>
      <w:kern w:val="28"/>
      <w:sz w:val="48"/>
    </w:rPr>
  </w:style>
  <w:style w:type="paragraph" w:customStyle="1" w:styleId="nonumbertitle">
    <w:name w:val="no number title"/>
    <w:basedOn w:val="Normal"/>
    <w:link w:val="nonumbertitleChar"/>
    <w:uiPriority w:val="1"/>
    <w:qFormat/>
    <w:rsid w:val="00F57090"/>
    <w:rPr>
      <w:b/>
      <w:lang w:eastAsia="en-GB"/>
    </w:rPr>
  </w:style>
  <w:style w:type="paragraph" w:customStyle="1" w:styleId="Numbering">
    <w:name w:val="Numbering"/>
    <w:basedOn w:val="ListParagraph"/>
    <w:link w:val="NumberingChar"/>
    <w:uiPriority w:val="1"/>
    <w:qFormat/>
    <w:rsid w:val="00171794"/>
    <w:pPr>
      <w:numPr>
        <w:numId w:val="28"/>
      </w:numPr>
    </w:pPr>
  </w:style>
  <w:style w:type="character" w:customStyle="1" w:styleId="nonumbertitleChar">
    <w:name w:val="no number title Char"/>
    <w:basedOn w:val="DefaultParagraphFont"/>
    <w:link w:val="nonumbertitle"/>
    <w:uiPriority w:val="1"/>
    <w:rsid w:val="00F57090"/>
    <w:rPr>
      <w:rFonts w:ascii="EC Square Sans Pro" w:hAnsi="EC Square Sans Pro"/>
      <w:b/>
      <w:sz w:val="20"/>
      <w:lang w:eastAsia="en-GB"/>
    </w:rPr>
  </w:style>
  <w:style w:type="character" w:customStyle="1" w:styleId="NumberingChar">
    <w:name w:val="Numbering Char"/>
    <w:basedOn w:val="ListParagraphChar"/>
    <w:link w:val="Numbering"/>
    <w:uiPriority w:val="1"/>
    <w:rsid w:val="00171794"/>
    <w:rPr>
      <w:rFonts w:ascii="EC Square Sans Pro" w:eastAsiaTheme="minorHAnsi" w:hAnsi="EC Square Sans Pro" w:cstheme="minorBidi"/>
      <w:noProof/>
      <w:sz w:val="20"/>
      <w:szCs w:val="22"/>
      <w:lang w:val="en-IE" w:eastAsia="en-GB"/>
    </w:rPr>
  </w:style>
  <w:style w:type="paragraph" w:customStyle="1" w:styleId="bullets-orange">
    <w:name w:val="[bullets - orange]"/>
    <w:basedOn w:val="Normal"/>
    <w:rsid w:val="00B75B12"/>
    <w:pPr>
      <w:numPr>
        <w:numId w:val="33"/>
      </w:numPr>
    </w:pPr>
  </w:style>
  <w:style w:type="paragraph" w:customStyle="1" w:styleId="greenbullet">
    <w:name w:val="green bullet"/>
    <w:basedOn w:val="ListParagraph"/>
    <w:link w:val="greenbulletChar"/>
    <w:uiPriority w:val="1"/>
    <w:qFormat/>
    <w:rsid w:val="008E03C9"/>
    <w:pPr>
      <w:ind w:hanging="170"/>
    </w:pPr>
    <w:rPr>
      <w:b/>
      <w:bCs/>
      <w:caps/>
      <w:color w:val="90BE6D" w:themeColor="accent4"/>
    </w:rPr>
  </w:style>
  <w:style w:type="paragraph" w:customStyle="1" w:styleId="Titlelevel4">
    <w:name w:val="Title level 4"/>
    <w:basedOn w:val="nonumbertitle"/>
    <w:uiPriority w:val="1"/>
    <w:qFormat/>
    <w:rsid w:val="00E775F7"/>
    <w:rPr>
      <w:caps/>
      <w:color w:val="90BE6D" w:themeColor="accent4"/>
    </w:rPr>
  </w:style>
  <w:style w:type="character" w:customStyle="1" w:styleId="greenbulletChar">
    <w:name w:val="green bullet Char"/>
    <w:basedOn w:val="ListParagraphChar"/>
    <w:link w:val="greenbullet"/>
    <w:uiPriority w:val="1"/>
    <w:rsid w:val="008E03C9"/>
    <w:rPr>
      <w:rFonts w:ascii="EC Square Sans Pro" w:eastAsiaTheme="minorHAnsi" w:hAnsi="EC Square Sans Pro" w:cstheme="minorBidi"/>
      <w:b/>
      <w:bCs/>
      <w:caps/>
      <w:noProof/>
      <w:color w:val="90BE6D" w:themeColor="accent4"/>
      <w:sz w:val="20"/>
      <w:szCs w:val="22"/>
      <w:lang w:val="en-IE" w:eastAsia="en-GB"/>
    </w:rPr>
  </w:style>
  <w:style w:type="character" w:customStyle="1" w:styleId="UnresolvedMention5">
    <w:name w:val="Unresolved Mention5"/>
    <w:basedOn w:val="DefaultParagraphFont"/>
    <w:uiPriority w:val="99"/>
    <w:semiHidden/>
    <w:unhideWhenUsed/>
    <w:rsid w:val="00F762BA"/>
    <w:rPr>
      <w:color w:val="605E5C"/>
      <w:shd w:val="clear" w:color="auto" w:fill="E1DFDD"/>
    </w:rPr>
  </w:style>
  <w:style w:type="character" w:customStyle="1" w:styleId="UnresolvedMention6">
    <w:name w:val="Unresolved Mention6"/>
    <w:basedOn w:val="DefaultParagraphFont"/>
    <w:uiPriority w:val="99"/>
    <w:semiHidden/>
    <w:unhideWhenUsed/>
    <w:rsid w:val="00B67F33"/>
    <w:rPr>
      <w:color w:val="605E5C"/>
      <w:shd w:val="clear" w:color="auto" w:fill="E1DFDD"/>
    </w:rPr>
  </w:style>
  <w:style w:type="character" w:customStyle="1" w:styleId="Hyperlink1">
    <w:name w:val="Hyperlink1"/>
    <w:basedOn w:val="DefaultParagraphFont"/>
    <w:uiPriority w:val="99"/>
    <w:unhideWhenUsed/>
    <w:locked/>
    <w:rsid w:val="000F1001"/>
    <w:rPr>
      <w:color w:val="0563C1"/>
      <w:u w:val="single"/>
    </w:rPr>
  </w:style>
  <w:style w:type="character" w:customStyle="1" w:styleId="UnresolvedMention7">
    <w:name w:val="Unresolved Mention7"/>
    <w:basedOn w:val="DefaultParagraphFont"/>
    <w:uiPriority w:val="99"/>
    <w:semiHidden/>
    <w:unhideWhenUsed/>
    <w:rsid w:val="00F73C02"/>
    <w:rPr>
      <w:color w:val="605E5C"/>
      <w:shd w:val="clear" w:color="auto" w:fill="E1DFDD"/>
    </w:rPr>
  </w:style>
  <w:style w:type="character" w:customStyle="1" w:styleId="UnresolvedMention8">
    <w:name w:val="Unresolved Mention8"/>
    <w:basedOn w:val="DefaultParagraphFont"/>
    <w:uiPriority w:val="99"/>
    <w:semiHidden/>
    <w:unhideWhenUsed/>
    <w:rsid w:val="00175C34"/>
    <w:rPr>
      <w:color w:val="605E5C"/>
      <w:shd w:val="clear" w:color="auto" w:fill="E1DFDD"/>
    </w:rPr>
  </w:style>
  <w:style w:type="character" w:styleId="EndnoteReference">
    <w:name w:val="endnote reference"/>
    <w:basedOn w:val="DefaultParagraphFont"/>
    <w:semiHidden/>
    <w:locked/>
    <w:rsid w:val="00F512AF"/>
    <w:rPr>
      <w:vertAlign w:val="superscript"/>
    </w:rPr>
  </w:style>
  <w:style w:type="character" w:customStyle="1" w:styleId="UnresolvedMention9">
    <w:name w:val="Unresolved Mention9"/>
    <w:basedOn w:val="DefaultParagraphFont"/>
    <w:uiPriority w:val="99"/>
    <w:semiHidden/>
    <w:unhideWhenUsed/>
    <w:rsid w:val="00B63E73"/>
    <w:rPr>
      <w:color w:val="605E5C"/>
      <w:shd w:val="clear" w:color="auto" w:fill="E1DFDD"/>
    </w:rPr>
  </w:style>
  <w:style w:type="character" w:customStyle="1" w:styleId="Marker">
    <w:name w:val="Marker"/>
    <w:basedOn w:val="DefaultParagraphFont"/>
    <w:rsid w:val="00034B5C"/>
    <w:rPr>
      <w:color w:val="0000FF"/>
      <w:shd w:val="clear" w:color="auto" w:fill="auto"/>
    </w:rPr>
  </w:style>
  <w:style w:type="paragraph" w:customStyle="1" w:styleId="Pagedecouverture">
    <w:name w:val="Page de couverture"/>
    <w:basedOn w:val="Normal"/>
    <w:next w:val="Normal"/>
    <w:rsid w:val="00034B5C"/>
    <w:pPr>
      <w:spacing w:after="0"/>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034B5C"/>
    <w:pPr>
      <w:tabs>
        <w:tab w:val="center" w:pos="4535"/>
        <w:tab w:val="right" w:pos="9071"/>
        <w:tab w:val="right" w:pos="9921"/>
      </w:tabs>
      <w:spacing w:before="360" w:after="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sid w:val="00034B5C"/>
  </w:style>
  <w:style w:type="paragraph" w:customStyle="1" w:styleId="FooterSensitivity">
    <w:name w:val="Footer Sensitivity"/>
    <w:basedOn w:val="Normal"/>
    <w:link w:val="FooterSensitivityChar"/>
    <w:rsid w:val="00034B5C"/>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034B5C"/>
    <w:rPr>
      <w:b/>
      <w:sz w:val="32"/>
    </w:rPr>
  </w:style>
  <w:style w:type="paragraph" w:customStyle="1" w:styleId="HeaderCoverPage">
    <w:name w:val="Header Cover Page"/>
    <w:basedOn w:val="Normal"/>
    <w:link w:val="HeaderCoverPageChar"/>
    <w:rsid w:val="00034B5C"/>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sid w:val="00034B5C"/>
  </w:style>
  <w:style w:type="paragraph" w:customStyle="1" w:styleId="HeaderSensitivity">
    <w:name w:val="Header Sensitivity"/>
    <w:basedOn w:val="Normal"/>
    <w:link w:val="HeaderSensitivityChar"/>
    <w:rsid w:val="00034B5C"/>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034B5C"/>
    <w:rPr>
      <w:b/>
      <w:sz w:val="32"/>
    </w:rPr>
  </w:style>
  <w:style w:type="paragraph" w:customStyle="1" w:styleId="HeaderSensitivityRight">
    <w:name w:val="Header Sensitivity Right"/>
    <w:basedOn w:val="Normal"/>
    <w:link w:val="HeaderSensitivityRightChar"/>
    <w:rsid w:val="00034B5C"/>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034B5C"/>
    <w:rPr>
      <w:sz w:val="28"/>
    </w:rPr>
  </w:style>
  <w:style w:type="character" w:customStyle="1" w:styleId="FooterChar">
    <w:name w:val="Footer Char"/>
    <w:basedOn w:val="DefaultParagraphFont"/>
    <w:link w:val="Footer"/>
    <w:uiPriority w:val="99"/>
    <w:rsid w:val="000A2DDC"/>
    <w:rPr>
      <w:rFonts w:ascii="EC Square Sans Pro" w:hAnsi="EC Square Sans Pr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495">
      <w:bodyDiv w:val="1"/>
      <w:marLeft w:val="0"/>
      <w:marRight w:val="0"/>
      <w:marTop w:val="0"/>
      <w:marBottom w:val="0"/>
      <w:divBdr>
        <w:top w:val="none" w:sz="0" w:space="0" w:color="auto"/>
        <w:left w:val="none" w:sz="0" w:space="0" w:color="auto"/>
        <w:bottom w:val="none" w:sz="0" w:space="0" w:color="auto"/>
        <w:right w:val="none" w:sz="0" w:space="0" w:color="auto"/>
      </w:divBdr>
    </w:div>
    <w:div w:id="134682526">
      <w:bodyDiv w:val="1"/>
      <w:marLeft w:val="0"/>
      <w:marRight w:val="0"/>
      <w:marTop w:val="0"/>
      <w:marBottom w:val="0"/>
      <w:divBdr>
        <w:top w:val="none" w:sz="0" w:space="0" w:color="auto"/>
        <w:left w:val="none" w:sz="0" w:space="0" w:color="auto"/>
        <w:bottom w:val="none" w:sz="0" w:space="0" w:color="auto"/>
        <w:right w:val="none" w:sz="0" w:space="0" w:color="auto"/>
      </w:divBdr>
    </w:div>
    <w:div w:id="455027267">
      <w:bodyDiv w:val="1"/>
      <w:marLeft w:val="0"/>
      <w:marRight w:val="0"/>
      <w:marTop w:val="0"/>
      <w:marBottom w:val="0"/>
      <w:divBdr>
        <w:top w:val="none" w:sz="0" w:space="0" w:color="auto"/>
        <w:left w:val="none" w:sz="0" w:space="0" w:color="auto"/>
        <w:bottom w:val="none" w:sz="0" w:space="0" w:color="auto"/>
        <w:right w:val="none" w:sz="0" w:space="0" w:color="auto"/>
      </w:divBdr>
    </w:div>
    <w:div w:id="461733321">
      <w:bodyDiv w:val="1"/>
      <w:marLeft w:val="0"/>
      <w:marRight w:val="0"/>
      <w:marTop w:val="0"/>
      <w:marBottom w:val="0"/>
      <w:divBdr>
        <w:top w:val="none" w:sz="0" w:space="0" w:color="auto"/>
        <w:left w:val="none" w:sz="0" w:space="0" w:color="auto"/>
        <w:bottom w:val="none" w:sz="0" w:space="0" w:color="auto"/>
        <w:right w:val="none" w:sz="0" w:space="0" w:color="auto"/>
      </w:divBdr>
    </w:div>
    <w:div w:id="612438310">
      <w:bodyDiv w:val="1"/>
      <w:marLeft w:val="0"/>
      <w:marRight w:val="0"/>
      <w:marTop w:val="0"/>
      <w:marBottom w:val="0"/>
      <w:divBdr>
        <w:top w:val="none" w:sz="0" w:space="0" w:color="auto"/>
        <w:left w:val="none" w:sz="0" w:space="0" w:color="auto"/>
        <w:bottom w:val="none" w:sz="0" w:space="0" w:color="auto"/>
        <w:right w:val="none" w:sz="0" w:space="0" w:color="auto"/>
      </w:divBdr>
    </w:div>
    <w:div w:id="871261261">
      <w:bodyDiv w:val="1"/>
      <w:marLeft w:val="0"/>
      <w:marRight w:val="0"/>
      <w:marTop w:val="0"/>
      <w:marBottom w:val="0"/>
      <w:divBdr>
        <w:top w:val="none" w:sz="0" w:space="0" w:color="auto"/>
        <w:left w:val="none" w:sz="0" w:space="0" w:color="auto"/>
        <w:bottom w:val="none" w:sz="0" w:space="0" w:color="auto"/>
        <w:right w:val="none" w:sz="0" w:space="0" w:color="auto"/>
      </w:divBdr>
    </w:div>
    <w:div w:id="917254180">
      <w:bodyDiv w:val="1"/>
      <w:marLeft w:val="0"/>
      <w:marRight w:val="0"/>
      <w:marTop w:val="0"/>
      <w:marBottom w:val="0"/>
      <w:divBdr>
        <w:top w:val="none" w:sz="0" w:space="0" w:color="auto"/>
        <w:left w:val="none" w:sz="0" w:space="0" w:color="auto"/>
        <w:bottom w:val="none" w:sz="0" w:space="0" w:color="auto"/>
        <w:right w:val="none" w:sz="0" w:space="0" w:color="auto"/>
      </w:divBdr>
    </w:div>
    <w:div w:id="965508182">
      <w:bodyDiv w:val="1"/>
      <w:marLeft w:val="0"/>
      <w:marRight w:val="0"/>
      <w:marTop w:val="0"/>
      <w:marBottom w:val="0"/>
      <w:divBdr>
        <w:top w:val="none" w:sz="0" w:space="0" w:color="auto"/>
        <w:left w:val="none" w:sz="0" w:space="0" w:color="auto"/>
        <w:bottom w:val="none" w:sz="0" w:space="0" w:color="auto"/>
        <w:right w:val="none" w:sz="0" w:space="0" w:color="auto"/>
      </w:divBdr>
    </w:div>
    <w:div w:id="1314216807">
      <w:bodyDiv w:val="1"/>
      <w:marLeft w:val="0"/>
      <w:marRight w:val="0"/>
      <w:marTop w:val="0"/>
      <w:marBottom w:val="0"/>
      <w:divBdr>
        <w:top w:val="none" w:sz="0" w:space="0" w:color="auto"/>
        <w:left w:val="none" w:sz="0" w:space="0" w:color="auto"/>
        <w:bottom w:val="none" w:sz="0" w:space="0" w:color="auto"/>
        <w:right w:val="none" w:sz="0" w:space="0" w:color="auto"/>
      </w:divBdr>
      <w:divsChild>
        <w:div w:id="194930348">
          <w:marLeft w:val="0"/>
          <w:marRight w:val="0"/>
          <w:marTop w:val="0"/>
          <w:marBottom w:val="0"/>
          <w:divBdr>
            <w:top w:val="none" w:sz="0" w:space="0" w:color="auto"/>
            <w:left w:val="none" w:sz="0" w:space="0" w:color="auto"/>
            <w:bottom w:val="none" w:sz="0" w:space="0" w:color="auto"/>
            <w:right w:val="none" w:sz="0" w:space="0" w:color="auto"/>
          </w:divBdr>
          <w:divsChild>
            <w:div w:id="600181204">
              <w:marLeft w:val="0"/>
              <w:marRight w:val="0"/>
              <w:marTop w:val="0"/>
              <w:marBottom w:val="0"/>
              <w:divBdr>
                <w:top w:val="none" w:sz="0" w:space="0" w:color="auto"/>
                <w:left w:val="none" w:sz="0" w:space="0" w:color="auto"/>
                <w:bottom w:val="none" w:sz="0" w:space="0" w:color="auto"/>
                <w:right w:val="none" w:sz="0" w:space="0" w:color="auto"/>
              </w:divBdr>
              <w:divsChild>
                <w:div w:id="2131852644">
                  <w:marLeft w:val="0"/>
                  <w:marRight w:val="0"/>
                  <w:marTop w:val="0"/>
                  <w:marBottom w:val="225"/>
                  <w:divBdr>
                    <w:top w:val="none" w:sz="0" w:space="0" w:color="auto"/>
                    <w:left w:val="none" w:sz="0" w:space="0" w:color="auto"/>
                    <w:bottom w:val="none" w:sz="0" w:space="0" w:color="auto"/>
                    <w:right w:val="none" w:sz="0" w:space="0" w:color="auto"/>
                  </w:divBdr>
                  <w:divsChild>
                    <w:div w:id="490802727">
                      <w:marLeft w:val="0"/>
                      <w:marRight w:val="0"/>
                      <w:marTop w:val="450"/>
                      <w:marBottom w:val="225"/>
                      <w:divBdr>
                        <w:top w:val="none" w:sz="0" w:space="0" w:color="auto"/>
                        <w:left w:val="none" w:sz="0" w:space="0" w:color="auto"/>
                        <w:bottom w:val="none" w:sz="0" w:space="0" w:color="auto"/>
                        <w:right w:val="none" w:sz="0" w:space="0" w:color="auto"/>
                      </w:divBdr>
                      <w:divsChild>
                        <w:div w:id="1924025837">
                          <w:marLeft w:val="0"/>
                          <w:marRight w:val="0"/>
                          <w:marTop w:val="0"/>
                          <w:marBottom w:val="0"/>
                          <w:divBdr>
                            <w:top w:val="none" w:sz="0" w:space="0" w:color="auto"/>
                            <w:left w:val="none" w:sz="0" w:space="0" w:color="auto"/>
                            <w:bottom w:val="none" w:sz="0" w:space="0" w:color="auto"/>
                            <w:right w:val="none" w:sz="0" w:space="0" w:color="auto"/>
                          </w:divBdr>
                          <w:divsChild>
                            <w:div w:id="638724058">
                              <w:marLeft w:val="0"/>
                              <w:marRight w:val="0"/>
                              <w:marTop w:val="0"/>
                              <w:marBottom w:val="0"/>
                              <w:divBdr>
                                <w:top w:val="none" w:sz="0" w:space="0" w:color="auto"/>
                                <w:left w:val="none" w:sz="0" w:space="0" w:color="auto"/>
                                <w:bottom w:val="none" w:sz="0" w:space="0" w:color="auto"/>
                                <w:right w:val="none" w:sz="0" w:space="0" w:color="auto"/>
                              </w:divBdr>
                              <w:divsChild>
                                <w:div w:id="1539471349">
                                  <w:marLeft w:val="0"/>
                                  <w:marRight w:val="0"/>
                                  <w:marTop w:val="0"/>
                                  <w:marBottom w:val="225"/>
                                  <w:divBdr>
                                    <w:top w:val="none" w:sz="0" w:space="0" w:color="auto"/>
                                    <w:left w:val="none" w:sz="0" w:space="0" w:color="auto"/>
                                    <w:bottom w:val="none" w:sz="0" w:space="0" w:color="auto"/>
                                    <w:right w:val="none" w:sz="0" w:space="0" w:color="auto"/>
                                  </w:divBdr>
                                  <w:divsChild>
                                    <w:div w:id="671881020">
                                      <w:marLeft w:val="0"/>
                                      <w:marRight w:val="0"/>
                                      <w:marTop w:val="0"/>
                                      <w:marBottom w:val="0"/>
                                      <w:divBdr>
                                        <w:top w:val="none" w:sz="0" w:space="0" w:color="auto"/>
                                        <w:left w:val="none" w:sz="0" w:space="0" w:color="auto"/>
                                        <w:bottom w:val="none" w:sz="0" w:space="0" w:color="auto"/>
                                        <w:right w:val="none" w:sz="0" w:space="0" w:color="auto"/>
                                      </w:divBdr>
                                      <w:divsChild>
                                        <w:div w:id="117988793">
                                          <w:marLeft w:val="0"/>
                                          <w:marRight w:val="0"/>
                                          <w:marTop w:val="0"/>
                                          <w:marBottom w:val="0"/>
                                          <w:divBdr>
                                            <w:top w:val="none" w:sz="0" w:space="0" w:color="auto"/>
                                            <w:left w:val="none" w:sz="0" w:space="0" w:color="auto"/>
                                            <w:bottom w:val="none" w:sz="0" w:space="0" w:color="auto"/>
                                            <w:right w:val="none" w:sz="0" w:space="0" w:color="auto"/>
                                          </w:divBdr>
                                          <w:divsChild>
                                            <w:div w:id="18852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979923">
          <w:marLeft w:val="0"/>
          <w:marRight w:val="0"/>
          <w:marTop w:val="0"/>
          <w:marBottom w:val="0"/>
          <w:divBdr>
            <w:top w:val="none" w:sz="0" w:space="0" w:color="auto"/>
            <w:left w:val="none" w:sz="0" w:space="0" w:color="auto"/>
            <w:bottom w:val="none" w:sz="0" w:space="0" w:color="auto"/>
            <w:right w:val="none" w:sz="0" w:space="0" w:color="auto"/>
          </w:divBdr>
        </w:div>
      </w:divsChild>
    </w:div>
    <w:div w:id="1365862451">
      <w:bodyDiv w:val="1"/>
      <w:marLeft w:val="0"/>
      <w:marRight w:val="0"/>
      <w:marTop w:val="0"/>
      <w:marBottom w:val="0"/>
      <w:divBdr>
        <w:top w:val="none" w:sz="0" w:space="0" w:color="auto"/>
        <w:left w:val="none" w:sz="0" w:space="0" w:color="auto"/>
        <w:bottom w:val="none" w:sz="0" w:space="0" w:color="auto"/>
        <w:right w:val="none" w:sz="0" w:space="0" w:color="auto"/>
      </w:divBdr>
    </w:div>
    <w:div w:id="1449012742">
      <w:bodyDiv w:val="1"/>
      <w:marLeft w:val="0"/>
      <w:marRight w:val="0"/>
      <w:marTop w:val="0"/>
      <w:marBottom w:val="0"/>
      <w:divBdr>
        <w:top w:val="none" w:sz="0" w:space="0" w:color="auto"/>
        <w:left w:val="none" w:sz="0" w:space="0" w:color="auto"/>
        <w:bottom w:val="none" w:sz="0" w:space="0" w:color="auto"/>
        <w:right w:val="none" w:sz="0" w:space="0" w:color="auto"/>
      </w:divBdr>
    </w:div>
    <w:div w:id="1461918123">
      <w:bodyDiv w:val="1"/>
      <w:marLeft w:val="0"/>
      <w:marRight w:val="0"/>
      <w:marTop w:val="0"/>
      <w:marBottom w:val="0"/>
      <w:divBdr>
        <w:top w:val="none" w:sz="0" w:space="0" w:color="auto"/>
        <w:left w:val="none" w:sz="0" w:space="0" w:color="auto"/>
        <w:bottom w:val="none" w:sz="0" w:space="0" w:color="auto"/>
        <w:right w:val="none" w:sz="0" w:space="0" w:color="auto"/>
      </w:divBdr>
    </w:div>
    <w:div w:id="170848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5.png"/><Relationship Id="rId39" Type="http://schemas.openxmlformats.org/officeDocument/2006/relationships/image" Target="media/image16.png"/><Relationship Id="rId21" Type="http://schemas.openxmlformats.org/officeDocument/2006/relationships/footer" Target="footer3.xml"/><Relationship Id="rId34" Type="http://schemas.openxmlformats.org/officeDocument/2006/relationships/image" Target="media/image12.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image" Target="media/image11.png"/><Relationship Id="rId38" Type="http://schemas.openxmlformats.org/officeDocument/2006/relationships/image" Target="media/image15.png"/><Relationship Id="rId46"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8.png"/><Relationship Id="rId41" Type="http://schemas.openxmlformats.org/officeDocument/2006/relationships/image" Target="media/image18.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png"/><Relationship Id="rId32" Type="http://schemas.openxmlformats.org/officeDocument/2006/relationships/image" Target="media/image10.png"/><Relationship Id="rId37" Type="http://schemas.openxmlformats.org/officeDocument/2006/relationships/hyperlink" Target="https://politico.us8.list-manage.com/track/click?u=e26c1a1c392386a968d02fdbc&amp;id=5fc22d4cd4&amp;e=0273d76ab1" TargetMode="External"/><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commission.europa.eu/strategy-and-policy/eu-budget/long-term-eu-budget/2014-2020/spending-and-revenue_en" TargetMode="External"/><Relationship Id="rId28" Type="http://schemas.openxmlformats.org/officeDocument/2006/relationships/image" Target="media/image7.png"/><Relationship Id="rId36" Type="http://schemas.openxmlformats.org/officeDocument/2006/relationships/image" Target="media/image14.png"/><Relationship Id="rId49" Type="http://schemas.openxmlformats.org/officeDocument/2006/relationships/header" Target="header5.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9.png"/><Relationship Id="rId44" Type="http://schemas.openxmlformats.org/officeDocument/2006/relationships/image" Target="media/image21.png"/><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hyperlink" Target="https://commission.europa.eu/strategy-and-policy/eu-budget/long-term-eu-budget/2014-2020/spending-and-revenue_en" TargetMode="External"/><Relationship Id="rId35" Type="http://schemas.openxmlformats.org/officeDocument/2006/relationships/image" Target="media/image13.png"/><Relationship Id="rId43" Type="http://schemas.openxmlformats.org/officeDocument/2006/relationships/image" Target="media/image20.png"/><Relationship Id="rId48"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footer" Target="footer5.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imf.org/en/publications/fiscal-affairs-department-how-to-notes/issues/2017/10/19/how-to-establish-a-tax-policy-unit-45322" TargetMode="External"/><Relationship Id="rId13" Type="http://schemas.openxmlformats.org/officeDocument/2006/relationships/hyperlink" Target="https://www.europarl.europa.eu/RegData/etudes/STUD/2022/731895/IPOL_STU(2022)731895_EN.pdf" TargetMode="External"/><Relationship Id="rId18" Type="http://schemas.openxmlformats.org/officeDocument/2006/relationships/hyperlink" Target="https://euobserver.com/news/151622" TargetMode="External"/><Relationship Id="rId3" Type="http://schemas.openxmlformats.org/officeDocument/2006/relationships/hyperlink" Target="http://www.imf.org/external/pubs/ft/fandd/2014/12/pdf/basics.pdf" TargetMode="External"/><Relationship Id="rId21" Type="http://schemas.openxmlformats.org/officeDocument/2006/relationships/hyperlink" Target="https://climate.ec.europa.eu/eu-action/effort-sharing-member-states-emission-targets/effort-sharing-2021-2030-targets-and-flexibilities_en" TargetMode="External"/><Relationship Id="rId7" Type="http://schemas.openxmlformats.org/officeDocument/2006/relationships/hyperlink" Target="https://www.economicshelp.org/blog/145773/economics/the-qualities-of-a-good-tax/" TargetMode="External"/><Relationship Id="rId12" Type="http://schemas.openxmlformats.org/officeDocument/2006/relationships/hyperlink" Target="https://www.dir.ca.gov/DLSE/GarmentFAQs/" TargetMode="External"/><Relationship Id="rId17" Type="http://schemas.openxmlformats.org/officeDocument/2006/relationships/hyperlink" Target="https://environment.ec.europa.eu/topics/waste-and-recycling/waste-electrical-and-electronic-equipment-weee/implementation-weee-directive_en" TargetMode="External"/><Relationship Id="rId2" Type="http://schemas.openxmlformats.org/officeDocument/2006/relationships/hyperlink" Target="https://heinonline.org/HOL/Page?collection=journals&amp;handle=hein.journals/cdntj63&amp;id=1253&amp;men_tab=srchresults" TargetMode="External"/><Relationship Id="rId16" Type="http://schemas.openxmlformats.org/officeDocument/2006/relationships/hyperlink" Target="https://eur-lex.europa.eu/legal-content/EN/TXT/?uri=uriserv:OJ.L_.2017.103.01.0017.01.ENG" TargetMode="External"/><Relationship Id="rId20" Type="http://schemas.openxmlformats.org/officeDocument/2006/relationships/hyperlink" Target="https://climate.ec.europa.eu/eu-action/funding-climate-action/modernisation-fund_en" TargetMode="External"/><Relationship Id="rId1" Type="http://schemas.openxmlformats.org/officeDocument/2006/relationships/hyperlink" Target="https://global.oup.com/academic/product/taxation-a-very-short-introduction-9780199683697?cc=us&amp;lang=en&amp;" TargetMode="External"/><Relationship Id="rId6" Type="http://schemas.openxmlformats.org/officeDocument/2006/relationships/hyperlink" Target="http://www.imf.org/en/publications/fiscal-affairs-department-how-to-notes/issues/2017/10/19/how-to-establish-a-tax-policy-unit-45322" TargetMode="External"/><Relationship Id="rId11" Type="http://schemas.openxmlformats.org/officeDocument/2006/relationships/hyperlink" Target="https://www.pes.cor.europa.eu/legislativeworks/next-generation-own-resources-eu-budget" TargetMode="External"/><Relationship Id="rId24" Type="http://schemas.openxmlformats.org/officeDocument/2006/relationships/hyperlink" Target="https://ec.europa.eu/eurostat/documents/3859598/13985433/KS-GQ-21-016-EN-N.pdf/e9410e2b-eba1-7a09-554b-dff3ac1df6bf?t=1639751446385" TargetMode="External"/><Relationship Id="rId5" Type="http://schemas.openxmlformats.org/officeDocument/2006/relationships/hyperlink" Target="https://www.imf.org/external/np/pp/eng/2015/020215a.pdf" TargetMode="External"/><Relationship Id="rId15" Type="http://schemas.openxmlformats.org/officeDocument/2006/relationships/hyperlink" Target="https://ec.europa.eu/info/law/better-regulation/have-your-say/initiatives/13223-Food-waste-reduction-targets_en" TargetMode="External"/><Relationship Id="rId23" Type="http://schemas.openxmlformats.org/officeDocument/2006/relationships/hyperlink" Target="https://ec.europa.eu/eurostat/statistics-explained/index.php?title=Structural_business_statistics_introduced" TargetMode="External"/><Relationship Id="rId10" Type="http://schemas.openxmlformats.org/officeDocument/2006/relationships/hyperlink" Target="https://www.eca.europa.eu/en/publications/OP22_03" TargetMode="External"/><Relationship Id="rId19" Type="http://schemas.openxmlformats.org/officeDocument/2006/relationships/hyperlink" Target="https://climate.ec.europa.eu/eu-action/eu-emissions-trading-system-eu-ets/free-allocation/allocation-modernise-energy-sector_en" TargetMode="External"/><Relationship Id="rId4" Type="http://schemas.openxmlformats.org/officeDocument/2006/relationships/hyperlink" Target="https://books.wwnorton.com/books/detail.aspx?ID=4294986932" TargetMode="External"/><Relationship Id="rId9" Type="http://schemas.openxmlformats.org/officeDocument/2006/relationships/hyperlink" Target="https://www.europarl.europa.eu/doceo/document/BUDG-PR-739558_EN.pdf" TargetMode="External"/><Relationship Id="rId14" Type="http://schemas.openxmlformats.org/officeDocument/2006/relationships/hyperlink" Target="https://ec.europa.eu/eurostat/en/web/products-statistical-working-papers/-/ks-tc-22-002" TargetMode="External"/><Relationship Id="rId22" Type="http://schemas.openxmlformats.org/officeDocument/2006/relationships/hyperlink" Target="https://eur-lex.europa.eu/legal-content/EN/TXT/?uri=CELEX:52021SC0601" TargetMode="Externa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44546A"/>
      </a:dk2>
      <a:lt2>
        <a:srgbClr val="E7E6E6"/>
      </a:lt2>
      <a:accent1>
        <a:srgbClr val="023E8A"/>
      </a:accent1>
      <a:accent2>
        <a:srgbClr val="F3722C"/>
      </a:accent2>
      <a:accent3>
        <a:srgbClr val="43AA8B"/>
      </a:accent3>
      <a:accent4>
        <a:srgbClr val="90BE6D"/>
      </a:accent4>
      <a:accent5>
        <a:srgbClr val="7A6DB2"/>
      </a:accent5>
      <a:accent6>
        <a:srgbClr val="FFC000"/>
      </a:accent6>
      <a:hlink>
        <a:srgbClr val="0563C1"/>
      </a:hlink>
      <a:folHlink>
        <a:srgbClr val="007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Role="Creator" AuthorRoleName="Writer" AuthorRoleId="a4fbaff4-b07c-48b4-a21e-e7b9eedf3796">
  <Id>b42c1c01-220d-4a93-8967-3bb1ed8d2331</Id>
  <Names>
    <Latin>
      <FirstName>Anda</FirstName>
      <LastName>Patarau</LastName>
    </Latin>
    <Greek>
      <FirstName/>
      <LastName/>
    </Greek>
    <Cyrillic>
      <FirstName/>
      <LastName/>
    </Cyrillic>
    <DocumentScript>
      <FirstName>Anda</FirstName>
      <LastName>Patarau</LastName>
      <FullName>Anda Patarau</FullName>
    </DocumentScript>
  </Names>
  <Initials>AP</Initials>
  <Gender>f</Gender>
  <Email>Anda.PATARAU@ec.europa.eu</Email>
  <Service>BUDG.B.2</Service>
  <Function ADCode="" ShowInSignature="true" ShowInHeader="false" HeaderText="">Economist</Function>
  <WebAddress/>
  <FunctionalMailbox/>
  <InheritedWebAddress>WebAddress</InheritedWebAddress>
  <OrgaEntity1>
    <Id>a267f1e1-3545-480c-bbad-6faf3c531263</Id>
    <LogicalLevel>1</LogicalLevel>
    <Name>BUDG</Name>
    <HeadLine1>DIRECTORATE-GENERAL FOR BUDGET</HeadLine1>
    <HeadLine2/>
    <PrimaryAddressId>f03b5801-04c9-4931-aa17-c6d6c70bc579</PrimaryAddressId>
    <SecondaryAddressId/>
    <WebAddress>WebAddress</WebAddress>
    <InheritedWebAddress>WebAddress</InheritedWebAddress>
    <ShowInHeader>true</ShowInHeader>
  </OrgaEntity1>
  <OrgaEntity2>
    <Id>9434b04c-fb1f-4bb6-a2a0-4d637110d293</Id>
    <LogicalLevel>2</LogicalLevel>
    <Name>BUDG.B</Name>
    <HeadLine1>Revenue and Multiannual financial framework</HeadLine1>
    <HeadLine2/>
    <PrimaryAddressId>f03b5801-04c9-4931-aa17-c6d6c70bc579</PrimaryAddressId>
    <SecondaryAddressId/>
    <WebAddress/>
    <InheritedWebAddress>WebAddress</InheritedWebAddress>
    <ShowInHeader>true</ShowInHeader>
  </OrgaEntity2>
  <OrgaEntity3>
    <Id>9a7f99f7-c550-4b3d-9b52-e468c4064705</Id>
    <LogicalLevel>3</LogicalLevel>
    <Name>BUDG.B.2</Name>
    <HeadLine1>Revenue policy and new own resources</HeadLine1>
    <HeadLine2/>
    <PrimaryAddressId>f03b5801-04c9-4931-aa17-c6d6c70bc579</PrimaryAddressId>
    <SecondaryAddressId/>
    <WebAddress/>
    <InheritedWebAddress>WebAddress</InheritedWebAddress>
    <ShowInHeader>true</ShowInHeader>
  </OrgaEntity3>
  <Hierarchy>
    <OrgaEntity>
      <Id>a267f1e1-3545-480c-bbad-6faf3c531263</Id>
      <LogicalLevel>1</LogicalLevel>
      <Name>BUDG</Name>
      <HeadLine1>DIRECTORATE-GENERAL FOR BUDGET</HeadLine1>
      <HeadLine2/>
      <PrimaryAddressId>f03b5801-04c9-4931-aa17-c6d6c70bc579</PrimaryAddressId>
      <SecondaryAddressId/>
      <WebAddress>WebAddress</WebAddress>
      <InheritedWebAddress>WebAddress</InheritedWebAddress>
      <ShowInHeader>true</ShowInHeader>
    </OrgaEntity>
    <OrgaEntity>
      <Id>9434b04c-fb1f-4bb6-a2a0-4d637110d293</Id>
      <LogicalLevel>2</LogicalLevel>
      <Name>BUDG.B</Name>
      <HeadLine1>Revenue and Multiannual financial framework</HeadLine1>
      <HeadLine2/>
      <PrimaryAddressId>f03b5801-04c9-4931-aa17-c6d6c70bc579</PrimaryAddressId>
      <SecondaryAddressId/>
      <WebAddress/>
      <InheritedWebAddress>WebAddress</InheritedWebAddress>
      <ShowInHeader>true</ShowInHeader>
    </OrgaEntity>
    <OrgaEntity>
      <Id>9a7f99f7-c550-4b3d-9b52-e468c4064705</Id>
      <LogicalLevel>3</LogicalLevel>
      <Name>BUDG.B.2</Name>
      <HeadLine1>Revenue policy and new own resources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+32 229-87683</Phone>
    <Office>MO15 03/DCS</Office>
  </MainWorkplace>
  <Workplaces>
    <Workplace IsMain="true">
      <AddressId>f03b5801-04c9-4931-aa17-c6d6c70bc579</AddressId>
      <Fax/>
      <Phone>+32 229-87683</Phone>
      <Office>MO15 03/DCS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449cb01-ac7f-4105-a4f6-aace6d33820e">EN</EC_Collab_DocumentLanguage>
    <EC_ARES_DATE_TRANSFERRED xmlns="1449cb01-ac7f-4105-a4f6-aace6d33820e" xsi:nil="true"/>
    <EC_ARES_TRANSFERRED_BY xmlns="1449cb01-ac7f-4105-a4f6-aace6d33820e" xsi:nil="true"/>
    <EC_Collab_Reference xmlns="1449cb01-ac7f-4105-a4f6-aace6d33820e" xsi:nil="true"/>
    <EC_Collab_Status xmlns="1449cb01-ac7f-4105-a4f6-aace6d33820e">Not Started</EC_Collab_Status>
    <EC_ARES_NUMBER xmlns="1449cb01-ac7f-4105-a4f6-aace6d33820e">
      <Url xsi:nil="true"/>
      <Description xsi:nil="true"/>
    </EC_ARES_NUMBER>
    <_dlc_DocId xmlns="b9a1bbf4-3872-40cb-a1a3-b88a292b9176">NHRUTF4F6DR2-326283604-2943</_dlc_DocId>
    <_dlc_DocIdUrl xmlns="b9a1bbf4-3872-40cb-a1a3-b88a292b9176">
      <Url>https://myintracomm-collab.ec.europa.eu/dg/budg/unit-B2-site/_layouts/15/DocIdRedir.aspx?ID=NHRUTF4F6DR2-326283604-2943</Url>
      <Description>NHRUTF4F6DR2-326283604-2943</Description>
    </_dlc_DocIdUrl>
    <SharedWithUsers xmlns="ce90b569-b2b5-43ce-a69d-542b5fc3f59f">
      <UserInfo>
        <DisplayName>ZIANI ZERYOUH Ayoub</DisplayName>
        <AccountId>26520</AccountId>
        <AccountType/>
      </UserInfo>
      <UserInfo>
        <DisplayName>DJIKOVA Viktoria</DisplayName>
        <AccountId>2278</AccountId>
        <AccountType/>
      </UserInfo>
      <UserInfo>
        <DisplayName>AMARO ALFAIATE Maria João</DisplayName>
        <AccountId>1683</AccountId>
        <AccountType/>
      </UserInfo>
      <UserInfo>
        <DisplayName>STANKOVA Andreana</DisplayName>
        <AccountId>1574</AccountId>
        <AccountType/>
      </UserInfo>
      <UserInfo>
        <DisplayName>JUHL Niklas</DisplayName>
        <AccountId>22884</AccountId>
        <AccountType/>
      </UserInfo>
      <UserInfo>
        <DisplayName>COLOMBANI Marie</DisplayName>
        <AccountId>26977</AccountId>
        <AccountType/>
      </UserInfo>
      <UserInfo>
        <DisplayName>PATARAU Anda</DisplayName>
        <AccountId>3609</AccountId>
        <AccountType/>
      </UserInfo>
    </SharedWithUsers>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7" ma:contentTypeDescription="Create a new document in this library." ma:contentTypeScope="" ma:versionID="09bc6430df4cc480e94d9222eee13ce0">
  <xsd:schema xmlns:xsd="http://www.w3.org/2001/XMLSchema" xmlns:xs="http://www.w3.org/2001/XMLSchema" xmlns:p="http://schemas.microsoft.com/office/2006/metadata/properties" xmlns:ns3="1449cb01-ac7f-4105-a4f6-aace6d33820e" xmlns:ns4="b9a1bbf4-3872-40cb-a1a3-b88a292b9176" xmlns:ns5="ce90b569-b2b5-43ce-a69d-542b5fc3f59f" targetNamespace="http://schemas.microsoft.com/office/2006/metadata/properties" ma:root="true" ma:fieldsID="83e43dcc1d165ebd4791315de665119e" ns3:_="" ns4:_="" ns5:_="">
    <xsd:import namespace="1449cb01-ac7f-4105-a4f6-aace6d33820e"/>
    <xsd:import namespace="b9a1bbf4-3872-40cb-a1a3-b88a292b9176"/>
    <xsd:import namespace="ce90b569-b2b5-43ce-a69d-542b5fc3f59f"/>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90b569-b2b5-43ce-a69d-542b5fc3f59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EurolookProperties>
  <ProductCustomizationId>EC</ProductCustomizationId>
  <Created>
    <Version>10.0.44709.0</Version>
    <Date>2023-03-31T10:31:20</Date>
    <Language>EN</Language>
    <Note/>
  </Created>
  <Edited>
    <Version/>
    <Date/>
  </Edited>
  <DocumentModel>
    <Id>6cbda13a-4db2-46c6-876a-ef72275827ef</Id>
    <Name>Report</Name>
  </DocumentModel>
  <CustomTemplate>
    <Id/>
    <Name/>
  </CustomTemplate>
  <DocumentDate>2023-03-31T10:31:20</DocumentDate>
  <DocumentVersion>0.1</DocumentVersion>
  <CompatibilityMode>Eurolook10</CompatibilityMode>
  <DocumentMetadata>
    <EC_SecurityDateMarkingEvent MetadataSerializationType="SimpleValue"/>
    <EC_SecurityDistributionWorkingGroup MetadataSerializationType="SimpleValue"/>
    <EC_SecurityDistributionSpecialHandling MetadataSerializationType="SimpleValue"/>
    <EC_SecurityDistributionSensitive MetadataSerializationType="SimpleValue">DG</EC_SecurityDistributionSensitive>
    <EC_SecurityDistributionDG MetadataSerializationType="SimpleValue"/>
    <EC_SecurityDateMarkingDate MetadataSerializationType="SimpleValue"/>
    <EC_SecurityMarking MetadataSerializationType="SimpleValue">SENSITIVE</EC_SecurityMarking>
    <EC_SecurityReleasability MetadataSerializationType="SimpleValue"/>
    <EC_SecurityDateMarking MetadataSerializationType="SimpleValue"/>
  </DocumentMetadata>
</Eurolook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0099-DFEB-490B-8D4D-BCF6F7B8A099}">
  <ds:schemaRefs/>
</ds:datastoreItem>
</file>

<file path=customXml/itemProps2.xml><?xml version="1.0" encoding="utf-8"?>
<ds:datastoreItem xmlns:ds="http://schemas.openxmlformats.org/officeDocument/2006/customXml" ds:itemID="{EC07E2FD-28D9-4BFF-A598-A0EC868B3EFD}">
  <ds:schemaRefs>
    <ds:schemaRef ds:uri="http://purl.org/dc/elements/1.1/"/>
    <ds:schemaRef ds:uri="http://schemas.openxmlformats.org/package/2006/metadata/core-properties"/>
    <ds:schemaRef ds:uri="1449cb01-ac7f-4105-a4f6-aace6d33820e"/>
    <ds:schemaRef ds:uri="http://schemas.microsoft.com/office/infopath/2007/PartnerControls"/>
    <ds:schemaRef ds:uri="http://purl.org/dc/terms/"/>
    <ds:schemaRef ds:uri="http://schemas.microsoft.com/office/2006/metadata/properties"/>
    <ds:schemaRef ds:uri="http://schemas.microsoft.com/office/2006/documentManagement/types"/>
    <ds:schemaRef ds:uri="b9a1bbf4-3872-40cb-a1a3-b88a292b9176"/>
    <ds:schemaRef ds:uri="ce90b569-b2b5-43ce-a69d-542b5fc3f59f"/>
    <ds:schemaRef ds:uri="http://www.w3.org/XML/1998/namespace"/>
    <ds:schemaRef ds:uri="http://purl.org/dc/dcmityp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8E8C10A8-033B-4EBD-9B10-3DAE33E60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ce90b569-b2b5-43ce-a69d-542b5fc3f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4542C8-0D68-429B-9954-16168FA14C55}">
  <ds:schemaRefs>
    <ds:schemaRef ds:uri="http://schemas.microsoft.com/sharepoint/v3/contenttype/forms"/>
  </ds:schemaRefs>
</ds:datastoreItem>
</file>

<file path=customXml/itemProps6.xml><?xml version="1.0" encoding="utf-8"?>
<ds:datastoreItem xmlns:ds="http://schemas.openxmlformats.org/officeDocument/2006/customXml" ds:itemID="{027188C5-7E9D-4728-BB93-FD8B6C79D7F8}">
  <ds:schemaRefs>
    <ds:schemaRef ds:uri="http://schemas.microsoft.com/sharepoint/events"/>
  </ds:schemaRefs>
</ds:datastoreItem>
</file>

<file path=customXml/itemProps7.xml><?xml version="1.0" encoding="utf-8"?>
<ds:datastoreItem xmlns:ds="http://schemas.openxmlformats.org/officeDocument/2006/customXml" ds:itemID="{D3EA5527-7367-4268-9D83-5125C98D0ED2}">
  <ds:schemaRefs/>
</ds:datastoreItem>
</file>

<file path=customXml/itemProps8.xml><?xml version="1.0" encoding="utf-8"?>
<ds:datastoreItem xmlns:ds="http://schemas.openxmlformats.org/officeDocument/2006/customXml" ds:itemID="{CF3F189C-90C2-4C57-A30A-4E7D4A49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14430</Words>
  <Characters>78070</Characters>
  <Application>Microsoft Office Word</Application>
  <DocSecurity>0</DocSecurity>
  <PresentationFormat>Microsoft Word 14.0</PresentationFormat>
  <Lines>1346</Lines>
  <Paragraphs>481</Paragraphs>
  <ScaleCrop>true</ScaleCrop>
  <HeadingPairs>
    <vt:vector size="2" baseType="variant">
      <vt:variant>
        <vt:lpstr>Title</vt:lpstr>
      </vt:variant>
      <vt:variant>
        <vt:i4>1</vt:i4>
      </vt:variant>
    </vt:vector>
  </HeadingPairs>
  <TitlesOfParts>
    <vt:vector size="1" baseType="lpstr">
      <vt:lpstr>COMMISSION STAFF WORKING DOCUMENT</vt:lpstr>
    </vt:vector>
  </TitlesOfParts>
  <Manager/>
  <Company/>
  <LinksUpToDate>false</LinksUpToDate>
  <CharactersWithSpaces>92019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STAFF WORKING DOCUMENT</dc:title>
  <dc:subject>Protecting the EU budget: report on the operation of the own resources system and new own resourcesAccompanying the documentProposal of a Council Decisionon the System of Own Resources of the European UnionCOM(2023) xxx final</dc:subject>
  <dc:creator/>
  <cp:keywords/>
  <dc:description/>
  <cp:lastModifiedBy>EC CoDe</cp:lastModifiedBy>
  <cp:revision>30</cp:revision>
  <cp:lastPrinted>2023-06-19T20:36:00Z</cp:lastPrinted>
  <dcterms:created xsi:type="dcterms:W3CDTF">2023-06-19T20:35:00Z</dcterms:created>
  <dcterms:modified xsi:type="dcterms:W3CDTF">2023-06-19T20:47:00Z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2023-03-31T08:31:22Z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225d415b-bdf5-4e2d-bc5f-b87f92cb0788</vt:lpwstr>
  </property>
  <property fmtid="{D5CDD505-2E9C-101B-9397-08002B2CF9AE}" pid="8" name="MSIP_Label_6bd9ddd1-4d20-43f6-abfa-fc3c07406f94_ContentBits">
    <vt:lpwstr>0</vt:lpwstr>
  </property>
  <property fmtid="{D5CDD505-2E9C-101B-9397-08002B2CF9AE}" pid="9" name="ContentTypeId">
    <vt:lpwstr>0x010100258AA79CEB83498886A3A086811232500003712021FDB5874F9699F85B57306198</vt:lpwstr>
  </property>
  <property fmtid="{D5CDD505-2E9C-101B-9397-08002B2CF9AE}" pid="10" name="_dlc_DocIdItemGuid">
    <vt:lpwstr>b0c953b6-4517-4ebf-8570-f0f004488594</vt:lpwstr>
  </property>
  <property fmtid="{D5CDD505-2E9C-101B-9397-08002B2CF9AE}" pid="11" name="Level of sensitivity">
    <vt:lpwstr>Standard treatment</vt:lpwstr>
  </property>
  <property fmtid="{D5CDD505-2E9C-101B-9397-08002B2CF9AE}" pid="12" name="_LW_INVALIDATED_EurolookVersion">
    <vt:lpwstr>10.0</vt:lpwstr>
  </property>
  <property fmtid="{D5CDD505-2E9C-101B-9397-08002B2CF9AE}" pid="13" name="_LW_INVALIDATED_ELDocType">
    <vt:lpwstr>rep.dot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PTemplateID">
    <vt:lpwstr>CP-025</vt:lpwstr>
  </property>
  <property fmtid="{D5CDD505-2E9C-101B-9397-08002B2CF9AE}" pid="18" name="Last edited using">
    <vt:lpwstr>LW 9.0, Build 20230317</vt:lpwstr>
  </property>
  <property fmtid="{D5CDD505-2E9C-101B-9397-08002B2CF9AE}" pid="19" name="Created using">
    <vt:lpwstr>LW 9.0, Build 20230317</vt:lpwstr>
  </property>
</Properties>
</file>