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7F1CB" w14:textId="5AB7DE64" w:rsidR="00BF509F" w:rsidRPr="00D1056D" w:rsidRDefault="00D72130" w:rsidP="00D72130">
      <w:pPr>
        <w:pStyle w:val="Pagedecouverture"/>
        <w:rPr>
          <w:noProof/>
        </w:rPr>
      </w:pPr>
      <w:bookmarkStart w:id="0" w:name="LW_BM_COVERPAGE"/>
      <w:r>
        <w:rPr>
          <w:noProof/>
        </w:rPr>
        <w:pict w14:anchorId="6C169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DDAE2DD-F717-492E-AB0E-5D0014A585BA" style="width:455.25pt;height:296.25pt">
            <v:imagedata r:id="rId11" o:title=""/>
          </v:shape>
        </w:pict>
      </w:r>
    </w:p>
    <w:bookmarkEnd w:id="0"/>
    <w:p w14:paraId="2D03EC23" w14:textId="77777777" w:rsidR="00BF509F" w:rsidRPr="00D1056D" w:rsidRDefault="00BF509F" w:rsidP="00EE1920">
      <w:pPr>
        <w:spacing w:after="240"/>
        <w:rPr>
          <w:noProof/>
        </w:rPr>
        <w:sectPr w:rsidR="00BF509F" w:rsidRPr="00D1056D" w:rsidSect="00D7213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86CA11" w14:textId="77777777" w:rsidR="00BF509F" w:rsidRPr="00D1056D" w:rsidRDefault="00BF509F" w:rsidP="00EE1920">
      <w:pPr>
        <w:pStyle w:val="Heading1"/>
        <w:numPr>
          <w:ilvl w:val="0"/>
          <w:numId w:val="22"/>
        </w:numPr>
        <w:spacing w:after="240" w:line="240" w:lineRule="auto"/>
        <w:rPr>
          <w:rFonts w:ascii="Times New Roman" w:hAnsi="Times New Roman" w:cs="Times New Roman"/>
          <w:b/>
          <w:bCs/>
          <w:noProof/>
          <w:color w:val="auto"/>
          <w:sz w:val="24"/>
          <w:szCs w:val="24"/>
        </w:rPr>
      </w:pPr>
      <w:bookmarkStart w:id="1" w:name="_GoBack"/>
      <w:bookmarkEnd w:id="1"/>
      <w:r w:rsidRPr="00D1056D">
        <w:rPr>
          <w:rFonts w:ascii="Times New Roman" w:hAnsi="Times New Roman"/>
          <w:b/>
          <w:noProof/>
          <w:color w:val="auto"/>
          <w:sz w:val="24"/>
        </w:rPr>
        <w:lastRenderedPageBreak/>
        <w:t xml:space="preserve">WPROWADZENIE </w:t>
      </w:r>
    </w:p>
    <w:p w14:paraId="7002AF5C" w14:textId="6DFAC587" w:rsidR="00F840B4" w:rsidRPr="00D1056D" w:rsidRDefault="00F840B4" w:rsidP="00EE1920">
      <w:pPr>
        <w:spacing w:after="240" w:line="240" w:lineRule="auto"/>
        <w:jc w:val="both"/>
        <w:rPr>
          <w:rFonts w:ascii="Times New Roman" w:hAnsi="Times New Roman" w:cs="Times New Roman"/>
          <w:noProof/>
          <w:sz w:val="24"/>
        </w:rPr>
      </w:pPr>
      <w:r w:rsidRPr="00D1056D">
        <w:rPr>
          <w:rFonts w:ascii="Times New Roman" w:hAnsi="Times New Roman"/>
          <w:b/>
          <w:noProof/>
          <w:sz w:val="24"/>
        </w:rPr>
        <w:t>Z ruchu bezwizowego do UE korzysta obecnie 61 państw trzecich</w:t>
      </w:r>
      <w:r w:rsidRPr="00D1056D">
        <w:rPr>
          <w:rStyle w:val="FootnoteReference"/>
          <w:rFonts w:ascii="Times New Roman" w:hAnsi="Times New Roman" w:cs="Times New Roman"/>
          <w:noProof/>
          <w:sz w:val="24"/>
        </w:rPr>
        <w:footnoteReference w:id="2"/>
      </w:r>
      <w:r w:rsidRPr="00D1056D">
        <w:rPr>
          <w:rFonts w:ascii="Times New Roman" w:hAnsi="Times New Roman"/>
          <w:noProof/>
          <w:sz w:val="24"/>
        </w:rPr>
        <w:t>. Zgodnie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zas</w:t>
      </w:r>
      <w:r w:rsidRPr="00D1056D">
        <w:rPr>
          <w:rFonts w:ascii="Times New Roman" w:hAnsi="Times New Roman"/>
          <w:noProof/>
          <w:sz w:val="24"/>
        </w:rPr>
        <w:t>adami systemu bezwizowego obywatele tych państw mogą wjechać do strefy Schengen na pobyt krótkoterminowy do</w:t>
      </w:r>
      <w:r w:rsidR="00D1056D" w:rsidRPr="00D1056D">
        <w:rPr>
          <w:rFonts w:ascii="Times New Roman" w:hAnsi="Times New Roman"/>
          <w:noProof/>
          <w:sz w:val="24"/>
        </w:rPr>
        <w:t> </w:t>
      </w:r>
      <w:r w:rsidRPr="00D1056D">
        <w:rPr>
          <w:rFonts w:ascii="Times New Roman" w:hAnsi="Times New Roman"/>
          <w:noProof/>
          <w:sz w:val="24"/>
        </w:rPr>
        <w:t>90 dni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cią</w:t>
      </w:r>
      <w:r w:rsidRPr="00D1056D">
        <w:rPr>
          <w:rFonts w:ascii="Times New Roman" w:hAnsi="Times New Roman"/>
          <w:noProof/>
          <w:sz w:val="24"/>
        </w:rPr>
        <w:t>gu każdego 180-dniowego okresu bez wizy. Podstawą unijnej polityki dotyczącej ruchu bezwizowego jest zasada wzajemności wizowej. Ruch bezwizowy przynosi obywatelom każdej ze stron kluczowe korzyści,</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 tym dodatkowo zacieśnia stosunki UE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jej</w:t>
      </w:r>
      <w:r w:rsidRPr="00D1056D">
        <w:rPr>
          <w:rFonts w:ascii="Times New Roman" w:hAnsi="Times New Roman"/>
          <w:noProof/>
          <w:sz w:val="24"/>
        </w:rPr>
        <w:t xml:space="preserve"> partnerami.</w:t>
      </w:r>
    </w:p>
    <w:p w14:paraId="01005099" w14:textId="09D22B24" w:rsidR="00EE1920" w:rsidRPr="00D1056D" w:rsidRDefault="00D52426" w:rsidP="00201A27">
      <w:pPr>
        <w:spacing w:after="240"/>
        <w:jc w:val="center"/>
        <w:rPr>
          <w:rFonts w:ascii="Times New Roman" w:hAnsi="Times New Roman" w:cs="Times New Roman"/>
          <w:noProof/>
          <w:sz w:val="24"/>
        </w:rPr>
      </w:pPr>
      <w:r w:rsidRPr="00D1056D">
        <w:rPr>
          <w:rFonts w:ascii="Times New Roman" w:hAnsi="Times New Roman"/>
          <w:noProof/>
          <w:sz w:val="24"/>
          <w:lang w:val="en-GB" w:eastAsia="en-GB"/>
        </w:rPr>
        <w:drawing>
          <wp:inline distT="0" distB="0" distL="0" distR="0" wp14:anchorId="0B677A18" wp14:editId="5B294F90">
            <wp:extent cx="5731510" cy="2987675"/>
            <wp:effectExtent l="0" t="0" r="2540" b="3175"/>
            <wp:docPr id="2" name="Picture 2" descr="Mapa świata&#10;&#10;Opis generowany automatycznie ze średnim poziomem zauf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world&#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987675"/>
                    </a:xfrm>
                    <a:prstGeom prst="rect">
                      <a:avLst/>
                    </a:prstGeom>
                  </pic:spPr>
                </pic:pic>
              </a:graphicData>
            </a:graphic>
          </wp:inline>
        </w:drawing>
      </w:r>
    </w:p>
    <w:p w14:paraId="59FD0B85" w14:textId="2960E2C0" w:rsidR="0050333E" w:rsidRPr="00D1056D" w:rsidRDefault="00077B4B" w:rsidP="00EE1920">
      <w:pPr>
        <w:spacing w:after="240"/>
        <w:jc w:val="both"/>
        <w:rPr>
          <w:rFonts w:ascii="Times New Roman" w:hAnsi="Times New Roman" w:cs="Times New Roman"/>
          <w:noProof/>
          <w:sz w:val="24"/>
        </w:rPr>
      </w:pPr>
      <w:r w:rsidRPr="00D1056D">
        <w:rPr>
          <w:rFonts w:ascii="Times New Roman" w:hAnsi="Times New Roman"/>
          <w:noProof/>
          <w:sz w:val="24"/>
        </w:rPr>
        <w:t>Spośród 60 państw spoza UE,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których obowiązuje system bezwizowy, 25</w:t>
      </w:r>
      <w:r w:rsidRPr="00D1056D">
        <w:rPr>
          <w:rStyle w:val="FootnoteReference"/>
          <w:rFonts w:ascii="Times New Roman" w:hAnsi="Times New Roman" w:cs="Times New Roman"/>
          <w:noProof/>
          <w:sz w:val="24"/>
        </w:rPr>
        <w:footnoteReference w:id="3"/>
      </w:r>
      <w:r w:rsidRPr="00D1056D">
        <w:rPr>
          <w:rFonts w:ascii="Times New Roman" w:hAnsi="Times New Roman"/>
          <w:noProof/>
          <w:sz w:val="24"/>
        </w:rPr>
        <w:t xml:space="preserve"> zawarło z UE </w:t>
      </w:r>
      <w:r w:rsidRPr="00D1056D">
        <w:rPr>
          <w:rFonts w:ascii="Times New Roman" w:hAnsi="Times New Roman"/>
          <w:b/>
          <w:noProof/>
          <w:sz w:val="24"/>
        </w:rPr>
        <w:t>umowy</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spr</w:t>
      </w:r>
      <w:r w:rsidRPr="00D1056D">
        <w:rPr>
          <w:rFonts w:ascii="Times New Roman" w:hAnsi="Times New Roman"/>
          <w:b/>
          <w:noProof/>
          <w:sz w:val="24"/>
        </w:rPr>
        <w:t>awie zniesienia wiz</w:t>
      </w:r>
      <w:r w:rsidRPr="00D1056D">
        <w:rPr>
          <w:rFonts w:ascii="Times New Roman" w:hAnsi="Times New Roman"/>
          <w:noProof/>
          <w:sz w:val="24"/>
        </w:rPr>
        <w:t>,</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osi</w:t>
      </w:r>
      <w:r w:rsidRPr="00D1056D">
        <w:rPr>
          <w:rFonts w:ascii="Times New Roman" w:hAnsi="Times New Roman"/>
          <w:noProof/>
          <w:sz w:val="24"/>
        </w:rPr>
        <w:t>em uzyskało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wyn</w:t>
      </w:r>
      <w:r w:rsidRPr="00D1056D">
        <w:rPr>
          <w:rFonts w:ascii="Times New Roman" w:hAnsi="Times New Roman"/>
          <w:noProof/>
          <w:sz w:val="24"/>
        </w:rPr>
        <w:t xml:space="preserve">iku pomyślnego zakończenia </w:t>
      </w:r>
      <w:r w:rsidRPr="00D1056D">
        <w:rPr>
          <w:rFonts w:ascii="Times New Roman" w:hAnsi="Times New Roman"/>
          <w:b/>
          <w:noProof/>
          <w:sz w:val="24"/>
        </w:rPr>
        <w:t>dialogu</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spr</w:t>
      </w:r>
      <w:r w:rsidRPr="00D1056D">
        <w:rPr>
          <w:rFonts w:ascii="Times New Roman" w:hAnsi="Times New Roman"/>
          <w:b/>
          <w:noProof/>
          <w:sz w:val="24"/>
        </w:rPr>
        <w:t>awie liberalizacji reżimu wizowego</w:t>
      </w:r>
      <w:r w:rsidRPr="00D1056D">
        <w:rPr>
          <w:rFonts w:ascii="Times New Roman" w:hAnsi="Times New Roman"/>
          <w:noProof/>
          <w:sz w:val="24"/>
        </w:rPr>
        <w:t xml:space="preserve"> (Albania, Bośnia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Her</w:t>
      </w:r>
      <w:r w:rsidRPr="00D1056D">
        <w:rPr>
          <w:rFonts w:ascii="Times New Roman" w:hAnsi="Times New Roman"/>
          <w:noProof/>
          <w:sz w:val="24"/>
        </w:rPr>
        <w:t>cegowina, Czarnogóra, Macedonia Północna, Serbia, Gruzja, Mołdawia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Ukr</w:t>
      </w:r>
      <w:r w:rsidRPr="00D1056D">
        <w:rPr>
          <w:rFonts w:ascii="Times New Roman" w:hAnsi="Times New Roman"/>
          <w:noProof/>
          <w:sz w:val="24"/>
        </w:rPr>
        <w:t>aina).</w:t>
      </w:r>
      <w:r w:rsidRPr="00D1056D">
        <w:rPr>
          <w:noProof/>
        </w:rPr>
        <w:t xml:space="preserve"> </w:t>
      </w:r>
      <w:r w:rsidRPr="00D1056D">
        <w:rPr>
          <w:rFonts w:ascii="Times New Roman" w:hAnsi="Times New Roman"/>
          <w:noProof/>
          <w:sz w:val="24"/>
        </w:rPr>
        <w:t>Pozostałe kraje uzyskały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zgodnie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pie</w:t>
      </w:r>
      <w:r w:rsidRPr="00D1056D">
        <w:rPr>
          <w:rFonts w:ascii="Times New Roman" w:hAnsi="Times New Roman"/>
          <w:noProof/>
          <w:sz w:val="24"/>
        </w:rPr>
        <w:t>rwszą harmonizacją przepisów UE (rozporządzenie Rady (WE) nr</w:t>
      </w:r>
      <w:r w:rsidR="00D1056D" w:rsidRPr="00D1056D">
        <w:rPr>
          <w:rFonts w:ascii="Times New Roman" w:hAnsi="Times New Roman"/>
          <w:noProof/>
          <w:sz w:val="24"/>
        </w:rPr>
        <w:t> </w:t>
      </w:r>
      <w:r w:rsidRPr="00D1056D">
        <w:rPr>
          <w:rFonts w:ascii="Times New Roman" w:hAnsi="Times New Roman"/>
          <w:noProof/>
          <w:sz w:val="24"/>
        </w:rPr>
        <w:t>539/2001)</w:t>
      </w:r>
      <w:r w:rsidRPr="00D1056D">
        <w:rPr>
          <w:rStyle w:val="FootnoteReference"/>
          <w:rFonts w:ascii="Times New Roman" w:hAnsi="Times New Roman" w:cs="Times New Roman"/>
          <w:noProof/>
          <w:sz w:val="24"/>
        </w:rPr>
        <w:footnoteReference w:id="4"/>
      </w:r>
      <w:r w:rsidRPr="00D1056D">
        <w:rPr>
          <w:rFonts w:ascii="Times New Roman" w:hAnsi="Times New Roman"/>
          <w:noProof/>
          <w:sz w:val="24"/>
        </w:rPr>
        <w:t>. Ponadto 19 kwietnia 2023</w:t>
      </w:r>
      <w:r w:rsidR="00D1056D" w:rsidRPr="00D1056D">
        <w:rPr>
          <w:rFonts w:ascii="Times New Roman" w:hAnsi="Times New Roman"/>
          <w:noProof/>
          <w:sz w:val="24"/>
        </w:rPr>
        <w:t> </w:t>
      </w:r>
      <w:r w:rsidRPr="00D1056D">
        <w:rPr>
          <w:rFonts w:ascii="Times New Roman" w:hAnsi="Times New Roman"/>
          <w:noProof/>
          <w:sz w:val="24"/>
        </w:rPr>
        <w:t>r. Rada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Par</w:t>
      </w:r>
      <w:r w:rsidRPr="00D1056D">
        <w:rPr>
          <w:rFonts w:ascii="Times New Roman" w:hAnsi="Times New Roman"/>
          <w:noProof/>
          <w:sz w:val="24"/>
        </w:rPr>
        <w:t>lament Europejski uzgodniły przyznanie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Kosowu</w:t>
      </w:r>
      <w:r w:rsidRPr="00D1056D">
        <w:rPr>
          <w:rStyle w:val="FootnoteReference"/>
          <w:rFonts w:ascii="Times New Roman" w:hAnsi="Times New Roman" w:cs="Times New Roman"/>
          <w:noProof/>
          <w:color w:val="FFFFFF" w:themeColor="background1"/>
          <w:sz w:val="8"/>
        </w:rPr>
        <w:footnoteReference w:id="5"/>
      </w:r>
      <w:r w:rsidRPr="00D1056D">
        <w:rPr>
          <w:rFonts w:ascii="Times New Roman" w:hAnsi="Times New Roman"/>
          <w:noProof/>
          <w:sz w:val="24"/>
        </w:rPr>
        <w:t xml:space="preserve"> po pomyślnym zakończeniu dialogu</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liberalizacji reżimu wizowego, które to zwolnienie wejdzie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życ</w:t>
      </w:r>
      <w:r w:rsidRPr="00D1056D">
        <w:rPr>
          <w:rFonts w:ascii="Times New Roman" w:hAnsi="Times New Roman"/>
          <w:noProof/>
          <w:sz w:val="24"/>
        </w:rPr>
        <w:t>ie najpóźniej 1 stycznia 2024</w:t>
      </w:r>
      <w:r w:rsidR="00D1056D" w:rsidRPr="00D1056D">
        <w:rPr>
          <w:rFonts w:ascii="Times New Roman" w:hAnsi="Times New Roman"/>
          <w:noProof/>
          <w:sz w:val="24"/>
        </w:rPr>
        <w:t> </w:t>
      </w:r>
      <w:r w:rsidRPr="00D1056D">
        <w:rPr>
          <w:rFonts w:ascii="Times New Roman" w:hAnsi="Times New Roman"/>
          <w:noProof/>
          <w:sz w:val="24"/>
        </w:rPr>
        <w:t>r.</w:t>
      </w:r>
      <w:r w:rsidRPr="00D1056D">
        <w:rPr>
          <w:rStyle w:val="FootnoteReference"/>
          <w:rFonts w:ascii="Times New Roman" w:hAnsi="Times New Roman" w:cs="Times New Roman"/>
          <w:noProof/>
          <w:sz w:val="24"/>
        </w:rPr>
        <w:footnoteReference w:customMarkFollows="1" w:id="6"/>
        <w:t>4</w:t>
      </w:r>
    </w:p>
    <w:p w14:paraId="593A680D" w14:textId="783FB7A6" w:rsidR="00F8613D" w:rsidRPr="00D1056D" w:rsidRDefault="00D8215C" w:rsidP="00EE1920">
      <w:pPr>
        <w:spacing w:after="240"/>
        <w:jc w:val="both"/>
        <w:rPr>
          <w:rFonts w:ascii="Times New Roman" w:hAnsi="Times New Roman" w:cs="Times New Roman"/>
          <w:noProof/>
          <w:sz w:val="24"/>
        </w:rPr>
      </w:pPr>
      <w:r w:rsidRPr="00D1056D">
        <w:rPr>
          <w:rFonts w:ascii="Times New Roman" w:hAnsi="Times New Roman"/>
          <w:noProof/>
          <w:sz w:val="24"/>
        </w:rPr>
        <w:t xml:space="preserve">Ogólnie rzecz biorąc, ruch bezwizowy nadal przynosi </w:t>
      </w:r>
      <w:r w:rsidRPr="00D1056D">
        <w:rPr>
          <w:rFonts w:ascii="Times New Roman" w:hAnsi="Times New Roman"/>
          <w:b/>
          <w:noProof/>
          <w:sz w:val="24"/>
        </w:rPr>
        <w:t>znaczne korzyści gospodarcze, społeczne</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kul</w:t>
      </w:r>
      <w:r w:rsidRPr="00D1056D">
        <w:rPr>
          <w:rFonts w:ascii="Times New Roman" w:hAnsi="Times New Roman"/>
          <w:b/>
          <w:noProof/>
          <w:sz w:val="24"/>
        </w:rPr>
        <w:t xml:space="preserve">turowe </w:t>
      </w:r>
      <w:r w:rsidRPr="00D1056D">
        <w:rPr>
          <w:rFonts w:ascii="Times New Roman" w:hAnsi="Times New Roman"/>
          <w:noProof/>
          <w:sz w:val="24"/>
        </w:rPr>
        <w:t>państwom członkowskim UE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 xml:space="preserve">stwom trzecim oraz jest ważnym narzędziem </w:t>
      </w:r>
      <w:r w:rsidRPr="00D1056D">
        <w:rPr>
          <w:rFonts w:ascii="Times New Roman" w:hAnsi="Times New Roman"/>
          <w:b/>
          <w:noProof/>
          <w:sz w:val="24"/>
        </w:rPr>
        <w:t>promowania turystyki</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roz</w:t>
      </w:r>
      <w:r w:rsidRPr="00D1056D">
        <w:rPr>
          <w:rFonts w:ascii="Times New Roman" w:hAnsi="Times New Roman"/>
          <w:b/>
          <w:noProof/>
          <w:sz w:val="24"/>
        </w:rPr>
        <w:t>woju biznesu</w:t>
      </w:r>
      <w:r w:rsidRPr="00D1056D">
        <w:rPr>
          <w:rFonts w:ascii="Times New Roman" w:hAnsi="Times New Roman"/>
          <w:noProof/>
          <w:sz w:val="24"/>
        </w:rPr>
        <w:t>. Według szacunków OECD</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2</w:t>
      </w:r>
      <w:r w:rsidRPr="00D1056D">
        <w:rPr>
          <w:rFonts w:ascii="Times New Roman" w:hAnsi="Times New Roman"/>
          <w:noProof/>
          <w:sz w:val="24"/>
        </w:rPr>
        <w:t>019</w:t>
      </w:r>
      <w:r w:rsidR="00D1056D" w:rsidRPr="00D1056D">
        <w:rPr>
          <w:rFonts w:ascii="Times New Roman" w:hAnsi="Times New Roman"/>
          <w:noProof/>
          <w:sz w:val="24"/>
        </w:rPr>
        <w:t> </w:t>
      </w:r>
      <w:r w:rsidRPr="00D1056D">
        <w:rPr>
          <w:rFonts w:ascii="Times New Roman" w:hAnsi="Times New Roman"/>
          <w:noProof/>
          <w:sz w:val="24"/>
        </w:rPr>
        <w:t>r. sam sektor podróży</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tur</w:t>
      </w:r>
      <w:r w:rsidRPr="00D1056D">
        <w:rPr>
          <w:rFonts w:ascii="Times New Roman" w:hAnsi="Times New Roman"/>
          <w:noProof/>
          <w:sz w:val="24"/>
        </w:rPr>
        <w:t>ystyki odpowiadał za około 7 % światowego wywozu</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sta</w:t>
      </w:r>
      <w:r w:rsidRPr="00D1056D">
        <w:rPr>
          <w:rFonts w:ascii="Times New Roman" w:hAnsi="Times New Roman"/>
          <w:noProof/>
          <w:sz w:val="24"/>
        </w:rPr>
        <w:t>nowił około 4,4 % PKB państw OECD</w:t>
      </w:r>
      <w:r w:rsidRPr="00D1056D">
        <w:rPr>
          <w:rStyle w:val="FootnoteReference"/>
          <w:rFonts w:ascii="Times New Roman" w:hAnsi="Times New Roman" w:cs="Times New Roman"/>
          <w:noProof/>
          <w:sz w:val="24"/>
        </w:rPr>
        <w:footnoteReference w:id="7"/>
      </w:r>
      <w:r w:rsidRPr="00D1056D">
        <w:rPr>
          <w:noProof/>
        </w:rPr>
        <w:t>.</w:t>
      </w:r>
      <w:r w:rsidR="00D1056D" w:rsidRPr="00D1056D">
        <w:rPr>
          <w:rFonts w:ascii="Times New Roman" w:hAnsi="Times New Roman"/>
          <w:noProof/>
          <w:sz w:val="24"/>
        </w:rPr>
        <w:t xml:space="preserve"> </w:t>
      </w:r>
    </w:p>
    <w:p w14:paraId="7D4985A0" w14:textId="5EB596F8" w:rsidR="006F4F70" w:rsidRPr="00D1056D" w:rsidRDefault="006F4F70" w:rsidP="00EE1920">
      <w:pPr>
        <w:spacing w:after="240"/>
        <w:jc w:val="both"/>
        <w:rPr>
          <w:rFonts w:ascii="Times New Roman" w:hAnsi="Times New Roman" w:cs="Times New Roman"/>
          <w:noProof/>
          <w:sz w:val="24"/>
        </w:rPr>
      </w:pPr>
      <w:r w:rsidRPr="00D1056D">
        <w:rPr>
          <w:rFonts w:ascii="Times New Roman" w:hAnsi="Times New Roman"/>
          <w:noProof/>
          <w:sz w:val="24"/>
        </w:rPr>
        <w:t>Jednocześnie wspólna polityka wizowa UE jest integralną częścią dorobku Schengen,</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jed</w:t>
      </w:r>
      <w:r w:rsidRPr="00D1056D">
        <w:rPr>
          <w:rFonts w:ascii="Times New Roman" w:hAnsi="Times New Roman"/>
          <w:noProof/>
          <w:sz w:val="24"/>
        </w:rPr>
        <w:t>nym</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jej</w:t>
      </w:r>
      <w:r w:rsidRPr="00D1056D">
        <w:rPr>
          <w:rFonts w:ascii="Times New Roman" w:hAnsi="Times New Roman"/>
          <w:noProof/>
          <w:sz w:val="24"/>
        </w:rPr>
        <w:t xml:space="preserve"> podstawowych celów jest </w:t>
      </w:r>
      <w:r w:rsidRPr="00D1056D">
        <w:rPr>
          <w:rFonts w:ascii="Times New Roman" w:hAnsi="Times New Roman"/>
          <w:b/>
          <w:noProof/>
          <w:sz w:val="24"/>
        </w:rPr>
        <w:t>przeciwdziałanie ryzyku dla bezpieczeństwa</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ryz</w:t>
      </w:r>
      <w:r w:rsidRPr="00D1056D">
        <w:rPr>
          <w:rFonts w:ascii="Times New Roman" w:hAnsi="Times New Roman"/>
          <w:b/>
          <w:noProof/>
          <w:sz w:val="24"/>
        </w:rPr>
        <w:t>yku migracji nieuregulowanej</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str</w:t>
      </w:r>
      <w:r w:rsidRPr="00D1056D">
        <w:rPr>
          <w:rFonts w:ascii="Times New Roman" w:hAnsi="Times New Roman"/>
          <w:b/>
          <w:noProof/>
          <w:sz w:val="24"/>
        </w:rPr>
        <w:t>efie Schengen</w:t>
      </w:r>
      <w:r w:rsidRPr="00D1056D">
        <w:rPr>
          <w:rFonts w:ascii="Times New Roman" w:hAnsi="Times New Roman"/>
          <w:noProof/>
          <w:sz w:val="24"/>
        </w:rPr>
        <w:t>.</w:t>
      </w:r>
    </w:p>
    <w:p w14:paraId="683A7E50" w14:textId="547E61E7" w:rsidR="004106D0" w:rsidRPr="00D1056D" w:rsidRDefault="006F4F70" w:rsidP="00EE1920">
      <w:pPr>
        <w:spacing w:after="240"/>
        <w:jc w:val="both"/>
        <w:rPr>
          <w:rFonts w:ascii="Times New Roman" w:hAnsi="Times New Roman" w:cs="Times New Roman"/>
          <w:noProof/>
          <w:sz w:val="24"/>
        </w:rPr>
      </w:pPr>
      <w:r w:rsidRPr="00D1056D">
        <w:rPr>
          <w:rFonts w:ascii="Times New Roman" w:hAnsi="Times New Roman"/>
          <w:noProof/>
          <w:sz w:val="24"/>
        </w:rPr>
        <w:t>Niemniej jednak działania Komisji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zak</w:t>
      </w:r>
      <w:r w:rsidRPr="00D1056D">
        <w:rPr>
          <w:rFonts w:ascii="Times New Roman" w:hAnsi="Times New Roman"/>
          <w:noProof/>
          <w:sz w:val="24"/>
        </w:rPr>
        <w:t>resie monitorowania unijnych systemów bezwizowych,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jej sprawozdania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Pr="00D1056D">
        <w:rPr>
          <w:rFonts w:ascii="Times New Roman" w:hAnsi="Times New Roman" w:cs="Times New Roman"/>
          <w:noProof/>
          <w:sz w:val="24"/>
          <w:vertAlign w:val="superscript"/>
        </w:rPr>
        <w:footnoteReference w:id="8"/>
      </w:r>
      <w:r w:rsidRPr="00D1056D">
        <w:rPr>
          <w:rFonts w:ascii="Times New Roman" w:hAnsi="Times New Roman"/>
          <w:noProof/>
          <w:sz w:val="24"/>
        </w:rPr>
        <w:t>, wykazały, że ruch bezwizowy może nieść ze sobą poważne wyzwania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zak</w:t>
      </w:r>
      <w:r w:rsidRPr="00D1056D">
        <w:rPr>
          <w:rFonts w:ascii="Times New Roman" w:hAnsi="Times New Roman"/>
          <w:noProof/>
          <w:sz w:val="24"/>
        </w:rPr>
        <w:t>resie migracji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bez</w:t>
      </w:r>
      <w:r w:rsidRPr="00D1056D">
        <w:rPr>
          <w:rFonts w:ascii="Times New Roman" w:hAnsi="Times New Roman"/>
          <w:noProof/>
          <w:sz w:val="24"/>
        </w:rPr>
        <w:t xml:space="preserve">pieczeństwa. </w:t>
      </w:r>
    </w:p>
    <w:p w14:paraId="655456E5" w14:textId="209DD28B" w:rsidR="004943FF" w:rsidRPr="00D1056D" w:rsidRDefault="00EB4235" w:rsidP="00EE1920">
      <w:pPr>
        <w:spacing w:after="240"/>
        <w:jc w:val="both"/>
        <w:rPr>
          <w:rFonts w:ascii="Times New Roman" w:hAnsi="Times New Roman" w:cs="Times New Roman"/>
          <w:noProof/>
          <w:sz w:val="24"/>
          <w:szCs w:val="24"/>
        </w:rPr>
      </w:pPr>
      <w:r w:rsidRPr="00D1056D">
        <w:rPr>
          <w:rFonts w:ascii="Times New Roman" w:hAnsi="Times New Roman"/>
          <w:noProof/>
          <w:sz w:val="24"/>
        </w:rPr>
        <w:t xml:space="preserve">W szczególności niewystarczające </w:t>
      </w:r>
      <w:r w:rsidRPr="00D1056D">
        <w:rPr>
          <w:rFonts w:ascii="Times New Roman" w:hAnsi="Times New Roman"/>
          <w:b/>
          <w:noProof/>
          <w:sz w:val="24"/>
        </w:rPr>
        <w:t>dostosowanie krajowych przepisów wizowych do polityki wizowej UE</w:t>
      </w:r>
      <w:r w:rsidRPr="00D1056D">
        <w:rPr>
          <w:rFonts w:ascii="Times New Roman" w:hAnsi="Times New Roman"/>
          <w:noProof/>
          <w:sz w:val="24"/>
        </w:rPr>
        <w:t xml:space="preserve"> może sprawić, że państwo zwolnione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stanie się węzłem tranzytowym, umożliwiającym nielegalny wjazd do UE, zwłaszcza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krajów znajdujących się</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bez</w:t>
      </w:r>
      <w:r w:rsidRPr="00D1056D">
        <w:rPr>
          <w:rFonts w:ascii="Times New Roman" w:hAnsi="Times New Roman"/>
          <w:noProof/>
          <w:sz w:val="24"/>
        </w:rPr>
        <w:t xml:space="preserve">pośrednim sąsiedztwie UE. Ruch bezwizowy może również prowadzić do wzmożenia </w:t>
      </w:r>
      <w:r w:rsidRPr="00D1056D">
        <w:rPr>
          <w:rFonts w:ascii="Times New Roman" w:hAnsi="Times New Roman"/>
          <w:b/>
          <w:noProof/>
          <w:sz w:val="24"/>
        </w:rPr>
        <w:t>migracji nieuregulowanej</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zwi</w:t>
      </w:r>
      <w:r w:rsidRPr="00D1056D">
        <w:rPr>
          <w:rFonts w:ascii="Times New Roman" w:hAnsi="Times New Roman"/>
          <w:noProof/>
          <w:sz w:val="24"/>
        </w:rPr>
        <w:t>ązku</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ekraczaniem dozwolonego okresu pobytu przez podróżnych zwolnionych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lub</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zwi</w:t>
      </w:r>
      <w:r w:rsidRPr="00D1056D">
        <w:rPr>
          <w:rFonts w:ascii="Times New Roman" w:hAnsi="Times New Roman"/>
          <w:noProof/>
          <w:sz w:val="24"/>
        </w:rPr>
        <w:t>ązku ze znaczną liczbą wniosków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ielenie azylu składanych przez obywateli państw trzecich zwolnionych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których wskaźnik przyznawania azylu jest niski (</w:t>
      </w:r>
      <w:r w:rsidRPr="00D1056D">
        <w:rPr>
          <w:rFonts w:ascii="Times New Roman" w:hAnsi="Times New Roman"/>
          <w:b/>
          <w:noProof/>
          <w:sz w:val="24"/>
        </w:rPr>
        <w:t>bezzasadne</w:t>
      </w:r>
      <w:r w:rsidRPr="00D1056D">
        <w:rPr>
          <w:rFonts w:ascii="Times New Roman" w:hAnsi="Times New Roman"/>
          <w:noProof/>
          <w:sz w:val="24"/>
        </w:rPr>
        <w:t xml:space="preserve"> </w:t>
      </w:r>
      <w:r w:rsidRPr="00D1056D">
        <w:rPr>
          <w:rFonts w:ascii="Times New Roman" w:hAnsi="Times New Roman"/>
          <w:b/>
          <w:noProof/>
          <w:sz w:val="24"/>
        </w:rPr>
        <w:t>wnioski</w:t>
      </w:r>
      <w:r w:rsidR="00D1056D" w:rsidRPr="00D1056D">
        <w:rPr>
          <w:rFonts w:ascii="Times New Roman" w:hAnsi="Times New Roman"/>
          <w:b/>
          <w:noProof/>
          <w:sz w:val="24"/>
        </w:rPr>
        <w:t xml:space="preserve"> o</w:t>
      </w:r>
      <w:r w:rsidR="00D1056D">
        <w:rPr>
          <w:rFonts w:ascii="Times New Roman" w:hAnsi="Times New Roman"/>
          <w:b/>
          <w:noProof/>
          <w:sz w:val="24"/>
        </w:rPr>
        <w:t> </w:t>
      </w:r>
      <w:r w:rsidR="00D1056D" w:rsidRPr="00D1056D">
        <w:rPr>
          <w:rFonts w:ascii="Times New Roman" w:hAnsi="Times New Roman"/>
          <w:b/>
          <w:noProof/>
          <w:sz w:val="24"/>
        </w:rPr>
        <w:t>udz</w:t>
      </w:r>
      <w:r w:rsidRPr="00D1056D">
        <w:rPr>
          <w:rFonts w:ascii="Times New Roman" w:hAnsi="Times New Roman"/>
          <w:b/>
          <w:noProof/>
          <w:sz w:val="24"/>
        </w:rPr>
        <w:t>ielenie azylu</w:t>
      </w:r>
      <w:r w:rsidRPr="00D1056D">
        <w:rPr>
          <w:rFonts w:ascii="Times New Roman" w:hAnsi="Times New Roman"/>
          <w:noProof/>
          <w:sz w:val="24"/>
        </w:rPr>
        <w:t xml:space="preserve">). </w:t>
      </w:r>
    </w:p>
    <w:p w14:paraId="08984B7B" w14:textId="2D1ABD00" w:rsidR="006F4F70" w:rsidRPr="00D1056D" w:rsidRDefault="00A81D15" w:rsidP="00EE1920">
      <w:pPr>
        <w:spacing w:after="240"/>
        <w:jc w:val="both"/>
        <w:rPr>
          <w:rFonts w:ascii="Times New Roman" w:hAnsi="Times New Roman" w:cs="Times New Roman"/>
          <w:noProof/>
          <w:sz w:val="24"/>
          <w:szCs w:val="24"/>
        </w:rPr>
      </w:pPr>
      <w:r w:rsidRPr="00D1056D">
        <w:rPr>
          <w:rFonts w:ascii="Times New Roman" w:hAnsi="Times New Roman"/>
          <w:noProof/>
          <w:sz w:val="24"/>
        </w:rPr>
        <w:t xml:space="preserve">Także </w:t>
      </w:r>
      <w:r w:rsidRPr="00D1056D">
        <w:rPr>
          <w:rFonts w:ascii="Times New Roman" w:hAnsi="Times New Roman"/>
          <w:b/>
          <w:noProof/>
          <w:sz w:val="24"/>
        </w:rPr>
        <w:t>programy obywatelstwa dla inwestorów</w:t>
      </w:r>
      <w:r w:rsidRPr="00D1056D">
        <w:rPr>
          <w:rFonts w:ascii="Times New Roman" w:hAnsi="Times New Roman"/>
          <w:noProof/>
          <w:sz w:val="24"/>
        </w:rPr>
        <w:t xml:space="preserve"> wdrażane przez państwa trzecie, którym przyznano bezwizowy dostęp do UE, mogą powodować ryzyko lub zagrożenia dla bezpieczeństwa UE,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ryzyko związane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inf</w:t>
      </w:r>
      <w:r w:rsidRPr="00D1056D">
        <w:rPr>
          <w:rFonts w:ascii="Times New Roman" w:hAnsi="Times New Roman"/>
          <w:noProof/>
          <w:sz w:val="24"/>
        </w:rPr>
        <w:t>iltracją ze strony przestępczości zorganizowanej, praniem pieniędzy, uchylaniem się od opodatkowania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kor</w:t>
      </w:r>
      <w:r w:rsidRPr="00D1056D">
        <w:rPr>
          <w:rFonts w:ascii="Times New Roman" w:hAnsi="Times New Roman"/>
          <w:noProof/>
          <w:sz w:val="24"/>
        </w:rPr>
        <w:t>upcją</w:t>
      </w:r>
      <w:r w:rsidRPr="00D1056D">
        <w:rPr>
          <w:rFonts w:ascii="Times New Roman" w:hAnsi="Times New Roman" w:cs="Times New Roman"/>
          <w:noProof/>
          <w:sz w:val="24"/>
          <w:szCs w:val="24"/>
          <w:vertAlign w:val="superscript"/>
        </w:rPr>
        <w:footnoteReference w:id="9"/>
      </w:r>
      <w:r w:rsidRPr="00D1056D">
        <w:rPr>
          <w:rFonts w:ascii="Times New Roman" w:hAnsi="Times New Roman"/>
          <w:noProof/>
          <w:sz w:val="24"/>
        </w:rPr>
        <w:t>,</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że umożliwiać bezwizowy wjazd do UE obywatelom państw trzecich, którzy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 xml:space="preserve">eciwnym razie podlegaliby obowiązkowi wizowemu. </w:t>
      </w:r>
    </w:p>
    <w:p w14:paraId="62A1D260" w14:textId="4D7F2B96" w:rsidR="005F5036" w:rsidRPr="00D1056D" w:rsidRDefault="004425A2" w:rsidP="005F5036">
      <w:pPr>
        <w:spacing w:after="240"/>
        <w:jc w:val="both"/>
        <w:rPr>
          <w:rFonts w:ascii="Times New Roman" w:hAnsi="Times New Roman" w:cs="Times New Roman"/>
          <w:noProof/>
          <w:sz w:val="24"/>
        </w:rPr>
      </w:pPr>
      <w:r w:rsidRPr="00D1056D">
        <w:rPr>
          <w:rFonts w:ascii="Times New Roman" w:hAnsi="Times New Roman"/>
          <w:noProof/>
          <w:sz w:val="24"/>
        </w:rPr>
        <w:t>Ponadto niedawne wydarzenia geopolityczne wywarły głęboki wpływ na bezpieczeństwo UE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jej</w:t>
      </w:r>
      <w:r w:rsidRPr="00D1056D">
        <w:rPr>
          <w:rFonts w:ascii="Times New Roman" w:hAnsi="Times New Roman"/>
          <w:noProof/>
          <w:sz w:val="24"/>
        </w:rPr>
        <w:t xml:space="preserve"> granic zewnętrznych, co wskazuje, że działania niektórych podmiotów zagranicznych mogą stanowić poważne zagrożenie dla interesów bezpieczeństwa Unii. UE powinna być</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sta</w:t>
      </w:r>
      <w:r w:rsidRPr="00D1056D">
        <w:rPr>
          <w:rFonts w:ascii="Times New Roman" w:hAnsi="Times New Roman"/>
          <w:noProof/>
          <w:sz w:val="24"/>
        </w:rPr>
        <w:t>nie szybko reagować na szeroki zakres potencjalnego przyszłego ryzyka dla bezpieczeństwa,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na </w:t>
      </w:r>
      <w:r w:rsidRPr="00D1056D">
        <w:rPr>
          <w:rFonts w:ascii="Times New Roman" w:hAnsi="Times New Roman"/>
          <w:b/>
          <w:noProof/>
          <w:sz w:val="24"/>
        </w:rPr>
        <w:t>zagrożenia hybrydowe</w:t>
      </w:r>
      <w:r w:rsidRPr="00D1056D">
        <w:rPr>
          <w:rFonts w:ascii="Times New Roman" w:hAnsi="Times New Roman"/>
          <w:noProof/>
          <w:sz w:val="24"/>
        </w:rPr>
        <w:t xml:space="preserve">. </w:t>
      </w:r>
    </w:p>
    <w:p w14:paraId="55946701" w14:textId="76B53A6A" w:rsidR="006F4F70" w:rsidRPr="00D1056D" w:rsidRDefault="008703AE" w:rsidP="00EE1920">
      <w:pPr>
        <w:spacing w:after="240"/>
        <w:jc w:val="both"/>
        <w:rPr>
          <w:rFonts w:ascii="Times New Roman" w:hAnsi="Times New Roman" w:cs="Times New Roman"/>
          <w:noProof/>
          <w:sz w:val="24"/>
          <w:szCs w:val="24"/>
        </w:rPr>
      </w:pPr>
      <w:r w:rsidRPr="00D1056D">
        <w:rPr>
          <w:rFonts w:ascii="Times New Roman" w:hAnsi="Times New Roman"/>
          <w:noProof/>
          <w:sz w:val="24"/>
        </w:rPr>
        <w:t>W celu rozwiązania tych problemów</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sku</w:t>
      </w:r>
      <w:r w:rsidRPr="00D1056D">
        <w:rPr>
          <w:rFonts w:ascii="Times New Roman" w:hAnsi="Times New Roman"/>
          <w:noProof/>
          <w:sz w:val="24"/>
        </w:rPr>
        <w:t>tecznego zapobiegania zidentyfikowanemu ryzyku należy ponownie ocenić</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udo</w:t>
      </w:r>
      <w:r w:rsidRPr="00D1056D">
        <w:rPr>
          <w:rFonts w:ascii="Times New Roman" w:hAnsi="Times New Roman"/>
          <w:noProof/>
          <w:sz w:val="24"/>
        </w:rPr>
        <w:t>skonalić obowiązujące przepisy zawarte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art</w:t>
      </w:r>
      <w:r w:rsidRPr="00D1056D">
        <w:rPr>
          <w:rFonts w:ascii="Times New Roman" w:hAnsi="Times New Roman"/>
          <w:noProof/>
          <w:sz w:val="24"/>
        </w:rPr>
        <w:t>.</w:t>
      </w:r>
      <w:r w:rsidR="00D1056D" w:rsidRPr="00D1056D">
        <w:rPr>
          <w:rFonts w:ascii="Times New Roman" w:hAnsi="Times New Roman"/>
          <w:noProof/>
          <w:sz w:val="24"/>
        </w:rPr>
        <w:t> </w:t>
      </w:r>
      <w:r w:rsidRPr="00D1056D">
        <w:rPr>
          <w:rFonts w:ascii="Times New Roman" w:hAnsi="Times New Roman"/>
          <w:noProof/>
          <w:sz w:val="24"/>
        </w:rPr>
        <w:t xml:space="preserve">8 rozporządzenia (UE) 2018/1806 („rozporządzenie wizowe”), dotyczące </w:t>
      </w:r>
      <w:r w:rsidRPr="00D1056D">
        <w:rPr>
          <w:rFonts w:ascii="Times New Roman" w:hAnsi="Times New Roman"/>
          <w:b/>
          <w:noProof/>
          <w:sz w:val="24"/>
        </w:rPr>
        <w:t>monitorowania</w:t>
      </w:r>
      <w:r w:rsidRPr="00D1056D">
        <w:rPr>
          <w:rFonts w:ascii="Times New Roman" w:hAnsi="Times New Roman"/>
          <w:noProof/>
          <w:sz w:val="24"/>
        </w:rPr>
        <w:t xml:space="preserve"> funkcjonowania systemów bezwizowych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 xml:space="preserve">stwami trzecimi oraz </w:t>
      </w:r>
      <w:r w:rsidRPr="00D1056D">
        <w:rPr>
          <w:rFonts w:ascii="Times New Roman" w:hAnsi="Times New Roman"/>
          <w:b/>
          <w:noProof/>
          <w:sz w:val="24"/>
        </w:rPr>
        <w:t>zawieszenia</w:t>
      </w:r>
      <w:r w:rsidRPr="00D1056D">
        <w:rPr>
          <w:rFonts w:ascii="Times New Roman" w:hAnsi="Times New Roman"/>
          <w:noProof/>
          <w:sz w:val="24"/>
        </w:rPr>
        <w:t xml:space="preserve"> zwolnień</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zwiększonego ryzyka migracji nieuregulowanej lub ryzyka dla bezpieczeństwa („</w:t>
      </w:r>
      <w:r w:rsidRPr="00D1056D">
        <w:rPr>
          <w:rFonts w:ascii="Times New Roman" w:hAnsi="Times New Roman"/>
          <w:b/>
          <w:noProof/>
          <w:sz w:val="24"/>
        </w:rPr>
        <w:t>mechanizm zawieszający zwolnienie</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obo</w:t>
      </w:r>
      <w:r w:rsidRPr="00D1056D">
        <w:rPr>
          <w:rFonts w:ascii="Times New Roman" w:hAnsi="Times New Roman"/>
          <w:b/>
          <w:noProof/>
          <w:sz w:val="24"/>
        </w:rPr>
        <w:t>wiązku wizowego</w:t>
      </w:r>
      <w:r w:rsidRPr="00D1056D">
        <w:rPr>
          <w:rFonts w:ascii="Times New Roman" w:hAnsi="Times New Roman"/>
          <w:noProof/>
          <w:sz w:val="24"/>
        </w:rPr>
        <w:t>”). Kryteria uruchomienia mechanizmu muszą być kompletne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jas</w:t>
      </w:r>
      <w:r w:rsidRPr="00D1056D">
        <w:rPr>
          <w:rFonts w:ascii="Times New Roman" w:hAnsi="Times New Roman"/>
          <w:noProof/>
          <w:sz w:val="24"/>
        </w:rPr>
        <w:t>ne,</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jed</w:t>
      </w:r>
      <w:r w:rsidRPr="00D1056D">
        <w:rPr>
          <w:rFonts w:ascii="Times New Roman" w:hAnsi="Times New Roman"/>
          <w:noProof/>
          <w:sz w:val="24"/>
        </w:rPr>
        <w:t>nocześnie wystarczająco elastyczne, aby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raz</w:t>
      </w:r>
      <w:r w:rsidRPr="00D1056D">
        <w:rPr>
          <w:rFonts w:ascii="Times New Roman" w:hAnsi="Times New Roman"/>
          <w:noProof/>
          <w:sz w:val="24"/>
        </w:rPr>
        <w:t>ie potrzeby umożliwić ich skuteczne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szy</w:t>
      </w:r>
      <w:r w:rsidRPr="00D1056D">
        <w:rPr>
          <w:rFonts w:ascii="Times New Roman" w:hAnsi="Times New Roman"/>
          <w:noProof/>
          <w:sz w:val="24"/>
        </w:rPr>
        <w:t>bkie stosowanie. Może to pomóc sprostać licznym wyzwaniom wynikającym</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ruc</w:t>
      </w:r>
      <w:r w:rsidRPr="00D1056D">
        <w:rPr>
          <w:rFonts w:ascii="Times New Roman" w:hAnsi="Times New Roman"/>
          <w:noProof/>
          <w:sz w:val="24"/>
        </w:rPr>
        <w:t>hu bezwizowego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sta</w:t>
      </w:r>
      <w:r w:rsidRPr="00D1056D">
        <w:rPr>
          <w:rFonts w:ascii="Times New Roman" w:hAnsi="Times New Roman"/>
          <w:noProof/>
          <w:sz w:val="24"/>
        </w:rPr>
        <w:t>le zmieniającym się kontekście geopolitycznym.</w:t>
      </w:r>
    </w:p>
    <w:p w14:paraId="3940697B" w14:textId="7AF131D2" w:rsidR="006F4F70" w:rsidRPr="00D1056D" w:rsidRDefault="006F4F70" w:rsidP="00EE1920">
      <w:pPr>
        <w:spacing w:after="240"/>
        <w:jc w:val="both"/>
        <w:rPr>
          <w:rFonts w:ascii="Times New Roman" w:hAnsi="Times New Roman" w:cs="Times New Roman"/>
          <w:noProof/>
          <w:sz w:val="24"/>
        </w:rPr>
      </w:pPr>
      <w:r w:rsidRPr="00D1056D">
        <w:rPr>
          <w:rFonts w:ascii="Times New Roman" w:hAnsi="Times New Roman"/>
          <w:noProof/>
          <w:sz w:val="24"/>
        </w:rPr>
        <w:t>W pierwszych miesiącach 2023</w:t>
      </w:r>
      <w:r w:rsidR="00D1056D" w:rsidRPr="00D1056D">
        <w:rPr>
          <w:rFonts w:ascii="Times New Roman" w:hAnsi="Times New Roman"/>
          <w:noProof/>
          <w:sz w:val="24"/>
        </w:rPr>
        <w:t> </w:t>
      </w:r>
      <w:r w:rsidRPr="00D1056D">
        <w:rPr>
          <w:rFonts w:ascii="Times New Roman" w:hAnsi="Times New Roman"/>
          <w:noProof/>
          <w:sz w:val="24"/>
        </w:rPr>
        <w:t>r.,</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ini</w:t>
      </w:r>
      <w:r w:rsidRPr="00D1056D">
        <w:rPr>
          <w:rFonts w:ascii="Times New Roman" w:hAnsi="Times New Roman"/>
          <w:noProof/>
          <w:sz w:val="24"/>
        </w:rPr>
        <w:t>cjatywy prezydencji szwedzkiej, Rada ds. Wymiaru Sprawiedliwości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 Wewnętrznych omówiła potencjalną rewizję tych przepisów,</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 xml:space="preserve">zególności </w:t>
      </w:r>
      <w:r w:rsidRPr="00D1056D">
        <w:rPr>
          <w:rFonts w:ascii="Times New Roman" w:hAnsi="Times New Roman"/>
          <w:b/>
          <w:noProof/>
          <w:sz w:val="24"/>
        </w:rPr>
        <w:t>mechanizmu zawieszającego zwolnienie</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obo</w:t>
      </w:r>
      <w:r w:rsidRPr="00D1056D">
        <w:rPr>
          <w:rFonts w:ascii="Times New Roman" w:hAnsi="Times New Roman"/>
          <w:b/>
          <w:noProof/>
          <w:sz w:val="24"/>
        </w:rPr>
        <w:t>wiązku wizowego</w:t>
      </w:r>
      <w:r w:rsidRPr="00D1056D">
        <w:rPr>
          <w:rFonts w:ascii="Times New Roman" w:hAnsi="Times New Roman"/>
          <w:noProof/>
          <w:sz w:val="24"/>
        </w:rPr>
        <w:t>, co spotkało się</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sze</w:t>
      </w:r>
      <w:r w:rsidRPr="00D1056D">
        <w:rPr>
          <w:rFonts w:ascii="Times New Roman" w:hAnsi="Times New Roman"/>
          <w:noProof/>
          <w:sz w:val="24"/>
        </w:rPr>
        <w:t>rokim poparciem państw członkowskich. Było to podyktowane wzrostem liczby wykrytych przypadków niedozwolonego przekraczania granicy UE szlakiem zachodniobałkańskim, co było częściowo związane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bra</w:t>
      </w:r>
      <w:r w:rsidRPr="00D1056D">
        <w:rPr>
          <w:rFonts w:ascii="Times New Roman" w:hAnsi="Times New Roman"/>
          <w:noProof/>
          <w:sz w:val="24"/>
        </w:rPr>
        <w:t>kiem dostosowania polityki wizowej państw sąsiadujących (zob. pkt</w:t>
      </w:r>
      <w:r w:rsidR="00D1056D" w:rsidRPr="00D1056D">
        <w:rPr>
          <w:rFonts w:ascii="Times New Roman" w:hAnsi="Times New Roman"/>
          <w:noProof/>
          <w:sz w:val="24"/>
        </w:rPr>
        <w:t> </w:t>
      </w:r>
      <w:r w:rsidRPr="00D1056D">
        <w:rPr>
          <w:rFonts w:ascii="Times New Roman" w:hAnsi="Times New Roman"/>
          <w:noProof/>
          <w:sz w:val="24"/>
        </w:rPr>
        <w:t>2a poniżej)</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wyw</w:t>
      </w:r>
      <w:r w:rsidRPr="00D1056D">
        <w:rPr>
          <w:rFonts w:ascii="Times New Roman" w:hAnsi="Times New Roman"/>
          <w:noProof/>
          <w:sz w:val="24"/>
        </w:rPr>
        <w:t>ołało refleksję nad koniecznością zmiany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piś</w:t>
      </w:r>
      <w:r w:rsidRPr="00D1056D">
        <w:rPr>
          <w:rFonts w:ascii="Times New Roman" w:hAnsi="Times New Roman"/>
          <w:noProof/>
          <w:sz w:val="24"/>
        </w:rPr>
        <w:t>mie do Rady Europejskiej</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2</w:t>
      </w:r>
      <w:r w:rsidRPr="00D1056D">
        <w:rPr>
          <w:rFonts w:ascii="Times New Roman" w:hAnsi="Times New Roman"/>
          <w:noProof/>
          <w:sz w:val="24"/>
        </w:rPr>
        <w:t>0 marca 2023</w:t>
      </w:r>
      <w:r w:rsidR="00D1056D" w:rsidRPr="00D1056D">
        <w:rPr>
          <w:rFonts w:ascii="Times New Roman" w:hAnsi="Times New Roman"/>
          <w:noProof/>
          <w:sz w:val="24"/>
        </w:rPr>
        <w:t> </w:t>
      </w:r>
      <w:r w:rsidRPr="00D1056D">
        <w:rPr>
          <w:rFonts w:ascii="Times New Roman" w:hAnsi="Times New Roman"/>
          <w:noProof/>
          <w:sz w:val="24"/>
        </w:rPr>
        <w:t>r. przewodnicząca Komisji Ursula von der Leyen uznała wnioski</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tej</w:t>
      </w:r>
      <w:r w:rsidRPr="00D1056D">
        <w:rPr>
          <w:rFonts w:ascii="Times New Roman" w:hAnsi="Times New Roman"/>
          <w:noProof/>
          <w:sz w:val="24"/>
        </w:rPr>
        <w:t xml:space="preserve"> dyskusji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zap</w:t>
      </w:r>
      <w:r w:rsidRPr="00D1056D">
        <w:rPr>
          <w:rFonts w:ascii="Times New Roman" w:hAnsi="Times New Roman"/>
          <w:noProof/>
          <w:sz w:val="24"/>
        </w:rPr>
        <w:t>owiedziała, że „Komisja wzmocni monitorowanie dostosowania polityki wizowej</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edstawi kompleksowe sprawozdanie torujące drogę do wniosku ustawodawczego zmieniającego mechanizm zawieszający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p>
    <w:p w14:paraId="6C2C760F" w14:textId="1E215D37" w:rsidR="00814E7C" w:rsidRPr="00D1056D" w:rsidRDefault="00695F73" w:rsidP="00EE1920">
      <w:pPr>
        <w:spacing w:after="240"/>
        <w:jc w:val="both"/>
        <w:rPr>
          <w:rFonts w:ascii="Times New Roman" w:hAnsi="Times New Roman" w:cs="Times New Roman"/>
          <w:noProof/>
          <w:sz w:val="24"/>
          <w:szCs w:val="24"/>
        </w:rPr>
      </w:pPr>
      <w:r w:rsidRPr="00D1056D">
        <w:rPr>
          <w:rFonts w:ascii="Times New Roman" w:hAnsi="Times New Roman"/>
          <w:noProof/>
          <w:sz w:val="24"/>
        </w:rPr>
        <w:t>W celu przedstawienia wniosku ustawodawczego jesienią 2023</w:t>
      </w:r>
      <w:r w:rsidR="00D1056D" w:rsidRPr="00D1056D">
        <w:rPr>
          <w:rFonts w:ascii="Times New Roman" w:hAnsi="Times New Roman"/>
          <w:noProof/>
          <w:sz w:val="24"/>
        </w:rPr>
        <w:t> </w:t>
      </w:r>
      <w:r w:rsidRPr="00D1056D">
        <w:rPr>
          <w:rFonts w:ascii="Times New Roman" w:hAnsi="Times New Roman"/>
          <w:noProof/>
          <w:sz w:val="24"/>
        </w:rPr>
        <w:t>r. Komisja zamierza skonsultować się</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Par</w:t>
      </w:r>
      <w:r w:rsidRPr="00D1056D">
        <w:rPr>
          <w:rFonts w:ascii="Times New Roman" w:hAnsi="Times New Roman"/>
          <w:noProof/>
          <w:sz w:val="24"/>
        </w:rPr>
        <w:t>lamentem Europejskim</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Rad</w:t>
      </w:r>
      <w:r w:rsidRPr="00D1056D">
        <w:rPr>
          <w:rFonts w:ascii="Times New Roman" w:hAnsi="Times New Roman"/>
          <w:noProof/>
          <w:sz w:val="24"/>
        </w:rPr>
        <w:t>ą</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określenia głównych wyzwań</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obs</w:t>
      </w:r>
      <w:r w:rsidRPr="00D1056D">
        <w:rPr>
          <w:rFonts w:ascii="Times New Roman" w:hAnsi="Times New Roman"/>
          <w:noProof/>
          <w:sz w:val="24"/>
        </w:rPr>
        <w:t>zarze migracji nieuregulowanej</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bez</w:t>
      </w:r>
      <w:r w:rsidRPr="00D1056D">
        <w:rPr>
          <w:rFonts w:ascii="Times New Roman" w:hAnsi="Times New Roman"/>
          <w:noProof/>
          <w:sz w:val="24"/>
        </w:rPr>
        <w:t>pieczeństwa związanych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fun</w:t>
      </w:r>
      <w:r w:rsidRPr="00D1056D">
        <w:rPr>
          <w:rFonts w:ascii="Times New Roman" w:hAnsi="Times New Roman"/>
          <w:noProof/>
          <w:sz w:val="24"/>
        </w:rPr>
        <w:t>kcjonowaniem systemów bezwizowych,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głównych uchybień</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obe</w:t>
      </w:r>
      <w:r w:rsidRPr="00D1056D">
        <w:rPr>
          <w:rFonts w:ascii="Times New Roman" w:hAnsi="Times New Roman"/>
          <w:noProof/>
          <w:sz w:val="24"/>
        </w:rPr>
        <w:t>cnym mechanizmie zawieszającym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oraz</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potencjalnych sposobów ich rozwiązania, szczególnie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dro</w:t>
      </w:r>
      <w:r w:rsidRPr="00D1056D">
        <w:rPr>
          <w:rFonts w:ascii="Times New Roman" w:hAnsi="Times New Roman"/>
          <w:noProof/>
          <w:sz w:val="24"/>
        </w:rPr>
        <w:t xml:space="preserve">dze </w:t>
      </w:r>
      <w:r w:rsidRPr="00D1056D">
        <w:rPr>
          <w:rFonts w:ascii="Times New Roman" w:hAnsi="Times New Roman"/>
          <w:b/>
          <w:noProof/>
          <w:sz w:val="24"/>
        </w:rPr>
        <w:t>zmiany art.</w:t>
      </w:r>
      <w:r w:rsidR="00D1056D" w:rsidRPr="00D1056D">
        <w:rPr>
          <w:rFonts w:ascii="Times New Roman" w:hAnsi="Times New Roman"/>
          <w:b/>
          <w:noProof/>
          <w:sz w:val="24"/>
        </w:rPr>
        <w:t> </w:t>
      </w:r>
      <w:r w:rsidRPr="00D1056D">
        <w:rPr>
          <w:rFonts w:ascii="Times New Roman" w:hAnsi="Times New Roman"/>
          <w:b/>
          <w:noProof/>
          <w:sz w:val="24"/>
        </w:rPr>
        <w:t>8 rozporządzenia wizowego</w:t>
      </w:r>
      <w:r w:rsidRPr="00D1056D">
        <w:rPr>
          <w:rFonts w:ascii="Times New Roman" w:hAnsi="Times New Roman"/>
          <w:noProof/>
          <w:sz w:val="24"/>
        </w:rPr>
        <w:t xml:space="preserve">. </w:t>
      </w:r>
    </w:p>
    <w:p w14:paraId="3FFF0EC5" w14:textId="034D77D9" w:rsidR="00117A27" w:rsidRPr="00D1056D" w:rsidRDefault="00A17FFB" w:rsidP="00EE1920">
      <w:pPr>
        <w:pStyle w:val="Heading1"/>
        <w:numPr>
          <w:ilvl w:val="0"/>
          <w:numId w:val="22"/>
        </w:numPr>
        <w:spacing w:after="240" w:line="240" w:lineRule="auto"/>
        <w:rPr>
          <w:rFonts w:ascii="Times New Roman" w:hAnsi="Times New Roman" w:cs="Times New Roman"/>
          <w:b/>
          <w:bCs/>
          <w:noProof/>
          <w:color w:val="auto"/>
          <w:sz w:val="24"/>
          <w:szCs w:val="24"/>
        </w:rPr>
      </w:pPr>
      <w:r w:rsidRPr="00D1056D">
        <w:rPr>
          <w:rFonts w:ascii="Times New Roman" w:hAnsi="Times New Roman"/>
          <w:b/>
          <w:noProof/>
          <w:color w:val="auto"/>
          <w:sz w:val="24"/>
        </w:rPr>
        <w:t xml:space="preserve">WYZWANIA ZWIĄZANE Z SYSTEMAMI BEZWIZOWYMI </w:t>
      </w:r>
    </w:p>
    <w:p w14:paraId="36E6825E" w14:textId="77777777" w:rsidR="00AC0BF4" w:rsidRPr="00D1056D" w:rsidRDefault="00AC0BF4" w:rsidP="00EE1920">
      <w:pPr>
        <w:pStyle w:val="ListParagraph"/>
        <w:numPr>
          <w:ilvl w:val="1"/>
          <w:numId w:val="1"/>
        </w:numPr>
        <w:spacing w:after="240"/>
        <w:ind w:hanging="357"/>
        <w:contextualSpacing w:val="0"/>
        <w:rPr>
          <w:rFonts w:ascii="Times New Roman" w:hAnsi="Times New Roman" w:cs="Times New Roman"/>
          <w:b/>
          <w:i/>
          <w:noProof/>
          <w:sz w:val="24"/>
        </w:rPr>
      </w:pPr>
      <w:r w:rsidRPr="00D1056D">
        <w:rPr>
          <w:rFonts w:ascii="Times New Roman" w:hAnsi="Times New Roman"/>
          <w:b/>
          <w:i/>
          <w:noProof/>
          <w:sz w:val="24"/>
        </w:rPr>
        <w:t>Dostosowanie polityki wizowej</w:t>
      </w:r>
    </w:p>
    <w:p w14:paraId="1952B17A" w14:textId="26915615" w:rsidR="008A744C" w:rsidRPr="00D1056D" w:rsidRDefault="005D6511" w:rsidP="00EE1920">
      <w:pPr>
        <w:spacing w:after="240" w:line="240" w:lineRule="auto"/>
        <w:jc w:val="both"/>
        <w:rPr>
          <w:rFonts w:ascii="Times New Roman" w:eastAsia="Times New Roman" w:hAnsi="Times New Roman" w:cs="Times New Roman"/>
          <w:noProof/>
        </w:rPr>
      </w:pPr>
      <w:r w:rsidRPr="00D1056D">
        <w:rPr>
          <w:rFonts w:ascii="Times New Roman" w:hAnsi="Times New Roman"/>
          <w:noProof/>
          <w:sz w:val="24"/>
        </w:rPr>
        <w:t>W 2022</w:t>
      </w:r>
      <w:r w:rsidR="00D1056D" w:rsidRPr="00D1056D">
        <w:rPr>
          <w:rFonts w:ascii="Times New Roman" w:hAnsi="Times New Roman"/>
          <w:noProof/>
          <w:sz w:val="24"/>
        </w:rPr>
        <w:t> </w:t>
      </w:r>
      <w:r w:rsidRPr="00D1056D">
        <w:rPr>
          <w:rFonts w:ascii="Times New Roman" w:hAnsi="Times New Roman"/>
          <w:noProof/>
          <w:sz w:val="24"/>
        </w:rPr>
        <w:t>r. Frontex zgłosił 144 118 przypadków niedozwolonego przekroczenia granicy zewnętrznej UE szlakiem zachodniobałkańskim</w:t>
      </w:r>
      <w:r w:rsidRPr="00D1056D">
        <w:rPr>
          <w:rStyle w:val="FootnoteReference"/>
          <w:rFonts w:ascii="Times New Roman" w:hAnsi="Times New Roman" w:cs="Times New Roman"/>
          <w:noProof/>
          <w:sz w:val="24"/>
        </w:rPr>
        <w:footnoteReference w:id="10"/>
      </w:r>
      <w:r w:rsidRPr="00D1056D">
        <w:rPr>
          <w:rFonts w:ascii="Times New Roman" w:hAnsi="Times New Roman"/>
          <w:noProof/>
          <w:sz w:val="24"/>
        </w:rPr>
        <w:t xml:space="preserve"> – to ponad dwukrotnie więcej niż</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2</w:t>
      </w:r>
      <w:r w:rsidRPr="00D1056D">
        <w:rPr>
          <w:rFonts w:ascii="Times New Roman" w:hAnsi="Times New Roman"/>
          <w:noProof/>
          <w:sz w:val="24"/>
        </w:rPr>
        <w:t>021</w:t>
      </w:r>
      <w:r w:rsidR="00D1056D" w:rsidRPr="00D1056D">
        <w:rPr>
          <w:rFonts w:ascii="Times New Roman" w:hAnsi="Times New Roman"/>
          <w:noProof/>
          <w:sz w:val="24"/>
        </w:rPr>
        <w:t> </w:t>
      </w:r>
      <w:r w:rsidRPr="00D1056D">
        <w:rPr>
          <w:rFonts w:ascii="Times New Roman" w:hAnsi="Times New Roman"/>
          <w:noProof/>
          <w:sz w:val="24"/>
        </w:rPr>
        <w:t>r. Wzrost ten wynikał częściowo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fak</w:t>
      </w:r>
      <w:r w:rsidRPr="00D1056D">
        <w:rPr>
          <w:rFonts w:ascii="Times New Roman" w:hAnsi="Times New Roman"/>
          <w:noProof/>
          <w:sz w:val="24"/>
        </w:rPr>
        <w:t>tu, że obywatele państw trzecich przybywali do Bałkanów Zachodnich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ruchu bezwizowego</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pod</w:t>
      </w:r>
      <w:r w:rsidRPr="00D1056D">
        <w:rPr>
          <w:rFonts w:ascii="Times New Roman" w:hAnsi="Times New Roman"/>
          <w:noProof/>
          <w:sz w:val="24"/>
        </w:rPr>
        <w:t>różowali dalej do UE</w:t>
      </w:r>
      <w:r w:rsidRPr="00D1056D">
        <w:rPr>
          <w:rStyle w:val="FootnoteReference"/>
          <w:rFonts w:ascii="Times New Roman" w:hAnsi="Times New Roman" w:cs="Times New Roman"/>
          <w:noProof/>
          <w:sz w:val="24"/>
          <w:szCs w:val="24"/>
        </w:rPr>
        <w:footnoteReference w:id="11"/>
      </w:r>
      <w:r w:rsidRPr="00D1056D">
        <w:rPr>
          <w:noProof/>
        </w:rPr>
        <w:t>.</w:t>
      </w:r>
      <w:r w:rsidRPr="00D1056D">
        <w:rPr>
          <w:rFonts w:ascii="Times New Roman" w:hAnsi="Times New Roman"/>
          <w:noProof/>
          <w:sz w:val="24"/>
        </w:rPr>
        <w:t xml:space="preserve"> </w:t>
      </w:r>
    </w:p>
    <w:p w14:paraId="28EE97CB" w14:textId="57A1518F" w:rsidR="003E130C" w:rsidRPr="00D1056D" w:rsidRDefault="007A5774" w:rsidP="00EE1920">
      <w:pPr>
        <w:spacing w:after="240" w:line="240" w:lineRule="auto"/>
        <w:jc w:val="both"/>
        <w:rPr>
          <w:rFonts w:ascii="Times New Roman" w:eastAsia="Times New Roman" w:hAnsi="Times New Roman" w:cs="Times New Roman"/>
          <w:noProof/>
        </w:rPr>
      </w:pPr>
      <w:r w:rsidRPr="00D1056D">
        <w:rPr>
          <w:rFonts w:ascii="Times New Roman" w:hAnsi="Times New Roman"/>
          <w:noProof/>
          <w:color w:val="212529"/>
          <w:sz w:val="24"/>
          <w:shd w:val="clear" w:color="auto" w:fill="FFFFFF"/>
        </w:rPr>
        <w:t>Bezwizowe wjazdy na Bałkany Zachodnie przez obywateli państw, które są objęte obowiązkiem wizowym w UE, miały wpływ na wzrost liczby osób</w:t>
      </w:r>
      <w:r w:rsidR="00D1056D" w:rsidRPr="00D1056D">
        <w:rPr>
          <w:rFonts w:ascii="Times New Roman" w:hAnsi="Times New Roman"/>
          <w:noProof/>
          <w:color w:val="212529"/>
          <w:sz w:val="24"/>
          <w:shd w:val="clear" w:color="auto" w:fill="FFFFFF"/>
        </w:rPr>
        <w:t xml:space="preserve"> o</w:t>
      </w:r>
      <w:r w:rsidR="00D1056D">
        <w:rPr>
          <w:rFonts w:ascii="Times New Roman" w:hAnsi="Times New Roman"/>
          <w:noProof/>
          <w:color w:val="212529"/>
          <w:sz w:val="24"/>
          <w:shd w:val="clear" w:color="auto" w:fill="FFFFFF"/>
        </w:rPr>
        <w:t> </w:t>
      </w:r>
      <w:r w:rsidR="00D1056D" w:rsidRPr="00D1056D">
        <w:rPr>
          <w:rFonts w:ascii="Times New Roman" w:hAnsi="Times New Roman"/>
          <w:noProof/>
          <w:color w:val="212529"/>
          <w:sz w:val="24"/>
          <w:shd w:val="clear" w:color="auto" w:fill="FFFFFF"/>
        </w:rPr>
        <w:t>nie</w:t>
      </w:r>
      <w:r w:rsidRPr="00D1056D">
        <w:rPr>
          <w:rFonts w:ascii="Times New Roman" w:hAnsi="Times New Roman"/>
          <w:noProof/>
          <w:color w:val="212529"/>
          <w:sz w:val="24"/>
          <w:shd w:val="clear" w:color="auto" w:fill="FFFFFF"/>
        </w:rPr>
        <w:t>uregulowanym statusie przybywających do UE</w:t>
      </w:r>
      <w:r w:rsidR="00D1056D" w:rsidRPr="00D1056D">
        <w:rPr>
          <w:rFonts w:ascii="Times New Roman" w:hAnsi="Times New Roman"/>
          <w:noProof/>
          <w:color w:val="212529"/>
          <w:sz w:val="24"/>
          <w:shd w:val="clear" w:color="auto" w:fill="FFFFFF"/>
        </w:rPr>
        <w:t xml:space="preserve"> w</w:t>
      </w:r>
      <w:r w:rsidR="00D1056D">
        <w:rPr>
          <w:rFonts w:ascii="Times New Roman" w:hAnsi="Times New Roman"/>
          <w:noProof/>
          <w:color w:val="212529"/>
          <w:sz w:val="24"/>
          <w:shd w:val="clear" w:color="auto" w:fill="FFFFFF"/>
        </w:rPr>
        <w:t> </w:t>
      </w:r>
      <w:r w:rsidR="00D1056D" w:rsidRPr="00D1056D">
        <w:rPr>
          <w:rFonts w:ascii="Times New Roman" w:hAnsi="Times New Roman"/>
          <w:noProof/>
          <w:color w:val="212529"/>
          <w:sz w:val="24"/>
          <w:shd w:val="clear" w:color="auto" w:fill="FFFFFF"/>
        </w:rPr>
        <w:t>2</w:t>
      </w:r>
      <w:r w:rsidRPr="00D1056D">
        <w:rPr>
          <w:rFonts w:ascii="Times New Roman" w:hAnsi="Times New Roman"/>
          <w:noProof/>
          <w:color w:val="212529"/>
          <w:sz w:val="24"/>
          <w:shd w:val="clear" w:color="auto" w:fill="FFFFFF"/>
        </w:rPr>
        <w:t>022</w:t>
      </w:r>
      <w:r w:rsidR="00D1056D" w:rsidRPr="00D1056D">
        <w:rPr>
          <w:rFonts w:ascii="Times New Roman" w:hAnsi="Times New Roman"/>
          <w:noProof/>
          <w:color w:val="212529"/>
          <w:sz w:val="24"/>
          <w:shd w:val="clear" w:color="auto" w:fill="FFFFFF"/>
        </w:rPr>
        <w:t> </w:t>
      </w:r>
      <w:r w:rsidRPr="00D1056D">
        <w:rPr>
          <w:rFonts w:ascii="Times New Roman" w:hAnsi="Times New Roman"/>
          <w:noProof/>
          <w:color w:val="212529"/>
          <w:sz w:val="24"/>
          <w:shd w:val="clear" w:color="auto" w:fill="FFFFFF"/>
        </w:rPr>
        <w:t>r. Zwiększyło to obciążenie systemów azylowych niektórych państw członkowskich</w:t>
      </w:r>
      <w:r w:rsidR="00D1056D" w:rsidRPr="00D1056D">
        <w:rPr>
          <w:rFonts w:ascii="Times New Roman" w:hAnsi="Times New Roman"/>
          <w:noProof/>
          <w:color w:val="212529"/>
          <w:sz w:val="24"/>
          <w:shd w:val="clear" w:color="auto" w:fill="FFFFFF"/>
        </w:rPr>
        <w:t xml:space="preserve"> w</w:t>
      </w:r>
      <w:r w:rsidR="00D1056D">
        <w:rPr>
          <w:rFonts w:ascii="Times New Roman" w:hAnsi="Times New Roman"/>
          <w:noProof/>
          <w:color w:val="212529"/>
          <w:sz w:val="24"/>
          <w:shd w:val="clear" w:color="auto" w:fill="FFFFFF"/>
        </w:rPr>
        <w:t> </w:t>
      </w:r>
      <w:r w:rsidR="00D1056D" w:rsidRPr="00D1056D">
        <w:rPr>
          <w:rFonts w:ascii="Times New Roman" w:hAnsi="Times New Roman"/>
          <w:noProof/>
          <w:color w:val="212529"/>
          <w:sz w:val="24"/>
          <w:shd w:val="clear" w:color="auto" w:fill="FFFFFF"/>
        </w:rPr>
        <w:t>cza</w:t>
      </w:r>
      <w:r w:rsidRPr="00D1056D">
        <w:rPr>
          <w:rFonts w:ascii="Times New Roman" w:hAnsi="Times New Roman"/>
          <w:noProof/>
          <w:color w:val="212529"/>
          <w:sz w:val="24"/>
          <w:shd w:val="clear" w:color="auto" w:fill="FFFFFF"/>
        </w:rPr>
        <w:t>sie ogólnego wzrostu liczby wniosków</w:t>
      </w:r>
      <w:r w:rsidR="00D1056D" w:rsidRPr="00D1056D">
        <w:rPr>
          <w:rFonts w:ascii="Times New Roman" w:hAnsi="Times New Roman"/>
          <w:noProof/>
          <w:color w:val="212529"/>
          <w:sz w:val="24"/>
          <w:shd w:val="clear" w:color="auto" w:fill="FFFFFF"/>
        </w:rPr>
        <w:t xml:space="preserve"> o</w:t>
      </w:r>
      <w:r w:rsidR="00D1056D">
        <w:rPr>
          <w:rFonts w:ascii="Times New Roman" w:hAnsi="Times New Roman"/>
          <w:noProof/>
          <w:color w:val="212529"/>
          <w:sz w:val="24"/>
          <w:shd w:val="clear" w:color="auto" w:fill="FFFFFF"/>
        </w:rPr>
        <w:t> </w:t>
      </w:r>
      <w:r w:rsidR="00D1056D" w:rsidRPr="00D1056D">
        <w:rPr>
          <w:rFonts w:ascii="Times New Roman" w:hAnsi="Times New Roman"/>
          <w:noProof/>
          <w:color w:val="212529"/>
          <w:sz w:val="24"/>
          <w:shd w:val="clear" w:color="auto" w:fill="FFFFFF"/>
        </w:rPr>
        <w:t>udz</w:t>
      </w:r>
      <w:r w:rsidRPr="00D1056D">
        <w:rPr>
          <w:rFonts w:ascii="Times New Roman" w:hAnsi="Times New Roman"/>
          <w:noProof/>
          <w:color w:val="212529"/>
          <w:sz w:val="24"/>
          <w:shd w:val="clear" w:color="auto" w:fill="FFFFFF"/>
        </w:rPr>
        <w:t>ielenie azylu.</w:t>
      </w:r>
    </w:p>
    <w:p w14:paraId="15792606" w14:textId="7112F9F1" w:rsidR="006D3F48" w:rsidRPr="00D1056D" w:rsidRDefault="006D3F48" w:rsidP="00EE1920">
      <w:pPr>
        <w:spacing w:after="240"/>
        <w:jc w:val="both"/>
        <w:rPr>
          <w:rFonts w:ascii="Times New Roman" w:hAnsi="Times New Roman" w:cs="Times New Roman"/>
          <w:noProof/>
          <w:sz w:val="24"/>
          <w:szCs w:val="24"/>
        </w:rPr>
      </w:pPr>
      <w:r w:rsidRPr="00D1056D">
        <w:rPr>
          <w:rFonts w:ascii="Times New Roman" w:hAnsi="Times New Roman"/>
          <w:noProof/>
          <w:sz w:val="24"/>
        </w:rPr>
        <w:t>W tym kontekście 5 grudnia 2022</w:t>
      </w:r>
      <w:r w:rsidR="00D1056D" w:rsidRPr="00D1056D">
        <w:rPr>
          <w:rFonts w:ascii="Times New Roman" w:hAnsi="Times New Roman"/>
          <w:noProof/>
          <w:sz w:val="24"/>
        </w:rPr>
        <w:t> </w:t>
      </w:r>
      <w:r w:rsidRPr="00D1056D">
        <w:rPr>
          <w:rFonts w:ascii="Times New Roman" w:hAnsi="Times New Roman"/>
          <w:noProof/>
          <w:sz w:val="24"/>
        </w:rPr>
        <w:t xml:space="preserve">r. Komisja przedstawiła </w:t>
      </w:r>
      <w:r w:rsidRPr="00D1056D">
        <w:rPr>
          <w:rFonts w:ascii="Times New Roman" w:hAnsi="Times New Roman"/>
          <w:b/>
          <w:noProof/>
          <w:sz w:val="24"/>
        </w:rPr>
        <w:t>plan działania UE na rzecz Bałkanów Zachodnich</w:t>
      </w:r>
      <w:r w:rsidRPr="00D1056D">
        <w:rPr>
          <w:rFonts w:ascii="Times New Roman" w:hAnsi="Times New Roman"/>
          <w:noProof/>
          <w:sz w:val="24"/>
        </w:rPr>
        <w:t>,</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rym jednym</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głó</w:t>
      </w:r>
      <w:r w:rsidRPr="00D1056D">
        <w:rPr>
          <w:rFonts w:ascii="Times New Roman" w:hAnsi="Times New Roman"/>
          <w:noProof/>
          <w:sz w:val="24"/>
        </w:rPr>
        <w:t>wnych filarów jest dostosowanie polityki wizowej,</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nas</w:t>
      </w:r>
      <w:r w:rsidRPr="00D1056D">
        <w:rPr>
          <w:rFonts w:ascii="Times New Roman" w:hAnsi="Times New Roman"/>
          <w:noProof/>
          <w:sz w:val="24"/>
        </w:rPr>
        <w:t>tępnie 6 grudnia Komisja przyjęła piąte sprawozdanie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Pr="00D1056D">
        <w:rPr>
          <w:rStyle w:val="FootnoteReference"/>
          <w:rFonts w:ascii="Times New Roman" w:hAnsi="Times New Roman" w:cs="Times New Roman"/>
          <w:noProof/>
          <w:sz w:val="24"/>
          <w:szCs w:val="24"/>
        </w:rPr>
        <w:footnoteReference w:id="12"/>
      </w:r>
      <w:r w:rsidRPr="00D1056D">
        <w:rPr>
          <w:rFonts w:ascii="Times New Roman" w:hAnsi="Times New Roman"/>
          <w:noProof/>
          <w:sz w:val="24"/>
        </w:rPr>
        <w:t>,</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rym ponownie podkreśliła, że wszyscy partnerzy</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Bał</w:t>
      </w:r>
      <w:r w:rsidRPr="00D1056D">
        <w:rPr>
          <w:rFonts w:ascii="Times New Roman" w:hAnsi="Times New Roman"/>
          <w:noProof/>
          <w:sz w:val="24"/>
        </w:rPr>
        <w:t>kanów Zachodnich powinni zająć się</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pie</w:t>
      </w:r>
      <w:r w:rsidRPr="00D1056D">
        <w:rPr>
          <w:rFonts w:ascii="Times New Roman" w:hAnsi="Times New Roman"/>
          <w:noProof/>
          <w:sz w:val="24"/>
        </w:rPr>
        <w:t xml:space="preserve">rwszej kolejności problemem braku dostosowania do polityki wizowej UE. </w:t>
      </w:r>
    </w:p>
    <w:p w14:paraId="425CD3E3" w14:textId="16C021D1" w:rsidR="00276150" w:rsidRPr="00D1056D" w:rsidRDefault="00276150" w:rsidP="00EE1920">
      <w:pPr>
        <w:spacing w:after="240"/>
        <w:jc w:val="both"/>
        <w:rPr>
          <w:rFonts w:ascii="Times New Roman" w:hAnsi="Times New Roman" w:cs="Times New Roman"/>
          <w:noProof/>
          <w:sz w:val="24"/>
          <w:szCs w:val="24"/>
        </w:rPr>
      </w:pPr>
      <w:r w:rsidRPr="00D1056D">
        <w:rPr>
          <w:rFonts w:ascii="Times New Roman" w:hAnsi="Times New Roman"/>
          <w:noProof/>
          <w:sz w:val="24"/>
        </w:rPr>
        <w:t>Choć zapewnienie skutecznego zarządzania migracją</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gra</w:t>
      </w:r>
      <w:r w:rsidRPr="00D1056D">
        <w:rPr>
          <w:rFonts w:ascii="Times New Roman" w:hAnsi="Times New Roman"/>
          <w:noProof/>
          <w:sz w:val="24"/>
        </w:rPr>
        <w:t>nicami było jednym</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klu</w:t>
      </w:r>
      <w:r w:rsidRPr="00D1056D">
        <w:rPr>
          <w:rFonts w:ascii="Times New Roman" w:hAnsi="Times New Roman"/>
          <w:noProof/>
          <w:sz w:val="24"/>
        </w:rPr>
        <w:t>czowych wymogów dialogów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liberalizacji reżimu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ich</w:t>
      </w:r>
      <w:r w:rsidRPr="00D1056D">
        <w:rPr>
          <w:rFonts w:ascii="Times New Roman" w:hAnsi="Times New Roman"/>
          <w:noProof/>
          <w:sz w:val="24"/>
        </w:rPr>
        <w:t xml:space="preserve"> ramach nie omawiano szczegółowo kwestii dostosowania polityki wizowej. Od tego czasu kwestia ta zyskała na znaczeniu</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sta</w:t>
      </w:r>
      <w:r w:rsidRPr="00D1056D">
        <w:rPr>
          <w:rFonts w:ascii="Times New Roman" w:hAnsi="Times New Roman"/>
          <w:noProof/>
          <w:sz w:val="24"/>
        </w:rPr>
        <w:t>ła się kluczowym czynnikiem trwałego funkcjonowania tych systemów bezwizowych.</w:t>
      </w:r>
    </w:p>
    <w:p w14:paraId="1B96E4B5" w14:textId="0F4E3E0A" w:rsidR="006D3F48" w:rsidRPr="00D1056D" w:rsidRDefault="001C237B" w:rsidP="00EE1920">
      <w:pPr>
        <w:spacing w:after="240"/>
        <w:jc w:val="both"/>
        <w:rPr>
          <w:rFonts w:ascii="Times New Roman" w:hAnsi="Times New Roman" w:cs="Times New Roman"/>
          <w:noProof/>
          <w:sz w:val="24"/>
          <w:szCs w:val="24"/>
        </w:rPr>
      </w:pPr>
      <w:r w:rsidRPr="00D1056D">
        <w:rPr>
          <w:rFonts w:ascii="Times New Roman" w:hAnsi="Times New Roman"/>
          <w:noProof/>
          <w:sz w:val="24"/>
        </w:rPr>
        <w:t>Obserwacje te potwierdzono na najwyższym szczeblu politycznym</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kon</w:t>
      </w:r>
      <w:r w:rsidRPr="00D1056D">
        <w:rPr>
          <w:rFonts w:ascii="Times New Roman" w:hAnsi="Times New Roman"/>
          <w:noProof/>
          <w:sz w:val="24"/>
        </w:rPr>
        <w:t>kluzjach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pos</w:t>
      </w:r>
      <w:r w:rsidRPr="00D1056D">
        <w:rPr>
          <w:rFonts w:ascii="Times New Roman" w:hAnsi="Times New Roman"/>
          <w:noProof/>
          <w:sz w:val="24"/>
        </w:rPr>
        <w:t>iedzenia Rady Europejskiej</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lut</w:t>
      </w:r>
      <w:r w:rsidRPr="00D1056D">
        <w:rPr>
          <w:rFonts w:ascii="Times New Roman" w:hAnsi="Times New Roman"/>
          <w:noProof/>
          <w:sz w:val="24"/>
        </w:rPr>
        <w:t>ym 2023</w:t>
      </w:r>
      <w:r w:rsidR="00D1056D" w:rsidRPr="00D1056D">
        <w:rPr>
          <w:rFonts w:ascii="Times New Roman" w:hAnsi="Times New Roman"/>
          <w:noProof/>
          <w:sz w:val="24"/>
        </w:rPr>
        <w:t> </w:t>
      </w:r>
      <w:r w:rsidRPr="00D1056D">
        <w:rPr>
          <w:rFonts w:ascii="Times New Roman" w:hAnsi="Times New Roman"/>
          <w:noProof/>
          <w:sz w:val="24"/>
        </w:rPr>
        <w:t>r.</w:t>
      </w:r>
      <w:r w:rsidRPr="00D1056D">
        <w:rPr>
          <w:rStyle w:val="FootnoteReference"/>
          <w:rFonts w:ascii="Times New Roman" w:hAnsi="Times New Roman" w:cs="Times New Roman"/>
          <w:noProof/>
          <w:sz w:val="24"/>
          <w:szCs w:val="24"/>
        </w:rPr>
        <w:footnoteReference w:id="13"/>
      </w:r>
      <w:r w:rsidRPr="00D1056D">
        <w:rPr>
          <w:rFonts w:ascii="Times New Roman" w:hAnsi="Times New Roman"/>
          <w:noProof/>
          <w:sz w:val="24"/>
        </w:rPr>
        <w:t>,</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 xml:space="preserve">rych podkreślono, że </w:t>
      </w:r>
      <w:r w:rsidRPr="00D1056D">
        <w:rPr>
          <w:rFonts w:ascii="Times New Roman" w:hAnsi="Times New Roman"/>
          <w:b/>
          <w:noProof/>
          <w:sz w:val="24"/>
        </w:rPr>
        <w:t>dostosowanie polityki wizowej przez państwa sąsiadujące jest kwestią pilną</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klu</w:t>
      </w:r>
      <w:r w:rsidRPr="00D1056D">
        <w:rPr>
          <w:rFonts w:ascii="Times New Roman" w:hAnsi="Times New Roman"/>
          <w:b/>
          <w:noProof/>
          <w:sz w:val="24"/>
        </w:rPr>
        <w:t>czową dla zarządzania migracją</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w:t>
      </w:r>
      <w:r w:rsidR="00D1056D">
        <w:rPr>
          <w:rFonts w:ascii="Times New Roman" w:hAnsi="Times New Roman"/>
          <w:noProof/>
          <w:sz w:val="24"/>
        </w:rPr>
        <w:t> </w:t>
      </w:r>
      <w:r w:rsidR="00D1056D" w:rsidRPr="00D1056D">
        <w:rPr>
          <w:rFonts w:ascii="Times New Roman" w:hAnsi="Times New Roman"/>
          <w:noProof/>
          <w:sz w:val="24"/>
        </w:rPr>
        <w:t>sto</w:t>
      </w:r>
      <w:r w:rsidRPr="00D1056D">
        <w:rPr>
          <w:rFonts w:ascii="Times New Roman" w:hAnsi="Times New Roman"/>
          <w:noProof/>
          <w:sz w:val="24"/>
        </w:rPr>
        <w:t>sownych przypadkach dla ogólnego dobrego funkcjonowania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trw</w:t>
      </w:r>
      <w:r w:rsidRPr="00D1056D">
        <w:rPr>
          <w:rFonts w:ascii="Times New Roman" w:hAnsi="Times New Roman"/>
          <w:noProof/>
          <w:sz w:val="24"/>
        </w:rPr>
        <w:t xml:space="preserve">ałości systemów bezwizowych, oraz wezwano do wzmocnionego monitorowania polityki wizowej państw sąsiadujących. </w:t>
      </w:r>
    </w:p>
    <w:p w14:paraId="3E34703F" w14:textId="1FE54CEB" w:rsidR="00E970BC" w:rsidRPr="00D1056D" w:rsidRDefault="00E970BC" w:rsidP="00EE1920">
      <w:pPr>
        <w:pBdr>
          <w:top w:val="single" w:sz="4" w:space="1" w:color="auto"/>
          <w:left w:val="single" w:sz="4" w:space="4" w:color="auto"/>
          <w:bottom w:val="single" w:sz="4" w:space="1" w:color="auto"/>
          <w:right w:val="single" w:sz="4" w:space="4" w:color="auto"/>
        </w:pBdr>
        <w:spacing w:after="240"/>
        <w:jc w:val="center"/>
        <w:rPr>
          <w:rFonts w:ascii="Times New Roman" w:hAnsi="Times New Roman" w:cs="Times New Roman"/>
          <w:b/>
          <w:noProof/>
          <w:sz w:val="24"/>
          <w:szCs w:val="24"/>
        </w:rPr>
      </w:pPr>
      <w:r w:rsidRPr="00D1056D">
        <w:rPr>
          <w:rFonts w:ascii="Times New Roman" w:hAnsi="Times New Roman"/>
          <w:b/>
          <w:noProof/>
          <w:sz w:val="24"/>
        </w:rPr>
        <w:t>Dostosowanie polityki wizowej: przypadek Serbii</w:t>
      </w:r>
    </w:p>
    <w:p w14:paraId="05CF06DE" w14:textId="271FA42F" w:rsidR="00FC158C" w:rsidRPr="00D1056D" w:rsidRDefault="00894DF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noProof/>
          <w:sz w:val="24"/>
        </w:rPr>
        <w:t>Wzrost</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2</w:t>
      </w:r>
      <w:r w:rsidRPr="00D1056D">
        <w:rPr>
          <w:rFonts w:ascii="Times New Roman" w:hAnsi="Times New Roman"/>
          <w:noProof/>
          <w:sz w:val="24"/>
        </w:rPr>
        <w:t>022</w:t>
      </w:r>
      <w:r w:rsidR="00D1056D" w:rsidRPr="00D1056D">
        <w:rPr>
          <w:rFonts w:ascii="Times New Roman" w:hAnsi="Times New Roman"/>
          <w:noProof/>
          <w:sz w:val="24"/>
        </w:rPr>
        <w:t> </w:t>
      </w:r>
      <w:r w:rsidRPr="00D1056D">
        <w:rPr>
          <w:rFonts w:ascii="Times New Roman" w:hAnsi="Times New Roman"/>
          <w:noProof/>
          <w:sz w:val="24"/>
        </w:rPr>
        <w:t>r. liczby wykrytych przypadków niedozwolonego przekroczenia granicy UE szlakiem zachodniobałkańskim był częściowo konsekwencją niedostosowania polityki wizowej Serbii do polityki wizowej UE;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czasie Serbię wiązały umowy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ruchu bezwizowego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2</w:t>
      </w:r>
      <w:r w:rsidRPr="00D1056D">
        <w:rPr>
          <w:rFonts w:ascii="Times New Roman" w:hAnsi="Times New Roman"/>
          <w:noProof/>
          <w:sz w:val="24"/>
        </w:rPr>
        <w:t>4 państwami trzecimi, których obywatele podlegali obowiązkowi wizowemu w UE. Obywatele niektórych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tyc</w:t>
      </w:r>
      <w:r w:rsidRPr="00D1056D">
        <w:rPr>
          <w:rFonts w:ascii="Times New Roman" w:hAnsi="Times New Roman"/>
          <w:noProof/>
          <w:sz w:val="24"/>
        </w:rPr>
        <w:t>h krajów,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obywatele Burundi, Kuby, Indii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Tun</w:t>
      </w:r>
      <w:r w:rsidRPr="00D1056D">
        <w:rPr>
          <w:rFonts w:ascii="Times New Roman" w:hAnsi="Times New Roman"/>
          <w:noProof/>
          <w:sz w:val="24"/>
        </w:rPr>
        <w:t>ezji, przybywali do Serbii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ruchu bezwizowego,</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nas</w:t>
      </w:r>
      <w:r w:rsidRPr="00D1056D">
        <w:rPr>
          <w:rFonts w:ascii="Times New Roman" w:hAnsi="Times New Roman"/>
          <w:noProof/>
          <w:sz w:val="24"/>
        </w:rPr>
        <w:t>tępnie próbowali wjechać nielegalnie do UE.</w:t>
      </w:r>
    </w:p>
    <w:p w14:paraId="27843829" w14:textId="02BFD4FD" w:rsidR="00124D54" w:rsidRPr="00D1056D" w:rsidRDefault="002B2C23"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noProof/>
          <w:sz w:val="24"/>
        </w:rPr>
        <w:t>Problem ten skłonił Komisję do natychmiastowych</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sze</w:t>
      </w:r>
      <w:r w:rsidRPr="00D1056D">
        <w:rPr>
          <w:rFonts w:ascii="Times New Roman" w:hAnsi="Times New Roman"/>
          <w:noProof/>
          <w:sz w:val="24"/>
        </w:rPr>
        <w:t>roko zakrojonych kontaktów</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wła</w:t>
      </w:r>
      <w:r w:rsidRPr="00D1056D">
        <w:rPr>
          <w:rFonts w:ascii="Times New Roman" w:hAnsi="Times New Roman"/>
          <w:noProof/>
          <w:sz w:val="24"/>
        </w:rPr>
        <w:t>dzami Serbii.</w:t>
      </w:r>
    </w:p>
    <w:p w14:paraId="198AD3B7" w14:textId="66D564B4" w:rsidR="00E970BC" w:rsidRPr="00D1056D" w:rsidRDefault="001C4C6E"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noProof/>
          <w:sz w:val="24"/>
        </w:rPr>
        <w:t>W wyniku tej współpracy</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sko</w:t>
      </w:r>
      <w:r w:rsidRPr="00D1056D">
        <w:rPr>
          <w:rFonts w:ascii="Times New Roman" w:hAnsi="Times New Roman"/>
          <w:noProof/>
          <w:sz w:val="24"/>
        </w:rPr>
        <w:t>ordynowanych starań</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okr</w:t>
      </w:r>
      <w:r w:rsidRPr="00D1056D">
        <w:rPr>
          <w:rFonts w:ascii="Times New Roman" w:hAnsi="Times New Roman"/>
          <w:noProof/>
          <w:sz w:val="24"/>
        </w:rPr>
        <w:t>esie od października 2022</w:t>
      </w:r>
      <w:r w:rsidR="00D1056D" w:rsidRPr="00D1056D">
        <w:rPr>
          <w:rFonts w:ascii="Times New Roman" w:hAnsi="Times New Roman"/>
          <w:noProof/>
          <w:sz w:val="24"/>
        </w:rPr>
        <w:t> </w:t>
      </w:r>
      <w:r w:rsidRPr="00D1056D">
        <w:rPr>
          <w:rFonts w:ascii="Times New Roman" w:hAnsi="Times New Roman"/>
          <w:noProof/>
          <w:sz w:val="24"/>
        </w:rPr>
        <w:t>r. do kwietnia 2023</w:t>
      </w:r>
      <w:r w:rsidR="00D1056D" w:rsidRPr="00D1056D">
        <w:rPr>
          <w:rFonts w:ascii="Times New Roman" w:hAnsi="Times New Roman"/>
          <w:noProof/>
          <w:sz w:val="24"/>
        </w:rPr>
        <w:t> </w:t>
      </w:r>
      <w:r w:rsidRPr="00D1056D">
        <w:rPr>
          <w:rFonts w:ascii="Times New Roman" w:hAnsi="Times New Roman"/>
          <w:noProof/>
          <w:sz w:val="24"/>
        </w:rPr>
        <w:t>r. Serbia szybko zareagowała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poc</w:t>
      </w:r>
      <w:r w:rsidRPr="00D1056D">
        <w:rPr>
          <w:rFonts w:ascii="Times New Roman" w:hAnsi="Times New Roman"/>
          <w:noProof/>
          <w:sz w:val="24"/>
        </w:rPr>
        <w:t>zyniła znaczne postępy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dos</w:t>
      </w:r>
      <w:r w:rsidRPr="00D1056D">
        <w:rPr>
          <w:rFonts w:ascii="Times New Roman" w:hAnsi="Times New Roman"/>
          <w:noProof/>
          <w:sz w:val="24"/>
        </w:rPr>
        <w:t>tosowywaniu swoich przepisów do polityki wizowej UE: wypowiedziała umowy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ruchu bezwizowego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Bur</w:t>
      </w:r>
      <w:r w:rsidRPr="00D1056D">
        <w:rPr>
          <w:rFonts w:ascii="Times New Roman" w:hAnsi="Times New Roman"/>
          <w:noProof/>
          <w:sz w:val="24"/>
        </w:rPr>
        <w:t>undi, Tunezją, Gwineą Bissau, Indiami, Boliwią</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Kub</w:t>
      </w:r>
      <w:r w:rsidRPr="00D1056D">
        <w:rPr>
          <w:rFonts w:ascii="Times New Roman" w:hAnsi="Times New Roman"/>
          <w:noProof/>
          <w:sz w:val="24"/>
        </w:rPr>
        <w:t>ą</w:t>
      </w:r>
      <w:r w:rsidRPr="00D1056D">
        <w:rPr>
          <w:rStyle w:val="FootnoteReference"/>
          <w:rFonts w:ascii="Times New Roman" w:hAnsi="Times New Roman" w:cs="Times New Roman"/>
          <w:noProof/>
          <w:sz w:val="24"/>
          <w:szCs w:val="24"/>
        </w:rPr>
        <w:footnoteReference w:id="14"/>
      </w:r>
      <w:r w:rsidRPr="00D1056D">
        <w:rPr>
          <w:rFonts w:ascii="Times New Roman" w:hAnsi="Times New Roman"/>
          <w:noProof/>
          <w:sz w:val="24"/>
        </w:rPr>
        <w:t xml:space="preserve"> oraz zobowiązała się do przyjęcia do końca 2023</w:t>
      </w:r>
      <w:r w:rsidR="00D1056D" w:rsidRPr="00D1056D">
        <w:rPr>
          <w:rFonts w:ascii="Times New Roman" w:hAnsi="Times New Roman"/>
          <w:noProof/>
          <w:sz w:val="24"/>
        </w:rPr>
        <w:t> </w:t>
      </w:r>
      <w:r w:rsidRPr="00D1056D">
        <w:rPr>
          <w:rFonts w:ascii="Times New Roman" w:hAnsi="Times New Roman"/>
          <w:noProof/>
          <w:sz w:val="24"/>
        </w:rPr>
        <w:t>r. planu dostosowania przepisów wizowych,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harmonogramu działań prowadzących do pełnego dostosowania polityki wizowej. </w:t>
      </w:r>
    </w:p>
    <w:p w14:paraId="47688B71" w14:textId="7B7A710A" w:rsidR="007C47C8" w:rsidRPr="00D1056D" w:rsidRDefault="00275CBC" w:rsidP="00EE1920">
      <w:pPr>
        <w:spacing w:after="240"/>
        <w:jc w:val="both"/>
        <w:rPr>
          <w:rFonts w:ascii="Times New Roman" w:hAnsi="Times New Roman" w:cs="Times New Roman"/>
          <w:noProof/>
          <w:sz w:val="24"/>
          <w:szCs w:val="24"/>
        </w:rPr>
      </w:pPr>
      <w:r w:rsidRPr="00D1056D">
        <w:rPr>
          <w:rFonts w:ascii="Times New Roman" w:hAnsi="Times New Roman"/>
          <w:noProof/>
          <w:sz w:val="24"/>
        </w:rPr>
        <w:t>Do tej pory wszyscy partnerzy</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Bał</w:t>
      </w:r>
      <w:r w:rsidRPr="00D1056D">
        <w:rPr>
          <w:rFonts w:ascii="Times New Roman" w:hAnsi="Times New Roman"/>
          <w:noProof/>
          <w:sz w:val="24"/>
        </w:rPr>
        <w:t>kanów Zachodnich wywiązywali się ze swoich zobowiązań dotyczących dostosowania polityki wizowej. Komisja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zad</w:t>
      </w:r>
      <w:r w:rsidRPr="00D1056D">
        <w:rPr>
          <w:rFonts w:ascii="Times New Roman" w:hAnsi="Times New Roman"/>
          <w:noProof/>
          <w:sz w:val="24"/>
        </w:rPr>
        <w:t xml:space="preserve">owoleniem przyjmuje decyzję </w:t>
      </w:r>
      <w:r w:rsidRPr="00D1056D">
        <w:rPr>
          <w:rFonts w:ascii="Times New Roman" w:hAnsi="Times New Roman"/>
          <w:b/>
          <w:noProof/>
          <w:sz w:val="24"/>
        </w:rPr>
        <w:t>Serbii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ywróceniu wspomnianych powyżej obowiązków wizowych,</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 xml:space="preserve">że decyzję </w:t>
      </w:r>
      <w:r w:rsidRPr="00D1056D">
        <w:rPr>
          <w:rFonts w:ascii="Times New Roman" w:hAnsi="Times New Roman"/>
          <w:b/>
          <w:noProof/>
          <w:sz w:val="24"/>
        </w:rPr>
        <w:t>Czarnogóry</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pon</w:t>
      </w:r>
      <w:r w:rsidRPr="00D1056D">
        <w:rPr>
          <w:rFonts w:ascii="Times New Roman" w:hAnsi="Times New Roman"/>
          <w:noProof/>
          <w:sz w:val="24"/>
        </w:rPr>
        <w:t>ownym wprowadzeniu systemu wizowego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Kub</w:t>
      </w:r>
      <w:r w:rsidRPr="00D1056D">
        <w:rPr>
          <w:rFonts w:ascii="Times New Roman" w:hAnsi="Times New Roman"/>
          <w:noProof/>
          <w:sz w:val="24"/>
        </w:rPr>
        <w:t>ą oraz ponownym objęciu obowiązkiem wizowym obywateli państw trzecich przebywających legalnie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Zje</w:t>
      </w:r>
      <w:r w:rsidRPr="00D1056D">
        <w:rPr>
          <w:rFonts w:ascii="Times New Roman" w:hAnsi="Times New Roman"/>
          <w:noProof/>
          <w:sz w:val="24"/>
        </w:rPr>
        <w:t>dnoczonych Emiratach Arabskich (odpowiednio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sty</w:t>
      </w:r>
      <w:r w:rsidRPr="00D1056D">
        <w:rPr>
          <w:rFonts w:ascii="Times New Roman" w:hAnsi="Times New Roman"/>
          <w:noProof/>
          <w:sz w:val="24"/>
        </w:rPr>
        <w:t>czniu</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kwi</w:t>
      </w:r>
      <w:r w:rsidRPr="00D1056D">
        <w:rPr>
          <w:rFonts w:ascii="Times New Roman" w:hAnsi="Times New Roman"/>
          <w:noProof/>
          <w:sz w:val="24"/>
        </w:rPr>
        <w:t>etniu 2023</w:t>
      </w:r>
      <w:r w:rsidR="00D1056D" w:rsidRPr="00D1056D">
        <w:rPr>
          <w:rFonts w:ascii="Times New Roman" w:hAnsi="Times New Roman"/>
          <w:noProof/>
          <w:sz w:val="24"/>
        </w:rPr>
        <w:t> </w:t>
      </w:r>
      <w:r w:rsidRPr="00D1056D">
        <w:rPr>
          <w:rFonts w:ascii="Times New Roman" w:hAnsi="Times New Roman"/>
          <w:noProof/>
          <w:sz w:val="24"/>
        </w:rPr>
        <w:t>r.). Komisja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zad</w:t>
      </w:r>
      <w:r w:rsidRPr="00D1056D">
        <w:rPr>
          <w:rFonts w:ascii="Times New Roman" w:hAnsi="Times New Roman"/>
          <w:noProof/>
          <w:sz w:val="24"/>
        </w:rPr>
        <w:t xml:space="preserve">owoleniem przyjmuje również podjętą przez </w:t>
      </w:r>
      <w:r w:rsidRPr="00D1056D">
        <w:rPr>
          <w:rFonts w:ascii="Times New Roman" w:hAnsi="Times New Roman"/>
          <w:b/>
          <w:noProof/>
          <w:sz w:val="24"/>
        </w:rPr>
        <w:t xml:space="preserve">Albanię </w:t>
      </w:r>
      <w:r w:rsidRPr="00D1056D">
        <w:rPr>
          <w:rFonts w:ascii="Times New Roman" w:hAnsi="Times New Roman"/>
          <w:noProof/>
          <w:sz w:val="24"/>
        </w:rPr>
        <w:t>decyzję</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nie</w:t>
      </w:r>
      <w:r w:rsidRPr="00D1056D">
        <w:rPr>
          <w:rFonts w:ascii="Times New Roman" w:hAnsi="Times New Roman"/>
          <w:noProof/>
          <w:sz w:val="24"/>
        </w:rPr>
        <w:t>przedłużaniu sezonowego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dla obywateli Egiptu, Indii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Ros</w:t>
      </w:r>
      <w:r w:rsidRPr="00D1056D">
        <w:rPr>
          <w:rFonts w:ascii="Times New Roman" w:hAnsi="Times New Roman"/>
          <w:noProof/>
          <w:sz w:val="24"/>
        </w:rPr>
        <w:t>ji,</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 xml:space="preserve">że decyzję </w:t>
      </w:r>
      <w:r w:rsidRPr="00D1056D">
        <w:rPr>
          <w:rFonts w:ascii="Times New Roman" w:hAnsi="Times New Roman"/>
          <w:b/>
          <w:noProof/>
          <w:sz w:val="24"/>
        </w:rPr>
        <w:t>Macedonii Północnej</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ywróceniu obowiązku wizowego dla obywateli Botswany, Kuby</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Aze</w:t>
      </w:r>
      <w:r w:rsidRPr="00D1056D">
        <w:rPr>
          <w:rFonts w:ascii="Times New Roman" w:hAnsi="Times New Roman"/>
          <w:noProof/>
          <w:sz w:val="24"/>
        </w:rPr>
        <w:t xml:space="preserve">rbejdżanu. </w:t>
      </w:r>
    </w:p>
    <w:p w14:paraId="53C6DA1F" w14:textId="5028661F" w:rsidR="00AC0BF4" w:rsidRPr="00D1056D" w:rsidRDefault="007C47C8" w:rsidP="00EE1920">
      <w:pPr>
        <w:spacing w:after="240"/>
        <w:jc w:val="both"/>
        <w:rPr>
          <w:rFonts w:ascii="Times New Roman" w:hAnsi="Times New Roman" w:cs="Times New Roman"/>
          <w:noProof/>
          <w:sz w:val="24"/>
          <w:szCs w:val="24"/>
        </w:rPr>
      </w:pPr>
      <w:r w:rsidRPr="00D1056D">
        <w:rPr>
          <w:rFonts w:ascii="Times New Roman" w:hAnsi="Times New Roman"/>
          <w:noProof/>
          <w:sz w:val="24"/>
        </w:rPr>
        <w:t xml:space="preserve">Decyzje te są </w:t>
      </w:r>
      <w:r w:rsidRPr="00D1056D">
        <w:rPr>
          <w:rFonts w:ascii="Times New Roman" w:hAnsi="Times New Roman"/>
          <w:b/>
          <w:noProof/>
          <w:sz w:val="24"/>
        </w:rPr>
        <w:t>ważnymi</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poż</w:t>
      </w:r>
      <w:r w:rsidRPr="00D1056D">
        <w:rPr>
          <w:rFonts w:ascii="Times New Roman" w:hAnsi="Times New Roman"/>
          <w:b/>
          <w:noProof/>
          <w:sz w:val="24"/>
        </w:rPr>
        <w:t>ądanymi krokami na drodze do osiągnięcia celu, jakim jest ograniczenie liczby osób</w:t>
      </w:r>
      <w:r w:rsidR="00D1056D" w:rsidRPr="00D1056D">
        <w:rPr>
          <w:rFonts w:ascii="Times New Roman" w:hAnsi="Times New Roman"/>
          <w:b/>
          <w:noProof/>
          <w:sz w:val="24"/>
        </w:rPr>
        <w:t xml:space="preserve"> o</w:t>
      </w:r>
      <w:r w:rsidR="00D1056D">
        <w:rPr>
          <w:rFonts w:ascii="Times New Roman" w:hAnsi="Times New Roman"/>
          <w:b/>
          <w:noProof/>
          <w:sz w:val="24"/>
        </w:rPr>
        <w:t> </w:t>
      </w:r>
      <w:r w:rsidR="00D1056D" w:rsidRPr="00D1056D">
        <w:rPr>
          <w:rFonts w:ascii="Times New Roman" w:hAnsi="Times New Roman"/>
          <w:b/>
          <w:noProof/>
          <w:sz w:val="24"/>
        </w:rPr>
        <w:t>nie</w:t>
      </w:r>
      <w:r w:rsidRPr="00D1056D">
        <w:rPr>
          <w:rFonts w:ascii="Times New Roman" w:hAnsi="Times New Roman"/>
          <w:b/>
          <w:noProof/>
          <w:sz w:val="24"/>
        </w:rPr>
        <w:t>uregulowanym statusie przybywających do UE</w:t>
      </w:r>
      <w:r w:rsidRPr="00D1056D">
        <w:rPr>
          <w:rFonts w:ascii="Times New Roman" w:hAnsi="Times New Roman"/>
          <w:noProof/>
          <w:sz w:val="24"/>
        </w:rPr>
        <w:t xml:space="preserve"> szlakiem zachodniobałkańskim, choć nadal istnieją poważne wyzwania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względzie.</w:t>
      </w:r>
    </w:p>
    <w:p w14:paraId="76645D2F" w14:textId="1A110F50" w:rsidR="00992B66" w:rsidRPr="00D1056D" w:rsidRDefault="00275CBC" w:rsidP="00EE1920">
      <w:pPr>
        <w:spacing w:after="240"/>
        <w:jc w:val="both"/>
        <w:rPr>
          <w:rFonts w:ascii="Times New Roman" w:hAnsi="Times New Roman" w:cs="Times New Roman"/>
          <w:noProof/>
          <w:sz w:val="24"/>
          <w:szCs w:val="24"/>
        </w:rPr>
      </w:pPr>
      <w:r w:rsidRPr="00D1056D">
        <w:rPr>
          <w:rFonts w:ascii="Times New Roman" w:hAnsi="Times New Roman"/>
          <w:noProof/>
          <w:sz w:val="24"/>
        </w:rPr>
        <w:t>Komisja oczekuje, że wszystkie państwa sąsiadujące z UE zwolnione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będą kontynuować starania na rzecz </w:t>
      </w:r>
      <w:r w:rsidRPr="00D1056D">
        <w:rPr>
          <w:rFonts w:ascii="Times New Roman" w:hAnsi="Times New Roman"/>
          <w:b/>
          <w:noProof/>
          <w:sz w:val="24"/>
        </w:rPr>
        <w:t>dalszego dostosowania</w:t>
      </w:r>
      <w:r w:rsidRPr="00D1056D">
        <w:rPr>
          <w:rStyle w:val="FootnoteReference"/>
          <w:rFonts w:ascii="Times New Roman" w:hAnsi="Times New Roman" w:cs="Times New Roman"/>
          <w:b/>
          <w:noProof/>
          <w:sz w:val="24"/>
          <w:szCs w:val="24"/>
        </w:rPr>
        <w:footnoteReference w:id="15"/>
      </w:r>
      <w:r w:rsidRPr="00D1056D">
        <w:rPr>
          <w:rFonts w:ascii="Times New Roman" w:hAnsi="Times New Roman"/>
          <w:b/>
          <w:noProof/>
          <w:sz w:val="24"/>
        </w:rPr>
        <w:t xml:space="preserve"> swojej polityki wizowej do polityki wizowej UE</w:t>
      </w:r>
      <w:r w:rsidRPr="00D1056D">
        <w:rPr>
          <w:rFonts w:ascii="Times New Roman" w:hAnsi="Times New Roman"/>
          <w:noProof/>
          <w:sz w:val="24"/>
        </w:rPr>
        <w:t>,</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odn</w:t>
      </w:r>
      <w:r w:rsidRPr="00D1056D">
        <w:rPr>
          <w:rFonts w:ascii="Times New Roman" w:hAnsi="Times New Roman"/>
          <w:noProof/>
          <w:sz w:val="24"/>
        </w:rPr>
        <w:t>iesieniu do państw trzecich,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 xml:space="preserve">rych występuje duża presja migracyjna lub które stwarzają wysokie ryzyko dla bezpieczeństwa UE. Komisja </w:t>
      </w:r>
      <w:r w:rsidRPr="00D1056D">
        <w:rPr>
          <w:rFonts w:ascii="Times New Roman" w:hAnsi="Times New Roman"/>
          <w:b/>
          <w:noProof/>
          <w:sz w:val="24"/>
        </w:rPr>
        <w:t>zwiększy skuteczność swojego monitorowania</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swo</w:t>
      </w:r>
      <w:r w:rsidRPr="00D1056D">
        <w:rPr>
          <w:rFonts w:ascii="Times New Roman" w:hAnsi="Times New Roman"/>
          <w:b/>
          <w:noProof/>
          <w:sz w:val="24"/>
        </w:rPr>
        <w:t>jej sprawozdawczości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zak</w:t>
      </w:r>
      <w:r w:rsidRPr="00D1056D">
        <w:rPr>
          <w:rFonts w:ascii="Times New Roman" w:hAnsi="Times New Roman"/>
          <w:noProof/>
          <w:sz w:val="24"/>
        </w:rPr>
        <w:t>resie dostosowania polityki wizowej (zob. sekcja 3 poniżej)</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roz</w:t>
      </w:r>
      <w:r w:rsidRPr="00D1056D">
        <w:rPr>
          <w:rFonts w:ascii="Times New Roman" w:hAnsi="Times New Roman"/>
          <w:noProof/>
          <w:sz w:val="24"/>
        </w:rPr>
        <w:t>waży, na podstawie wyników zbliżających się konsultacji, dodanie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art</w:t>
      </w:r>
      <w:r w:rsidRPr="00D1056D">
        <w:rPr>
          <w:rFonts w:ascii="Times New Roman" w:hAnsi="Times New Roman"/>
          <w:noProof/>
          <w:sz w:val="24"/>
        </w:rPr>
        <w:t>.</w:t>
      </w:r>
      <w:r w:rsidR="00D1056D" w:rsidRPr="00D1056D">
        <w:rPr>
          <w:rFonts w:ascii="Times New Roman" w:hAnsi="Times New Roman"/>
          <w:noProof/>
          <w:sz w:val="24"/>
        </w:rPr>
        <w:t> </w:t>
      </w:r>
      <w:r w:rsidRPr="00D1056D">
        <w:rPr>
          <w:rFonts w:ascii="Times New Roman" w:hAnsi="Times New Roman"/>
          <w:noProof/>
          <w:sz w:val="24"/>
        </w:rPr>
        <w:t xml:space="preserve">8 rozporządzenia wizowego </w:t>
      </w:r>
      <w:r w:rsidRPr="00D1056D">
        <w:rPr>
          <w:rFonts w:ascii="Times New Roman" w:hAnsi="Times New Roman"/>
          <w:b/>
          <w:noProof/>
          <w:sz w:val="24"/>
        </w:rPr>
        <w:t>braku dostosowania polityki wizowej jako wyraźnej podstawy zawieszenia</w:t>
      </w:r>
      <w:r w:rsidRPr="00D1056D">
        <w:rPr>
          <w:rFonts w:ascii="Times New Roman" w:hAnsi="Times New Roman"/>
          <w:noProof/>
          <w:sz w:val="24"/>
        </w:rPr>
        <w:t xml:space="preserve">. </w:t>
      </w:r>
    </w:p>
    <w:p w14:paraId="47F9A5DB" w14:textId="73194353" w:rsidR="00DF533F" w:rsidRPr="00D1056D" w:rsidRDefault="003C5290" w:rsidP="00EE1920">
      <w:pPr>
        <w:pStyle w:val="ListParagraph"/>
        <w:numPr>
          <w:ilvl w:val="1"/>
          <w:numId w:val="1"/>
        </w:numPr>
        <w:spacing w:after="240"/>
        <w:rPr>
          <w:rFonts w:ascii="Times New Roman" w:hAnsi="Times New Roman" w:cs="Times New Roman"/>
          <w:b/>
          <w:i/>
          <w:noProof/>
          <w:sz w:val="24"/>
          <w:szCs w:val="24"/>
        </w:rPr>
      </w:pPr>
      <w:r w:rsidRPr="00D1056D">
        <w:rPr>
          <w:rFonts w:ascii="Times New Roman" w:hAnsi="Times New Roman"/>
          <w:b/>
          <w:i/>
          <w:noProof/>
          <w:sz w:val="24"/>
        </w:rPr>
        <w:t>Wnioski</w:t>
      </w:r>
      <w:r w:rsidR="00D1056D" w:rsidRPr="00D1056D">
        <w:rPr>
          <w:rFonts w:ascii="Times New Roman" w:hAnsi="Times New Roman"/>
          <w:b/>
          <w:i/>
          <w:noProof/>
          <w:sz w:val="24"/>
        </w:rPr>
        <w:t xml:space="preserve"> o</w:t>
      </w:r>
      <w:r w:rsidR="00D1056D">
        <w:rPr>
          <w:rFonts w:ascii="Times New Roman" w:hAnsi="Times New Roman"/>
          <w:b/>
          <w:i/>
          <w:noProof/>
          <w:sz w:val="24"/>
        </w:rPr>
        <w:t> </w:t>
      </w:r>
      <w:r w:rsidR="00D1056D" w:rsidRPr="00D1056D">
        <w:rPr>
          <w:rFonts w:ascii="Times New Roman" w:hAnsi="Times New Roman"/>
          <w:b/>
          <w:i/>
          <w:noProof/>
          <w:sz w:val="24"/>
        </w:rPr>
        <w:t>udz</w:t>
      </w:r>
      <w:r w:rsidRPr="00D1056D">
        <w:rPr>
          <w:rFonts w:ascii="Times New Roman" w:hAnsi="Times New Roman"/>
          <w:b/>
          <w:i/>
          <w:noProof/>
          <w:sz w:val="24"/>
        </w:rPr>
        <w:t>ielenie azylu składane przez obywateli państw zwolnionych</w:t>
      </w:r>
      <w:r w:rsidR="00D1056D" w:rsidRPr="00D1056D">
        <w:rPr>
          <w:rFonts w:ascii="Times New Roman" w:hAnsi="Times New Roman"/>
          <w:b/>
          <w:i/>
          <w:noProof/>
          <w:sz w:val="24"/>
        </w:rPr>
        <w:t xml:space="preserve"> z</w:t>
      </w:r>
      <w:r w:rsidR="00D1056D">
        <w:rPr>
          <w:rFonts w:ascii="Times New Roman" w:hAnsi="Times New Roman"/>
          <w:b/>
          <w:i/>
          <w:noProof/>
          <w:sz w:val="24"/>
        </w:rPr>
        <w:t> </w:t>
      </w:r>
      <w:r w:rsidR="00D1056D" w:rsidRPr="00D1056D">
        <w:rPr>
          <w:rFonts w:ascii="Times New Roman" w:hAnsi="Times New Roman"/>
          <w:b/>
          <w:i/>
          <w:noProof/>
          <w:sz w:val="24"/>
        </w:rPr>
        <w:t>obo</w:t>
      </w:r>
      <w:r w:rsidRPr="00D1056D">
        <w:rPr>
          <w:rFonts w:ascii="Times New Roman" w:hAnsi="Times New Roman"/>
          <w:b/>
          <w:i/>
          <w:noProof/>
          <w:sz w:val="24"/>
        </w:rPr>
        <w:t>wiązku wizowego</w:t>
      </w:r>
    </w:p>
    <w:p w14:paraId="4F5C96B4" w14:textId="50A5298A" w:rsidR="00F90E1D" w:rsidRPr="00D1056D" w:rsidRDefault="00D81572" w:rsidP="00EE1920">
      <w:pPr>
        <w:spacing w:after="240"/>
        <w:jc w:val="both"/>
        <w:rPr>
          <w:rFonts w:ascii="Times New Roman" w:hAnsi="Times New Roman" w:cs="Times New Roman"/>
          <w:noProof/>
          <w:sz w:val="24"/>
          <w:szCs w:val="24"/>
        </w:rPr>
      </w:pPr>
      <w:r w:rsidRPr="00D1056D">
        <w:rPr>
          <w:rFonts w:ascii="Times New Roman" w:hAnsi="Times New Roman"/>
          <w:noProof/>
          <w:sz w:val="24"/>
        </w:rPr>
        <w:t>Korzyści płynące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ruc</w:t>
      </w:r>
      <w:r w:rsidRPr="00D1056D">
        <w:rPr>
          <w:rFonts w:ascii="Times New Roman" w:hAnsi="Times New Roman"/>
          <w:noProof/>
          <w:sz w:val="24"/>
        </w:rPr>
        <w:t>hu bezwizowego wiążą się również</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wiązkami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zob</w:t>
      </w:r>
      <w:r w:rsidRPr="00D1056D">
        <w:rPr>
          <w:rFonts w:ascii="Times New Roman" w:hAnsi="Times New Roman"/>
          <w:noProof/>
          <w:sz w:val="24"/>
        </w:rPr>
        <w:t>owiązaniem państw trzecich do zapewnienia trwałego charakteru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Bezzasadne wnioski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ielenie azylu przyczyniają się do tworzenia wąskich gardeł</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sys</w:t>
      </w:r>
      <w:r w:rsidRPr="00D1056D">
        <w:rPr>
          <w:rFonts w:ascii="Times New Roman" w:hAnsi="Times New Roman"/>
          <w:noProof/>
          <w:sz w:val="24"/>
        </w:rPr>
        <w:t>temach azylowych państw członkowskich</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mog</w:t>
      </w:r>
      <w:r w:rsidRPr="00D1056D">
        <w:rPr>
          <w:rFonts w:ascii="Times New Roman" w:hAnsi="Times New Roman"/>
          <w:noProof/>
          <w:sz w:val="24"/>
        </w:rPr>
        <w:t>ą wpływać na proces udzielania azylu obywatelom państw trzecich, którzy faktycznie ubiegają się</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azy</w:t>
      </w:r>
      <w:r w:rsidRPr="00D1056D">
        <w:rPr>
          <w:rFonts w:ascii="Times New Roman" w:hAnsi="Times New Roman"/>
          <w:noProof/>
          <w:sz w:val="24"/>
        </w:rPr>
        <w:t>l. W 2022</w:t>
      </w:r>
      <w:r w:rsidR="00D1056D" w:rsidRPr="00D1056D">
        <w:rPr>
          <w:rFonts w:ascii="Times New Roman" w:hAnsi="Times New Roman"/>
          <w:noProof/>
          <w:sz w:val="24"/>
        </w:rPr>
        <w:t> </w:t>
      </w:r>
      <w:r w:rsidRPr="00D1056D">
        <w:rPr>
          <w:rFonts w:ascii="Times New Roman" w:hAnsi="Times New Roman"/>
          <w:noProof/>
          <w:sz w:val="24"/>
        </w:rPr>
        <w:t>r. 22 % (około 215 000) wszystkich wniosków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ielenie azylu (których było około 962 000) napłynęło od obywateli państw trzecich korzystających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ruc</w:t>
      </w:r>
      <w:r w:rsidRPr="00D1056D">
        <w:rPr>
          <w:rFonts w:ascii="Times New Roman" w:hAnsi="Times New Roman"/>
          <w:noProof/>
          <w:sz w:val="24"/>
        </w:rPr>
        <w:t>hu bezwizowego do UE. Wnioski te charakteryzują się bardzo niskim wskaźnikiem przyznawania azylu (około 5 %). Była to niemal rekordowa liczba wniosków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ielenie azylu, ponad dwukrotnie wyższa niż</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2</w:t>
      </w:r>
      <w:r w:rsidRPr="00D1056D">
        <w:rPr>
          <w:rFonts w:ascii="Times New Roman" w:hAnsi="Times New Roman"/>
          <w:noProof/>
          <w:sz w:val="24"/>
        </w:rPr>
        <w:t>021</w:t>
      </w:r>
      <w:r w:rsidR="00D1056D" w:rsidRPr="00D1056D">
        <w:rPr>
          <w:rFonts w:ascii="Times New Roman" w:hAnsi="Times New Roman"/>
          <w:noProof/>
          <w:sz w:val="24"/>
        </w:rPr>
        <w:t> </w:t>
      </w:r>
      <w:r w:rsidRPr="00D1056D">
        <w:rPr>
          <w:rFonts w:ascii="Times New Roman" w:hAnsi="Times New Roman"/>
          <w:noProof/>
          <w:sz w:val="24"/>
        </w:rPr>
        <w:t>r. 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1</w:t>
      </w:r>
      <w:r w:rsidRPr="00D1056D">
        <w:rPr>
          <w:rFonts w:ascii="Times New Roman" w:hAnsi="Times New Roman"/>
          <w:noProof/>
          <w:sz w:val="24"/>
        </w:rPr>
        <w:t>5 % wyższa niż</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2</w:t>
      </w:r>
      <w:r w:rsidRPr="00D1056D">
        <w:rPr>
          <w:rFonts w:ascii="Times New Roman" w:hAnsi="Times New Roman"/>
          <w:noProof/>
          <w:sz w:val="24"/>
        </w:rPr>
        <w:t>019</w:t>
      </w:r>
      <w:r w:rsidR="00D1056D" w:rsidRPr="00D1056D">
        <w:rPr>
          <w:rFonts w:ascii="Times New Roman" w:hAnsi="Times New Roman"/>
          <w:noProof/>
          <w:sz w:val="24"/>
        </w:rPr>
        <w:t> </w:t>
      </w:r>
      <w:r w:rsidRPr="00D1056D">
        <w:rPr>
          <w:rFonts w:ascii="Times New Roman" w:hAnsi="Times New Roman"/>
          <w:noProof/>
          <w:sz w:val="24"/>
        </w:rPr>
        <w:t>r.</w:t>
      </w:r>
    </w:p>
    <w:p w14:paraId="5B58A0B2" w14:textId="7031D84A" w:rsidR="009E020F" w:rsidRPr="00D1056D" w:rsidRDefault="00C60D44" w:rsidP="002F3A1A">
      <w:pPr>
        <w:jc w:val="both"/>
        <w:rPr>
          <w:rFonts w:ascii="Times New Roman" w:hAnsi="Times New Roman" w:cs="Times New Roman"/>
          <w:b/>
          <w:bCs/>
          <w:noProof/>
          <w:sz w:val="20"/>
          <w:szCs w:val="20"/>
        </w:rPr>
      </w:pPr>
      <w:r w:rsidRPr="00D1056D">
        <w:rPr>
          <w:rFonts w:ascii="Times New Roman" w:hAnsi="Times New Roman"/>
          <w:noProof/>
          <w:sz w:val="24"/>
        </w:rPr>
        <w:t>W 2022</w:t>
      </w:r>
      <w:r w:rsidR="00D1056D" w:rsidRPr="00D1056D">
        <w:rPr>
          <w:rFonts w:ascii="Times New Roman" w:hAnsi="Times New Roman"/>
          <w:noProof/>
          <w:sz w:val="24"/>
        </w:rPr>
        <w:t> </w:t>
      </w:r>
      <w:r w:rsidRPr="00D1056D">
        <w:rPr>
          <w:rFonts w:ascii="Times New Roman" w:hAnsi="Times New Roman"/>
          <w:noProof/>
          <w:sz w:val="24"/>
        </w:rPr>
        <w:t>r. wnioski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 xml:space="preserve">ielenie azylu </w:t>
      </w:r>
      <w:r w:rsidRPr="00D1056D">
        <w:rPr>
          <w:rFonts w:ascii="Times New Roman" w:hAnsi="Times New Roman"/>
          <w:b/>
          <w:noProof/>
          <w:sz w:val="24"/>
        </w:rPr>
        <w:t>ze wskaźnikiem przyznawania azylu</w:t>
      </w:r>
      <w:r w:rsidRPr="00D1056D">
        <w:rPr>
          <w:rStyle w:val="FootnoteReference"/>
          <w:rFonts w:ascii="Times New Roman" w:hAnsi="Times New Roman" w:cs="Times New Roman"/>
          <w:b/>
          <w:noProof/>
          <w:sz w:val="24"/>
          <w:szCs w:val="24"/>
        </w:rPr>
        <w:footnoteReference w:id="16"/>
      </w:r>
      <w:r w:rsidRPr="00D1056D">
        <w:rPr>
          <w:rFonts w:ascii="Times New Roman" w:hAnsi="Times New Roman"/>
          <w:noProof/>
          <w:sz w:val="24"/>
        </w:rPr>
        <w:t xml:space="preserve"> na poziomie 4–6</w:t>
      </w:r>
      <w:r w:rsidR="00D1056D" w:rsidRPr="00D1056D">
        <w:rPr>
          <w:rFonts w:ascii="Times New Roman" w:hAnsi="Times New Roman"/>
          <w:noProof/>
          <w:sz w:val="24"/>
        </w:rPr>
        <w:t> </w:t>
      </w:r>
      <w:r w:rsidRPr="00D1056D">
        <w:rPr>
          <w:rFonts w:ascii="Times New Roman" w:hAnsi="Times New Roman"/>
          <w:noProof/>
          <w:sz w:val="24"/>
        </w:rPr>
        <w:t>% napłynęły w UE od obywateli różnych państw zwolnionych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takich jak </w:t>
      </w:r>
      <w:r w:rsidRPr="00D1056D">
        <w:rPr>
          <w:rFonts w:ascii="Times New Roman" w:hAnsi="Times New Roman"/>
          <w:b/>
          <w:noProof/>
          <w:sz w:val="24"/>
        </w:rPr>
        <w:t xml:space="preserve">Kolumbia </w:t>
      </w:r>
      <w:r w:rsidRPr="00D1056D">
        <w:rPr>
          <w:rFonts w:ascii="Times New Roman" w:hAnsi="Times New Roman"/>
          <w:noProof/>
          <w:sz w:val="24"/>
        </w:rPr>
        <w:t xml:space="preserve">(43 020 wnioskodawców), </w:t>
      </w:r>
      <w:r w:rsidRPr="00D1056D">
        <w:rPr>
          <w:rFonts w:ascii="Times New Roman" w:hAnsi="Times New Roman"/>
          <w:b/>
          <w:noProof/>
          <w:sz w:val="24"/>
        </w:rPr>
        <w:t>Gruzja</w:t>
      </w:r>
      <w:r w:rsidRPr="00D1056D">
        <w:rPr>
          <w:rFonts w:ascii="Times New Roman" w:hAnsi="Times New Roman"/>
          <w:noProof/>
          <w:sz w:val="24"/>
        </w:rPr>
        <w:t xml:space="preserve"> (28 385 wnioskodawców), </w:t>
      </w:r>
      <w:r w:rsidRPr="00D1056D">
        <w:rPr>
          <w:rFonts w:ascii="Times New Roman" w:hAnsi="Times New Roman"/>
          <w:b/>
          <w:noProof/>
          <w:sz w:val="24"/>
        </w:rPr>
        <w:t>Albania</w:t>
      </w:r>
      <w:r w:rsidRPr="00D1056D">
        <w:rPr>
          <w:rFonts w:ascii="Times New Roman" w:hAnsi="Times New Roman"/>
          <w:noProof/>
          <w:sz w:val="24"/>
        </w:rPr>
        <w:t xml:space="preserve"> (13 100 wnioskodawców) czy </w:t>
      </w:r>
      <w:r w:rsidRPr="00D1056D">
        <w:rPr>
          <w:rFonts w:ascii="Times New Roman" w:hAnsi="Times New Roman"/>
          <w:b/>
          <w:noProof/>
          <w:sz w:val="24"/>
        </w:rPr>
        <w:t>Peru</w:t>
      </w:r>
      <w:r w:rsidRPr="00D1056D">
        <w:rPr>
          <w:rFonts w:ascii="Times New Roman" w:hAnsi="Times New Roman"/>
          <w:noProof/>
          <w:sz w:val="24"/>
        </w:rPr>
        <w:t xml:space="preserve"> (12 845 wnioskodawców)</w:t>
      </w:r>
      <w:r w:rsidR="00D1056D" w:rsidRPr="00D1056D">
        <w:rPr>
          <w:rFonts w:ascii="Times New Roman" w:hAnsi="Times New Roman"/>
          <w:noProof/>
          <w:sz w:val="24"/>
        </w:rPr>
        <w:t>. W</w:t>
      </w:r>
      <w:r w:rsidR="00D1056D">
        <w:rPr>
          <w:rFonts w:ascii="Times New Roman" w:hAnsi="Times New Roman"/>
          <w:noProof/>
          <w:sz w:val="24"/>
        </w:rPr>
        <w:t> </w:t>
      </w:r>
      <w:bookmarkStart w:id="4" w:name="_Hlk135373130"/>
      <w:r w:rsidR="00D1056D" w:rsidRPr="00D1056D">
        <w:rPr>
          <w:rFonts w:ascii="Times New Roman" w:hAnsi="Times New Roman"/>
          <w:noProof/>
          <w:sz w:val="24"/>
        </w:rPr>
        <w:t>prz</w:t>
      </w:r>
      <w:r w:rsidRPr="00D1056D">
        <w:rPr>
          <w:rFonts w:ascii="Times New Roman" w:hAnsi="Times New Roman"/>
          <w:noProof/>
          <w:sz w:val="24"/>
        </w:rPr>
        <w:t>ypadku Wenezueli (50 730 wnioskodawców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2</w:t>
      </w:r>
      <w:r w:rsidRPr="00D1056D">
        <w:rPr>
          <w:rFonts w:ascii="Times New Roman" w:hAnsi="Times New Roman"/>
          <w:noProof/>
          <w:sz w:val="24"/>
        </w:rPr>
        <w:t>022</w:t>
      </w:r>
      <w:r w:rsidR="00D1056D" w:rsidRPr="00D1056D">
        <w:rPr>
          <w:rFonts w:ascii="Times New Roman" w:hAnsi="Times New Roman"/>
          <w:noProof/>
          <w:sz w:val="24"/>
        </w:rPr>
        <w:t> </w:t>
      </w:r>
      <w:r w:rsidRPr="00D1056D">
        <w:rPr>
          <w:rFonts w:ascii="Times New Roman" w:hAnsi="Times New Roman"/>
          <w:noProof/>
          <w:sz w:val="24"/>
        </w:rPr>
        <w:t>r.) 72 % decyzji wydanych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pie</w:t>
      </w:r>
      <w:r w:rsidRPr="00D1056D">
        <w:rPr>
          <w:rFonts w:ascii="Times New Roman" w:hAnsi="Times New Roman"/>
          <w:noProof/>
          <w:sz w:val="24"/>
        </w:rPr>
        <w:t>rwszej instancji skutkowało przyznaniem ochrony krajowej.</w:t>
      </w:r>
      <w:bookmarkEnd w:id="4"/>
    </w:p>
    <w:p w14:paraId="15294C42" w14:textId="77777777" w:rsidR="002C1808" w:rsidRPr="00D1056D" w:rsidRDefault="002C1808" w:rsidP="002C1808">
      <w:pPr>
        <w:spacing w:after="240"/>
        <w:jc w:val="both"/>
        <w:rPr>
          <w:rFonts w:ascii="Times New Roman" w:hAnsi="Times New Roman" w:cs="Times New Roman"/>
          <w:noProof/>
          <w:sz w:val="24"/>
        </w:rPr>
      </w:pPr>
      <w:r w:rsidRPr="00D1056D">
        <w:rPr>
          <w:noProof/>
          <w:color w:val="2B579A"/>
          <w:shd w:val="clear" w:color="auto" w:fill="E6E6E6"/>
          <w:lang w:val="en-GB" w:eastAsia="en-GB"/>
        </w:rPr>
        <w:drawing>
          <wp:inline distT="0" distB="0" distL="0" distR="0" wp14:anchorId="6C5F4D3A" wp14:editId="1F228E54">
            <wp:extent cx="3435350" cy="2114550"/>
            <wp:effectExtent l="0" t="0" r="1270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D1056D">
        <w:rPr>
          <w:rFonts w:ascii="Times New Roman" w:hAnsi="Times New Roman"/>
          <w:noProof/>
          <w:sz w:val="24"/>
        </w:rPr>
        <w:t xml:space="preserve"> </w:t>
      </w:r>
      <w:r w:rsidRPr="00D1056D">
        <w:rPr>
          <w:noProof/>
          <w:color w:val="2B579A"/>
          <w:shd w:val="clear" w:color="auto" w:fill="E6E6E6"/>
          <w:lang w:val="en-GB" w:eastAsia="en-GB"/>
        </w:rPr>
        <w:drawing>
          <wp:inline distT="0" distB="0" distL="0" distR="0" wp14:anchorId="0BBAE17E" wp14:editId="1B69625C">
            <wp:extent cx="2190750" cy="2108200"/>
            <wp:effectExtent l="0" t="0" r="1905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1056D">
        <w:rPr>
          <w:noProof/>
        </w:rPr>
        <w:t xml:space="preserve"> </w:t>
      </w:r>
      <w:r w:rsidRPr="00D1056D">
        <w:rPr>
          <w:noProof/>
        </w:rPr>
        <w:br/>
      </w:r>
      <w:r w:rsidRPr="00D1056D">
        <w:rPr>
          <w:rFonts w:ascii="Times New Roman" w:hAnsi="Times New Roman"/>
          <w:noProof/>
          <w:sz w:val="20"/>
        </w:rPr>
        <w:t>Źródło: dane Eurostatu, 2022 r.</w:t>
      </w:r>
    </w:p>
    <w:p w14:paraId="6A474444" w14:textId="1F0C1E49" w:rsidR="005D4E70" w:rsidRPr="00D1056D" w:rsidRDefault="0054097E" w:rsidP="00EE1920">
      <w:pPr>
        <w:spacing w:after="240"/>
        <w:jc w:val="both"/>
        <w:rPr>
          <w:rFonts w:ascii="Times New Roman" w:hAnsi="Times New Roman" w:cs="Times New Roman"/>
          <w:noProof/>
          <w:sz w:val="24"/>
          <w:szCs w:val="24"/>
        </w:rPr>
      </w:pPr>
      <w:r w:rsidRPr="00D1056D">
        <w:rPr>
          <w:rFonts w:ascii="Times New Roman" w:hAnsi="Times New Roman"/>
          <w:noProof/>
          <w:sz w:val="24"/>
        </w:rPr>
        <w:t>Ogólnie rzecz biorąc, kraje partnerskie objęte systemem bezwizowym</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sąs</w:t>
      </w:r>
      <w:r w:rsidRPr="00D1056D">
        <w:rPr>
          <w:rFonts w:ascii="Times New Roman" w:hAnsi="Times New Roman"/>
          <w:noProof/>
          <w:sz w:val="24"/>
        </w:rPr>
        <w:t xml:space="preserve">iedztwie UE </w:t>
      </w:r>
      <w:r w:rsidRPr="00D1056D">
        <w:rPr>
          <w:rFonts w:ascii="Times New Roman" w:hAnsi="Times New Roman"/>
          <w:b/>
          <w:noProof/>
          <w:sz w:val="24"/>
        </w:rPr>
        <w:t>poczyniły znaczne starania, aby lepiej informować swoich obywateli</w:t>
      </w:r>
      <w:r w:rsidR="00D1056D" w:rsidRPr="00D1056D">
        <w:rPr>
          <w:rFonts w:ascii="Times New Roman" w:hAnsi="Times New Roman"/>
          <w:b/>
          <w:noProof/>
          <w:sz w:val="24"/>
        </w:rPr>
        <w:t xml:space="preserve"> o</w:t>
      </w:r>
      <w:r w:rsidR="00D1056D">
        <w:rPr>
          <w:rFonts w:ascii="Times New Roman" w:hAnsi="Times New Roman"/>
          <w:b/>
          <w:noProof/>
          <w:sz w:val="24"/>
        </w:rPr>
        <w:t> </w:t>
      </w:r>
      <w:r w:rsidR="00D1056D" w:rsidRPr="00D1056D">
        <w:rPr>
          <w:rFonts w:ascii="Times New Roman" w:hAnsi="Times New Roman"/>
          <w:b/>
          <w:noProof/>
          <w:sz w:val="24"/>
        </w:rPr>
        <w:t>pra</w:t>
      </w:r>
      <w:r w:rsidRPr="00D1056D">
        <w:rPr>
          <w:rFonts w:ascii="Times New Roman" w:hAnsi="Times New Roman"/>
          <w:b/>
          <w:noProof/>
          <w:sz w:val="24"/>
        </w:rPr>
        <w:t>wach</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obo</w:t>
      </w:r>
      <w:r w:rsidRPr="00D1056D">
        <w:rPr>
          <w:rFonts w:ascii="Times New Roman" w:hAnsi="Times New Roman"/>
          <w:b/>
          <w:noProof/>
          <w:sz w:val="24"/>
        </w:rPr>
        <w:t>wiązkach związanych</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ruc</w:t>
      </w:r>
      <w:r w:rsidRPr="00D1056D">
        <w:rPr>
          <w:rFonts w:ascii="Times New Roman" w:hAnsi="Times New Roman"/>
          <w:b/>
          <w:noProof/>
          <w:sz w:val="24"/>
        </w:rPr>
        <w:t>hem bezwizowym do UE oraz zapobiegać nadużyciom związanym</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ruc</w:t>
      </w:r>
      <w:r w:rsidRPr="00D1056D">
        <w:rPr>
          <w:rFonts w:ascii="Times New Roman" w:hAnsi="Times New Roman"/>
          <w:b/>
          <w:noProof/>
          <w:sz w:val="24"/>
        </w:rPr>
        <w:t>hem bezwizowym</w:t>
      </w:r>
      <w:r w:rsidRPr="00D1056D">
        <w:rPr>
          <w:rFonts w:ascii="Times New Roman" w:hAnsi="Times New Roman"/>
          <w:noProof/>
          <w:sz w:val="24"/>
        </w:rPr>
        <w:t>,</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myś</w:t>
      </w:r>
      <w:r w:rsidRPr="00D1056D">
        <w:rPr>
          <w:rFonts w:ascii="Times New Roman" w:hAnsi="Times New Roman"/>
          <w:noProof/>
          <w:sz w:val="24"/>
        </w:rPr>
        <w:t>lą</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by nadal spełniać kryteria liberalizacji reżimu wizowego</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wyp</w:t>
      </w:r>
      <w:r w:rsidRPr="00D1056D">
        <w:rPr>
          <w:rFonts w:ascii="Times New Roman" w:hAnsi="Times New Roman"/>
          <w:noProof/>
          <w:sz w:val="24"/>
        </w:rPr>
        <w:t>ełnić zalecenia zawarte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awozdaniach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w:t>
      </w:r>
    </w:p>
    <w:p w14:paraId="166AAD87" w14:textId="40F58DF3" w:rsidR="00913035" w:rsidRPr="00D1056D" w:rsidRDefault="00913035" w:rsidP="00913035">
      <w:pPr>
        <w:pBdr>
          <w:top w:val="single" w:sz="4" w:space="1" w:color="auto"/>
          <w:left w:val="single" w:sz="4" w:space="4" w:color="auto"/>
          <w:bottom w:val="single" w:sz="4" w:space="1" w:color="auto"/>
          <w:right w:val="single" w:sz="4" w:space="4" w:color="auto"/>
        </w:pBdr>
        <w:spacing w:after="240"/>
        <w:jc w:val="center"/>
        <w:rPr>
          <w:rFonts w:ascii="Times New Roman" w:hAnsi="Times New Roman" w:cs="Times New Roman"/>
          <w:b/>
          <w:bCs/>
          <w:noProof/>
          <w:sz w:val="24"/>
          <w:szCs w:val="24"/>
        </w:rPr>
      </w:pPr>
      <w:r w:rsidRPr="00D1056D">
        <w:rPr>
          <w:rFonts w:ascii="Times New Roman" w:hAnsi="Times New Roman"/>
          <w:b/>
          <w:noProof/>
          <w:sz w:val="24"/>
        </w:rPr>
        <w:t>Działania</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cel</w:t>
      </w:r>
      <w:r w:rsidRPr="00D1056D">
        <w:rPr>
          <w:rFonts w:ascii="Times New Roman" w:hAnsi="Times New Roman"/>
          <w:b/>
          <w:noProof/>
          <w:sz w:val="24"/>
        </w:rPr>
        <w:t>u rozwiązania problemu składania bezzasadnych wniosków</w:t>
      </w:r>
      <w:r w:rsidR="00D1056D" w:rsidRPr="00D1056D">
        <w:rPr>
          <w:rFonts w:ascii="Times New Roman" w:hAnsi="Times New Roman"/>
          <w:b/>
          <w:noProof/>
          <w:sz w:val="24"/>
        </w:rPr>
        <w:t xml:space="preserve"> o</w:t>
      </w:r>
      <w:r w:rsidR="00D1056D">
        <w:rPr>
          <w:rFonts w:ascii="Times New Roman" w:hAnsi="Times New Roman"/>
          <w:b/>
          <w:noProof/>
          <w:sz w:val="24"/>
        </w:rPr>
        <w:t> </w:t>
      </w:r>
      <w:r w:rsidR="00D1056D" w:rsidRPr="00D1056D">
        <w:rPr>
          <w:rFonts w:ascii="Times New Roman" w:hAnsi="Times New Roman"/>
          <w:b/>
          <w:noProof/>
          <w:sz w:val="24"/>
        </w:rPr>
        <w:t>udz</w:t>
      </w:r>
      <w:r w:rsidRPr="00D1056D">
        <w:rPr>
          <w:rFonts w:ascii="Times New Roman" w:hAnsi="Times New Roman"/>
          <w:b/>
          <w:noProof/>
          <w:sz w:val="24"/>
        </w:rPr>
        <w:t>ielenie azylu: Albania</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Gru</w:t>
      </w:r>
      <w:r w:rsidRPr="00D1056D">
        <w:rPr>
          <w:rFonts w:ascii="Times New Roman" w:hAnsi="Times New Roman"/>
          <w:b/>
          <w:noProof/>
          <w:sz w:val="24"/>
        </w:rPr>
        <w:t>zja</w:t>
      </w:r>
    </w:p>
    <w:p w14:paraId="661E86D9" w14:textId="28B56F77" w:rsidR="0054097E" w:rsidRPr="00D1056D" w:rsidRDefault="00913035" w:rsidP="002F3A1A">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noProof/>
          <w:sz w:val="24"/>
        </w:rPr>
        <w:t>Działania podjęte przez Gruzję</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Alb</w:t>
      </w:r>
      <w:r w:rsidRPr="00D1056D">
        <w:rPr>
          <w:rFonts w:ascii="Times New Roman" w:hAnsi="Times New Roman"/>
          <w:noProof/>
          <w:sz w:val="24"/>
        </w:rPr>
        <w:t>anię</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ost</w:t>
      </w:r>
      <w:r w:rsidRPr="00D1056D">
        <w:rPr>
          <w:rFonts w:ascii="Times New Roman" w:hAnsi="Times New Roman"/>
          <w:noProof/>
          <w:sz w:val="24"/>
        </w:rPr>
        <w:t>atnich latach obejmują</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wprowadzenie szczegółowej odprawy granicznej przy wyjeździe, kampanie uświadamiające na temat praw</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wiązków wynikających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sys</w:t>
      </w:r>
      <w:r w:rsidRPr="00D1056D">
        <w:rPr>
          <w:rFonts w:ascii="Times New Roman" w:hAnsi="Times New Roman"/>
          <w:noProof/>
          <w:sz w:val="24"/>
        </w:rPr>
        <w:t>temu bezwizowego oraz działania mające na celu wyeliminowanie przyczyn dużej liczby wniosków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ielenie azylu</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cel</w:t>
      </w:r>
      <w:r w:rsidRPr="00D1056D">
        <w:rPr>
          <w:rFonts w:ascii="Times New Roman" w:hAnsi="Times New Roman"/>
          <w:noProof/>
          <w:sz w:val="24"/>
        </w:rPr>
        <w:t>u rozwiązania tego problemu zacieśniono też współpracę</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Eur</w:t>
      </w:r>
      <w:r w:rsidRPr="00D1056D">
        <w:rPr>
          <w:rFonts w:ascii="Times New Roman" w:hAnsi="Times New Roman"/>
          <w:noProof/>
          <w:sz w:val="24"/>
        </w:rPr>
        <w:t>opolem</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Fro</w:t>
      </w:r>
      <w:r w:rsidRPr="00D1056D">
        <w:rPr>
          <w:rFonts w:ascii="Times New Roman" w:hAnsi="Times New Roman"/>
          <w:noProof/>
          <w:sz w:val="24"/>
        </w:rPr>
        <w:t>nteksem,</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że dwustronną współpracę organów ścigania. Gruzja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Alb</w:t>
      </w:r>
      <w:r w:rsidRPr="00D1056D">
        <w:rPr>
          <w:rFonts w:ascii="Times New Roman" w:hAnsi="Times New Roman"/>
          <w:noProof/>
          <w:sz w:val="24"/>
        </w:rPr>
        <w:t>ania również nadal skutecznie wdrażają swoje umowy</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rea</w:t>
      </w:r>
      <w:r w:rsidRPr="00D1056D">
        <w:rPr>
          <w:rFonts w:ascii="Times New Roman" w:hAnsi="Times New Roman"/>
          <w:noProof/>
          <w:sz w:val="24"/>
        </w:rPr>
        <w:t>dmisji z UE</w:t>
      </w:r>
      <w:r w:rsidRPr="00D1056D">
        <w:rPr>
          <w:rStyle w:val="FootnoteReference"/>
          <w:rFonts w:ascii="Times New Roman" w:hAnsi="Times New Roman" w:cs="Times New Roman"/>
          <w:noProof/>
          <w:sz w:val="24"/>
        </w:rPr>
        <w:footnoteReference w:id="17"/>
      </w:r>
      <w:r w:rsidRPr="00D1056D">
        <w:rPr>
          <w:rFonts w:ascii="Times New Roman" w:hAnsi="Times New Roman"/>
          <w:noProof/>
          <w:sz w:val="24"/>
        </w:rPr>
        <w:t>. Ponadto Albania opracowała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sta</w:t>
      </w:r>
      <w:r w:rsidRPr="00D1056D">
        <w:rPr>
          <w:rFonts w:ascii="Times New Roman" w:hAnsi="Times New Roman"/>
          <w:noProof/>
          <w:sz w:val="24"/>
        </w:rPr>
        <w:t>le wdraża plany działania dotyczące najbardziej dotkniętych tym problemem państw członkowskich.</w:t>
      </w:r>
    </w:p>
    <w:p w14:paraId="72962A2E" w14:textId="766E6768" w:rsidR="00A305BD" w:rsidRPr="00D1056D" w:rsidRDefault="00133689" w:rsidP="00EE1920">
      <w:pPr>
        <w:pStyle w:val="ListParagraph"/>
        <w:numPr>
          <w:ilvl w:val="1"/>
          <w:numId w:val="1"/>
        </w:numPr>
        <w:spacing w:after="240"/>
        <w:rPr>
          <w:rFonts w:ascii="Times New Roman" w:hAnsi="Times New Roman" w:cs="Times New Roman"/>
          <w:b/>
          <w:i/>
          <w:noProof/>
          <w:sz w:val="24"/>
          <w:szCs w:val="24"/>
        </w:rPr>
      </w:pPr>
      <w:r w:rsidRPr="00D1056D">
        <w:rPr>
          <w:rFonts w:ascii="Times New Roman" w:hAnsi="Times New Roman"/>
          <w:b/>
          <w:i/>
          <w:noProof/>
          <w:sz w:val="24"/>
        </w:rPr>
        <w:t>Programy obywatelstwa dla inwestorów</w:t>
      </w:r>
    </w:p>
    <w:p w14:paraId="05DD17EE" w14:textId="0C90A994" w:rsidR="0018514C" w:rsidRPr="00D1056D" w:rsidRDefault="00742740" w:rsidP="00EE1920">
      <w:pPr>
        <w:spacing w:after="240"/>
        <w:jc w:val="both"/>
        <w:rPr>
          <w:rFonts w:ascii="Times New Roman" w:hAnsi="Times New Roman" w:cs="Times New Roman"/>
          <w:noProof/>
          <w:sz w:val="24"/>
          <w:szCs w:val="24"/>
        </w:rPr>
      </w:pPr>
      <w:r w:rsidRPr="00D1056D">
        <w:rPr>
          <w:rFonts w:ascii="Times New Roman" w:hAnsi="Times New Roman"/>
          <w:noProof/>
          <w:sz w:val="24"/>
        </w:rPr>
        <w:t>Programy obywatelstwa dla inwestorów (zwane także programami obywatelstwa lub programami dla inwestorów) prowadzone przez państwa zwolnione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stwarzają znaczne ryzyko dla bezpieczeństwa UE</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programy obywatelstwa dla inwestorów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stwach trzecich mających bezwizowy dostęp do UE mogą być wykorzystywane do obchodzenia regularnej unijnej procedury wydawania wiz krótkoterminowych oraz dogłębnej oceny indywidualnego ryzyka migracji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ryz</w:t>
      </w:r>
      <w:r w:rsidRPr="00D1056D">
        <w:rPr>
          <w:rFonts w:ascii="Times New Roman" w:hAnsi="Times New Roman"/>
          <w:noProof/>
          <w:sz w:val="24"/>
        </w:rPr>
        <w:t>yka dla bezpieczeństwa, które ta procedura obejmuje,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do obejścia środków zapobiegających praniu pieniędzy</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fin</w:t>
      </w:r>
      <w:r w:rsidRPr="00D1056D">
        <w:rPr>
          <w:rFonts w:ascii="Times New Roman" w:hAnsi="Times New Roman"/>
          <w:noProof/>
          <w:sz w:val="24"/>
        </w:rPr>
        <w:t>ansowaniu terroryzmu</w:t>
      </w:r>
      <w:r w:rsidRPr="00D1056D">
        <w:rPr>
          <w:rFonts w:ascii="Times New Roman" w:hAnsi="Times New Roman" w:cs="Times New Roman"/>
          <w:noProof/>
          <w:sz w:val="24"/>
          <w:szCs w:val="24"/>
          <w:vertAlign w:val="superscript"/>
        </w:rPr>
        <w:footnoteReference w:id="18"/>
      </w:r>
      <w:r w:rsidRPr="00D1056D">
        <w:rPr>
          <w:rFonts w:ascii="Times New Roman" w:hAnsi="Times New Roman"/>
          <w:noProof/>
          <w:sz w:val="24"/>
        </w:rPr>
        <w:t>. Jest to szczególnie problematyczne, gdy paszportów wydawanych beneficjentom takich programów nie można odróżnić od innych zwykłych paszportów.</w:t>
      </w:r>
      <w:r w:rsidR="00D1056D" w:rsidRPr="00D1056D">
        <w:rPr>
          <w:rFonts w:ascii="Times New Roman" w:hAnsi="Times New Roman"/>
          <w:noProof/>
          <w:sz w:val="24"/>
        </w:rPr>
        <w:t xml:space="preserve"> </w:t>
      </w:r>
    </w:p>
    <w:p w14:paraId="0DEBCAA0" w14:textId="7931B978" w:rsidR="00C50FC6" w:rsidRPr="00D1056D" w:rsidRDefault="00C50FC6" w:rsidP="00EE1920">
      <w:pPr>
        <w:spacing w:after="240"/>
        <w:jc w:val="both"/>
        <w:rPr>
          <w:rFonts w:ascii="Times New Roman" w:hAnsi="Times New Roman" w:cs="Times New Roman"/>
          <w:noProof/>
          <w:sz w:val="24"/>
          <w:szCs w:val="24"/>
        </w:rPr>
      </w:pPr>
      <w:r w:rsidRPr="00D1056D">
        <w:rPr>
          <w:rFonts w:ascii="Times New Roman" w:hAnsi="Times New Roman"/>
          <w:noProof/>
          <w:sz w:val="24"/>
        </w:rPr>
        <w:t>Komisja współpracuje ze wszystkimi państwami zwolnionymi</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które prowadzą programy obywatelstwa dla inwestorów, aby zapobiegać ewentualnemu ryzyku dla bezpieczeństwa UE i je ograniczać. Obecnie wiele państw trzecich zwolnionych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jest pod ścisłą kontrolą ze względu na potencjalne ryzyko związane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ich</w:t>
      </w:r>
      <w:r w:rsidRPr="00D1056D">
        <w:rPr>
          <w:rFonts w:ascii="Times New Roman" w:hAnsi="Times New Roman"/>
          <w:noProof/>
          <w:sz w:val="24"/>
        </w:rPr>
        <w:t xml:space="preserve"> programami obywatelstwa lub</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ich</w:t>
      </w:r>
      <w:r w:rsidRPr="00D1056D">
        <w:rPr>
          <w:rFonts w:ascii="Times New Roman" w:hAnsi="Times New Roman"/>
          <w:noProof/>
          <w:sz w:val="24"/>
        </w:rPr>
        <w:t xml:space="preserve"> planami ustanowienia takich programów. Są wśród nich Albania, Czarnogóra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Mac</w:t>
      </w:r>
      <w:r w:rsidRPr="00D1056D">
        <w:rPr>
          <w:rFonts w:ascii="Times New Roman" w:hAnsi="Times New Roman"/>
          <w:noProof/>
          <w:sz w:val="24"/>
        </w:rPr>
        <w:t>edonia Północna,</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że Vanuatu</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nie</w:t>
      </w:r>
      <w:r w:rsidRPr="00D1056D">
        <w:rPr>
          <w:rFonts w:ascii="Times New Roman" w:hAnsi="Times New Roman"/>
          <w:noProof/>
          <w:sz w:val="24"/>
        </w:rPr>
        <w:t xml:space="preserve">które państwa regionu Karaibów. </w:t>
      </w:r>
    </w:p>
    <w:p w14:paraId="29C90257" w14:textId="08ACD618" w:rsidR="00133689" w:rsidRPr="00D1056D" w:rsidRDefault="00745097" w:rsidP="00EE1920">
      <w:pPr>
        <w:spacing w:after="240"/>
        <w:jc w:val="both"/>
        <w:rPr>
          <w:rFonts w:ascii="Times New Roman" w:hAnsi="Times New Roman" w:cs="Times New Roman"/>
          <w:noProof/>
          <w:sz w:val="24"/>
          <w:szCs w:val="24"/>
        </w:rPr>
      </w:pPr>
      <w:r w:rsidRPr="00D1056D">
        <w:rPr>
          <w:rFonts w:ascii="Times New Roman" w:hAnsi="Times New Roman"/>
          <w:noProof/>
          <w:sz w:val="24"/>
        </w:rPr>
        <w:t>Państwa, które uzyskały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dro</w:t>
      </w:r>
      <w:r w:rsidRPr="00D1056D">
        <w:rPr>
          <w:rFonts w:ascii="Times New Roman" w:hAnsi="Times New Roman"/>
          <w:noProof/>
          <w:sz w:val="24"/>
        </w:rPr>
        <w:t>dze dialogów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liberalizacji reżimu wizowego, są pod ścisłą kontrolą</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kon</w:t>
      </w:r>
      <w:r w:rsidRPr="00D1056D">
        <w:rPr>
          <w:rFonts w:ascii="Times New Roman" w:hAnsi="Times New Roman"/>
          <w:noProof/>
          <w:sz w:val="24"/>
        </w:rPr>
        <w:t>tekście regularnych sprawozdań</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że,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sto</w:t>
      </w:r>
      <w:r w:rsidRPr="00D1056D">
        <w:rPr>
          <w:rFonts w:ascii="Times New Roman" w:hAnsi="Times New Roman"/>
          <w:noProof/>
          <w:sz w:val="24"/>
        </w:rPr>
        <w:t>sownych przypadkach,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sprawozdań</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pakietu „rozszerzenie”</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pak</w:t>
      </w:r>
      <w:r w:rsidRPr="00D1056D">
        <w:rPr>
          <w:rFonts w:ascii="Times New Roman" w:hAnsi="Times New Roman"/>
          <w:noProof/>
          <w:sz w:val="24"/>
        </w:rPr>
        <w:t>iecie „rozszerzenie” na</w:t>
      </w:r>
      <w:r w:rsidR="00D1056D" w:rsidRPr="00D1056D">
        <w:rPr>
          <w:rFonts w:ascii="Times New Roman" w:hAnsi="Times New Roman"/>
          <w:noProof/>
          <w:sz w:val="24"/>
        </w:rPr>
        <w:t> </w:t>
      </w:r>
      <w:r w:rsidRPr="00D1056D">
        <w:rPr>
          <w:rFonts w:ascii="Times New Roman" w:hAnsi="Times New Roman"/>
          <w:noProof/>
          <w:sz w:val="24"/>
        </w:rPr>
        <w:t>2022</w:t>
      </w:r>
      <w:r w:rsidR="00D1056D" w:rsidRPr="00D1056D">
        <w:rPr>
          <w:rFonts w:ascii="Times New Roman" w:hAnsi="Times New Roman"/>
          <w:noProof/>
          <w:sz w:val="24"/>
        </w:rPr>
        <w:t> </w:t>
      </w:r>
      <w:r w:rsidRPr="00D1056D">
        <w:rPr>
          <w:rFonts w:ascii="Times New Roman" w:hAnsi="Times New Roman"/>
          <w:noProof/>
          <w:sz w:val="24"/>
        </w:rPr>
        <w:t>r.</w:t>
      </w:r>
      <w:r w:rsidRPr="00D1056D">
        <w:rPr>
          <w:rStyle w:val="FootnoteReference"/>
          <w:rFonts w:ascii="Times New Roman" w:hAnsi="Times New Roman" w:cs="Times New Roman"/>
          <w:noProof/>
          <w:sz w:val="24"/>
          <w:szCs w:val="24"/>
        </w:rPr>
        <w:footnoteReference w:id="19"/>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w:t>
      </w:r>
      <w:r w:rsidR="00D1056D">
        <w:rPr>
          <w:rFonts w:ascii="Times New Roman" w:hAnsi="Times New Roman"/>
          <w:noProof/>
          <w:sz w:val="24"/>
        </w:rPr>
        <w:t> </w:t>
      </w:r>
      <w:r w:rsidR="00D1056D" w:rsidRPr="00D1056D">
        <w:rPr>
          <w:rFonts w:ascii="Times New Roman" w:hAnsi="Times New Roman"/>
          <w:noProof/>
          <w:sz w:val="24"/>
        </w:rPr>
        <w:t>pią</w:t>
      </w:r>
      <w:r w:rsidRPr="00D1056D">
        <w:rPr>
          <w:rFonts w:ascii="Times New Roman" w:hAnsi="Times New Roman"/>
          <w:noProof/>
          <w:sz w:val="24"/>
        </w:rPr>
        <w:t>tym sprawozdaniu</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Komisja </w:t>
      </w:r>
      <w:r w:rsidRPr="00D1056D">
        <w:rPr>
          <w:rFonts w:ascii="Times New Roman" w:hAnsi="Times New Roman"/>
          <w:b/>
          <w:noProof/>
          <w:sz w:val="24"/>
        </w:rPr>
        <w:t>wyraźnie zaleciła skuteczne stopniowe odchodzenie od programów obywatelstwa dla inwestorów lub powstrzymanie się od ich przyjmowania</w:t>
      </w:r>
      <w:r w:rsidRPr="00D1056D">
        <w:rPr>
          <w:rFonts w:ascii="Times New Roman" w:hAnsi="Times New Roman"/>
          <w:noProof/>
          <w:sz w:val="24"/>
        </w:rPr>
        <w:t>. Co więcej, kwestia ta jest również poruszana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kon</w:t>
      </w:r>
      <w:r w:rsidRPr="00D1056D">
        <w:rPr>
          <w:rFonts w:ascii="Times New Roman" w:hAnsi="Times New Roman"/>
          <w:noProof/>
          <w:sz w:val="24"/>
        </w:rPr>
        <w:t>tekście regularnego dialogu politycznego,</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że na posiedzeniach podkomitetu poświęconych kwestii wymiaru sprawiedliwości, spraw wewnętrznych</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bez</w:t>
      </w:r>
      <w:r w:rsidRPr="00D1056D">
        <w:rPr>
          <w:rFonts w:ascii="Times New Roman" w:hAnsi="Times New Roman"/>
          <w:noProof/>
          <w:sz w:val="24"/>
        </w:rPr>
        <w:t>pieczeństwa, organizowanych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układów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sta</w:t>
      </w:r>
      <w:r w:rsidRPr="00D1056D">
        <w:rPr>
          <w:rFonts w:ascii="Times New Roman" w:hAnsi="Times New Roman"/>
          <w:noProof/>
          <w:sz w:val="24"/>
        </w:rPr>
        <w:t>bilizacji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sto</w:t>
      </w:r>
      <w:r w:rsidRPr="00D1056D">
        <w:rPr>
          <w:rFonts w:ascii="Times New Roman" w:hAnsi="Times New Roman"/>
          <w:noProof/>
          <w:sz w:val="24"/>
        </w:rPr>
        <w:t>warzyszeniu między UE</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dan</w:t>
      </w:r>
      <w:r w:rsidRPr="00D1056D">
        <w:rPr>
          <w:rFonts w:ascii="Times New Roman" w:hAnsi="Times New Roman"/>
          <w:noProof/>
          <w:sz w:val="24"/>
        </w:rPr>
        <w:t xml:space="preserve">ymi państwami. </w:t>
      </w:r>
    </w:p>
    <w:p w14:paraId="1F6B8F83" w14:textId="257A2D4B" w:rsidR="00C50FC6" w:rsidRPr="00D1056D" w:rsidRDefault="00C50FC6" w:rsidP="00EE1920">
      <w:pPr>
        <w:spacing w:after="240"/>
        <w:jc w:val="both"/>
        <w:rPr>
          <w:rFonts w:ascii="Times New Roman" w:hAnsi="Times New Roman" w:cs="Times New Roman"/>
          <w:noProof/>
          <w:sz w:val="24"/>
          <w:szCs w:val="24"/>
        </w:rPr>
      </w:pPr>
      <w:r w:rsidRPr="00D1056D">
        <w:rPr>
          <w:rFonts w:ascii="Times New Roman" w:hAnsi="Times New Roman"/>
          <w:noProof/>
          <w:sz w:val="24"/>
        </w:rPr>
        <w:t>W związku</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Komisja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zad</w:t>
      </w:r>
      <w:r w:rsidRPr="00D1056D">
        <w:rPr>
          <w:rFonts w:ascii="Times New Roman" w:hAnsi="Times New Roman"/>
          <w:noProof/>
          <w:sz w:val="24"/>
        </w:rPr>
        <w:t xml:space="preserve">owoleniem przyjmuje decyzję </w:t>
      </w:r>
      <w:r w:rsidRPr="00D1056D">
        <w:rPr>
          <w:rFonts w:ascii="Times New Roman" w:hAnsi="Times New Roman"/>
          <w:b/>
          <w:noProof/>
          <w:sz w:val="24"/>
        </w:rPr>
        <w:t>Albanii</w:t>
      </w:r>
      <w:r w:rsidR="00D1056D" w:rsidRPr="00D1056D">
        <w:rPr>
          <w:rFonts w:ascii="Times New Roman" w:hAnsi="Times New Roman"/>
          <w:b/>
          <w:noProof/>
          <w:sz w:val="24"/>
        </w:rPr>
        <w:t xml:space="preserve"> </w:t>
      </w:r>
      <w:r w:rsidR="00D1056D" w:rsidRPr="00D1056D">
        <w:rPr>
          <w:rFonts w:ascii="Times New Roman" w:hAnsi="Times New Roman"/>
          <w:noProof/>
          <w:sz w:val="24"/>
        </w:rPr>
        <w:t>o</w:t>
      </w:r>
      <w:r w:rsidR="00D1056D">
        <w:rPr>
          <w:rFonts w:ascii="Times New Roman" w:hAnsi="Times New Roman"/>
          <w:b/>
          <w:noProof/>
          <w:sz w:val="24"/>
        </w:rPr>
        <w:t> </w:t>
      </w:r>
      <w:r w:rsidR="00D1056D" w:rsidRPr="00D1056D">
        <w:rPr>
          <w:rFonts w:ascii="Times New Roman" w:hAnsi="Times New Roman"/>
          <w:noProof/>
          <w:sz w:val="24"/>
        </w:rPr>
        <w:t>zaw</w:t>
      </w:r>
      <w:r w:rsidRPr="00D1056D">
        <w:rPr>
          <w:rFonts w:ascii="Times New Roman" w:hAnsi="Times New Roman"/>
          <w:noProof/>
          <w:sz w:val="24"/>
        </w:rPr>
        <w:t>ieszeniu inicjatyw związanych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ust</w:t>
      </w:r>
      <w:r w:rsidRPr="00D1056D">
        <w:rPr>
          <w:rFonts w:ascii="Times New Roman" w:hAnsi="Times New Roman"/>
          <w:noProof/>
          <w:sz w:val="24"/>
        </w:rPr>
        <w:t>anowieniem programu obywatelstwa dla inwestorów,</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 xml:space="preserve">że stopniowe wycofywanie przez </w:t>
      </w:r>
      <w:r w:rsidRPr="00D1056D">
        <w:rPr>
          <w:rFonts w:ascii="Times New Roman" w:hAnsi="Times New Roman"/>
          <w:b/>
          <w:noProof/>
          <w:sz w:val="24"/>
        </w:rPr>
        <w:t>Czarnogórę</w:t>
      </w:r>
      <w:r w:rsidRPr="00D1056D">
        <w:rPr>
          <w:rFonts w:ascii="Times New Roman" w:hAnsi="Times New Roman"/>
          <w:noProof/>
          <w:sz w:val="24"/>
        </w:rPr>
        <w:t xml:space="preserve"> programu obywatelstwa dla inwestorów. </w:t>
      </w:r>
    </w:p>
    <w:p w14:paraId="433ADD15" w14:textId="7E26E346" w:rsidR="006B3579" w:rsidRPr="00D1056D" w:rsidRDefault="000C44CE" w:rsidP="00C60D44">
      <w:pPr>
        <w:pBdr>
          <w:top w:val="single" w:sz="4" w:space="1" w:color="auto"/>
          <w:left w:val="single" w:sz="4" w:space="4" w:color="auto"/>
          <w:bottom w:val="single" w:sz="4" w:space="1" w:color="auto"/>
          <w:right w:val="single" w:sz="4" w:space="4" w:color="auto"/>
        </w:pBdr>
        <w:spacing w:after="120"/>
        <w:jc w:val="center"/>
        <w:rPr>
          <w:rFonts w:ascii="Times New Roman" w:hAnsi="Times New Roman" w:cs="Times New Roman"/>
          <w:b/>
          <w:noProof/>
          <w:sz w:val="24"/>
          <w:szCs w:val="24"/>
        </w:rPr>
      </w:pPr>
      <w:r w:rsidRPr="00D1056D">
        <w:rPr>
          <w:rFonts w:ascii="Times New Roman" w:hAnsi="Times New Roman"/>
          <w:b/>
          <w:noProof/>
          <w:sz w:val="24"/>
        </w:rPr>
        <w:t>Programy obywatelstwa dla inwestorów – sprawa Vanuatu</w:t>
      </w:r>
    </w:p>
    <w:p w14:paraId="1408EBB3" w14:textId="60E4C959" w:rsidR="0043465F" w:rsidRPr="00D1056D" w:rsidRDefault="00742740"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b/>
          <w:noProof/>
          <w:sz w:val="24"/>
        </w:rPr>
        <w:t>Vanuatu</w:t>
      </w:r>
      <w:r w:rsidRPr="00D1056D">
        <w:rPr>
          <w:rFonts w:ascii="Times New Roman" w:hAnsi="Times New Roman"/>
          <w:noProof/>
          <w:sz w:val="24"/>
        </w:rPr>
        <w:t xml:space="preserve"> było pierwszym państwem,</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którego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zostało zawieszone</w:t>
      </w:r>
      <w:r w:rsidRPr="00D1056D">
        <w:rPr>
          <w:rStyle w:val="FootnoteReference"/>
          <w:rFonts w:ascii="Times New Roman" w:hAnsi="Times New Roman" w:cs="Times New Roman"/>
          <w:noProof/>
          <w:sz w:val="24"/>
          <w:szCs w:val="24"/>
        </w:rPr>
        <w:footnoteReference w:id="20"/>
      </w:r>
      <w:r w:rsidRPr="00D1056D">
        <w:rPr>
          <w:rFonts w:ascii="Times New Roman" w:hAnsi="Times New Roman"/>
          <w:noProof/>
          <w:sz w:val="24"/>
        </w:rPr>
        <w:t xml:space="preserve"> ze względu na ryzyko dla bezpieczeństwa związane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pro</w:t>
      </w:r>
      <w:r w:rsidRPr="00D1056D">
        <w:rPr>
          <w:rFonts w:ascii="Times New Roman" w:hAnsi="Times New Roman"/>
          <w:noProof/>
          <w:sz w:val="24"/>
        </w:rPr>
        <w:t xml:space="preserve">wadzonymi przez ten kraj programami obywatelstwa dla inwestorów. </w:t>
      </w:r>
    </w:p>
    <w:p w14:paraId="07EB029A" w14:textId="4D67C2DF" w:rsidR="0043465F" w:rsidRPr="00D1056D"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noProof/>
          <w:sz w:val="24"/>
        </w:rPr>
        <w:t>Od 2015</w:t>
      </w:r>
      <w:r w:rsidR="00D1056D" w:rsidRPr="00D1056D">
        <w:rPr>
          <w:rFonts w:ascii="Times New Roman" w:hAnsi="Times New Roman"/>
          <w:noProof/>
          <w:sz w:val="24"/>
        </w:rPr>
        <w:t> </w:t>
      </w:r>
      <w:r w:rsidRPr="00D1056D">
        <w:rPr>
          <w:rFonts w:ascii="Times New Roman" w:hAnsi="Times New Roman"/>
          <w:noProof/>
          <w:sz w:val="24"/>
        </w:rPr>
        <w:t>r. – niemal</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samym czasie,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rym została podpisana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zac</w:t>
      </w:r>
      <w:r w:rsidRPr="00D1056D">
        <w:rPr>
          <w:rFonts w:ascii="Times New Roman" w:hAnsi="Times New Roman"/>
          <w:noProof/>
          <w:sz w:val="24"/>
        </w:rPr>
        <w:t>zęła tymczasowo obowiązywać umowa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zniesienia wiz między UE</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Van</w:t>
      </w:r>
      <w:r w:rsidRPr="00D1056D">
        <w:rPr>
          <w:rFonts w:ascii="Times New Roman" w:hAnsi="Times New Roman"/>
          <w:noProof/>
          <w:sz w:val="24"/>
        </w:rPr>
        <w:t>uatu</w:t>
      </w:r>
      <w:r w:rsidRPr="00D1056D">
        <w:rPr>
          <w:rStyle w:val="FootnoteReference"/>
          <w:rFonts w:ascii="Times New Roman" w:hAnsi="Times New Roman" w:cs="Times New Roman"/>
          <w:noProof/>
          <w:sz w:val="24"/>
          <w:szCs w:val="24"/>
        </w:rPr>
        <w:footnoteReference w:id="21"/>
      </w:r>
      <w:r w:rsidRPr="00D1056D">
        <w:rPr>
          <w:rFonts w:ascii="Times New Roman" w:hAnsi="Times New Roman"/>
          <w:noProof/>
          <w:sz w:val="24"/>
        </w:rPr>
        <w:t xml:space="preserve"> – państwo to zaczęło prowadzić programy obywatelstwa dla inwestorów na coraz większą skalę</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yznawać obywatelstwo dużej liczbie wnioskodawców. Komisja uważnie monitorowała te programy</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zgr</w:t>
      </w:r>
      <w:r w:rsidRPr="00D1056D">
        <w:rPr>
          <w:rFonts w:ascii="Times New Roman" w:hAnsi="Times New Roman"/>
          <w:noProof/>
          <w:sz w:val="24"/>
        </w:rPr>
        <w:t>omadziła informacje na temat zarządzania nimi,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na temat wymogów dotyczących składania wniosków, postępowania sprawdzającego wnioskodawców, wymiany informacji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dan</w:t>
      </w:r>
      <w:r w:rsidRPr="00D1056D">
        <w:rPr>
          <w:rFonts w:ascii="Times New Roman" w:hAnsi="Times New Roman"/>
          <w:noProof/>
          <w:sz w:val="24"/>
        </w:rPr>
        <w:t>ych statystycznych dotyczących liczby wniosków, narodowości wnioskodawców</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wsk</w:t>
      </w:r>
      <w:r w:rsidRPr="00D1056D">
        <w:rPr>
          <w:rFonts w:ascii="Times New Roman" w:hAnsi="Times New Roman"/>
          <w:noProof/>
          <w:sz w:val="24"/>
        </w:rPr>
        <w:t>aźnika odrzuceń.</w:t>
      </w:r>
    </w:p>
    <w:p w14:paraId="5DCF871D" w14:textId="61779669" w:rsidR="0043465F" w:rsidRPr="00D1056D"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noProof/>
          <w:sz w:val="24"/>
        </w:rPr>
        <w:t>Po przeprowadzeniu oceny ryzyka dla bezpieczeństwa związanego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pro</w:t>
      </w:r>
      <w:r w:rsidRPr="00D1056D">
        <w:rPr>
          <w:rFonts w:ascii="Times New Roman" w:hAnsi="Times New Roman"/>
          <w:noProof/>
          <w:sz w:val="24"/>
        </w:rPr>
        <w:t>gramami obywatelstwa dla inwestorów realizowanych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Van</w:t>
      </w:r>
      <w:r w:rsidRPr="00D1056D">
        <w:rPr>
          <w:rFonts w:ascii="Times New Roman" w:hAnsi="Times New Roman"/>
          <w:noProof/>
          <w:sz w:val="24"/>
        </w:rPr>
        <w:t>uatu</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w:t>
      </w:r>
      <w:r w:rsidR="00D1056D">
        <w:rPr>
          <w:rFonts w:ascii="Times New Roman" w:hAnsi="Times New Roman"/>
          <w:noProof/>
          <w:sz w:val="24"/>
        </w:rPr>
        <w:t> </w:t>
      </w:r>
      <w:r w:rsidR="00D1056D" w:rsidRPr="00D1056D">
        <w:rPr>
          <w:rFonts w:ascii="Times New Roman" w:hAnsi="Times New Roman"/>
          <w:noProof/>
          <w:sz w:val="24"/>
        </w:rPr>
        <w:t>nas</w:t>
      </w:r>
      <w:r w:rsidRPr="00D1056D">
        <w:rPr>
          <w:rFonts w:ascii="Times New Roman" w:hAnsi="Times New Roman"/>
          <w:noProof/>
          <w:sz w:val="24"/>
        </w:rPr>
        <w:t>tępstwie zgłoszonych przez państwa członkowskie obaw Komisja stwierdziła, że programy obywatelstwa dla inwestorów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państwie obarczone są poważnymi uchybieniami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nie</w:t>
      </w:r>
      <w:r w:rsidRPr="00D1056D">
        <w:rPr>
          <w:rFonts w:ascii="Times New Roman" w:hAnsi="Times New Roman"/>
          <w:noProof/>
          <w:sz w:val="24"/>
        </w:rPr>
        <w:t>dopatrzeniami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zak</w:t>
      </w:r>
      <w:r w:rsidRPr="00D1056D">
        <w:rPr>
          <w:rFonts w:ascii="Times New Roman" w:hAnsi="Times New Roman"/>
          <w:noProof/>
          <w:sz w:val="24"/>
        </w:rPr>
        <w:t>resie bezpieczeństwa. Te wiązały się</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bra</w:t>
      </w:r>
      <w:r w:rsidRPr="00D1056D">
        <w:rPr>
          <w:rFonts w:ascii="Times New Roman" w:hAnsi="Times New Roman"/>
          <w:noProof/>
          <w:sz w:val="24"/>
        </w:rPr>
        <w:t>kiem wymogów dotyczących pobytu lub obecności, bardzo krótkimi procedurami sprawdzającymi, brakiem systematycznej wymiany informacji</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kra</w:t>
      </w:r>
      <w:r w:rsidRPr="00D1056D">
        <w:rPr>
          <w:rFonts w:ascii="Times New Roman" w:hAnsi="Times New Roman"/>
          <w:noProof/>
          <w:sz w:val="24"/>
        </w:rPr>
        <w:t>jami pochodzenia lub krajami wcześniejszego miejsca zamieszkania oraz dużą liczbą paszportów wydawanych obywatelom, którzy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eciwnym razie podlegaliby obowiązkowi wizowemu w UE,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obywatelom państw wysokiego ryzyka.</w:t>
      </w:r>
      <w:r w:rsidRPr="00D1056D">
        <w:rPr>
          <w:noProof/>
        </w:rPr>
        <w:t xml:space="preserve"> </w:t>
      </w:r>
    </w:p>
    <w:p w14:paraId="7D7F5413" w14:textId="093CD03D" w:rsidR="0043465F" w:rsidRPr="00D1056D" w:rsidRDefault="0043465F" w:rsidP="0098343C">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noProof/>
          <w:sz w:val="24"/>
        </w:rPr>
        <w:t>12 stycznia 2022</w:t>
      </w:r>
      <w:r w:rsidR="00D1056D" w:rsidRPr="00D1056D">
        <w:rPr>
          <w:rFonts w:ascii="Times New Roman" w:hAnsi="Times New Roman"/>
          <w:noProof/>
          <w:sz w:val="24"/>
        </w:rPr>
        <w:t> </w:t>
      </w:r>
      <w:r w:rsidRPr="00D1056D">
        <w:rPr>
          <w:rFonts w:ascii="Times New Roman" w:hAnsi="Times New Roman"/>
          <w:noProof/>
          <w:sz w:val="24"/>
        </w:rPr>
        <w:t>r. Komisja przyjęła wniosek dotyczący decyzji Rady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zawieszenia umowy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zniesienia wiz</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Van</w:t>
      </w:r>
      <w:r w:rsidRPr="00D1056D">
        <w:rPr>
          <w:rFonts w:ascii="Times New Roman" w:hAnsi="Times New Roman"/>
          <w:noProof/>
          <w:sz w:val="24"/>
        </w:rPr>
        <w:t>uatu</w:t>
      </w:r>
      <w:r w:rsidRPr="00D1056D">
        <w:rPr>
          <w:noProof/>
          <w:vertAlign w:val="superscript"/>
        </w:rPr>
        <w:footnoteReference w:id="22"/>
      </w:r>
      <w:r w:rsidRPr="00D1056D">
        <w:rPr>
          <w:rFonts w:ascii="Times New Roman" w:hAnsi="Times New Roman"/>
          <w:noProof/>
          <w:sz w:val="24"/>
        </w:rPr>
        <w:t>. Był to pierwszy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his</w:t>
      </w:r>
      <w:r w:rsidRPr="00D1056D">
        <w:rPr>
          <w:rFonts w:ascii="Times New Roman" w:hAnsi="Times New Roman"/>
          <w:noProof/>
          <w:sz w:val="24"/>
        </w:rPr>
        <w:t>torii wniosek dotyczący zawieszenia takiej umowy</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stwem trzecim. Rada przyjęła decyzję</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częściowego zawieszenia umowy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zniesienia wiz</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Van</w:t>
      </w:r>
      <w:r w:rsidRPr="00D1056D">
        <w:rPr>
          <w:rFonts w:ascii="Times New Roman" w:hAnsi="Times New Roman"/>
          <w:noProof/>
          <w:sz w:val="24"/>
        </w:rPr>
        <w:t>uatu 3 marca 2022</w:t>
      </w:r>
      <w:r w:rsidR="00D1056D" w:rsidRPr="00D1056D">
        <w:rPr>
          <w:rFonts w:ascii="Times New Roman" w:hAnsi="Times New Roman"/>
          <w:noProof/>
          <w:sz w:val="24"/>
        </w:rPr>
        <w:t> </w:t>
      </w:r>
      <w:r w:rsidRPr="00D1056D">
        <w:rPr>
          <w:rFonts w:ascii="Times New Roman" w:hAnsi="Times New Roman"/>
          <w:noProof/>
          <w:sz w:val="24"/>
        </w:rPr>
        <w:t>r.</w:t>
      </w:r>
      <w:r w:rsidRPr="00D1056D">
        <w:rPr>
          <w:rStyle w:val="FootnoteReference"/>
          <w:rFonts w:ascii="Times New Roman" w:hAnsi="Times New Roman" w:cs="Times New Roman"/>
          <w:noProof/>
          <w:sz w:val="24"/>
          <w:szCs w:val="24"/>
        </w:rPr>
        <w:footnoteReference w:id="23"/>
      </w:r>
      <w:r w:rsidRPr="00D1056D">
        <w:rPr>
          <w:rFonts w:ascii="Times New Roman" w:hAnsi="Times New Roman"/>
          <w:noProof/>
          <w:sz w:val="24"/>
        </w:rPr>
        <w:t xml:space="preserve"> Ponieważ nie zaradzono okolicznościom, które doprowadziły do częściowego zawieszenia, 12 października 2022</w:t>
      </w:r>
      <w:r w:rsidR="00D1056D" w:rsidRPr="00D1056D">
        <w:rPr>
          <w:rFonts w:ascii="Times New Roman" w:hAnsi="Times New Roman"/>
          <w:noProof/>
          <w:sz w:val="24"/>
        </w:rPr>
        <w:t> </w:t>
      </w:r>
      <w:r w:rsidRPr="00D1056D">
        <w:rPr>
          <w:rFonts w:ascii="Times New Roman" w:hAnsi="Times New Roman"/>
          <w:noProof/>
          <w:sz w:val="24"/>
        </w:rPr>
        <w:t>r. Komisja przedstawiła wniosek dotyczący decyzji Rady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pełnego zawieszenia umowy od</w:t>
      </w:r>
      <w:r w:rsidR="00D1056D" w:rsidRPr="00D1056D">
        <w:rPr>
          <w:rFonts w:ascii="Times New Roman" w:hAnsi="Times New Roman"/>
          <w:noProof/>
          <w:sz w:val="24"/>
        </w:rPr>
        <w:t> </w:t>
      </w:r>
      <w:r w:rsidRPr="00D1056D">
        <w:rPr>
          <w:rFonts w:ascii="Times New Roman" w:hAnsi="Times New Roman"/>
          <w:noProof/>
          <w:sz w:val="24"/>
        </w:rPr>
        <w:t>4 lutego 2023</w:t>
      </w:r>
      <w:r w:rsidR="00D1056D" w:rsidRPr="00D1056D">
        <w:rPr>
          <w:rFonts w:ascii="Times New Roman" w:hAnsi="Times New Roman"/>
          <w:noProof/>
          <w:sz w:val="24"/>
        </w:rPr>
        <w:t> </w:t>
      </w:r>
      <w:r w:rsidRPr="00D1056D">
        <w:rPr>
          <w:rFonts w:ascii="Times New Roman" w:hAnsi="Times New Roman"/>
          <w:noProof/>
          <w:sz w:val="24"/>
        </w:rPr>
        <w:t>r.</w:t>
      </w:r>
      <w:r w:rsidRPr="00D1056D">
        <w:rPr>
          <w:rStyle w:val="FootnoteReference"/>
          <w:rFonts w:ascii="Times New Roman" w:hAnsi="Times New Roman" w:cs="Times New Roman"/>
          <w:noProof/>
          <w:sz w:val="24"/>
          <w:szCs w:val="24"/>
        </w:rPr>
        <w:footnoteReference w:id="24"/>
      </w:r>
      <w:r w:rsidRPr="00D1056D">
        <w:rPr>
          <w:rFonts w:ascii="Times New Roman" w:hAnsi="Times New Roman"/>
          <w:noProof/>
          <w:sz w:val="24"/>
        </w:rPr>
        <w:t xml:space="preserve"> Rada przyjęła decyzję 8 listopada 2022</w:t>
      </w:r>
      <w:r w:rsidR="00D1056D" w:rsidRPr="00D1056D">
        <w:rPr>
          <w:rFonts w:ascii="Times New Roman" w:hAnsi="Times New Roman"/>
          <w:noProof/>
          <w:sz w:val="24"/>
        </w:rPr>
        <w:t> </w:t>
      </w:r>
      <w:r w:rsidRPr="00D1056D">
        <w:rPr>
          <w:rFonts w:ascii="Times New Roman" w:hAnsi="Times New Roman"/>
          <w:noProof/>
          <w:sz w:val="24"/>
        </w:rPr>
        <w:t>r.</w:t>
      </w:r>
      <w:r w:rsidRPr="00D1056D">
        <w:rPr>
          <w:rStyle w:val="FootnoteReference"/>
          <w:rFonts w:ascii="Times New Roman" w:hAnsi="Times New Roman" w:cs="Times New Roman"/>
          <w:noProof/>
          <w:sz w:val="24"/>
          <w:szCs w:val="24"/>
        </w:rPr>
        <w:footnoteReference w:id="25"/>
      </w:r>
    </w:p>
    <w:p w14:paraId="18C9565D" w14:textId="6ED647F5" w:rsidR="0043465F" w:rsidRPr="00D1056D" w:rsidRDefault="0043465F" w:rsidP="00EE1920">
      <w:pPr>
        <w:pBdr>
          <w:top w:val="single" w:sz="4" w:space="1" w:color="auto"/>
          <w:left w:val="single" w:sz="4" w:space="4" w:color="auto"/>
          <w:bottom w:val="single" w:sz="4" w:space="1" w:color="auto"/>
          <w:right w:val="single" w:sz="4" w:space="4" w:color="auto"/>
        </w:pBdr>
        <w:spacing w:after="240"/>
        <w:jc w:val="both"/>
        <w:rPr>
          <w:rFonts w:ascii="Times New Roman" w:hAnsi="Times New Roman" w:cs="Times New Roman"/>
          <w:noProof/>
          <w:sz w:val="24"/>
          <w:szCs w:val="24"/>
        </w:rPr>
      </w:pPr>
      <w:r w:rsidRPr="00D1056D">
        <w:rPr>
          <w:rFonts w:ascii="Times New Roman" w:hAnsi="Times New Roman"/>
          <w:noProof/>
          <w:sz w:val="24"/>
        </w:rPr>
        <w:t>Od czasu wejścia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życ</w:t>
      </w:r>
      <w:r w:rsidRPr="00D1056D">
        <w:rPr>
          <w:rFonts w:ascii="Times New Roman" w:hAnsi="Times New Roman"/>
          <w:noProof/>
          <w:sz w:val="24"/>
        </w:rPr>
        <w:t>ie częściowego zawieszenia Komisja współpracuje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wła</w:t>
      </w:r>
      <w:r w:rsidRPr="00D1056D">
        <w:rPr>
          <w:rFonts w:ascii="Times New Roman" w:hAnsi="Times New Roman"/>
          <w:noProof/>
          <w:sz w:val="24"/>
        </w:rPr>
        <w:t>ściwymi organami Vanuatu</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pogłębionego dialogu</w:t>
      </w:r>
      <w:r w:rsidRPr="00D1056D">
        <w:rPr>
          <w:rStyle w:val="FootnoteReference"/>
          <w:rFonts w:ascii="Times New Roman" w:hAnsi="Times New Roman" w:cs="Times New Roman"/>
          <w:noProof/>
          <w:sz w:val="24"/>
          <w:szCs w:val="24"/>
        </w:rPr>
        <w:footnoteReference w:id="26"/>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cel</w:t>
      </w:r>
      <w:r w:rsidRPr="00D1056D">
        <w:rPr>
          <w:rFonts w:ascii="Times New Roman" w:hAnsi="Times New Roman"/>
          <w:noProof/>
          <w:sz w:val="24"/>
        </w:rPr>
        <w:t>u zaradzenia okolicznościom, które doprowadziły do zawieszenia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umo</w:t>
      </w:r>
      <w:r w:rsidRPr="00D1056D">
        <w:rPr>
          <w:rFonts w:ascii="Times New Roman" w:hAnsi="Times New Roman"/>
          <w:noProof/>
          <w:sz w:val="24"/>
        </w:rPr>
        <w:t xml:space="preserve">żliwienia UE zniesienia zawieszenia. </w:t>
      </w:r>
    </w:p>
    <w:p w14:paraId="7C6D4823" w14:textId="65386594" w:rsidR="00742740" w:rsidRPr="00D1056D" w:rsidRDefault="00742740" w:rsidP="00EE1920">
      <w:pPr>
        <w:spacing w:after="240"/>
        <w:jc w:val="both"/>
        <w:rPr>
          <w:rFonts w:ascii="Times New Roman" w:hAnsi="Times New Roman" w:cs="Times New Roman"/>
          <w:noProof/>
          <w:sz w:val="24"/>
          <w:szCs w:val="24"/>
        </w:rPr>
      </w:pPr>
      <w:r w:rsidRPr="00D1056D">
        <w:rPr>
          <w:rFonts w:ascii="Times New Roman" w:hAnsi="Times New Roman"/>
          <w:noProof/>
          <w:sz w:val="24"/>
        </w:rPr>
        <w:t>Programy obywatelstwa dla inwestorów prowadzi szereg państw regionu Karaibów</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cze</w:t>
      </w:r>
      <w:r w:rsidRPr="00D1056D">
        <w:rPr>
          <w:rFonts w:ascii="Times New Roman" w:hAnsi="Times New Roman"/>
          <w:noProof/>
          <w:sz w:val="24"/>
        </w:rPr>
        <w:t>rwcu 2022</w:t>
      </w:r>
      <w:r w:rsidR="00D1056D" w:rsidRPr="00D1056D">
        <w:rPr>
          <w:rFonts w:ascii="Times New Roman" w:hAnsi="Times New Roman"/>
          <w:noProof/>
          <w:sz w:val="24"/>
        </w:rPr>
        <w:t> </w:t>
      </w:r>
      <w:r w:rsidRPr="00D1056D">
        <w:rPr>
          <w:rFonts w:ascii="Times New Roman" w:hAnsi="Times New Roman"/>
          <w:noProof/>
          <w:sz w:val="24"/>
        </w:rPr>
        <w:t>r. służby Komisji zwróciły się do właściwych organów tych państw</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wni</w:t>
      </w:r>
      <w:r w:rsidRPr="00D1056D">
        <w:rPr>
          <w:rFonts w:ascii="Times New Roman" w:hAnsi="Times New Roman"/>
          <w:noProof/>
          <w:sz w:val="24"/>
        </w:rPr>
        <w:t>oskiem</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ekazanie odpowiednich informacji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dan</w:t>
      </w:r>
      <w:r w:rsidRPr="00D1056D">
        <w:rPr>
          <w:rFonts w:ascii="Times New Roman" w:hAnsi="Times New Roman"/>
          <w:noProof/>
          <w:sz w:val="24"/>
        </w:rPr>
        <w:t>ych na temat tych programów.</w:t>
      </w:r>
    </w:p>
    <w:p w14:paraId="077565B9" w14:textId="6B9A48F7" w:rsidR="0018514C" w:rsidRPr="00D1056D" w:rsidRDefault="00742740" w:rsidP="00EE1920">
      <w:pPr>
        <w:spacing w:after="240"/>
        <w:jc w:val="both"/>
        <w:rPr>
          <w:rFonts w:ascii="Times New Roman" w:hAnsi="Times New Roman" w:cs="Times New Roman"/>
          <w:noProof/>
          <w:sz w:val="24"/>
          <w:szCs w:val="24"/>
        </w:rPr>
      </w:pPr>
      <w:r w:rsidRPr="00D1056D">
        <w:rPr>
          <w:rFonts w:ascii="Times New Roman" w:hAnsi="Times New Roman"/>
          <w:b/>
          <w:noProof/>
          <w:sz w:val="24"/>
        </w:rPr>
        <w:t>Wstępna ocena</w:t>
      </w:r>
      <w:r w:rsidRPr="00D1056D">
        <w:rPr>
          <w:rFonts w:ascii="Times New Roman" w:hAnsi="Times New Roman"/>
          <w:noProof/>
          <w:sz w:val="24"/>
        </w:rPr>
        <w:t xml:space="preserve"> wykazała, że tamtejsze programy obywatelstwa dla inwestorów często wykazują wiele podobieństw do programów obywatelstwa dla inwestorów realizowanych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Van</w:t>
      </w:r>
      <w:r w:rsidRPr="00D1056D">
        <w:rPr>
          <w:rFonts w:ascii="Times New Roman" w:hAnsi="Times New Roman"/>
          <w:noProof/>
          <w:sz w:val="24"/>
        </w:rPr>
        <w:t>uatu.</w:t>
      </w:r>
      <w:r w:rsidRPr="00D1056D">
        <w:rPr>
          <w:noProof/>
        </w:rPr>
        <w:t xml:space="preserve"> </w:t>
      </w:r>
      <w:r w:rsidRPr="00D1056D">
        <w:rPr>
          <w:rFonts w:ascii="Times New Roman" w:hAnsi="Times New Roman"/>
          <w:noProof/>
          <w:sz w:val="24"/>
        </w:rPr>
        <w:t>Podobieństwa można wskazać m.in.</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nas</w:t>
      </w:r>
      <w:r w:rsidRPr="00D1056D">
        <w:rPr>
          <w:rFonts w:ascii="Times New Roman" w:hAnsi="Times New Roman"/>
          <w:noProof/>
          <w:sz w:val="24"/>
        </w:rPr>
        <w:t>tępujących aspektach: kwalifikowalność obywateli państw,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których wymaga się wizy podczas podróży do UE; brak wymogów dotyczących składania wniosków na miejscu lub dotyczących miejsca zamieszkania; krótki czas przetwarzania wniosków uniemożliwiający należyte sprawdzenie wnioskodawców; niskie opłaty (100 000–200 000 USD) oraz wysoka liczba pozytywnie rozpatrzonych wniosków (co najmniej 81 000 paszportów wydanych dotychczas przez te państwa). Wszystkie te programy obywatelstwa dla inwestorów są promowane komercyjnie jako sposób na uzyskanie bezwizowego dostępu do UE. Inne jurysdykcje, takie jak Stany Zjednoczone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Kan</w:t>
      </w:r>
      <w:r w:rsidRPr="00D1056D">
        <w:rPr>
          <w:rFonts w:ascii="Times New Roman" w:hAnsi="Times New Roman"/>
          <w:noProof/>
          <w:sz w:val="24"/>
        </w:rPr>
        <w:t>ada, nie mają systemów bezwizowych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stwami regionu Karaibów, które prowadzą programy obywatelstwa dla inwestorów.</w:t>
      </w:r>
    </w:p>
    <w:p w14:paraId="3DCC1930" w14:textId="0FC6E20E" w:rsidR="00742740" w:rsidRPr="00D1056D" w:rsidRDefault="00610818" w:rsidP="00EE1920">
      <w:pPr>
        <w:spacing w:after="240"/>
        <w:jc w:val="both"/>
        <w:rPr>
          <w:rFonts w:ascii="Times New Roman" w:hAnsi="Times New Roman" w:cs="Times New Roman"/>
          <w:noProof/>
          <w:sz w:val="24"/>
          <w:szCs w:val="24"/>
        </w:rPr>
      </w:pPr>
      <w:r w:rsidRPr="00D1056D">
        <w:rPr>
          <w:rFonts w:ascii="Times New Roman" w:hAnsi="Times New Roman"/>
          <w:noProof/>
          <w:sz w:val="24"/>
        </w:rPr>
        <w:t>Chociaż UE szanuje suwerenne prawo państw trzecich do decydowania</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ich</w:t>
      </w:r>
      <w:r w:rsidRPr="00D1056D">
        <w:rPr>
          <w:rFonts w:ascii="Times New Roman" w:hAnsi="Times New Roman"/>
          <w:noProof/>
          <w:sz w:val="24"/>
        </w:rPr>
        <w:t xml:space="preserve"> procedurach naturalizacji, Komisja uważa, że sprzedaż bezwizowego dostępu do UE obywatelom, którzy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eciwnym wypadku podlegaliby obowiązkowi wizowemu, jest niezgodna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duc</w:t>
      </w:r>
      <w:r w:rsidRPr="00D1056D">
        <w:rPr>
          <w:rFonts w:ascii="Times New Roman" w:hAnsi="Times New Roman"/>
          <w:noProof/>
          <w:sz w:val="24"/>
        </w:rPr>
        <w:t>hem pozostających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moc</w:t>
      </w:r>
      <w:r w:rsidRPr="00D1056D">
        <w:rPr>
          <w:rFonts w:ascii="Times New Roman" w:hAnsi="Times New Roman"/>
          <w:noProof/>
          <w:sz w:val="24"/>
        </w:rPr>
        <w:t>y dwustronnych umów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 xml:space="preserve">awie zniesienia wiz. </w:t>
      </w:r>
    </w:p>
    <w:p w14:paraId="59EF1C01" w14:textId="60D82B36" w:rsidR="00681EB2" w:rsidRPr="00D1056D" w:rsidRDefault="00681EB2" w:rsidP="00EE1920">
      <w:pPr>
        <w:spacing w:after="240"/>
        <w:jc w:val="both"/>
        <w:rPr>
          <w:rFonts w:ascii="Times New Roman" w:hAnsi="Times New Roman" w:cs="Times New Roman"/>
          <w:noProof/>
          <w:sz w:val="24"/>
          <w:szCs w:val="24"/>
        </w:rPr>
      </w:pPr>
      <w:r w:rsidRPr="00D1056D">
        <w:rPr>
          <w:rFonts w:ascii="Times New Roman" w:hAnsi="Times New Roman"/>
          <w:noProof/>
          <w:sz w:val="24"/>
        </w:rPr>
        <w:t>Jednocześnie Komisja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zad</w:t>
      </w:r>
      <w:r w:rsidRPr="00D1056D">
        <w:rPr>
          <w:rFonts w:ascii="Times New Roman" w:hAnsi="Times New Roman"/>
          <w:noProof/>
          <w:sz w:val="24"/>
        </w:rPr>
        <w:t>owoleniem przyjęła decyzję tych państw regionu Karaibów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zaw</w:t>
      </w:r>
      <w:r w:rsidRPr="00D1056D">
        <w:rPr>
          <w:rFonts w:ascii="Times New Roman" w:hAnsi="Times New Roman"/>
          <w:noProof/>
          <w:sz w:val="24"/>
        </w:rPr>
        <w:t>ieszeniu rozpatrywania wniosków obywateli Rosji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Bia</w:t>
      </w:r>
      <w:r w:rsidRPr="00D1056D">
        <w:rPr>
          <w:rFonts w:ascii="Times New Roman" w:hAnsi="Times New Roman"/>
          <w:noProof/>
          <w:sz w:val="24"/>
        </w:rPr>
        <w:t>łorusi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rea</w:t>
      </w:r>
      <w:r w:rsidRPr="00D1056D">
        <w:rPr>
          <w:rFonts w:ascii="Times New Roman" w:hAnsi="Times New Roman"/>
          <w:noProof/>
          <w:sz w:val="24"/>
        </w:rPr>
        <w:t>kcji na rosyjską agresję wobec Ukrainy.</w:t>
      </w:r>
    </w:p>
    <w:p w14:paraId="45123CD6" w14:textId="1233316D" w:rsidR="00610818" w:rsidRPr="00D1056D" w:rsidRDefault="00610818" w:rsidP="00EE1920">
      <w:pPr>
        <w:spacing w:after="240"/>
        <w:jc w:val="both"/>
        <w:rPr>
          <w:rFonts w:ascii="Times New Roman" w:hAnsi="Times New Roman" w:cs="Times New Roman"/>
          <w:noProof/>
          <w:sz w:val="24"/>
          <w:szCs w:val="24"/>
        </w:rPr>
      </w:pPr>
      <w:r w:rsidRPr="00D1056D">
        <w:rPr>
          <w:rFonts w:ascii="Times New Roman" w:hAnsi="Times New Roman"/>
          <w:noProof/>
          <w:sz w:val="24"/>
        </w:rPr>
        <w:t>Ocena programów obywatelstwa dla inwestorów prowadzonych przez te państwa jest nadal</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tok</w:t>
      </w:r>
      <w:r w:rsidRPr="00D1056D">
        <w:rPr>
          <w:rFonts w:ascii="Times New Roman" w:hAnsi="Times New Roman"/>
          <w:noProof/>
          <w:sz w:val="24"/>
        </w:rPr>
        <w:t>u,</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w</w:t>
      </w:r>
      <w:r w:rsidR="00D1056D">
        <w:rPr>
          <w:rFonts w:ascii="Times New Roman" w:hAnsi="Times New Roman"/>
          <w:noProof/>
          <w:sz w:val="24"/>
        </w:rPr>
        <w:t> </w:t>
      </w:r>
      <w:r w:rsidR="00D1056D" w:rsidRPr="00D1056D">
        <w:rPr>
          <w:rFonts w:ascii="Times New Roman" w:hAnsi="Times New Roman"/>
          <w:noProof/>
          <w:sz w:val="24"/>
        </w:rPr>
        <w:t>lut</w:t>
      </w:r>
      <w:r w:rsidRPr="00D1056D">
        <w:rPr>
          <w:rFonts w:ascii="Times New Roman" w:hAnsi="Times New Roman"/>
          <w:noProof/>
          <w:sz w:val="24"/>
        </w:rPr>
        <w:t>ym 2023</w:t>
      </w:r>
      <w:r w:rsidR="00D1056D" w:rsidRPr="00D1056D">
        <w:rPr>
          <w:rFonts w:ascii="Times New Roman" w:hAnsi="Times New Roman"/>
          <w:noProof/>
          <w:sz w:val="24"/>
        </w:rPr>
        <w:t> </w:t>
      </w:r>
      <w:r w:rsidRPr="00D1056D">
        <w:rPr>
          <w:rFonts w:ascii="Times New Roman" w:hAnsi="Times New Roman"/>
          <w:noProof/>
          <w:sz w:val="24"/>
        </w:rPr>
        <w:t>r. Komisja skierowała do tych państw wniosek</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pod</w:t>
      </w:r>
      <w:r w:rsidRPr="00D1056D">
        <w:rPr>
          <w:rFonts w:ascii="Times New Roman" w:hAnsi="Times New Roman"/>
          <w:noProof/>
          <w:sz w:val="24"/>
        </w:rPr>
        <w:t>jęcie działań następczych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względzie. </w:t>
      </w:r>
    </w:p>
    <w:p w14:paraId="63D809ED" w14:textId="0D37E882" w:rsidR="00C10FE6" w:rsidRPr="00D1056D" w:rsidRDefault="00290ED0" w:rsidP="00EE1920">
      <w:pPr>
        <w:spacing w:after="240"/>
        <w:jc w:val="both"/>
        <w:rPr>
          <w:rFonts w:ascii="Times New Roman" w:hAnsi="Times New Roman" w:cs="Times New Roman"/>
          <w:noProof/>
          <w:sz w:val="24"/>
          <w:szCs w:val="24"/>
        </w:rPr>
      </w:pPr>
      <w:r w:rsidRPr="00D1056D">
        <w:rPr>
          <w:rFonts w:ascii="Times New Roman" w:hAnsi="Times New Roman"/>
          <w:noProof/>
          <w:sz w:val="24"/>
        </w:rPr>
        <w:t>Po zakończeniu tej oceny Komisja podejmie decyzję</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odpowiednich działań następczych zgodnie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episami rozporządzenia wizowego</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odp</w:t>
      </w:r>
      <w:r w:rsidRPr="00D1056D">
        <w:rPr>
          <w:rFonts w:ascii="Times New Roman" w:hAnsi="Times New Roman"/>
          <w:noProof/>
          <w:sz w:val="24"/>
        </w:rPr>
        <w:t>owiednimi umowami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zniesienia wiz</w:t>
      </w:r>
      <w:r w:rsidRPr="00D1056D">
        <w:rPr>
          <w:rStyle w:val="FootnoteReference"/>
          <w:rFonts w:ascii="Times New Roman" w:hAnsi="Times New Roman" w:cs="Times New Roman"/>
          <w:noProof/>
          <w:sz w:val="24"/>
          <w:szCs w:val="24"/>
        </w:rPr>
        <w:footnoteReference w:id="27"/>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Komisja będzie ściśle współpracować</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i państwami trzecimi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cel</w:t>
      </w:r>
      <w:r w:rsidRPr="00D1056D">
        <w:rPr>
          <w:rFonts w:ascii="Times New Roman" w:hAnsi="Times New Roman"/>
          <w:noProof/>
          <w:sz w:val="24"/>
        </w:rPr>
        <w:t>u wypracowania długoterminowych rozwiązań</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kontekście Komisja rozważy zwołanie </w:t>
      </w:r>
      <w:r w:rsidRPr="00D1056D">
        <w:rPr>
          <w:rFonts w:ascii="Times New Roman" w:hAnsi="Times New Roman"/>
          <w:b/>
          <w:noProof/>
          <w:sz w:val="24"/>
        </w:rPr>
        <w:t>wspólnego komitetu ekspertów</w:t>
      </w:r>
      <w:r w:rsidRPr="00D1056D">
        <w:rPr>
          <w:rFonts w:ascii="Times New Roman" w:hAnsi="Times New Roman"/>
          <w:noProof/>
          <w:sz w:val="24"/>
        </w:rPr>
        <w:t xml:space="preserve"> powołanego na mocy dwustronnych umów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zniesienia wiz, którego zadaniem jest monitorowanie, proponowanie zmian</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roz</w:t>
      </w:r>
      <w:r w:rsidRPr="00D1056D">
        <w:rPr>
          <w:rFonts w:ascii="Times New Roman" w:hAnsi="Times New Roman"/>
          <w:noProof/>
          <w:sz w:val="24"/>
        </w:rPr>
        <w:t>strzyganie sporów związanych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wdr</w:t>
      </w:r>
      <w:r w:rsidRPr="00D1056D">
        <w:rPr>
          <w:rFonts w:ascii="Times New Roman" w:hAnsi="Times New Roman"/>
          <w:noProof/>
          <w:sz w:val="24"/>
        </w:rPr>
        <w:t xml:space="preserve">ażaniem tych umów. </w:t>
      </w:r>
    </w:p>
    <w:p w14:paraId="67B4BBDA" w14:textId="47BF444E" w:rsidR="003C222A" w:rsidRPr="00D1056D" w:rsidRDefault="00530D42" w:rsidP="00EE1920">
      <w:pPr>
        <w:spacing w:after="240"/>
        <w:jc w:val="both"/>
        <w:rPr>
          <w:rFonts w:ascii="Times New Roman" w:hAnsi="Times New Roman" w:cs="Times New Roman"/>
          <w:noProof/>
          <w:sz w:val="24"/>
          <w:szCs w:val="24"/>
        </w:rPr>
      </w:pPr>
      <w:r w:rsidRPr="00D1056D">
        <w:rPr>
          <w:rFonts w:ascii="Times New Roman" w:hAnsi="Times New Roman"/>
          <w:noProof/>
          <w:sz w:val="24"/>
        </w:rPr>
        <w:t>Ogólnie rzecz biorąc, Komisja rozważa zmianę art.</w:t>
      </w:r>
      <w:r w:rsidR="00D1056D" w:rsidRPr="00D1056D">
        <w:rPr>
          <w:rFonts w:ascii="Times New Roman" w:hAnsi="Times New Roman"/>
          <w:noProof/>
          <w:sz w:val="24"/>
        </w:rPr>
        <w:t> </w:t>
      </w:r>
      <w:r w:rsidRPr="00D1056D">
        <w:rPr>
          <w:rFonts w:ascii="Times New Roman" w:hAnsi="Times New Roman"/>
          <w:noProof/>
          <w:sz w:val="24"/>
        </w:rPr>
        <w:t>8</w:t>
      </w:r>
      <w:bookmarkStart w:id="5" w:name="_Hlk135373618"/>
      <w:r w:rsidRPr="00D1056D">
        <w:rPr>
          <w:rFonts w:ascii="Times New Roman" w:hAnsi="Times New Roman"/>
          <w:noProof/>
          <w:sz w:val="24"/>
        </w:rPr>
        <w:t xml:space="preserve"> rozporządzenia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cel</w:t>
      </w:r>
      <w:r w:rsidRPr="00D1056D">
        <w:rPr>
          <w:rFonts w:ascii="Times New Roman" w:hAnsi="Times New Roman"/>
          <w:noProof/>
          <w:sz w:val="24"/>
        </w:rPr>
        <w:t>u uwzględnienia ryzyka dla bezpieczeństwa związanego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fun</w:t>
      </w:r>
      <w:r w:rsidRPr="00D1056D">
        <w:rPr>
          <w:rFonts w:ascii="Times New Roman" w:hAnsi="Times New Roman"/>
          <w:noProof/>
          <w:sz w:val="24"/>
        </w:rPr>
        <w:t>kcjonowaniem programów obywatelstwa dla inwestorów jako wyraźnej podstawy zawieszenia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(zob. sekcja 3 poniżej).</w:t>
      </w:r>
      <w:r w:rsidR="00D1056D" w:rsidRPr="00D1056D">
        <w:rPr>
          <w:rFonts w:ascii="Times New Roman" w:hAnsi="Times New Roman"/>
          <w:noProof/>
          <w:sz w:val="24"/>
        </w:rPr>
        <w:t xml:space="preserve"> </w:t>
      </w:r>
    </w:p>
    <w:bookmarkEnd w:id="5"/>
    <w:p w14:paraId="25A9CE9A" w14:textId="793CD697" w:rsidR="002520A2" w:rsidRPr="00D1056D" w:rsidRDefault="009B0B0A" w:rsidP="00B07199">
      <w:pPr>
        <w:pStyle w:val="Heading1"/>
        <w:numPr>
          <w:ilvl w:val="0"/>
          <w:numId w:val="22"/>
        </w:numPr>
        <w:spacing w:before="0" w:after="240" w:line="240" w:lineRule="auto"/>
        <w:ind w:left="714" w:hanging="357"/>
        <w:rPr>
          <w:rFonts w:ascii="Times New Roman" w:hAnsi="Times New Roman" w:cs="Times New Roman"/>
          <w:b/>
          <w:bCs/>
          <w:noProof/>
          <w:color w:val="auto"/>
          <w:sz w:val="24"/>
          <w:szCs w:val="24"/>
        </w:rPr>
      </w:pPr>
      <w:r w:rsidRPr="00D1056D">
        <w:rPr>
          <w:rFonts w:ascii="Times New Roman" w:hAnsi="Times New Roman"/>
          <w:b/>
          <w:noProof/>
          <w:color w:val="auto"/>
          <w:sz w:val="24"/>
        </w:rPr>
        <w:t>SPROSTANIE WYZWANIOM ZWIĄZANYM Z RUCHEM BEZWIZOWYM ZA POMOCĄ SKUTECZNIEJSZEGO MECHANIZMU ZAWIESZAJĄCEGO ZWOLNIENIE Z OBOWIĄZKU WIZOWEGO</w:t>
      </w:r>
    </w:p>
    <w:p w14:paraId="0D58DE1C" w14:textId="5E29543A" w:rsidR="009B0B0A" w:rsidRPr="00D1056D" w:rsidRDefault="009B0B0A" w:rsidP="00B07199">
      <w:pPr>
        <w:keepNext/>
        <w:spacing w:after="240"/>
        <w:jc w:val="both"/>
        <w:rPr>
          <w:rFonts w:ascii="Times New Roman" w:hAnsi="Times New Roman" w:cs="Times New Roman"/>
          <w:noProof/>
          <w:sz w:val="24"/>
        </w:rPr>
      </w:pPr>
      <w:r w:rsidRPr="00D1056D">
        <w:rPr>
          <w:rFonts w:ascii="Times New Roman" w:hAnsi="Times New Roman"/>
          <w:noProof/>
          <w:sz w:val="24"/>
        </w:rPr>
        <w:t>Mechanizm zawieszający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określono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art</w:t>
      </w:r>
      <w:r w:rsidRPr="00D1056D">
        <w:rPr>
          <w:rFonts w:ascii="Times New Roman" w:hAnsi="Times New Roman"/>
          <w:noProof/>
          <w:sz w:val="24"/>
        </w:rPr>
        <w:t>.</w:t>
      </w:r>
      <w:r w:rsidR="00D1056D" w:rsidRPr="00D1056D">
        <w:rPr>
          <w:rFonts w:ascii="Times New Roman" w:hAnsi="Times New Roman"/>
          <w:noProof/>
          <w:sz w:val="24"/>
        </w:rPr>
        <w:t> </w:t>
      </w:r>
      <w:r w:rsidRPr="00D1056D">
        <w:rPr>
          <w:rFonts w:ascii="Times New Roman" w:hAnsi="Times New Roman"/>
          <w:noProof/>
          <w:sz w:val="24"/>
        </w:rPr>
        <w:t>8 rozporządzenia wizowego. Jego głównym celem jest umożliwienie tymczasowego zawieszenia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nagłego</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zna</w:t>
      </w:r>
      <w:r w:rsidRPr="00D1056D">
        <w:rPr>
          <w:rFonts w:ascii="Times New Roman" w:hAnsi="Times New Roman"/>
          <w:noProof/>
          <w:sz w:val="24"/>
        </w:rPr>
        <w:t xml:space="preserve">cznego zwiększenia ryzyka migracji nieuregulowanej lub ryzyka dla bezpieczeństwa. </w:t>
      </w:r>
    </w:p>
    <w:p w14:paraId="7B0B9CF0" w14:textId="326C27E6" w:rsidR="009B0B0A" w:rsidRPr="00D1056D" w:rsidRDefault="009B0B0A" w:rsidP="00B07199">
      <w:pPr>
        <w:spacing w:after="240"/>
        <w:jc w:val="both"/>
        <w:rPr>
          <w:rFonts w:ascii="Times New Roman" w:eastAsia="Times New Roman" w:hAnsi="Times New Roman" w:cs="Times New Roman"/>
          <w:noProof/>
          <w:sz w:val="24"/>
          <w:szCs w:val="24"/>
        </w:rPr>
      </w:pPr>
      <w:r w:rsidRPr="00D1056D">
        <w:rPr>
          <w:rFonts w:ascii="Times New Roman" w:hAnsi="Times New Roman"/>
          <w:noProof/>
          <w:sz w:val="24"/>
        </w:rPr>
        <w:t>W związku</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wyż</w:t>
      </w:r>
      <w:r w:rsidRPr="00D1056D">
        <w:rPr>
          <w:rFonts w:ascii="Times New Roman" w:hAnsi="Times New Roman"/>
          <w:noProof/>
          <w:sz w:val="24"/>
        </w:rPr>
        <w:t>ej przedstawionymi wyzwaniami,</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że biorąc pod uwagę dyskusje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Rad</w:t>
      </w:r>
      <w:r w:rsidRPr="00D1056D">
        <w:rPr>
          <w:rFonts w:ascii="Times New Roman" w:hAnsi="Times New Roman"/>
          <w:noProof/>
          <w:sz w:val="24"/>
        </w:rPr>
        <w:t>zie</w:t>
      </w:r>
      <w:r w:rsidRPr="00D1056D">
        <w:rPr>
          <w:rStyle w:val="FootnoteReference"/>
          <w:rFonts w:ascii="Times New Roman" w:eastAsia="Times New Roman" w:hAnsi="Times New Roman" w:cs="Times New Roman"/>
          <w:noProof/>
          <w:sz w:val="24"/>
          <w:szCs w:val="24"/>
          <w:lang w:eastAsia="en-GB"/>
        </w:rPr>
        <w:footnoteReference w:id="28"/>
      </w:r>
      <w:r w:rsidRPr="00D1056D">
        <w:rPr>
          <w:rFonts w:ascii="Times New Roman" w:hAnsi="Times New Roman"/>
          <w:noProof/>
          <w:sz w:val="24"/>
        </w:rPr>
        <w:t>, Komisja uważa, że choć mechanizm zawieszający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stanowi zabezpieczenie przed nadużywaniem zwolnień</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można go jeszcze ulepszyć,</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jeśli chodzi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nas</w:t>
      </w:r>
      <w:r w:rsidRPr="00D1056D">
        <w:rPr>
          <w:rFonts w:ascii="Times New Roman" w:hAnsi="Times New Roman"/>
          <w:noProof/>
          <w:sz w:val="24"/>
        </w:rPr>
        <w:t>tępujące elementy:</w:t>
      </w:r>
    </w:p>
    <w:p w14:paraId="07908D24" w14:textId="352B5C3A" w:rsidR="009B0B0A" w:rsidRPr="00D1056D" w:rsidRDefault="009B0B0A" w:rsidP="00EE1920">
      <w:pPr>
        <w:numPr>
          <w:ilvl w:val="0"/>
          <w:numId w:val="20"/>
        </w:numPr>
        <w:spacing w:after="240"/>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podstawy zawieszenia;</w:t>
      </w:r>
    </w:p>
    <w:p w14:paraId="5B7DDCD5" w14:textId="7BBCDB33" w:rsidR="00C96332" w:rsidRPr="00D1056D" w:rsidRDefault="00C96332" w:rsidP="00EE1920">
      <w:pPr>
        <w:numPr>
          <w:ilvl w:val="0"/>
          <w:numId w:val="20"/>
        </w:numPr>
        <w:spacing w:after="240"/>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progi uruchamiające mechanizm;</w:t>
      </w:r>
    </w:p>
    <w:p w14:paraId="7AF6909A" w14:textId="77777777" w:rsidR="009B0B0A" w:rsidRPr="00D1056D" w:rsidRDefault="009B0B0A" w:rsidP="00EE1920">
      <w:pPr>
        <w:numPr>
          <w:ilvl w:val="0"/>
          <w:numId w:val="20"/>
        </w:numPr>
        <w:spacing w:after="240"/>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procedura zawieszenia;</w:t>
      </w:r>
    </w:p>
    <w:p w14:paraId="6016541D" w14:textId="762C85E0" w:rsidR="009B0B0A" w:rsidRPr="00D1056D" w:rsidRDefault="009B0B0A" w:rsidP="00B07199">
      <w:pPr>
        <w:numPr>
          <w:ilvl w:val="0"/>
          <w:numId w:val="20"/>
        </w:numPr>
        <w:spacing w:after="240"/>
        <w:ind w:left="714" w:hanging="357"/>
        <w:jc w:val="both"/>
        <w:rPr>
          <w:rFonts w:ascii="Times New Roman" w:eastAsia="Times New Roman" w:hAnsi="Times New Roman" w:cs="Times New Roman"/>
          <w:noProof/>
          <w:sz w:val="24"/>
          <w:szCs w:val="24"/>
        </w:rPr>
      </w:pPr>
      <w:r w:rsidRPr="00D1056D">
        <w:rPr>
          <w:rFonts w:ascii="Times New Roman" w:hAnsi="Times New Roman"/>
          <w:noProof/>
          <w:sz w:val="24"/>
        </w:rPr>
        <w:t>przepisy dotyczące monitorowania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awozdawczości.</w:t>
      </w:r>
    </w:p>
    <w:p w14:paraId="53A5B33A" w14:textId="63C1BB1C" w:rsidR="009B0B0A" w:rsidRPr="00D1056D" w:rsidRDefault="009B0B0A" w:rsidP="00EE1920">
      <w:pPr>
        <w:spacing w:after="240"/>
        <w:jc w:val="both"/>
        <w:rPr>
          <w:rFonts w:ascii="Times New Roman" w:hAnsi="Times New Roman" w:cs="Times New Roman"/>
          <w:noProof/>
          <w:sz w:val="24"/>
          <w:szCs w:val="24"/>
        </w:rPr>
      </w:pPr>
      <w:r w:rsidRPr="00D1056D">
        <w:rPr>
          <w:rFonts w:ascii="Times New Roman" w:hAnsi="Times New Roman"/>
          <w:noProof/>
          <w:sz w:val="24"/>
        </w:rPr>
        <w:t>Komisja uważa, że należy udoskonalić mechanizm zawieszający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tak aby umożliwiał on szybkie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zde</w:t>
      </w:r>
      <w:r w:rsidRPr="00D1056D">
        <w:rPr>
          <w:rFonts w:ascii="Times New Roman" w:hAnsi="Times New Roman"/>
          <w:noProof/>
          <w:sz w:val="24"/>
        </w:rPr>
        <w:t>cydowane reagowanie na pojawiające się wyzwania związane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ruc</w:t>
      </w:r>
      <w:r w:rsidRPr="00D1056D">
        <w:rPr>
          <w:rFonts w:ascii="Times New Roman" w:hAnsi="Times New Roman"/>
          <w:noProof/>
          <w:sz w:val="24"/>
        </w:rPr>
        <w:t xml:space="preserve">hem bezwizowym. Jednocześnie </w:t>
      </w:r>
      <w:r w:rsidRPr="00D1056D">
        <w:rPr>
          <w:rFonts w:ascii="Times New Roman" w:hAnsi="Times New Roman"/>
          <w:b/>
          <w:noProof/>
          <w:sz w:val="24"/>
        </w:rPr>
        <w:t>mechanizm zawieszający powinien być</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dal</w:t>
      </w:r>
      <w:r w:rsidRPr="00D1056D">
        <w:rPr>
          <w:rFonts w:ascii="Times New Roman" w:hAnsi="Times New Roman"/>
          <w:b/>
          <w:noProof/>
          <w:sz w:val="24"/>
        </w:rPr>
        <w:t>szym ciągu stosowany</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ost</w:t>
      </w:r>
      <w:r w:rsidRPr="00D1056D">
        <w:rPr>
          <w:rFonts w:ascii="Times New Roman" w:hAnsi="Times New Roman"/>
          <w:b/>
          <w:noProof/>
          <w:sz w:val="24"/>
        </w:rPr>
        <w:t>ateczności</w:t>
      </w:r>
      <w:r w:rsidRPr="00D1056D">
        <w:rPr>
          <w:rFonts w:ascii="Times New Roman" w:hAnsi="Times New Roman"/>
          <w:noProof/>
          <w:sz w:val="24"/>
        </w:rPr>
        <w:t>,</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żad</w:t>
      </w:r>
      <w:r w:rsidRPr="00D1056D">
        <w:rPr>
          <w:rFonts w:ascii="Times New Roman" w:hAnsi="Times New Roman"/>
          <w:noProof/>
          <w:sz w:val="24"/>
        </w:rPr>
        <w:t>nym wypadku nie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spo</w:t>
      </w:r>
      <w:r w:rsidRPr="00D1056D">
        <w:rPr>
          <w:rFonts w:ascii="Times New Roman" w:hAnsi="Times New Roman"/>
          <w:noProof/>
          <w:sz w:val="24"/>
        </w:rPr>
        <w:t>sób automatyczny,</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 podejmowaniu jakichkolwiek decyzji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zakresie należy nadal należycie uwzględniać ogólne stosunki między UE</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dan</w:t>
      </w:r>
      <w:r w:rsidRPr="00D1056D">
        <w:rPr>
          <w:rFonts w:ascii="Times New Roman" w:hAnsi="Times New Roman"/>
          <w:noProof/>
          <w:sz w:val="24"/>
        </w:rPr>
        <w:t>ymi państwami trzecimi</w:t>
      </w:r>
      <w:r w:rsidRPr="00D1056D">
        <w:rPr>
          <w:noProof/>
        </w:rPr>
        <w:t xml:space="preserve"> </w:t>
      </w:r>
      <w:r w:rsidRPr="00D1056D">
        <w:rPr>
          <w:rFonts w:ascii="Times New Roman" w:hAnsi="Times New Roman"/>
          <w:noProof/>
          <w:sz w:val="24"/>
        </w:rPr>
        <w:t>oraz ogólny kontekst polityczny</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pon</w:t>
      </w:r>
      <w:r w:rsidRPr="00D1056D">
        <w:rPr>
          <w:rFonts w:ascii="Times New Roman" w:hAnsi="Times New Roman"/>
          <w:noProof/>
          <w:sz w:val="24"/>
        </w:rPr>
        <w:t>iższych sekcjach przedstawiono aspekty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odn</w:t>
      </w:r>
      <w:r w:rsidRPr="00D1056D">
        <w:rPr>
          <w:rFonts w:ascii="Times New Roman" w:hAnsi="Times New Roman"/>
          <w:noProof/>
          <w:sz w:val="24"/>
        </w:rPr>
        <w:t>iesieniu do których Komisja przeprowadzi dalsze konsultacje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Par</w:t>
      </w:r>
      <w:r w:rsidRPr="00D1056D">
        <w:rPr>
          <w:rFonts w:ascii="Times New Roman" w:hAnsi="Times New Roman"/>
          <w:noProof/>
          <w:sz w:val="24"/>
        </w:rPr>
        <w:t>lamentem Europejskim</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Rad</w:t>
      </w:r>
      <w:r w:rsidRPr="00D1056D">
        <w:rPr>
          <w:rFonts w:ascii="Times New Roman" w:hAnsi="Times New Roman"/>
          <w:noProof/>
          <w:sz w:val="24"/>
        </w:rPr>
        <w:t>ą</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cel</w:t>
      </w:r>
      <w:r w:rsidRPr="00D1056D">
        <w:rPr>
          <w:rFonts w:ascii="Times New Roman" w:hAnsi="Times New Roman"/>
          <w:noProof/>
          <w:sz w:val="24"/>
        </w:rPr>
        <w:t>u przedstawienia wniosku ustawodawczego.</w:t>
      </w:r>
    </w:p>
    <w:p w14:paraId="16D997FB" w14:textId="77777777" w:rsidR="009B0B0A" w:rsidRPr="00D1056D" w:rsidRDefault="009B0B0A" w:rsidP="00B07199">
      <w:pPr>
        <w:keepNext/>
        <w:numPr>
          <w:ilvl w:val="0"/>
          <w:numId w:val="23"/>
        </w:numPr>
        <w:spacing w:after="240"/>
        <w:rPr>
          <w:rFonts w:ascii="Times New Roman" w:eastAsia="Times New Roman" w:hAnsi="Times New Roman" w:cs="Times New Roman"/>
          <w:b/>
          <w:i/>
          <w:noProof/>
          <w:sz w:val="24"/>
          <w:szCs w:val="20"/>
        </w:rPr>
      </w:pPr>
      <w:r w:rsidRPr="00D1056D">
        <w:rPr>
          <w:rFonts w:ascii="Times New Roman" w:hAnsi="Times New Roman"/>
          <w:b/>
          <w:i/>
          <w:noProof/>
          <w:sz w:val="24"/>
        </w:rPr>
        <w:t>Podstawy zawieszenia</w:t>
      </w:r>
    </w:p>
    <w:p w14:paraId="34A83ED8" w14:textId="77215A40" w:rsidR="009B0B0A" w:rsidRPr="00D1056D" w:rsidRDefault="009B0B0A" w:rsidP="00B07199">
      <w:pPr>
        <w:keepNext/>
        <w:spacing w:after="240"/>
        <w:jc w:val="both"/>
        <w:rPr>
          <w:rFonts w:ascii="Times New Roman" w:eastAsia="Times New Roman" w:hAnsi="Times New Roman" w:cs="Times New Roman"/>
          <w:noProof/>
          <w:sz w:val="24"/>
          <w:szCs w:val="24"/>
        </w:rPr>
      </w:pPr>
      <w:r w:rsidRPr="00D1056D">
        <w:rPr>
          <w:rFonts w:ascii="Times New Roman" w:hAnsi="Times New Roman"/>
          <w:noProof/>
          <w:sz w:val="24"/>
        </w:rPr>
        <w:t>Obecnie (art.</w:t>
      </w:r>
      <w:r w:rsidR="00D1056D" w:rsidRPr="00D1056D">
        <w:rPr>
          <w:rFonts w:ascii="Times New Roman" w:hAnsi="Times New Roman"/>
          <w:noProof/>
          <w:sz w:val="24"/>
        </w:rPr>
        <w:t> </w:t>
      </w:r>
      <w:r w:rsidRPr="00D1056D">
        <w:rPr>
          <w:rFonts w:ascii="Times New Roman" w:hAnsi="Times New Roman"/>
          <w:noProof/>
          <w:sz w:val="24"/>
        </w:rPr>
        <w:t>8 ust.</w:t>
      </w:r>
      <w:r w:rsidR="00D1056D" w:rsidRPr="00D1056D">
        <w:rPr>
          <w:rFonts w:ascii="Times New Roman" w:hAnsi="Times New Roman"/>
          <w:noProof/>
          <w:sz w:val="24"/>
        </w:rPr>
        <w:t> </w:t>
      </w:r>
      <w:r w:rsidRPr="00D1056D">
        <w:rPr>
          <w:rFonts w:ascii="Times New Roman" w:hAnsi="Times New Roman"/>
          <w:noProof/>
          <w:sz w:val="24"/>
        </w:rPr>
        <w:t>2, 3</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4</w:t>
      </w:r>
      <w:r w:rsidRPr="00D1056D">
        <w:rPr>
          <w:rFonts w:ascii="Times New Roman" w:hAnsi="Times New Roman"/>
          <w:noProof/>
          <w:sz w:val="24"/>
        </w:rPr>
        <w:t xml:space="preserve"> rozporządzenia wizowego) mechanizm zawieszający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może zostać uruchomiony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w:t>
      </w:r>
    </w:p>
    <w:p w14:paraId="357FA2F6" w14:textId="56122509" w:rsidR="009B0B0A" w:rsidRPr="00D1056D" w:rsidRDefault="009B0B0A" w:rsidP="00EE1920">
      <w:pPr>
        <w:numPr>
          <w:ilvl w:val="0"/>
          <w:numId w:val="19"/>
        </w:numPr>
        <w:spacing w:after="240" w:line="240" w:lineRule="auto"/>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 xml:space="preserve">znacznego wzrostu liczby obywateli danego państwa trzeciego, którym odmawia się wjazdu lub którzy przebywają bezprawnie na terytorium danego państwa członkowskiego; </w:t>
      </w:r>
    </w:p>
    <w:p w14:paraId="7C9B7D92" w14:textId="78613938" w:rsidR="009B0B0A" w:rsidRPr="00D1056D" w:rsidRDefault="009B0B0A" w:rsidP="00C9429C">
      <w:pPr>
        <w:numPr>
          <w:ilvl w:val="0"/>
          <w:numId w:val="19"/>
        </w:numPr>
        <w:spacing w:after="240" w:line="240" w:lineRule="auto"/>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 xml:space="preserve">znacznego wzrostu liczby </w:t>
      </w:r>
      <w:r w:rsidRPr="00D1056D">
        <w:rPr>
          <w:rFonts w:ascii="Times New Roman" w:hAnsi="Times New Roman"/>
          <w:b/>
          <w:noProof/>
          <w:sz w:val="24"/>
        </w:rPr>
        <w:t>wniosków</w:t>
      </w:r>
      <w:r w:rsidR="00D1056D" w:rsidRPr="00D1056D">
        <w:rPr>
          <w:rFonts w:ascii="Times New Roman" w:hAnsi="Times New Roman"/>
          <w:b/>
          <w:noProof/>
          <w:sz w:val="24"/>
        </w:rPr>
        <w:t xml:space="preserve"> o</w:t>
      </w:r>
      <w:r w:rsidR="00D1056D">
        <w:rPr>
          <w:rFonts w:ascii="Times New Roman" w:hAnsi="Times New Roman"/>
          <w:b/>
          <w:noProof/>
          <w:sz w:val="24"/>
        </w:rPr>
        <w:t> </w:t>
      </w:r>
      <w:r w:rsidR="00D1056D" w:rsidRPr="00D1056D">
        <w:rPr>
          <w:rFonts w:ascii="Times New Roman" w:hAnsi="Times New Roman"/>
          <w:b/>
          <w:noProof/>
          <w:sz w:val="24"/>
        </w:rPr>
        <w:t>udz</w:t>
      </w:r>
      <w:r w:rsidRPr="00D1056D">
        <w:rPr>
          <w:rFonts w:ascii="Times New Roman" w:hAnsi="Times New Roman"/>
          <w:b/>
          <w:noProof/>
          <w:sz w:val="24"/>
        </w:rPr>
        <w:t>ielenie azylu napływających od obywateli danego państwa trzeciego,</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prz</w:t>
      </w:r>
      <w:r w:rsidRPr="00D1056D">
        <w:rPr>
          <w:rFonts w:ascii="Times New Roman" w:hAnsi="Times New Roman"/>
          <w:b/>
          <w:noProof/>
          <w:sz w:val="24"/>
        </w:rPr>
        <w:t>ypadku których wskaźnik przyznawania azylu jest niski</w:t>
      </w:r>
      <w:r w:rsidRPr="00D1056D">
        <w:rPr>
          <w:rFonts w:ascii="Times New Roman" w:hAnsi="Times New Roman"/>
          <w:noProof/>
          <w:sz w:val="24"/>
        </w:rPr>
        <w:t xml:space="preserve">; </w:t>
      </w:r>
    </w:p>
    <w:p w14:paraId="742D51CE" w14:textId="68C5F422" w:rsidR="009B0B0A" w:rsidRPr="00D1056D" w:rsidRDefault="009B0B0A" w:rsidP="00EE1920">
      <w:pPr>
        <w:numPr>
          <w:ilvl w:val="0"/>
          <w:numId w:val="19"/>
        </w:numPr>
        <w:spacing w:after="240" w:line="240" w:lineRule="auto"/>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 xml:space="preserve">pogorszenia się </w:t>
      </w:r>
      <w:r w:rsidRPr="00D1056D">
        <w:rPr>
          <w:rFonts w:ascii="Times New Roman" w:hAnsi="Times New Roman"/>
          <w:b/>
          <w:noProof/>
          <w:sz w:val="24"/>
        </w:rPr>
        <w:t>współpracy</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dan</w:t>
      </w:r>
      <w:r w:rsidRPr="00D1056D">
        <w:rPr>
          <w:rFonts w:ascii="Times New Roman" w:hAnsi="Times New Roman"/>
          <w:b/>
          <w:noProof/>
          <w:sz w:val="24"/>
        </w:rPr>
        <w:t>ym państwem trzecim</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zak</w:t>
      </w:r>
      <w:r w:rsidRPr="00D1056D">
        <w:rPr>
          <w:rFonts w:ascii="Times New Roman" w:hAnsi="Times New Roman"/>
          <w:b/>
          <w:noProof/>
          <w:sz w:val="24"/>
        </w:rPr>
        <w:t>resie readmisji</w:t>
      </w:r>
      <w:r w:rsidRPr="00D1056D">
        <w:rPr>
          <w:rFonts w:ascii="Times New Roman" w:hAnsi="Times New Roman"/>
          <w:noProof/>
          <w:sz w:val="24"/>
        </w:rPr>
        <w:t>;</w:t>
      </w:r>
    </w:p>
    <w:p w14:paraId="09A85123" w14:textId="452CFD3B" w:rsidR="009B0B0A" w:rsidRPr="00D1056D" w:rsidRDefault="009B0B0A" w:rsidP="00ED6804">
      <w:pPr>
        <w:numPr>
          <w:ilvl w:val="0"/>
          <w:numId w:val="19"/>
        </w:numPr>
        <w:spacing w:after="240" w:line="240" w:lineRule="auto"/>
        <w:ind w:left="714" w:hanging="357"/>
        <w:contextualSpacing/>
        <w:jc w:val="both"/>
        <w:rPr>
          <w:rFonts w:ascii="Times New Roman" w:eastAsia="Times New Roman" w:hAnsi="Times New Roman" w:cs="Times New Roman"/>
          <w:noProof/>
          <w:sz w:val="24"/>
          <w:szCs w:val="24"/>
        </w:rPr>
      </w:pPr>
      <w:r w:rsidRPr="00D1056D">
        <w:rPr>
          <w:rFonts w:ascii="Times New Roman" w:hAnsi="Times New Roman"/>
          <w:b/>
          <w:noProof/>
          <w:sz w:val="24"/>
        </w:rPr>
        <w:t>wzrostu zagrożenia lub bezpośredniej groźby</w:t>
      </w:r>
      <w:r w:rsidRPr="00D1056D">
        <w:rPr>
          <w:rFonts w:ascii="Times New Roman" w:hAnsi="Times New Roman"/>
          <w:noProof/>
          <w:sz w:val="24"/>
        </w:rPr>
        <w:t xml:space="preserve"> dla porządku publicznego lub bezpieczeństwa wewnętrznego państw członkowskich –</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znacznego wzrostu poważnych przestępstw związanych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oby</w:t>
      </w:r>
      <w:r w:rsidRPr="00D1056D">
        <w:rPr>
          <w:rFonts w:ascii="Times New Roman" w:hAnsi="Times New Roman"/>
          <w:noProof/>
          <w:sz w:val="24"/>
        </w:rPr>
        <w:t>watelami danego państwa trzeciego;</w:t>
      </w:r>
    </w:p>
    <w:p w14:paraId="1B33F43F" w14:textId="1C915592" w:rsidR="00D335FD" w:rsidRPr="00D1056D" w:rsidRDefault="0038061C" w:rsidP="006846B0">
      <w:pPr>
        <w:numPr>
          <w:ilvl w:val="0"/>
          <w:numId w:val="19"/>
        </w:numPr>
        <w:spacing w:after="240" w:line="240" w:lineRule="auto"/>
        <w:ind w:left="714" w:hanging="357"/>
        <w:jc w:val="both"/>
        <w:rPr>
          <w:rFonts w:ascii="Times New Roman" w:eastAsia="Times New Roman" w:hAnsi="Times New Roman" w:cs="Times New Roman"/>
          <w:noProof/>
          <w:sz w:val="24"/>
          <w:szCs w:val="24"/>
        </w:rPr>
      </w:pPr>
      <w:r w:rsidRPr="00D1056D">
        <w:rPr>
          <w:rFonts w:ascii="Times New Roman" w:hAnsi="Times New Roman"/>
          <w:noProof/>
          <w:sz w:val="24"/>
        </w:rPr>
        <w:t>w odniesieniu do państw trzecich, którym przyznano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wyn</w:t>
      </w:r>
      <w:r w:rsidRPr="00D1056D">
        <w:rPr>
          <w:rFonts w:ascii="Times New Roman" w:hAnsi="Times New Roman"/>
          <w:noProof/>
          <w:sz w:val="24"/>
        </w:rPr>
        <w:t>iku dialogu</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 xml:space="preserve">awie liberalizacji reżimu wizowego – </w:t>
      </w:r>
      <w:r w:rsidRPr="00D1056D">
        <w:rPr>
          <w:rFonts w:ascii="Times New Roman" w:hAnsi="Times New Roman"/>
          <w:b/>
          <w:noProof/>
          <w:sz w:val="24"/>
        </w:rPr>
        <w:t>niespełniania szczegółowych wymogów, które zastosowano do oceny zasadności liberalizacji reżimu wizowego</w:t>
      </w:r>
      <w:r w:rsidRPr="00D1056D">
        <w:rPr>
          <w:rFonts w:ascii="Times New Roman" w:hAnsi="Times New Roman"/>
          <w:noProof/>
          <w:sz w:val="24"/>
        </w:rPr>
        <w:t>.</w:t>
      </w:r>
    </w:p>
    <w:p w14:paraId="193D6497" w14:textId="0DCB5031" w:rsidR="009B0B0A" w:rsidRPr="00D1056D" w:rsidRDefault="009B0B0A" w:rsidP="00EE1920">
      <w:pPr>
        <w:keepNext/>
        <w:spacing w:after="240"/>
        <w:jc w:val="both"/>
        <w:rPr>
          <w:rFonts w:ascii="Times New Roman" w:eastAsia="Times New Roman" w:hAnsi="Times New Roman" w:cs="Times New Roman"/>
          <w:noProof/>
          <w:sz w:val="24"/>
          <w:szCs w:val="24"/>
        </w:rPr>
      </w:pPr>
      <w:r w:rsidRPr="00D1056D">
        <w:rPr>
          <w:rFonts w:ascii="Times New Roman" w:hAnsi="Times New Roman"/>
          <w:noProof/>
          <w:sz w:val="24"/>
        </w:rPr>
        <w:t>Zdaniem kilku państw członkowskich powyższe podstawy zawieszenia są zbyt ograniczone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w:t>
      </w:r>
      <w:r w:rsidR="00D1056D">
        <w:rPr>
          <w:rFonts w:ascii="Times New Roman" w:hAnsi="Times New Roman"/>
          <w:noProof/>
          <w:sz w:val="24"/>
        </w:rPr>
        <w:t> </w:t>
      </w:r>
      <w:bookmarkStart w:id="6" w:name="_Hlk134282716"/>
      <w:r w:rsidR="00D1056D" w:rsidRPr="00D1056D">
        <w:rPr>
          <w:rFonts w:ascii="Times New Roman" w:hAnsi="Times New Roman"/>
          <w:noProof/>
          <w:sz w:val="24"/>
        </w:rPr>
        <w:t>efe</w:t>
      </w:r>
      <w:r w:rsidRPr="00D1056D">
        <w:rPr>
          <w:rFonts w:ascii="Times New Roman" w:hAnsi="Times New Roman"/>
          <w:noProof/>
          <w:sz w:val="24"/>
        </w:rPr>
        <w:t>kcie nie obejmują wielu różnych sytuacji,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rych system bezwizowy mógłby być nadużywany lub powodować ryzyko migracji nieuregulowanej lub ryzyko dla bezpieczeństwa UE.</w:t>
      </w:r>
      <w:bookmarkEnd w:id="6"/>
      <w:r w:rsidRPr="00D1056D">
        <w:rPr>
          <w:rFonts w:ascii="Times New Roman" w:hAnsi="Times New Roman"/>
          <w:noProof/>
          <w:sz w:val="24"/>
        </w:rPr>
        <w:t xml:space="preserve"> </w:t>
      </w:r>
    </w:p>
    <w:p w14:paraId="7597EE27" w14:textId="32FF40C8" w:rsidR="009B0B0A" w:rsidRPr="00D1056D" w:rsidRDefault="009B0B0A" w:rsidP="00EE1920">
      <w:pPr>
        <w:spacing w:after="240" w:line="240" w:lineRule="auto"/>
        <w:jc w:val="both"/>
        <w:rPr>
          <w:rFonts w:ascii="Times New Roman" w:eastAsia="Times New Roman" w:hAnsi="Times New Roman" w:cs="Times New Roman"/>
          <w:noProof/>
          <w:sz w:val="24"/>
          <w:szCs w:val="24"/>
        </w:rPr>
      </w:pPr>
      <w:r w:rsidRPr="00D1056D">
        <w:rPr>
          <w:rFonts w:ascii="Times New Roman" w:hAnsi="Times New Roman"/>
          <w:noProof/>
          <w:sz w:val="24"/>
        </w:rPr>
        <w:t>Jeżeli chodzi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b/>
          <w:noProof/>
          <w:sz w:val="24"/>
        </w:rPr>
        <w:t>mig</w:t>
      </w:r>
      <w:r w:rsidRPr="00D1056D">
        <w:rPr>
          <w:rFonts w:ascii="Times New Roman" w:hAnsi="Times New Roman"/>
          <w:b/>
          <w:noProof/>
          <w:sz w:val="24"/>
        </w:rPr>
        <w:t>rację nieuregulowaną</w:t>
      </w:r>
      <w:r w:rsidRPr="00D1056D">
        <w:rPr>
          <w:rFonts w:ascii="Times New Roman" w:hAnsi="Times New Roman"/>
          <w:noProof/>
          <w:sz w:val="24"/>
        </w:rPr>
        <w:t xml:space="preserve">, </w:t>
      </w:r>
      <w:r w:rsidRPr="00D1056D">
        <w:rPr>
          <w:rFonts w:ascii="Times New Roman" w:hAnsi="Times New Roman"/>
          <w:b/>
          <w:noProof/>
          <w:sz w:val="24"/>
        </w:rPr>
        <w:t>brak dostosowania polityki wizowej</w:t>
      </w:r>
      <w:r w:rsidRPr="00D1056D">
        <w:rPr>
          <w:rFonts w:ascii="Times New Roman" w:hAnsi="Times New Roman"/>
          <w:noProof/>
          <w:sz w:val="24"/>
        </w:rPr>
        <w:t xml:space="preserve"> nie stanowi obecnie podstawy do zawieszenia</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zwi</w:t>
      </w:r>
      <w:r w:rsidRPr="00D1056D">
        <w:rPr>
          <w:rFonts w:ascii="Times New Roman" w:hAnsi="Times New Roman"/>
          <w:noProof/>
          <w:sz w:val="24"/>
        </w:rPr>
        <w:t>ązku</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skuteczność mechanizmu zawieszającego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roz</w:t>
      </w:r>
      <w:r w:rsidRPr="00D1056D">
        <w:rPr>
          <w:rFonts w:ascii="Times New Roman" w:hAnsi="Times New Roman"/>
          <w:noProof/>
          <w:sz w:val="24"/>
        </w:rPr>
        <w:t>wiązywaniu sytuacji związanych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mig</w:t>
      </w:r>
      <w:r w:rsidRPr="00D1056D">
        <w:rPr>
          <w:rFonts w:ascii="Times New Roman" w:hAnsi="Times New Roman"/>
          <w:noProof/>
          <w:sz w:val="24"/>
        </w:rPr>
        <w:t>rantami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nie</w:t>
      </w:r>
      <w:r w:rsidRPr="00D1056D">
        <w:rPr>
          <w:rFonts w:ascii="Times New Roman" w:hAnsi="Times New Roman"/>
          <w:noProof/>
          <w:sz w:val="24"/>
        </w:rPr>
        <w:t>uregulowanym statusie, którzy przedostają się tranzytem przez sąsiadujące państwa trzecie zwolnione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tak jak miało to miejsce ostatnio na Bałkanach Zachodnich, może być ograniczona. </w:t>
      </w:r>
    </w:p>
    <w:p w14:paraId="60984F45" w14:textId="4FE64D20" w:rsidR="009B0B0A" w:rsidRPr="00D1056D" w:rsidRDefault="009B0B0A" w:rsidP="00EE1920">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rPr>
      </w:pPr>
      <w:r w:rsidRPr="00D1056D">
        <w:rPr>
          <w:rFonts w:ascii="Times New Roman" w:hAnsi="Times New Roman"/>
          <w:b/>
          <w:noProof/>
          <w:sz w:val="24"/>
        </w:rPr>
        <w:t>Komisja zamierza zbadać możliwość dodania braku dostosowania polityki wizowej jako nowej podstawy zawieszenia</w:t>
      </w:r>
      <w:r w:rsidRPr="00D1056D">
        <w:rPr>
          <w:rFonts w:ascii="Times New Roman" w:hAnsi="Times New Roman"/>
          <w:noProof/>
          <w:sz w:val="24"/>
        </w:rPr>
        <w:t>,</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gdy brak ten może spowodować ryzyko migracji nieuregulowanej do UE. Taka nowa podstawa umożliwiłaby uruchomienie mechanizmu zawieszającego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ypadkach,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rych brak dostosowania przepisów wizowych przez państwo trzecie zwolnione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umożliwił lub może umożliwić nielegalny wjazd do UE obywatelom państw trzecich, którzy legalnie przebywają</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państwie zwolnionym</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wyn</w:t>
      </w:r>
      <w:r w:rsidRPr="00D1056D">
        <w:rPr>
          <w:rFonts w:ascii="Times New Roman" w:hAnsi="Times New Roman"/>
          <w:noProof/>
          <w:sz w:val="24"/>
        </w:rPr>
        <w:t>iku ruchu bezwizowego.</w:t>
      </w:r>
    </w:p>
    <w:p w14:paraId="4E25E2B5" w14:textId="77777777" w:rsidR="009B0B0A" w:rsidRPr="00D1056D"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4B9736A9" w14:textId="39DC1A08" w:rsidR="009B0B0A" w:rsidRPr="00D1056D" w:rsidRDefault="00462F04" w:rsidP="00EE1920">
      <w:pPr>
        <w:spacing w:after="240" w:line="240" w:lineRule="auto"/>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Jeżeli chodzi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b/>
          <w:noProof/>
          <w:sz w:val="24"/>
        </w:rPr>
        <w:t>por</w:t>
      </w:r>
      <w:r w:rsidRPr="00D1056D">
        <w:rPr>
          <w:rFonts w:ascii="Times New Roman" w:hAnsi="Times New Roman"/>
          <w:b/>
          <w:noProof/>
          <w:sz w:val="24"/>
        </w:rPr>
        <w:t>ządek publiczny</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bez</w:t>
      </w:r>
      <w:r w:rsidRPr="00D1056D">
        <w:rPr>
          <w:rFonts w:ascii="Times New Roman" w:hAnsi="Times New Roman"/>
          <w:b/>
          <w:noProof/>
          <w:sz w:val="24"/>
        </w:rPr>
        <w:t>pieczeństwo wewnętrzne</w:t>
      </w:r>
      <w:r w:rsidRPr="00D1056D">
        <w:rPr>
          <w:rFonts w:ascii="Times New Roman" w:hAnsi="Times New Roman"/>
          <w:noProof/>
          <w:sz w:val="24"/>
        </w:rPr>
        <w:t>, obecna podstawa zawieszenia (art.</w:t>
      </w:r>
      <w:r w:rsidR="00D1056D" w:rsidRPr="00D1056D">
        <w:rPr>
          <w:rFonts w:ascii="Times New Roman" w:hAnsi="Times New Roman"/>
          <w:noProof/>
          <w:sz w:val="24"/>
        </w:rPr>
        <w:t> </w:t>
      </w:r>
      <w:r w:rsidRPr="00D1056D">
        <w:rPr>
          <w:rFonts w:ascii="Times New Roman" w:hAnsi="Times New Roman"/>
          <w:noProof/>
          <w:sz w:val="24"/>
        </w:rPr>
        <w:t>8 ust.</w:t>
      </w:r>
      <w:r w:rsidR="00D1056D" w:rsidRPr="00D1056D">
        <w:rPr>
          <w:rFonts w:ascii="Times New Roman" w:hAnsi="Times New Roman"/>
          <w:noProof/>
          <w:sz w:val="24"/>
        </w:rPr>
        <w:t> </w:t>
      </w:r>
      <w:r w:rsidRPr="00D1056D">
        <w:rPr>
          <w:rFonts w:ascii="Times New Roman" w:hAnsi="Times New Roman"/>
          <w:noProof/>
          <w:sz w:val="24"/>
        </w:rPr>
        <w:t>2 lit.</w:t>
      </w:r>
      <w:r w:rsidR="00D1056D" w:rsidRPr="00D1056D">
        <w:rPr>
          <w:rFonts w:ascii="Times New Roman" w:hAnsi="Times New Roman"/>
          <w:noProof/>
          <w:sz w:val="24"/>
        </w:rPr>
        <w:t> </w:t>
      </w:r>
      <w:r w:rsidRPr="00D1056D">
        <w:rPr>
          <w:rFonts w:ascii="Times New Roman" w:hAnsi="Times New Roman"/>
          <w:noProof/>
          <w:sz w:val="24"/>
        </w:rPr>
        <w:t>d)) umożliwia uruchomienie mechanizmu zawieszającego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zwiększonego ryzyka dla bezpieczeństwa wewnętrznego państw członkowskich związanego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oby</w:t>
      </w:r>
      <w:r w:rsidRPr="00D1056D">
        <w:rPr>
          <w:rFonts w:ascii="Times New Roman" w:hAnsi="Times New Roman"/>
          <w:noProof/>
          <w:sz w:val="24"/>
        </w:rPr>
        <w:t>watelami państwa zwolnionego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Nie odniesiono się tu jednak wyraźnie do ryzyka dla bezpieczeństwa wynikającego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pro</w:t>
      </w:r>
      <w:r w:rsidRPr="00D1056D">
        <w:rPr>
          <w:rFonts w:ascii="Times New Roman" w:hAnsi="Times New Roman"/>
          <w:noProof/>
          <w:sz w:val="24"/>
        </w:rPr>
        <w:t>wadzenia przez państwa zwolnione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w:t>
      </w:r>
      <w:r w:rsidRPr="00D1056D">
        <w:rPr>
          <w:rFonts w:ascii="Times New Roman" w:hAnsi="Times New Roman"/>
          <w:b/>
          <w:noProof/>
          <w:sz w:val="24"/>
        </w:rPr>
        <w:t>programów obywatelstwa dla inwestorów</w:t>
      </w:r>
      <w:r w:rsidRPr="00D1056D">
        <w:rPr>
          <w:rFonts w:ascii="Times New Roman" w:hAnsi="Times New Roman"/>
          <w:noProof/>
          <w:sz w:val="24"/>
        </w:rPr>
        <w:t xml:space="preserve"> ani </w:t>
      </w:r>
      <w:r w:rsidRPr="00D1056D">
        <w:rPr>
          <w:rFonts w:ascii="Times New Roman" w:hAnsi="Times New Roman"/>
          <w:b/>
          <w:noProof/>
          <w:sz w:val="24"/>
        </w:rPr>
        <w:t>zagrożeń hybrydowych</w:t>
      </w:r>
      <w:r w:rsidRPr="00D1056D">
        <w:rPr>
          <w:rFonts w:ascii="Times New Roman" w:hAnsi="Times New Roman"/>
          <w:noProof/>
          <w:sz w:val="24"/>
        </w:rPr>
        <w:t xml:space="preserve">. </w:t>
      </w:r>
    </w:p>
    <w:p w14:paraId="6714872B" w14:textId="77777777" w:rsidR="009B0B0A" w:rsidRPr="00D1056D"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20F4540D" w14:textId="13DE07B2" w:rsidR="009B0B0A" w:rsidRPr="00D1056D" w:rsidRDefault="00F86DB4" w:rsidP="00EE1920">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rPr>
      </w:pPr>
      <w:r w:rsidRPr="00D1056D">
        <w:rPr>
          <w:rFonts w:ascii="Times New Roman" w:hAnsi="Times New Roman"/>
          <w:b/>
          <w:noProof/>
          <w:sz w:val="24"/>
        </w:rPr>
        <w:t>Komisja zamierza zbadać możliwość rozszerzenia zakresu obecnej podstawy dotyczącej porządku publicznego</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bez</w:t>
      </w:r>
      <w:r w:rsidRPr="00D1056D">
        <w:rPr>
          <w:rFonts w:ascii="Times New Roman" w:hAnsi="Times New Roman"/>
          <w:b/>
          <w:noProof/>
          <w:sz w:val="24"/>
        </w:rPr>
        <w:t>pieczeństwa</w:t>
      </w:r>
      <w:r w:rsidRPr="00D1056D">
        <w:rPr>
          <w:rFonts w:ascii="Times New Roman" w:hAnsi="Times New Roman"/>
          <w:noProof/>
          <w:sz w:val="24"/>
        </w:rPr>
        <w:t>, tak aby obejmowała ona dodatkowe możliwe zagrożenia związane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stwami trzecimi zwolnionymi</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zagrożenia związane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fun</w:t>
      </w:r>
      <w:r w:rsidRPr="00D1056D">
        <w:rPr>
          <w:rFonts w:ascii="Times New Roman" w:hAnsi="Times New Roman"/>
          <w:noProof/>
          <w:sz w:val="24"/>
        </w:rPr>
        <w:t xml:space="preserve">kcjonowaniem </w:t>
      </w:r>
      <w:r w:rsidRPr="00D1056D">
        <w:rPr>
          <w:rFonts w:ascii="Times New Roman" w:hAnsi="Times New Roman"/>
          <w:b/>
          <w:noProof/>
          <w:sz w:val="24"/>
        </w:rPr>
        <w:t>programów obywatelstwa dla inwestorów</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b/>
          <w:noProof/>
          <w:sz w:val="24"/>
        </w:rPr>
        <w:t>zag</w:t>
      </w:r>
      <w:r w:rsidRPr="00D1056D">
        <w:rPr>
          <w:rFonts w:ascii="Times New Roman" w:hAnsi="Times New Roman"/>
          <w:b/>
          <w:noProof/>
          <w:sz w:val="24"/>
        </w:rPr>
        <w:t>rożenia hybrydowe</w:t>
      </w:r>
      <w:r w:rsidRPr="00D1056D">
        <w:rPr>
          <w:rFonts w:ascii="Times New Roman" w:hAnsi="Times New Roman"/>
          <w:noProof/>
          <w:sz w:val="24"/>
        </w:rPr>
        <w:t>.</w:t>
      </w:r>
      <w:r w:rsidRPr="00D1056D">
        <w:rPr>
          <w:rFonts w:ascii="Times New Roman" w:hAnsi="Times New Roman"/>
          <w:b/>
          <w:noProof/>
          <w:sz w:val="24"/>
        </w:rPr>
        <w:t xml:space="preserve"> </w:t>
      </w:r>
    </w:p>
    <w:p w14:paraId="58492780" w14:textId="77777777" w:rsidR="009B0B0A" w:rsidRPr="00D1056D" w:rsidRDefault="009B0B0A" w:rsidP="00EE1920">
      <w:pPr>
        <w:spacing w:after="240" w:line="240" w:lineRule="auto"/>
        <w:contextualSpacing/>
        <w:jc w:val="both"/>
        <w:rPr>
          <w:rFonts w:ascii="Times New Roman" w:eastAsia="Times New Roman" w:hAnsi="Times New Roman" w:cs="Times New Roman"/>
          <w:noProof/>
          <w:sz w:val="24"/>
          <w:szCs w:val="24"/>
          <w:lang w:eastAsia="en-GB"/>
        </w:rPr>
      </w:pPr>
    </w:p>
    <w:p w14:paraId="078C0EC0" w14:textId="1B532D8B" w:rsidR="007716FF" w:rsidRPr="00D1056D" w:rsidRDefault="00B93DB3" w:rsidP="00EE1920">
      <w:pPr>
        <w:spacing w:after="240" w:line="240" w:lineRule="auto"/>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Obecny mechanizm zawieszający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nie przewiduje ponadto możliwości określenia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b/>
          <w:noProof/>
          <w:sz w:val="24"/>
        </w:rPr>
        <w:t>umo</w:t>
      </w:r>
      <w:r w:rsidRPr="00D1056D">
        <w:rPr>
          <w:rFonts w:ascii="Times New Roman" w:hAnsi="Times New Roman"/>
          <w:b/>
          <w:noProof/>
          <w:sz w:val="24"/>
        </w:rPr>
        <w:t>wach</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spr</w:t>
      </w:r>
      <w:r w:rsidRPr="00D1056D">
        <w:rPr>
          <w:rFonts w:ascii="Times New Roman" w:hAnsi="Times New Roman"/>
          <w:b/>
          <w:noProof/>
          <w:sz w:val="24"/>
        </w:rPr>
        <w:t>awie zniesienia wiz</w:t>
      </w:r>
      <w:r w:rsidRPr="00D1056D">
        <w:rPr>
          <w:rFonts w:ascii="Times New Roman" w:hAnsi="Times New Roman"/>
          <w:noProof/>
          <w:sz w:val="24"/>
        </w:rPr>
        <w:t xml:space="preserve"> między UE</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stwami trzecimi podstaw zawieszenia, które nie są uwzględnione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roz</w:t>
      </w:r>
      <w:r w:rsidRPr="00D1056D">
        <w:rPr>
          <w:rFonts w:ascii="Times New Roman" w:hAnsi="Times New Roman"/>
          <w:noProof/>
          <w:sz w:val="24"/>
        </w:rPr>
        <w:t>porządzeniu wizowym, na przykład</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cel</w:t>
      </w:r>
      <w:r w:rsidRPr="00D1056D">
        <w:rPr>
          <w:rFonts w:ascii="Times New Roman" w:hAnsi="Times New Roman"/>
          <w:noProof/>
          <w:sz w:val="24"/>
        </w:rPr>
        <w:t>u uwzględnienia konkretnych okoliczności związanych ze stosunkami między negocjującymi stronami</w:t>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ypadku gdy UE podejmie decyzję</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zaw</w:t>
      </w:r>
      <w:r w:rsidRPr="00D1056D">
        <w:rPr>
          <w:rFonts w:ascii="Times New Roman" w:hAnsi="Times New Roman"/>
          <w:noProof/>
          <w:sz w:val="24"/>
        </w:rPr>
        <w:t>ieszeniu stosowania umowy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zniesienia wiz</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stwem trzecim (na poziomie prawa międzynarodowego), musi istnieć również możliwość wprowadzenia takiego zawieszenia na poziomie prawa Unii.</w:t>
      </w:r>
    </w:p>
    <w:p w14:paraId="46DF66EA" w14:textId="77777777" w:rsidR="007716FF" w:rsidRPr="00D1056D" w:rsidRDefault="007716FF" w:rsidP="00EE1920">
      <w:pPr>
        <w:spacing w:after="240" w:line="240" w:lineRule="auto"/>
        <w:contextualSpacing/>
        <w:jc w:val="both"/>
        <w:rPr>
          <w:rFonts w:ascii="Times New Roman" w:eastAsia="Times New Roman" w:hAnsi="Times New Roman" w:cs="Times New Roman"/>
          <w:noProof/>
          <w:sz w:val="24"/>
          <w:szCs w:val="24"/>
          <w:lang w:eastAsia="en-GB"/>
        </w:rPr>
      </w:pPr>
    </w:p>
    <w:p w14:paraId="737A2945" w14:textId="1534205E" w:rsidR="00B93DB3" w:rsidRPr="00D1056D" w:rsidRDefault="00795782" w:rsidP="00ED6804">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imes New Roman" w:hAnsi="Times New Roman" w:cs="Times New Roman"/>
          <w:noProof/>
          <w:sz w:val="24"/>
          <w:szCs w:val="24"/>
        </w:rPr>
      </w:pPr>
      <w:r w:rsidRPr="00D1056D">
        <w:rPr>
          <w:rFonts w:ascii="Times New Roman" w:hAnsi="Times New Roman"/>
          <w:noProof/>
          <w:sz w:val="24"/>
        </w:rPr>
        <w:t>Aby zapewnić tę możliwość</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pra</w:t>
      </w:r>
      <w:r w:rsidRPr="00D1056D">
        <w:rPr>
          <w:rFonts w:ascii="Times New Roman" w:hAnsi="Times New Roman"/>
          <w:noProof/>
          <w:sz w:val="24"/>
        </w:rPr>
        <w:t>widłowe powiązanie między mechanizmem zawieszającym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uni</w:t>
      </w:r>
      <w:r w:rsidRPr="00D1056D">
        <w:rPr>
          <w:rFonts w:ascii="Times New Roman" w:hAnsi="Times New Roman"/>
          <w:noProof/>
          <w:sz w:val="24"/>
        </w:rPr>
        <w:t>jnymi umowami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 xml:space="preserve">awie zniesienia wiz, </w:t>
      </w:r>
      <w:r w:rsidRPr="00D1056D">
        <w:rPr>
          <w:rFonts w:ascii="Times New Roman" w:hAnsi="Times New Roman"/>
          <w:b/>
          <w:noProof/>
          <w:sz w:val="24"/>
        </w:rPr>
        <w:t>Komisja zamierza zbadać możliwość dodania odniesienia dotyczącego stosowania dodatkowych podstaw zawieszenia określonych</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umo</w:t>
      </w:r>
      <w:r w:rsidRPr="00D1056D">
        <w:rPr>
          <w:rFonts w:ascii="Times New Roman" w:hAnsi="Times New Roman"/>
          <w:b/>
          <w:noProof/>
          <w:sz w:val="24"/>
        </w:rPr>
        <w:t>wach</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spr</w:t>
      </w:r>
      <w:r w:rsidRPr="00D1056D">
        <w:rPr>
          <w:rFonts w:ascii="Times New Roman" w:hAnsi="Times New Roman"/>
          <w:b/>
          <w:noProof/>
          <w:sz w:val="24"/>
        </w:rPr>
        <w:t>awie zniesienia wiz</w:t>
      </w:r>
      <w:r w:rsidRPr="00D1056D">
        <w:rPr>
          <w:rFonts w:ascii="Times New Roman" w:hAnsi="Times New Roman"/>
          <w:noProof/>
          <w:sz w:val="24"/>
        </w:rPr>
        <w:t>.</w:t>
      </w:r>
    </w:p>
    <w:p w14:paraId="02385E6E" w14:textId="77777777" w:rsidR="00FB7CD7" w:rsidRPr="00D1056D" w:rsidRDefault="00FB7CD7" w:rsidP="00EE1920">
      <w:pPr>
        <w:spacing w:after="240" w:line="240" w:lineRule="auto"/>
        <w:contextualSpacing/>
        <w:jc w:val="both"/>
        <w:rPr>
          <w:rFonts w:ascii="Times New Roman" w:eastAsia="Times New Roman" w:hAnsi="Times New Roman" w:cs="Times New Roman"/>
          <w:noProof/>
          <w:sz w:val="24"/>
          <w:szCs w:val="24"/>
          <w:lang w:eastAsia="en-GB"/>
        </w:rPr>
      </w:pPr>
    </w:p>
    <w:p w14:paraId="097D3CDC" w14:textId="313156BA" w:rsidR="009B0B0A" w:rsidRPr="00D1056D" w:rsidRDefault="009B0B0A" w:rsidP="00501CAC">
      <w:pPr>
        <w:numPr>
          <w:ilvl w:val="0"/>
          <w:numId w:val="23"/>
        </w:numPr>
        <w:spacing w:after="240"/>
        <w:ind w:left="1434" w:hanging="357"/>
        <w:rPr>
          <w:rFonts w:ascii="Times New Roman" w:eastAsia="Times New Roman" w:hAnsi="Times New Roman" w:cs="Times New Roman"/>
          <w:b/>
          <w:i/>
          <w:noProof/>
          <w:sz w:val="24"/>
          <w:szCs w:val="20"/>
        </w:rPr>
      </w:pPr>
      <w:r w:rsidRPr="00D1056D">
        <w:rPr>
          <w:rFonts w:ascii="Times New Roman" w:hAnsi="Times New Roman"/>
          <w:b/>
          <w:i/>
          <w:noProof/>
          <w:sz w:val="24"/>
        </w:rPr>
        <w:t>Progi uruchamiające mechanizm</w:t>
      </w:r>
    </w:p>
    <w:p w14:paraId="249471DB" w14:textId="282F55A4" w:rsidR="009B0B0A" w:rsidRPr="00D1056D" w:rsidRDefault="003B713B" w:rsidP="00EE1920">
      <w:pPr>
        <w:spacing w:after="240" w:line="240" w:lineRule="auto"/>
        <w:jc w:val="both"/>
        <w:rPr>
          <w:rFonts w:ascii="Times New Roman" w:eastAsia="Times New Roman" w:hAnsi="Times New Roman" w:cs="Times New Roman"/>
          <w:noProof/>
          <w:sz w:val="24"/>
          <w:szCs w:val="24"/>
        </w:rPr>
      </w:pPr>
      <w:r w:rsidRPr="00D1056D">
        <w:rPr>
          <w:rFonts w:ascii="Times New Roman" w:hAnsi="Times New Roman"/>
          <w:noProof/>
          <w:sz w:val="24"/>
        </w:rPr>
        <w:t>Mechanizm zawieszający może zostać uruchomiony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wyn</w:t>
      </w:r>
      <w:r w:rsidRPr="00D1056D">
        <w:rPr>
          <w:rFonts w:ascii="Times New Roman" w:hAnsi="Times New Roman"/>
          <w:noProof/>
          <w:sz w:val="24"/>
        </w:rPr>
        <w:t xml:space="preserve">iku </w:t>
      </w:r>
      <w:r w:rsidRPr="00D1056D">
        <w:rPr>
          <w:rFonts w:ascii="Times New Roman" w:hAnsi="Times New Roman"/>
          <w:b/>
          <w:noProof/>
          <w:sz w:val="24"/>
        </w:rPr>
        <w:t xml:space="preserve">znacznego wzrostu liczby </w:t>
      </w:r>
      <w:r w:rsidRPr="00D1056D">
        <w:rPr>
          <w:rFonts w:ascii="Times New Roman" w:hAnsi="Times New Roman"/>
          <w:noProof/>
          <w:sz w:val="24"/>
        </w:rPr>
        <w:t>przypadków nielegalnego pobytu, znacznego wzrostu liczby wniosków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ielenie azylu</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nis</w:t>
      </w:r>
      <w:r w:rsidRPr="00D1056D">
        <w:rPr>
          <w:rFonts w:ascii="Times New Roman" w:hAnsi="Times New Roman"/>
          <w:noProof/>
          <w:sz w:val="24"/>
        </w:rPr>
        <w:t>kim wskaźniku przyznawania azylu</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zna</w:t>
      </w:r>
      <w:r w:rsidRPr="00D1056D">
        <w:rPr>
          <w:rFonts w:ascii="Times New Roman" w:hAnsi="Times New Roman"/>
          <w:noProof/>
          <w:sz w:val="24"/>
        </w:rPr>
        <w:t xml:space="preserve">cznego wzrostu poważnych przestępstw lub </w:t>
      </w:r>
      <w:r w:rsidRPr="00D1056D">
        <w:rPr>
          <w:rFonts w:ascii="Times New Roman" w:hAnsi="Times New Roman"/>
          <w:b/>
          <w:noProof/>
          <w:sz w:val="24"/>
        </w:rPr>
        <w:t>pogorszenia</w:t>
      </w:r>
      <w:r w:rsidRPr="00D1056D">
        <w:rPr>
          <w:rFonts w:ascii="Times New Roman" w:hAnsi="Times New Roman"/>
          <w:noProof/>
          <w:sz w:val="24"/>
        </w:rPr>
        <w:t xml:space="preserve"> współpracy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zak</w:t>
      </w:r>
      <w:r w:rsidRPr="00D1056D">
        <w:rPr>
          <w:rFonts w:ascii="Times New Roman" w:hAnsi="Times New Roman"/>
          <w:noProof/>
          <w:sz w:val="24"/>
        </w:rPr>
        <w:t>resie readmisji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por</w:t>
      </w:r>
      <w:r w:rsidRPr="00D1056D">
        <w:rPr>
          <w:rFonts w:ascii="Times New Roman" w:hAnsi="Times New Roman"/>
          <w:noProof/>
          <w:sz w:val="24"/>
        </w:rPr>
        <w:t>ównaniu</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rok</w:t>
      </w:r>
      <w:r w:rsidRPr="00D1056D">
        <w:rPr>
          <w:rFonts w:ascii="Times New Roman" w:hAnsi="Times New Roman"/>
          <w:noProof/>
          <w:sz w:val="24"/>
        </w:rPr>
        <w:t>iem poprzednim lub rokiem poprzedzającym uzyskanie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w:t>
      </w:r>
    </w:p>
    <w:p w14:paraId="6DE09F4B" w14:textId="7DCE6C3C" w:rsidR="009B0B0A" w:rsidRPr="00D1056D" w:rsidRDefault="009B0B0A" w:rsidP="00EE1920">
      <w:pPr>
        <w:spacing w:after="240" w:line="240" w:lineRule="auto"/>
        <w:jc w:val="both"/>
        <w:rPr>
          <w:rFonts w:ascii="Times New Roman" w:eastAsia="Times New Roman" w:hAnsi="Times New Roman" w:cs="Times New Roman"/>
          <w:noProof/>
          <w:sz w:val="24"/>
          <w:szCs w:val="24"/>
        </w:rPr>
      </w:pPr>
      <w:r w:rsidRPr="00D1056D">
        <w:rPr>
          <w:rFonts w:ascii="Times New Roman" w:hAnsi="Times New Roman"/>
          <w:noProof/>
          <w:sz w:val="24"/>
        </w:rPr>
        <w:t>Obecnie przyjmuje się, że „</w:t>
      </w:r>
      <w:r w:rsidRPr="00D1056D">
        <w:rPr>
          <w:rFonts w:ascii="Times New Roman" w:hAnsi="Times New Roman"/>
          <w:b/>
          <w:noProof/>
          <w:sz w:val="24"/>
        </w:rPr>
        <w:t>znaczny wzrost</w:t>
      </w:r>
      <w:r w:rsidRPr="00D1056D">
        <w:rPr>
          <w:rFonts w:ascii="Times New Roman" w:hAnsi="Times New Roman"/>
          <w:noProof/>
          <w:sz w:val="24"/>
        </w:rPr>
        <w:t xml:space="preserve">” to taki, który </w:t>
      </w:r>
      <w:r w:rsidRPr="00D1056D">
        <w:rPr>
          <w:rFonts w:ascii="Times New Roman" w:hAnsi="Times New Roman"/>
          <w:b/>
          <w:noProof/>
          <w:sz w:val="24"/>
        </w:rPr>
        <w:t>przekracza 50 %</w:t>
      </w:r>
      <w:r w:rsidRPr="00D1056D">
        <w:rPr>
          <w:rStyle w:val="FootnoteReference"/>
          <w:rFonts w:ascii="Times New Roman" w:eastAsia="Times New Roman" w:hAnsi="Times New Roman" w:cs="Times New Roman"/>
          <w:bCs/>
          <w:noProof/>
          <w:sz w:val="24"/>
          <w:szCs w:val="24"/>
          <w:lang w:eastAsia="en-GB"/>
        </w:rPr>
        <w:footnoteReference w:id="29"/>
      </w:r>
      <w:r w:rsidRPr="00D1056D">
        <w:rPr>
          <w:rFonts w:ascii="Times New Roman" w:hAnsi="Times New Roman"/>
          <w:noProof/>
          <w:sz w:val="24"/>
        </w:rPr>
        <w:t>, a „</w:t>
      </w:r>
      <w:r w:rsidRPr="00D1056D">
        <w:rPr>
          <w:rFonts w:ascii="Times New Roman" w:hAnsi="Times New Roman"/>
          <w:b/>
          <w:noProof/>
          <w:sz w:val="24"/>
        </w:rPr>
        <w:t>niski wskaźnik przyznawania azylu</w:t>
      </w:r>
      <w:r w:rsidRPr="00D1056D">
        <w:rPr>
          <w:rFonts w:ascii="Times New Roman" w:hAnsi="Times New Roman"/>
          <w:noProof/>
          <w:sz w:val="24"/>
        </w:rPr>
        <w:t xml:space="preserve">” to taki, który wynosi około </w:t>
      </w:r>
      <w:r w:rsidRPr="00D1056D">
        <w:rPr>
          <w:rFonts w:ascii="Times New Roman" w:hAnsi="Times New Roman"/>
          <w:b/>
          <w:noProof/>
          <w:sz w:val="24"/>
        </w:rPr>
        <w:t>3</w:t>
      </w:r>
      <w:r w:rsidR="00D1056D" w:rsidRPr="00D1056D">
        <w:rPr>
          <w:rFonts w:ascii="Times New Roman" w:hAnsi="Times New Roman"/>
          <w:b/>
          <w:noProof/>
          <w:sz w:val="24"/>
        </w:rPr>
        <w:t> </w:t>
      </w:r>
      <w:r w:rsidRPr="00D1056D">
        <w:rPr>
          <w:rFonts w:ascii="Times New Roman" w:hAnsi="Times New Roman"/>
          <w:b/>
          <w:noProof/>
          <w:sz w:val="24"/>
        </w:rPr>
        <w:t>% lub</w:t>
      </w:r>
      <w:r w:rsidR="00D1056D" w:rsidRPr="00D1056D">
        <w:rPr>
          <w:rFonts w:ascii="Times New Roman" w:hAnsi="Times New Roman"/>
          <w:b/>
          <w:noProof/>
          <w:sz w:val="24"/>
        </w:rPr>
        <w:t> </w:t>
      </w:r>
      <w:r w:rsidRPr="00D1056D">
        <w:rPr>
          <w:rFonts w:ascii="Times New Roman" w:hAnsi="Times New Roman"/>
          <w:b/>
          <w:noProof/>
          <w:sz w:val="24"/>
        </w:rPr>
        <w:t>4 %</w:t>
      </w:r>
      <w:r w:rsidRPr="00D1056D">
        <w:rPr>
          <w:rFonts w:ascii="Times New Roman" w:eastAsia="Times New Roman" w:hAnsi="Times New Roman" w:cs="Times New Roman"/>
          <w:noProof/>
          <w:sz w:val="24"/>
          <w:szCs w:val="24"/>
          <w:vertAlign w:val="superscript"/>
          <w:lang w:eastAsia="en-GB"/>
        </w:rPr>
        <w:footnoteReference w:id="30"/>
      </w:r>
      <w:r w:rsidRPr="00D1056D">
        <w:rPr>
          <w:rFonts w:ascii="Times New Roman" w:hAnsi="Times New Roman"/>
          <w:noProof/>
          <w:sz w:val="24"/>
        </w:rPr>
        <w:t>. Niedawne doświadczenia wskazują, że progi te mogą nie zawsze być odpowiednie do reagowania na sytuacje związane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mig</w:t>
      </w:r>
      <w:r w:rsidRPr="00D1056D">
        <w:rPr>
          <w:rFonts w:ascii="Times New Roman" w:hAnsi="Times New Roman"/>
          <w:noProof/>
          <w:sz w:val="24"/>
        </w:rPr>
        <w:t>racją nieuregulowaną</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stwach członkowskich, jak stwierdzono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odp</w:t>
      </w:r>
      <w:r w:rsidRPr="00D1056D">
        <w:rPr>
          <w:rFonts w:ascii="Times New Roman" w:hAnsi="Times New Roman"/>
          <w:noProof/>
          <w:sz w:val="24"/>
        </w:rPr>
        <w:t>owiednich dyskusjach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Rad</w:t>
      </w:r>
      <w:r w:rsidRPr="00D1056D">
        <w:rPr>
          <w:rFonts w:ascii="Times New Roman" w:hAnsi="Times New Roman"/>
          <w:noProof/>
          <w:sz w:val="24"/>
        </w:rPr>
        <w:t>zie. Przykład powiadomienia przekazanego Komisji przez jedno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pań</w:t>
      </w:r>
      <w:r w:rsidRPr="00D1056D">
        <w:rPr>
          <w:rFonts w:ascii="Times New Roman" w:hAnsi="Times New Roman"/>
          <w:noProof/>
          <w:sz w:val="24"/>
        </w:rPr>
        <w:t>stw członkowskich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maj</w:t>
      </w:r>
      <w:r w:rsidRPr="00D1056D">
        <w:rPr>
          <w:rFonts w:ascii="Times New Roman" w:hAnsi="Times New Roman"/>
          <w:noProof/>
          <w:sz w:val="24"/>
        </w:rPr>
        <w:t>u 2019</w:t>
      </w:r>
      <w:r w:rsidR="00D1056D" w:rsidRPr="00D1056D">
        <w:rPr>
          <w:rFonts w:ascii="Times New Roman" w:hAnsi="Times New Roman"/>
          <w:noProof/>
          <w:sz w:val="24"/>
        </w:rPr>
        <w:t> </w:t>
      </w:r>
      <w:r w:rsidRPr="00D1056D">
        <w:rPr>
          <w:rFonts w:ascii="Times New Roman" w:hAnsi="Times New Roman"/>
          <w:noProof/>
          <w:sz w:val="24"/>
        </w:rPr>
        <w:t>r.</w:t>
      </w:r>
      <w:r w:rsidRPr="00D1056D">
        <w:rPr>
          <w:rFonts w:ascii="Times New Roman" w:eastAsia="Times New Roman" w:hAnsi="Times New Roman" w:cs="Times New Roman"/>
          <w:noProof/>
          <w:sz w:val="24"/>
          <w:szCs w:val="24"/>
          <w:vertAlign w:val="superscript"/>
          <w:lang w:eastAsia="en-GB"/>
        </w:rPr>
        <w:footnoteReference w:id="31"/>
      </w:r>
      <w:r w:rsidRPr="00D1056D">
        <w:rPr>
          <w:rFonts w:ascii="Times New Roman" w:hAnsi="Times New Roman"/>
          <w:noProof/>
          <w:sz w:val="24"/>
        </w:rPr>
        <w:t xml:space="preserve"> pokazał, że mimo zgłoszonego wzrostu liczby bezzasadnych wniosków</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ielenie azylu</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pow</w:t>
      </w:r>
      <w:r w:rsidRPr="00D1056D">
        <w:rPr>
          <w:rFonts w:ascii="Times New Roman" w:hAnsi="Times New Roman"/>
          <w:noProof/>
          <w:sz w:val="24"/>
        </w:rPr>
        <w:t>ażnych przestępstw popełnianych przez obywateli państwa zwolnionego</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zarejestrowanych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państwie członkowskim nie można było osiągnąć progów wymaganych do uruchomienia mechanizmu zawieszającego. Kilka państw członkowskich podczas dyskusji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Rad</w:t>
      </w:r>
      <w:r w:rsidRPr="00D1056D">
        <w:rPr>
          <w:rFonts w:ascii="Times New Roman" w:hAnsi="Times New Roman"/>
          <w:noProof/>
          <w:sz w:val="24"/>
        </w:rPr>
        <w:t>zie stwierdziło, że progi te należy ustalić na niższym poziomie.</w:t>
      </w:r>
    </w:p>
    <w:p w14:paraId="5D4BFE0D" w14:textId="397D1273" w:rsidR="009B0B0A" w:rsidRPr="00D1056D" w:rsidRDefault="009B0B0A" w:rsidP="00EE1920">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4"/>
        </w:rPr>
      </w:pPr>
      <w:r w:rsidRPr="00D1056D">
        <w:rPr>
          <w:rFonts w:ascii="Times New Roman" w:hAnsi="Times New Roman"/>
          <w:noProof/>
          <w:sz w:val="24"/>
        </w:rPr>
        <w:t>Aby lepiej przeciwdziałać ryzyku wzrostu migracji nieuregulowanej</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zwi</w:t>
      </w:r>
      <w:r w:rsidRPr="00D1056D">
        <w:rPr>
          <w:rFonts w:ascii="Times New Roman" w:hAnsi="Times New Roman"/>
          <w:noProof/>
          <w:sz w:val="24"/>
        </w:rPr>
        <w:t>ązku</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ruc</w:t>
      </w:r>
      <w:r w:rsidRPr="00D1056D">
        <w:rPr>
          <w:rFonts w:ascii="Times New Roman" w:hAnsi="Times New Roman"/>
          <w:noProof/>
          <w:sz w:val="24"/>
        </w:rPr>
        <w:t xml:space="preserve">hem bezwizowym, </w:t>
      </w:r>
      <w:r w:rsidRPr="00D1056D">
        <w:rPr>
          <w:rFonts w:ascii="Times New Roman" w:hAnsi="Times New Roman"/>
          <w:b/>
          <w:noProof/>
          <w:sz w:val="24"/>
        </w:rPr>
        <w:t>Komisja zbada możliwość dostosowania progów uruchamiających mechanizm zawieszający zwolnienie</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obo</w:t>
      </w:r>
      <w:r w:rsidRPr="00D1056D">
        <w:rPr>
          <w:rFonts w:ascii="Times New Roman" w:hAnsi="Times New Roman"/>
          <w:b/>
          <w:noProof/>
          <w:sz w:val="24"/>
        </w:rPr>
        <w:t>wiązku wizowego</w:t>
      </w:r>
      <w:r w:rsidRPr="00D1056D">
        <w:rPr>
          <w:rFonts w:ascii="Times New Roman" w:hAnsi="Times New Roman"/>
          <w:noProof/>
          <w:sz w:val="24"/>
        </w:rPr>
        <w:t xml:space="preserve">. Celem powinno być </w:t>
      </w:r>
      <w:bookmarkStart w:id="7" w:name="_Hlk134282812"/>
      <w:r w:rsidRPr="00D1056D">
        <w:rPr>
          <w:rFonts w:ascii="Times New Roman" w:hAnsi="Times New Roman"/>
          <w:noProof/>
          <w:sz w:val="24"/>
        </w:rPr>
        <w:t>zapewnienie większego efektu odstraszającego mechanizmu</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wię</w:t>
      </w:r>
      <w:r w:rsidRPr="00D1056D">
        <w:rPr>
          <w:rFonts w:ascii="Times New Roman" w:hAnsi="Times New Roman"/>
          <w:noProof/>
          <w:sz w:val="24"/>
        </w:rPr>
        <w:t>kszej elastyczności</w:t>
      </w:r>
      <w:bookmarkEnd w:id="7"/>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jeg</w:t>
      </w:r>
      <w:r w:rsidRPr="00D1056D">
        <w:rPr>
          <w:rFonts w:ascii="Times New Roman" w:hAnsi="Times New Roman"/>
          <w:noProof/>
          <w:sz w:val="24"/>
        </w:rPr>
        <w:t>o uruchamianiu, przy jednoczesnym dalszym zapewnianiu pewności prawa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wys</w:t>
      </w:r>
      <w:r w:rsidRPr="00D1056D">
        <w:rPr>
          <w:rFonts w:ascii="Times New Roman" w:hAnsi="Times New Roman"/>
          <w:noProof/>
          <w:sz w:val="24"/>
        </w:rPr>
        <w:t xml:space="preserve">tarczającego stopnia przewidywalności państwom trzecim, jak również rozliczalności UE. </w:t>
      </w:r>
    </w:p>
    <w:p w14:paraId="475E11AA" w14:textId="77777777" w:rsidR="009B0B0A" w:rsidRPr="00D1056D" w:rsidRDefault="009B0B0A" w:rsidP="00EE1920">
      <w:pPr>
        <w:numPr>
          <w:ilvl w:val="0"/>
          <w:numId w:val="23"/>
        </w:numPr>
        <w:spacing w:after="240"/>
        <w:rPr>
          <w:rFonts w:ascii="Times New Roman" w:eastAsia="Times New Roman" w:hAnsi="Times New Roman" w:cs="Times New Roman"/>
          <w:b/>
          <w:i/>
          <w:noProof/>
          <w:sz w:val="24"/>
          <w:szCs w:val="24"/>
        </w:rPr>
      </w:pPr>
      <w:r w:rsidRPr="00D1056D">
        <w:rPr>
          <w:rFonts w:ascii="Times New Roman" w:hAnsi="Times New Roman"/>
          <w:b/>
          <w:i/>
          <w:noProof/>
          <w:sz w:val="24"/>
        </w:rPr>
        <w:t xml:space="preserve">Procedura zawieszenia </w:t>
      </w:r>
    </w:p>
    <w:p w14:paraId="7ED87188" w14:textId="14808E66" w:rsidR="009B0B0A" w:rsidRPr="00D1056D" w:rsidRDefault="009B0B0A" w:rsidP="00EE1920">
      <w:pPr>
        <w:keepNext/>
        <w:spacing w:after="240" w:line="240" w:lineRule="auto"/>
        <w:jc w:val="both"/>
        <w:rPr>
          <w:rFonts w:ascii="Times New Roman" w:eastAsia="Times New Roman" w:hAnsi="Times New Roman" w:cs="Times New Roman"/>
          <w:noProof/>
          <w:sz w:val="24"/>
          <w:szCs w:val="24"/>
        </w:rPr>
      </w:pPr>
      <w:r w:rsidRPr="00D1056D">
        <w:rPr>
          <w:rFonts w:ascii="Times New Roman" w:hAnsi="Times New Roman"/>
          <w:noProof/>
          <w:sz w:val="24"/>
        </w:rPr>
        <w:t>Procedura zawieszenia opiera się na podejściu dwuetapowym: pierwsze zawieszenie na dziewięć miesięcy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dro</w:t>
      </w:r>
      <w:r w:rsidRPr="00D1056D">
        <w:rPr>
          <w:rFonts w:ascii="Times New Roman" w:hAnsi="Times New Roman"/>
          <w:noProof/>
          <w:sz w:val="24"/>
        </w:rPr>
        <w:t>dze aktu wykonawczego, które można przedłużyć</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kol</w:t>
      </w:r>
      <w:r w:rsidRPr="00D1056D">
        <w:rPr>
          <w:rFonts w:ascii="Times New Roman" w:hAnsi="Times New Roman"/>
          <w:noProof/>
          <w:sz w:val="24"/>
        </w:rPr>
        <w:t>ejne zawieszenie na</w:t>
      </w:r>
      <w:r w:rsidR="00D1056D" w:rsidRPr="00D1056D">
        <w:rPr>
          <w:rFonts w:ascii="Times New Roman" w:hAnsi="Times New Roman"/>
          <w:noProof/>
          <w:sz w:val="24"/>
        </w:rPr>
        <w:t> </w:t>
      </w:r>
      <w:r w:rsidRPr="00D1056D">
        <w:rPr>
          <w:rFonts w:ascii="Times New Roman" w:hAnsi="Times New Roman"/>
          <w:noProof/>
          <w:sz w:val="24"/>
        </w:rPr>
        <w:t>18 miesięcy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dro</w:t>
      </w:r>
      <w:r w:rsidRPr="00D1056D">
        <w:rPr>
          <w:rFonts w:ascii="Times New Roman" w:hAnsi="Times New Roman"/>
          <w:noProof/>
          <w:sz w:val="24"/>
        </w:rPr>
        <w:t>dze aktu delegowanego</w:t>
      </w:r>
      <w:r w:rsidRPr="00D1056D">
        <w:rPr>
          <w:rStyle w:val="FootnoteReference"/>
          <w:rFonts w:ascii="Times New Roman" w:eastAsia="Times New Roman" w:hAnsi="Times New Roman" w:cs="Times New Roman"/>
          <w:noProof/>
          <w:sz w:val="24"/>
          <w:szCs w:val="24"/>
          <w:lang w:eastAsia="en-GB"/>
        </w:rPr>
        <w:footnoteReference w:id="32"/>
      </w:r>
      <w:r w:rsidR="00D1056D" w:rsidRPr="00D1056D">
        <w:rPr>
          <w:rFonts w:ascii="Times New Roman" w:hAnsi="Times New Roman"/>
          <w:noProof/>
          <w:sz w:val="24"/>
        </w:rPr>
        <w:t>. W</w:t>
      </w:r>
      <w:r w:rsidR="00D1056D">
        <w:rPr>
          <w:rFonts w:ascii="Times New Roman" w:hAnsi="Times New Roman"/>
          <w:noProof/>
          <w:sz w:val="24"/>
        </w:rPr>
        <w:t> </w:t>
      </w:r>
      <w:r w:rsidR="00D1056D" w:rsidRPr="00D1056D">
        <w:rPr>
          <w:rFonts w:ascii="Times New Roman" w:hAnsi="Times New Roman"/>
          <w:noProof/>
          <w:sz w:val="24"/>
        </w:rPr>
        <w:t>okr</w:t>
      </w:r>
      <w:r w:rsidRPr="00D1056D">
        <w:rPr>
          <w:rFonts w:ascii="Times New Roman" w:hAnsi="Times New Roman"/>
          <w:noProof/>
          <w:sz w:val="24"/>
        </w:rPr>
        <w:t xml:space="preserve">esie tymczasowego zawieszenia Komisja powinna prowadzić </w:t>
      </w:r>
      <w:r w:rsidRPr="00D1056D">
        <w:rPr>
          <w:rFonts w:ascii="Times New Roman" w:hAnsi="Times New Roman"/>
          <w:i/>
          <w:noProof/>
          <w:sz w:val="24"/>
        </w:rPr>
        <w:t>pogłębiony dialog</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dan</w:t>
      </w:r>
      <w:r w:rsidRPr="00D1056D">
        <w:rPr>
          <w:rFonts w:ascii="Times New Roman" w:hAnsi="Times New Roman"/>
          <w:noProof/>
          <w:sz w:val="24"/>
        </w:rPr>
        <w:t>ym państwem trzecim</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cel</w:t>
      </w:r>
      <w:r w:rsidRPr="00D1056D">
        <w:rPr>
          <w:rFonts w:ascii="Times New Roman" w:hAnsi="Times New Roman"/>
          <w:noProof/>
          <w:sz w:val="24"/>
        </w:rPr>
        <w:t>u wypracowania odpowiedniego rozwiązania umożliwiającego zaradzenie okolicznościom, które doprowadziły do zawieszenia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Aby zmniejszyć ryzyko przejścia do trzeciego etapu procedury, jakim jest </w:t>
      </w:r>
      <w:r w:rsidRPr="00D1056D">
        <w:rPr>
          <w:rFonts w:ascii="Times New Roman" w:hAnsi="Times New Roman"/>
          <w:b/>
          <w:noProof/>
          <w:sz w:val="24"/>
        </w:rPr>
        <w:t>wypowiedzenie umowy</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spr</w:t>
      </w:r>
      <w:r w:rsidRPr="00D1056D">
        <w:rPr>
          <w:rFonts w:ascii="Times New Roman" w:hAnsi="Times New Roman"/>
          <w:b/>
          <w:noProof/>
          <w:sz w:val="24"/>
        </w:rPr>
        <w:t>awie zwolnienia</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wiz</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umi</w:t>
      </w:r>
      <w:r w:rsidRPr="00D1056D">
        <w:rPr>
          <w:rFonts w:ascii="Times New Roman" w:hAnsi="Times New Roman"/>
          <w:noProof/>
          <w:sz w:val="24"/>
        </w:rPr>
        <w:t>eszczenie danego państwa trzeciego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wyk</w:t>
      </w:r>
      <w:r w:rsidRPr="00D1056D">
        <w:rPr>
          <w:rFonts w:ascii="Times New Roman" w:hAnsi="Times New Roman"/>
          <w:noProof/>
          <w:sz w:val="24"/>
        </w:rPr>
        <w:t>azie państw objętych obowiązkiem wizowym, procedurę tę można by uprościć, tak aby zapewnić danemu państwu lepsze możliwości podjęcia zadowalających działań naprawczych. Oprócz tego, aby stawić czoła sytuacjom nadzwyczajnym,</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 xml:space="preserve">rych konieczna jest pilna reakcja, należy zapewnić możliwość zastosowania </w:t>
      </w:r>
      <w:r w:rsidRPr="00D1056D">
        <w:rPr>
          <w:rFonts w:ascii="Times New Roman" w:hAnsi="Times New Roman"/>
          <w:b/>
          <w:noProof/>
          <w:sz w:val="24"/>
        </w:rPr>
        <w:t>trybu pilnego</w:t>
      </w:r>
      <w:r w:rsidRPr="00D1056D">
        <w:rPr>
          <w:rFonts w:ascii="Times New Roman" w:hAnsi="Times New Roman"/>
          <w:noProof/>
          <w:sz w:val="24"/>
        </w:rPr>
        <w:t xml:space="preserve"> przy uruchamianiu mechanizmu zawieszającego. </w:t>
      </w:r>
    </w:p>
    <w:p w14:paraId="5088793F" w14:textId="57843220" w:rsidR="009B0B0A" w:rsidRPr="00D1056D"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4"/>
        </w:rPr>
      </w:pPr>
      <w:r w:rsidRPr="00D1056D">
        <w:rPr>
          <w:rFonts w:ascii="Times New Roman" w:hAnsi="Times New Roman"/>
          <w:noProof/>
          <w:sz w:val="24"/>
        </w:rPr>
        <w:t>Aby zwiększyć skuteczność procedury zawieszenia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zap</w:t>
      </w:r>
      <w:r w:rsidRPr="00D1056D">
        <w:rPr>
          <w:rFonts w:ascii="Times New Roman" w:hAnsi="Times New Roman"/>
          <w:noProof/>
          <w:sz w:val="24"/>
        </w:rPr>
        <w:t xml:space="preserve">ewnić odpowiedni czas na zaradzenie okolicznościom, które doprowadziły do zawieszenia, </w:t>
      </w:r>
      <w:r w:rsidRPr="00D1056D">
        <w:rPr>
          <w:rFonts w:ascii="Times New Roman" w:hAnsi="Times New Roman"/>
          <w:b/>
          <w:noProof/>
          <w:sz w:val="24"/>
        </w:rPr>
        <w:t>Komisja zamierza zbadać możliwość przedłużenia okresu obowiązywania dwóch etapów tymczasowego zawieszenia</w:t>
      </w:r>
      <w:r w:rsidRPr="00D1056D">
        <w:rPr>
          <w:rFonts w:ascii="Times New Roman" w:hAnsi="Times New Roman"/>
          <w:noProof/>
          <w:sz w:val="24"/>
        </w:rPr>
        <w:t>: np. na pierwszym etapie rozważa się zawieszenie na okres 12 zamiast 9 miesięcy, a na drugim etapie – zawieszenie na okres 24 zamiast 18 miesięcy. Na każdym etapie zawieszenie zostałoby zniesione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chw</w:t>
      </w:r>
      <w:r w:rsidRPr="00D1056D">
        <w:rPr>
          <w:rFonts w:ascii="Times New Roman" w:hAnsi="Times New Roman"/>
          <w:noProof/>
          <w:sz w:val="24"/>
        </w:rPr>
        <w:t>ilą usunięcia okoliczności, które doprowadziły do zawieszenia.</w:t>
      </w:r>
    </w:p>
    <w:p w14:paraId="1EA0560F" w14:textId="5EB186C8" w:rsidR="009B0B0A" w:rsidRPr="00D1056D"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4"/>
        </w:rPr>
      </w:pPr>
      <w:r w:rsidRPr="00D1056D">
        <w:rPr>
          <w:rFonts w:ascii="Times New Roman" w:hAnsi="Times New Roman"/>
          <w:noProof/>
          <w:sz w:val="24"/>
        </w:rPr>
        <w:t>Komisja zbada też możliwość zniesienia zwolnienia</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dro</w:t>
      </w:r>
      <w:r w:rsidRPr="00D1056D">
        <w:rPr>
          <w:rFonts w:ascii="Times New Roman" w:hAnsi="Times New Roman"/>
          <w:noProof/>
          <w:sz w:val="24"/>
        </w:rPr>
        <w:t xml:space="preserve">dze zwykłego wniosku ustawodawczego, jeżeli na koniec drugiego etapu wciąż będą zachodzić przesłanki, które doprowadziły do zawieszenia. </w:t>
      </w:r>
    </w:p>
    <w:p w14:paraId="08122DB5" w14:textId="1E342864" w:rsidR="009B0B0A" w:rsidRPr="00D1056D" w:rsidRDefault="009B0B0A" w:rsidP="00EE1920">
      <w:pPr>
        <w:pBdr>
          <w:top w:val="single" w:sz="4" w:space="1" w:color="auto"/>
          <w:left w:val="single" w:sz="4" w:space="4" w:color="auto"/>
          <w:bottom w:val="single" w:sz="4" w:space="1" w:color="auto"/>
          <w:right w:val="single" w:sz="4" w:space="4" w:color="auto"/>
        </w:pBdr>
        <w:spacing w:after="240" w:line="240" w:lineRule="auto"/>
        <w:ind w:left="142"/>
        <w:jc w:val="both"/>
        <w:rPr>
          <w:rFonts w:ascii="Times New Roman" w:eastAsia="Times New Roman" w:hAnsi="Times New Roman" w:cs="Times New Roman"/>
          <w:noProof/>
          <w:sz w:val="24"/>
          <w:szCs w:val="20"/>
        </w:rPr>
      </w:pPr>
      <w:r w:rsidRPr="00D1056D">
        <w:rPr>
          <w:rFonts w:ascii="Times New Roman" w:hAnsi="Times New Roman"/>
          <w:noProof/>
          <w:sz w:val="24"/>
        </w:rPr>
        <w:t>Aby ponadto zaradzić sytuacjom nadzwyczajnym spowodowanym nagłym wzrostem liczby przybywających osób</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nie</w:t>
      </w:r>
      <w:r w:rsidRPr="00D1056D">
        <w:rPr>
          <w:rFonts w:ascii="Times New Roman" w:hAnsi="Times New Roman"/>
          <w:noProof/>
          <w:sz w:val="24"/>
        </w:rPr>
        <w:t xml:space="preserve">uregulowanym statusie lub zwiększeniem ryzyka dla bezpieczeństwa, </w:t>
      </w:r>
      <w:r w:rsidRPr="00D1056D">
        <w:rPr>
          <w:rFonts w:ascii="Times New Roman" w:hAnsi="Times New Roman"/>
          <w:b/>
          <w:noProof/>
          <w:sz w:val="24"/>
        </w:rPr>
        <w:t>Komisja zamierza zbadać możliwość wprowadzenia</w:t>
      </w:r>
      <w:r w:rsidRPr="00D1056D">
        <w:rPr>
          <w:rFonts w:ascii="Times New Roman" w:hAnsi="Times New Roman"/>
          <w:noProof/>
          <w:sz w:val="24"/>
        </w:rPr>
        <w:t xml:space="preserve"> </w:t>
      </w:r>
      <w:r w:rsidRPr="00D1056D">
        <w:rPr>
          <w:rFonts w:ascii="Times New Roman" w:hAnsi="Times New Roman"/>
          <w:b/>
          <w:noProof/>
          <w:sz w:val="24"/>
        </w:rPr>
        <w:t>trybu pilnego dotyczącego przyjmowania aktów wykonawczych mających natychmiastowe zastosowanie</w:t>
      </w:r>
      <w:r w:rsidRPr="00D1056D">
        <w:rPr>
          <w:rFonts w:ascii="Times New Roman" w:eastAsia="Times New Roman" w:hAnsi="Times New Roman" w:cs="Times New Roman"/>
          <w:noProof/>
          <w:sz w:val="24"/>
          <w:szCs w:val="20"/>
          <w:vertAlign w:val="superscript"/>
          <w:lang w:eastAsia="en-GB"/>
        </w:rPr>
        <w:footnoteReference w:id="33"/>
      </w:r>
      <w:r w:rsidRPr="00D1056D">
        <w:rPr>
          <w:rFonts w:ascii="Times New Roman" w:hAnsi="Times New Roman"/>
          <w:noProof/>
          <w:sz w:val="24"/>
        </w:rPr>
        <w:t>.</w:t>
      </w:r>
      <w:r w:rsidRPr="00D1056D">
        <w:rPr>
          <w:rFonts w:ascii="Times New Roman" w:hAnsi="Times New Roman"/>
          <w:b/>
          <w:noProof/>
          <w:sz w:val="24"/>
        </w:rPr>
        <w:t xml:space="preserve"> </w:t>
      </w:r>
      <w:r w:rsidRPr="00D1056D">
        <w:rPr>
          <w:rFonts w:ascii="Times New Roman" w:hAnsi="Times New Roman"/>
          <w:noProof/>
          <w:sz w:val="24"/>
        </w:rPr>
        <w:t>Dzięki temu Komisja mogłaby zawiesić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przed zasięgnięciem opinii właściwego komitetu</w:t>
      </w:r>
      <w:r w:rsidRPr="00D1056D">
        <w:rPr>
          <w:rStyle w:val="FootnoteReference"/>
          <w:rFonts w:ascii="Times New Roman" w:eastAsia="Times New Roman" w:hAnsi="Times New Roman" w:cs="Times New Roman"/>
          <w:noProof/>
          <w:sz w:val="24"/>
          <w:szCs w:val="20"/>
          <w:lang w:eastAsia="en-GB"/>
        </w:rPr>
        <w:footnoteReference w:id="34"/>
      </w:r>
      <w:r w:rsidRPr="00D1056D">
        <w:rPr>
          <w:rFonts w:ascii="Times New Roman" w:hAnsi="Times New Roman"/>
          <w:noProof/>
          <w:sz w:val="24"/>
        </w:rPr>
        <w:t>, jeżeli występują należycie uzasadnione szczególnie pilne podstawy takiego zawieszenia. Tryb pilny powinien być</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dal</w:t>
      </w:r>
      <w:r w:rsidRPr="00D1056D">
        <w:rPr>
          <w:rFonts w:ascii="Times New Roman" w:hAnsi="Times New Roman"/>
          <w:noProof/>
          <w:sz w:val="24"/>
        </w:rPr>
        <w:t>szym ciągu stosowany</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ost</w:t>
      </w:r>
      <w:r w:rsidRPr="00D1056D">
        <w:rPr>
          <w:rFonts w:ascii="Times New Roman" w:hAnsi="Times New Roman"/>
          <w:noProof/>
          <w:sz w:val="24"/>
        </w:rPr>
        <w:t>ateczności,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żad</w:t>
      </w:r>
      <w:r w:rsidRPr="00D1056D">
        <w:rPr>
          <w:rFonts w:ascii="Times New Roman" w:hAnsi="Times New Roman"/>
          <w:noProof/>
          <w:sz w:val="24"/>
        </w:rPr>
        <w:t>nym wypadku nie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spo</w:t>
      </w:r>
      <w:r w:rsidRPr="00D1056D">
        <w:rPr>
          <w:rFonts w:ascii="Times New Roman" w:hAnsi="Times New Roman"/>
          <w:noProof/>
          <w:sz w:val="24"/>
        </w:rPr>
        <w:t>sób automatyczny,</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y podejmowaniu jakichkolwiek decyzji</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zakresie należy nadal należycie uwzględniać ogólne stosunki między UE</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dan</w:t>
      </w:r>
      <w:r w:rsidRPr="00D1056D">
        <w:rPr>
          <w:rFonts w:ascii="Times New Roman" w:hAnsi="Times New Roman"/>
          <w:noProof/>
          <w:sz w:val="24"/>
        </w:rPr>
        <w:t>ymi państwami trzecimi</w:t>
      </w:r>
      <w:r w:rsidRPr="00D1056D">
        <w:rPr>
          <w:noProof/>
        </w:rPr>
        <w:t xml:space="preserve"> </w:t>
      </w:r>
      <w:r w:rsidRPr="00D1056D">
        <w:rPr>
          <w:rFonts w:ascii="Times New Roman" w:hAnsi="Times New Roman"/>
          <w:noProof/>
          <w:sz w:val="24"/>
        </w:rPr>
        <w:t>oraz ogólny kontekst polityczny</w:t>
      </w:r>
      <w:r w:rsidRPr="00D1056D">
        <w:rPr>
          <w:rStyle w:val="FootnoteReference"/>
          <w:rFonts w:ascii="Times New Roman" w:hAnsi="Times New Roman" w:cs="Times New Roman"/>
          <w:noProof/>
          <w:sz w:val="24"/>
          <w:szCs w:val="24"/>
        </w:rPr>
        <w:footnoteReference w:id="35"/>
      </w:r>
      <w:r w:rsidRPr="00D1056D">
        <w:rPr>
          <w:rFonts w:ascii="Times New Roman" w:hAnsi="Times New Roman"/>
          <w:noProof/>
          <w:sz w:val="24"/>
        </w:rPr>
        <w:t>.</w:t>
      </w:r>
    </w:p>
    <w:p w14:paraId="3C702B55" w14:textId="71551223" w:rsidR="009B0B0A" w:rsidRPr="00D1056D" w:rsidRDefault="009B0B0A" w:rsidP="00EE1920">
      <w:pPr>
        <w:numPr>
          <w:ilvl w:val="0"/>
          <w:numId w:val="23"/>
        </w:numPr>
        <w:spacing w:after="240"/>
        <w:rPr>
          <w:rFonts w:ascii="Times New Roman" w:eastAsia="Times New Roman" w:hAnsi="Times New Roman" w:cs="Times New Roman"/>
          <w:b/>
          <w:noProof/>
          <w:sz w:val="24"/>
          <w:szCs w:val="24"/>
        </w:rPr>
      </w:pPr>
      <w:r w:rsidRPr="00D1056D">
        <w:rPr>
          <w:rFonts w:ascii="Times New Roman" w:hAnsi="Times New Roman"/>
          <w:b/>
          <w:i/>
          <w:noProof/>
          <w:sz w:val="24"/>
        </w:rPr>
        <w:t>Obowiązki</w:t>
      </w:r>
      <w:r w:rsidR="00D1056D" w:rsidRPr="00D1056D">
        <w:rPr>
          <w:rFonts w:ascii="Times New Roman" w:hAnsi="Times New Roman"/>
          <w:b/>
          <w:i/>
          <w:noProof/>
          <w:sz w:val="24"/>
        </w:rPr>
        <w:t xml:space="preserve"> w</w:t>
      </w:r>
      <w:r w:rsidR="00D1056D">
        <w:rPr>
          <w:rFonts w:ascii="Times New Roman" w:hAnsi="Times New Roman"/>
          <w:b/>
          <w:i/>
          <w:noProof/>
          <w:sz w:val="24"/>
        </w:rPr>
        <w:t> </w:t>
      </w:r>
      <w:r w:rsidR="00D1056D" w:rsidRPr="00D1056D">
        <w:rPr>
          <w:rFonts w:ascii="Times New Roman" w:hAnsi="Times New Roman"/>
          <w:b/>
          <w:i/>
          <w:noProof/>
          <w:sz w:val="24"/>
        </w:rPr>
        <w:t>zak</w:t>
      </w:r>
      <w:r w:rsidRPr="00D1056D">
        <w:rPr>
          <w:rFonts w:ascii="Times New Roman" w:hAnsi="Times New Roman"/>
          <w:b/>
          <w:i/>
          <w:noProof/>
          <w:sz w:val="24"/>
        </w:rPr>
        <w:t>resie monitorowania</w:t>
      </w:r>
      <w:r w:rsidR="00D1056D" w:rsidRPr="00D1056D">
        <w:rPr>
          <w:rFonts w:ascii="Times New Roman" w:hAnsi="Times New Roman"/>
          <w:b/>
          <w:i/>
          <w:noProof/>
          <w:sz w:val="24"/>
        </w:rPr>
        <w:t xml:space="preserve"> i</w:t>
      </w:r>
      <w:r w:rsidR="00D1056D">
        <w:rPr>
          <w:rFonts w:ascii="Times New Roman" w:hAnsi="Times New Roman"/>
          <w:b/>
          <w:i/>
          <w:noProof/>
          <w:sz w:val="24"/>
        </w:rPr>
        <w:t> </w:t>
      </w:r>
      <w:r w:rsidR="00D1056D" w:rsidRPr="00D1056D">
        <w:rPr>
          <w:rFonts w:ascii="Times New Roman" w:hAnsi="Times New Roman"/>
          <w:b/>
          <w:i/>
          <w:noProof/>
          <w:sz w:val="24"/>
        </w:rPr>
        <w:t>spr</w:t>
      </w:r>
      <w:r w:rsidRPr="00D1056D">
        <w:rPr>
          <w:rFonts w:ascii="Times New Roman" w:hAnsi="Times New Roman"/>
          <w:b/>
          <w:i/>
          <w:noProof/>
          <w:sz w:val="24"/>
        </w:rPr>
        <w:t>awozdawczości</w:t>
      </w:r>
    </w:p>
    <w:p w14:paraId="37F96E52" w14:textId="2D294246" w:rsidR="009B0B0A" w:rsidRPr="00D1056D" w:rsidRDefault="009B0B0A" w:rsidP="00EE1920">
      <w:pPr>
        <w:spacing w:after="240"/>
        <w:jc w:val="both"/>
        <w:rPr>
          <w:rFonts w:ascii="Times New Roman" w:eastAsia="Times New Roman" w:hAnsi="Times New Roman" w:cs="Times New Roman"/>
          <w:noProof/>
          <w:sz w:val="24"/>
          <w:szCs w:val="24"/>
        </w:rPr>
      </w:pPr>
      <w:r w:rsidRPr="00D1056D">
        <w:rPr>
          <w:rFonts w:ascii="Times New Roman" w:hAnsi="Times New Roman"/>
          <w:noProof/>
          <w:sz w:val="24"/>
        </w:rPr>
        <w:t>Skuteczny mechanizm zawieszający opiera się na wydajnym</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uki</w:t>
      </w:r>
      <w:r w:rsidRPr="00D1056D">
        <w:rPr>
          <w:rFonts w:ascii="Times New Roman" w:hAnsi="Times New Roman"/>
          <w:noProof/>
          <w:sz w:val="24"/>
        </w:rPr>
        <w:t>erunkowanym monitorowaniu państw zwolnionych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Obecne przepisy rozporządzenia wizowego nakładają jednak na Komisję obowiązek monitorowania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skł</w:t>
      </w:r>
      <w:r w:rsidRPr="00D1056D">
        <w:rPr>
          <w:rFonts w:ascii="Times New Roman" w:hAnsi="Times New Roman"/>
          <w:noProof/>
          <w:sz w:val="24"/>
        </w:rPr>
        <w:t>adania sprawozdań wyłącznie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odn</w:t>
      </w:r>
      <w:r w:rsidRPr="00D1056D">
        <w:rPr>
          <w:rFonts w:ascii="Times New Roman" w:hAnsi="Times New Roman"/>
          <w:noProof/>
          <w:sz w:val="24"/>
        </w:rPr>
        <w:t>iesieniu do państw, które uzyskały bezwizowy dostęp po zakończeniu dialogu</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liberalizacji reżimu wizowego oraz przez okres siedmiu lat od jego pomyślnego zakończenia</w:t>
      </w:r>
      <w:r w:rsidRPr="00D1056D">
        <w:rPr>
          <w:rFonts w:ascii="Times New Roman" w:hAnsi="Times New Roman" w:cs="Times New Roman"/>
          <w:noProof/>
          <w:sz w:val="20"/>
          <w:szCs w:val="20"/>
          <w:vertAlign w:val="superscript"/>
        </w:rPr>
        <w:footnoteReference w:id="36"/>
      </w:r>
      <w:r w:rsidRPr="00D1056D">
        <w:rPr>
          <w:rFonts w:ascii="Times New Roman" w:hAnsi="Times New Roman"/>
          <w:noProof/>
          <w:sz w:val="24"/>
        </w:rPr>
        <w:t xml:space="preserve">. </w:t>
      </w:r>
    </w:p>
    <w:p w14:paraId="770A0F6F" w14:textId="43E0D4A8" w:rsidR="009B0B0A" w:rsidRPr="00D1056D" w:rsidRDefault="009B0B0A" w:rsidP="00EE1920">
      <w:pPr>
        <w:spacing w:after="240"/>
        <w:jc w:val="both"/>
        <w:rPr>
          <w:rFonts w:ascii="Times New Roman" w:hAnsi="Times New Roman" w:cs="Times New Roman"/>
          <w:noProof/>
          <w:sz w:val="24"/>
        </w:rPr>
      </w:pPr>
      <w:r w:rsidRPr="00D1056D">
        <w:rPr>
          <w:rFonts w:ascii="Times New Roman" w:hAnsi="Times New Roman"/>
          <w:noProof/>
          <w:sz w:val="24"/>
        </w:rPr>
        <w:t>Aby odpowiedzieć na apel Rady Europejskiej</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9</w:t>
      </w:r>
      <w:r w:rsidRPr="00D1056D">
        <w:rPr>
          <w:rFonts w:ascii="Times New Roman" w:hAnsi="Times New Roman"/>
          <w:noProof/>
          <w:sz w:val="24"/>
        </w:rPr>
        <w:t xml:space="preserve"> lutego 2023</w:t>
      </w:r>
      <w:r w:rsidR="00D1056D" w:rsidRPr="00D1056D">
        <w:rPr>
          <w:rFonts w:ascii="Times New Roman" w:hAnsi="Times New Roman"/>
          <w:noProof/>
          <w:sz w:val="24"/>
        </w:rPr>
        <w:t> </w:t>
      </w:r>
      <w:r w:rsidRPr="00D1056D">
        <w:rPr>
          <w:rFonts w:ascii="Times New Roman" w:hAnsi="Times New Roman"/>
          <w:noProof/>
          <w:sz w:val="24"/>
        </w:rPr>
        <w:t>r.</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ści</w:t>
      </w:r>
      <w:r w:rsidRPr="00D1056D">
        <w:rPr>
          <w:rFonts w:ascii="Times New Roman" w:hAnsi="Times New Roman"/>
          <w:noProof/>
          <w:sz w:val="24"/>
        </w:rPr>
        <w:t>ślejsze monitorowanie państw zwolnionych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Pr="00D1056D">
        <w:rPr>
          <w:rFonts w:ascii="Times New Roman" w:hAnsi="Times New Roman" w:cs="Times New Roman"/>
          <w:noProof/>
          <w:sz w:val="24"/>
          <w:vertAlign w:val="superscript"/>
        </w:rPr>
        <w:footnoteReference w:id="37"/>
      </w:r>
      <w:r w:rsidRPr="00D1056D">
        <w:rPr>
          <w:rFonts w:ascii="Times New Roman" w:hAnsi="Times New Roman"/>
          <w:noProof/>
          <w:sz w:val="24"/>
        </w:rPr>
        <w:t>, zgodnie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pis</w:t>
      </w:r>
      <w:r w:rsidRPr="00D1056D">
        <w:rPr>
          <w:rFonts w:ascii="Times New Roman" w:hAnsi="Times New Roman"/>
          <w:noProof/>
          <w:sz w:val="24"/>
        </w:rPr>
        <w:t>mem przewodniczącej Ursuli von der Leyen do Rady Europejskiej</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dni</w:t>
      </w:r>
      <w:r w:rsidRPr="00D1056D">
        <w:rPr>
          <w:rFonts w:ascii="Times New Roman" w:hAnsi="Times New Roman"/>
          <w:noProof/>
          <w:sz w:val="24"/>
        </w:rPr>
        <w:t>a 20 marca 2023</w:t>
      </w:r>
      <w:r w:rsidR="00D1056D" w:rsidRPr="00D1056D">
        <w:rPr>
          <w:rFonts w:ascii="Times New Roman" w:hAnsi="Times New Roman"/>
          <w:noProof/>
          <w:sz w:val="24"/>
        </w:rPr>
        <w:t> </w:t>
      </w:r>
      <w:r w:rsidRPr="00D1056D">
        <w:rPr>
          <w:rFonts w:ascii="Times New Roman" w:hAnsi="Times New Roman"/>
          <w:noProof/>
          <w:sz w:val="24"/>
        </w:rPr>
        <w:t>r., od</w:t>
      </w:r>
      <w:r w:rsidR="00D1056D" w:rsidRPr="00D1056D">
        <w:rPr>
          <w:rFonts w:ascii="Times New Roman" w:hAnsi="Times New Roman"/>
          <w:noProof/>
          <w:sz w:val="24"/>
        </w:rPr>
        <w:t> </w:t>
      </w:r>
      <w:r w:rsidRPr="00D1056D">
        <w:rPr>
          <w:rFonts w:ascii="Times New Roman" w:hAnsi="Times New Roman"/>
          <w:noProof/>
          <w:sz w:val="24"/>
        </w:rPr>
        <w:t>2023</w:t>
      </w:r>
      <w:r w:rsidR="00D1056D" w:rsidRPr="00D1056D">
        <w:rPr>
          <w:rFonts w:ascii="Times New Roman" w:hAnsi="Times New Roman"/>
          <w:noProof/>
          <w:sz w:val="24"/>
        </w:rPr>
        <w:t> </w:t>
      </w:r>
      <w:r w:rsidRPr="00D1056D">
        <w:rPr>
          <w:rFonts w:ascii="Times New Roman" w:hAnsi="Times New Roman"/>
          <w:noProof/>
          <w:sz w:val="24"/>
        </w:rPr>
        <w:t xml:space="preserve">r. Komisja będzie przedstawiać </w:t>
      </w:r>
      <w:r w:rsidRPr="00D1056D">
        <w:rPr>
          <w:rFonts w:ascii="Times New Roman" w:hAnsi="Times New Roman"/>
          <w:b/>
          <w:noProof/>
          <w:sz w:val="24"/>
        </w:rPr>
        <w:t>nowe strategiczne</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kom</w:t>
      </w:r>
      <w:r w:rsidRPr="00D1056D">
        <w:rPr>
          <w:rFonts w:ascii="Times New Roman" w:hAnsi="Times New Roman"/>
          <w:b/>
          <w:noProof/>
          <w:sz w:val="24"/>
        </w:rPr>
        <w:t>pleksowe sprawozdanie</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ram</w:t>
      </w:r>
      <w:r w:rsidRPr="00D1056D">
        <w:rPr>
          <w:rFonts w:ascii="Times New Roman" w:hAnsi="Times New Roman"/>
          <w:b/>
          <w:noProof/>
          <w:sz w:val="24"/>
        </w:rPr>
        <w:t>ach mechanizmu zawieszającego zwolnienie</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obo</w:t>
      </w:r>
      <w:r w:rsidRPr="00D1056D">
        <w:rPr>
          <w:rFonts w:ascii="Times New Roman" w:hAnsi="Times New Roman"/>
          <w:b/>
          <w:noProof/>
          <w:sz w:val="24"/>
        </w:rPr>
        <w:t>wiązku wizowego</w:t>
      </w:r>
      <w:r w:rsidRPr="00D1056D">
        <w:rPr>
          <w:rFonts w:ascii="Times New Roman" w:hAnsi="Times New Roman"/>
          <w:noProof/>
          <w:sz w:val="24"/>
        </w:rPr>
        <w:t xml:space="preserve">. </w:t>
      </w:r>
    </w:p>
    <w:p w14:paraId="57FF18BF" w14:textId="337D3103" w:rsidR="009B0B0A" w:rsidRPr="00D1056D" w:rsidRDefault="009B0B0A" w:rsidP="00EE1920">
      <w:pPr>
        <w:spacing w:after="240"/>
        <w:jc w:val="both"/>
        <w:rPr>
          <w:rFonts w:ascii="Times New Roman" w:hAnsi="Times New Roman" w:cs="Times New Roman"/>
          <w:noProof/>
          <w:sz w:val="24"/>
        </w:rPr>
      </w:pPr>
      <w:r w:rsidRPr="00D1056D">
        <w:rPr>
          <w:rFonts w:ascii="Times New Roman" w:hAnsi="Times New Roman"/>
          <w:noProof/>
          <w:sz w:val="24"/>
        </w:rPr>
        <w:t>Nowe sprawozdanie</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dal</w:t>
      </w:r>
      <w:r w:rsidRPr="00D1056D">
        <w:rPr>
          <w:rFonts w:ascii="Times New Roman" w:hAnsi="Times New Roman"/>
          <w:noProof/>
          <w:sz w:val="24"/>
        </w:rPr>
        <w:t>szym ciągu będzie zawierać pełną ocenę tego, czy państwa, które zakończyły dialog</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liberalizacji reżimu wizowego mniej niż siedem lat temu, nadal spełniają wymogi liberalizacji reżimu wizowego. Sprawozdawczość</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odn</w:t>
      </w:r>
      <w:r w:rsidRPr="00D1056D">
        <w:rPr>
          <w:rFonts w:ascii="Times New Roman" w:hAnsi="Times New Roman"/>
          <w:noProof/>
          <w:sz w:val="24"/>
        </w:rPr>
        <w:t>iesieniu do państw, które zakończyły dialog</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awie liberalizacji reżimu wizowego ponad siedem lat temu, będzie również</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dal</w:t>
      </w:r>
      <w:r w:rsidRPr="00D1056D">
        <w:rPr>
          <w:rFonts w:ascii="Times New Roman" w:hAnsi="Times New Roman"/>
          <w:noProof/>
          <w:sz w:val="24"/>
        </w:rPr>
        <w:t xml:space="preserve">szym ciągu prowadzona, zgodnie ze </w:t>
      </w:r>
      <w:r w:rsidRPr="00D1056D">
        <w:rPr>
          <w:rFonts w:ascii="Times New Roman" w:hAnsi="Times New Roman"/>
          <w:b/>
          <w:noProof/>
          <w:sz w:val="24"/>
        </w:rPr>
        <w:t>sprawozdaniami krajowymi</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ram</w:t>
      </w:r>
      <w:r w:rsidRPr="00D1056D">
        <w:rPr>
          <w:rFonts w:ascii="Times New Roman" w:hAnsi="Times New Roman"/>
          <w:b/>
          <w:noProof/>
          <w:sz w:val="24"/>
        </w:rPr>
        <w:t>ach pakietu „rozszerzenie”</w:t>
      </w:r>
      <w:r w:rsidRPr="00D1056D">
        <w:rPr>
          <w:rFonts w:ascii="Times New Roman" w:hAnsi="Times New Roman"/>
          <w:noProof/>
          <w:sz w:val="24"/>
        </w:rPr>
        <w:t>, ale będzie ukierunkowana na konkretne wyzwania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pri</w:t>
      </w:r>
      <w:r w:rsidRPr="00D1056D">
        <w:rPr>
          <w:rFonts w:ascii="Times New Roman" w:hAnsi="Times New Roman"/>
          <w:noProof/>
          <w:sz w:val="24"/>
        </w:rPr>
        <w:t>orytety, takie jak dostosowanie polityki wizowej, programy obywatelstwa dla inwestorów</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bez</w:t>
      </w:r>
      <w:r w:rsidRPr="00D1056D">
        <w:rPr>
          <w:rFonts w:ascii="Times New Roman" w:hAnsi="Times New Roman"/>
          <w:noProof/>
          <w:sz w:val="24"/>
        </w:rPr>
        <w:t>zasadne wnioski</w:t>
      </w:r>
      <w:r w:rsidR="00D1056D" w:rsidRPr="00D1056D">
        <w:rPr>
          <w:rFonts w:ascii="Times New Roman" w:hAnsi="Times New Roman"/>
          <w:noProof/>
          <w:sz w:val="24"/>
        </w:rPr>
        <w:t xml:space="preserve"> o</w:t>
      </w:r>
      <w:r w:rsidR="00D1056D">
        <w:rPr>
          <w:rFonts w:ascii="Times New Roman" w:hAnsi="Times New Roman"/>
          <w:noProof/>
          <w:sz w:val="24"/>
        </w:rPr>
        <w:t> </w:t>
      </w:r>
      <w:r w:rsidR="00D1056D" w:rsidRPr="00D1056D">
        <w:rPr>
          <w:rFonts w:ascii="Times New Roman" w:hAnsi="Times New Roman"/>
          <w:noProof/>
          <w:sz w:val="24"/>
        </w:rPr>
        <w:t>udz</w:t>
      </w:r>
      <w:r w:rsidRPr="00D1056D">
        <w:rPr>
          <w:rFonts w:ascii="Times New Roman" w:hAnsi="Times New Roman"/>
          <w:noProof/>
          <w:sz w:val="24"/>
        </w:rPr>
        <w:t xml:space="preserve">ielenie azylu. </w:t>
      </w:r>
    </w:p>
    <w:p w14:paraId="2780A724" w14:textId="422BCC6D" w:rsidR="009B0B0A" w:rsidRPr="00D1056D" w:rsidRDefault="009B0B0A" w:rsidP="00EE1920">
      <w:pPr>
        <w:spacing w:after="240"/>
        <w:jc w:val="both"/>
        <w:rPr>
          <w:rFonts w:ascii="Times New Roman" w:hAnsi="Times New Roman" w:cs="Times New Roman"/>
          <w:noProof/>
          <w:sz w:val="24"/>
        </w:rPr>
      </w:pPr>
      <w:r w:rsidRPr="00D1056D">
        <w:rPr>
          <w:rFonts w:ascii="Times New Roman" w:hAnsi="Times New Roman"/>
          <w:noProof/>
          <w:sz w:val="24"/>
        </w:rPr>
        <w:t xml:space="preserve">Sprawozdanie obejmie także inne </w:t>
      </w:r>
      <w:r w:rsidRPr="00D1056D">
        <w:rPr>
          <w:rFonts w:ascii="Times New Roman" w:hAnsi="Times New Roman"/>
          <w:b/>
          <w:noProof/>
          <w:sz w:val="24"/>
        </w:rPr>
        <w:t>obszary geograficzne poza sąsiedztwem UE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będ</w:t>
      </w:r>
      <w:r w:rsidRPr="00D1056D">
        <w:rPr>
          <w:rFonts w:ascii="Times New Roman" w:hAnsi="Times New Roman"/>
          <w:noProof/>
          <w:sz w:val="24"/>
        </w:rPr>
        <w:t>zie skoncentrowane na konkretnych państwach,</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rych mogą pojawić się problemy</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rych konieczna może być dalsza współpraca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cel</w:t>
      </w:r>
      <w:r w:rsidRPr="00D1056D">
        <w:rPr>
          <w:rFonts w:ascii="Times New Roman" w:hAnsi="Times New Roman"/>
          <w:noProof/>
          <w:sz w:val="24"/>
        </w:rPr>
        <w:t>u sprostania konkretnym wyzwaniom</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zak</w:t>
      </w:r>
      <w:r w:rsidRPr="00D1056D">
        <w:rPr>
          <w:rFonts w:ascii="Times New Roman" w:hAnsi="Times New Roman"/>
          <w:noProof/>
          <w:sz w:val="24"/>
        </w:rPr>
        <w:t>resie migracji lub bezpieczeństwa, które można by ocenić</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w:t>
      </w:r>
    </w:p>
    <w:p w14:paraId="7916DCD5" w14:textId="7E67D164" w:rsidR="00777305" w:rsidRPr="00D1056D" w:rsidRDefault="00777305" w:rsidP="00777305">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sz w:val="24"/>
          <w:szCs w:val="24"/>
        </w:rPr>
      </w:pPr>
      <w:r w:rsidRPr="00D1056D">
        <w:rPr>
          <w:rFonts w:ascii="Times New Roman" w:hAnsi="Times New Roman"/>
          <w:noProof/>
          <w:sz w:val="24"/>
        </w:rPr>
        <w:t>Podejście to zostanie zastosowane przy okazji kolejnego sprawozdania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ram</w:t>
      </w:r>
      <w:r w:rsidRPr="00D1056D">
        <w:rPr>
          <w:rFonts w:ascii="Times New Roman" w:hAnsi="Times New Roman"/>
          <w:noProof/>
          <w:sz w:val="24"/>
        </w:rPr>
        <w:t>ach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rym to zakres geograficzny</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prz</w:t>
      </w:r>
      <w:r w:rsidRPr="00D1056D">
        <w:rPr>
          <w:rFonts w:ascii="Times New Roman" w:hAnsi="Times New Roman"/>
          <w:noProof/>
          <w:sz w:val="24"/>
        </w:rPr>
        <w:t>edmiotowy zostanie dostosowany do bieżących priorytetów</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pot</w:t>
      </w:r>
      <w:r w:rsidRPr="00D1056D">
        <w:rPr>
          <w:rFonts w:ascii="Times New Roman" w:hAnsi="Times New Roman"/>
          <w:noProof/>
          <w:sz w:val="24"/>
        </w:rPr>
        <w:t xml:space="preserve">rzeb. </w:t>
      </w:r>
      <w:r w:rsidRPr="00D1056D">
        <w:rPr>
          <w:rFonts w:ascii="Times New Roman" w:hAnsi="Times New Roman"/>
          <w:b/>
          <w:noProof/>
          <w:sz w:val="24"/>
        </w:rPr>
        <w:t>Komisja zamierza również zbadać możliwość uwzględnienia tego nowego podejścia</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prz</w:t>
      </w:r>
      <w:r w:rsidRPr="00D1056D">
        <w:rPr>
          <w:rFonts w:ascii="Times New Roman" w:hAnsi="Times New Roman"/>
          <w:b/>
          <w:noProof/>
          <w:sz w:val="24"/>
        </w:rPr>
        <w:t>episach dotyczących monitorowania</w:t>
      </w:r>
      <w:r w:rsidR="00D1056D" w:rsidRPr="00D1056D">
        <w:rPr>
          <w:rFonts w:ascii="Times New Roman" w:hAnsi="Times New Roman"/>
          <w:b/>
          <w:noProof/>
          <w:sz w:val="24"/>
        </w:rPr>
        <w:t xml:space="preserve"> i</w:t>
      </w:r>
      <w:r w:rsidR="00D1056D">
        <w:rPr>
          <w:rFonts w:ascii="Times New Roman" w:hAnsi="Times New Roman"/>
          <w:b/>
          <w:noProof/>
          <w:sz w:val="24"/>
        </w:rPr>
        <w:t> </w:t>
      </w:r>
      <w:r w:rsidR="00D1056D" w:rsidRPr="00D1056D">
        <w:rPr>
          <w:rFonts w:ascii="Times New Roman" w:hAnsi="Times New Roman"/>
          <w:b/>
          <w:noProof/>
          <w:sz w:val="24"/>
        </w:rPr>
        <w:t>spr</w:t>
      </w:r>
      <w:r w:rsidRPr="00D1056D">
        <w:rPr>
          <w:rFonts w:ascii="Times New Roman" w:hAnsi="Times New Roman"/>
          <w:b/>
          <w:noProof/>
          <w:sz w:val="24"/>
        </w:rPr>
        <w:t>awozdawczości</w:t>
      </w:r>
      <w:r w:rsidR="00D1056D" w:rsidRPr="00D1056D">
        <w:rPr>
          <w:rFonts w:ascii="Times New Roman" w:hAnsi="Times New Roman"/>
          <w:b/>
          <w:noProof/>
          <w:sz w:val="24"/>
        </w:rPr>
        <w:t xml:space="preserve"> w</w:t>
      </w:r>
      <w:r w:rsidR="00D1056D">
        <w:rPr>
          <w:rFonts w:ascii="Times New Roman" w:hAnsi="Times New Roman"/>
          <w:b/>
          <w:noProof/>
          <w:sz w:val="24"/>
        </w:rPr>
        <w:t> </w:t>
      </w:r>
      <w:r w:rsidR="00D1056D" w:rsidRPr="00D1056D">
        <w:rPr>
          <w:rFonts w:ascii="Times New Roman" w:hAnsi="Times New Roman"/>
          <w:b/>
          <w:noProof/>
          <w:sz w:val="24"/>
        </w:rPr>
        <w:t>ram</w:t>
      </w:r>
      <w:r w:rsidRPr="00D1056D">
        <w:rPr>
          <w:rFonts w:ascii="Times New Roman" w:hAnsi="Times New Roman"/>
          <w:b/>
          <w:noProof/>
          <w:sz w:val="24"/>
        </w:rPr>
        <w:t>ach mechanizmu zawieszającego</w:t>
      </w:r>
      <w:r w:rsidRPr="00D1056D">
        <w:rPr>
          <w:rFonts w:ascii="Times New Roman" w:hAnsi="Times New Roman"/>
          <w:noProof/>
          <w:sz w:val="24"/>
        </w:rPr>
        <w:t>.</w:t>
      </w:r>
    </w:p>
    <w:p w14:paraId="02E383E1" w14:textId="13162DA3" w:rsidR="002520A2" w:rsidRPr="00D1056D" w:rsidRDefault="002520A2" w:rsidP="00EE1920">
      <w:pPr>
        <w:pStyle w:val="Heading1"/>
        <w:numPr>
          <w:ilvl w:val="0"/>
          <w:numId w:val="22"/>
        </w:numPr>
        <w:spacing w:after="240" w:line="240" w:lineRule="auto"/>
        <w:rPr>
          <w:rFonts w:ascii="Times New Roman" w:hAnsi="Times New Roman" w:cs="Times New Roman"/>
          <w:b/>
          <w:bCs/>
          <w:noProof/>
          <w:color w:val="auto"/>
          <w:sz w:val="24"/>
          <w:szCs w:val="24"/>
        </w:rPr>
      </w:pPr>
      <w:r w:rsidRPr="00D1056D">
        <w:rPr>
          <w:rFonts w:ascii="Times New Roman" w:hAnsi="Times New Roman"/>
          <w:b/>
          <w:noProof/>
          <w:color w:val="auto"/>
          <w:sz w:val="24"/>
        </w:rPr>
        <w:t xml:space="preserve">WNIOSEK </w:t>
      </w:r>
    </w:p>
    <w:p w14:paraId="437CACCD" w14:textId="04DAFC6B" w:rsidR="00C640AF" w:rsidRPr="00D1056D" w:rsidRDefault="00C506C6" w:rsidP="00EE1920">
      <w:pPr>
        <w:spacing w:after="240"/>
        <w:jc w:val="both"/>
        <w:rPr>
          <w:rFonts w:ascii="Times New Roman" w:hAnsi="Times New Roman" w:cs="Times New Roman"/>
          <w:noProof/>
          <w:sz w:val="24"/>
        </w:rPr>
      </w:pPr>
      <w:r w:rsidRPr="00D1056D">
        <w:rPr>
          <w:rFonts w:ascii="Times New Roman" w:hAnsi="Times New Roman"/>
          <w:noProof/>
          <w:sz w:val="24"/>
        </w:rPr>
        <w:t>Polityka wizowa UE jest kluczowym elementem dorobku Schengen</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jed</w:t>
      </w:r>
      <w:r w:rsidRPr="00D1056D">
        <w:rPr>
          <w:rFonts w:ascii="Times New Roman" w:hAnsi="Times New Roman"/>
          <w:noProof/>
          <w:sz w:val="24"/>
        </w:rPr>
        <w:t>nym</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naj</w:t>
      </w:r>
      <w:r w:rsidRPr="00D1056D">
        <w:rPr>
          <w:rFonts w:ascii="Times New Roman" w:hAnsi="Times New Roman"/>
          <w:noProof/>
          <w:sz w:val="24"/>
        </w:rPr>
        <w:t>bardziej wartościowych osiągnięć integracji europejskiej. Polityka wizowa jest –</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pow</w:t>
      </w:r>
      <w:r w:rsidRPr="00D1056D">
        <w:rPr>
          <w:rFonts w:ascii="Times New Roman" w:hAnsi="Times New Roman"/>
          <w:noProof/>
          <w:sz w:val="24"/>
        </w:rPr>
        <w:t>inna pozostać – narzędziem sprzyjającym kontaktom międzyludzkim, wspomagającym turystykę</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uła</w:t>
      </w:r>
      <w:r w:rsidRPr="00D1056D">
        <w:rPr>
          <w:rFonts w:ascii="Times New Roman" w:hAnsi="Times New Roman"/>
          <w:noProof/>
          <w:sz w:val="24"/>
        </w:rPr>
        <w:t>twiającym prowadzenie działalności gospodarczej, które jednocześnie pozwala zapobiegać ryzyku dla bezpieczeństwa oraz ryzyku migracji nieuregulowanej do UE. Jednocześnie polityka wizowa UE stale się rozwija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pow</w:t>
      </w:r>
      <w:r w:rsidRPr="00D1056D">
        <w:rPr>
          <w:rFonts w:ascii="Times New Roman" w:hAnsi="Times New Roman"/>
          <w:noProof/>
          <w:sz w:val="24"/>
        </w:rPr>
        <w:t xml:space="preserve">inna dalej ewoluować, aby umożliwić skuteczne sprostanie nowym wyzwaniom. </w:t>
      </w:r>
    </w:p>
    <w:p w14:paraId="3534E242" w14:textId="1743BBB5" w:rsidR="001272CC" w:rsidRPr="00D1056D" w:rsidRDefault="00305D06" w:rsidP="00EE1920">
      <w:pPr>
        <w:spacing w:after="240"/>
        <w:jc w:val="both"/>
        <w:rPr>
          <w:rFonts w:ascii="Times New Roman" w:hAnsi="Times New Roman" w:cs="Times New Roman"/>
          <w:noProof/>
          <w:sz w:val="24"/>
        </w:rPr>
      </w:pPr>
      <w:r w:rsidRPr="00D1056D">
        <w:rPr>
          <w:rFonts w:ascii="Times New Roman" w:hAnsi="Times New Roman"/>
          <w:noProof/>
          <w:sz w:val="24"/>
        </w:rPr>
        <w:t>W ostatnich latach UE boryka się</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sze</w:t>
      </w:r>
      <w:r w:rsidRPr="00D1056D">
        <w:rPr>
          <w:rFonts w:ascii="Times New Roman" w:hAnsi="Times New Roman"/>
          <w:noProof/>
          <w:sz w:val="24"/>
        </w:rPr>
        <w:t>regiem nowych</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poj</w:t>
      </w:r>
      <w:r w:rsidRPr="00D1056D">
        <w:rPr>
          <w:rFonts w:ascii="Times New Roman" w:hAnsi="Times New Roman"/>
          <w:noProof/>
          <w:sz w:val="24"/>
        </w:rPr>
        <w:t>awiających się wyzwań związanych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fun</w:t>
      </w:r>
      <w:r w:rsidRPr="00D1056D">
        <w:rPr>
          <w:rFonts w:ascii="Times New Roman" w:hAnsi="Times New Roman"/>
          <w:noProof/>
          <w:sz w:val="24"/>
        </w:rPr>
        <w:t>kcjonowaniem unijnej polityki wizowej,</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ze wzmożoną migracją nieuregulowaną szlakiem zachodniobałkańskim, nadużywaniem systemu azylowego przez obywateli szeregu państw zwolnionych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róż</w:t>
      </w:r>
      <w:r w:rsidRPr="00D1056D">
        <w:rPr>
          <w:rFonts w:ascii="Times New Roman" w:hAnsi="Times New Roman"/>
          <w:noProof/>
          <w:sz w:val="24"/>
        </w:rPr>
        <w:t>nych częściach świata oraz ryzykiem dla bezpieczeństwa wynikającym</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pro</w:t>
      </w:r>
      <w:r w:rsidRPr="00D1056D">
        <w:rPr>
          <w:rFonts w:ascii="Times New Roman" w:hAnsi="Times New Roman"/>
          <w:noProof/>
          <w:sz w:val="24"/>
        </w:rPr>
        <w:t>wadzenia przez państwa trzecie zwolnione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 xml:space="preserve">wiązku wizowego programów obywatelstwa dla inwestorów. </w:t>
      </w:r>
    </w:p>
    <w:p w14:paraId="41B9D8A1" w14:textId="441B0255" w:rsidR="008E6712" w:rsidRPr="00D1056D" w:rsidRDefault="00C41E36" w:rsidP="00EE1920">
      <w:pPr>
        <w:spacing w:after="240"/>
        <w:jc w:val="both"/>
        <w:rPr>
          <w:rFonts w:ascii="Times New Roman" w:hAnsi="Times New Roman" w:cs="Times New Roman"/>
          <w:noProof/>
          <w:sz w:val="24"/>
        </w:rPr>
      </w:pPr>
      <w:r w:rsidRPr="00D1056D">
        <w:rPr>
          <w:rFonts w:ascii="Times New Roman" w:hAnsi="Times New Roman"/>
          <w:noProof/>
          <w:sz w:val="24"/>
        </w:rPr>
        <w:t>Te</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inn</w:t>
      </w:r>
      <w:r w:rsidRPr="00D1056D">
        <w:rPr>
          <w:rFonts w:ascii="Times New Roman" w:hAnsi="Times New Roman"/>
          <w:noProof/>
          <w:sz w:val="24"/>
        </w:rPr>
        <w:t>e zmiany pokazały, że należy otworzyć debatę na temat możliwości zwiększenia skuteczności narzędzi polityki wizowej,</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tym</w:t>
      </w:r>
      <w:r w:rsidRPr="00D1056D">
        <w:rPr>
          <w:rFonts w:ascii="Times New Roman" w:hAnsi="Times New Roman"/>
          <w:noProof/>
          <w:sz w:val="24"/>
        </w:rPr>
        <w:t xml:space="preserve"> </w:t>
      </w:r>
      <w:r w:rsidRPr="00D1056D">
        <w:rPr>
          <w:rFonts w:ascii="Times New Roman" w:hAnsi="Times New Roman"/>
          <w:b/>
          <w:noProof/>
          <w:sz w:val="24"/>
        </w:rPr>
        <w:t>modernizacji mechanizmu zawieszającego zwolnienie</w:t>
      </w:r>
      <w:r w:rsidR="00D1056D" w:rsidRPr="00D1056D">
        <w:rPr>
          <w:rFonts w:ascii="Times New Roman" w:hAnsi="Times New Roman"/>
          <w:b/>
          <w:noProof/>
          <w:sz w:val="24"/>
        </w:rPr>
        <w:t xml:space="preserve"> z</w:t>
      </w:r>
      <w:r w:rsidR="00D1056D">
        <w:rPr>
          <w:rFonts w:ascii="Times New Roman" w:hAnsi="Times New Roman"/>
          <w:b/>
          <w:noProof/>
          <w:sz w:val="24"/>
        </w:rPr>
        <w:t> </w:t>
      </w:r>
      <w:r w:rsidR="00D1056D" w:rsidRPr="00D1056D">
        <w:rPr>
          <w:rFonts w:ascii="Times New Roman" w:hAnsi="Times New Roman"/>
          <w:b/>
          <w:noProof/>
          <w:sz w:val="24"/>
        </w:rPr>
        <w:t>obo</w:t>
      </w:r>
      <w:r w:rsidRPr="00D1056D">
        <w:rPr>
          <w:rFonts w:ascii="Times New Roman" w:hAnsi="Times New Roman"/>
          <w:b/>
          <w:noProof/>
          <w:sz w:val="24"/>
        </w:rPr>
        <w:t>wiązku wizowego</w:t>
      </w:r>
      <w:r w:rsidRPr="00D1056D">
        <w:rPr>
          <w:rFonts w:ascii="Times New Roman" w:hAnsi="Times New Roman"/>
          <w:noProof/>
          <w:sz w:val="24"/>
        </w:rPr>
        <w:t>. Komisja ma nadzieję przedyskutować</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Par</w:t>
      </w:r>
      <w:r w:rsidRPr="00D1056D">
        <w:rPr>
          <w:rFonts w:ascii="Times New Roman" w:hAnsi="Times New Roman"/>
          <w:noProof/>
          <w:sz w:val="24"/>
        </w:rPr>
        <w:t>lamentem Europejskim</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Rad</w:t>
      </w:r>
      <w:r w:rsidRPr="00D1056D">
        <w:rPr>
          <w:rFonts w:ascii="Times New Roman" w:hAnsi="Times New Roman"/>
          <w:noProof/>
          <w:sz w:val="24"/>
        </w:rPr>
        <w:t>ą sposoby jak najlepszego osiągnięcia tego celu. Dyskusja ta powinna</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szc</w:t>
      </w:r>
      <w:r w:rsidRPr="00D1056D">
        <w:rPr>
          <w:rFonts w:ascii="Times New Roman" w:hAnsi="Times New Roman"/>
          <w:noProof/>
          <w:sz w:val="24"/>
        </w:rPr>
        <w:t>zególności dotyczyć następujących kwestii:</w:t>
      </w:r>
    </w:p>
    <w:p w14:paraId="09B6ABBB" w14:textId="4F68D734" w:rsidR="005E1C99" w:rsidRPr="00D1056D" w:rsidRDefault="005E1C99" w:rsidP="00EE1920">
      <w:pPr>
        <w:pStyle w:val="ListParagraph"/>
        <w:numPr>
          <w:ilvl w:val="0"/>
          <w:numId w:val="21"/>
        </w:numPr>
        <w:spacing w:after="240"/>
        <w:jc w:val="both"/>
        <w:rPr>
          <w:rFonts w:ascii="Times New Roman" w:hAnsi="Times New Roman" w:cs="Times New Roman"/>
          <w:noProof/>
          <w:sz w:val="24"/>
          <w:szCs w:val="24"/>
        </w:rPr>
      </w:pPr>
      <w:r w:rsidRPr="00D1056D">
        <w:rPr>
          <w:rFonts w:ascii="Times New Roman" w:hAnsi="Times New Roman"/>
          <w:noProof/>
          <w:sz w:val="24"/>
        </w:rPr>
        <w:t>potrzeby dodania nowych podstaw zawieszenia, aby zaradzić nowym pojawiającym się sytuacjom,</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któ</w:t>
      </w:r>
      <w:r w:rsidRPr="00D1056D">
        <w:rPr>
          <w:rFonts w:ascii="Times New Roman" w:hAnsi="Times New Roman"/>
          <w:noProof/>
          <w:sz w:val="24"/>
        </w:rPr>
        <w:t>rych system bezwizowy mógłby być nadużywany lub powodować ryzyko migracji nieuregulowanej lub ryzyko dla bezpieczeństwa UE;</w:t>
      </w:r>
    </w:p>
    <w:p w14:paraId="3FE6E286" w14:textId="59B59A4A" w:rsidR="005E1C99" w:rsidRPr="00D1056D" w:rsidRDefault="00C774CF" w:rsidP="00EE1920">
      <w:pPr>
        <w:pStyle w:val="ListParagraph"/>
        <w:numPr>
          <w:ilvl w:val="0"/>
          <w:numId w:val="21"/>
        </w:numPr>
        <w:spacing w:after="240"/>
        <w:jc w:val="both"/>
        <w:rPr>
          <w:rFonts w:ascii="Times New Roman" w:hAnsi="Times New Roman" w:cs="Times New Roman"/>
          <w:noProof/>
          <w:sz w:val="24"/>
        </w:rPr>
      </w:pPr>
      <w:r w:rsidRPr="00D1056D">
        <w:rPr>
          <w:rFonts w:ascii="Times New Roman" w:hAnsi="Times New Roman"/>
          <w:noProof/>
          <w:sz w:val="24"/>
        </w:rPr>
        <w:t>tego czy</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w</w:t>
      </w:r>
      <w:r w:rsidR="00D1056D">
        <w:rPr>
          <w:rFonts w:ascii="Times New Roman" w:hAnsi="Times New Roman"/>
          <w:noProof/>
          <w:sz w:val="24"/>
        </w:rPr>
        <w:t> </w:t>
      </w:r>
      <w:r w:rsidR="00D1056D" w:rsidRPr="00D1056D">
        <w:rPr>
          <w:rFonts w:ascii="Times New Roman" w:hAnsi="Times New Roman"/>
          <w:noProof/>
          <w:sz w:val="24"/>
        </w:rPr>
        <w:t>jak</w:t>
      </w:r>
      <w:r w:rsidRPr="00D1056D">
        <w:rPr>
          <w:rFonts w:ascii="Times New Roman" w:hAnsi="Times New Roman"/>
          <w:noProof/>
          <w:sz w:val="24"/>
        </w:rPr>
        <w:t>i sposób najlepiej dostosować progi uruchomienia mechanizmu do faktycznego ryzyka migracji</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ryz</w:t>
      </w:r>
      <w:r w:rsidRPr="00D1056D">
        <w:rPr>
          <w:rFonts w:ascii="Times New Roman" w:hAnsi="Times New Roman"/>
          <w:noProof/>
          <w:sz w:val="24"/>
        </w:rPr>
        <w:t>yka dla bezpieczeństwa zgłaszanych przez państwa członkowskie, tak aby zapewnić większy efekt odstraszający,</w:t>
      </w:r>
      <w:r w:rsidR="00D1056D" w:rsidRPr="00D1056D">
        <w:rPr>
          <w:rFonts w:ascii="Times New Roman" w:hAnsi="Times New Roman"/>
          <w:noProof/>
          <w:sz w:val="24"/>
        </w:rPr>
        <w:t xml:space="preserve"> a</w:t>
      </w:r>
      <w:r w:rsidR="00D1056D">
        <w:rPr>
          <w:rFonts w:ascii="Times New Roman" w:hAnsi="Times New Roman"/>
          <w:noProof/>
          <w:sz w:val="24"/>
        </w:rPr>
        <w:t> </w:t>
      </w:r>
      <w:r w:rsidR="00D1056D" w:rsidRPr="00D1056D">
        <w:rPr>
          <w:rFonts w:ascii="Times New Roman" w:hAnsi="Times New Roman"/>
          <w:noProof/>
          <w:sz w:val="24"/>
        </w:rPr>
        <w:t>tak</w:t>
      </w:r>
      <w:r w:rsidRPr="00D1056D">
        <w:rPr>
          <w:rFonts w:ascii="Times New Roman" w:hAnsi="Times New Roman"/>
          <w:noProof/>
          <w:sz w:val="24"/>
        </w:rPr>
        <w:t>że szybko przeciwdziałać szerszemu zakresowi zagrożeń związanych</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ruc</w:t>
      </w:r>
      <w:r w:rsidRPr="00D1056D">
        <w:rPr>
          <w:rFonts w:ascii="Times New Roman" w:hAnsi="Times New Roman"/>
          <w:noProof/>
          <w:sz w:val="24"/>
        </w:rPr>
        <w:t>hem bezwizowym;</w:t>
      </w:r>
    </w:p>
    <w:p w14:paraId="178D145C" w14:textId="398F563C" w:rsidR="005E1C99" w:rsidRPr="00D1056D" w:rsidRDefault="00C774CF" w:rsidP="00EE1920">
      <w:pPr>
        <w:pStyle w:val="ListParagraph"/>
        <w:numPr>
          <w:ilvl w:val="0"/>
          <w:numId w:val="21"/>
        </w:numPr>
        <w:spacing w:after="240"/>
        <w:jc w:val="both"/>
        <w:rPr>
          <w:rFonts w:ascii="Times New Roman" w:hAnsi="Times New Roman" w:cs="Times New Roman"/>
          <w:noProof/>
          <w:sz w:val="24"/>
        </w:rPr>
      </w:pPr>
      <w:r w:rsidRPr="00D1056D">
        <w:rPr>
          <w:rFonts w:ascii="Times New Roman" w:hAnsi="Times New Roman"/>
          <w:noProof/>
          <w:sz w:val="24"/>
        </w:rPr>
        <w:t>tego, jak można zwiększyć skuteczność</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ela</w:t>
      </w:r>
      <w:r w:rsidRPr="00D1056D">
        <w:rPr>
          <w:rFonts w:ascii="Times New Roman" w:hAnsi="Times New Roman"/>
          <w:noProof/>
          <w:sz w:val="24"/>
        </w:rPr>
        <w:t>styczność procedury zawieszenia;</w:t>
      </w:r>
    </w:p>
    <w:p w14:paraId="1FEA7F05" w14:textId="0B45D6DF" w:rsidR="00976022" w:rsidRPr="00D1056D" w:rsidRDefault="00E93AAF" w:rsidP="00EE1920">
      <w:pPr>
        <w:pStyle w:val="ListParagraph"/>
        <w:numPr>
          <w:ilvl w:val="0"/>
          <w:numId w:val="21"/>
        </w:numPr>
        <w:spacing w:after="240"/>
        <w:jc w:val="both"/>
        <w:rPr>
          <w:rFonts w:ascii="Times New Roman" w:hAnsi="Times New Roman" w:cs="Times New Roman"/>
          <w:noProof/>
          <w:sz w:val="24"/>
        </w:rPr>
      </w:pPr>
      <w:r w:rsidRPr="00D1056D">
        <w:rPr>
          <w:rFonts w:ascii="Times New Roman" w:hAnsi="Times New Roman"/>
          <w:noProof/>
          <w:sz w:val="24"/>
        </w:rPr>
        <w:t>wzmocnienia obowiązków</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zak</w:t>
      </w:r>
      <w:r w:rsidRPr="00D1056D">
        <w:rPr>
          <w:rFonts w:ascii="Times New Roman" w:hAnsi="Times New Roman"/>
          <w:noProof/>
          <w:sz w:val="24"/>
        </w:rPr>
        <w:t>resie monitorowania</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spr</w:t>
      </w:r>
      <w:r w:rsidRPr="00D1056D">
        <w:rPr>
          <w:rFonts w:ascii="Times New Roman" w:hAnsi="Times New Roman"/>
          <w:noProof/>
          <w:sz w:val="24"/>
        </w:rPr>
        <w:t>awozdawczości.</w:t>
      </w:r>
    </w:p>
    <w:p w14:paraId="6D4704C2" w14:textId="43D806DA" w:rsidR="00C7696B" w:rsidRPr="00D1056D" w:rsidRDefault="007273CC" w:rsidP="00EE1920">
      <w:pPr>
        <w:spacing w:after="240"/>
        <w:jc w:val="both"/>
        <w:rPr>
          <w:rFonts w:ascii="Times New Roman" w:hAnsi="Times New Roman" w:cs="Times New Roman"/>
          <w:noProof/>
          <w:sz w:val="24"/>
        </w:rPr>
      </w:pPr>
      <w:r w:rsidRPr="00D1056D">
        <w:rPr>
          <w:rFonts w:ascii="Times New Roman" w:hAnsi="Times New Roman"/>
          <w:noProof/>
          <w:sz w:val="24"/>
        </w:rPr>
        <w:t>Na podstawie szczegółowych konsultacji</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Par</w:t>
      </w:r>
      <w:r w:rsidRPr="00D1056D">
        <w:rPr>
          <w:rFonts w:ascii="Times New Roman" w:hAnsi="Times New Roman"/>
          <w:noProof/>
          <w:sz w:val="24"/>
        </w:rPr>
        <w:t>lamentem Europejskim</w:t>
      </w:r>
      <w:r w:rsidR="00D1056D" w:rsidRPr="00D1056D">
        <w:rPr>
          <w:rFonts w:ascii="Times New Roman" w:hAnsi="Times New Roman"/>
          <w:noProof/>
          <w:sz w:val="24"/>
        </w:rPr>
        <w:t xml:space="preserve"> i</w:t>
      </w:r>
      <w:r w:rsidR="00D1056D">
        <w:rPr>
          <w:rFonts w:ascii="Times New Roman" w:hAnsi="Times New Roman"/>
          <w:noProof/>
          <w:sz w:val="24"/>
        </w:rPr>
        <w:t> </w:t>
      </w:r>
      <w:r w:rsidR="00D1056D" w:rsidRPr="00D1056D">
        <w:rPr>
          <w:rFonts w:ascii="Times New Roman" w:hAnsi="Times New Roman"/>
          <w:noProof/>
          <w:sz w:val="24"/>
        </w:rPr>
        <w:t>Rad</w:t>
      </w:r>
      <w:r w:rsidRPr="00D1056D">
        <w:rPr>
          <w:rFonts w:ascii="Times New Roman" w:hAnsi="Times New Roman"/>
          <w:noProof/>
          <w:sz w:val="24"/>
        </w:rPr>
        <w:t>ą Komisja przedstawi jesienią 2023</w:t>
      </w:r>
      <w:r w:rsidR="00D1056D" w:rsidRPr="00D1056D">
        <w:rPr>
          <w:rFonts w:ascii="Times New Roman" w:hAnsi="Times New Roman"/>
          <w:noProof/>
          <w:sz w:val="24"/>
        </w:rPr>
        <w:t> </w:t>
      </w:r>
      <w:r w:rsidRPr="00D1056D">
        <w:rPr>
          <w:rFonts w:ascii="Times New Roman" w:hAnsi="Times New Roman"/>
          <w:noProof/>
          <w:sz w:val="24"/>
        </w:rPr>
        <w:t>r. wniosek ustawodawczy dotyczący zmiany mechanizmu zawieszającego zwolnienie</w:t>
      </w:r>
      <w:r w:rsidR="00D1056D" w:rsidRPr="00D1056D">
        <w:rPr>
          <w:rFonts w:ascii="Times New Roman" w:hAnsi="Times New Roman"/>
          <w:noProof/>
          <w:sz w:val="24"/>
        </w:rPr>
        <w:t xml:space="preserve"> z</w:t>
      </w:r>
      <w:r w:rsidR="00D1056D">
        <w:rPr>
          <w:rFonts w:ascii="Times New Roman" w:hAnsi="Times New Roman"/>
          <w:noProof/>
          <w:sz w:val="24"/>
        </w:rPr>
        <w:t> </w:t>
      </w:r>
      <w:r w:rsidR="00D1056D" w:rsidRPr="00D1056D">
        <w:rPr>
          <w:rFonts w:ascii="Times New Roman" w:hAnsi="Times New Roman"/>
          <w:noProof/>
          <w:sz w:val="24"/>
        </w:rPr>
        <w:t>obo</w:t>
      </w:r>
      <w:r w:rsidRPr="00D1056D">
        <w:rPr>
          <w:rFonts w:ascii="Times New Roman" w:hAnsi="Times New Roman"/>
          <w:noProof/>
          <w:sz w:val="24"/>
        </w:rPr>
        <w:t>wiązku wizowego przewidzianego</w:t>
      </w:r>
      <w:r w:rsidR="00D1056D" w:rsidRPr="00D1056D">
        <w:rPr>
          <w:rFonts w:ascii="Times New Roman" w:hAnsi="Times New Roman"/>
          <w:noProof/>
          <w:sz w:val="24"/>
        </w:rPr>
        <w:t xml:space="preserve"> w</w:t>
      </w:r>
      <w:r w:rsidR="00D1056D">
        <w:rPr>
          <w:rFonts w:ascii="Times New Roman" w:hAnsi="Times New Roman"/>
          <w:noProof/>
          <w:sz w:val="24"/>
        </w:rPr>
        <w:t> </w:t>
      </w:r>
      <w:r w:rsidR="00D1056D" w:rsidRPr="00D1056D">
        <w:rPr>
          <w:rFonts w:ascii="Times New Roman" w:hAnsi="Times New Roman"/>
          <w:noProof/>
          <w:sz w:val="24"/>
        </w:rPr>
        <w:t>art</w:t>
      </w:r>
      <w:r w:rsidRPr="00D1056D">
        <w:rPr>
          <w:rFonts w:ascii="Times New Roman" w:hAnsi="Times New Roman"/>
          <w:noProof/>
          <w:sz w:val="24"/>
        </w:rPr>
        <w:t>.</w:t>
      </w:r>
      <w:r w:rsidR="00D1056D" w:rsidRPr="00D1056D">
        <w:rPr>
          <w:rFonts w:ascii="Times New Roman" w:hAnsi="Times New Roman"/>
          <w:noProof/>
          <w:sz w:val="24"/>
        </w:rPr>
        <w:t> </w:t>
      </w:r>
      <w:r w:rsidRPr="00D1056D">
        <w:rPr>
          <w:rFonts w:ascii="Times New Roman" w:hAnsi="Times New Roman"/>
          <w:noProof/>
          <w:sz w:val="24"/>
        </w:rPr>
        <w:t xml:space="preserve">8 rozporządzenia wizowego. </w:t>
      </w:r>
    </w:p>
    <w:sectPr w:rsidR="00C7696B" w:rsidRPr="00D1056D" w:rsidSect="00BF509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18EB" w14:textId="77777777" w:rsidR="008B44A5" w:rsidRPr="00D1056D" w:rsidRDefault="008B44A5" w:rsidP="00BF509F">
      <w:pPr>
        <w:spacing w:after="0" w:line="240" w:lineRule="auto"/>
      </w:pPr>
      <w:r w:rsidRPr="00D1056D">
        <w:separator/>
      </w:r>
    </w:p>
  </w:endnote>
  <w:endnote w:type="continuationSeparator" w:id="0">
    <w:p w14:paraId="43520922" w14:textId="77777777" w:rsidR="008B44A5" w:rsidRPr="00D1056D" w:rsidRDefault="008B44A5" w:rsidP="00BF509F">
      <w:pPr>
        <w:spacing w:after="0" w:line="240" w:lineRule="auto"/>
      </w:pPr>
      <w:r w:rsidRPr="00D1056D">
        <w:continuationSeparator/>
      </w:r>
    </w:p>
  </w:endnote>
  <w:endnote w:type="continuationNotice" w:id="1">
    <w:p w14:paraId="3CCCCD66" w14:textId="77777777" w:rsidR="008B44A5" w:rsidRPr="00D1056D" w:rsidRDefault="008B4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6296" w14:textId="343666F4" w:rsidR="00E965AB" w:rsidRPr="00D72130" w:rsidRDefault="00E965AB" w:rsidP="00D7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8707" w14:textId="7693BC79" w:rsidR="00E965AB" w:rsidRPr="00D72130" w:rsidRDefault="00D72130" w:rsidP="00D72130">
    <w:pPr>
      <w:pStyle w:val="FooterCoverPage"/>
      <w:rPr>
        <w:rFonts w:ascii="Arial" w:hAnsi="Arial" w:cs="Arial"/>
        <w:b/>
        <w:sz w:val="48"/>
      </w:rPr>
    </w:pPr>
    <w:r w:rsidRPr="00D72130">
      <w:rPr>
        <w:rFonts w:ascii="Arial" w:hAnsi="Arial" w:cs="Arial"/>
        <w:b/>
        <w:sz w:val="48"/>
      </w:rPr>
      <w:t>PL</w:t>
    </w:r>
    <w:r w:rsidRPr="00D72130">
      <w:rPr>
        <w:rFonts w:ascii="Arial" w:hAnsi="Arial" w:cs="Arial"/>
        <w:b/>
        <w:sz w:val="48"/>
      </w:rPr>
      <w:tab/>
    </w:r>
    <w:r w:rsidRPr="00D72130">
      <w:rPr>
        <w:rFonts w:ascii="Arial" w:hAnsi="Arial" w:cs="Arial"/>
        <w:b/>
        <w:sz w:val="48"/>
      </w:rPr>
      <w:tab/>
    </w:r>
    <w:r w:rsidRPr="00D72130">
      <w:tab/>
    </w:r>
    <w:r w:rsidRPr="00D72130">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BEA8E" w14:textId="77777777" w:rsidR="00D72130" w:rsidRPr="00D72130" w:rsidRDefault="00D72130" w:rsidP="00D7213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05A5" w14:textId="77777777" w:rsidR="00594BC4" w:rsidRDefault="00594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403100"/>
      <w:docPartObj>
        <w:docPartGallery w:val="Page Numbers (Bottom of Page)"/>
        <w:docPartUnique/>
      </w:docPartObj>
    </w:sdtPr>
    <w:sdtEndPr>
      <w:rPr>
        <w:noProof/>
      </w:rPr>
    </w:sdtEndPr>
    <w:sdtContent>
      <w:p w14:paraId="1BA21C73" w14:textId="7612198F" w:rsidR="00594BC4" w:rsidRPr="00A65B51" w:rsidRDefault="00F17BA1">
        <w:pPr>
          <w:pStyle w:val="Footer"/>
          <w:jc w:val="center"/>
        </w:pPr>
        <w:r>
          <w:rPr>
            <w:shd w:val="clear" w:color="auto" w:fill="E6E6E6"/>
          </w:rPr>
          <w:fldChar w:fldCharType="begin"/>
        </w:r>
        <w:r>
          <w:instrText xml:space="preserve"> PAGE   \* MERGEFORMAT </w:instrText>
        </w:r>
        <w:r>
          <w:rPr>
            <w:shd w:val="clear" w:color="auto" w:fill="E6E6E6"/>
          </w:rPr>
          <w:fldChar w:fldCharType="separate"/>
        </w:r>
        <w:r w:rsidR="00D72130">
          <w:rPr>
            <w:noProof/>
          </w:rPr>
          <w:t>1</w:t>
        </w:r>
        <w:r>
          <w:rPr>
            <w:shd w:val="clear" w:color="auto" w:fill="E6E6E6"/>
          </w:rPr>
          <w:fldChar w:fldCharType="end"/>
        </w:r>
      </w:p>
    </w:sdtContent>
  </w:sdt>
  <w:p w14:paraId="352A2A04" w14:textId="77777777" w:rsidR="00594BC4" w:rsidRDefault="00594B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7175" w14:textId="77777777" w:rsidR="00594BC4" w:rsidRDefault="00594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C526D" w14:textId="77777777" w:rsidR="008B44A5" w:rsidRPr="00D1056D" w:rsidRDefault="008B44A5" w:rsidP="00BF509F">
      <w:pPr>
        <w:spacing w:after="0" w:line="240" w:lineRule="auto"/>
      </w:pPr>
      <w:r w:rsidRPr="00D1056D">
        <w:separator/>
      </w:r>
    </w:p>
  </w:footnote>
  <w:footnote w:type="continuationSeparator" w:id="0">
    <w:p w14:paraId="715EACE6" w14:textId="77777777" w:rsidR="008B44A5" w:rsidRPr="00D1056D" w:rsidRDefault="008B44A5" w:rsidP="00BF509F">
      <w:pPr>
        <w:spacing w:after="0" w:line="240" w:lineRule="auto"/>
      </w:pPr>
      <w:r w:rsidRPr="00D1056D">
        <w:continuationSeparator/>
      </w:r>
    </w:p>
  </w:footnote>
  <w:footnote w:type="continuationNotice" w:id="1">
    <w:p w14:paraId="43158EA4" w14:textId="77777777" w:rsidR="008B44A5" w:rsidRPr="00D1056D" w:rsidRDefault="008B44A5">
      <w:pPr>
        <w:spacing w:after="0" w:line="240" w:lineRule="auto"/>
      </w:pPr>
    </w:p>
  </w:footnote>
  <w:footnote w:id="2">
    <w:p w14:paraId="561A11D8" w14:textId="62050424" w:rsidR="00594BC4" w:rsidRPr="00D1056D" w:rsidRDefault="00594BC4" w:rsidP="003078B8">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W tym dwa specjalne regiony administracyjne Chin (Hongkong</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Mak</w:t>
      </w:r>
      <w:r w:rsidRPr="00D1056D">
        <w:rPr>
          <w:rFonts w:ascii="Times New Roman" w:hAnsi="Times New Roman"/>
        </w:rPr>
        <w:t>au) oraz jeden podmiot terytorialny, który nie jest uznawany za państwo przez co najmniej jedno państwo członkowskie UE (Tajwan), oraz – najpóźniej do</w:t>
      </w:r>
      <w:r w:rsidR="00D1056D" w:rsidRPr="00D1056D">
        <w:rPr>
          <w:rFonts w:ascii="Times New Roman" w:hAnsi="Times New Roman"/>
        </w:rPr>
        <w:t> </w:t>
      </w:r>
      <w:r w:rsidRPr="00D1056D">
        <w:rPr>
          <w:rFonts w:ascii="Times New Roman" w:hAnsi="Times New Roman"/>
        </w:rPr>
        <w:t>1 stycznia 2024</w:t>
      </w:r>
      <w:r w:rsidR="00D1056D" w:rsidRPr="00D1056D">
        <w:rPr>
          <w:rFonts w:ascii="Times New Roman" w:hAnsi="Times New Roman"/>
        </w:rPr>
        <w:t> </w:t>
      </w:r>
      <w:r w:rsidRPr="00D1056D">
        <w:rPr>
          <w:rFonts w:ascii="Times New Roman" w:hAnsi="Times New Roman"/>
        </w:rPr>
        <w:t>r. – Kosowo*. Państwa wymienione</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zał</w:t>
      </w:r>
      <w:r w:rsidRPr="00D1056D">
        <w:rPr>
          <w:rFonts w:ascii="Times New Roman" w:hAnsi="Times New Roman"/>
        </w:rPr>
        <w:t>ączniku II do rozporządzenia Parlamentu Europejskiego</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Rad</w:t>
      </w:r>
      <w:r w:rsidRPr="00D1056D">
        <w:rPr>
          <w:rFonts w:ascii="Times New Roman" w:hAnsi="Times New Roman"/>
        </w:rPr>
        <w:t>y (UE) 2018/1806</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14 listopada 2018</w:t>
      </w:r>
      <w:r w:rsidR="00D1056D" w:rsidRPr="00D1056D">
        <w:rPr>
          <w:rFonts w:ascii="Times New Roman" w:hAnsi="Times New Roman"/>
        </w:rPr>
        <w:t> </w:t>
      </w:r>
      <w:r w:rsidRPr="00D1056D">
        <w:rPr>
          <w:rFonts w:ascii="Times New Roman" w:hAnsi="Times New Roman"/>
        </w:rPr>
        <w:t>r. wymieniającego państwa trzecie, których obywatele muszą posiadać wizy podczas przekraczania granic zewnętrznych, oraz te, których obywatele są zwolnieni</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teg</w:t>
      </w:r>
      <w:r w:rsidRPr="00D1056D">
        <w:rPr>
          <w:rFonts w:ascii="Times New Roman" w:hAnsi="Times New Roman"/>
        </w:rPr>
        <w:t>o wymogu,</w:t>
      </w:r>
      <w:r w:rsidRPr="00D1056D">
        <w:t xml:space="preserve"> </w:t>
      </w:r>
      <w:r w:rsidRPr="00D1056D">
        <w:rPr>
          <w:rFonts w:ascii="Times New Roman" w:hAnsi="Times New Roman"/>
        </w:rPr>
        <w:t>Dz.U. L 303</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2</w:t>
      </w:r>
      <w:r w:rsidRPr="00D1056D">
        <w:rPr>
          <w:rFonts w:ascii="Times New Roman" w:hAnsi="Times New Roman"/>
        </w:rPr>
        <w:t xml:space="preserve">8.11.2018, s. 39. </w:t>
      </w:r>
    </w:p>
  </w:footnote>
  <w:footnote w:id="3">
    <w:p w14:paraId="001E3D86" w14:textId="02ABDD99" w:rsidR="00594BC4" w:rsidRPr="00D1056D" w:rsidRDefault="00594BC4" w:rsidP="004106D0">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Antigua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Bar</w:t>
      </w:r>
      <w:r w:rsidRPr="00D1056D">
        <w:rPr>
          <w:rFonts w:ascii="Times New Roman" w:hAnsi="Times New Roman"/>
        </w:rPr>
        <w:t>buda, Bahamy, Barbados, Brazylia, Kolumbia, Dominika, Grenada, Kiribati, Wyspy Marshalla, Mauritius, Mikronezja, Palau, Peru, Saint Kitts</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Nev</w:t>
      </w:r>
      <w:r w:rsidRPr="00D1056D">
        <w:rPr>
          <w:rFonts w:ascii="Times New Roman" w:hAnsi="Times New Roman"/>
        </w:rPr>
        <w:t>is, Saint Lucia, Saint Vincent</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Gre</w:t>
      </w:r>
      <w:r w:rsidRPr="00D1056D">
        <w:rPr>
          <w:rFonts w:ascii="Times New Roman" w:hAnsi="Times New Roman"/>
        </w:rPr>
        <w:t>nadyny, Samoa, Seszele, Wyspy Salomona, Timor Wschodni, Tonga, Trynidad</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Tob</w:t>
      </w:r>
      <w:r w:rsidRPr="00D1056D">
        <w:rPr>
          <w:rFonts w:ascii="Times New Roman" w:hAnsi="Times New Roman"/>
        </w:rPr>
        <w:t>ago, Tuvalu, Zjednoczone Emiraty Arabskie, Vanuatu.</w:t>
      </w:r>
    </w:p>
  </w:footnote>
  <w:footnote w:id="4">
    <w:p w14:paraId="0DC04088" w14:textId="3479B07D" w:rsidR="00594BC4" w:rsidRPr="00D1056D" w:rsidRDefault="00594BC4" w:rsidP="00077B4B">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Andora, Argentyna, Australia, Brunei, Kanada, Chile, Kostaryka, Salwador, Gwatemala, Stolica Apostolska, Honduras, Izrael, Japonia, Malezja, Meksyk, Monako, Nowa Zelandia, Nikaragua, Panama, Paragwaj, San Marino, Singapur, Korea Południowa, Stany Zjednoczone, Urugwaj, Wenezuela. Do tych państw</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2</w:t>
      </w:r>
      <w:r w:rsidRPr="00D1056D">
        <w:rPr>
          <w:rFonts w:ascii="Times New Roman" w:hAnsi="Times New Roman"/>
        </w:rPr>
        <w:t>019</w:t>
      </w:r>
      <w:r w:rsidR="00D1056D" w:rsidRPr="00D1056D">
        <w:rPr>
          <w:rFonts w:ascii="Times New Roman" w:hAnsi="Times New Roman"/>
        </w:rPr>
        <w:t> </w:t>
      </w:r>
      <w:r w:rsidRPr="00D1056D">
        <w:rPr>
          <w:rFonts w:ascii="Times New Roman" w:hAnsi="Times New Roman"/>
        </w:rPr>
        <w:t>r. dodano Zjednoczone Królestwo, po jego wystąpieniu</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Uni</w:t>
      </w:r>
      <w:r w:rsidRPr="00D1056D">
        <w:rPr>
          <w:rFonts w:ascii="Times New Roman" w:hAnsi="Times New Roman"/>
        </w:rPr>
        <w:t>i Europejskiej</w:t>
      </w:r>
      <w:r w:rsidRPr="00D1056D">
        <w:t xml:space="preserve"> (</w:t>
      </w:r>
      <w:r w:rsidRPr="00D1056D">
        <w:rPr>
          <w:rFonts w:ascii="Times New Roman" w:hAnsi="Times New Roman"/>
        </w:rPr>
        <w:t>rozporządzenie Parlamentu Europejskiego</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Rad</w:t>
      </w:r>
      <w:r w:rsidRPr="00D1056D">
        <w:rPr>
          <w:rFonts w:ascii="Times New Roman" w:hAnsi="Times New Roman"/>
        </w:rPr>
        <w:t>y (UE) 2019/592</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10 kwietnia 2019</w:t>
      </w:r>
      <w:r w:rsidR="00D1056D" w:rsidRPr="00D1056D">
        <w:rPr>
          <w:rFonts w:ascii="Times New Roman" w:hAnsi="Times New Roman"/>
        </w:rPr>
        <w:t> </w:t>
      </w:r>
      <w:r w:rsidRPr="00D1056D">
        <w:rPr>
          <w:rFonts w:ascii="Times New Roman" w:hAnsi="Times New Roman"/>
        </w:rPr>
        <w:t>r. zmieniające rozporządzenie (UE) 2018/1806 wymieniające państwa trzecie, których obywatele muszą posiadać wizy podczas przekraczania granic zewnętrznych, oraz te, których obywatele są zwolnieni</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teg</w:t>
      </w:r>
      <w:r w:rsidRPr="00D1056D">
        <w:rPr>
          <w:rFonts w:ascii="Times New Roman" w:hAnsi="Times New Roman"/>
        </w:rPr>
        <w:t>o wymogu,</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zwi</w:t>
      </w:r>
      <w:r w:rsidRPr="00D1056D">
        <w:rPr>
          <w:rFonts w:ascii="Times New Roman" w:hAnsi="Times New Roman"/>
        </w:rPr>
        <w:t>ązku</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wys</w:t>
      </w:r>
      <w:r w:rsidRPr="00D1056D">
        <w:rPr>
          <w:rFonts w:ascii="Times New Roman" w:hAnsi="Times New Roman"/>
        </w:rPr>
        <w:t>tąpieniem Zjednoczonego Królestwa</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Uni</w:t>
      </w:r>
      <w:r w:rsidRPr="00D1056D">
        <w:rPr>
          <w:rFonts w:ascii="Times New Roman" w:hAnsi="Times New Roman"/>
        </w:rPr>
        <w:t>i, Dz.U. L 103I</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1</w:t>
      </w:r>
      <w:r w:rsidRPr="00D1056D">
        <w:rPr>
          <w:rFonts w:ascii="Times New Roman" w:hAnsi="Times New Roman"/>
        </w:rPr>
        <w:t>2.4.2019, s. 1).</w:t>
      </w:r>
    </w:p>
    <w:p w14:paraId="6EA9DBB4" w14:textId="01C955F6" w:rsidR="00606CDC" w:rsidRPr="00D1056D" w:rsidRDefault="00606CDC" w:rsidP="00606CDC">
      <w:pPr>
        <w:pStyle w:val="FootnoteText"/>
        <w:ind w:left="284" w:hanging="284"/>
        <w:jc w:val="both"/>
      </w:pPr>
      <w:r w:rsidRPr="00D1056D">
        <w:rPr>
          <w:rFonts w:ascii="Times New Roman" w:hAnsi="Times New Roman"/>
        </w:rPr>
        <w:t xml:space="preserve">* </w:t>
      </w:r>
      <w:r w:rsidRPr="00D1056D">
        <w:tab/>
      </w:r>
      <w:r w:rsidRPr="00D1056D">
        <w:rPr>
          <w:rFonts w:ascii="Times New Roman" w:hAnsi="Times New Roman"/>
        </w:rPr>
        <w:t>Użycie tej nazwy nie wpływa na stanowiska</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statusu Kosowa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jes</w:t>
      </w:r>
      <w:r w:rsidRPr="00D1056D">
        <w:rPr>
          <w:rFonts w:ascii="Times New Roman" w:hAnsi="Times New Roman"/>
        </w:rPr>
        <w:t>t zgodne</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rez</w:t>
      </w:r>
      <w:r w:rsidRPr="00D1056D">
        <w:rPr>
          <w:rFonts w:ascii="Times New Roman" w:hAnsi="Times New Roman"/>
        </w:rPr>
        <w:t>olucją Rady Bezpieczeństwa ONZ 1244/1999 oraz</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opi</w:t>
      </w:r>
      <w:r w:rsidRPr="00D1056D">
        <w:rPr>
          <w:rFonts w:ascii="Times New Roman" w:hAnsi="Times New Roman"/>
        </w:rPr>
        <w:t>nią Międzynarodowego Trybunału Sprawiedliwości</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Deklaracji niepodległości Kosowa.</w:t>
      </w:r>
    </w:p>
    <w:p w14:paraId="14D1728E" w14:textId="77777777" w:rsidR="00606CDC" w:rsidRPr="00D1056D" w:rsidRDefault="00606CDC" w:rsidP="00077B4B">
      <w:pPr>
        <w:pStyle w:val="FootnoteText"/>
        <w:ind w:left="284" w:hanging="284"/>
        <w:jc w:val="both"/>
        <w:rPr>
          <w:rFonts w:ascii="Times New Roman" w:hAnsi="Times New Roman" w:cs="Times New Roman"/>
        </w:rPr>
      </w:pPr>
    </w:p>
  </w:footnote>
  <w:footnote w:id="5">
    <w:p w14:paraId="76EE4D12" w14:textId="05024660" w:rsidR="00594BC4" w:rsidRPr="00D1056D" w:rsidRDefault="00594BC4" w:rsidP="006F4F70">
      <w:pPr>
        <w:pStyle w:val="FootnoteText"/>
        <w:ind w:left="284" w:hanging="284"/>
        <w:rPr>
          <w:rFonts w:ascii="Times New Roman" w:hAnsi="Times New Roman" w:cs="Times New Roman"/>
        </w:rPr>
      </w:pPr>
    </w:p>
  </w:footnote>
  <w:footnote w:id="6">
    <w:p w14:paraId="34BE973F" w14:textId="7ADE0A82" w:rsidR="00002D06" w:rsidRPr="00D1056D" w:rsidRDefault="00002D06" w:rsidP="00387056">
      <w:pPr>
        <w:pStyle w:val="FootnoteText"/>
        <w:ind w:left="284" w:hanging="284"/>
        <w:jc w:val="both"/>
        <w:rPr>
          <w:rFonts w:ascii="Times New Roman" w:hAnsi="Times New Roman" w:cs="Times New Roman"/>
        </w:rPr>
      </w:pPr>
      <w:r w:rsidRPr="00D1056D">
        <w:rPr>
          <w:rStyle w:val="FootnoteReference"/>
        </w:rPr>
        <w:t>4</w:t>
      </w:r>
      <w:r w:rsidRPr="00D1056D">
        <w:t xml:space="preserve"> </w:t>
      </w:r>
      <w:r w:rsidRPr="00D1056D">
        <w:tab/>
      </w:r>
      <w:r w:rsidRPr="00D1056D">
        <w:rPr>
          <w:rFonts w:ascii="Times New Roman" w:hAnsi="Times New Roman"/>
        </w:rPr>
        <w:t>Rozporządzenie Parlamentu Europejskiego</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Rad</w:t>
      </w:r>
      <w:r w:rsidRPr="00D1056D">
        <w:rPr>
          <w:rFonts w:ascii="Times New Roman" w:hAnsi="Times New Roman"/>
        </w:rPr>
        <w:t>y (UE) 2023/850</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19 kwietnia 2023 r.</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zmiany rozporządzenia (UE) 2018/1806 wymieniającego państwa trzecie, których obywatele muszą posiadać wizy podczas przekraczania granic zewnętrznych, oraz te, których obywatele są zwolnieni</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teg</w:t>
      </w:r>
      <w:r w:rsidRPr="00D1056D">
        <w:rPr>
          <w:rFonts w:ascii="Times New Roman" w:hAnsi="Times New Roman"/>
        </w:rPr>
        <w:t>o wymogu (Kosowo (Użycie tej nazwy nie wpływa na stanowiska</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statusu Kosowa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jes</w:t>
      </w:r>
      <w:r w:rsidRPr="00D1056D">
        <w:rPr>
          <w:rFonts w:ascii="Times New Roman" w:hAnsi="Times New Roman"/>
        </w:rPr>
        <w:t>t zgodne</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rez</w:t>
      </w:r>
      <w:r w:rsidRPr="00D1056D">
        <w:rPr>
          <w:rFonts w:ascii="Times New Roman" w:hAnsi="Times New Roman"/>
        </w:rPr>
        <w:t>olucją Rady Bezpieczeństwa ONZ nr 1244/1999 oraz</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opi</w:t>
      </w:r>
      <w:r w:rsidRPr="00D1056D">
        <w:rPr>
          <w:rFonts w:ascii="Times New Roman" w:hAnsi="Times New Roman"/>
        </w:rPr>
        <w:t>nią Międzynarodowego Trybunału Sprawiedliwości</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Deklaracji niepodległości Kosowa.)), Dz.U. L 110</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2</w:t>
      </w:r>
      <w:r w:rsidRPr="00D1056D">
        <w:rPr>
          <w:rFonts w:ascii="Times New Roman" w:hAnsi="Times New Roman"/>
        </w:rPr>
        <w:t>5.4.2023, s. 1.</w:t>
      </w:r>
    </w:p>
  </w:footnote>
  <w:footnote w:id="7">
    <w:p w14:paraId="4DF95336" w14:textId="595238E7" w:rsidR="00594BC4" w:rsidRPr="00D1056D" w:rsidRDefault="00002D06" w:rsidP="00E35C5E">
      <w:pPr>
        <w:pStyle w:val="FootnoteText"/>
        <w:ind w:left="284" w:hanging="284"/>
        <w:rPr>
          <w:rFonts w:ascii="Times New Roman" w:hAnsi="Times New Roman" w:cs="Times New Roman"/>
        </w:rPr>
      </w:pPr>
      <w:r w:rsidRPr="00D1056D">
        <w:rPr>
          <w:rStyle w:val="FootnoteReference"/>
          <w:rFonts w:ascii="Times New Roman" w:hAnsi="Times New Roman"/>
        </w:rPr>
        <w:t>5</w:t>
      </w:r>
      <w:r w:rsidRPr="00D1056D">
        <w:rPr>
          <w:rFonts w:ascii="Times New Roman" w:hAnsi="Times New Roman"/>
        </w:rPr>
        <w:t xml:space="preserve"> </w:t>
      </w:r>
      <w:r w:rsidRPr="00D1056D">
        <w:tab/>
      </w:r>
      <w:hyperlink r:id="rId1" w:history="1">
        <w:r w:rsidRPr="00D1056D">
          <w:rPr>
            <w:rStyle w:val="Hyperlink"/>
            <w:rFonts w:ascii="Times New Roman" w:hAnsi="Times New Roman"/>
          </w:rPr>
          <w:t>Safe-and-seamless-travel-and-improved-traveller-experience-OECDReport-for-the-G20-TWG_merged.pdf</w:t>
        </w:r>
      </w:hyperlink>
    </w:p>
  </w:footnote>
  <w:footnote w:id="8">
    <w:p w14:paraId="4830BF1A" w14:textId="785D04BB" w:rsidR="00594BC4" w:rsidRPr="00D1056D" w:rsidRDefault="00002D06" w:rsidP="006F4F70">
      <w:pPr>
        <w:pStyle w:val="FootnoteText"/>
        <w:ind w:left="284" w:hanging="284"/>
        <w:jc w:val="both"/>
        <w:rPr>
          <w:rFonts w:ascii="Times New Roman" w:hAnsi="Times New Roman" w:cs="Times New Roman"/>
        </w:rPr>
      </w:pPr>
      <w:r w:rsidRPr="00D1056D">
        <w:rPr>
          <w:rStyle w:val="FootnoteReference"/>
          <w:rFonts w:ascii="Times New Roman" w:hAnsi="Times New Roman"/>
        </w:rPr>
        <w:t>6</w:t>
      </w:r>
      <w:r w:rsidRPr="00D1056D">
        <w:rPr>
          <w:rFonts w:ascii="Times New Roman" w:hAnsi="Times New Roman"/>
        </w:rPr>
        <w:t xml:space="preserve"> </w:t>
      </w:r>
      <w:r w:rsidRPr="00D1056D">
        <w:tab/>
      </w:r>
      <w:r w:rsidRPr="00D1056D">
        <w:rPr>
          <w:rFonts w:ascii="Times New Roman" w:hAnsi="Times New Roman"/>
        </w:rPr>
        <w:t>W art.</w:t>
      </w:r>
      <w:r w:rsidR="00D1056D" w:rsidRPr="00D1056D">
        <w:rPr>
          <w:rFonts w:ascii="Times New Roman" w:hAnsi="Times New Roman"/>
        </w:rPr>
        <w:t> </w:t>
      </w:r>
      <w:r w:rsidRPr="00D1056D">
        <w:rPr>
          <w:rFonts w:ascii="Times New Roman" w:hAnsi="Times New Roman"/>
        </w:rPr>
        <w:t>8 ust.</w:t>
      </w:r>
      <w:r w:rsidR="00D1056D" w:rsidRPr="00D1056D">
        <w:rPr>
          <w:rFonts w:ascii="Times New Roman" w:hAnsi="Times New Roman"/>
        </w:rPr>
        <w:t> </w:t>
      </w:r>
      <w:r w:rsidRPr="00D1056D">
        <w:rPr>
          <w:rFonts w:ascii="Times New Roman" w:hAnsi="Times New Roman"/>
        </w:rPr>
        <w:t>4 rozporządzenia (UE) 2018/1806 zobowiązano Komisję do monitorowania, czy państwa trzecie, których obywatele są zwolnieni</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obo</w:t>
      </w:r>
      <w:r w:rsidRPr="00D1056D">
        <w:rPr>
          <w:rFonts w:ascii="Times New Roman" w:hAnsi="Times New Roman"/>
        </w:rPr>
        <w:t>wiązku wizowego podczas podróży na terytorium państw członkowskich</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zwi</w:t>
      </w:r>
      <w:r w:rsidRPr="00D1056D">
        <w:rPr>
          <w:rFonts w:ascii="Times New Roman" w:hAnsi="Times New Roman"/>
        </w:rPr>
        <w:t>ązku</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pom</w:t>
      </w:r>
      <w:r w:rsidRPr="00D1056D">
        <w:rPr>
          <w:rFonts w:ascii="Times New Roman" w:hAnsi="Times New Roman"/>
        </w:rPr>
        <w:t>yślnym zakończeniem dialogu</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liberalizacji reżimu wizowego między Unią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tym</w:t>
      </w:r>
      <w:r w:rsidRPr="00D1056D">
        <w:rPr>
          <w:rFonts w:ascii="Times New Roman" w:hAnsi="Times New Roman"/>
        </w:rPr>
        <w:t xml:space="preserve"> państwem trzecim, nadal spełniają szczegółowe wymogi, których podstawą jest art. 1</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któ</w:t>
      </w:r>
      <w:r w:rsidRPr="00D1056D">
        <w:rPr>
          <w:rFonts w:ascii="Times New Roman" w:hAnsi="Times New Roman"/>
        </w:rPr>
        <w:t>re zostały zastosowane do oceny zasadności liberalizacji reżimu wizowego</w:t>
      </w:r>
      <w:r w:rsidR="00D1056D" w:rsidRPr="00D1056D">
        <w:rPr>
          <w:rFonts w:ascii="Times New Roman" w:hAnsi="Times New Roman"/>
        </w:rPr>
        <w:t>.</w:t>
      </w:r>
      <w:r w:rsidR="00D1056D" w:rsidRPr="00D1056D">
        <w:rPr>
          <w:rFonts w:ascii="Times New Roman" w:hAnsi="Times New Roman"/>
          <w:color w:val="2B579A"/>
          <w:shd w:val="clear" w:color="auto" w:fill="E6E6E6"/>
        </w:rPr>
        <w:t xml:space="preserve"> </w:t>
      </w:r>
      <w:r w:rsidR="00D1056D" w:rsidRPr="00D1056D">
        <w:rPr>
          <w:rFonts w:ascii="Times New Roman" w:hAnsi="Times New Roman"/>
        </w:rPr>
        <w:t>W</w:t>
      </w:r>
      <w:r w:rsidR="00D1056D">
        <w:rPr>
          <w:rFonts w:ascii="Times New Roman" w:hAnsi="Times New Roman"/>
        </w:rPr>
        <w:t> </w:t>
      </w:r>
      <w:r w:rsidR="00D1056D" w:rsidRPr="00D1056D">
        <w:rPr>
          <w:rFonts w:ascii="Times New Roman" w:hAnsi="Times New Roman"/>
        </w:rPr>
        <w:t>tym</w:t>
      </w:r>
      <w:r w:rsidRPr="00D1056D">
        <w:rPr>
          <w:rFonts w:ascii="Times New Roman" w:hAnsi="Times New Roman"/>
        </w:rPr>
        <w:t xml:space="preserve"> celu od</w:t>
      </w:r>
      <w:r w:rsidR="00D1056D" w:rsidRPr="00D1056D">
        <w:rPr>
          <w:rFonts w:ascii="Times New Roman" w:hAnsi="Times New Roman"/>
        </w:rPr>
        <w:t> </w:t>
      </w:r>
      <w:r w:rsidRPr="00D1056D">
        <w:rPr>
          <w:rFonts w:ascii="Times New Roman" w:hAnsi="Times New Roman"/>
        </w:rPr>
        <w:t>2017</w:t>
      </w:r>
      <w:r w:rsidR="00D1056D" w:rsidRPr="00D1056D">
        <w:rPr>
          <w:rFonts w:ascii="Times New Roman" w:hAnsi="Times New Roman"/>
        </w:rPr>
        <w:t> </w:t>
      </w:r>
      <w:r w:rsidRPr="00D1056D">
        <w:rPr>
          <w:rFonts w:ascii="Times New Roman" w:hAnsi="Times New Roman"/>
        </w:rPr>
        <w:t>r. Komisja przyjęła pięć</w:t>
      </w:r>
      <w:bookmarkStart w:id="2" w:name="_Hlk135372511"/>
      <w:r w:rsidRPr="00D1056D">
        <w:rPr>
          <w:rFonts w:ascii="Times New Roman" w:hAnsi="Times New Roman"/>
        </w:rPr>
        <w:t xml:space="preserve"> sprawozdań</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ram</w:t>
      </w:r>
      <w:r w:rsidRPr="00D1056D">
        <w:rPr>
          <w:rFonts w:ascii="Times New Roman" w:hAnsi="Times New Roman"/>
        </w:rPr>
        <w:t>ach mechanizmu zawieszającego zwolnienie</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obo</w:t>
      </w:r>
      <w:r w:rsidRPr="00D1056D">
        <w:rPr>
          <w:rFonts w:ascii="Times New Roman" w:hAnsi="Times New Roman"/>
        </w:rPr>
        <w:t>wiązku wizowego</w:t>
      </w:r>
      <w:bookmarkEnd w:id="2"/>
      <w:r w:rsidRPr="00D1056D">
        <w:rPr>
          <w:rFonts w:ascii="Times New Roman" w:hAnsi="Times New Roman"/>
        </w:rPr>
        <w:t>, które obejmują państwa objęte ruchem bezwizowym na Bałkanach Zachodnich (Albania, Bośnia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Her</w:t>
      </w:r>
      <w:r w:rsidRPr="00D1056D">
        <w:rPr>
          <w:rFonts w:ascii="Times New Roman" w:hAnsi="Times New Roman"/>
        </w:rPr>
        <w:t>cegowina, Czarnogóra, Macedonia Północna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Ser</w:t>
      </w:r>
      <w:r w:rsidRPr="00D1056D">
        <w:rPr>
          <w:rFonts w:ascii="Times New Roman" w:hAnsi="Times New Roman"/>
        </w:rPr>
        <w:t>bia) oraz państwa należące do Partnerstwa Wschodniego (Gruzja, Mołdawia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Ukr</w:t>
      </w:r>
      <w:r w:rsidRPr="00D1056D">
        <w:rPr>
          <w:rFonts w:ascii="Times New Roman" w:hAnsi="Times New Roman"/>
        </w:rPr>
        <w:t>aina). Ponadto Komisja regularnie monitoruje systemy bezwizowe</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inn</w:t>
      </w:r>
      <w:r w:rsidRPr="00D1056D">
        <w:rPr>
          <w:rFonts w:ascii="Times New Roman" w:hAnsi="Times New Roman"/>
        </w:rPr>
        <w:t>ymi państwami trzecimi</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kon</w:t>
      </w:r>
      <w:r w:rsidRPr="00D1056D">
        <w:rPr>
          <w:rFonts w:ascii="Times New Roman" w:hAnsi="Times New Roman"/>
        </w:rPr>
        <w:t>tekście możliwości uruchomienia mechanizmu zawieszającego</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wła</w:t>
      </w:r>
      <w:r w:rsidRPr="00D1056D">
        <w:rPr>
          <w:rFonts w:ascii="Times New Roman" w:hAnsi="Times New Roman"/>
        </w:rPr>
        <w:t>snej inicjatywy, zgodnie</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art</w:t>
      </w:r>
      <w:r w:rsidRPr="00D1056D">
        <w:rPr>
          <w:rFonts w:ascii="Times New Roman" w:hAnsi="Times New Roman"/>
        </w:rPr>
        <w:t>.</w:t>
      </w:r>
      <w:r w:rsidR="00D1056D" w:rsidRPr="00D1056D">
        <w:rPr>
          <w:rFonts w:ascii="Times New Roman" w:hAnsi="Times New Roman"/>
        </w:rPr>
        <w:t> </w:t>
      </w:r>
      <w:r w:rsidRPr="00D1056D">
        <w:rPr>
          <w:rFonts w:ascii="Times New Roman" w:hAnsi="Times New Roman"/>
        </w:rPr>
        <w:t>8 ust.</w:t>
      </w:r>
      <w:r w:rsidR="00D1056D" w:rsidRPr="00D1056D">
        <w:rPr>
          <w:rFonts w:ascii="Times New Roman" w:hAnsi="Times New Roman"/>
        </w:rPr>
        <w:t> </w:t>
      </w:r>
      <w:r w:rsidRPr="00D1056D">
        <w:rPr>
          <w:rFonts w:ascii="Times New Roman" w:hAnsi="Times New Roman"/>
        </w:rPr>
        <w:t>3 rozporządzenia (UE) 2018/1806.</w:t>
      </w:r>
    </w:p>
  </w:footnote>
  <w:footnote w:id="9">
    <w:p w14:paraId="1C8AD139" w14:textId="4C440B27" w:rsidR="003631DE" w:rsidRPr="00D1056D" w:rsidRDefault="00002D06" w:rsidP="00ED6804">
      <w:pPr>
        <w:pStyle w:val="FootnoteText"/>
        <w:ind w:left="284" w:hanging="284"/>
        <w:jc w:val="both"/>
        <w:rPr>
          <w:rFonts w:ascii="Times New Roman" w:hAnsi="Times New Roman" w:cs="Times New Roman"/>
        </w:rPr>
      </w:pPr>
      <w:r w:rsidRPr="00D1056D">
        <w:rPr>
          <w:rStyle w:val="FootnoteReference"/>
          <w:rFonts w:ascii="Times New Roman" w:hAnsi="Times New Roman"/>
        </w:rPr>
        <w:t>7</w:t>
      </w:r>
      <w:r w:rsidRPr="00D1056D">
        <w:rPr>
          <w:rFonts w:ascii="Times New Roman" w:hAnsi="Times New Roman"/>
        </w:rPr>
        <w:t xml:space="preserve"> </w:t>
      </w:r>
      <w:r w:rsidRPr="00D1056D">
        <w:tab/>
      </w:r>
      <w:r w:rsidRPr="00D1056D">
        <w:rPr>
          <w:rFonts w:ascii="Times New Roman" w:hAnsi="Times New Roman"/>
        </w:rPr>
        <w:t>Zob. również sprawozdanie Komisji dla Parlamentu Europejskiego, Rady, Europejskiego Komitetu Ekonomiczno-Społecznego</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Kom</w:t>
      </w:r>
      <w:r w:rsidRPr="00D1056D">
        <w:rPr>
          <w:rFonts w:ascii="Times New Roman" w:hAnsi="Times New Roman"/>
        </w:rPr>
        <w:t>itetu Regionów</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23 stycznia 2019</w:t>
      </w:r>
      <w:r w:rsidR="00D1056D" w:rsidRPr="00D1056D">
        <w:rPr>
          <w:rFonts w:ascii="Times New Roman" w:hAnsi="Times New Roman"/>
        </w:rPr>
        <w:t> </w:t>
      </w:r>
      <w:r w:rsidRPr="00D1056D">
        <w:rPr>
          <w:rFonts w:ascii="Times New Roman" w:hAnsi="Times New Roman"/>
        </w:rPr>
        <w:t>r.</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programów obywatelstwa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uła</w:t>
      </w:r>
      <w:r w:rsidRPr="00D1056D">
        <w:rPr>
          <w:rFonts w:ascii="Times New Roman" w:hAnsi="Times New Roman"/>
        </w:rPr>
        <w:t>twień pobytowych dla inwestorów</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Uni</w:t>
      </w:r>
      <w:r w:rsidRPr="00D1056D">
        <w:rPr>
          <w:rFonts w:ascii="Times New Roman" w:hAnsi="Times New Roman"/>
        </w:rPr>
        <w:t>i Europejskiej, COM(2019) 12 final.</w:t>
      </w:r>
    </w:p>
  </w:footnote>
  <w:footnote w:id="10">
    <w:p w14:paraId="02A6B5C8" w14:textId="40DBDD52" w:rsidR="00DE43A3" w:rsidRPr="00D1056D" w:rsidRDefault="00002D06" w:rsidP="00ED6804">
      <w:pPr>
        <w:pStyle w:val="FootnoteText"/>
        <w:ind w:left="284" w:hanging="284"/>
        <w:jc w:val="both"/>
        <w:rPr>
          <w:rFonts w:ascii="Times New Roman" w:hAnsi="Times New Roman" w:cs="Times New Roman"/>
        </w:rPr>
      </w:pPr>
      <w:r w:rsidRPr="00D1056D">
        <w:rPr>
          <w:rStyle w:val="FootnoteReference"/>
          <w:rFonts w:ascii="Times New Roman" w:hAnsi="Times New Roman"/>
        </w:rPr>
        <w:t>8</w:t>
      </w:r>
      <w:r w:rsidRPr="00D1056D">
        <w:tab/>
      </w:r>
      <w:r w:rsidRPr="00D1056D">
        <w:rPr>
          <w:rFonts w:ascii="Times New Roman" w:hAnsi="Times New Roman"/>
        </w:rPr>
        <w:t>Szlak zachodniobałkański odnosi się do przekraczania granicy przez osoby</w:t>
      </w:r>
      <w:r w:rsidR="00D1056D" w:rsidRPr="00D1056D">
        <w:rPr>
          <w:rFonts w:ascii="Times New Roman" w:hAnsi="Times New Roman"/>
        </w:rPr>
        <w:t xml:space="preserve"> o</w:t>
      </w:r>
      <w:r w:rsidR="00D1056D">
        <w:rPr>
          <w:rFonts w:ascii="Times New Roman" w:hAnsi="Times New Roman"/>
        </w:rPr>
        <w:t> </w:t>
      </w:r>
      <w:r w:rsidR="00D1056D" w:rsidRPr="00D1056D">
        <w:rPr>
          <w:rFonts w:ascii="Times New Roman" w:hAnsi="Times New Roman"/>
        </w:rPr>
        <w:t>nie</w:t>
      </w:r>
      <w:r w:rsidRPr="00D1056D">
        <w:rPr>
          <w:rFonts w:ascii="Times New Roman" w:hAnsi="Times New Roman"/>
        </w:rPr>
        <w:t>uregulowanym statusie przybywające do UE przez ten region: Albanię, Bośnię</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Her</w:t>
      </w:r>
      <w:r w:rsidRPr="00D1056D">
        <w:rPr>
          <w:rFonts w:ascii="Times New Roman" w:hAnsi="Times New Roman"/>
        </w:rPr>
        <w:t>cegowinę, Kosowo, Czarnogórę, Macedonię Północną</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Ser</w:t>
      </w:r>
      <w:r w:rsidRPr="00D1056D">
        <w:rPr>
          <w:rFonts w:ascii="Times New Roman" w:hAnsi="Times New Roman"/>
        </w:rPr>
        <w:t>bię.</w:t>
      </w:r>
    </w:p>
  </w:footnote>
  <w:footnote w:id="11">
    <w:p w14:paraId="3443F701" w14:textId="69095FDE" w:rsidR="00594BC4" w:rsidRPr="00D1056D" w:rsidRDefault="00002D06" w:rsidP="007703FF">
      <w:pPr>
        <w:pStyle w:val="FootnoteText"/>
        <w:ind w:left="284" w:hanging="284"/>
        <w:jc w:val="both"/>
        <w:rPr>
          <w:rFonts w:ascii="Times New Roman" w:hAnsi="Times New Roman" w:cs="Times New Roman"/>
        </w:rPr>
      </w:pPr>
      <w:r w:rsidRPr="00D1056D">
        <w:rPr>
          <w:rStyle w:val="FootnoteReference"/>
          <w:rFonts w:ascii="Times New Roman" w:hAnsi="Times New Roman"/>
        </w:rPr>
        <w:t>9</w:t>
      </w:r>
      <w:r w:rsidRPr="00D1056D">
        <w:rPr>
          <w:rFonts w:ascii="Times New Roman" w:hAnsi="Times New Roman"/>
        </w:rPr>
        <w:t xml:space="preserve"> </w:t>
      </w:r>
      <w:r w:rsidRPr="00D1056D">
        <w:tab/>
      </w:r>
      <w:r w:rsidRPr="00D1056D">
        <w:rPr>
          <w:rFonts w:ascii="Times New Roman" w:hAnsi="Times New Roman"/>
        </w:rPr>
        <w:t>Byli to głównie obywatele Tunezji, Kuby</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Bur</w:t>
      </w:r>
      <w:r w:rsidRPr="00D1056D">
        <w:rPr>
          <w:rFonts w:ascii="Times New Roman" w:hAnsi="Times New Roman"/>
        </w:rPr>
        <w:t>undi przybywający przez Serbię, obywatele Indii przybywający przez Serbię</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Alb</w:t>
      </w:r>
      <w:r w:rsidRPr="00D1056D">
        <w:rPr>
          <w:rFonts w:ascii="Times New Roman" w:hAnsi="Times New Roman"/>
        </w:rPr>
        <w:t>anię oraz obywatele państw trzecich będący rezydentami Zjednoczonych Emiratów Arabskich, przybywający przez Albanię</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Cza</w:t>
      </w:r>
      <w:r w:rsidRPr="00D1056D">
        <w:rPr>
          <w:rFonts w:ascii="Times New Roman" w:hAnsi="Times New Roman"/>
        </w:rPr>
        <w:t>rnogórę, jak wynika</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inf</w:t>
      </w:r>
      <w:r w:rsidRPr="00D1056D">
        <w:rPr>
          <w:rFonts w:ascii="Times New Roman" w:hAnsi="Times New Roman"/>
        </w:rPr>
        <w:t>ormacji zawartych</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pla</w:t>
      </w:r>
      <w:r w:rsidRPr="00D1056D">
        <w:rPr>
          <w:rFonts w:ascii="Times New Roman" w:hAnsi="Times New Roman"/>
        </w:rPr>
        <w:t xml:space="preserve">nie działania UE na rzecz Bałkanów Zachodnich: </w:t>
      </w:r>
      <w:hyperlink r:id="rId2" w:history="1">
        <w:r w:rsidRPr="00D1056D">
          <w:rPr>
            <w:rStyle w:val="Hyperlink"/>
            <w:rFonts w:ascii="Times New Roman" w:hAnsi="Times New Roman"/>
          </w:rPr>
          <w:t>https://home-affairs.ec.europa.eu/system/files/2022–12/Western %20Balkans_en.pdf</w:t>
        </w:r>
      </w:hyperlink>
      <w:r w:rsidRPr="00D1056D">
        <w:rPr>
          <w:rFonts w:ascii="Times New Roman" w:hAnsi="Times New Roman"/>
        </w:rPr>
        <w:t xml:space="preserve"> </w:t>
      </w:r>
    </w:p>
  </w:footnote>
  <w:footnote w:id="12">
    <w:p w14:paraId="72742003" w14:textId="26DE4C31" w:rsidR="008A6500" w:rsidRPr="00D1056D" w:rsidRDefault="00002D06" w:rsidP="00002D06">
      <w:pPr>
        <w:pStyle w:val="FootnoteText"/>
        <w:jc w:val="both"/>
        <w:rPr>
          <w:rFonts w:ascii="Times New Roman" w:hAnsi="Times New Roman" w:cs="Times New Roman"/>
        </w:rPr>
      </w:pPr>
      <w:r w:rsidRPr="00D1056D">
        <w:rPr>
          <w:rStyle w:val="FootnoteReference"/>
          <w:rFonts w:ascii="Times New Roman" w:hAnsi="Times New Roman"/>
        </w:rPr>
        <w:t>10</w:t>
      </w:r>
      <w:r w:rsidRPr="00D1056D">
        <w:rPr>
          <w:rFonts w:ascii="Times New Roman" w:hAnsi="Times New Roman"/>
        </w:rPr>
        <w:t xml:space="preserve"> </w:t>
      </w:r>
      <w:r w:rsidRPr="00D1056D">
        <w:tab/>
      </w:r>
      <w:r w:rsidRPr="00D1056D">
        <w:rPr>
          <w:rFonts w:ascii="Times New Roman" w:hAnsi="Times New Roman"/>
        </w:rPr>
        <w:t>Sprawozdanie Komisji dla Parlamentu Europejskiego</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Rad</w:t>
      </w:r>
      <w:r w:rsidRPr="00D1056D">
        <w:rPr>
          <w:rFonts w:ascii="Times New Roman" w:hAnsi="Times New Roman"/>
        </w:rPr>
        <w:t>y „Piąte sprawozdanie</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ram</w:t>
      </w:r>
      <w:r w:rsidRPr="00D1056D">
        <w:rPr>
          <w:rFonts w:ascii="Times New Roman" w:hAnsi="Times New Roman"/>
        </w:rPr>
        <w:t>ach mechanizmu zawieszającego zwolnienie</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obo</w:t>
      </w:r>
      <w:r w:rsidRPr="00D1056D">
        <w:rPr>
          <w:rFonts w:ascii="Times New Roman" w:hAnsi="Times New Roman"/>
        </w:rPr>
        <w:t>wiązku wizowego”, COM(2022) 715 final/2.</w:t>
      </w:r>
    </w:p>
  </w:footnote>
  <w:footnote w:id="13">
    <w:p w14:paraId="2D4BC026" w14:textId="35A18A47" w:rsidR="00594BC4" w:rsidRPr="00D1056D" w:rsidRDefault="00002D06" w:rsidP="002F3A1A">
      <w:pPr>
        <w:pStyle w:val="FootnoteText"/>
        <w:ind w:left="284" w:hanging="284"/>
        <w:jc w:val="both"/>
        <w:rPr>
          <w:rFonts w:ascii="Times New Roman" w:hAnsi="Times New Roman" w:cs="Times New Roman"/>
        </w:rPr>
      </w:pPr>
      <w:r w:rsidRPr="00D1056D">
        <w:rPr>
          <w:rStyle w:val="FootnoteReference"/>
          <w:rFonts w:ascii="Times New Roman" w:hAnsi="Times New Roman"/>
        </w:rPr>
        <w:t>11</w:t>
      </w:r>
      <w:r w:rsidRPr="00D1056D">
        <w:rPr>
          <w:rFonts w:ascii="Times New Roman" w:hAnsi="Times New Roman"/>
        </w:rPr>
        <w:t xml:space="preserve"> </w:t>
      </w:r>
      <w:r w:rsidRPr="00D1056D">
        <w:tab/>
      </w:r>
      <w:r w:rsidRPr="00D1056D">
        <w:rPr>
          <w:rFonts w:ascii="Times New Roman" w:hAnsi="Times New Roman"/>
        </w:rPr>
        <w:t>Nadzwyczajne posiedzenie Rady Europejskiej (9 lutego 2023</w:t>
      </w:r>
      <w:r w:rsidR="00D1056D" w:rsidRPr="00D1056D">
        <w:rPr>
          <w:rFonts w:ascii="Times New Roman" w:hAnsi="Times New Roman"/>
        </w:rPr>
        <w:t> </w:t>
      </w:r>
      <w:r w:rsidRPr="00D1056D">
        <w:rPr>
          <w:rFonts w:ascii="Times New Roman" w:hAnsi="Times New Roman"/>
        </w:rPr>
        <w:t xml:space="preserve">r.) – Konkluzje, </w:t>
      </w:r>
      <w:hyperlink r:id="rId3" w:history="1">
        <w:r w:rsidRPr="00D1056D">
          <w:rPr>
            <w:rStyle w:val="Hyperlink"/>
            <w:rFonts w:ascii="Times New Roman" w:hAnsi="Times New Roman"/>
          </w:rPr>
          <w:t>https://data.consilium.europa.eu/doc/document/ST-1-2023-INIT/pl/pdf</w:t>
        </w:r>
      </w:hyperlink>
      <w:r w:rsidRPr="00D1056D">
        <w:rPr>
          <w:rFonts w:ascii="Times New Roman" w:hAnsi="Times New Roman"/>
        </w:rPr>
        <w:t xml:space="preserve"> </w:t>
      </w:r>
    </w:p>
  </w:footnote>
  <w:footnote w:id="14">
    <w:p w14:paraId="5924C796" w14:textId="66DB78DA" w:rsidR="00594BC4" w:rsidRPr="00D1056D" w:rsidRDefault="00002D06" w:rsidP="00765364">
      <w:pPr>
        <w:pStyle w:val="FootnoteText"/>
        <w:ind w:left="284" w:hanging="284"/>
        <w:jc w:val="both"/>
      </w:pPr>
      <w:r w:rsidRPr="00D1056D">
        <w:rPr>
          <w:rStyle w:val="FootnoteReference"/>
          <w:rFonts w:ascii="Times New Roman" w:hAnsi="Times New Roman"/>
        </w:rPr>
        <w:t>12</w:t>
      </w:r>
      <w:r w:rsidRPr="00D1056D">
        <w:rPr>
          <w:rFonts w:ascii="Times New Roman" w:hAnsi="Times New Roman"/>
        </w:rPr>
        <w:t xml:space="preserve"> </w:t>
      </w:r>
      <w:r w:rsidRPr="00D1056D">
        <w:tab/>
      </w:r>
      <w:r w:rsidRPr="00D1056D">
        <w:rPr>
          <w:rFonts w:ascii="Times New Roman" w:hAnsi="Times New Roman"/>
        </w:rPr>
        <w:t>21 października Serbia ogłosiła wypowiedzenie umów</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ruchu bezwizowego</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Bur</w:t>
      </w:r>
      <w:r w:rsidRPr="00D1056D">
        <w:rPr>
          <w:rFonts w:ascii="Times New Roman" w:hAnsi="Times New Roman"/>
        </w:rPr>
        <w:t>undi</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Tun</w:t>
      </w:r>
      <w:r w:rsidRPr="00D1056D">
        <w:rPr>
          <w:rFonts w:ascii="Times New Roman" w:hAnsi="Times New Roman"/>
        </w:rPr>
        <w:t>ezją,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2</w:t>
      </w:r>
      <w:r w:rsidRPr="00D1056D">
        <w:rPr>
          <w:rFonts w:ascii="Times New Roman" w:hAnsi="Times New Roman"/>
        </w:rPr>
        <w:t>2 listopada 2022</w:t>
      </w:r>
      <w:r w:rsidR="00D1056D" w:rsidRPr="00D1056D">
        <w:rPr>
          <w:rFonts w:ascii="Times New Roman" w:hAnsi="Times New Roman"/>
        </w:rPr>
        <w:t> </w:t>
      </w:r>
      <w:r w:rsidRPr="00D1056D">
        <w:rPr>
          <w:rFonts w:ascii="Times New Roman" w:hAnsi="Times New Roman"/>
        </w:rPr>
        <w:t>r. przywróciła obowiązek wizowy</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odn</w:t>
      </w:r>
      <w:r w:rsidRPr="00D1056D">
        <w:rPr>
          <w:rFonts w:ascii="Times New Roman" w:hAnsi="Times New Roman"/>
        </w:rPr>
        <w:t>iesieniu do tych państw. Następnie 1 grudnia wypowiedziała umowę</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ruchu bezwizowego</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Gwi</w:t>
      </w:r>
      <w:r w:rsidRPr="00D1056D">
        <w:rPr>
          <w:rFonts w:ascii="Times New Roman" w:hAnsi="Times New Roman"/>
        </w:rPr>
        <w:t>neą Bissau</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pię</w:t>
      </w:r>
      <w:r w:rsidRPr="00D1056D">
        <w:rPr>
          <w:rFonts w:ascii="Times New Roman" w:hAnsi="Times New Roman"/>
        </w:rPr>
        <w:t>ć dni później przywróciła obowiązek wizowy</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tym</w:t>
      </w:r>
      <w:r w:rsidRPr="00D1056D">
        <w:rPr>
          <w:rFonts w:ascii="Times New Roman" w:hAnsi="Times New Roman"/>
        </w:rPr>
        <w:t xml:space="preserve"> krajem. 6 grudnia 2022</w:t>
      </w:r>
      <w:r w:rsidR="00D1056D" w:rsidRPr="00D1056D">
        <w:rPr>
          <w:rFonts w:ascii="Times New Roman" w:hAnsi="Times New Roman"/>
        </w:rPr>
        <w:t> </w:t>
      </w:r>
      <w:r w:rsidRPr="00D1056D">
        <w:rPr>
          <w:rFonts w:ascii="Times New Roman" w:hAnsi="Times New Roman"/>
        </w:rPr>
        <w:t>r. Komisja przyjęła piąte sprawozdanie</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ram</w:t>
      </w:r>
      <w:r w:rsidRPr="00D1056D">
        <w:rPr>
          <w:rFonts w:ascii="Times New Roman" w:hAnsi="Times New Roman"/>
        </w:rPr>
        <w:t>ach mechanizmu zawieszającego zwolnienie</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obo</w:t>
      </w:r>
      <w:r w:rsidRPr="00D1056D">
        <w:rPr>
          <w:rFonts w:ascii="Times New Roman" w:hAnsi="Times New Roman"/>
        </w:rPr>
        <w:t>wiązku wizowego,</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któ</w:t>
      </w:r>
      <w:r w:rsidRPr="00D1056D">
        <w:rPr>
          <w:rFonts w:ascii="Times New Roman" w:hAnsi="Times New Roman"/>
        </w:rPr>
        <w:t>rym powtórzyła apel do Serbii</w:t>
      </w:r>
      <w:r w:rsidR="00D1056D" w:rsidRPr="00D1056D">
        <w:rPr>
          <w:rFonts w:ascii="Times New Roman" w:hAnsi="Times New Roman"/>
        </w:rPr>
        <w:t xml:space="preserve"> o</w:t>
      </w:r>
      <w:r w:rsidR="00D1056D">
        <w:rPr>
          <w:rFonts w:ascii="Times New Roman" w:hAnsi="Times New Roman"/>
        </w:rPr>
        <w:t> </w:t>
      </w:r>
      <w:r w:rsidR="00D1056D" w:rsidRPr="00D1056D">
        <w:rPr>
          <w:rFonts w:ascii="Times New Roman" w:hAnsi="Times New Roman"/>
        </w:rPr>
        <w:t>dos</w:t>
      </w:r>
      <w:r w:rsidRPr="00D1056D">
        <w:rPr>
          <w:rFonts w:ascii="Times New Roman" w:hAnsi="Times New Roman"/>
        </w:rPr>
        <w:t>tosowanie jej polityki wizowej do unijnego wykazu państw trzecich objętych obowiązkiem wizowym</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try</w:t>
      </w:r>
      <w:r w:rsidRPr="00D1056D">
        <w:rPr>
          <w:rFonts w:ascii="Times New Roman" w:hAnsi="Times New Roman"/>
        </w:rPr>
        <w:t>bie pilnym</w:t>
      </w:r>
      <w:r w:rsidR="00D1056D" w:rsidRPr="00D1056D">
        <w:rPr>
          <w:rFonts w:ascii="Times New Roman" w:hAnsi="Times New Roman"/>
        </w:rPr>
        <w:t>. W</w:t>
      </w:r>
      <w:r w:rsidR="00D1056D">
        <w:rPr>
          <w:rFonts w:ascii="Times New Roman" w:hAnsi="Times New Roman"/>
        </w:rPr>
        <w:t> </w:t>
      </w:r>
      <w:r w:rsidR="00D1056D" w:rsidRPr="00D1056D">
        <w:rPr>
          <w:rFonts w:ascii="Times New Roman" w:hAnsi="Times New Roman"/>
        </w:rPr>
        <w:t>nas</w:t>
      </w:r>
      <w:r w:rsidRPr="00D1056D">
        <w:rPr>
          <w:rFonts w:ascii="Times New Roman" w:hAnsi="Times New Roman"/>
        </w:rPr>
        <w:t>tępstwie opublikowanego sprawozdania trzy dni później, 9 grudnia, Serbia ogłosiła wypowiedzenie umowy</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ruchu bezwizowego</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Ind</w:t>
      </w:r>
      <w:r w:rsidRPr="00D1056D">
        <w:rPr>
          <w:rFonts w:ascii="Times New Roman" w:hAnsi="Times New Roman"/>
        </w:rPr>
        <w:t>iami ze skutkiem od</w:t>
      </w:r>
      <w:r w:rsidR="00D1056D" w:rsidRPr="00D1056D">
        <w:rPr>
          <w:rFonts w:ascii="Times New Roman" w:hAnsi="Times New Roman"/>
        </w:rPr>
        <w:t> </w:t>
      </w:r>
      <w:r w:rsidRPr="00D1056D">
        <w:rPr>
          <w:rFonts w:ascii="Times New Roman" w:hAnsi="Times New Roman"/>
        </w:rPr>
        <w:t>1 stycznia 2023</w:t>
      </w:r>
      <w:r w:rsidR="00D1056D" w:rsidRPr="00D1056D">
        <w:rPr>
          <w:rFonts w:ascii="Times New Roman" w:hAnsi="Times New Roman"/>
        </w:rPr>
        <w:t> </w:t>
      </w:r>
      <w:r w:rsidRPr="00D1056D">
        <w:rPr>
          <w:rFonts w:ascii="Times New Roman" w:hAnsi="Times New Roman"/>
        </w:rPr>
        <w:t>r. 27 grudnia wypowiedziała również umowy</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ruchu bezwizowego</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Bol</w:t>
      </w:r>
      <w:r w:rsidRPr="00D1056D">
        <w:rPr>
          <w:rFonts w:ascii="Times New Roman" w:hAnsi="Times New Roman"/>
        </w:rPr>
        <w:t>iwią</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Kub</w:t>
      </w:r>
      <w:r w:rsidRPr="00D1056D">
        <w:rPr>
          <w:rFonts w:ascii="Times New Roman" w:hAnsi="Times New Roman"/>
        </w:rPr>
        <w:t>ą, ze skutkiem odpowiednio od</w:t>
      </w:r>
      <w:r w:rsidR="00D1056D" w:rsidRPr="00D1056D">
        <w:rPr>
          <w:rFonts w:ascii="Times New Roman" w:hAnsi="Times New Roman"/>
        </w:rPr>
        <w:t> </w:t>
      </w:r>
      <w:r w:rsidRPr="00D1056D">
        <w:rPr>
          <w:rFonts w:ascii="Times New Roman" w:hAnsi="Times New Roman"/>
        </w:rPr>
        <w:t>10 lutego</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1</w:t>
      </w:r>
      <w:r w:rsidRPr="00D1056D">
        <w:rPr>
          <w:rFonts w:ascii="Times New Roman" w:hAnsi="Times New Roman"/>
        </w:rPr>
        <w:t>3 kwietnia 2023</w:t>
      </w:r>
      <w:r w:rsidR="00D1056D" w:rsidRPr="00D1056D">
        <w:rPr>
          <w:rFonts w:ascii="Times New Roman" w:hAnsi="Times New Roman"/>
        </w:rPr>
        <w:t> </w:t>
      </w:r>
      <w:r w:rsidRPr="00D1056D">
        <w:rPr>
          <w:rFonts w:ascii="Times New Roman" w:hAnsi="Times New Roman"/>
        </w:rPr>
        <w:t>r.</w:t>
      </w:r>
      <w:bookmarkStart w:id="3" w:name="_Hlk134219434"/>
      <w:bookmarkEnd w:id="3"/>
    </w:p>
  </w:footnote>
  <w:footnote w:id="15">
    <w:p w14:paraId="16FD4D3F" w14:textId="27D4F199" w:rsidR="001E0CCB" w:rsidRPr="00D1056D" w:rsidRDefault="00002D06" w:rsidP="00ED6804">
      <w:pPr>
        <w:pStyle w:val="FootnoteText"/>
        <w:ind w:left="284" w:hanging="284"/>
        <w:jc w:val="both"/>
        <w:rPr>
          <w:rFonts w:ascii="Times New Roman" w:hAnsi="Times New Roman" w:cs="Times New Roman"/>
        </w:rPr>
      </w:pPr>
      <w:r w:rsidRPr="00D1056D">
        <w:rPr>
          <w:rStyle w:val="FootnoteReference"/>
          <w:rFonts w:ascii="Times New Roman" w:hAnsi="Times New Roman"/>
        </w:rPr>
        <w:t>13</w:t>
      </w:r>
      <w:r w:rsidRPr="00D1056D">
        <w:rPr>
          <w:rFonts w:ascii="Times New Roman" w:hAnsi="Times New Roman"/>
        </w:rPr>
        <w:t xml:space="preserve"> </w:t>
      </w:r>
      <w:r w:rsidRPr="00D1056D">
        <w:tab/>
      </w:r>
      <w:r w:rsidRPr="00D1056D">
        <w:rPr>
          <w:rFonts w:ascii="Times New Roman" w:hAnsi="Times New Roman"/>
        </w:rPr>
        <w:t>Kraje kandydujące będą musiały zapewnić pełne dostosowanie do dorobku prawnego UE,</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tym w</w:t>
      </w:r>
      <w:r w:rsidR="00D1056D">
        <w:rPr>
          <w:rFonts w:ascii="Times New Roman" w:hAnsi="Times New Roman"/>
        </w:rPr>
        <w:t> </w:t>
      </w:r>
      <w:r w:rsidR="00D1056D" w:rsidRPr="00D1056D">
        <w:rPr>
          <w:rFonts w:ascii="Times New Roman" w:hAnsi="Times New Roman"/>
        </w:rPr>
        <w:t>zak</w:t>
      </w:r>
      <w:r w:rsidRPr="00D1056D">
        <w:rPr>
          <w:rFonts w:ascii="Times New Roman" w:hAnsi="Times New Roman"/>
        </w:rPr>
        <w:t>resie polityki wizowej,</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ram</w:t>
      </w:r>
      <w:r w:rsidRPr="00D1056D">
        <w:rPr>
          <w:rFonts w:ascii="Times New Roman" w:hAnsi="Times New Roman"/>
        </w:rPr>
        <w:t>ach procesu akcesyjnego</w:t>
      </w:r>
      <w:r w:rsidRPr="00D1056D">
        <w:t>.</w:t>
      </w:r>
    </w:p>
  </w:footnote>
  <w:footnote w:id="16">
    <w:p w14:paraId="3A848C44" w14:textId="333571C0" w:rsidR="00D12470" w:rsidRPr="00D1056D" w:rsidRDefault="00002D06" w:rsidP="00D12470">
      <w:pPr>
        <w:pStyle w:val="FootnoteText"/>
        <w:ind w:left="284" w:hanging="284"/>
        <w:jc w:val="both"/>
        <w:rPr>
          <w:rFonts w:ascii="Times New Roman" w:hAnsi="Times New Roman" w:cs="Times New Roman"/>
        </w:rPr>
      </w:pPr>
      <w:r w:rsidRPr="00D1056D">
        <w:rPr>
          <w:rStyle w:val="FootnoteReference"/>
          <w:rFonts w:ascii="Times New Roman" w:hAnsi="Times New Roman"/>
        </w:rPr>
        <w:t>14</w:t>
      </w:r>
      <w:r w:rsidRPr="00D1056D">
        <w:rPr>
          <w:rFonts w:ascii="Times New Roman" w:hAnsi="Times New Roman"/>
        </w:rPr>
        <w:t xml:space="preserve"> </w:t>
      </w:r>
      <w:r w:rsidRPr="00D1056D">
        <w:tab/>
      </w:r>
      <w:r w:rsidRPr="00D1056D">
        <w:rPr>
          <w:rFonts w:ascii="Times New Roman" w:hAnsi="Times New Roman"/>
        </w:rPr>
        <w:t>Wskaźnik przyznawania azylu obejmuje formy ochrony regulowane przez UE (status uchodźcy</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och</w:t>
      </w:r>
      <w:r w:rsidRPr="00D1056D">
        <w:rPr>
          <w:rFonts w:ascii="Times New Roman" w:hAnsi="Times New Roman"/>
        </w:rPr>
        <w:t>rona uzupełniająca)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nie</w:t>
      </w:r>
      <w:r w:rsidRPr="00D1056D">
        <w:rPr>
          <w:rFonts w:ascii="Times New Roman" w:hAnsi="Times New Roman"/>
        </w:rPr>
        <w:t xml:space="preserve"> obejmuje statusów ochrony krajowej (względy humanitarne). Oblicza się go przez podzielenie liczby pozytywnych decyzji pierwszej instancji (o przyznaniu statusu uchodźcy lub ochrony uzupełniającej) przez całkowitą liczbę wydanych decyzji.</w:t>
      </w:r>
    </w:p>
  </w:footnote>
  <w:footnote w:id="17">
    <w:p w14:paraId="47731029" w14:textId="5BDAB997" w:rsidR="00913035" w:rsidRPr="00D1056D" w:rsidRDefault="00913035" w:rsidP="00913035">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Umowa między Wspólnotą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Rep</w:t>
      </w:r>
      <w:r w:rsidRPr="00D1056D">
        <w:rPr>
          <w:rFonts w:ascii="Times New Roman" w:hAnsi="Times New Roman"/>
        </w:rPr>
        <w:t>ubliką Albanii</w:t>
      </w:r>
      <w:r w:rsidR="00D1056D" w:rsidRPr="00D1056D">
        <w:rPr>
          <w:rFonts w:ascii="Times New Roman" w:hAnsi="Times New Roman"/>
        </w:rPr>
        <w:t xml:space="preserve"> o</w:t>
      </w:r>
      <w:r w:rsidR="00D1056D">
        <w:rPr>
          <w:rFonts w:ascii="Times New Roman" w:hAnsi="Times New Roman"/>
        </w:rPr>
        <w:t> </w:t>
      </w:r>
      <w:r w:rsidR="00D1056D" w:rsidRPr="00D1056D">
        <w:rPr>
          <w:rFonts w:ascii="Times New Roman" w:hAnsi="Times New Roman"/>
        </w:rPr>
        <w:t>rea</w:t>
      </w:r>
      <w:r w:rsidRPr="00D1056D">
        <w:rPr>
          <w:rFonts w:ascii="Times New Roman" w:hAnsi="Times New Roman"/>
        </w:rPr>
        <w:t>dmisji osób przebywających nielegalnie – Deklaracje, Dz.U. L 124</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1</w:t>
      </w:r>
      <w:r w:rsidRPr="00D1056D">
        <w:rPr>
          <w:rFonts w:ascii="Times New Roman" w:hAnsi="Times New Roman"/>
        </w:rPr>
        <w:t>7.5.2005, s. 22; Umowa między Unią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Gru</w:t>
      </w:r>
      <w:r w:rsidRPr="00D1056D">
        <w:rPr>
          <w:rFonts w:ascii="Times New Roman" w:hAnsi="Times New Roman"/>
        </w:rPr>
        <w:t>zją</w:t>
      </w:r>
      <w:r w:rsidR="00D1056D" w:rsidRPr="00D1056D">
        <w:rPr>
          <w:rFonts w:ascii="Times New Roman" w:hAnsi="Times New Roman"/>
        </w:rPr>
        <w:t xml:space="preserve"> o</w:t>
      </w:r>
      <w:r w:rsidR="00D1056D">
        <w:rPr>
          <w:rFonts w:ascii="Times New Roman" w:hAnsi="Times New Roman"/>
        </w:rPr>
        <w:t> </w:t>
      </w:r>
      <w:r w:rsidR="00D1056D" w:rsidRPr="00D1056D">
        <w:rPr>
          <w:rFonts w:ascii="Times New Roman" w:hAnsi="Times New Roman"/>
        </w:rPr>
        <w:t>rea</w:t>
      </w:r>
      <w:r w:rsidRPr="00D1056D">
        <w:rPr>
          <w:rFonts w:ascii="Times New Roman" w:hAnsi="Times New Roman"/>
        </w:rPr>
        <w:t>dmisji osób przebywających nielegalnie, Dz.U. L 52</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2</w:t>
      </w:r>
      <w:r w:rsidRPr="00D1056D">
        <w:rPr>
          <w:rFonts w:ascii="Times New Roman" w:hAnsi="Times New Roman"/>
        </w:rPr>
        <w:t>5.2.2011, s. 47.</w:t>
      </w:r>
    </w:p>
  </w:footnote>
  <w:footnote w:id="18">
    <w:p w14:paraId="0C06FE71" w14:textId="1ED58D02" w:rsidR="00DE5575" w:rsidRPr="00D1056D" w:rsidRDefault="00DE5575" w:rsidP="00ED6804">
      <w:pPr>
        <w:pStyle w:val="FootnoteText"/>
        <w:ind w:left="284" w:hanging="284"/>
        <w:jc w:val="both"/>
      </w:pPr>
      <w:r w:rsidRPr="00D1056D">
        <w:rPr>
          <w:rStyle w:val="FootnoteReference"/>
        </w:rPr>
        <w:footnoteRef/>
      </w:r>
      <w:r w:rsidRPr="00D1056D">
        <w:tab/>
      </w:r>
      <w:r w:rsidRPr="00D1056D">
        <w:rPr>
          <w:rFonts w:ascii="Times New Roman" w:hAnsi="Times New Roman"/>
        </w:rPr>
        <w:t>Sprawozdanie Komisji dla Parlamentu Europejskiego, Rady, Europejskiego Komitetu Ekonomiczno-Społecznego</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Kom</w:t>
      </w:r>
      <w:r w:rsidRPr="00D1056D">
        <w:rPr>
          <w:rFonts w:ascii="Times New Roman" w:hAnsi="Times New Roman"/>
        </w:rPr>
        <w:t>itetu Regionów</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23 stycznia 2019</w:t>
      </w:r>
      <w:r w:rsidR="00D1056D" w:rsidRPr="00D1056D">
        <w:rPr>
          <w:rFonts w:ascii="Times New Roman" w:hAnsi="Times New Roman"/>
        </w:rPr>
        <w:t> </w:t>
      </w:r>
      <w:r w:rsidRPr="00D1056D">
        <w:rPr>
          <w:rFonts w:ascii="Times New Roman" w:hAnsi="Times New Roman"/>
        </w:rPr>
        <w:t>r.</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programów obywatelstwa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uła</w:t>
      </w:r>
      <w:r w:rsidRPr="00D1056D">
        <w:rPr>
          <w:rFonts w:ascii="Times New Roman" w:hAnsi="Times New Roman"/>
        </w:rPr>
        <w:t>twień pobytowych dla inwestorów</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Uni</w:t>
      </w:r>
      <w:r w:rsidRPr="00D1056D">
        <w:rPr>
          <w:rFonts w:ascii="Times New Roman" w:hAnsi="Times New Roman"/>
        </w:rPr>
        <w:t>i Europejskiej, COM(2019) 12 final, s. 23.</w:t>
      </w:r>
    </w:p>
  </w:footnote>
  <w:footnote w:id="19">
    <w:p w14:paraId="21696BBB" w14:textId="5C5673D8" w:rsidR="00EA6CF3" w:rsidRPr="00D1056D" w:rsidRDefault="00EA6CF3" w:rsidP="00ED6804">
      <w:pPr>
        <w:pStyle w:val="FootnoteText"/>
        <w:ind w:left="284" w:hanging="284"/>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hyperlink r:id="rId4" w:history="1">
        <w:r w:rsidRPr="00D1056D">
          <w:rPr>
            <w:rStyle w:val="Hyperlink"/>
            <w:rFonts w:ascii="Times New Roman" w:hAnsi="Times New Roman"/>
          </w:rPr>
          <w:t>https://ec.europa.eu/commission/presscorner/detail/pl/ip_22_6082</w:t>
        </w:r>
      </w:hyperlink>
      <w:r w:rsidRPr="00D1056D">
        <w:rPr>
          <w:rFonts w:ascii="Times New Roman" w:hAnsi="Times New Roman"/>
        </w:rPr>
        <w:t xml:space="preserve"> </w:t>
      </w:r>
    </w:p>
  </w:footnote>
  <w:footnote w:id="20">
    <w:p w14:paraId="17BF70F7" w14:textId="764B3CC7" w:rsidR="00594BC4" w:rsidRPr="00D1056D" w:rsidRDefault="00594BC4" w:rsidP="00765364">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Decyzja Rady (UE) 2022/366</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3 marca 2022 r.</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częściowego zawieszenia stosowania Umowy między Unią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Rep</w:t>
      </w:r>
      <w:r w:rsidRPr="00D1056D">
        <w:rPr>
          <w:rFonts w:ascii="Times New Roman" w:hAnsi="Times New Roman"/>
        </w:rPr>
        <w:t>ubliką Vanuatu dotyczącej zniesienia wiz krótkoterminowych; decyzja Rady (UE) 2022/2198</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8 listopada 2022 r.</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zawieszenia stosowania wszystkich postanowień Umowy między Unią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Rep</w:t>
      </w:r>
      <w:r w:rsidRPr="00D1056D">
        <w:rPr>
          <w:rFonts w:ascii="Times New Roman" w:hAnsi="Times New Roman"/>
        </w:rPr>
        <w:t xml:space="preserve">ubliką Vanuatu dotyczącej zniesienia wiz krótkoterminowych. </w:t>
      </w:r>
    </w:p>
  </w:footnote>
  <w:footnote w:id="21">
    <w:p w14:paraId="7F02F231" w14:textId="72BF7426" w:rsidR="00594BC4" w:rsidRPr="00D1056D" w:rsidRDefault="00594BC4" w:rsidP="006B3579">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Umowa między Unią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Rep</w:t>
      </w:r>
      <w:r w:rsidRPr="00D1056D">
        <w:rPr>
          <w:rFonts w:ascii="Times New Roman" w:hAnsi="Times New Roman"/>
        </w:rPr>
        <w:t>ubliką Vanuatu dotycząca zniesienia wiz krótkoterminowych. Dz.U. L 173</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3</w:t>
      </w:r>
      <w:r w:rsidRPr="00D1056D">
        <w:rPr>
          <w:rFonts w:ascii="Times New Roman" w:hAnsi="Times New Roman"/>
        </w:rPr>
        <w:t>.7.2015, s. 48.</w:t>
      </w:r>
    </w:p>
  </w:footnote>
  <w:footnote w:id="22">
    <w:p w14:paraId="2F123BC9" w14:textId="700F5698" w:rsidR="00594BC4" w:rsidRPr="00D1056D" w:rsidRDefault="00594BC4" w:rsidP="006B3579">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Wniosek dotyczący decyzji Rady</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częściowego zawieszenia stosowania Umowy między Unią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Rep</w:t>
      </w:r>
      <w:r w:rsidRPr="00D1056D">
        <w:rPr>
          <w:rFonts w:ascii="Times New Roman" w:hAnsi="Times New Roman"/>
        </w:rPr>
        <w:t>ubliką Vanuatu dotyczącej zniesienia wiz krótkoterminowych (COM/2022/6 final).</w:t>
      </w:r>
    </w:p>
  </w:footnote>
  <w:footnote w:id="23">
    <w:p w14:paraId="698C5CC4" w14:textId="7A8936A2" w:rsidR="00594BC4" w:rsidRPr="00D1056D" w:rsidRDefault="00594BC4" w:rsidP="006B3579">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Decyzja Rady (UE) 2022/366</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3 marca 2022 r.</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częściowego zawieszenia stosowania Umowy między Unią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Rep</w:t>
      </w:r>
      <w:r w:rsidRPr="00D1056D">
        <w:rPr>
          <w:rFonts w:ascii="Times New Roman" w:hAnsi="Times New Roman"/>
        </w:rPr>
        <w:t>ubliką Vanuatu dotyczącej znie</w:t>
      </w:r>
      <w:r w:rsidR="00E87045" w:rsidRPr="00D1056D">
        <w:rPr>
          <w:rFonts w:ascii="Times New Roman" w:hAnsi="Times New Roman"/>
        </w:rPr>
        <w:t>sienia wiz krótkoterminowych.</w:t>
      </w:r>
    </w:p>
  </w:footnote>
  <w:footnote w:id="24">
    <w:p w14:paraId="48CFC7BC" w14:textId="288F956B" w:rsidR="00594BC4" w:rsidRPr="00D1056D" w:rsidRDefault="00594BC4" w:rsidP="006B3579">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00E87045" w:rsidRPr="00D1056D">
        <w:rPr>
          <w:rFonts w:ascii="Times New Roman" w:hAnsi="Times New Roman"/>
        </w:rPr>
        <w:t>W</w:t>
      </w:r>
      <w:r w:rsidRPr="00D1056D">
        <w:rPr>
          <w:rFonts w:ascii="Times New Roman" w:hAnsi="Times New Roman"/>
        </w:rPr>
        <w:t>niosek dotyczący decyzji Rady</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zawieszenia stosowania wszystkich postanowień Umowy między Unią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Rep</w:t>
      </w:r>
      <w:r w:rsidRPr="00D1056D">
        <w:rPr>
          <w:rFonts w:ascii="Times New Roman" w:hAnsi="Times New Roman"/>
        </w:rPr>
        <w:t>ubliką Vanuatu dotyczącej zniesienia wiz krótko</w:t>
      </w:r>
      <w:r w:rsidR="00A15209" w:rsidRPr="00D1056D">
        <w:rPr>
          <w:rFonts w:ascii="Times New Roman" w:hAnsi="Times New Roman"/>
        </w:rPr>
        <w:t>terminowych COM(2022) 531 final.</w:t>
      </w:r>
    </w:p>
  </w:footnote>
  <w:footnote w:id="25">
    <w:p w14:paraId="662E4CCA" w14:textId="139E0DAA" w:rsidR="00594BC4" w:rsidRPr="00D1056D" w:rsidRDefault="00594BC4" w:rsidP="006B3579">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00A15209" w:rsidRPr="00D1056D">
        <w:rPr>
          <w:rFonts w:ascii="Times New Roman" w:hAnsi="Times New Roman"/>
        </w:rPr>
        <w:t>D</w:t>
      </w:r>
      <w:r w:rsidRPr="00D1056D">
        <w:rPr>
          <w:rFonts w:ascii="Times New Roman" w:hAnsi="Times New Roman"/>
        </w:rPr>
        <w:t>ecyzja Rady (UE) 2022/2198</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8 listopada 2022 r.</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zawieszenia stosowania wszystkich postanowień Umowy między Unią Europejską</w:t>
      </w:r>
      <w:r w:rsidR="00D1056D" w:rsidRPr="00D1056D">
        <w:rPr>
          <w:rFonts w:ascii="Times New Roman" w:hAnsi="Times New Roman"/>
        </w:rPr>
        <w:t xml:space="preserve"> a</w:t>
      </w:r>
      <w:r w:rsidR="00D1056D">
        <w:rPr>
          <w:rFonts w:ascii="Times New Roman" w:hAnsi="Times New Roman"/>
        </w:rPr>
        <w:t> </w:t>
      </w:r>
      <w:r w:rsidR="00D1056D" w:rsidRPr="00D1056D">
        <w:rPr>
          <w:rFonts w:ascii="Times New Roman" w:hAnsi="Times New Roman"/>
        </w:rPr>
        <w:t>Rep</w:t>
      </w:r>
      <w:r w:rsidRPr="00D1056D">
        <w:rPr>
          <w:rFonts w:ascii="Times New Roman" w:hAnsi="Times New Roman"/>
        </w:rPr>
        <w:t>ubliką Vanuatu dotyczącej zniesienia wiz krótkoterminowych.</w:t>
      </w:r>
    </w:p>
  </w:footnote>
  <w:footnote w:id="26">
    <w:p w14:paraId="6606716A" w14:textId="77777777" w:rsidR="00AC63EE" w:rsidRPr="00D1056D" w:rsidRDefault="00AC63EE" w:rsidP="00AC63EE">
      <w:pPr>
        <w:pStyle w:val="FootnoteText"/>
        <w:ind w:left="284" w:hanging="284"/>
        <w:jc w:val="both"/>
      </w:pPr>
      <w:r w:rsidRPr="00D1056D">
        <w:rPr>
          <w:rStyle w:val="FootnoteReference"/>
          <w:rFonts w:ascii="Times New Roman" w:hAnsi="Times New Roman" w:cs="Times New Roman"/>
        </w:rPr>
        <w:footnoteRef/>
      </w:r>
      <w:r w:rsidRPr="00D1056D">
        <w:rPr>
          <w:rStyle w:val="FootnoteReference"/>
        </w:rPr>
        <w:t xml:space="preserve"> </w:t>
      </w:r>
      <w:r w:rsidRPr="00D1056D">
        <w:tab/>
      </w:r>
      <w:r w:rsidRPr="00D1056D">
        <w:rPr>
          <w:rFonts w:ascii="Times New Roman" w:hAnsi="Times New Roman"/>
        </w:rPr>
        <w:t>Art. 8 ust. 6 lit. a) rozporządzenia (UE) 2018/1806.</w:t>
      </w:r>
    </w:p>
  </w:footnote>
  <w:footnote w:id="27">
    <w:p w14:paraId="5768B585" w14:textId="7DE717A6" w:rsidR="00D51007" w:rsidRPr="00D1056D" w:rsidRDefault="00D51007" w:rsidP="00A65B51">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Zob. wykaz umów</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 xml:space="preserve">awie zniesienia wiz na stronie internetowej </w:t>
      </w:r>
      <w:hyperlink r:id="rId5" w:anchor=":~:text=The%20visa%20waiver%20agreements%20referred,during%20a%20180%2Dday%20period" w:history="1">
        <w:r w:rsidRPr="00D1056D">
          <w:rPr>
            <w:rStyle w:val="Hyperlink"/>
            <w:rFonts w:ascii="Times New Roman" w:hAnsi="Times New Roman"/>
          </w:rPr>
          <w:t>https://eur-lex.europa.eu/PL/legal-content/summary/visa-waiver-agreements.html#:~:text=The%20visa%20waiver%20agreements%20referred,during%20a%20180%2Dday%20period</w:t>
        </w:r>
      </w:hyperlink>
      <w:r w:rsidRPr="00D1056D">
        <w:rPr>
          <w:rFonts w:ascii="Times New Roman" w:hAnsi="Times New Roman"/>
        </w:rPr>
        <w:t xml:space="preserve"> </w:t>
      </w:r>
    </w:p>
  </w:footnote>
  <w:footnote w:id="28">
    <w:p w14:paraId="0C1B9322" w14:textId="46FB24F3" w:rsidR="00A65B51" w:rsidRPr="00D1056D" w:rsidRDefault="00C52B99" w:rsidP="00ED6804">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Rada ds. Wymiaru Sprawiedliwości</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 Wewnętrznych, 9–10 marca 2023</w:t>
      </w:r>
      <w:r w:rsidR="00D1056D" w:rsidRPr="00D1056D">
        <w:rPr>
          <w:rFonts w:ascii="Times New Roman" w:hAnsi="Times New Roman"/>
        </w:rPr>
        <w:t> </w:t>
      </w:r>
      <w:r w:rsidRPr="00D1056D">
        <w:rPr>
          <w:rFonts w:ascii="Times New Roman" w:hAnsi="Times New Roman"/>
        </w:rPr>
        <w:t>r.,</w:t>
      </w:r>
    </w:p>
    <w:p w14:paraId="2BDAFD54" w14:textId="7AFE19FF" w:rsidR="00C52B99" w:rsidRPr="00D1056D" w:rsidRDefault="00A65B51" w:rsidP="00ED6804">
      <w:pPr>
        <w:pStyle w:val="FootnoteText"/>
        <w:ind w:left="284" w:hanging="284"/>
        <w:jc w:val="both"/>
      </w:pPr>
      <w:r w:rsidRPr="00D1056D">
        <w:rPr>
          <w:rFonts w:ascii="Times New Roman" w:hAnsi="Times New Roman"/>
        </w:rPr>
        <w:t xml:space="preserve"> </w:t>
      </w:r>
      <w:r w:rsidRPr="00D1056D">
        <w:tab/>
      </w:r>
      <w:hyperlink r:id="rId6" w:history="1">
        <w:r w:rsidRPr="00D1056D">
          <w:rPr>
            <w:rStyle w:val="Hyperlink"/>
            <w:rFonts w:ascii="Times New Roman" w:hAnsi="Times New Roman"/>
          </w:rPr>
          <w:t>https://www.consilium.europa.eu/pl/meetings/jha/2023/03/09-10/</w:t>
        </w:r>
      </w:hyperlink>
      <w:r w:rsidRPr="00D1056D">
        <w:t xml:space="preserve"> </w:t>
      </w:r>
    </w:p>
  </w:footnote>
  <w:footnote w:id="29">
    <w:p w14:paraId="2F463FAC" w14:textId="278332D4" w:rsidR="00592DA7" w:rsidRPr="00D1056D" w:rsidRDefault="00592DA7" w:rsidP="00ED6804">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W okresie dwóch miesięcy,</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por</w:t>
      </w:r>
      <w:r w:rsidRPr="00D1056D">
        <w:rPr>
          <w:rFonts w:ascii="Times New Roman" w:hAnsi="Times New Roman"/>
        </w:rPr>
        <w:t>ównaniu</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tym</w:t>
      </w:r>
      <w:r w:rsidRPr="00D1056D">
        <w:rPr>
          <w:rFonts w:ascii="Times New Roman" w:hAnsi="Times New Roman"/>
        </w:rPr>
        <w:t xml:space="preserve"> samym okresem</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pop</w:t>
      </w:r>
      <w:r w:rsidRPr="00D1056D">
        <w:rPr>
          <w:rFonts w:ascii="Times New Roman" w:hAnsi="Times New Roman"/>
        </w:rPr>
        <w:t>rzednim roku lub</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por</w:t>
      </w:r>
      <w:r w:rsidRPr="00D1056D">
        <w:rPr>
          <w:rFonts w:ascii="Times New Roman" w:hAnsi="Times New Roman"/>
        </w:rPr>
        <w:t>ównaniu</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dwo</w:t>
      </w:r>
      <w:r w:rsidRPr="00D1056D">
        <w:rPr>
          <w:rFonts w:ascii="Times New Roman" w:hAnsi="Times New Roman"/>
        </w:rPr>
        <w:t>ma miesiącami poprzedzającymi wprowadzenie zwolnienia</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obo</w:t>
      </w:r>
      <w:r w:rsidRPr="00D1056D">
        <w:rPr>
          <w:rFonts w:ascii="Times New Roman" w:hAnsi="Times New Roman"/>
        </w:rPr>
        <w:t>wiązku wizowego dla obywateli państwa trzeciego wymienionego</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zał</w:t>
      </w:r>
      <w:r w:rsidRPr="00D1056D">
        <w:rPr>
          <w:rFonts w:ascii="Times New Roman" w:hAnsi="Times New Roman"/>
        </w:rPr>
        <w:t>ączniku II.</w:t>
      </w:r>
    </w:p>
  </w:footnote>
  <w:footnote w:id="30">
    <w:p w14:paraId="754AA188" w14:textId="0D82880A" w:rsidR="00594BC4" w:rsidRPr="00D1056D" w:rsidRDefault="00594BC4" w:rsidP="002A5438">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Progi te określono</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mot</w:t>
      </w:r>
      <w:r w:rsidRPr="00D1056D">
        <w:rPr>
          <w:rFonts w:ascii="Times New Roman" w:hAnsi="Times New Roman"/>
        </w:rPr>
        <w:t>ywach 23</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2</w:t>
      </w:r>
      <w:r w:rsidRPr="00D1056D">
        <w:rPr>
          <w:rFonts w:ascii="Times New Roman" w:hAnsi="Times New Roman"/>
        </w:rPr>
        <w:t>4 rozporządzenia wizowego.</w:t>
      </w:r>
    </w:p>
  </w:footnote>
  <w:footnote w:id="31">
    <w:p w14:paraId="2C00C452" w14:textId="5105D4F0" w:rsidR="009A3262" w:rsidRPr="00D1056D" w:rsidRDefault="009A3262" w:rsidP="009A3262">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tab/>
      </w:r>
      <w:r w:rsidRPr="00D1056D">
        <w:rPr>
          <w:rFonts w:ascii="Times New Roman" w:hAnsi="Times New Roman"/>
        </w:rPr>
        <w:t>Państwo członkowskie zgłosiło nasilenie się następujących czynników związanych</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oby</w:t>
      </w:r>
      <w:r w:rsidRPr="00D1056D">
        <w:rPr>
          <w:rFonts w:ascii="Times New Roman" w:hAnsi="Times New Roman"/>
        </w:rPr>
        <w:t>watelami państwa trzeciego zwolnionego</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obo</w:t>
      </w:r>
      <w:r w:rsidRPr="00D1056D">
        <w:rPr>
          <w:rFonts w:ascii="Times New Roman" w:hAnsi="Times New Roman"/>
        </w:rPr>
        <w:t>wiązku wizowego: wzrost liczby przypadków odmowy wjazdu, bezzasadnych wniosków</w:t>
      </w:r>
      <w:r w:rsidR="00D1056D" w:rsidRPr="00D1056D">
        <w:rPr>
          <w:rFonts w:ascii="Times New Roman" w:hAnsi="Times New Roman"/>
        </w:rPr>
        <w:t xml:space="preserve"> o</w:t>
      </w:r>
      <w:r w:rsidR="00D1056D">
        <w:rPr>
          <w:rFonts w:ascii="Times New Roman" w:hAnsi="Times New Roman"/>
        </w:rPr>
        <w:t> </w:t>
      </w:r>
      <w:r w:rsidR="00D1056D" w:rsidRPr="00D1056D">
        <w:rPr>
          <w:rFonts w:ascii="Times New Roman" w:hAnsi="Times New Roman"/>
        </w:rPr>
        <w:t>udz</w:t>
      </w:r>
      <w:r w:rsidRPr="00D1056D">
        <w:rPr>
          <w:rFonts w:ascii="Times New Roman" w:hAnsi="Times New Roman"/>
        </w:rPr>
        <w:t>ielenie azylu</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prz</w:t>
      </w:r>
      <w:r w:rsidRPr="00D1056D">
        <w:rPr>
          <w:rFonts w:ascii="Times New Roman" w:hAnsi="Times New Roman"/>
        </w:rPr>
        <w:t>estępstw</w:t>
      </w:r>
      <w:r w:rsidR="00D1056D" w:rsidRPr="00D1056D">
        <w:rPr>
          <w:rFonts w:ascii="Times New Roman" w:hAnsi="Times New Roman"/>
        </w:rPr>
        <w:t>. W</w:t>
      </w:r>
      <w:r w:rsidR="00D1056D">
        <w:rPr>
          <w:rFonts w:ascii="Times New Roman" w:hAnsi="Times New Roman"/>
        </w:rPr>
        <w:t> </w:t>
      </w:r>
      <w:r w:rsidR="00D1056D" w:rsidRPr="00D1056D">
        <w:rPr>
          <w:rFonts w:ascii="Times New Roman" w:hAnsi="Times New Roman"/>
        </w:rPr>
        <w:t>oce</w:t>
      </w:r>
      <w:r w:rsidRPr="00D1056D">
        <w:rPr>
          <w:rFonts w:ascii="Times New Roman" w:hAnsi="Times New Roman"/>
        </w:rPr>
        <w:t>nie Komisji warunki uruchomienia mechanizmu nie zostały</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tej</w:t>
      </w:r>
      <w:r w:rsidRPr="00D1056D">
        <w:rPr>
          <w:rFonts w:ascii="Times New Roman" w:hAnsi="Times New Roman"/>
        </w:rPr>
        <w:t xml:space="preserve"> sytuacji spełnione.</w:t>
      </w:r>
    </w:p>
  </w:footnote>
  <w:footnote w:id="32">
    <w:p w14:paraId="75F97B10" w14:textId="452FDF9C" w:rsidR="0069282E" w:rsidRPr="00D1056D" w:rsidRDefault="0069282E" w:rsidP="00ED6804">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Co więcej,</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prz</w:t>
      </w:r>
      <w:r w:rsidRPr="00D1056D">
        <w:rPr>
          <w:rFonts w:ascii="Times New Roman" w:hAnsi="Times New Roman"/>
        </w:rPr>
        <w:t>ypadku gdy UE zawarła</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dan</w:t>
      </w:r>
      <w:r w:rsidRPr="00D1056D">
        <w:rPr>
          <w:rFonts w:ascii="Times New Roman" w:hAnsi="Times New Roman"/>
        </w:rPr>
        <w:t>ym państwem trzecim umowę</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zniesienia wiz, należy również zawiesić stosowanie tej umowy, zgodnie</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art</w:t>
      </w:r>
      <w:r w:rsidRPr="00D1056D">
        <w:rPr>
          <w:rFonts w:ascii="Times New Roman" w:hAnsi="Times New Roman"/>
        </w:rPr>
        <w:t>.</w:t>
      </w:r>
      <w:r w:rsidR="00D1056D" w:rsidRPr="00D1056D">
        <w:rPr>
          <w:rFonts w:ascii="Times New Roman" w:hAnsi="Times New Roman"/>
        </w:rPr>
        <w:t> </w:t>
      </w:r>
      <w:r w:rsidRPr="00D1056D">
        <w:rPr>
          <w:rFonts w:ascii="Times New Roman" w:hAnsi="Times New Roman"/>
        </w:rPr>
        <w:t>218 ust.</w:t>
      </w:r>
      <w:r w:rsidR="00D1056D" w:rsidRPr="00D1056D">
        <w:rPr>
          <w:rFonts w:ascii="Times New Roman" w:hAnsi="Times New Roman"/>
        </w:rPr>
        <w:t> </w:t>
      </w:r>
      <w:r w:rsidRPr="00D1056D">
        <w:rPr>
          <w:rFonts w:ascii="Times New Roman" w:hAnsi="Times New Roman"/>
        </w:rPr>
        <w:t>9 Traktatu</w:t>
      </w:r>
      <w:r w:rsidR="00D1056D" w:rsidRPr="00D1056D">
        <w:rPr>
          <w:rFonts w:ascii="Times New Roman" w:hAnsi="Times New Roman"/>
        </w:rPr>
        <w:t xml:space="preserve"> o</w:t>
      </w:r>
      <w:r w:rsidR="00D1056D">
        <w:rPr>
          <w:rFonts w:ascii="Times New Roman" w:hAnsi="Times New Roman"/>
        </w:rPr>
        <w:t> </w:t>
      </w:r>
      <w:r w:rsidR="00D1056D" w:rsidRPr="00D1056D">
        <w:rPr>
          <w:rFonts w:ascii="Times New Roman" w:hAnsi="Times New Roman"/>
        </w:rPr>
        <w:t>fun</w:t>
      </w:r>
      <w:r w:rsidRPr="00D1056D">
        <w:rPr>
          <w:rFonts w:ascii="Times New Roman" w:hAnsi="Times New Roman"/>
        </w:rPr>
        <w:t>kcjonowaniu Unii Europejskiej.</w:t>
      </w:r>
    </w:p>
  </w:footnote>
  <w:footnote w:id="33">
    <w:p w14:paraId="38D2676C" w14:textId="1772EB68" w:rsidR="00594BC4" w:rsidRPr="00D1056D" w:rsidRDefault="00594BC4" w:rsidP="009B0B0A">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Jak przewidziano</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art</w:t>
      </w:r>
      <w:r w:rsidRPr="00D1056D">
        <w:rPr>
          <w:rFonts w:ascii="Times New Roman" w:hAnsi="Times New Roman"/>
        </w:rPr>
        <w:t>.</w:t>
      </w:r>
      <w:r w:rsidR="00D1056D" w:rsidRPr="00D1056D">
        <w:rPr>
          <w:rFonts w:ascii="Times New Roman" w:hAnsi="Times New Roman"/>
        </w:rPr>
        <w:t> </w:t>
      </w:r>
      <w:r w:rsidRPr="00D1056D">
        <w:rPr>
          <w:rFonts w:ascii="Times New Roman" w:hAnsi="Times New Roman"/>
        </w:rPr>
        <w:t>8 rozporządzenia Parlamentu Europejskiego</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Rad</w:t>
      </w:r>
      <w:r w:rsidRPr="00D1056D">
        <w:rPr>
          <w:rFonts w:ascii="Times New Roman" w:hAnsi="Times New Roman"/>
        </w:rPr>
        <w:t>y (UE) nr</w:t>
      </w:r>
      <w:r w:rsidR="00D1056D" w:rsidRPr="00D1056D">
        <w:rPr>
          <w:rFonts w:ascii="Times New Roman" w:hAnsi="Times New Roman"/>
        </w:rPr>
        <w:t> </w:t>
      </w:r>
      <w:r w:rsidRPr="00D1056D">
        <w:rPr>
          <w:rFonts w:ascii="Times New Roman" w:hAnsi="Times New Roman"/>
        </w:rPr>
        <w:t>182/2011</w:t>
      </w:r>
      <w:r w:rsidR="00D1056D" w:rsidRPr="00D1056D">
        <w:rPr>
          <w:rFonts w:ascii="Times New Roman" w:hAnsi="Times New Roman"/>
        </w:rPr>
        <w:t xml:space="preserve"> z</w:t>
      </w:r>
      <w:r w:rsidR="00D1056D">
        <w:rPr>
          <w:rFonts w:ascii="Times New Roman" w:hAnsi="Times New Roman"/>
        </w:rPr>
        <w:t> </w:t>
      </w:r>
      <w:r w:rsidR="00D1056D" w:rsidRPr="00D1056D">
        <w:rPr>
          <w:rFonts w:ascii="Times New Roman" w:hAnsi="Times New Roman"/>
        </w:rPr>
        <w:t>dni</w:t>
      </w:r>
      <w:r w:rsidRPr="00D1056D">
        <w:rPr>
          <w:rFonts w:ascii="Times New Roman" w:hAnsi="Times New Roman"/>
        </w:rPr>
        <w:t>a 16 lutego 2011</w:t>
      </w:r>
      <w:r w:rsidR="00D1056D" w:rsidRPr="00D1056D">
        <w:rPr>
          <w:rFonts w:ascii="Times New Roman" w:hAnsi="Times New Roman"/>
        </w:rPr>
        <w:t> </w:t>
      </w:r>
      <w:r w:rsidRPr="00D1056D">
        <w:rPr>
          <w:rFonts w:ascii="Times New Roman" w:hAnsi="Times New Roman"/>
        </w:rPr>
        <w:t>r. ustanawiającego przepisy</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zas</w:t>
      </w:r>
      <w:r w:rsidRPr="00D1056D">
        <w:rPr>
          <w:rFonts w:ascii="Times New Roman" w:hAnsi="Times New Roman"/>
        </w:rPr>
        <w:t>ady ogólne dotyczące trybu kontroli przez państwa członkowskie wykonywania uprawnień wykonawczych przez Komisję.</w:t>
      </w:r>
    </w:p>
  </w:footnote>
  <w:footnote w:id="34">
    <w:p w14:paraId="77D8A8E0" w14:textId="44ACF052" w:rsidR="00594BC4" w:rsidRPr="00D1056D" w:rsidRDefault="00594BC4" w:rsidP="005F656D">
      <w:pPr>
        <w:pStyle w:val="FootnoteText"/>
        <w:ind w:left="284" w:hanging="284"/>
        <w:jc w:val="both"/>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W takich przypadkach akt zostałby przedłożony do zaopiniowania właściwemu komitetowi ds. wzajemności wizowej</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zaw</w:t>
      </w:r>
      <w:r w:rsidRPr="00D1056D">
        <w:rPr>
          <w:rFonts w:ascii="Times New Roman" w:hAnsi="Times New Roman"/>
        </w:rPr>
        <w:t>ieszenia wiz najpóźniej 14 dni po przyjęciu aktu wykonawczego.</w:t>
      </w:r>
    </w:p>
  </w:footnote>
  <w:footnote w:id="35">
    <w:p w14:paraId="40891494" w14:textId="201F1234" w:rsidR="009E2E93" w:rsidRPr="00D1056D" w:rsidRDefault="009E2E93" w:rsidP="009E2E93">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Przy wprowadzaniu trybu pilnego należy również uwzględniać,</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sto</w:t>
      </w:r>
      <w:r w:rsidRPr="00D1056D">
        <w:rPr>
          <w:rFonts w:ascii="Times New Roman" w:hAnsi="Times New Roman"/>
        </w:rPr>
        <w:t>sownych przypadkach, procedury zawieszenia przewidziane</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umo</w:t>
      </w:r>
      <w:r w:rsidRPr="00D1056D">
        <w:rPr>
          <w:rFonts w:ascii="Times New Roman" w:hAnsi="Times New Roman"/>
        </w:rPr>
        <w:t>wach</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awie zniesienia wiz.</w:t>
      </w:r>
    </w:p>
  </w:footnote>
  <w:footnote w:id="36">
    <w:p w14:paraId="7AD665E9" w14:textId="398400A5" w:rsidR="00594BC4" w:rsidRPr="00D1056D" w:rsidRDefault="00594BC4" w:rsidP="009B0B0A">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Od czasu wprowadzenia tego obowiązku</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zak</w:t>
      </w:r>
      <w:r w:rsidRPr="00D1056D">
        <w:rPr>
          <w:rFonts w:ascii="Times New Roman" w:hAnsi="Times New Roman"/>
        </w:rPr>
        <w:t>resie monitorowania</w:t>
      </w:r>
      <w:r w:rsidR="00D1056D" w:rsidRPr="00D1056D">
        <w:rPr>
          <w:rFonts w:ascii="Times New Roman" w:hAnsi="Times New Roman"/>
        </w:rPr>
        <w:t xml:space="preserve"> i</w:t>
      </w:r>
      <w:r w:rsidR="00D1056D">
        <w:rPr>
          <w:rFonts w:ascii="Times New Roman" w:hAnsi="Times New Roman"/>
        </w:rPr>
        <w:t> </w:t>
      </w:r>
      <w:r w:rsidR="00D1056D" w:rsidRPr="00D1056D">
        <w:rPr>
          <w:rFonts w:ascii="Times New Roman" w:hAnsi="Times New Roman"/>
        </w:rPr>
        <w:t>spr</w:t>
      </w:r>
      <w:r w:rsidRPr="00D1056D">
        <w:rPr>
          <w:rFonts w:ascii="Times New Roman" w:hAnsi="Times New Roman"/>
        </w:rPr>
        <w:t>awozdawczości</w:t>
      </w:r>
      <w:r w:rsidR="00D1056D" w:rsidRPr="00D1056D">
        <w:rPr>
          <w:rFonts w:ascii="Times New Roman" w:hAnsi="Times New Roman"/>
        </w:rPr>
        <w:t xml:space="preserve"> w</w:t>
      </w:r>
      <w:r w:rsidR="00D1056D">
        <w:rPr>
          <w:rFonts w:ascii="Times New Roman" w:hAnsi="Times New Roman"/>
        </w:rPr>
        <w:t> </w:t>
      </w:r>
      <w:r w:rsidR="00D1056D" w:rsidRPr="00D1056D">
        <w:rPr>
          <w:rFonts w:ascii="Times New Roman" w:hAnsi="Times New Roman"/>
        </w:rPr>
        <w:t>2</w:t>
      </w:r>
      <w:r w:rsidRPr="00D1056D">
        <w:rPr>
          <w:rFonts w:ascii="Times New Roman" w:hAnsi="Times New Roman"/>
        </w:rPr>
        <w:t>017</w:t>
      </w:r>
      <w:r w:rsidR="00D1056D" w:rsidRPr="00D1056D">
        <w:rPr>
          <w:rFonts w:ascii="Times New Roman" w:hAnsi="Times New Roman"/>
        </w:rPr>
        <w:t> </w:t>
      </w:r>
      <w:r w:rsidRPr="00D1056D">
        <w:rPr>
          <w:rFonts w:ascii="Times New Roman" w:hAnsi="Times New Roman"/>
        </w:rPr>
        <w:t>r. Komisja opublikowała pięć sprawozdań: COM(2017) 815 final (pierwsze sprawozdanie); COM(2018) 856 final (drugie sprawozdanie); COM(2020) 325 final (trzecie sprawozdanie); COM(2021) 602 final (czwarte sprawozdanie); COM(2022) 715 final/2 (piąte sprawozdanie).</w:t>
      </w:r>
    </w:p>
  </w:footnote>
  <w:footnote w:id="37">
    <w:p w14:paraId="0E108705" w14:textId="511BA2C2" w:rsidR="00594BC4" w:rsidRPr="00D1056D" w:rsidRDefault="00594BC4" w:rsidP="009B0B0A">
      <w:pPr>
        <w:pStyle w:val="FootnoteText"/>
        <w:ind w:left="284" w:hanging="284"/>
        <w:jc w:val="both"/>
        <w:rPr>
          <w:rFonts w:ascii="Times New Roman" w:hAnsi="Times New Roman" w:cs="Times New Roman"/>
        </w:rPr>
      </w:pPr>
      <w:r w:rsidRPr="00D1056D">
        <w:rPr>
          <w:rStyle w:val="FootnoteReference"/>
          <w:rFonts w:ascii="Times New Roman" w:hAnsi="Times New Roman" w:cs="Times New Roman"/>
        </w:rPr>
        <w:footnoteRef/>
      </w:r>
      <w:r w:rsidRPr="00D1056D">
        <w:rPr>
          <w:rFonts w:ascii="Times New Roman" w:hAnsi="Times New Roman"/>
        </w:rPr>
        <w:t xml:space="preserve"> </w:t>
      </w:r>
      <w:r w:rsidRPr="00D1056D">
        <w:tab/>
      </w:r>
      <w:r w:rsidRPr="00D1056D">
        <w:rPr>
          <w:rFonts w:ascii="Times New Roman" w:hAnsi="Times New Roman"/>
        </w:rPr>
        <w:t>Nadzwyczajne posiedzenie Rady Europejskiej (9 lutego 2023</w:t>
      </w:r>
      <w:r w:rsidR="00D1056D" w:rsidRPr="00D1056D">
        <w:rPr>
          <w:rFonts w:ascii="Times New Roman" w:hAnsi="Times New Roman"/>
        </w:rPr>
        <w:t> </w:t>
      </w:r>
      <w:r w:rsidRPr="00D1056D">
        <w:rPr>
          <w:rFonts w:ascii="Times New Roman" w:hAnsi="Times New Roman"/>
        </w:rPr>
        <w:t xml:space="preserve">r.) – Konkluzje, </w:t>
      </w:r>
      <w:r w:rsidRPr="00D1056D">
        <w:rPr>
          <w:rStyle w:val="Hyperlink"/>
          <w:rFonts w:ascii="Times New Roman" w:hAnsi="Times New Roman"/>
        </w:rPr>
        <w:t>https://data.consilium.europa.eu/doc/document/ST-1-2023-INIT/pl/pdf</w:t>
      </w:r>
      <w:r w:rsidRPr="00D1056D">
        <w:rPr>
          <w:rFonts w:ascii="Times New Roman" w:hAnsi="Times New Roman"/>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863E" w14:textId="77777777" w:rsidR="00D72130" w:rsidRPr="00D72130" w:rsidRDefault="00D72130" w:rsidP="00D72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72EA2" w14:textId="77777777" w:rsidR="00D72130" w:rsidRPr="00D72130" w:rsidRDefault="00D72130" w:rsidP="00D7213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DC844" w14:textId="77777777" w:rsidR="00D72130" w:rsidRPr="00D72130" w:rsidRDefault="00D72130" w:rsidP="00D7213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EFB8" w14:textId="77777777" w:rsidR="00594BC4" w:rsidRDefault="00594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2A6C" w14:textId="77777777" w:rsidR="00594BC4" w:rsidRDefault="00594B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6C5F" w14:textId="77777777" w:rsidR="00594BC4" w:rsidRDefault="0059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725"/>
    <w:multiLevelType w:val="hybridMultilevel"/>
    <w:tmpl w:val="C3F8B340"/>
    <w:lvl w:ilvl="0" w:tplc="08090011">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00F32768"/>
    <w:multiLevelType w:val="hybridMultilevel"/>
    <w:tmpl w:val="37BEE294"/>
    <w:lvl w:ilvl="0" w:tplc="08090011">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 w15:restartNumberingAfterBreak="0">
    <w:nsid w:val="0F4B6EDD"/>
    <w:multiLevelType w:val="hybridMultilevel"/>
    <w:tmpl w:val="A484E6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0EE2214"/>
    <w:multiLevelType w:val="hybridMultilevel"/>
    <w:tmpl w:val="190E6D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04A2E"/>
    <w:multiLevelType w:val="hybridMultilevel"/>
    <w:tmpl w:val="21C6E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F0AAC"/>
    <w:multiLevelType w:val="hybridMultilevel"/>
    <w:tmpl w:val="263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553EE"/>
    <w:multiLevelType w:val="hybridMultilevel"/>
    <w:tmpl w:val="3EB297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744252"/>
    <w:multiLevelType w:val="hybridMultilevel"/>
    <w:tmpl w:val="02DE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B694F"/>
    <w:multiLevelType w:val="hybridMultilevel"/>
    <w:tmpl w:val="7548B282"/>
    <w:lvl w:ilvl="0" w:tplc="D23A7F3A">
      <w:start w:val="1"/>
      <w:numFmt w:val="lowerLetter"/>
      <w:lvlText w:val="%1."/>
      <w:lvlJc w:val="left"/>
      <w:pPr>
        <w:ind w:left="1440" w:hanging="360"/>
      </w:pPr>
      <w:rPr>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A4104C"/>
    <w:multiLevelType w:val="hybridMultilevel"/>
    <w:tmpl w:val="305A5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A6A353C"/>
    <w:multiLevelType w:val="hybridMultilevel"/>
    <w:tmpl w:val="DB1A2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30179"/>
    <w:multiLevelType w:val="hybridMultilevel"/>
    <w:tmpl w:val="5A503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3440D1"/>
    <w:multiLevelType w:val="hybridMultilevel"/>
    <w:tmpl w:val="554CB904"/>
    <w:lvl w:ilvl="0" w:tplc="5A3E80A2">
      <w:start w:val="10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647F6A"/>
    <w:multiLevelType w:val="hybridMultilevel"/>
    <w:tmpl w:val="D042E8F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C5A57A6"/>
    <w:multiLevelType w:val="hybridMultilevel"/>
    <w:tmpl w:val="983A54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39375B"/>
    <w:multiLevelType w:val="hybridMultilevel"/>
    <w:tmpl w:val="AC3E6D04"/>
    <w:lvl w:ilvl="0" w:tplc="124E8A24">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B5361"/>
    <w:multiLevelType w:val="hybridMultilevel"/>
    <w:tmpl w:val="01545766"/>
    <w:lvl w:ilvl="0" w:tplc="4EFA63FA">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491749C"/>
    <w:multiLevelType w:val="hybridMultilevel"/>
    <w:tmpl w:val="AAC27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156E78"/>
    <w:multiLevelType w:val="hybridMultilevel"/>
    <w:tmpl w:val="8B3C25BA"/>
    <w:lvl w:ilvl="0" w:tplc="124E8A2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E740E7"/>
    <w:multiLevelType w:val="hybridMultilevel"/>
    <w:tmpl w:val="1BB2F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007378"/>
    <w:multiLevelType w:val="hybridMultilevel"/>
    <w:tmpl w:val="B67C521E"/>
    <w:lvl w:ilvl="0" w:tplc="97B4458C">
      <w:start w:val="1"/>
      <w:numFmt w:val="decimal"/>
      <w:lvlText w:val="%1."/>
      <w:lvlJc w:val="left"/>
      <w:pPr>
        <w:ind w:left="720" w:hanging="360"/>
      </w:pPr>
      <w:rPr>
        <w:b/>
      </w:rPr>
    </w:lvl>
    <w:lvl w:ilvl="1" w:tplc="D23A7F3A">
      <w:start w:val="1"/>
      <w:numFmt w:val="lowerLetter"/>
      <w:lvlText w:val="%2."/>
      <w:lvlJc w:val="left"/>
      <w:pPr>
        <w:ind w:left="1440" w:hanging="360"/>
      </w:pPr>
      <w:rPr>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35600C"/>
    <w:multiLevelType w:val="hybridMultilevel"/>
    <w:tmpl w:val="DA86E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7E2622"/>
    <w:multiLevelType w:val="hybridMultilevel"/>
    <w:tmpl w:val="229E728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9"/>
  </w:num>
  <w:num w:numId="3">
    <w:abstractNumId w:val="12"/>
  </w:num>
  <w:num w:numId="4">
    <w:abstractNumId w:val="2"/>
  </w:num>
  <w:num w:numId="5">
    <w:abstractNumId w:val="0"/>
  </w:num>
  <w:num w:numId="6">
    <w:abstractNumId w:val="15"/>
  </w:num>
  <w:num w:numId="7">
    <w:abstractNumId w:val="11"/>
  </w:num>
  <w:num w:numId="8">
    <w:abstractNumId w:val="18"/>
  </w:num>
  <w:num w:numId="9">
    <w:abstractNumId w:val="13"/>
  </w:num>
  <w:num w:numId="10">
    <w:abstractNumId w:val="16"/>
  </w:num>
  <w:num w:numId="11">
    <w:abstractNumId w:val="21"/>
  </w:num>
  <w:num w:numId="12">
    <w:abstractNumId w:val="10"/>
  </w:num>
  <w:num w:numId="13">
    <w:abstractNumId w:val="22"/>
  </w:num>
  <w:num w:numId="14">
    <w:abstractNumId w:val="1"/>
  </w:num>
  <w:num w:numId="15">
    <w:abstractNumId w:val="4"/>
  </w:num>
  <w:num w:numId="16">
    <w:abstractNumId w:val="19"/>
  </w:num>
  <w:num w:numId="17">
    <w:abstractNumId w:val="3"/>
  </w:num>
  <w:num w:numId="18">
    <w:abstractNumId w:val="5"/>
  </w:num>
  <w:num w:numId="19">
    <w:abstractNumId w:val="7"/>
  </w:num>
  <w:num w:numId="20">
    <w:abstractNumId w:val="14"/>
  </w:num>
  <w:num w:numId="21">
    <w:abstractNumId w:val="17"/>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1"/>
  <w:activeWritingStyle w:appName="MSWord" w:lang="en-US" w:vendorID="64" w:dllVersion="0" w:nlCheck="1" w:checkStyle="0"/>
  <w:activeWritingStyle w:appName="MSWord" w:lang="en-IE" w:vendorID="64" w:dllVersion="0" w:nlCheck="1" w:checkStyle="0"/>
  <w:activeWritingStyle w:appName="MSWord" w:lang="en-IE" w:vendorID="64" w:dllVersion="6" w:nlCheck="1" w:checkStyle="1"/>
  <w:activeWritingStyle w:appName="MSWord" w:lang="it-IT" w:vendorID="64" w:dllVersion="0" w:nlCheck="1" w:checkStyle="0"/>
  <w:activeWritingStyle w:appName="MSWord" w:lang="es-ES" w:vendorID="64" w:dllVersion="6" w:nlCheck="1" w:checkStyle="0"/>
  <w:activeWritingStyle w:appName="MSWord" w:lang="es-ES" w:vendorID="64" w:dllVersion="0" w:nlCheck="1" w:checkStyle="0"/>
  <w:activeWritingStyle w:appName="MSWord" w:lang="pl-PL" w:vendorID="64" w:dllVersion="0" w:nlCheck="1" w:checkStyle="0"/>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DDAE2DD-F717-492E-AB0E-5D0014A585BA"/>
    <w:docVar w:name="LW_COVERPAGE_TYPE" w:val="1"/>
    <w:docVar w:name="LW_CROSSREFERENCE" w:val="&lt;UNUSED&gt;"/>
    <w:docVar w:name="LW_DocType" w:val="NORMAL"/>
    <w:docVar w:name="LW_EMISSION" w:val="30.5.2023"/>
    <w:docVar w:name="LW_EMISSION_ISODATE" w:val="2023-05-30"/>
    <w:docVar w:name="LW_EMISSION_LOCATION" w:val="BRX"/>
    <w:docVar w:name="LW_EMISSION_PREFIX" w:val="Bruksela, dnia "/>
    <w:docVar w:name="LW_EMISSION_SUFFIX" w:val=" r."/>
    <w:docVar w:name="LW_ID_DOCTYPE_NONLW" w:val="CP-012"/>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3) 29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w sprawie monitorowania systemów bezwizowych UE"/>
    <w:docVar w:name="LW_TYPE.DOC.CP" w:val="KOMUNIKAT KOMISJI DO PARLAMENTU EUROPEJSKIEGO I RADY"/>
    <w:docVar w:name="LW_TYPE.DOC.CP.USERTEXT" w:val="&lt;EMPTY&gt;"/>
    <w:docVar w:name="LwApiVersions" w:val="LW4CoDe 1.23.2.0; LW 8.0, Build 20211117"/>
  </w:docVars>
  <w:rsids>
    <w:rsidRoot w:val="00BF509F"/>
    <w:rsid w:val="0000079E"/>
    <w:rsid w:val="00000AE3"/>
    <w:rsid w:val="00001800"/>
    <w:rsid w:val="00001C06"/>
    <w:rsid w:val="00002D06"/>
    <w:rsid w:val="00003626"/>
    <w:rsid w:val="00003F8B"/>
    <w:rsid w:val="00004B59"/>
    <w:rsid w:val="0000678E"/>
    <w:rsid w:val="00006840"/>
    <w:rsid w:val="00007BD4"/>
    <w:rsid w:val="00010599"/>
    <w:rsid w:val="00010D7D"/>
    <w:rsid w:val="00011D68"/>
    <w:rsid w:val="00012A01"/>
    <w:rsid w:val="00013E7B"/>
    <w:rsid w:val="00014559"/>
    <w:rsid w:val="00015130"/>
    <w:rsid w:val="00017822"/>
    <w:rsid w:val="00017A15"/>
    <w:rsid w:val="000201BD"/>
    <w:rsid w:val="00020726"/>
    <w:rsid w:val="00021F5B"/>
    <w:rsid w:val="00025ABF"/>
    <w:rsid w:val="00025DE2"/>
    <w:rsid w:val="00030113"/>
    <w:rsid w:val="00030273"/>
    <w:rsid w:val="00032F40"/>
    <w:rsid w:val="00033F8A"/>
    <w:rsid w:val="000354A1"/>
    <w:rsid w:val="00035D1F"/>
    <w:rsid w:val="00036CAE"/>
    <w:rsid w:val="00036E10"/>
    <w:rsid w:val="0003709C"/>
    <w:rsid w:val="000377C2"/>
    <w:rsid w:val="00037B26"/>
    <w:rsid w:val="000404B8"/>
    <w:rsid w:val="00041987"/>
    <w:rsid w:val="000421B2"/>
    <w:rsid w:val="000424D1"/>
    <w:rsid w:val="00043782"/>
    <w:rsid w:val="00044FA2"/>
    <w:rsid w:val="00045AB4"/>
    <w:rsid w:val="000473F7"/>
    <w:rsid w:val="0004799F"/>
    <w:rsid w:val="0005136C"/>
    <w:rsid w:val="000521C3"/>
    <w:rsid w:val="00054086"/>
    <w:rsid w:val="00054314"/>
    <w:rsid w:val="000549DB"/>
    <w:rsid w:val="00056439"/>
    <w:rsid w:val="0005779A"/>
    <w:rsid w:val="00057912"/>
    <w:rsid w:val="00057A61"/>
    <w:rsid w:val="00061C9E"/>
    <w:rsid w:val="0006266B"/>
    <w:rsid w:val="000636CE"/>
    <w:rsid w:val="00064BCE"/>
    <w:rsid w:val="0006789C"/>
    <w:rsid w:val="00073920"/>
    <w:rsid w:val="00075E93"/>
    <w:rsid w:val="00077741"/>
    <w:rsid w:val="00077879"/>
    <w:rsid w:val="00077B4B"/>
    <w:rsid w:val="000810AB"/>
    <w:rsid w:val="0008124D"/>
    <w:rsid w:val="0008325F"/>
    <w:rsid w:val="0008420D"/>
    <w:rsid w:val="000846BD"/>
    <w:rsid w:val="000848D3"/>
    <w:rsid w:val="00084CB0"/>
    <w:rsid w:val="00085406"/>
    <w:rsid w:val="00085B16"/>
    <w:rsid w:val="00086BF1"/>
    <w:rsid w:val="00087062"/>
    <w:rsid w:val="0008771C"/>
    <w:rsid w:val="00090724"/>
    <w:rsid w:val="00090D2B"/>
    <w:rsid w:val="000914E9"/>
    <w:rsid w:val="00092FF4"/>
    <w:rsid w:val="00093465"/>
    <w:rsid w:val="00094256"/>
    <w:rsid w:val="000944B5"/>
    <w:rsid w:val="00095145"/>
    <w:rsid w:val="000964B7"/>
    <w:rsid w:val="00097B30"/>
    <w:rsid w:val="000A04F6"/>
    <w:rsid w:val="000A113C"/>
    <w:rsid w:val="000A2A2C"/>
    <w:rsid w:val="000A2CFB"/>
    <w:rsid w:val="000A6406"/>
    <w:rsid w:val="000B0277"/>
    <w:rsid w:val="000B0419"/>
    <w:rsid w:val="000B137B"/>
    <w:rsid w:val="000B230F"/>
    <w:rsid w:val="000B2664"/>
    <w:rsid w:val="000B2701"/>
    <w:rsid w:val="000B3695"/>
    <w:rsid w:val="000B4D50"/>
    <w:rsid w:val="000B6E2F"/>
    <w:rsid w:val="000C0807"/>
    <w:rsid w:val="000C08F6"/>
    <w:rsid w:val="000C0905"/>
    <w:rsid w:val="000C1554"/>
    <w:rsid w:val="000C38A8"/>
    <w:rsid w:val="000C44CE"/>
    <w:rsid w:val="000C4EB2"/>
    <w:rsid w:val="000C559F"/>
    <w:rsid w:val="000C609A"/>
    <w:rsid w:val="000C6FE0"/>
    <w:rsid w:val="000D2A15"/>
    <w:rsid w:val="000D3542"/>
    <w:rsid w:val="000D3562"/>
    <w:rsid w:val="000D3C91"/>
    <w:rsid w:val="000D584A"/>
    <w:rsid w:val="000D730A"/>
    <w:rsid w:val="000E11BB"/>
    <w:rsid w:val="000E1741"/>
    <w:rsid w:val="000E1B8B"/>
    <w:rsid w:val="000E2957"/>
    <w:rsid w:val="000E2F04"/>
    <w:rsid w:val="000E3FFD"/>
    <w:rsid w:val="000E419C"/>
    <w:rsid w:val="000E5D53"/>
    <w:rsid w:val="000E6259"/>
    <w:rsid w:val="000E717D"/>
    <w:rsid w:val="000E7C30"/>
    <w:rsid w:val="000F0045"/>
    <w:rsid w:val="000F193D"/>
    <w:rsid w:val="000F2577"/>
    <w:rsid w:val="000F3A66"/>
    <w:rsid w:val="000F5121"/>
    <w:rsid w:val="000F57A1"/>
    <w:rsid w:val="000F66D8"/>
    <w:rsid w:val="000F7A37"/>
    <w:rsid w:val="000F7B5F"/>
    <w:rsid w:val="000F7FB8"/>
    <w:rsid w:val="00100FC7"/>
    <w:rsid w:val="00101DD3"/>
    <w:rsid w:val="00101F15"/>
    <w:rsid w:val="00103E6E"/>
    <w:rsid w:val="0010425A"/>
    <w:rsid w:val="0010607C"/>
    <w:rsid w:val="00107100"/>
    <w:rsid w:val="00107620"/>
    <w:rsid w:val="001112C5"/>
    <w:rsid w:val="00111491"/>
    <w:rsid w:val="00111951"/>
    <w:rsid w:val="00111EBB"/>
    <w:rsid w:val="0011222A"/>
    <w:rsid w:val="001137BD"/>
    <w:rsid w:val="00113E31"/>
    <w:rsid w:val="00115593"/>
    <w:rsid w:val="001159EB"/>
    <w:rsid w:val="00115E2C"/>
    <w:rsid w:val="00117A27"/>
    <w:rsid w:val="0012031A"/>
    <w:rsid w:val="001222FC"/>
    <w:rsid w:val="00123C12"/>
    <w:rsid w:val="00124B4D"/>
    <w:rsid w:val="00124D54"/>
    <w:rsid w:val="00125008"/>
    <w:rsid w:val="00125BC1"/>
    <w:rsid w:val="001272CC"/>
    <w:rsid w:val="00127F7D"/>
    <w:rsid w:val="001309E9"/>
    <w:rsid w:val="00131E7B"/>
    <w:rsid w:val="00131F20"/>
    <w:rsid w:val="00131FE5"/>
    <w:rsid w:val="0013216A"/>
    <w:rsid w:val="00132566"/>
    <w:rsid w:val="00132859"/>
    <w:rsid w:val="001330B3"/>
    <w:rsid w:val="00133689"/>
    <w:rsid w:val="00134A6B"/>
    <w:rsid w:val="00134D97"/>
    <w:rsid w:val="00135BEF"/>
    <w:rsid w:val="0013656A"/>
    <w:rsid w:val="00137029"/>
    <w:rsid w:val="00137A9F"/>
    <w:rsid w:val="00137B81"/>
    <w:rsid w:val="00137D64"/>
    <w:rsid w:val="00137E09"/>
    <w:rsid w:val="00140169"/>
    <w:rsid w:val="00140958"/>
    <w:rsid w:val="0014190C"/>
    <w:rsid w:val="0014254E"/>
    <w:rsid w:val="00142A8E"/>
    <w:rsid w:val="00146EE7"/>
    <w:rsid w:val="00150F3D"/>
    <w:rsid w:val="00152268"/>
    <w:rsid w:val="001527C7"/>
    <w:rsid w:val="0015336F"/>
    <w:rsid w:val="00154A43"/>
    <w:rsid w:val="00155793"/>
    <w:rsid w:val="001558D4"/>
    <w:rsid w:val="00155D92"/>
    <w:rsid w:val="00156B82"/>
    <w:rsid w:val="0015737F"/>
    <w:rsid w:val="0015755E"/>
    <w:rsid w:val="001579AF"/>
    <w:rsid w:val="00157E2E"/>
    <w:rsid w:val="0016008D"/>
    <w:rsid w:val="00160204"/>
    <w:rsid w:val="00162073"/>
    <w:rsid w:val="001625B8"/>
    <w:rsid w:val="0016359A"/>
    <w:rsid w:val="00163B6C"/>
    <w:rsid w:val="00164157"/>
    <w:rsid w:val="00165EAE"/>
    <w:rsid w:val="001666E6"/>
    <w:rsid w:val="00166EA3"/>
    <w:rsid w:val="00170291"/>
    <w:rsid w:val="001703CF"/>
    <w:rsid w:val="001721D8"/>
    <w:rsid w:val="00172370"/>
    <w:rsid w:val="001723C3"/>
    <w:rsid w:val="00172505"/>
    <w:rsid w:val="00173BA0"/>
    <w:rsid w:val="00173C93"/>
    <w:rsid w:val="00175710"/>
    <w:rsid w:val="0017664E"/>
    <w:rsid w:val="001804CF"/>
    <w:rsid w:val="0018514C"/>
    <w:rsid w:val="00185D6D"/>
    <w:rsid w:val="001870A9"/>
    <w:rsid w:val="0018793E"/>
    <w:rsid w:val="001901C3"/>
    <w:rsid w:val="0019112D"/>
    <w:rsid w:val="00191492"/>
    <w:rsid w:val="00191E75"/>
    <w:rsid w:val="001929FD"/>
    <w:rsid w:val="00192A37"/>
    <w:rsid w:val="00192FFE"/>
    <w:rsid w:val="001954DE"/>
    <w:rsid w:val="001977E4"/>
    <w:rsid w:val="001A0D49"/>
    <w:rsid w:val="001A0E9E"/>
    <w:rsid w:val="001A1A5F"/>
    <w:rsid w:val="001A50B7"/>
    <w:rsid w:val="001A5E98"/>
    <w:rsid w:val="001A7704"/>
    <w:rsid w:val="001B2C6E"/>
    <w:rsid w:val="001B35C4"/>
    <w:rsid w:val="001B4931"/>
    <w:rsid w:val="001B5A4E"/>
    <w:rsid w:val="001B5B22"/>
    <w:rsid w:val="001B616C"/>
    <w:rsid w:val="001B6368"/>
    <w:rsid w:val="001B7060"/>
    <w:rsid w:val="001C0A50"/>
    <w:rsid w:val="001C0EF0"/>
    <w:rsid w:val="001C180A"/>
    <w:rsid w:val="001C20EA"/>
    <w:rsid w:val="001C237B"/>
    <w:rsid w:val="001C2DBD"/>
    <w:rsid w:val="001C31C4"/>
    <w:rsid w:val="001C3A22"/>
    <w:rsid w:val="001C4573"/>
    <w:rsid w:val="001C4C6E"/>
    <w:rsid w:val="001C6B65"/>
    <w:rsid w:val="001D23BA"/>
    <w:rsid w:val="001D248D"/>
    <w:rsid w:val="001D367B"/>
    <w:rsid w:val="001D5029"/>
    <w:rsid w:val="001D6311"/>
    <w:rsid w:val="001D7884"/>
    <w:rsid w:val="001E0CCB"/>
    <w:rsid w:val="001E38D0"/>
    <w:rsid w:val="001E5620"/>
    <w:rsid w:val="001E672F"/>
    <w:rsid w:val="001E69F2"/>
    <w:rsid w:val="001E70A4"/>
    <w:rsid w:val="001E72A9"/>
    <w:rsid w:val="001E7FC3"/>
    <w:rsid w:val="001F0E36"/>
    <w:rsid w:val="001F2024"/>
    <w:rsid w:val="001F3390"/>
    <w:rsid w:val="001F3395"/>
    <w:rsid w:val="001F3788"/>
    <w:rsid w:val="001F563E"/>
    <w:rsid w:val="001F59B0"/>
    <w:rsid w:val="001F6BBF"/>
    <w:rsid w:val="00200D34"/>
    <w:rsid w:val="00200D81"/>
    <w:rsid w:val="00201942"/>
    <w:rsid w:val="00201A27"/>
    <w:rsid w:val="002027FA"/>
    <w:rsid w:val="002029DD"/>
    <w:rsid w:val="00203D6A"/>
    <w:rsid w:val="002054F8"/>
    <w:rsid w:val="00207113"/>
    <w:rsid w:val="00207C17"/>
    <w:rsid w:val="00210073"/>
    <w:rsid w:val="002110D8"/>
    <w:rsid w:val="00211773"/>
    <w:rsid w:val="002119A8"/>
    <w:rsid w:val="00211B5E"/>
    <w:rsid w:val="00212CB9"/>
    <w:rsid w:val="00214173"/>
    <w:rsid w:val="00214229"/>
    <w:rsid w:val="0021428E"/>
    <w:rsid w:val="002150AE"/>
    <w:rsid w:val="0021538E"/>
    <w:rsid w:val="0021638A"/>
    <w:rsid w:val="002175B4"/>
    <w:rsid w:val="002175BD"/>
    <w:rsid w:val="00220E78"/>
    <w:rsid w:val="00221855"/>
    <w:rsid w:val="00221C53"/>
    <w:rsid w:val="00221DA3"/>
    <w:rsid w:val="00223555"/>
    <w:rsid w:val="00225D14"/>
    <w:rsid w:val="00226FD9"/>
    <w:rsid w:val="00227B7D"/>
    <w:rsid w:val="00230696"/>
    <w:rsid w:val="00231293"/>
    <w:rsid w:val="00231596"/>
    <w:rsid w:val="00231E45"/>
    <w:rsid w:val="0023248F"/>
    <w:rsid w:val="002324A1"/>
    <w:rsid w:val="00232954"/>
    <w:rsid w:val="00234DB5"/>
    <w:rsid w:val="00235FE2"/>
    <w:rsid w:val="002362B0"/>
    <w:rsid w:val="002364AD"/>
    <w:rsid w:val="00237065"/>
    <w:rsid w:val="0023785B"/>
    <w:rsid w:val="00237B09"/>
    <w:rsid w:val="0024051D"/>
    <w:rsid w:val="00240729"/>
    <w:rsid w:val="00241176"/>
    <w:rsid w:val="0024169D"/>
    <w:rsid w:val="002427D0"/>
    <w:rsid w:val="0024280C"/>
    <w:rsid w:val="00243160"/>
    <w:rsid w:val="002437B3"/>
    <w:rsid w:val="00245650"/>
    <w:rsid w:val="00246445"/>
    <w:rsid w:val="00246753"/>
    <w:rsid w:val="00247145"/>
    <w:rsid w:val="00250469"/>
    <w:rsid w:val="002507CB"/>
    <w:rsid w:val="00250D28"/>
    <w:rsid w:val="00250E22"/>
    <w:rsid w:val="00251448"/>
    <w:rsid w:val="00251937"/>
    <w:rsid w:val="002520A2"/>
    <w:rsid w:val="00252D19"/>
    <w:rsid w:val="002539B9"/>
    <w:rsid w:val="00253F64"/>
    <w:rsid w:val="00254D99"/>
    <w:rsid w:val="00255D56"/>
    <w:rsid w:val="002565E2"/>
    <w:rsid w:val="0025725F"/>
    <w:rsid w:val="00257F5D"/>
    <w:rsid w:val="002613B2"/>
    <w:rsid w:val="00265D6F"/>
    <w:rsid w:val="0026619A"/>
    <w:rsid w:val="002679B1"/>
    <w:rsid w:val="00270B2F"/>
    <w:rsid w:val="0027128D"/>
    <w:rsid w:val="0027218B"/>
    <w:rsid w:val="00272BD1"/>
    <w:rsid w:val="00273854"/>
    <w:rsid w:val="0027411A"/>
    <w:rsid w:val="002747D2"/>
    <w:rsid w:val="002754DF"/>
    <w:rsid w:val="00275665"/>
    <w:rsid w:val="00275785"/>
    <w:rsid w:val="00275CBC"/>
    <w:rsid w:val="00275DC1"/>
    <w:rsid w:val="00275DD1"/>
    <w:rsid w:val="00276150"/>
    <w:rsid w:val="0027627A"/>
    <w:rsid w:val="00276801"/>
    <w:rsid w:val="00277535"/>
    <w:rsid w:val="00277BC0"/>
    <w:rsid w:val="00277F57"/>
    <w:rsid w:val="0028042F"/>
    <w:rsid w:val="0028199C"/>
    <w:rsid w:val="0028248F"/>
    <w:rsid w:val="00283509"/>
    <w:rsid w:val="00284359"/>
    <w:rsid w:val="00285DE5"/>
    <w:rsid w:val="00290412"/>
    <w:rsid w:val="00290ED0"/>
    <w:rsid w:val="002921ED"/>
    <w:rsid w:val="002927CC"/>
    <w:rsid w:val="00292B6F"/>
    <w:rsid w:val="00295714"/>
    <w:rsid w:val="002977F7"/>
    <w:rsid w:val="00297A91"/>
    <w:rsid w:val="002A00D2"/>
    <w:rsid w:val="002A0B95"/>
    <w:rsid w:val="002A0BFA"/>
    <w:rsid w:val="002A1952"/>
    <w:rsid w:val="002A4B96"/>
    <w:rsid w:val="002A5438"/>
    <w:rsid w:val="002A6C31"/>
    <w:rsid w:val="002A6C60"/>
    <w:rsid w:val="002A6FAC"/>
    <w:rsid w:val="002A76B3"/>
    <w:rsid w:val="002A7E38"/>
    <w:rsid w:val="002B20EB"/>
    <w:rsid w:val="002B2800"/>
    <w:rsid w:val="002B2C23"/>
    <w:rsid w:val="002B3E68"/>
    <w:rsid w:val="002B63BA"/>
    <w:rsid w:val="002B6672"/>
    <w:rsid w:val="002B7E6E"/>
    <w:rsid w:val="002C13BA"/>
    <w:rsid w:val="002C1808"/>
    <w:rsid w:val="002C4F6B"/>
    <w:rsid w:val="002C5CED"/>
    <w:rsid w:val="002C5FFB"/>
    <w:rsid w:val="002C699D"/>
    <w:rsid w:val="002C7E50"/>
    <w:rsid w:val="002D26A5"/>
    <w:rsid w:val="002D2B5E"/>
    <w:rsid w:val="002D2DF2"/>
    <w:rsid w:val="002D4969"/>
    <w:rsid w:val="002D5884"/>
    <w:rsid w:val="002D6675"/>
    <w:rsid w:val="002D672F"/>
    <w:rsid w:val="002D6ED7"/>
    <w:rsid w:val="002E137E"/>
    <w:rsid w:val="002E22B9"/>
    <w:rsid w:val="002E451B"/>
    <w:rsid w:val="002E58C1"/>
    <w:rsid w:val="002E695F"/>
    <w:rsid w:val="002E6A06"/>
    <w:rsid w:val="002E727C"/>
    <w:rsid w:val="002E7369"/>
    <w:rsid w:val="002E79B8"/>
    <w:rsid w:val="002E7EFB"/>
    <w:rsid w:val="002F08AB"/>
    <w:rsid w:val="002F0A9D"/>
    <w:rsid w:val="002F20D4"/>
    <w:rsid w:val="002F257D"/>
    <w:rsid w:val="002F3A1A"/>
    <w:rsid w:val="002F3CCD"/>
    <w:rsid w:val="002F66DE"/>
    <w:rsid w:val="002F67FD"/>
    <w:rsid w:val="002F7301"/>
    <w:rsid w:val="002F7D80"/>
    <w:rsid w:val="00303D3F"/>
    <w:rsid w:val="00304C3F"/>
    <w:rsid w:val="003051A4"/>
    <w:rsid w:val="00305D06"/>
    <w:rsid w:val="0030716C"/>
    <w:rsid w:val="003077A6"/>
    <w:rsid w:val="003077E4"/>
    <w:rsid w:val="003078B8"/>
    <w:rsid w:val="00307AA2"/>
    <w:rsid w:val="00307B4C"/>
    <w:rsid w:val="00307B9B"/>
    <w:rsid w:val="00307D62"/>
    <w:rsid w:val="00310D5E"/>
    <w:rsid w:val="00311687"/>
    <w:rsid w:val="0031219C"/>
    <w:rsid w:val="003123DC"/>
    <w:rsid w:val="00312C58"/>
    <w:rsid w:val="00313621"/>
    <w:rsid w:val="00313776"/>
    <w:rsid w:val="00315445"/>
    <w:rsid w:val="00317329"/>
    <w:rsid w:val="00320A7B"/>
    <w:rsid w:val="00321158"/>
    <w:rsid w:val="0032250A"/>
    <w:rsid w:val="003259A8"/>
    <w:rsid w:val="0032604A"/>
    <w:rsid w:val="00326A84"/>
    <w:rsid w:val="0032785F"/>
    <w:rsid w:val="003311B6"/>
    <w:rsid w:val="003313AD"/>
    <w:rsid w:val="00333367"/>
    <w:rsid w:val="003334CE"/>
    <w:rsid w:val="0033425F"/>
    <w:rsid w:val="00334319"/>
    <w:rsid w:val="00335EE3"/>
    <w:rsid w:val="003366A7"/>
    <w:rsid w:val="00336C94"/>
    <w:rsid w:val="00336D21"/>
    <w:rsid w:val="00340D1C"/>
    <w:rsid w:val="00341DDF"/>
    <w:rsid w:val="00342FFA"/>
    <w:rsid w:val="003435F5"/>
    <w:rsid w:val="003465ED"/>
    <w:rsid w:val="0035018F"/>
    <w:rsid w:val="00350F55"/>
    <w:rsid w:val="003528EE"/>
    <w:rsid w:val="003530CC"/>
    <w:rsid w:val="00353484"/>
    <w:rsid w:val="003548BF"/>
    <w:rsid w:val="003554EE"/>
    <w:rsid w:val="003558AE"/>
    <w:rsid w:val="00356B99"/>
    <w:rsid w:val="003600F9"/>
    <w:rsid w:val="003603BB"/>
    <w:rsid w:val="00360C49"/>
    <w:rsid w:val="00360D9F"/>
    <w:rsid w:val="003631DE"/>
    <w:rsid w:val="00363321"/>
    <w:rsid w:val="00363AA6"/>
    <w:rsid w:val="00364DC7"/>
    <w:rsid w:val="0036612B"/>
    <w:rsid w:val="00370CD4"/>
    <w:rsid w:val="003741E4"/>
    <w:rsid w:val="0037443D"/>
    <w:rsid w:val="00374546"/>
    <w:rsid w:val="00374D02"/>
    <w:rsid w:val="003761CA"/>
    <w:rsid w:val="0038061C"/>
    <w:rsid w:val="0038074C"/>
    <w:rsid w:val="00381AA7"/>
    <w:rsid w:val="003825A9"/>
    <w:rsid w:val="00382BA9"/>
    <w:rsid w:val="003831CC"/>
    <w:rsid w:val="003843D2"/>
    <w:rsid w:val="0038503D"/>
    <w:rsid w:val="003857B5"/>
    <w:rsid w:val="00385BC8"/>
    <w:rsid w:val="00385ECE"/>
    <w:rsid w:val="00385F35"/>
    <w:rsid w:val="00387056"/>
    <w:rsid w:val="0038756F"/>
    <w:rsid w:val="00390793"/>
    <w:rsid w:val="00390F54"/>
    <w:rsid w:val="0039232E"/>
    <w:rsid w:val="003925D3"/>
    <w:rsid w:val="003929E3"/>
    <w:rsid w:val="00392C92"/>
    <w:rsid w:val="00394EAF"/>
    <w:rsid w:val="00395675"/>
    <w:rsid w:val="0039631D"/>
    <w:rsid w:val="003968B8"/>
    <w:rsid w:val="00397184"/>
    <w:rsid w:val="003977B7"/>
    <w:rsid w:val="003A0B3B"/>
    <w:rsid w:val="003A0E58"/>
    <w:rsid w:val="003A118C"/>
    <w:rsid w:val="003A13D9"/>
    <w:rsid w:val="003A174C"/>
    <w:rsid w:val="003A33D9"/>
    <w:rsid w:val="003A69F9"/>
    <w:rsid w:val="003A6E5F"/>
    <w:rsid w:val="003B131E"/>
    <w:rsid w:val="003B1B02"/>
    <w:rsid w:val="003B2434"/>
    <w:rsid w:val="003B3F0B"/>
    <w:rsid w:val="003B4B92"/>
    <w:rsid w:val="003B713B"/>
    <w:rsid w:val="003C0754"/>
    <w:rsid w:val="003C07D6"/>
    <w:rsid w:val="003C0DA7"/>
    <w:rsid w:val="003C0E06"/>
    <w:rsid w:val="003C1993"/>
    <w:rsid w:val="003C1C06"/>
    <w:rsid w:val="003C222A"/>
    <w:rsid w:val="003C2EDA"/>
    <w:rsid w:val="003C4938"/>
    <w:rsid w:val="003C4C26"/>
    <w:rsid w:val="003C5290"/>
    <w:rsid w:val="003D0045"/>
    <w:rsid w:val="003D19FE"/>
    <w:rsid w:val="003D1E33"/>
    <w:rsid w:val="003D4E46"/>
    <w:rsid w:val="003D65CA"/>
    <w:rsid w:val="003D69C7"/>
    <w:rsid w:val="003D7C40"/>
    <w:rsid w:val="003E0093"/>
    <w:rsid w:val="003E130C"/>
    <w:rsid w:val="003E14BB"/>
    <w:rsid w:val="003E1587"/>
    <w:rsid w:val="003E1720"/>
    <w:rsid w:val="003E22CC"/>
    <w:rsid w:val="003E2DF6"/>
    <w:rsid w:val="003E3316"/>
    <w:rsid w:val="003E4A3B"/>
    <w:rsid w:val="003E5759"/>
    <w:rsid w:val="003E588B"/>
    <w:rsid w:val="003E61F9"/>
    <w:rsid w:val="003E67AC"/>
    <w:rsid w:val="003E7702"/>
    <w:rsid w:val="003F0012"/>
    <w:rsid w:val="003F07B9"/>
    <w:rsid w:val="003F16CE"/>
    <w:rsid w:val="003F21DD"/>
    <w:rsid w:val="003F2B54"/>
    <w:rsid w:val="003F4210"/>
    <w:rsid w:val="003F46D7"/>
    <w:rsid w:val="003F5A80"/>
    <w:rsid w:val="003F6DDB"/>
    <w:rsid w:val="003F7E77"/>
    <w:rsid w:val="004009F4"/>
    <w:rsid w:val="00402ED9"/>
    <w:rsid w:val="004049D0"/>
    <w:rsid w:val="00405CE9"/>
    <w:rsid w:val="00405FBC"/>
    <w:rsid w:val="0040788E"/>
    <w:rsid w:val="004106D0"/>
    <w:rsid w:val="0041246D"/>
    <w:rsid w:val="004139A4"/>
    <w:rsid w:val="00414322"/>
    <w:rsid w:val="0041499D"/>
    <w:rsid w:val="0041563E"/>
    <w:rsid w:val="00415D8A"/>
    <w:rsid w:val="0041665C"/>
    <w:rsid w:val="00417F88"/>
    <w:rsid w:val="00420161"/>
    <w:rsid w:val="00420F40"/>
    <w:rsid w:val="0042232D"/>
    <w:rsid w:val="00423E49"/>
    <w:rsid w:val="00425073"/>
    <w:rsid w:val="004259A6"/>
    <w:rsid w:val="00426685"/>
    <w:rsid w:val="00426CE5"/>
    <w:rsid w:val="00427C38"/>
    <w:rsid w:val="00431D5A"/>
    <w:rsid w:val="0043258B"/>
    <w:rsid w:val="00432A87"/>
    <w:rsid w:val="00432A9A"/>
    <w:rsid w:val="0043401A"/>
    <w:rsid w:val="0043465F"/>
    <w:rsid w:val="0043560B"/>
    <w:rsid w:val="00436E37"/>
    <w:rsid w:val="00437B0B"/>
    <w:rsid w:val="0043ED58"/>
    <w:rsid w:val="004411CB"/>
    <w:rsid w:val="00441AEB"/>
    <w:rsid w:val="00442383"/>
    <w:rsid w:val="0044238C"/>
    <w:rsid w:val="004425A2"/>
    <w:rsid w:val="004437F1"/>
    <w:rsid w:val="004447BD"/>
    <w:rsid w:val="00445BFD"/>
    <w:rsid w:val="00446537"/>
    <w:rsid w:val="004475BA"/>
    <w:rsid w:val="00452A1B"/>
    <w:rsid w:val="0045327B"/>
    <w:rsid w:val="00453F33"/>
    <w:rsid w:val="004551F1"/>
    <w:rsid w:val="00455DC9"/>
    <w:rsid w:val="004572EE"/>
    <w:rsid w:val="0046051C"/>
    <w:rsid w:val="004606EF"/>
    <w:rsid w:val="0046197A"/>
    <w:rsid w:val="00462F04"/>
    <w:rsid w:val="004635A0"/>
    <w:rsid w:val="00463F3D"/>
    <w:rsid w:val="0046501B"/>
    <w:rsid w:val="00465722"/>
    <w:rsid w:val="0046582D"/>
    <w:rsid w:val="00465BB5"/>
    <w:rsid w:val="00467BED"/>
    <w:rsid w:val="00467F69"/>
    <w:rsid w:val="00467FF2"/>
    <w:rsid w:val="00470404"/>
    <w:rsid w:val="00471075"/>
    <w:rsid w:val="00471644"/>
    <w:rsid w:val="00472762"/>
    <w:rsid w:val="00473FAD"/>
    <w:rsid w:val="00474147"/>
    <w:rsid w:val="00475B84"/>
    <w:rsid w:val="00476420"/>
    <w:rsid w:val="00476E50"/>
    <w:rsid w:val="00477795"/>
    <w:rsid w:val="00477FDE"/>
    <w:rsid w:val="004809AA"/>
    <w:rsid w:val="004815E4"/>
    <w:rsid w:val="00482110"/>
    <w:rsid w:val="004834C0"/>
    <w:rsid w:val="004843A7"/>
    <w:rsid w:val="00484401"/>
    <w:rsid w:val="00486851"/>
    <w:rsid w:val="00486DA1"/>
    <w:rsid w:val="004873E4"/>
    <w:rsid w:val="004876ED"/>
    <w:rsid w:val="004877D4"/>
    <w:rsid w:val="00490D35"/>
    <w:rsid w:val="00491AF2"/>
    <w:rsid w:val="00491B58"/>
    <w:rsid w:val="00491BF0"/>
    <w:rsid w:val="004943FF"/>
    <w:rsid w:val="0049491F"/>
    <w:rsid w:val="0049511D"/>
    <w:rsid w:val="00496A1E"/>
    <w:rsid w:val="004A1DF2"/>
    <w:rsid w:val="004A26E4"/>
    <w:rsid w:val="004A35BB"/>
    <w:rsid w:val="004A64BD"/>
    <w:rsid w:val="004A695E"/>
    <w:rsid w:val="004A7706"/>
    <w:rsid w:val="004B0765"/>
    <w:rsid w:val="004B1325"/>
    <w:rsid w:val="004B235D"/>
    <w:rsid w:val="004B4059"/>
    <w:rsid w:val="004B4826"/>
    <w:rsid w:val="004B48AF"/>
    <w:rsid w:val="004B5B42"/>
    <w:rsid w:val="004B7B61"/>
    <w:rsid w:val="004C0162"/>
    <w:rsid w:val="004C263F"/>
    <w:rsid w:val="004C26E1"/>
    <w:rsid w:val="004C2EE1"/>
    <w:rsid w:val="004C31F3"/>
    <w:rsid w:val="004C39DF"/>
    <w:rsid w:val="004C44B1"/>
    <w:rsid w:val="004C457D"/>
    <w:rsid w:val="004C51C5"/>
    <w:rsid w:val="004C65D6"/>
    <w:rsid w:val="004C67C4"/>
    <w:rsid w:val="004C6B14"/>
    <w:rsid w:val="004C706D"/>
    <w:rsid w:val="004C79D5"/>
    <w:rsid w:val="004D02E1"/>
    <w:rsid w:val="004D0461"/>
    <w:rsid w:val="004D1CE8"/>
    <w:rsid w:val="004D3AAA"/>
    <w:rsid w:val="004D3BF5"/>
    <w:rsid w:val="004D4CC2"/>
    <w:rsid w:val="004D55A6"/>
    <w:rsid w:val="004D5735"/>
    <w:rsid w:val="004D6017"/>
    <w:rsid w:val="004D6023"/>
    <w:rsid w:val="004D6A21"/>
    <w:rsid w:val="004D74D3"/>
    <w:rsid w:val="004E0DB4"/>
    <w:rsid w:val="004E1CF8"/>
    <w:rsid w:val="004E1FE7"/>
    <w:rsid w:val="004E47C6"/>
    <w:rsid w:val="004E6C20"/>
    <w:rsid w:val="004F0838"/>
    <w:rsid w:val="004F0A66"/>
    <w:rsid w:val="004F186D"/>
    <w:rsid w:val="004F1B04"/>
    <w:rsid w:val="004F1FF0"/>
    <w:rsid w:val="004F2A14"/>
    <w:rsid w:val="004F401A"/>
    <w:rsid w:val="004F782D"/>
    <w:rsid w:val="004F7A84"/>
    <w:rsid w:val="00500469"/>
    <w:rsid w:val="005014A3"/>
    <w:rsid w:val="0050176F"/>
    <w:rsid w:val="00501CAC"/>
    <w:rsid w:val="00501F8F"/>
    <w:rsid w:val="005027E8"/>
    <w:rsid w:val="00502C8B"/>
    <w:rsid w:val="0050333E"/>
    <w:rsid w:val="00503ED8"/>
    <w:rsid w:val="0050404E"/>
    <w:rsid w:val="0050584B"/>
    <w:rsid w:val="005061C6"/>
    <w:rsid w:val="00510380"/>
    <w:rsid w:val="00510505"/>
    <w:rsid w:val="005105DC"/>
    <w:rsid w:val="005109E8"/>
    <w:rsid w:val="00511358"/>
    <w:rsid w:val="005121BA"/>
    <w:rsid w:val="00512C6E"/>
    <w:rsid w:val="00517EF0"/>
    <w:rsid w:val="00517FC3"/>
    <w:rsid w:val="0052072C"/>
    <w:rsid w:val="00521783"/>
    <w:rsid w:val="00521E81"/>
    <w:rsid w:val="00523966"/>
    <w:rsid w:val="00523E13"/>
    <w:rsid w:val="005246BD"/>
    <w:rsid w:val="005263C7"/>
    <w:rsid w:val="00530246"/>
    <w:rsid w:val="0053082E"/>
    <w:rsid w:val="00530D42"/>
    <w:rsid w:val="0053186A"/>
    <w:rsid w:val="005328ED"/>
    <w:rsid w:val="00534B38"/>
    <w:rsid w:val="00535CF9"/>
    <w:rsid w:val="00535D43"/>
    <w:rsid w:val="005361F9"/>
    <w:rsid w:val="00536925"/>
    <w:rsid w:val="0054097E"/>
    <w:rsid w:val="00541215"/>
    <w:rsid w:val="0054168D"/>
    <w:rsid w:val="00542C69"/>
    <w:rsid w:val="00542E1C"/>
    <w:rsid w:val="00547186"/>
    <w:rsid w:val="00550458"/>
    <w:rsid w:val="00550C74"/>
    <w:rsid w:val="00550F24"/>
    <w:rsid w:val="00551973"/>
    <w:rsid w:val="00553652"/>
    <w:rsid w:val="005545F3"/>
    <w:rsid w:val="00554B22"/>
    <w:rsid w:val="00555A3B"/>
    <w:rsid w:val="00555B27"/>
    <w:rsid w:val="00555C4D"/>
    <w:rsid w:val="00555EA2"/>
    <w:rsid w:val="00556B8A"/>
    <w:rsid w:val="00557B18"/>
    <w:rsid w:val="00560029"/>
    <w:rsid w:val="0056256E"/>
    <w:rsid w:val="00563A45"/>
    <w:rsid w:val="005650E6"/>
    <w:rsid w:val="005679D7"/>
    <w:rsid w:val="00567A1B"/>
    <w:rsid w:val="0057085F"/>
    <w:rsid w:val="00573C61"/>
    <w:rsid w:val="005745D8"/>
    <w:rsid w:val="00574B5C"/>
    <w:rsid w:val="00574BC0"/>
    <w:rsid w:val="005753B2"/>
    <w:rsid w:val="00575DC2"/>
    <w:rsid w:val="005764D6"/>
    <w:rsid w:val="00581EF7"/>
    <w:rsid w:val="0058540B"/>
    <w:rsid w:val="00585841"/>
    <w:rsid w:val="00586A47"/>
    <w:rsid w:val="00586CEF"/>
    <w:rsid w:val="00590643"/>
    <w:rsid w:val="00591E9B"/>
    <w:rsid w:val="00592DA7"/>
    <w:rsid w:val="00594BC4"/>
    <w:rsid w:val="005950B1"/>
    <w:rsid w:val="00595784"/>
    <w:rsid w:val="00596181"/>
    <w:rsid w:val="00596344"/>
    <w:rsid w:val="00596BC3"/>
    <w:rsid w:val="00597E9C"/>
    <w:rsid w:val="005A004C"/>
    <w:rsid w:val="005A17B2"/>
    <w:rsid w:val="005A250D"/>
    <w:rsid w:val="005A3242"/>
    <w:rsid w:val="005A3CC9"/>
    <w:rsid w:val="005A3EC8"/>
    <w:rsid w:val="005A434D"/>
    <w:rsid w:val="005A4F79"/>
    <w:rsid w:val="005A51F7"/>
    <w:rsid w:val="005A5562"/>
    <w:rsid w:val="005A5790"/>
    <w:rsid w:val="005A5CFD"/>
    <w:rsid w:val="005A5F61"/>
    <w:rsid w:val="005A6A33"/>
    <w:rsid w:val="005A6A4F"/>
    <w:rsid w:val="005A6CC7"/>
    <w:rsid w:val="005A7015"/>
    <w:rsid w:val="005A77CD"/>
    <w:rsid w:val="005A789D"/>
    <w:rsid w:val="005B1B12"/>
    <w:rsid w:val="005B21AB"/>
    <w:rsid w:val="005B4BAD"/>
    <w:rsid w:val="005B5299"/>
    <w:rsid w:val="005B6BE2"/>
    <w:rsid w:val="005B6E41"/>
    <w:rsid w:val="005B73D0"/>
    <w:rsid w:val="005C0A7D"/>
    <w:rsid w:val="005C12E5"/>
    <w:rsid w:val="005C2344"/>
    <w:rsid w:val="005C4998"/>
    <w:rsid w:val="005C51C3"/>
    <w:rsid w:val="005C538C"/>
    <w:rsid w:val="005C6792"/>
    <w:rsid w:val="005D0AF1"/>
    <w:rsid w:val="005D2339"/>
    <w:rsid w:val="005D294F"/>
    <w:rsid w:val="005D350E"/>
    <w:rsid w:val="005D41E0"/>
    <w:rsid w:val="005D4E70"/>
    <w:rsid w:val="005D4F03"/>
    <w:rsid w:val="005D5727"/>
    <w:rsid w:val="005D6044"/>
    <w:rsid w:val="005D6511"/>
    <w:rsid w:val="005D6633"/>
    <w:rsid w:val="005E18E2"/>
    <w:rsid w:val="005E1C99"/>
    <w:rsid w:val="005E256E"/>
    <w:rsid w:val="005E2BBB"/>
    <w:rsid w:val="005E5036"/>
    <w:rsid w:val="005E54C0"/>
    <w:rsid w:val="005E68FE"/>
    <w:rsid w:val="005E7364"/>
    <w:rsid w:val="005F1909"/>
    <w:rsid w:val="005F22FF"/>
    <w:rsid w:val="005F5036"/>
    <w:rsid w:val="005F656D"/>
    <w:rsid w:val="005F7FB2"/>
    <w:rsid w:val="00601D2F"/>
    <w:rsid w:val="006039CF"/>
    <w:rsid w:val="00603E90"/>
    <w:rsid w:val="00604324"/>
    <w:rsid w:val="00604A05"/>
    <w:rsid w:val="00604A44"/>
    <w:rsid w:val="006058F7"/>
    <w:rsid w:val="00606CD6"/>
    <w:rsid w:val="00606CDC"/>
    <w:rsid w:val="00610818"/>
    <w:rsid w:val="0061156B"/>
    <w:rsid w:val="0061167E"/>
    <w:rsid w:val="0061245B"/>
    <w:rsid w:val="0061282C"/>
    <w:rsid w:val="00613563"/>
    <w:rsid w:val="00613EF7"/>
    <w:rsid w:val="00615C6E"/>
    <w:rsid w:val="006163CC"/>
    <w:rsid w:val="00616E37"/>
    <w:rsid w:val="006176D0"/>
    <w:rsid w:val="00620599"/>
    <w:rsid w:val="0062154A"/>
    <w:rsid w:val="006237E0"/>
    <w:rsid w:val="00624B1A"/>
    <w:rsid w:val="006255D7"/>
    <w:rsid w:val="00625FC2"/>
    <w:rsid w:val="00626260"/>
    <w:rsid w:val="006263B7"/>
    <w:rsid w:val="006267E2"/>
    <w:rsid w:val="00627701"/>
    <w:rsid w:val="00627A57"/>
    <w:rsid w:val="00627FAE"/>
    <w:rsid w:val="00630582"/>
    <w:rsid w:val="0063111C"/>
    <w:rsid w:val="00631DCA"/>
    <w:rsid w:val="00634B07"/>
    <w:rsid w:val="00635280"/>
    <w:rsid w:val="006354CE"/>
    <w:rsid w:val="0064020E"/>
    <w:rsid w:val="006411A6"/>
    <w:rsid w:val="006425BF"/>
    <w:rsid w:val="006427F2"/>
    <w:rsid w:val="00643F6E"/>
    <w:rsid w:val="0064410B"/>
    <w:rsid w:val="00644B82"/>
    <w:rsid w:val="00645A6E"/>
    <w:rsid w:val="006475B2"/>
    <w:rsid w:val="006479A9"/>
    <w:rsid w:val="00650DE2"/>
    <w:rsid w:val="00650EA3"/>
    <w:rsid w:val="00652F08"/>
    <w:rsid w:val="00655C45"/>
    <w:rsid w:val="0065648E"/>
    <w:rsid w:val="00657877"/>
    <w:rsid w:val="006638E7"/>
    <w:rsid w:val="006639E3"/>
    <w:rsid w:val="00663D15"/>
    <w:rsid w:val="00664239"/>
    <w:rsid w:val="006649E5"/>
    <w:rsid w:val="0066582E"/>
    <w:rsid w:val="00665993"/>
    <w:rsid w:val="00671080"/>
    <w:rsid w:val="006717DB"/>
    <w:rsid w:val="00671E01"/>
    <w:rsid w:val="00671E3E"/>
    <w:rsid w:val="00672385"/>
    <w:rsid w:val="00672635"/>
    <w:rsid w:val="00675541"/>
    <w:rsid w:val="006756E9"/>
    <w:rsid w:val="00676305"/>
    <w:rsid w:val="00676DA3"/>
    <w:rsid w:val="00677CD0"/>
    <w:rsid w:val="00680211"/>
    <w:rsid w:val="00681083"/>
    <w:rsid w:val="00681562"/>
    <w:rsid w:val="006816D2"/>
    <w:rsid w:val="00681EB2"/>
    <w:rsid w:val="0068298C"/>
    <w:rsid w:val="00683B11"/>
    <w:rsid w:val="006846B0"/>
    <w:rsid w:val="00686D43"/>
    <w:rsid w:val="00687233"/>
    <w:rsid w:val="006879D7"/>
    <w:rsid w:val="006904AA"/>
    <w:rsid w:val="00690FFE"/>
    <w:rsid w:val="0069282E"/>
    <w:rsid w:val="00692C59"/>
    <w:rsid w:val="0069327A"/>
    <w:rsid w:val="00693748"/>
    <w:rsid w:val="00693E2D"/>
    <w:rsid w:val="0069443E"/>
    <w:rsid w:val="0069506C"/>
    <w:rsid w:val="00695093"/>
    <w:rsid w:val="00695148"/>
    <w:rsid w:val="00695F73"/>
    <w:rsid w:val="00695F91"/>
    <w:rsid w:val="00696FBD"/>
    <w:rsid w:val="00697345"/>
    <w:rsid w:val="0069772E"/>
    <w:rsid w:val="006A1203"/>
    <w:rsid w:val="006A20E6"/>
    <w:rsid w:val="006A291E"/>
    <w:rsid w:val="006A341D"/>
    <w:rsid w:val="006A3716"/>
    <w:rsid w:val="006A3EC7"/>
    <w:rsid w:val="006A48E1"/>
    <w:rsid w:val="006A67B1"/>
    <w:rsid w:val="006A6CB0"/>
    <w:rsid w:val="006B18A2"/>
    <w:rsid w:val="006B246F"/>
    <w:rsid w:val="006B2710"/>
    <w:rsid w:val="006B3579"/>
    <w:rsid w:val="006B423E"/>
    <w:rsid w:val="006B45F1"/>
    <w:rsid w:val="006B485E"/>
    <w:rsid w:val="006B6986"/>
    <w:rsid w:val="006B71ED"/>
    <w:rsid w:val="006B78DA"/>
    <w:rsid w:val="006C0633"/>
    <w:rsid w:val="006C08C1"/>
    <w:rsid w:val="006C1270"/>
    <w:rsid w:val="006C33A1"/>
    <w:rsid w:val="006C452A"/>
    <w:rsid w:val="006C5A80"/>
    <w:rsid w:val="006C5CC6"/>
    <w:rsid w:val="006C67E4"/>
    <w:rsid w:val="006C78E9"/>
    <w:rsid w:val="006C7BE4"/>
    <w:rsid w:val="006C7F29"/>
    <w:rsid w:val="006D0B80"/>
    <w:rsid w:val="006D0BEB"/>
    <w:rsid w:val="006D1A6E"/>
    <w:rsid w:val="006D1FF0"/>
    <w:rsid w:val="006D2C37"/>
    <w:rsid w:val="006D2C43"/>
    <w:rsid w:val="006D2D03"/>
    <w:rsid w:val="006D3F48"/>
    <w:rsid w:val="006D4F47"/>
    <w:rsid w:val="006D75A5"/>
    <w:rsid w:val="006E010D"/>
    <w:rsid w:val="006E0B63"/>
    <w:rsid w:val="006E1730"/>
    <w:rsid w:val="006E3341"/>
    <w:rsid w:val="006E34EF"/>
    <w:rsid w:val="006E3D1E"/>
    <w:rsid w:val="006E3EBC"/>
    <w:rsid w:val="006E420B"/>
    <w:rsid w:val="006E66E0"/>
    <w:rsid w:val="006E69BB"/>
    <w:rsid w:val="006F0635"/>
    <w:rsid w:val="006F3037"/>
    <w:rsid w:val="006F3DDD"/>
    <w:rsid w:val="006F3EBE"/>
    <w:rsid w:val="006F42CB"/>
    <w:rsid w:val="006F4574"/>
    <w:rsid w:val="006F4F70"/>
    <w:rsid w:val="006F5015"/>
    <w:rsid w:val="006F5815"/>
    <w:rsid w:val="006F6998"/>
    <w:rsid w:val="006F6FE9"/>
    <w:rsid w:val="006F7E05"/>
    <w:rsid w:val="00700F17"/>
    <w:rsid w:val="00700FB7"/>
    <w:rsid w:val="00702A6B"/>
    <w:rsid w:val="00705D3E"/>
    <w:rsid w:val="007069F2"/>
    <w:rsid w:val="00710BC0"/>
    <w:rsid w:val="00713974"/>
    <w:rsid w:val="00715095"/>
    <w:rsid w:val="007151D7"/>
    <w:rsid w:val="00716B2D"/>
    <w:rsid w:val="00717093"/>
    <w:rsid w:val="007201D1"/>
    <w:rsid w:val="00720352"/>
    <w:rsid w:val="00721B31"/>
    <w:rsid w:val="007242ED"/>
    <w:rsid w:val="00724847"/>
    <w:rsid w:val="00725046"/>
    <w:rsid w:val="00725219"/>
    <w:rsid w:val="00725E13"/>
    <w:rsid w:val="00726F40"/>
    <w:rsid w:val="007273CC"/>
    <w:rsid w:val="00727578"/>
    <w:rsid w:val="007307AF"/>
    <w:rsid w:val="00731126"/>
    <w:rsid w:val="0073152D"/>
    <w:rsid w:val="00732D43"/>
    <w:rsid w:val="00733FCC"/>
    <w:rsid w:val="0073410A"/>
    <w:rsid w:val="0073581C"/>
    <w:rsid w:val="0073582C"/>
    <w:rsid w:val="00736649"/>
    <w:rsid w:val="007375ED"/>
    <w:rsid w:val="0073775F"/>
    <w:rsid w:val="00740CE9"/>
    <w:rsid w:val="00741EB9"/>
    <w:rsid w:val="00742740"/>
    <w:rsid w:val="007448DB"/>
    <w:rsid w:val="00745097"/>
    <w:rsid w:val="00745D47"/>
    <w:rsid w:val="00746177"/>
    <w:rsid w:val="0075083A"/>
    <w:rsid w:val="00751DAD"/>
    <w:rsid w:val="00752314"/>
    <w:rsid w:val="0075285A"/>
    <w:rsid w:val="0075388D"/>
    <w:rsid w:val="0075593B"/>
    <w:rsid w:val="00756612"/>
    <w:rsid w:val="00756A99"/>
    <w:rsid w:val="00757DC5"/>
    <w:rsid w:val="0076187C"/>
    <w:rsid w:val="00762339"/>
    <w:rsid w:val="0076370D"/>
    <w:rsid w:val="00763FAD"/>
    <w:rsid w:val="00765364"/>
    <w:rsid w:val="00765F00"/>
    <w:rsid w:val="00767ED0"/>
    <w:rsid w:val="00767FAE"/>
    <w:rsid w:val="007703FF"/>
    <w:rsid w:val="007716FF"/>
    <w:rsid w:val="007720EA"/>
    <w:rsid w:val="007722E7"/>
    <w:rsid w:val="00772D65"/>
    <w:rsid w:val="00772E14"/>
    <w:rsid w:val="0077420B"/>
    <w:rsid w:val="00775962"/>
    <w:rsid w:val="00776B92"/>
    <w:rsid w:val="00777305"/>
    <w:rsid w:val="00777892"/>
    <w:rsid w:val="00777B53"/>
    <w:rsid w:val="00780562"/>
    <w:rsid w:val="00781609"/>
    <w:rsid w:val="00783370"/>
    <w:rsid w:val="0078426E"/>
    <w:rsid w:val="007844B0"/>
    <w:rsid w:val="007848BA"/>
    <w:rsid w:val="00787B8A"/>
    <w:rsid w:val="00793B69"/>
    <w:rsid w:val="00794491"/>
    <w:rsid w:val="00795782"/>
    <w:rsid w:val="007A16DD"/>
    <w:rsid w:val="007A18D4"/>
    <w:rsid w:val="007A19DE"/>
    <w:rsid w:val="007A2028"/>
    <w:rsid w:val="007A261A"/>
    <w:rsid w:val="007A29B3"/>
    <w:rsid w:val="007A37BF"/>
    <w:rsid w:val="007A3A84"/>
    <w:rsid w:val="007A48A3"/>
    <w:rsid w:val="007A4F82"/>
    <w:rsid w:val="007A5774"/>
    <w:rsid w:val="007A5FBF"/>
    <w:rsid w:val="007A6B74"/>
    <w:rsid w:val="007A6D3E"/>
    <w:rsid w:val="007A7D7B"/>
    <w:rsid w:val="007B1941"/>
    <w:rsid w:val="007B1B9D"/>
    <w:rsid w:val="007B1E46"/>
    <w:rsid w:val="007B2F3D"/>
    <w:rsid w:val="007B3FF2"/>
    <w:rsid w:val="007B41DE"/>
    <w:rsid w:val="007B45F6"/>
    <w:rsid w:val="007B5538"/>
    <w:rsid w:val="007B5539"/>
    <w:rsid w:val="007B63CD"/>
    <w:rsid w:val="007B6912"/>
    <w:rsid w:val="007B71C8"/>
    <w:rsid w:val="007C0323"/>
    <w:rsid w:val="007C1475"/>
    <w:rsid w:val="007C29A9"/>
    <w:rsid w:val="007C2A04"/>
    <w:rsid w:val="007C3431"/>
    <w:rsid w:val="007C35A1"/>
    <w:rsid w:val="007C47C8"/>
    <w:rsid w:val="007C4E36"/>
    <w:rsid w:val="007C5142"/>
    <w:rsid w:val="007C6479"/>
    <w:rsid w:val="007D245B"/>
    <w:rsid w:val="007D3333"/>
    <w:rsid w:val="007D3DCB"/>
    <w:rsid w:val="007D4DB5"/>
    <w:rsid w:val="007E090D"/>
    <w:rsid w:val="007E0E06"/>
    <w:rsid w:val="007E3D80"/>
    <w:rsid w:val="007E4AD6"/>
    <w:rsid w:val="007E6C5D"/>
    <w:rsid w:val="007E72BA"/>
    <w:rsid w:val="007E7DB5"/>
    <w:rsid w:val="007F1E8D"/>
    <w:rsid w:val="007F4FE0"/>
    <w:rsid w:val="007F6B07"/>
    <w:rsid w:val="007F7B81"/>
    <w:rsid w:val="007F7BF0"/>
    <w:rsid w:val="00800432"/>
    <w:rsid w:val="008011B7"/>
    <w:rsid w:val="00803245"/>
    <w:rsid w:val="00803DBE"/>
    <w:rsid w:val="00804A2D"/>
    <w:rsid w:val="00805F5A"/>
    <w:rsid w:val="00806381"/>
    <w:rsid w:val="0080682E"/>
    <w:rsid w:val="00806E20"/>
    <w:rsid w:val="008073F8"/>
    <w:rsid w:val="00807A74"/>
    <w:rsid w:val="00807A92"/>
    <w:rsid w:val="00807AF7"/>
    <w:rsid w:val="00811DC6"/>
    <w:rsid w:val="00812183"/>
    <w:rsid w:val="00814693"/>
    <w:rsid w:val="00814E7C"/>
    <w:rsid w:val="00815134"/>
    <w:rsid w:val="00816BF2"/>
    <w:rsid w:val="00816E05"/>
    <w:rsid w:val="0081744C"/>
    <w:rsid w:val="00820025"/>
    <w:rsid w:val="0082119C"/>
    <w:rsid w:val="00823692"/>
    <w:rsid w:val="00823B73"/>
    <w:rsid w:val="0082456F"/>
    <w:rsid w:val="00825637"/>
    <w:rsid w:val="00825A71"/>
    <w:rsid w:val="00825B1C"/>
    <w:rsid w:val="008260E9"/>
    <w:rsid w:val="00826D57"/>
    <w:rsid w:val="0083085C"/>
    <w:rsid w:val="00833890"/>
    <w:rsid w:val="008340DF"/>
    <w:rsid w:val="008354FE"/>
    <w:rsid w:val="0083634E"/>
    <w:rsid w:val="00836882"/>
    <w:rsid w:val="00840220"/>
    <w:rsid w:val="0084024F"/>
    <w:rsid w:val="00840FC9"/>
    <w:rsid w:val="0084268A"/>
    <w:rsid w:val="00843072"/>
    <w:rsid w:val="008435CC"/>
    <w:rsid w:val="008445A8"/>
    <w:rsid w:val="008448D4"/>
    <w:rsid w:val="00844F74"/>
    <w:rsid w:val="00846DF8"/>
    <w:rsid w:val="00846F42"/>
    <w:rsid w:val="00847D4E"/>
    <w:rsid w:val="008528EC"/>
    <w:rsid w:val="0085389D"/>
    <w:rsid w:val="00855179"/>
    <w:rsid w:val="00861C15"/>
    <w:rsid w:val="00862C31"/>
    <w:rsid w:val="00864B2F"/>
    <w:rsid w:val="0086638A"/>
    <w:rsid w:val="008703AE"/>
    <w:rsid w:val="00871C79"/>
    <w:rsid w:val="008722CC"/>
    <w:rsid w:val="00872E7E"/>
    <w:rsid w:val="00873EAE"/>
    <w:rsid w:val="008747C1"/>
    <w:rsid w:val="00874D05"/>
    <w:rsid w:val="008761AD"/>
    <w:rsid w:val="008767BA"/>
    <w:rsid w:val="00877E12"/>
    <w:rsid w:val="0088106B"/>
    <w:rsid w:val="00881FB8"/>
    <w:rsid w:val="00884C5A"/>
    <w:rsid w:val="00886183"/>
    <w:rsid w:val="00887954"/>
    <w:rsid w:val="00891088"/>
    <w:rsid w:val="008927E9"/>
    <w:rsid w:val="00894DFF"/>
    <w:rsid w:val="008950AB"/>
    <w:rsid w:val="00896E70"/>
    <w:rsid w:val="008A0A3B"/>
    <w:rsid w:val="008A52D9"/>
    <w:rsid w:val="008A6303"/>
    <w:rsid w:val="008A6500"/>
    <w:rsid w:val="008A6A8A"/>
    <w:rsid w:val="008A73E1"/>
    <w:rsid w:val="008A744C"/>
    <w:rsid w:val="008B0945"/>
    <w:rsid w:val="008B44A5"/>
    <w:rsid w:val="008B636B"/>
    <w:rsid w:val="008B7794"/>
    <w:rsid w:val="008B7F9A"/>
    <w:rsid w:val="008C111F"/>
    <w:rsid w:val="008C1665"/>
    <w:rsid w:val="008C2E59"/>
    <w:rsid w:val="008C3821"/>
    <w:rsid w:val="008C421C"/>
    <w:rsid w:val="008C4A64"/>
    <w:rsid w:val="008C5A4F"/>
    <w:rsid w:val="008D0A50"/>
    <w:rsid w:val="008D1DF3"/>
    <w:rsid w:val="008D2714"/>
    <w:rsid w:val="008D28E6"/>
    <w:rsid w:val="008D3D2E"/>
    <w:rsid w:val="008D3F52"/>
    <w:rsid w:val="008D54AA"/>
    <w:rsid w:val="008D563D"/>
    <w:rsid w:val="008D5E4B"/>
    <w:rsid w:val="008D7B58"/>
    <w:rsid w:val="008E05E5"/>
    <w:rsid w:val="008E0645"/>
    <w:rsid w:val="008E1E1C"/>
    <w:rsid w:val="008E2901"/>
    <w:rsid w:val="008E4263"/>
    <w:rsid w:val="008E49B3"/>
    <w:rsid w:val="008E4C82"/>
    <w:rsid w:val="008E6712"/>
    <w:rsid w:val="008E6772"/>
    <w:rsid w:val="008E7397"/>
    <w:rsid w:val="008F0300"/>
    <w:rsid w:val="008F04B2"/>
    <w:rsid w:val="008F3860"/>
    <w:rsid w:val="008F3BD9"/>
    <w:rsid w:val="008F3EE8"/>
    <w:rsid w:val="008F470E"/>
    <w:rsid w:val="008F6372"/>
    <w:rsid w:val="008F6D73"/>
    <w:rsid w:val="008F6DFF"/>
    <w:rsid w:val="008F701C"/>
    <w:rsid w:val="008F7A89"/>
    <w:rsid w:val="00900850"/>
    <w:rsid w:val="00901C00"/>
    <w:rsid w:val="009045D4"/>
    <w:rsid w:val="009057D0"/>
    <w:rsid w:val="00907B5B"/>
    <w:rsid w:val="00907ED5"/>
    <w:rsid w:val="0091004C"/>
    <w:rsid w:val="0091044D"/>
    <w:rsid w:val="009104F9"/>
    <w:rsid w:val="00913035"/>
    <w:rsid w:val="009130F2"/>
    <w:rsid w:val="009141EA"/>
    <w:rsid w:val="00915BA7"/>
    <w:rsid w:val="00915EDE"/>
    <w:rsid w:val="0091669C"/>
    <w:rsid w:val="00917BF3"/>
    <w:rsid w:val="00920884"/>
    <w:rsid w:val="00920D99"/>
    <w:rsid w:val="00921152"/>
    <w:rsid w:val="009214EA"/>
    <w:rsid w:val="009216AC"/>
    <w:rsid w:val="00922CC7"/>
    <w:rsid w:val="00923199"/>
    <w:rsid w:val="00923907"/>
    <w:rsid w:val="00925036"/>
    <w:rsid w:val="009265A0"/>
    <w:rsid w:val="00926611"/>
    <w:rsid w:val="00927D4D"/>
    <w:rsid w:val="00931A9A"/>
    <w:rsid w:val="00931C2D"/>
    <w:rsid w:val="00931F77"/>
    <w:rsid w:val="00932496"/>
    <w:rsid w:val="00933E32"/>
    <w:rsid w:val="009344A3"/>
    <w:rsid w:val="00934575"/>
    <w:rsid w:val="009349E3"/>
    <w:rsid w:val="009352E8"/>
    <w:rsid w:val="009400BE"/>
    <w:rsid w:val="0094089A"/>
    <w:rsid w:val="00941C69"/>
    <w:rsid w:val="00942C40"/>
    <w:rsid w:val="00943059"/>
    <w:rsid w:val="00943089"/>
    <w:rsid w:val="0094321D"/>
    <w:rsid w:val="009435A8"/>
    <w:rsid w:val="00944132"/>
    <w:rsid w:val="0095285F"/>
    <w:rsid w:val="009539C3"/>
    <w:rsid w:val="00953E72"/>
    <w:rsid w:val="009547A1"/>
    <w:rsid w:val="00954ED1"/>
    <w:rsid w:val="009553FB"/>
    <w:rsid w:val="00955F0A"/>
    <w:rsid w:val="009605D1"/>
    <w:rsid w:val="00960B99"/>
    <w:rsid w:val="00961076"/>
    <w:rsid w:val="00963B7D"/>
    <w:rsid w:val="009655CA"/>
    <w:rsid w:val="00965C32"/>
    <w:rsid w:val="00966AA4"/>
    <w:rsid w:val="00966B56"/>
    <w:rsid w:val="0096727C"/>
    <w:rsid w:val="00967A2E"/>
    <w:rsid w:val="00967B05"/>
    <w:rsid w:val="00970C2D"/>
    <w:rsid w:val="00970D3F"/>
    <w:rsid w:val="0097138B"/>
    <w:rsid w:val="009717B9"/>
    <w:rsid w:val="0097205E"/>
    <w:rsid w:val="009731E4"/>
    <w:rsid w:val="009745C4"/>
    <w:rsid w:val="00974796"/>
    <w:rsid w:val="00975278"/>
    <w:rsid w:val="00976022"/>
    <w:rsid w:val="0098143F"/>
    <w:rsid w:val="0098226A"/>
    <w:rsid w:val="00982EFD"/>
    <w:rsid w:val="009833AB"/>
    <w:rsid w:val="0098343C"/>
    <w:rsid w:val="00983EAD"/>
    <w:rsid w:val="0098598C"/>
    <w:rsid w:val="009863D5"/>
    <w:rsid w:val="0099089B"/>
    <w:rsid w:val="009921C8"/>
    <w:rsid w:val="00992B66"/>
    <w:rsid w:val="00993B3D"/>
    <w:rsid w:val="00994CF2"/>
    <w:rsid w:val="00997A3D"/>
    <w:rsid w:val="00997A7F"/>
    <w:rsid w:val="009A003A"/>
    <w:rsid w:val="009A0610"/>
    <w:rsid w:val="009A1014"/>
    <w:rsid w:val="009A1D6C"/>
    <w:rsid w:val="009A1DD1"/>
    <w:rsid w:val="009A3262"/>
    <w:rsid w:val="009A41EC"/>
    <w:rsid w:val="009A449C"/>
    <w:rsid w:val="009A45EC"/>
    <w:rsid w:val="009A4DFE"/>
    <w:rsid w:val="009A6D39"/>
    <w:rsid w:val="009AC4DA"/>
    <w:rsid w:val="009B0B0A"/>
    <w:rsid w:val="009B0F18"/>
    <w:rsid w:val="009B246F"/>
    <w:rsid w:val="009B28E0"/>
    <w:rsid w:val="009B2B44"/>
    <w:rsid w:val="009B37AA"/>
    <w:rsid w:val="009B4208"/>
    <w:rsid w:val="009B487F"/>
    <w:rsid w:val="009B77E8"/>
    <w:rsid w:val="009C090A"/>
    <w:rsid w:val="009C1F48"/>
    <w:rsid w:val="009C219C"/>
    <w:rsid w:val="009C2412"/>
    <w:rsid w:val="009C43E5"/>
    <w:rsid w:val="009C51A5"/>
    <w:rsid w:val="009C7A20"/>
    <w:rsid w:val="009D1750"/>
    <w:rsid w:val="009D1CB3"/>
    <w:rsid w:val="009D2168"/>
    <w:rsid w:val="009D276D"/>
    <w:rsid w:val="009D3060"/>
    <w:rsid w:val="009D312D"/>
    <w:rsid w:val="009D3235"/>
    <w:rsid w:val="009D5266"/>
    <w:rsid w:val="009D5B15"/>
    <w:rsid w:val="009D5EEB"/>
    <w:rsid w:val="009D6487"/>
    <w:rsid w:val="009D74C4"/>
    <w:rsid w:val="009D7D3D"/>
    <w:rsid w:val="009E020F"/>
    <w:rsid w:val="009E1649"/>
    <w:rsid w:val="009E213F"/>
    <w:rsid w:val="009E2E93"/>
    <w:rsid w:val="009E384E"/>
    <w:rsid w:val="009E3FEE"/>
    <w:rsid w:val="009E5D47"/>
    <w:rsid w:val="009E62F8"/>
    <w:rsid w:val="009E654D"/>
    <w:rsid w:val="009E7B15"/>
    <w:rsid w:val="009E7B73"/>
    <w:rsid w:val="009E7BAA"/>
    <w:rsid w:val="009F079B"/>
    <w:rsid w:val="009F1423"/>
    <w:rsid w:val="009F167A"/>
    <w:rsid w:val="009F4396"/>
    <w:rsid w:val="009F5D9F"/>
    <w:rsid w:val="009F5FCB"/>
    <w:rsid w:val="009F6768"/>
    <w:rsid w:val="009F768C"/>
    <w:rsid w:val="009F7F8C"/>
    <w:rsid w:val="00A00301"/>
    <w:rsid w:val="00A018FC"/>
    <w:rsid w:val="00A01902"/>
    <w:rsid w:val="00A0226E"/>
    <w:rsid w:val="00A03499"/>
    <w:rsid w:val="00A04E67"/>
    <w:rsid w:val="00A066BB"/>
    <w:rsid w:val="00A0699D"/>
    <w:rsid w:val="00A10661"/>
    <w:rsid w:val="00A15209"/>
    <w:rsid w:val="00A17FFB"/>
    <w:rsid w:val="00A2161B"/>
    <w:rsid w:val="00A221AB"/>
    <w:rsid w:val="00A22FBC"/>
    <w:rsid w:val="00A23852"/>
    <w:rsid w:val="00A243F7"/>
    <w:rsid w:val="00A25479"/>
    <w:rsid w:val="00A256E7"/>
    <w:rsid w:val="00A30026"/>
    <w:rsid w:val="00A30352"/>
    <w:rsid w:val="00A305BD"/>
    <w:rsid w:val="00A32C21"/>
    <w:rsid w:val="00A33A46"/>
    <w:rsid w:val="00A340E2"/>
    <w:rsid w:val="00A347E0"/>
    <w:rsid w:val="00A34831"/>
    <w:rsid w:val="00A35797"/>
    <w:rsid w:val="00A35A6A"/>
    <w:rsid w:val="00A36CD7"/>
    <w:rsid w:val="00A37749"/>
    <w:rsid w:val="00A377B3"/>
    <w:rsid w:val="00A37D6D"/>
    <w:rsid w:val="00A4053C"/>
    <w:rsid w:val="00A40761"/>
    <w:rsid w:val="00A41EB4"/>
    <w:rsid w:val="00A421D7"/>
    <w:rsid w:val="00A42376"/>
    <w:rsid w:val="00A4305D"/>
    <w:rsid w:val="00A439FA"/>
    <w:rsid w:val="00A44101"/>
    <w:rsid w:val="00A46023"/>
    <w:rsid w:val="00A47698"/>
    <w:rsid w:val="00A47B60"/>
    <w:rsid w:val="00A518F1"/>
    <w:rsid w:val="00A51E74"/>
    <w:rsid w:val="00A5347B"/>
    <w:rsid w:val="00A53662"/>
    <w:rsid w:val="00A536B7"/>
    <w:rsid w:val="00A54966"/>
    <w:rsid w:val="00A5500F"/>
    <w:rsid w:val="00A57468"/>
    <w:rsid w:val="00A62550"/>
    <w:rsid w:val="00A64B3E"/>
    <w:rsid w:val="00A65869"/>
    <w:rsid w:val="00A65B51"/>
    <w:rsid w:val="00A6630A"/>
    <w:rsid w:val="00A70478"/>
    <w:rsid w:val="00A70D17"/>
    <w:rsid w:val="00A7106F"/>
    <w:rsid w:val="00A71503"/>
    <w:rsid w:val="00A71CE3"/>
    <w:rsid w:val="00A7302A"/>
    <w:rsid w:val="00A73F54"/>
    <w:rsid w:val="00A74232"/>
    <w:rsid w:val="00A7595E"/>
    <w:rsid w:val="00A75B7C"/>
    <w:rsid w:val="00A809D6"/>
    <w:rsid w:val="00A81D15"/>
    <w:rsid w:val="00A82CF7"/>
    <w:rsid w:val="00A851E1"/>
    <w:rsid w:val="00A853D4"/>
    <w:rsid w:val="00A85D38"/>
    <w:rsid w:val="00A86064"/>
    <w:rsid w:val="00A86ACA"/>
    <w:rsid w:val="00A8745E"/>
    <w:rsid w:val="00A87864"/>
    <w:rsid w:val="00A87997"/>
    <w:rsid w:val="00A91AFC"/>
    <w:rsid w:val="00A92120"/>
    <w:rsid w:val="00A938DE"/>
    <w:rsid w:val="00A93A5F"/>
    <w:rsid w:val="00A94033"/>
    <w:rsid w:val="00A943DE"/>
    <w:rsid w:val="00A9787D"/>
    <w:rsid w:val="00A97D24"/>
    <w:rsid w:val="00AA07B7"/>
    <w:rsid w:val="00AA1AC3"/>
    <w:rsid w:val="00AA1D9A"/>
    <w:rsid w:val="00AA2928"/>
    <w:rsid w:val="00AA329A"/>
    <w:rsid w:val="00AA3FF5"/>
    <w:rsid w:val="00AA6932"/>
    <w:rsid w:val="00AA6960"/>
    <w:rsid w:val="00AB07A4"/>
    <w:rsid w:val="00AB10BF"/>
    <w:rsid w:val="00AB3B77"/>
    <w:rsid w:val="00AB3BEA"/>
    <w:rsid w:val="00AB5596"/>
    <w:rsid w:val="00AB62D7"/>
    <w:rsid w:val="00AB6514"/>
    <w:rsid w:val="00AB6D8A"/>
    <w:rsid w:val="00AC085A"/>
    <w:rsid w:val="00AC0BF4"/>
    <w:rsid w:val="00AC2111"/>
    <w:rsid w:val="00AC3970"/>
    <w:rsid w:val="00AC610B"/>
    <w:rsid w:val="00AC63EE"/>
    <w:rsid w:val="00AC6410"/>
    <w:rsid w:val="00AC7215"/>
    <w:rsid w:val="00AD1579"/>
    <w:rsid w:val="00AD2163"/>
    <w:rsid w:val="00AD2AA7"/>
    <w:rsid w:val="00AD3E97"/>
    <w:rsid w:val="00AD4275"/>
    <w:rsid w:val="00AD7EF8"/>
    <w:rsid w:val="00AE1DCC"/>
    <w:rsid w:val="00AE1F48"/>
    <w:rsid w:val="00AE27C9"/>
    <w:rsid w:val="00AE6693"/>
    <w:rsid w:val="00AF0B99"/>
    <w:rsid w:val="00AF0E83"/>
    <w:rsid w:val="00AF0FB7"/>
    <w:rsid w:val="00AF44C4"/>
    <w:rsid w:val="00AF56AD"/>
    <w:rsid w:val="00B0182B"/>
    <w:rsid w:val="00B0254D"/>
    <w:rsid w:val="00B02BE2"/>
    <w:rsid w:val="00B03840"/>
    <w:rsid w:val="00B03CCE"/>
    <w:rsid w:val="00B05193"/>
    <w:rsid w:val="00B066FC"/>
    <w:rsid w:val="00B07199"/>
    <w:rsid w:val="00B07702"/>
    <w:rsid w:val="00B07FD8"/>
    <w:rsid w:val="00B106CB"/>
    <w:rsid w:val="00B122B8"/>
    <w:rsid w:val="00B12391"/>
    <w:rsid w:val="00B12893"/>
    <w:rsid w:val="00B12902"/>
    <w:rsid w:val="00B13418"/>
    <w:rsid w:val="00B15B36"/>
    <w:rsid w:val="00B17A89"/>
    <w:rsid w:val="00B200AF"/>
    <w:rsid w:val="00B21047"/>
    <w:rsid w:val="00B220E5"/>
    <w:rsid w:val="00B22E00"/>
    <w:rsid w:val="00B23AAF"/>
    <w:rsid w:val="00B240B4"/>
    <w:rsid w:val="00B261A8"/>
    <w:rsid w:val="00B26ADF"/>
    <w:rsid w:val="00B27D39"/>
    <w:rsid w:val="00B303C8"/>
    <w:rsid w:val="00B30513"/>
    <w:rsid w:val="00B30ED6"/>
    <w:rsid w:val="00B30F66"/>
    <w:rsid w:val="00B327F4"/>
    <w:rsid w:val="00B33682"/>
    <w:rsid w:val="00B347E5"/>
    <w:rsid w:val="00B35A05"/>
    <w:rsid w:val="00B36C08"/>
    <w:rsid w:val="00B36CD7"/>
    <w:rsid w:val="00B37B1A"/>
    <w:rsid w:val="00B40240"/>
    <w:rsid w:val="00B4143F"/>
    <w:rsid w:val="00B41A57"/>
    <w:rsid w:val="00B43E32"/>
    <w:rsid w:val="00B44119"/>
    <w:rsid w:val="00B4461E"/>
    <w:rsid w:val="00B44F6E"/>
    <w:rsid w:val="00B46DD5"/>
    <w:rsid w:val="00B528B4"/>
    <w:rsid w:val="00B53724"/>
    <w:rsid w:val="00B538B8"/>
    <w:rsid w:val="00B5444F"/>
    <w:rsid w:val="00B54BEB"/>
    <w:rsid w:val="00B55D10"/>
    <w:rsid w:val="00B560E2"/>
    <w:rsid w:val="00B56443"/>
    <w:rsid w:val="00B564F8"/>
    <w:rsid w:val="00B56DFF"/>
    <w:rsid w:val="00B572CF"/>
    <w:rsid w:val="00B577FE"/>
    <w:rsid w:val="00B579C9"/>
    <w:rsid w:val="00B62844"/>
    <w:rsid w:val="00B64623"/>
    <w:rsid w:val="00B64818"/>
    <w:rsid w:val="00B64E43"/>
    <w:rsid w:val="00B6564F"/>
    <w:rsid w:val="00B71050"/>
    <w:rsid w:val="00B71089"/>
    <w:rsid w:val="00B71224"/>
    <w:rsid w:val="00B7175E"/>
    <w:rsid w:val="00B71E16"/>
    <w:rsid w:val="00B71F5B"/>
    <w:rsid w:val="00B721EC"/>
    <w:rsid w:val="00B72C50"/>
    <w:rsid w:val="00B72DAA"/>
    <w:rsid w:val="00B72F01"/>
    <w:rsid w:val="00B73D39"/>
    <w:rsid w:val="00B74F1B"/>
    <w:rsid w:val="00B75BC4"/>
    <w:rsid w:val="00B763F2"/>
    <w:rsid w:val="00B76FB4"/>
    <w:rsid w:val="00B77F55"/>
    <w:rsid w:val="00B80413"/>
    <w:rsid w:val="00B808E0"/>
    <w:rsid w:val="00B80A63"/>
    <w:rsid w:val="00B81E7A"/>
    <w:rsid w:val="00B83BC6"/>
    <w:rsid w:val="00B855B4"/>
    <w:rsid w:val="00B85FDB"/>
    <w:rsid w:val="00B866EA"/>
    <w:rsid w:val="00B8706B"/>
    <w:rsid w:val="00B87DC2"/>
    <w:rsid w:val="00B90B86"/>
    <w:rsid w:val="00B913CD"/>
    <w:rsid w:val="00B916BB"/>
    <w:rsid w:val="00B92014"/>
    <w:rsid w:val="00B93DB3"/>
    <w:rsid w:val="00B9437F"/>
    <w:rsid w:val="00B94C12"/>
    <w:rsid w:val="00B95A0F"/>
    <w:rsid w:val="00BA18D8"/>
    <w:rsid w:val="00BA18EC"/>
    <w:rsid w:val="00BA2573"/>
    <w:rsid w:val="00BA2A04"/>
    <w:rsid w:val="00BA2EE4"/>
    <w:rsid w:val="00BA444E"/>
    <w:rsid w:val="00BA4DF4"/>
    <w:rsid w:val="00BA4EA8"/>
    <w:rsid w:val="00BA74C5"/>
    <w:rsid w:val="00BB2039"/>
    <w:rsid w:val="00BB2595"/>
    <w:rsid w:val="00BB4798"/>
    <w:rsid w:val="00BB741C"/>
    <w:rsid w:val="00BC3B55"/>
    <w:rsid w:val="00BC6903"/>
    <w:rsid w:val="00BC6C27"/>
    <w:rsid w:val="00BD0F60"/>
    <w:rsid w:val="00BD2277"/>
    <w:rsid w:val="00BD2700"/>
    <w:rsid w:val="00BD29C0"/>
    <w:rsid w:val="00BD4FFB"/>
    <w:rsid w:val="00BD576D"/>
    <w:rsid w:val="00BD5D5F"/>
    <w:rsid w:val="00BD65C1"/>
    <w:rsid w:val="00BD77E4"/>
    <w:rsid w:val="00BD7D6C"/>
    <w:rsid w:val="00BE0386"/>
    <w:rsid w:val="00BE14DD"/>
    <w:rsid w:val="00BE299C"/>
    <w:rsid w:val="00BE2A49"/>
    <w:rsid w:val="00BE2D5F"/>
    <w:rsid w:val="00BE3D28"/>
    <w:rsid w:val="00BE66DE"/>
    <w:rsid w:val="00BE7580"/>
    <w:rsid w:val="00BF190A"/>
    <w:rsid w:val="00BF254C"/>
    <w:rsid w:val="00BF25A3"/>
    <w:rsid w:val="00BF3F29"/>
    <w:rsid w:val="00BF509F"/>
    <w:rsid w:val="00BF612A"/>
    <w:rsid w:val="00C0024F"/>
    <w:rsid w:val="00C00254"/>
    <w:rsid w:val="00C0126E"/>
    <w:rsid w:val="00C037FE"/>
    <w:rsid w:val="00C04322"/>
    <w:rsid w:val="00C04FED"/>
    <w:rsid w:val="00C052F8"/>
    <w:rsid w:val="00C05BE8"/>
    <w:rsid w:val="00C06522"/>
    <w:rsid w:val="00C07698"/>
    <w:rsid w:val="00C108C7"/>
    <w:rsid w:val="00C10FE6"/>
    <w:rsid w:val="00C11823"/>
    <w:rsid w:val="00C15FE8"/>
    <w:rsid w:val="00C16A52"/>
    <w:rsid w:val="00C20410"/>
    <w:rsid w:val="00C215C1"/>
    <w:rsid w:val="00C229A9"/>
    <w:rsid w:val="00C23A00"/>
    <w:rsid w:val="00C24D3D"/>
    <w:rsid w:val="00C252C4"/>
    <w:rsid w:val="00C256C2"/>
    <w:rsid w:val="00C26FA2"/>
    <w:rsid w:val="00C274FF"/>
    <w:rsid w:val="00C27706"/>
    <w:rsid w:val="00C27B0F"/>
    <w:rsid w:val="00C27EAB"/>
    <w:rsid w:val="00C30079"/>
    <w:rsid w:val="00C30AB8"/>
    <w:rsid w:val="00C30AE0"/>
    <w:rsid w:val="00C314D4"/>
    <w:rsid w:val="00C31D42"/>
    <w:rsid w:val="00C322DC"/>
    <w:rsid w:val="00C34375"/>
    <w:rsid w:val="00C34BF4"/>
    <w:rsid w:val="00C350CB"/>
    <w:rsid w:val="00C37579"/>
    <w:rsid w:val="00C377DB"/>
    <w:rsid w:val="00C40B65"/>
    <w:rsid w:val="00C41CD8"/>
    <w:rsid w:val="00C41E36"/>
    <w:rsid w:val="00C4287A"/>
    <w:rsid w:val="00C44839"/>
    <w:rsid w:val="00C44FB5"/>
    <w:rsid w:val="00C455E8"/>
    <w:rsid w:val="00C45980"/>
    <w:rsid w:val="00C45C25"/>
    <w:rsid w:val="00C46592"/>
    <w:rsid w:val="00C472CF"/>
    <w:rsid w:val="00C47796"/>
    <w:rsid w:val="00C506C6"/>
    <w:rsid w:val="00C50FC6"/>
    <w:rsid w:val="00C51AD9"/>
    <w:rsid w:val="00C52B99"/>
    <w:rsid w:val="00C53844"/>
    <w:rsid w:val="00C55472"/>
    <w:rsid w:val="00C55DA7"/>
    <w:rsid w:val="00C55F60"/>
    <w:rsid w:val="00C56ABB"/>
    <w:rsid w:val="00C60D44"/>
    <w:rsid w:val="00C60F99"/>
    <w:rsid w:val="00C6119B"/>
    <w:rsid w:val="00C640AF"/>
    <w:rsid w:val="00C64CAD"/>
    <w:rsid w:val="00C661E5"/>
    <w:rsid w:val="00C7115D"/>
    <w:rsid w:val="00C727C2"/>
    <w:rsid w:val="00C72D9D"/>
    <w:rsid w:val="00C732CA"/>
    <w:rsid w:val="00C738FA"/>
    <w:rsid w:val="00C741E1"/>
    <w:rsid w:val="00C74748"/>
    <w:rsid w:val="00C74D9F"/>
    <w:rsid w:val="00C74DC7"/>
    <w:rsid w:val="00C756B2"/>
    <w:rsid w:val="00C762A5"/>
    <w:rsid w:val="00C7696B"/>
    <w:rsid w:val="00C774CF"/>
    <w:rsid w:val="00C77734"/>
    <w:rsid w:val="00C80175"/>
    <w:rsid w:val="00C82D31"/>
    <w:rsid w:val="00C834D9"/>
    <w:rsid w:val="00C83A72"/>
    <w:rsid w:val="00C85D60"/>
    <w:rsid w:val="00C873A9"/>
    <w:rsid w:val="00C8767F"/>
    <w:rsid w:val="00C87E19"/>
    <w:rsid w:val="00C90151"/>
    <w:rsid w:val="00C9059D"/>
    <w:rsid w:val="00C907E1"/>
    <w:rsid w:val="00C90D50"/>
    <w:rsid w:val="00C916DD"/>
    <w:rsid w:val="00C9429C"/>
    <w:rsid w:val="00C96332"/>
    <w:rsid w:val="00CA06AF"/>
    <w:rsid w:val="00CA2520"/>
    <w:rsid w:val="00CA3B7C"/>
    <w:rsid w:val="00CA4599"/>
    <w:rsid w:val="00CA4AC5"/>
    <w:rsid w:val="00CB148A"/>
    <w:rsid w:val="00CB1DE3"/>
    <w:rsid w:val="00CB34B0"/>
    <w:rsid w:val="00CB3B82"/>
    <w:rsid w:val="00CB40EA"/>
    <w:rsid w:val="00CB47A7"/>
    <w:rsid w:val="00CC0409"/>
    <w:rsid w:val="00CC08E4"/>
    <w:rsid w:val="00CC12B9"/>
    <w:rsid w:val="00CC12D3"/>
    <w:rsid w:val="00CC18D9"/>
    <w:rsid w:val="00CC254A"/>
    <w:rsid w:val="00CC27BD"/>
    <w:rsid w:val="00CC291A"/>
    <w:rsid w:val="00CC2D26"/>
    <w:rsid w:val="00CC3FA1"/>
    <w:rsid w:val="00CC4D65"/>
    <w:rsid w:val="00CC67F8"/>
    <w:rsid w:val="00CC6CD2"/>
    <w:rsid w:val="00CC7204"/>
    <w:rsid w:val="00CC7822"/>
    <w:rsid w:val="00CD056B"/>
    <w:rsid w:val="00CD14C8"/>
    <w:rsid w:val="00CD1C51"/>
    <w:rsid w:val="00CD1E5D"/>
    <w:rsid w:val="00CD1E8E"/>
    <w:rsid w:val="00CD1ED1"/>
    <w:rsid w:val="00CD25E4"/>
    <w:rsid w:val="00CD33E5"/>
    <w:rsid w:val="00CD3925"/>
    <w:rsid w:val="00CDFD22"/>
    <w:rsid w:val="00CE3772"/>
    <w:rsid w:val="00CE49A9"/>
    <w:rsid w:val="00CE58DC"/>
    <w:rsid w:val="00CE5A82"/>
    <w:rsid w:val="00CE5CD0"/>
    <w:rsid w:val="00CE6AAB"/>
    <w:rsid w:val="00CF0A2E"/>
    <w:rsid w:val="00CF3DFF"/>
    <w:rsid w:val="00CF69A8"/>
    <w:rsid w:val="00D00CA3"/>
    <w:rsid w:val="00D01B6B"/>
    <w:rsid w:val="00D02B75"/>
    <w:rsid w:val="00D03F4C"/>
    <w:rsid w:val="00D059C6"/>
    <w:rsid w:val="00D064CA"/>
    <w:rsid w:val="00D06584"/>
    <w:rsid w:val="00D067A6"/>
    <w:rsid w:val="00D07D42"/>
    <w:rsid w:val="00D1056D"/>
    <w:rsid w:val="00D12470"/>
    <w:rsid w:val="00D12AAD"/>
    <w:rsid w:val="00D12ACE"/>
    <w:rsid w:val="00D14508"/>
    <w:rsid w:val="00D14CBD"/>
    <w:rsid w:val="00D153D1"/>
    <w:rsid w:val="00D1614D"/>
    <w:rsid w:val="00D166B6"/>
    <w:rsid w:val="00D20AF9"/>
    <w:rsid w:val="00D2151A"/>
    <w:rsid w:val="00D21612"/>
    <w:rsid w:val="00D2230D"/>
    <w:rsid w:val="00D239AD"/>
    <w:rsid w:val="00D25F56"/>
    <w:rsid w:val="00D276F5"/>
    <w:rsid w:val="00D3063D"/>
    <w:rsid w:val="00D307B1"/>
    <w:rsid w:val="00D335FD"/>
    <w:rsid w:val="00D343AB"/>
    <w:rsid w:val="00D35088"/>
    <w:rsid w:val="00D35CAB"/>
    <w:rsid w:val="00D412E3"/>
    <w:rsid w:val="00D418C2"/>
    <w:rsid w:val="00D42108"/>
    <w:rsid w:val="00D42610"/>
    <w:rsid w:val="00D42E94"/>
    <w:rsid w:val="00D434CE"/>
    <w:rsid w:val="00D436BA"/>
    <w:rsid w:val="00D43AF2"/>
    <w:rsid w:val="00D460E4"/>
    <w:rsid w:val="00D46B41"/>
    <w:rsid w:val="00D47CF0"/>
    <w:rsid w:val="00D51007"/>
    <w:rsid w:val="00D52426"/>
    <w:rsid w:val="00D53F18"/>
    <w:rsid w:val="00D553A7"/>
    <w:rsid w:val="00D55F4D"/>
    <w:rsid w:val="00D564FC"/>
    <w:rsid w:val="00D60143"/>
    <w:rsid w:val="00D60832"/>
    <w:rsid w:val="00D6094C"/>
    <w:rsid w:val="00D6225F"/>
    <w:rsid w:val="00D63739"/>
    <w:rsid w:val="00D65267"/>
    <w:rsid w:val="00D65C5A"/>
    <w:rsid w:val="00D667E2"/>
    <w:rsid w:val="00D6697A"/>
    <w:rsid w:val="00D703ED"/>
    <w:rsid w:val="00D72130"/>
    <w:rsid w:val="00D72F89"/>
    <w:rsid w:val="00D734A7"/>
    <w:rsid w:val="00D7466D"/>
    <w:rsid w:val="00D74F35"/>
    <w:rsid w:val="00D76E9E"/>
    <w:rsid w:val="00D779C7"/>
    <w:rsid w:val="00D814D0"/>
    <w:rsid w:val="00D81572"/>
    <w:rsid w:val="00D8215C"/>
    <w:rsid w:val="00D83AA5"/>
    <w:rsid w:val="00D841F4"/>
    <w:rsid w:val="00D84FD9"/>
    <w:rsid w:val="00D855E9"/>
    <w:rsid w:val="00D85C3E"/>
    <w:rsid w:val="00D85FDD"/>
    <w:rsid w:val="00D90425"/>
    <w:rsid w:val="00D904F1"/>
    <w:rsid w:val="00D90E51"/>
    <w:rsid w:val="00D9198F"/>
    <w:rsid w:val="00D91CC8"/>
    <w:rsid w:val="00D94165"/>
    <w:rsid w:val="00D95970"/>
    <w:rsid w:val="00D96867"/>
    <w:rsid w:val="00DA0913"/>
    <w:rsid w:val="00DA375B"/>
    <w:rsid w:val="00DA38F3"/>
    <w:rsid w:val="00DA47D5"/>
    <w:rsid w:val="00DA4AE6"/>
    <w:rsid w:val="00DA4D6B"/>
    <w:rsid w:val="00DA64FC"/>
    <w:rsid w:val="00DA66CA"/>
    <w:rsid w:val="00DA737F"/>
    <w:rsid w:val="00DB0E28"/>
    <w:rsid w:val="00DB0FE0"/>
    <w:rsid w:val="00DB3878"/>
    <w:rsid w:val="00DB5D83"/>
    <w:rsid w:val="00DB5F2C"/>
    <w:rsid w:val="00DB66FB"/>
    <w:rsid w:val="00DB75ED"/>
    <w:rsid w:val="00DC0D66"/>
    <w:rsid w:val="00DC117C"/>
    <w:rsid w:val="00DC124D"/>
    <w:rsid w:val="00DC1C2B"/>
    <w:rsid w:val="00DC20B3"/>
    <w:rsid w:val="00DC2FE2"/>
    <w:rsid w:val="00DC35E6"/>
    <w:rsid w:val="00DC3F2F"/>
    <w:rsid w:val="00DC5A8D"/>
    <w:rsid w:val="00DC6560"/>
    <w:rsid w:val="00DD08F2"/>
    <w:rsid w:val="00DD096E"/>
    <w:rsid w:val="00DD167A"/>
    <w:rsid w:val="00DD1AA8"/>
    <w:rsid w:val="00DD254B"/>
    <w:rsid w:val="00DD2731"/>
    <w:rsid w:val="00DD28DF"/>
    <w:rsid w:val="00DD38E8"/>
    <w:rsid w:val="00DD52A8"/>
    <w:rsid w:val="00DD53D7"/>
    <w:rsid w:val="00DD58C3"/>
    <w:rsid w:val="00DD5BDE"/>
    <w:rsid w:val="00DD5ECA"/>
    <w:rsid w:val="00DE1701"/>
    <w:rsid w:val="00DE3EDB"/>
    <w:rsid w:val="00DE3FE2"/>
    <w:rsid w:val="00DE43A3"/>
    <w:rsid w:val="00DE5575"/>
    <w:rsid w:val="00DE725C"/>
    <w:rsid w:val="00DE7956"/>
    <w:rsid w:val="00DE7C31"/>
    <w:rsid w:val="00DF2816"/>
    <w:rsid w:val="00DF30AF"/>
    <w:rsid w:val="00DF317C"/>
    <w:rsid w:val="00DF4092"/>
    <w:rsid w:val="00DF4243"/>
    <w:rsid w:val="00DF4B59"/>
    <w:rsid w:val="00DF533F"/>
    <w:rsid w:val="00DF5604"/>
    <w:rsid w:val="00E016CD"/>
    <w:rsid w:val="00E01DFC"/>
    <w:rsid w:val="00E0272F"/>
    <w:rsid w:val="00E02A3E"/>
    <w:rsid w:val="00E03439"/>
    <w:rsid w:val="00E0347B"/>
    <w:rsid w:val="00E03C30"/>
    <w:rsid w:val="00E040C3"/>
    <w:rsid w:val="00E0432E"/>
    <w:rsid w:val="00E04496"/>
    <w:rsid w:val="00E044C2"/>
    <w:rsid w:val="00E05424"/>
    <w:rsid w:val="00E10DDA"/>
    <w:rsid w:val="00E11662"/>
    <w:rsid w:val="00E11DE7"/>
    <w:rsid w:val="00E13147"/>
    <w:rsid w:val="00E135DC"/>
    <w:rsid w:val="00E14AEE"/>
    <w:rsid w:val="00E15BFE"/>
    <w:rsid w:val="00E164F2"/>
    <w:rsid w:val="00E20744"/>
    <w:rsid w:val="00E2083B"/>
    <w:rsid w:val="00E210D1"/>
    <w:rsid w:val="00E22AD2"/>
    <w:rsid w:val="00E236CA"/>
    <w:rsid w:val="00E26924"/>
    <w:rsid w:val="00E278D8"/>
    <w:rsid w:val="00E27AF6"/>
    <w:rsid w:val="00E30132"/>
    <w:rsid w:val="00E30E1B"/>
    <w:rsid w:val="00E311F9"/>
    <w:rsid w:val="00E33B9D"/>
    <w:rsid w:val="00E33FE9"/>
    <w:rsid w:val="00E35333"/>
    <w:rsid w:val="00E35C5E"/>
    <w:rsid w:val="00E37FA7"/>
    <w:rsid w:val="00E40720"/>
    <w:rsid w:val="00E42140"/>
    <w:rsid w:val="00E429C0"/>
    <w:rsid w:val="00E4390F"/>
    <w:rsid w:val="00E4431E"/>
    <w:rsid w:val="00E44835"/>
    <w:rsid w:val="00E460AE"/>
    <w:rsid w:val="00E46D45"/>
    <w:rsid w:val="00E46E9F"/>
    <w:rsid w:val="00E46F22"/>
    <w:rsid w:val="00E5024B"/>
    <w:rsid w:val="00E51531"/>
    <w:rsid w:val="00E5175A"/>
    <w:rsid w:val="00E51D1A"/>
    <w:rsid w:val="00E51D83"/>
    <w:rsid w:val="00E52F21"/>
    <w:rsid w:val="00E53A36"/>
    <w:rsid w:val="00E552B8"/>
    <w:rsid w:val="00E556F0"/>
    <w:rsid w:val="00E56225"/>
    <w:rsid w:val="00E57EF3"/>
    <w:rsid w:val="00E61295"/>
    <w:rsid w:val="00E6181D"/>
    <w:rsid w:val="00E63287"/>
    <w:rsid w:val="00E6389C"/>
    <w:rsid w:val="00E643D0"/>
    <w:rsid w:val="00E6488B"/>
    <w:rsid w:val="00E660C6"/>
    <w:rsid w:val="00E66877"/>
    <w:rsid w:val="00E72599"/>
    <w:rsid w:val="00E7344F"/>
    <w:rsid w:val="00E73CFF"/>
    <w:rsid w:val="00E749F0"/>
    <w:rsid w:val="00E76391"/>
    <w:rsid w:val="00E76A5C"/>
    <w:rsid w:val="00E77389"/>
    <w:rsid w:val="00E77397"/>
    <w:rsid w:val="00E7752D"/>
    <w:rsid w:val="00E77F33"/>
    <w:rsid w:val="00E80BDF"/>
    <w:rsid w:val="00E80EF8"/>
    <w:rsid w:val="00E81465"/>
    <w:rsid w:val="00E826CE"/>
    <w:rsid w:val="00E82FF6"/>
    <w:rsid w:val="00E83B8B"/>
    <w:rsid w:val="00E86F1D"/>
    <w:rsid w:val="00E87045"/>
    <w:rsid w:val="00E90223"/>
    <w:rsid w:val="00E912FA"/>
    <w:rsid w:val="00E92219"/>
    <w:rsid w:val="00E92A83"/>
    <w:rsid w:val="00E93AAF"/>
    <w:rsid w:val="00E965AB"/>
    <w:rsid w:val="00E970BC"/>
    <w:rsid w:val="00EA043E"/>
    <w:rsid w:val="00EA0653"/>
    <w:rsid w:val="00EA27CD"/>
    <w:rsid w:val="00EA605B"/>
    <w:rsid w:val="00EA6CF3"/>
    <w:rsid w:val="00EA6D9C"/>
    <w:rsid w:val="00EA7DC0"/>
    <w:rsid w:val="00EB0505"/>
    <w:rsid w:val="00EB07C1"/>
    <w:rsid w:val="00EB14F0"/>
    <w:rsid w:val="00EB251C"/>
    <w:rsid w:val="00EB2AA4"/>
    <w:rsid w:val="00EB30AE"/>
    <w:rsid w:val="00EB40DE"/>
    <w:rsid w:val="00EB4235"/>
    <w:rsid w:val="00EB62E8"/>
    <w:rsid w:val="00EB68C1"/>
    <w:rsid w:val="00EB70AF"/>
    <w:rsid w:val="00EB7F08"/>
    <w:rsid w:val="00EC0032"/>
    <w:rsid w:val="00EC0F2B"/>
    <w:rsid w:val="00EC1F10"/>
    <w:rsid w:val="00EC2E68"/>
    <w:rsid w:val="00EC3281"/>
    <w:rsid w:val="00EC3888"/>
    <w:rsid w:val="00EC3D8B"/>
    <w:rsid w:val="00EC4742"/>
    <w:rsid w:val="00EC4BD2"/>
    <w:rsid w:val="00EC4ED6"/>
    <w:rsid w:val="00EC4FF6"/>
    <w:rsid w:val="00EC535C"/>
    <w:rsid w:val="00EC699C"/>
    <w:rsid w:val="00ED32C5"/>
    <w:rsid w:val="00ED46E8"/>
    <w:rsid w:val="00ED5B5F"/>
    <w:rsid w:val="00ED6804"/>
    <w:rsid w:val="00ED7654"/>
    <w:rsid w:val="00ED7B7B"/>
    <w:rsid w:val="00ED7CA1"/>
    <w:rsid w:val="00EE0482"/>
    <w:rsid w:val="00EE05AE"/>
    <w:rsid w:val="00EE0CC0"/>
    <w:rsid w:val="00EE1920"/>
    <w:rsid w:val="00EE3627"/>
    <w:rsid w:val="00EE4024"/>
    <w:rsid w:val="00EE44F4"/>
    <w:rsid w:val="00EE4722"/>
    <w:rsid w:val="00EE51F0"/>
    <w:rsid w:val="00EE6163"/>
    <w:rsid w:val="00EE63D8"/>
    <w:rsid w:val="00EE74D9"/>
    <w:rsid w:val="00EE7DAE"/>
    <w:rsid w:val="00EE7E22"/>
    <w:rsid w:val="00EF0123"/>
    <w:rsid w:val="00EF03CD"/>
    <w:rsid w:val="00EF096A"/>
    <w:rsid w:val="00EF0D40"/>
    <w:rsid w:val="00EF0F46"/>
    <w:rsid w:val="00EF1876"/>
    <w:rsid w:val="00EF26CC"/>
    <w:rsid w:val="00EF489A"/>
    <w:rsid w:val="00EF49CF"/>
    <w:rsid w:val="00EF4B78"/>
    <w:rsid w:val="00EF5C40"/>
    <w:rsid w:val="00EF73DF"/>
    <w:rsid w:val="00EF76AB"/>
    <w:rsid w:val="00F009DD"/>
    <w:rsid w:val="00F00FD4"/>
    <w:rsid w:val="00F01A2D"/>
    <w:rsid w:val="00F03515"/>
    <w:rsid w:val="00F0407B"/>
    <w:rsid w:val="00F04130"/>
    <w:rsid w:val="00F04318"/>
    <w:rsid w:val="00F04FD1"/>
    <w:rsid w:val="00F102A2"/>
    <w:rsid w:val="00F1307F"/>
    <w:rsid w:val="00F1371E"/>
    <w:rsid w:val="00F15A2B"/>
    <w:rsid w:val="00F16238"/>
    <w:rsid w:val="00F16855"/>
    <w:rsid w:val="00F17BA1"/>
    <w:rsid w:val="00F204A6"/>
    <w:rsid w:val="00F21F09"/>
    <w:rsid w:val="00F23560"/>
    <w:rsid w:val="00F2502C"/>
    <w:rsid w:val="00F2633E"/>
    <w:rsid w:val="00F26821"/>
    <w:rsid w:val="00F270CE"/>
    <w:rsid w:val="00F27979"/>
    <w:rsid w:val="00F27B91"/>
    <w:rsid w:val="00F31CCB"/>
    <w:rsid w:val="00F32AD2"/>
    <w:rsid w:val="00F32F8D"/>
    <w:rsid w:val="00F33B13"/>
    <w:rsid w:val="00F33F45"/>
    <w:rsid w:val="00F348B4"/>
    <w:rsid w:val="00F35455"/>
    <w:rsid w:val="00F37A0C"/>
    <w:rsid w:val="00F41EA9"/>
    <w:rsid w:val="00F42516"/>
    <w:rsid w:val="00F431C7"/>
    <w:rsid w:val="00F43C50"/>
    <w:rsid w:val="00F44498"/>
    <w:rsid w:val="00F45054"/>
    <w:rsid w:val="00F4519B"/>
    <w:rsid w:val="00F462CF"/>
    <w:rsid w:val="00F508FE"/>
    <w:rsid w:val="00F51F01"/>
    <w:rsid w:val="00F53A27"/>
    <w:rsid w:val="00F53E1D"/>
    <w:rsid w:val="00F54298"/>
    <w:rsid w:val="00F5538F"/>
    <w:rsid w:val="00F5553E"/>
    <w:rsid w:val="00F56502"/>
    <w:rsid w:val="00F5681C"/>
    <w:rsid w:val="00F57541"/>
    <w:rsid w:val="00F60494"/>
    <w:rsid w:val="00F612D0"/>
    <w:rsid w:val="00F61417"/>
    <w:rsid w:val="00F61D8E"/>
    <w:rsid w:val="00F62C50"/>
    <w:rsid w:val="00F6321F"/>
    <w:rsid w:val="00F6356B"/>
    <w:rsid w:val="00F638C3"/>
    <w:rsid w:val="00F645D7"/>
    <w:rsid w:val="00F65A57"/>
    <w:rsid w:val="00F65E92"/>
    <w:rsid w:val="00F66408"/>
    <w:rsid w:val="00F66973"/>
    <w:rsid w:val="00F67A6B"/>
    <w:rsid w:val="00F7327A"/>
    <w:rsid w:val="00F73AC2"/>
    <w:rsid w:val="00F751E0"/>
    <w:rsid w:val="00F76195"/>
    <w:rsid w:val="00F76549"/>
    <w:rsid w:val="00F770AE"/>
    <w:rsid w:val="00F82E67"/>
    <w:rsid w:val="00F830B5"/>
    <w:rsid w:val="00F840B4"/>
    <w:rsid w:val="00F84FAD"/>
    <w:rsid w:val="00F8613D"/>
    <w:rsid w:val="00F8694D"/>
    <w:rsid w:val="00F86DB4"/>
    <w:rsid w:val="00F90E1D"/>
    <w:rsid w:val="00F91260"/>
    <w:rsid w:val="00F91F3D"/>
    <w:rsid w:val="00F94096"/>
    <w:rsid w:val="00F95069"/>
    <w:rsid w:val="00F958DE"/>
    <w:rsid w:val="00F969B6"/>
    <w:rsid w:val="00F97192"/>
    <w:rsid w:val="00F974FF"/>
    <w:rsid w:val="00F9798A"/>
    <w:rsid w:val="00F97ACA"/>
    <w:rsid w:val="00FA1AE1"/>
    <w:rsid w:val="00FA1D94"/>
    <w:rsid w:val="00FA3802"/>
    <w:rsid w:val="00FA3CF7"/>
    <w:rsid w:val="00FA44B2"/>
    <w:rsid w:val="00FA56E9"/>
    <w:rsid w:val="00FA5B5B"/>
    <w:rsid w:val="00FA6DBE"/>
    <w:rsid w:val="00FB0C2A"/>
    <w:rsid w:val="00FB127B"/>
    <w:rsid w:val="00FB19B0"/>
    <w:rsid w:val="00FB3FBD"/>
    <w:rsid w:val="00FB42E8"/>
    <w:rsid w:val="00FB4739"/>
    <w:rsid w:val="00FB4FF0"/>
    <w:rsid w:val="00FB559A"/>
    <w:rsid w:val="00FB581F"/>
    <w:rsid w:val="00FB5851"/>
    <w:rsid w:val="00FB585F"/>
    <w:rsid w:val="00FB6B69"/>
    <w:rsid w:val="00FB6E5C"/>
    <w:rsid w:val="00FB6EAE"/>
    <w:rsid w:val="00FB7CD7"/>
    <w:rsid w:val="00FC00D7"/>
    <w:rsid w:val="00FC158C"/>
    <w:rsid w:val="00FC3A3E"/>
    <w:rsid w:val="00FC3AED"/>
    <w:rsid w:val="00FC3F57"/>
    <w:rsid w:val="00FC45F4"/>
    <w:rsid w:val="00FC63FC"/>
    <w:rsid w:val="00FC692F"/>
    <w:rsid w:val="00FC7D8F"/>
    <w:rsid w:val="00FD1C53"/>
    <w:rsid w:val="00FD38A7"/>
    <w:rsid w:val="00FD3B8D"/>
    <w:rsid w:val="00FD4BBE"/>
    <w:rsid w:val="00FD5C0A"/>
    <w:rsid w:val="00FD5FD6"/>
    <w:rsid w:val="00FD6AE3"/>
    <w:rsid w:val="00FD7496"/>
    <w:rsid w:val="00FE0B12"/>
    <w:rsid w:val="00FE2766"/>
    <w:rsid w:val="00FE416C"/>
    <w:rsid w:val="00FE5109"/>
    <w:rsid w:val="00FE64C9"/>
    <w:rsid w:val="00FE74D7"/>
    <w:rsid w:val="00FF1254"/>
    <w:rsid w:val="00FF5500"/>
    <w:rsid w:val="00FF6D21"/>
    <w:rsid w:val="00FF7468"/>
    <w:rsid w:val="00FF761C"/>
    <w:rsid w:val="011FDB98"/>
    <w:rsid w:val="012AF672"/>
    <w:rsid w:val="0186E233"/>
    <w:rsid w:val="019D35C8"/>
    <w:rsid w:val="01C41589"/>
    <w:rsid w:val="02034B69"/>
    <w:rsid w:val="0207DF94"/>
    <w:rsid w:val="02A20CAD"/>
    <w:rsid w:val="02A54294"/>
    <w:rsid w:val="02A73ACB"/>
    <w:rsid w:val="02BBEFBD"/>
    <w:rsid w:val="02CBFC12"/>
    <w:rsid w:val="02CFD4E8"/>
    <w:rsid w:val="034666BA"/>
    <w:rsid w:val="040F7549"/>
    <w:rsid w:val="04151AF1"/>
    <w:rsid w:val="04735313"/>
    <w:rsid w:val="04B79FA7"/>
    <w:rsid w:val="04C8BFB1"/>
    <w:rsid w:val="05749789"/>
    <w:rsid w:val="05A6040A"/>
    <w:rsid w:val="05B38D6C"/>
    <w:rsid w:val="05BC1D35"/>
    <w:rsid w:val="05EFCE7C"/>
    <w:rsid w:val="066FB948"/>
    <w:rsid w:val="06768106"/>
    <w:rsid w:val="067FF4B4"/>
    <w:rsid w:val="06AD649B"/>
    <w:rsid w:val="06CBA9CD"/>
    <w:rsid w:val="06D62AF7"/>
    <w:rsid w:val="07623653"/>
    <w:rsid w:val="0765C3EA"/>
    <w:rsid w:val="076A1BF2"/>
    <w:rsid w:val="076A79BA"/>
    <w:rsid w:val="078DDD68"/>
    <w:rsid w:val="07C20B8B"/>
    <w:rsid w:val="07D1C4DC"/>
    <w:rsid w:val="07DC879C"/>
    <w:rsid w:val="0846BEC9"/>
    <w:rsid w:val="08C5DB22"/>
    <w:rsid w:val="08D1A6B5"/>
    <w:rsid w:val="09F49841"/>
    <w:rsid w:val="0A174494"/>
    <w:rsid w:val="0A32F2CE"/>
    <w:rsid w:val="0A45B787"/>
    <w:rsid w:val="0A659C27"/>
    <w:rsid w:val="0A907520"/>
    <w:rsid w:val="0AAA28B7"/>
    <w:rsid w:val="0ABE8561"/>
    <w:rsid w:val="0AF95104"/>
    <w:rsid w:val="0B7636C3"/>
    <w:rsid w:val="0B802F86"/>
    <w:rsid w:val="0CAB88D3"/>
    <w:rsid w:val="0D299843"/>
    <w:rsid w:val="0D6FEB6A"/>
    <w:rsid w:val="0D73D407"/>
    <w:rsid w:val="0E2551D7"/>
    <w:rsid w:val="0E420CFD"/>
    <w:rsid w:val="0E66FC74"/>
    <w:rsid w:val="0ED79297"/>
    <w:rsid w:val="0EDAD3E6"/>
    <w:rsid w:val="0EF296C7"/>
    <w:rsid w:val="0F92996F"/>
    <w:rsid w:val="0F9717CF"/>
    <w:rsid w:val="0FBE0085"/>
    <w:rsid w:val="0FE151B4"/>
    <w:rsid w:val="100E3560"/>
    <w:rsid w:val="1053DF19"/>
    <w:rsid w:val="1057FBC3"/>
    <w:rsid w:val="108CB4BF"/>
    <w:rsid w:val="10C50A79"/>
    <w:rsid w:val="11934A35"/>
    <w:rsid w:val="1209F491"/>
    <w:rsid w:val="13431DB2"/>
    <w:rsid w:val="13765611"/>
    <w:rsid w:val="14ED43A2"/>
    <w:rsid w:val="14EE7067"/>
    <w:rsid w:val="1537B7AA"/>
    <w:rsid w:val="1556A4B1"/>
    <w:rsid w:val="157B73A2"/>
    <w:rsid w:val="159C8A52"/>
    <w:rsid w:val="15CEFE89"/>
    <w:rsid w:val="160B6EE2"/>
    <w:rsid w:val="16405D51"/>
    <w:rsid w:val="165FF1A2"/>
    <w:rsid w:val="16B9298A"/>
    <w:rsid w:val="16F90FE0"/>
    <w:rsid w:val="16FA7834"/>
    <w:rsid w:val="170D3310"/>
    <w:rsid w:val="176804EE"/>
    <w:rsid w:val="1790B331"/>
    <w:rsid w:val="179F73AD"/>
    <w:rsid w:val="185AF1A6"/>
    <w:rsid w:val="187481D7"/>
    <w:rsid w:val="1896C09C"/>
    <w:rsid w:val="1899A81B"/>
    <w:rsid w:val="189D1198"/>
    <w:rsid w:val="18B4B48F"/>
    <w:rsid w:val="18B60E87"/>
    <w:rsid w:val="18CD7A35"/>
    <w:rsid w:val="18D05445"/>
    <w:rsid w:val="18EFBD12"/>
    <w:rsid w:val="1915CC61"/>
    <w:rsid w:val="193DA27B"/>
    <w:rsid w:val="1980AA82"/>
    <w:rsid w:val="19E3BFD5"/>
    <w:rsid w:val="1A0698BE"/>
    <w:rsid w:val="1A69D6BB"/>
    <w:rsid w:val="1A7AC364"/>
    <w:rsid w:val="1AB74E56"/>
    <w:rsid w:val="1B4E17A2"/>
    <w:rsid w:val="1BA8C213"/>
    <w:rsid w:val="1BB4A3D7"/>
    <w:rsid w:val="1BBBDEC6"/>
    <w:rsid w:val="1C1E9C68"/>
    <w:rsid w:val="1C891EAD"/>
    <w:rsid w:val="1CB943D7"/>
    <w:rsid w:val="1CF4BE78"/>
    <w:rsid w:val="1CF69D35"/>
    <w:rsid w:val="1E3081D8"/>
    <w:rsid w:val="1E66A532"/>
    <w:rsid w:val="1E87B644"/>
    <w:rsid w:val="1E947B7A"/>
    <w:rsid w:val="1F19B38E"/>
    <w:rsid w:val="1F216BAA"/>
    <w:rsid w:val="1F81A522"/>
    <w:rsid w:val="1F8B91BF"/>
    <w:rsid w:val="1FE3FA21"/>
    <w:rsid w:val="1FF50E57"/>
    <w:rsid w:val="2011FBB6"/>
    <w:rsid w:val="20A9C9EF"/>
    <w:rsid w:val="20BC2EEC"/>
    <w:rsid w:val="20F2CC1B"/>
    <w:rsid w:val="213844AF"/>
    <w:rsid w:val="21473B55"/>
    <w:rsid w:val="223FB6F3"/>
    <w:rsid w:val="22613D0D"/>
    <w:rsid w:val="22AB92A8"/>
    <w:rsid w:val="22CCFA30"/>
    <w:rsid w:val="22D33697"/>
    <w:rsid w:val="22EB8538"/>
    <w:rsid w:val="234432FF"/>
    <w:rsid w:val="2382DD10"/>
    <w:rsid w:val="24F18C6F"/>
    <w:rsid w:val="250C0A0D"/>
    <w:rsid w:val="2524816D"/>
    <w:rsid w:val="253618BB"/>
    <w:rsid w:val="2545F166"/>
    <w:rsid w:val="25A10572"/>
    <w:rsid w:val="26512FC5"/>
    <w:rsid w:val="265B215D"/>
    <w:rsid w:val="26727D58"/>
    <w:rsid w:val="2697BB69"/>
    <w:rsid w:val="26B0A39A"/>
    <w:rsid w:val="26B10321"/>
    <w:rsid w:val="26B3F983"/>
    <w:rsid w:val="2728BDF6"/>
    <w:rsid w:val="27386452"/>
    <w:rsid w:val="27456FBE"/>
    <w:rsid w:val="27695D58"/>
    <w:rsid w:val="27B5F3B4"/>
    <w:rsid w:val="27ECA6C9"/>
    <w:rsid w:val="28482E58"/>
    <w:rsid w:val="287FF4BF"/>
    <w:rsid w:val="28C8AFBC"/>
    <w:rsid w:val="28D9DED2"/>
    <w:rsid w:val="28EC0CE3"/>
    <w:rsid w:val="291B552B"/>
    <w:rsid w:val="29266154"/>
    <w:rsid w:val="292FB82B"/>
    <w:rsid w:val="2A1A3179"/>
    <w:rsid w:val="2A3A1BF5"/>
    <w:rsid w:val="2A5A39F5"/>
    <w:rsid w:val="2A6CAD0D"/>
    <w:rsid w:val="2A9068C9"/>
    <w:rsid w:val="2ABC2260"/>
    <w:rsid w:val="2ACB940D"/>
    <w:rsid w:val="2AD12688"/>
    <w:rsid w:val="2B5BE0DF"/>
    <w:rsid w:val="2B780614"/>
    <w:rsid w:val="2B8E92B3"/>
    <w:rsid w:val="2BBB770C"/>
    <w:rsid w:val="2BF579AC"/>
    <w:rsid w:val="2BF88A33"/>
    <w:rsid w:val="2C296143"/>
    <w:rsid w:val="2C4F07E1"/>
    <w:rsid w:val="2C5268B1"/>
    <w:rsid w:val="2CA6F2DA"/>
    <w:rsid w:val="2CB9C0CE"/>
    <w:rsid w:val="2CF119D6"/>
    <w:rsid w:val="2D216C50"/>
    <w:rsid w:val="2D427106"/>
    <w:rsid w:val="2D65C807"/>
    <w:rsid w:val="2D7FB629"/>
    <w:rsid w:val="2D80C529"/>
    <w:rsid w:val="2E3114CE"/>
    <w:rsid w:val="2E57FD0E"/>
    <w:rsid w:val="2E588633"/>
    <w:rsid w:val="2E967E8C"/>
    <w:rsid w:val="2ECB327A"/>
    <w:rsid w:val="2EDECFA6"/>
    <w:rsid w:val="2F92FC0F"/>
    <w:rsid w:val="2FF75790"/>
    <w:rsid w:val="30409F2F"/>
    <w:rsid w:val="30534791"/>
    <w:rsid w:val="30B33867"/>
    <w:rsid w:val="313D97A0"/>
    <w:rsid w:val="315AC705"/>
    <w:rsid w:val="31C48AF9"/>
    <w:rsid w:val="3202F84B"/>
    <w:rsid w:val="321987DF"/>
    <w:rsid w:val="321FA5FF"/>
    <w:rsid w:val="32C07D1B"/>
    <w:rsid w:val="32D98BDB"/>
    <w:rsid w:val="32DDE849"/>
    <w:rsid w:val="345445C9"/>
    <w:rsid w:val="3472F0FE"/>
    <w:rsid w:val="3499DB5D"/>
    <w:rsid w:val="34BE4E19"/>
    <w:rsid w:val="3532D654"/>
    <w:rsid w:val="3550B4F8"/>
    <w:rsid w:val="3561D2B0"/>
    <w:rsid w:val="35B578BC"/>
    <w:rsid w:val="35FFC7DD"/>
    <w:rsid w:val="362C14F6"/>
    <w:rsid w:val="364CB429"/>
    <w:rsid w:val="36CA0896"/>
    <w:rsid w:val="36F02428"/>
    <w:rsid w:val="3703EAD1"/>
    <w:rsid w:val="3735F0EF"/>
    <w:rsid w:val="3737685A"/>
    <w:rsid w:val="377CC947"/>
    <w:rsid w:val="382F5F4A"/>
    <w:rsid w:val="388E801C"/>
    <w:rsid w:val="38B1E2DF"/>
    <w:rsid w:val="3959B11A"/>
    <w:rsid w:val="39600BF6"/>
    <w:rsid w:val="399B9872"/>
    <w:rsid w:val="39FEA90C"/>
    <w:rsid w:val="3A22093E"/>
    <w:rsid w:val="3A452073"/>
    <w:rsid w:val="3A7C0E8D"/>
    <w:rsid w:val="3ACDF146"/>
    <w:rsid w:val="3AEF1CF4"/>
    <w:rsid w:val="3AFB24A8"/>
    <w:rsid w:val="3B4E8017"/>
    <w:rsid w:val="3BAB463C"/>
    <w:rsid w:val="3BB1B690"/>
    <w:rsid w:val="3BE5B5AF"/>
    <w:rsid w:val="3C01DD45"/>
    <w:rsid w:val="3C107B17"/>
    <w:rsid w:val="3C2D7114"/>
    <w:rsid w:val="3C46CD97"/>
    <w:rsid w:val="3C4712A1"/>
    <w:rsid w:val="3C5142F1"/>
    <w:rsid w:val="3C5DFA7C"/>
    <w:rsid w:val="3C5E0B21"/>
    <w:rsid w:val="3CC4EF2A"/>
    <w:rsid w:val="3CE76E62"/>
    <w:rsid w:val="3CFBF015"/>
    <w:rsid w:val="3D6A97A3"/>
    <w:rsid w:val="3E36D43A"/>
    <w:rsid w:val="3E8B24E3"/>
    <w:rsid w:val="3ED57A95"/>
    <w:rsid w:val="3EE14701"/>
    <w:rsid w:val="3EE70934"/>
    <w:rsid w:val="3EF695E0"/>
    <w:rsid w:val="3F0843C8"/>
    <w:rsid w:val="3F189303"/>
    <w:rsid w:val="3FCEE6EB"/>
    <w:rsid w:val="3FFCB9BC"/>
    <w:rsid w:val="400F90C5"/>
    <w:rsid w:val="404D35E5"/>
    <w:rsid w:val="405CA98E"/>
    <w:rsid w:val="405DFD70"/>
    <w:rsid w:val="4084B3B1"/>
    <w:rsid w:val="409E5C27"/>
    <w:rsid w:val="40A44A43"/>
    <w:rsid w:val="4105BF5B"/>
    <w:rsid w:val="410F2DA8"/>
    <w:rsid w:val="4133C851"/>
    <w:rsid w:val="419E79EA"/>
    <w:rsid w:val="41C8F134"/>
    <w:rsid w:val="41D0D381"/>
    <w:rsid w:val="41D83F14"/>
    <w:rsid w:val="41F87014"/>
    <w:rsid w:val="4200505B"/>
    <w:rsid w:val="42AE7784"/>
    <w:rsid w:val="43143557"/>
    <w:rsid w:val="435E8B50"/>
    <w:rsid w:val="4361B8F5"/>
    <w:rsid w:val="437A4C40"/>
    <w:rsid w:val="43E55ED9"/>
    <w:rsid w:val="445C532B"/>
    <w:rsid w:val="45783053"/>
    <w:rsid w:val="45A255F2"/>
    <w:rsid w:val="45A3D178"/>
    <w:rsid w:val="45B4AEE9"/>
    <w:rsid w:val="45CAEFDE"/>
    <w:rsid w:val="4638AEF4"/>
    <w:rsid w:val="465FB7FF"/>
    <w:rsid w:val="46BCD212"/>
    <w:rsid w:val="46BE538A"/>
    <w:rsid w:val="46BFE003"/>
    <w:rsid w:val="46C3BB50"/>
    <w:rsid w:val="46F96BDD"/>
    <w:rsid w:val="47246F31"/>
    <w:rsid w:val="472A062C"/>
    <w:rsid w:val="47D7EC40"/>
    <w:rsid w:val="47E8DC92"/>
    <w:rsid w:val="48244A12"/>
    <w:rsid w:val="4845D65A"/>
    <w:rsid w:val="48624CD2"/>
    <w:rsid w:val="486B8398"/>
    <w:rsid w:val="48A97515"/>
    <w:rsid w:val="48F1B52B"/>
    <w:rsid w:val="490A9356"/>
    <w:rsid w:val="490C9CE3"/>
    <w:rsid w:val="49F90D9F"/>
    <w:rsid w:val="4A15C836"/>
    <w:rsid w:val="4A61F3A6"/>
    <w:rsid w:val="4A785C45"/>
    <w:rsid w:val="4AD0BFAC"/>
    <w:rsid w:val="4AEC9793"/>
    <w:rsid w:val="4AF08BC0"/>
    <w:rsid w:val="4B1FCD9B"/>
    <w:rsid w:val="4BDEBF19"/>
    <w:rsid w:val="4C680E5D"/>
    <w:rsid w:val="4CC0E604"/>
    <w:rsid w:val="4CEE64D3"/>
    <w:rsid w:val="4D54E0E4"/>
    <w:rsid w:val="4D6682D5"/>
    <w:rsid w:val="4DB3E8D7"/>
    <w:rsid w:val="4DE34645"/>
    <w:rsid w:val="4E3012F2"/>
    <w:rsid w:val="4E75D248"/>
    <w:rsid w:val="4E7F16E3"/>
    <w:rsid w:val="4E8A3F51"/>
    <w:rsid w:val="4EA40247"/>
    <w:rsid w:val="4F0F03A6"/>
    <w:rsid w:val="4F4782C9"/>
    <w:rsid w:val="4F5E146B"/>
    <w:rsid w:val="4F6DB133"/>
    <w:rsid w:val="4F7F3387"/>
    <w:rsid w:val="4F95E458"/>
    <w:rsid w:val="4FD5EB24"/>
    <w:rsid w:val="5030D771"/>
    <w:rsid w:val="50353769"/>
    <w:rsid w:val="506F4E4A"/>
    <w:rsid w:val="50A5E356"/>
    <w:rsid w:val="50D05631"/>
    <w:rsid w:val="50E42C8A"/>
    <w:rsid w:val="5103A1B5"/>
    <w:rsid w:val="5109F757"/>
    <w:rsid w:val="515DD983"/>
    <w:rsid w:val="51849625"/>
    <w:rsid w:val="51C2FA4E"/>
    <w:rsid w:val="51C97EBD"/>
    <w:rsid w:val="51D47D26"/>
    <w:rsid w:val="52C992A9"/>
    <w:rsid w:val="52DE6886"/>
    <w:rsid w:val="52E12472"/>
    <w:rsid w:val="52EA0460"/>
    <w:rsid w:val="53440145"/>
    <w:rsid w:val="538FBECF"/>
    <w:rsid w:val="54302B46"/>
    <w:rsid w:val="54B088DC"/>
    <w:rsid w:val="54CA438F"/>
    <w:rsid w:val="54F7C9FD"/>
    <w:rsid w:val="553706F9"/>
    <w:rsid w:val="559C33CA"/>
    <w:rsid w:val="559F6F42"/>
    <w:rsid w:val="55CE835B"/>
    <w:rsid w:val="566AB20F"/>
    <w:rsid w:val="56AB677D"/>
    <w:rsid w:val="56C3A789"/>
    <w:rsid w:val="571166C6"/>
    <w:rsid w:val="57D5C648"/>
    <w:rsid w:val="58238245"/>
    <w:rsid w:val="5845206B"/>
    <w:rsid w:val="58547D87"/>
    <w:rsid w:val="58D3F6F9"/>
    <w:rsid w:val="592DDD9D"/>
    <w:rsid w:val="598092A2"/>
    <w:rsid w:val="59AB12AD"/>
    <w:rsid w:val="59C5B9DD"/>
    <w:rsid w:val="5A094C9F"/>
    <w:rsid w:val="5A6A7A0D"/>
    <w:rsid w:val="5A6E5055"/>
    <w:rsid w:val="5AB12DFB"/>
    <w:rsid w:val="5ABE7CA3"/>
    <w:rsid w:val="5AED4729"/>
    <w:rsid w:val="5AF1F0A1"/>
    <w:rsid w:val="5B3DA56B"/>
    <w:rsid w:val="5B63EBE1"/>
    <w:rsid w:val="5BDFDE38"/>
    <w:rsid w:val="5C02247C"/>
    <w:rsid w:val="5C3E8245"/>
    <w:rsid w:val="5CACFD1E"/>
    <w:rsid w:val="5CFCCEE3"/>
    <w:rsid w:val="5D1A5971"/>
    <w:rsid w:val="5DCBC4EE"/>
    <w:rsid w:val="5DE4A6FA"/>
    <w:rsid w:val="5DE99124"/>
    <w:rsid w:val="5E695A0D"/>
    <w:rsid w:val="5E846BF9"/>
    <w:rsid w:val="5FA0AB13"/>
    <w:rsid w:val="5FB8DE93"/>
    <w:rsid w:val="5FBDE0B0"/>
    <w:rsid w:val="5FC82358"/>
    <w:rsid w:val="607BF64A"/>
    <w:rsid w:val="607EA6C3"/>
    <w:rsid w:val="6094FB88"/>
    <w:rsid w:val="60D0329F"/>
    <w:rsid w:val="60DD5253"/>
    <w:rsid w:val="61830A16"/>
    <w:rsid w:val="61B14EE9"/>
    <w:rsid w:val="61C7C8C9"/>
    <w:rsid w:val="6282B4EE"/>
    <w:rsid w:val="6293B840"/>
    <w:rsid w:val="630A3C0A"/>
    <w:rsid w:val="63143FB0"/>
    <w:rsid w:val="6315484A"/>
    <w:rsid w:val="631B63D7"/>
    <w:rsid w:val="6363FE4D"/>
    <w:rsid w:val="637A2410"/>
    <w:rsid w:val="63847B84"/>
    <w:rsid w:val="63B3A1A4"/>
    <w:rsid w:val="63D9C3A8"/>
    <w:rsid w:val="63E651A8"/>
    <w:rsid w:val="63EEB2CF"/>
    <w:rsid w:val="63F5DE2A"/>
    <w:rsid w:val="6413E352"/>
    <w:rsid w:val="64336485"/>
    <w:rsid w:val="6445A723"/>
    <w:rsid w:val="646A4B04"/>
    <w:rsid w:val="64A44E4A"/>
    <w:rsid w:val="64C78E14"/>
    <w:rsid w:val="64EA4CD5"/>
    <w:rsid w:val="650BA211"/>
    <w:rsid w:val="6537DA98"/>
    <w:rsid w:val="65387242"/>
    <w:rsid w:val="659F5840"/>
    <w:rsid w:val="65B85846"/>
    <w:rsid w:val="663C9FC3"/>
    <w:rsid w:val="6681B295"/>
    <w:rsid w:val="669B4C4E"/>
    <w:rsid w:val="66B965E6"/>
    <w:rsid w:val="66BDB9E7"/>
    <w:rsid w:val="66C047DC"/>
    <w:rsid w:val="66E79908"/>
    <w:rsid w:val="66FA84FF"/>
    <w:rsid w:val="6701A83C"/>
    <w:rsid w:val="67055A5D"/>
    <w:rsid w:val="67212D18"/>
    <w:rsid w:val="67271109"/>
    <w:rsid w:val="674A09B4"/>
    <w:rsid w:val="678C8644"/>
    <w:rsid w:val="6791EB3C"/>
    <w:rsid w:val="6794AB26"/>
    <w:rsid w:val="680806CC"/>
    <w:rsid w:val="681DFCBE"/>
    <w:rsid w:val="682DA3E8"/>
    <w:rsid w:val="685ADE7D"/>
    <w:rsid w:val="685EF83F"/>
    <w:rsid w:val="68778BC9"/>
    <w:rsid w:val="688C005D"/>
    <w:rsid w:val="68B8BF86"/>
    <w:rsid w:val="68E13DFA"/>
    <w:rsid w:val="690FE7DF"/>
    <w:rsid w:val="692A9580"/>
    <w:rsid w:val="693F979A"/>
    <w:rsid w:val="6A028C27"/>
    <w:rsid w:val="6A4BB729"/>
    <w:rsid w:val="6AD1117C"/>
    <w:rsid w:val="6B08096E"/>
    <w:rsid w:val="6B1FC821"/>
    <w:rsid w:val="6B50F82B"/>
    <w:rsid w:val="6BA6E0E9"/>
    <w:rsid w:val="6BC556A0"/>
    <w:rsid w:val="6BD8E321"/>
    <w:rsid w:val="6C3B030D"/>
    <w:rsid w:val="6C87FCDF"/>
    <w:rsid w:val="6C968953"/>
    <w:rsid w:val="6CA1A04C"/>
    <w:rsid w:val="6CEC7E24"/>
    <w:rsid w:val="6D0A369A"/>
    <w:rsid w:val="6E4C8E42"/>
    <w:rsid w:val="6E7FDC2E"/>
    <w:rsid w:val="6EE26FFE"/>
    <w:rsid w:val="6EF02B43"/>
    <w:rsid w:val="6F02A18C"/>
    <w:rsid w:val="6F3F63EF"/>
    <w:rsid w:val="700F5E14"/>
    <w:rsid w:val="7010085C"/>
    <w:rsid w:val="710569DB"/>
    <w:rsid w:val="7156FC13"/>
    <w:rsid w:val="723F6746"/>
    <w:rsid w:val="72427EEE"/>
    <w:rsid w:val="729D1C5F"/>
    <w:rsid w:val="72FFB79C"/>
    <w:rsid w:val="730C5567"/>
    <w:rsid w:val="73FD49AF"/>
    <w:rsid w:val="7484FF6F"/>
    <w:rsid w:val="74A6E77B"/>
    <w:rsid w:val="74DBCC91"/>
    <w:rsid w:val="74ED5D3A"/>
    <w:rsid w:val="74F1E01C"/>
    <w:rsid w:val="75086306"/>
    <w:rsid w:val="754BBCC7"/>
    <w:rsid w:val="7551A8BB"/>
    <w:rsid w:val="755DA92C"/>
    <w:rsid w:val="7572DD66"/>
    <w:rsid w:val="75ABE409"/>
    <w:rsid w:val="7602D426"/>
    <w:rsid w:val="76040D94"/>
    <w:rsid w:val="7607004A"/>
    <w:rsid w:val="7653FAF2"/>
    <w:rsid w:val="767899EF"/>
    <w:rsid w:val="76AB61BB"/>
    <w:rsid w:val="773733CF"/>
    <w:rsid w:val="7751EAF9"/>
    <w:rsid w:val="7786241F"/>
    <w:rsid w:val="77C2E584"/>
    <w:rsid w:val="77CA8886"/>
    <w:rsid w:val="77F79AFA"/>
    <w:rsid w:val="7855D1B4"/>
    <w:rsid w:val="78BCF882"/>
    <w:rsid w:val="78DB4F3D"/>
    <w:rsid w:val="78DEF46A"/>
    <w:rsid w:val="78ECB4B0"/>
    <w:rsid w:val="79367C38"/>
    <w:rsid w:val="79D4BA3E"/>
    <w:rsid w:val="79FF640A"/>
    <w:rsid w:val="7A25DFFA"/>
    <w:rsid w:val="7A4AF634"/>
    <w:rsid w:val="7AD57A63"/>
    <w:rsid w:val="7AF20FDF"/>
    <w:rsid w:val="7B573EF6"/>
    <w:rsid w:val="7B9815BA"/>
    <w:rsid w:val="7BD116AC"/>
    <w:rsid w:val="7BFDEE17"/>
    <w:rsid w:val="7C22ADD3"/>
    <w:rsid w:val="7C9549AC"/>
    <w:rsid w:val="7CE93138"/>
    <w:rsid w:val="7D75A1C3"/>
    <w:rsid w:val="7DCEBA02"/>
    <w:rsid w:val="7E16256C"/>
    <w:rsid w:val="7E1A5778"/>
    <w:rsid w:val="7EC929D7"/>
    <w:rsid w:val="7F06BC75"/>
    <w:rsid w:val="7F43CF2D"/>
    <w:rsid w:val="7F994EA1"/>
    <w:rsid w:val="7FBEC8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5C683B2"/>
  <w15:chartTrackingRefBased/>
  <w15:docId w15:val="{84EA66EB-24DC-40BF-8B82-B0BB2F97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7B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BF509F"/>
    <w:rPr>
      <w:color w:val="0000FF"/>
      <w:shd w:val="clear" w:color="auto" w:fill="auto"/>
    </w:rPr>
  </w:style>
  <w:style w:type="paragraph" w:styleId="Header">
    <w:name w:val="header"/>
    <w:basedOn w:val="Normal"/>
    <w:link w:val="HeaderChar"/>
    <w:uiPriority w:val="99"/>
    <w:unhideWhenUsed/>
    <w:rsid w:val="00B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09F"/>
  </w:style>
  <w:style w:type="paragraph" w:styleId="Footer">
    <w:name w:val="footer"/>
    <w:basedOn w:val="Normal"/>
    <w:link w:val="FooterChar"/>
    <w:uiPriority w:val="99"/>
    <w:unhideWhenUsed/>
    <w:rsid w:val="00B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09F"/>
  </w:style>
  <w:style w:type="paragraph" w:customStyle="1" w:styleId="Pagedecouverture">
    <w:name w:val="Page de couverture"/>
    <w:basedOn w:val="Normal"/>
    <w:next w:val="Normal"/>
    <w:rsid w:val="00BF509F"/>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BF509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F509F"/>
    <w:rPr>
      <w:rFonts w:ascii="Times New Roman" w:hAnsi="Times New Roman" w:cs="Times New Roman"/>
      <w:sz w:val="24"/>
    </w:rPr>
  </w:style>
  <w:style w:type="paragraph" w:customStyle="1" w:styleId="FooterSensitivity">
    <w:name w:val="Footer Sensitivity"/>
    <w:basedOn w:val="Normal"/>
    <w:link w:val="FooterSensitivityChar"/>
    <w:rsid w:val="00BF509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F509F"/>
    <w:rPr>
      <w:rFonts w:ascii="Times New Roman" w:hAnsi="Times New Roman" w:cs="Times New Roman"/>
      <w:b/>
      <w:sz w:val="32"/>
    </w:rPr>
  </w:style>
  <w:style w:type="paragraph" w:customStyle="1" w:styleId="HeaderCoverPage">
    <w:name w:val="Header Cover Page"/>
    <w:basedOn w:val="Normal"/>
    <w:link w:val="HeaderCoverPageChar"/>
    <w:rsid w:val="00BF509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F509F"/>
    <w:rPr>
      <w:rFonts w:ascii="Times New Roman" w:hAnsi="Times New Roman" w:cs="Times New Roman"/>
      <w:sz w:val="24"/>
    </w:rPr>
  </w:style>
  <w:style w:type="paragraph" w:customStyle="1" w:styleId="HeaderSensitivity">
    <w:name w:val="Header Sensitivity"/>
    <w:basedOn w:val="Normal"/>
    <w:link w:val="HeaderSensitivityChar"/>
    <w:rsid w:val="00BF509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F509F"/>
    <w:rPr>
      <w:rFonts w:ascii="Times New Roman" w:hAnsi="Times New Roman" w:cs="Times New Roman"/>
      <w:b/>
      <w:sz w:val="32"/>
    </w:rPr>
  </w:style>
  <w:style w:type="paragraph" w:customStyle="1" w:styleId="HeaderSensitivityRight">
    <w:name w:val="Header Sensitivity Right"/>
    <w:basedOn w:val="Normal"/>
    <w:link w:val="HeaderSensitivityRightChar"/>
    <w:rsid w:val="00BF509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BF509F"/>
    <w:rPr>
      <w:rFonts w:ascii="Times New Roman" w:hAnsi="Times New Roman" w:cs="Times New Roman"/>
      <w:sz w:val="28"/>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rsid w:val="00BF509F"/>
    <w:pPr>
      <w:ind w:left="720"/>
      <w:contextualSpacing/>
    </w:p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locked/>
    <w:rsid w:val="00590643"/>
  </w:style>
  <w:style w:type="paragraph" w:styleId="FootnoteText">
    <w:name w:val="footnote text"/>
    <w:basedOn w:val="Normal"/>
    <w:link w:val="FootnoteTextChar"/>
    <w:uiPriority w:val="99"/>
    <w:unhideWhenUsed/>
    <w:rsid w:val="00542E1C"/>
    <w:pPr>
      <w:spacing w:after="0" w:line="240" w:lineRule="auto"/>
    </w:pPr>
    <w:rPr>
      <w:sz w:val="20"/>
      <w:szCs w:val="20"/>
    </w:rPr>
  </w:style>
  <w:style w:type="character" w:customStyle="1" w:styleId="FootnoteTextChar">
    <w:name w:val="Footnote Text Char"/>
    <w:basedOn w:val="DefaultParagraphFont"/>
    <w:link w:val="FootnoteText"/>
    <w:uiPriority w:val="99"/>
    <w:rsid w:val="00542E1C"/>
    <w:rPr>
      <w:sz w:val="20"/>
      <w:szCs w:val="20"/>
    </w:rPr>
  </w:style>
  <w:style w:type="character" w:styleId="FootnoteReference">
    <w:name w:val="footnote reference"/>
    <w:basedOn w:val="DefaultParagraphFont"/>
    <w:uiPriority w:val="99"/>
    <w:unhideWhenUsed/>
    <w:rsid w:val="00542E1C"/>
    <w:rPr>
      <w:vertAlign w:val="superscript"/>
    </w:rPr>
  </w:style>
  <w:style w:type="paragraph" w:customStyle="1" w:styleId="Text1">
    <w:name w:val="Text 1"/>
    <w:basedOn w:val="Normal"/>
    <w:uiPriority w:val="1"/>
    <w:qFormat/>
    <w:rsid w:val="007848BA"/>
    <w:pPr>
      <w:spacing w:after="240" w:line="240" w:lineRule="auto"/>
      <w:ind w:left="482"/>
      <w:jc w:val="both"/>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D8215C"/>
    <w:rPr>
      <w:sz w:val="16"/>
      <w:szCs w:val="16"/>
    </w:rPr>
  </w:style>
  <w:style w:type="paragraph" w:styleId="CommentText">
    <w:name w:val="annotation text"/>
    <w:basedOn w:val="Normal"/>
    <w:link w:val="CommentTextChar"/>
    <w:uiPriority w:val="99"/>
    <w:unhideWhenUsed/>
    <w:rsid w:val="00D8215C"/>
    <w:pPr>
      <w:spacing w:line="240" w:lineRule="auto"/>
    </w:pPr>
    <w:rPr>
      <w:sz w:val="20"/>
      <w:szCs w:val="20"/>
    </w:rPr>
  </w:style>
  <w:style w:type="character" w:customStyle="1" w:styleId="CommentTextChar">
    <w:name w:val="Comment Text Char"/>
    <w:basedOn w:val="DefaultParagraphFont"/>
    <w:link w:val="CommentText"/>
    <w:uiPriority w:val="99"/>
    <w:rsid w:val="00D8215C"/>
    <w:rPr>
      <w:sz w:val="20"/>
      <w:szCs w:val="20"/>
    </w:rPr>
  </w:style>
  <w:style w:type="paragraph" w:styleId="CommentSubject">
    <w:name w:val="annotation subject"/>
    <w:basedOn w:val="CommentText"/>
    <w:next w:val="CommentText"/>
    <w:link w:val="CommentSubjectChar"/>
    <w:uiPriority w:val="99"/>
    <w:semiHidden/>
    <w:unhideWhenUsed/>
    <w:rsid w:val="00D8215C"/>
    <w:rPr>
      <w:b/>
      <w:bCs/>
    </w:rPr>
  </w:style>
  <w:style w:type="character" w:customStyle="1" w:styleId="CommentSubjectChar">
    <w:name w:val="Comment Subject Char"/>
    <w:basedOn w:val="CommentTextChar"/>
    <w:link w:val="CommentSubject"/>
    <w:uiPriority w:val="99"/>
    <w:semiHidden/>
    <w:rsid w:val="00D8215C"/>
    <w:rPr>
      <w:b/>
      <w:bCs/>
      <w:sz w:val="20"/>
      <w:szCs w:val="20"/>
    </w:rPr>
  </w:style>
  <w:style w:type="paragraph" w:styleId="BalloonText">
    <w:name w:val="Balloon Text"/>
    <w:basedOn w:val="Normal"/>
    <w:link w:val="BalloonTextChar"/>
    <w:uiPriority w:val="99"/>
    <w:semiHidden/>
    <w:unhideWhenUsed/>
    <w:rsid w:val="00D82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15C"/>
    <w:rPr>
      <w:rFonts w:ascii="Segoe UI" w:hAnsi="Segoe UI" w:cs="Segoe UI"/>
      <w:sz w:val="18"/>
      <w:szCs w:val="18"/>
    </w:rPr>
  </w:style>
  <w:style w:type="paragraph" w:styleId="NormalWeb">
    <w:name w:val="Normal (Web)"/>
    <w:basedOn w:val="Normal"/>
    <w:uiPriority w:val="99"/>
    <w:semiHidden/>
    <w:unhideWhenUsed/>
    <w:rsid w:val="003E130C"/>
    <w:rPr>
      <w:rFonts w:ascii="Times New Roman" w:hAnsi="Times New Roman" w:cs="Times New Roman"/>
      <w:sz w:val="24"/>
      <w:szCs w:val="24"/>
    </w:rPr>
  </w:style>
  <w:style w:type="character" w:styleId="Hyperlink">
    <w:name w:val="Hyperlink"/>
    <w:basedOn w:val="DefaultParagraphFont"/>
    <w:uiPriority w:val="99"/>
    <w:unhideWhenUsed/>
    <w:rsid w:val="003E130C"/>
    <w:rPr>
      <w:color w:val="0563C1" w:themeColor="hyperlink"/>
      <w:u w:val="single"/>
    </w:rPr>
  </w:style>
  <w:style w:type="character" w:styleId="Strong">
    <w:name w:val="Strong"/>
    <w:basedOn w:val="DefaultParagraphFont"/>
    <w:uiPriority w:val="22"/>
    <w:qFormat/>
    <w:rsid w:val="003E130C"/>
    <w:rPr>
      <w:b/>
      <w:bCs/>
    </w:rPr>
  </w:style>
  <w:style w:type="paragraph" w:styleId="Revision">
    <w:name w:val="Revision"/>
    <w:hidden/>
    <w:uiPriority w:val="99"/>
    <w:semiHidden/>
    <w:rsid w:val="00547186"/>
    <w:pPr>
      <w:spacing w:after="0" w:line="240" w:lineRule="auto"/>
    </w:pPr>
  </w:style>
  <w:style w:type="character" w:styleId="FollowedHyperlink">
    <w:name w:val="FollowedHyperlink"/>
    <w:basedOn w:val="DefaultParagraphFont"/>
    <w:uiPriority w:val="99"/>
    <w:semiHidden/>
    <w:unhideWhenUsed/>
    <w:rsid w:val="00033F8A"/>
    <w:rPr>
      <w:color w:val="954F72" w:themeColor="followedHyperlink"/>
      <w:u w:val="single"/>
    </w:rPr>
  </w:style>
  <w:style w:type="paragraph" w:styleId="NoSpacing">
    <w:name w:val="No Spacing"/>
    <w:link w:val="NoSpacingChar"/>
    <w:uiPriority w:val="1"/>
    <w:qFormat/>
    <w:rsid w:val="000F193D"/>
    <w:pPr>
      <w:spacing w:after="0" w:line="240" w:lineRule="auto"/>
    </w:pPr>
  </w:style>
  <w:style w:type="character" w:customStyle="1" w:styleId="Bodytext2">
    <w:name w:val="Body text (2)_"/>
    <w:basedOn w:val="DefaultParagraphFont"/>
    <w:link w:val="Bodytext20"/>
    <w:rsid w:val="000F193D"/>
    <w:rPr>
      <w:shd w:val="clear" w:color="auto" w:fill="FFFFFF"/>
    </w:rPr>
  </w:style>
  <w:style w:type="paragraph" w:customStyle="1" w:styleId="Bodytext20">
    <w:name w:val="Body text (2)"/>
    <w:basedOn w:val="Normal"/>
    <w:link w:val="Bodytext2"/>
    <w:rsid w:val="000F193D"/>
    <w:pPr>
      <w:widowControl w:val="0"/>
      <w:shd w:val="clear" w:color="auto" w:fill="FFFFFF"/>
      <w:spacing w:before="320" w:after="260" w:line="274" w:lineRule="exact"/>
      <w:jc w:val="both"/>
    </w:pPr>
  </w:style>
  <w:style w:type="paragraph" w:customStyle="1" w:styleId="BodyAA">
    <w:name w:val="Body A A"/>
    <w:rsid w:val="000F193D"/>
    <w:pPr>
      <w:spacing w:after="200" w:line="276" w:lineRule="auto"/>
    </w:pPr>
    <w:rPr>
      <w:rFonts w:ascii="Calibri" w:eastAsia="Calibri" w:hAnsi="Calibri" w:cs="Calibri"/>
      <w:color w:val="000000"/>
      <w:u w:color="000000"/>
      <w:lang w:eastAsia="en-GB"/>
    </w:rPr>
  </w:style>
  <w:style w:type="character" w:customStyle="1" w:styleId="NoSpacingChar">
    <w:name w:val="No Spacing Char"/>
    <w:basedOn w:val="DefaultParagraphFont"/>
    <w:link w:val="NoSpacing"/>
    <w:uiPriority w:val="1"/>
    <w:locked/>
    <w:rsid w:val="000F193D"/>
  </w:style>
  <w:style w:type="paragraph" w:customStyle="1" w:styleId="TableParagraph">
    <w:name w:val="Table Paragraph"/>
    <w:basedOn w:val="Normal"/>
    <w:uiPriority w:val="1"/>
    <w:qFormat/>
    <w:rsid w:val="000F193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9E7B15"/>
    <w:rPr>
      <w:rFonts w:asciiTheme="majorHAnsi" w:eastAsiaTheme="majorEastAsia" w:hAnsiTheme="majorHAnsi" w:cstheme="majorBidi"/>
      <w:color w:val="2E74B5" w:themeColor="accent1" w:themeShade="BF"/>
      <w:sz w:val="32"/>
      <w:szCs w:val="32"/>
    </w:rPr>
  </w:style>
  <w:style w:type="character" w:customStyle="1" w:styleId="markedcontent">
    <w:name w:val="markedcontent"/>
    <w:basedOn w:val="DefaultParagraphFont"/>
    <w:rsid w:val="00B7175E"/>
  </w:style>
  <w:style w:type="character" w:customStyle="1" w:styleId="highlight">
    <w:name w:val="highlight"/>
    <w:basedOn w:val="DefaultParagraphFont"/>
    <w:rsid w:val="00B7175E"/>
  </w:style>
  <w:style w:type="character" w:customStyle="1" w:styleId="UnresolvedMention1">
    <w:name w:val="Unresolved Mention1"/>
    <w:basedOn w:val="DefaultParagraphFont"/>
    <w:uiPriority w:val="99"/>
    <w:semiHidden/>
    <w:unhideWhenUsed/>
    <w:rsid w:val="006879D7"/>
    <w:rPr>
      <w:color w:val="605E5C"/>
      <w:shd w:val="clear" w:color="auto" w:fill="E1DFDD"/>
    </w:rPr>
  </w:style>
  <w:style w:type="character" w:customStyle="1" w:styleId="UnresolvedMention10">
    <w:name w:val="Unresolved Mention1"/>
    <w:basedOn w:val="DefaultParagraphFont"/>
    <w:uiPriority w:val="99"/>
    <w:unhideWhenUsed/>
    <w:rsid w:val="00D667E2"/>
    <w:rPr>
      <w:color w:val="605E5C"/>
      <w:shd w:val="clear" w:color="auto" w:fill="E1DFDD"/>
    </w:rPr>
  </w:style>
  <w:style w:type="character" w:customStyle="1" w:styleId="Mention1">
    <w:name w:val="Mention1"/>
    <w:basedOn w:val="DefaultParagraphFont"/>
    <w:uiPriority w:val="99"/>
    <w:unhideWhenUsed/>
    <w:rsid w:val="005A434D"/>
    <w:rPr>
      <w:color w:val="2B579A"/>
      <w:shd w:val="clear" w:color="auto" w:fill="E1DFDD"/>
    </w:rPr>
  </w:style>
  <w:style w:type="character" w:customStyle="1" w:styleId="UnresolvedMention2">
    <w:name w:val="Unresolved Mention2"/>
    <w:basedOn w:val="DefaultParagraphFont"/>
    <w:uiPriority w:val="99"/>
    <w:semiHidden/>
    <w:unhideWhenUsed/>
    <w:rsid w:val="00211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1978">
      <w:bodyDiv w:val="1"/>
      <w:marLeft w:val="0"/>
      <w:marRight w:val="0"/>
      <w:marTop w:val="0"/>
      <w:marBottom w:val="0"/>
      <w:divBdr>
        <w:top w:val="none" w:sz="0" w:space="0" w:color="auto"/>
        <w:left w:val="none" w:sz="0" w:space="0" w:color="auto"/>
        <w:bottom w:val="none" w:sz="0" w:space="0" w:color="auto"/>
        <w:right w:val="none" w:sz="0" w:space="0" w:color="auto"/>
      </w:divBdr>
    </w:div>
    <w:div w:id="89200524">
      <w:bodyDiv w:val="1"/>
      <w:marLeft w:val="0"/>
      <w:marRight w:val="0"/>
      <w:marTop w:val="0"/>
      <w:marBottom w:val="0"/>
      <w:divBdr>
        <w:top w:val="none" w:sz="0" w:space="0" w:color="auto"/>
        <w:left w:val="none" w:sz="0" w:space="0" w:color="auto"/>
        <w:bottom w:val="none" w:sz="0" w:space="0" w:color="auto"/>
        <w:right w:val="none" w:sz="0" w:space="0" w:color="auto"/>
      </w:divBdr>
    </w:div>
    <w:div w:id="96292822">
      <w:bodyDiv w:val="1"/>
      <w:marLeft w:val="0"/>
      <w:marRight w:val="0"/>
      <w:marTop w:val="0"/>
      <w:marBottom w:val="0"/>
      <w:divBdr>
        <w:top w:val="none" w:sz="0" w:space="0" w:color="auto"/>
        <w:left w:val="none" w:sz="0" w:space="0" w:color="auto"/>
        <w:bottom w:val="none" w:sz="0" w:space="0" w:color="auto"/>
        <w:right w:val="none" w:sz="0" w:space="0" w:color="auto"/>
      </w:divBdr>
    </w:div>
    <w:div w:id="141697612">
      <w:bodyDiv w:val="1"/>
      <w:marLeft w:val="0"/>
      <w:marRight w:val="0"/>
      <w:marTop w:val="0"/>
      <w:marBottom w:val="0"/>
      <w:divBdr>
        <w:top w:val="none" w:sz="0" w:space="0" w:color="auto"/>
        <w:left w:val="none" w:sz="0" w:space="0" w:color="auto"/>
        <w:bottom w:val="none" w:sz="0" w:space="0" w:color="auto"/>
        <w:right w:val="none" w:sz="0" w:space="0" w:color="auto"/>
      </w:divBdr>
    </w:div>
    <w:div w:id="175658213">
      <w:bodyDiv w:val="1"/>
      <w:marLeft w:val="0"/>
      <w:marRight w:val="0"/>
      <w:marTop w:val="0"/>
      <w:marBottom w:val="0"/>
      <w:divBdr>
        <w:top w:val="none" w:sz="0" w:space="0" w:color="auto"/>
        <w:left w:val="none" w:sz="0" w:space="0" w:color="auto"/>
        <w:bottom w:val="none" w:sz="0" w:space="0" w:color="auto"/>
        <w:right w:val="none" w:sz="0" w:space="0" w:color="auto"/>
      </w:divBdr>
    </w:div>
    <w:div w:id="435097509">
      <w:bodyDiv w:val="1"/>
      <w:marLeft w:val="0"/>
      <w:marRight w:val="0"/>
      <w:marTop w:val="0"/>
      <w:marBottom w:val="0"/>
      <w:divBdr>
        <w:top w:val="none" w:sz="0" w:space="0" w:color="auto"/>
        <w:left w:val="none" w:sz="0" w:space="0" w:color="auto"/>
        <w:bottom w:val="none" w:sz="0" w:space="0" w:color="auto"/>
        <w:right w:val="none" w:sz="0" w:space="0" w:color="auto"/>
      </w:divBdr>
    </w:div>
    <w:div w:id="519708670">
      <w:bodyDiv w:val="1"/>
      <w:marLeft w:val="0"/>
      <w:marRight w:val="0"/>
      <w:marTop w:val="0"/>
      <w:marBottom w:val="0"/>
      <w:divBdr>
        <w:top w:val="none" w:sz="0" w:space="0" w:color="auto"/>
        <w:left w:val="none" w:sz="0" w:space="0" w:color="auto"/>
        <w:bottom w:val="none" w:sz="0" w:space="0" w:color="auto"/>
        <w:right w:val="none" w:sz="0" w:space="0" w:color="auto"/>
      </w:divBdr>
    </w:div>
    <w:div w:id="528491931">
      <w:bodyDiv w:val="1"/>
      <w:marLeft w:val="0"/>
      <w:marRight w:val="0"/>
      <w:marTop w:val="0"/>
      <w:marBottom w:val="0"/>
      <w:divBdr>
        <w:top w:val="none" w:sz="0" w:space="0" w:color="auto"/>
        <w:left w:val="none" w:sz="0" w:space="0" w:color="auto"/>
        <w:bottom w:val="none" w:sz="0" w:space="0" w:color="auto"/>
        <w:right w:val="none" w:sz="0" w:space="0" w:color="auto"/>
      </w:divBdr>
    </w:div>
    <w:div w:id="819882490">
      <w:bodyDiv w:val="1"/>
      <w:marLeft w:val="0"/>
      <w:marRight w:val="0"/>
      <w:marTop w:val="0"/>
      <w:marBottom w:val="0"/>
      <w:divBdr>
        <w:top w:val="none" w:sz="0" w:space="0" w:color="auto"/>
        <w:left w:val="none" w:sz="0" w:space="0" w:color="auto"/>
        <w:bottom w:val="none" w:sz="0" w:space="0" w:color="auto"/>
        <w:right w:val="none" w:sz="0" w:space="0" w:color="auto"/>
      </w:divBdr>
    </w:div>
    <w:div w:id="834882492">
      <w:bodyDiv w:val="1"/>
      <w:marLeft w:val="0"/>
      <w:marRight w:val="0"/>
      <w:marTop w:val="0"/>
      <w:marBottom w:val="0"/>
      <w:divBdr>
        <w:top w:val="none" w:sz="0" w:space="0" w:color="auto"/>
        <w:left w:val="none" w:sz="0" w:space="0" w:color="auto"/>
        <w:bottom w:val="none" w:sz="0" w:space="0" w:color="auto"/>
        <w:right w:val="none" w:sz="0" w:space="0" w:color="auto"/>
      </w:divBdr>
    </w:div>
    <w:div w:id="856114176">
      <w:bodyDiv w:val="1"/>
      <w:marLeft w:val="0"/>
      <w:marRight w:val="0"/>
      <w:marTop w:val="0"/>
      <w:marBottom w:val="0"/>
      <w:divBdr>
        <w:top w:val="none" w:sz="0" w:space="0" w:color="auto"/>
        <w:left w:val="none" w:sz="0" w:space="0" w:color="auto"/>
        <w:bottom w:val="none" w:sz="0" w:space="0" w:color="auto"/>
        <w:right w:val="none" w:sz="0" w:space="0" w:color="auto"/>
      </w:divBdr>
    </w:div>
    <w:div w:id="975455535">
      <w:bodyDiv w:val="1"/>
      <w:marLeft w:val="0"/>
      <w:marRight w:val="0"/>
      <w:marTop w:val="0"/>
      <w:marBottom w:val="0"/>
      <w:divBdr>
        <w:top w:val="none" w:sz="0" w:space="0" w:color="auto"/>
        <w:left w:val="none" w:sz="0" w:space="0" w:color="auto"/>
        <w:bottom w:val="none" w:sz="0" w:space="0" w:color="auto"/>
        <w:right w:val="none" w:sz="0" w:space="0" w:color="auto"/>
      </w:divBdr>
    </w:div>
    <w:div w:id="1008404435">
      <w:bodyDiv w:val="1"/>
      <w:marLeft w:val="0"/>
      <w:marRight w:val="0"/>
      <w:marTop w:val="0"/>
      <w:marBottom w:val="0"/>
      <w:divBdr>
        <w:top w:val="none" w:sz="0" w:space="0" w:color="auto"/>
        <w:left w:val="none" w:sz="0" w:space="0" w:color="auto"/>
        <w:bottom w:val="none" w:sz="0" w:space="0" w:color="auto"/>
        <w:right w:val="none" w:sz="0" w:space="0" w:color="auto"/>
      </w:divBdr>
    </w:div>
    <w:div w:id="1035813749">
      <w:bodyDiv w:val="1"/>
      <w:marLeft w:val="0"/>
      <w:marRight w:val="0"/>
      <w:marTop w:val="0"/>
      <w:marBottom w:val="0"/>
      <w:divBdr>
        <w:top w:val="none" w:sz="0" w:space="0" w:color="auto"/>
        <w:left w:val="none" w:sz="0" w:space="0" w:color="auto"/>
        <w:bottom w:val="none" w:sz="0" w:space="0" w:color="auto"/>
        <w:right w:val="none" w:sz="0" w:space="0" w:color="auto"/>
      </w:divBdr>
    </w:div>
    <w:div w:id="1073508842">
      <w:bodyDiv w:val="1"/>
      <w:marLeft w:val="0"/>
      <w:marRight w:val="0"/>
      <w:marTop w:val="0"/>
      <w:marBottom w:val="0"/>
      <w:divBdr>
        <w:top w:val="none" w:sz="0" w:space="0" w:color="auto"/>
        <w:left w:val="none" w:sz="0" w:space="0" w:color="auto"/>
        <w:bottom w:val="none" w:sz="0" w:space="0" w:color="auto"/>
        <w:right w:val="none" w:sz="0" w:space="0" w:color="auto"/>
      </w:divBdr>
    </w:div>
    <w:div w:id="1077243463">
      <w:bodyDiv w:val="1"/>
      <w:marLeft w:val="0"/>
      <w:marRight w:val="0"/>
      <w:marTop w:val="0"/>
      <w:marBottom w:val="0"/>
      <w:divBdr>
        <w:top w:val="none" w:sz="0" w:space="0" w:color="auto"/>
        <w:left w:val="none" w:sz="0" w:space="0" w:color="auto"/>
        <w:bottom w:val="none" w:sz="0" w:space="0" w:color="auto"/>
        <w:right w:val="none" w:sz="0" w:space="0" w:color="auto"/>
      </w:divBdr>
    </w:div>
    <w:div w:id="1100763649">
      <w:bodyDiv w:val="1"/>
      <w:marLeft w:val="0"/>
      <w:marRight w:val="0"/>
      <w:marTop w:val="0"/>
      <w:marBottom w:val="0"/>
      <w:divBdr>
        <w:top w:val="none" w:sz="0" w:space="0" w:color="auto"/>
        <w:left w:val="none" w:sz="0" w:space="0" w:color="auto"/>
        <w:bottom w:val="none" w:sz="0" w:space="0" w:color="auto"/>
        <w:right w:val="none" w:sz="0" w:space="0" w:color="auto"/>
      </w:divBdr>
    </w:div>
    <w:div w:id="1454909147">
      <w:bodyDiv w:val="1"/>
      <w:marLeft w:val="0"/>
      <w:marRight w:val="0"/>
      <w:marTop w:val="0"/>
      <w:marBottom w:val="0"/>
      <w:divBdr>
        <w:top w:val="none" w:sz="0" w:space="0" w:color="auto"/>
        <w:left w:val="none" w:sz="0" w:space="0" w:color="auto"/>
        <w:bottom w:val="none" w:sz="0" w:space="0" w:color="auto"/>
        <w:right w:val="none" w:sz="0" w:space="0" w:color="auto"/>
      </w:divBdr>
    </w:div>
    <w:div w:id="1569608404">
      <w:bodyDiv w:val="1"/>
      <w:marLeft w:val="0"/>
      <w:marRight w:val="0"/>
      <w:marTop w:val="0"/>
      <w:marBottom w:val="0"/>
      <w:divBdr>
        <w:top w:val="none" w:sz="0" w:space="0" w:color="auto"/>
        <w:left w:val="none" w:sz="0" w:space="0" w:color="auto"/>
        <w:bottom w:val="none" w:sz="0" w:space="0" w:color="auto"/>
        <w:right w:val="none" w:sz="0" w:space="0" w:color="auto"/>
      </w:divBdr>
    </w:div>
    <w:div w:id="1573616494">
      <w:bodyDiv w:val="1"/>
      <w:marLeft w:val="0"/>
      <w:marRight w:val="0"/>
      <w:marTop w:val="0"/>
      <w:marBottom w:val="0"/>
      <w:divBdr>
        <w:top w:val="none" w:sz="0" w:space="0" w:color="auto"/>
        <w:left w:val="none" w:sz="0" w:space="0" w:color="auto"/>
        <w:bottom w:val="none" w:sz="0" w:space="0" w:color="auto"/>
        <w:right w:val="none" w:sz="0" w:space="0" w:color="auto"/>
      </w:divBdr>
    </w:div>
    <w:div w:id="1683125754">
      <w:bodyDiv w:val="1"/>
      <w:marLeft w:val="0"/>
      <w:marRight w:val="0"/>
      <w:marTop w:val="0"/>
      <w:marBottom w:val="0"/>
      <w:divBdr>
        <w:top w:val="none" w:sz="0" w:space="0" w:color="auto"/>
        <w:left w:val="none" w:sz="0" w:space="0" w:color="auto"/>
        <w:bottom w:val="none" w:sz="0" w:space="0" w:color="auto"/>
        <w:right w:val="none" w:sz="0" w:space="0" w:color="auto"/>
      </w:divBdr>
    </w:div>
    <w:div w:id="1841848706">
      <w:bodyDiv w:val="1"/>
      <w:marLeft w:val="0"/>
      <w:marRight w:val="0"/>
      <w:marTop w:val="0"/>
      <w:marBottom w:val="0"/>
      <w:divBdr>
        <w:top w:val="none" w:sz="0" w:space="0" w:color="auto"/>
        <w:left w:val="none" w:sz="0" w:space="0" w:color="auto"/>
        <w:bottom w:val="none" w:sz="0" w:space="0" w:color="auto"/>
        <w:right w:val="none" w:sz="0" w:space="0" w:color="auto"/>
      </w:divBdr>
    </w:div>
    <w:div w:id="1922640420">
      <w:bodyDiv w:val="1"/>
      <w:marLeft w:val="0"/>
      <w:marRight w:val="0"/>
      <w:marTop w:val="0"/>
      <w:marBottom w:val="0"/>
      <w:divBdr>
        <w:top w:val="none" w:sz="0" w:space="0" w:color="auto"/>
        <w:left w:val="none" w:sz="0" w:space="0" w:color="auto"/>
        <w:bottom w:val="none" w:sz="0" w:space="0" w:color="auto"/>
        <w:right w:val="none" w:sz="0" w:space="0" w:color="auto"/>
      </w:divBdr>
    </w:div>
    <w:div w:id="1969165137">
      <w:bodyDiv w:val="1"/>
      <w:marLeft w:val="0"/>
      <w:marRight w:val="0"/>
      <w:marTop w:val="0"/>
      <w:marBottom w:val="0"/>
      <w:divBdr>
        <w:top w:val="none" w:sz="0" w:space="0" w:color="auto"/>
        <w:left w:val="none" w:sz="0" w:space="0" w:color="auto"/>
        <w:bottom w:val="none" w:sz="0" w:space="0" w:color="auto"/>
        <w:right w:val="none" w:sz="0" w:space="0" w:color="auto"/>
      </w:divBdr>
    </w:div>
    <w:div w:id="1996177668">
      <w:bodyDiv w:val="1"/>
      <w:marLeft w:val="0"/>
      <w:marRight w:val="0"/>
      <w:marTop w:val="0"/>
      <w:marBottom w:val="0"/>
      <w:divBdr>
        <w:top w:val="none" w:sz="0" w:space="0" w:color="auto"/>
        <w:left w:val="none" w:sz="0" w:space="0" w:color="auto"/>
        <w:bottom w:val="none" w:sz="0" w:space="0" w:color="auto"/>
        <w:right w:val="none" w:sz="0" w:space="0" w:color="auto"/>
      </w:divBdr>
    </w:div>
    <w:div w:id="20627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2023-INIT/pl/pdf" TargetMode="External"/><Relationship Id="rId2" Type="http://schemas.openxmlformats.org/officeDocument/2006/relationships/hyperlink" Target="https://home-affairs.ec.europa.eu/system/files/2022-12/Western%20Balkans_en.pdf" TargetMode="External"/><Relationship Id="rId1" Type="http://schemas.openxmlformats.org/officeDocument/2006/relationships/hyperlink" Target="https://www.oecd.org/cfe/tourism/Safe-and-seamless-travel-and-improved-traveller-experience-OECDReport-for-the-G20-TWG_merged.pdf" TargetMode="External"/><Relationship Id="rId6" Type="http://schemas.openxmlformats.org/officeDocument/2006/relationships/hyperlink" Target="https://www.consilium.europa.eu/pl/meetings/jha/2023/03/09-10/" TargetMode="External"/><Relationship Id="rId5" Type="http://schemas.openxmlformats.org/officeDocument/2006/relationships/hyperlink" Target="https://eur-lex.europa.eu/PL/legal-content/summary/visa-waiver-agreements.html" TargetMode="External"/><Relationship Id="rId4" Type="http://schemas.openxmlformats.org/officeDocument/2006/relationships/hyperlink" Target="https://ec.europa.eu/commission/presscorner/detail/pl/ip_22_608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800" b="1"/>
              <a:t>Wnioski o udzielenie azylu</a:t>
            </a:r>
            <a:r>
              <a:rPr lang="pl-PL" sz="800" b="1" baseline="0"/>
              <a:t> w UE - </a:t>
            </a:r>
            <a:r>
              <a:rPr lang="en-IE" sz="800" b="1"/>
              <a:t>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graphs!$B$1</c:f>
              <c:strCache>
                <c:ptCount val="1"/>
                <c:pt idx="0">
                  <c:v>2021</c:v>
                </c:pt>
              </c:strCache>
            </c:strRef>
          </c:tx>
          <c:spPr>
            <a:solidFill>
              <a:schemeClr val="accent1"/>
            </a:solidFill>
            <a:ln>
              <a:noFill/>
            </a:ln>
            <a:effectLst/>
          </c:spPr>
          <c:invertIfNegative val="0"/>
          <c:cat>
            <c:strRef>
              <c:f>graphs!$A$2:$A$11</c:f>
              <c:strCache>
                <c:ptCount val="10"/>
                <c:pt idx="0">
                  <c:v>Wenezuela</c:v>
                </c:pt>
                <c:pt idx="1">
                  <c:v>Kolumbia</c:v>
                </c:pt>
                <c:pt idx="2">
                  <c:v>Gruzja</c:v>
                </c:pt>
                <c:pt idx="3">
                  <c:v>Ukraina</c:v>
                </c:pt>
                <c:pt idx="4">
                  <c:v>Albania</c:v>
                </c:pt>
                <c:pt idx="5">
                  <c:v>Peru</c:v>
                </c:pt>
                <c:pt idx="6">
                  <c:v>Mołdawia</c:v>
                </c:pt>
                <c:pt idx="7">
                  <c:v> Macedonia Północna</c:v>
                </c:pt>
                <c:pt idx="8">
                  <c:v>Serbia</c:v>
                </c:pt>
                <c:pt idx="9">
                  <c:v>Salwador</c:v>
                </c:pt>
              </c:strCache>
            </c:strRef>
          </c:cat>
          <c:val>
            <c:numRef>
              <c:f>graphs!$B$2:$B$11</c:f>
              <c:numCache>
                <c:formatCode>#,##0</c:formatCode>
                <c:ptCount val="10"/>
                <c:pt idx="0">
                  <c:v>17900</c:v>
                </c:pt>
                <c:pt idx="1">
                  <c:v>13835</c:v>
                </c:pt>
                <c:pt idx="2">
                  <c:v>14600</c:v>
                </c:pt>
                <c:pt idx="3">
                  <c:v>6460</c:v>
                </c:pt>
                <c:pt idx="4">
                  <c:v>11300</c:v>
                </c:pt>
                <c:pt idx="5">
                  <c:v>3235</c:v>
                </c:pt>
                <c:pt idx="6">
                  <c:v>7885</c:v>
                </c:pt>
                <c:pt idx="7">
                  <c:v>5345</c:v>
                </c:pt>
                <c:pt idx="8">
                  <c:v>3390</c:v>
                </c:pt>
                <c:pt idx="9">
                  <c:v>2190</c:v>
                </c:pt>
              </c:numCache>
            </c:numRef>
          </c:val>
          <c:extLst>
            <c:ext xmlns:c16="http://schemas.microsoft.com/office/drawing/2014/chart" uri="{C3380CC4-5D6E-409C-BE32-E72D297353CC}">
              <c16:uniqueId val="{00000000-9B9B-4FC1-8660-3AEEFF97892D}"/>
            </c:ext>
          </c:extLst>
        </c:ser>
        <c:ser>
          <c:idx val="1"/>
          <c:order val="1"/>
          <c:tx>
            <c:strRef>
              <c:f>graphs!$C$1</c:f>
              <c:strCache>
                <c:ptCount val="1"/>
                <c:pt idx="0">
                  <c:v>2022</c:v>
                </c:pt>
              </c:strCache>
            </c:strRef>
          </c:tx>
          <c:spPr>
            <a:solidFill>
              <a:schemeClr val="accent2"/>
            </a:solidFill>
            <a:ln>
              <a:noFill/>
            </a:ln>
            <a:effectLst/>
          </c:spPr>
          <c:invertIfNegative val="0"/>
          <c:cat>
            <c:strRef>
              <c:f>graphs!$A$2:$A$11</c:f>
              <c:strCache>
                <c:ptCount val="10"/>
                <c:pt idx="0">
                  <c:v>Wenezuela</c:v>
                </c:pt>
                <c:pt idx="1">
                  <c:v>Kolumbia</c:v>
                </c:pt>
                <c:pt idx="2">
                  <c:v>Gruzja</c:v>
                </c:pt>
                <c:pt idx="3">
                  <c:v>Ukraina</c:v>
                </c:pt>
                <c:pt idx="4">
                  <c:v>Albania</c:v>
                </c:pt>
                <c:pt idx="5">
                  <c:v>Peru</c:v>
                </c:pt>
                <c:pt idx="6">
                  <c:v>Mołdawia</c:v>
                </c:pt>
                <c:pt idx="7">
                  <c:v> Macedonia Północna</c:v>
                </c:pt>
                <c:pt idx="8">
                  <c:v>Serbia</c:v>
                </c:pt>
                <c:pt idx="9">
                  <c:v>Salwador</c:v>
                </c:pt>
              </c:strCache>
            </c:strRef>
          </c:cat>
          <c:val>
            <c:numRef>
              <c:f>graphs!$C$2:$C$11</c:f>
              <c:numCache>
                <c:formatCode>#,##0</c:formatCode>
                <c:ptCount val="10"/>
                <c:pt idx="0">
                  <c:v>50730</c:v>
                </c:pt>
                <c:pt idx="1">
                  <c:v>43020</c:v>
                </c:pt>
                <c:pt idx="2">
                  <c:v>28385</c:v>
                </c:pt>
                <c:pt idx="3">
                  <c:v>26725</c:v>
                </c:pt>
                <c:pt idx="4">
                  <c:v>13100</c:v>
                </c:pt>
                <c:pt idx="5">
                  <c:v>12845</c:v>
                </c:pt>
                <c:pt idx="6">
                  <c:v>8340</c:v>
                </c:pt>
                <c:pt idx="7">
                  <c:v>6605</c:v>
                </c:pt>
                <c:pt idx="8">
                  <c:v>4205</c:v>
                </c:pt>
                <c:pt idx="9">
                  <c:v>3885</c:v>
                </c:pt>
              </c:numCache>
            </c:numRef>
          </c:val>
          <c:extLst>
            <c:ext xmlns:c16="http://schemas.microsoft.com/office/drawing/2014/chart" uri="{C3380CC4-5D6E-409C-BE32-E72D297353CC}">
              <c16:uniqueId val="{00000001-9B9B-4FC1-8660-3AEEFF97892D}"/>
            </c:ext>
          </c:extLst>
        </c:ser>
        <c:dLbls>
          <c:showLegendKey val="0"/>
          <c:showVal val="0"/>
          <c:showCatName val="0"/>
          <c:showSerName val="0"/>
          <c:showPercent val="0"/>
          <c:showBubbleSize val="0"/>
        </c:dLbls>
        <c:gapWidth val="219"/>
        <c:overlap val="-27"/>
        <c:axId val="176821760"/>
        <c:axId val="176823296"/>
      </c:barChart>
      <c:catAx>
        <c:axId val="17682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23296"/>
        <c:crosses val="autoZero"/>
        <c:auto val="1"/>
        <c:lblAlgn val="ctr"/>
        <c:lblOffset val="100"/>
        <c:noMultiLvlLbl val="0"/>
      </c:catAx>
      <c:valAx>
        <c:axId val="176823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2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800" b="1"/>
              <a:t>Wnioski o udzielenie</a:t>
            </a:r>
            <a:r>
              <a:rPr lang="pl-PL" sz="800" b="1" baseline="0"/>
              <a:t> azylu w UE: obywatele państw zwolnionych z obowiazku wizowego i  objętych tym obowiązkiem</a:t>
            </a:r>
            <a:endParaRPr lang="en-IE" sz="800" b="1"/>
          </a:p>
        </c:rich>
      </c:tx>
      <c:layout>
        <c:manualLayout>
          <c:xMode val="edge"/>
          <c:yMode val="edge"/>
          <c:x val="0.11356521739130437"/>
          <c:y val="4.7781569965870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E8-45A0-9C56-5DEE962EEA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E8-45A0-9C56-5DEE962EEA5F}"/>
              </c:ext>
            </c:extLst>
          </c:dPt>
          <c:dLbls>
            <c:dLbl>
              <c:idx val="0"/>
              <c:layout>
                <c:manualLayout>
                  <c:x val="-0.14491193961051704"/>
                  <c:y val="0.21638980542510255"/>
                </c:manualLayout>
              </c:layout>
              <c:tx>
                <c:rich>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mn-lt"/>
                        <a:ea typeface="+mn-ea"/>
                        <a:cs typeface="+mn-cs"/>
                      </a:defRPr>
                    </a:pPr>
                    <a:r>
                      <a:rPr lang="en-US" sz="700"/>
                      <a:t>Zwolnione z obowiązku wizowego
22%</a:t>
                    </a:r>
                    <a:endParaRPr lang="en-US"/>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558712769599453"/>
                      <c:h val="0.25042500711507448"/>
                    </c:manualLayout>
                  </c15:layout>
                </c:ext>
                <c:ext xmlns:c16="http://schemas.microsoft.com/office/drawing/2014/chart" uri="{C3380CC4-5D6E-409C-BE32-E72D297353CC}">
                  <c16:uniqueId val="{00000001-B8E8-45A0-9C56-5DEE962EEA5F}"/>
                </c:ext>
              </c:extLst>
            </c:dLbl>
            <c:dLbl>
              <c:idx val="1"/>
              <c:layout>
                <c:manualLayout>
                  <c:x val="0.14417304471249731"/>
                  <c:y val="-0.12171347533903921"/>
                </c:manualLayout>
              </c:layout>
              <c:tx>
                <c:rich>
                  <a:bodyPr/>
                  <a:lstStyle/>
                  <a:p>
                    <a:r>
                      <a:rPr lang="en-US" sz="700"/>
                      <a:t>Objęte </a:t>
                    </a:r>
                    <a:r>
                      <a:rPr lang="en-US" sz="700" baseline="0"/>
                      <a:t>obowiązkiem wizowym</a:t>
                    </a:r>
                    <a:r>
                      <a:rPr lang="en-US" sz="700"/>
                      <a:t>
78%</a:t>
                    </a:r>
                    <a:endParaRPr lang="en-US"/>
                  </a:p>
                </c:rich>
              </c:tx>
              <c:dLblPos val="bestFit"/>
              <c:showLegendKey val="0"/>
              <c:showVal val="0"/>
              <c:showCatName val="1"/>
              <c:showSerName val="0"/>
              <c:showPercent val="1"/>
              <c:showBubbleSize val="0"/>
              <c:extLst>
                <c:ext xmlns:c15="http://schemas.microsoft.com/office/drawing/2012/chart" uri="{CE6537A1-D6FC-4f65-9D91-7224C49458BB}">
                  <c15:layout>
                    <c:manualLayout>
                      <c:w val="0.40982085293029646"/>
                      <c:h val="0.25124988686758981"/>
                    </c:manualLayout>
                  </c15:layout>
                </c:ext>
                <c:ext xmlns:c16="http://schemas.microsoft.com/office/drawing/2014/chart" uri="{C3380CC4-5D6E-409C-BE32-E72D297353CC}">
                  <c16:uniqueId val="{00000003-B8E8-45A0-9C56-5DEE962EEA5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graphs!$A$19:$A$20</c:f>
              <c:strCache>
                <c:ptCount val="2"/>
                <c:pt idx="0">
                  <c:v>Visa-free countries</c:v>
                </c:pt>
                <c:pt idx="1">
                  <c:v>Visa-required countries</c:v>
                </c:pt>
              </c:strCache>
            </c:strRef>
          </c:cat>
          <c:val>
            <c:numRef>
              <c:f>graphs!$B$19:$B$20</c:f>
              <c:numCache>
                <c:formatCode>#,##0</c:formatCode>
                <c:ptCount val="2"/>
                <c:pt idx="0">
                  <c:v>215165</c:v>
                </c:pt>
                <c:pt idx="1">
                  <c:v>746995</c:v>
                </c:pt>
              </c:numCache>
            </c:numRef>
          </c:val>
          <c:extLst>
            <c:ext xmlns:c16="http://schemas.microsoft.com/office/drawing/2014/chart" uri="{C3380CC4-5D6E-409C-BE32-E72D297353CC}">
              <c16:uniqueId val="{00000004-B8E8-45A0-9C56-5DEE962EEA5F}"/>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983581-87cd-4b3a-a77a-777bbb751c49">
      <UserInfo>
        <DisplayName>GIOTAKOS Dimitri (HOME)</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6" ma:contentTypeDescription="Create a new document." ma:contentTypeScope="" ma:versionID="0ecfa022e708995d77d6e294d7a62c32">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a359290286bd2bc37f9e93da6ed0819a"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6597-8F42-43E3-9397-F571C58018EC}">
  <ds:schemaRefs>
    <ds:schemaRef ds:uri="http://schemas.microsoft.com/office/2006/documentManagement/types"/>
    <ds:schemaRef ds:uri="f2983581-87cd-4b3a-a77a-777bbb751c4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590d3f1b-a5be-4600-95ba-480499bda195"/>
    <ds:schemaRef ds:uri="http://www.w3.org/XML/1998/namespace"/>
    <ds:schemaRef ds:uri="http://purl.org/dc/dcmitype/"/>
  </ds:schemaRefs>
</ds:datastoreItem>
</file>

<file path=customXml/itemProps2.xml><?xml version="1.0" encoding="utf-8"?>
<ds:datastoreItem xmlns:ds="http://schemas.openxmlformats.org/officeDocument/2006/customXml" ds:itemID="{BC409A5A-ED3F-4A2B-9F30-4DC62097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34A6F-2AF7-42B5-BFA4-148017835E10}">
  <ds:schemaRefs>
    <ds:schemaRef ds:uri="http://schemas.microsoft.com/sharepoint/v3/contenttype/forms"/>
  </ds:schemaRefs>
</ds:datastoreItem>
</file>

<file path=customXml/itemProps4.xml><?xml version="1.0" encoding="utf-8"?>
<ds:datastoreItem xmlns:ds="http://schemas.openxmlformats.org/officeDocument/2006/customXml" ds:itemID="{C8812A11-BE6E-4D7D-8AC0-054AD260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4669</Words>
  <Characters>31333</Characters>
  <Application>Microsoft Office Word</Application>
  <DocSecurity>0</DocSecurity>
  <Lines>489</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35891</CharactersWithSpaces>
  <SharedDoc>false</SharedDoc>
  <HLinks>
    <vt:vector size="126" baseType="variant">
      <vt:variant>
        <vt:i4>3997806</vt:i4>
      </vt:variant>
      <vt:variant>
        <vt:i4>18</vt:i4>
      </vt:variant>
      <vt:variant>
        <vt:i4>0</vt:i4>
      </vt:variant>
      <vt:variant>
        <vt:i4>5</vt:i4>
      </vt:variant>
      <vt:variant>
        <vt:lpwstr>https://data.consilium.europa.eu/doc/document/ST-1-2023-INIT/en/pdf</vt:lpwstr>
      </vt:variant>
      <vt:variant>
        <vt:lpwstr/>
      </vt:variant>
      <vt:variant>
        <vt:i4>6881376</vt:i4>
      </vt:variant>
      <vt:variant>
        <vt:i4>15</vt:i4>
      </vt:variant>
      <vt:variant>
        <vt:i4>0</vt:i4>
      </vt:variant>
      <vt:variant>
        <vt:i4>5</vt:i4>
      </vt:variant>
      <vt:variant>
        <vt:lpwstr>https://www.consilium.europa.eu/en/meetings/jha/2023/03/09-10/</vt:lpwstr>
      </vt:variant>
      <vt:variant>
        <vt:lpwstr/>
      </vt:variant>
      <vt:variant>
        <vt:i4>7340070</vt:i4>
      </vt:variant>
      <vt:variant>
        <vt:i4>12</vt:i4>
      </vt:variant>
      <vt:variant>
        <vt:i4>0</vt:i4>
      </vt:variant>
      <vt:variant>
        <vt:i4>5</vt:i4>
      </vt:variant>
      <vt:variant>
        <vt:lpwstr>https://eur-lex.europa.eu/EN/legal-content/summary/visa-waiver-agreements.html</vt:lpwstr>
      </vt:variant>
      <vt:variant>
        <vt:lpwstr>:~:text=The%20visa%20waiver%20agreements%20referred,during%20a%20180%2Dday%20period.</vt:lpwstr>
      </vt:variant>
      <vt:variant>
        <vt:i4>8192107</vt:i4>
      </vt:variant>
      <vt:variant>
        <vt:i4>9</vt:i4>
      </vt:variant>
      <vt:variant>
        <vt:i4>0</vt:i4>
      </vt:variant>
      <vt:variant>
        <vt:i4>5</vt:i4>
      </vt:variant>
      <vt:variant>
        <vt:lpwstr>https://ec.europa.eu/commission/presscorner/detail/en/ip_22_6082</vt:lpwstr>
      </vt:variant>
      <vt:variant>
        <vt:lpwstr/>
      </vt:variant>
      <vt:variant>
        <vt:i4>3997806</vt:i4>
      </vt:variant>
      <vt:variant>
        <vt:i4>6</vt:i4>
      </vt:variant>
      <vt:variant>
        <vt:i4>0</vt:i4>
      </vt:variant>
      <vt:variant>
        <vt:i4>5</vt:i4>
      </vt:variant>
      <vt:variant>
        <vt:lpwstr>https://data.consilium.europa.eu/doc/document/ST-1-2023-INIT/en/pdf</vt:lpwstr>
      </vt:variant>
      <vt:variant>
        <vt:lpwstr/>
      </vt:variant>
      <vt:variant>
        <vt:i4>4587647</vt:i4>
      </vt:variant>
      <vt:variant>
        <vt:i4>3</vt:i4>
      </vt:variant>
      <vt:variant>
        <vt:i4>0</vt:i4>
      </vt:variant>
      <vt:variant>
        <vt:i4>5</vt:i4>
      </vt:variant>
      <vt:variant>
        <vt:lpwstr>https://home-affairs.ec.europa.eu/system/files/2022-12/Western Balkans_en.pdf</vt:lpwstr>
      </vt:variant>
      <vt:variant>
        <vt:lpwstr/>
      </vt:variant>
      <vt:variant>
        <vt:i4>1572973</vt:i4>
      </vt:variant>
      <vt:variant>
        <vt:i4>0</vt:i4>
      </vt:variant>
      <vt:variant>
        <vt:i4>0</vt:i4>
      </vt:variant>
      <vt:variant>
        <vt:i4>5</vt:i4>
      </vt:variant>
      <vt:variant>
        <vt:lpwstr>https://www.oecd.org/cfe/tourism/Safe-and-seamless-travel-and-improved-traveller-experience-OECDReport-for-the-G20-TWG_merged.pdf</vt:lpwstr>
      </vt:variant>
      <vt:variant>
        <vt:lpwstr/>
      </vt:variant>
      <vt:variant>
        <vt:i4>7274566</vt:i4>
      </vt:variant>
      <vt:variant>
        <vt:i4>39</vt:i4>
      </vt:variant>
      <vt:variant>
        <vt:i4>0</vt:i4>
      </vt:variant>
      <vt:variant>
        <vt:i4>5</vt:i4>
      </vt:variant>
      <vt:variant>
        <vt:lpwstr>mailto:Dimitri.Giotakos@ec.europa.eu</vt:lpwstr>
      </vt:variant>
      <vt:variant>
        <vt:lpwstr/>
      </vt:variant>
      <vt:variant>
        <vt:i4>7274566</vt:i4>
      </vt:variant>
      <vt:variant>
        <vt:i4>36</vt:i4>
      </vt:variant>
      <vt:variant>
        <vt:i4>0</vt:i4>
      </vt:variant>
      <vt:variant>
        <vt:i4>5</vt:i4>
      </vt:variant>
      <vt:variant>
        <vt:lpwstr>mailto:Dimitri.Giotakos@ec.europa.eu</vt:lpwstr>
      </vt:variant>
      <vt:variant>
        <vt:lpwstr/>
      </vt:variant>
      <vt:variant>
        <vt:i4>4718706</vt:i4>
      </vt:variant>
      <vt:variant>
        <vt:i4>33</vt:i4>
      </vt:variant>
      <vt:variant>
        <vt:i4>0</vt:i4>
      </vt:variant>
      <vt:variant>
        <vt:i4>5</vt:i4>
      </vt:variant>
      <vt:variant>
        <vt:lpwstr>mailto:Elettra.DI-MASSA1@ec.europa.eu</vt:lpwstr>
      </vt:variant>
      <vt:variant>
        <vt:lpwstr/>
      </vt:variant>
      <vt:variant>
        <vt:i4>4718706</vt:i4>
      </vt:variant>
      <vt:variant>
        <vt:i4>30</vt:i4>
      </vt:variant>
      <vt:variant>
        <vt:i4>0</vt:i4>
      </vt:variant>
      <vt:variant>
        <vt:i4>5</vt:i4>
      </vt:variant>
      <vt:variant>
        <vt:lpwstr>mailto:Elettra.DI-MASSA1@ec.europa.eu</vt:lpwstr>
      </vt:variant>
      <vt:variant>
        <vt:lpwstr/>
      </vt:variant>
      <vt:variant>
        <vt:i4>1507389</vt:i4>
      </vt:variant>
      <vt:variant>
        <vt:i4>27</vt:i4>
      </vt:variant>
      <vt:variant>
        <vt:i4>0</vt:i4>
      </vt:variant>
      <vt:variant>
        <vt:i4>5</vt:i4>
      </vt:variant>
      <vt:variant>
        <vt:lpwstr>mailto:Silvio.GRIECO@ec.europa.eu</vt:lpwstr>
      </vt:variant>
      <vt:variant>
        <vt:lpwstr/>
      </vt:variant>
      <vt:variant>
        <vt:i4>4718706</vt:i4>
      </vt:variant>
      <vt:variant>
        <vt:i4>24</vt:i4>
      </vt:variant>
      <vt:variant>
        <vt:i4>0</vt:i4>
      </vt:variant>
      <vt:variant>
        <vt:i4>5</vt:i4>
      </vt:variant>
      <vt:variant>
        <vt:lpwstr>mailto:Elettra.DI-MASSA1@ec.europa.eu</vt:lpwstr>
      </vt:variant>
      <vt:variant>
        <vt:lpwstr/>
      </vt:variant>
      <vt:variant>
        <vt:i4>4718706</vt:i4>
      </vt:variant>
      <vt:variant>
        <vt:i4>21</vt:i4>
      </vt:variant>
      <vt:variant>
        <vt:i4>0</vt:i4>
      </vt:variant>
      <vt:variant>
        <vt:i4>5</vt:i4>
      </vt:variant>
      <vt:variant>
        <vt:lpwstr>mailto:Elettra.DI-MASSA1@ec.europa.eu</vt:lpwstr>
      </vt:variant>
      <vt:variant>
        <vt:lpwstr/>
      </vt:variant>
      <vt:variant>
        <vt:i4>4718706</vt:i4>
      </vt:variant>
      <vt:variant>
        <vt:i4>18</vt:i4>
      </vt:variant>
      <vt:variant>
        <vt:i4>0</vt:i4>
      </vt:variant>
      <vt:variant>
        <vt:i4>5</vt:i4>
      </vt:variant>
      <vt:variant>
        <vt:lpwstr>mailto:Elettra.DI-MASSA1@ec.europa.eu</vt:lpwstr>
      </vt:variant>
      <vt:variant>
        <vt:lpwstr/>
      </vt:variant>
      <vt:variant>
        <vt:i4>4718706</vt:i4>
      </vt:variant>
      <vt:variant>
        <vt:i4>15</vt:i4>
      </vt:variant>
      <vt:variant>
        <vt:i4>0</vt:i4>
      </vt:variant>
      <vt:variant>
        <vt:i4>5</vt:i4>
      </vt:variant>
      <vt:variant>
        <vt:lpwstr>mailto:Elettra.DI-MASSA1@ec.europa.eu</vt:lpwstr>
      </vt:variant>
      <vt:variant>
        <vt:lpwstr/>
      </vt:variant>
      <vt:variant>
        <vt:i4>3342444</vt:i4>
      </vt:variant>
      <vt:variant>
        <vt:i4>12</vt:i4>
      </vt:variant>
      <vt:variant>
        <vt:i4>0</vt:i4>
      </vt:variant>
      <vt:variant>
        <vt:i4>5</vt:i4>
      </vt:variant>
      <vt:variant>
        <vt:lpwstr>https://www.oecd.org/tax/automatic-exchange/crs-implementation-and-assistance/residence-citizenship-by-investment/</vt:lpwstr>
      </vt:variant>
      <vt:variant>
        <vt:lpwstr/>
      </vt:variant>
      <vt:variant>
        <vt:i4>3342444</vt:i4>
      </vt:variant>
      <vt:variant>
        <vt:i4>9</vt:i4>
      </vt:variant>
      <vt:variant>
        <vt:i4>0</vt:i4>
      </vt:variant>
      <vt:variant>
        <vt:i4>5</vt:i4>
      </vt:variant>
      <vt:variant>
        <vt:lpwstr>https://www.oecd.org/tax/automatic-exchange/crs-implementation-and-assistance/residence-citizenship-by-investment/</vt:lpwstr>
      </vt:variant>
      <vt:variant>
        <vt:lpwstr/>
      </vt:variant>
      <vt:variant>
        <vt:i4>1507389</vt:i4>
      </vt:variant>
      <vt:variant>
        <vt:i4>6</vt:i4>
      </vt:variant>
      <vt:variant>
        <vt:i4>0</vt:i4>
      </vt:variant>
      <vt:variant>
        <vt:i4>5</vt:i4>
      </vt:variant>
      <vt:variant>
        <vt:lpwstr>mailto:Silvio.GRIECO@ec.europa.eu</vt:lpwstr>
      </vt:variant>
      <vt:variant>
        <vt:lpwstr/>
      </vt:variant>
      <vt:variant>
        <vt:i4>4718706</vt:i4>
      </vt:variant>
      <vt:variant>
        <vt:i4>3</vt:i4>
      </vt:variant>
      <vt:variant>
        <vt:i4>0</vt:i4>
      </vt:variant>
      <vt:variant>
        <vt:i4>5</vt:i4>
      </vt:variant>
      <vt:variant>
        <vt:lpwstr>mailto:Elettra.DI-MASSA1@ec.europa.eu</vt:lpwstr>
      </vt:variant>
      <vt:variant>
        <vt:lpwstr/>
      </vt:variant>
      <vt:variant>
        <vt:i4>3342444</vt:i4>
      </vt:variant>
      <vt:variant>
        <vt:i4>0</vt:i4>
      </vt:variant>
      <vt:variant>
        <vt:i4>0</vt:i4>
      </vt:variant>
      <vt:variant>
        <vt:i4>5</vt:i4>
      </vt:variant>
      <vt:variant>
        <vt:lpwstr>https://www.oecd.org/tax/automatic-exchange/crs-implementation-and-assistance/residence-citizenship-by-investment/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40</cp:revision>
  <dcterms:created xsi:type="dcterms:W3CDTF">2023-05-26T18:11:00Z</dcterms:created>
  <dcterms:modified xsi:type="dcterms:W3CDTF">2023-06-22T06:02:00Z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9.0, Build 20230317</vt:lpwstr>
  </property>
  <property fmtid="{D5CDD505-2E9C-101B-9397-08002B2CF9AE}" pid="8" name="Created using">
    <vt:lpwstr>LW 8.1, Build 20230124</vt:lpwstr>
  </property>
  <property fmtid="{D5CDD505-2E9C-101B-9397-08002B2CF9AE}" pid="9" name="ContentTypeId">
    <vt:lpwstr>0x010100DAD48F1434A9434C98DA00CC7DA69B89</vt:lpwstr>
  </property>
  <property fmtid="{D5CDD505-2E9C-101B-9397-08002B2CF9AE}" pid="10" name="MSIP_Label_6bd9ddd1-4d20-43f6-abfa-fc3c07406f94_Enabled">
    <vt:lpwstr>true</vt:lpwstr>
  </property>
  <property fmtid="{D5CDD505-2E9C-101B-9397-08002B2CF9AE}" pid="11" name="MSIP_Label_6bd9ddd1-4d20-43f6-abfa-fc3c07406f94_SetDate">
    <vt:lpwstr>2023-04-24T07:06:09Z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aea8ac8e-a3b8-4593-9a36-ca7013909d70</vt:lpwstr>
  </property>
  <property fmtid="{D5CDD505-2E9C-101B-9397-08002B2CF9AE}" pid="16" name="MSIP_Label_6bd9ddd1-4d20-43f6-abfa-fc3c07406f94_ContentBits">
    <vt:lpwstr>0</vt:lpwstr>
  </property>
</Properties>
</file>