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33F50" w14:textId="44D55E04" w:rsidR="006C2019" w:rsidRDefault="001A1E95" w:rsidP="001A1E95">
      <w:pPr>
        <w:pStyle w:val="Pagedecouverture"/>
        <w:rPr>
          <w:noProof/>
        </w:rPr>
      </w:pPr>
      <w:bookmarkStart w:id="0" w:name="LW_BM_COVERPAGE"/>
      <w:r>
        <w:rPr>
          <w:noProof/>
        </w:rPr>
        <w:pict w14:anchorId="4BD7C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70BCAC1-27AE-494D-9CEC-BE6F14D1F296" style="width:455.25pt;height:324pt">
            <v:imagedata r:id="rId11" o:title=""/>
          </v:shape>
        </w:pict>
      </w:r>
    </w:p>
    <w:bookmarkEnd w:id="0"/>
    <w:p w14:paraId="39C0C897" w14:textId="77777777" w:rsidR="00600218" w:rsidRPr="00600218" w:rsidRDefault="00600218" w:rsidP="00600218">
      <w:pPr>
        <w:pStyle w:val="Pagedecouverture"/>
        <w:rPr>
          <w:noProof/>
        </w:rPr>
        <w:sectPr w:rsidR="00600218" w:rsidRPr="00600218" w:rsidSect="001A1E95">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3DC0B3E" w14:textId="77777777" w:rsidR="00826D6A" w:rsidRPr="00C20FB0" w:rsidRDefault="00826D6A" w:rsidP="00826D6A">
      <w:pPr>
        <w:spacing w:before="360" w:after="0"/>
        <w:jc w:val="center"/>
        <w:rPr>
          <w:rFonts w:ascii="Times New Roman" w:eastAsia="Times New Roman" w:hAnsi="Times New Roman" w:cs="Times New Roman"/>
          <w:b/>
          <w:bCs/>
          <w:noProof/>
          <w:sz w:val="24"/>
          <w:szCs w:val="24"/>
        </w:rPr>
      </w:pPr>
      <w:bookmarkStart w:id="1" w:name="_GoBack"/>
      <w:bookmarkEnd w:id="1"/>
      <w:r>
        <w:rPr>
          <w:rFonts w:ascii="Times New Roman" w:hAnsi="Times New Roman"/>
          <w:b/>
          <w:noProof/>
          <w:sz w:val="24"/>
        </w:rPr>
        <w:lastRenderedPageBreak/>
        <w:t>RAPORT AL COMISIEI CĂTRE PARLAMENTUL EUROPEAN ȘI CONSILIU</w:t>
      </w:r>
    </w:p>
    <w:p w14:paraId="1BA820D1" w14:textId="77777777" w:rsidR="00826D6A" w:rsidRPr="00B5138C" w:rsidRDefault="00826D6A" w:rsidP="00826D6A">
      <w:pPr>
        <w:spacing w:before="360" w:after="0"/>
        <w:rPr>
          <w:rFonts w:ascii="Times New Roman" w:eastAsia="Times New Roman" w:hAnsi="Times New Roman" w:cs="Times New Roman"/>
          <w:b/>
          <w:noProof/>
          <w:sz w:val="24"/>
          <w:lang w:eastAsia="en-GB"/>
        </w:rPr>
      </w:pPr>
    </w:p>
    <w:p w14:paraId="1BFFBCDB" w14:textId="77777777" w:rsidR="00826D6A" w:rsidRPr="00C20FB0" w:rsidRDefault="00826D6A" w:rsidP="00826D6A">
      <w:pPr>
        <w:autoSpaceDE w:val="0"/>
        <w:autoSpaceDN w:val="0"/>
        <w:adjustRightInd w:val="0"/>
        <w:spacing w:after="0"/>
        <w:jc w:val="center"/>
        <w:rPr>
          <w:rFonts w:ascii="Times New Roman" w:eastAsia="Times New Roman" w:hAnsi="Times New Roman" w:cs="Times New Roman"/>
          <w:b/>
          <w:bCs/>
          <w:noProof/>
          <w:sz w:val="24"/>
          <w:szCs w:val="24"/>
        </w:rPr>
      </w:pPr>
      <w:r>
        <w:rPr>
          <w:rFonts w:ascii="Times New Roman" w:hAnsi="Times New Roman"/>
          <w:b/>
          <w:noProof/>
          <w:sz w:val="24"/>
        </w:rPr>
        <w:t>Evaluarea caracterului adecvat al informațiilor care trebuie comunicate în temeiul articolului 89 alineatul (1) din Directiva 2013/36/UE</w:t>
      </w:r>
    </w:p>
    <w:p w14:paraId="3CFCE99C" w14:textId="77777777" w:rsidR="00826D6A" w:rsidRPr="00B5138C" w:rsidRDefault="00826D6A" w:rsidP="00826D6A">
      <w:pPr>
        <w:autoSpaceDE w:val="0"/>
        <w:autoSpaceDN w:val="0"/>
        <w:adjustRightInd w:val="0"/>
        <w:spacing w:after="0"/>
        <w:jc w:val="center"/>
        <w:rPr>
          <w:rFonts w:ascii="Times New Roman" w:eastAsia="Times New Roman" w:hAnsi="Times New Roman" w:cs="Times New Roman"/>
          <w:b/>
          <w:noProof/>
          <w:sz w:val="24"/>
          <w:szCs w:val="24"/>
          <w:lang w:eastAsia="en-GB"/>
        </w:rPr>
      </w:pPr>
    </w:p>
    <w:p w14:paraId="4D9AED86" w14:textId="77777777" w:rsidR="00826D6A" w:rsidRPr="00C20FB0" w:rsidRDefault="00826D6A" w:rsidP="00826D6A">
      <w:pPr>
        <w:keepNext/>
        <w:numPr>
          <w:ilvl w:val="0"/>
          <w:numId w:val="1"/>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Introducere</w:t>
      </w:r>
    </w:p>
    <w:p w14:paraId="4B96FE14" w14:textId="3C6E9E93"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Directiva 2013/36/UE a Parlamentului European și a Consiliului</w:t>
      </w:r>
      <w:r>
        <w:rPr>
          <w:rStyle w:val="FootnoteReference"/>
          <w:rFonts w:ascii="Times New Roman" w:eastAsia="Times New Roman" w:hAnsi="Times New Roman" w:cs="Times New Roman"/>
          <w:noProof/>
          <w:sz w:val="24"/>
          <w:szCs w:val="24"/>
          <w:lang w:eastAsia="en-GB"/>
        </w:rPr>
        <w:footnoteReference w:id="2"/>
      </w:r>
      <w:r>
        <w:rPr>
          <w:rFonts w:ascii="Times New Roman" w:hAnsi="Times New Roman"/>
          <w:noProof/>
          <w:sz w:val="24"/>
        </w:rPr>
        <w:t>, cunoscută sub denumirea de</w:t>
      </w:r>
      <w:r>
        <w:rPr>
          <w:noProof/>
        </w:rPr>
        <w:t xml:space="preserve"> </w:t>
      </w:r>
      <w:r>
        <w:rPr>
          <w:rFonts w:ascii="Times New Roman" w:hAnsi="Times New Roman"/>
          <w:noProof/>
          <w:sz w:val="24"/>
        </w:rPr>
        <w:t>Directiva privind cerințele de capital IV (denumită în continuare: CRD IV), a instituit un cadru european de coordonare a dispozițiilor naționale privind accesul la activitatea instituțiilor de credit și a firmelor de investiții, modalitățile de guvernanță și de supraveghere a acestora. Directiva menționată a fost adoptată în 2013 ca parte a unui pachet legislativ care include Regulamentul (UE) nr. 575/2013</w:t>
      </w:r>
      <w:r>
        <w:rPr>
          <w:rStyle w:val="FootnoteReference"/>
          <w:rFonts w:ascii="Times New Roman" w:hAnsi="Times New Roman" w:cs="Times New Roman"/>
          <w:noProof/>
          <w:sz w:val="24"/>
          <w:szCs w:val="24"/>
        </w:rPr>
        <w:footnoteReference w:id="3"/>
      </w:r>
      <w:r>
        <w:rPr>
          <w:rFonts w:ascii="Times New Roman" w:hAnsi="Times New Roman"/>
          <w:noProof/>
          <w:sz w:val="24"/>
        </w:rPr>
        <w:t xml:space="preserve">, cunoscut sub denumirea de Regulamentul privind cerințele de capital (denumit în continuare: CRR), care stabilește reguli uniforme privind cerințele prudențiale generale. </w:t>
      </w:r>
    </w:p>
    <w:p w14:paraId="7A9E1B48" w14:textId="77777777"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 xml:space="preserve">Acest pachet a fost adoptat în contextul unei presiuni publice tot mai mari asupra sectorului financiar de la începutul crizei financiare și a datoriilor, în 2007, și a inclus dispoziții specifice menite să abordeze această presiune în vederea recâștigării încrederii cetățenilor și contribuabililor europeni în sectorul financiar în ansamblu. </w:t>
      </w:r>
    </w:p>
    <w:p w14:paraId="1E898714" w14:textId="65085A60"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Din motive de „transparență sporită”</w:t>
      </w:r>
      <w:r>
        <w:rPr>
          <w:rStyle w:val="FootnoteReference"/>
          <w:rFonts w:ascii="Times New Roman" w:hAnsi="Times New Roman" w:cs="Times New Roman"/>
          <w:noProof/>
          <w:sz w:val="24"/>
          <w:szCs w:val="24"/>
        </w:rPr>
        <w:footnoteReference w:id="4"/>
      </w:r>
      <w:r>
        <w:rPr>
          <w:rFonts w:ascii="Times New Roman" w:hAnsi="Times New Roman"/>
          <w:noProof/>
          <w:sz w:val="24"/>
        </w:rPr>
        <w:t>, articolul 89 [„Raportarea pentru fiecare țară în parte”, denumit în continuare: CBCR (</w:t>
      </w:r>
      <w:r>
        <w:rPr>
          <w:rFonts w:ascii="Times New Roman" w:hAnsi="Times New Roman"/>
          <w:i/>
          <w:noProof/>
          <w:sz w:val="24"/>
        </w:rPr>
        <w:t>country-by-country reporting</w:t>
      </w:r>
      <w:r>
        <w:rPr>
          <w:rFonts w:ascii="Times New Roman" w:hAnsi="Times New Roman"/>
          <w:noProof/>
          <w:sz w:val="24"/>
        </w:rPr>
        <w:t>)] din CRD IV prevede, prin urmare, obligația statelor membre să se asigure că instituțiile de credit și firmele de investiții (denumite în continuare: „instituții”), sub rezerva prezentului cadru legislativ, publică informații specifice – deopotrivă financiare și nefinanciare – cu privire la activitățile lor.</w:t>
      </w:r>
    </w:p>
    <w:p w14:paraId="1D0FCFBA" w14:textId="5A762635" w:rsidR="00826D6A" w:rsidRPr="00C20FB0" w:rsidRDefault="00826D6A" w:rsidP="00826D6A">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Prezentul raport este elaborat în temeiul articolului 89 alineatul (6) din CRD V</w:t>
      </w:r>
      <w:r>
        <w:rPr>
          <w:rStyle w:val="FootnoteReference"/>
          <w:rFonts w:ascii="Times New Roman" w:eastAsia="Times New Roman" w:hAnsi="Times New Roman" w:cs="Times New Roman"/>
          <w:noProof/>
          <w:sz w:val="24"/>
          <w:szCs w:val="24"/>
          <w:lang w:eastAsia="en-GB"/>
        </w:rPr>
        <w:footnoteReference w:id="5"/>
      </w:r>
      <w:r>
        <w:rPr>
          <w:rFonts w:ascii="Times New Roman" w:hAnsi="Times New Roman"/>
          <w:noProof/>
          <w:sz w:val="24"/>
        </w:rPr>
        <w:t>, care prevede obligația Comisiei să analizeze dacă informațiile raportate pentru fiecare țară în parte în parte sunt încă adecvate și dacă ar trebui adăugate informații suplimentare relevante. În plus, acesta prevede obligația de a prezenta rezultatul acestei evaluări Parlamentului European și Consiliului în vederea unei posibile propuneri legislative.</w:t>
      </w:r>
    </w:p>
    <w:p w14:paraId="02A0D4A9" w14:textId="19506BFD" w:rsidR="00826D6A" w:rsidRPr="00B5138C" w:rsidRDefault="00826D6A" w:rsidP="004F2809">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Evaluarea ia act de constatările studiului justificativ</w:t>
      </w:r>
      <w:r>
        <w:rPr>
          <w:rFonts w:ascii="Times New Roman" w:hAnsi="Times New Roman"/>
          <w:noProof/>
          <w:sz w:val="24"/>
          <w:szCs w:val="24"/>
          <w:vertAlign w:val="superscript"/>
        </w:rPr>
        <w:footnoteReference w:id="6"/>
      </w:r>
      <w:r>
        <w:rPr>
          <w:rFonts w:ascii="Times New Roman" w:hAnsi="Times New Roman"/>
          <w:noProof/>
          <w:sz w:val="24"/>
        </w:rPr>
        <w:t xml:space="preserve"> realizat de un contractant extern și se bazează pe analiza internă efectuată de Comisie. Au fost consultate ABE, EIOPA și ESMA. </w:t>
      </w:r>
    </w:p>
    <w:p w14:paraId="6F0B12CF" w14:textId="77777777" w:rsidR="00826D6A" w:rsidRPr="00B5138C" w:rsidRDefault="00826D6A" w:rsidP="00826D6A">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Metodologia utilizată de contractant pentru colectarea și evaluarea datelor se bazează pe o combinație de cercetări documentare, cartografiere juridică, interviuri, anchete și analize ale eșantioanelor:</w:t>
      </w:r>
      <w:r>
        <w:rPr>
          <w:noProof/>
        </w:rPr>
        <w:t xml:space="preserve"> </w:t>
      </w:r>
      <w:r>
        <w:rPr>
          <w:rFonts w:ascii="Times New Roman" w:hAnsi="Times New Roman"/>
          <w:noProof/>
          <w:sz w:val="24"/>
        </w:rPr>
        <w:t>rata relativ scăzută de răspuns din partea instituțiilor și a părților interesate invitate să participe la acest exercițiu este o limitare care trebuie luată în considerare pe parcursul prezentei evaluări.</w:t>
      </w:r>
    </w:p>
    <w:p w14:paraId="16DD90FB" w14:textId="77777777" w:rsidR="00826D6A" w:rsidRPr="00C20FB0" w:rsidRDefault="00826D6A" w:rsidP="00826D6A">
      <w:pPr>
        <w:keepNext/>
        <w:numPr>
          <w:ilvl w:val="0"/>
          <w:numId w:val="1"/>
        </w:numPr>
        <w:spacing w:before="360" w:after="120"/>
        <w:jc w:val="both"/>
        <w:outlineLvl w:val="0"/>
        <w:rPr>
          <w:rFonts w:ascii="Times New Roman" w:eastAsia="Times New Roman" w:hAnsi="Times New Roman" w:cs="Times New Roman"/>
          <w:b/>
          <w:bCs/>
          <w:smallCaps/>
          <w:noProof/>
          <w:sz w:val="24"/>
          <w:szCs w:val="24"/>
        </w:rPr>
      </w:pPr>
      <w:bookmarkStart w:id="2" w:name="_Toc246230956"/>
      <w:r>
        <w:rPr>
          <w:rFonts w:ascii="Times New Roman" w:hAnsi="Times New Roman"/>
          <w:b/>
          <w:smallCaps/>
          <w:noProof/>
          <w:sz w:val="24"/>
        </w:rPr>
        <w:t>Contextul care stă la baza introducerii cerințelor de raportare pentru fiecare țară în parte</w:t>
      </w:r>
    </w:p>
    <w:bookmarkEnd w:id="2"/>
    <w:p w14:paraId="4D0FA874" w14:textId="77777777"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În urma crizei financiare mondiale (2007-2009) și a crizei datoriilor care a afectat zona euro (2010-2012), încrederea publicului în sistemul financiar a atins un nivel foarte scăzut. Instituțiile au fost la originea crizei, iar sentimentul general de neîncredere a fost exacerbat de percepția larg răspândită a instituțiilor financiare ca facilitatori ai evitării obligațiilor fiscale.</w:t>
      </w:r>
    </w:p>
    <w:p w14:paraId="6CBE379D" w14:textId="77777777" w:rsidR="00826D6A" w:rsidRPr="003111FD"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În acest context, Parlamentul European a propus modificarea propunerii CRD IV a Comisiei prin prezentarea unor cerințe de transparență</w:t>
      </w:r>
      <w:r>
        <w:rPr>
          <w:rStyle w:val="FootnoteReference"/>
          <w:rFonts w:ascii="Times New Roman" w:hAnsi="Times New Roman" w:cs="Times New Roman"/>
          <w:noProof/>
          <w:sz w:val="24"/>
          <w:szCs w:val="24"/>
        </w:rPr>
        <w:footnoteReference w:id="7"/>
      </w:r>
      <w:r>
        <w:rPr>
          <w:rFonts w:ascii="Times New Roman" w:hAnsi="Times New Roman"/>
          <w:noProof/>
          <w:sz w:val="24"/>
        </w:rPr>
        <w:t>. Această inițiativă a avut ca rezultat articolul 89, al cărui obiectiv era de a recâștiga încrederea prin sporirea „[t]ransparenț[ei] [...] privind activitățile instituțiilor și, în special, privind profiturile realizate, impozitele plătite și subvențiile primite”</w:t>
      </w:r>
      <w:r>
        <w:rPr>
          <w:rStyle w:val="FootnoteReference"/>
          <w:rFonts w:ascii="Times New Roman" w:hAnsi="Times New Roman" w:cs="Times New Roman"/>
          <w:noProof/>
          <w:sz w:val="24"/>
          <w:szCs w:val="24"/>
        </w:rPr>
        <w:footnoteReference w:id="8"/>
      </w:r>
      <w:r>
        <w:rPr>
          <w:rFonts w:ascii="Times New Roman" w:hAnsi="Times New Roman"/>
          <w:noProof/>
          <w:sz w:val="24"/>
        </w:rPr>
        <w:t xml:space="preserve">. Cerințele de raportare pentru fiecare țară în parte sunt enumerate la articolul 89 alineatul (1) literele (a)-(f), după cum urmează: </w:t>
      </w:r>
    </w:p>
    <w:p w14:paraId="58687B31" w14:textId="77777777" w:rsidR="00826D6A" w:rsidRPr="003111FD"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(a) numele, natura activităților și localizarea geografică;</w:t>
      </w:r>
    </w:p>
    <w:p w14:paraId="3B4AFC10" w14:textId="77777777" w:rsidR="00826D6A" w:rsidRPr="003111FD"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(b) cifra de afaceri;</w:t>
      </w:r>
    </w:p>
    <w:p w14:paraId="46B4D5EB" w14:textId="77777777" w:rsidR="00826D6A" w:rsidRPr="003111FD"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(c) numărul de angajați în echivalent timp complet;</w:t>
      </w:r>
    </w:p>
    <w:p w14:paraId="227F65A0" w14:textId="77777777" w:rsidR="00826D6A" w:rsidRPr="003111FD"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(d) profit sau pierdere înainte de impozitare;</w:t>
      </w:r>
    </w:p>
    <w:p w14:paraId="0C6A6905" w14:textId="77777777" w:rsidR="00826D6A" w:rsidRPr="003111FD"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(e) impozitul pe profit sau pierdere;</w:t>
      </w:r>
    </w:p>
    <w:p w14:paraId="694B99A3" w14:textId="77777777" w:rsidR="00826D6A" w:rsidRDefault="00826D6A" w:rsidP="00826D6A">
      <w:pPr>
        <w:spacing w:before="120" w:after="120"/>
        <w:jc w:val="both"/>
        <w:rPr>
          <w:noProof/>
        </w:rPr>
      </w:pPr>
      <w:r>
        <w:rPr>
          <w:rFonts w:ascii="Times New Roman" w:hAnsi="Times New Roman"/>
          <w:noProof/>
          <w:sz w:val="24"/>
        </w:rPr>
        <w:t>(f) subvenții publice primite.</w:t>
      </w:r>
    </w:p>
    <w:p w14:paraId="14520498" w14:textId="77777777" w:rsidR="00826D6A" w:rsidRPr="000602F0"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În special, fiecare stat membru solicită instituțiilor să publice informațiile de mai sus:</w:t>
      </w:r>
    </w:p>
    <w:p w14:paraId="2986F0CB" w14:textId="606B0920" w:rsidR="00826D6A" w:rsidRPr="001E1F73" w:rsidRDefault="00826D6A" w:rsidP="00826D6A">
      <w:pPr>
        <w:pStyle w:val="ListParagraph"/>
        <w:numPr>
          <w:ilvl w:val="0"/>
          <w:numId w:val="46"/>
        </w:numPr>
        <w:spacing w:before="120" w:after="120"/>
        <w:jc w:val="both"/>
        <w:rPr>
          <w:rFonts w:ascii="Times New Roman" w:hAnsi="Times New Roman" w:cs="Times New Roman"/>
          <w:noProof/>
          <w:sz w:val="24"/>
          <w:szCs w:val="24"/>
        </w:rPr>
      </w:pPr>
      <w:r>
        <w:rPr>
          <w:rFonts w:ascii="Times New Roman" w:hAnsi="Times New Roman"/>
          <w:noProof/>
          <w:sz w:val="24"/>
        </w:rPr>
        <w:t>pentru fiecare țară în parte: în ceea ce privește fiecare jurisdicție în care entitatea raportoare își desfășoară activitatea și</w:t>
      </w:r>
    </w:p>
    <w:p w14:paraId="38D070B7" w14:textId="77777777" w:rsidR="00826D6A" w:rsidRDefault="00826D6A" w:rsidP="00826D6A">
      <w:pPr>
        <w:pStyle w:val="ListParagraph"/>
        <w:numPr>
          <w:ilvl w:val="0"/>
          <w:numId w:val="46"/>
        </w:numPr>
        <w:spacing w:before="120" w:after="120"/>
        <w:jc w:val="both"/>
        <w:rPr>
          <w:noProof/>
        </w:rPr>
      </w:pPr>
      <w:r>
        <w:rPr>
          <w:rFonts w:ascii="Times New Roman" w:hAnsi="Times New Roman"/>
          <w:noProof/>
          <w:sz w:val="24"/>
        </w:rPr>
        <w:t>anual: în mod consolidat pentru exercițiul financiar.</w:t>
      </w:r>
    </w:p>
    <w:p w14:paraId="0159BAC2" w14:textId="77777777" w:rsidR="00826D6A" w:rsidRDefault="00826D6A" w:rsidP="00826D6A">
      <w:pPr>
        <w:spacing w:before="120" w:after="120"/>
        <w:jc w:val="both"/>
        <w:rPr>
          <w:noProof/>
        </w:rPr>
      </w:pPr>
      <w:r>
        <w:rPr>
          <w:rFonts w:ascii="Times New Roman" w:hAnsi="Times New Roman"/>
          <w:noProof/>
          <w:sz w:val="24"/>
        </w:rPr>
        <w:t>Astfel cum se prevede la articolul 89 alineatul (4), informațiile de mai sus sunt publicate, în cazul în care este posibil, ca anexă la propriile declarații financiare anuale sau la declarația financiară consolidată a instituției respective, după caz.</w:t>
      </w:r>
    </w:p>
    <w:p w14:paraId="6A5E5A59" w14:textId="77777777"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În conformitate cu articolul 89 alineatul (3), în 2014, Comisia a efectuat o evaluare generală în legătură cu potențialele consecințe economice negative ale publicării unor astfel de informații, inclusiv impactul asupra competitivității, disponibilitatea investițiilor și a creditelor și stabilitatea sistemului financiar</w:t>
      </w:r>
      <w:r>
        <w:rPr>
          <w:rStyle w:val="FootnoteReference"/>
          <w:rFonts w:ascii="Times New Roman" w:hAnsi="Times New Roman" w:cs="Times New Roman"/>
          <w:noProof/>
          <w:sz w:val="24"/>
          <w:szCs w:val="24"/>
        </w:rPr>
        <w:footnoteReference w:id="9"/>
      </w:r>
      <w:r>
        <w:rPr>
          <w:rFonts w:ascii="Times New Roman" w:hAnsi="Times New Roman"/>
          <w:noProof/>
          <w:sz w:val="24"/>
        </w:rPr>
        <w:t>. Raportul rezultat a concluzionat că este puțin probabil ca cerințele de publicare prevăzute la articolul 89 alineatul (1) din CRD IV să aibă un impact economic negativ semnificativ: dimpotrivă, evaluarea a evidențiat consecințele pozitive ale raportării pentru fiecare țară în parte asupra transparenței și responsabilității sectorului serviciilor financiare din UE, precum și asupra încrederii publicului în acest sector.</w:t>
      </w:r>
    </w:p>
    <w:p w14:paraId="40BCF92D" w14:textId="77777777" w:rsidR="00826D6A" w:rsidRPr="00C20FB0" w:rsidRDefault="00826D6A" w:rsidP="00826D6A">
      <w:pPr>
        <w:keepNext/>
        <w:numPr>
          <w:ilvl w:val="0"/>
          <w:numId w:val="1"/>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evaluarea caracterului adecvat al cerințelor de</w:t>
      </w:r>
      <w:r>
        <w:rPr>
          <w:rFonts w:ascii="Times New Roman" w:hAnsi="Times New Roman"/>
          <w:b/>
          <w:smallCaps/>
          <w:noProof/>
        </w:rPr>
        <w:t xml:space="preserve"> </w:t>
      </w:r>
      <w:r>
        <w:rPr>
          <w:rFonts w:ascii="Times New Roman" w:hAnsi="Times New Roman"/>
          <w:b/>
          <w:smallCaps/>
          <w:noProof/>
          <w:sz w:val="28"/>
        </w:rPr>
        <w:t>raportare pentru fiecare țară în parte</w:t>
      </w:r>
    </w:p>
    <w:p w14:paraId="7204C03F" w14:textId="33FA9DE6" w:rsidR="006E4EBB" w:rsidRDefault="006E4EBB" w:rsidP="006E4EBB">
      <w:pPr>
        <w:spacing w:before="120" w:after="120"/>
        <w:jc w:val="both"/>
        <w:rPr>
          <w:rFonts w:ascii="Times New Roman" w:hAnsi="Times New Roman" w:cs="Times New Roman"/>
          <w:noProof/>
          <w:sz w:val="24"/>
          <w:szCs w:val="24"/>
        </w:rPr>
      </w:pPr>
      <w:r>
        <w:rPr>
          <w:rFonts w:ascii="Times New Roman" w:hAnsi="Times New Roman"/>
          <w:noProof/>
          <w:sz w:val="24"/>
        </w:rPr>
        <w:t>În urma adoptării CRD IV în 2013, statele membre au trebuit să solicite instituțiilor financiare să publice informațiile privind raportarea pentru fiecare țară în parte până la 1 ianuarie 2015.</w:t>
      </w:r>
      <w:r w:rsidR="00C62082">
        <w:rPr>
          <w:rFonts w:ascii="Times New Roman" w:hAnsi="Times New Roman"/>
          <w:noProof/>
          <w:sz w:val="24"/>
        </w:rPr>
        <w:t xml:space="preserve"> </w:t>
      </w:r>
      <w:r>
        <w:rPr>
          <w:rFonts w:ascii="Times New Roman" w:hAnsi="Times New Roman"/>
          <w:noProof/>
          <w:sz w:val="24"/>
        </w:rPr>
        <w:t>Până în prezent, toate statele membre ale UE au finalizat transpunerea articolului 89 alineatul (1) din CRD IV în legislația lor națională</w:t>
      </w:r>
      <w:r>
        <w:rPr>
          <w:rStyle w:val="FootnoteReference"/>
          <w:rFonts w:ascii="Times New Roman" w:eastAsia="Times New Roman" w:hAnsi="Times New Roman" w:cs="Times New Roman"/>
          <w:noProof/>
          <w:sz w:val="24"/>
          <w:szCs w:val="24"/>
          <w:lang w:eastAsia="en-GB"/>
        </w:rPr>
        <w:footnoteReference w:id="10"/>
      </w:r>
      <w:r>
        <w:rPr>
          <w:noProof/>
        </w:rPr>
        <w:t>.</w:t>
      </w:r>
      <w:r>
        <w:rPr>
          <w:rFonts w:ascii="Times New Roman" w:hAnsi="Times New Roman"/>
          <w:noProof/>
          <w:sz w:val="24"/>
        </w:rPr>
        <w:t xml:space="preserve"> Prin urmare, cerințele de raportare pentru fiecare țară în parte sunt obligatorii și au fost aplicate pe deplin, astfel cum au fost puse în aplicare în legislațiile naționale începând cu 1 ianuarie 2015.</w:t>
      </w:r>
    </w:p>
    <w:p w14:paraId="2CB0076B" w14:textId="623A6B43" w:rsidR="00826D6A" w:rsidRDefault="00826D6A" w:rsidP="00826D6A">
      <w:pPr>
        <w:jc w:val="both"/>
        <w:rPr>
          <w:rFonts w:ascii="Times New Roman" w:eastAsia="Times New Roman" w:hAnsi="Times New Roman" w:cs="Times New Roman"/>
          <w:noProof/>
          <w:sz w:val="24"/>
          <w:szCs w:val="24"/>
        </w:rPr>
      </w:pPr>
      <w:r>
        <w:rPr>
          <w:rFonts w:ascii="Times New Roman" w:hAnsi="Times New Roman"/>
          <w:noProof/>
          <w:sz w:val="24"/>
        </w:rPr>
        <w:t>În conformitate cu dispozițiile articolului 89 alineatul (6) din CRD V, prezentul raport se referă la evaluarea caracterului adecvat al cerințelor de raportare pentru fiecare țară în parte, în special verificând dacă acestea servesc scopului general de a permite controlul public, asigurând în același timp reziliența sectorului, și dacă acestea ar trebui revizuite sau completate cu informații relevante suplimentare pentru a promova în continuare transparența instituțiilor.</w:t>
      </w:r>
    </w:p>
    <w:p w14:paraId="78196610" w14:textId="77777777" w:rsidR="00826D6A" w:rsidRPr="002C1B20"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În acest capitol, va fi evaluată punerea în aplicare juridică și practică a articolului 89 alineatul (1). În primul rând, se va oferi o prezentare generală a principiilor și a mijloacelor de comunicare (secțiunea 3.1). Ulterior, fiecare cerință de raportare pentru fiecare țară în parte va fi revizuită individual (secțiunea 3.2). În cazul în care sunt identificate probleme specifice, sunt luate în considerare, de asemenea, posibile adaptări ale textului legislativ, în urma propunerilor contractantului. În conformitate cu Orientările privind o mai bună legiferare</w:t>
      </w:r>
      <w:r>
        <w:rPr>
          <w:rStyle w:val="FootnoteReference"/>
          <w:rFonts w:ascii="Times New Roman" w:eastAsia="Times New Roman" w:hAnsi="Times New Roman" w:cs="Times New Roman"/>
          <w:noProof/>
          <w:sz w:val="24"/>
          <w:szCs w:val="24"/>
          <w:lang w:eastAsia="en-GB"/>
        </w:rPr>
        <w:footnoteReference w:id="11"/>
      </w:r>
      <w:r>
        <w:rPr>
          <w:rFonts w:ascii="Times New Roman" w:hAnsi="Times New Roman"/>
          <w:noProof/>
          <w:sz w:val="24"/>
        </w:rPr>
        <w:t xml:space="preserve"> și cu setul de instrumente, informațiile privind raportarea pentru fiecare țară în parte vor fi apoi evaluate în raport cu cinci criterii standard utilizate pentru a verifica performanța intervențiilor UE (secțiunea 3.3), și anume:</w:t>
      </w:r>
    </w:p>
    <w:p w14:paraId="016D7DFC" w14:textId="77777777" w:rsidR="00826D6A" w:rsidRPr="00881C55" w:rsidRDefault="00826D6A" w:rsidP="00826D6A">
      <w:pPr>
        <w:pStyle w:val="ListParagraph"/>
        <w:numPr>
          <w:ilvl w:val="0"/>
          <w:numId w:val="35"/>
        </w:numPr>
        <w:jc w:val="both"/>
        <w:rPr>
          <w:rFonts w:ascii="Times New Roman" w:eastAsia="Times New Roman" w:hAnsi="Times New Roman" w:cs="Times New Roman"/>
          <w:noProof/>
          <w:sz w:val="24"/>
          <w:szCs w:val="24"/>
        </w:rPr>
      </w:pPr>
      <w:r>
        <w:rPr>
          <w:rFonts w:ascii="Times New Roman" w:hAnsi="Times New Roman"/>
          <w:b/>
          <w:noProof/>
          <w:sz w:val="24"/>
        </w:rPr>
        <w:t>eficacitate</w:t>
      </w:r>
      <w:r>
        <w:rPr>
          <w:rFonts w:ascii="Times New Roman" w:hAnsi="Times New Roman"/>
          <w:noProof/>
          <w:sz w:val="24"/>
        </w:rPr>
        <w:t xml:space="preserve"> în ceea ce privește realizarea obiectivelor de CRD;</w:t>
      </w:r>
    </w:p>
    <w:p w14:paraId="6086DDEC" w14:textId="77777777" w:rsidR="00826D6A" w:rsidRPr="00B5138C" w:rsidRDefault="00826D6A" w:rsidP="00826D6A">
      <w:pPr>
        <w:pStyle w:val="ListParagraph"/>
        <w:numPr>
          <w:ilvl w:val="0"/>
          <w:numId w:val="35"/>
        </w:numPr>
        <w:jc w:val="both"/>
        <w:rPr>
          <w:rFonts w:ascii="Times New Roman" w:eastAsia="Times New Roman" w:hAnsi="Times New Roman" w:cs="Times New Roman"/>
          <w:noProof/>
          <w:sz w:val="24"/>
          <w:szCs w:val="24"/>
        </w:rPr>
      </w:pPr>
      <w:r>
        <w:rPr>
          <w:rFonts w:ascii="Times New Roman" w:hAnsi="Times New Roman"/>
          <w:b/>
          <w:noProof/>
          <w:sz w:val="24"/>
        </w:rPr>
        <w:t>eficiența</w:t>
      </w:r>
      <w:r>
        <w:rPr>
          <w:rFonts w:ascii="Times New Roman" w:hAnsi="Times New Roman"/>
          <w:noProof/>
          <w:sz w:val="24"/>
        </w:rPr>
        <w:t xml:space="preserve"> utilizării resurselor în ceea ce privește costurile administrative potențiale;</w:t>
      </w:r>
    </w:p>
    <w:p w14:paraId="30FC9B7A" w14:textId="77777777" w:rsidR="00826D6A" w:rsidRPr="00B5138C" w:rsidRDefault="00826D6A" w:rsidP="00826D6A">
      <w:pPr>
        <w:pStyle w:val="ListParagraph"/>
        <w:numPr>
          <w:ilvl w:val="0"/>
          <w:numId w:val="35"/>
        </w:numPr>
        <w:jc w:val="both"/>
        <w:rPr>
          <w:rFonts w:ascii="Times New Roman" w:eastAsia="Times New Roman" w:hAnsi="Times New Roman" w:cs="Times New Roman"/>
          <w:noProof/>
          <w:sz w:val="24"/>
          <w:szCs w:val="24"/>
        </w:rPr>
      </w:pPr>
      <w:r>
        <w:rPr>
          <w:rFonts w:ascii="Times New Roman" w:hAnsi="Times New Roman"/>
          <w:noProof/>
          <w:sz w:val="24"/>
        </w:rPr>
        <w:t xml:space="preserve">menținerea </w:t>
      </w:r>
      <w:r>
        <w:rPr>
          <w:rFonts w:ascii="Times New Roman" w:hAnsi="Times New Roman"/>
          <w:b/>
          <w:noProof/>
          <w:sz w:val="24"/>
        </w:rPr>
        <w:t>relevanței</w:t>
      </w:r>
      <w:r>
        <w:rPr>
          <w:rFonts w:ascii="Times New Roman" w:hAnsi="Times New Roman"/>
          <w:noProof/>
          <w:sz w:val="24"/>
        </w:rPr>
        <w:t xml:space="preserve"> cerințelor obligatorii și a obiectivelor CRD;</w:t>
      </w:r>
    </w:p>
    <w:p w14:paraId="65E5561C" w14:textId="77777777" w:rsidR="00826D6A" w:rsidRPr="00B5138C" w:rsidRDefault="00826D6A" w:rsidP="00826D6A">
      <w:pPr>
        <w:pStyle w:val="ListParagraph"/>
        <w:numPr>
          <w:ilvl w:val="0"/>
          <w:numId w:val="35"/>
        </w:numPr>
        <w:jc w:val="both"/>
        <w:rPr>
          <w:rFonts w:ascii="Times New Roman" w:eastAsia="Times New Roman" w:hAnsi="Times New Roman" w:cs="Times New Roman"/>
          <w:noProof/>
          <w:sz w:val="24"/>
          <w:szCs w:val="24"/>
        </w:rPr>
      </w:pPr>
      <w:r>
        <w:rPr>
          <w:rFonts w:ascii="Times New Roman" w:hAnsi="Times New Roman"/>
          <w:b/>
          <w:noProof/>
          <w:sz w:val="24"/>
        </w:rPr>
        <w:t>coerența</w:t>
      </w:r>
      <w:r>
        <w:rPr>
          <w:rFonts w:ascii="Times New Roman" w:hAnsi="Times New Roman"/>
          <w:noProof/>
          <w:sz w:val="24"/>
        </w:rPr>
        <w:t xml:space="preserve"> internă și externă;</w:t>
      </w:r>
    </w:p>
    <w:p w14:paraId="2A255241" w14:textId="77777777" w:rsidR="00826D6A" w:rsidRDefault="00826D6A" w:rsidP="00826D6A">
      <w:pPr>
        <w:pStyle w:val="ListParagraph"/>
        <w:numPr>
          <w:ilvl w:val="0"/>
          <w:numId w:val="35"/>
        </w:numPr>
        <w:jc w:val="both"/>
        <w:rPr>
          <w:rFonts w:ascii="Times New Roman" w:eastAsia="Times New Roman" w:hAnsi="Times New Roman" w:cs="Times New Roman"/>
          <w:noProof/>
          <w:sz w:val="24"/>
          <w:szCs w:val="24"/>
        </w:rPr>
      </w:pPr>
      <w:r>
        <w:rPr>
          <w:rFonts w:ascii="Times New Roman" w:hAnsi="Times New Roman"/>
          <w:b/>
          <w:noProof/>
          <w:sz w:val="24"/>
        </w:rPr>
        <w:t>valoarea adăugată</w:t>
      </w:r>
      <w:r>
        <w:rPr>
          <w:rFonts w:ascii="Times New Roman" w:hAnsi="Times New Roman"/>
          <w:noProof/>
          <w:sz w:val="24"/>
        </w:rPr>
        <w:t xml:space="preserve"> la nivelul Uniunii.</w:t>
      </w:r>
    </w:p>
    <w:p w14:paraId="59FD7C09" w14:textId="1FB79779" w:rsidR="00826D6A" w:rsidRPr="00B5138C" w:rsidRDefault="00826D6A" w:rsidP="00826D6A">
      <w:pPr>
        <w:spacing w:line="240" w:lineRule="auto"/>
        <w:jc w:val="both"/>
        <w:rPr>
          <w:rFonts w:ascii="Times New Roman" w:eastAsia="Times New Roman" w:hAnsi="Times New Roman" w:cs="Times New Roman"/>
          <w:noProof/>
          <w:sz w:val="24"/>
          <w:szCs w:val="24"/>
          <w:lang w:eastAsia="en-GB"/>
        </w:rPr>
      </w:pPr>
    </w:p>
    <w:p w14:paraId="6C8C5A9B" w14:textId="77777777" w:rsidR="00826D6A" w:rsidRPr="00E51D94" w:rsidRDefault="00826D6A" w:rsidP="00826D6A">
      <w:pPr>
        <w:spacing w:before="120" w:after="120"/>
        <w:jc w:val="both"/>
        <w:rPr>
          <w:rFonts w:ascii="Times New Roman" w:hAnsi="Times New Roman" w:cs="Times New Roman"/>
          <w:i/>
          <w:noProof/>
          <w:sz w:val="24"/>
          <w:szCs w:val="24"/>
        </w:rPr>
      </w:pPr>
      <w:r>
        <w:rPr>
          <w:rFonts w:ascii="Times New Roman" w:hAnsi="Times New Roman"/>
          <w:b/>
          <w:noProof/>
          <w:sz w:val="24"/>
        </w:rPr>
        <w:t>3.1.</w:t>
      </w:r>
      <w:r>
        <w:rPr>
          <w:noProof/>
        </w:rPr>
        <w:tab/>
      </w:r>
      <w:r>
        <w:rPr>
          <w:rFonts w:ascii="Times New Roman" w:hAnsi="Times New Roman"/>
          <w:b/>
          <w:noProof/>
          <w:sz w:val="24"/>
        </w:rPr>
        <w:t>Punerea în aplicare a articolului 89 alineatul (1) din CRD IV: aspecte orizontale</w:t>
      </w:r>
    </w:p>
    <w:p w14:paraId="5F7CD761" w14:textId="77777777" w:rsidR="00826D6A" w:rsidRPr="00C20FB0" w:rsidRDefault="00826D6A" w:rsidP="00826D6A">
      <w:pPr>
        <w:pStyle w:val="Heading2"/>
        <w:numPr>
          <w:ilvl w:val="1"/>
          <w:numId w:val="0"/>
        </w:numPr>
        <w:spacing w:line="276" w:lineRule="auto"/>
        <w:ind w:left="1570" w:hanging="850"/>
        <w:rPr>
          <w:i/>
          <w:iCs/>
          <w:noProof/>
        </w:rPr>
      </w:pPr>
      <w:r>
        <w:rPr>
          <w:i/>
          <w:noProof/>
        </w:rPr>
        <w:t xml:space="preserve">Defalcarea informațiilor: locul de stabilire și comunicarea informațiilor pentru fiecare țară în parte </w:t>
      </w:r>
    </w:p>
    <w:p w14:paraId="535F93CE" w14:textId="074CFD77" w:rsidR="00826D6A" w:rsidRPr="00634A99" w:rsidRDefault="00826D6A" w:rsidP="00826D6A">
      <w:pPr>
        <w:jc w:val="both"/>
        <w:rPr>
          <w:rFonts w:ascii="Times New Roman" w:hAnsi="Times New Roman" w:cs="Times New Roman"/>
          <w:noProof/>
          <w:sz w:val="24"/>
          <w:szCs w:val="24"/>
        </w:rPr>
      </w:pPr>
      <w:r>
        <w:rPr>
          <w:rFonts w:ascii="Times New Roman" w:hAnsi="Times New Roman"/>
          <w:noProof/>
          <w:sz w:val="24"/>
        </w:rPr>
        <w:t>Principiul de bază al abordării pentru fiecare țară în parte este acela că informațiile trebuie să fie comunicate la un nivel de detaliere corespunzător jurisdicției naționale în care instituția în cauză este stabilită. Astfel cum a clarificat Autoritatea Bancară Europeană (ABE)</w:t>
      </w:r>
      <w:r>
        <w:rPr>
          <w:rStyle w:val="FootnoteReference"/>
          <w:rFonts w:ascii="Times New Roman" w:hAnsi="Times New Roman" w:cs="Times New Roman"/>
          <w:noProof/>
          <w:sz w:val="24"/>
          <w:szCs w:val="24"/>
          <w:lang w:eastAsia="en-GB"/>
        </w:rPr>
        <w:footnoteReference w:id="12"/>
      </w:r>
      <w:r>
        <w:rPr>
          <w:rFonts w:ascii="Times New Roman" w:hAnsi="Times New Roman"/>
          <w:noProof/>
          <w:sz w:val="24"/>
        </w:rPr>
        <w:t>, termenul de „stabilire” ar trebui interpretat în sens larg, ca referindu-se la filiale, sucursale și alte entități relevante prin care o instituție are o prezență fizică într-o anumită țară, indiferent dacă este vorba despre state membre sau țări terțe. Cu toate acestea, în pofida clarificărilor ABE, se pare că statele membre nu sunt încă sigure, în general, dacă sucursalele europene ale instituțiilor din afara SEE trebuie să respecte raportarea pentru fiecare țară în parte și nu există o interpretare consecventă a acestui termen în toate statele membre.</w:t>
      </w:r>
    </w:p>
    <w:p w14:paraId="14B63170" w14:textId="1A489C3B" w:rsidR="00826D6A" w:rsidRPr="00634A99" w:rsidRDefault="006B15D9" w:rsidP="00826D6A">
      <w:pPr>
        <w:jc w:val="both"/>
        <w:rPr>
          <w:rFonts w:ascii="Times New Roman" w:hAnsi="Times New Roman" w:cs="Times New Roman"/>
          <w:noProof/>
          <w:sz w:val="24"/>
          <w:szCs w:val="24"/>
        </w:rPr>
      </w:pPr>
      <w:r>
        <w:rPr>
          <w:rFonts w:ascii="Times New Roman" w:hAnsi="Times New Roman"/>
          <w:noProof/>
          <w:sz w:val="24"/>
        </w:rPr>
        <w:t>Majoritatea instituțiilor UE care își desfășoară activitatea în mai multe țări respectă cerințele de raportare pentru fiecare țară în parte și includ informațiile relevante privind entitățile lor în raportul pentru fiecare țară în parte. În același timp, trebuie remarcat faptul că aproximativ 90 % dintre instituțiile din UE-27 sunt active doar la nivel național, fără a avea sucursale sau filiale străine, sau sunt ele însele o filială a unei bănci care funcționează la nivel internațional. Aceasta înseamnă că, dintre cele aproximativ 4 600</w:t>
      </w:r>
      <w:r>
        <w:rPr>
          <w:rStyle w:val="FootnoteReference"/>
          <w:rFonts w:ascii="Times New Roman" w:hAnsi="Times New Roman" w:cs="Times New Roman"/>
          <w:noProof/>
          <w:sz w:val="24"/>
          <w:szCs w:val="24"/>
          <w:lang w:eastAsia="en-GB"/>
        </w:rPr>
        <w:footnoteReference w:id="13"/>
      </w:r>
      <w:r>
        <w:rPr>
          <w:rFonts w:ascii="Times New Roman" w:hAnsi="Times New Roman"/>
          <w:noProof/>
          <w:sz w:val="24"/>
        </w:rPr>
        <w:t xml:space="preserve"> de instituții de credit (date din iulie 2021</w:t>
      </w:r>
      <w:r>
        <w:rPr>
          <w:rStyle w:val="FootnoteReference"/>
          <w:rFonts w:ascii="Times New Roman" w:hAnsi="Times New Roman" w:cs="Times New Roman"/>
          <w:noProof/>
          <w:sz w:val="24"/>
          <w:szCs w:val="24"/>
          <w:lang w:eastAsia="en-GB"/>
        </w:rPr>
        <w:footnoteReference w:id="14"/>
      </w:r>
      <w:r>
        <w:rPr>
          <w:rFonts w:ascii="Times New Roman" w:hAnsi="Times New Roman"/>
          <w:noProof/>
          <w:sz w:val="24"/>
        </w:rPr>
        <w:t>) care intră în domeniul de aplicare al articolului 89</w:t>
      </w:r>
      <w:r>
        <w:rPr>
          <w:rStyle w:val="FootnoteReference"/>
          <w:rFonts w:ascii="Times New Roman" w:hAnsi="Times New Roman" w:cs="Times New Roman"/>
          <w:noProof/>
          <w:sz w:val="24"/>
          <w:szCs w:val="24"/>
          <w:lang w:eastAsia="en-GB"/>
        </w:rPr>
        <w:footnoteReference w:id="15"/>
      </w:r>
      <w:r>
        <w:rPr>
          <w:rFonts w:ascii="Times New Roman" w:hAnsi="Times New Roman"/>
          <w:noProof/>
          <w:sz w:val="24"/>
        </w:rPr>
        <w:t xml:space="preserve">, </w:t>
      </w:r>
      <w:r>
        <w:rPr>
          <w:rFonts w:ascii="Times New Roman" w:hAnsi="Times New Roman"/>
          <w:i/>
          <w:noProof/>
          <w:sz w:val="24"/>
        </w:rPr>
        <w:t>de facto</w:t>
      </w:r>
      <w:r>
        <w:rPr>
          <w:rFonts w:ascii="Times New Roman" w:hAnsi="Times New Roman"/>
          <w:noProof/>
          <w:sz w:val="24"/>
        </w:rPr>
        <w:t xml:space="preserve"> doar aproximativ 600 au o relevanță semnificativă în contextul raportării pentru fiecare țară în parte.</w:t>
      </w:r>
    </w:p>
    <w:p w14:paraId="2C9342DF" w14:textId="059BA77C" w:rsidR="00826D6A" w:rsidRPr="00634A99" w:rsidRDefault="00A47225" w:rsidP="00826D6A">
      <w:pPr>
        <w:jc w:val="both"/>
        <w:rPr>
          <w:rFonts w:ascii="Times New Roman" w:hAnsi="Times New Roman" w:cs="Times New Roman"/>
          <w:noProof/>
          <w:sz w:val="24"/>
          <w:szCs w:val="24"/>
        </w:rPr>
      </w:pPr>
      <w:r>
        <w:rPr>
          <w:rFonts w:ascii="Times New Roman" w:hAnsi="Times New Roman"/>
          <w:noProof/>
          <w:sz w:val="24"/>
        </w:rPr>
        <w:t xml:space="preserve">Pentru a aborda faptul că majoritatea instituțiilor UE sunt active numai în propriul stat membru și pentru a clarifica situația sucursalelor europene ale instituțiilor din afara SEE, ar putea fi util să se aibă în vedere reorientarea cerinței privind raportarea pentru fiecare țară în parte către instituțiile care își desfășoară activitatea în mai multe state membre sau atât într-un stat membru, cât și sub jurisdicția unei țări terțe. </w:t>
      </w:r>
    </w:p>
    <w:p w14:paraId="136F3185" w14:textId="4DF4E451" w:rsidR="00A47225" w:rsidRPr="00634A99" w:rsidRDefault="00826D6A" w:rsidP="00826D6A">
      <w:pPr>
        <w:jc w:val="both"/>
        <w:rPr>
          <w:rFonts w:ascii="Times New Roman" w:hAnsi="Times New Roman" w:cs="Times New Roman"/>
          <w:noProof/>
          <w:sz w:val="24"/>
          <w:szCs w:val="24"/>
        </w:rPr>
      </w:pPr>
      <w:r>
        <w:rPr>
          <w:rFonts w:ascii="Times New Roman" w:hAnsi="Times New Roman"/>
          <w:noProof/>
          <w:sz w:val="24"/>
        </w:rPr>
        <w:t>De asemenea, ar putea fi util să se clarifice faptul că termenul de „stabilire” ar trebui să acopere atât filialele, cât și sucursalele. Acest lucru ar asigura recunoașterea sucursalelor ca parte a activităților din statul membru sau din jurisdicția (din afara UE) respectivă în care își desfășoară activitatea.</w:t>
      </w:r>
    </w:p>
    <w:p w14:paraId="28792CCB" w14:textId="23B5312F" w:rsidR="00826D6A" w:rsidRPr="00367165" w:rsidRDefault="00B91C61" w:rsidP="00826D6A">
      <w:pPr>
        <w:jc w:val="both"/>
        <w:rPr>
          <w:rFonts w:ascii="Times New Roman" w:hAnsi="Times New Roman" w:cs="Times New Roman"/>
          <w:noProof/>
          <w:sz w:val="24"/>
          <w:szCs w:val="24"/>
        </w:rPr>
      </w:pPr>
      <w:r>
        <w:rPr>
          <w:rFonts w:ascii="Times New Roman" w:hAnsi="Times New Roman"/>
          <w:noProof/>
          <w:sz w:val="24"/>
        </w:rPr>
        <w:t>În fine, s-ar putea clarifica faptul că activitățile din centrele financiare offshore și din paradisurile fiscale sunt raportate mai degrabă cu referire la jurisdicțiile fiscale respective decât la statele suverane din care fac parte.</w:t>
      </w:r>
    </w:p>
    <w:p w14:paraId="4BB84209" w14:textId="77777777" w:rsidR="00826D6A" w:rsidRPr="00ED3958" w:rsidRDefault="00826D6A" w:rsidP="00826D6A">
      <w:pPr>
        <w:pStyle w:val="Heading2"/>
        <w:numPr>
          <w:ilvl w:val="1"/>
          <w:numId w:val="0"/>
        </w:numPr>
        <w:spacing w:line="276" w:lineRule="auto"/>
        <w:ind w:left="1570" w:hanging="850"/>
        <w:rPr>
          <w:noProof/>
          <w:szCs w:val="24"/>
        </w:rPr>
      </w:pPr>
      <w:r>
        <w:rPr>
          <w:i/>
          <w:noProof/>
        </w:rPr>
        <w:t>Raportare anuală: perimetru de consolidare</w:t>
      </w:r>
      <w:r>
        <w:rPr>
          <w:noProof/>
        </w:rPr>
        <w:t xml:space="preserve"> </w:t>
      </w:r>
    </w:p>
    <w:p w14:paraId="76CA2863" w14:textId="23A4D7EA" w:rsidR="00826D6A" w:rsidRDefault="00826D6A" w:rsidP="00826D6A">
      <w:pPr>
        <w:jc w:val="both"/>
        <w:rPr>
          <w:rFonts w:ascii="Times New Roman" w:hAnsi="Times New Roman" w:cs="Times New Roman"/>
          <w:noProof/>
          <w:sz w:val="24"/>
          <w:szCs w:val="24"/>
        </w:rPr>
      </w:pPr>
      <w:r>
        <w:rPr>
          <w:rFonts w:ascii="Times New Roman" w:hAnsi="Times New Roman"/>
          <w:noProof/>
          <w:sz w:val="24"/>
        </w:rPr>
        <w:t>Articolul 89 alineatul (1) din CRD IV se referă, în general, la o „bază consolidată”, fără a preciza mai detaliat abordarea care trebuie urmată. Prin urmare, există loc de interpretare pentru a stabili dacă perimetrul de consolidare ar trebui să se bazeze pe o bază prudențială sau contabilă. ABE a clarificat faptul că se referă la perimetrul de consolidare prudențial, permițând în același timp statelor membre să „prevadă un perimetru de consolidare mai extins”. În plus, ABE a invitat instituțiile să clarifice perimetrul de consolidare utilizat</w:t>
      </w:r>
      <w:r>
        <w:rPr>
          <w:rStyle w:val="FootnoteReference"/>
          <w:rFonts w:ascii="Times New Roman" w:hAnsi="Times New Roman" w:cs="Times New Roman"/>
          <w:noProof/>
          <w:sz w:val="24"/>
          <w:szCs w:val="24"/>
          <w:lang w:eastAsia="en-GB"/>
        </w:rPr>
        <w:footnoteReference w:id="16"/>
      </w:r>
      <w:r>
        <w:rPr>
          <w:rFonts w:ascii="Times New Roman" w:hAnsi="Times New Roman"/>
          <w:noProof/>
          <w:sz w:val="24"/>
        </w:rPr>
        <w:t>. În practică, majoritatea instituțiilor raportează în conformitate cu baza contabilă. În plus, derogarea oferită instituțiilor foarte mari în Directiva 2021/2101</w:t>
      </w:r>
      <w:r>
        <w:rPr>
          <w:rStyle w:val="FootnoteReference"/>
          <w:rFonts w:ascii="Times New Roman" w:hAnsi="Times New Roman" w:cs="Times New Roman"/>
          <w:noProof/>
          <w:sz w:val="24"/>
          <w:szCs w:val="24"/>
          <w:lang w:eastAsia="en-GB"/>
        </w:rPr>
        <w:footnoteReference w:id="17"/>
      </w:r>
      <w:r>
        <w:rPr>
          <w:rFonts w:ascii="Times New Roman" w:hAnsi="Times New Roman"/>
          <w:noProof/>
          <w:sz w:val="24"/>
        </w:rPr>
        <w:t xml:space="preserve"> pentru a evita dubla raportare este condiționată de faptul că domeniul de aplicare al raportării instituției se bazează pe principii contabile.</w:t>
      </w:r>
    </w:p>
    <w:p w14:paraId="447C44FE" w14:textId="1D673EBD" w:rsidR="00826D6A" w:rsidRPr="00C20FB0" w:rsidRDefault="00025D7B" w:rsidP="00826D6A">
      <w:pPr>
        <w:jc w:val="both"/>
        <w:rPr>
          <w:rFonts w:ascii="Times New Roman" w:hAnsi="Times New Roman" w:cs="Times New Roman"/>
          <w:b/>
          <w:bCs/>
          <w:noProof/>
          <w:sz w:val="24"/>
          <w:szCs w:val="24"/>
        </w:rPr>
      </w:pPr>
      <w:r>
        <w:rPr>
          <w:rFonts w:ascii="Times New Roman" w:hAnsi="Times New Roman"/>
          <w:noProof/>
          <w:sz w:val="24"/>
        </w:rPr>
        <w:t>În plus, se pare că statele membre interpretează articolul 89 ca însemnând că nu numai instituțiile-mamă au obligația de a raporta, ci și filialele lor stabilite în Uniune. O posibilă clarificare s-ar putea referi la o cerință de raportare numai la nivelul întreprinderii-mamă de cel mai înalt rang, pentru a preveni dubla raportare.</w:t>
      </w:r>
    </w:p>
    <w:p w14:paraId="6E6F94D2" w14:textId="77777777" w:rsidR="00826D6A" w:rsidRPr="00C20FB0" w:rsidRDefault="00826D6A" w:rsidP="00826D6A">
      <w:pPr>
        <w:spacing w:before="120" w:after="120"/>
        <w:ind w:left="720"/>
        <w:jc w:val="both"/>
        <w:rPr>
          <w:rFonts w:ascii="Times New Roman" w:hAnsi="Times New Roman" w:cs="Times New Roman"/>
          <w:b/>
          <w:bCs/>
          <w:noProof/>
          <w:sz w:val="24"/>
          <w:szCs w:val="24"/>
        </w:rPr>
      </w:pPr>
      <w:r>
        <w:rPr>
          <w:rFonts w:ascii="Times New Roman" w:hAnsi="Times New Roman"/>
          <w:b/>
          <w:i/>
          <w:noProof/>
          <w:sz w:val="24"/>
        </w:rPr>
        <w:t>Mijloace de publicare a informațiilor: formatul de raportare a datelor</w:t>
      </w:r>
    </w:p>
    <w:p w14:paraId="49AD203E" w14:textId="77777777"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Articolul 89 alineatul (4) din CRD IV prevede că informațiile privind raportarea pentru fiecare țară în parte sunt publicate, în cazul în care este posibil, ca anexă la propriile declarații financiare anuale sau la declarația financiară consolidată a instituției respective, după caz. Legislația UE nu prevede instrucțiuni suplimentare privind formatul de raportare care trebuie utilizat pentru comunicarea informațiilor și</w:t>
      </w:r>
      <w:r>
        <w:rPr>
          <w:noProof/>
        </w:rPr>
        <w:t xml:space="preserve"> </w:t>
      </w:r>
      <w:r>
        <w:rPr>
          <w:rFonts w:ascii="Times New Roman" w:hAnsi="Times New Roman"/>
          <w:noProof/>
          <w:sz w:val="24"/>
        </w:rPr>
        <w:t>nu există niciun model armonizat la nivelul Uniunii. În absența unor orientări specifice care să ofere o abordare standardizată la nivelul UE, instituțiile raportoare sunt libere să își elaboreze propriul format sau model, ceea ce ar putea afecta coerența informațiilor raportate.</w:t>
      </w:r>
    </w:p>
    <w:p w14:paraId="11BAD05B" w14:textId="11A9AD7D"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Majoritatea instituțiilor respectă această dispoziție prin publicarea informațiilor privind raportarea pentru fiecare țară în parte ca notă sau anexă la situația financiară anuală, în timp ce unele instituții elaborează un raport separat pentru fiecare țară în parte. În plus, în timpul studiului, rapoartele anuale nu au fost întotdeauna disponibile pe site-urile instituțiilor de credit în cauză.</w:t>
      </w:r>
    </w:p>
    <w:p w14:paraId="46D7E0C4" w14:textId="7C58026A"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 xml:space="preserve">Pentru a îmbunătăți suplimentar accesibilitatea și comparabilitatea informațiilor, ar putea fi luată în considerare introducerea unor modele standard și armonizarea procedurilor de raportare. În special, instituțiile ar putea publica în mod sistematic raportul privind raportarea pentru fiecare țară în parte pe site-ul lor, iar în cazul în care instituția este o societate cotată la bursă, raportul privind raportarea pentru fiecare țară în parte ar putea fi, în plus, anexat în mod sistematic la raportul lor anual, mai degrabă decât într-un raport separat. </w:t>
      </w:r>
    </w:p>
    <w:p w14:paraId="62D69166" w14:textId="77777777" w:rsidR="00826D6A" w:rsidRPr="00EC0DFC" w:rsidRDefault="00826D6A" w:rsidP="00826D6A">
      <w:pPr>
        <w:spacing w:before="120" w:after="120"/>
        <w:jc w:val="both"/>
        <w:rPr>
          <w:rFonts w:ascii="Times New Roman" w:hAnsi="Times New Roman" w:cs="Times New Roman"/>
          <w:noProof/>
          <w:sz w:val="24"/>
          <w:szCs w:val="24"/>
        </w:rPr>
      </w:pPr>
    </w:p>
    <w:p w14:paraId="5C94D9DC" w14:textId="77777777" w:rsidR="00826D6A" w:rsidRPr="00C20FB0" w:rsidRDefault="00826D6A" w:rsidP="00826D6A">
      <w:pPr>
        <w:spacing w:before="120" w:after="0"/>
        <w:jc w:val="both"/>
        <w:rPr>
          <w:rFonts w:ascii="Times New Roman" w:hAnsi="Times New Roman" w:cs="Times New Roman"/>
          <w:b/>
          <w:bCs/>
          <w:noProof/>
          <w:sz w:val="24"/>
          <w:szCs w:val="24"/>
        </w:rPr>
      </w:pPr>
      <w:r>
        <w:rPr>
          <w:rFonts w:ascii="Times New Roman" w:hAnsi="Times New Roman"/>
          <w:b/>
          <w:noProof/>
          <w:sz w:val="24"/>
        </w:rPr>
        <w:t>3.2 Informații care trebuie comunicate</w:t>
      </w:r>
    </w:p>
    <w:p w14:paraId="5576A4A9" w14:textId="77777777" w:rsidR="00826D6A" w:rsidRPr="00C20FB0" w:rsidRDefault="00826D6A" w:rsidP="00826D6A">
      <w:pPr>
        <w:spacing w:before="120" w:after="0"/>
        <w:ind w:left="720"/>
        <w:jc w:val="both"/>
        <w:rPr>
          <w:rFonts w:ascii="Times New Roman" w:hAnsi="Times New Roman" w:cs="Times New Roman"/>
          <w:b/>
          <w:bCs/>
          <w:i/>
          <w:iCs/>
          <w:noProof/>
          <w:sz w:val="24"/>
          <w:szCs w:val="24"/>
        </w:rPr>
      </w:pPr>
      <w:r>
        <w:rPr>
          <w:rFonts w:ascii="Times New Roman" w:hAnsi="Times New Roman"/>
          <w:b/>
          <w:i/>
          <w:noProof/>
          <w:sz w:val="24"/>
        </w:rPr>
        <w:t>Numele, natura activităților și localizarea geografică</w:t>
      </w:r>
    </w:p>
    <w:p w14:paraId="4397DC22" w14:textId="084B19FB" w:rsidR="00826D6A" w:rsidRPr="00634A99"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Primul set de informații, prevăzut la articolul 89 alineatul (1) litera (a), este pur descriptiv. Interpretarea sa este extrem de importantă, deoarece stabilește limitele de publicare pentru raportarea defalcată pe țări și, prin urmare, determină domeniul de aplicare al celorlalte informații măsurabile enumerate la articolul 89 alineatul (1). Din punct de vedere formal, aceasta a fost transpusă literal de către toate statele membre, iar majoritatea instituțiilor respectă cerința de comunicare a informațiilor.</w:t>
      </w:r>
    </w:p>
    <w:p w14:paraId="33E4DE0B" w14:textId="6F70C822" w:rsidR="00826D6A" w:rsidRPr="00C20FB0" w:rsidRDefault="00826D6A" w:rsidP="00826D6A">
      <w:pPr>
        <w:spacing w:before="120" w:after="120"/>
        <w:jc w:val="both"/>
        <w:rPr>
          <w:rFonts w:ascii="Times New Roman" w:hAnsi="Times New Roman" w:cs="Times New Roman"/>
          <w:b/>
          <w:bCs/>
          <w:i/>
          <w:iCs/>
          <w:noProof/>
          <w:sz w:val="24"/>
          <w:szCs w:val="24"/>
        </w:rPr>
      </w:pPr>
      <w:r>
        <w:rPr>
          <w:rFonts w:ascii="Times New Roman" w:hAnsi="Times New Roman"/>
          <w:noProof/>
          <w:sz w:val="24"/>
        </w:rPr>
        <w:t>Unele aspecte legate de interpretare se referă la: natura activităților – instituțiile beneficiind de o marjă de apreciere în ceea ce privește propria selecție a categoriilor, care ar putea include categorii precum retail, întreprinderi, comerț cu ridicata, leasing, dezvoltare imobiliară etc.</w:t>
      </w:r>
      <w:r>
        <w:rPr>
          <w:noProof/>
        </w:rPr>
        <w:t xml:space="preserve"> </w:t>
      </w:r>
      <w:r>
        <w:rPr>
          <w:rFonts w:ascii="Times New Roman" w:hAnsi="Times New Roman"/>
          <w:noProof/>
          <w:sz w:val="24"/>
        </w:rPr>
        <w:t>sau localizarea geografică, în special în ceea ce privește teritoriile asociate paradisurilor fiscale și centrelor financiare offshore</w:t>
      </w:r>
      <w:r>
        <w:rPr>
          <w:rStyle w:val="FootnoteReference"/>
          <w:rFonts w:ascii="Times New Roman" w:hAnsi="Times New Roman" w:cs="Times New Roman"/>
          <w:noProof/>
          <w:sz w:val="24"/>
          <w:szCs w:val="24"/>
        </w:rPr>
        <w:footnoteReference w:id="18"/>
      </w:r>
      <w:r>
        <w:rPr>
          <w:rFonts w:ascii="Times New Roman" w:hAnsi="Times New Roman"/>
          <w:noProof/>
          <w:sz w:val="24"/>
        </w:rPr>
        <w:t xml:space="preserve">, o minoritate de instituții dezvăluind informații în funcție de suveranitate, și nu de țară. </w:t>
      </w:r>
    </w:p>
    <w:p w14:paraId="6E270FBB" w14:textId="77777777" w:rsidR="00826D6A" w:rsidRPr="00C20FB0" w:rsidRDefault="00826D6A" w:rsidP="00826D6A">
      <w:pPr>
        <w:keepNext/>
        <w:spacing w:before="120" w:after="120"/>
        <w:ind w:left="720"/>
        <w:jc w:val="both"/>
        <w:rPr>
          <w:rFonts w:ascii="Times New Roman" w:hAnsi="Times New Roman" w:cs="Times New Roman"/>
          <w:b/>
          <w:bCs/>
          <w:i/>
          <w:iCs/>
          <w:noProof/>
          <w:sz w:val="24"/>
          <w:szCs w:val="24"/>
        </w:rPr>
      </w:pPr>
      <w:r>
        <w:rPr>
          <w:rFonts w:ascii="Times New Roman" w:hAnsi="Times New Roman"/>
          <w:b/>
          <w:i/>
          <w:noProof/>
          <w:sz w:val="24"/>
        </w:rPr>
        <w:t>Cifra de afaceri</w:t>
      </w:r>
    </w:p>
    <w:p w14:paraId="6B935A90" w14:textId="77777777" w:rsidR="00826D6A" w:rsidRPr="008448DC"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Articolul 89 alineatul (1) litera (b) din CRD IV prevede obligația instituțiilor să își publice anual „cifra de afaceri” pentru fiecare stat membru și pentru fiecare țară terță. La transpunerea acestei cerințe, doar câteva state membre au furnizat o definiție mai detaliată.</w:t>
      </w:r>
    </w:p>
    <w:p w14:paraId="0F063A3B" w14:textId="77777777"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În conformitate cu clarificările aduse de ABE</w:t>
      </w:r>
      <w:r>
        <w:rPr>
          <w:rStyle w:val="FootnoteReference"/>
          <w:rFonts w:ascii="Times New Roman" w:hAnsi="Times New Roman" w:cs="Times New Roman"/>
          <w:noProof/>
          <w:sz w:val="24"/>
          <w:szCs w:val="24"/>
        </w:rPr>
        <w:footnoteReference w:id="19"/>
      </w:r>
      <w:r>
        <w:rPr>
          <w:rFonts w:ascii="Times New Roman" w:hAnsi="Times New Roman"/>
          <w:noProof/>
          <w:sz w:val="24"/>
        </w:rPr>
        <w:t>, noțiunea „cifră de afaceri” din sectorul bancar ar trebui înțeleasă ca „venit bancar net”. Marea majoritate a băncilor respectă indicațiile ABE și raportează veniturile nete (luând în considerare, de exemplu, veniturile nete din dobânzi și veniturile nete din comisioane).</w:t>
      </w:r>
    </w:p>
    <w:p w14:paraId="4F346851" w14:textId="46DDD05E" w:rsidR="00826D6A" w:rsidRPr="00C20FB0" w:rsidRDefault="00826D6A" w:rsidP="00826D6A">
      <w:pPr>
        <w:spacing w:before="120" w:after="120"/>
        <w:jc w:val="both"/>
        <w:rPr>
          <w:rFonts w:ascii="Times New Roman" w:hAnsi="Times New Roman" w:cs="Times New Roman"/>
          <w:b/>
          <w:bCs/>
          <w:i/>
          <w:iCs/>
          <w:noProof/>
          <w:sz w:val="24"/>
          <w:szCs w:val="24"/>
        </w:rPr>
      </w:pPr>
      <w:r>
        <w:rPr>
          <w:rFonts w:ascii="Times New Roman" w:hAnsi="Times New Roman"/>
          <w:noProof/>
          <w:sz w:val="24"/>
        </w:rPr>
        <w:t xml:space="preserve">Prin urmare, pentru a asigura o mai mare securitate juridică și o punere în aplicare armonizată și comparabilă a articolului 89 alineatul (1) litera (b), noțiunea „cifră de afaceri” ar putea fi înlocuită cu cea de „venituri nete din exploatare” (care include venituri nete din dobânzi, comisioane și taxe nete, venituri nete din investiții și alte venituri din exploatare). </w:t>
      </w:r>
    </w:p>
    <w:p w14:paraId="2892C4F8" w14:textId="4B29B623" w:rsidR="00826D6A" w:rsidRPr="00C20FB0" w:rsidRDefault="00826D6A" w:rsidP="00826D6A">
      <w:pPr>
        <w:keepNext/>
        <w:spacing w:before="120" w:after="120"/>
        <w:ind w:left="720"/>
        <w:jc w:val="both"/>
        <w:rPr>
          <w:rFonts w:ascii="Times New Roman" w:hAnsi="Times New Roman" w:cs="Times New Roman"/>
          <w:b/>
          <w:bCs/>
          <w:i/>
          <w:iCs/>
          <w:noProof/>
          <w:sz w:val="24"/>
          <w:szCs w:val="24"/>
        </w:rPr>
      </w:pPr>
      <w:r>
        <w:rPr>
          <w:rFonts w:ascii="Times New Roman" w:hAnsi="Times New Roman"/>
          <w:b/>
          <w:i/>
          <w:noProof/>
          <w:sz w:val="24"/>
        </w:rPr>
        <w:t>Numărul de angajați în echivalent timp complet</w:t>
      </w:r>
    </w:p>
    <w:p w14:paraId="219B13E5" w14:textId="460B2D35"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Cerința de raportare prevăzută la articolul 89 alineatul (1) litera (c) din CRD IV se referă la „numărul de angajați în echivalent timp complet” (ENI). Aceasta a fost transpusă literal de către toate statele membre, iar interpretarea sa nu este controversată, deoarece definește în mod clar abordarea care trebuie urmată, și anume ENI (numărul de ore considerate normă întreagă) în locul numărului de angajați</w:t>
      </w:r>
      <w:r>
        <w:rPr>
          <w:noProof/>
        </w:rPr>
        <w:t xml:space="preserve"> (</w:t>
      </w:r>
      <w:r>
        <w:rPr>
          <w:rFonts w:ascii="Times New Roman" w:hAnsi="Times New Roman"/>
          <w:noProof/>
          <w:sz w:val="24"/>
        </w:rPr>
        <w:t>numărul de angajați individuali), care este definiția alternativă aplicată în mod tradițional.</w:t>
      </w:r>
    </w:p>
    <w:p w14:paraId="5556FBB3" w14:textId="47622FF3"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 xml:space="preserve">Aplicarea generală a definiției ENI în rapoartele pentru fiecare țară în parte facilitează compararea cifrelor. Cu toate acestea, având în vedere că situațiile financiare ale majorității băncilor raportează numărul de angajați ca efectiv de personal, acest lucru poate afecta comparabilitatea. În plus, situațiile financiare furnizează, de obicei, informații ca medie anuală, în timp ce rapoartele pentru fiecare țară în parte pot indica numărul de angajați la sfârșitul anului. </w:t>
      </w:r>
    </w:p>
    <w:p w14:paraId="0502F51F" w14:textId="220843C9" w:rsidR="00826D6A" w:rsidRPr="0060519A" w:rsidRDefault="00826D6A" w:rsidP="00826D6A">
      <w:pPr>
        <w:spacing w:before="120" w:after="120"/>
        <w:jc w:val="both"/>
        <w:rPr>
          <w:noProof/>
        </w:rPr>
      </w:pPr>
      <w:r>
        <w:rPr>
          <w:rFonts w:ascii="Times New Roman" w:hAnsi="Times New Roman"/>
          <w:noProof/>
          <w:sz w:val="24"/>
        </w:rPr>
        <w:t xml:space="preserve">Pe baza acestor observații, această cerință ar putea fi revizuită pentru a asigura coerența cu cerințele contabile sau ar putea fi specifică obligației pentru fiecare țară în parte, inclusiv astfel cum a fost adoptată prin Directiva 2021/2101. </w:t>
      </w:r>
    </w:p>
    <w:p w14:paraId="5D8259BC" w14:textId="77777777" w:rsidR="00826D6A" w:rsidRPr="00C20FB0" w:rsidRDefault="00826D6A" w:rsidP="00826D6A">
      <w:pPr>
        <w:spacing w:before="120" w:after="120"/>
        <w:ind w:left="720"/>
        <w:jc w:val="both"/>
        <w:rPr>
          <w:rFonts w:ascii="Times New Roman" w:hAnsi="Times New Roman" w:cs="Times New Roman"/>
          <w:b/>
          <w:bCs/>
          <w:i/>
          <w:iCs/>
          <w:noProof/>
          <w:sz w:val="24"/>
          <w:szCs w:val="24"/>
        </w:rPr>
      </w:pPr>
      <w:r>
        <w:rPr>
          <w:rFonts w:ascii="Times New Roman" w:hAnsi="Times New Roman"/>
          <w:b/>
          <w:i/>
          <w:noProof/>
          <w:sz w:val="24"/>
        </w:rPr>
        <w:t>Profitul sau pierderea înainte de impozitare</w:t>
      </w:r>
    </w:p>
    <w:p w14:paraId="6CB97954" w14:textId="77777777"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Articolul 89 alineatul (1) litera (d) din CRD IV prevede obligația instituțiilor să includă „profitul sau pierderea înainte de impozitare” în raportul lor pentru fiecare țară în parte. Toate statele membre au finalizat transpunerea acestei cerințe și, de asemenea, interpretarea acesteia este simplă în ceea ce privește definiția și domeniul de aplicare: toate instituțiile raportoare îl includ în raportul lor pentru fiecare țară în parte și, în majoritatea cazurilor, informațiile sunt în concordanță cu cifrele furnizate în situațiile financiare.</w:t>
      </w:r>
    </w:p>
    <w:p w14:paraId="22708B45" w14:textId="2BF36E99" w:rsidR="00826D6A" w:rsidRPr="008916C2"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Cu toate acestea, expresia „profit sau pierdere înainte de impozitare” ar putea fi, de asemenea, înlocuită cu „profit sau pierdere înainte de impozitul pe profit”, pentru a se evita luarea în considerare a altor impozite decât impozitul pe profit și pentru a se asigura calcularea corectă a ratei efective a impozitului pe profit.</w:t>
      </w:r>
      <w:r>
        <w:rPr>
          <w:noProof/>
        </w:rPr>
        <w:tab/>
      </w:r>
    </w:p>
    <w:p w14:paraId="529BA45E" w14:textId="77777777" w:rsidR="00826D6A" w:rsidRPr="00C20FB0" w:rsidRDefault="00826D6A" w:rsidP="00826D6A">
      <w:pPr>
        <w:spacing w:before="120" w:after="120"/>
        <w:ind w:firstLine="720"/>
        <w:jc w:val="both"/>
        <w:rPr>
          <w:rFonts w:ascii="Times New Roman" w:hAnsi="Times New Roman" w:cs="Times New Roman"/>
          <w:b/>
          <w:bCs/>
          <w:i/>
          <w:iCs/>
          <w:noProof/>
          <w:sz w:val="24"/>
          <w:szCs w:val="24"/>
        </w:rPr>
      </w:pPr>
      <w:r>
        <w:rPr>
          <w:rFonts w:ascii="Times New Roman" w:hAnsi="Times New Roman"/>
          <w:b/>
          <w:i/>
          <w:noProof/>
          <w:sz w:val="24"/>
        </w:rPr>
        <w:t>Impozitul pe profit sau pierdere</w:t>
      </w:r>
    </w:p>
    <w:p w14:paraId="37FD7CDF" w14:textId="42FDE298"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În legătură directă cu informațiile precedente, articolul 89 alineatul (1) litera (e) din CRD IV se referă la comunicarea „impozitului pe profit sau pierdere”. Transpunerea sa în legislația națională este completă și toate instituțiile raportoare furnizează informații privind impozitarea în rapoartele lor pentru fiecare țară în parte, în concordanță cu cifrele din situațiile lor financiare.</w:t>
      </w:r>
    </w:p>
    <w:p w14:paraId="12AC3EDF" w14:textId="743235D1"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Interpretarea acestei cerințe depinde de faptul dacă calculul impozitelor pe profit se bazează pe un angajament (impozite contabilizate) sau pe o contabilitate de casă (impozite plătite). Din motive legate de transparență și comparabilitate, ABE a recomandat furnizarea de informații separate, utilizând atât principiul numerarului, cât și principiul contabilității de angajamente, de exemplu cele utilizate în conformitate cu IAS 12 Impozitul pe profit</w:t>
      </w:r>
      <w:r>
        <w:rPr>
          <w:rStyle w:val="FootnoteReference"/>
          <w:rFonts w:ascii="Times New Roman" w:hAnsi="Times New Roman" w:cs="Times New Roman"/>
          <w:noProof/>
          <w:sz w:val="24"/>
          <w:szCs w:val="24"/>
        </w:rPr>
        <w:footnoteReference w:id="20"/>
      </w:r>
      <w:r>
        <w:rPr>
          <w:rFonts w:ascii="Times New Roman" w:hAnsi="Times New Roman"/>
          <w:noProof/>
          <w:sz w:val="24"/>
        </w:rPr>
        <w:t xml:space="preserve">. Cu toate acestea, majoritatea instituțiilor aleg în mod autonom să aplice fie metoda numerarului, fie metoda contabilității de angajamente, împiedicând astfel comparabilitatea informațiilor între rapoartele pentru fiecare țară în parte. Pentru a facilita evaluarea ratei efective de impozitare și pentru a spori comparabilitatea cifrelor între țări și instituții, cerința privind „impozitul pe profit sau pierdere” ar putea fi detaliată suplimentar, impunând instituțiilor obligația de a comunica doi indicatori fiscali, și anume „impozitul pe venit acumulat (anul curent)” și „impozitul pe venit plătit (anul curent)”. </w:t>
      </w:r>
    </w:p>
    <w:p w14:paraId="74F4ABE7" w14:textId="77777777" w:rsidR="00826D6A" w:rsidRPr="00C20FB0" w:rsidRDefault="00826D6A" w:rsidP="00C62082">
      <w:pPr>
        <w:pageBreakBefore/>
        <w:spacing w:before="120" w:after="120"/>
        <w:ind w:left="720"/>
        <w:jc w:val="both"/>
        <w:rPr>
          <w:rFonts w:ascii="Times New Roman" w:hAnsi="Times New Roman" w:cs="Times New Roman"/>
          <w:b/>
          <w:bCs/>
          <w:i/>
          <w:iCs/>
          <w:noProof/>
          <w:sz w:val="24"/>
          <w:szCs w:val="24"/>
        </w:rPr>
      </w:pPr>
      <w:r>
        <w:rPr>
          <w:rFonts w:ascii="Times New Roman" w:hAnsi="Times New Roman"/>
          <w:b/>
          <w:i/>
          <w:noProof/>
          <w:sz w:val="24"/>
        </w:rPr>
        <w:t>Subvenții publice primite</w:t>
      </w:r>
    </w:p>
    <w:p w14:paraId="6973B447" w14:textId="77777777"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 xml:space="preserve">Lista de raportare pentru fiecare țară în parte se încheie cu cerința de a raporta „subvențiile publice primite”, astfel cum se prevede la articolul 89 alineatul (1) litera (f). Toate legislațiile naționale au transpus aceste informații. </w:t>
      </w:r>
    </w:p>
    <w:p w14:paraId="16D7EF46" w14:textId="464405F0" w:rsidR="00826D6A" w:rsidRPr="008916C2"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Expresia „subvenție publică” se referă, în general, la o contribuție financiară din partea unui guvern sau a unui organism public în beneficiul destinatarului. La nivelul statelor membre nu s-a ajuns la o înțelegere comună privind măsura în care această definiție ar trebui să includă toate formele de „granturi” sau „ajutoare de stat” (cum ar fi împrumuturi, credite fiscale, donații sau scutiri), iar interpretarea sa în contextul raportului pentru fiecare țară în parte nu a fost abordată nici de ABE. Punerea sa în aplicare este, de asemenea, incertă, deoarece majoritatea instituțiilor nu specifică definițiile utilizate pentru subvențiile publice și neprezentând sumele subvențiilor primite pe țări. În acest sens, pentru a evita incertitudinea cu privire la sensul său, noțiunea „subvenții publice primite” ar putea fi definită pentru a se asigura că subvențiile includ granturile și ajutoarele de stat.</w:t>
      </w:r>
    </w:p>
    <w:p w14:paraId="7502FDFC" w14:textId="5B5842D5" w:rsidR="00826D6A" w:rsidRPr="002C1B20" w:rsidRDefault="00826D6A" w:rsidP="00826D6A">
      <w:pPr>
        <w:spacing w:before="120" w:after="120"/>
        <w:jc w:val="both"/>
        <w:rPr>
          <w:rFonts w:ascii="Times New Roman" w:hAnsi="Times New Roman" w:cs="Times New Roman"/>
          <w:b/>
          <w:noProof/>
          <w:sz w:val="24"/>
          <w:szCs w:val="24"/>
        </w:rPr>
      </w:pPr>
      <w:r>
        <w:rPr>
          <w:rFonts w:ascii="Times New Roman" w:hAnsi="Times New Roman"/>
          <w:noProof/>
          <w:sz w:val="24"/>
        </w:rPr>
        <w:t>Pentru a concluziona cu privire la această secțiune, s-ar putea avea în vedere îmbunătățirea coerenței cerințelor de raportare pentru fiecare țară în parte prin alinierea formulării generale de la articolul 89 alineatul (1), după caz, la cerințele contabile și la formularea mai clară prevăzută în alte acte legislative relevante: acest lucru ar permite abordarea unor aspecte legate de interpretare și ar asigura o punere în aplicare armonizată a cerințelor de către instituțiile din întreaga UE.</w:t>
      </w:r>
    </w:p>
    <w:p w14:paraId="0ED6972C" w14:textId="77777777" w:rsidR="00826D6A" w:rsidRDefault="00826D6A" w:rsidP="00826D6A">
      <w:pPr>
        <w:keepNext/>
        <w:spacing w:before="120" w:after="120"/>
        <w:jc w:val="both"/>
        <w:rPr>
          <w:rFonts w:ascii="Times New Roman" w:hAnsi="Times New Roman" w:cs="Times New Roman"/>
          <w:b/>
          <w:i/>
          <w:noProof/>
          <w:sz w:val="24"/>
          <w:szCs w:val="24"/>
        </w:rPr>
      </w:pPr>
      <w:r>
        <w:rPr>
          <w:rFonts w:ascii="Times New Roman" w:hAnsi="Times New Roman"/>
          <w:b/>
          <w:noProof/>
          <w:sz w:val="24"/>
        </w:rPr>
        <w:t xml:space="preserve">3.2 Evaluarea raportării pentru fiecare țară în parte </w:t>
      </w:r>
    </w:p>
    <w:p w14:paraId="597238BE" w14:textId="77777777" w:rsidR="00826D6A" w:rsidRPr="00C20FB0" w:rsidRDefault="00826D6A" w:rsidP="00826D6A">
      <w:pPr>
        <w:spacing w:before="120" w:after="120"/>
        <w:ind w:left="720"/>
        <w:jc w:val="both"/>
        <w:rPr>
          <w:rFonts w:ascii="Times New Roman" w:hAnsi="Times New Roman" w:cs="Times New Roman"/>
          <w:b/>
          <w:bCs/>
          <w:i/>
          <w:iCs/>
          <w:noProof/>
          <w:sz w:val="24"/>
          <w:szCs w:val="24"/>
        </w:rPr>
      </w:pPr>
      <w:r>
        <w:rPr>
          <w:rFonts w:ascii="Times New Roman" w:hAnsi="Times New Roman"/>
          <w:b/>
          <w:i/>
          <w:noProof/>
          <w:sz w:val="24"/>
        </w:rPr>
        <w:t>Eficacitate: îmbunătățirea generală a încrederii publice</w:t>
      </w:r>
    </w:p>
    <w:p w14:paraId="0DF7AEFD" w14:textId="77777777" w:rsidR="00826D6A" w:rsidRPr="00C20FB0"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Obiectivul raportării pentru fiecare țară în parte este de a recâștiga încrederea cetățenilor în sectorul financiar. Acest obiectiv este atins prin:</w:t>
      </w:r>
    </w:p>
    <w:p w14:paraId="7200CAD7" w14:textId="2F7F52B1" w:rsidR="00826D6A" w:rsidRPr="00C20FB0" w:rsidRDefault="00826D6A" w:rsidP="00826D6A">
      <w:pPr>
        <w:pStyle w:val="ListParagraph"/>
        <w:numPr>
          <w:ilvl w:val="0"/>
          <w:numId w:val="42"/>
        </w:numPr>
        <w:spacing w:before="120" w:after="120"/>
        <w:jc w:val="both"/>
        <w:rPr>
          <w:rFonts w:ascii="Times New Roman" w:hAnsi="Times New Roman" w:cs="Times New Roman"/>
          <w:noProof/>
          <w:sz w:val="24"/>
          <w:szCs w:val="24"/>
        </w:rPr>
      </w:pPr>
      <w:r>
        <w:rPr>
          <w:rFonts w:ascii="Times New Roman" w:hAnsi="Times New Roman"/>
          <w:noProof/>
          <w:sz w:val="24"/>
        </w:rPr>
        <w:t>creșterea transparenței în ceea ce privește activitățile instituțiilor, inclusiv profiturile realizate, impozitele plătite și subvențiile primite; și</w:t>
      </w:r>
    </w:p>
    <w:p w14:paraId="23729D62" w14:textId="77777777" w:rsidR="00826D6A" w:rsidRPr="00C20FB0" w:rsidRDefault="00826D6A" w:rsidP="00826D6A">
      <w:pPr>
        <w:pStyle w:val="ListParagraph"/>
        <w:numPr>
          <w:ilvl w:val="0"/>
          <w:numId w:val="42"/>
        </w:numPr>
        <w:spacing w:before="120" w:after="120" w:line="480" w:lineRule="auto"/>
        <w:jc w:val="both"/>
        <w:rPr>
          <w:rFonts w:ascii="Times New Roman" w:hAnsi="Times New Roman" w:cs="Times New Roman"/>
          <w:noProof/>
          <w:sz w:val="24"/>
          <w:szCs w:val="24"/>
        </w:rPr>
      </w:pPr>
      <w:r>
        <w:rPr>
          <w:rFonts w:ascii="Times New Roman" w:hAnsi="Times New Roman"/>
          <w:noProof/>
          <w:sz w:val="24"/>
        </w:rPr>
        <w:t>contribuția la promovarea responsabilității întreprinderilor față de părțile interesate și societate</w:t>
      </w:r>
      <w:r>
        <w:rPr>
          <w:rStyle w:val="FootnoteReference"/>
          <w:rFonts w:ascii="Times New Roman" w:hAnsi="Times New Roman" w:cs="Times New Roman"/>
          <w:noProof/>
          <w:sz w:val="24"/>
          <w:szCs w:val="24"/>
        </w:rPr>
        <w:footnoteReference w:id="21"/>
      </w:r>
      <w:r>
        <w:rPr>
          <w:rFonts w:ascii="Times New Roman" w:hAnsi="Times New Roman"/>
          <w:noProof/>
          <w:sz w:val="24"/>
        </w:rPr>
        <w:t>.</w:t>
      </w:r>
    </w:p>
    <w:p w14:paraId="7F0C7511" w14:textId="66407319" w:rsidR="00826D6A" w:rsidRPr="00C20FB0"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În acest scop, informațiile furnizate în raportarea pentru fiecare țară în parte joacă un rol important în îmbunătățirea reputației sistemului financiar, permițând tuturor cetățenilor să aibă acces la un set de informații-cheie puse direct la dispoziția publicului chiar de către instituții.</w:t>
      </w:r>
    </w:p>
    <w:p w14:paraId="1BF3FD6C" w14:textId="77777777" w:rsidR="00826D6A" w:rsidRPr="00C20FB0"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Punerea în aplicare generală de către instituții a cerințelor prevăzute la articolul 89 alineatul (1) a contribuit la punerea la dispoziția publicului a unor date de bază privind localizarea geografică a activității instituțiilor financiare și practicile lor fiscale. Introducerea raportării pentru fiecare țară în parte reprezintă pentru cetățeni, contribuabili și ONG-uri un instrument util pentru creșterea gradului de sensibilizare a publicului în acest domeniu și pentru promovarea unui comportament responsabil al instituțiilor față de societate</w:t>
      </w:r>
      <w:r>
        <w:rPr>
          <w:rStyle w:val="FootnoteReference"/>
          <w:rFonts w:ascii="Times New Roman" w:hAnsi="Times New Roman" w:cs="Times New Roman"/>
          <w:noProof/>
          <w:sz w:val="24"/>
          <w:szCs w:val="24"/>
        </w:rPr>
        <w:footnoteReference w:id="22"/>
      </w:r>
      <w:r>
        <w:rPr>
          <w:rFonts w:ascii="Times New Roman" w:hAnsi="Times New Roman"/>
          <w:noProof/>
          <w:sz w:val="24"/>
        </w:rPr>
        <w:t>.</w:t>
      </w:r>
    </w:p>
    <w:p w14:paraId="7A4DCF9A" w14:textId="1BEE8F76"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În ceea ce privește realizarea obiectivului de raportare pentru fiecare țară în parte, la aproape un deceniu de la sfârșitul crizei financiare și a crizei datoriilor, încrederea în sistemul financiar a crescut în general</w:t>
      </w:r>
      <w:r>
        <w:rPr>
          <w:rStyle w:val="FootnoteReference"/>
          <w:rFonts w:ascii="Times New Roman" w:hAnsi="Times New Roman" w:cs="Times New Roman"/>
          <w:noProof/>
          <w:sz w:val="24"/>
          <w:szCs w:val="24"/>
        </w:rPr>
        <w:footnoteReference w:id="23"/>
      </w:r>
      <w:r>
        <w:rPr>
          <w:rFonts w:ascii="Times New Roman" w:hAnsi="Times New Roman"/>
          <w:noProof/>
          <w:sz w:val="24"/>
        </w:rPr>
        <w:t>: potrivit barometrului de încredere Edelman</w:t>
      </w:r>
      <w:r>
        <w:rPr>
          <w:rStyle w:val="FootnoteReference"/>
          <w:rFonts w:ascii="Times New Roman" w:hAnsi="Times New Roman" w:cs="Times New Roman"/>
          <w:noProof/>
          <w:sz w:val="24"/>
          <w:szCs w:val="24"/>
        </w:rPr>
        <w:footnoteReference w:id="24"/>
      </w:r>
      <w:r>
        <w:rPr>
          <w:rFonts w:ascii="Times New Roman" w:hAnsi="Times New Roman"/>
          <w:noProof/>
          <w:sz w:val="24"/>
        </w:rPr>
        <w:t>, încrederea globală în sectorul financiar în 2021 a crescut cu 8 % față de 2012, ajungând la 52 %. De asemenea, potrivit Ipsos Global Trustworthiness Monitor</w:t>
      </w:r>
      <w:r>
        <w:rPr>
          <w:rStyle w:val="FootnoteReference"/>
          <w:rFonts w:ascii="Times New Roman" w:hAnsi="Times New Roman" w:cs="Times New Roman"/>
          <w:noProof/>
          <w:sz w:val="24"/>
          <w:szCs w:val="24"/>
        </w:rPr>
        <w:footnoteReference w:id="25"/>
      </w:r>
      <w:r>
        <w:rPr>
          <w:rFonts w:ascii="Times New Roman" w:hAnsi="Times New Roman"/>
          <w:noProof/>
          <w:sz w:val="24"/>
        </w:rPr>
        <w:t xml:space="preserve">, se înregistrează o creștere a credibilității pentru bănci (20 % în 2018 față de 28 % în 2021). </w:t>
      </w:r>
    </w:p>
    <w:p w14:paraId="16225011" w14:textId="04C63831" w:rsidR="00826D6A" w:rsidRPr="00C20FB0"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În plus, exercițiul de consultare efectuat de contractantul extern, constând în interviuri specifice și alte anchete, confirmă consensul general cu privire la îmbunătățirea percepției instituțiilor în comparație cu perioadele anterioare raportării pentru fiecare țară în parte</w:t>
      </w:r>
      <w:r>
        <w:rPr>
          <w:rStyle w:val="FootnoteReference"/>
          <w:rFonts w:ascii="Times New Roman" w:hAnsi="Times New Roman" w:cs="Times New Roman"/>
          <w:noProof/>
          <w:sz w:val="24"/>
          <w:szCs w:val="24"/>
        </w:rPr>
        <w:footnoteReference w:id="26"/>
      </w:r>
      <w:r>
        <w:rPr>
          <w:rFonts w:ascii="Times New Roman" w:hAnsi="Times New Roman"/>
          <w:noProof/>
          <w:sz w:val="24"/>
        </w:rPr>
        <w:t>.</w:t>
      </w:r>
      <w:r>
        <w:rPr>
          <w:noProof/>
        </w:rPr>
        <w:t xml:space="preserve"> </w:t>
      </w:r>
      <w:r>
        <w:rPr>
          <w:rFonts w:ascii="Times New Roman" w:hAnsi="Times New Roman"/>
          <w:noProof/>
          <w:sz w:val="24"/>
        </w:rPr>
        <w:t>Băncile sunt încrezătoare că transparența sporită care rezultă din toate cerințele de comunicare a informațiilor a îmbunătățit încrederea cetățenilor în sectorul bancar. Un efect pozitiv este, de asemenea, observat de autoritățile fiscale</w:t>
      </w:r>
      <w:r>
        <w:rPr>
          <w:rFonts w:ascii="Times New Roman" w:hAnsi="Times New Roman"/>
          <w:b/>
          <w:noProof/>
          <w:sz w:val="24"/>
        </w:rPr>
        <w:t xml:space="preserve">, </w:t>
      </w:r>
      <w:r>
        <w:rPr>
          <w:rFonts w:ascii="Times New Roman" w:hAnsi="Times New Roman"/>
          <w:noProof/>
          <w:sz w:val="24"/>
        </w:rPr>
        <w:t>de autoritățile de supraveghere bancară</w:t>
      </w:r>
      <w:r>
        <w:rPr>
          <w:rFonts w:ascii="Times New Roman" w:hAnsi="Times New Roman"/>
          <w:b/>
          <w:noProof/>
          <w:sz w:val="24"/>
        </w:rPr>
        <w:t xml:space="preserve"> </w:t>
      </w:r>
      <w:r>
        <w:rPr>
          <w:rFonts w:ascii="Times New Roman" w:hAnsi="Times New Roman"/>
          <w:noProof/>
          <w:sz w:val="24"/>
        </w:rPr>
        <w:t>ș</w:t>
      </w:r>
      <w:r w:rsidR="00C62082">
        <w:rPr>
          <w:rFonts w:ascii="Times New Roman" w:hAnsi="Times New Roman"/>
          <w:noProof/>
          <w:sz w:val="24"/>
        </w:rPr>
        <w:t>i de ONG­</w:t>
      </w:r>
      <w:r>
        <w:rPr>
          <w:rFonts w:ascii="Times New Roman" w:hAnsi="Times New Roman"/>
          <w:noProof/>
          <w:sz w:val="24"/>
        </w:rPr>
        <w:t xml:space="preserve">uri. </w:t>
      </w:r>
    </w:p>
    <w:p w14:paraId="3D665F3D" w14:textId="680DE9F1"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 xml:space="preserve">Cu toate acestea, contribuția exactă a cerințelor de raportare pentru fiecare țară în parte la creșterea încrederii în sectorul bancar rămâne dificil de determinat. După criza financiară, legiuitorul Uniunii a luat inițiative pentru a spori reziliența sectorului financiar și bancar. Mai precis, acesta a consolidat cadrul de reglementare bancară prin crearea Mecanismului unic de supraveghere pentru băncile din zona euro, prin revizuirea normelor de calculare a cerințelor de capital și prin stabilirea unui nou cadru pentru rezoluția organizată a băncilor. </w:t>
      </w:r>
    </w:p>
    <w:p w14:paraId="1B607071" w14:textId="331871E0" w:rsidR="00826D6A" w:rsidRPr="009F26F0" w:rsidRDefault="00826D6A" w:rsidP="00826D6A">
      <w:pPr>
        <w:pStyle w:val="Body"/>
        <w:spacing w:line="276" w:lineRule="auto"/>
        <w:rPr>
          <w:rFonts w:ascii="Times New Roman" w:eastAsiaTheme="minorHAnsi" w:hAnsi="Times New Roman"/>
          <w:noProof/>
          <w:sz w:val="24"/>
          <w:szCs w:val="24"/>
        </w:rPr>
      </w:pPr>
      <w:r>
        <w:rPr>
          <w:rFonts w:ascii="Times New Roman" w:hAnsi="Times New Roman"/>
          <w:noProof/>
          <w:sz w:val="24"/>
        </w:rPr>
        <w:t>Per ansamblu, informațiile menționate la articolul 89 alineatul (1) literele (a)-(f) sunt considerate adecvate pentru scopurile urmărite și nu este necesar să se adauge noi indicatori</w:t>
      </w:r>
      <w:r>
        <w:rPr>
          <w:rStyle w:val="FootnoteReference"/>
          <w:rFonts w:ascii="Times New Roman" w:eastAsiaTheme="minorHAnsi" w:hAnsi="Times New Roman"/>
          <w:noProof/>
          <w:sz w:val="24"/>
          <w:szCs w:val="24"/>
          <w:lang w:val="en-GB"/>
        </w:rPr>
        <w:footnoteReference w:id="27"/>
      </w:r>
      <w:r>
        <w:rPr>
          <w:rFonts w:ascii="Times New Roman" w:hAnsi="Times New Roman"/>
          <w:noProof/>
          <w:sz w:val="24"/>
        </w:rPr>
        <w:t>. Cu toate acestea, prezentul raport identifică, de asemenea, posibile ajustări pentru a clarifica și mai mult conceptele utilizate.</w:t>
      </w:r>
    </w:p>
    <w:p w14:paraId="5DC66B40" w14:textId="77777777" w:rsidR="00826D6A" w:rsidRPr="00C20FB0" w:rsidRDefault="00826D6A" w:rsidP="00826D6A">
      <w:pPr>
        <w:spacing w:before="120" w:after="120"/>
        <w:ind w:left="720"/>
        <w:jc w:val="both"/>
        <w:rPr>
          <w:rFonts w:ascii="Times New Roman" w:hAnsi="Times New Roman" w:cs="Times New Roman"/>
          <w:b/>
          <w:bCs/>
          <w:noProof/>
          <w:sz w:val="24"/>
          <w:szCs w:val="24"/>
        </w:rPr>
      </w:pPr>
      <w:r>
        <w:rPr>
          <w:rFonts w:ascii="Times New Roman" w:hAnsi="Times New Roman"/>
          <w:b/>
          <w:i/>
          <w:noProof/>
          <w:sz w:val="24"/>
        </w:rPr>
        <w:t xml:space="preserve">Eficiența: beneficiile depășesc costurile </w:t>
      </w:r>
    </w:p>
    <w:p w14:paraId="200D6C0A" w14:textId="2842F147"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 xml:space="preserve">Odată cu introducerea raportării pentru fiecare țară în parte, instituțiile raportoare au trebuit să aloce eforturi și resurse pentru a se conforma cerințelor obligatorii. În special, în faza de lansare, instituțiile au trebuit să facă investiții unice pentru a dezvolta noul sistem, de exemplu: definirea formatului de raportare, adaptarea software-ului de contabilitate la informațiile solicitate și formarea personalului pentru a se ocupa de sarcinile de raportare a datelor. Costurile asociate cu creșterea raportării pentru fiecare țară în parte, în funcție de o serie de factori, cum ar fi dimensiunea instituției raportoare, complexitatea structurii sale organizatorice sau numărul de țări diferite acoperite. Costurile administrative depind, de asemenea, de mijloacele de comunicare, cu o eficiență sporită atunci când raportul pentru fiecare țară în parte este inclus în raportul anual, în loc să fie pregătit ca document separat. </w:t>
      </w:r>
    </w:p>
    <w:p w14:paraId="3DF683CA" w14:textId="2C795FA4" w:rsidR="00826D6A" w:rsidRPr="00FB4F64"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Pe baza estimărilor efectuate în contextul studiului justificativ extern</w:t>
      </w:r>
      <w:r>
        <w:rPr>
          <w:rStyle w:val="FootnoteReference"/>
          <w:rFonts w:ascii="Times New Roman" w:hAnsi="Times New Roman" w:cs="Times New Roman"/>
          <w:noProof/>
          <w:sz w:val="24"/>
          <w:szCs w:val="24"/>
        </w:rPr>
        <w:footnoteReference w:id="28"/>
      </w:r>
      <w:r>
        <w:rPr>
          <w:rFonts w:ascii="Times New Roman" w:hAnsi="Times New Roman"/>
          <w:noProof/>
          <w:sz w:val="24"/>
        </w:rPr>
        <w:t>, costurile suportate de instituțiile care fac obiectul cerințelor de raportare pentru fiecare țară în parte în temeiul articolului 89 alineatul (1) sunt neglijabile: exprimate ca cifră de afaceri, acestea se situează cu mult sub un punct procentual. În plus, valoarea acestora scade după primul an, odată ce metoda de raportare este pusă în aplicare</w:t>
      </w:r>
      <w:r>
        <w:rPr>
          <w:rStyle w:val="FootnoteReference"/>
          <w:rFonts w:ascii="Times New Roman" w:hAnsi="Times New Roman" w:cs="Times New Roman"/>
          <w:noProof/>
          <w:sz w:val="24"/>
          <w:szCs w:val="24"/>
        </w:rPr>
        <w:footnoteReference w:id="29"/>
      </w:r>
      <w:r>
        <w:rPr>
          <w:rFonts w:ascii="Times New Roman" w:hAnsi="Times New Roman"/>
          <w:noProof/>
          <w:sz w:val="24"/>
        </w:rPr>
        <w:t>.</w:t>
      </w:r>
      <w:r>
        <w:rPr>
          <w:noProof/>
        </w:rPr>
        <w:t xml:space="preserve"> </w:t>
      </w:r>
      <w:r>
        <w:rPr>
          <w:rFonts w:ascii="Times New Roman" w:hAnsi="Times New Roman"/>
          <w:noProof/>
          <w:sz w:val="24"/>
        </w:rPr>
        <w:t xml:space="preserve">De asemenea, trebuie remarcat faptul că, în absența cerinței de raportare pentru fiecare țară în parte, multe instituții ar fi suportat deja cea mai mare parte a costurilor administrative, de exemplu pentru raportarea activităților lor comerciale sau raportarea către autoritățile fiscale în temeiul legislației naționale de punere în aplicare a acțiunii BEPS 13 a OCDE. </w:t>
      </w:r>
    </w:p>
    <w:p w14:paraId="352AB327" w14:textId="139AEC36" w:rsidR="00826D6A" w:rsidRPr="00C20FB0"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În general, impactul pozitiv dovedit atât asupra instituțiilor, cât și asupra societății în ceea ce privește obligațiile de raportare depășește cu mult costurile limitate necesare pentru punerea în aplicare a raportării pentru fiecare țară în parte. Având în vedere costurile administrative foarte limitate pentru instituțiile de credit în termeni relativi, nu există nicio justificare pentru reducerea listei de informații care trebuie publicate în temeiul articolului 89 alineatul (1).</w:t>
      </w:r>
    </w:p>
    <w:p w14:paraId="42279FAE" w14:textId="77777777" w:rsidR="00826D6A" w:rsidRPr="00C20FB0" w:rsidRDefault="00826D6A" w:rsidP="00826D6A">
      <w:pPr>
        <w:spacing w:before="120" w:after="120"/>
        <w:ind w:firstLine="720"/>
        <w:jc w:val="both"/>
        <w:rPr>
          <w:rFonts w:ascii="Times New Roman" w:hAnsi="Times New Roman" w:cs="Times New Roman"/>
          <w:b/>
          <w:bCs/>
          <w:i/>
          <w:iCs/>
          <w:noProof/>
          <w:sz w:val="24"/>
          <w:szCs w:val="24"/>
        </w:rPr>
      </w:pPr>
      <w:r>
        <w:rPr>
          <w:rFonts w:ascii="Times New Roman" w:hAnsi="Times New Roman"/>
          <w:b/>
          <w:i/>
          <w:noProof/>
          <w:sz w:val="24"/>
        </w:rPr>
        <w:t>Relevanța continuă în lumina nevoilor actuale și emergente</w:t>
      </w:r>
    </w:p>
    <w:p w14:paraId="0525BF1D" w14:textId="76F9BC79" w:rsidR="00826D6A" w:rsidRPr="00C20FB0"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La opt ani de la introducerea raportării obligatorii pentru fiecare țară în parte prin CRD IV, încrederea în sistemul financiar a crescut. Cu toate acestea, eforturile de restabilire a încrederii în sistemul financiar au fost încetinite de recentele scandaluri fiscale și de spălare de bani, cum ar fi Offshore Leaks (2013), Luxembourg Leaks (2014), Swiss Leaks (2015), Panama Papers (2016), Paradise Papers (2017) și Pandora Papers (2021).</w:t>
      </w:r>
    </w:p>
    <w:p w14:paraId="14217A67" w14:textId="240950C6"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În plus, Barometrul de încredere Edelman menționat mai sus indică faptul că, în 2021, indicele global al încrederii a scăzut cu 4 % față de 2020. Unele dintre cele mai mari scăderi ale încrederii au avut loc în țări europene precum Spania (-9</w:t>
      </w:r>
      <w:r w:rsidR="00C62082">
        <w:rPr>
          <w:rFonts w:ascii="Times New Roman" w:hAnsi="Times New Roman"/>
          <w:noProof/>
          <w:sz w:val="24"/>
        </w:rPr>
        <w:t> %), Irlanda (-7 %) și Franța (­</w:t>
      </w:r>
      <w:r>
        <w:rPr>
          <w:rFonts w:ascii="Times New Roman" w:hAnsi="Times New Roman"/>
          <w:noProof/>
          <w:sz w:val="24"/>
        </w:rPr>
        <w:t>7 %), în timp ce în Italia și Germania se înregistrează o ușoară îmbunătățire (+ 1 %)</w:t>
      </w:r>
      <w:r>
        <w:rPr>
          <w:rStyle w:val="FootnoteReference"/>
          <w:rFonts w:ascii="Times New Roman" w:hAnsi="Times New Roman" w:cs="Times New Roman"/>
          <w:noProof/>
          <w:sz w:val="24"/>
          <w:szCs w:val="24"/>
        </w:rPr>
        <w:footnoteReference w:id="30"/>
      </w:r>
      <w:r>
        <w:rPr>
          <w:rFonts w:ascii="Times New Roman" w:hAnsi="Times New Roman"/>
          <w:noProof/>
          <w:sz w:val="24"/>
        </w:rPr>
        <w:t xml:space="preserve">. </w:t>
      </w:r>
    </w:p>
    <w:p w14:paraId="6361841A" w14:textId="52C2AD12" w:rsidR="00826D6A" w:rsidRPr="00C20FB0"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În acest sens, ar trebui remarcat faptul că rolul pozitiv pe care îl joacă raportarea pentru fiecare țară în parte în îmbunătățirea reputației instituțiilor prin creșterea gradului de sensibilizare cu privire la activitățile lor are loc într-un context politic și juridic mai larg, care vizează promovarea transparenței fiscale</w:t>
      </w:r>
      <w:r>
        <w:rPr>
          <w:rStyle w:val="FootnoteReference"/>
          <w:rFonts w:ascii="Times New Roman" w:hAnsi="Times New Roman" w:cs="Times New Roman"/>
          <w:noProof/>
          <w:sz w:val="24"/>
          <w:szCs w:val="24"/>
        </w:rPr>
        <w:footnoteReference w:id="31"/>
      </w:r>
      <w:r>
        <w:rPr>
          <w:rFonts w:ascii="Times New Roman" w:hAnsi="Times New Roman"/>
          <w:noProof/>
          <w:sz w:val="24"/>
        </w:rPr>
        <w:t>. Directiva privind cerințele de capital IV prevede măsuri suplimentare de transparență care pot contribui la restabilirea încrederii cetățenilor, cum ar fi comunicarea informațiilor privind guvernanța și remunerarea membrilor consiliului de administrație.</w:t>
      </w:r>
    </w:p>
    <w:p w14:paraId="2F15CC9D" w14:textId="56D11C06" w:rsidR="00826D6A" w:rsidRPr="00C20FB0"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Deși obiectivele raportării pentru fiecare țară în parte rămân valabile, au apărut provocări recente și au fost introduse noi priorități pe agenda UE: într-o economie din ce în ce mai globalizată, mobilă și digitală, modelele de afaceri și structurile corporative mai complexe facilitează transferul profiturilor. Ca răspuns, OCDE a lansat în octombrie 2015 planul său de acțiune privind BEPS (erodarea bazei impozabile și transferul profiturilor), care propune noi standarde menite să reformeze sistemul pentru a se asigura că impozitele pe venit sunt plătite acolo unde are loc activitatea economică. În plus, Comisia a pus în aplicare mai multe inițiative, cum ar fi pachetul de măsuri împotriva evitării obligațiilor fiscale</w:t>
      </w:r>
      <w:r>
        <w:rPr>
          <w:rStyle w:val="FootnoteReference"/>
          <w:rFonts w:ascii="Times New Roman" w:hAnsi="Times New Roman" w:cs="Times New Roman"/>
          <w:noProof/>
          <w:sz w:val="24"/>
          <w:szCs w:val="24"/>
        </w:rPr>
        <w:footnoteReference w:id="32"/>
      </w:r>
      <w:r>
        <w:rPr>
          <w:rFonts w:ascii="Times New Roman" w:hAnsi="Times New Roman"/>
          <w:noProof/>
          <w:sz w:val="24"/>
        </w:rPr>
        <w:t>, care include Directiva împotriva evitării obligațiilor fiscale (ATAD 1 și 2)</w:t>
      </w:r>
      <w:r>
        <w:rPr>
          <w:rStyle w:val="FootnoteReference"/>
          <w:rFonts w:ascii="Times New Roman" w:hAnsi="Times New Roman" w:cs="Times New Roman"/>
          <w:noProof/>
          <w:sz w:val="24"/>
          <w:szCs w:val="24"/>
        </w:rPr>
        <w:footnoteReference w:id="33"/>
      </w:r>
      <w:r>
        <w:rPr>
          <w:rFonts w:ascii="Times New Roman" w:hAnsi="Times New Roman"/>
          <w:noProof/>
          <w:sz w:val="24"/>
        </w:rPr>
        <w:t>, pentru a reduce evitarea obligațiilor fiscale în UE. În mai 2021, Comisia a publicat o agendă a UE privind politica fiscală cu o serie de propuneri privind impozitarea întreprinderilor, inclusiv o nouă propunere privind publicarea anuală a ratei efective a impozitului pe profit pentru anumite întreprinderi mari care își desfășoară activitatea în UE. Pentru a combate evitarea obligațiilor fiscale, Parlamentul European și Consiliul au adoptat în noiembrie 2021 Directiva privind raportarea publică pentru fiecare țară în parte (CBCR), introducând norme de raportare pentru întreprinderile multinaționale foarte mari și filialele acestora (cu venituri anuale de peste 750 de milioane EUR), care vor trebui să facă publică valoarea impozitelor pe care le plătesc în fiecare stat membru al UE.</w:t>
      </w:r>
    </w:p>
    <w:p w14:paraId="72575D7A" w14:textId="77777777"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În acest context în schimbare, relevanța continuă a unei abordări privind raportarea pentru fiecare țară în parte este confirmată</w:t>
      </w:r>
      <w:r>
        <w:rPr>
          <w:rStyle w:val="FootnoteReference"/>
          <w:rFonts w:ascii="Times New Roman" w:hAnsi="Times New Roman" w:cs="Times New Roman"/>
          <w:noProof/>
          <w:sz w:val="24"/>
          <w:szCs w:val="24"/>
        </w:rPr>
        <w:footnoteReference w:id="34"/>
      </w:r>
      <w:r>
        <w:rPr>
          <w:rFonts w:ascii="Times New Roman" w:hAnsi="Times New Roman"/>
          <w:noProof/>
          <w:sz w:val="24"/>
        </w:rPr>
        <w:t xml:space="preserve"> de publicul larg, și anume de consumatori și cetățeni, precum și de grupuri specifice de părți interesate, cum ar fi: </w:t>
      </w:r>
    </w:p>
    <w:p w14:paraId="1CAA053D" w14:textId="77777777" w:rsidR="00826D6A" w:rsidRDefault="00826D6A" w:rsidP="00826D6A">
      <w:pPr>
        <w:pStyle w:val="ListParagraph"/>
        <w:numPr>
          <w:ilvl w:val="0"/>
          <w:numId w:val="47"/>
        </w:numPr>
        <w:spacing w:before="120" w:after="120"/>
        <w:jc w:val="both"/>
        <w:rPr>
          <w:rFonts w:ascii="Times New Roman" w:hAnsi="Times New Roman" w:cs="Times New Roman"/>
          <w:noProof/>
          <w:sz w:val="24"/>
          <w:szCs w:val="24"/>
        </w:rPr>
      </w:pPr>
      <w:r>
        <w:rPr>
          <w:rFonts w:ascii="Times New Roman" w:hAnsi="Times New Roman"/>
          <w:noProof/>
          <w:sz w:val="24"/>
        </w:rPr>
        <w:t xml:space="preserve">sindicatele, care subliniază importanța ca lucrătorii pe care îi reprezintă să dispună de informații cu privire la comportamentul fiscal al întreprinderilor pentru care lucrează; </w:t>
      </w:r>
    </w:p>
    <w:p w14:paraId="4197A8A3" w14:textId="0E2CE2AE" w:rsidR="00826D6A" w:rsidRDefault="00826D6A" w:rsidP="00826D6A">
      <w:pPr>
        <w:pStyle w:val="ListParagraph"/>
        <w:numPr>
          <w:ilvl w:val="0"/>
          <w:numId w:val="47"/>
        </w:numPr>
        <w:spacing w:before="120" w:after="120"/>
        <w:jc w:val="both"/>
        <w:rPr>
          <w:rFonts w:ascii="Times New Roman" w:hAnsi="Times New Roman" w:cs="Times New Roman"/>
          <w:noProof/>
          <w:sz w:val="24"/>
          <w:szCs w:val="24"/>
        </w:rPr>
      </w:pPr>
      <w:r>
        <w:rPr>
          <w:rFonts w:ascii="Times New Roman" w:hAnsi="Times New Roman"/>
          <w:noProof/>
          <w:sz w:val="24"/>
        </w:rPr>
        <w:t xml:space="preserve">întreprinderile mici și mijlocii, care consideră că publicarea informațiilor este esențială pentru a asigura condiții de concurență echitabile și pentru a împiedica întreprinderile mari să obțină un avantaj concurențial neloial; </w:t>
      </w:r>
    </w:p>
    <w:p w14:paraId="5DF9B490" w14:textId="77777777" w:rsidR="00CB751D" w:rsidRDefault="00826D6A" w:rsidP="00826D6A">
      <w:pPr>
        <w:pStyle w:val="ListParagraph"/>
        <w:numPr>
          <w:ilvl w:val="0"/>
          <w:numId w:val="47"/>
        </w:numPr>
        <w:spacing w:before="120" w:after="120"/>
        <w:jc w:val="both"/>
        <w:rPr>
          <w:rFonts w:ascii="Times New Roman" w:hAnsi="Times New Roman" w:cs="Times New Roman"/>
          <w:noProof/>
          <w:sz w:val="24"/>
          <w:szCs w:val="24"/>
        </w:rPr>
      </w:pPr>
      <w:r>
        <w:rPr>
          <w:rFonts w:ascii="Times New Roman" w:hAnsi="Times New Roman"/>
          <w:noProof/>
          <w:sz w:val="24"/>
        </w:rPr>
        <w:t xml:space="preserve">investitorii, ale căror decizii ar putea fi influențate de informații privind responsabilitatea întreprinderilor; </w:t>
      </w:r>
    </w:p>
    <w:p w14:paraId="722D46E2" w14:textId="616E427E" w:rsidR="00826D6A" w:rsidRDefault="00826D6A" w:rsidP="00826D6A">
      <w:pPr>
        <w:pStyle w:val="ListParagraph"/>
        <w:numPr>
          <w:ilvl w:val="0"/>
          <w:numId w:val="47"/>
        </w:numPr>
        <w:spacing w:before="120" w:after="120"/>
        <w:jc w:val="both"/>
        <w:rPr>
          <w:rFonts w:ascii="Times New Roman" w:hAnsi="Times New Roman" w:cs="Times New Roman"/>
          <w:noProof/>
          <w:sz w:val="24"/>
          <w:szCs w:val="24"/>
        </w:rPr>
      </w:pPr>
      <w:r>
        <w:rPr>
          <w:rFonts w:ascii="Times New Roman" w:hAnsi="Times New Roman"/>
          <w:noProof/>
          <w:sz w:val="24"/>
        </w:rPr>
        <w:t xml:space="preserve">economiile în curs de dezvoltare, pentru care raportarea pentru fiecare țară în parte este un instrument de consolidare a responsabilității fiscale și de evitare a abuzurilor din partea țărilor nedemocratice; </w:t>
      </w:r>
    </w:p>
    <w:p w14:paraId="4E054BDB" w14:textId="5CD83B8B" w:rsidR="00826D6A" w:rsidRPr="001C5182" w:rsidRDefault="00826D6A" w:rsidP="00826D6A">
      <w:pPr>
        <w:pStyle w:val="ListParagraph"/>
        <w:numPr>
          <w:ilvl w:val="0"/>
          <w:numId w:val="47"/>
        </w:numPr>
        <w:spacing w:before="120" w:after="120"/>
        <w:jc w:val="both"/>
        <w:rPr>
          <w:rFonts w:ascii="Times New Roman" w:hAnsi="Times New Roman" w:cs="Times New Roman"/>
          <w:noProof/>
          <w:sz w:val="24"/>
          <w:szCs w:val="24"/>
        </w:rPr>
      </w:pPr>
      <w:r>
        <w:rPr>
          <w:rFonts w:ascii="Times New Roman" w:hAnsi="Times New Roman"/>
          <w:noProof/>
          <w:sz w:val="24"/>
        </w:rPr>
        <w:t>autoritățile publice, atât de la nivel național, cât și de la nivelul UE, în cazul cărora publicarea este un instrument esențial, menit să stimuleze elaborarea politicilor și procesul decizional.</w:t>
      </w:r>
    </w:p>
    <w:p w14:paraId="3C3BDEDC" w14:textId="77777777" w:rsidR="00826D6A" w:rsidRPr="00C20FB0" w:rsidRDefault="00826D6A" w:rsidP="00826D6A">
      <w:pPr>
        <w:spacing w:before="120" w:after="120"/>
        <w:ind w:left="720"/>
        <w:jc w:val="both"/>
        <w:rPr>
          <w:rFonts w:ascii="Times New Roman" w:eastAsia="Times New Roman" w:hAnsi="Times New Roman" w:cs="Times New Roman"/>
          <w:b/>
          <w:bCs/>
          <w:i/>
          <w:iCs/>
          <w:noProof/>
          <w:sz w:val="24"/>
          <w:szCs w:val="24"/>
        </w:rPr>
      </w:pPr>
      <w:r>
        <w:rPr>
          <w:rFonts w:ascii="Times New Roman" w:hAnsi="Times New Roman"/>
          <w:b/>
          <w:i/>
          <w:noProof/>
          <w:sz w:val="24"/>
        </w:rPr>
        <w:t>Coerența internă și externă a raportării pentru fiecare țară în parte pe țări și aplicarea din ce în ce mai frecventă a principiului pentru fiecare țară în parte</w:t>
      </w:r>
    </w:p>
    <w:p w14:paraId="5FE170A4" w14:textId="3550B43D" w:rsidR="00826D6A" w:rsidRPr="00C20FB0"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În contextul specific al pachetului CRR/CRD, articolul 89 privind raportarea pentru fiecare țară în parte nu este singura dispoziție care se referă la raportarea obligatorie a informațiilor care trebuie făcute publice de către instituții. Alte dispoziții referitoare la publicarea informațiilor sunt reprezentate de articolul 90 din CRD IV, care reglementează publicarea rentabilității activelor în raportul anual, și partea a opta din CRR, care specifică o serie de informații care trebuie publicate în situația financiară anuală. Cu toate acestea, nici articolul 90, nici partea a opta nu impun raportarea pentru fiecare țară în parte.</w:t>
      </w:r>
    </w:p>
    <w:p w14:paraId="66AB31CC" w14:textId="77777777" w:rsidR="00826D6A" w:rsidRPr="00C20FB0"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În ceea ce privește coerența internă, articolul 89 poate fi considerat, prin urmare, o dispoziție de sine stătătoare, cu legături minime cu alte componente ale aceluiași cadru legislativ.</w:t>
      </w:r>
    </w:p>
    <w:p w14:paraId="50A2405E" w14:textId="7FA77E30"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Evaluarea coerenței externe – prin analizarea modului în care raportarea pentru fiecare țară în parte în temeiul CRD IV interacționează cu alte acte legislative care au aceleași obiective de politică – evidențiază unele sinergii potențiale și suprapuneri.</w:t>
      </w:r>
    </w:p>
    <w:p w14:paraId="7B8C2725" w14:textId="77777777" w:rsidR="00826D6A" w:rsidRPr="00C20FB0"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După intrarea în vigoare a Regulamentului privind firmele de investiții</w:t>
      </w:r>
      <w:r>
        <w:rPr>
          <w:rStyle w:val="FootnoteReference"/>
          <w:rFonts w:ascii="Times New Roman" w:hAnsi="Times New Roman" w:cs="Times New Roman"/>
          <w:noProof/>
          <w:sz w:val="24"/>
          <w:szCs w:val="24"/>
        </w:rPr>
        <w:footnoteReference w:id="35"/>
      </w:r>
      <w:r>
        <w:rPr>
          <w:rFonts w:ascii="Times New Roman" w:hAnsi="Times New Roman"/>
          <w:noProof/>
          <w:sz w:val="24"/>
        </w:rPr>
        <w:t xml:space="preserve"> și a Directivei privind firmele de investiții</w:t>
      </w:r>
      <w:r>
        <w:rPr>
          <w:rStyle w:val="FootnoteReference"/>
          <w:rFonts w:ascii="Times New Roman" w:hAnsi="Times New Roman" w:cs="Times New Roman"/>
          <w:noProof/>
          <w:sz w:val="24"/>
          <w:szCs w:val="24"/>
        </w:rPr>
        <w:footnoteReference w:id="36"/>
      </w:r>
      <w:r>
        <w:rPr>
          <w:rFonts w:ascii="Times New Roman" w:hAnsi="Times New Roman"/>
          <w:noProof/>
          <w:sz w:val="24"/>
        </w:rPr>
        <w:t xml:space="preserve"> (IFD), numai firmele de investiții din clasa 1</w:t>
      </w:r>
      <w:r>
        <w:rPr>
          <w:rStyle w:val="FootnoteReference"/>
          <w:rFonts w:ascii="Times New Roman" w:hAnsi="Times New Roman" w:cs="Times New Roman"/>
          <w:noProof/>
          <w:sz w:val="24"/>
          <w:szCs w:val="24"/>
        </w:rPr>
        <w:footnoteReference w:id="37"/>
      </w:r>
      <w:r>
        <w:rPr>
          <w:rFonts w:ascii="Times New Roman" w:hAnsi="Times New Roman"/>
          <w:noProof/>
          <w:sz w:val="24"/>
        </w:rPr>
        <w:t xml:space="preserve"> și clasa 1 minus</w:t>
      </w:r>
      <w:r>
        <w:rPr>
          <w:rStyle w:val="FootnoteReference"/>
          <w:rFonts w:ascii="Times New Roman" w:hAnsi="Times New Roman" w:cs="Times New Roman"/>
          <w:noProof/>
          <w:sz w:val="24"/>
          <w:szCs w:val="24"/>
        </w:rPr>
        <w:footnoteReference w:id="38"/>
      </w:r>
      <w:r>
        <w:rPr>
          <w:rFonts w:ascii="Times New Roman" w:hAnsi="Times New Roman"/>
          <w:noProof/>
          <w:sz w:val="24"/>
        </w:rPr>
        <w:t xml:space="preserve"> au obligația, după caz, să respecte CRR și CRD. Firmele de investiții din clasa 2 trebuie să respecte cerințele prevăzute la articolul 27 din IFD. Lista informațiilor care trebuie comunicate în conformitate cu prezentul articol reflectă lista de la articolul 89 alineatul (1), cu singura excepție a primei cerințe (unde „localizarea geografică” se înlocuiește cu „localizarea oricăror filiale și sucursale”). </w:t>
      </w:r>
    </w:p>
    <w:p w14:paraId="4AC69DD8" w14:textId="01730F93" w:rsidR="00826D6A" w:rsidRPr="00C20FB0"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Sunt identificate asemănări strânse între raportarea pentru fiecare țară în parte prevăzută de CRD IV și Directiva privind raportarea publică pentru fiecare țară în parte recent adoptată, atât în ceea ce privește obiectivele (sporirea transparenței întreprinderilor și consolidarea controlului public), cât și principiul divulgării informațiilor (tipuri de informații care trebuie raportate pentru fiecare țară în parte). Directiva a fost adoptată ca răspuns la diferitele scandaluri fiscale care au ieșit la iveală în jurul anului 2015 și se aplică marilor întreprinderi multinaționale (cu venituri consolidate de cel puțin 750 de milioane EUR). Acest act legislativ recent de modificare a Directivei 2013/34/UE precizează la alineatul (2) din articolul 48c (nou) din capitolul 10a o listă de cerințe care corespund în mare măsură informațiilor prevăzute la articolul 89 alineatul (1) din CRD IV. Cu toate acestea, informațiile care trebuie publicate în temeiul capitolului 10a sunt formulate într-un mod mai detaliat decât termenii utilizați la articolul 89 din CRD IV, depășind astfel dificultățile de interpretare generate de articolul 89. În ceea ce privește domeniul de aplicare, noua directivă se concentrează asupra întreprinderilor foarte mari</w:t>
      </w:r>
      <w:r>
        <w:rPr>
          <w:rStyle w:val="FootnoteReference"/>
          <w:rFonts w:ascii="Times New Roman" w:hAnsi="Times New Roman" w:cs="Times New Roman"/>
          <w:noProof/>
          <w:sz w:val="24"/>
          <w:szCs w:val="24"/>
        </w:rPr>
        <w:footnoteReference w:id="39"/>
      </w:r>
      <w:r>
        <w:rPr>
          <w:rFonts w:ascii="Times New Roman" w:hAnsi="Times New Roman"/>
          <w:noProof/>
          <w:sz w:val="24"/>
        </w:rPr>
        <w:t xml:space="preserve">, în timp ce articolul 89 din CRD IV vizează instituțiile de credit, precum și firmele de investiții sistemice și mari. Pentru instituțiile care ar putea intra în domeniul de aplicare al ambelor regimuri, noua directivă include o dispoziție specifică, și anume articolul 48b alineatul (3), menită să evite o posibilă dublă raportare pentru fiecare țară în parte. Pentru a spori accesibilitatea și comparabilitatea informațiilor, Directiva contabilă modificată prevede ca raportul pentru fiecare țară în parte să fie prezentat utilizând un model comun și formate de raportare electronice care să poată fi citite automat. </w:t>
      </w:r>
    </w:p>
    <w:p w14:paraId="40A2346C" w14:textId="29F39729" w:rsidR="00826D6A" w:rsidRPr="00C20FB0"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O obligație de raportare pentru fiecare țară în parte la nivel internațional este, de asemenea, prevăzută de acțiunea 13</w:t>
      </w:r>
      <w:r>
        <w:rPr>
          <w:rStyle w:val="FootnoteReference"/>
          <w:rFonts w:ascii="Times New Roman" w:hAnsi="Times New Roman" w:cs="Times New Roman"/>
          <w:noProof/>
          <w:sz w:val="24"/>
          <w:szCs w:val="24"/>
        </w:rPr>
        <w:footnoteReference w:id="40"/>
      </w:r>
      <w:r>
        <w:rPr>
          <w:rFonts w:ascii="Times New Roman" w:hAnsi="Times New Roman"/>
          <w:noProof/>
          <w:sz w:val="24"/>
        </w:rPr>
        <w:t xml:space="preserve"> a OCDE privind BEPS [pusă în aplicare în UE prin Directiva (UE) 2016/881 a Consiliului în ceea ce privește schimbul automat obligatoriu de informații în domeniul fiscal (DAC4)] între autoritățile fiscale. Cu toate acestea, informațiile furnizate în cadrul acțiunii 13 privind BEPS și DAC4 nu trebuie puse la dispoziția publicului. DAC4 se aplică întreprinderilor multinaționale situate în UE sau entităților din grupul de întreprinderi multinaționale rezidente în UE, cu venituri consolidate totale de peste 750 de milioane EUR în perioada contabilă precedentă. Raportul pentru fiecare țară în parte include informații pentru entitățile grupului de întreprinderi multinaționale din fiecare jurisdicție fiscală, inclusiv indicatori precum veniturile părților afiliate, angajații și activele pentru evaluarea cerințelor privind activitatea de fond, și acoperă o gamă mai largă de indicatori decât cei prevăzuți la articolul 89 alineatul (1). </w:t>
      </w:r>
    </w:p>
    <w:p w14:paraId="29C1DB9E" w14:textId="613C684A" w:rsidR="00826D6A" w:rsidRPr="00C20FB0"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Noul standard fiscal GRI (GRI 207), care a intrat în vigoare pentru raportare începând cu 2021, este primul și singurul standard de raportare publică – voluntar – aplicabil la nivel mondial pentru transparență fiscală. Acesta stabilește așteptările în ceea ce privește comunicarea informațiilor privind plata impozitelor pe baza raportării pentru fiecare țară în parte, alături de strategia și guvernanța fiscală. Unele întreprinderi multinaționale pun deja în aplicare în mod voluntar comunicarea informațiilor fiscale la nivel național. Aceasta se aplică oricărei organizații (mari sau mici, private sau publice) care stabilește că informațiile fiscale reprezintă un subiect semnificativ care trebuie să facă obiectul raportării. Cerințele privind publicarea obligatorie de informații (a căror listă poate fi integrată în mod voluntar de entitatea raportoare) se suprapun parțial cu cele prevăzute la articolul 89 din CRD IV. Având în vedere lipsa de armonizare dintre cele două sisteme de raportare, instituțiile care intră în domeniul de aplicare al CRD IV care decid să publice informații și în conformitate cu standardul GRI 207 au o sarcină de raportare suplimentară.</w:t>
      </w:r>
    </w:p>
    <w:p w14:paraId="0D1301B6" w14:textId="2374F7D3" w:rsidR="00826D6A"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Per ansamblu, evaluarea evidențiază coerența externă generală și absența conflictelor între raportarea pentru fiecare țară în parte în temeiul CRD IV și raportarea publică pentru fiecare țară în parte recent adoptată. Ambele instrumente au aceleași obiective de creștere a transparenței întreprinderilor și de consolidare a controlului public. Alte instrumente, cum ar fi DAC4, vizează combaterea evitării obligațiilor fiscale la nivel transfrontalier. În acest scop, DAC4 dispune uneori de indicatori suplimentari mai detaliați decât cei prevăzuți la articolul 89 din CRD IV pentru a atinge aceste obiective specifice.</w:t>
      </w:r>
    </w:p>
    <w:p w14:paraId="2D355745" w14:textId="77777777" w:rsidR="00826D6A" w:rsidRPr="00C20FB0" w:rsidRDefault="00826D6A" w:rsidP="00826D6A">
      <w:pPr>
        <w:spacing w:before="120" w:after="120"/>
        <w:ind w:left="720"/>
        <w:jc w:val="both"/>
        <w:rPr>
          <w:rFonts w:ascii="Times New Roman" w:hAnsi="Times New Roman" w:cs="Times New Roman"/>
          <w:b/>
          <w:bCs/>
          <w:i/>
          <w:iCs/>
          <w:noProof/>
          <w:sz w:val="24"/>
          <w:szCs w:val="24"/>
        </w:rPr>
      </w:pPr>
      <w:r>
        <w:rPr>
          <w:rFonts w:ascii="Times New Roman" w:hAnsi="Times New Roman"/>
          <w:b/>
          <w:i/>
          <w:noProof/>
          <w:sz w:val="24"/>
        </w:rPr>
        <w:t>Valoarea adăugată la nivelul UE a raportării pentru fiecare țară în parte ca un pas esențial către o mai mare transparență la nivel mondial</w:t>
      </w:r>
    </w:p>
    <w:p w14:paraId="1BEB363D" w14:textId="0568A3A2" w:rsidR="00AA3421" w:rsidRDefault="00826D6A" w:rsidP="00826D6A">
      <w:pPr>
        <w:spacing w:before="120" w:after="120"/>
        <w:jc w:val="both"/>
        <w:rPr>
          <w:rFonts w:ascii="Times New Roman" w:hAnsi="Times New Roman" w:cs="Times New Roman"/>
          <w:noProof/>
          <w:sz w:val="24"/>
          <w:szCs w:val="24"/>
        </w:rPr>
      </w:pPr>
      <w:r>
        <w:rPr>
          <w:rFonts w:ascii="Times New Roman" w:hAnsi="Times New Roman"/>
          <w:noProof/>
          <w:sz w:val="24"/>
        </w:rPr>
        <w:t xml:space="preserve">Motivul includerii raportării pentru fiecare țară în parte în contextul CRD IV a fost necesitatea de a recâștiga încrederea cetățenilor UE în urma crizei financiare mondiale. În acest context, UE a propus introducerea unor cerințe de raportare obligatorii ca instrument de promovare a transparenței în sistemul financiar, punând accentul pe activitățile transnaționale ale instituțiilor. La opt ani de la intrarea în vigoare a cerinței privind raportarea pentru fiecare țară în parte, această obligație de comunicare s-a dovedit a fi un factor important pentru creșterea transparenței în ceea ce privește activitățile instituțiilor și, prin urmare, pentru recâștigarea încrederii societății. </w:t>
      </w:r>
    </w:p>
    <w:p w14:paraId="29857B3C" w14:textId="5A581CAB" w:rsidR="00826D6A" w:rsidRPr="00B5138C" w:rsidRDefault="00826D6A" w:rsidP="00826D6A">
      <w:pPr>
        <w:spacing w:after="0"/>
        <w:jc w:val="both"/>
        <w:rPr>
          <w:rFonts w:ascii="Times New Roman" w:hAnsi="Times New Roman" w:cs="Times New Roman"/>
          <w:noProof/>
          <w:sz w:val="24"/>
          <w:szCs w:val="24"/>
        </w:rPr>
      </w:pPr>
      <w:r>
        <w:rPr>
          <w:rFonts w:ascii="Times New Roman" w:hAnsi="Times New Roman"/>
          <w:noProof/>
          <w:sz w:val="24"/>
        </w:rPr>
        <w:t>Atât părțile interesate de la nivel național, cât și cele de la nivelul UE consultate de contractant</w:t>
      </w:r>
      <w:r>
        <w:rPr>
          <w:rStyle w:val="FootnoteReference"/>
          <w:rFonts w:ascii="Times New Roman" w:hAnsi="Times New Roman" w:cs="Times New Roman"/>
          <w:noProof/>
          <w:sz w:val="24"/>
          <w:szCs w:val="24"/>
        </w:rPr>
        <w:footnoteReference w:id="41"/>
      </w:r>
      <w:r>
        <w:rPr>
          <w:rFonts w:ascii="Times New Roman" w:hAnsi="Times New Roman"/>
          <w:noProof/>
          <w:sz w:val="24"/>
        </w:rPr>
        <w:t xml:space="preserve"> au subliniat în mod clar că, dacă articolul 89 din CRD IV nu prevede nicio cerință de raportare pentru fiecare țară în parte, intervențiile naționale ar putea doar într-o măsură limitată să contribuie la obținerea unei încrederi sporite a cetățenilor în sectorul financiar. Acestea consideră că armonizarea la nivelul UE este un avantaj, iar comparabilitatea transfrontalieră o caracteristică ce permite cetățenilor și societății civile să analizeze și să controleze sectorul financiar. </w:t>
      </w:r>
    </w:p>
    <w:p w14:paraId="00D57E8C" w14:textId="77777777" w:rsidR="00826D6A" w:rsidRPr="00B5138C" w:rsidRDefault="00826D6A" w:rsidP="00826D6A">
      <w:pPr>
        <w:pStyle w:val="Heading1"/>
        <w:rPr>
          <w:noProof/>
        </w:rPr>
      </w:pPr>
      <w:r>
        <w:rPr>
          <w:noProof/>
        </w:rPr>
        <w:t>Concluzii</w:t>
      </w:r>
    </w:p>
    <w:p w14:paraId="19647ADB" w14:textId="77777777" w:rsidR="00826D6A" w:rsidRPr="00104ECB" w:rsidRDefault="00826D6A" w:rsidP="00826D6A">
      <w:pPr>
        <w:jc w:val="both"/>
        <w:rPr>
          <w:rFonts w:ascii="Times New Roman" w:hAnsi="Times New Roman" w:cs="Times New Roman"/>
          <w:noProof/>
          <w:sz w:val="24"/>
          <w:szCs w:val="24"/>
        </w:rPr>
      </w:pPr>
      <w:r>
        <w:rPr>
          <w:rFonts w:ascii="Times New Roman" w:hAnsi="Times New Roman"/>
          <w:noProof/>
          <w:sz w:val="24"/>
        </w:rPr>
        <w:t>Evaluarea dispozițiilor privind raportarea pentru fiecare țară în parte prevăzute la articolul 89 alineatul (1) din CRD IV arată că publicarea informațiilor obligatorii funcționează bine în contextul său de politică: toate cerințele enumerate s-au dovedit a fi capabile să restabilească încrederea în sectorul financiar prin sporirea transparenței cu privire la activitățile instituțiilor și prin consolidarea rezilienței sectorului.</w:t>
      </w:r>
    </w:p>
    <w:p w14:paraId="3EC9EDAA" w14:textId="77D7F076" w:rsidR="00826D6A" w:rsidRPr="00876327" w:rsidRDefault="00826D6A" w:rsidP="00826D6A">
      <w:pPr>
        <w:jc w:val="both"/>
        <w:rPr>
          <w:rFonts w:ascii="Times New Roman" w:hAnsi="Times New Roman" w:cs="Times New Roman"/>
          <w:noProof/>
          <w:sz w:val="24"/>
          <w:szCs w:val="24"/>
        </w:rPr>
      </w:pPr>
      <w:r>
        <w:rPr>
          <w:rFonts w:ascii="Times New Roman" w:hAnsi="Times New Roman"/>
          <w:noProof/>
          <w:sz w:val="24"/>
        </w:rPr>
        <w:t>Deși percepția generală a cetățenilor și a părților interesate din UE asupra sistemului financiar s-a îmbunătățit semnificativ în ultimii ani, încrederea în acest sector nu a revenit încă la nivelul de dinainte de criză</w:t>
      </w:r>
      <w:r>
        <w:rPr>
          <w:rStyle w:val="FootnoteReference"/>
          <w:noProof/>
          <w:sz w:val="24"/>
          <w:szCs w:val="24"/>
        </w:rPr>
        <w:footnoteReference w:id="42"/>
      </w:r>
      <w:r>
        <w:rPr>
          <w:rFonts w:ascii="Times New Roman" w:hAnsi="Times New Roman"/>
          <w:noProof/>
          <w:sz w:val="24"/>
        </w:rPr>
        <w:t xml:space="preserve">. Prin urmare, restabilirea încrederii în sistemul financiar rămâne o prioritate. În plus, raportarea pentru fiecare țară în parte rămâne relevantă pentru controlul public al erodării bazei impozabile și al transferului profiturilor. Angajamentul UE de a promova transparența și de a spori gradul de sensibilizare a publicului în acest domeniu trebuie, de asemenea, să fie confirmat în lumina noilor provocări care au apărut mai recent: acestea se referă, de exemplu, la modelele de afaceri din ce în ce mai complexe legate de economia digitală globalizată. </w:t>
      </w:r>
    </w:p>
    <w:p w14:paraId="63AF6A62" w14:textId="77C22979" w:rsidR="00826D6A" w:rsidRPr="00C20FB0" w:rsidRDefault="00826D6A" w:rsidP="00826D6A">
      <w:pPr>
        <w:jc w:val="both"/>
        <w:rPr>
          <w:rFonts w:ascii="Times New Roman" w:hAnsi="Times New Roman" w:cs="Times New Roman"/>
          <w:noProof/>
          <w:sz w:val="24"/>
          <w:szCs w:val="24"/>
        </w:rPr>
      </w:pPr>
      <w:r>
        <w:rPr>
          <w:rFonts w:ascii="Times New Roman" w:hAnsi="Times New Roman"/>
          <w:noProof/>
          <w:sz w:val="24"/>
        </w:rPr>
        <w:t xml:space="preserve">În ceea ce privește sarcina administrativă, costurile suportate de entitățile raportoare pentru a se conforma cerinței de raportare pentru fiecare țară în parte sunt estimate a fi neglijabile, în timp ce beneficiile pentru societate în general depășesc cu mult costurile. În plus, chiar și în absența cerințelor CRD IV privind raportarea pentru fiecare țară în parte, aceste costuri administrative ar fi fost oricum suportate, de exemplu pentru raportarea propriilor întreprinderi sau pentru raportarea către autoritățile fiscale a DAC4. </w:t>
      </w:r>
    </w:p>
    <w:p w14:paraId="5B912F08" w14:textId="5E2C9741" w:rsidR="00826D6A" w:rsidRDefault="00826D6A" w:rsidP="00826D6A">
      <w:pPr>
        <w:spacing w:after="0"/>
        <w:jc w:val="both"/>
        <w:rPr>
          <w:rFonts w:ascii="Times New Roman" w:hAnsi="Times New Roman" w:cs="Times New Roman"/>
          <w:noProof/>
          <w:sz w:val="24"/>
          <w:szCs w:val="24"/>
        </w:rPr>
      </w:pPr>
      <w:r>
        <w:rPr>
          <w:rFonts w:ascii="Times New Roman" w:hAnsi="Times New Roman"/>
          <w:noProof/>
          <w:sz w:val="24"/>
        </w:rPr>
        <w:t>Dispozițiile de la articolul 89 alineatul (1) sunt în concordanță cu alte părți ale legislației UE care urmărește obiectivele de sporire a transparenței întreprinderilor și de consolidare a controlului public, cum ar fi Directiva (UE) 2021/2101.</w:t>
      </w:r>
      <w:r w:rsidR="00C62082">
        <w:rPr>
          <w:rFonts w:ascii="Times New Roman" w:hAnsi="Times New Roman"/>
          <w:noProof/>
          <w:sz w:val="24"/>
        </w:rPr>
        <w:t xml:space="preserve"> </w:t>
      </w:r>
    </w:p>
    <w:p w14:paraId="6BC6224A" w14:textId="77777777" w:rsidR="00826D6A" w:rsidRPr="00C20FB0" w:rsidRDefault="00826D6A" w:rsidP="00826D6A">
      <w:pPr>
        <w:spacing w:after="0"/>
        <w:jc w:val="both"/>
        <w:rPr>
          <w:rFonts w:ascii="Times New Roman" w:hAnsi="Times New Roman" w:cs="Times New Roman"/>
          <w:noProof/>
          <w:sz w:val="24"/>
          <w:szCs w:val="24"/>
        </w:rPr>
      </w:pPr>
    </w:p>
    <w:p w14:paraId="4868B939" w14:textId="27AEB1CE" w:rsidR="008B63B4" w:rsidRDefault="00826D6A" w:rsidP="003A0D1F">
      <w:pPr>
        <w:spacing w:after="0"/>
        <w:jc w:val="both"/>
        <w:rPr>
          <w:noProof/>
        </w:rPr>
      </w:pPr>
      <w:r>
        <w:rPr>
          <w:rFonts w:ascii="Times New Roman" w:hAnsi="Times New Roman"/>
          <w:noProof/>
          <w:sz w:val="24"/>
        </w:rPr>
        <w:t>Deși în prezentul raport sunt identificate unele posibilități de îmbunătățire, nici activitățile consultative desfășurate de contractant în vederea elaborării prezentului raport, nici alte surse nu indică interesul părților interesate relevante de a redeschide dezbaterea dispozițiilor în acest moment. Evaluarea articolului 89 alineatul (1) din CRD IV arată că punerea în aplicare a raportării pentru fiecare țară în parte de către instituții este, în general, corespunzătoare și adecvată scopului. Publicarea cerințelor obligatorii rămâne pentru cetățeni, autoritățile fiscale și diferitele părți interesate din întreaga UE un instrument-cheie de creștere a gradului de sensibilizare a publicului în acest domeniu și contribuie la promovarea unui comportament responsabil al instituțiilor față de societate.</w:t>
      </w:r>
    </w:p>
    <w:sectPr w:rsidR="008B63B4" w:rsidSect="00C834D0">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59536" w14:textId="77777777" w:rsidR="004D7C8B" w:rsidRDefault="004D7C8B" w:rsidP="00D94B64">
      <w:pPr>
        <w:spacing w:after="0" w:line="240" w:lineRule="auto"/>
      </w:pPr>
      <w:r>
        <w:separator/>
      </w:r>
    </w:p>
  </w:endnote>
  <w:endnote w:type="continuationSeparator" w:id="0">
    <w:p w14:paraId="6AB2CF5E" w14:textId="77777777" w:rsidR="004D7C8B" w:rsidRDefault="004D7C8B" w:rsidP="00D94B64">
      <w:pPr>
        <w:spacing w:after="0" w:line="240" w:lineRule="auto"/>
      </w:pPr>
      <w:r>
        <w:continuationSeparator/>
      </w:r>
    </w:p>
  </w:endnote>
  <w:endnote w:type="continuationNotice" w:id="1">
    <w:p w14:paraId="32A95C2A" w14:textId="77777777" w:rsidR="004D7C8B" w:rsidRDefault="004D7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5847B" w14:textId="119E14D3" w:rsidR="00F83CAD" w:rsidRPr="001A1E95" w:rsidRDefault="00F83CAD" w:rsidP="001A1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FD8D3" w14:textId="67504299" w:rsidR="00F83CAD" w:rsidRPr="001A1E95" w:rsidRDefault="001A1E95" w:rsidP="001A1E95">
    <w:pPr>
      <w:pStyle w:val="FooterCoverPage"/>
      <w:rPr>
        <w:rFonts w:ascii="Arial" w:hAnsi="Arial" w:cs="Arial"/>
        <w:b/>
        <w:sz w:val="48"/>
      </w:rPr>
    </w:pPr>
    <w:r w:rsidRPr="001A1E95">
      <w:rPr>
        <w:rFonts w:ascii="Arial" w:hAnsi="Arial" w:cs="Arial"/>
        <w:b/>
        <w:sz w:val="48"/>
      </w:rPr>
      <w:t>RO</w:t>
    </w:r>
    <w:r w:rsidRPr="001A1E95">
      <w:rPr>
        <w:rFonts w:ascii="Arial" w:hAnsi="Arial" w:cs="Arial"/>
        <w:b/>
        <w:sz w:val="48"/>
      </w:rPr>
      <w:tab/>
    </w:r>
    <w:r w:rsidRPr="001A1E95">
      <w:rPr>
        <w:rFonts w:ascii="Arial" w:hAnsi="Arial" w:cs="Arial"/>
        <w:b/>
        <w:sz w:val="48"/>
      </w:rPr>
      <w:tab/>
    </w:r>
    <w:r w:rsidRPr="001A1E95">
      <w:tab/>
    </w:r>
    <w:r w:rsidRPr="001A1E95">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D590" w14:textId="77777777" w:rsidR="001A1E95" w:rsidRPr="001A1E95" w:rsidRDefault="001A1E95" w:rsidP="001A1E9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FEC67" w14:textId="77777777" w:rsidR="00B52ABC" w:rsidRDefault="00B52A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608070"/>
      <w:docPartObj>
        <w:docPartGallery w:val="Page Numbers (Bottom of Page)"/>
        <w:docPartUnique/>
      </w:docPartObj>
    </w:sdtPr>
    <w:sdtEndPr>
      <w:rPr>
        <w:noProof/>
      </w:rPr>
    </w:sdtEndPr>
    <w:sdtContent>
      <w:p w14:paraId="604C70DD" w14:textId="163CAA72" w:rsidR="00B52ABC" w:rsidRDefault="00B52ABC">
        <w:pPr>
          <w:pStyle w:val="Footer"/>
          <w:jc w:val="center"/>
        </w:pPr>
        <w:r>
          <w:fldChar w:fldCharType="begin"/>
        </w:r>
        <w:r>
          <w:instrText xml:space="preserve"> PAGE   \* MERGEFORMAT </w:instrText>
        </w:r>
        <w:r>
          <w:fldChar w:fldCharType="separate"/>
        </w:r>
        <w:r w:rsidR="001A1E95">
          <w:rPr>
            <w:noProof/>
          </w:rPr>
          <w:t>1</w:t>
        </w:r>
        <w:r>
          <w:fldChar w:fldCharType="end"/>
        </w:r>
      </w:p>
    </w:sdtContent>
  </w:sdt>
  <w:p w14:paraId="6F92BA54" w14:textId="77777777" w:rsidR="00B52ABC" w:rsidRPr="00C71C6A" w:rsidRDefault="00B52ABC" w:rsidP="00C834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2954" w14:textId="77777777" w:rsidR="00B52ABC" w:rsidRDefault="00B52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B8190" w14:textId="77777777" w:rsidR="004D7C8B" w:rsidRDefault="004D7C8B" w:rsidP="00D94B64">
      <w:pPr>
        <w:spacing w:after="0" w:line="240" w:lineRule="auto"/>
      </w:pPr>
      <w:r>
        <w:separator/>
      </w:r>
    </w:p>
  </w:footnote>
  <w:footnote w:type="continuationSeparator" w:id="0">
    <w:p w14:paraId="510B7AF2" w14:textId="77777777" w:rsidR="004D7C8B" w:rsidRDefault="004D7C8B" w:rsidP="00D94B64">
      <w:pPr>
        <w:spacing w:after="0" w:line="240" w:lineRule="auto"/>
      </w:pPr>
      <w:r>
        <w:continuationSeparator/>
      </w:r>
    </w:p>
  </w:footnote>
  <w:footnote w:type="continuationNotice" w:id="1">
    <w:p w14:paraId="678C4EF9" w14:textId="77777777" w:rsidR="004D7C8B" w:rsidRDefault="004D7C8B">
      <w:pPr>
        <w:spacing w:after="0" w:line="240" w:lineRule="auto"/>
      </w:pPr>
    </w:p>
  </w:footnote>
  <w:footnote w:id="2">
    <w:p w14:paraId="050E66E7" w14:textId="77777777" w:rsidR="00B52ABC" w:rsidRPr="0002089B" w:rsidRDefault="00B52ABC" w:rsidP="00826D6A">
      <w:pPr>
        <w:pStyle w:val="FootnoteText"/>
        <w:jc w:val="both"/>
        <w:rPr>
          <w:rFonts w:ascii="Times New Roman" w:hAnsi="Times New Roman" w:cs="Times New Roman"/>
        </w:rPr>
      </w:pPr>
      <w:r>
        <w:rPr>
          <w:rStyle w:val="FootnoteReference"/>
        </w:rPr>
        <w:footnoteRef/>
      </w:r>
      <w:r>
        <w:rPr>
          <w:rFonts w:ascii="Times New Roman" w:hAnsi="Times New Roman"/>
        </w:rPr>
        <w:t xml:space="preserve"> Directiva 2013/36/UE a Parlamentului European și a Consiliului din 26 iunie 2013 cu privire la accesul la activitatea instituțiilor de credit și supravegherea prudențială a instituțiilor de credit și a firmelor de investiții, de modificare a Directivei 2002/87/CE și de abrogare a Directivelor 2006/48/CE și 2006/49/CE.</w:t>
      </w:r>
    </w:p>
    <w:p w14:paraId="148E5BBA" w14:textId="77777777" w:rsidR="00B52ABC" w:rsidRPr="0002089B" w:rsidRDefault="001A1E95" w:rsidP="00826D6A">
      <w:pPr>
        <w:pStyle w:val="FootnoteText"/>
        <w:jc w:val="both"/>
        <w:rPr>
          <w:rFonts w:ascii="Times New Roman" w:hAnsi="Times New Roman" w:cs="Times New Roman"/>
        </w:rPr>
      </w:pPr>
      <w:hyperlink r:id="rId1" w:history="1">
        <w:r w:rsidR="00DA44E4">
          <w:rPr>
            <w:rStyle w:val="Hyperlink"/>
            <w:rFonts w:ascii="Times New Roman" w:hAnsi="Times New Roman"/>
          </w:rPr>
          <w:t>https://eur-lex.europa.eu/legal-content/RO/TXT/PDF/?uri=CELEX:32013L0036&amp;from=EN</w:t>
        </w:r>
      </w:hyperlink>
      <w:r w:rsidR="00DA44E4">
        <w:t>.</w:t>
      </w:r>
      <w:r w:rsidR="00DA44E4">
        <w:rPr>
          <w:rFonts w:ascii="Times New Roman" w:hAnsi="Times New Roman"/>
        </w:rPr>
        <w:t xml:space="preserve"> </w:t>
      </w:r>
    </w:p>
  </w:footnote>
  <w:footnote w:id="3">
    <w:p w14:paraId="34619DB4" w14:textId="77777777" w:rsidR="00B52ABC" w:rsidRPr="0002089B" w:rsidRDefault="00B52ABC" w:rsidP="00826D6A">
      <w:pPr>
        <w:pStyle w:val="FootnoteText"/>
        <w:jc w:val="both"/>
        <w:rPr>
          <w:rFonts w:ascii="Times New Roman" w:hAnsi="Times New Roman" w:cs="Times New Roman"/>
        </w:rPr>
      </w:pPr>
      <w:r>
        <w:rPr>
          <w:rStyle w:val="FootnoteReference"/>
        </w:rPr>
        <w:footnoteRef/>
      </w:r>
      <w:r>
        <w:rPr>
          <w:rFonts w:ascii="Times New Roman" w:hAnsi="Times New Roman"/>
        </w:rPr>
        <w:t xml:space="preserve"> Regulamentul (UE) nr. 575/2013 al Parlamentului European și al Consiliului din 26 iunie 2013 privind cerințele prudențiale pentru instituțiile de credit și societățile de investiții și de modificare a Regulamentului (UE) nr. 648/2012.</w:t>
      </w:r>
    </w:p>
    <w:p w14:paraId="1FEBBF89" w14:textId="77777777" w:rsidR="00B52ABC" w:rsidRPr="0002089B" w:rsidRDefault="001A1E95" w:rsidP="00826D6A">
      <w:pPr>
        <w:pStyle w:val="FootnoteText"/>
        <w:jc w:val="both"/>
        <w:rPr>
          <w:rFonts w:ascii="Times New Roman" w:hAnsi="Times New Roman" w:cs="Times New Roman"/>
        </w:rPr>
      </w:pPr>
      <w:hyperlink r:id="rId2" w:history="1">
        <w:r w:rsidR="00DA44E4">
          <w:rPr>
            <w:rStyle w:val="Hyperlink"/>
            <w:rFonts w:ascii="Times New Roman" w:hAnsi="Times New Roman"/>
          </w:rPr>
          <w:t>https://eur-lex.europa.eu/legal-content/RO/TXT/PDF/?uri=CELEX:32013R0575&amp;from=EN</w:t>
        </w:r>
      </w:hyperlink>
      <w:r w:rsidR="00DA44E4">
        <w:t>.</w:t>
      </w:r>
      <w:r w:rsidR="00DA44E4">
        <w:rPr>
          <w:rFonts w:ascii="Times New Roman" w:hAnsi="Times New Roman"/>
        </w:rPr>
        <w:t xml:space="preserve"> </w:t>
      </w:r>
    </w:p>
  </w:footnote>
  <w:footnote w:id="4">
    <w:p w14:paraId="321FA6A3" w14:textId="77777777" w:rsidR="00B52ABC" w:rsidRPr="00BB78ED" w:rsidRDefault="00B52ABC" w:rsidP="00826D6A">
      <w:pPr>
        <w:pStyle w:val="FootnoteText"/>
      </w:pPr>
      <w:r>
        <w:rPr>
          <w:rStyle w:val="FootnoteReference"/>
        </w:rPr>
        <w:footnoteRef/>
      </w:r>
      <w:r>
        <w:t xml:space="preserve"> </w:t>
      </w:r>
      <w:r>
        <w:rPr>
          <w:rFonts w:ascii="Times New Roman" w:hAnsi="Times New Roman"/>
        </w:rPr>
        <w:t xml:space="preserve">A se vedea considerentul 52 din CRD IV. </w:t>
      </w:r>
    </w:p>
  </w:footnote>
  <w:footnote w:id="5">
    <w:p w14:paraId="03489A14" w14:textId="77777777" w:rsidR="00B52ABC" w:rsidRPr="0004669D" w:rsidRDefault="00B52ABC" w:rsidP="00826D6A">
      <w:pPr>
        <w:pStyle w:val="FootnoteText"/>
        <w:jc w:val="both"/>
        <w:rPr>
          <w:rFonts w:ascii="Times New Roman" w:hAnsi="Times New Roman" w:cs="Times New Roman"/>
        </w:rPr>
      </w:pPr>
      <w:r>
        <w:rPr>
          <w:rStyle w:val="FootnoteReference"/>
        </w:rPr>
        <w:footnoteRef/>
      </w:r>
      <w:r>
        <w:rPr>
          <w:rFonts w:ascii="Times New Roman" w:hAnsi="Times New Roman"/>
        </w:rPr>
        <w:t xml:space="preserve"> Directiva (UE) 2019/878 a Parlamentului European și a Consiliului din 20 mai 2019 de modificare a Directivei 2013/36/UE în ceea ce privește entitățile exceptate, societățile financiare holding, societățile financiare holding mixte, remunerarea, măsurile și competențele de supraveghere și măsurile de conservare a capitalului.</w:t>
      </w:r>
    </w:p>
    <w:p w14:paraId="134BA319" w14:textId="77777777" w:rsidR="00B52ABC" w:rsidRPr="00861343" w:rsidRDefault="001A1E95" w:rsidP="00826D6A">
      <w:pPr>
        <w:pStyle w:val="FootnoteText"/>
        <w:jc w:val="both"/>
        <w:rPr>
          <w:rFonts w:ascii="Times New Roman" w:hAnsi="Times New Roman" w:cs="Times New Roman"/>
        </w:rPr>
      </w:pPr>
      <w:hyperlink r:id="rId3" w:history="1">
        <w:r w:rsidR="00DA44E4">
          <w:rPr>
            <w:rStyle w:val="Hyperlink"/>
            <w:rFonts w:ascii="Times New Roman" w:hAnsi="Times New Roman"/>
          </w:rPr>
          <w:t>EUR-Lex - 32019L0878 - EN - EUR-Lex (europa.eu)</w:t>
        </w:r>
      </w:hyperlink>
    </w:p>
    <w:p w14:paraId="57BCA18B" w14:textId="77777777" w:rsidR="00B52ABC" w:rsidRPr="00861343" w:rsidRDefault="00B52ABC" w:rsidP="00826D6A">
      <w:pPr>
        <w:pStyle w:val="FootnoteText"/>
        <w:jc w:val="both"/>
        <w:rPr>
          <w:rFonts w:cstheme="minorHAnsi"/>
          <w:lang w:val="fr-BE"/>
        </w:rPr>
      </w:pPr>
    </w:p>
  </w:footnote>
  <w:footnote w:id="6">
    <w:p w14:paraId="7A8E2975" w14:textId="4B44A3C5" w:rsidR="00B52ABC" w:rsidRPr="005518D2" w:rsidRDefault="00B52ABC" w:rsidP="00826D6A">
      <w:pPr>
        <w:pStyle w:val="FootnoteText"/>
        <w:jc w:val="both"/>
        <w:rPr>
          <w:rFonts w:ascii="Times New Roman" w:hAnsi="Times New Roman" w:cs="Times New Roman"/>
        </w:rPr>
      </w:pPr>
      <w:r>
        <w:rPr>
          <w:rStyle w:val="FootnoteReference"/>
        </w:rPr>
        <w:footnoteRef/>
      </w:r>
      <w:r>
        <w:rPr>
          <w:rFonts w:ascii="Times New Roman" w:hAnsi="Times New Roman"/>
        </w:rPr>
        <w:t xml:space="preserve"> Studiu privind caracterul adecvat al informațiilor care trebuie comunicate în temeiul articolului 89 alineatul (1) din Directiva privind cerințele de capital IV </w:t>
      </w:r>
      <w:hyperlink r:id="rId4" w:history="1">
        <w:r>
          <w:rPr>
            <w:rStyle w:val="Hyperlink"/>
            <w:rFonts w:ascii="Times New Roman" w:hAnsi="Times New Roman"/>
          </w:rPr>
          <w:t>Dreptul societăților comerciale și guvernanța corporativă |</w:t>
        </w:r>
      </w:hyperlink>
      <w:hyperlink r:id="rId5" w:history="1">
        <w:r>
          <w:rPr>
            <w:rStyle w:val="Hyperlink"/>
            <w:rFonts w:ascii="Times New Roman" w:hAnsi="Times New Roman"/>
          </w:rPr>
          <w:t xml:space="preserve"> Comisia Europeană (europa.eu)</w:t>
        </w:r>
      </w:hyperlink>
      <w:r>
        <w:t>.</w:t>
      </w:r>
    </w:p>
  </w:footnote>
  <w:footnote w:id="7">
    <w:p w14:paraId="3AD97726" w14:textId="77777777" w:rsidR="00B52ABC" w:rsidRPr="005518D2" w:rsidRDefault="00B52ABC" w:rsidP="00826D6A">
      <w:pPr>
        <w:pStyle w:val="FootnoteText"/>
        <w:jc w:val="both"/>
        <w:rPr>
          <w:rFonts w:ascii="Times New Roman" w:hAnsi="Times New Roman" w:cs="Times New Roman"/>
        </w:rPr>
      </w:pPr>
      <w:r>
        <w:rPr>
          <w:rStyle w:val="FootnoteReference"/>
        </w:rPr>
        <w:footnoteRef/>
      </w:r>
      <w:r>
        <w:rPr>
          <w:rFonts w:ascii="Times New Roman" w:hAnsi="Times New Roman"/>
        </w:rPr>
        <w:t xml:space="preserve"> Raport referitor la propunerea de Directivă a Parlamentului European și a Consiliului cu privire la activitatea instituțiilor de credit și supravegherea prudențială a instituțiilor de credit și a societăților de investiții și de modificare a Directivei 2002/87/CE a Parlamentului European și a Consiliului privind supravegherea suplimentară a instituțiilor de credit, a întreprinderilor de asigurare și a societăților de investiții care aparțin unui conglomerat financiar [COM(2011)0453 – C7‑0210/2011 – 2011/0203(COD)]. A se vedea considerentul 12 litera (b) și articolul 86a.</w:t>
      </w:r>
    </w:p>
    <w:p w14:paraId="43BCBA35" w14:textId="77777777" w:rsidR="00B52ABC" w:rsidRPr="005518D2" w:rsidRDefault="001A1E95" w:rsidP="00826D6A">
      <w:pPr>
        <w:pStyle w:val="FootnoteText"/>
        <w:jc w:val="both"/>
        <w:rPr>
          <w:rFonts w:ascii="Times New Roman" w:hAnsi="Times New Roman" w:cs="Times New Roman"/>
        </w:rPr>
      </w:pPr>
      <w:hyperlink r:id="rId6" w:history="1">
        <w:r w:rsidR="00DA44E4">
          <w:rPr>
            <w:rStyle w:val="Hyperlink"/>
            <w:rFonts w:ascii="Times New Roman" w:hAnsi="Times New Roman"/>
          </w:rPr>
          <w:t>https://www.europarl.europa.eu/doceo/document/A-7-2012-0170_RO.html</w:t>
        </w:r>
      </w:hyperlink>
      <w:r w:rsidR="00DA44E4">
        <w:t>.</w:t>
      </w:r>
      <w:r w:rsidR="00DA44E4">
        <w:rPr>
          <w:rFonts w:ascii="Times New Roman" w:hAnsi="Times New Roman"/>
        </w:rPr>
        <w:t xml:space="preserve"> </w:t>
      </w:r>
    </w:p>
  </w:footnote>
  <w:footnote w:id="8">
    <w:p w14:paraId="3A404F15" w14:textId="77777777" w:rsidR="00B52ABC" w:rsidRPr="00473773" w:rsidRDefault="00B52ABC" w:rsidP="00826D6A">
      <w:pPr>
        <w:pStyle w:val="FootnoteText"/>
        <w:jc w:val="both"/>
      </w:pPr>
      <w:r>
        <w:rPr>
          <w:rStyle w:val="FootnoteReference"/>
        </w:rPr>
        <w:footnoteRef/>
      </w:r>
      <w:r>
        <w:rPr>
          <w:rFonts w:ascii="Times New Roman" w:hAnsi="Times New Roman"/>
        </w:rPr>
        <w:t xml:space="preserve"> A se vedea considerentul 52 din CRD IV.</w:t>
      </w:r>
    </w:p>
  </w:footnote>
  <w:footnote w:id="9">
    <w:p w14:paraId="5026AB93" w14:textId="77777777" w:rsidR="00B52ABC" w:rsidRPr="001E409C" w:rsidRDefault="00B52ABC" w:rsidP="00826D6A">
      <w:pPr>
        <w:pStyle w:val="FootnoteText"/>
        <w:jc w:val="both"/>
        <w:rPr>
          <w:rFonts w:ascii="Times New Roman" w:hAnsi="Times New Roman" w:cs="Times New Roman"/>
        </w:rPr>
      </w:pPr>
      <w:r>
        <w:rPr>
          <w:rStyle w:val="FootnoteReference"/>
        </w:rPr>
        <w:footnoteRef/>
      </w:r>
      <w:r>
        <w:rPr>
          <w:rFonts w:ascii="Times New Roman" w:hAnsi="Times New Roman"/>
        </w:rPr>
        <w:t xml:space="preserve"> Raport al Comisiei către Parlamentul European și Consiliu, Evaluare generală a consecințelor economice ale cerințelor de comunicare defalcată pe țări, astfel cum sunt prevăzute la articolul 89 din Directiva 2013/36/UE a Parlamentului European și a Consiliului din 26 iunie 2013</w:t>
      </w:r>
    </w:p>
    <w:p w14:paraId="76910329" w14:textId="77777777" w:rsidR="00B52ABC" w:rsidRPr="001E409C" w:rsidRDefault="001A1E95" w:rsidP="00826D6A">
      <w:pPr>
        <w:pStyle w:val="FootnoteText"/>
        <w:jc w:val="both"/>
        <w:rPr>
          <w:rFonts w:ascii="Times New Roman" w:hAnsi="Times New Roman" w:cs="Times New Roman"/>
        </w:rPr>
      </w:pPr>
      <w:hyperlink r:id="rId7" w:history="1">
        <w:r w:rsidR="00DA44E4">
          <w:rPr>
            <w:rStyle w:val="Hyperlink"/>
            <w:rFonts w:ascii="Times New Roman" w:hAnsi="Times New Roman"/>
          </w:rPr>
          <w:t>https://eur-lex.europa.eu/legal-content/RO/TXT/PDF/?uri=CELEX:52014DC0676&amp;qid=1639170286777&amp;from=EN</w:t>
        </w:r>
      </w:hyperlink>
      <w:r w:rsidR="00DA44E4">
        <w:t>.</w:t>
      </w:r>
    </w:p>
  </w:footnote>
  <w:footnote w:id="10">
    <w:p w14:paraId="3B501DE8" w14:textId="77777777" w:rsidR="006E4EBB" w:rsidRPr="007B7BEE" w:rsidRDefault="006E4EBB" w:rsidP="006E4EBB">
      <w:pPr>
        <w:pStyle w:val="FootnoteText"/>
        <w:jc w:val="both"/>
      </w:pPr>
      <w:r>
        <w:rPr>
          <w:rStyle w:val="FootnoteReference"/>
        </w:rPr>
        <w:footnoteRef/>
      </w:r>
      <w:r>
        <w:t xml:space="preserve"> </w:t>
      </w:r>
      <w:r>
        <w:rPr>
          <w:rFonts w:ascii="Times New Roman" w:hAnsi="Times New Roman"/>
        </w:rPr>
        <w:t>Termenul de transpunere a expirat la 31 decembrie 2013</w:t>
      </w:r>
      <w:r>
        <w:t>.</w:t>
      </w:r>
    </w:p>
  </w:footnote>
  <w:footnote w:id="11">
    <w:p w14:paraId="34333727" w14:textId="77777777" w:rsidR="00B52ABC" w:rsidRPr="001E409C" w:rsidRDefault="00B52ABC" w:rsidP="00826D6A">
      <w:pPr>
        <w:pStyle w:val="FootnoteText"/>
        <w:rPr>
          <w:rFonts w:ascii="Times New Roman" w:hAnsi="Times New Roman" w:cs="Times New Roman"/>
        </w:rPr>
      </w:pPr>
      <w:r>
        <w:rPr>
          <w:rStyle w:val="FootnoteReference"/>
        </w:rPr>
        <w:footnoteRef/>
      </w:r>
      <w:r>
        <w:rPr>
          <w:rFonts w:ascii="Times New Roman" w:hAnsi="Times New Roman"/>
        </w:rPr>
        <w:t xml:space="preserve"> SWD(2021) 305 final – Documentul de lucru al serviciilor Comisiei – Orientări privind o mai bună legiferare </w:t>
      </w:r>
      <w:hyperlink r:id="rId8" w:history="1">
        <w:r>
          <w:rPr>
            <w:rStyle w:val="Hyperlink"/>
            <w:rFonts w:ascii="Times New Roman" w:hAnsi="Times New Roman"/>
          </w:rPr>
          <w:t>https://ec.europa.eu/info/sites/default/files/swd2021_305_en.pdf</w:t>
        </w:r>
      </w:hyperlink>
      <w:r>
        <w:t>.</w:t>
      </w:r>
      <w:r>
        <w:rPr>
          <w:rFonts w:ascii="Times New Roman" w:hAnsi="Times New Roman"/>
        </w:rPr>
        <w:t xml:space="preserve"> </w:t>
      </w:r>
    </w:p>
  </w:footnote>
  <w:footnote w:id="12">
    <w:p w14:paraId="2BD7A55E" w14:textId="77777777" w:rsidR="00B52ABC" w:rsidRPr="00D8093D" w:rsidRDefault="00B52ABC" w:rsidP="00826D6A">
      <w:pPr>
        <w:pStyle w:val="FootnoteText"/>
        <w:jc w:val="both"/>
        <w:rPr>
          <w:rFonts w:ascii="Times New Roman" w:hAnsi="Times New Roman" w:cs="Times New Roman"/>
        </w:rPr>
      </w:pPr>
      <w:r>
        <w:rPr>
          <w:rStyle w:val="FootnoteReference"/>
        </w:rPr>
        <w:footnoteRef/>
      </w:r>
      <w:r>
        <w:rPr>
          <w:rFonts w:ascii="Times New Roman" w:hAnsi="Times New Roman"/>
        </w:rPr>
        <w:t xml:space="preserve"> EBA Q&amp;A 2014_1248 </w:t>
      </w:r>
      <w:hyperlink r:id="rId9" w:history="1">
        <w:r>
          <w:rPr>
            <w:rStyle w:val="Hyperlink"/>
            <w:rFonts w:ascii="Times New Roman" w:hAnsi="Times New Roman"/>
          </w:rPr>
          <w:t>https://eba.europa.eu/single-rule-book-qa/-/qna/view/publicId/2014_1248</w:t>
        </w:r>
      </w:hyperlink>
      <w:r>
        <w:t>.</w:t>
      </w:r>
    </w:p>
  </w:footnote>
  <w:footnote w:id="13">
    <w:p w14:paraId="0AEFC498" w14:textId="77777777" w:rsidR="00B52ABC" w:rsidRDefault="00B52ABC" w:rsidP="00826D6A">
      <w:pPr>
        <w:pStyle w:val="FootnoteText"/>
        <w:jc w:val="both"/>
        <w:rPr>
          <w:rFonts w:ascii="Times New Roman" w:hAnsi="Times New Roman" w:cs="Times New Roman"/>
        </w:rPr>
      </w:pPr>
      <w:r>
        <w:rPr>
          <w:rStyle w:val="FootnoteReference"/>
        </w:rPr>
        <w:footnoteRef/>
      </w:r>
      <w:r>
        <w:rPr>
          <w:rFonts w:ascii="Times New Roman" w:hAnsi="Times New Roman"/>
        </w:rPr>
        <w:t xml:space="preserve"> BCE „Lista instituțiilor financiare monetare (date zilnice)”, disponibilă la adresa:</w:t>
      </w:r>
    </w:p>
    <w:p w14:paraId="2B55AC99" w14:textId="77777777" w:rsidR="00B52ABC" w:rsidRPr="00AD746D" w:rsidRDefault="001A1E95" w:rsidP="00826D6A">
      <w:pPr>
        <w:pStyle w:val="FootnoteText"/>
        <w:jc w:val="both"/>
        <w:rPr>
          <w:rFonts w:ascii="Times New Roman" w:hAnsi="Times New Roman" w:cs="Times New Roman"/>
        </w:rPr>
      </w:pPr>
      <w:hyperlink r:id="rId10" w:history="1">
        <w:r w:rsidR="00DA44E4">
          <w:rPr>
            <w:rStyle w:val="Hyperlink"/>
            <w:rFonts w:ascii="Times New Roman" w:hAnsi="Times New Roman"/>
          </w:rPr>
          <w:t>https://www.ecb.europa.eu/stats/financial_corporations/list_of_financial_institutions/html/elegass.en.html</w:t>
        </w:r>
      </w:hyperlink>
      <w:r w:rsidR="00DA44E4">
        <w:t>.</w:t>
      </w:r>
      <w:r w:rsidR="00DA44E4">
        <w:rPr>
          <w:rFonts w:ascii="Times New Roman" w:hAnsi="Times New Roman"/>
        </w:rPr>
        <w:t xml:space="preserve"> </w:t>
      </w:r>
    </w:p>
  </w:footnote>
  <w:footnote w:id="14">
    <w:p w14:paraId="10CB37F6" w14:textId="5A0EB21D" w:rsidR="00B52ABC" w:rsidRPr="005C4FEB" w:rsidRDefault="00B52ABC" w:rsidP="00826D6A">
      <w:pPr>
        <w:pStyle w:val="FootnoteText"/>
        <w:jc w:val="both"/>
        <w:rPr>
          <w:rFonts w:ascii="Times New Roman" w:hAnsi="Times New Roman" w:cs="Times New Roman"/>
        </w:rPr>
      </w:pPr>
      <w:r>
        <w:rPr>
          <w:rStyle w:val="FootnoteReference"/>
        </w:rPr>
        <w:footnoteRef/>
      </w:r>
      <w:r>
        <w:rPr>
          <w:rFonts w:ascii="Times New Roman" w:hAnsi="Times New Roman"/>
        </w:rPr>
        <w:t xml:space="preserve"> Astfel cum s-a raportat în Studiul privind caracterul adecvat al informațiilor care trebuie comunicate în temeiul articolului 89 alineatul (1) din Directiva privind cerințele de capital IV, pagina 63 </w:t>
      </w:r>
      <w:hyperlink r:id="rId11" w:history="1">
        <w:r>
          <w:rPr>
            <w:rStyle w:val="Hyperlink"/>
            <w:rFonts w:ascii="Times New Roman" w:hAnsi="Times New Roman"/>
          </w:rPr>
          <w:t>Dreptul societăților comerciale și guvernanța corporativă |</w:t>
        </w:r>
      </w:hyperlink>
      <w:hyperlink r:id="rId12" w:history="1">
        <w:r>
          <w:rPr>
            <w:rStyle w:val="Hyperlink"/>
            <w:rFonts w:ascii="Times New Roman" w:hAnsi="Times New Roman"/>
          </w:rPr>
          <w:t xml:space="preserve"> Comisia Europeană (europa.eu)</w:t>
        </w:r>
      </w:hyperlink>
      <w:r>
        <w:t>.</w:t>
      </w:r>
    </w:p>
  </w:footnote>
  <w:footnote w:id="15">
    <w:p w14:paraId="5F2E8BB1" w14:textId="77777777" w:rsidR="00B52ABC" w:rsidRPr="00AD746D" w:rsidRDefault="00B52ABC" w:rsidP="00826D6A">
      <w:pPr>
        <w:pStyle w:val="FootnoteText"/>
        <w:rPr>
          <w:rFonts w:ascii="Times New Roman" w:hAnsi="Times New Roman" w:cs="Times New Roman"/>
        </w:rPr>
      </w:pPr>
      <w:r>
        <w:rPr>
          <w:rStyle w:val="FootnoteReference"/>
        </w:rPr>
        <w:footnoteRef/>
      </w:r>
      <w:r>
        <w:rPr>
          <w:rFonts w:ascii="Times New Roman" w:hAnsi="Times New Roman"/>
        </w:rPr>
        <w:t xml:space="preserve"> Instituțiile de credit care nu fac obiectul CRD, astfel cum sunt definite la articolul 2 alineatul (5) din CRD IV, au fost excluse din listă. </w:t>
      </w:r>
    </w:p>
  </w:footnote>
  <w:footnote w:id="16">
    <w:p w14:paraId="17B1EF67" w14:textId="2CF78717" w:rsidR="00B52ABC" w:rsidRPr="004A0E79" w:rsidRDefault="00B52ABC" w:rsidP="00826D6A">
      <w:pPr>
        <w:pStyle w:val="FootnoteText"/>
        <w:jc w:val="both"/>
      </w:pPr>
      <w:r>
        <w:rPr>
          <w:rStyle w:val="FootnoteReference"/>
        </w:rPr>
        <w:footnoteRef/>
      </w:r>
      <w:r>
        <w:rPr>
          <w:rFonts w:ascii="Times New Roman" w:hAnsi="Times New Roman"/>
        </w:rPr>
        <w:t xml:space="preserve"> A se vedea nota de subsol 11.</w:t>
      </w:r>
    </w:p>
  </w:footnote>
  <w:footnote w:id="17">
    <w:p w14:paraId="209EAB01" w14:textId="77777777" w:rsidR="00B52ABC" w:rsidRPr="00025D7B" w:rsidRDefault="00B52ABC">
      <w:pPr>
        <w:pStyle w:val="FootnoteText"/>
      </w:pPr>
      <w:r>
        <w:rPr>
          <w:rStyle w:val="FootnoteReference"/>
        </w:rPr>
        <w:footnoteRef/>
      </w:r>
      <w:r>
        <w:t xml:space="preserve"> </w:t>
      </w:r>
      <w:r>
        <w:rPr>
          <w:rFonts w:ascii="Times New Roman" w:hAnsi="Times New Roman"/>
        </w:rPr>
        <w:t>Directiva (UE) 2021/2101 a Parlamentului European și a Consiliului din 24 noiembrie 2021 de modificare a Directivei 2013/34/UE în ceea ce privește prezentarea, de către anumite întreprinderi și sucursale, de informații privind impozitul pe profit – articolul 48b alineatul (3).</w:t>
      </w:r>
    </w:p>
  </w:footnote>
  <w:footnote w:id="18">
    <w:p w14:paraId="2039FDB0" w14:textId="77777777" w:rsidR="00B52ABC" w:rsidRPr="00191929" w:rsidRDefault="00B52ABC" w:rsidP="00826D6A">
      <w:pPr>
        <w:pStyle w:val="FootnoteText"/>
        <w:rPr>
          <w:rFonts w:ascii="Times New Roman" w:hAnsi="Times New Roman" w:cs="Times New Roman"/>
        </w:rPr>
      </w:pPr>
      <w:r>
        <w:rPr>
          <w:rStyle w:val="FootnoteReference"/>
        </w:rPr>
        <w:footnoteRef/>
      </w:r>
      <w:r>
        <w:rPr>
          <w:rFonts w:ascii="Times New Roman" w:hAnsi="Times New Roman"/>
        </w:rPr>
        <w:t xml:space="preserve"> De exemplu, activitățile din Insulele Cayman sunt considerate ca făcând parte din activitățile Regatului Unit.</w:t>
      </w:r>
    </w:p>
  </w:footnote>
  <w:footnote w:id="19">
    <w:p w14:paraId="6BC61669" w14:textId="77777777" w:rsidR="00B52ABC" w:rsidRPr="00826D6A" w:rsidRDefault="00B52ABC" w:rsidP="00826D6A">
      <w:pPr>
        <w:pStyle w:val="FootnoteText"/>
      </w:pPr>
      <w:r>
        <w:rPr>
          <w:rStyle w:val="FootnoteReference"/>
        </w:rPr>
        <w:footnoteRef/>
      </w:r>
      <w:r>
        <w:rPr>
          <w:rFonts w:ascii="Times New Roman" w:hAnsi="Times New Roman"/>
        </w:rPr>
        <w:t xml:space="preserve"> EBA in Q&amp;A 2014_1249 </w:t>
      </w:r>
      <w:hyperlink r:id="rId13" w:history="1">
        <w:r>
          <w:rPr>
            <w:rStyle w:val="Hyperlink"/>
            <w:rFonts w:ascii="Times New Roman" w:hAnsi="Times New Roman"/>
          </w:rPr>
          <w:t>https://eba.europa.eu/single-rule-book-qa/-/qna/view/publicId/2014_1249</w:t>
        </w:r>
      </w:hyperlink>
      <w:r>
        <w:t xml:space="preserve"> </w:t>
      </w:r>
    </w:p>
  </w:footnote>
  <w:footnote w:id="20">
    <w:p w14:paraId="6B152C07" w14:textId="529FBCFF" w:rsidR="00B52ABC" w:rsidRPr="001857B7" w:rsidRDefault="00B52ABC" w:rsidP="001857B7">
      <w:pPr>
        <w:spacing w:before="120" w:after="120"/>
        <w:jc w:val="both"/>
      </w:pPr>
      <w:r>
        <w:rPr>
          <w:rStyle w:val="FootnoteReference"/>
          <w:sz w:val="20"/>
          <w:szCs w:val="20"/>
        </w:rPr>
        <w:footnoteRef/>
      </w:r>
      <w:r>
        <w:rPr>
          <w:rFonts w:ascii="Times New Roman" w:hAnsi="Times New Roman"/>
          <w:sz w:val="24"/>
        </w:rPr>
        <w:t xml:space="preserve"> </w:t>
      </w:r>
      <w:r>
        <w:rPr>
          <w:rFonts w:ascii="Times New Roman" w:hAnsi="Times New Roman"/>
          <w:sz w:val="20"/>
        </w:rPr>
        <w:t>IAS</w:t>
      </w:r>
      <w:r>
        <w:rPr>
          <w:rFonts w:ascii="Times New Roman" w:hAnsi="Times New Roman"/>
          <w:sz w:val="24"/>
        </w:rPr>
        <w:t xml:space="preserve"> </w:t>
      </w:r>
      <w:r>
        <w:rPr>
          <w:rFonts w:ascii="Times New Roman" w:hAnsi="Times New Roman"/>
          <w:sz w:val="20"/>
        </w:rPr>
        <w:t xml:space="preserve">12 Impozitul pe profit: </w:t>
      </w:r>
      <w:hyperlink r:id="rId14" w:history="1">
        <w:r>
          <w:rPr>
            <w:rStyle w:val="Hyperlink"/>
            <w:rFonts w:ascii="Times New Roman" w:hAnsi="Times New Roman"/>
            <w:sz w:val="20"/>
          </w:rPr>
          <w:t>https://www.ifrs.org/issued-standards/list-of-standards/ias-12-income-taxes/</w:t>
        </w:r>
      </w:hyperlink>
      <w:r>
        <w:t>.</w:t>
      </w:r>
      <w:r>
        <w:rPr>
          <w:rFonts w:ascii="Times New Roman" w:hAnsi="Times New Roman"/>
          <w:sz w:val="20"/>
        </w:rPr>
        <w:t xml:space="preserve"> </w:t>
      </w:r>
    </w:p>
  </w:footnote>
  <w:footnote w:id="21">
    <w:p w14:paraId="2956B34E" w14:textId="4AE49AAE" w:rsidR="00B52ABC" w:rsidRPr="00AB6B6D" w:rsidRDefault="00B52ABC" w:rsidP="00826D6A">
      <w:pPr>
        <w:pStyle w:val="FootnoteText"/>
      </w:pPr>
      <w:r>
        <w:rPr>
          <w:rStyle w:val="FootnoteReference"/>
        </w:rPr>
        <w:footnoteRef/>
      </w:r>
      <w:r>
        <w:t xml:space="preserve"> </w:t>
      </w:r>
      <w:r>
        <w:rPr>
          <w:rFonts w:ascii="Times New Roman" w:hAnsi="Times New Roman"/>
        </w:rPr>
        <w:t>A se vedea nota de subsol 7.</w:t>
      </w:r>
    </w:p>
  </w:footnote>
  <w:footnote w:id="22">
    <w:p w14:paraId="7E29863B" w14:textId="67E6940F" w:rsidR="00B52ABC" w:rsidRDefault="00B52ABC" w:rsidP="005C4FEB">
      <w:pPr>
        <w:pStyle w:val="FootnoteText"/>
        <w:jc w:val="both"/>
      </w:pPr>
      <w:r>
        <w:rPr>
          <w:rStyle w:val="FootnoteReference"/>
        </w:rPr>
        <w:footnoteRef/>
      </w:r>
      <w:r>
        <w:t xml:space="preserve"> </w:t>
      </w:r>
      <w:r>
        <w:rPr>
          <w:rFonts w:ascii="Times New Roman" w:hAnsi="Times New Roman"/>
        </w:rPr>
        <w:t xml:space="preserve">Studiu privind caracterul adecvat al informațiilor care trebuie comunicate în temeiul articolului 89 alineatul (1) din Directiva privind cerințele de capital IV, p. 67-68 </w:t>
      </w:r>
      <w:hyperlink r:id="rId15" w:history="1">
        <w:r>
          <w:rPr>
            <w:rStyle w:val="Hyperlink"/>
            <w:rFonts w:ascii="Times New Roman" w:hAnsi="Times New Roman"/>
          </w:rPr>
          <w:t>Dreptul societăților comerciale și guvernanța corporativă |</w:t>
        </w:r>
      </w:hyperlink>
      <w:hyperlink r:id="rId16" w:history="1">
        <w:r>
          <w:rPr>
            <w:rStyle w:val="Hyperlink"/>
            <w:rFonts w:ascii="Times New Roman" w:hAnsi="Times New Roman"/>
          </w:rPr>
          <w:t xml:space="preserve"> Comisia Europeană (europa.eu)</w:t>
        </w:r>
      </w:hyperlink>
      <w:r>
        <w:t>.</w:t>
      </w:r>
    </w:p>
  </w:footnote>
  <w:footnote w:id="23">
    <w:p w14:paraId="2A026F32" w14:textId="1ADE9720" w:rsidR="006E7944" w:rsidRPr="00634A99" w:rsidRDefault="006E794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Fiind poate influențată de evenimente specifice (de criză), cum ar fi recenta prăbușire a Silicon Valley Bank din California (SUA) sau salvarea forțată a Credit Suisse. </w:t>
      </w:r>
    </w:p>
  </w:footnote>
  <w:footnote w:id="24">
    <w:p w14:paraId="1A0F8FE7" w14:textId="77777777" w:rsidR="00B52ABC" w:rsidRDefault="00B52ABC" w:rsidP="00826D6A">
      <w:pPr>
        <w:pStyle w:val="FootnoteText"/>
        <w:jc w:val="both"/>
        <w:rPr>
          <w:rFonts w:ascii="Times New Roman" w:hAnsi="Times New Roman" w:cs="Times New Roman"/>
        </w:rPr>
      </w:pPr>
      <w:r>
        <w:rPr>
          <w:rStyle w:val="FootnoteReference"/>
        </w:rPr>
        <w:footnoteRef/>
      </w:r>
      <w:r>
        <w:rPr>
          <w:rFonts w:ascii="Times New Roman" w:hAnsi="Times New Roman"/>
        </w:rPr>
        <w:t xml:space="preserve"> Barometrul de încredere Edelman (2021). Încrederea în serviciile financiare.</w:t>
      </w:r>
    </w:p>
    <w:p w14:paraId="62105E2B" w14:textId="62580809" w:rsidR="00B52ABC" w:rsidRPr="00C66598" w:rsidRDefault="001A1E95" w:rsidP="00826D6A">
      <w:pPr>
        <w:pStyle w:val="FootnoteText"/>
        <w:jc w:val="both"/>
        <w:rPr>
          <w:rFonts w:ascii="Times New Roman" w:hAnsi="Times New Roman" w:cs="Times New Roman"/>
        </w:rPr>
      </w:pPr>
      <w:hyperlink r:id="rId17" w:history="1">
        <w:r w:rsidR="00DA44E4">
          <w:rPr>
            <w:rStyle w:val="Hyperlink"/>
            <w:rFonts w:ascii="Times New Roman" w:hAnsi="Times New Roman"/>
          </w:rPr>
          <w:t>https://www.edelman.com/sites/g/files/aatuss191/files/2021-04/2021%20Edelman%20Trust%20Barometer%20Trust%20in%20Financial%20Services%20Global%20Report_website%20version.pdf</w:t>
        </w:r>
      </w:hyperlink>
      <w:r w:rsidR="00DA44E4">
        <w:rPr>
          <w:rStyle w:val="Hyperlink"/>
          <w:rFonts w:ascii="Times New Roman" w:hAnsi="Times New Roman"/>
        </w:rPr>
        <w:t>.</w:t>
      </w:r>
      <w:r w:rsidR="00DA44E4">
        <w:rPr>
          <w:rFonts w:ascii="Times New Roman" w:hAnsi="Times New Roman"/>
        </w:rPr>
        <w:t xml:space="preserve"> </w:t>
      </w:r>
    </w:p>
  </w:footnote>
  <w:footnote w:id="25">
    <w:p w14:paraId="06121B91" w14:textId="7499FEEC" w:rsidR="00B52ABC" w:rsidRPr="00C66598" w:rsidRDefault="00B52ABC" w:rsidP="00826D6A">
      <w:pPr>
        <w:pStyle w:val="FootnoteText"/>
        <w:jc w:val="both"/>
      </w:pPr>
      <w:r>
        <w:rPr>
          <w:rStyle w:val="FootnoteReference"/>
        </w:rPr>
        <w:footnoteRef/>
      </w:r>
      <w:r>
        <w:rPr>
          <w:rFonts w:ascii="Times New Roman" w:hAnsi="Times New Roman"/>
        </w:rPr>
        <w:t xml:space="preserve"> </w:t>
      </w:r>
      <w:hyperlink r:id="rId18" w:history="1">
        <w:r>
          <w:rPr>
            <w:rStyle w:val="Hyperlink"/>
            <w:rFonts w:ascii="Times New Roman" w:hAnsi="Times New Roman"/>
          </w:rPr>
          <w:t>https://www.ipsos.com/sites/default/files/ct/news/documents/2022-01/Global-Trustworthiness-Monitor-2021.pdf</w:t>
        </w:r>
      </w:hyperlink>
      <w:r>
        <w:rPr>
          <w:rFonts w:ascii="Times New Roman" w:hAnsi="Times New Roman"/>
        </w:rPr>
        <w:t>.</w:t>
      </w:r>
    </w:p>
  </w:footnote>
  <w:footnote w:id="26">
    <w:p w14:paraId="5A622F17" w14:textId="035AAD68" w:rsidR="00B52ABC" w:rsidRPr="00C62082" w:rsidRDefault="00B52ABC" w:rsidP="001857B7">
      <w:pPr>
        <w:pStyle w:val="FootnoteText"/>
        <w:jc w:val="both"/>
        <w:rPr>
          <w:color w:val="0000FF"/>
          <w:u w:val="single"/>
        </w:rPr>
      </w:pPr>
      <w:r>
        <w:rPr>
          <w:rStyle w:val="FootnoteReference"/>
        </w:rPr>
        <w:footnoteRef/>
      </w:r>
      <w:r>
        <w:t xml:space="preserve"> </w:t>
      </w:r>
      <w:r>
        <w:rPr>
          <w:rFonts w:ascii="Times New Roman" w:hAnsi="Times New Roman"/>
        </w:rPr>
        <w:t xml:space="preserve">Studiu privind caracterul adecvat al informațiilor care trebuie comunicate în temeiul articolului 89 alineatul (1) din Directiva privind cerințele de capital IV, p. 67 </w:t>
      </w:r>
      <w:hyperlink r:id="rId19" w:history="1">
        <w:r>
          <w:rPr>
            <w:rStyle w:val="Hyperlink"/>
            <w:rFonts w:ascii="Times New Roman" w:hAnsi="Times New Roman"/>
          </w:rPr>
          <w:t>Dreptul societăților comerciale și guvernanța corporativă |</w:t>
        </w:r>
      </w:hyperlink>
      <w:hyperlink r:id="rId20" w:history="1">
        <w:r>
          <w:rPr>
            <w:rStyle w:val="Hyperlink"/>
            <w:rFonts w:ascii="Times New Roman" w:hAnsi="Times New Roman"/>
          </w:rPr>
          <w:t xml:space="preserve"> Comisia Europeană (europa.eu)</w:t>
        </w:r>
      </w:hyperlink>
      <w:r>
        <w:t>.</w:t>
      </w:r>
    </w:p>
  </w:footnote>
  <w:footnote w:id="27">
    <w:p w14:paraId="6ACD635F" w14:textId="37D20064" w:rsidR="0080016F" w:rsidRPr="0080016F" w:rsidRDefault="0080016F" w:rsidP="00C41904">
      <w:pPr>
        <w:pStyle w:val="FootnoteText"/>
        <w:jc w:val="both"/>
      </w:pPr>
      <w:r>
        <w:rPr>
          <w:rStyle w:val="FootnoteReference"/>
        </w:rPr>
        <w:footnoteRef/>
      </w:r>
      <w:r>
        <w:rPr>
          <w:rStyle w:val="FootnoteReference"/>
        </w:rPr>
        <w:t xml:space="preserve"> </w:t>
      </w:r>
      <w:r>
        <w:rPr>
          <w:rFonts w:ascii="Times New Roman" w:hAnsi="Times New Roman"/>
        </w:rPr>
        <w:t xml:space="preserve">Studiul justificativ realizat de un contractant extern a concluzionat că „este necesar să se perfecționeze definițiile, mai degrabă decât să se adauge noi indicatori la raportarea existentă pentru fiecare țară în parte” (p. 98). În același timp, studiul constată că o minoritate semnificativă a băncilor din eșantion a raportat cu privire la indicatori suplimentari, inclusiv indicatori referitori la impozite, declarații de venit și bilanț și indicatori geografici suplimentari, dintre care unii se suprapun cu indicatorii solicitați de părțile interesate (p. 50-51) </w:t>
      </w:r>
      <w:hyperlink r:id="rId21" w:history="1">
        <w:r>
          <w:rPr>
            <w:rStyle w:val="Hyperlink"/>
            <w:rFonts w:ascii="Times New Roman" w:hAnsi="Times New Roman"/>
          </w:rPr>
          <w:t>Dreptul societăților comerciale și guvernanța corporativă |</w:t>
        </w:r>
      </w:hyperlink>
      <w:hyperlink r:id="rId22" w:history="1">
        <w:r>
          <w:rPr>
            <w:rStyle w:val="Hyperlink"/>
            <w:rFonts w:ascii="Times New Roman" w:hAnsi="Times New Roman"/>
          </w:rPr>
          <w:t xml:space="preserve"> Comisia Europeană (europa.eu)</w:t>
        </w:r>
      </w:hyperlink>
      <w:r>
        <w:t>.</w:t>
      </w:r>
      <w:r>
        <w:rPr>
          <w:rStyle w:val="Hyperlink"/>
          <w:rFonts w:ascii="Times New Roman" w:hAnsi="Times New Roman"/>
        </w:rPr>
        <w:t xml:space="preserve"> </w:t>
      </w:r>
    </w:p>
  </w:footnote>
  <w:footnote w:id="28">
    <w:p w14:paraId="5F59DB1C" w14:textId="7BEAC5D3" w:rsidR="00B52ABC" w:rsidRPr="005A4C08" w:rsidRDefault="00B52ABC" w:rsidP="005C4FEB">
      <w:pPr>
        <w:pStyle w:val="FootnoteText"/>
        <w:jc w:val="both"/>
        <w:rPr>
          <w:rStyle w:val="Hyperlink"/>
          <w:rFonts w:ascii="Times New Roman" w:hAnsi="Times New Roman" w:cs="Times New Roman"/>
        </w:rPr>
      </w:pPr>
      <w:r>
        <w:rPr>
          <w:rStyle w:val="FootnoteReference"/>
        </w:rPr>
        <w:footnoteRef/>
      </w:r>
      <w:r>
        <w:t xml:space="preserve"> </w:t>
      </w:r>
      <w:r>
        <w:rPr>
          <w:rFonts w:ascii="Times New Roman" w:hAnsi="Times New Roman"/>
        </w:rPr>
        <w:t xml:space="preserve">Ibid., p. 63 și anexa IV. Statistici descriptive privind costurile administrative și costurile incrementale, p. 126-156: </w:t>
      </w:r>
      <w:hyperlink r:id="rId23" w:history="1">
        <w:r>
          <w:rPr>
            <w:rStyle w:val="Hyperlink"/>
            <w:rFonts w:ascii="Times New Roman" w:hAnsi="Times New Roman"/>
          </w:rPr>
          <w:t>Dreptul societăților comerciale și guvernanța corporativă |</w:t>
        </w:r>
      </w:hyperlink>
      <w:hyperlink r:id="rId24" w:history="1">
        <w:r>
          <w:rPr>
            <w:rStyle w:val="Hyperlink"/>
            <w:rFonts w:ascii="Times New Roman" w:hAnsi="Times New Roman"/>
          </w:rPr>
          <w:t xml:space="preserve"> Comisia Europeană (europa.eu)</w:t>
        </w:r>
      </w:hyperlink>
      <w:r>
        <w:t>.</w:t>
      </w:r>
    </w:p>
  </w:footnote>
  <w:footnote w:id="29">
    <w:p w14:paraId="68DCA3D1" w14:textId="2DA919BF" w:rsidR="00D55859" w:rsidRPr="005A4C08" w:rsidRDefault="00B52ABC" w:rsidP="00D55859">
      <w:pPr>
        <w:pStyle w:val="FootnoteText"/>
        <w:jc w:val="both"/>
        <w:rPr>
          <w:rStyle w:val="Hyperlink"/>
        </w:rPr>
      </w:pPr>
      <w:r>
        <w:rPr>
          <w:rStyle w:val="FootnoteReference"/>
        </w:rPr>
        <w:footnoteRef/>
      </w:r>
      <w:r>
        <w:t xml:space="preserve"> </w:t>
      </w:r>
      <w:r>
        <w:rPr>
          <w:rFonts w:ascii="Times New Roman" w:hAnsi="Times New Roman"/>
        </w:rPr>
        <w:t xml:space="preserve">Ibid., anexa IV. Statistici descriptive privind costurile administrative și costurile incrementale, p. 126-156: </w:t>
      </w:r>
      <w:hyperlink r:id="rId25" w:history="1">
        <w:r>
          <w:rPr>
            <w:rStyle w:val="Hyperlink"/>
            <w:rFonts w:ascii="Times New Roman" w:hAnsi="Times New Roman"/>
          </w:rPr>
          <w:t>Dreptul societăților comerciale și guvernanța corporativă |</w:t>
        </w:r>
      </w:hyperlink>
      <w:hyperlink r:id="rId26" w:history="1">
        <w:r>
          <w:rPr>
            <w:rStyle w:val="Hyperlink"/>
            <w:rFonts w:ascii="Times New Roman" w:hAnsi="Times New Roman"/>
          </w:rPr>
          <w:t xml:space="preserve"> Comisia Europeană (europa.eu)</w:t>
        </w:r>
      </w:hyperlink>
      <w:r>
        <w:t>.</w:t>
      </w:r>
    </w:p>
    <w:p w14:paraId="1537BC22" w14:textId="4AAE8604" w:rsidR="00B52ABC" w:rsidRPr="005C4FEB" w:rsidRDefault="00B52ABC" w:rsidP="00826D6A">
      <w:pPr>
        <w:pStyle w:val="FootnoteText"/>
        <w:rPr>
          <w:b/>
        </w:rPr>
      </w:pPr>
    </w:p>
  </w:footnote>
  <w:footnote w:id="30">
    <w:p w14:paraId="16391A9A" w14:textId="77777777" w:rsidR="00B52ABC" w:rsidRPr="006A1FE4" w:rsidRDefault="00B52ABC" w:rsidP="00826D6A">
      <w:pPr>
        <w:pStyle w:val="FootnoteText"/>
        <w:rPr>
          <w:rFonts w:ascii="Times New Roman" w:hAnsi="Times New Roman" w:cs="Times New Roman"/>
        </w:rPr>
      </w:pPr>
      <w:r>
        <w:rPr>
          <w:rStyle w:val="FootnoteReference"/>
        </w:rPr>
        <w:footnoteRef/>
      </w:r>
      <w:r>
        <w:t xml:space="preserve"> </w:t>
      </w:r>
      <w:hyperlink r:id="rId27" w:history="1">
        <w:r>
          <w:rPr>
            <w:rStyle w:val="Hyperlink"/>
            <w:rFonts w:ascii="Times New Roman" w:hAnsi="Times New Roman"/>
          </w:rPr>
          <w:t>https://www.edelman.com/sites/g/files/aatuss191/files/2021-03/2021%20Edelman%20Trust%20Barometer.pdf</w:t>
        </w:r>
      </w:hyperlink>
      <w:r>
        <w:rPr>
          <w:rFonts w:ascii="Times New Roman" w:hAnsi="Times New Roman"/>
        </w:rPr>
        <w:t xml:space="preserve"> p. 46-47.</w:t>
      </w:r>
    </w:p>
  </w:footnote>
  <w:footnote w:id="31">
    <w:p w14:paraId="27BE4CE7" w14:textId="45E76FC9" w:rsidR="00B52ABC" w:rsidRPr="00280C3C" w:rsidRDefault="00B52ABC" w:rsidP="00826D6A">
      <w:pPr>
        <w:pStyle w:val="FootnoteText"/>
        <w:jc w:val="both"/>
      </w:pPr>
      <w:r>
        <w:rPr>
          <w:rStyle w:val="FootnoteReference"/>
        </w:rPr>
        <w:footnoteRef/>
      </w:r>
      <w:r>
        <w:rPr>
          <w:rFonts w:ascii="Times New Roman" w:hAnsi="Times New Roman"/>
        </w:rPr>
        <w:t xml:space="preserve"> Printre principalele inițiative ale UE care urmăresc acest obiectiv general: introducerea unor cerințe de capital mai stricte (Directiva privind cerințele de capital V și Regulamentul privind cerințele de capital II), cadrul de gestionare a crizelor (cadrul de redresare și rezoluție bancară, sistemele de garantare a depozitelor), uniunea bancară (Mecanismul unic de supraveghere, Mecanismul unic de rezoluție) și Comunicarea Comisiei către Parlamentul European și Consiliu intitulată „Impozitarea întreprinderilor pentru secolul XXI” pentru asigurarea unei impozitări echitabile și eficace (</w:t>
      </w:r>
      <w:hyperlink r:id="rId28" w:history="1">
        <w:r>
          <w:rPr>
            <w:rStyle w:val="Hyperlink"/>
            <w:rFonts w:ascii="Times New Roman" w:hAnsi="Times New Roman"/>
          </w:rPr>
          <w:t>https://eur-lex.europa.eu/legal-content/RO/TXT/PDF/?uri=CELEX:52021DC0251&amp;from=NL</w:t>
        </w:r>
      </w:hyperlink>
      <w:r>
        <w:rPr>
          <w:rFonts w:ascii="Times New Roman" w:hAnsi="Times New Roman"/>
        </w:rPr>
        <w:t>).</w:t>
      </w:r>
    </w:p>
  </w:footnote>
  <w:footnote w:id="32">
    <w:p w14:paraId="6DABEA3E" w14:textId="77777777" w:rsidR="00B52ABC" w:rsidRPr="00176C13" w:rsidRDefault="00B52ABC" w:rsidP="00826D6A">
      <w:pPr>
        <w:pStyle w:val="FootnoteText"/>
        <w:jc w:val="both"/>
        <w:rPr>
          <w:rFonts w:ascii="Times New Roman" w:hAnsi="Times New Roman" w:cs="Times New Roman"/>
        </w:rPr>
      </w:pPr>
      <w:r>
        <w:rPr>
          <w:rStyle w:val="FootnoteReference"/>
        </w:rPr>
        <w:footnoteRef/>
      </w:r>
      <w:r>
        <w:rPr>
          <w:rFonts w:ascii="Times New Roman" w:hAnsi="Times New Roman"/>
        </w:rPr>
        <w:t xml:space="preserve"> </w:t>
      </w:r>
      <w:hyperlink r:id="rId29" w:history="1">
        <w:r>
          <w:rPr>
            <w:rStyle w:val="Hyperlink"/>
            <w:rFonts w:ascii="Times New Roman" w:hAnsi="Times New Roman"/>
          </w:rPr>
          <w:t>https://ec.europa.eu/taxation_customs/anti-tax-avoidance-package_en</w:t>
        </w:r>
      </w:hyperlink>
      <w:r>
        <w:t>.</w:t>
      </w:r>
    </w:p>
  </w:footnote>
  <w:footnote w:id="33">
    <w:p w14:paraId="77462F6D" w14:textId="57DE07CB" w:rsidR="00B52ABC" w:rsidRDefault="00B52ABC" w:rsidP="00826D6A">
      <w:pPr>
        <w:pStyle w:val="FootnoteText"/>
        <w:jc w:val="both"/>
        <w:rPr>
          <w:rFonts w:ascii="Times New Roman" w:hAnsi="Times New Roman" w:cs="Times New Roman"/>
        </w:rPr>
      </w:pPr>
      <w:r>
        <w:rPr>
          <w:rStyle w:val="FootnoteReference"/>
        </w:rPr>
        <w:footnoteRef/>
      </w:r>
      <w:r>
        <w:rPr>
          <w:rFonts w:ascii="Times New Roman" w:hAnsi="Times New Roman"/>
        </w:rPr>
        <w:t xml:space="preserve"> ATAD 1: Directiva (UE) 2016/1164 a Consiliului din 12 iulie 2016 de stabilire a normelor împotriva practicilor de evitare a obligațiilor fiscale care au incidență directă asupra funcționării pieței interne. ATAD 2: Directiva (UE) 2017/952 a Consiliului din 29 mai 2017 de modificare a Directivei (UE) 2016/1164 (ATAD)</w:t>
      </w:r>
    </w:p>
    <w:p w14:paraId="5A965FCF" w14:textId="77777777" w:rsidR="00B52ABC" w:rsidRPr="00176C13" w:rsidRDefault="001A1E95" w:rsidP="00826D6A">
      <w:pPr>
        <w:pStyle w:val="FootnoteText"/>
        <w:jc w:val="both"/>
        <w:rPr>
          <w:rFonts w:ascii="Times New Roman" w:hAnsi="Times New Roman" w:cs="Times New Roman"/>
        </w:rPr>
      </w:pPr>
      <w:hyperlink r:id="rId30" w:history="1">
        <w:r w:rsidR="00DA44E4">
          <w:rPr>
            <w:rStyle w:val="Hyperlink"/>
            <w:rFonts w:ascii="Times New Roman" w:hAnsi="Times New Roman"/>
          </w:rPr>
          <w:t>https://eur-lex.europa.eu/legal-content/RO/TXT/PDF/?uri=CELEX:32016L1164&amp;from=EN</w:t>
        </w:r>
      </w:hyperlink>
      <w:r w:rsidR="00DA44E4">
        <w:t>.</w:t>
      </w:r>
      <w:r w:rsidR="00DA44E4">
        <w:rPr>
          <w:rFonts w:ascii="Times New Roman" w:hAnsi="Times New Roman"/>
        </w:rPr>
        <w:t xml:space="preserve"> </w:t>
      </w:r>
    </w:p>
  </w:footnote>
  <w:footnote w:id="34">
    <w:p w14:paraId="7C754129" w14:textId="11E6BBA0" w:rsidR="00B52ABC" w:rsidRPr="005A4C08" w:rsidRDefault="00B52ABC" w:rsidP="008D72ED">
      <w:pPr>
        <w:pStyle w:val="FootnoteText"/>
        <w:jc w:val="both"/>
        <w:rPr>
          <w:rStyle w:val="Hyperlink"/>
          <w:rFonts w:ascii="Times New Roman" w:hAnsi="Times New Roman" w:cs="Times New Roman"/>
        </w:rPr>
      </w:pPr>
      <w:r>
        <w:rPr>
          <w:rStyle w:val="FootnoteReference"/>
        </w:rPr>
        <w:footnoteRef/>
      </w:r>
      <w:r>
        <w:t xml:space="preserve"> </w:t>
      </w:r>
      <w:r>
        <w:rPr>
          <w:rFonts w:ascii="Times New Roman" w:hAnsi="Times New Roman"/>
        </w:rPr>
        <w:t xml:space="preserve">Studiu privind caracterul adecvat al informațiilor care trebuie comunicate în temeiul articolului 89 alineatul (1) din Directiva privind cerințele de capital IV, p. 69-70 </w:t>
      </w:r>
      <w:hyperlink r:id="rId31" w:history="1">
        <w:r>
          <w:rPr>
            <w:rStyle w:val="Hyperlink"/>
            <w:rFonts w:ascii="Times New Roman" w:hAnsi="Times New Roman"/>
          </w:rPr>
          <w:t>Dreptul societăților comerciale și guvernanța corporativă |</w:t>
        </w:r>
      </w:hyperlink>
      <w:hyperlink r:id="rId32" w:history="1">
        <w:r>
          <w:rPr>
            <w:rStyle w:val="Hyperlink"/>
            <w:rFonts w:ascii="Times New Roman" w:hAnsi="Times New Roman"/>
          </w:rPr>
          <w:t xml:space="preserve"> Comisia Europeană (europa.eu)</w:t>
        </w:r>
      </w:hyperlink>
      <w:r>
        <w:t>.</w:t>
      </w:r>
    </w:p>
    <w:p w14:paraId="3951B4FD" w14:textId="77777777" w:rsidR="00B52ABC" w:rsidRDefault="00B52ABC" w:rsidP="00826D6A">
      <w:pPr>
        <w:pStyle w:val="FootnoteText"/>
      </w:pPr>
    </w:p>
  </w:footnote>
  <w:footnote w:id="35">
    <w:p w14:paraId="0E991878" w14:textId="77777777" w:rsidR="00B52ABC" w:rsidRPr="00E95A97" w:rsidRDefault="00B52ABC" w:rsidP="00826D6A">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Regulamentul (UE) 2019/2033 al Parlamentului European și al Consiliului din 27 noiembrie 2019 privind cerințele prudențiale ale firmelor de investiții și de modificare a Regulamentelor (UE) nr. 1093/2010, (UE) nr. 575/2013, (UE) nr. 600/2014 și (UE) nr. 806/2014, JO L 314, 5.12.2019.</w:t>
      </w:r>
    </w:p>
  </w:footnote>
  <w:footnote w:id="36">
    <w:p w14:paraId="224C5CCE" w14:textId="566A33EE" w:rsidR="00B52ABC" w:rsidRPr="00E95A97" w:rsidRDefault="00B52ABC" w:rsidP="00826D6A">
      <w:pPr>
        <w:pStyle w:val="FootnoteText"/>
        <w:jc w:val="both"/>
        <w:rPr>
          <w:rFonts w:ascii="Times New Roman" w:hAnsi="Times New Roman" w:cs="Times New Roman"/>
        </w:rPr>
      </w:pPr>
      <w:r>
        <w:rPr>
          <w:rStyle w:val="FootnoteReference"/>
        </w:rPr>
        <w:footnoteRef/>
      </w:r>
      <w:r>
        <w:rPr>
          <w:rFonts w:ascii="Times New Roman" w:hAnsi="Times New Roman"/>
        </w:rPr>
        <w:t xml:space="preserve"> Directiva (UE) 2019/2034 a Parlamentului European și a Consiliului din 27 noiembrie 2019 privind supravegherea prudențială a firmelor de investiții și de modificare a Directivelor 2002/87/CE, 2009/65/CE, 2011/61/UE, 2013/36/UE, 2014/59/UE și 2014/65/UE, JO L 314, 5.12.2019.</w:t>
      </w:r>
    </w:p>
  </w:footnote>
  <w:footnote w:id="37">
    <w:p w14:paraId="669120ED" w14:textId="4844F00E" w:rsidR="00B52ABC" w:rsidRPr="00E95A97" w:rsidRDefault="00B52ABC" w:rsidP="00826D6A">
      <w:pPr>
        <w:pStyle w:val="FootnoteText"/>
        <w:jc w:val="both"/>
        <w:rPr>
          <w:rFonts w:ascii="Times New Roman" w:hAnsi="Times New Roman" w:cs="Times New Roman"/>
        </w:rPr>
      </w:pPr>
      <w:r>
        <w:rPr>
          <w:rStyle w:val="FootnoteReference"/>
        </w:rPr>
        <w:footnoteRef/>
      </w:r>
      <w:r>
        <w:rPr>
          <w:rFonts w:ascii="Times New Roman" w:hAnsi="Times New Roman"/>
        </w:rPr>
        <w:t xml:space="preserve"> Articolul 62 din RFI, de modificare a articolului 4 alineatul (1) din Regulamentul (UE) nr. 575/2013.</w:t>
      </w:r>
    </w:p>
  </w:footnote>
  <w:footnote w:id="38">
    <w:p w14:paraId="68A918FC" w14:textId="1CE61A8B" w:rsidR="00B52ABC" w:rsidRPr="00854BEE" w:rsidRDefault="00B52ABC" w:rsidP="00826D6A">
      <w:pPr>
        <w:pStyle w:val="FootnoteText"/>
        <w:jc w:val="both"/>
        <w:rPr>
          <w:rFonts w:ascii="Times New Roman" w:hAnsi="Times New Roman" w:cs="Times New Roman"/>
        </w:rPr>
      </w:pPr>
      <w:r>
        <w:rPr>
          <w:rStyle w:val="FootnoteReference"/>
        </w:rPr>
        <w:footnoteRef/>
      </w:r>
      <w:r>
        <w:rPr>
          <w:rFonts w:ascii="Times New Roman" w:hAnsi="Times New Roman"/>
        </w:rPr>
        <w:t xml:space="preserve">Articolul 1 alineatele (2) și (5) din RFI. </w:t>
      </w:r>
    </w:p>
  </w:footnote>
  <w:footnote w:id="39">
    <w:p w14:paraId="578F8C88" w14:textId="77777777" w:rsidR="00B52ABC" w:rsidRPr="00AC72F2" w:rsidRDefault="00B52ABC" w:rsidP="00A62C65">
      <w:pPr>
        <w:pStyle w:val="CommentText"/>
      </w:pPr>
      <w:r>
        <w:rPr>
          <w:rStyle w:val="FootnoteReference"/>
        </w:rPr>
        <w:footnoteRef/>
      </w:r>
      <w:r>
        <w:t xml:space="preserve"> </w:t>
      </w:r>
      <w:r>
        <w:rPr>
          <w:rFonts w:ascii="Times New Roman" w:hAnsi="Times New Roman"/>
        </w:rPr>
        <w:t>Cu venituri anuale de peste 750 de milioane</w:t>
      </w:r>
      <w:r>
        <w:t>.</w:t>
      </w:r>
    </w:p>
  </w:footnote>
  <w:footnote w:id="40">
    <w:p w14:paraId="3A30632C" w14:textId="77777777" w:rsidR="00B52ABC" w:rsidRPr="0060519A" w:rsidRDefault="00B52ABC" w:rsidP="00826D6A">
      <w:pPr>
        <w:pStyle w:val="FootnoteText"/>
        <w:jc w:val="both"/>
        <w:rPr>
          <w:rFonts w:ascii="Times New Roman" w:hAnsi="Times New Roman" w:cs="Times New Roman"/>
        </w:rPr>
      </w:pPr>
      <w:r>
        <w:rPr>
          <w:rStyle w:val="FootnoteReference"/>
        </w:rPr>
        <w:footnoteRef/>
      </w:r>
      <w:r>
        <w:rPr>
          <w:rFonts w:ascii="Times New Roman" w:hAnsi="Times New Roman"/>
        </w:rPr>
        <w:t xml:space="preserve"> O cerință standard minimă pentru proiectul OCDE privind erodarea bazei impozabile și transferul profiturilor este o cerință standard minimă pentru fiecare țară în parte. Începând cu 17.10.2020, 131 de jurisdicții, inclusiv statele membre ale UE, fac obiectul cerințelor de raportare pentru fiecare țară în parte.</w:t>
      </w:r>
    </w:p>
  </w:footnote>
  <w:footnote w:id="41">
    <w:p w14:paraId="1B4ACA7D" w14:textId="629A63D2" w:rsidR="00B52ABC" w:rsidRDefault="00B52ABC" w:rsidP="008D72ED">
      <w:pPr>
        <w:pStyle w:val="FootnoteText"/>
        <w:jc w:val="both"/>
      </w:pPr>
      <w:r>
        <w:rPr>
          <w:rStyle w:val="FootnoteReference"/>
        </w:rPr>
        <w:footnoteRef/>
      </w:r>
      <w:r>
        <w:t xml:space="preserve"> </w:t>
      </w:r>
      <w:r>
        <w:rPr>
          <w:rFonts w:ascii="Times New Roman" w:hAnsi="Times New Roman"/>
        </w:rPr>
        <w:t xml:space="preserve">Studiu privind caracterul adecvat al informațiilor care trebuie comunicate în temeiul articolului 89 alineatul (1) din Directiva privind cerințele de capital IV, p. 95 </w:t>
      </w:r>
      <w:hyperlink r:id="rId33" w:history="1">
        <w:r>
          <w:rPr>
            <w:rStyle w:val="Hyperlink"/>
            <w:rFonts w:ascii="Times New Roman" w:hAnsi="Times New Roman"/>
          </w:rPr>
          <w:t>Dreptul societăților comerciale și guvernanța corporativă |</w:t>
        </w:r>
      </w:hyperlink>
      <w:hyperlink r:id="rId34" w:history="1">
        <w:r>
          <w:rPr>
            <w:rStyle w:val="Hyperlink"/>
            <w:rFonts w:ascii="Times New Roman" w:hAnsi="Times New Roman"/>
          </w:rPr>
          <w:t xml:space="preserve"> Comisia Europeană (europa.eu)</w:t>
        </w:r>
      </w:hyperlink>
      <w:r>
        <w:t>.</w:t>
      </w:r>
    </w:p>
  </w:footnote>
  <w:footnote w:id="42">
    <w:p w14:paraId="7DA28549" w14:textId="0E31B503" w:rsidR="00B52ABC" w:rsidRPr="005A4C08" w:rsidRDefault="00B52ABC" w:rsidP="00826D6A">
      <w:pPr>
        <w:pStyle w:val="FootnoteText"/>
        <w:rPr>
          <w:rStyle w:val="Hyperlink"/>
          <w:rFonts w:ascii="Times New Roman" w:hAnsi="Times New Roman" w:cs="Times New Roman"/>
        </w:rPr>
      </w:pPr>
      <w:r>
        <w:rPr>
          <w:rStyle w:val="FootnoteReference"/>
        </w:rPr>
        <w:footnoteRef/>
      </w:r>
      <w:r>
        <w:t xml:space="preserve"> </w:t>
      </w:r>
      <w:r>
        <w:rPr>
          <w:rFonts w:ascii="Times New Roman" w:hAnsi="Times New Roman"/>
        </w:rPr>
        <w:t xml:space="preserve">Ibid., p. 66-67 </w:t>
      </w:r>
      <w:hyperlink r:id="rId35" w:history="1">
        <w:r>
          <w:rPr>
            <w:rStyle w:val="Hyperlink"/>
            <w:rFonts w:ascii="Times New Roman" w:hAnsi="Times New Roman"/>
          </w:rPr>
          <w:t>Dreptul societăților comerciale și guvernanța corporativă |</w:t>
        </w:r>
      </w:hyperlink>
      <w:hyperlink r:id="rId36" w:history="1">
        <w:r>
          <w:rPr>
            <w:rStyle w:val="Hyperlink"/>
            <w:rFonts w:ascii="Times New Roman" w:hAnsi="Times New Roman"/>
          </w:rPr>
          <w:t xml:space="preserve"> Comisia Europeană (europa.eu)</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CC62" w14:textId="77777777" w:rsidR="001A1E95" w:rsidRPr="001A1E95" w:rsidRDefault="001A1E95" w:rsidP="001A1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8D6F9" w14:textId="77777777" w:rsidR="001A1E95" w:rsidRPr="001A1E95" w:rsidRDefault="001A1E95" w:rsidP="001A1E9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E846A" w14:textId="77777777" w:rsidR="001A1E95" w:rsidRPr="001A1E95" w:rsidRDefault="001A1E95" w:rsidP="001A1E9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D343" w14:textId="77777777" w:rsidR="00B52ABC" w:rsidRDefault="00B52A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499E9" w14:textId="77777777" w:rsidR="00B52ABC" w:rsidRDefault="00B52A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B181" w14:textId="77777777" w:rsidR="00B52ABC" w:rsidRDefault="00B52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36D1039"/>
    <w:multiLevelType w:val="hybridMultilevel"/>
    <w:tmpl w:val="390E1BE2"/>
    <w:lvl w:ilvl="0" w:tplc="6B867274">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A1229E"/>
    <w:multiLevelType w:val="hybridMultilevel"/>
    <w:tmpl w:val="2B4C4F24"/>
    <w:lvl w:ilvl="0" w:tplc="3C4A47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41DEC"/>
    <w:multiLevelType w:val="hybridMultilevel"/>
    <w:tmpl w:val="37AADB52"/>
    <w:lvl w:ilvl="0" w:tplc="471C7D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10EA2"/>
    <w:multiLevelType w:val="hybridMultilevel"/>
    <w:tmpl w:val="288AAA90"/>
    <w:lvl w:ilvl="0" w:tplc="6B867274">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69A3B5D"/>
    <w:multiLevelType w:val="hybridMultilevel"/>
    <w:tmpl w:val="5DBED448"/>
    <w:lvl w:ilvl="0" w:tplc="608C631E">
      <w:numFmt w:val="bullet"/>
      <w:pStyle w:val="Bullet2"/>
      <w:lvlText w:val=""/>
      <w:lvlJc w:val="left"/>
      <w:pPr>
        <w:ind w:left="1080" w:hanging="360"/>
      </w:pPr>
      <w:rPr>
        <w:rFonts w:ascii="Wingdings" w:hAnsi="Wingdings" w:hint="default"/>
        <w:color w:val="002060"/>
        <w:u w:val="none" w:color="FFC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6014C"/>
    <w:multiLevelType w:val="hybridMultilevel"/>
    <w:tmpl w:val="DB0A87DE"/>
    <w:lvl w:ilvl="0" w:tplc="B5E828D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64FD2"/>
    <w:multiLevelType w:val="hybridMultilevel"/>
    <w:tmpl w:val="68CCB77C"/>
    <w:lvl w:ilvl="0" w:tplc="6CD81512">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9B3C7C"/>
    <w:multiLevelType w:val="multilevel"/>
    <w:tmpl w:val="D77404EC"/>
    <w:lvl w:ilvl="0">
      <w:start w:val="1"/>
      <w:numFmt w:val="decimal"/>
      <w:lvlText w:val="%1."/>
      <w:lvlJc w:val="left"/>
      <w:pPr>
        <w:ind w:left="567" w:hanging="567"/>
      </w:pPr>
      <w:rPr>
        <w:color w:val="1F497D"/>
      </w:rPr>
    </w:lvl>
    <w:lvl w:ilvl="1">
      <w:start w:val="1"/>
      <w:numFmt w:val="decimal"/>
      <w:lvlText w:val="%1.%2."/>
      <w:lvlJc w:val="left"/>
      <w:pPr>
        <w:ind w:left="567" w:hanging="567"/>
      </w:pPr>
      <w:rPr>
        <w:color w:val="1F497D"/>
      </w:rPr>
    </w:lvl>
    <w:lvl w:ilvl="2">
      <w:start w:val="1"/>
      <w:numFmt w:val="decimal"/>
      <w:lvlText w:val="%1.%2.%3."/>
      <w:lvlJc w:val="left"/>
      <w:pPr>
        <w:tabs>
          <w:tab w:val="num" w:pos="567"/>
        </w:tabs>
        <w:ind w:left="1701" w:hanging="1134"/>
      </w:pPr>
      <w:rPr>
        <w:strike w:val="0"/>
        <w:dstrike w:val="0"/>
        <w:vanish w:val="0"/>
        <w:webHidden w:val="0"/>
        <w:color w:val="1F497D"/>
        <w:sz w:val="28"/>
        <w:u w:val="none"/>
        <w:effect w:val="none"/>
        <w:specVanish w:val="0"/>
      </w:rPr>
    </w:lvl>
    <w:lvl w:ilvl="3">
      <w:start w:val="1"/>
      <w:numFmt w:val="decimal"/>
      <w:lvlText w:val="%1.%2.%3.%4."/>
      <w:lvlJc w:val="left"/>
      <w:pPr>
        <w:ind w:left="2268" w:hanging="1134"/>
      </w:pPr>
      <w:rPr>
        <w:color w:val="1F497D"/>
      </w:rPr>
    </w:lvl>
    <w:lvl w:ilvl="4">
      <w:start w:val="1"/>
      <w:numFmt w:val="decimal"/>
      <w:lvlText w:val="%1.%2.%3.%4.%5."/>
      <w:lvlJc w:val="left"/>
      <w:pPr>
        <w:ind w:left="1021" w:hanging="1021"/>
      </w:pPr>
      <w:rPr>
        <w:rFonts w:ascii="Calibri" w:hAnsi="Calibri" w:hint="default"/>
        <w:b/>
        <w:i w:val="0"/>
        <w:strike w:val="0"/>
        <w:dstrike w:val="0"/>
        <w:color w:val="1F497D"/>
        <w:sz w:val="24"/>
        <w:u w:val="none"/>
        <w:effect w:val="none"/>
      </w:rPr>
    </w:lvl>
    <w:lvl w:ilvl="5">
      <w:start w:val="1"/>
      <w:numFmt w:val="decimal"/>
      <w:lvlText w:val="%1.%2.%3.%4.%5.%6"/>
      <w:lvlJc w:val="left"/>
      <w:pPr>
        <w:ind w:left="1985" w:hanging="851"/>
      </w:pPr>
      <w:rPr>
        <w:rFonts w:ascii="Calibri" w:hAnsi="Calibri" w:hint="default"/>
        <w:b/>
        <w:i/>
        <w:color w:val="auto"/>
        <w:sz w:val="22"/>
      </w:rPr>
    </w:lvl>
    <w:lvl w:ilvl="6">
      <w:start w:val="1"/>
      <w:numFmt w:val="lowerRoman"/>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9" w15:restartNumberingAfterBreak="0">
    <w:nsid w:val="1DFE55EA"/>
    <w:multiLevelType w:val="hybridMultilevel"/>
    <w:tmpl w:val="5E183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121D47"/>
    <w:multiLevelType w:val="hybridMultilevel"/>
    <w:tmpl w:val="BA803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446209"/>
    <w:multiLevelType w:val="hybridMultilevel"/>
    <w:tmpl w:val="7FE61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9A4313"/>
    <w:multiLevelType w:val="hybridMultilevel"/>
    <w:tmpl w:val="3AA2B624"/>
    <w:lvl w:ilvl="0" w:tplc="6B867274">
      <w:start w:val="3"/>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243D5E37"/>
    <w:multiLevelType w:val="hybridMultilevel"/>
    <w:tmpl w:val="53681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E36DAB"/>
    <w:multiLevelType w:val="hybridMultilevel"/>
    <w:tmpl w:val="84820B48"/>
    <w:lvl w:ilvl="0" w:tplc="D0DE554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D67EF"/>
    <w:multiLevelType w:val="hybridMultilevel"/>
    <w:tmpl w:val="24AE8070"/>
    <w:lvl w:ilvl="0" w:tplc="6CD81512">
      <w:numFmt w:val="bullet"/>
      <w:lvlText w:val="-"/>
      <w:lvlJc w:val="left"/>
      <w:pPr>
        <w:ind w:left="1080" w:hanging="360"/>
      </w:pPr>
      <w:rPr>
        <w:rFonts w:ascii="Calibri" w:eastAsia="Times New Roman"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E4672B0"/>
    <w:multiLevelType w:val="hybridMultilevel"/>
    <w:tmpl w:val="385EFA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144BD4"/>
    <w:multiLevelType w:val="hybridMultilevel"/>
    <w:tmpl w:val="F30C9F64"/>
    <w:lvl w:ilvl="0" w:tplc="A1A6EBCC">
      <w:start w:val="1"/>
      <w:numFmt w:val="bullet"/>
      <w:pStyle w:val="Bulletpoint1"/>
      <w:lvlText w:val=""/>
      <w:lvlJc w:val="left"/>
      <w:pPr>
        <w:ind w:left="720" w:hanging="360"/>
      </w:pPr>
      <w:rPr>
        <w:rFonts w:ascii="Symbol" w:hAnsi="Symbol" w:hint="default"/>
        <w:color w:val="00AEF0"/>
      </w:rPr>
    </w:lvl>
    <w:lvl w:ilvl="1" w:tplc="E5CA32C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44772"/>
    <w:multiLevelType w:val="hybridMultilevel"/>
    <w:tmpl w:val="08C0E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83513C"/>
    <w:multiLevelType w:val="hybridMultilevel"/>
    <w:tmpl w:val="437A0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023617"/>
    <w:multiLevelType w:val="hybridMultilevel"/>
    <w:tmpl w:val="B26EC4A4"/>
    <w:lvl w:ilvl="0" w:tplc="C33EDA7E">
      <w:start w:val="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A04659A"/>
    <w:multiLevelType w:val="hybridMultilevel"/>
    <w:tmpl w:val="08609ABC"/>
    <w:lvl w:ilvl="0" w:tplc="6CD8151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A05A02"/>
    <w:multiLevelType w:val="hybridMultilevel"/>
    <w:tmpl w:val="AE0E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6643FC"/>
    <w:multiLevelType w:val="hybridMultilevel"/>
    <w:tmpl w:val="BC0A4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AE1088"/>
    <w:multiLevelType w:val="hybridMultilevel"/>
    <w:tmpl w:val="5C92D5B4"/>
    <w:lvl w:ilvl="0" w:tplc="DB0286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76A46"/>
    <w:multiLevelType w:val="multilevel"/>
    <w:tmpl w:val="EDE03FD0"/>
    <w:lvl w:ilvl="0">
      <w:start w:val="1"/>
      <w:numFmt w:val="decimal"/>
      <w:lvlText w:val="%1."/>
      <w:lvlJc w:val="left"/>
      <w:pPr>
        <w:ind w:left="7" w:firstLine="135"/>
      </w:pPr>
      <w:rPr>
        <w:rFonts w:hint="default"/>
        <w:b/>
      </w:rPr>
    </w:lvl>
    <w:lvl w:ilvl="1">
      <w:start w:val="1"/>
      <w:numFmt w:val="decimal"/>
      <w:lvlText w:val="%1.%2."/>
      <w:lvlJc w:val="left"/>
      <w:pPr>
        <w:tabs>
          <w:tab w:val="num" w:pos="199"/>
        </w:tabs>
        <w:ind w:left="151" w:hanging="9"/>
      </w:pPr>
      <w:rPr>
        <w:rFonts w:hint="default"/>
      </w:rPr>
    </w:lvl>
    <w:lvl w:ilvl="2">
      <w:start w:val="1"/>
      <w:numFmt w:val="decimal"/>
      <w:lvlText w:val="%1.%2.%3."/>
      <w:lvlJc w:val="left"/>
      <w:pPr>
        <w:ind w:left="295" w:hanging="153"/>
      </w:pPr>
      <w:rPr>
        <w:rFonts w:hint="default"/>
      </w:rPr>
    </w:lvl>
    <w:lvl w:ilvl="3">
      <w:start w:val="1"/>
      <w:numFmt w:val="decimal"/>
      <w:lvlText w:val="%1.%2.%3.%4"/>
      <w:lvlJc w:val="left"/>
      <w:pPr>
        <w:ind w:left="439" w:hanging="864"/>
      </w:pPr>
      <w:rPr>
        <w:rFonts w:hint="default"/>
      </w:rPr>
    </w:lvl>
    <w:lvl w:ilvl="4">
      <w:start w:val="1"/>
      <w:numFmt w:val="decimal"/>
      <w:lvlText w:val="%1.%2.%3.%4.%5"/>
      <w:lvlJc w:val="left"/>
      <w:pPr>
        <w:ind w:left="583" w:hanging="1008"/>
      </w:pPr>
      <w:rPr>
        <w:rFonts w:hint="default"/>
      </w:rPr>
    </w:lvl>
    <w:lvl w:ilvl="5">
      <w:start w:val="1"/>
      <w:numFmt w:val="decimal"/>
      <w:lvlText w:val="%1.%2.%3.%4.%5.%6"/>
      <w:lvlJc w:val="left"/>
      <w:pPr>
        <w:ind w:left="727" w:hanging="1152"/>
      </w:pPr>
      <w:rPr>
        <w:rFonts w:hint="default"/>
      </w:rPr>
    </w:lvl>
    <w:lvl w:ilvl="6">
      <w:start w:val="1"/>
      <w:numFmt w:val="decimal"/>
      <w:lvlText w:val="%1.%2.%3.%4.%5.%6.%7"/>
      <w:lvlJc w:val="left"/>
      <w:pPr>
        <w:ind w:left="871" w:hanging="1296"/>
      </w:pPr>
      <w:rPr>
        <w:rFonts w:hint="default"/>
      </w:rPr>
    </w:lvl>
    <w:lvl w:ilvl="7">
      <w:start w:val="1"/>
      <w:numFmt w:val="decimal"/>
      <w:lvlText w:val="%1.%2.%3.%4.%5.%6.%7.%8"/>
      <w:lvlJc w:val="left"/>
      <w:pPr>
        <w:ind w:left="1015" w:hanging="1440"/>
      </w:pPr>
      <w:rPr>
        <w:rFonts w:hint="default"/>
      </w:rPr>
    </w:lvl>
    <w:lvl w:ilvl="8">
      <w:start w:val="1"/>
      <w:numFmt w:val="decimal"/>
      <w:lvlText w:val="%1.%2.%3.%4.%5.%6.%7.%8.%9"/>
      <w:lvlJc w:val="left"/>
      <w:pPr>
        <w:ind w:left="1159" w:hanging="1584"/>
      </w:pPr>
      <w:rPr>
        <w:rFonts w:hint="default"/>
      </w:rPr>
    </w:lvl>
  </w:abstractNum>
  <w:abstractNum w:abstractNumId="26" w15:restartNumberingAfterBreak="0">
    <w:nsid w:val="48CB4CCD"/>
    <w:multiLevelType w:val="hybridMultilevel"/>
    <w:tmpl w:val="1CECDAC0"/>
    <w:lvl w:ilvl="0" w:tplc="6CD81512">
      <w:numFmt w:val="bullet"/>
      <w:lvlText w:val="-"/>
      <w:lvlJc w:val="left"/>
      <w:pPr>
        <w:ind w:left="720" w:hanging="360"/>
      </w:pPr>
      <w:rPr>
        <w:rFonts w:ascii="Calibri" w:eastAsia="Times New Roman"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8FA5278"/>
    <w:multiLevelType w:val="hybridMultilevel"/>
    <w:tmpl w:val="B4F214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C4361C"/>
    <w:multiLevelType w:val="hybridMultilevel"/>
    <w:tmpl w:val="2B92EC4E"/>
    <w:lvl w:ilvl="0" w:tplc="6CD81512">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E83762"/>
    <w:multiLevelType w:val="hybridMultilevel"/>
    <w:tmpl w:val="AE849456"/>
    <w:lvl w:ilvl="0" w:tplc="6CD8151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620918"/>
    <w:multiLevelType w:val="hybridMultilevel"/>
    <w:tmpl w:val="F958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A60E94"/>
    <w:multiLevelType w:val="hybridMultilevel"/>
    <w:tmpl w:val="F8965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A050C8"/>
    <w:multiLevelType w:val="hybridMultilevel"/>
    <w:tmpl w:val="A0FEC2FA"/>
    <w:lvl w:ilvl="0" w:tplc="6CD8151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DE2647"/>
    <w:multiLevelType w:val="hybridMultilevel"/>
    <w:tmpl w:val="73D4F24E"/>
    <w:lvl w:ilvl="0" w:tplc="AF3ABC9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98074E"/>
    <w:multiLevelType w:val="hybridMultilevel"/>
    <w:tmpl w:val="DB2E2196"/>
    <w:lvl w:ilvl="0" w:tplc="2DE296D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823A00"/>
    <w:multiLevelType w:val="hybridMultilevel"/>
    <w:tmpl w:val="97E807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02623E"/>
    <w:multiLevelType w:val="hybridMultilevel"/>
    <w:tmpl w:val="571094CC"/>
    <w:lvl w:ilvl="0" w:tplc="0809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4A12FA4"/>
    <w:multiLevelType w:val="multilevel"/>
    <w:tmpl w:val="27DC915A"/>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1650FC"/>
    <w:multiLevelType w:val="hybridMultilevel"/>
    <w:tmpl w:val="96C23D9A"/>
    <w:lvl w:ilvl="0" w:tplc="B64E5F6E">
      <w:start w:val="1"/>
      <w:numFmt w:val="decimal"/>
      <w:lvlText w:val="%1."/>
      <w:lvlJc w:val="left"/>
      <w:pPr>
        <w:ind w:left="720" w:hanging="360"/>
      </w:pPr>
      <w:rPr>
        <w:rFonts w:asciiTheme="minorHAnsi" w:eastAsiaTheme="minorEastAsia"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966B6"/>
    <w:multiLevelType w:val="hybridMultilevel"/>
    <w:tmpl w:val="66AC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184243"/>
    <w:multiLevelType w:val="hybridMultilevel"/>
    <w:tmpl w:val="0EFE9FF6"/>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2FE3E46"/>
    <w:multiLevelType w:val="hybridMultilevel"/>
    <w:tmpl w:val="7810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F92C79"/>
    <w:multiLevelType w:val="hybridMultilevel"/>
    <w:tmpl w:val="9CB2F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78039A"/>
    <w:multiLevelType w:val="hybridMultilevel"/>
    <w:tmpl w:val="A3C2F85A"/>
    <w:lvl w:ilvl="0" w:tplc="A598250C">
      <w:start w:val="1"/>
      <w:numFmt w:val="bullet"/>
      <w:lvlText w:val=""/>
      <w:lvlJc w:val="left"/>
      <w:pPr>
        <w:ind w:left="720" w:hanging="360"/>
      </w:pPr>
      <w:rPr>
        <w:rFonts w:ascii="Symbol" w:hAnsi="Symbol" w:hint="default"/>
      </w:rPr>
    </w:lvl>
    <w:lvl w:ilvl="1" w:tplc="04130003">
      <w:start w:val="1"/>
      <w:numFmt w:val="bullet"/>
      <w:lvlText w:val="o"/>
      <w:lvlJc w:val="left"/>
      <w:pPr>
        <w:ind w:left="1788" w:hanging="708"/>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7F53E62"/>
    <w:multiLevelType w:val="multilevel"/>
    <w:tmpl w:val="DF04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B03A3C"/>
    <w:multiLevelType w:val="hybridMultilevel"/>
    <w:tmpl w:val="ABDA515C"/>
    <w:lvl w:ilvl="0" w:tplc="04090017">
      <w:start w:val="1"/>
      <w:numFmt w:val="lowerLetter"/>
      <w:lvlText w:val="%1)"/>
      <w:lvlJc w:val="left"/>
      <w:pPr>
        <w:ind w:left="720" w:hanging="360"/>
      </w:pPr>
      <w:rPr>
        <w:rFonts w:hint="default"/>
        <w:color w:val="00AEF0"/>
      </w:rPr>
    </w:lvl>
    <w:lvl w:ilvl="1" w:tplc="E5CA32C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4755BE"/>
    <w:multiLevelType w:val="hybridMultilevel"/>
    <w:tmpl w:val="A55A1906"/>
    <w:lvl w:ilvl="0" w:tplc="6CD81512">
      <w:numFmt w:val="bullet"/>
      <w:lvlText w:val="-"/>
      <w:lvlJc w:val="left"/>
      <w:pPr>
        <w:ind w:left="720" w:hanging="360"/>
      </w:pPr>
      <w:rPr>
        <w:rFonts w:ascii="Calibri" w:eastAsia="Times New Roman" w:hAnsi="Calibri" w:cs="Arial" w:hint="default"/>
      </w:rPr>
    </w:lvl>
    <w:lvl w:ilvl="1" w:tplc="04130003">
      <w:start w:val="1"/>
      <w:numFmt w:val="bullet"/>
      <w:lvlText w:val="o"/>
      <w:lvlJc w:val="left"/>
      <w:pPr>
        <w:ind w:left="1788" w:hanging="708"/>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A6D084F"/>
    <w:multiLevelType w:val="hybridMultilevel"/>
    <w:tmpl w:val="F14EEA36"/>
    <w:lvl w:ilvl="0" w:tplc="868C2762">
      <w:start w:val="1"/>
      <w:numFmt w:val="bullet"/>
      <w:lvlText w:val=""/>
      <w:lvlJc w:val="left"/>
      <w:pPr>
        <w:ind w:left="360" w:hanging="360"/>
      </w:pPr>
      <w:rPr>
        <w:rFonts w:ascii="Symbol" w:hAnsi="Symbol" w:hint="default"/>
        <w:color w:val="003C6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0C4EE2"/>
    <w:multiLevelType w:val="hybridMultilevel"/>
    <w:tmpl w:val="1ECC0306"/>
    <w:lvl w:ilvl="0" w:tplc="08090001">
      <w:start w:val="1"/>
      <w:numFmt w:val="bullet"/>
      <w:lvlText w:val=""/>
      <w:lvlJc w:val="left"/>
      <w:pPr>
        <w:ind w:left="360" w:hanging="360"/>
      </w:pPr>
      <w:rPr>
        <w:rFonts w:ascii="Symbol" w:hAnsi="Symbol" w:hint="default"/>
      </w:rPr>
    </w:lvl>
    <w:lvl w:ilvl="1" w:tplc="76F86928">
      <w:numFmt w:val="bullet"/>
      <w:lvlText w:val="•"/>
      <w:lvlJc w:val="left"/>
      <w:pPr>
        <w:ind w:left="1440" w:hanging="72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8A2827"/>
    <w:multiLevelType w:val="hybridMultilevel"/>
    <w:tmpl w:val="1E80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49"/>
  </w:num>
  <w:num w:numId="3">
    <w:abstractNumId w:val="34"/>
  </w:num>
  <w:num w:numId="4">
    <w:abstractNumId w:val="25"/>
  </w:num>
  <w:num w:numId="5">
    <w:abstractNumId w:val="33"/>
  </w:num>
  <w:num w:numId="6">
    <w:abstractNumId w:val="9"/>
  </w:num>
  <w:num w:numId="7">
    <w:abstractNumId w:val="41"/>
  </w:num>
  <w:num w:numId="8">
    <w:abstractNumId w:val="39"/>
  </w:num>
  <w:num w:numId="9">
    <w:abstractNumId w:val="40"/>
  </w:num>
  <w:num w:numId="10">
    <w:abstractNumId w:val="16"/>
  </w:num>
  <w:num w:numId="11">
    <w:abstractNumId w:val="30"/>
  </w:num>
  <w:num w:numId="12">
    <w:abstractNumId w:val="3"/>
  </w:num>
  <w:num w:numId="13">
    <w:abstractNumId w:val="38"/>
  </w:num>
  <w:num w:numId="14">
    <w:abstractNumId w:val="6"/>
  </w:num>
  <w:num w:numId="15">
    <w:abstractNumId w:val="5"/>
  </w:num>
  <w:num w:numId="16">
    <w:abstractNumId w:val="46"/>
  </w:num>
  <w:num w:numId="17">
    <w:abstractNumId w:val="4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4"/>
  </w:num>
  <w:num w:numId="21">
    <w:abstractNumId w:val="35"/>
  </w:num>
  <w:num w:numId="22">
    <w:abstractNumId w:val="29"/>
  </w:num>
  <w:num w:numId="23">
    <w:abstractNumId w:val="36"/>
  </w:num>
  <w:num w:numId="24">
    <w:abstractNumId w:val="21"/>
  </w:num>
  <w:num w:numId="25">
    <w:abstractNumId w:val="15"/>
  </w:num>
  <w:num w:numId="26">
    <w:abstractNumId w:val="32"/>
  </w:num>
  <w:num w:numId="27">
    <w:abstractNumId w:val="26"/>
  </w:num>
  <w:num w:numId="28">
    <w:abstractNumId w:val="48"/>
  </w:num>
  <w:num w:numId="29">
    <w:abstractNumId w:val="23"/>
  </w:num>
  <w:num w:numId="30">
    <w:abstractNumId w:val="22"/>
  </w:num>
  <w:num w:numId="31">
    <w:abstractNumId w:val="11"/>
  </w:num>
  <w:num w:numId="32">
    <w:abstractNumId w:val="47"/>
  </w:num>
  <w:num w:numId="33">
    <w:abstractNumId w:val="19"/>
  </w:num>
  <w:num w:numId="34">
    <w:abstractNumId w:val="2"/>
  </w:num>
  <w:num w:numId="35">
    <w:abstractNumId w:val="42"/>
  </w:num>
  <w:num w:numId="36">
    <w:abstractNumId w:val="18"/>
  </w:num>
  <w:num w:numId="37">
    <w:abstractNumId w:val="31"/>
  </w:num>
  <w:num w:numId="38">
    <w:abstractNumId w:val="20"/>
  </w:num>
  <w:num w:numId="39">
    <w:abstractNumId w:val="12"/>
  </w:num>
  <w:num w:numId="40">
    <w:abstractNumId w:val="1"/>
  </w:num>
  <w:num w:numId="41">
    <w:abstractNumId w:val="4"/>
  </w:num>
  <w:num w:numId="42">
    <w:abstractNumId w:val="10"/>
  </w:num>
  <w:num w:numId="43">
    <w:abstractNumId w:val="27"/>
  </w:num>
  <w:num w:numId="44">
    <w:abstractNumId w:val="44"/>
  </w:num>
  <w:num w:numId="45">
    <w:abstractNumId w:val="17"/>
  </w:num>
  <w:num w:numId="46">
    <w:abstractNumId w:val="7"/>
  </w:num>
  <w:num w:numId="47">
    <w:abstractNumId w:val="13"/>
  </w:num>
  <w:num w:numId="48">
    <w:abstractNumId w:val="45"/>
  </w:num>
  <w:num w:numId="49">
    <w:abstractNumId w:val="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s-ES" w:vendorID="64" w:dllVersion="6" w:nlCheck="1" w:checkStyle="0"/>
  <w:activeWritingStyle w:appName="MSWord" w:lang="de-DE" w:vendorID="64" w:dllVersion="6" w:nlCheck="1" w:checkStyle="0"/>
  <w:activeWritingStyle w:appName="MSWord" w:lang="en-IE" w:vendorID="64" w:dllVersion="6" w:nlCheck="1" w:checkStyle="1"/>
  <w:activeWritingStyle w:appName="MSWord" w:lang="it-IT" w:vendorID="64" w:dllVersion="6" w:nlCheck="1" w:checkStyle="0"/>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s-ES" w:vendorID="64" w:dllVersion="0" w:nlCheck="1" w:checkStyle="0"/>
  <w:activeWritingStyle w:appName="MSWord" w:lang="en-IE" w:vendorID="64" w:dllVersion="0" w:nlCheck="1" w:checkStyle="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70BCAC1-27AE-494D-9CEC-BE6F14D1F296"/>
    <w:docVar w:name="LW_COVERPAGE_TYPE" w:val="1"/>
    <w:docVar w:name="LW_CROSSREFERENCE" w:val="&lt;UNUSED&gt;"/>
    <w:docVar w:name="LW_DocType" w:val="NORMAL"/>
    <w:docVar w:name="LW_EMISSION" w:val="26.6.2023"/>
    <w:docVar w:name="LW_EMISSION_ISODATE" w:val="2023-06-26"/>
    <w:docVar w:name="LW_EMISSION_LOCATION" w:val="BRX"/>
    <w:docVar w:name="LW_EMISSION_PREFIX" w:val="Bruxelles, "/>
    <w:docVar w:name="LW_EMISSION_SUFFIX" w:val=" "/>
    <w:docVar w:name="LW_ID_DOCTYPE_NONLW" w:val="CP-006"/>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3) 3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valuarea caracterului adecvat al informațiilor care trebuie comunicate în temeiul articolului 89 alineatul (1) din Directiva 2013/36/UE&lt;/FMT&gt;_x000d__x000d__x000d__x000d__x000d__x000b_"/>
    <w:docVar w:name="LW_TYPE.DOC.CP" w:val="RAPORT AL COMISIEI CĂTRE PARLAMENTUL EUROPEAN ȘI CONSILIU"/>
    <w:docVar w:name="LwApiVersions" w:val="LW4CoDe 1.23.2.0; LW 8.0, Build 20211117"/>
  </w:docVars>
  <w:rsids>
    <w:rsidRoot w:val="00D94B64"/>
    <w:rsid w:val="000155AF"/>
    <w:rsid w:val="00025D7B"/>
    <w:rsid w:val="0002643B"/>
    <w:rsid w:val="0003007F"/>
    <w:rsid w:val="0003270D"/>
    <w:rsid w:val="000608A1"/>
    <w:rsid w:val="000612D6"/>
    <w:rsid w:val="0006768F"/>
    <w:rsid w:val="0008086B"/>
    <w:rsid w:val="00085957"/>
    <w:rsid w:val="00095533"/>
    <w:rsid w:val="000D648C"/>
    <w:rsid w:val="000E1D5F"/>
    <w:rsid w:val="000E6834"/>
    <w:rsid w:val="001062CC"/>
    <w:rsid w:val="0012688A"/>
    <w:rsid w:val="00154B57"/>
    <w:rsid w:val="00165EA7"/>
    <w:rsid w:val="001715FF"/>
    <w:rsid w:val="0017532E"/>
    <w:rsid w:val="0017672B"/>
    <w:rsid w:val="00180ACB"/>
    <w:rsid w:val="001857B7"/>
    <w:rsid w:val="00192E89"/>
    <w:rsid w:val="001A1E95"/>
    <w:rsid w:val="001B2464"/>
    <w:rsid w:val="001B31F1"/>
    <w:rsid w:val="001C1872"/>
    <w:rsid w:val="001D4897"/>
    <w:rsid w:val="001D5F39"/>
    <w:rsid w:val="001F4B6A"/>
    <w:rsid w:val="00204EDB"/>
    <w:rsid w:val="002272E9"/>
    <w:rsid w:val="002307B3"/>
    <w:rsid w:val="00231FB7"/>
    <w:rsid w:val="002327E8"/>
    <w:rsid w:val="00236F27"/>
    <w:rsid w:val="00243E99"/>
    <w:rsid w:val="002453F2"/>
    <w:rsid w:val="002477D0"/>
    <w:rsid w:val="00260B2A"/>
    <w:rsid w:val="00271544"/>
    <w:rsid w:val="0029102E"/>
    <w:rsid w:val="002A46FC"/>
    <w:rsid w:val="002A6427"/>
    <w:rsid w:val="002A64C0"/>
    <w:rsid w:val="002B681E"/>
    <w:rsid w:val="002B701C"/>
    <w:rsid w:val="002C5271"/>
    <w:rsid w:val="002D21F0"/>
    <w:rsid w:val="0031764D"/>
    <w:rsid w:val="00317B87"/>
    <w:rsid w:val="00322788"/>
    <w:rsid w:val="00333CB3"/>
    <w:rsid w:val="0035070C"/>
    <w:rsid w:val="00354A4B"/>
    <w:rsid w:val="00363A09"/>
    <w:rsid w:val="00375ECC"/>
    <w:rsid w:val="003760EE"/>
    <w:rsid w:val="003901AA"/>
    <w:rsid w:val="003920C0"/>
    <w:rsid w:val="003A0703"/>
    <w:rsid w:val="003A0D1F"/>
    <w:rsid w:val="003A178A"/>
    <w:rsid w:val="003B10C9"/>
    <w:rsid w:val="003C58A8"/>
    <w:rsid w:val="003C5BF4"/>
    <w:rsid w:val="003D0D11"/>
    <w:rsid w:val="003D1D1A"/>
    <w:rsid w:val="003D60CF"/>
    <w:rsid w:val="003E0F85"/>
    <w:rsid w:val="003E3EB1"/>
    <w:rsid w:val="003E588D"/>
    <w:rsid w:val="003F5B2F"/>
    <w:rsid w:val="00401204"/>
    <w:rsid w:val="00407629"/>
    <w:rsid w:val="00412111"/>
    <w:rsid w:val="0041229C"/>
    <w:rsid w:val="00413946"/>
    <w:rsid w:val="00414952"/>
    <w:rsid w:val="004274DA"/>
    <w:rsid w:val="004335A1"/>
    <w:rsid w:val="00450925"/>
    <w:rsid w:val="004515C9"/>
    <w:rsid w:val="00454C7E"/>
    <w:rsid w:val="004666DE"/>
    <w:rsid w:val="0046713E"/>
    <w:rsid w:val="00472065"/>
    <w:rsid w:val="0047315C"/>
    <w:rsid w:val="00475828"/>
    <w:rsid w:val="004759DF"/>
    <w:rsid w:val="00487F84"/>
    <w:rsid w:val="00493441"/>
    <w:rsid w:val="00494C05"/>
    <w:rsid w:val="004A07CD"/>
    <w:rsid w:val="004A2816"/>
    <w:rsid w:val="004A334C"/>
    <w:rsid w:val="004B3CD8"/>
    <w:rsid w:val="004B47A3"/>
    <w:rsid w:val="004B50E6"/>
    <w:rsid w:val="004B59FA"/>
    <w:rsid w:val="004C422A"/>
    <w:rsid w:val="004C7A84"/>
    <w:rsid w:val="004D7C8B"/>
    <w:rsid w:val="004E74A8"/>
    <w:rsid w:val="004F2809"/>
    <w:rsid w:val="00500529"/>
    <w:rsid w:val="00501470"/>
    <w:rsid w:val="00502A17"/>
    <w:rsid w:val="0052786C"/>
    <w:rsid w:val="00536826"/>
    <w:rsid w:val="00536E5D"/>
    <w:rsid w:val="00542414"/>
    <w:rsid w:val="00553567"/>
    <w:rsid w:val="00556146"/>
    <w:rsid w:val="00561958"/>
    <w:rsid w:val="00574689"/>
    <w:rsid w:val="00574CB6"/>
    <w:rsid w:val="00592674"/>
    <w:rsid w:val="00592BDB"/>
    <w:rsid w:val="005A4C08"/>
    <w:rsid w:val="005A7F71"/>
    <w:rsid w:val="005C4FEB"/>
    <w:rsid w:val="005C6C51"/>
    <w:rsid w:val="005D323A"/>
    <w:rsid w:val="005F1F33"/>
    <w:rsid w:val="00600218"/>
    <w:rsid w:val="00615D4D"/>
    <w:rsid w:val="00634A99"/>
    <w:rsid w:val="006426CD"/>
    <w:rsid w:val="00645EBC"/>
    <w:rsid w:val="00647A0C"/>
    <w:rsid w:val="006528D9"/>
    <w:rsid w:val="006554FD"/>
    <w:rsid w:val="0066277D"/>
    <w:rsid w:val="0066356E"/>
    <w:rsid w:val="006856D6"/>
    <w:rsid w:val="006876A4"/>
    <w:rsid w:val="006A1FE4"/>
    <w:rsid w:val="006A4E62"/>
    <w:rsid w:val="006B15D9"/>
    <w:rsid w:val="006B208D"/>
    <w:rsid w:val="006B3252"/>
    <w:rsid w:val="006B362C"/>
    <w:rsid w:val="006C2019"/>
    <w:rsid w:val="006D3B81"/>
    <w:rsid w:val="006E4EBB"/>
    <w:rsid w:val="006E7944"/>
    <w:rsid w:val="006F3453"/>
    <w:rsid w:val="006F59EC"/>
    <w:rsid w:val="00705E06"/>
    <w:rsid w:val="007124C2"/>
    <w:rsid w:val="0071772D"/>
    <w:rsid w:val="007218B8"/>
    <w:rsid w:val="00731844"/>
    <w:rsid w:val="00740E42"/>
    <w:rsid w:val="00742042"/>
    <w:rsid w:val="007563CF"/>
    <w:rsid w:val="00763EA8"/>
    <w:rsid w:val="00764C85"/>
    <w:rsid w:val="00776531"/>
    <w:rsid w:val="00795CDA"/>
    <w:rsid w:val="007A0F82"/>
    <w:rsid w:val="007A35D8"/>
    <w:rsid w:val="007B63BB"/>
    <w:rsid w:val="007B7BEE"/>
    <w:rsid w:val="007C451A"/>
    <w:rsid w:val="007C45FD"/>
    <w:rsid w:val="007C6346"/>
    <w:rsid w:val="007D2325"/>
    <w:rsid w:val="007E03DA"/>
    <w:rsid w:val="007E1FC5"/>
    <w:rsid w:val="0080016F"/>
    <w:rsid w:val="00800A61"/>
    <w:rsid w:val="0080686A"/>
    <w:rsid w:val="008153FA"/>
    <w:rsid w:val="00822221"/>
    <w:rsid w:val="00826D6A"/>
    <w:rsid w:val="008303BF"/>
    <w:rsid w:val="008364B2"/>
    <w:rsid w:val="00841896"/>
    <w:rsid w:val="00846B40"/>
    <w:rsid w:val="00847D52"/>
    <w:rsid w:val="0085765C"/>
    <w:rsid w:val="00870A92"/>
    <w:rsid w:val="00871BCF"/>
    <w:rsid w:val="008833D7"/>
    <w:rsid w:val="00895858"/>
    <w:rsid w:val="00897589"/>
    <w:rsid w:val="008B0AD3"/>
    <w:rsid w:val="008B63B4"/>
    <w:rsid w:val="008C23EC"/>
    <w:rsid w:val="008D2644"/>
    <w:rsid w:val="008D3518"/>
    <w:rsid w:val="008D72ED"/>
    <w:rsid w:val="008E1A5D"/>
    <w:rsid w:val="008F335D"/>
    <w:rsid w:val="008F4973"/>
    <w:rsid w:val="008F5F3D"/>
    <w:rsid w:val="00915C4E"/>
    <w:rsid w:val="00934901"/>
    <w:rsid w:val="00950598"/>
    <w:rsid w:val="00961B1B"/>
    <w:rsid w:val="00964AAA"/>
    <w:rsid w:val="00971319"/>
    <w:rsid w:val="00973C51"/>
    <w:rsid w:val="0097457D"/>
    <w:rsid w:val="00976E05"/>
    <w:rsid w:val="0098104B"/>
    <w:rsid w:val="00997942"/>
    <w:rsid w:val="009979E5"/>
    <w:rsid w:val="009B1565"/>
    <w:rsid w:val="009C2A54"/>
    <w:rsid w:val="009D5BC0"/>
    <w:rsid w:val="009D63B2"/>
    <w:rsid w:val="00A064F6"/>
    <w:rsid w:val="00A118EE"/>
    <w:rsid w:val="00A138F6"/>
    <w:rsid w:val="00A13917"/>
    <w:rsid w:val="00A35333"/>
    <w:rsid w:val="00A47225"/>
    <w:rsid w:val="00A50E98"/>
    <w:rsid w:val="00A629D9"/>
    <w:rsid w:val="00A62C65"/>
    <w:rsid w:val="00A7146D"/>
    <w:rsid w:val="00A71C27"/>
    <w:rsid w:val="00A72A54"/>
    <w:rsid w:val="00A72EB7"/>
    <w:rsid w:val="00A83B2A"/>
    <w:rsid w:val="00A87C38"/>
    <w:rsid w:val="00A914F0"/>
    <w:rsid w:val="00A92A41"/>
    <w:rsid w:val="00A94AFB"/>
    <w:rsid w:val="00AA3421"/>
    <w:rsid w:val="00AA3FA6"/>
    <w:rsid w:val="00AC72F2"/>
    <w:rsid w:val="00AD44F4"/>
    <w:rsid w:val="00B2267A"/>
    <w:rsid w:val="00B245DA"/>
    <w:rsid w:val="00B24D1D"/>
    <w:rsid w:val="00B37D2B"/>
    <w:rsid w:val="00B401E4"/>
    <w:rsid w:val="00B44A4B"/>
    <w:rsid w:val="00B4720D"/>
    <w:rsid w:val="00B51156"/>
    <w:rsid w:val="00B52ABC"/>
    <w:rsid w:val="00B60C7A"/>
    <w:rsid w:val="00B6137F"/>
    <w:rsid w:val="00B62C33"/>
    <w:rsid w:val="00B84289"/>
    <w:rsid w:val="00B872D3"/>
    <w:rsid w:val="00B90E6A"/>
    <w:rsid w:val="00B91C61"/>
    <w:rsid w:val="00B923A2"/>
    <w:rsid w:val="00B97BF6"/>
    <w:rsid w:val="00BA3E98"/>
    <w:rsid w:val="00BA4236"/>
    <w:rsid w:val="00BA7456"/>
    <w:rsid w:val="00BC01E0"/>
    <w:rsid w:val="00BE10D1"/>
    <w:rsid w:val="00BF0F38"/>
    <w:rsid w:val="00BF2913"/>
    <w:rsid w:val="00BF7DB0"/>
    <w:rsid w:val="00C05E27"/>
    <w:rsid w:val="00C10FBC"/>
    <w:rsid w:val="00C16ABD"/>
    <w:rsid w:val="00C201F9"/>
    <w:rsid w:val="00C222D7"/>
    <w:rsid w:val="00C41904"/>
    <w:rsid w:val="00C52300"/>
    <w:rsid w:val="00C62082"/>
    <w:rsid w:val="00C65D29"/>
    <w:rsid w:val="00C81E35"/>
    <w:rsid w:val="00C834D0"/>
    <w:rsid w:val="00C843FB"/>
    <w:rsid w:val="00C96B93"/>
    <w:rsid w:val="00CB2562"/>
    <w:rsid w:val="00CB751D"/>
    <w:rsid w:val="00CC08FA"/>
    <w:rsid w:val="00CC143A"/>
    <w:rsid w:val="00CC21CB"/>
    <w:rsid w:val="00CC5584"/>
    <w:rsid w:val="00CF1F0A"/>
    <w:rsid w:val="00D156C2"/>
    <w:rsid w:val="00D25BAA"/>
    <w:rsid w:val="00D35902"/>
    <w:rsid w:val="00D438DF"/>
    <w:rsid w:val="00D43EBF"/>
    <w:rsid w:val="00D50722"/>
    <w:rsid w:val="00D54466"/>
    <w:rsid w:val="00D5562C"/>
    <w:rsid w:val="00D55859"/>
    <w:rsid w:val="00D75F21"/>
    <w:rsid w:val="00D9103D"/>
    <w:rsid w:val="00D9264B"/>
    <w:rsid w:val="00D92EF8"/>
    <w:rsid w:val="00D94B64"/>
    <w:rsid w:val="00DA44E4"/>
    <w:rsid w:val="00DA7E38"/>
    <w:rsid w:val="00DB383E"/>
    <w:rsid w:val="00DE1798"/>
    <w:rsid w:val="00DE4A16"/>
    <w:rsid w:val="00DE4BE0"/>
    <w:rsid w:val="00DF15C6"/>
    <w:rsid w:val="00DF79C3"/>
    <w:rsid w:val="00E13FAC"/>
    <w:rsid w:val="00E242DD"/>
    <w:rsid w:val="00E335BC"/>
    <w:rsid w:val="00E45371"/>
    <w:rsid w:val="00E542E6"/>
    <w:rsid w:val="00E83FE0"/>
    <w:rsid w:val="00E8503E"/>
    <w:rsid w:val="00E87963"/>
    <w:rsid w:val="00EA1E10"/>
    <w:rsid w:val="00EA23EB"/>
    <w:rsid w:val="00EA56E6"/>
    <w:rsid w:val="00EA74E2"/>
    <w:rsid w:val="00EB1DC4"/>
    <w:rsid w:val="00EB4C40"/>
    <w:rsid w:val="00EC313D"/>
    <w:rsid w:val="00EE1087"/>
    <w:rsid w:val="00EE10FE"/>
    <w:rsid w:val="00EF1FD6"/>
    <w:rsid w:val="00EF29D9"/>
    <w:rsid w:val="00EF4F3D"/>
    <w:rsid w:val="00F0066C"/>
    <w:rsid w:val="00F17A46"/>
    <w:rsid w:val="00F30DF1"/>
    <w:rsid w:val="00F3433C"/>
    <w:rsid w:val="00F44231"/>
    <w:rsid w:val="00F47485"/>
    <w:rsid w:val="00F55D4A"/>
    <w:rsid w:val="00F663A6"/>
    <w:rsid w:val="00F77072"/>
    <w:rsid w:val="00F83CAD"/>
    <w:rsid w:val="00F86C70"/>
    <w:rsid w:val="00F9132F"/>
    <w:rsid w:val="00F95B73"/>
    <w:rsid w:val="00FA3BC9"/>
    <w:rsid w:val="00FA46AF"/>
    <w:rsid w:val="00FD4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A8BC9F"/>
  <w15:chartTrackingRefBased/>
  <w15:docId w15:val="{3C3564C8-DCB3-4DD6-9FB7-F7D7E30E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4B64"/>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rsid w:val="00D94B64"/>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rsid w:val="00D94B64"/>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unhideWhenUsed/>
    <w:qFormat/>
    <w:rsid w:val="00D94B64"/>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paragraph" w:styleId="Heading5">
    <w:name w:val="heading 5"/>
    <w:basedOn w:val="Normal"/>
    <w:next w:val="Normal"/>
    <w:link w:val="Heading5Char"/>
    <w:uiPriority w:val="9"/>
    <w:semiHidden/>
    <w:unhideWhenUsed/>
    <w:qFormat/>
    <w:rsid w:val="00D94B6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94B6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Heading9"/>
    <w:next w:val="Normal"/>
    <w:link w:val="Heading8Char"/>
    <w:uiPriority w:val="99"/>
    <w:semiHidden/>
    <w:unhideWhenUsed/>
    <w:qFormat/>
    <w:rsid w:val="00D94B64"/>
    <w:pPr>
      <w:outlineLvl w:val="7"/>
    </w:pPr>
  </w:style>
  <w:style w:type="paragraph" w:styleId="Heading9">
    <w:name w:val="heading 9"/>
    <w:basedOn w:val="Normal"/>
    <w:next w:val="Normal"/>
    <w:link w:val="Heading9Char"/>
    <w:uiPriority w:val="99"/>
    <w:semiHidden/>
    <w:unhideWhenUsed/>
    <w:qFormat/>
    <w:rsid w:val="00D94B64"/>
    <w:pPr>
      <w:spacing w:before="120" w:after="120" w:line="240" w:lineRule="auto"/>
      <w:jc w:val="both"/>
      <w:outlineLvl w:val="8"/>
    </w:pPr>
    <w:rPr>
      <w:rFonts w:ascii="Calibri" w:eastAsia="Times New Roman" w:hAnsi="Calibri" w:cs="Times New Roman"/>
      <w:sz w:val="18"/>
      <w:szCs w:val="24"/>
      <w:lang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D94B64"/>
    <w:rPr>
      <w:color w:val="0000FF"/>
      <w:shd w:val="clear" w:color="auto" w:fill="auto"/>
    </w:rPr>
  </w:style>
  <w:style w:type="paragraph" w:styleId="Header">
    <w:name w:val="header"/>
    <w:basedOn w:val="Normal"/>
    <w:link w:val="HeaderChar"/>
    <w:uiPriority w:val="99"/>
    <w:unhideWhenUsed/>
    <w:rsid w:val="00D94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B64"/>
  </w:style>
  <w:style w:type="paragraph" w:styleId="Footer">
    <w:name w:val="footer"/>
    <w:basedOn w:val="Normal"/>
    <w:link w:val="FooterChar"/>
    <w:uiPriority w:val="99"/>
    <w:unhideWhenUsed/>
    <w:rsid w:val="00D94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B64"/>
  </w:style>
  <w:style w:type="paragraph" w:customStyle="1" w:styleId="Pagedecouverture">
    <w:name w:val="Page de couverture"/>
    <w:basedOn w:val="Normal"/>
    <w:next w:val="Normal"/>
    <w:rsid w:val="00D94B64"/>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D94B6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D94B64"/>
    <w:rPr>
      <w:rFonts w:ascii="Times New Roman" w:hAnsi="Times New Roman" w:cs="Times New Roman"/>
      <w:sz w:val="24"/>
    </w:rPr>
  </w:style>
  <w:style w:type="paragraph" w:customStyle="1" w:styleId="FooterSensitivity">
    <w:name w:val="Footer Sensitivity"/>
    <w:basedOn w:val="Normal"/>
    <w:link w:val="FooterSensitivityChar"/>
    <w:rsid w:val="00D94B6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D94B64"/>
    <w:rPr>
      <w:rFonts w:ascii="Times New Roman" w:hAnsi="Times New Roman" w:cs="Times New Roman"/>
      <w:b/>
      <w:sz w:val="32"/>
    </w:rPr>
  </w:style>
  <w:style w:type="paragraph" w:customStyle="1" w:styleId="HeaderCoverPage">
    <w:name w:val="Header Cover Page"/>
    <w:basedOn w:val="Normal"/>
    <w:link w:val="HeaderCoverPageChar"/>
    <w:rsid w:val="00D94B6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D94B64"/>
    <w:rPr>
      <w:rFonts w:ascii="Times New Roman" w:hAnsi="Times New Roman" w:cs="Times New Roman"/>
      <w:sz w:val="24"/>
    </w:rPr>
  </w:style>
  <w:style w:type="paragraph" w:customStyle="1" w:styleId="HeaderSensitivity">
    <w:name w:val="Header Sensitivity"/>
    <w:basedOn w:val="Normal"/>
    <w:link w:val="HeaderSensitivityChar"/>
    <w:rsid w:val="00D94B6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D94B64"/>
    <w:rPr>
      <w:rFonts w:ascii="Times New Roman" w:hAnsi="Times New Roman" w:cs="Times New Roman"/>
      <w:b/>
      <w:sz w:val="32"/>
    </w:rPr>
  </w:style>
  <w:style w:type="paragraph" w:customStyle="1" w:styleId="HeaderSensitivityRight">
    <w:name w:val="Header Sensitivity Right"/>
    <w:basedOn w:val="Normal"/>
    <w:link w:val="HeaderSensitivityRightChar"/>
    <w:rsid w:val="00D94B64"/>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D94B64"/>
    <w:rPr>
      <w:rFonts w:ascii="Times New Roman" w:hAnsi="Times New Roman" w:cs="Times New Roman"/>
      <w:sz w:val="28"/>
    </w:rPr>
  </w:style>
  <w:style w:type="character" w:customStyle="1" w:styleId="Heading1Char">
    <w:name w:val="Heading 1 Char"/>
    <w:basedOn w:val="DefaultParagraphFont"/>
    <w:link w:val="Heading1"/>
    <w:uiPriority w:val="9"/>
    <w:rsid w:val="00D94B64"/>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sid w:val="00D94B64"/>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sid w:val="00D94B64"/>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sid w:val="00D94B64"/>
    <w:rPr>
      <w:rFonts w:ascii="Times New Roman" w:eastAsia="Times New Roman" w:hAnsi="Times New Roman" w:cs="Times New Roman"/>
      <w:bCs/>
      <w:iCs/>
      <w:sz w:val="24"/>
      <w:lang w:eastAsia="en-GB"/>
    </w:rPr>
  </w:style>
  <w:style w:type="character" w:customStyle="1" w:styleId="Heading5Char">
    <w:name w:val="Heading 5 Char"/>
    <w:basedOn w:val="DefaultParagraphFont"/>
    <w:link w:val="Heading5"/>
    <w:uiPriority w:val="9"/>
    <w:semiHidden/>
    <w:rsid w:val="00D94B6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94B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D94B64"/>
    <w:rPr>
      <w:rFonts w:ascii="Calibri" w:eastAsia="Times New Roman" w:hAnsi="Calibri" w:cs="Times New Roman"/>
      <w:sz w:val="18"/>
      <w:szCs w:val="24"/>
      <w:lang w:eastAsia="nl-NL"/>
    </w:rPr>
  </w:style>
  <w:style w:type="character" w:customStyle="1" w:styleId="Heading9Char">
    <w:name w:val="Heading 9 Char"/>
    <w:basedOn w:val="DefaultParagraphFont"/>
    <w:link w:val="Heading9"/>
    <w:uiPriority w:val="99"/>
    <w:semiHidden/>
    <w:rsid w:val="00D94B64"/>
    <w:rPr>
      <w:rFonts w:ascii="Calibri" w:eastAsia="Times New Roman" w:hAnsi="Calibri" w:cs="Times New Roman"/>
      <w:sz w:val="18"/>
      <w:szCs w:val="24"/>
      <w:lang w:eastAsia="nl-NL"/>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
    <w:basedOn w:val="Normal"/>
    <w:link w:val="FootnoteTextChar"/>
    <w:uiPriority w:val="99"/>
    <w:unhideWhenUsed/>
    <w:rsid w:val="00D94B64"/>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rsid w:val="00D94B64"/>
    <w:rPr>
      <w:sz w:val="20"/>
      <w:szCs w:val="20"/>
    </w:rPr>
  </w:style>
  <w:style w:type="character" w:styleId="Hyperlink">
    <w:name w:val="Hyperlink"/>
    <w:uiPriority w:val="99"/>
    <w:rsid w:val="00D94B64"/>
    <w:rPr>
      <w:color w:val="0000FF"/>
      <w:u w:val="single"/>
      <w:shd w:val="clear" w:color="auto" w:fill="auto"/>
    </w:rPr>
  </w:style>
  <w:style w:type="character" w:styleId="FootnoteReference">
    <w:name w:val="footnote reference"/>
    <w:aliases w:val="Footnote symbol,Odwołanie przypisu,Footnote Reference Number,Footnote Reference Superscript,SUPERS,Times 10 Point,Exposant 3 Point, Exposant 3 Point,Footnote,Ref,de nota al pie,Footnote Char,Footnote number Char"/>
    <w:uiPriority w:val="99"/>
    <w:unhideWhenUsed/>
    <w:qFormat/>
    <w:rsid w:val="00D94B64"/>
    <w:rPr>
      <w:shd w:val="clear" w:color="auto" w:fill="auto"/>
      <w:vertAlign w:val="superscript"/>
    </w:rPr>
  </w:style>
  <w:style w:type="character" w:styleId="CommentReference">
    <w:name w:val="annotation reference"/>
    <w:basedOn w:val="DefaultParagraphFont"/>
    <w:uiPriority w:val="99"/>
    <w:semiHidden/>
    <w:unhideWhenUsed/>
    <w:rsid w:val="00D94B64"/>
    <w:rPr>
      <w:sz w:val="16"/>
      <w:szCs w:val="16"/>
    </w:rPr>
  </w:style>
  <w:style w:type="paragraph" w:styleId="CommentText">
    <w:name w:val="annotation text"/>
    <w:basedOn w:val="Normal"/>
    <w:link w:val="CommentTextChar"/>
    <w:uiPriority w:val="99"/>
    <w:unhideWhenUsed/>
    <w:rsid w:val="00D94B64"/>
    <w:pPr>
      <w:spacing w:line="240" w:lineRule="auto"/>
    </w:pPr>
    <w:rPr>
      <w:sz w:val="20"/>
      <w:szCs w:val="20"/>
    </w:rPr>
  </w:style>
  <w:style w:type="character" w:customStyle="1" w:styleId="CommentTextChar">
    <w:name w:val="Comment Text Char"/>
    <w:basedOn w:val="DefaultParagraphFont"/>
    <w:link w:val="CommentText"/>
    <w:uiPriority w:val="99"/>
    <w:rsid w:val="00D94B64"/>
    <w:rPr>
      <w:sz w:val="20"/>
      <w:szCs w:val="20"/>
    </w:rPr>
  </w:style>
  <w:style w:type="paragraph" w:styleId="CommentSubject">
    <w:name w:val="annotation subject"/>
    <w:basedOn w:val="CommentText"/>
    <w:next w:val="CommentText"/>
    <w:link w:val="CommentSubjectChar"/>
    <w:uiPriority w:val="99"/>
    <w:semiHidden/>
    <w:unhideWhenUsed/>
    <w:rsid w:val="00D94B64"/>
    <w:rPr>
      <w:b/>
      <w:bCs/>
    </w:rPr>
  </w:style>
  <w:style w:type="character" w:customStyle="1" w:styleId="CommentSubjectChar">
    <w:name w:val="Comment Subject Char"/>
    <w:basedOn w:val="CommentTextChar"/>
    <w:link w:val="CommentSubject"/>
    <w:uiPriority w:val="99"/>
    <w:semiHidden/>
    <w:rsid w:val="00D94B64"/>
    <w:rPr>
      <w:b/>
      <w:bCs/>
      <w:sz w:val="20"/>
      <w:szCs w:val="20"/>
    </w:rPr>
  </w:style>
  <w:style w:type="paragraph" w:styleId="BalloonText">
    <w:name w:val="Balloon Text"/>
    <w:basedOn w:val="Normal"/>
    <w:link w:val="BalloonTextChar"/>
    <w:uiPriority w:val="99"/>
    <w:semiHidden/>
    <w:unhideWhenUsed/>
    <w:rsid w:val="00D94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64"/>
    <w:rPr>
      <w:rFonts w:ascii="Tahoma" w:hAnsi="Tahoma" w:cs="Tahoma"/>
      <w:sz w:val="16"/>
      <w:szCs w:val="16"/>
    </w:rPr>
  </w:style>
  <w:style w:type="paragraph" w:styleId="ListParagraph">
    <w:name w:val="List Paragraph"/>
    <w:aliases w:val="List Paragraph in table,Table of contents numbered,Bullet OFM,Bullet Points,Renkli Liste - Vurgu 11,Liste Paragraf1,Liste Paragraf,Citation List,Medium Grid 1 - Accent 21,PROVERE 1"/>
    <w:basedOn w:val="Normal"/>
    <w:link w:val="ListParagraphChar"/>
    <w:uiPriority w:val="34"/>
    <w:qFormat/>
    <w:rsid w:val="00D94B64"/>
    <w:pPr>
      <w:ind w:left="720"/>
      <w:contextualSpacing/>
    </w:pPr>
  </w:style>
  <w:style w:type="character" w:styleId="FollowedHyperlink">
    <w:name w:val="FollowedHyperlink"/>
    <w:basedOn w:val="DefaultParagraphFont"/>
    <w:uiPriority w:val="99"/>
    <w:semiHidden/>
    <w:unhideWhenUsed/>
    <w:rsid w:val="00D94B64"/>
    <w:rPr>
      <w:color w:val="800080" w:themeColor="followedHyperlink"/>
      <w:u w:val="single"/>
    </w:rPr>
  </w:style>
  <w:style w:type="paragraph" w:customStyle="1" w:styleId="FootnoteD">
    <w:name w:val="Footnote D"/>
    <w:basedOn w:val="FootnoteText"/>
    <w:link w:val="FootnoteDChar"/>
    <w:qFormat/>
    <w:rsid w:val="00D94B64"/>
    <w:pPr>
      <w:spacing w:after="40"/>
    </w:pPr>
    <w:rPr>
      <w:rFonts w:eastAsia="Times New Roman" w:cs="Times New Roman"/>
      <w:lang w:eastAsia="nl-NL"/>
    </w:rPr>
  </w:style>
  <w:style w:type="character" w:customStyle="1" w:styleId="FootnoteDChar">
    <w:name w:val="Footnote D Char"/>
    <w:basedOn w:val="DefaultParagraphFont"/>
    <w:link w:val="FootnoteD"/>
    <w:rsid w:val="00D94B64"/>
    <w:rPr>
      <w:rFonts w:eastAsia="Times New Roman" w:cs="Times New Roman"/>
      <w:sz w:val="20"/>
      <w:szCs w:val="20"/>
      <w:lang w:eastAsia="nl-NL"/>
    </w:rPr>
  </w:style>
  <w:style w:type="paragraph" w:customStyle="1" w:styleId="Bullet2">
    <w:name w:val="Bullet 2"/>
    <w:basedOn w:val="Normal"/>
    <w:uiPriority w:val="99"/>
    <w:rsid w:val="00D94B64"/>
    <w:pPr>
      <w:numPr>
        <w:numId w:val="15"/>
      </w:numPr>
      <w:spacing w:before="120" w:after="120" w:line="240" w:lineRule="auto"/>
      <w:ind w:left="851" w:firstLine="0"/>
      <w:jc w:val="both"/>
    </w:pPr>
    <w:rPr>
      <w:rFonts w:ascii="Calibri" w:eastAsia="Times New Roman" w:hAnsi="Calibri" w:cs="Times New Roman"/>
      <w:szCs w:val="24"/>
      <w:lang w:eastAsia="nl-NL"/>
    </w:rPr>
  </w:style>
  <w:style w:type="paragraph" w:styleId="Caption">
    <w:name w:val="caption"/>
    <w:aliases w:val="TR-Caption,Inscription,Beschriftung Char Char Char,Beschriftung Char Char,Caption-tables,Table legend,Tab_Überschrift,Figure reference,Caption1 Char Char Char Char Char Char Char Char,Legend,Caption Char1,Caption Char Char,Tasks"/>
    <w:basedOn w:val="Normal"/>
    <w:next w:val="Normal"/>
    <w:link w:val="CaptionChar"/>
    <w:uiPriority w:val="59"/>
    <w:unhideWhenUsed/>
    <w:qFormat/>
    <w:rsid w:val="00D94B64"/>
    <w:pPr>
      <w:spacing w:after="0" w:line="280" w:lineRule="atLeast"/>
    </w:pPr>
    <w:rPr>
      <w:rFonts w:ascii="Arial" w:eastAsia="Times New Roman" w:hAnsi="Arial" w:cs="Times New Roman"/>
      <w:b/>
      <w:bCs/>
      <w:sz w:val="16"/>
      <w:szCs w:val="18"/>
      <w:lang w:eastAsia="nl-NL"/>
    </w:rPr>
  </w:style>
  <w:style w:type="character" w:customStyle="1" w:styleId="CaptionChar">
    <w:name w:val="Caption Char"/>
    <w:aliases w:val="TR-Caption Char,Inscription Char,Beschriftung Char Char Char Char,Beschriftung Char Char Char1,Caption-tables Char,Table legend Char,Tab_Überschrift Char,Figure reference Char,Caption1 Char Char Char Char Char Char Char Char Char,Tasks Char"/>
    <w:link w:val="Caption"/>
    <w:uiPriority w:val="59"/>
    <w:locked/>
    <w:rsid w:val="00D94B64"/>
    <w:rPr>
      <w:rFonts w:ascii="Arial" w:eastAsia="Times New Roman" w:hAnsi="Arial" w:cs="Times New Roman"/>
      <w:b/>
      <w:bCs/>
      <w:sz w:val="16"/>
      <w:szCs w:val="18"/>
      <w:lang w:eastAsia="nl-NL"/>
    </w:rPr>
  </w:style>
  <w:style w:type="character" w:customStyle="1" w:styleId="ListParagraphChar">
    <w:name w:val="List Paragraph Char"/>
    <w:aliases w:val="List Paragraph in table Char,Table of contents numbered Char,Bullet OFM Char,Bullet Points Char,Renkli Liste - Vurgu 11 Char,Liste Paragraf1 Char,Liste Paragraf Char,Citation List Char,Medium Grid 1 - Accent 21 Char,PROVERE 1 Char"/>
    <w:link w:val="ListParagraph"/>
    <w:uiPriority w:val="34"/>
    <w:locked/>
    <w:rsid w:val="00D94B64"/>
  </w:style>
  <w:style w:type="paragraph" w:customStyle="1" w:styleId="Text1">
    <w:name w:val="Text 1"/>
    <w:basedOn w:val="Normal"/>
    <w:rsid w:val="00D94B64"/>
    <w:pPr>
      <w:spacing w:after="240" w:line="240" w:lineRule="auto"/>
      <w:ind w:left="482"/>
      <w:jc w:val="both"/>
    </w:pPr>
    <w:rPr>
      <w:rFonts w:ascii="Times New Roman" w:eastAsia="Times New Roman" w:hAnsi="Times New Roman" w:cs="Times New Roman"/>
      <w:sz w:val="24"/>
      <w:szCs w:val="20"/>
    </w:rPr>
  </w:style>
  <w:style w:type="paragraph" w:styleId="Index5">
    <w:name w:val="index 5"/>
    <w:basedOn w:val="Normal"/>
    <w:next w:val="Normal"/>
    <w:autoRedefine/>
    <w:semiHidden/>
    <w:rsid w:val="00D94B64"/>
    <w:pPr>
      <w:spacing w:after="240" w:line="240" w:lineRule="auto"/>
      <w:ind w:left="1200" w:hanging="240"/>
      <w:jc w:val="both"/>
    </w:pPr>
    <w:rPr>
      <w:rFonts w:ascii="Times New Roman" w:eastAsia="Times New Roman" w:hAnsi="Times New Roman" w:cs="Times New Roman"/>
      <w:sz w:val="24"/>
      <w:szCs w:val="20"/>
    </w:rPr>
  </w:style>
  <w:style w:type="table" w:styleId="TableGrid">
    <w:name w:val="Table Grid"/>
    <w:basedOn w:val="TableNormal"/>
    <w:uiPriority w:val="59"/>
    <w:rsid w:val="00D94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4B64"/>
    <w:pPr>
      <w:spacing w:after="0" w:line="240" w:lineRule="auto"/>
    </w:pPr>
  </w:style>
  <w:style w:type="paragraph" w:customStyle="1" w:styleId="Typedudocument">
    <w:name w:val="Type du document"/>
    <w:basedOn w:val="Normal"/>
    <w:next w:val="Normal"/>
    <w:rsid w:val="00D94B64"/>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D94B64"/>
    <w:pPr>
      <w:spacing w:before="360" w:after="360" w:line="240" w:lineRule="auto"/>
      <w:jc w:val="center"/>
    </w:pPr>
    <w:rPr>
      <w:rFonts w:ascii="Times New Roman" w:hAnsi="Times New Roman" w:cs="Times New Roman"/>
      <w:b/>
      <w:sz w:val="24"/>
    </w:rPr>
  </w:style>
  <w:style w:type="paragraph" w:customStyle="1" w:styleId="Body">
    <w:name w:val="Body"/>
    <w:basedOn w:val="Normal"/>
    <w:link w:val="BodyChar"/>
    <w:qFormat/>
    <w:rsid w:val="00D94B64"/>
    <w:pPr>
      <w:spacing w:after="240" w:line="240" w:lineRule="auto"/>
      <w:jc w:val="both"/>
    </w:pPr>
    <w:rPr>
      <w:rFonts w:ascii="Verdana" w:eastAsia="Times New Roman" w:hAnsi="Verdana" w:cs="Times New Roman"/>
      <w:sz w:val="20"/>
      <w:szCs w:val="20"/>
    </w:rPr>
  </w:style>
  <w:style w:type="character" w:customStyle="1" w:styleId="BodyChar">
    <w:name w:val="Body Char"/>
    <w:link w:val="Body"/>
    <w:rsid w:val="00D94B64"/>
    <w:rPr>
      <w:rFonts w:ascii="Verdana" w:eastAsia="Times New Roman" w:hAnsi="Verdana" w:cs="Times New Roman"/>
      <w:sz w:val="20"/>
      <w:szCs w:val="20"/>
      <w:lang w:val="ro-RO"/>
    </w:rPr>
  </w:style>
  <w:style w:type="character" w:customStyle="1" w:styleId="oj-super">
    <w:name w:val="oj-super"/>
    <w:basedOn w:val="DefaultParagraphFont"/>
    <w:rsid w:val="00D94B64"/>
  </w:style>
  <w:style w:type="paragraph" w:customStyle="1" w:styleId="Bulletpoint1">
    <w:name w:val="Bullet point1"/>
    <w:basedOn w:val="NormalIndent"/>
    <w:link w:val="Bulletpoint1Char"/>
    <w:qFormat/>
    <w:rsid w:val="00D94B64"/>
    <w:pPr>
      <w:numPr>
        <w:numId w:val="45"/>
      </w:numPr>
      <w:spacing w:after="0" w:line="240" w:lineRule="auto"/>
      <w:jc w:val="both"/>
    </w:pPr>
    <w:rPr>
      <w:rFonts w:ascii="Verdana" w:eastAsia="Times New Roman" w:hAnsi="Verdana" w:cs="Times New Roman"/>
      <w:sz w:val="20"/>
      <w:szCs w:val="20"/>
    </w:rPr>
  </w:style>
  <w:style w:type="character" w:customStyle="1" w:styleId="Bulletpoint1Char">
    <w:name w:val="Bullet point1 Char"/>
    <w:basedOn w:val="DefaultParagraphFont"/>
    <w:link w:val="Bulletpoint1"/>
    <w:rsid w:val="00D94B64"/>
    <w:rPr>
      <w:rFonts w:ascii="Verdana" w:eastAsia="Times New Roman" w:hAnsi="Verdana" w:cs="Times New Roman"/>
      <w:sz w:val="20"/>
      <w:szCs w:val="20"/>
      <w:lang w:val="ro-RO"/>
    </w:rPr>
  </w:style>
  <w:style w:type="paragraph" w:styleId="NormalIndent">
    <w:name w:val="Normal Indent"/>
    <w:basedOn w:val="Normal"/>
    <w:uiPriority w:val="99"/>
    <w:semiHidden/>
    <w:unhideWhenUsed/>
    <w:rsid w:val="00D94B64"/>
    <w:pPr>
      <w:ind w:left="720"/>
    </w:pPr>
  </w:style>
  <w:style w:type="paragraph" w:customStyle="1" w:styleId="titrearticle">
    <w:name w:val="titrearticle"/>
    <w:basedOn w:val="Normal"/>
    <w:rsid w:val="00D94B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centered">
    <w:name w:val="normalcentered"/>
    <w:basedOn w:val="Normal"/>
    <w:rsid w:val="00D94B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
    <w:name w:val="li"/>
    <w:basedOn w:val="Normal"/>
    <w:rsid w:val="00D94B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
    <w:name w:val="num"/>
    <w:basedOn w:val="DefaultParagraphFont"/>
    <w:rsid w:val="00D94B64"/>
  </w:style>
  <w:style w:type="paragraph" w:customStyle="1" w:styleId="oj-normal">
    <w:name w:val="oj-normal"/>
    <w:basedOn w:val="Normal"/>
    <w:rsid w:val="00D94B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C05E27"/>
    <w:rPr>
      <w:color w:val="605E5C"/>
      <w:shd w:val="clear" w:color="auto" w:fill="E1DFDD"/>
    </w:rPr>
  </w:style>
  <w:style w:type="paragraph" w:customStyle="1" w:styleId="stitle-article-norm">
    <w:name w:val="stitle-article-norm"/>
    <w:basedOn w:val="Normal"/>
    <w:rsid w:val="00B245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
    <w:name w:val="norm"/>
    <w:basedOn w:val="Normal"/>
    <w:rsid w:val="00B245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5">
    <w:name w:val="List Bullet 5"/>
    <w:basedOn w:val="Normal"/>
    <w:autoRedefine/>
    <w:rsid w:val="00976E05"/>
    <w:pPr>
      <w:numPr>
        <w:numId w:val="49"/>
      </w:numPr>
      <w:spacing w:after="24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80159">
      <w:bodyDiv w:val="1"/>
      <w:marLeft w:val="0"/>
      <w:marRight w:val="0"/>
      <w:marTop w:val="0"/>
      <w:marBottom w:val="0"/>
      <w:divBdr>
        <w:top w:val="none" w:sz="0" w:space="0" w:color="auto"/>
        <w:left w:val="none" w:sz="0" w:space="0" w:color="auto"/>
        <w:bottom w:val="none" w:sz="0" w:space="0" w:color="auto"/>
        <w:right w:val="none" w:sz="0" w:space="0" w:color="auto"/>
      </w:divBdr>
    </w:div>
    <w:div w:id="656109837">
      <w:bodyDiv w:val="1"/>
      <w:marLeft w:val="0"/>
      <w:marRight w:val="0"/>
      <w:marTop w:val="0"/>
      <w:marBottom w:val="0"/>
      <w:divBdr>
        <w:top w:val="none" w:sz="0" w:space="0" w:color="auto"/>
        <w:left w:val="none" w:sz="0" w:space="0" w:color="auto"/>
        <w:bottom w:val="none" w:sz="0" w:space="0" w:color="auto"/>
        <w:right w:val="none" w:sz="0" w:space="0" w:color="auto"/>
      </w:divBdr>
      <w:divsChild>
        <w:div w:id="488786102">
          <w:marLeft w:val="0"/>
          <w:marRight w:val="0"/>
          <w:marTop w:val="0"/>
          <w:marBottom w:val="0"/>
          <w:divBdr>
            <w:top w:val="none" w:sz="0" w:space="0" w:color="auto"/>
            <w:left w:val="none" w:sz="0" w:space="0" w:color="auto"/>
            <w:bottom w:val="none" w:sz="0" w:space="0" w:color="auto"/>
            <w:right w:val="none" w:sz="0" w:space="0" w:color="auto"/>
          </w:divBdr>
          <w:divsChild>
            <w:div w:id="139152278">
              <w:marLeft w:val="0"/>
              <w:marRight w:val="0"/>
              <w:marTop w:val="120"/>
              <w:marBottom w:val="0"/>
              <w:divBdr>
                <w:top w:val="none" w:sz="0" w:space="0" w:color="auto"/>
                <w:left w:val="none" w:sz="0" w:space="0" w:color="auto"/>
                <w:bottom w:val="none" w:sz="0" w:space="0" w:color="auto"/>
                <w:right w:val="none" w:sz="0" w:space="0" w:color="auto"/>
              </w:divBdr>
            </w:div>
            <w:div w:id="1172641280">
              <w:marLeft w:val="0"/>
              <w:marRight w:val="0"/>
              <w:marTop w:val="0"/>
              <w:marBottom w:val="0"/>
              <w:divBdr>
                <w:top w:val="none" w:sz="0" w:space="0" w:color="auto"/>
                <w:left w:val="none" w:sz="0" w:space="0" w:color="auto"/>
                <w:bottom w:val="none" w:sz="0" w:space="0" w:color="auto"/>
                <w:right w:val="none" w:sz="0" w:space="0" w:color="auto"/>
              </w:divBdr>
            </w:div>
          </w:divsChild>
        </w:div>
        <w:div w:id="1454977992">
          <w:marLeft w:val="0"/>
          <w:marRight w:val="0"/>
          <w:marTop w:val="0"/>
          <w:marBottom w:val="0"/>
          <w:divBdr>
            <w:top w:val="none" w:sz="0" w:space="0" w:color="auto"/>
            <w:left w:val="none" w:sz="0" w:space="0" w:color="auto"/>
            <w:bottom w:val="none" w:sz="0" w:space="0" w:color="auto"/>
            <w:right w:val="none" w:sz="0" w:space="0" w:color="auto"/>
          </w:divBdr>
          <w:divsChild>
            <w:div w:id="326904759">
              <w:marLeft w:val="0"/>
              <w:marRight w:val="0"/>
              <w:marTop w:val="120"/>
              <w:marBottom w:val="0"/>
              <w:divBdr>
                <w:top w:val="none" w:sz="0" w:space="0" w:color="auto"/>
                <w:left w:val="none" w:sz="0" w:space="0" w:color="auto"/>
                <w:bottom w:val="none" w:sz="0" w:space="0" w:color="auto"/>
                <w:right w:val="none" w:sz="0" w:space="0" w:color="auto"/>
              </w:divBdr>
            </w:div>
            <w:div w:id="6185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7915">
      <w:bodyDiv w:val="1"/>
      <w:marLeft w:val="0"/>
      <w:marRight w:val="0"/>
      <w:marTop w:val="0"/>
      <w:marBottom w:val="0"/>
      <w:divBdr>
        <w:top w:val="none" w:sz="0" w:space="0" w:color="auto"/>
        <w:left w:val="none" w:sz="0" w:space="0" w:color="auto"/>
        <w:bottom w:val="none" w:sz="0" w:space="0" w:color="auto"/>
        <w:right w:val="none" w:sz="0" w:space="0" w:color="auto"/>
      </w:divBdr>
    </w:div>
    <w:div w:id="14662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default/files/swd2021_305_en.pdf" TargetMode="External"/><Relationship Id="rId13" Type="http://schemas.openxmlformats.org/officeDocument/2006/relationships/hyperlink" Target="https://eba.europa.eu/single-rule-book-qa/-/qna/view/publicId/2014_1249" TargetMode="External"/><Relationship Id="rId18" Type="http://schemas.openxmlformats.org/officeDocument/2006/relationships/hyperlink" Target="https://www.ipsos.com/sites/default/files/ct/news/documents/2022-01/Global-Trustworthiness-Monitor-2021.pdf" TargetMode="External"/><Relationship Id="rId26" Type="http://schemas.openxmlformats.org/officeDocument/2006/relationships/hyperlink" Target="https://commission.europa.eu/business-economy-euro/doing-business-eu/company-law-and-corporate-governance_ro" TargetMode="External"/><Relationship Id="rId3" Type="http://schemas.openxmlformats.org/officeDocument/2006/relationships/hyperlink" Target="https://eur-lex.europa.eu/legal-content/RO/TXT/?uri=CELEX%3A32019L0878" TargetMode="External"/><Relationship Id="rId21" Type="http://schemas.openxmlformats.org/officeDocument/2006/relationships/hyperlink" Target="https://commission.europa.eu/business-economy-euro/doing-business-eu/company-law-and-corporate-governance_ro" TargetMode="External"/><Relationship Id="rId34" Type="http://schemas.openxmlformats.org/officeDocument/2006/relationships/hyperlink" Target="https://commission.europa.eu/business-economy-euro/doing-business-eu/company-law-and-corporate-governance_ro" TargetMode="External"/><Relationship Id="rId7" Type="http://schemas.openxmlformats.org/officeDocument/2006/relationships/hyperlink" Target="https://eur-lex.europa.eu/legal-content/RO/TXT/PDF/?uri=CELEX:52014DC0676&amp;qid=1639170286777&amp;from=EN" TargetMode="External"/><Relationship Id="rId12" Type="http://schemas.openxmlformats.org/officeDocument/2006/relationships/hyperlink" Target="https://commission.europa.eu/business-economy-euro/doing-business-eu/company-law-and-corporate-governance_ro" TargetMode="External"/><Relationship Id="rId17" Type="http://schemas.openxmlformats.org/officeDocument/2006/relationships/hyperlink" Target="https://www.edelman.com/sites/g/files/aatuss191/files/2021-04/2021%20Edelman%20Trust%20Barometer%20Trust%20in%20Financial%20Services%20Global%20Report_website%20version.pdf" TargetMode="External"/><Relationship Id="rId25" Type="http://schemas.openxmlformats.org/officeDocument/2006/relationships/hyperlink" Target="https://commission.europa.eu/business-economy-euro/doing-business-eu/company-law-and-corporate-governance_ro" TargetMode="External"/><Relationship Id="rId33" Type="http://schemas.openxmlformats.org/officeDocument/2006/relationships/hyperlink" Target="https://commission.europa.eu/business-economy-euro/doing-business-eu/company-law-and-corporate-governance_ro" TargetMode="External"/><Relationship Id="rId2" Type="http://schemas.openxmlformats.org/officeDocument/2006/relationships/hyperlink" Target="https://eur-lex.europa.eu/legal-content/RO/TXT/PDF/?uri=CELEX:32013R0575&amp;from=EN" TargetMode="External"/><Relationship Id="rId16" Type="http://schemas.openxmlformats.org/officeDocument/2006/relationships/hyperlink" Target="https://commission.europa.eu/business-economy-euro/doing-business-eu/company-law-and-corporate-governance_ro" TargetMode="External"/><Relationship Id="rId20" Type="http://schemas.openxmlformats.org/officeDocument/2006/relationships/hyperlink" Target="https://commission.europa.eu/business-economy-euro/doing-business-eu/company-law-and-corporate-governance_ro" TargetMode="External"/><Relationship Id="rId29" Type="http://schemas.openxmlformats.org/officeDocument/2006/relationships/hyperlink" Target="https://ec.europa.eu/taxation_customs/anti-tax-avoidance-package_en" TargetMode="External"/><Relationship Id="rId1" Type="http://schemas.openxmlformats.org/officeDocument/2006/relationships/hyperlink" Target="https://eur-lex.europa.eu/legal-content/RO/TXT/PDF/?uri=CELEX:32013L0036&amp;from=EN" TargetMode="External"/><Relationship Id="rId6" Type="http://schemas.openxmlformats.org/officeDocument/2006/relationships/hyperlink" Target="https://www.europarl.europa.eu/doceo/document/A-7-2012-0170_RO.html" TargetMode="External"/><Relationship Id="rId11" Type="http://schemas.openxmlformats.org/officeDocument/2006/relationships/hyperlink" Target="https://commission.europa.eu/business-economy-euro/doing-business-eu/company-law-and-corporate-governance_ro" TargetMode="External"/><Relationship Id="rId24" Type="http://schemas.openxmlformats.org/officeDocument/2006/relationships/hyperlink" Target="https://commission.europa.eu/business-economy-euro/doing-business-eu/company-law-and-corporate-governance_ro" TargetMode="External"/><Relationship Id="rId32" Type="http://schemas.openxmlformats.org/officeDocument/2006/relationships/hyperlink" Target="https://commission.europa.eu/business-economy-euro/doing-business-eu/company-law-and-corporate-governance_ro" TargetMode="External"/><Relationship Id="rId5" Type="http://schemas.openxmlformats.org/officeDocument/2006/relationships/hyperlink" Target="https://commission.europa.eu/business-economy-euro/doing-business-eu/company-law-and-corporate-governance_ro" TargetMode="External"/><Relationship Id="rId15" Type="http://schemas.openxmlformats.org/officeDocument/2006/relationships/hyperlink" Target="https://commission.europa.eu/business-economy-euro/doing-business-eu/company-law-and-corporate-governance_ro" TargetMode="External"/><Relationship Id="rId23" Type="http://schemas.openxmlformats.org/officeDocument/2006/relationships/hyperlink" Target="https://commission.europa.eu/business-economy-euro/doing-business-eu/company-law-and-corporate-governance_ro" TargetMode="External"/><Relationship Id="rId28" Type="http://schemas.openxmlformats.org/officeDocument/2006/relationships/hyperlink" Target="https://eur-lex.europa.eu/legal-content/RO/TXT/PDF/?uri=CELEX:52021DC0251&amp;from=NL" TargetMode="External"/><Relationship Id="rId36" Type="http://schemas.openxmlformats.org/officeDocument/2006/relationships/hyperlink" Target="https://commission.europa.eu/business-economy-euro/doing-business-eu/company-law-and-corporate-governance_ro" TargetMode="External"/><Relationship Id="rId10" Type="http://schemas.openxmlformats.org/officeDocument/2006/relationships/hyperlink" Target="https://www.ecb.europa.eu/stats/financial_corporations/list_of_financial_institutions/html/elegass.en.html" TargetMode="External"/><Relationship Id="rId19" Type="http://schemas.openxmlformats.org/officeDocument/2006/relationships/hyperlink" Target="https://commission.europa.eu/business-economy-euro/doing-business-eu/company-law-and-corporate-governance_ro" TargetMode="External"/><Relationship Id="rId31" Type="http://schemas.openxmlformats.org/officeDocument/2006/relationships/hyperlink" Target="https://commission.europa.eu/business-economy-euro/doing-business-eu/company-law-and-corporate-governance_ro" TargetMode="External"/><Relationship Id="rId4" Type="http://schemas.openxmlformats.org/officeDocument/2006/relationships/hyperlink" Target="https://commission.europa.eu/business-economy-euro/doing-business-eu/company-law-and-corporate-governance_ro" TargetMode="External"/><Relationship Id="rId9" Type="http://schemas.openxmlformats.org/officeDocument/2006/relationships/hyperlink" Target="https://eba.europa.eu/single-rule-book-qa/-/qna/view/publicId/2014_1248" TargetMode="External"/><Relationship Id="rId14" Type="http://schemas.openxmlformats.org/officeDocument/2006/relationships/hyperlink" Target="https://www.ifrs.org/issued-standards/list-of-standards/ias-12-income-taxes/" TargetMode="External"/><Relationship Id="rId22" Type="http://schemas.openxmlformats.org/officeDocument/2006/relationships/hyperlink" Target="https://commission.europa.eu/business-economy-euro/doing-business-eu/company-law-and-corporate-governance_ro" TargetMode="External"/><Relationship Id="rId27" Type="http://schemas.openxmlformats.org/officeDocument/2006/relationships/hyperlink" Target="https://www.edelman.com/sites/g/files/aatuss191/files/2021-03/2021%20Edelman%20Trust%20Barometer.pdf" TargetMode="External"/><Relationship Id="rId30" Type="http://schemas.openxmlformats.org/officeDocument/2006/relationships/hyperlink" Target="https://eur-lex.europa.eu/legal-content/RO/TXT/PDF/?uri=CELEX:32016L1164&amp;from=EN" TargetMode="External"/><Relationship Id="rId35" Type="http://schemas.openxmlformats.org/officeDocument/2006/relationships/hyperlink" Target="https://commission.europa.eu/business-economy-euro/doing-business-eu/company-law-and-corporate-governance_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b22a275e-e4fe-4beb-ace0-d80ad182a842">Not Started</EC_Collab_Status>
    <_Status xmlns="http://schemas.microsoft.com/sharepoint/v3/fields">Not Started</_Status>
    <EC_Collab_DocumentLanguage xmlns="b22a275e-e4fe-4beb-ace0-d80ad182a842">EN</EC_Collab_DocumentLanguage>
    <EC_Collab_Reference xmlns="b22a275e-e4fe-4beb-ace0-d80ad182a8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5951883E5C30040B203E32BE87605CE" ma:contentTypeVersion="2" ma:contentTypeDescription="Create a new document in this library." ma:contentTypeScope="" ma:versionID="d7c351954d471ca2587924c8ce74cbeb">
  <xsd:schema xmlns:xsd="http://www.w3.org/2001/XMLSchema" xmlns:xs="http://www.w3.org/2001/XMLSchema" xmlns:p="http://schemas.microsoft.com/office/2006/metadata/properties" xmlns:ns2="http://schemas.microsoft.com/sharepoint/v3/fields" xmlns:ns3="b22a275e-e4fe-4beb-ace0-d80ad182a842" xmlns:ns4="d48f59c6-eda2-45e6-a37b-3f12b675688c" targetNamespace="http://schemas.microsoft.com/office/2006/metadata/properties" ma:root="true" ma:fieldsID="3d3218982157b653eeccb676240745c5" ns2:_="" ns3:_="" ns4:_="">
    <xsd:import namespace="http://schemas.microsoft.com/sharepoint/v3/fields"/>
    <xsd:import namespace="b22a275e-e4fe-4beb-ace0-d80ad182a842"/>
    <xsd:import namespace="d48f59c6-eda2-45e6-a37b-3f12b675688c"/>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22a275e-e4fe-4beb-ace0-d80ad182a8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d48f59c6-eda2-45e6-a37b-3f12b67568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2089-940F-40B5-9063-4080F8EDD482}">
  <ds:schemaRefs>
    <ds:schemaRef ds:uri="http://schemas.microsoft.com/office/2006/metadata/properties"/>
    <ds:schemaRef ds:uri="http://schemas.microsoft.com/office/infopath/2007/PartnerControls"/>
    <ds:schemaRef ds:uri="b22a275e-e4fe-4beb-ace0-d80ad182a842"/>
    <ds:schemaRef ds:uri="http://schemas.microsoft.com/sharepoint/v3/fields"/>
  </ds:schemaRefs>
</ds:datastoreItem>
</file>

<file path=customXml/itemProps2.xml><?xml version="1.0" encoding="utf-8"?>
<ds:datastoreItem xmlns:ds="http://schemas.openxmlformats.org/officeDocument/2006/customXml" ds:itemID="{02EB47B8-2607-4A4F-8817-97CC2854E4BD}">
  <ds:schemaRefs>
    <ds:schemaRef ds:uri="http://schemas.microsoft.com/sharepoint/v3/contenttype/forms"/>
  </ds:schemaRefs>
</ds:datastoreItem>
</file>

<file path=customXml/itemProps3.xml><?xml version="1.0" encoding="utf-8"?>
<ds:datastoreItem xmlns:ds="http://schemas.openxmlformats.org/officeDocument/2006/customXml" ds:itemID="{16874156-4655-429A-99F1-7DFA2E866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22a275e-e4fe-4beb-ace0-d80ad182a842"/>
    <ds:schemaRef ds:uri="d48f59c6-eda2-45e6-a37b-3f12b6756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53B65-8525-426A-BFD5-95FF7F86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5996</Words>
  <Characters>35377</Characters>
  <Application>Microsoft Office Word</Application>
  <DocSecurity>0</DocSecurity>
  <Lines>505</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31</cp:revision>
  <dcterms:created xsi:type="dcterms:W3CDTF">2023-04-20T09:45:00Z</dcterms:created>
  <dcterms:modified xsi:type="dcterms:W3CDTF">2023-06-26T08:04:00Z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8.1, Build 20230124</vt:lpwstr>
  </property>
  <property fmtid="{D5CDD505-2E9C-101B-9397-08002B2CF9AE}" pid="8" name="Created using">
    <vt:lpwstr>LW 8.0.1, Build 20220429</vt:lpwstr>
  </property>
  <property fmtid="{D5CDD505-2E9C-101B-9397-08002B2CF9AE}" pid="9" name="MSIP_Label_6bd9ddd1-4d20-43f6-abfa-fc3c07406f94_Enabled">
    <vt:lpwstr>true</vt:lpwstr>
  </property>
  <property fmtid="{D5CDD505-2E9C-101B-9397-08002B2CF9AE}" pid="10" name="MSIP_Label_6bd9ddd1-4d20-43f6-abfa-fc3c07406f94_SetDate">
    <vt:lpwstr>2022-08-09T13:08:57Z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1933cd67-8192-4218-a8ae-a49769f0bc4f</vt:lpwstr>
  </property>
  <property fmtid="{D5CDD505-2E9C-101B-9397-08002B2CF9AE}" pid="15" name="MSIP_Label_6bd9ddd1-4d20-43f6-abfa-fc3c07406f94_ContentBits">
    <vt:lpwstr>0</vt:lpwstr>
  </property>
  <property fmtid="{D5CDD505-2E9C-101B-9397-08002B2CF9AE}" pid="16" name="ContentTypeId">
    <vt:lpwstr>0x010100258AA79CEB83498886A3A086811232500005951883E5C30040B203E32BE87605CE</vt:lpwstr>
  </property>
</Properties>
</file>