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B2737" w14:textId="6331A86A" w:rsidR="006C615B" w:rsidRPr="00924858" w:rsidRDefault="007F2F5E" w:rsidP="007F2F5E">
      <w:pPr>
        <w:pStyle w:val="Pagedecouverture"/>
        <w:rPr>
          <w:noProof/>
        </w:rPr>
      </w:pPr>
      <w:bookmarkStart w:id="0" w:name="_Hlk133402189"/>
      <w:bookmarkStart w:id="1" w:name="LW_BM_COVERPAGE"/>
      <w:r>
        <w:rPr>
          <w:noProof/>
        </w:rPr>
        <w:pict w14:anchorId="592A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3EF9730-7735-42ED-8497-8A0A653BA696" style="width:455.25pt;height:351.75pt">
            <v:imagedata r:id="rId11" o:title=""/>
          </v:shape>
        </w:pict>
      </w:r>
    </w:p>
    <w:bookmarkEnd w:id="1"/>
    <w:p w14:paraId="38FC51BF" w14:textId="77777777" w:rsidR="006C615B" w:rsidRPr="00924858" w:rsidRDefault="006C615B">
      <w:pPr>
        <w:rPr>
          <w:noProof/>
        </w:rPr>
        <w:sectPr w:rsidR="006C615B" w:rsidRPr="00924858" w:rsidSect="007F2F5E">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p w14:paraId="21CA26BF" w14:textId="633D4307" w:rsidR="00C948E8" w:rsidRPr="00C948E8" w:rsidRDefault="00C948E8" w:rsidP="00C948E8">
      <w:pPr>
        <w:pStyle w:val="Typedudocument"/>
        <w:rPr>
          <w:noProof/>
        </w:rPr>
      </w:pPr>
      <w:bookmarkStart w:id="2" w:name="_GoBack"/>
      <w:bookmarkEnd w:id="2"/>
      <w:r w:rsidRPr="00C948E8">
        <w:rPr>
          <w:noProof/>
        </w:rPr>
        <w:lastRenderedPageBreak/>
        <w:t>REPORT FROM THE COMMISSION TO THE EUROPEAN PARLIAMENT AND THE COUNCIL</w:t>
      </w:r>
    </w:p>
    <w:p w14:paraId="4E14AE63" w14:textId="73461442" w:rsidR="00C948E8" w:rsidRPr="00C948E8" w:rsidRDefault="00C948E8" w:rsidP="00C948E8">
      <w:pPr>
        <w:pStyle w:val="Titreobjet"/>
        <w:rPr>
          <w:noProof/>
        </w:rPr>
      </w:pPr>
      <w:r w:rsidRPr="00C948E8">
        <w:rPr>
          <w:noProof/>
        </w:rPr>
        <w:t>Seventeenth Annual Report for 2022 on the implementation of the Union assistance under Council Regulation (EC) No 389/2006 of 27 February 2006 establishing an instrument of financial support for encouraging the economic development of the Turkish Cypriot community</w:t>
      </w:r>
    </w:p>
    <w:p w14:paraId="1DC762F3" w14:textId="5A216460" w:rsidR="00B06FD6" w:rsidRPr="00924858" w:rsidRDefault="00B06FD6" w:rsidP="00B06FD6">
      <w:pPr>
        <w:rPr>
          <w:noProof/>
          <w:sz w:val="16"/>
          <w:szCs w:val="16"/>
        </w:rPr>
      </w:pPr>
    </w:p>
    <w:p w14:paraId="22357C5D" w14:textId="78E86A66" w:rsidR="006C615B" w:rsidRPr="00924858" w:rsidRDefault="00F42B39" w:rsidP="00A96741">
      <w:pPr>
        <w:keepNext/>
        <w:keepLines/>
        <w:numPr>
          <w:ilvl w:val="0"/>
          <w:numId w:val="2"/>
        </w:numPr>
        <w:spacing w:after="120" w:line="240" w:lineRule="auto"/>
        <w:jc w:val="both"/>
        <w:outlineLvl w:val="0"/>
        <w:rPr>
          <w:rFonts w:ascii="Times New Roman" w:eastAsia="Times New Roman" w:hAnsi="Times New Roman" w:cs="Times New Roman"/>
          <w:b/>
          <w:bCs/>
          <w:noProof/>
          <w:sz w:val="24"/>
          <w:szCs w:val="24"/>
          <w:lang w:eastAsia="en-GB"/>
        </w:rPr>
      </w:pPr>
      <w:r w:rsidRPr="00924858">
        <w:rPr>
          <w:rFonts w:ascii="Times New Roman" w:eastAsia="Times New Roman" w:hAnsi="Times New Roman" w:cs="Times New Roman"/>
          <w:b/>
          <w:bCs/>
          <w:smallCaps/>
          <w:noProof/>
          <w:sz w:val="24"/>
          <w:szCs w:val="24"/>
          <w:lang w:eastAsia="en-GB"/>
        </w:rPr>
        <w:t>Introduction</w:t>
      </w:r>
    </w:p>
    <w:p w14:paraId="78F0C390" w14:textId="2A9CD160" w:rsidR="006C615B" w:rsidRPr="00924858" w:rsidRDefault="00F42B39" w:rsidP="00852E89">
      <w:pPr>
        <w:keepNext/>
        <w:spacing w:before="120" w:after="120" w:line="240" w:lineRule="auto"/>
        <w:ind w:left="851"/>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Council Regulation (EC) No</w:t>
      </w:r>
      <w:r w:rsidR="00924858">
        <w:rPr>
          <w:rFonts w:ascii="Times New Roman,Calibri" w:eastAsia="Times New Roman,Calibri" w:hAnsi="Times New Roman,Calibri" w:cs="Times New Roman,Calibri"/>
          <w:noProof/>
          <w:sz w:val="24"/>
          <w:szCs w:val="24"/>
          <w:lang w:eastAsia="en-GB"/>
        </w:rPr>
        <w:t> </w:t>
      </w:r>
      <w:r w:rsidRPr="00924858">
        <w:rPr>
          <w:rFonts w:ascii="Times New Roman,Calibri" w:eastAsia="Times New Roman,Calibri" w:hAnsi="Times New Roman,Calibri" w:cs="Times New Roman,Calibri"/>
          <w:noProof/>
          <w:sz w:val="24"/>
          <w:szCs w:val="24"/>
          <w:lang w:eastAsia="en-GB"/>
        </w:rPr>
        <w:t>389/2006</w:t>
      </w:r>
      <w:r w:rsidRPr="00440751">
        <w:rPr>
          <w:rStyle w:val="FootnoteReference"/>
          <w:noProof/>
        </w:rPr>
        <w:footnoteReference w:id="2"/>
      </w:r>
      <w:r w:rsidRPr="00924858">
        <w:rPr>
          <w:rFonts w:ascii="Times New Roman,Calibri" w:eastAsia="Times New Roman,Calibri" w:hAnsi="Times New Roman,Calibri" w:cs="Times New Roman,Calibri"/>
          <w:noProof/>
          <w:sz w:val="24"/>
          <w:szCs w:val="24"/>
          <w:lang w:eastAsia="en-GB"/>
        </w:rPr>
        <w:t xml:space="preserve"> (the </w:t>
      </w:r>
      <w:r w:rsidR="00036827" w:rsidRPr="00924858">
        <w:rPr>
          <w:rFonts w:ascii="Times New Roman,Calibri" w:eastAsia="Times New Roman,Calibri" w:hAnsi="Times New Roman,Calibri" w:cs="Times New Roman,Calibri"/>
          <w:noProof/>
          <w:sz w:val="24"/>
          <w:szCs w:val="24"/>
          <w:lang w:eastAsia="en-GB"/>
        </w:rPr>
        <w:t>Aid Regulation</w:t>
      </w:r>
      <w:r w:rsidRPr="00924858">
        <w:rPr>
          <w:rFonts w:ascii="Times New Roman,Calibri" w:eastAsia="Times New Roman,Calibri" w:hAnsi="Times New Roman,Calibri" w:cs="Times New Roman,Calibri"/>
          <w:noProof/>
          <w:sz w:val="24"/>
          <w:szCs w:val="24"/>
          <w:lang w:eastAsia="en-GB"/>
        </w:rPr>
        <w:t xml:space="preserve">) is the basis for the provision of assistance to the Turkish Cypriot community and requires annual reporting to the </w:t>
      </w:r>
      <w:r w:rsidR="00AA79EC" w:rsidRPr="00924858">
        <w:rPr>
          <w:rFonts w:ascii="Times New Roman,Calibri" w:eastAsia="Times New Roman,Calibri" w:hAnsi="Times New Roman,Calibri" w:cs="Times New Roman,Calibri"/>
          <w:noProof/>
          <w:sz w:val="24"/>
          <w:szCs w:val="24"/>
          <w:lang w:eastAsia="en-GB"/>
        </w:rPr>
        <w:t xml:space="preserve">European Parliament </w:t>
      </w:r>
      <w:r w:rsidRPr="00924858">
        <w:rPr>
          <w:rFonts w:ascii="Times New Roman,Calibri" w:eastAsia="Times New Roman,Calibri" w:hAnsi="Times New Roman,Calibri" w:cs="Times New Roman,Calibri"/>
          <w:noProof/>
          <w:sz w:val="24"/>
          <w:szCs w:val="24"/>
          <w:lang w:eastAsia="en-GB"/>
        </w:rPr>
        <w:t>and the</w:t>
      </w:r>
      <w:r w:rsidR="00AA79EC" w:rsidRPr="00AA79EC">
        <w:rPr>
          <w:rFonts w:ascii="Times New Roman,Calibri" w:eastAsia="Times New Roman,Calibri" w:hAnsi="Times New Roman,Calibri" w:cs="Times New Roman,Calibri"/>
          <w:noProof/>
          <w:sz w:val="24"/>
          <w:szCs w:val="24"/>
          <w:lang w:eastAsia="en-GB"/>
        </w:rPr>
        <w:t xml:space="preserve"> </w:t>
      </w:r>
      <w:r w:rsidR="00AA79EC" w:rsidRPr="00924858">
        <w:rPr>
          <w:rFonts w:ascii="Times New Roman,Calibri" w:eastAsia="Times New Roman,Calibri" w:hAnsi="Times New Roman,Calibri" w:cs="Times New Roman,Calibri"/>
          <w:noProof/>
          <w:sz w:val="24"/>
          <w:szCs w:val="24"/>
          <w:lang w:eastAsia="en-GB"/>
        </w:rPr>
        <w:t>Council</w:t>
      </w:r>
      <w:r w:rsidRPr="00924858">
        <w:rPr>
          <w:rFonts w:ascii="Times New Roman,Calibri" w:eastAsia="Times New Roman,Calibri" w:hAnsi="Times New Roman,Calibri" w:cs="Times New Roman,Calibri"/>
          <w:noProof/>
          <w:sz w:val="24"/>
          <w:szCs w:val="24"/>
          <w:lang w:eastAsia="en-GB"/>
        </w:rPr>
        <w:t>.</w:t>
      </w:r>
    </w:p>
    <w:p w14:paraId="51D1C6BA" w14:textId="77777777" w:rsidR="006C615B" w:rsidRPr="00924858" w:rsidRDefault="00F42B39" w:rsidP="00A96741">
      <w:pPr>
        <w:keepNext/>
        <w:keepLines/>
        <w:numPr>
          <w:ilvl w:val="0"/>
          <w:numId w:val="2"/>
        </w:numPr>
        <w:spacing w:after="120" w:line="240" w:lineRule="auto"/>
        <w:jc w:val="both"/>
        <w:outlineLvl w:val="0"/>
        <w:rPr>
          <w:rFonts w:ascii="Times New Roman" w:eastAsia="Times New Roman" w:hAnsi="Times New Roman" w:cs="Times New Roman"/>
          <w:b/>
          <w:bCs/>
          <w:noProof/>
          <w:sz w:val="24"/>
          <w:szCs w:val="24"/>
          <w:lang w:eastAsia="en-GB"/>
        </w:rPr>
      </w:pPr>
      <w:r w:rsidRPr="00924858">
        <w:rPr>
          <w:rFonts w:ascii="Times New Roman" w:eastAsia="Times New Roman" w:hAnsi="Times New Roman" w:cs="Times New Roman"/>
          <w:b/>
          <w:bCs/>
          <w:smallCaps/>
          <w:noProof/>
          <w:sz w:val="24"/>
          <w:szCs w:val="24"/>
          <w:lang w:eastAsia="en-GB"/>
        </w:rPr>
        <w:t>Programming of the assistance</w:t>
      </w:r>
    </w:p>
    <w:p w14:paraId="2E69968C" w14:textId="52A1E572" w:rsidR="00787D17" w:rsidRPr="00924858" w:rsidRDefault="00F42B39" w:rsidP="00852E89">
      <w:pPr>
        <w:keepNext/>
        <w:spacing w:before="120" w:after="120" w:line="240" w:lineRule="auto"/>
        <w:ind w:left="851"/>
        <w:jc w:val="both"/>
        <w:rPr>
          <w:noProof/>
          <w:color w:val="333333"/>
          <w:sz w:val="27"/>
          <w:szCs w:val="27"/>
        </w:rPr>
      </w:pPr>
      <w:r w:rsidRPr="00924858">
        <w:rPr>
          <w:rFonts w:ascii="Times New Roman,Calibri" w:eastAsia="Times New Roman,Calibri" w:hAnsi="Times New Roman,Calibri" w:cs="Times New Roman,Calibri"/>
          <w:noProof/>
          <w:sz w:val="24"/>
          <w:szCs w:val="24"/>
          <w:lang w:eastAsia="en-GB"/>
        </w:rPr>
        <w:t xml:space="preserve">Between 2006 and the end of </w:t>
      </w:r>
      <w:r w:rsidR="001F4BE7" w:rsidRPr="00924858">
        <w:rPr>
          <w:rFonts w:ascii="Times New Roman,Calibri" w:eastAsia="Times New Roman,Calibri" w:hAnsi="Times New Roman,Calibri" w:cs="Times New Roman,Calibri"/>
          <w:noProof/>
          <w:sz w:val="24"/>
          <w:szCs w:val="24"/>
          <w:lang w:eastAsia="en-GB"/>
        </w:rPr>
        <w:t>2022</w:t>
      </w:r>
      <w:r w:rsidRPr="00924858">
        <w:rPr>
          <w:rFonts w:ascii="Times New Roman,Calibri" w:eastAsia="Times New Roman,Calibri" w:hAnsi="Times New Roman,Calibri" w:cs="Times New Roman,Calibri"/>
          <w:noProof/>
          <w:sz w:val="24"/>
          <w:szCs w:val="24"/>
          <w:lang w:eastAsia="en-GB"/>
        </w:rPr>
        <w:t>, EUR</w:t>
      </w:r>
      <w:r w:rsidR="00924858">
        <w:rPr>
          <w:rFonts w:ascii="Times New Roman,Calibri" w:eastAsia="Times New Roman,Calibri" w:hAnsi="Times New Roman,Calibri" w:cs="Times New Roman,Calibri"/>
          <w:noProof/>
          <w:sz w:val="24"/>
          <w:szCs w:val="24"/>
          <w:lang w:eastAsia="en-GB"/>
        </w:rPr>
        <w:t> </w:t>
      </w:r>
      <w:r w:rsidR="00280C51" w:rsidRPr="00924858">
        <w:rPr>
          <w:rFonts w:ascii="Times New Roman,Calibri" w:eastAsia="Times New Roman,Calibri" w:hAnsi="Times New Roman,Calibri" w:cs="Times New Roman,Calibri"/>
          <w:noProof/>
          <w:sz w:val="24"/>
          <w:szCs w:val="24"/>
          <w:lang w:eastAsia="en-GB"/>
        </w:rPr>
        <w:t xml:space="preserve">656 </w:t>
      </w:r>
      <w:r w:rsidRPr="00924858">
        <w:rPr>
          <w:rFonts w:ascii="Times New Roman,Calibri" w:eastAsia="Times New Roman,Calibri" w:hAnsi="Times New Roman,Calibri" w:cs="Times New Roman,Calibri"/>
          <w:noProof/>
          <w:sz w:val="24"/>
          <w:szCs w:val="24"/>
          <w:lang w:eastAsia="en-GB"/>
        </w:rPr>
        <w:t xml:space="preserve">million </w:t>
      </w:r>
      <w:r w:rsidR="009D7611">
        <w:rPr>
          <w:rFonts w:ascii="Times New Roman,Calibri" w:eastAsia="Times New Roman,Calibri" w:hAnsi="Times New Roman,Calibri" w:cs="Times New Roman,Calibri"/>
          <w:noProof/>
          <w:sz w:val="24"/>
          <w:szCs w:val="24"/>
          <w:lang w:eastAsia="en-GB"/>
        </w:rPr>
        <w:t>was</w:t>
      </w:r>
      <w:r w:rsidR="009D7611" w:rsidRPr="00924858">
        <w:rPr>
          <w:rFonts w:ascii="Times New Roman,Calibri" w:eastAsia="Times New Roman,Calibri" w:hAnsi="Times New Roman,Calibri" w:cs="Times New Roman,Calibri"/>
          <w:noProof/>
          <w:sz w:val="24"/>
          <w:szCs w:val="24"/>
          <w:lang w:eastAsia="en-GB"/>
        </w:rPr>
        <w:t xml:space="preserve"> </w:t>
      </w:r>
      <w:r w:rsidRPr="00924858">
        <w:rPr>
          <w:rFonts w:ascii="Times New Roman,Calibri" w:eastAsia="Times New Roman,Calibri" w:hAnsi="Times New Roman,Calibri" w:cs="Times New Roman,Calibri"/>
          <w:noProof/>
          <w:sz w:val="24"/>
          <w:szCs w:val="24"/>
          <w:lang w:eastAsia="en-GB"/>
        </w:rPr>
        <w:t xml:space="preserve">programmed for operations under the Aid Regulation. The amount committed in </w:t>
      </w:r>
      <w:r w:rsidR="00280C51" w:rsidRPr="00924858">
        <w:rPr>
          <w:rFonts w:ascii="Times New Roman,Calibri" w:eastAsia="Times New Roman,Calibri" w:hAnsi="Times New Roman,Calibri" w:cs="Times New Roman,Calibri"/>
          <w:noProof/>
          <w:sz w:val="24"/>
          <w:szCs w:val="24"/>
          <w:lang w:eastAsia="en-GB"/>
        </w:rPr>
        <w:t xml:space="preserve">October </w:t>
      </w:r>
      <w:r w:rsidR="001F4BE7" w:rsidRPr="00924858">
        <w:rPr>
          <w:rFonts w:ascii="Times New Roman,Calibri" w:eastAsia="Times New Roman,Calibri" w:hAnsi="Times New Roman,Calibri" w:cs="Times New Roman,Calibri"/>
          <w:noProof/>
          <w:sz w:val="24"/>
          <w:szCs w:val="24"/>
          <w:lang w:eastAsia="en-GB"/>
        </w:rPr>
        <w:t>2022</w:t>
      </w:r>
      <w:r w:rsidRPr="00924858">
        <w:rPr>
          <w:rFonts w:ascii="Times New Roman,Calibri" w:eastAsia="Times New Roman,Calibri" w:hAnsi="Times New Roman,Calibri" w:cs="Times New Roman,Calibri"/>
          <w:noProof/>
          <w:sz w:val="24"/>
          <w:szCs w:val="24"/>
          <w:lang w:eastAsia="en-GB"/>
        </w:rPr>
        <w:t xml:space="preserve"> for the </w:t>
      </w:r>
      <w:r w:rsidR="001F4BE7" w:rsidRPr="00924858">
        <w:rPr>
          <w:rFonts w:ascii="Times New Roman,Calibri" w:eastAsia="Times New Roman,Calibri" w:hAnsi="Times New Roman,Calibri" w:cs="Times New Roman,Calibri"/>
          <w:noProof/>
          <w:sz w:val="24"/>
          <w:szCs w:val="24"/>
          <w:lang w:eastAsia="en-GB"/>
        </w:rPr>
        <w:t>2022</w:t>
      </w:r>
      <w:r w:rsidRPr="00924858">
        <w:rPr>
          <w:rFonts w:ascii="Times New Roman,Calibri" w:eastAsia="Times New Roman,Calibri" w:hAnsi="Times New Roman,Calibri" w:cs="Times New Roman,Calibri"/>
          <w:noProof/>
          <w:sz w:val="24"/>
          <w:szCs w:val="24"/>
          <w:lang w:eastAsia="en-GB"/>
        </w:rPr>
        <w:t xml:space="preserve"> annual action programme was EUR</w:t>
      </w:r>
      <w:r w:rsidR="00924858">
        <w:rPr>
          <w:rFonts w:ascii="Times New Roman,Calibri" w:eastAsia="Times New Roman,Calibri" w:hAnsi="Times New Roman,Calibri" w:cs="Times New Roman,Calibri"/>
          <w:noProof/>
          <w:sz w:val="24"/>
          <w:szCs w:val="24"/>
          <w:lang w:eastAsia="en-GB"/>
        </w:rPr>
        <w:t> </w:t>
      </w:r>
      <w:r w:rsidR="00B232A2" w:rsidRPr="00924858">
        <w:rPr>
          <w:rFonts w:ascii="Times New Roman,Calibri" w:eastAsia="Times New Roman,Calibri" w:hAnsi="Times New Roman,Calibri" w:cs="Times New Roman,Calibri"/>
          <w:noProof/>
          <w:sz w:val="24"/>
          <w:szCs w:val="24"/>
          <w:lang w:eastAsia="en-GB"/>
        </w:rPr>
        <w:t>33.4</w:t>
      </w:r>
      <w:r w:rsidRPr="00924858">
        <w:rPr>
          <w:rFonts w:ascii="Times New Roman,Calibri" w:eastAsia="Times New Roman,Calibri" w:hAnsi="Times New Roman,Calibri" w:cs="Times New Roman,Calibri"/>
          <w:noProof/>
          <w:sz w:val="24"/>
          <w:szCs w:val="24"/>
          <w:lang w:eastAsia="en-GB"/>
        </w:rPr>
        <w:t xml:space="preserve"> million</w:t>
      </w:r>
      <w:r w:rsidRPr="00440751">
        <w:rPr>
          <w:rStyle w:val="FootnoteReference"/>
          <w:noProof/>
        </w:rPr>
        <w:footnoteReference w:id="3"/>
      </w:r>
      <w:r w:rsidRPr="00924858">
        <w:rPr>
          <w:rFonts w:ascii="Times New Roman,Calibri" w:eastAsia="Times New Roman,Calibri" w:hAnsi="Times New Roman,Calibri" w:cs="Times New Roman,Calibri"/>
          <w:noProof/>
          <w:sz w:val="24"/>
          <w:szCs w:val="24"/>
          <w:lang w:eastAsia="en-GB"/>
        </w:rPr>
        <w:t xml:space="preserve">. The </w:t>
      </w:r>
      <w:r w:rsidR="009D7611">
        <w:rPr>
          <w:rFonts w:ascii="Times New Roman,Calibri" w:eastAsia="Times New Roman,Calibri" w:hAnsi="Times New Roman,Calibri" w:cs="Times New Roman,Calibri"/>
          <w:noProof/>
          <w:sz w:val="24"/>
          <w:szCs w:val="24"/>
          <w:lang w:eastAsia="en-GB"/>
        </w:rPr>
        <w:t>m</w:t>
      </w:r>
      <w:r w:rsidRPr="00924858">
        <w:rPr>
          <w:rFonts w:ascii="Times New Roman,Calibri" w:eastAsia="Times New Roman,Calibri" w:hAnsi="Times New Roman,Calibri" w:cs="Times New Roman,Calibri"/>
          <w:noProof/>
          <w:sz w:val="24"/>
          <w:szCs w:val="24"/>
          <w:lang w:eastAsia="en-GB"/>
        </w:rPr>
        <w:t xml:space="preserve">ultiannual </w:t>
      </w:r>
      <w:r w:rsidR="009D7611">
        <w:rPr>
          <w:rFonts w:ascii="Times New Roman,Calibri" w:eastAsia="Times New Roman,Calibri" w:hAnsi="Times New Roman,Calibri" w:cs="Times New Roman,Calibri"/>
          <w:noProof/>
          <w:sz w:val="24"/>
          <w:szCs w:val="24"/>
          <w:lang w:eastAsia="en-GB"/>
        </w:rPr>
        <w:t>f</w:t>
      </w:r>
      <w:r w:rsidRPr="00924858">
        <w:rPr>
          <w:rFonts w:ascii="Times New Roman,Calibri" w:eastAsia="Times New Roman,Calibri" w:hAnsi="Times New Roman,Calibri" w:cs="Times New Roman,Calibri"/>
          <w:noProof/>
          <w:sz w:val="24"/>
          <w:szCs w:val="24"/>
          <w:lang w:eastAsia="en-GB"/>
        </w:rPr>
        <w:t xml:space="preserve">inancial </w:t>
      </w:r>
      <w:r w:rsidR="009D7611">
        <w:rPr>
          <w:rFonts w:ascii="Times New Roman,Calibri" w:eastAsia="Times New Roman,Calibri" w:hAnsi="Times New Roman,Calibri" w:cs="Times New Roman,Calibri"/>
          <w:noProof/>
          <w:sz w:val="24"/>
          <w:szCs w:val="24"/>
          <w:lang w:eastAsia="en-GB"/>
        </w:rPr>
        <w:t>f</w:t>
      </w:r>
      <w:r w:rsidRPr="00924858">
        <w:rPr>
          <w:rFonts w:ascii="Times New Roman,Calibri" w:eastAsia="Times New Roman,Calibri" w:hAnsi="Times New Roman,Calibri" w:cs="Times New Roman,Calibri"/>
          <w:noProof/>
          <w:sz w:val="24"/>
          <w:szCs w:val="24"/>
          <w:lang w:eastAsia="en-GB"/>
        </w:rPr>
        <w:t xml:space="preserve">ramework </w:t>
      </w:r>
      <w:r w:rsidR="00426534" w:rsidRPr="00924858">
        <w:rPr>
          <w:rFonts w:ascii="Times New Roman,Calibri" w:eastAsia="Times New Roman,Calibri" w:hAnsi="Times New Roman,Calibri" w:cs="Times New Roman,Calibri"/>
          <w:noProof/>
          <w:sz w:val="24"/>
          <w:szCs w:val="24"/>
          <w:lang w:eastAsia="en-GB"/>
        </w:rPr>
        <w:t>2021</w:t>
      </w:r>
      <w:r w:rsidRPr="00924858">
        <w:rPr>
          <w:rFonts w:ascii="Times New Roman,Calibri" w:eastAsia="Times New Roman,Calibri" w:hAnsi="Times New Roman,Calibri" w:cs="Times New Roman,Calibri"/>
          <w:noProof/>
          <w:sz w:val="24"/>
          <w:szCs w:val="24"/>
          <w:lang w:eastAsia="en-GB"/>
        </w:rPr>
        <w:t>-202</w:t>
      </w:r>
      <w:r w:rsidR="00426534" w:rsidRPr="00924858">
        <w:rPr>
          <w:rFonts w:ascii="Times New Roman,Calibri" w:eastAsia="Times New Roman,Calibri" w:hAnsi="Times New Roman,Calibri" w:cs="Times New Roman,Calibri"/>
          <w:noProof/>
          <w:sz w:val="24"/>
          <w:szCs w:val="24"/>
          <w:lang w:eastAsia="en-GB"/>
        </w:rPr>
        <w:t>7</w:t>
      </w:r>
      <w:r w:rsidRPr="00924858">
        <w:rPr>
          <w:rFonts w:ascii="Times New Roman,Calibri" w:eastAsia="Times New Roman,Calibri" w:hAnsi="Times New Roman,Calibri" w:cs="Times New Roman,Calibri"/>
          <w:noProof/>
          <w:sz w:val="24"/>
          <w:szCs w:val="24"/>
          <w:lang w:eastAsia="en-GB"/>
        </w:rPr>
        <w:t xml:space="preserve"> has provided a </w:t>
      </w:r>
      <w:r w:rsidR="00924858">
        <w:rPr>
          <w:rFonts w:ascii="Times New Roman,Calibri" w:eastAsia="Times New Roman,Calibri" w:hAnsi="Times New Roman,Calibri" w:cs="Times New Roman,Calibri"/>
          <w:noProof/>
          <w:sz w:val="24"/>
          <w:szCs w:val="24"/>
          <w:lang w:eastAsia="en-GB"/>
        </w:rPr>
        <w:t>multiannual</w:t>
      </w:r>
      <w:r w:rsidRPr="00924858">
        <w:rPr>
          <w:rFonts w:ascii="Times New Roman,Calibri" w:eastAsia="Times New Roman,Calibri" w:hAnsi="Times New Roman,Calibri" w:cs="Times New Roman,Calibri"/>
          <w:noProof/>
          <w:sz w:val="24"/>
          <w:szCs w:val="24"/>
          <w:lang w:eastAsia="en-GB"/>
        </w:rPr>
        <w:t xml:space="preserve"> perspective to the programme with a provision for stable, annual funding. The assistance programme is, however, </w:t>
      </w:r>
      <w:r w:rsidR="00787D17" w:rsidRPr="00924858">
        <w:rPr>
          <w:rFonts w:ascii="Times New Roman,Calibri" w:eastAsia="Times New Roman,Calibri" w:hAnsi="Times New Roman,Calibri" w:cs="Times New Roman,Calibri"/>
          <w:noProof/>
          <w:sz w:val="24"/>
          <w:szCs w:val="24"/>
          <w:lang w:eastAsia="en-GB"/>
        </w:rPr>
        <w:t xml:space="preserve">of an exceptional </w:t>
      </w:r>
      <w:r w:rsidR="00C741D5" w:rsidRPr="00924858">
        <w:rPr>
          <w:rFonts w:ascii="Times New Roman,Calibri" w:eastAsia="Times New Roman,Calibri" w:hAnsi="Times New Roman,Calibri" w:cs="Times New Roman,Calibri"/>
          <w:noProof/>
          <w:sz w:val="24"/>
          <w:szCs w:val="24"/>
          <w:lang w:eastAsia="en-GB"/>
        </w:rPr>
        <w:t>and transitional</w:t>
      </w:r>
      <w:r w:rsidRPr="00924858">
        <w:rPr>
          <w:rFonts w:ascii="Times New Roman,Calibri" w:eastAsia="Times New Roman,Calibri" w:hAnsi="Times New Roman,Calibri" w:cs="Times New Roman,Calibri"/>
          <w:noProof/>
          <w:sz w:val="24"/>
          <w:szCs w:val="24"/>
          <w:lang w:eastAsia="en-GB"/>
        </w:rPr>
        <w:t xml:space="preserve"> nature, aiming to </w:t>
      </w:r>
      <w:r w:rsidR="00787D17" w:rsidRPr="00924858">
        <w:rPr>
          <w:rFonts w:ascii="Times New Roman,Calibri" w:eastAsia="Times New Roman,Calibri" w:hAnsi="Times New Roman,Calibri" w:cs="Times New Roman,Calibri"/>
          <w:noProof/>
          <w:sz w:val="24"/>
          <w:szCs w:val="24"/>
          <w:lang w:eastAsia="en-GB"/>
        </w:rPr>
        <w:t xml:space="preserve">prepare and </w:t>
      </w:r>
      <w:r w:rsidRPr="00924858">
        <w:rPr>
          <w:rFonts w:ascii="Times New Roman,Calibri" w:eastAsia="Times New Roman,Calibri" w:hAnsi="Times New Roman,Calibri" w:cs="Times New Roman,Calibri"/>
          <w:noProof/>
          <w:sz w:val="24"/>
          <w:szCs w:val="24"/>
          <w:lang w:eastAsia="en-GB"/>
        </w:rPr>
        <w:t>facilitate</w:t>
      </w:r>
      <w:r w:rsidR="00787D17" w:rsidRPr="00924858">
        <w:rPr>
          <w:rFonts w:ascii="Times New Roman,Calibri" w:eastAsia="Times New Roman,Calibri" w:hAnsi="Times New Roman,Calibri" w:cs="Times New Roman,Calibri"/>
          <w:noProof/>
          <w:sz w:val="24"/>
          <w:szCs w:val="24"/>
          <w:lang w:eastAsia="en-GB"/>
        </w:rPr>
        <w:t xml:space="preserve">, as appropriate, the full application of the </w:t>
      </w:r>
      <w:r w:rsidR="00924858">
        <w:rPr>
          <w:rFonts w:ascii="Times New Roman,Calibri" w:eastAsia="Times New Roman,Calibri" w:hAnsi="Times New Roman,Calibri" w:cs="Times New Roman,Calibri"/>
          <w:i/>
          <w:noProof/>
          <w:sz w:val="24"/>
          <w:szCs w:val="24"/>
          <w:lang w:eastAsia="en-GB"/>
        </w:rPr>
        <w:t>acquis</w:t>
      </w:r>
      <w:r w:rsidR="00787D17" w:rsidRPr="00924858">
        <w:rPr>
          <w:rFonts w:ascii="Times New Roman,Calibri" w:eastAsia="Times New Roman,Calibri" w:hAnsi="Times New Roman,Calibri" w:cs="Times New Roman,Calibri"/>
          <w:noProof/>
          <w:sz w:val="24"/>
          <w:szCs w:val="24"/>
          <w:lang w:eastAsia="en-GB"/>
        </w:rPr>
        <w:t xml:space="preserve"> in the areas </w:t>
      </w:r>
      <w:r w:rsidR="00C741D5" w:rsidRPr="00924858">
        <w:rPr>
          <w:rFonts w:ascii="Times New Roman,Calibri" w:eastAsia="Times New Roman,Calibri" w:hAnsi="Times New Roman,Calibri" w:cs="Times New Roman,Calibri"/>
          <w:noProof/>
          <w:sz w:val="24"/>
          <w:szCs w:val="24"/>
          <w:lang w:eastAsia="en-GB"/>
        </w:rPr>
        <w:t xml:space="preserve">of the Republic of Cyprus in which the Government of the Republic of Cyprus does not exercise effective control </w:t>
      </w:r>
      <w:r w:rsidR="00787D17" w:rsidRPr="00924858">
        <w:rPr>
          <w:rFonts w:ascii="Times New Roman,Calibri" w:eastAsia="Times New Roman,Calibri" w:hAnsi="Times New Roman,Calibri" w:cs="Times New Roman,Calibri"/>
          <w:noProof/>
          <w:sz w:val="24"/>
          <w:szCs w:val="24"/>
          <w:lang w:eastAsia="en-GB"/>
        </w:rPr>
        <w:t>following a solution to the</w:t>
      </w:r>
      <w:r w:rsidR="00852E89" w:rsidRPr="00924858">
        <w:rPr>
          <w:rFonts w:ascii="Times New Roman,Calibri" w:eastAsia="Times New Roman,Calibri" w:hAnsi="Times New Roman,Calibri" w:cs="Times New Roman,Calibri"/>
          <w:noProof/>
          <w:sz w:val="24"/>
          <w:szCs w:val="24"/>
          <w:lang w:eastAsia="en-GB"/>
        </w:rPr>
        <w:t xml:space="preserve"> Cyprus problem</w:t>
      </w:r>
      <w:r w:rsidR="004138B6">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 xml:space="preserve"> </w:t>
      </w:r>
      <w:r w:rsidR="004138B6">
        <w:rPr>
          <w:rFonts w:ascii="Times New Roman,Calibri" w:eastAsia="Times New Roman,Calibri" w:hAnsi="Times New Roman,Calibri" w:cs="Times New Roman,Calibri"/>
          <w:noProof/>
          <w:sz w:val="24"/>
          <w:szCs w:val="24"/>
          <w:lang w:eastAsia="en-GB"/>
        </w:rPr>
        <w:t>B</w:t>
      </w:r>
      <w:r w:rsidRPr="00924858">
        <w:rPr>
          <w:rFonts w:ascii="Times New Roman,Calibri" w:eastAsia="Times New Roman,Calibri" w:hAnsi="Times New Roman,Calibri" w:cs="Times New Roman,Calibri"/>
          <w:noProof/>
          <w:sz w:val="24"/>
          <w:szCs w:val="24"/>
          <w:lang w:eastAsia="en-GB"/>
        </w:rPr>
        <w:t>oth the Aid Regulation and Council Regulation No</w:t>
      </w:r>
      <w:r w:rsidR="00924858">
        <w:rPr>
          <w:rFonts w:ascii="Times New Roman,Calibri" w:eastAsia="Times New Roman,Calibri" w:hAnsi="Times New Roman,Calibri" w:cs="Times New Roman,Calibri"/>
          <w:noProof/>
          <w:sz w:val="24"/>
          <w:szCs w:val="24"/>
          <w:lang w:eastAsia="en-GB"/>
        </w:rPr>
        <w:t> </w:t>
      </w:r>
      <w:r w:rsidR="0006637A" w:rsidRPr="00924858">
        <w:rPr>
          <w:rFonts w:ascii="Times New Roman,Calibri" w:eastAsia="Times New Roman,Calibri" w:hAnsi="Times New Roman,Calibri" w:cs="Times New Roman,Calibri"/>
          <w:noProof/>
          <w:sz w:val="24"/>
          <w:szCs w:val="24"/>
          <w:lang w:eastAsia="en-GB"/>
        </w:rPr>
        <w:t>2020/2093</w:t>
      </w:r>
      <w:r w:rsidRPr="00440751">
        <w:rPr>
          <w:rStyle w:val="FootnoteReference"/>
          <w:noProof/>
        </w:rPr>
        <w:footnoteReference w:id="4"/>
      </w:r>
      <w:r w:rsidRPr="00924858">
        <w:rPr>
          <w:rFonts w:ascii="Times New Roman,Calibri" w:eastAsia="Times New Roman,Calibri" w:hAnsi="Times New Roman,Calibri" w:cs="Times New Roman,Calibri"/>
          <w:noProof/>
          <w:sz w:val="24"/>
          <w:szCs w:val="24"/>
          <w:lang w:eastAsia="en-GB"/>
        </w:rPr>
        <w:t xml:space="preserve"> laying down the </w:t>
      </w:r>
      <w:r w:rsidR="00AA79EC" w:rsidRPr="00AA79EC">
        <w:rPr>
          <w:rFonts w:ascii="Times New Roman,Calibri" w:eastAsia="Times New Roman,Calibri" w:hAnsi="Times New Roman,Calibri" w:cs="Times New Roman,Calibri"/>
          <w:noProof/>
          <w:sz w:val="24"/>
          <w:szCs w:val="24"/>
          <w:lang w:eastAsia="en-GB"/>
        </w:rPr>
        <w:t xml:space="preserve">multiannual financial framework </w:t>
      </w:r>
      <w:r w:rsidRPr="00924858">
        <w:rPr>
          <w:rFonts w:ascii="Times New Roman,Calibri" w:eastAsia="Times New Roman,Calibri" w:hAnsi="Times New Roman,Calibri" w:cs="Times New Roman,Calibri"/>
          <w:noProof/>
          <w:sz w:val="24"/>
          <w:szCs w:val="24"/>
          <w:lang w:eastAsia="en-GB"/>
        </w:rPr>
        <w:t xml:space="preserve">have </w:t>
      </w:r>
      <w:r w:rsidR="004138B6">
        <w:rPr>
          <w:rFonts w:ascii="Times New Roman,Calibri" w:eastAsia="Times New Roman,Calibri" w:hAnsi="Times New Roman,Calibri" w:cs="Times New Roman,Calibri"/>
          <w:noProof/>
          <w:sz w:val="24"/>
          <w:szCs w:val="24"/>
          <w:lang w:eastAsia="en-GB"/>
        </w:rPr>
        <w:t>provided</w:t>
      </w:r>
      <w:r w:rsidR="004138B6" w:rsidRPr="00924858">
        <w:rPr>
          <w:rFonts w:ascii="Times New Roman,Calibri" w:eastAsia="Times New Roman,Calibri" w:hAnsi="Times New Roman,Calibri" w:cs="Times New Roman,Calibri"/>
          <w:noProof/>
          <w:sz w:val="24"/>
          <w:szCs w:val="24"/>
          <w:lang w:eastAsia="en-GB"/>
        </w:rPr>
        <w:t xml:space="preserve"> </w:t>
      </w:r>
      <w:r w:rsidRPr="00924858">
        <w:rPr>
          <w:rFonts w:ascii="Times New Roman,Calibri" w:eastAsia="Times New Roman,Calibri" w:hAnsi="Times New Roman,Calibri" w:cs="Times New Roman,Calibri"/>
          <w:noProof/>
          <w:sz w:val="24"/>
          <w:szCs w:val="24"/>
          <w:lang w:eastAsia="en-GB"/>
        </w:rPr>
        <w:t xml:space="preserve">for a revision in </w:t>
      </w:r>
      <w:r w:rsidR="009D7611">
        <w:rPr>
          <w:rFonts w:ascii="Times New Roman,Calibri" w:eastAsia="Times New Roman,Calibri" w:hAnsi="Times New Roman,Calibri" w:cs="Times New Roman,Calibri"/>
          <w:noProof/>
          <w:sz w:val="24"/>
          <w:szCs w:val="24"/>
          <w:lang w:eastAsia="en-GB"/>
        </w:rPr>
        <w:t xml:space="preserve">the </w:t>
      </w:r>
      <w:r w:rsidRPr="00924858">
        <w:rPr>
          <w:rFonts w:ascii="Times New Roman,Calibri" w:eastAsia="Times New Roman,Calibri" w:hAnsi="Times New Roman,Calibri" w:cs="Times New Roman,Calibri"/>
          <w:noProof/>
          <w:sz w:val="24"/>
          <w:szCs w:val="24"/>
          <w:lang w:eastAsia="en-GB"/>
        </w:rPr>
        <w:t>case of reunification.</w:t>
      </w:r>
    </w:p>
    <w:p w14:paraId="26484BB6" w14:textId="638DAE49" w:rsidR="006C615B" w:rsidRPr="00924858" w:rsidRDefault="00F42B39" w:rsidP="00852E89">
      <w:pPr>
        <w:keepNext/>
        <w:keepLines/>
        <w:numPr>
          <w:ilvl w:val="0"/>
          <w:numId w:val="2"/>
        </w:numPr>
        <w:spacing w:after="120" w:line="240" w:lineRule="auto"/>
        <w:jc w:val="both"/>
        <w:outlineLvl w:val="0"/>
        <w:rPr>
          <w:rFonts w:ascii="Times New Roman" w:eastAsia="Times New Roman" w:hAnsi="Times New Roman" w:cs="Times New Roman"/>
          <w:b/>
          <w:bCs/>
          <w:smallCaps/>
          <w:noProof/>
          <w:sz w:val="24"/>
          <w:szCs w:val="24"/>
          <w:lang w:eastAsia="en-GB"/>
        </w:rPr>
      </w:pPr>
      <w:r w:rsidRPr="00924858">
        <w:rPr>
          <w:rFonts w:ascii="Times New Roman" w:eastAsia="Times New Roman" w:hAnsi="Times New Roman" w:cs="Times New Roman"/>
          <w:b/>
          <w:bCs/>
          <w:smallCaps/>
          <w:noProof/>
          <w:sz w:val="24"/>
          <w:szCs w:val="24"/>
          <w:lang w:eastAsia="en-GB"/>
        </w:rPr>
        <w:t>Implementation mechanisms</w:t>
      </w:r>
    </w:p>
    <w:p w14:paraId="3E8D5CB5" w14:textId="15A17F38" w:rsidR="006C615B" w:rsidRPr="00924858" w:rsidRDefault="00F42B39">
      <w:pPr>
        <w:keepNext/>
        <w:spacing w:before="120" w:after="120" w:line="240" w:lineRule="auto"/>
        <w:ind w:left="851"/>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The programme is implemented in the areas of the Republic of Cyprus in which the Government of the Republic of Cyprus does not exercise effective control and where the application of the </w:t>
      </w:r>
      <w:r w:rsidR="00924858">
        <w:rPr>
          <w:rFonts w:ascii="Times New Roman,Calibri" w:eastAsia="Times New Roman,Calibri" w:hAnsi="Times New Roman,Calibri" w:cs="Times New Roman,Calibri"/>
          <w:i/>
          <w:iCs/>
          <w:noProof/>
          <w:sz w:val="24"/>
          <w:szCs w:val="24"/>
          <w:lang w:eastAsia="en-GB"/>
        </w:rPr>
        <w:t>acquis</w:t>
      </w:r>
      <w:r w:rsidRPr="00924858">
        <w:rPr>
          <w:rFonts w:ascii="Times New Roman,Calibri" w:eastAsia="Times New Roman,Calibri" w:hAnsi="Times New Roman,Calibri" w:cs="Times New Roman,Calibri"/>
          <w:i/>
          <w:iCs/>
          <w:noProof/>
          <w:sz w:val="24"/>
          <w:szCs w:val="24"/>
          <w:lang w:eastAsia="en-GB"/>
        </w:rPr>
        <w:t xml:space="preserve"> </w:t>
      </w:r>
      <w:r w:rsidRPr="00924858">
        <w:rPr>
          <w:rFonts w:ascii="Times New Roman,Calibri" w:eastAsia="Times New Roman,Calibri" w:hAnsi="Times New Roman,Calibri" w:cs="Times New Roman,Calibri"/>
          <w:noProof/>
          <w:sz w:val="24"/>
          <w:szCs w:val="24"/>
          <w:lang w:eastAsia="en-GB"/>
        </w:rPr>
        <w:t>is temporarily suspended pursuant to Protocol 10 of the Treaty of Accession. Assistance is implemented in direct and indirect management.</w:t>
      </w:r>
    </w:p>
    <w:p w14:paraId="502A728E" w14:textId="4F7B46CB" w:rsidR="006C615B" w:rsidRPr="00924858" w:rsidRDefault="00F42B39">
      <w:pPr>
        <w:keepNext/>
        <w:spacing w:before="120" w:after="120" w:line="240" w:lineRule="auto"/>
        <w:ind w:left="850"/>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The Commission operates in a </w:t>
      </w:r>
      <w:r w:rsidRPr="00924858">
        <w:rPr>
          <w:rFonts w:ascii="Times New Roman" w:eastAsia="Times New Roman,Calibri" w:hAnsi="Times New Roman" w:cs="Times New Roman"/>
          <w:noProof/>
          <w:sz w:val="24"/>
          <w:szCs w:val="24"/>
          <w:lang w:eastAsia="en-GB"/>
        </w:rPr>
        <w:t xml:space="preserve">unique political, legal and diplomatic context. </w:t>
      </w:r>
      <w:r w:rsidR="001A5F18" w:rsidRPr="00924858">
        <w:rPr>
          <w:rFonts w:ascii="Times New Roman" w:hAnsi="Times New Roman" w:cs="Times New Roman"/>
          <w:noProof/>
          <w:sz w:val="24"/>
          <w:szCs w:val="24"/>
          <w:shd w:val="clear" w:color="auto" w:fill="FFFFFF"/>
        </w:rPr>
        <w:t xml:space="preserve">The granting of such assistance </w:t>
      </w:r>
      <w:r w:rsidR="00A01573">
        <w:rPr>
          <w:rFonts w:ascii="Times New Roman" w:hAnsi="Times New Roman" w:cs="Times New Roman"/>
          <w:noProof/>
          <w:sz w:val="24"/>
          <w:szCs w:val="24"/>
          <w:shd w:val="clear" w:color="auto" w:fill="FFFFFF"/>
        </w:rPr>
        <w:t>does</w:t>
      </w:r>
      <w:r w:rsidR="00A01573" w:rsidRPr="00924858">
        <w:rPr>
          <w:rFonts w:ascii="Times New Roman" w:hAnsi="Times New Roman" w:cs="Times New Roman"/>
          <w:noProof/>
          <w:sz w:val="24"/>
          <w:szCs w:val="24"/>
          <w:shd w:val="clear" w:color="auto" w:fill="FFFFFF"/>
        </w:rPr>
        <w:t xml:space="preserve"> </w:t>
      </w:r>
      <w:r w:rsidR="001A5F18" w:rsidRPr="00924858">
        <w:rPr>
          <w:rFonts w:ascii="Times New Roman" w:hAnsi="Times New Roman" w:cs="Times New Roman"/>
          <w:noProof/>
          <w:sz w:val="24"/>
          <w:szCs w:val="24"/>
          <w:shd w:val="clear" w:color="auto" w:fill="FFFFFF"/>
        </w:rPr>
        <w:t>not imply recognition of any authority in the areas other than the Government of the Republic of Cyprus.</w:t>
      </w:r>
      <w:r w:rsidR="00852E89" w:rsidRPr="00924858">
        <w:rPr>
          <w:rFonts w:ascii="Times New Roman" w:hAnsi="Times New Roman" w:cs="Times New Roman"/>
          <w:noProof/>
          <w:sz w:val="24"/>
          <w:szCs w:val="24"/>
          <w:shd w:val="clear" w:color="auto" w:fill="FFFFFF"/>
        </w:rPr>
        <w:t xml:space="preserve"> </w:t>
      </w:r>
      <w:r w:rsidRPr="00924858">
        <w:rPr>
          <w:rFonts w:ascii="Times New Roman" w:hAnsi="Times New Roman" w:cs="Times New Roman"/>
          <w:noProof/>
          <w:sz w:val="24"/>
          <w:szCs w:val="24"/>
        </w:rPr>
        <w:t>Ad hoc</w:t>
      </w:r>
      <w:r w:rsidRPr="00924858">
        <w:rPr>
          <w:rFonts w:ascii="Times New Roman" w:eastAsia="Times New Roman,Calibri" w:hAnsi="Times New Roman" w:cs="Times New Roman"/>
          <w:noProof/>
          <w:sz w:val="24"/>
          <w:szCs w:val="24"/>
          <w:lang w:eastAsia="en-GB"/>
        </w:rPr>
        <w:t xml:space="preserve"> arrangements are needed to implement the programme while respecting the </w:t>
      </w:r>
      <w:r w:rsidRPr="00A01573">
        <w:rPr>
          <w:rFonts w:ascii="Times New Roman" w:eastAsia="Times New Roman,Calibri" w:hAnsi="Times New Roman" w:cs="Times New Roman"/>
          <w:noProof/>
          <w:sz w:val="24"/>
          <w:szCs w:val="24"/>
          <w:lang w:eastAsia="en-GB"/>
        </w:rPr>
        <w:t>principle</w:t>
      </w:r>
      <w:r w:rsidRPr="00924858">
        <w:rPr>
          <w:rFonts w:ascii="Times New Roman" w:eastAsia="Times New Roman,Calibri" w:hAnsi="Times New Roman" w:cs="Times New Roman"/>
          <w:noProof/>
          <w:sz w:val="24"/>
          <w:szCs w:val="24"/>
          <w:lang w:eastAsia="en-GB"/>
        </w:rPr>
        <w:t>s</w:t>
      </w:r>
      <w:r w:rsidRPr="00924858">
        <w:rPr>
          <w:rFonts w:ascii="Times New Roman,Calibri" w:eastAsia="Times New Roman,Calibri" w:hAnsi="Times New Roman,Calibri" w:cs="Times New Roman,Calibri"/>
          <w:noProof/>
          <w:sz w:val="24"/>
          <w:szCs w:val="24"/>
          <w:lang w:eastAsia="en-GB"/>
        </w:rPr>
        <w:t xml:space="preserve"> of sound financial management. In EU-funded aid programmes, in normal circumstances, agreements with a beneficiary government would establish the legal framework for the development of the assistance. No such agreements can be made for the assistance to the </w:t>
      </w:r>
      <w:r w:rsidR="00CC536D" w:rsidRPr="00924858">
        <w:rPr>
          <w:rFonts w:ascii="Times New Roman,Calibri" w:eastAsia="Times New Roman,Calibri" w:hAnsi="Times New Roman,Calibri" w:cs="Times New Roman,Calibri"/>
          <w:noProof/>
          <w:sz w:val="24"/>
          <w:szCs w:val="24"/>
          <w:lang w:eastAsia="en-GB"/>
        </w:rPr>
        <w:t>Turkish Cypriot community</w:t>
      </w:r>
      <w:r w:rsidRPr="00924858">
        <w:rPr>
          <w:rFonts w:ascii="Times New Roman,Calibri" w:eastAsia="Times New Roman,Calibri" w:hAnsi="Times New Roman,Calibri" w:cs="Times New Roman,Calibri"/>
          <w:noProof/>
          <w:sz w:val="24"/>
          <w:szCs w:val="24"/>
          <w:lang w:eastAsia="en-GB"/>
        </w:rPr>
        <w:t>. Management and mitigation of the inherent risk is part of the Commission</w:t>
      </w:r>
      <w:r w:rsidR="00924858">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s responsibility</w:t>
      </w:r>
      <w:r w:rsidR="004138B6">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 xml:space="preserve"> </w:t>
      </w:r>
      <w:r w:rsidR="004138B6">
        <w:rPr>
          <w:rFonts w:ascii="Times New Roman,Calibri" w:eastAsia="Times New Roman,Calibri" w:hAnsi="Times New Roman,Calibri" w:cs="Times New Roman,Calibri"/>
          <w:noProof/>
          <w:sz w:val="24"/>
          <w:szCs w:val="24"/>
          <w:lang w:eastAsia="en-GB"/>
        </w:rPr>
        <w:t>M</w:t>
      </w:r>
      <w:r w:rsidRPr="00924858">
        <w:rPr>
          <w:rFonts w:ascii="Times New Roman,Calibri" w:eastAsia="Times New Roman,Calibri" w:hAnsi="Times New Roman,Calibri" w:cs="Times New Roman,Calibri"/>
          <w:noProof/>
          <w:sz w:val="24"/>
          <w:szCs w:val="24"/>
          <w:lang w:eastAsia="en-GB"/>
        </w:rPr>
        <w:t xml:space="preserve">easures adopted include intensive monitoring </w:t>
      </w:r>
      <w:r w:rsidRPr="00924858">
        <w:rPr>
          <w:rFonts w:ascii="Times New Roman" w:eastAsia="Times New Roman" w:hAnsi="Times New Roman" w:cs="Times New Roman"/>
          <w:noProof/>
          <w:sz w:val="24"/>
          <w:szCs w:val="24"/>
          <w:lang w:eastAsia="en-GB"/>
        </w:rPr>
        <w:t xml:space="preserve">of contracts and </w:t>
      </w:r>
      <w:r w:rsidRPr="00924858">
        <w:rPr>
          <w:rFonts w:ascii="Times New Roman,Calibri" w:eastAsia="Times New Roman,Calibri" w:hAnsi="Times New Roman,Calibri" w:cs="Times New Roman,Calibri"/>
          <w:noProof/>
          <w:sz w:val="24"/>
          <w:szCs w:val="24"/>
          <w:lang w:eastAsia="en-GB"/>
        </w:rPr>
        <w:t>provision of support to beneficiaries, revised payment conditions</w:t>
      </w:r>
      <w:r w:rsidR="00A01573">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 xml:space="preserve"> and a careful approach to the use of bank guarantees. The assistance includes a significant amount of grant support, requiring resource-intensive management.</w:t>
      </w:r>
    </w:p>
    <w:p w14:paraId="07799385" w14:textId="4757C3EB" w:rsidR="006C615B" w:rsidRPr="00924858" w:rsidRDefault="00F42B39">
      <w:pPr>
        <w:keepNext/>
        <w:spacing w:before="120" w:after="120" w:line="240" w:lineRule="auto"/>
        <w:ind w:left="850"/>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To ensure impact, the </w:t>
      </w:r>
      <w:r w:rsidR="00CC536D" w:rsidRPr="00924858">
        <w:rPr>
          <w:rFonts w:ascii="Times New Roman,Calibri" w:eastAsia="Times New Roman,Calibri" w:hAnsi="Times New Roman,Calibri" w:cs="Times New Roman,Calibri"/>
          <w:noProof/>
          <w:sz w:val="24"/>
          <w:szCs w:val="24"/>
          <w:lang w:eastAsia="en-GB"/>
        </w:rPr>
        <w:t xml:space="preserve">Turkish Cypriot community </w:t>
      </w:r>
      <w:r w:rsidRPr="00924858">
        <w:rPr>
          <w:rFonts w:ascii="Times New Roman,Calibri" w:eastAsia="Times New Roman,Calibri" w:hAnsi="Times New Roman,Calibri" w:cs="Times New Roman,Calibri"/>
          <w:noProof/>
          <w:sz w:val="24"/>
          <w:szCs w:val="24"/>
          <w:lang w:eastAsia="en-GB"/>
        </w:rPr>
        <w:t>must be fully engaged in prepar</w:t>
      </w:r>
      <w:r w:rsidR="004138B6">
        <w:rPr>
          <w:rFonts w:ascii="Times New Roman,Calibri" w:eastAsia="Times New Roman,Calibri" w:hAnsi="Times New Roman,Calibri" w:cs="Times New Roman,Calibri"/>
          <w:noProof/>
          <w:sz w:val="24"/>
          <w:szCs w:val="24"/>
          <w:lang w:eastAsia="en-GB"/>
        </w:rPr>
        <w:t>ing</w:t>
      </w:r>
      <w:r w:rsidRPr="00924858">
        <w:rPr>
          <w:rFonts w:ascii="Times New Roman,Calibri" w:eastAsia="Times New Roman,Calibri" w:hAnsi="Times New Roman,Calibri" w:cs="Times New Roman,Calibri"/>
          <w:noProof/>
          <w:sz w:val="24"/>
          <w:szCs w:val="24"/>
          <w:lang w:eastAsia="en-GB"/>
        </w:rPr>
        <w:t xml:space="preserve"> </w:t>
      </w:r>
      <w:r w:rsidR="002A2C46" w:rsidRPr="00924858">
        <w:rPr>
          <w:rFonts w:ascii="Times New Roman,Calibri" w:eastAsia="Times New Roman,Calibri" w:hAnsi="Times New Roman,Calibri" w:cs="Times New Roman,Calibri"/>
          <w:noProof/>
          <w:sz w:val="24"/>
          <w:szCs w:val="24"/>
          <w:lang w:eastAsia="en-GB"/>
        </w:rPr>
        <w:t>the implementation of</w:t>
      </w:r>
      <w:r w:rsidRPr="00924858">
        <w:rPr>
          <w:rFonts w:ascii="Times New Roman,Calibri" w:eastAsia="Times New Roman,Calibri" w:hAnsi="Times New Roman,Calibri" w:cs="Times New Roman,Calibri"/>
          <w:noProof/>
          <w:sz w:val="24"/>
          <w:szCs w:val="24"/>
          <w:lang w:eastAsia="en-GB"/>
        </w:rPr>
        <w:t xml:space="preserve"> the </w:t>
      </w:r>
      <w:r w:rsidR="00924858">
        <w:rPr>
          <w:rFonts w:ascii="Times New Roman,Calibri" w:hAnsi="Times New Roman,Calibri"/>
          <w:i/>
          <w:noProof/>
          <w:sz w:val="24"/>
        </w:rPr>
        <w:t>acquis</w:t>
      </w:r>
      <w:r w:rsidRPr="00924858">
        <w:rPr>
          <w:rFonts w:ascii="Times New Roman,Calibri" w:eastAsia="Times New Roman,Calibri" w:hAnsi="Times New Roman,Calibri" w:cs="Times New Roman,Calibri"/>
          <w:noProof/>
          <w:sz w:val="24"/>
          <w:szCs w:val="24"/>
          <w:lang w:eastAsia="en-GB"/>
        </w:rPr>
        <w:t xml:space="preserve"> </w:t>
      </w:r>
      <w:r w:rsidR="00576D42" w:rsidRPr="00576D42">
        <w:rPr>
          <w:rFonts w:ascii="Times New Roman,Calibri" w:eastAsia="Times New Roman,Calibri" w:hAnsi="Times New Roman,Calibri" w:cs="Times New Roman,Calibri"/>
          <w:noProof/>
          <w:sz w:val="24"/>
          <w:szCs w:val="24"/>
          <w:lang w:eastAsia="en-GB"/>
        </w:rPr>
        <w:t xml:space="preserve">in view of the withdrawal of the suspension of its application </w:t>
      </w:r>
      <w:r w:rsidR="002A2C46" w:rsidRPr="004138B6">
        <w:rPr>
          <w:rFonts w:ascii="Times New Roman,Calibri" w:eastAsia="Times New Roman,Calibri" w:hAnsi="Times New Roman,Calibri" w:cs="Times New Roman,Calibri"/>
          <w:noProof/>
          <w:sz w:val="24"/>
          <w:szCs w:val="24"/>
          <w:lang w:eastAsia="en-GB"/>
        </w:rPr>
        <w:t>in accordance with Protocol 10</w:t>
      </w:r>
      <w:r w:rsidR="002A2C46" w:rsidRPr="00924858">
        <w:rPr>
          <w:rFonts w:ascii="Times New Roman,Calibri" w:eastAsia="Times New Roman,Calibri" w:hAnsi="Times New Roman,Calibri" w:cs="Times New Roman,Calibri"/>
          <w:noProof/>
          <w:sz w:val="24"/>
          <w:szCs w:val="24"/>
          <w:lang w:eastAsia="en-GB"/>
        </w:rPr>
        <w:t xml:space="preserve">, </w:t>
      </w:r>
      <w:r w:rsidR="00730A1B" w:rsidRPr="00730A1B">
        <w:rPr>
          <w:rFonts w:ascii="Times New Roman,Calibri" w:eastAsia="Times New Roman,Calibri" w:hAnsi="Times New Roman,Calibri" w:cs="Times New Roman,Calibri"/>
          <w:noProof/>
          <w:sz w:val="24"/>
          <w:szCs w:val="24"/>
          <w:lang w:eastAsia="en-GB"/>
        </w:rPr>
        <w:t>upon the entry into force of a comprehensive settlement</w:t>
      </w:r>
      <w:r w:rsidRPr="00924858">
        <w:rPr>
          <w:rFonts w:ascii="Times New Roman,Calibri" w:eastAsia="Times New Roman,Calibri" w:hAnsi="Times New Roman,Calibri" w:cs="Times New Roman,Calibri"/>
          <w:noProof/>
          <w:sz w:val="24"/>
          <w:szCs w:val="24"/>
          <w:lang w:eastAsia="en-GB"/>
        </w:rPr>
        <w:t>.</w:t>
      </w:r>
    </w:p>
    <w:p w14:paraId="5E1D184D" w14:textId="0D03F6F9" w:rsidR="006C615B" w:rsidRPr="00924858" w:rsidRDefault="00F42B39">
      <w:pPr>
        <w:keepNext/>
        <w:spacing w:before="120" w:after="120" w:line="240" w:lineRule="auto"/>
        <w:ind w:left="850"/>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The </w:t>
      </w:r>
      <w:r w:rsidR="003A6045" w:rsidRPr="00924858">
        <w:rPr>
          <w:rFonts w:ascii="Times New Roman,Calibri" w:eastAsia="Times New Roman,Calibri" w:hAnsi="Times New Roman,Calibri" w:cs="Times New Roman,Calibri"/>
          <w:noProof/>
          <w:sz w:val="24"/>
          <w:szCs w:val="24"/>
          <w:lang w:eastAsia="en-GB"/>
        </w:rPr>
        <w:t>p</w:t>
      </w:r>
      <w:r w:rsidRPr="00924858">
        <w:rPr>
          <w:rFonts w:ascii="Times New Roman,Calibri" w:eastAsia="Times New Roman,Calibri" w:hAnsi="Times New Roman,Calibri" w:cs="Times New Roman,Calibri"/>
          <w:noProof/>
          <w:sz w:val="24"/>
          <w:szCs w:val="24"/>
          <w:lang w:eastAsia="en-GB"/>
        </w:rPr>
        <w:t xml:space="preserve">rogramme </w:t>
      </w:r>
      <w:r w:rsidR="003A6045" w:rsidRPr="00924858">
        <w:rPr>
          <w:rFonts w:ascii="Times New Roman,Calibri" w:eastAsia="Times New Roman,Calibri" w:hAnsi="Times New Roman,Calibri" w:cs="Times New Roman,Calibri"/>
          <w:noProof/>
          <w:sz w:val="24"/>
          <w:szCs w:val="24"/>
          <w:lang w:eastAsia="en-GB"/>
        </w:rPr>
        <w:t>t</w:t>
      </w:r>
      <w:r w:rsidRPr="00924858">
        <w:rPr>
          <w:rFonts w:ascii="Times New Roman,Calibri" w:eastAsia="Times New Roman,Calibri" w:hAnsi="Times New Roman,Calibri" w:cs="Times New Roman,Calibri"/>
          <w:noProof/>
          <w:sz w:val="24"/>
          <w:szCs w:val="24"/>
          <w:lang w:eastAsia="en-GB"/>
        </w:rPr>
        <w:t>eam operates through the EU Programme Support Office in the</w:t>
      </w:r>
      <w:r w:rsidR="00924858" w:rsidRPr="00924858">
        <w:rPr>
          <w:rFonts w:ascii="Times New Roman,Calibri" w:eastAsia="Times New Roman,Calibri" w:hAnsi="Times New Roman,Calibri" w:cs="Times New Roman,Calibri"/>
          <w:noProof/>
          <w:sz w:val="24"/>
          <w:szCs w:val="24"/>
          <w:lang w:eastAsia="en-GB"/>
        </w:rPr>
        <w:t xml:space="preserve"> </w:t>
      </w:r>
      <w:r w:rsidR="002A2C46" w:rsidRPr="00924858">
        <w:rPr>
          <w:rFonts w:ascii="Times New Roman,Calibri" w:eastAsia="Times New Roman,Calibri" w:hAnsi="Times New Roman,Calibri" w:cs="Times New Roman,Calibri"/>
          <w:noProof/>
          <w:sz w:val="24"/>
          <w:szCs w:val="24"/>
          <w:lang w:eastAsia="en-GB"/>
        </w:rPr>
        <w:t xml:space="preserve">areas not under the effective control in </w:t>
      </w:r>
      <w:r w:rsidRPr="00924858">
        <w:rPr>
          <w:rFonts w:ascii="Times New Roman,Calibri" w:eastAsia="Times New Roman,Calibri" w:hAnsi="Times New Roman,Calibri" w:cs="Times New Roman,Calibri"/>
          <w:noProof/>
          <w:sz w:val="24"/>
          <w:szCs w:val="24"/>
          <w:lang w:eastAsia="en-GB"/>
        </w:rPr>
        <w:t xml:space="preserve">Nicosia. The Commission </w:t>
      </w:r>
      <w:r w:rsidR="00E261B1" w:rsidRPr="00924858">
        <w:rPr>
          <w:rFonts w:ascii="Times New Roman,Calibri" w:eastAsia="Times New Roman,Calibri" w:hAnsi="Times New Roman,Calibri" w:cs="Times New Roman,Calibri"/>
          <w:noProof/>
          <w:sz w:val="24"/>
          <w:szCs w:val="24"/>
          <w:lang w:eastAsia="en-GB"/>
        </w:rPr>
        <w:t xml:space="preserve">Representation </w:t>
      </w:r>
      <w:r w:rsidRPr="00924858">
        <w:rPr>
          <w:rFonts w:ascii="Times New Roman,Calibri" w:eastAsia="Times New Roman,Calibri" w:hAnsi="Times New Roman,Calibri" w:cs="Times New Roman,Calibri"/>
          <w:noProof/>
          <w:sz w:val="24"/>
          <w:szCs w:val="24"/>
          <w:lang w:eastAsia="en-GB"/>
        </w:rPr>
        <w:t xml:space="preserve">in Cyprus also hosts meetings, seminars and press conferences and communicates with the Cypriot public throughout the island, including on the Aid Programme. In addition, the EU Infopoint, funded under the Aid Programme, </w:t>
      </w:r>
      <w:r w:rsidRPr="00924858">
        <w:rPr>
          <w:rFonts w:ascii="Times New Roman" w:eastAsia="Times New Roman" w:hAnsi="Times New Roman" w:cs="Times New Roman"/>
          <w:noProof/>
          <w:sz w:val="24"/>
          <w:szCs w:val="24"/>
        </w:rPr>
        <w:t xml:space="preserve">carries out a range of communication and visibility actions, providing information about EU policies, priorities and actions in support of the </w:t>
      </w:r>
      <w:r w:rsidR="00CC536D" w:rsidRPr="00924858">
        <w:rPr>
          <w:rFonts w:ascii="Times New Roman,Calibri" w:eastAsia="Times New Roman,Calibri" w:hAnsi="Times New Roman,Calibri" w:cs="Times New Roman,Calibri"/>
          <w:noProof/>
          <w:sz w:val="24"/>
          <w:szCs w:val="24"/>
          <w:lang w:eastAsia="en-GB"/>
        </w:rPr>
        <w:t>Turkish Cypriot community</w:t>
      </w:r>
      <w:r w:rsidRPr="00924858">
        <w:rPr>
          <w:rFonts w:ascii="Times New Roman" w:eastAsia="Times New Roman" w:hAnsi="Times New Roman" w:cs="Times New Roman"/>
          <w:noProof/>
          <w:sz w:val="24"/>
          <w:szCs w:val="24"/>
        </w:rPr>
        <w:t>, and promoting European culture.</w:t>
      </w:r>
    </w:p>
    <w:p w14:paraId="1D3A2AA6" w14:textId="77777777" w:rsidR="006C615B" w:rsidRPr="00924858" w:rsidRDefault="00F42B39">
      <w:pPr>
        <w:keepNext/>
        <w:numPr>
          <w:ilvl w:val="0"/>
          <w:numId w:val="3"/>
        </w:numPr>
        <w:spacing w:after="120" w:line="240" w:lineRule="auto"/>
        <w:ind w:left="851" w:hanging="851"/>
        <w:jc w:val="both"/>
        <w:outlineLvl w:val="0"/>
        <w:rPr>
          <w:rFonts w:ascii="Times New Roman" w:eastAsia="Times New Roman" w:hAnsi="Times New Roman" w:cs="Times New Roman"/>
          <w:b/>
          <w:bCs/>
          <w:noProof/>
          <w:sz w:val="24"/>
          <w:szCs w:val="24"/>
          <w:lang w:eastAsia="en-GB"/>
        </w:rPr>
      </w:pPr>
      <w:r w:rsidRPr="00924858">
        <w:rPr>
          <w:rFonts w:ascii="Times New Roman" w:eastAsia="Times New Roman" w:hAnsi="Times New Roman" w:cs="Times New Roman"/>
          <w:b/>
          <w:bCs/>
          <w:smallCaps/>
          <w:noProof/>
          <w:sz w:val="24"/>
          <w:szCs w:val="24"/>
          <w:lang w:eastAsia="en-GB"/>
        </w:rPr>
        <w:t>Implementation during the reporting period</w:t>
      </w:r>
    </w:p>
    <w:p w14:paraId="5B82F2A0" w14:textId="77777777" w:rsidR="006C615B" w:rsidRPr="00924858" w:rsidRDefault="00F42B39">
      <w:pPr>
        <w:keepNext/>
        <w:numPr>
          <w:ilvl w:val="1"/>
          <w:numId w:val="3"/>
        </w:numPr>
        <w:spacing w:before="120" w:after="120" w:line="240" w:lineRule="auto"/>
        <w:jc w:val="both"/>
        <w:outlineLvl w:val="1"/>
        <w:rPr>
          <w:rFonts w:ascii="Times New Roman" w:eastAsia="Times New Roman" w:hAnsi="Times New Roman" w:cs="Times New Roman"/>
          <w:b/>
          <w:bCs/>
          <w:noProof/>
          <w:sz w:val="24"/>
          <w:szCs w:val="24"/>
          <w:lang w:eastAsia="en-GB"/>
        </w:rPr>
      </w:pPr>
      <w:r w:rsidRPr="00924858">
        <w:rPr>
          <w:rFonts w:ascii="Times New Roman" w:eastAsia="Times New Roman" w:hAnsi="Times New Roman" w:cs="Times New Roman"/>
          <w:b/>
          <w:bCs/>
          <w:noProof/>
          <w:sz w:val="24"/>
          <w:szCs w:val="24"/>
          <w:lang w:eastAsia="en-GB"/>
        </w:rPr>
        <w:t>General overview</w:t>
      </w:r>
    </w:p>
    <w:p w14:paraId="49A2D98A" w14:textId="313EC325" w:rsidR="006C615B" w:rsidRPr="00924858" w:rsidRDefault="00F42B39" w:rsidP="005472BD">
      <w:pPr>
        <w:keepNext/>
        <w:spacing w:before="120" w:after="120" w:line="240" w:lineRule="auto"/>
        <w:ind w:left="850"/>
        <w:jc w:val="both"/>
        <w:rPr>
          <w:rFonts w:ascii="Times New Roman" w:eastAsia="Times New Roman" w:hAnsi="Times New Roman" w:cs="Times New Roman"/>
          <w:noProof/>
          <w:sz w:val="24"/>
          <w:szCs w:val="24"/>
        </w:rPr>
      </w:pPr>
      <w:r w:rsidRPr="00924858">
        <w:rPr>
          <w:rFonts w:ascii="Times New Roman" w:eastAsia="Times New Roman" w:hAnsi="Times New Roman" w:cs="Times New Roman"/>
          <w:noProof/>
          <w:sz w:val="24"/>
          <w:szCs w:val="24"/>
        </w:rPr>
        <w:t xml:space="preserve">The Commission continues to implement the Aid Regulation with the overall aim of supporting reunification. </w:t>
      </w:r>
      <w:r w:rsidR="009D2303" w:rsidRPr="00924858">
        <w:rPr>
          <w:rFonts w:ascii="Times New Roman" w:eastAsia="Times New Roman" w:hAnsi="Times New Roman" w:cs="Times New Roman"/>
          <w:noProof/>
          <w:sz w:val="24"/>
          <w:szCs w:val="24"/>
        </w:rPr>
        <w:t xml:space="preserve">In the event of a comprehensive settlement of the Cyprus problem, the Council </w:t>
      </w:r>
      <w:r w:rsidR="00A01573">
        <w:rPr>
          <w:rFonts w:ascii="Times New Roman" w:eastAsia="Times New Roman" w:hAnsi="Times New Roman" w:cs="Times New Roman"/>
          <w:noProof/>
          <w:sz w:val="24"/>
          <w:szCs w:val="24"/>
        </w:rPr>
        <w:t>will</w:t>
      </w:r>
      <w:r w:rsidR="009D2303" w:rsidRPr="00924858">
        <w:rPr>
          <w:rFonts w:ascii="Times New Roman" w:eastAsia="Times New Roman" w:hAnsi="Times New Roman" w:cs="Times New Roman"/>
          <w:noProof/>
          <w:sz w:val="24"/>
          <w:szCs w:val="24"/>
        </w:rPr>
        <w:t>, on the basis of a proposal from the Commission, decide unanimously on the necessary adaptations to this Regulation.</w:t>
      </w:r>
    </w:p>
    <w:p w14:paraId="07804ED0" w14:textId="262568CF" w:rsidR="006C615B" w:rsidRPr="00924858" w:rsidRDefault="00F42B39">
      <w:pPr>
        <w:keepNext/>
        <w:spacing w:before="120" w:after="120" w:line="240" w:lineRule="auto"/>
        <w:ind w:left="850"/>
        <w:jc w:val="both"/>
        <w:rPr>
          <w:rFonts w:ascii="Times New Roman,Calibri" w:eastAsia="Times New Roman,Calibri" w:hAnsi="Times New Roman,Calibri" w:cs="Times New Roman,Calibri"/>
          <w:noProof/>
          <w:sz w:val="24"/>
          <w:szCs w:val="24"/>
          <w:lang w:eastAsia="en-GB"/>
        </w:rPr>
      </w:pPr>
      <w:r w:rsidRPr="00924858">
        <w:rPr>
          <w:rFonts w:ascii="Times New Roman" w:eastAsia="Times New Roman" w:hAnsi="Times New Roman" w:cs="Times New Roman"/>
          <w:noProof/>
          <w:sz w:val="24"/>
          <w:szCs w:val="24"/>
        </w:rPr>
        <w:t xml:space="preserve">Operations in </w:t>
      </w:r>
      <w:r w:rsidR="001F630A" w:rsidRPr="00924858">
        <w:rPr>
          <w:rFonts w:ascii="Times New Roman" w:eastAsia="Times New Roman" w:hAnsi="Times New Roman" w:cs="Times New Roman"/>
          <w:noProof/>
          <w:sz w:val="24"/>
          <w:szCs w:val="24"/>
        </w:rPr>
        <w:t xml:space="preserve">2022 </w:t>
      </w:r>
      <w:r w:rsidRPr="00924858">
        <w:rPr>
          <w:rFonts w:ascii="Times New Roman" w:eastAsia="Times New Roman" w:hAnsi="Times New Roman" w:cs="Times New Roman"/>
          <w:noProof/>
          <w:sz w:val="24"/>
          <w:szCs w:val="24"/>
        </w:rPr>
        <w:t>included the continuation of a number of established and successful projects, such as EU scholarships and confidence</w:t>
      </w:r>
      <w:r w:rsidR="003A6045" w:rsidRPr="00924858">
        <w:rPr>
          <w:rFonts w:ascii="Times New Roman" w:eastAsia="Times New Roman" w:hAnsi="Times New Roman" w:cs="Times New Roman"/>
          <w:noProof/>
          <w:sz w:val="24"/>
          <w:szCs w:val="24"/>
        </w:rPr>
        <w:t>-</w:t>
      </w:r>
      <w:r w:rsidRPr="00924858">
        <w:rPr>
          <w:rFonts w:ascii="Times New Roman" w:eastAsia="Times New Roman" w:hAnsi="Times New Roman" w:cs="Times New Roman"/>
          <w:noProof/>
          <w:sz w:val="24"/>
          <w:szCs w:val="24"/>
        </w:rPr>
        <w:t xml:space="preserve">building measures in support </w:t>
      </w:r>
      <w:r w:rsidR="003A6045" w:rsidRPr="00924858">
        <w:rPr>
          <w:rFonts w:ascii="Times New Roman" w:eastAsia="Times New Roman" w:hAnsi="Times New Roman" w:cs="Times New Roman"/>
          <w:noProof/>
          <w:sz w:val="24"/>
          <w:szCs w:val="24"/>
        </w:rPr>
        <w:t xml:space="preserve">of </w:t>
      </w:r>
      <w:r w:rsidR="00D73E47">
        <w:rPr>
          <w:rFonts w:ascii="Times New Roman" w:eastAsia="Times New Roman" w:hAnsi="Times New Roman" w:cs="Times New Roman"/>
          <w:noProof/>
          <w:sz w:val="24"/>
          <w:szCs w:val="24"/>
        </w:rPr>
        <w:t xml:space="preserve">both </w:t>
      </w:r>
      <w:r w:rsidRPr="00924858">
        <w:rPr>
          <w:rFonts w:ascii="Times New Roman" w:eastAsia="Times New Roman" w:hAnsi="Times New Roman" w:cs="Times New Roman"/>
          <w:noProof/>
          <w:sz w:val="24"/>
          <w:szCs w:val="24"/>
        </w:rPr>
        <w:t xml:space="preserve">the Technical Committee on Cultural Heritage and the Committee on Missing Persons. A dedicated facility continued to fund </w:t>
      </w:r>
      <w:r w:rsidR="00610096" w:rsidRPr="00924858">
        <w:rPr>
          <w:rFonts w:ascii="Times New Roman" w:eastAsia="Times New Roman" w:hAnsi="Times New Roman" w:cs="Times New Roman"/>
          <w:noProof/>
          <w:sz w:val="24"/>
          <w:szCs w:val="24"/>
        </w:rPr>
        <w:t>initiatives</w:t>
      </w:r>
      <w:r w:rsidR="00610096">
        <w:rPr>
          <w:rFonts w:ascii="Times New Roman" w:eastAsia="Times New Roman" w:hAnsi="Times New Roman" w:cs="Times New Roman"/>
          <w:noProof/>
          <w:sz w:val="24"/>
          <w:szCs w:val="24"/>
        </w:rPr>
        <w:t xml:space="preserve"> under</w:t>
      </w:r>
      <w:r w:rsidR="00610096" w:rsidRPr="00924858">
        <w:rPr>
          <w:rFonts w:ascii="Times New Roman" w:eastAsia="Times New Roman" w:hAnsi="Times New Roman" w:cs="Times New Roman"/>
          <w:noProof/>
          <w:sz w:val="24"/>
          <w:szCs w:val="24"/>
        </w:rPr>
        <w:t xml:space="preserve"> </w:t>
      </w:r>
      <w:r w:rsidRPr="00924858">
        <w:rPr>
          <w:rFonts w:ascii="Times New Roman" w:eastAsia="Times New Roman" w:hAnsi="Times New Roman" w:cs="Times New Roman"/>
          <w:noProof/>
          <w:sz w:val="24"/>
          <w:szCs w:val="24"/>
        </w:rPr>
        <w:t>the bi-communal Technical Committees.</w:t>
      </w:r>
    </w:p>
    <w:p w14:paraId="33034A98" w14:textId="04328F4A" w:rsidR="00AC1074" w:rsidRPr="00924858" w:rsidRDefault="00F42B39">
      <w:pPr>
        <w:keepNext/>
        <w:spacing w:before="120" w:after="120" w:line="240" w:lineRule="auto"/>
        <w:ind w:left="850"/>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Grant support remains an essential </w:t>
      </w:r>
      <w:r w:rsidR="00610096">
        <w:rPr>
          <w:rFonts w:ascii="Times New Roman,Calibri" w:eastAsia="Times New Roman,Calibri" w:hAnsi="Times New Roman,Calibri" w:cs="Times New Roman,Calibri"/>
          <w:noProof/>
          <w:sz w:val="24"/>
          <w:szCs w:val="24"/>
          <w:lang w:eastAsia="en-GB"/>
        </w:rPr>
        <w:t>feature</w:t>
      </w:r>
      <w:r w:rsidR="00610096" w:rsidRPr="00924858">
        <w:rPr>
          <w:rFonts w:ascii="Times New Roman,Calibri" w:eastAsia="Times New Roman,Calibri" w:hAnsi="Times New Roman,Calibri" w:cs="Times New Roman,Calibri"/>
          <w:noProof/>
          <w:sz w:val="24"/>
          <w:szCs w:val="24"/>
          <w:lang w:eastAsia="en-GB"/>
        </w:rPr>
        <w:t xml:space="preserve"> </w:t>
      </w:r>
      <w:r w:rsidRPr="00924858">
        <w:rPr>
          <w:rFonts w:ascii="Times New Roman,Calibri" w:eastAsia="Times New Roman,Calibri" w:hAnsi="Times New Roman,Calibri" w:cs="Times New Roman,Calibri"/>
          <w:noProof/>
          <w:sz w:val="24"/>
          <w:szCs w:val="24"/>
          <w:lang w:eastAsia="en-GB"/>
        </w:rPr>
        <w:t xml:space="preserve">of the programme. </w:t>
      </w:r>
      <w:r w:rsidR="003A6045" w:rsidRPr="00924858">
        <w:rPr>
          <w:rFonts w:ascii="Times New Roman,Calibri" w:eastAsia="Times New Roman,Calibri" w:hAnsi="Times New Roman,Calibri" w:cs="Times New Roman,Calibri"/>
          <w:noProof/>
          <w:sz w:val="24"/>
          <w:szCs w:val="24"/>
          <w:lang w:eastAsia="en-GB"/>
        </w:rPr>
        <w:t>Greater a</w:t>
      </w:r>
      <w:r w:rsidRPr="00924858">
        <w:rPr>
          <w:rFonts w:ascii="Times New Roman,Calibri" w:eastAsia="Times New Roman,Calibri" w:hAnsi="Times New Roman,Calibri" w:cs="Times New Roman,Calibri"/>
          <w:noProof/>
          <w:sz w:val="24"/>
          <w:szCs w:val="24"/>
          <w:lang w:eastAsia="en-GB"/>
        </w:rPr>
        <w:t xml:space="preserve">ssistance </w:t>
      </w:r>
      <w:r w:rsidR="003A6045" w:rsidRPr="00924858">
        <w:rPr>
          <w:rFonts w:ascii="Times New Roman,Calibri" w:eastAsia="Times New Roman,Calibri" w:hAnsi="Times New Roman,Calibri" w:cs="Times New Roman,Calibri"/>
          <w:noProof/>
          <w:sz w:val="24"/>
          <w:szCs w:val="24"/>
          <w:lang w:eastAsia="en-GB"/>
        </w:rPr>
        <w:t xml:space="preserve">was </w:t>
      </w:r>
      <w:r w:rsidRPr="00924858">
        <w:rPr>
          <w:rFonts w:ascii="Times New Roman,Calibri" w:eastAsia="Times New Roman,Calibri" w:hAnsi="Times New Roman,Calibri" w:cs="Times New Roman,Calibri"/>
          <w:noProof/>
          <w:sz w:val="24"/>
          <w:szCs w:val="24"/>
          <w:lang w:eastAsia="en-GB"/>
        </w:rPr>
        <w:t xml:space="preserve">provided to key economic sectors preparing for a settlement through projects </w:t>
      </w:r>
      <w:r w:rsidR="003A6045" w:rsidRPr="00924858">
        <w:rPr>
          <w:rFonts w:ascii="Times New Roman,Calibri" w:eastAsia="Times New Roman,Calibri" w:hAnsi="Times New Roman,Calibri" w:cs="Times New Roman,Calibri"/>
          <w:noProof/>
          <w:sz w:val="24"/>
          <w:szCs w:val="24"/>
          <w:lang w:eastAsia="en-GB"/>
        </w:rPr>
        <w:t xml:space="preserve">geared towards the </w:t>
      </w:r>
      <w:r w:rsidRPr="00924858">
        <w:rPr>
          <w:rFonts w:ascii="Times New Roman,Calibri" w:eastAsia="Times New Roman,Calibri" w:hAnsi="Times New Roman,Calibri" w:cs="Times New Roman,Calibri"/>
          <w:noProof/>
          <w:sz w:val="24"/>
          <w:szCs w:val="24"/>
          <w:lang w:eastAsia="en-GB"/>
        </w:rPr>
        <w:t>private sector</w:t>
      </w:r>
      <w:r w:rsidR="003A6045" w:rsidRPr="00924858">
        <w:rPr>
          <w:rFonts w:ascii="Times New Roman,Calibri" w:eastAsia="Times New Roman,Calibri" w:hAnsi="Times New Roman,Calibri" w:cs="Times New Roman,Calibri"/>
          <w:noProof/>
          <w:sz w:val="24"/>
          <w:szCs w:val="24"/>
          <w:lang w:eastAsia="en-GB"/>
        </w:rPr>
        <w:t xml:space="preserve">, </w:t>
      </w:r>
      <w:r w:rsidRPr="00924858">
        <w:rPr>
          <w:rFonts w:ascii="Times New Roman,Calibri" w:eastAsia="Times New Roman,Calibri" w:hAnsi="Times New Roman,Calibri" w:cs="Times New Roman,Calibri"/>
          <w:noProof/>
          <w:sz w:val="24"/>
          <w:szCs w:val="24"/>
          <w:lang w:eastAsia="en-GB"/>
        </w:rPr>
        <w:t xml:space="preserve">rural areas </w:t>
      </w:r>
      <w:r w:rsidR="003A6045" w:rsidRPr="00924858">
        <w:rPr>
          <w:rFonts w:ascii="Times New Roman,Calibri" w:eastAsia="Times New Roman,Calibri" w:hAnsi="Times New Roman,Calibri" w:cs="Times New Roman,Calibri"/>
          <w:noProof/>
          <w:sz w:val="24"/>
          <w:szCs w:val="24"/>
          <w:lang w:eastAsia="en-GB"/>
        </w:rPr>
        <w:t>and</w:t>
      </w:r>
      <w:r w:rsidRPr="00924858">
        <w:rPr>
          <w:rFonts w:ascii="Times New Roman,Calibri" w:eastAsia="Times New Roman,Calibri" w:hAnsi="Times New Roman,Calibri" w:cs="Times New Roman,Calibri"/>
          <w:noProof/>
          <w:sz w:val="24"/>
          <w:szCs w:val="24"/>
          <w:lang w:eastAsia="en-GB"/>
        </w:rPr>
        <w:t xml:space="preserve"> human resource development. Efforts </w:t>
      </w:r>
      <w:r w:rsidR="003A6045" w:rsidRPr="00924858">
        <w:rPr>
          <w:rFonts w:ascii="Times New Roman,Calibri" w:eastAsia="Times New Roman,Calibri" w:hAnsi="Times New Roman,Calibri" w:cs="Times New Roman,Calibri"/>
          <w:noProof/>
          <w:sz w:val="24"/>
          <w:szCs w:val="24"/>
          <w:lang w:eastAsia="en-GB"/>
        </w:rPr>
        <w:t xml:space="preserve">continued to </w:t>
      </w:r>
      <w:r w:rsidRPr="00924858">
        <w:rPr>
          <w:rFonts w:ascii="Times New Roman,Calibri" w:eastAsia="Times New Roman,Calibri" w:hAnsi="Times New Roman,Calibri" w:cs="Times New Roman,Calibri"/>
          <w:noProof/>
          <w:sz w:val="24"/>
          <w:szCs w:val="24"/>
          <w:lang w:eastAsia="en-GB"/>
        </w:rPr>
        <w:t>tangibl</w:t>
      </w:r>
      <w:r w:rsidR="003A6045" w:rsidRPr="00924858">
        <w:rPr>
          <w:rFonts w:ascii="Times New Roman,Calibri" w:eastAsia="Times New Roman,Calibri" w:hAnsi="Times New Roman,Calibri" w:cs="Times New Roman,Calibri"/>
          <w:noProof/>
          <w:sz w:val="24"/>
          <w:szCs w:val="24"/>
          <w:lang w:eastAsia="en-GB"/>
        </w:rPr>
        <w:t>y</w:t>
      </w:r>
      <w:r w:rsidRPr="00924858">
        <w:rPr>
          <w:rFonts w:ascii="Times New Roman,Calibri" w:eastAsia="Times New Roman,Calibri" w:hAnsi="Times New Roman,Calibri" w:cs="Times New Roman,Calibri"/>
          <w:noProof/>
          <w:sz w:val="24"/>
          <w:szCs w:val="24"/>
          <w:lang w:eastAsia="en-GB"/>
        </w:rPr>
        <w:t xml:space="preserve"> improve the </w:t>
      </w:r>
      <w:r w:rsidR="003A6045" w:rsidRPr="00924858">
        <w:rPr>
          <w:rFonts w:ascii="Times New Roman,Calibri" w:eastAsia="Times New Roman,Calibri" w:hAnsi="Times New Roman,Calibri" w:cs="Times New Roman,Calibri"/>
          <w:noProof/>
          <w:sz w:val="24"/>
          <w:szCs w:val="24"/>
          <w:lang w:eastAsia="en-GB"/>
        </w:rPr>
        <w:t xml:space="preserve">state of play in </w:t>
      </w:r>
      <w:r w:rsidRPr="00924858">
        <w:rPr>
          <w:rFonts w:ascii="Times New Roman,Calibri" w:eastAsia="Times New Roman,Calibri" w:hAnsi="Times New Roman,Calibri" w:cs="Times New Roman,Calibri"/>
          <w:noProof/>
          <w:sz w:val="24"/>
          <w:szCs w:val="24"/>
          <w:lang w:eastAsia="en-GB"/>
        </w:rPr>
        <w:t>animal diseases eradication and food safety.</w:t>
      </w:r>
    </w:p>
    <w:p w14:paraId="1F974E4B" w14:textId="6C2677CF" w:rsidR="00A25FA3" w:rsidRPr="00924858" w:rsidRDefault="00A25FA3" w:rsidP="00212D71">
      <w:pPr>
        <w:keepNext/>
        <w:spacing w:before="120" w:after="120" w:line="240" w:lineRule="auto"/>
        <w:ind w:left="850"/>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The Commission continued its efforts to assist the </w:t>
      </w:r>
      <w:r w:rsidR="00CC536D" w:rsidRPr="00924858">
        <w:rPr>
          <w:rFonts w:ascii="Times New Roman,Calibri" w:eastAsia="Times New Roman,Calibri" w:hAnsi="Times New Roman,Calibri" w:cs="Times New Roman,Calibri"/>
          <w:noProof/>
          <w:sz w:val="24"/>
          <w:szCs w:val="24"/>
          <w:lang w:eastAsia="en-GB"/>
        </w:rPr>
        <w:t xml:space="preserve">Turkish Cypriot community </w:t>
      </w:r>
      <w:r w:rsidRPr="00924858">
        <w:rPr>
          <w:rFonts w:ascii="Times New Roman,Calibri" w:eastAsia="Times New Roman,Calibri" w:hAnsi="Times New Roman,Calibri" w:cs="Times New Roman,Calibri"/>
          <w:noProof/>
          <w:sz w:val="24"/>
          <w:szCs w:val="24"/>
          <w:lang w:eastAsia="en-GB"/>
        </w:rPr>
        <w:t>to comply with the standards set by the package of two measures adopted by the Commission in 2021</w:t>
      </w:r>
      <w:r w:rsidR="00610096">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 xml:space="preserve"> registering ‘Χαλλούμι’ (Halloumi)/</w:t>
      </w:r>
      <w:r w:rsidR="00974A64">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Hellim</w:t>
      </w:r>
      <w:r w:rsidR="00974A64">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 xml:space="preserve"> as a </w:t>
      </w:r>
      <w:r w:rsidR="00D73E47">
        <w:rPr>
          <w:rFonts w:ascii="Times New Roman,Calibri" w:eastAsia="Times New Roman,Calibri" w:hAnsi="Times New Roman,Calibri" w:cs="Times New Roman,Calibri"/>
          <w:noProof/>
          <w:sz w:val="24"/>
          <w:szCs w:val="24"/>
          <w:lang w:eastAsia="en-GB"/>
        </w:rPr>
        <w:t>p</w:t>
      </w:r>
      <w:r w:rsidRPr="00924858">
        <w:rPr>
          <w:rFonts w:ascii="Times New Roman,Calibri" w:eastAsia="Times New Roman,Calibri" w:hAnsi="Times New Roman,Calibri" w:cs="Times New Roman,Calibri"/>
          <w:noProof/>
          <w:sz w:val="24"/>
          <w:szCs w:val="24"/>
          <w:lang w:eastAsia="en-GB"/>
        </w:rPr>
        <w:t xml:space="preserve">rotected </w:t>
      </w:r>
      <w:r w:rsidR="00D73E47">
        <w:rPr>
          <w:rFonts w:ascii="Times New Roman,Calibri" w:eastAsia="Times New Roman,Calibri" w:hAnsi="Times New Roman,Calibri" w:cs="Times New Roman,Calibri"/>
          <w:noProof/>
          <w:sz w:val="24"/>
          <w:szCs w:val="24"/>
          <w:lang w:eastAsia="en-GB"/>
        </w:rPr>
        <w:t>d</w:t>
      </w:r>
      <w:r w:rsidRPr="00924858">
        <w:rPr>
          <w:rFonts w:ascii="Times New Roman,Calibri" w:eastAsia="Times New Roman,Calibri" w:hAnsi="Times New Roman,Calibri" w:cs="Times New Roman,Calibri"/>
          <w:noProof/>
          <w:sz w:val="24"/>
          <w:szCs w:val="24"/>
          <w:lang w:eastAsia="en-GB"/>
        </w:rPr>
        <w:t xml:space="preserve">esignation of </w:t>
      </w:r>
      <w:r w:rsidR="00D73E47">
        <w:rPr>
          <w:rFonts w:ascii="Times New Roman,Calibri" w:eastAsia="Times New Roman,Calibri" w:hAnsi="Times New Roman,Calibri" w:cs="Times New Roman,Calibri"/>
          <w:noProof/>
          <w:sz w:val="24"/>
          <w:szCs w:val="24"/>
          <w:lang w:eastAsia="en-GB"/>
        </w:rPr>
        <w:t>o</w:t>
      </w:r>
      <w:r w:rsidRPr="00924858">
        <w:rPr>
          <w:rFonts w:ascii="Times New Roman,Calibri" w:eastAsia="Times New Roman,Calibri" w:hAnsi="Times New Roman,Calibri" w:cs="Times New Roman,Calibri"/>
          <w:noProof/>
          <w:sz w:val="24"/>
          <w:szCs w:val="24"/>
          <w:lang w:eastAsia="en-GB"/>
        </w:rPr>
        <w:t xml:space="preserve">rigin and laying down the conditions for movement of this product over the Green Line. A substantial effort was made to assist food business operators to prepare for the first </w:t>
      </w:r>
      <w:r w:rsidR="007B564E" w:rsidRPr="007B564E">
        <w:rPr>
          <w:rFonts w:ascii="Times New Roman,Calibri" w:eastAsia="Times New Roman,Calibri" w:hAnsi="Times New Roman,Calibri" w:cs="Times New Roman,Calibri"/>
          <w:noProof/>
          <w:sz w:val="24"/>
          <w:szCs w:val="24"/>
          <w:lang w:eastAsia="en-GB"/>
        </w:rPr>
        <w:t xml:space="preserve">protected designation of origin </w:t>
      </w:r>
      <w:r w:rsidRPr="00924858">
        <w:rPr>
          <w:rFonts w:ascii="Times New Roman,Calibri" w:eastAsia="Times New Roman,Calibri" w:hAnsi="Times New Roman,Calibri" w:cs="Times New Roman,Calibri"/>
          <w:noProof/>
          <w:sz w:val="24"/>
          <w:szCs w:val="24"/>
          <w:lang w:eastAsia="en-GB"/>
        </w:rPr>
        <w:t xml:space="preserve">inspections. The Commission also launched an informal </w:t>
      </w:r>
      <w:r w:rsidR="007B564E">
        <w:rPr>
          <w:rFonts w:ascii="Times New Roman,Calibri" w:eastAsia="Times New Roman,Calibri" w:hAnsi="Times New Roman,Calibri" w:cs="Times New Roman,Calibri"/>
          <w:noProof/>
          <w:sz w:val="24"/>
          <w:szCs w:val="24"/>
          <w:lang w:eastAsia="en-GB"/>
        </w:rPr>
        <w:t>w</w:t>
      </w:r>
      <w:r w:rsidRPr="00924858">
        <w:rPr>
          <w:rFonts w:ascii="Times New Roman,Calibri" w:eastAsia="Times New Roman,Calibri" w:hAnsi="Times New Roman,Calibri" w:cs="Times New Roman,Calibri"/>
          <w:noProof/>
          <w:sz w:val="24"/>
          <w:szCs w:val="24"/>
          <w:lang w:eastAsia="en-GB"/>
        </w:rPr>
        <w:t xml:space="preserve">orking </w:t>
      </w:r>
      <w:r w:rsidR="007B564E">
        <w:rPr>
          <w:rFonts w:ascii="Times New Roman,Calibri" w:eastAsia="Times New Roman,Calibri" w:hAnsi="Times New Roman,Calibri" w:cs="Times New Roman,Calibri"/>
          <w:noProof/>
          <w:sz w:val="24"/>
          <w:szCs w:val="24"/>
          <w:lang w:eastAsia="en-GB"/>
        </w:rPr>
        <w:t>g</w:t>
      </w:r>
      <w:r w:rsidRPr="00924858">
        <w:rPr>
          <w:rFonts w:ascii="Times New Roman,Calibri" w:eastAsia="Times New Roman,Calibri" w:hAnsi="Times New Roman,Calibri" w:cs="Times New Roman,Calibri"/>
          <w:noProof/>
          <w:sz w:val="24"/>
          <w:szCs w:val="24"/>
          <w:lang w:eastAsia="en-GB"/>
        </w:rPr>
        <w:t>roup on Halloumi/Hellim bringing together stakeholders from both Cypriot communities.</w:t>
      </w:r>
    </w:p>
    <w:p w14:paraId="4F0C340B" w14:textId="1ACF39BC" w:rsidR="006C615B" w:rsidRPr="00924858" w:rsidRDefault="003A6045">
      <w:pPr>
        <w:keepNext/>
        <w:spacing w:before="120" w:after="120" w:line="240" w:lineRule="auto"/>
        <w:ind w:left="850"/>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There are still c</w:t>
      </w:r>
      <w:r w:rsidR="00F42B39" w:rsidRPr="00924858">
        <w:rPr>
          <w:rFonts w:ascii="Times New Roman,Calibri" w:eastAsia="Times New Roman,Calibri" w:hAnsi="Times New Roman,Calibri" w:cs="Times New Roman,Calibri"/>
          <w:noProof/>
          <w:sz w:val="24"/>
          <w:szCs w:val="24"/>
          <w:lang w:eastAsia="en-GB"/>
        </w:rPr>
        <w:t xml:space="preserve">onsiderable gaps in </w:t>
      </w:r>
      <w:r w:rsidRPr="00924858">
        <w:rPr>
          <w:rFonts w:ascii="Times New Roman,Calibri" w:eastAsia="Times New Roman,Calibri" w:hAnsi="Times New Roman,Calibri" w:cs="Times New Roman,Calibri"/>
          <w:noProof/>
          <w:sz w:val="24"/>
          <w:szCs w:val="24"/>
          <w:lang w:eastAsia="en-GB"/>
        </w:rPr>
        <w:t xml:space="preserve">beneficiaries’ </w:t>
      </w:r>
      <w:r w:rsidR="00F42B39" w:rsidRPr="00924858">
        <w:rPr>
          <w:rFonts w:ascii="Times New Roman,Calibri" w:eastAsia="Times New Roman,Calibri" w:hAnsi="Times New Roman,Calibri" w:cs="Times New Roman,Calibri"/>
          <w:noProof/>
          <w:sz w:val="24"/>
          <w:szCs w:val="24"/>
          <w:lang w:eastAsia="en-GB"/>
        </w:rPr>
        <w:t xml:space="preserve">capacity to effectively implement the </w:t>
      </w:r>
      <w:r w:rsidR="00924858">
        <w:rPr>
          <w:rFonts w:ascii="Times New Roman,Calibri" w:eastAsia="Times New Roman,Calibri" w:hAnsi="Times New Roman,Calibri" w:cs="Times New Roman,Calibri"/>
          <w:i/>
          <w:iCs/>
          <w:noProof/>
          <w:sz w:val="24"/>
          <w:szCs w:val="24"/>
          <w:lang w:eastAsia="en-GB"/>
        </w:rPr>
        <w:t>acquis</w:t>
      </w:r>
      <w:r w:rsidR="00F42B39" w:rsidRPr="00924858">
        <w:rPr>
          <w:rFonts w:ascii="Times New Roman,Calibri" w:eastAsia="Times New Roman,Calibri" w:hAnsi="Times New Roman,Calibri" w:cs="Times New Roman,Calibri"/>
          <w:noProof/>
          <w:sz w:val="24"/>
          <w:szCs w:val="24"/>
          <w:lang w:eastAsia="en-GB"/>
        </w:rPr>
        <w:t xml:space="preserve"> </w:t>
      </w:r>
      <w:r w:rsidR="00576D42" w:rsidRPr="00576D42">
        <w:rPr>
          <w:rFonts w:ascii="Times New Roman,Calibri" w:eastAsia="Times New Roman,Calibri" w:hAnsi="Times New Roman,Calibri" w:cs="Times New Roman,Calibri"/>
          <w:noProof/>
          <w:sz w:val="24"/>
          <w:szCs w:val="24"/>
          <w:lang w:eastAsia="en-GB"/>
        </w:rPr>
        <w:t>upon the entry into force of a comprehensive settlement</w:t>
      </w:r>
      <w:r w:rsidR="00F42B39" w:rsidRPr="00924858">
        <w:rPr>
          <w:rFonts w:ascii="Times New Roman,Calibri" w:eastAsia="Times New Roman,Calibri" w:hAnsi="Times New Roman,Calibri" w:cs="Times New Roman,Calibri"/>
          <w:noProof/>
          <w:sz w:val="24"/>
          <w:szCs w:val="24"/>
          <w:lang w:eastAsia="en-GB"/>
        </w:rPr>
        <w:t xml:space="preserve">. However, the </w:t>
      </w:r>
      <w:r w:rsidR="00CC536D" w:rsidRPr="00924858">
        <w:rPr>
          <w:rFonts w:ascii="Times New Roman,Calibri" w:eastAsia="Times New Roman,Calibri" w:hAnsi="Times New Roman,Calibri" w:cs="Times New Roman,Calibri"/>
          <w:noProof/>
          <w:sz w:val="24"/>
          <w:szCs w:val="24"/>
          <w:lang w:eastAsia="en-GB"/>
        </w:rPr>
        <w:t xml:space="preserve">Turkish Cypriot community </w:t>
      </w:r>
      <w:r w:rsidR="00F42B39" w:rsidRPr="00924858">
        <w:rPr>
          <w:rFonts w:ascii="Times New Roman,Calibri" w:eastAsia="Times New Roman,Calibri" w:hAnsi="Times New Roman,Calibri" w:cs="Times New Roman,Calibri"/>
          <w:noProof/>
          <w:sz w:val="24"/>
          <w:szCs w:val="24"/>
          <w:lang w:eastAsia="en-GB"/>
        </w:rPr>
        <w:t xml:space="preserve">continued to make good progress in a number of areas and acquired a firmer </w:t>
      </w:r>
      <w:r w:rsidR="00CA2A83" w:rsidRPr="00924858">
        <w:rPr>
          <w:rFonts w:ascii="Times New Roman,Calibri" w:eastAsia="Times New Roman,Calibri" w:hAnsi="Times New Roman,Calibri" w:cs="Times New Roman,Calibri"/>
          <w:noProof/>
          <w:sz w:val="24"/>
          <w:szCs w:val="24"/>
          <w:lang w:eastAsia="en-GB"/>
        </w:rPr>
        <w:t>understanding of the challenges.</w:t>
      </w:r>
    </w:p>
    <w:p w14:paraId="22355E25" w14:textId="63FFC359" w:rsidR="006C615B" w:rsidRPr="00924858" w:rsidRDefault="00F42B39">
      <w:pPr>
        <w:spacing w:before="120" w:after="120" w:line="240" w:lineRule="auto"/>
        <w:ind w:left="850"/>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One </w:t>
      </w:r>
      <w:r w:rsidR="003A6045" w:rsidRPr="00924858">
        <w:rPr>
          <w:rFonts w:ascii="Times New Roman,Calibri" w:eastAsia="Times New Roman,Calibri" w:hAnsi="Times New Roman,Calibri" w:cs="Times New Roman,Calibri"/>
          <w:noProof/>
          <w:sz w:val="24"/>
          <w:szCs w:val="24"/>
          <w:lang w:eastAsia="en-GB"/>
        </w:rPr>
        <w:t xml:space="preserve">ongoing </w:t>
      </w:r>
      <w:r w:rsidRPr="00924858">
        <w:rPr>
          <w:rFonts w:ascii="Times New Roman,Calibri" w:eastAsia="Times New Roman,Calibri" w:hAnsi="Times New Roman,Calibri" w:cs="Times New Roman,Calibri"/>
          <w:noProof/>
          <w:sz w:val="24"/>
          <w:szCs w:val="24"/>
          <w:lang w:eastAsia="en-GB"/>
        </w:rPr>
        <w:t xml:space="preserve">issue has been the construction of the Famagusta sewage network, for which </w:t>
      </w:r>
      <w:r w:rsidR="003A6045" w:rsidRPr="00924858">
        <w:rPr>
          <w:rFonts w:ascii="Times New Roman,Calibri" w:eastAsia="Times New Roman,Calibri" w:hAnsi="Times New Roman,Calibri" w:cs="Times New Roman,Calibri"/>
          <w:noProof/>
          <w:sz w:val="24"/>
          <w:szCs w:val="24"/>
          <w:lang w:eastAsia="en-GB"/>
        </w:rPr>
        <w:t xml:space="preserve">the Commission </w:t>
      </w:r>
      <w:r w:rsidRPr="00924858">
        <w:rPr>
          <w:rFonts w:ascii="Times New Roman,Calibri" w:eastAsia="Times New Roman,Calibri" w:hAnsi="Times New Roman,Calibri" w:cs="Times New Roman,Calibri"/>
          <w:noProof/>
          <w:sz w:val="24"/>
          <w:szCs w:val="24"/>
          <w:lang w:eastAsia="en-GB"/>
        </w:rPr>
        <w:t xml:space="preserve">terminated </w:t>
      </w:r>
      <w:r w:rsidR="007B564E" w:rsidRPr="00924858">
        <w:rPr>
          <w:rFonts w:ascii="Times New Roman,Calibri" w:eastAsia="Times New Roman,Calibri" w:hAnsi="Times New Roman,Calibri" w:cs="Times New Roman,Calibri"/>
          <w:noProof/>
          <w:sz w:val="24"/>
          <w:szCs w:val="24"/>
          <w:lang w:eastAsia="en-GB"/>
        </w:rPr>
        <w:t xml:space="preserve">the contract </w:t>
      </w:r>
      <w:r w:rsidRPr="00924858">
        <w:rPr>
          <w:rFonts w:ascii="Times New Roman,Calibri" w:eastAsia="Times New Roman,Calibri" w:hAnsi="Times New Roman,Calibri" w:cs="Times New Roman,Calibri"/>
          <w:noProof/>
          <w:sz w:val="24"/>
          <w:szCs w:val="24"/>
          <w:lang w:eastAsia="en-GB"/>
        </w:rPr>
        <w:t>in December 2013</w:t>
      </w:r>
      <w:r w:rsidR="003A6045" w:rsidRPr="00924858">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 xml:space="preserve"> The dispute with the former contractor was </w:t>
      </w:r>
      <w:r w:rsidR="005F5678" w:rsidRPr="00924858">
        <w:rPr>
          <w:rFonts w:ascii="Times New Roman,Calibri" w:eastAsia="Times New Roman,Calibri" w:hAnsi="Times New Roman,Calibri" w:cs="Times New Roman,Calibri"/>
          <w:noProof/>
          <w:sz w:val="24"/>
          <w:szCs w:val="24"/>
          <w:lang w:eastAsia="en-GB"/>
        </w:rPr>
        <w:t>referred</w:t>
      </w:r>
      <w:r w:rsidRPr="00924858">
        <w:rPr>
          <w:rFonts w:ascii="Times New Roman,Calibri" w:eastAsia="Times New Roman,Calibri" w:hAnsi="Times New Roman,Calibri" w:cs="Times New Roman,Calibri"/>
          <w:noProof/>
          <w:sz w:val="24"/>
          <w:szCs w:val="24"/>
          <w:lang w:eastAsia="en-GB"/>
        </w:rPr>
        <w:t xml:space="preserve"> to arbitration</w:t>
      </w:r>
      <w:r w:rsidR="005F5678" w:rsidRPr="00924858">
        <w:rPr>
          <w:rFonts w:ascii="Times New Roman,Calibri" w:eastAsia="Times New Roman,Calibri" w:hAnsi="Times New Roman,Calibri" w:cs="Times New Roman,Calibri"/>
          <w:noProof/>
          <w:sz w:val="24"/>
          <w:szCs w:val="24"/>
          <w:lang w:eastAsia="en-GB"/>
        </w:rPr>
        <w:t xml:space="preserve"> in 2017</w:t>
      </w:r>
      <w:r w:rsidR="00D81EE0" w:rsidRPr="00924858">
        <w:rPr>
          <w:rFonts w:ascii="Times New Roman,Calibri" w:eastAsia="Times New Roman,Calibri" w:hAnsi="Times New Roman,Calibri" w:cs="Times New Roman,Calibri"/>
          <w:noProof/>
          <w:sz w:val="24"/>
          <w:szCs w:val="24"/>
          <w:lang w:eastAsia="en-GB"/>
        </w:rPr>
        <w:t xml:space="preserve">. </w:t>
      </w:r>
      <w:r w:rsidR="00F77079" w:rsidRPr="00924858">
        <w:rPr>
          <w:rFonts w:ascii="Times New Roman,Calibri" w:eastAsia="Times New Roman,Calibri" w:hAnsi="Times New Roman,Calibri" w:cs="Times New Roman,Calibri"/>
          <w:noProof/>
          <w:sz w:val="24"/>
          <w:szCs w:val="24"/>
          <w:lang w:eastAsia="en-GB"/>
        </w:rPr>
        <w:t xml:space="preserve">In </w:t>
      </w:r>
      <w:r w:rsidR="00DC5104" w:rsidRPr="00924858">
        <w:rPr>
          <w:rFonts w:ascii="Times New Roman,Calibri" w:eastAsia="Times New Roman,Calibri" w:hAnsi="Times New Roman,Calibri" w:cs="Times New Roman,Calibri"/>
          <w:noProof/>
          <w:sz w:val="24"/>
          <w:szCs w:val="24"/>
          <w:lang w:eastAsia="en-GB"/>
        </w:rPr>
        <w:t>July 2022,</w:t>
      </w:r>
      <w:r w:rsidRPr="00924858">
        <w:rPr>
          <w:rFonts w:ascii="Times New Roman,Calibri" w:eastAsia="Times New Roman,Calibri" w:hAnsi="Times New Roman,Calibri" w:cs="Times New Roman,Calibri"/>
          <w:noProof/>
          <w:sz w:val="24"/>
          <w:szCs w:val="24"/>
          <w:lang w:eastAsia="en-GB"/>
        </w:rPr>
        <w:t xml:space="preserve"> the </w:t>
      </w:r>
      <w:r w:rsidR="00A25FA3" w:rsidRPr="00924858">
        <w:rPr>
          <w:rFonts w:ascii="Times New Roman,Calibri" w:eastAsia="Times New Roman,Calibri" w:hAnsi="Times New Roman,Calibri" w:cs="Times New Roman,Calibri"/>
          <w:noProof/>
          <w:sz w:val="24"/>
          <w:szCs w:val="24"/>
          <w:lang w:eastAsia="en-GB"/>
        </w:rPr>
        <w:t xml:space="preserve">arbitral tribunal rendered </w:t>
      </w:r>
      <w:r w:rsidR="00DC5104" w:rsidRPr="00924858">
        <w:rPr>
          <w:rFonts w:ascii="Times New Roman,Calibri" w:eastAsia="Times New Roman,Calibri" w:hAnsi="Times New Roman,Calibri" w:cs="Times New Roman,Calibri"/>
          <w:noProof/>
          <w:sz w:val="24"/>
          <w:szCs w:val="24"/>
          <w:lang w:eastAsia="en-GB"/>
        </w:rPr>
        <w:t>its</w:t>
      </w:r>
      <w:r w:rsidR="00A25FA3" w:rsidRPr="00924858">
        <w:rPr>
          <w:rFonts w:ascii="Times New Roman,Calibri" w:eastAsia="Times New Roman,Calibri" w:hAnsi="Times New Roman,Calibri" w:cs="Times New Roman,Calibri"/>
          <w:noProof/>
          <w:sz w:val="24"/>
          <w:szCs w:val="24"/>
          <w:lang w:eastAsia="en-GB"/>
        </w:rPr>
        <w:t xml:space="preserve"> final </w:t>
      </w:r>
      <w:r w:rsidR="00D73E47">
        <w:rPr>
          <w:rFonts w:ascii="Times New Roman,Calibri" w:eastAsia="Times New Roman,Calibri" w:hAnsi="Times New Roman,Calibri" w:cs="Times New Roman,Calibri"/>
          <w:noProof/>
          <w:sz w:val="24"/>
          <w:szCs w:val="24"/>
          <w:lang w:eastAsia="en-GB"/>
        </w:rPr>
        <w:t>decision</w:t>
      </w:r>
      <w:r w:rsidR="005F5678" w:rsidRPr="00924858">
        <w:rPr>
          <w:rFonts w:ascii="Times New Roman,Calibri" w:eastAsia="Times New Roman,Calibri" w:hAnsi="Times New Roman,Calibri" w:cs="Times New Roman,Calibri"/>
          <w:noProof/>
          <w:sz w:val="24"/>
          <w:szCs w:val="24"/>
          <w:lang w:eastAsia="en-GB"/>
        </w:rPr>
        <w:t>,</w:t>
      </w:r>
      <w:r w:rsidR="005F5678" w:rsidRPr="00924858">
        <w:rPr>
          <w:rFonts w:ascii="Times New Roman,Calibri" w:hAnsi="Times New Roman,Calibri"/>
          <w:noProof/>
          <w:color w:val="1F497D"/>
          <w:sz w:val="24"/>
          <w:szCs w:val="24"/>
          <w:lang w:eastAsia="en-GB"/>
        </w:rPr>
        <w:t xml:space="preserve"> </w:t>
      </w:r>
      <w:r w:rsidR="005F5678" w:rsidRPr="00924858">
        <w:rPr>
          <w:rFonts w:ascii="Times New Roman,Calibri" w:hAnsi="Times New Roman,Calibri"/>
          <w:noProof/>
          <w:sz w:val="24"/>
          <w:szCs w:val="24"/>
          <w:lang w:eastAsia="en-GB"/>
        </w:rPr>
        <w:t>which was then challenged by the contractor before the Belgian courts</w:t>
      </w:r>
      <w:r w:rsidRPr="00924858">
        <w:rPr>
          <w:rFonts w:ascii="Times New Roman,Calibri" w:eastAsia="Times New Roman,Calibri" w:hAnsi="Times New Roman,Calibri" w:cs="Times New Roman,Calibri"/>
          <w:noProof/>
          <w:sz w:val="24"/>
          <w:szCs w:val="24"/>
          <w:lang w:eastAsia="en-GB"/>
        </w:rPr>
        <w:t xml:space="preserve">. In parallel, the related remedial works </w:t>
      </w:r>
      <w:r w:rsidR="00FB4B04" w:rsidRPr="00924858">
        <w:rPr>
          <w:rFonts w:ascii="Times New Roman,Calibri" w:eastAsia="Times New Roman,Calibri" w:hAnsi="Times New Roman,Calibri" w:cs="Times New Roman,Calibri"/>
          <w:noProof/>
          <w:sz w:val="24"/>
          <w:szCs w:val="24"/>
          <w:lang w:eastAsia="en-GB"/>
        </w:rPr>
        <w:t>continued steadily</w:t>
      </w:r>
      <w:r w:rsidRPr="00924858">
        <w:rPr>
          <w:rFonts w:ascii="Times New Roman,Calibri" w:eastAsia="Times New Roman,Calibri" w:hAnsi="Times New Roman,Calibri" w:cs="Times New Roman,Calibri"/>
          <w:noProof/>
          <w:sz w:val="24"/>
          <w:szCs w:val="24"/>
          <w:lang w:eastAsia="en-GB"/>
        </w:rPr>
        <w:t>.</w:t>
      </w:r>
    </w:p>
    <w:p w14:paraId="7469643D" w14:textId="1E7E1838" w:rsidR="006C615B" w:rsidRPr="00924858" w:rsidRDefault="00F42B39">
      <w:pPr>
        <w:spacing w:before="120" w:after="120" w:line="240" w:lineRule="auto"/>
        <w:ind w:left="850"/>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The Commission </w:t>
      </w:r>
      <w:r w:rsidR="00CB0656" w:rsidRPr="00924858">
        <w:rPr>
          <w:rFonts w:ascii="Times New Roman,Calibri" w:eastAsia="Times New Roman,Calibri" w:hAnsi="Times New Roman,Calibri" w:cs="Times New Roman,Calibri"/>
          <w:noProof/>
          <w:sz w:val="24"/>
          <w:szCs w:val="24"/>
          <w:lang w:eastAsia="en-GB"/>
        </w:rPr>
        <w:t xml:space="preserve">continued to </w:t>
      </w:r>
      <w:r w:rsidR="00212D71" w:rsidRPr="00924858">
        <w:rPr>
          <w:rFonts w:ascii="Times New Roman,Calibri" w:eastAsia="Times New Roman,Calibri" w:hAnsi="Times New Roman,Calibri" w:cs="Times New Roman,Calibri"/>
          <w:noProof/>
          <w:sz w:val="24"/>
          <w:szCs w:val="24"/>
          <w:lang w:eastAsia="en-GB"/>
        </w:rPr>
        <w:t>ensure</w:t>
      </w:r>
      <w:r w:rsidRPr="00924858">
        <w:rPr>
          <w:rFonts w:ascii="Times New Roman,Calibri" w:eastAsia="Times New Roman,Calibri" w:hAnsi="Times New Roman,Calibri" w:cs="Times New Roman,Calibri"/>
          <w:noProof/>
          <w:sz w:val="24"/>
          <w:szCs w:val="24"/>
          <w:lang w:eastAsia="en-GB"/>
        </w:rPr>
        <w:t xml:space="preserve"> that the </w:t>
      </w:r>
      <w:r w:rsidR="00D81EE0" w:rsidRPr="00924858">
        <w:rPr>
          <w:rFonts w:ascii="Times New Roman,Calibri" w:eastAsia="Times New Roman,Calibri" w:hAnsi="Times New Roman,Calibri" w:cs="Times New Roman,Calibri"/>
          <w:noProof/>
          <w:sz w:val="24"/>
          <w:szCs w:val="24"/>
          <w:lang w:eastAsia="en-GB"/>
        </w:rPr>
        <w:t>Aid P</w:t>
      </w:r>
      <w:r w:rsidRPr="00924858">
        <w:rPr>
          <w:rFonts w:ascii="Times New Roman,Calibri" w:eastAsia="Times New Roman,Calibri" w:hAnsi="Times New Roman,Calibri" w:cs="Times New Roman,Calibri"/>
          <w:noProof/>
          <w:sz w:val="24"/>
          <w:szCs w:val="24"/>
          <w:lang w:eastAsia="en-GB"/>
        </w:rPr>
        <w:t xml:space="preserve">rogramme </w:t>
      </w:r>
      <w:r w:rsidR="003A6045" w:rsidRPr="00924858">
        <w:rPr>
          <w:rFonts w:ascii="Times New Roman,Calibri" w:eastAsia="Times New Roman,Calibri" w:hAnsi="Times New Roman,Calibri" w:cs="Times New Roman,Calibri"/>
          <w:noProof/>
          <w:sz w:val="24"/>
          <w:szCs w:val="24"/>
          <w:lang w:eastAsia="en-GB"/>
        </w:rPr>
        <w:t xml:space="preserve">delivered </w:t>
      </w:r>
      <w:r w:rsidRPr="00924858">
        <w:rPr>
          <w:rFonts w:ascii="Times New Roman,Calibri" w:eastAsia="Times New Roman,Calibri" w:hAnsi="Times New Roman,Calibri" w:cs="Times New Roman,Calibri"/>
          <w:noProof/>
          <w:sz w:val="24"/>
          <w:szCs w:val="24"/>
          <w:lang w:eastAsia="en-GB"/>
        </w:rPr>
        <w:t xml:space="preserve">despite the </w:t>
      </w:r>
      <w:r w:rsidR="00D81EE0" w:rsidRPr="00924858">
        <w:rPr>
          <w:rFonts w:ascii="Times New Roman,Calibri" w:eastAsia="Times New Roman,Calibri" w:hAnsi="Times New Roman,Calibri" w:cs="Times New Roman,Calibri"/>
          <w:noProof/>
          <w:sz w:val="24"/>
          <w:szCs w:val="24"/>
          <w:lang w:eastAsia="en-GB"/>
        </w:rPr>
        <w:t xml:space="preserve">aftermath of the </w:t>
      </w:r>
      <w:r w:rsidR="00D81EE0" w:rsidRPr="00D73E47">
        <w:rPr>
          <w:rFonts w:ascii="Times New Roman,Calibri" w:eastAsia="Times New Roman,Calibri" w:hAnsi="Times New Roman,Calibri" w:cs="Times New Roman,Calibri"/>
          <w:noProof/>
          <w:sz w:val="24"/>
          <w:szCs w:val="24"/>
          <w:lang w:eastAsia="en-GB"/>
        </w:rPr>
        <w:t>COVID-19</w:t>
      </w:r>
      <w:r w:rsidR="00D81EE0" w:rsidRPr="00924858">
        <w:rPr>
          <w:rFonts w:ascii="Times New Roman,Calibri" w:eastAsia="Times New Roman,Calibri" w:hAnsi="Times New Roman,Calibri" w:cs="Times New Roman,Calibri"/>
          <w:noProof/>
          <w:sz w:val="24"/>
          <w:szCs w:val="24"/>
          <w:lang w:eastAsia="en-GB"/>
        </w:rPr>
        <w:t xml:space="preserve"> pandemic and the </w:t>
      </w:r>
      <w:r w:rsidR="006D3711" w:rsidRPr="00924858">
        <w:rPr>
          <w:rFonts w:ascii="Times New Roman,Calibri" w:eastAsia="Times New Roman,Calibri" w:hAnsi="Times New Roman,Calibri" w:cs="Times New Roman,Calibri"/>
          <w:noProof/>
          <w:sz w:val="24"/>
          <w:szCs w:val="24"/>
          <w:lang w:eastAsia="en-GB"/>
        </w:rPr>
        <w:t xml:space="preserve">challenging </w:t>
      </w:r>
      <w:r w:rsidR="00D81EE0" w:rsidRPr="00924858">
        <w:rPr>
          <w:rFonts w:ascii="Times New Roman,Calibri" w:eastAsia="Times New Roman,Calibri" w:hAnsi="Times New Roman,Calibri" w:cs="Times New Roman,Calibri"/>
          <w:noProof/>
          <w:sz w:val="24"/>
          <w:szCs w:val="24"/>
          <w:lang w:eastAsia="en-GB"/>
        </w:rPr>
        <w:t>socio-economic</w:t>
      </w:r>
      <w:r w:rsidR="006D3711" w:rsidRPr="00924858">
        <w:rPr>
          <w:rFonts w:ascii="Times New Roman,Calibri" w:eastAsia="Times New Roman,Calibri" w:hAnsi="Times New Roman,Calibri" w:cs="Times New Roman,Calibri"/>
          <w:noProof/>
          <w:sz w:val="24"/>
          <w:szCs w:val="24"/>
          <w:lang w:eastAsia="en-GB"/>
        </w:rPr>
        <w:t xml:space="preserve"> situation in the </w:t>
      </w:r>
      <w:r w:rsidR="00CC536D" w:rsidRPr="00924858">
        <w:rPr>
          <w:rFonts w:ascii="Times New Roman,Calibri" w:eastAsia="Times New Roman,Calibri" w:hAnsi="Times New Roman,Calibri" w:cs="Times New Roman,Calibri"/>
          <w:noProof/>
          <w:sz w:val="24"/>
          <w:szCs w:val="24"/>
          <w:lang w:eastAsia="en-GB"/>
        </w:rPr>
        <w:t>Turkish Cypriot community</w:t>
      </w:r>
      <w:r w:rsidR="00D81EE0" w:rsidRPr="00924858">
        <w:rPr>
          <w:rFonts w:ascii="Times New Roman,Calibri" w:eastAsia="Times New Roman,Calibri" w:hAnsi="Times New Roman,Calibri" w:cs="Times New Roman,Calibri"/>
          <w:noProof/>
          <w:sz w:val="24"/>
          <w:szCs w:val="24"/>
          <w:lang w:eastAsia="en-GB"/>
        </w:rPr>
        <w:t>.</w:t>
      </w:r>
      <w:r w:rsidR="00136EDD" w:rsidRPr="00924858">
        <w:rPr>
          <w:rFonts w:ascii="Times New Roman,Calibri" w:eastAsia="Times New Roman,Calibri" w:hAnsi="Times New Roman,Calibri" w:cs="Times New Roman,Calibri"/>
          <w:noProof/>
          <w:sz w:val="24"/>
          <w:szCs w:val="24"/>
          <w:lang w:eastAsia="en-GB"/>
        </w:rPr>
        <w:t xml:space="preserve"> The programme </w:t>
      </w:r>
      <w:r w:rsidR="00D73E47">
        <w:rPr>
          <w:rFonts w:ascii="Times New Roman,Calibri" w:eastAsia="Times New Roman,Calibri" w:hAnsi="Times New Roman,Calibri" w:cs="Times New Roman,Calibri"/>
          <w:noProof/>
          <w:sz w:val="24"/>
          <w:szCs w:val="24"/>
          <w:lang w:eastAsia="en-GB"/>
        </w:rPr>
        <w:t>continued</w:t>
      </w:r>
      <w:r w:rsidR="00136EDD" w:rsidRPr="00924858">
        <w:rPr>
          <w:rFonts w:ascii="Times New Roman,Calibri" w:eastAsia="Times New Roman,Calibri" w:hAnsi="Times New Roman,Calibri" w:cs="Times New Roman,Calibri"/>
          <w:noProof/>
          <w:sz w:val="24"/>
          <w:szCs w:val="24"/>
          <w:lang w:eastAsia="en-GB"/>
        </w:rPr>
        <w:t xml:space="preserve"> implementing the </w:t>
      </w:r>
      <w:r w:rsidR="006C5AFE" w:rsidRPr="00D73E47">
        <w:rPr>
          <w:rFonts w:ascii="Times New Roman,Calibri" w:eastAsia="Times New Roman,Calibri" w:hAnsi="Times New Roman,Calibri" w:cs="Times New Roman,Calibri"/>
          <w:noProof/>
          <w:sz w:val="24"/>
          <w:szCs w:val="24"/>
          <w:lang w:eastAsia="en-GB"/>
        </w:rPr>
        <w:t>COVID-19</w:t>
      </w:r>
      <w:r w:rsidR="006C5AFE" w:rsidRPr="00924858">
        <w:rPr>
          <w:rFonts w:ascii="Times New Roman,Calibri" w:eastAsia="Times New Roman,Calibri" w:hAnsi="Times New Roman,Calibri" w:cs="Times New Roman,Calibri"/>
          <w:noProof/>
          <w:sz w:val="24"/>
          <w:szCs w:val="24"/>
          <w:lang w:eastAsia="en-GB"/>
        </w:rPr>
        <w:t xml:space="preserve"> </w:t>
      </w:r>
      <w:r w:rsidRPr="00924858">
        <w:rPr>
          <w:rFonts w:ascii="Times New Roman,Calibri" w:eastAsia="Times New Roman,Calibri" w:hAnsi="Times New Roman,Calibri" w:cs="Times New Roman,Calibri"/>
          <w:noProof/>
          <w:sz w:val="24"/>
          <w:szCs w:val="24"/>
          <w:lang w:eastAsia="en-GB"/>
        </w:rPr>
        <w:t>emergency package</w:t>
      </w:r>
      <w:r w:rsidR="00136EDD" w:rsidRPr="00924858">
        <w:rPr>
          <w:rFonts w:ascii="Times New Roman,Calibri" w:eastAsia="Times New Roman,Calibri" w:hAnsi="Times New Roman,Calibri" w:cs="Times New Roman,Calibri"/>
          <w:noProof/>
          <w:sz w:val="24"/>
          <w:szCs w:val="24"/>
          <w:lang w:eastAsia="en-GB"/>
        </w:rPr>
        <w:t xml:space="preserve">, which </w:t>
      </w:r>
      <w:r w:rsidR="00D73E47">
        <w:rPr>
          <w:rFonts w:ascii="Times New Roman,Calibri" w:eastAsia="Times New Roman,Calibri" w:hAnsi="Times New Roman,Calibri" w:cs="Times New Roman,Calibri"/>
          <w:noProof/>
          <w:sz w:val="24"/>
          <w:szCs w:val="24"/>
          <w:lang w:eastAsia="en-GB"/>
        </w:rPr>
        <w:t>covered</w:t>
      </w:r>
      <w:r w:rsidR="00D73E47" w:rsidRPr="00924858">
        <w:rPr>
          <w:rFonts w:ascii="Times New Roman,Calibri" w:eastAsia="Times New Roman,Calibri" w:hAnsi="Times New Roman,Calibri" w:cs="Times New Roman,Calibri"/>
          <w:noProof/>
          <w:sz w:val="24"/>
          <w:szCs w:val="24"/>
          <w:lang w:eastAsia="en-GB"/>
        </w:rPr>
        <w:t xml:space="preserve"> </w:t>
      </w:r>
      <w:r w:rsidRPr="00924858">
        <w:rPr>
          <w:rFonts w:ascii="Times New Roman,Calibri" w:eastAsia="Times New Roman,Calibri" w:hAnsi="Times New Roman,Calibri" w:cs="Times New Roman,Calibri"/>
          <w:noProof/>
          <w:sz w:val="24"/>
          <w:szCs w:val="24"/>
          <w:lang w:eastAsia="en-GB"/>
        </w:rPr>
        <w:t xml:space="preserve">the most urgent medical supplies, economic support </w:t>
      </w:r>
      <w:r w:rsidR="003A6045" w:rsidRPr="00924858">
        <w:rPr>
          <w:rFonts w:ascii="Times New Roman,Calibri" w:eastAsia="Times New Roman,Calibri" w:hAnsi="Times New Roman,Calibri" w:cs="Times New Roman,Calibri"/>
          <w:noProof/>
          <w:sz w:val="24"/>
          <w:szCs w:val="24"/>
          <w:lang w:eastAsia="en-GB"/>
        </w:rPr>
        <w:t xml:space="preserve">for </w:t>
      </w:r>
      <w:r w:rsidRPr="00924858">
        <w:rPr>
          <w:rFonts w:ascii="Times New Roman,Calibri" w:eastAsia="Times New Roman,Calibri" w:hAnsi="Times New Roman,Calibri" w:cs="Times New Roman,Calibri"/>
          <w:noProof/>
          <w:sz w:val="24"/>
          <w:szCs w:val="24"/>
          <w:lang w:eastAsia="en-GB"/>
        </w:rPr>
        <w:t>business</w:t>
      </w:r>
      <w:r w:rsidR="00136EDD" w:rsidRPr="00924858">
        <w:rPr>
          <w:rFonts w:ascii="Times New Roman,Calibri" w:eastAsia="Times New Roman,Calibri" w:hAnsi="Times New Roman,Calibri" w:cs="Times New Roman,Calibri"/>
          <w:noProof/>
          <w:sz w:val="24"/>
          <w:szCs w:val="24"/>
          <w:lang w:eastAsia="en-GB"/>
        </w:rPr>
        <w:t>es</w:t>
      </w:r>
      <w:r w:rsidR="00D73E47">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 xml:space="preserve"> and expert advice to the </w:t>
      </w:r>
      <w:r w:rsidR="00CC536D" w:rsidRPr="00924858">
        <w:rPr>
          <w:rFonts w:ascii="Times New Roman,Calibri" w:eastAsia="Times New Roman,Calibri" w:hAnsi="Times New Roman,Calibri" w:cs="Times New Roman,Calibri"/>
          <w:noProof/>
          <w:sz w:val="24"/>
          <w:szCs w:val="24"/>
          <w:lang w:eastAsia="en-GB"/>
        </w:rPr>
        <w:t>Turkish Cypriot community</w:t>
      </w:r>
      <w:r w:rsidRPr="00924858">
        <w:rPr>
          <w:rFonts w:ascii="Times New Roman,Calibri" w:eastAsia="Times New Roman,Calibri" w:hAnsi="Times New Roman,Calibri" w:cs="Times New Roman,Calibri"/>
          <w:noProof/>
          <w:sz w:val="24"/>
          <w:szCs w:val="24"/>
          <w:lang w:eastAsia="en-GB"/>
        </w:rPr>
        <w:t>.</w:t>
      </w:r>
    </w:p>
    <w:p w14:paraId="0A377E36" w14:textId="2524C8B0" w:rsidR="006C615B" w:rsidRPr="00924858" w:rsidRDefault="00F42B39">
      <w:pPr>
        <w:spacing w:before="120" w:after="120" w:line="240" w:lineRule="auto"/>
        <w:ind w:left="850"/>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At the end of the year, </w:t>
      </w:r>
      <w:r w:rsidR="007B3FD8" w:rsidRPr="00924858">
        <w:rPr>
          <w:rFonts w:ascii="Times New Roman,Calibri" w:eastAsia="Times New Roman,Calibri" w:hAnsi="Times New Roman,Calibri" w:cs="Times New Roman,Calibri"/>
          <w:noProof/>
          <w:sz w:val="24"/>
          <w:szCs w:val="24"/>
          <w:lang w:eastAsia="en-GB"/>
        </w:rPr>
        <w:t>159</w:t>
      </w:r>
      <w:r w:rsidRPr="00924858">
        <w:rPr>
          <w:rFonts w:ascii="Times New Roman,Calibri" w:eastAsia="Times New Roman,Calibri" w:hAnsi="Times New Roman,Calibri" w:cs="Times New Roman,Calibri"/>
          <w:noProof/>
          <w:sz w:val="24"/>
          <w:szCs w:val="24"/>
          <w:lang w:eastAsia="en-GB"/>
        </w:rPr>
        <w:t xml:space="preserve"> contracts were running under the </w:t>
      </w:r>
      <w:r w:rsidR="003A6045" w:rsidRPr="00924858">
        <w:rPr>
          <w:rFonts w:ascii="Times New Roman,Calibri" w:eastAsia="Times New Roman,Calibri" w:hAnsi="Times New Roman,Calibri" w:cs="Times New Roman,Calibri"/>
          <w:noProof/>
          <w:sz w:val="24"/>
          <w:szCs w:val="24"/>
          <w:lang w:eastAsia="en-GB"/>
        </w:rPr>
        <w:t xml:space="preserve">Aid </w:t>
      </w:r>
      <w:r w:rsidRPr="00924858">
        <w:rPr>
          <w:rFonts w:ascii="Times New Roman,Calibri" w:eastAsia="Times New Roman,Calibri" w:hAnsi="Times New Roman,Calibri" w:cs="Times New Roman,Calibri"/>
          <w:noProof/>
          <w:sz w:val="24"/>
          <w:szCs w:val="24"/>
          <w:lang w:eastAsia="en-GB"/>
        </w:rPr>
        <w:t>Programme.</w:t>
      </w:r>
    </w:p>
    <w:p w14:paraId="0DF18F73" w14:textId="77777777" w:rsidR="006C615B" w:rsidRPr="00924858" w:rsidRDefault="00F42B39">
      <w:pPr>
        <w:numPr>
          <w:ilvl w:val="1"/>
          <w:numId w:val="3"/>
        </w:numPr>
        <w:spacing w:before="120" w:after="120" w:line="240" w:lineRule="auto"/>
        <w:ind w:left="851" w:hanging="851"/>
        <w:jc w:val="both"/>
        <w:outlineLvl w:val="1"/>
        <w:rPr>
          <w:rFonts w:ascii="Times New Roman" w:eastAsia="Times New Roman" w:hAnsi="Times New Roman" w:cs="Times New Roman"/>
          <w:b/>
          <w:bCs/>
          <w:noProof/>
          <w:sz w:val="24"/>
          <w:szCs w:val="24"/>
          <w:lang w:eastAsia="en-GB"/>
        </w:rPr>
      </w:pPr>
      <w:r w:rsidRPr="00924858">
        <w:rPr>
          <w:rFonts w:ascii="Times New Roman" w:eastAsia="Times New Roman" w:hAnsi="Times New Roman" w:cs="Times New Roman"/>
          <w:b/>
          <w:bCs/>
          <w:noProof/>
          <w:sz w:val="24"/>
          <w:szCs w:val="24"/>
          <w:lang w:eastAsia="en-GB"/>
        </w:rPr>
        <w:t>Progress by objectives</w:t>
      </w:r>
    </w:p>
    <w:p w14:paraId="0718DA3D" w14:textId="6673E758" w:rsidR="006C615B" w:rsidRPr="00924858" w:rsidRDefault="00F42B39">
      <w:pPr>
        <w:spacing w:before="120" w:after="120" w:line="240" w:lineRule="auto"/>
        <w:ind w:left="850"/>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The overall objective of the Aid Programme is to facilitate the reunification of Cyprus by encouraging the economic development of the </w:t>
      </w:r>
      <w:r w:rsidR="00CC536D" w:rsidRPr="00924858">
        <w:rPr>
          <w:rFonts w:ascii="Times New Roman,Calibri" w:eastAsia="Times New Roman,Calibri" w:hAnsi="Times New Roman,Calibri" w:cs="Times New Roman,Calibri"/>
          <w:noProof/>
          <w:sz w:val="24"/>
          <w:szCs w:val="24"/>
          <w:lang w:eastAsia="en-GB"/>
        </w:rPr>
        <w:t>Turkish Cypriot community</w:t>
      </w:r>
      <w:r w:rsidRPr="00924858">
        <w:rPr>
          <w:rFonts w:ascii="Times New Roman,Calibri" w:eastAsia="Times New Roman,Calibri" w:hAnsi="Times New Roman,Calibri" w:cs="Times New Roman,Calibri"/>
          <w:noProof/>
          <w:sz w:val="24"/>
          <w:szCs w:val="24"/>
          <w:lang w:eastAsia="en-GB"/>
        </w:rPr>
        <w:t xml:space="preserve">, with particular emphasis on the economic integration of the island, on improving contacts between the two communities and with the EU, and on preparation for the </w:t>
      </w:r>
      <w:r w:rsidR="00924858">
        <w:rPr>
          <w:rFonts w:ascii="Times New Roman,Calibri" w:eastAsia="Times New Roman,Calibri" w:hAnsi="Times New Roman,Calibri" w:cs="Times New Roman,Calibri"/>
          <w:i/>
          <w:iCs/>
          <w:noProof/>
          <w:sz w:val="24"/>
          <w:szCs w:val="24"/>
          <w:lang w:eastAsia="en-GB"/>
        </w:rPr>
        <w:t>acquis</w:t>
      </w:r>
      <w:r w:rsidRPr="00924858">
        <w:rPr>
          <w:rFonts w:ascii="Times New Roman,Calibri" w:eastAsia="Times New Roman,Calibri" w:hAnsi="Times New Roman,Calibri" w:cs="Times New Roman,Calibri"/>
          <w:noProof/>
          <w:sz w:val="24"/>
          <w:szCs w:val="24"/>
          <w:lang w:eastAsia="en-GB"/>
        </w:rPr>
        <w:t>.</w:t>
      </w:r>
    </w:p>
    <w:p w14:paraId="5F79171F" w14:textId="60BDC266" w:rsidR="006C615B" w:rsidRPr="00924858" w:rsidRDefault="00F42B39">
      <w:pPr>
        <w:spacing w:before="120" w:after="120" w:line="240" w:lineRule="auto"/>
        <w:ind w:left="850"/>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The activities undertaken in </w:t>
      </w:r>
      <w:r w:rsidR="00D107E8" w:rsidRPr="00924858">
        <w:rPr>
          <w:rFonts w:ascii="Times New Roman,Calibri" w:eastAsia="Times New Roman,Calibri" w:hAnsi="Times New Roman,Calibri" w:cs="Times New Roman,Calibri"/>
          <w:noProof/>
          <w:sz w:val="24"/>
          <w:szCs w:val="24"/>
          <w:lang w:eastAsia="en-GB"/>
        </w:rPr>
        <w:t xml:space="preserve">2022 </w:t>
      </w:r>
      <w:r w:rsidR="00474E06" w:rsidRPr="00924858">
        <w:rPr>
          <w:rFonts w:ascii="Times New Roman,Calibri" w:eastAsia="Times New Roman,Calibri" w:hAnsi="Times New Roman,Calibri" w:cs="Times New Roman,Calibri"/>
          <w:noProof/>
          <w:sz w:val="24"/>
          <w:szCs w:val="24"/>
          <w:lang w:eastAsia="en-GB"/>
        </w:rPr>
        <w:t xml:space="preserve">are described below, for </w:t>
      </w:r>
      <w:r w:rsidRPr="00924858">
        <w:rPr>
          <w:rFonts w:ascii="Times New Roman,Calibri" w:eastAsia="Times New Roman,Calibri" w:hAnsi="Times New Roman,Calibri" w:cs="Times New Roman,Calibri"/>
          <w:noProof/>
          <w:sz w:val="24"/>
          <w:szCs w:val="24"/>
          <w:lang w:eastAsia="en-GB"/>
        </w:rPr>
        <w:t>each objective of the Aid Regulation</w:t>
      </w:r>
      <w:r w:rsidR="00474E06" w:rsidRPr="00924858">
        <w:rPr>
          <w:rFonts w:ascii="Times New Roman,Calibri" w:eastAsia="Times New Roman,Calibri" w:hAnsi="Times New Roman,Calibri" w:cs="Times New Roman,Calibri"/>
          <w:noProof/>
          <w:sz w:val="24"/>
          <w:szCs w:val="24"/>
          <w:lang w:eastAsia="en-GB"/>
        </w:rPr>
        <w:t>.</w:t>
      </w:r>
    </w:p>
    <w:p w14:paraId="4378EC9C" w14:textId="77777777" w:rsidR="006C615B" w:rsidRPr="00924858" w:rsidRDefault="00F42B39">
      <w:pPr>
        <w:numPr>
          <w:ilvl w:val="2"/>
          <w:numId w:val="3"/>
        </w:numPr>
        <w:spacing w:before="120" w:after="120" w:line="240" w:lineRule="auto"/>
        <w:jc w:val="both"/>
        <w:outlineLvl w:val="2"/>
        <w:rPr>
          <w:rFonts w:ascii="Times New Roman" w:eastAsia="Times New Roman" w:hAnsi="Times New Roman" w:cs="Times New Roman"/>
          <w:i/>
          <w:iCs/>
          <w:noProof/>
          <w:sz w:val="24"/>
          <w:szCs w:val="24"/>
          <w:lang w:eastAsia="en-GB"/>
        </w:rPr>
      </w:pPr>
      <w:r w:rsidRPr="00924858">
        <w:rPr>
          <w:rFonts w:ascii="Times New Roman" w:eastAsia="Times New Roman" w:hAnsi="Times New Roman" w:cs="Times New Roman"/>
          <w:i/>
          <w:iCs/>
          <w:noProof/>
          <w:sz w:val="24"/>
          <w:szCs w:val="24"/>
          <w:lang w:eastAsia="en-GB"/>
        </w:rPr>
        <w:t>Objective 1: Developing and restructuring of infrastructure</w:t>
      </w:r>
    </w:p>
    <w:p w14:paraId="4A7876A2" w14:textId="1DC76DDC" w:rsidR="00616D3C" w:rsidRPr="00924858" w:rsidRDefault="00474E06" w:rsidP="00D753D8">
      <w:pPr>
        <w:keepNext/>
        <w:spacing w:before="120" w:after="60" w:line="240" w:lineRule="auto"/>
        <w:ind w:left="851"/>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The United Nations Development Programme (</w:t>
      </w:r>
      <w:r w:rsidR="00F42B39" w:rsidRPr="00924858">
        <w:rPr>
          <w:rFonts w:ascii="Times New Roman,Calibri" w:eastAsia="Times New Roman,Calibri" w:hAnsi="Times New Roman,Calibri" w:cs="Times New Roman,Calibri"/>
          <w:noProof/>
          <w:sz w:val="24"/>
          <w:szCs w:val="24"/>
          <w:lang w:eastAsia="en-GB"/>
        </w:rPr>
        <w:t>UNDP</w:t>
      </w:r>
      <w:r w:rsidRPr="00924858">
        <w:rPr>
          <w:rFonts w:ascii="Times New Roman,Calibri" w:eastAsia="Times New Roman,Calibri" w:hAnsi="Times New Roman,Calibri" w:cs="Times New Roman,Calibri"/>
          <w:noProof/>
          <w:sz w:val="24"/>
          <w:szCs w:val="24"/>
          <w:lang w:eastAsia="en-GB"/>
        </w:rPr>
        <w:t>)</w:t>
      </w:r>
      <w:r w:rsidR="00F42B39" w:rsidRPr="00924858">
        <w:rPr>
          <w:rFonts w:ascii="Times New Roman,Calibri" w:eastAsia="Times New Roman,Calibri" w:hAnsi="Times New Roman,Calibri" w:cs="Times New Roman,Calibri"/>
          <w:noProof/>
          <w:sz w:val="24"/>
          <w:szCs w:val="24"/>
          <w:lang w:eastAsia="en-GB"/>
        </w:rPr>
        <w:t xml:space="preserve"> continued </w:t>
      </w:r>
      <w:r w:rsidR="00ED6995" w:rsidRPr="00924858">
        <w:rPr>
          <w:rFonts w:ascii="Times New Roman,Calibri" w:eastAsia="Times New Roman,Calibri" w:hAnsi="Times New Roman,Calibri" w:cs="Times New Roman,Calibri"/>
          <w:noProof/>
          <w:sz w:val="24"/>
          <w:szCs w:val="24"/>
          <w:lang w:eastAsia="en-GB"/>
        </w:rPr>
        <w:t xml:space="preserve">to </w:t>
      </w:r>
      <w:r w:rsidR="00F42B39" w:rsidRPr="00924858">
        <w:rPr>
          <w:rFonts w:ascii="Times New Roman,Calibri" w:eastAsia="Times New Roman,Calibri" w:hAnsi="Times New Roman,Calibri" w:cs="Times New Roman,Calibri"/>
          <w:noProof/>
          <w:sz w:val="24"/>
          <w:szCs w:val="24"/>
          <w:lang w:eastAsia="en-GB"/>
        </w:rPr>
        <w:t xml:space="preserve">implement the </w:t>
      </w:r>
      <w:r w:rsidR="00F42B39" w:rsidRPr="00924858">
        <w:rPr>
          <w:rFonts w:ascii="Times New Roman" w:eastAsia="Times New Roman" w:hAnsi="Times New Roman" w:cs="Times New Roman"/>
          <w:noProof/>
          <w:sz w:val="24"/>
          <w:szCs w:val="24"/>
        </w:rPr>
        <w:t xml:space="preserve">Local Infrastructure Facility through ongoing </w:t>
      </w:r>
      <w:r w:rsidR="00F42B39" w:rsidRPr="00924858">
        <w:rPr>
          <w:rFonts w:ascii="Times New Roman,Calibri" w:eastAsia="Times New Roman,Calibri" w:hAnsi="Times New Roman,Calibri" w:cs="Times New Roman,Calibri"/>
          <w:noProof/>
          <w:sz w:val="24"/>
          <w:szCs w:val="24"/>
          <w:lang w:eastAsia="en-GB"/>
        </w:rPr>
        <w:t xml:space="preserve">contribution agreements </w:t>
      </w:r>
      <w:r w:rsidR="00BE01D0" w:rsidRPr="00924858">
        <w:rPr>
          <w:rFonts w:ascii="Times New Roman,Calibri" w:eastAsia="Times New Roman,Calibri" w:hAnsi="Times New Roman,Calibri" w:cs="Times New Roman,Calibri"/>
          <w:noProof/>
          <w:sz w:val="24"/>
          <w:szCs w:val="24"/>
          <w:lang w:eastAsia="en-GB"/>
        </w:rPr>
        <w:t xml:space="preserve">signed </w:t>
      </w:r>
      <w:r w:rsidR="00F42B39" w:rsidRPr="00924858">
        <w:rPr>
          <w:rFonts w:ascii="Times New Roman,Calibri" w:eastAsia="Times New Roman,Calibri" w:hAnsi="Times New Roman,Calibri" w:cs="Times New Roman,Calibri"/>
          <w:noProof/>
          <w:sz w:val="24"/>
          <w:szCs w:val="24"/>
          <w:lang w:eastAsia="en-GB"/>
        </w:rPr>
        <w:t>with the Commission</w:t>
      </w:r>
      <w:r w:rsidR="00C5018F" w:rsidRPr="00924858">
        <w:rPr>
          <w:rFonts w:ascii="Times New Roman,Calibri" w:eastAsia="Times New Roman,Calibri" w:hAnsi="Times New Roman,Calibri" w:cs="Times New Roman,Calibri"/>
          <w:noProof/>
          <w:sz w:val="24"/>
          <w:szCs w:val="24"/>
          <w:lang w:eastAsia="en-GB"/>
        </w:rPr>
        <w:t xml:space="preserve"> </w:t>
      </w:r>
      <w:r w:rsidR="00F42B39" w:rsidRPr="00924858">
        <w:rPr>
          <w:rFonts w:ascii="Times New Roman,Calibri" w:eastAsia="Times New Roman,Calibri" w:hAnsi="Times New Roman,Calibri" w:cs="Times New Roman,Calibri"/>
          <w:noProof/>
          <w:sz w:val="24"/>
          <w:szCs w:val="24"/>
          <w:lang w:eastAsia="en-GB"/>
        </w:rPr>
        <w:t xml:space="preserve">for </w:t>
      </w:r>
      <w:r w:rsidR="00C5018F" w:rsidRPr="00924858">
        <w:rPr>
          <w:rFonts w:ascii="Times New Roman,Calibri" w:eastAsia="Times New Roman,Calibri" w:hAnsi="Times New Roman,Calibri" w:cs="Times New Roman,Calibri"/>
          <w:noProof/>
          <w:sz w:val="24"/>
          <w:szCs w:val="24"/>
          <w:lang w:eastAsia="en-GB"/>
        </w:rPr>
        <w:t xml:space="preserve">a total of </w:t>
      </w:r>
      <w:r w:rsidR="00F42B39" w:rsidRPr="00924858">
        <w:rPr>
          <w:rFonts w:ascii="Times New Roman,Calibri" w:eastAsia="Times New Roman,Calibri" w:hAnsi="Times New Roman,Calibri" w:cs="Times New Roman,Calibri"/>
          <w:noProof/>
          <w:sz w:val="24"/>
          <w:szCs w:val="24"/>
          <w:lang w:eastAsia="en-GB"/>
        </w:rPr>
        <w:t>EUR</w:t>
      </w:r>
      <w:r w:rsidR="00924858">
        <w:rPr>
          <w:rFonts w:ascii="Times New Roman,Calibri" w:eastAsia="Times New Roman,Calibri" w:hAnsi="Times New Roman,Calibri" w:cs="Times New Roman,Calibri"/>
          <w:noProof/>
          <w:sz w:val="24"/>
          <w:szCs w:val="24"/>
          <w:lang w:eastAsia="en-GB"/>
        </w:rPr>
        <w:t> </w:t>
      </w:r>
      <w:r w:rsidR="00F42B39" w:rsidRPr="00924858">
        <w:rPr>
          <w:rFonts w:ascii="Times New Roman,Calibri" w:eastAsia="Times New Roman,Calibri" w:hAnsi="Times New Roman,Calibri" w:cs="Times New Roman,Calibri"/>
          <w:noProof/>
          <w:sz w:val="24"/>
          <w:szCs w:val="24"/>
          <w:lang w:eastAsia="en-GB"/>
        </w:rPr>
        <w:t>3</w:t>
      </w:r>
      <w:r w:rsidR="00C63BDD" w:rsidRPr="00924858">
        <w:rPr>
          <w:rFonts w:ascii="Times New Roman,Calibri" w:eastAsia="Times New Roman,Calibri" w:hAnsi="Times New Roman,Calibri" w:cs="Times New Roman,Calibri"/>
          <w:noProof/>
          <w:sz w:val="24"/>
          <w:szCs w:val="24"/>
          <w:lang w:eastAsia="en-GB"/>
        </w:rPr>
        <w:t>3</w:t>
      </w:r>
      <w:r w:rsidR="00F42B39" w:rsidRPr="00924858">
        <w:rPr>
          <w:rFonts w:ascii="Times New Roman,Calibri" w:eastAsia="Times New Roman,Calibri" w:hAnsi="Times New Roman,Calibri" w:cs="Times New Roman,Calibri"/>
          <w:noProof/>
          <w:sz w:val="24"/>
          <w:szCs w:val="24"/>
          <w:lang w:eastAsia="en-GB"/>
        </w:rPr>
        <w:t>.</w:t>
      </w:r>
      <w:r w:rsidR="00C63BDD" w:rsidRPr="00924858">
        <w:rPr>
          <w:rFonts w:ascii="Times New Roman,Calibri" w:eastAsia="Times New Roman,Calibri" w:hAnsi="Times New Roman,Calibri" w:cs="Times New Roman,Calibri"/>
          <w:noProof/>
          <w:sz w:val="24"/>
          <w:szCs w:val="24"/>
          <w:lang w:eastAsia="en-GB"/>
        </w:rPr>
        <w:t>2</w:t>
      </w:r>
      <w:r w:rsidR="00F42B39" w:rsidRPr="00924858">
        <w:rPr>
          <w:rFonts w:ascii="Times New Roman,Calibri" w:eastAsia="Times New Roman,Calibri" w:hAnsi="Times New Roman,Calibri" w:cs="Times New Roman,Calibri"/>
          <w:noProof/>
          <w:sz w:val="24"/>
          <w:szCs w:val="24"/>
          <w:lang w:eastAsia="en-GB"/>
        </w:rPr>
        <w:t xml:space="preserve"> million. The facility provides support for preparing and implementing relevant local infrastructure investments.</w:t>
      </w:r>
    </w:p>
    <w:p w14:paraId="1AC8BA56" w14:textId="3686BC29" w:rsidR="00C5018F" w:rsidRPr="00924858" w:rsidRDefault="00733739" w:rsidP="00D753D8">
      <w:pPr>
        <w:keepNext/>
        <w:spacing w:before="120" w:after="60" w:line="240" w:lineRule="auto"/>
        <w:ind w:left="851"/>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In 2022, </w:t>
      </w:r>
      <w:r w:rsidR="00C63BDD" w:rsidRPr="00924858">
        <w:rPr>
          <w:rFonts w:ascii="Times New Roman,Calibri" w:eastAsia="Times New Roman,Calibri" w:hAnsi="Times New Roman,Calibri" w:cs="Times New Roman,Calibri"/>
          <w:noProof/>
          <w:sz w:val="24"/>
          <w:szCs w:val="24"/>
          <w:lang w:eastAsia="en-GB"/>
        </w:rPr>
        <w:t xml:space="preserve">14 </w:t>
      </w:r>
      <w:r w:rsidRPr="00924858">
        <w:rPr>
          <w:rFonts w:ascii="Times New Roman,Calibri" w:eastAsia="Times New Roman,Calibri" w:hAnsi="Times New Roman,Calibri" w:cs="Times New Roman,Calibri"/>
          <w:noProof/>
          <w:sz w:val="24"/>
          <w:szCs w:val="24"/>
          <w:lang w:eastAsia="en-GB"/>
        </w:rPr>
        <w:t xml:space="preserve">priority </w:t>
      </w:r>
      <w:r w:rsidR="00F42B39" w:rsidRPr="00924858">
        <w:rPr>
          <w:rFonts w:ascii="Times New Roman,Calibri" w:eastAsia="Times New Roman,Calibri" w:hAnsi="Times New Roman,Calibri" w:cs="Times New Roman,Calibri"/>
          <w:noProof/>
          <w:sz w:val="24"/>
          <w:szCs w:val="24"/>
          <w:lang w:eastAsia="en-GB"/>
        </w:rPr>
        <w:t>projects</w:t>
      </w:r>
      <w:r w:rsidR="00C63BDD" w:rsidRPr="00924858">
        <w:rPr>
          <w:rFonts w:ascii="Times New Roman,Calibri" w:eastAsia="Times New Roman,Calibri" w:hAnsi="Times New Roman,Calibri" w:cs="Times New Roman,Calibri"/>
          <w:noProof/>
          <w:sz w:val="24"/>
          <w:szCs w:val="24"/>
          <w:lang w:eastAsia="en-GB"/>
        </w:rPr>
        <w:t xml:space="preserve"> were active</w:t>
      </w:r>
      <w:r w:rsidR="00616D3C" w:rsidRPr="00924858">
        <w:rPr>
          <w:rFonts w:ascii="Times New Roman,Calibri" w:eastAsia="Times New Roman,Calibri" w:hAnsi="Times New Roman,Calibri" w:cs="Times New Roman,Calibri"/>
          <w:noProof/>
          <w:sz w:val="24"/>
          <w:szCs w:val="24"/>
          <w:lang w:eastAsia="en-GB"/>
        </w:rPr>
        <w:t xml:space="preserve"> under the </w:t>
      </w:r>
      <w:r w:rsidR="00D73E47" w:rsidRPr="00D73E47">
        <w:rPr>
          <w:rFonts w:ascii="Times New Roman,Calibri" w:eastAsia="Times New Roman,Calibri" w:hAnsi="Times New Roman,Calibri" w:cs="Times New Roman,Calibri"/>
          <w:noProof/>
          <w:sz w:val="24"/>
          <w:szCs w:val="24"/>
          <w:lang w:eastAsia="en-GB"/>
        </w:rPr>
        <w:t>Local Infrastructure Facility</w:t>
      </w:r>
      <w:r w:rsidRPr="00924858">
        <w:rPr>
          <w:rFonts w:ascii="Times New Roman,Calibri" w:eastAsia="Times New Roman,Calibri" w:hAnsi="Times New Roman,Calibri" w:cs="Times New Roman,Calibri"/>
          <w:noProof/>
          <w:sz w:val="24"/>
          <w:szCs w:val="24"/>
          <w:lang w:eastAsia="en-GB"/>
        </w:rPr>
        <w:t>. Significant</w:t>
      </w:r>
      <w:r w:rsidR="00C63BDD" w:rsidRPr="00924858">
        <w:rPr>
          <w:rFonts w:ascii="Times New Roman,Calibri" w:eastAsia="Times New Roman,Calibri" w:hAnsi="Times New Roman,Calibri" w:cs="Times New Roman,Calibri"/>
          <w:noProof/>
          <w:sz w:val="24"/>
          <w:szCs w:val="24"/>
          <w:lang w:eastAsia="en-GB"/>
        </w:rPr>
        <w:t xml:space="preserve"> progress was achieved in the </w:t>
      </w:r>
      <w:r w:rsidR="1B6081FA" w:rsidRPr="00924858">
        <w:rPr>
          <w:rFonts w:ascii="Times New Roman,Calibri" w:eastAsia="Times New Roman,Calibri" w:hAnsi="Times New Roman,Calibri" w:cs="Times New Roman,Calibri"/>
          <w:noProof/>
          <w:sz w:val="24"/>
          <w:szCs w:val="24"/>
          <w:lang w:eastAsia="en-GB"/>
        </w:rPr>
        <w:t xml:space="preserve">construction </w:t>
      </w:r>
      <w:r w:rsidR="00C63BDD" w:rsidRPr="00924858">
        <w:rPr>
          <w:rFonts w:ascii="Times New Roman,Calibri" w:eastAsia="Times New Roman,Calibri" w:hAnsi="Times New Roman,Calibri" w:cs="Times New Roman,Calibri"/>
          <w:noProof/>
          <w:sz w:val="24"/>
          <w:szCs w:val="24"/>
          <w:lang w:eastAsia="en-GB"/>
        </w:rPr>
        <w:t xml:space="preserve">of </w:t>
      </w:r>
      <w:r w:rsidR="1B6081FA" w:rsidRPr="00924858">
        <w:rPr>
          <w:rFonts w:ascii="Times New Roman,Calibri" w:eastAsia="Times New Roman,Calibri" w:hAnsi="Times New Roman,Calibri" w:cs="Times New Roman,Calibri"/>
          <w:noProof/>
          <w:sz w:val="24"/>
          <w:szCs w:val="24"/>
          <w:lang w:eastAsia="en-GB"/>
        </w:rPr>
        <w:t>th</w:t>
      </w:r>
      <w:r w:rsidR="3C5F44C8" w:rsidRPr="00924858">
        <w:rPr>
          <w:rFonts w:ascii="Times New Roman,Calibri" w:eastAsia="Times New Roman,Calibri" w:hAnsi="Times New Roman,Calibri" w:cs="Times New Roman,Calibri"/>
          <w:noProof/>
          <w:sz w:val="24"/>
          <w:szCs w:val="24"/>
          <w:lang w:eastAsia="en-GB"/>
        </w:rPr>
        <w:t>e Kormakitis Centre for Cooperation</w:t>
      </w:r>
      <w:r w:rsidR="00C63BDD" w:rsidRPr="00924858">
        <w:rPr>
          <w:rFonts w:ascii="Times New Roman,Calibri" w:eastAsia="Times New Roman,Calibri" w:hAnsi="Times New Roman,Calibri" w:cs="Times New Roman,Calibri"/>
          <w:noProof/>
          <w:sz w:val="24"/>
          <w:szCs w:val="24"/>
          <w:lang w:eastAsia="en-GB"/>
        </w:rPr>
        <w:t xml:space="preserve"> and </w:t>
      </w:r>
      <w:r w:rsidR="12F8A4F5" w:rsidRPr="00924858">
        <w:rPr>
          <w:rFonts w:ascii="Times New Roman,Calibri" w:eastAsia="Times New Roman,Calibri" w:hAnsi="Times New Roman,Calibri" w:cs="Times New Roman,Calibri"/>
          <w:noProof/>
          <w:sz w:val="24"/>
          <w:szCs w:val="24"/>
          <w:lang w:eastAsia="en-GB"/>
        </w:rPr>
        <w:t xml:space="preserve">the extension of the </w:t>
      </w:r>
      <w:r w:rsidR="7AEFCD59" w:rsidRPr="00924858">
        <w:rPr>
          <w:rFonts w:ascii="Times New Roman,Calibri" w:eastAsia="Times New Roman,Calibri" w:hAnsi="Times New Roman,Calibri" w:cs="Times New Roman,Calibri"/>
          <w:noProof/>
          <w:sz w:val="24"/>
          <w:szCs w:val="24"/>
          <w:lang w:eastAsia="en-GB"/>
        </w:rPr>
        <w:t xml:space="preserve">Morphou </w:t>
      </w:r>
      <w:r w:rsidR="001A3A63" w:rsidRPr="00924858">
        <w:rPr>
          <w:rFonts w:ascii="Times New Roman,Calibri" w:eastAsia="Times New Roman,Calibri" w:hAnsi="Times New Roman,Calibri" w:cs="Times New Roman,Calibri"/>
          <w:noProof/>
          <w:sz w:val="24"/>
          <w:szCs w:val="24"/>
          <w:lang w:eastAsia="en-GB"/>
        </w:rPr>
        <w:t>w</w:t>
      </w:r>
      <w:r w:rsidR="7AEFCD59" w:rsidRPr="00924858">
        <w:rPr>
          <w:rFonts w:ascii="Times New Roman,Calibri" w:eastAsia="Times New Roman,Calibri" w:hAnsi="Times New Roman,Calibri" w:cs="Times New Roman,Calibri"/>
          <w:noProof/>
          <w:sz w:val="24"/>
          <w:szCs w:val="24"/>
          <w:lang w:eastAsia="en-GB"/>
        </w:rPr>
        <w:t xml:space="preserve">astewater </w:t>
      </w:r>
      <w:r w:rsidR="001A3A63" w:rsidRPr="00924858">
        <w:rPr>
          <w:rFonts w:ascii="Times New Roman,Calibri" w:eastAsia="Times New Roman,Calibri" w:hAnsi="Times New Roman,Calibri" w:cs="Times New Roman,Calibri"/>
          <w:noProof/>
          <w:sz w:val="24"/>
          <w:szCs w:val="24"/>
          <w:lang w:eastAsia="en-GB"/>
        </w:rPr>
        <w:t>t</w:t>
      </w:r>
      <w:r w:rsidR="7AEFCD59" w:rsidRPr="00924858">
        <w:rPr>
          <w:rFonts w:ascii="Times New Roman,Calibri" w:eastAsia="Times New Roman,Calibri" w:hAnsi="Times New Roman,Calibri" w:cs="Times New Roman,Calibri"/>
          <w:noProof/>
          <w:sz w:val="24"/>
          <w:szCs w:val="24"/>
          <w:lang w:eastAsia="en-GB"/>
        </w:rPr>
        <w:t xml:space="preserve">reatment </w:t>
      </w:r>
      <w:r w:rsidR="001A3A63" w:rsidRPr="00924858">
        <w:rPr>
          <w:rFonts w:ascii="Times New Roman,Calibri" w:eastAsia="Times New Roman,Calibri" w:hAnsi="Times New Roman,Calibri" w:cs="Times New Roman,Calibri"/>
          <w:noProof/>
          <w:sz w:val="24"/>
          <w:szCs w:val="24"/>
          <w:lang w:eastAsia="en-GB"/>
        </w:rPr>
        <w:t>p</w:t>
      </w:r>
      <w:r w:rsidR="7AEFCD59" w:rsidRPr="00924858">
        <w:rPr>
          <w:rFonts w:ascii="Times New Roman,Calibri" w:eastAsia="Times New Roman,Calibri" w:hAnsi="Times New Roman,Calibri" w:cs="Times New Roman,Calibri"/>
          <w:noProof/>
          <w:sz w:val="24"/>
          <w:szCs w:val="24"/>
          <w:lang w:eastAsia="en-GB"/>
        </w:rPr>
        <w:t>lant.</w:t>
      </w:r>
      <w:r w:rsidR="00C63BDD" w:rsidRPr="00924858">
        <w:rPr>
          <w:rFonts w:ascii="Times New Roman,Calibri" w:eastAsia="Times New Roman,Calibri" w:hAnsi="Times New Roman,Calibri" w:cs="Times New Roman,Calibri"/>
          <w:noProof/>
          <w:sz w:val="24"/>
          <w:szCs w:val="24"/>
          <w:lang w:eastAsia="en-GB"/>
        </w:rPr>
        <w:t xml:space="preserve"> The rehabilitation works of Kouklia Reservoir</w:t>
      </w:r>
      <w:r w:rsidR="003D1EEA">
        <w:rPr>
          <w:rFonts w:ascii="Times New Roman,Calibri" w:eastAsia="Times New Roman,Calibri" w:hAnsi="Times New Roman,Calibri" w:cs="Times New Roman,Calibri"/>
          <w:noProof/>
          <w:sz w:val="24"/>
          <w:szCs w:val="24"/>
          <w:lang w:eastAsia="en-GB"/>
        </w:rPr>
        <w:t xml:space="preserve"> also</w:t>
      </w:r>
      <w:r w:rsidR="00C63BDD" w:rsidRPr="00924858">
        <w:rPr>
          <w:rFonts w:ascii="Times New Roman,Calibri" w:eastAsia="Times New Roman,Calibri" w:hAnsi="Times New Roman,Calibri" w:cs="Times New Roman,Calibri"/>
          <w:noProof/>
          <w:sz w:val="24"/>
          <w:szCs w:val="24"/>
          <w:lang w:eastAsia="en-GB"/>
        </w:rPr>
        <w:t xml:space="preserve"> started.</w:t>
      </w:r>
      <w:r w:rsidR="00C5018F" w:rsidRPr="00924858">
        <w:rPr>
          <w:rFonts w:ascii="Times New Roman,Calibri" w:eastAsia="Times New Roman,Calibri" w:hAnsi="Times New Roman,Calibri" w:cs="Times New Roman,Calibri"/>
          <w:noProof/>
          <w:sz w:val="24"/>
          <w:szCs w:val="24"/>
          <w:lang w:eastAsia="en-GB"/>
        </w:rPr>
        <w:t xml:space="preserve"> A series of steps were undertaken to prepare the ground for launching a pre-feasibility study for the bi-communal solar power plant.</w:t>
      </w:r>
    </w:p>
    <w:p w14:paraId="4E7D6C60" w14:textId="1C105FDB" w:rsidR="00B93A2F" w:rsidRPr="00924858" w:rsidRDefault="00F42B39" w:rsidP="00036827">
      <w:pPr>
        <w:keepNext/>
        <w:spacing w:before="120" w:after="120" w:line="240" w:lineRule="auto"/>
        <w:ind w:left="851"/>
        <w:jc w:val="both"/>
        <w:rPr>
          <w:rFonts w:ascii="Times New Roman" w:eastAsia="Times New Roman" w:hAnsi="Times New Roman" w:cs="Times New Roman"/>
          <w:noProof/>
          <w:sz w:val="24"/>
          <w:szCs w:val="24"/>
        </w:rPr>
      </w:pPr>
      <w:r w:rsidRPr="00924858">
        <w:rPr>
          <w:rFonts w:ascii="Times New Roman,Calibri" w:eastAsia="Times New Roman,Calibri" w:hAnsi="Times New Roman,Calibri" w:cs="Times New Roman,Calibri"/>
          <w:noProof/>
          <w:sz w:val="24"/>
          <w:szCs w:val="24"/>
          <w:lang w:eastAsia="en-GB"/>
        </w:rPr>
        <w:t xml:space="preserve">In the water sector, construction of the new Nicosia </w:t>
      </w:r>
      <w:r w:rsidR="00ED6995" w:rsidRPr="00924858">
        <w:rPr>
          <w:rFonts w:ascii="Times New Roman,Calibri" w:eastAsia="Times New Roman,Calibri" w:hAnsi="Times New Roman,Calibri" w:cs="Times New Roman,Calibri"/>
          <w:noProof/>
          <w:sz w:val="24"/>
          <w:szCs w:val="24"/>
          <w:lang w:eastAsia="en-GB"/>
        </w:rPr>
        <w:t>t</w:t>
      </w:r>
      <w:r w:rsidRPr="00924858">
        <w:rPr>
          <w:rFonts w:ascii="Times New Roman,Calibri" w:eastAsia="Times New Roman,Calibri" w:hAnsi="Times New Roman,Calibri" w:cs="Times New Roman,Calibri"/>
          <w:noProof/>
          <w:sz w:val="24"/>
          <w:szCs w:val="24"/>
          <w:lang w:eastAsia="en-GB"/>
        </w:rPr>
        <w:t xml:space="preserve">runk </w:t>
      </w:r>
      <w:r w:rsidR="00ED6995" w:rsidRPr="00924858">
        <w:rPr>
          <w:rFonts w:ascii="Times New Roman,Calibri" w:eastAsia="Times New Roman,Calibri" w:hAnsi="Times New Roman,Calibri" w:cs="Times New Roman,Calibri"/>
          <w:noProof/>
          <w:sz w:val="24"/>
          <w:szCs w:val="24"/>
          <w:lang w:eastAsia="en-GB"/>
        </w:rPr>
        <w:t>s</w:t>
      </w:r>
      <w:r w:rsidRPr="00924858">
        <w:rPr>
          <w:rFonts w:ascii="Times New Roman,Calibri" w:eastAsia="Times New Roman,Calibri" w:hAnsi="Times New Roman,Calibri" w:cs="Times New Roman,Calibri"/>
          <w:noProof/>
          <w:sz w:val="24"/>
          <w:szCs w:val="24"/>
          <w:lang w:eastAsia="en-GB"/>
        </w:rPr>
        <w:t xml:space="preserve">ewer </w:t>
      </w:r>
      <w:r w:rsidR="00ED6995" w:rsidRPr="00924858">
        <w:rPr>
          <w:rFonts w:ascii="Times New Roman,Calibri" w:eastAsia="Times New Roman,Calibri" w:hAnsi="Times New Roman,Calibri" w:cs="Times New Roman,Calibri"/>
          <w:noProof/>
          <w:sz w:val="24"/>
          <w:szCs w:val="24"/>
          <w:lang w:eastAsia="en-GB"/>
        </w:rPr>
        <w:t xml:space="preserve">was </w:t>
      </w:r>
      <w:r w:rsidR="00B93A2F" w:rsidRPr="00924858">
        <w:rPr>
          <w:rFonts w:ascii="Times New Roman,Calibri" w:eastAsia="Times New Roman,Calibri" w:hAnsi="Times New Roman,Calibri" w:cs="Times New Roman,Calibri"/>
          <w:noProof/>
          <w:sz w:val="24"/>
          <w:szCs w:val="24"/>
          <w:lang w:eastAsia="en-GB"/>
        </w:rPr>
        <w:t>completed in November 2021</w:t>
      </w:r>
      <w:r w:rsidR="00A43E74" w:rsidRPr="00924858">
        <w:rPr>
          <w:rFonts w:ascii="Times New Roman,Calibri" w:eastAsia="Times New Roman,Calibri" w:hAnsi="Times New Roman,Calibri" w:cs="Times New Roman,Calibri"/>
          <w:noProof/>
          <w:sz w:val="24"/>
          <w:szCs w:val="24"/>
          <w:lang w:eastAsia="en-GB"/>
        </w:rPr>
        <w:t xml:space="preserve"> and the </w:t>
      </w:r>
      <w:r w:rsidR="00733739" w:rsidRPr="00924858">
        <w:rPr>
          <w:rFonts w:ascii="Times New Roman,Calibri" w:eastAsia="Times New Roman,Calibri" w:hAnsi="Times New Roman,Calibri" w:cs="Times New Roman,Calibri"/>
          <w:noProof/>
          <w:sz w:val="24"/>
          <w:szCs w:val="24"/>
          <w:lang w:eastAsia="en-GB"/>
        </w:rPr>
        <w:t>defects notification period</w:t>
      </w:r>
      <w:r w:rsidR="00A43E74" w:rsidRPr="00924858">
        <w:rPr>
          <w:rFonts w:ascii="Times New Roman,Calibri" w:eastAsia="Times New Roman,Calibri" w:hAnsi="Times New Roman,Calibri" w:cs="Times New Roman,Calibri"/>
          <w:noProof/>
          <w:sz w:val="24"/>
          <w:szCs w:val="24"/>
          <w:lang w:eastAsia="en-GB"/>
        </w:rPr>
        <w:t xml:space="preserve"> of the project ended in December 2022</w:t>
      </w:r>
      <w:r w:rsidR="00B93A2F" w:rsidRPr="00924858">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 xml:space="preserve"> </w:t>
      </w:r>
      <w:r w:rsidR="00ED6995" w:rsidRPr="00924858">
        <w:rPr>
          <w:rFonts w:ascii="Times New Roman,Calibri" w:eastAsia="Times New Roman,Calibri" w:hAnsi="Times New Roman,Calibri" w:cs="Times New Roman,Calibri"/>
          <w:noProof/>
          <w:sz w:val="24"/>
          <w:szCs w:val="24"/>
          <w:lang w:eastAsia="en-GB"/>
        </w:rPr>
        <w:t xml:space="preserve">The </w:t>
      </w:r>
      <w:r w:rsidR="003D1EEA">
        <w:rPr>
          <w:rFonts w:ascii="Times New Roman,Calibri" w:eastAsia="Times New Roman,Calibri" w:hAnsi="Times New Roman,Calibri" w:cs="Times New Roman,Calibri"/>
          <w:noProof/>
          <w:sz w:val="24"/>
          <w:szCs w:val="24"/>
          <w:lang w:eastAsia="en-GB"/>
        </w:rPr>
        <w:t>project</w:t>
      </w:r>
      <w:r w:rsidR="003D1EEA" w:rsidRPr="00924858">
        <w:rPr>
          <w:rFonts w:ascii="Times New Roman,Calibri" w:eastAsia="Times New Roman,Calibri" w:hAnsi="Times New Roman,Calibri" w:cs="Times New Roman,Calibri"/>
          <w:noProof/>
          <w:sz w:val="24"/>
          <w:szCs w:val="24"/>
          <w:lang w:eastAsia="en-GB"/>
        </w:rPr>
        <w:t xml:space="preserve"> </w:t>
      </w:r>
      <w:r w:rsidR="00ED6995" w:rsidRPr="00924858">
        <w:rPr>
          <w:rFonts w:ascii="Times New Roman,Calibri" w:eastAsia="Times New Roman,Calibri" w:hAnsi="Times New Roman,Calibri" w:cs="Times New Roman,Calibri"/>
          <w:noProof/>
          <w:sz w:val="24"/>
          <w:szCs w:val="24"/>
          <w:lang w:eastAsia="en-GB"/>
        </w:rPr>
        <w:t>involved</w:t>
      </w:r>
      <w:r w:rsidRPr="00924858">
        <w:rPr>
          <w:rFonts w:ascii="Times New Roman,Calibri" w:eastAsia="Times New Roman,Calibri" w:hAnsi="Times New Roman,Calibri" w:cs="Times New Roman,Calibri"/>
          <w:noProof/>
          <w:sz w:val="24"/>
          <w:szCs w:val="24"/>
          <w:lang w:eastAsia="en-GB"/>
        </w:rPr>
        <w:t xml:space="preserve"> the construction of 13</w:t>
      </w:r>
      <w:r w:rsidR="003D1EEA">
        <w:rPr>
          <w:rFonts w:ascii="Times New Roman,Calibri" w:eastAsia="Times New Roman,Calibri" w:hAnsi="Times New Roman,Calibri" w:cs="Times New Roman,Calibri"/>
          <w:noProof/>
          <w:sz w:val="24"/>
          <w:szCs w:val="24"/>
          <w:lang w:eastAsia="en-GB"/>
        </w:rPr>
        <w:t> </w:t>
      </w:r>
      <w:r w:rsidRPr="00924858">
        <w:rPr>
          <w:rFonts w:ascii="Times New Roman,Calibri" w:eastAsia="Times New Roman,Calibri" w:hAnsi="Times New Roman,Calibri" w:cs="Times New Roman,Calibri"/>
          <w:noProof/>
          <w:sz w:val="24"/>
          <w:szCs w:val="24"/>
          <w:lang w:eastAsia="en-GB"/>
        </w:rPr>
        <w:t xml:space="preserve">km of sewers to convey wastewaters from the Nicosia area to the bi-communal Nicosia </w:t>
      </w:r>
      <w:r w:rsidR="00ED6995" w:rsidRPr="00924858">
        <w:rPr>
          <w:rFonts w:ascii="Times New Roman,Calibri" w:eastAsia="Times New Roman,Calibri" w:hAnsi="Times New Roman,Calibri" w:cs="Times New Roman,Calibri"/>
          <w:noProof/>
          <w:sz w:val="24"/>
          <w:szCs w:val="24"/>
          <w:lang w:eastAsia="en-GB"/>
        </w:rPr>
        <w:t>wastewater treatment plant</w:t>
      </w:r>
      <w:r w:rsidRPr="00924858">
        <w:rPr>
          <w:rFonts w:ascii="Times New Roman,Calibri" w:eastAsia="Times New Roman,Calibri" w:hAnsi="Times New Roman,Calibri" w:cs="Times New Roman,Calibri"/>
          <w:noProof/>
          <w:sz w:val="24"/>
          <w:szCs w:val="24"/>
          <w:lang w:eastAsia="en-GB"/>
        </w:rPr>
        <w:t xml:space="preserve">, </w:t>
      </w:r>
      <w:r w:rsidR="00ED6995" w:rsidRPr="00924858">
        <w:rPr>
          <w:rFonts w:ascii="Times New Roman,Calibri" w:eastAsia="Times New Roman,Calibri" w:hAnsi="Times New Roman,Calibri" w:cs="Times New Roman,Calibri"/>
          <w:noProof/>
          <w:sz w:val="24"/>
          <w:szCs w:val="24"/>
          <w:lang w:eastAsia="en-GB"/>
        </w:rPr>
        <w:t xml:space="preserve">itself </w:t>
      </w:r>
      <w:r w:rsidRPr="00924858">
        <w:rPr>
          <w:rFonts w:ascii="Times New Roman,Calibri" w:eastAsia="Times New Roman,Calibri" w:hAnsi="Times New Roman,Calibri" w:cs="Times New Roman,Calibri"/>
          <w:noProof/>
          <w:sz w:val="24"/>
          <w:szCs w:val="24"/>
          <w:lang w:eastAsia="en-GB"/>
        </w:rPr>
        <w:t xml:space="preserve">an EU-funded </w:t>
      </w:r>
      <w:r w:rsidR="00733739" w:rsidRPr="00924858">
        <w:rPr>
          <w:rFonts w:ascii="Times New Roman,Calibri" w:eastAsia="Times New Roman,Calibri" w:hAnsi="Times New Roman,Calibri" w:cs="Times New Roman,Calibri"/>
          <w:noProof/>
          <w:sz w:val="24"/>
          <w:szCs w:val="24"/>
          <w:lang w:eastAsia="en-GB"/>
        </w:rPr>
        <w:t xml:space="preserve">action </w:t>
      </w:r>
      <w:r w:rsidRPr="00924858">
        <w:rPr>
          <w:rFonts w:ascii="Times New Roman,Calibri" w:eastAsia="Times New Roman,Calibri" w:hAnsi="Times New Roman,Calibri" w:cs="Times New Roman,Calibri"/>
          <w:noProof/>
          <w:sz w:val="24"/>
          <w:szCs w:val="24"/>
          <w:lang w:eastAsia="en-GB"/>
        </w:rPr>
        <w:t xml:space="preserve">completed in 2013. </w:t>
      </w:r>
      <w:r w:rsidR="00B93A2F" w:rsidRPr="00924858">
        <w:rPr>
          <w:rFonts w:ascii="Times New Roman" w:eastAsia="Times New Roman" w:hAnsi="Times New Roman" w:cs="Times New Roman"/>
          <w:noProof/>
          <w:sz w:val="24"/>
          <w:szCs w:val="24"/>
        </w:rPr>
        <w:t>The project</w:t>
      </w:r>
      <w:r w:rsidR="005178FB" w:rsidRPr="00924858">
        <w:rPr>
          <w:rFonts w:ascii="Times New Roman" w:eastAsia="Times New Roman" w:hAnsi="Times New Roman" w:cs="Times New Roman"/>
          <w:noProof/>
          <w:sz w:val="24"/>
          <w:szCs w:val="24"/>
        </w:rPr>
        <w:t xml:space="preserve"> </w:t>
      </w:r>
      <w:r w:rsidR="00B93A2F" w:rsidRPr="00924858">
        <w:rPr>
          <w:rFonts w:ascii="Times New Roman" w:eastAsia="Times New Roman" w:hAnsi="Times New Roman" w:cs="Times New Roman"/>
          <w:noProof/>
          <w:sz w:val="24"/>
          <w:szCs w:val="24"/>
        </w:rPr>
        <w:t>will reduce groundwater contamination and protect shared water resources for the whole island.</w:t>
      </w:r>
    </w:p>
    <w:p w14:paraId="46BF84F7" w14:textId="3501F1B0" w:rsidR="006C615B" w:rsidRPr="00924858" w:rsidRDefault="00C5018F" w:rsidP="00C5018F">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sidRPr="00924858">
        <w:rPr>
          <w:rFonts w:ascii="Times New Roman" w:eastAsia="Times New Roman" w:hAnsi="Times New Roman" w:cs="Times New Roman"/>
          <w:noProof/>
          <w:sz w:val="24"/>
          <w:szCs w:val="24"/>
        </w:rPr>
        <w:t>Remedial works on the Famagusta sew</w:t>
      </w:r>
      <w:r w:rsidR="00616D3C" w:rsidRPr="00924858">
        <w:rPr>
          <w:rFonts w:ascii="Times New Roman" w:eastAsia="Times New Roman" w:hAnsi="Times New Roman" w:cs="Times New Roman"/>
          <w:noProof/>
          <w:sz w:val="24"/>
          <w:szCs w:val="24"/>
        </w:rPr>
        <w:t>er</w:t>
      </w:r>
      <w:r w:rsidRPr="00924858">
        <w:rPr>
          <w:rFonts w:ascii="Times New Roman" w:eastAsia="Times New Roman" w:hAnsi="Times New Roman" w:cs="Times New Roman"/>
          <w:noProof/>
          <w:sz w:val="24"/>
          <w:szCs w:val="24"/>
        </w:rPr>
        <w:t xml:space="preserve">age network </w:t>
      </w:r>
      <w:r w:rsidRPr="00924858">
        <w:rPr>
          <w:rFonts w:ascii="Times New Roman" w:eastAsia="Times New Roman" w:hAnsi="Times New Roman" w:cs="Times New Roman"/>
          <w:bCs/>
          <w:noProof/>
          <w:sz w:val="24"/>
          <w:szCs w:val="24"/>
        </w:rPr>
        <w:t xml:space="preserve">began in July 2021 and </w:t>
      </w:r>
      <w:r w:rsidRPr="00924858">
        <w:rPr>
          <w:rFonts w:ascii="Times New Roman" w:eastAsia="Times New Roman" w:hAnsi="Times New Roman" w:cs="Times New Roman"/>
          <w:noProof/>
          <w:sz w:val="24"/>
          <w:szCs w:val="24"/>
        </w:rPr>
        <w:t xml:space="preserve">the works physically started in January 2022. </w:t>
      </w:r>
      <w:r w:rsidR="000B6FB3" w:rsidRPr="00924858">
        <w:rPr>
          <w:rFonts w:ascii="Times New Roman" w:eastAsia="Times New Roman" w:hAnsi="Times New Roman" w:cs="Times New Roman"/>
          <w:bCs/>
          <w:noProof/>
          <w:sz w:val="24"/>
          <w:szCs w:val="24"/>
        </w:rPr>
        <w:t>T</w:t>
      </w:r>
      <w:r w:rsidR="009C3319" w:rsidRPr="00924858">
        <w:rPr>
          <w:rFonts w:ascii="Times New Roman" w:eastAsia="Times New Roman" w:hAnsi="Times New Roman" w:cs="Times New Roman"/>
          <w:bCs/>
          <w:noProof/>
          <w:sz w:val="24"/>
          <w:szCs w:val="24"/>
        </w:rPr>
        <w:t xml:space="preserve">he objective of the </w:t>
      </w:r>
      <w:r w:rsidR="000B6FB3" w:rsidRPr="00924858">
        <w:rPr>
          <w:rFonts w:ascii="Times New Roman" w:eastAsia="Times New Roman" w:hAnsi="Times New Roman" w:cs="Times New Roman"/>
          <w:bCs/>
          <w:noProof/>
          <w:sz w:val="24"/>
          <w:szCs w:val="24"/>
        </w:rPr>
        <w:t>project</w:t>
      </w:r>
      <w:r w:rsidR="009C3319" w:rsidRPr="00924858">
        <w:rPr>
          <w:rFonts w:ascii="Times New Roman" w:eastAsia="Times New Roman" w:hAnsi="Times New Roman" w:cs="Times New Roman"/>
          <w:bCs/>
          <w:noProof/>
          <w:sz w:val="24"/>
          <w:szCs w:val="24"/>
        </w:rPr>
        <w:t xml:space="preserve"> is to remedy </w:t>
      </w:r>
      <w:r w:rsidR="000B6FB3" w:rsidRPr="00924858">
        <w:rPr>
          <w:rFonts w:ascii="Times New Roman" w:eastAsia="Times New Roman" w:hAnsi="Times New Roman" w:cs="Times New Roman"/>
          <w:bCs/>
          <w:noProof/>
          <w:sz w:val="24"/>
          <w:szCs w:val="24"/>
        </w:rPr>
        <w:t xml:space="preserve">a </w:t>
      </w:r>
      <w:r w:rsidR="00616D3C" w:rsidRPr="00924858">
        <w:rPr>
          <w:rFonts w:ascii="Times New Roman" w:eastAsia="Times New Roman" w:hAnsi="Times New Roman" w:cs="Times New Roman"/>
          <w:bCs/>
          <w:noProof/>
          <w:sz w:val="24"/>
          <w:szCs w:val="24"/>
        </w:rPr>
        <w:t>high</w:t>
      </w:r>
      <w:r w:rsidR="000B6FB3" w:rsidRPr="00924858">
        <w:rPr>
          <w:rFonts w:ascii="Times New Roman" w:eastAsia="Times New Roman" w:hAnsi="Times New Roman" w:cs="Times New Roman"/>
          <w:bCs/>
          <w:noProof/>
          <w:sz w:val="24"/>
          <w:szCs w:val="24"/>
        </w:rPr>
        <w:t xml:space="preserve"> number of defects</w:t>
      </w:r>
      <w:r w:rsidR="000B6FB3" w:rsidRPr="00924858" w:rsidDel="000B6FB3">
        <w:rPr>
          <w:rFonts w:ascii="Times New Roman" w:eastAsia="Times New Roman" w:hAnsi="Times New Roman" w:cs="Times New Roman"/>
          <w:bCs/>
          <w:noProof/>
          <w:sz w:val="24"/>
          <w:szCs w:val="24"/>
        </w:rPr>
        <w:t xml:space="preserve"> </w:t>
      </w:r>
      <w:r w:rsidR="000B6FB3" w:rsidRPr="00924858">
        <w:rPr>
          <w:rFonts w:ascii="Times New Roman" w:eastAsia="Times New Roman" w:hAnsi="Times New Roman" w:cs="Times New Roman"/>
          <w:bCs/>
          <w:noProof/>
          <w:sz w:val="24"/>
          <w:szCs w:val="24"/>
        </w:rPr>
        <w:t xml:space="preserve">of the initial project </w:t>
      </w:r>
      <w:r w:rsidR="009C3319" w:rsidRPr="00924858">
        <w:rPr>
          <w:rFonts w:ascii="Times New Roman" w:eastAsia="Times New Roman" w:hAnsi="Times New Roman" w:cs="Times New Roman"/>
          <w:bCs/>
          <w:noProof/>
          <w:sz w:val="24"/>
          <w:szCs w:val="24"/>
        </w:rPr>
        <w:t xml:space="preserve">and improve the quality and functionality of the system. </w:t>
      </w:r>
      <w:r w:rsidR="00733739" w:rsidRPr="00924858">
        <w:rPr>
          <w:rFonts w:ascii="Times New Roman" w:eastAsia="Times New Roman" w:hAnsi="Times New Roman" w:cs="Times New Roman"/>
          <w:noProof/>
          <w:sz w:val="24"/>
          <w:szCs w:val="24"/>
        </w:rPr>
        <w:t>Significant</w:t>
      </w:r>
      <w:r w:rsidR="00FF1A12" w:rsidRPr="00924858">
        <w:rPr>
          <w:rFonts w:ascii="Times New Roman" w:eastAsia="Times New Roman" w:hAnsi="Times New Roman" w:cs="Times New Roman"/>
          <w:noProof/>
          <w:sz w:val="24"/>
          <w:szCs w:val="24"/>
        </w:rPr>
        <w:t xml:space="preserve"> progress was achieved </w:t>
      </w:r>
      <w:r w:rsidR="00733739" w:rsidRPr="00924858">
        <w:rPr>
          <w:rFonts w:ascii="Times New Roman" w:eastAsia="Times New Roman" w:hAnsi="Times New Roman" w:cs="Times New Roman"/>
          <w:noProof/>
          <w:sz w:val="24"/>
          <w:szCs w:val="24"/>
        </w:rPr>
        <w:t>through</w:t>
      </w:r>
      <w:r w:rsidR="00FF1A12" w:rsidRPr="00924858">
        <w:rPr>
          <w:rFonts w:ascii="Times New Roman" w:eastAsia="Times New Roman" w:hAnsi="Times New Roman" w:cs="Times New Roman"/>
          <w:noProof/>
          <w:sz w:val="24"/>
          <w:szCs w:val="24"/>
        </w:rPr>
        <w:t xml:space="preserve"> 2022, with roughly</w:t>
      </w:r>
      <w:r w:rsidR="009C3319" w:rsidRPr="00924858">
        <w:rPr>
          <w:rFonts w:ascii="Times New Roman" w:eastAsia="Times New Roman" w:hAnsi="Times New Roman" w:cs="Times New Roman"/>
          <w:noProof/>
          <w:sz w:val="24"/>
          <w:szCs w:val="24"/>
        </w:rPr>
        <w:t xml:space="preserve"> 70% of the </w:t>
      </w:r>
      <w:r w:rsidR="00FF1A12" w:rsidRPr="00924858">
        <w:rPr>
          <w:rFonts w:ascii="Times New Roman" w:eastAsia="Times New Roman" w:hAnsi="Times New Roman" w:cs="Times New Roman"/>
          <w:noProof/>
          <w:sz w:val="24"/>
          <w:szCs w:val="24"/>
        </w:rPr>
        <w:t>planned</w:t>
      </w:r>
      <w:r w:rsidR="009C3319" w:rsidRPr="00924858">
        <w:rPr>
          <w:rFonts w:ascii="Times New Roman" w:eastAsia="Times New Roman" w:hAnsi="Times New Roman" w:cs="Times New Roman"/>
          <w:noProof/>
          <w:sz w:val="24"/>
          <w:szCs w:val="24"/>
        </w:rPr>
        <w:t xml:space="preserve"> pipeline installed</w:t>
      </w:r>
      <w:r w:rsidR="00FF1A12" w:rsidRPr="00924858">
        <w:rPr>
          <w:rFonts w:ascii="Times New Roman" w:eastAsia="Times New Roman" w:hAnsi="Times New Roman" w:cs="Times New Roman"/>
          <w:noProof/>
          <w:sz w:val="24"/>
          <w:szCs w:val="24"/>
        </w:rPr>
        <w:t>.</w:t>
      </w:r>
      <w:r w:rsidR="009C3319" w:rsidRPr="00924858">
        <w:rPr>
          <w:rFonts w:ascii="Times New Roman" w:eastAsia="Times New Roman" w:hAnsi="Times New Roman" w:cs="Times New Roman"/>
          <w:noProof/>
          <w:sz w:val="24"/>
          <w:szCs w:val="24"/>
        </w:rPr>
        <w:t xml:space="preserve"> </w:t>
      </w:r>
      <w:r w:rsidR="00FF1A12" w:rsidRPr="00924858">
        <w:rPr>
          <w:rFonts w:ascii="Times New Roman" w:eastAsia="Times New Roman" w:hAnsi="Times New Roman" w:cs="Times New Roman"/>
          <w:noProof/>
          <w:sz w:val="24"/>
          <w:szCs w:val="24"/>
        </w:rPr>
        <w:t>T</w:t>
      </w:r>
      <w:r w:rsidR="009C3319" w:rsidRPr="00924858">
        <w:rPr>
          <w:rFonts w:ascii="Times New Roman" w:eastAsia="Times New Roman" w:hAnsi="Times New Roman" w:cs="Times New Roman"/>
          <w:noProof/>
          <w:sz w:val="24"/>
          <w:szCs w:val="24"/>
        </w:rPr>
        <w:t xml:space="preserve">he </w:t>
      </w:r>
      <w:r w:rsidR="00A15CF2" w:rsidRPr="00924858">
        <w:rPr>
          <w:rFonts w:ascii="Times New Roman" w:eastAsia="Times New Roman" w:hAnsi="Times New Roman" w:cs="Times New Roman"/>
          <w:noProof/>
          <w:sz w:val="24"/>
          <w:szCs w:val="24"/>
        </w:rPr>
        <w:t xml:space="preserve">project </w:t>
      </w:r>
      <w:r w:rsidR="00733739" w:rsidRPr="00924858">
        <w:rPr>
          <w:rFonts w:ascii="Times New Roman" w:eastAsia="Times New Roman" w:hAnsi="Times New Roman" w:cs="Times New Roman"/>
          <w:noProof/>
          <w:sz w:val="24"/>
          <w:szCs w:val="24"/>
        </w:rPr>
        <w:t xml:space="preserve">completion </w:t>
      </w:r>
      <w:r w:rsidR="00A15CF2" w:rsidRPr="00924858">
        <w:rPr>
          <w:rFonts w:ascii="Times New Roman" w:eastAsia="Times New Roman" w:hAnsi="Times New Roman" w:cs="Times New Roman"/>
          <w:noProof/>
          <w:sz w:val="24"/>
          <w:szCs w:val="24"/>
        </w:rPr>
        <w:t xml:space="preserve">is </w:t>
      </w:r>
      <w:r w:rsidR="009C3319" w:rsidRPr="00924858">
        <w:rPr>
          <w:rFonts w:ascii="Times New Roman" w:eastAsia="Times New Roman" w:hAnsi="Times New Roman" w:cs="Times New Roman"/>
          <w:noProof/>
          <w:sz w:val="24"/>
          <w:szCs w:val="24"/>
        </w:rPr>
        <w:t xml:space="preserve">expected </w:t>
      </w:r>
      <w:r w:rsidR="00A15CF2" w:rsidRPr="00924858">
        <w:rPr>
          <w:rFonts w:ascii="Times New Roman" w:eastAsia="Times New Roman" w:hAnsi="Times New Roman" w:cs="Times New Roman"/>
          <w:noProof/>
          <w:sz w:val="24"/>
          <w:szCs w:val="24"/>
        </w:rPr>
        <w:t xml:space="preserve">towards </w:t>
      </w:r>
      <w:r w:rsidR="00FF1A12" w:rsidRPr="00924858">
        <w:rPr>
          <w:rFonts w:ascii="Times New Roman" w:eastAsia="Times New Roman" w:hAnsi="Times New Roman" w:cs="Times New Roman"/>
          <w:noProof/>
          <w:sz w:val="24"/>
          <w:szCs w:val="24"/>
        </w:rPr>
        <w:t xml:space="preserve">the </w:t>
      </w:r>
      <w:r w:rsidR="00A15CF2" w:rsidRPr="00924858">
        <w:rPr>
          <w:rFonts w:ascii="Times New Roman" w:eastAsia="Times New Roman" w:hAnsi="Times New Roman" w:cs="Times New Roman"/>
          <w:noProof/>
          <w:sz w:val="24"/>
          <w:szCs w:val="24"/>
        </w:rPr>
        <w:t>end of 2023.</w:t>
      </w:r>
    </w:p>
    <w:p w14:paraId="7D04CB57" w14:textId="3B3A129A" w:rsidR="00327913" w:rsidRPr="00924858" w:rsidRDefault="00C63BDD">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The </w:t>
      </w:r>
      <w:r w:rsidR="003D1EEA" w:rsidRPr="003D1EEA">
        <w:rPr>
          <w:rFonts w:ascii="Times New Roman,Calibri" w:eastAsia="Times New Roman,Calibri" w:hAnsi="Times New Roman,Calibri" w:cs="Times New Roman,Calibri"/>
          <w:noProof/>
          <w:sz w:val="24"/>
          <w:szCs w:val="24"/>
          <w:lang w:eastAsia="en-GB"/>
        </w:rPr>
        <w:t xml:space="preserve">defects notification period </w:t>
      </w:r>
      <w:r w:rsidRPr="00924858">
        <w:rPr>
          <w:rFonts w:ascii="Times New Roman,Calibri" w:eastAsia="Times New Roman,Calibri" w:hAnsi="Times New Roman,Calibri" w:cs="Times New Roman,Calibri"/>
          <w:noProof/>
          <w:sz w:val="24"/>
          <w:szCs w:val="24"/>
          <w:lang w:eastAsia="en-GB"/>
        </w:rPr>
        <w:t>of</w:t>
      </w:r>
      <w:r w:rsidR="00F42B39" w:rsidRPr="00924858">
        <w:rPr>
          <w:rFonts w:ascii="Times New Roman,Calibri" w:eastAsia="Times New Roman,Calibri" w:hAnsi="Times New Roman,Calibri" w:cs="Times New Roman,Calibri"/>
          <w:noProof/>
          <w:sz w:val="24"/>
          <w:szCs w:val="24"/>
          <w:lang w:eastAsia="en-GB"/>
        </w:rPr>
        <w:t xml:space="preserve"> amended works contracts </w:t>
      </w:r>
      <w:r w:rsidR="000F3D80" w:rsidRPr="00924858">
        <w:rPr>
          <w:rFonts w:ascii="Times New Roman,Calibri" w:eastAsia="Times New Roman,Calibri" w:hAnsi="Times New Roman,Calibri" w:cs="Times New Roman,Calibri"/>
          <w:noProof/>
          <w:sz w:val="24"/>
          <w:szCs w:val="24"/>
          <w:lang w:eastAsia="en-GB"/>
        </w:rPr>
        <w:t xml:space="preserve">for a </w:t>
      </w:r>
      <w:r w:rsidR="00F42B39" w:rsidRPr="00924858">
        <w:rPr>
          <w:rFonts w:ascii="Times New Roman,Calibri" w:eastAsia="Times New Roman,Calibri" w:hAnsi="Times New Roman,Calibri" w:cs="Times New Roman,Calibri"/>
          <w:noProof/>
          <w:sz w:val="24"/>
          <w:szCs w:val="24"/>
          <w:lang w:eastAsia="en-GB"/>
        </w:rPr>
        <w:t xml:space="preserve">landfill extension and </w:t>
      </w:r>
      <w:r w:rsidR="000F3D80" w:rsidRPr="00924858">
        <w:rPr>
          <w:rFonts w:ascii="Times New Roman,Calibri" w:eastAsia="Times New Roman,Calibri" w:hAnsi="Times New Roman,Calibri" w:cs="Times New Roman,Calibri"/>
          <w:noProof/>
          <w:sz w:val="24"/>
          <w:szCs w:val="24"/>
          <w:lang w:eastAsia="en-GB"/>
        </w:rPr>
        <w:t xml:space="preserve">a </w:t>
      </w:r>
      <w:r w:rsidR="00F42B39" w:rsidRPr="00924858">
        <w:rPr>
          <w:rFonts w:ascii="Times New Roman,Calibri" w:eastAsia="Times New Roman,Calibri" w:hAnsi="Times New Roman,Calibri" w:cs="Times New Roman,Calibri"/>
          <w:noProof/>
          <w:sz w:val="24"/>
          <w:szCs w:val="24"/>
          <w:lang w:eastAsia="en-GB"/>
        </w:rPr>
        <w:t>landfill degassing plant</w:t>
      </w:r>
      <w:r w:rsidRPr="00924858">
        <w:rPr>
          <w:rFonts w:ascii="Times New Roman,Calibri" w:eastAsia="Times New Roman,Calibri" w:hAnsi="Times New Roman,Calibri" w:cs="Times New Roman,Calibri"/>
          <w:noProof/>
          <w:sz w:val="24"/>
          <w:szCs w:val="24"/>
          <w:lang w:eastAsia="en-GB"/>
        </w:rPr>
        <w:t xml:space="preserve"> ended </w:t>
      </w:r>
      <w:r w:rsidR="00BA59C9" w:rsidRPr="00924858">
        <w:rPr>
          <w:rFonts w:ascii="Times New Roman,Calibri" w:eastAsia="Times New Roman,Calibri" w:hAnsi="Times New Roman,Calibri" w:cs="Times New Roman,Calibri"/>
          <w:noProof/>
          <w:sz w:val="24"/>
          <w:szCs w:val="24"/>
          <w:lang w:eastAsia="en-GB"/>
        </w:rPr>
        <w:t>in</w:t>
      </w:r>
      <w:r w:rsidRPr="00924858">
        <w:rPr>
          <w:rFonts w:ascii="Times New Roman,Calibri" w:eastAsia="Times New Roman,Calibri" w:hAnsi="Times New Roman,Calibri" w:cs="Times New Roman,Calibri"/>
          <w:noProof/>
          <w:sz w:val="24"/>
          <w:szCs w:val="24"/>
          <w:lang w:eastAsia="en-GB"/>
        </w:rPr>
        <w:t xml:space="preserve"> </w:t>
      </w:r>
      <w:r w:rsidR="00957838" w:rsidRPr="00924858">
        <w:rPr>
          <w:rFonts w:ascii="Times New Roman,Calibri" w:eastAsia="Times New Roman,Calibri" w:hAnsi="Times New Roman,Calibri" w:cs="Times New Roman,Calibri"/>
          <w:noProof/>
          <w:sz w:val="24"/>
          <w:szCs w:val="24"/>
          <w:lang w:eastAsia="en-GB"/>
        </w:rPr>
        <w:t>January 2022</w:t>
      </w:r>
      <w:r w:rsidRPr="00924858">
        <w:rPr>
          <w:rFonts w:ascii="Times New Roman,Calibri" w:eastAsia="Times New Roman,Calibri" w:hAnsi="Times New Roman,Calibri" w:cs="Times New Roman,Calibri"/>
          <w:noProof/>
          <w:sz w:val="24"/>
          <w:szCs w:val="24"/>
          <w:lang w:eastAsia="en-GB"/>
        </w:rPr>
        <w:t xml:space="preserve">, with the facility </w:t>
      </w:r>
      <w:r w:rsidR="00957838" w:rsidRPr="00924858">
        <w:rPr>
          <w:rFonts w:ascii="Times New Roman,Calibri" w:eastAsia="Times New Roman,Calibri" w:hAnsi="Times New Roman,Calibri" w:cs="Times New Roman,Calibri"/>
          <w:noProof/>
          <w:sz w:val="24"/>
          <w:szCs w:val="24"/>
          <w:lang w:eastAsia="en-GB"/>
        </w:rPr>
        <w:t>fully handed over to the Turkish Cypriot community</w:t>
      </w:r>
      <w:r w:rsidR="00F42B39" w:rsidRPr="00924858">
        <w:rPr>
          <w:rFonts w:ascii="Times New Roman,Calibri" w:eastAsia="Times New Roman,Calibri" w:hAnsi="Times New Roman,Calibri" w:cs="Times New Roman,Calibri"/>
          <w:noProof/>
          <w:sz w:val="24"/>
          <w:szCs w:val="24"/>
          <w:lang w:eastAsia="en-GB"/>
        </w:rPr>
        <w:t>.</w:t>
      </w:r>
    </w:p>
    <w:p w14:paraId="3C5CDB03" w14:textId="58271C13" w:rsidR="006C615B" w:rsidRPr="00924858" w:rsidRDefault="00327913">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Unfortunately, the beneficiary has </w:t>
      </w:r>
      <w:r w:rsidR="00AC0BD4" w:rsidRPr="00924858">
        <w:rPr>
          <w:rFonts w:ascii="Times New Roman,Calibri" w:eastAsia="Times New Roman,Calibri" w:hAnsi="Times New Roman,Calibri" w:cs="Times New Roman,Calibri"/>
          <w:noProof/>
          <w:sz w:val="24"/>
          <w:szCs w:val="24"/>
          <w:lang w:eastAsia="en-GB"/>
        </w:rPr>
        <w:t xml:space="preserve">not </w:t>
      </w:r>
      <w:r w:rsidR="00957838" w:rsidRPr="00924858">
        <w:rPr>
          <w:rFonts w:ascii="Times New Roman,Calibri" w:eastAsia="Times New Roman,Calibri" w:hAnsi="Times New Roman,Calibri" w:cs="Times New Roman,Calibri"/>
          <w:noProof/>
          <w:sz w:val="24"/>
          <w:szCs w:val="24"/>
          <w:lang w:eastAsia="en-GB"/>
        </w:rPr>
        <w:t xml:space="preserve">improved operations and management of </w:t>
      </w:r>
      <w:r w:rsidRPr="00924858">
        <w:rPr>
          <w:rFonts w:ascii="Times New Roman,Calibri" w:eastAsia="Times New Roman,Calibri" w:hAnsi="Times New Roman,Calibri" w:cs="Times New Roman,Calibri"/>
          <w:noProof/>
          <w:sz w:val="24"/>
          <w:szCs w:val="24"/>
          <w:lang w:eastAsia="en-GB"/>
        </w:rPr>
        <w:t xml:space="preserve">the landfill facility, </w:t>
      </w:r>
      <w:r w:rsidR="00CE719D">
        <w:rPr>
          <w:rFonts w:ascii="Times New Roman,Calibri" w:eastAsia="Times New Roman,Calibri" w:hAnsi="Times New Roman,Calibri" w:cs="Times New Roman,Calibri"/>
          <w:noProof/>
          <w:sz w:val="24"/>
          <w:szCs w:val="24"/>
          <w:lang w:eastAsia="en-GB"/>
        </w:rPr>
        <w:t>and has continued with</w:t>
      </w:r>
      <w:r w:rsidR="00CE719D" w:rsidRPr="00924858">
        <w:rPr>
          <w:rFonts w:ascii="Times New Roman,Calibri" w:eastAsia="Times New Roman,Calibri" w:hAnsi="Times New Roman,Calibri" w:cs="Times New Roman,Calibri"/>
          <w:noProof/>
          <w:sz w:val="24"/>
          <w:szCs w:val="24"/>
          <w:lang w:eastAsia="en-GB"/>
        </w:rPr>
        <w:t xml:space="preserve"> </w:t>
      </w:r>
      <w:r w:rsidR="00957838" w:rsidRPr="00924858">
        <w:rPr>
          <w:rFonts w:ascii="Times New Roman,Calibri" w:eastAsia="Times New Roman,Calibri" w:hAnsi="Times New Roman,Calibri" w:cs="Times New Roman,Calibri"/>
          <w:noProof/>
          <w:sz w:val="24"/>
          <w:szCs w:val="24"/>
          <w:lang w:eastAsia="en-GB"/>
        </w:rPr>
        <w:t xml:space="preserve">poor waste disposal </w:t>
      </w:r>
      <w:r w:rsidR="00957838" w:rsidRPr="00C25A7C">
        <w:rPr>
          <w:rFonts w:ascii="Times New Roman,Calibri" w:eastAsia="Times New Roman,Calibri" w:hAnsi="Times New Roman,Calibri" w:cs="Times New Roman,Calibri"/>
          <w:noProof/>
          <w:sz w:val="24"/>
          <w:szCs w:val="24"/>
          <w:lang w:eastAsia="en-GB"/>
        </w:rPr>
        <w:t>practices</w:t>
      </w:r>
      <w:r w:rsidR="00957838" w:rsidRPr="00924858">
        <w:rPr>
          <w:rFonts w:ascii="Times New Roman,Calibri" w:eastAsia="Times New Roman,Calibri" w:hAnsi="Times New Roman,Calibri" w:cs="Times New Roman,Calibri"/>
          <w:noProof/>
          <w:sz w:val="24"/>
          <w:szCs w:val="24"/>
          <w:lang w:eastAsia="en-GB"/>
        </w:rPr>
        <w:t xml:space="preserve"> </w:t>
      </w:r>
      <w:r w:rsidR="00887901" w:rsidRPr="00924858">
        <w:rPr>
          <w:rFonts w:ascii="Times New Roman,Calibri" w:eastAsia="Times New Roman,Calibri" w:hAnsi="Times New Roman,Calibri" w:cs="Times New Roman,Calibri"/>
          <w:noProof/>
          <w:sz w:val="24"/>
          <w:szCs w:val="24"/>
          <w:lang w:eastAsia="en-GB"/>
        </w:rPr>
        <w:t xml:space="preserve">while making no use of </w:t>
      </w:r>
      <w:r w:rsidRPr="00924858">
        <w:rPr>
          <w:rFonts w:ascii="Times New Roman,Calibri" w:eastAsia="Times New Roman,Calibri" w:hAnsi="Times New Roman,Calibri" w:cs="Times New Roman,Calibri"/>
          <w:noProof/>
          <w:sz w:val="24"/>
          <w:szCs w:val="24"/>
          <w:lang w:eastAsia="en-GB"/>
        </w:rPr>
        <w:t xml:space="preserve">the </w:t>
      </w:r>
      <w:r w:rsidR="00AC0BD4" w:rsidRPr="00924858">
        <w:rPr>
          <w:rFonts w:ascii="Times New Roman,Calibri" w:eastAsia="Times New Roman,Calibri" w:hAnsi="Times New Roman,Calibri" w:cs="Times New Roman,Calibri"/>
          <w:noProof/>
          <w:sz w:val="24"/>
          <w:szCs w:val="24"/>
          <w:lang w:eastAsia="en-GB"/>
        </w:rPr>
        <w:t xml:space="preserve">leachate treatment </w:t>
      </w:r>
      <w:r w:rsidRPr="00924858">
        <w:rPr>
          <w:rFonts w:ascii="Times New Roman,Calibri" w:eastAsia="Times New Roman,Calibri" w:hAnsi="Times New Roman,Calibri" w:cs="Times New Roman,Calibri"/>
          <w:noProof/>
          <w:sz w:val="24"/>
          <w:szCs w:val="24"/>
          <w:lang w:eastAsia="en-GB"/>
        </w:rPr>
        <w:t xml:space="preserve">plant. This has inevitably led to a significant </w:t>
      </w:r>
      <w:r w:rsidR="00C25A7C">
        <w:rPr>
          <w:rFonts w:ascii="Times New Roman,Calibri" w:eastAsia="Times New Roman,Calibri" w:hAnsi="Times New Roman,Calibri" w:cs="Times New Roman,Calibri"/>
          <w:noProof/>
          <w:sz w:val="24"/>
          <w:szCs w:val="24"/>
          <w:lang w:eastAsia="en-GB"/>
        </w:rPr>
        <w:t>depreciation</w:t>
      </w:r>
      <w:r w:rsidR="00C25A7C" w:rsidRPr="00924858">
        <w:rPr>
          <w:rFonts w:ascii="Times New Roman,Calibri" w:eastAsia="Times New Roman,Calibri" w:hAnsi="Times New Roman,Calibri" w:cs="Times New Roman,Calibri"/>
          <w:noProof/>
          <w:sz w:val="24"/>
          <w:szCs w:val="24"/>
          <w:lang w:eastAsia="en-GB"/>
        </w:rPr>
        <w:t xml:space="preserve"> </w:t>
      </w:r>
      <w:r w:rsidRPr="00924858">
        <w:rPr>
          <w:rFonts w:ascii="Times New Roman,Calibri" w:eastAsia="Times New Roman,Calibri" w:hAnsi="Times New Roman,Calibri" w:cs="Times New Roman,Calibri"/>
          <w:noProof/>
          <w:sz w:val="24"/>
          <w:szCs w:val="24"/>
          <w:lang w:eastAsia="en-GB"/>
        </w:rPr>
        <w:t>of the investment.</w:t>
      </w:r>
      <w:r w:rsidR="00C45930" w:rsidRPr="00924858">
        <w:rPr>
          <w:rFonts w:ascii="Times New Roman,Calibri" w:eastAsia="Times New Roman,Calibri" w:hAnsi="Times New Roman,Calibri" w:cs="Times New Roman,Calibri"/>
          <w:noProof/>
          <w:sz w:val="24"/>
          <w:szCs w:val="24"/>
          <w:lang w:eastAsia="en-GB"/>
        </w:rPr>
        <w:t xml:space="preserve"> </w:t>
      </w:r>
      <w:r w:rsidR="00957838" w:rsidRPr="00924858">
        <w:rPr>
          <w:rFonts w:ascii="Times New Roman,Calibri" w:eastAsia="Times New Roman,Calibri" w:hAnsi="Times New Roman,Calibri" w:cs="Times New Roman,Calibri"/>
          <w:noProof/>
          <w:sz w:val="24"/>
          <w:szCs w:val="24"/>
          <w:lang w:eastAsia="en-GB"/>
        </w:rPr>
        <w:t xml:space="preserve">Without </w:t>
      </w:r>
      <w:r w:rsidR="00BA59C9" w:rsidRPr="00924858">
        <w:rPr>
          <w:rFonts w:ascii="Times New Roman,Calibri" w:eastAsia="Times New Roman,Calibri" w:hAnsi="Times New Roman,Calibri" w:cs="Times New Roman,Calibri"/>
          <w:noProof/>
          <w:sz w:val="24"/>
          <w:szCs w:val="24"/>
          <w:lang w:eastAsia="en-GB"/>
        </w:rPr>
        <w:t xml:space="preserve">the involvement of </w:t>
      </w:r>
      <w:r w:rsidR="00957838" w:rsidRPr="00924858">
        <w:rPr>
          <w:rFonts w:ascii="Times New Roman,Calibri" w:eastAsia="Times New Roman,Calibri" w:hAnsi="Times New Roman,Calibri" w:cs="Times New Roman,Calibri"/>
          <w:noProof/>
          <w:sz w:val="24"/>
          <w:szCs w:val="24"/>
          <w:lang w:eastAsia="en-GB"/>
        </w:rPr>
        <w:t>the Commission, the beneficiary launched two tenders to contract out landfill operations</w:t>
      </w:r>
      <w:r w:rsidR="00C25A7C">
        <w:rPr>
          <w:rFonts w:ascii="Times New Roman,Calibri" w:eastAsia="Times New Roman,Calibri" w:hAnsi="Times New Roman,Calibri" w:cs="Times New Roman,Calibri"/>
          <w:noProof/>
          <w:sz w:val="24"/>
          <w:szCs w:val="24"/>
          <w:lang w:eastAsia="en-GB"/>
        </w:rPr>
        <w:t>. However</w:t>
      </w:r>
      <w:r w:rsidR="00957838" w:rsidRPr="00924858">
        <w:rPr>
          <w:rFonts w:ascii="Times New Roman,Calibri" w:eastAsia="Times New Roman,Calibri" w:hAnsi="Times New Roman,Calibri" w:cs="Times New Roman,Calibri"/>
          <w:noProof/>
          <w:sz w:val="24"/>
          <w:szCs w:val="24"/>
          <w:lang w:eastAsia="en-GB"/>
        </w:rPr>
        <w:t xml:space="preserve">, they were </w:t>
      </w:r>
      <w:r w:rsidR="00BA59C9" w:rsidRPr="00924858">
        <w:rPr>
          <w:rFonts w:ascii="Times New Roman,Calibri" w:eastAsia="Times New Roman,Calibri" w:hAnsi="Times New Roman,Calibri" w:cs="Times New Roman,Calibri"/>
          <w:noProof/>
          <w:sz w:val="24"/>
          <w:szCs w:val="24"/>
          <w:lang w:eastAsia="en-GB"/>
        </w:rPr>
        <w:t xml:space="preserve">both </w:t>
      </w:r>
      <w:r w:rsidR="00957838" w:rsidRPr="00924858">
        <w:rPr>
          <w:rFonts w:ascii="Times New Roman,Calibri" w:eastAsia="Times New Roman,Calibri" w:hAnsi="Times New Roman,Calibri" w:cs="Times New Roman,Calibri"/>
          <w:noProof/>
          <w:sz w:val="24"/>
          <w:szCs w:val="24"/>
          <w:lang w:eastAsia="en-GB"/>
        </w:rPr>
        <w:t>cancelled</w:t>
      </w:r>
      <w:r w:rsidR="00BA59C9" w:rsidRPr="00924858">
        <w:rPr>
          <w:rFonts w:ascii="Times New Roman,Calibri" w:eastAsia="Times New Roman,Calibri" w:hAnsi="Times New Roman,Calibri" w:cs="Times New Roman,Calibri"/>
          <w:noProof/>
          <w:sz w:val="24"/>
          <w:szCs w:val="24"/>
          <w:lang w:eastAsia="en-GB"/>
        </w:rPr>
        <w:t xml:space="preserve">, </w:t>
      </w:r>
      <w:r w:rsidR="0070008A">
        <w:rPr>
          <w:rFonts w:ascii="Times New Roman,Calibri" w:eastAsia="Times New Roman,Calibri" w:hAnsi="Times New Roman,Calibri" w:cs="Times New Roman,Calibri"/>
          <w:noProof/>
          <w:sz w:val="24"/>
          <w:szCs w:val="24"/>
          <w:lang w:eastAsia="en-GB"/>
        </w:rPr>
        <w:t>meaning</w:t>
      </w:r>
      <w:r w:rsidR="0070008A" w:rsidRPr="00924858">
        <w:rPr>
          <w:rFonts w:ascii="Times New Roman,Calibri" w:eastAsia="Times New Roman,Calibri" w:hAnsi="Times New Roman,Calibri" w:cs="Times New Roman,Calibri"/>
          <w:noProof/>
          <w:sz w:val="24"/>
          <w:szCs w:val="24"/>
          <w:lang w:eastAsia="en-GB"/>
        </w:rPr>
        <w:t xml:space="preserve"> </w:t>
      </w:r>
      <w:r w:rsidR="00BA59C9" w:rsidRPr="00924858">
        <w:rPr>
          <w:rFonts w:ascii="Times New Roman,Calibri" w:eastAsia="Times New Roman,Calibri" w:hAnsi="Times New Roman,Calibri" w:cs="Times New Roman,Calibri"/>
          <w:noProof/>
          <w:sz w:val="24"/>
          <w:szCs w:val="24"/>
          <w:lang w:eastAsia="en-GB"/>
        </w:rPr>
        <w:t xml:space="preserve">the governance of the waste sector </w:t>
      </w:r>
      <w:r w:rsidR="00370FCD" w:rsidRPr="00924858">
        <w:rPr>
          <w:rFonts w:ascii="Times New Roman,Calibri" w:eastAsia="Times New Roman,Calibri" w:hAnsi="Times New Roman,Calibri" w:cs="Times New Roman,Calibri"/>
          <w:noProof/>
          <w:sz w:val="24"/>
          <w:szCs w:val="24"/>
          <w:lang w:eastAsia="en-GB"/>
        </w:rPr>
        <w:t xml:space="preserve">and its future </w:t>
      </w:r>
      <w:r w:rsidR="0070008A">
        <w:rPr>
          <w:rFonts w:ascii="Times New Roman,Calibri" w:eastAsia="Times New Roman,Calibri" w:hAnsi="Times New Roman,Calibri" w:cs="Times New Roman,Calibri"/>
          <w:noProof/>
          <w:sz w:val="24"/>
          <w:szCs w:val="24"/>
          <w:lang w:eastAsia="en-GB"/>
        </w:rPr>
        <w:t xml:space="preserve">remains </w:t>
      </w:r>
      <w:r w:rsidR="00BA59C9" w:rsidRPr="00924858">
        <w:rPr>
          <w:rFonts w:ascii="Times New Roman,Calibri" w:eastAsia="Times New Roman,Calibri" w:hAnsi="Times New Roman,Calibri" w:cs="Times New Roman,Calibri"/>
          <w:noProof/>
          <w:sz w:val="24"/>
          <w:szCs w:val="24"/>
          <w:lang w:eastAsia="en-GB"/>
        </w:rPr>
        <w:t>unclear</w:t>
      </w:r>
      <w:r w:rsidR="00957838" w:rsidRPr="00924858">
        <w:rPr>
          <w:rFonts w:ascii="Times New Roman,Calibri" w:eastAsia="Times New Roman,Calibri" w:hAnsi="Times New Roman,Calibri" w:cs="Times New Roman,Calibri"/>
          <w:noProof/>
          <w:sz w:val="24"/>
          <w:szCs w:val="24"/>
          <w:lang w:eastAsia="en-GB"/>
        </w:rPr>
        <w:t xml:space="preserve">. The Commission </w:t>
      </w:r>
      <w:r w:rsidR="00BA59C9" w:rsidRPr="00924858">
        <w:rPr>
          <w:rFonts w:ascii="Times New Roman,Calibri" w:eastAsia="Times New Roman,Calibri" w:hAnsi="Times New Roman,Calibri" w:cs="Times New Roman,Calibri"/>
          <w:noProof/>
          <w:sz w:val="24"/>
          <w:szCs w:val="24"/>
          <w:lang w:eastAsia="en-GB"/>
        </w:rPr>
        <w:t xml:space="preserve">has </w:t>
      </w:r>
      <w:r w:rsidR="00957838" w:rsidRPr="00924858">
        <w:rPr>
          <w:rFonts w:ascii="Times New Roman,Calibri" w:eastAsia="Times New Roman,Calibri" w:hAnsi="Times New Roman,Calibri" w:cs="Times New Roman,Calibri"/>
          <w:noProof/>
          <w:sz w:val="24"/>
          <w:szCs w:val="24"/>
          <w:lang w:eastAsia="en-GB"/>
        </w:rPr>
        <w:t xml:space="preserve">incessantly </w:t>
      </w:r>
      <w:r w:rsidR="00BA59C9" w:rsidRPr="00924858">
        <w:rPr>
          <w:rFonts w:ascii="Times New Roman,Calibri" w:eastAsia="Times New Roman,Calibri" w:hAnsi="Times New Roman,Calibri" w:cs="Times New Roman,Calibri"/>
          <w:noProof/>
          <w:sz w:val="24"/>
          <w:szCs w:val="24"/>
          <w:lang w:eastAsia="en-GB"/>
        </w:rPr>
        <w:t xml:space="preserve">dedicated </w:t>
      </w:r>
      <w:r w:rsidR="00C25A7C">
        <w:rPr>
          <w:rFonts w:ascii="Times New Roman,Calibri" w:eastAsia="Times New Roman,Calibri" w:hAnsi="Times New Roman,Calibri" w:cs="Times New Roman,Calibri"/>
          <w:noProof/>
          <w:sz w:val="24"/>
          <w:szCs w:val="24"/>
          <w:lang w:eastAsia="en-GB"/>
        </w:rPr>
        <w:t xml:space="preserve">its </w:t>
      </w:r>
      <w:r w:rsidR="00BA59C9" w:rsidRPr="00924858">
        <w:rPr>
          <w:rFonts w:ascii="Times New Roman,Calibri" w:eastAsia="Times New Roman,Calibri" w:hAnsi="Times New Roman,Calibri" w:cs="Times New Roman,Calibri"/>
          <w:noProof/>
          <w:sz w:val="24"/>
          <w:szCs w:val="24"/>
          <w:lang w:eastAsia="en-GB"/>
        </w:rPr>
        <w:t xml:space="preserve">efforts to support </w:t>
      </w:r>
      <w:r w:rsidR="00957838" w:rsidRPr="00924858">
        <w:rPr>
          <w:rFonts w:ascii="Times New Roman,Calibri" w:eastAsia="Times New Roman,Calibri" w:hAnsi="Times New Roman,Calibri" w:cs="Times New Roman,Calibri"/>
          <w:noProof/>
          <w:sz w:val="24"/>
          <w:szCs w:val="24"/>
          <w:lang w:eastAsia="en-GB"/>
        </w:rPr>
        <w:t xml:space="preserve">the beneficiary to </w:t>
      </w:r>
      <w:r w:rsidR="00C45930" w:rsidRPr="00924858">
        <w:rPr>
          <w:rFonts w:ascii="Times New Roman,Calibri" w:eastAsia="Times New Roman,Calibri" w:hAnsi="Times New Roman,Calibri" w:cs="Times New Roman,Calibri"/>
          <w:noProof/>
          <w:sz w:val="24"/>
          <w:szCs w:val="24"/>
          <w:lang w:eastAsia="en-GB"/>
        </w:rPr>
        <w:t xml:space="preserve">rectify </w:t>
      </w:r>
      <w:r w:rsidR="00957838" w:rsidRPr="00924858">
        <w:rPr>
          <w:rFonts w:ascii="Times New Roman,Calibri" w:eastAsia="Times New Roman,Calibri" w:hAnsi="Times New Roman,Calibri" w:cs="Times New Roman,Calibri"/>
          <w:noProof/>
          <w:sz w:val="24"/>
          <w:szCs w:val="24"/>
          <w:lang w:eastAsia="en-GB"/>
        </w:rPr>
        <w:t xml:space="preserve">the </w:t>
      </w:r>
      <w:r w:rsidR="00C45930" w:rsidRPr="00924858">
        <w:rPr>
          <w:rFonts w:ascii="Times New Roman,Calibri" w:eastAsia="Times New Roman,Calibri" w:hAnsi="Times New Roman,Calibri" w:cs="Times New Roman,Calibri"/>
          <w:noProof/>
          <w:sz w:val="24"/>
          <w:szCs w:val="24"/>
          <w:lang w:eastAsia="en-GB"/>
        </w:rPr>
        <w:t>situation.</w:t>
      </w:r>
    </w:p>
    <w:p w14:paraId="3E0400BB" w14:textId="6F6CDB24" w:rsidR="006C615B" w:rsidRPr="00924858" w:rsidRDefault="00F42B39">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In line with the EU-funded integrated solid waste management plan, grants </w:t>
      </w:r>
      <w:r w:rsidR="00F3783E" w:rsidRPr="00924858">
        <w:rPr>
          <w:rFonts w:ascii="Times New Roman,Calibri" w:eastAsia="Times New Roman,Calibri" w:hAnsi="Times New Roman,Calibri" w:cs="Times New Roman,Calibri"/>
          <w:noProof/>
          <w:sz w:val="24"/>
          <w:szCs w:val="24"/>
          <w:lang w:eastAsia="en-GB"/>
        </w:rPr>
        <w:t xml:space="preserve">helping </w:t>
      </w:r>
      <w:r w:rsidRPr="00924858">
        <w:rPr>
          <w:rFonts w:ascii="Times New Roman,Calibri" w:eastAsia="Times New Roman,Calibri" w:hAnsi="Times New Roman,Calibri" w:cs="Times New Roman,Calibri"/>
          <w:noProof/>
          <w:sz w:val="24"/>
          <w:szCs w:val="24"/>
          <w:lang w:eastAsia="en-GB"/>
        </w:rPr>
        <w:t>eight local communities to improve their waste management infrastructure are in the final phase of implementation.</w:t>
      </w:r>
    </w:p>
    <w:p w14:paraId="3A9CDD00" w14:textId="6B4FDB73" w:rsidR="006C615B" w:rsidRPr="00924858" w:rsidRDefault="00F3783E">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L</w:t>
      </w:r>
      <w:r w:rsidR="00F42B39" w:rsidRPr="00924858">
        <w:rPr>
          <w:rFonts w:ascii="Times New Roman,Calibri" w:eastAsia="Times New Roman,Calibri" w:hAnsi="Times New Roman,Calibri" w:cs="Times New Roman,Calibri"/>
          <w:noProof/>
          <w:sz w:val="24"/>
          <w:szCs w:val="24"/>
          <w:lang w:eastAsia="en-GB"/>
        </w:rPr>
        <w:t xml:space="preserve">ocal technical capacity to monitor </w:t>
      </w:r>
      <w:r w:rsidRPr="00924858">
        <w:rPr>
          <w:rFonts w:ascii="Times New Roman,Calibri" w:eastAsia="Times New Roman,Calibri" w:hAnsi="Times New Roman,Calibri" w:cs="Times New Roman,Calibri"/>
          <w:noProof/>
          <w:sz w:val="24"/>
          <w:szCs w:val="24"/>
          <w:lang w:eastAsia="en-GB"/>
        </w:rPr>
        <w:t xml:space="preserve">the quality of the </w:t>
      </w:r>
      <w:r w:rsidR="00F42B39" w:rsidRPr="00924858">
        <w:rPr>
          <w:rFonts w:ascii="Times New Roman,Calibri" w:eastAsia="Times New Roman,Calibri" w:hAnsi="Times New Roman,Calibri" w:cs="Times New Roman,Calibri"/>
          <w:noProof/>
          <w:sz w:val="24"/>
          <w:szCs w:val="24"/>
          <w:lang w:eastAsia="en-GB"/>
        </w:rPr>
        <w:t xml:space="preserve">environment </w:t>
      </w:r>
      <w:r w:rsidR="00327913" w:rsidRPr="00924858">
        <w:rPr>
          <w:rFonts w:ascii="Times New Roman,Calibri" w:eastAsia="Times New Roman,Calibri" w:hAnsi="Times New Roman,Calibri" w:cs="Times New Roman,Calibri"/>
          <w:noProof/>
          <w:sz w:val="24"/>
          <w:szCs w:val="24"/>
          <w:lang w:eastAsia="en-GB"/>
        </w:rPr>
        <w:t>was strengthened</w:t>
      </w:r>
      <w:r w:rsidR="00F42B39" w:rsidRPr="00924858">
        <w:rPr>
          <w:rFonts w:ascii="Times New Roman,Calibri" w:eastAsia="Times New Roman,Calibri" w:hAnsi="Times New Roman,Calibri" w:cs="Times New Roman,Calibri"/>
          <w:noProof/>
          <w:sz w:val="24"/>
          <w:szCs w:val="24"/>
          <w:lang w:eastAsia="en-GB"/>
        </w:rPr>
        <w:t xml:space="preserve"> through renovation of the air quality monitoring network</w:t>
      </w:r>
      <w:r w:rsidR="001C79B8" w:rsidRPr="00924858">
        <w:rPr>
          <w:rFonts w:ascii="Times New Roman,Calibri" w:eastAsia="Times New Roman,Calibri" w:hAnsi="Times New Roman,Calibri" w:cs="Times New Roman,Calibri"/>
          <w:noProof/>
          <w:sz w:val="24"/>
          <w:szCs w:val="24"/>
          <w:lang w:eastAsia="en-GB"/>
        </w:rPr>
        <w:t>,</w:t>
      </w:r>
      <w:r w:rsidR="00370FCD" w:rsidRPr="00924858">
        <w:rPr>
          <w:rFonts w:ascii="Times New Roman,Calibri" w:eastAsia="Times New Roman,Calibri" w:hAnsi="Times New Roman,Calibri" w:cs="Times New Roman,Calibri"/>
          <w:noProof/>
          <w:sz w:val="24"/>
          <w:szCs w:val="24"/>
          <w:lang w:eastAsia="en-GB"/>
        </w:rPr>
        <w:t xml:space="preserve"> </w:t>
      </w:r>
      <w:r w:rsidR="00F42B39" w:rsidRPr="00924858">
        <w:rPr>
          <w:rFonts w:ascii="Times New Roman,Calibri" w:eastAsia="Times New Roman,Calibri" w:hAnsi="Times New Roman,Calibri" w:cs="Times New Roman,Calibri"/>
          <w:noProof/>
          <w:sz w:val="24"/>
          <w:szCs w:val="24"/>
          <w:lang w:eastAsia="en-GB"/>
        </w:rPr>
        <w:t>the establishment of an air and fuel quality reference laboratory</w:t>
      </w:r>
      <w:r w:rsidR="00616D3C" w:rsidRPr="00924858">
        <w:rPr>
          <w:rFonts w:ascii="Times New Roman,Calibri" w:eastAsia="Times New Roman,Calibri" w:hAnsi="Times New Roman,Calibri" w:cs="Times New Roman,Calibri"/>
          <w:noProof/>
          <w:sz w:val="24"/>
          <w:szCs w:val="24"/>
          <w:lang w:eastAsia="en-GB"/>
        </w:rPr>
        <w:t>,</w:t>
      </w:r>
      <w:r w:rsidR="001C79B8" w:rsidRPr="00924858">
        <w:rPr>
          <w:rFonts w:ascii="Times New Roman,Calibri" w:eastAsia="Times New Roman,Calibri" w:hAnsi="Times New Roman,Calibri" w:cs="Times New Roman,Calibri"/>
          <w:noProof/>
          <w:sz w:val="24"/>
          <w:szCs w:val="24"/>
          <w:lang w:eastAsia="en-GB"/>
        </w:rPr>
        <w:t xml:space="preserve"> and the provision of capacity</w:t>
      </w:r>
      <w:r w:rsidR="00C25A7C">
        <w:rPr>
          <w:rFonts w:ascii="Times New Roman,Calibri" w:eastAsia="Times New Roman,Calibri" w:hAnsi="Times New Roman,Calibri" w:cs="Times New Roman,Calibri"/>
          <w:noProof/>
          <w:sz w:val="24"/>
          <w:szCs w:val="24"/>
          <w:lang w:eastAsia="en-GB"/>
        </w:rPr>
        <w:t>-</w:t>
      </w:r>
      <w:r w:rsidR="001C79B8" w:rsidRPr="00924858">
        <w:rPr>
          <w:rFonts w:ascii="Times New Roman,Calibri" w:eastAsia="Times New Roman,Calibri" w:hAnsi="Times New Roman,Calibri" w:cs="Times New Roman,Calibri"/>
          <w:noProof/>
          <w:sz w:val="24"/>
          <w:szCs w:val="24"/>
          <w:lang w:eastAsia="en-GB"/>
        </w:rPr>
        <w:t>building activities</w:t>
      </w:r>
      <w:r w:rsidR="00F42B39" w:rsidRPr="00924858">
        <w:rPr>
          <w:rFonts w:ascii="Times New Roman,Calibri" w:eastAsia="Times New Roman,Calibri" w:hAnsi="Times New Roman,Calibri" w:cs="Times New Roman,Calibri"/>
          <w:noProof/>
          <w:sz w:val="24"/>
          <w:szCs w:val="24"/>
          <w:lang w:eastAsia="en-GB"/>
        </w:rPr>
        <w:t>.</w:t>
      </w:r>
      <w:r w:rsidR="00327913" w:rsidRPr="00924858">
        <w:rPr>
          <w:rFonts w:ascii="Times New Roman,Calibri" w:eastAsia="Times New Roman,Calibri" w:hAnsi="Times New Roman,Calibri" w:cs="Times New Roman,Calibri"/>
          <w:noProof/>
          <w:sz w:val="24"/>
          <w:szCs w:val="24"/>
          <w:lang w:eastAsia="en-GB"/>
        </w:rPr>
        <w:t xml:space="preserve"> The air quality monitoring network</w:t>
      </w:r>
      <w:r w:rsidRPr="00924858">
        <w:rPr>
          <w:rFonts w:ascii="Times New Roman,Calibri" w:eastAsia="Times New Roman,Calibri" w:hAnsi="Times New Roman,Calibri" w:cs="Times New Roman,Calibri"/>
          <w:noProof/>
          <w:sz w:val="24"/>
          <w:szCs w:val="24"/>
          <w:lang w:eastAsia="en-GB"/>
        </w:rPr>
        <w:t xml:space="preserve">, </w:t>
      </w:r>
      <w:r w:rsidR="00327913" w:rsidRPr="00924858">
        <w:rPr>
          <w:rFonts w:ascii="Times New Roman,Calibri" w:eastAsia="Times New Roman,Calibri" w:hAnsi="Times New Roman,Calibri" w:cs="Times New Roman,Calibri"/>
          <w:noProof/>
          <w:sz w:val="24"/>
          <w:szCs w:val="24"/>
          <w:lang w:eastAsia="en-GB"/>
        </w:rPr>
        <w:t xml:space="preserve">in full operation </w:t>
      </w:r>
      <w:r w:rsidRPr="00924858">
        <w:rPr>
          <w:rFonts w:ascii="Times New Roman,Calibri" w:eastAsia="Times New Roman,Calibri" w:hAnsi="Times New Roman,Calibri" w:cs="Times New Roman,Calibri"/>
          <w:noProof/>
          <w:sz w:val="24"/>
          <w:szCs w:val="24"/>
          <w:lang w:eastAsia="en-GB"/>
        </w:rPr>
        <w:t>throughout</w:t>
      </w:r>
      <w:r w:rsidR="00327913" w:rsidRPr="00924858">
        <w:rPr>
          <w:rFonts w:ascii="Times New Roman,Calibri" w:eastAsia="Times New Roman,Calibri" w:hAnsi="Times New Roman,Calibri" w:cs="Times New Roman,Calibri"/>
          <w:noProof/>
          <w:sz w:val="24"/>
          <w:szCs w:val="24"/>
          <w:lang w:eastAsia="en-GB"/>
        </w:rPr>
        <w:t xml:space="preserve"> </w:t>
      </w:r>
      <w:r w:rsidR="00887901" w:rsidRPr="00924858">
        <w:rPr>
          <w:rFonts w:ascii="Times New Roman,Calibri" w:eastAsia="Times New Roman,Calibri" w:hAnsi="Times New Roman,Calibri" w:cs="Times New Roman,Calibri"/>
          <w:noProof/>
          <w:sz w:val="24"/>
          <w:szCs w:val="24"/>
          <w:lang w:eastAsia="en-GB"/>
        </w:rPr>
        <w:t>2022</w:t>
      </w:r>
      <w:r w:rsidR="00A94BF6" w:rsidRPr="00924858">
        <w:rPr>
          <w:rFonts w:ascii="Times New Roman,Calibri" w:eastAsia="Times New Roman,Calibri" w:hAnsi="Times New Roman,Calibri" w:cs="Times New Roman,Calibri"/>
          <w:noProof/>
          <w:sz w:val="24"/>
          <w:szCs w:val="24"/>
          <w:lang w:eastAsia="en-GB"/>
        </w:rPr>
        <w:t>,</w:t>
      </w:r>
      <w:r w:rsidR="00327913" w:rsidRPr="00924858">
        <w:rPr>
          <w:rFonts w:ascii="Times New Roman,Calibri" w:eastAsia="Times New Roman,Calibri" w:hAnsi="Times New Roman,Calibri" w:cs="Times New Roman,Calibri"/>
          <w:noProof/>
          <w:sz w:val="24"/>
          <w:szCs w:val="24"/>
          <w:lang w:eastAsia="en-GB"/>
        </w:rPr>
        <w:t xml:space="preserve"> now provides measurements for more pollutants in an increased number of locations.</w:t>
      </w:r>
    </w:p>
    <w:p w14:paraId="769E827F" w14:textId="27561A0A" w:rsidR="001C79B8" w:rsidRPr="00924858" w:rsidRDefault="001C79B8" w:rsidP="001C79B8">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In the telecom sector, the provision of new broadcasting infrastructure continued and is expected to be completed by the end of 2023. Th</w:t>
      </w:r>
      <w:r w:rsidR="00D07720">
        <w:rPr>
          <w:rFonts w:ascii="Times New Roman,Calibri" w:eastAsia="Times New Roman,Calibri" w:hAnsi="Times New Roman,Calibri" w:cs="Times New Roman,Calibri"/>
          <w:noProof/>
          <w:sz w:val="24"/>
          <w:szCs w:val="24"/>
          <w:lang w:eastAsia="en-GB"/>
        </w:rPr>
        <w:t>is</w:t>
      </w:r>
      <w:r w:rsidRPr="00924858">
        <w:rPr>
          <w:rFonts w:ascii="Times New Roman,Calibri" w:eastAsia="Times New Roman,Calibri" w:hAnsi="Times New Roman,Calibri" w:cs="Times New Roman,Calibri"/>
          <w:noProof/>
          <w:sz w:val="24"/>
          <w:szCs w:val="24"/>
          <w:lang w:eastAsia="en-GB"/>
        </w:rPr>
        <w:t xml:space="preserve"> </w:t>
      </w:r>
      <w:r w:rsidR="00D07720">
        <w:rPr>
          <w:rFonts w:ascii="Times New Roman,Calibri" w:eastAsia="Times New Roman,Calibri" w:hAnsi="Times New Roman,Calibri" w:cs="Times New Roman,Calibri"/>
          <w:noProof/>
          <w:sz w:val="24"/>
          <w:szCs w:val="24"/>
          <w:lang w:eastAsia="en-GB"/>
        </w:rPr>
        <w:t xml:space="preserve">EU-funded </w:t>
      </w:r>
      <w:r w:rsidRPr="00924858">
        <w:rPr>
          <w:rFonts w:ascii="Times New Roman,Calibri" w:eastAsia="Times New Roman,Calibri" w:hAnsi="Times New Roman,Calibri" w:cs="Times New Roman,Calibri"/>
          <w:noProof/>
          <w:sz w:val="24"/>
          <w:szCs w:val="24"/>
          <w:lang w:eastAsia="en-GB"/>
        </w:rPr>
        <w:t>project</w:t>
      </w:r>
      <w:r w:rsidR="00D07720">
        <w:rPr>
          <w:rFonts w:ascii="Times New Roman,Calibri" w:eastAsia="Times New Roman,Calibri" w:hAnsi="Times New Roman,Calibri" w:cs="Times New Roman,Calibri"/>
          <w:noProof/>
          <w:sz w:val="24"/>
          <w:szCs w:val="24"/>
          <w:lang w:eastAsia="en-GB"/>
        </w:rPr>
        <w:t xml:space="preserve"> </w:t>
      </w:r>
      <w:r w:rsidR="00C25A7C">
        <w:rPr>
          <w:rFonts w:ascii="Times New Roman,Calibri" w:eastAsia="Times New Roman,Calibri" w:hAnsi="Times New Roman,Calibri" w:cs="Times New Roman,Calibri"/>
          <w:noProof/>
          <w:sz w:val="24"/>
          <w:szCs w:val="24"/>
          <w:lang w:eastAsia="en-GB"/>
        </w:rPr>
        <w:t xml:space="preserve">is </w:t>
      </w:r>
      <w:r w:rsidRPr="00924858">
        <w:rPr>
          <w:rFonts w:ascii="Times New Roman,Calibri" w:eastAsia="Times New Roman,Calibri" w:hAnsi="Times New Roman,Calibri" w:cs="Times New Roman,Calibri"/>
          <w:noProof/>
          <w:sz w:val="24"/>
          <w:szCs w:val="24"/>
          <w:lang w:eastAsia="en-GB"/>
        </w:rPr>
        <w:t>necessary to vacate all analogue television broadcasts from the 700</w:t>
      </w:r>
      <w:r w:rsidR="00C25A7C">
        <w:rPr>
          <w:rFonts w:ascii="Times New Roman,Calibri" w:eastAsia="Times New Roman,Calibri" w:hAnsi="Times New Roman,Calibri" w:cs="Times New Roman,Calibri"/>
          <w:noProof/>
          <w:sz w:val="24"/>
          <w:szCs w:val="24"/>
          <w:lang w:eastAsia="en-GB"/>
        </w:rPr>
        <w:t> </w:t>
      </w:r>
      <w:r w:rsidRPr="00924858">
        <w:rPr>
          <w:rFonts w:ascii="Times New Roman,Calibri" w:eastAsia="Times New Roman,Calibri" w:hAnsi="Times New Roman,Calibri" w:cs="Times New Roman,Calibri"/>
          <w:noProof/>
          <w:sz w:val="24"/>
          <w:szCs w:val="24"/>
          <w:lang w:eastAsia="en-GB"/>
        </w:rPr>
        <w:t>MHz frequency bandwidth</w:t>
      </w:r>
      <w:r w:rsidR="00D07720">
        <w:rPr>
          <w:rFonts w:ascii="Times New Roman,Calibri" w:eastAsia="Times New Roman,Calibri" w:hAnsi="Times New Roman,Calibri" w:cs="Times New Roman,Calibri"/>
          <w:noProof/>
          <w:sz w:val="24"/>
          <w:szCs w:val="24"/>
          <w:lang w:eastAsia="en-GB"/>
        </w:rPr>
        <w:t xml:space="preserve"> </w:t>
      </w:r>
      <w:r w:rsidR="007D7A35">
        <w:rPr>
          <w:rFonts w:ascii="Times New Roman,Calibri" w:eastAsia="Times New Roman,Calibri" w:hAnsi="Times New Roman,Calibri" w:cs="Times New Roman,Calibri"/>
          <w:noProof/>
          <w:sz w:val="24"/>
          <w:szCs w:val="24"/>
          <w:lang w:eastAsia="en-GB"/>
        </w:rPr>
        <w:t>by</w:t>
      </w:r>
      <w:r w:rsidR="00D07720">
        <w:rPr>
          <w:rFonts w:ascii="Times New Roman,Calibri" w:eastAsia="Times New Roman,Calibri" w:hAnsi="Times New Roman,Calibri" w:cs="Times New Roman,Calibri"/>
          <w:noProof/>
          <w:sz w:val="24"/>
          <w:szCs w:val="24"/>
          <w:lang w:eastAsia="en-GB"/>
        </w:rPr>
        <w:t xml:space="preserve"> the Turkish Cypriot community</w:t>
      </w:r>
      <w:r w:rsidR="00C25A7C">
        <w:rPr>
          <w:rFonts w:ascii="Times New Roman,Calibri" w:eastAsia="Times New Roman,Calibri" w:hAnsi="Times New Roman,Calibri" w:cs="Times New Roman,Calibri"/>
          <w:noProof/>
          <w:sz w:val="24"/>
          <w:szCs w:val="24"/>
          <w:lang w:eastAsia="en-GB"/>
        </w:rPr>
        <w:t>. Ultimately</w:t>
      </w:r>
      <w:r w:rsidRPr="00924858">
        <w:rPr>
          <w:rFonts w:ascii="Times New Roman,Calibri" w:eastAsia="Times New Roman,Calibri" w:hAnsi="Times New Roman,Calibri" w:cs="Times New Roman,Calibri"/>
          <w:noProof/>
          <w:sz w:val="24"/>
          <w:szCs w:val="24"/>
          <w:lang w:eastAsia="en-GB"/>
        </w:rPr>
        <w:t>,</w:t>
      </w:r>
      <w:r w:rsidR="00C25A7C">
        <w:rPr>
          <w:rFonts w:ascii="Times New Roman,Calibri" w:eastAsia="Times New Roman,Calibri" w:hAnsi="Times New Roman,Calibri" w:cs="Times New Roman,Calibri"/>
          <w:noProof/>
          <w:sz w:val="24"/>
          <w:szCs w:val="24"/>
          <w:lang w:eastAsia="en-GB"/>
        </w:rPr>
        <w:t xml:space="preserve"> </w:t>
      </w:r>
      <w:r w:rsidR="00D07720">
        <w:rPr>
          <w:rFonts w:ascii="Times New Roman,Calibri" w:eastAsia="Times New Roman,Calibri" w:hAnsi="Times New Roman,Calibri" w:cs="Times New Roman,Calibri"/>
          <w:noProof/>
          <w:sz w:val="24"/>
          <w:szCs w:val="24"/>
          <w:lang w:eastAsia="en-GB"/>
        </w:rPr>
        <w:t>it</w:t>
      </w:r>
      <w:r w:rsidR="00C25A7C">
        <w:rPr>
          <w:rFonts w:ascii="Times New Roman,Calibri" w:eastAsia="Times New Roman,Calibri" w:hAnsi="Times New Roman,Calibri" w:cs="Times New Roman,Calibri"/>
          <w:noProof/>
          <w:sz w:val="24"/>
          <w:szCs w:val="24"/>
          <w:lang w:eastAsia="en-GB"/>
        </w:rPr>
        <w:t xml:space="preserve"> will</w:t>
      </w:r>
      <w:r w:rsidRPr="00924858">
        <w:rPr>
          <w:rFonts w:ascii="Times New Roman,Calibri" w:eastAsia="Times New Roman,Calibri" w:hAnsi="Times New Roman,Calibri" w:cs="Times New Roman,Calibri"/>
          <w:noProof/>
          <w:sz w:val="24"/>
          <w:szCs w:val="24"/>
          <w:lang w:eastAsia="en-GB"/>
        </w:rPr>
        <w:t xml:space="preserve"> </w:t>
      </w:r>
      <w:r w:rsidR="00C25A7C">
        <w:rPr>
          <w:rFonts w:ascii="Times New Roman,Calibri" w:eastAsia="Times New Roman,Calibri" w:hAnsi="Times New Roman,Calibri" w:cs="Times New Roman,Calibri"/>
          <w:noProof/>
          <w:sz w:val="24"/>
          <w:szCs w:val="24"/>
          <w:lang w:eastAsia="en-GB"/>
        </w:rPr>
        <w:t>enable</w:t>
      </w:r>
      <w:r w:rsidR="00E10C0F" w:rsidRPr="00924858">
        <w:rPr>
          <w:rFonts w:ascii="Times New Roman,Calibri" w:eastAsia="Times New Roman,Calibri" w:hAnsi="Times New Roman,Calibri" w:cs="Times New Roman,Calibri"/>
          <w:noProof/>
          <w:sz w:val="24"/>
          <w:szCs w:val="24"/>
          <w:lang w:eastAsia="en-GB"/>
        </w:rPr>
        <w:t xml:space="preserve"> the unhindered allocation of the 700</w:t>
      </w:r>
      <w:r w:rsidR="00C25A7C">
        <w:rPr>
          <w:rFonts w:ascii="Times New Roman,Calibri" w:eastAsia="Times New Roman,Calibri" w:hAnsi="Times New Roman,Calibri" w:cs="Times New Roman,Calibri"/>
          <w:noProof/>
          <w:sz w:val="24"/>
          <w:szCs w:val="24"/>
          <w:lang w:eastAsia="en-GB"/>
        </w:rPr>
        <w:t> </w:t>
      </w:r>
      <w:r w:rsidR="00E10C0F" w:rsidRPr="00924858">
        <w:rPr>
          <w:rFonts w:ascii="Times New Roman,Calibri" w:eastAsia="Times New Roman,Calibri" w:hAnsi="Times New Roman,Calibri" w:cs="Times New Roman,Calibri"/>
          <w:noProof/>
          <w:sz w:val="24"/>
          <w:szCs w:val="24"/>
          <w:lang w:eastAsia="en-GB"/>
        </w:rPr>
        <w:t xml:space="preserve">MHz frequency band to 5G mobile services, </w:t>
      </w:r>
      <w:r w:rsidR="00C25A7C">
        <w:rPr>
          <w:rFonts w:ascii="Times New Roman,Calibri" w:eastAsia="Times New Roman,Calibri" w:hAnsi="Times New Roman,Calibri" w:cs="Times New Roman,Calibri"/>
          <w:noProof/>
          <w:sz w:val="24"/>
          <w:szCs w:val="24"/>
          <w:lang w:eastAsia="en-GB"/>
        </w:rPr>
        <w:t xml:space="preserve">and </w:t>
      </w:r>
      <w:r w:rsidRPr="00924858">
        <w:rPr>
          <w:rFonts w:ascii="Times New Roman,Calibri" w:eastAsia="Times New Roman,Calibri" w:hAnsi="Times New Roman,Calibri" w:cs="Times New Roman,Calibri"/>
          <w:noProof/>
          <w:sz w:val="24"/>
          <w:szCs w:val="24"/>
          <w:lang w:eastAsia="en-GB"/>
        </w:rPr>
        <w:t xml:space="preserve">contribute to an increased digitalisation in the </w:t>
      </w:r>
      <w:r w:rsidR="007D7A35">
        <w:rPr>
          <w:rFonts w:ascii="Times New Roman,Calibri" w:eastAsia="Times New Roman,Calibri" w:hAnsi="Times New Roman,Calibri" w:cs="Times New Roman,Calibri"/>
          <w:noProof/>
          <w:sz w:val="24"/>
          <w:szCs w:val="24"/>
          <w:lang w:eastAsia="en-GB"/>
        </w:rPr>
        <w:t>Turkish Cypriot community</w:t>
      </w:r>
      <w:r w:rsidRPr="00924858">
        <w:rPr>
          <w:rFonts w:ascii="Times New Roman,Calibri" w:eastAsia="Times New Roman,Calibri" w:hAnsi="Times New Roman,Calibri" w:cs="Times New Roman,Calibri"/>
          <w:noProof/>
          <w:sz w:val="24"/>
          <w:szCs w:val="24"/>
          <w:lang w:eastAsia="en-GB"/>
        </w:rPr>
        <w:t>.</w:t>
      </w:r>
    </w:p>
    <w:p w14:paraId="0EC21F62" w14:textId="77777777" w:rsidR="006C615B" w:rsidRPr="00924858" w:rsidRDefault="00F42B39">
      <w:pPr>
        <w:numPr>
          <w:ilvl w:val="2"/>
          <w:numId w:val="3"/>
        </w:numPr>
        <w:spacing w:before="120" w:after="120" w:line="240" w:lineRule="auto"/>
        <w:jc w:val="both"/>
        <w:outlineLvl w:val="2"/>
        <w:rPr>
          <w:rFonts w:ascii="Times New Roman" w:eastAsia="Times New Roman" w:hAnsi="Times New Roman" w:cs="Times New Roman"/>
          <w:i/>
          <w:iCs/>
          <w:noProof/>
          <w:sz w:val="24"/>
          <w:szCs w:val="24"/>
          <w:lang w:eastAsia="en-GB"/>
        </w:rPr>
      </w:pPr>
      <w:r w:rsidRPr="00924858">
        <w:rPr>
          <w:rFonts w:ascii="Times New Roman" w:eastAsia="Times New Roman" w:hAnsi="Times New Roman" w:cs="Times New Roman"/>
          <w:i/>
          <w:iCs/>
          <w:noProof/>
          <w:sz w:val="24"/>
          <w:szCs w:val="24"/>
          <w:lang w:eastAsia="en-GB"/>
        </w:rPr>
        <w:t>Objective 2: Promoting social and economic development</w:t>
      </w:r>
    </w:p>
    <w:p w14:paraId="483AB2F7" w14:textId="077F145B" w:rsidR="006C615B" w:rsidRPr="00924858" w:rsidRDefault="00F42B39">
      <w:pPr>
        <w:pStyle w:val="Heading3"/>
        <w:numPr>
          <w:ilvl w:val="0"/>
          <w:numId w:val="0"/>
        </w:numPr>
        <w:ind w:left="850"/>
        <w:rPr>
          <w:noProof/>
        </w:rPr>
      </w:pPr>
      <w:r w:rsidRPr="00924858">
        <w:rPr>
          <w:i w:val="0"/>
          <w:iCs/>
          <w:noProof/>
        </w:rPr>
        <w:t xml:space="preserve">The Aid Programme </w:t>
      </w:r>
      <w:r w:rsidR="00E96AAF" w:rsidRPr="00924858">
        <w:rPr>
          <w:i w:val="0"/>
          <w:iCs/>
          <w:noProof/>
        </w:rPr>
        <w:t>continued</w:t>
      </w:r>
      <w:r w:rsidRPr="00924858">
        <w:rPr>
          <w:i w:val="0"/>
          <w:iCs/>
          <w:noProof/>
        </w:rPr>
        <w:t xml:space="preserve"> </w:t>
      </w:r>
      <w:r w:rsidR="00891DEB" w:rsidRPr="00924858">
        <w:rPr>
          <w:i w:val="0"/>
          <w:iCs/>
          <w:noProof/>
        </w:rPr>
        <w:t xml:space="preserve">to </w:t>
      </w:r>
      <w:r w:rsidR="00891DEB" w:rsidRPr="00924858">
        <w:rPr>
          <w:i w:val="0"/>
          <w:noProof/>
        </w:rPr>
        <w:t xml:space="preserve">combat the adverse economic effects of the </w:t>
      </w:r>
      <w:r w:rsidR="00891DEB" w:rsidRPr="005D4D0B">
        <w:rPr>
          <w:i w:val="0"/>
          <w:noProof/>
        </w:rPr>
        <w:t>COVID</w:t>
      </w:r>
      <w:r w:rsidR="00E90F7A" w:rsidRPr="005D4D0B">
        <w:rPr>
          <w:i w:val="0"/>
          <w:noProof/>
        </w:rPr>
        <w:t>-19</w:t>
      </w:r>
      <w:r w:rsidR="00891DEB" w:rsidRPr="00924858">
        <w:rPr>
          <w:i w:val="0"/>
          <w:noProof/>
        </w:rPr>
        <w:t xml:space="preserve"> pandemic and </w:t>
      </w:r>
      <w:r w:rsidR="00AB3340" w:rsidRPr="00924858">
        <w:rPr>
          <w:i w:val="0"/>
          <w:noProof/>
        </w:rPr>
        <w:t xml:space="preserve">to </w:t>
      </w:r>
      <w:r w:rsidR="00891DEB" w:rsidRPr="00924858">
        <w:rPr>
          <w:i w:val="0"/>
          <w:noProof/>
        </w:rPr>
        <w:t xml:space="preserve">support the business environment in the </w:t>
      </w:r>
      <w:r w:rsidR="00CC536D" w:rsidRPr="00CC536D">
        <w:rPr>
          <w:i w:val="0"/>
          <w:noProof/>
        </w:rPr>
        <w:t>Turkish Cypriot community</w:t>
      </w:r>
      <w:r w:rsidR="00891DEB" w:rsidRPr="00924858">
        <w:rPr>
          <w:i w:val="0"/>
          <w:iCs/>
          <w:noProof/>
        </w:rPr>
        <w:t>.</w:t>
      </w:r>
    </w:p>
    <w:p w14:paraId="246297CD" w14:textId="21EC6CFC" w:rsidR="00676B92" w:rsidRPr="00924858" w:rsidRDefault="00F42B39" w:rsidP="00676B92">
      <w:pPr>
        <w:pStyle w:val="Heading4"/>
        <w:numPr>
          <w:ilvl w:val="3"/>
          <w:numId w:val="0"/>
        </w:numPr>
        <w:ind w:left="850"/>
        <w:rPr>
          <w:noProof/>
          <w:szCs w:val="24"/>
        </w:rPr>
      </w:pPr>
      <w:r w:rsidRPr="00924858">
        <w:rPr>
          <w:noProof/>
        </w:rPr>
        <w:t xml:space="preserve">The project Innovative Entrepreneurship and Dialogue, implemented with Northern Ireland Cooperation Overseas (NI-CO), </w:t>
      </w:r>
      <w:r w:rsidR="00E96AAF" w:rsidRPr="00924858">
        <w:rPr>
          <w:noProof/>
        </w:rPr>
        <w:t xml:space="preserve">was the main vehicle </w:t>
      </w:r>
      <w:r w:rsidR="00F3783E" w:rsidRPr="00924858">
        <w:rPr>
          <w:noProof/>
        </w:rPr>
        <w:t xml:space="preserve">for </w:t>
      </w:r>
      <w:r w:rsidR="00891DEB" w:rsidRPr="00924858">
        <w:rPr>
          <w:noProof/>
        </w:rPr>
        <w:t xml:space="preserve">support to the private sector, including in view of </w:t>
      </w:r>
      <w:r w:rsidR="00891DEB" w:rsidRPr="005D4D0B">
        <w:rPr>
          <w:noProof/>
        </w:rPr>
        <w:t>COVID</w:t>
      </w:r>
      <w:r w:rsidR="00E90F7A" w:rsidRPr="005D4D0B">
        <w:rPr>
          <w:noProof/>
        </w:rPr>
        <w:t>-19</w:t>
      </w:r>
      <w:r w:rsidR="00891DEB" w:rsidRPr="00924858">
        <w:rPr>
          <w:noProof/>
        </w:rPr>
        <w:t xml:space="preserve"> recovery</w:t>
      </w:r>
      <w:r w:rsidRPr="00924858">
        <w:rPr>
          <w:noProof/>
        </w:rPr>
        <w:t xml:space="preserve">. </w:t>
      </w:r>
      <w:r w:rsidR="00E90F7A" w:rsidRPr="00924858">
        <w:rPr>
          <w:noProof/>
        </w:rPr>
        <w:t>In</w:t>
      </w:r>
      <w:r w:rsidR="00E90F7A" w:rsidRPr="00924858">
        <w:rPr>
          <w:noProof/>
          <w:szCs w:val="24"/>
        </w:rPr>
        <w:t xml:space="preserve"> 2022, t</w:t>
      </w:r>
      <w:r w:rsidR="00891DEB" w:rsidRPr="00924858">
        <w:rPr>
          <w:noProof/>
          <w:szCs w:val="24"/>
        </w:rPr>
        <w:t>he</w:t>
      </w:r>
      <w:r w:rsidR="00BD5764" w:rsidRPr="00924858">
        <w:rPr>
          <w:noProof/>
          <w:szCs w:val="24"/>
        </w:rPr>
        <w:t xml:space="preserve"> </w:t>
      </w:r>
      <w:r w:rsidR="00891DEB" w:rsidRPr="00924858">
        <w:rPr>
          <w:noProof/>
          <w:szCs w:val="24"/>
        </w:rPr>
        <w:t>grant scheme</w:t>
      </w:r>
      <w:r w:rsidR="00377AE6">
        <w:rPr>
          <w:noProof/>
          <w:szCs w:val="24"/>
        </w:rPr>
        <w:t xml:space="preserve"> </w:t>
      </w:r>
      <w:r w:rsidR="00377AE6" w:rsidRPr="00924858">
        <w:rPr>
          <w:noProof/>
          <w:szCs w:val="24"/>
        </w:rPr>
        <w:t>Safeguarding and Creating Employment</w:t>
      </w:r>
      <w:r w:rsidR="00891DEB" w:rsidRPr="00924858">
        <w:rPr>
          <w:noProof/>
          <w:szCs w:val="24"/>
        </w:rPr>
        <w:t xml:space="preserve"> supported 100 successful </w:t>
      </w:r>
      <w:r w:rsidR="00E90F7A" w:rsidRPr="00924858">
        <w:rPr>
          <w:noProof/>
          <w:szCs w:val="24"/>
        </w:rPr>
        <w:t>SMEs</w:t>
      </w:r>
      <w:r w:rsidR="00891DEB" w:rsidRPr="00924858">
        <w:rPr>
          <w:noProof/>
          <w:szCs w:val="24"/>
        </w:rPr>
        <w:t xml:space="preserve"> with funding </w:t>
      </w:r>
      <w:r w:rsidR="00377AE6">
        <w:rPr>
          <w:noProof/>
          <w:szCs w:val="24"/>
        </w:rPr>
        <w:t xml:space="preserve">of </w:t>
      </w:r>
      <w:r w:rsidR="00891DEB" w:rsidRPr="00924858">
        <w:rPr>
          <w:noProof/>
          <w:szCs w:val="24"/>
        </w:rPr>
        <w:t>up to EUR</w:t>
      </w:r>
      <w:r w:rsidR="00924858">
        <w:rPr>
          <w:noProof/>
          <w:szCs w:val="24"/>
        </w:rPr>
        <w:t> </w:t>
      </w:r>
      <w:r w:rsidR="00891DEB" w:rsidRPr="00924858">
        <w:rPr>
          <w:noProof/>
          <w:szCs w:val="24"/>
        </w:rPr>
        <w:t>60</w:t>
      </w:r>
      <w:r w:rsidR="00924858">
        <w:rPr>
          <w:noProof/>
          <w:szCs w:val="24"/>
        </w:rPr>
        <w:t> </w:t>
      </w:r>
      <w:r w:rsidR="00891DEB" w:rsidRPr="00924858">
        <w:rPr>
          <w:noProof/>
          <w:szCs w:val="24"/>
        </w:rPr>
        <w:t xml:space="preserve">000 each. </w:t>
      </w:r>
      <w:r w:rsidR="00E90F7A" w:rsidRPr="00924858">
        <w:rPr>
          <w:noProof/>
          <w:szCs w:val="24"/>
        </w:rPr>
        <w:t>This came in addition to</w:t>
      </w:r>
      <w:r w:rsidR="00891DEB" w:rsidRPr="00924858">
        <w:rPr>
          <w:noProof/>
          <w:szCs w:val="24"/>
        </w:rPr>
        <w:t xml:space="preserve"> </w:t>
      </w:r>
      <w:r w:rsidR="00BD5764" w:rsidRPr="00924858">
        <w:rPr>
          <w:noProof/>
          <w:szCs w:val="24"/>
        </w:rPr>
        <w:t>770 micro-businesses</w:t>
      </w:r>
      <w:r w:rsidR="00E90F7A" w:rsidRPr="00924858">
        <w:rPr>
          <w:noProof/>
          <w:szCs w:val="24"/>
        </w:rPr>
        <w:t>, which</w:t>
      </w:r>
      <w:r w:rsidR="00BD5764" w:rsidRPr="00924858">
        <w:rPr>
          <w:noProof/>
          <w:szCs w:val="24"/>
        </w:rPr>
        <w:t xml:space="preserve"> </w:t>
      </w:r>
      <w:r w:rsidR="00891DEB" w:rsidRPr="00924858">
        <w:rPr>
          <w:noProof/>
          <w:szCs w:val="24"/>
        </w:rPr>
        <w:t xml:space="preserve">were </w:t>
      </w:r>
      <w:r w:rsidR="00BD5764" w:rsidRPr="00924858">
        <w:rPr>
          <w:noProof/>
          <w:szCs w:val="24"/>
        </w:rPr>
        <w:t xml:space="preserve">supported </w:t>
      </w:r>
      <w:r w:rsidR="00E90F7A" w:rsidRPr="00924858">
        <w:rPr>
          <w:noProof/>
          <w:szCs w:val="24"/>
        </w:rPr>
        <w:t xml:space="preserve">in 2021 </w:t>
      </w:r>
      <w:r w:rsidR="00BD5764" w:rsidRPr="00924858">
        <w:rPr>
          <w:noProof/>
          <w:szCs w:val="24"/>
        </w:rPr>
        <w:t>with EUR</w:t>
      </w:r>
      <w:r w:rsidR="00924858">
        <w:rPr>
          <w:noProof/>
          <w:szCs w:val="24"/>
        </w:rPr>
        <w:t> </w:t>
      </w:r>
      <w:r w:rsidR="00BD5764" w:rsidRPr="00924858">
        <w:rPr>
          <w:noProof/>
          <w:szCs w:val="24"/>
        </w:rPr>
        <w:t>1</w:t>
      </w:r>
      <w:r w:rsidR="00924858">
        <w:rPr>
          <w:noProof/>
          <w:szCs w:val="24"/>
        </w:rPr>
        <w:t> </w:t>
      </w:r>
      <w:r w:rsidR="00BD5764" w:rsidRPr="00924858">
        <w:rPr>
          <w:noProof/>
          <w:szCs w:val="24"/>
        </w:rPr>
        <w:t xml:space="preserve">500 </w:t>
      </w:r>
      <w:r w:rsidR="00891DEB" w:rsidRPr="00924858">
        <w:rPr>
          <w:noProof/>
          <w:szCs w:val="24"/>
        </w:rPr>
        <w:t>each.</w:t>
      </w:r>
    </w:p>
    <w:p w14:paraId="33ADF900" w14:textId="235BA31E" w:rsidR="00FF3EAA" w:rsidRPr="00924858" w:rsidRDefault="00FF3EAA" w:rsidP="00FF3EAA">
      <w:pPr>
        <w:spacing w:after="120" w:line="240" w:lineRule="auto"/>
        <w:ind w:left="851"/>
        <w:jc w:val="both"/>
        <w:rPr>
          <w:rFonts w:ascii="Times New Roman" w:eastAsia="Times New Roman" w:hAnsi="Times New Roman" w:cs="Times New Roman"/>
          <w:noProof/>
          <w:sz w:val="24"/>
          <w:szCs w:val="24"/>
          <w:lang w:eastAsia="en-GB"/>
        </w:rPr>
      </w:pPr>
      <w:r w:rsidRPr="00924858">
        <w:rPr>
          <w:rFonts w:ascii="Times New Roman" w:eastAsia="Times New Roman" w:hAnsi="Times New Roman" w:cs="Times New Roman"/>
          <w:noProof/>
          <w:sz w:val="24"/>
          <w:szCs w:val="24"/>
          <w:lang w:eastAsia="en-GB"/>
        </w:rPr>
        <w:t>Significant progress was made in the area of product safety. A technical assistance project on market surveillance was launched in March 2022</w:t>
      </w:r>
      <w:r w:rsidRPr="00924858">
        <w:rPr>
          <w:rFonts w:ascii="Times New Roman" w:hAnsi="Times New Roman" w:cs="Times New Roman"/>
          <w:noProof/>
          <w:sz w:val="24"/>
          <w:szCs w:val="24"/>
        </w:rPr>
        <w:t xml:space="preserve"> with the aim to </w:t>
      </w:r>
      <w:r w:rsidRPr="00924858">
        <w:rPr>
          <w:rFonts w:ascii="Times New Roman" w:eastAsia="Times New Roman" w:hAnsi="Times New Roman" w:cs="Times New Roman"/>
          <w:noProof/>
          <w:sz w:val="24"/>
          <w:szCs w:val="24"/>
          <w:lang w:eastAsia="en-GB"/>
        </w:rPr>
        <w:t>introduce</w:t>
      </w:r>
      <w:r w:rsidR="00377AE6">
        <w:rPr>
          <w:rFonts w:ascii="Times New Roman" w:eastAsia="Times New Roman" w:hAnsi="Times New Roman" w:cs="Times New Roman"/>
          <w:noProof/>
          <w:sz w:val="24"/>
          <w:szCs w:val="24"/>
          <w:lang w:eastAsia="en-GB"/>
        </w:rPr>
        <w:t xml:space="preserve"> new</w:t>
      </w:r>
      <w:r w:rsidR="0070008A">
        <w:rPr>
          <w:rFonts w:ascii="Times New Roman" w:eastAsia="Times New Roman" w:hAnsi="Times New Roman" w:cs="Times New Roman"/>
          <w:noProof/>
          <w:sz w:val="24"/>
          <w:szCs w:val="24"/>
          <w:lang w:eastAsia="en-GB"/>
        </w:rPr>
        <w:t>,</w:t>
      </w:r>
      <w:r w:rsidRPr="00924858">
        <w:rPr>
          <w:rFonts w:ascii="Times New Roman" w:eastAsia="Times New Roman" w:hAnsi="Times New Roman" w:cs="Times New Roman"/>
          <w:noProof/>
          <w:sz w:val="24"/>
          <w:szCs w:val="24"/>
          <w:lang w:eastAsia="en-GB"/>
        </w:rPr>
        <w:t xml:space="preserve"> and </w:t>
      </w:r>
      <w:r w:rsidR="00B35EE0">
        <w:rPr>
          <w:rFonts w:ascii="Times New Roman" w:eastAsia="Times New Roman" w:hAnsi="Times New Roman" w:cs="Times New Roman"/>
          <w:noProof/>
          <w:sz w:val="24"/>
          <w:szCs w:val="24"/>
          <w:lang w:eastAsia="en-GB"/>
        </w:rPr>
        <w:t xml:space="preserve">to </w:t>
      </w:r>
      <w:r w:rsidRPr="00924858">
        <w:rPr>
          <w:rFonts w:ascii="Times New Roman" w:eastAsia="Times New Roman" w:hAnsi="Times New Roman" w:cs="Times New Roman"/>
          <w:noProof/>
          <w:sz w:val="24"/>
          <w:szCs w:val="24"/>
          <w:lang w:eastAsia="en-GB"/>
        </w:rPr>
        <w:t>improve</w:t>
      </w:r>
      <w:r w:rsidR="00377AE6">
        <w:rPr>
          <w:rFonts w:ascii="Times New Roman" w:eastAsia="Times New Roman" w:hAnsi="Times New Roman" w:cs="Times New Roman"/>
          <w:noProof/>
          <w:sz w:val="24"/>
          <w:szCs w:val="24"/>
          <w:lang w:eastAsia="en-GB"/>
        </w:rPr>
        <w:t xml:space="preserve"> existing</w:t>
      </w:r>
      <w:r w:rsidR="0070008A">
        <w:rPr>
          <w:rFonts w:ascii="Times New Roman" w:eastAsia="Times New Roman" w:hAnsi="Times New Roman" w:cs="Times New Roman"/>
          <w:noProof/>
          <w:sz w:val="24"/>
          <w:szCs w:val="24"/>
          <w:lang w:eastAsia="en-GB"/>
        </w:rPr>
        <w:t>,</w:t>
      </w:r>
      <w:r w:rsidRPr="00924858">
        <w:rPr>
          <w:rFonts w:ascii="Times New Roman" w:eastAsia="Times New Roman" w:hAnsi="Times New Roman" w:cs="Times New Roman"/>
          <w:noProof/>
          <w:sz w:val="24"/>
          <w:szCs w:val="24"/>
          <w:lang w:eastAsia="en-GB"/>
        </w:rPr>
        <w:t xml:space="preserve"> </w:t>
      </w:r>
      <w:r w:rsidRPr="00377AE6">
        <w:rPr>
          <w:rFonts w:ascii="Times New Roman" w:eastAsia="Times New Roman" w:hAnsi="Times New Roman" w:cs="Times New Roman"/>
          <w:noProof/>
          <w:sz w:val="24"/>
          <w:szCs w:val="24"/>
          <w:lang w:eastAsia="en-GB"/>
        </w:rPr>
        <w:t>practices</w:t>
      </w:r>
      <w:r w:rsidRPr="00924858">
        <w:rPr>
          <w:rFonts w:ascii="Times New Roman" w:eastAsia="Times New Roman" w:hAnsi="Times New Roman" w:cs="Times New Roman"/>
          <w:noProof/>
          <w:sz w:val="24"/>
          <w:szCs w:val="24"/>
          <w:lang w:eastAsia="en-GB"/>
        </w:rPr>
        <w:t xml:space="preserve"> in metrology, standardisation, accreditation, and conformity assessment. The project contributes to </w:t>
      </w:r>
      <w:r w:rsidR="000642FD">
        <w:rPr>
          <w:rFonts w:ascii="Times New Roman" w:eastAsia="Times New Roman" w:hAnsi="Times New Roman" w:cs="Times New Roman"/>
          <w:noProof/>
          <w:sz w:val="24"/>
          <w:szCs w:val="24"/>
          <w:lang w:eastAsia="en-GB"/>
        </w:rPr>
        <w:t>improving</w:t>
      </w:r>
      <w:r w:rsidR="000642FD" w:rsidRPr="00924858">
        <w:rPr>
          <w:rFonts w:ascii="Times New Roman" w:eastAsia="Times New Roman" w:hAnsi="Times New Roman" w:cs="Times New Roman"/>
          <w:noProof/>
          <w:sz w:val="24"/>
          <w:szCs w:val="24"/>
          <w:lang w:eastAsia="en-GB"/>
        </w:rPr>
        <w:t xml:space="preserve"> </w:t>
      </w:r>
      <w:r w:rsidRPr="00924858">
        <w:rPr>
          <w:rFonts w:ascii="Times New Roman" w:eastAsia="Times New Roman" w:hAnsi="Times New Roman" w:cs="Times New Roman"/>
          <w:noProof/>
          <w:sz w:val="24"/>
          <w:szCs w:val="24"/>
          <w:lang w:eastAsia="en-GB"/>
        </w:rPr>
        <w:t xml:space="preserve">the business environment </w:t>
      </w:r>
      <w:r w:rsidR="00CC536D">
        <w:rPr>
          <w:rFonts w:ascii="Times New Roman" w:eastAsia="Times New Roman" w:hAnsi="Times New Roman" w:cs="Times New Roman"/>
          <w:noProof/>
          <w:sz w:val="24"/>
          <w:szCs w:val="24"/>
          <w:lang w:eastAsia="en-GB"/>
        </w:rPr>
        <w:t>in the</w:t>
      </w:r>
      <w:r w:rsidR="00CC536D" w:rsidRPr="00924858">
        <w:rPr>
          <w:rFonts w:ascii="Times New Roman" w:eastAsia="Times New Roman" w:hAnsi="Times New Roman" w:cs="Times New Roman"/>
          <w:noProof/>
          <w:sz w:val="24"/>
          <w:szCs w:val="24"/>
          <w:lang w:eastAsia="en-GB"/>
        </w:rPr>
        <w:t xml:space="preserve"> </w:t>
      </w:r>
      <w:r w:rsidR="00CC536D" w:rsidRPr="00924858">
        <w:rPr>
          <w:rFonts w:ascii="Times New Roman,Calibri" w:eastAsia="Times New Roman,Calibri" w:hAnsi="Times New Roman,Calibri" w:cs="Times New Roman,Calibri"/>
          <w:noProof/>
          <w:sz w:val="24"/>
          <w:szCs w:val="24"/>
          <w:lang w:eastAsia="en-GB"/>
        </w:rPr>
        <w:t xml:space="preserve">Turkish Cypriot </w:t>
      </w:r>
      <w:r w:rsidR="00CC536D">
        <w:rPr>
          <w:rFonts w:ascii="Times New Roman" w:eastAsia="Times New Roman" w:hAnsi="Times New Roman" w:cs="Times New Roman"/>
          <w:noProof/>
          <w:sz w:val="24"/>
          <w:szCs w:val="24"/>
          <w:lang w:eastAsia="en-GB"/>
        </w:rPr>
        <w:t>community</w:t>
      </w:r>
      <w:r w:rsidR="00CC536D" w:rsidRPr="00924858">
        <w:rPr>
          <w:rFonts w:ascii="Times New Roman,Calibri" w:eastAsia="Times New Roman,Calibri" w:hAnsi="Times New Roman,Calibri" w:cs="Times New Roman,Calibri"/>
          <w:noProof/>
          <w:sz w:val="24"/>
          <w:szCs w:val="24"/>
          <w:lang w:eastAsia="en-GB"/>
        </w:rPr>
        <w:t xml:space="preserve"> </w:t>
      </w:r>
      <w:r w:rsidRPr="00924858">
        <w:rPr>
          <w:rFonts w:ascii="Times New Roman" w:eastAsia="Times New Roman" w:hAnsi="Times New Roman" w:cs="Times New Roman"/>
          <w:noProof/>
          <w:sz w:val="24"/>
          <w:szCs w:val="24"/>
          <w:lang w:eastAsia="en-GB"/>
        </w:rPr>
        <w:t>and to ensure that locally produced goods comply with EU standards.</w:t>
      </w:r>
    </w:p>
    <w:p w14:paraId="680C0439" w14:textId="211FD5FC" w:rsidR="00676B92" w:rsidRPr="00924858" w:rsidRDefault="0059184B" w:rsidP="0059184B">
      <w:pPr>
        <w:spacing w:after="120" w:line="240" w:lineRule="auto"/>
        <w:ind w:left="851"/>
        <w:jc w:val="both"/>
        <w:rPr>
          <w:rFonts w:ascii="Times New Roman" w:eastAsia="Times New Roman" w:hAnsi="Times New Roman" w:cs="Times New Roman"/>
          <w:noProof/>
          <w:sz w:val="24"/>
          <w:szCs w:val="24"/>
          <w:lang w:eastAsia="en-GB"/>
        </w:rPr>
      </w:pPr>
      <w:r w:rsidRPr="00924858">
        <w:rPr>
          <w:rFonts w:ascii="Times New Roman" w:eastAsia="Times New Roman" w:hAnsi="Times New Roman" w:cs="Times New Roman"/>
          <w:noProof/>
          <w:sz w:val="24"/>
          <w:szCs w:val="24"/>
          <w:lang w:eastAsia="en-GB"/>
        </w:rPr>
        <w:t xml:space="preserve">In the field of rural development, </w:t>
      </w:r>
      <w:r w:rsidR="005354F1" w:rsidRPr="00924858">
        <w:rPr>
          <w:rFonts w:ascii="Times New Roman" w:eastAsia="Times New Roman" w:hAnsi="Times New Roman" w:cs="Times New Roman"/>
          <w:noProof/>
          <w:sz w:val="24"/>
          <w:szCs w:val="24"/>
          <w:lang w:eastAsia="en-GB"/>
        </w:rPr>
        <w:t xml:space="preserve">189 farmers were provided with vocational education training on farm management and related topics. </w:t>
      </w:r>
      <w:r w:rsidR="000642FD">
        <w:rPr>
          <w:rFonts w:ascii="Times New Roman" w:eastAsia="Times New Roman" w:hAnsi="Times New Roman" w:cs="Times New Roman"/>
          <w:noProof/>
          <w:sz w:val="24"/>
          <w:szCs w:val="24"/>
          <w:lang w:eastAsia="en-GB"/>
        </w:rPr>
        <w:t>C</w:t>
      </w:r>
      <w:r w:rsidR="000642FD" w:rsidRPr="00924858">
        <w:rPr>
          <w:rFonts w:ascii="Times New Roman" w:eastAsia="Times New Roman" w:hAnsi="Times New Roman" w:cs="Times New Roman"/>
          <w:noProof/>
          <w:sz w:val="24"/>
          <w:szCs w:val="24"/>
          <w:lang w:eastAsia="en-GB"/>
        </w:rPr>
        <w:t>omplementing the investment in training</w:t>
      </w:r>
      <w:r w:rsidR="000642FD">
        <w:rPr>
          <w:rFonts w:ascii="Times New Roman" w:eastAsia="Times New Roman" w:hAnsi="Times New Roman" w:cs="Times New Roman"/>
          <w:noProof/>
          <w:sz w:val="24"/>
          <w:szCs w:val="24"/>
          <w:lang w:eastAsia="en-GB"/>
        </w:rPr>
        <w:t>,</w:t>
      </w:r>
      <w:r w:rsidR="000642FD" w:rsidRPr="00924858">
        <w:rPr>
          <w:rFonts w:ascii="Times New Roman" w:eastAsia="Times New Roman" w:hAnsi="Times New Roman" w:cs="Times New Roman"/>
          <w:noProof/>
          <w:sz w:val="24"/>
          <w:szCs w:val="24"/>
          <w:lang w:eastAsia="en-GB"/>
        </w:rPr>
        <w:t xml:space="preserve"> </w:t>
      </w:r>
      <w:r w:rsidR="005354F1" w:rsidRPr="00924858">
        <w:rPr>
          <w:rFonts w:ascii="Times New Roman" w:eastAsia="Times New Roman" w:hAnsi="Times New Roman" w:cs="Times New Roman"/>
          <w:noProof/>
          <w:sz w:val="24"/>
          <w:szCs w:val="24"/>
          <w:lang w:eastAsia="en-GB"/>
        </w:rPr>
        <w:t xml:space="preserve">55 rural development grants aiming to upgrade the sector proceeded to the final stage of implementation. A pilot </w:t>
      </w:r>
      <w:r w:rsidR="00D326F3" w:rsidRPr="00924858">
        <w:rPr>
          <w:rFonts w:ascii="Times New Roman" w:eastAsia="Times New Roman" w:hAnsi="Times New Roman" w:cs="Times New Roman"/>
          <w:noProof/>
          <w:sz w:val="24"/>
          <w:szCs w:val="24"/>
          <w:lang w:eastAsia="en-GB"/>
        </w:rPr>
        <w:t>r</w:t>
      </w:r>
      <w:r w:rsidR="005354F1" w:rsidRPr="00924858">
        <w:rPr>
          <w:rFonts w:ascii="Times New Roman" w:eastAsia="Times New Roman" w:hAnsi="Times New Roman" w:cs="Times New Roman"/>
          <w:noProof/>
          <w:sz w:val="24"/>
          <w:szCs w:val="24"/>
          <w:lang w:eastAsia="en-GB"/>
        </w:rPr>
        <w:t xml:space="preserve">esearch and </w:t>
      </w:r>
      <w:r w:rsidR="00D326F3" w:rsidRPr="00924858">
        <w:rPr>
          <w:rFonts w:ascii="Times New Roman" w:eastAsia="Times New Roman" w:hAnsi="Times New Roman" w:cs="Times New Roman"/>
          <w:noProof/>
          <w:sz w:val="24"/>
          <w:szCs w:val="24"/>
          <w:lang w:eastAsia="en-GB"/>
        </w:rPr>
        <w:t>d</w:t>
      </w:r>
      <w:r w:rsidR="005354F1" w:rsidRPr="00924858">
        <w:rPr>
          <w:rFonts w:ascii="Times New Roman" w:eastAsia="Times New Roman" w:hAnsi="Times New Roman" w:cs="Times New Roman"/>
          <w:noProof/>
          <w:sz w:val="24"/>
          <w:szCs w:val="24"/>
          <w:lang w:eastAsia="en-GB"/>
        </w:rPr>
        <w:t xml:space="preserve">emonstration </w:t>
      </w:r>
      <w:r w:rsidR="00D326F3" w:rsidRPr="00924858">
        <w:rPr>
          <w:rFonts w:ascii="Times New Roman" w:eastAsia="Times New Roman" w:hAnsi="Times New Roman" w:cs="Times New Roman"/>
          <w:noProof/>
          <w:sz w:val="24"/>
          <w:szCs w:val="24"/>
          <w:lang w:eastAsia="en-GB"/>
        </w:rPr>
        <w:t>p</w:t>
      </w:r>
      <w:r w:rsidR="005354F1" w:rsidRPr="00924858">
        <w:rPr>
          <w:rFonts w:ascii="Times New Roman" w:eastAsia="Times New Roman" w:hAnsi="Times New Roman" w:cs="Times New Roman"/>
          <w:noProof/>
          <w:sz w:val="24"/>
          <w:szCs w:val="24"/>
          <w:lang w:eastAsia="en-GB"/>
        </w:rPr>
        <w:t xml:space="preserve">rogramme was launched to overcome the gap between science, needs and </w:t>
      </w:r>
      <w:r w:rsidR="005354F1" w:rsidRPr="00377AE6">
        <w:rPr>
          <w:rFonts w:ascii="Times New Roman" w:eastAsia="Times New Roman" w:hAnsi="Times New Roman" w:cs="Times New Roman"/>
          <w:noProof/>
          <w:sz w:val="24"/>
          <w:szCs w:val="24"/>
          <w:lang w:eastAsia="en-GB"/>
        </w:rPr>
        <w:t>practice</w:t>
      </w:r>
      <w:r w:rsidR="005354F1" w:rsidRPr="00924858">
        <w:rPr>
          <w:rFonts w:ascii="Times New Roman" w:eastAsia="Times New Roman" w:hAnsi="Times New Roman" w:cs="Times New Roman"/>
          <w:noProof/>
          <w:sz w:val="24"/>
          <w:szCs w:val="24"/>
          <w:lang w:eastAsia="en-GB"/>
        </w:rPr>
        <w:t xml:space="preserve"> in </w:t>
      </w:r>
      <w:r w:rsidR="000642FD" w:rsidRPr="00924858">
        <w:rPr>
          <w:rFonts w:ascii="Times New Roman" w:eastAsia="Times New Roman" w:hAnsi="Times New Roman" w:cs="Times New Roman"/>
          <w:noProof/>
          <w:sz w:val="24"/>
          <w:szCs w:val="24"/>
          <w:lang w:eastAsia="en-GB"/>
        </w:rPr>
        <w:t xml:space="preserve">four </w:t>
      </w:r>
      <w:r w:rsidR="005354F1" w:rsidRPr="00924858">
        <w:rPr>
          <w:rFonts w:ascii="Times New Roman" w:eastAsia="Times New Roman" w:hAnsi="Times New Roman" w:cs="Times New Roman"/>
          <w:noProof/>
          <w:sz w:val="24"/>
          <w:szCs w:val="24"/>
          <w:lang w:eastAsia="en-GB"/>
        </w:rPr>
        <w:t xml:space="preserve">identified pilot themes, including the Halloumi/Hellim </w:t>
      </w:r>
      <w:r w:rsidR="007B564E" w:rsidRPr="007B564E">
        <w:rPr>
          <w:rFonts w:ascii="Times New Roman" w:eastAsia="Times New Roman" w:hAnsi="Times New Roman" w:cs="Times New Roman"/>
          <w:noProof/>
          <w:sz w:val="24"/>
          <w:szCs w:val="24"/>
          <w:lang w:eastAsia="en-GB"/>
        </w:rPr>
        <w:t>protected designation of origin</w:t>
      </w:r>
      <w:r w:rsidR="005354F1" w:rsidRPr="00924858">
        <w:rPr>
          <w:rFonts w:ascii="Times New Roman" w:eastAsia="Times New Roman" w:hAnsi="Times New Roman" w:cs="Times New Roman"/>
          <w:noProof/>
          <w:sz w:val="24"/>
          <w:szCs w:val="24"/>
          <w:lang w:eastAsia="en-GB"/>
        </w:rPr>
        <w:t xml:space="preserve"> scheme.</w:t>
      </w:r>
    </w:p>
    <w:p w14:paraId="3904052A" w14:textId="4AFB0212" w:rsidR="00286688" w:rsidRPr="00924858" w:rsidRDefault="005354F1" w:rsidP="00212D71">
      <w:pPr>
        <w:spacing w:after="120" w:line="240" w:lineRule="auto"/>
        <w:ind w:left="851"/>
        <w:jc w:val="both"/>
        <w:rPr>
          <w:rFonts w:ascii="Times New Roman" w:eastAsia="Times New Roman" w:hAnsi="Times New Roman" w:cs="Times New Roman"/>
          <w:noProof/>
          <w:sz w:val="24"/>
          <w:szCs w:val="24"/>
          <w:lang w:eastAsia="en-GB"/>
        </w:rPr>
      </w:pPr>
      <w:r w:rsidRPr="00924858">
        <w:rPr>
          <w:rFonts w:ascii="Times New Roman" w:eastAsia="Times New Roman" w:hAnsi="Times New Roman" w:cs="Times New Roman"/>
          <w:noProof/>
          <w:sz w:val="24"/>
          <w:szCs w:val="24"/>
          <w:lang w:eastAsia="en-GB"/>
        </w:rPr>
        <w:t xml:space="preserve">Implementation </w:t>
      </w:r>
      <w:r w:rsidR="000642FD" w:rsidRPr="00924858">
        <w:rPr>
          <w:rFonts w:ascii="Times New Roman" w:eastAsia="Times New Roman" w:hAnsi="Times New Roman" w:cs="Times New Roman"/>
          <w:noProof/>
          <w:sz w:val="24"/>
          <w:szCs w:val="24"/>
          <w:lang w:eastAsia="en-GB"/>
        </w:rPr>
        <w:t xml:space="preserve">continued </w:t>
      </w:r>
      <w:r w:rsidRPr="00924858">
        <w:rPr>
          <w:rFonts w:ascii="Times New Roman" w:eastAsia="Times New Roman" w:hAnsi="Times New Roman" w:cs="Times New Roman"/>
          <w:noProof/>
          <w:sz w:val="24"/>
          <w:szCs w:val="24"/>
          <w:lang w:eastAsia="en-GB"/>
        </w:rPr>
        <w:t xml:space="preserve">of the </w:t>
      </w:r>
      <w:r w:rsidR="00F3783E" w:rsidRPr="00924858">
        <w:rPr>
          <w:rFonts w:ascii="Times New Roman" w:eastAsia="Times New Roman" w:hAnsi="Times New Roman" w:cs="Times New Roman"/>
          <w:noProof/>
          <w:sz w:val="24"/>
          <w:szCs w:val="24"/>
          <w:lang w:eastAsia="en-GB"/>
        </w:rPr>
        <w:t>f</w:t>
      </w:r>
      <w:r w:rsidR="004F616E" w:rsidRPr="00924858">
        <w:rPr>
          <w:rFonts w:ascii="Times New Roman" w:eastAsia="Times New Roman" w:hAnsi="Times New Roman" w:cs="Times New Roman"/>
          <w:noProof/>
          <w:sz w:val="24"/>
          <w:szCs w:val="24"/>
          <w:lang w:eastAsia="en-GB"/>
        </w:rPr>
        <w:t xml:space="preserve">ood </w:t>
      </w:r>
      <w:r w:rsidR="00F3783E" w:rsidRPr="00924858">
        <w:rPr>
          <w:rFonts w:ascii="Times New Roman" w:eastAsia="Times New Roman" w:hAnsi="Times New Roman" w:cs="Times New Roman"/>
          <w:noProof/>
          <w:sz w:val="24"/>
          <w:szCs w:val="24"/>
          <w:lang w:eastAsia="en-GB"/>
        </w:rPr>
        <w:t>s</w:t>
      </w:r>
      <w:r w:rsidR="004F616E" w:rsidRPr="00924858">
        <w:rPr>
          <w:rFonts w:ascii="Times New Roman" w:eastAsia="Times New Roman" w:hAnsi="Times New Roman" w:cs="Times New Roman"/>
          <w:noProof/>
          <w:sz w:val="24"/>
          <w:szCs w:val="24"/>
          <w:lang w:eastAsia="en-GB"/>
        </w:rPr>
        <w:t xml:space="preserve">afety and </w:t>
      </w:r>
      <w:r w:rsidR="00F3783E" w:rsidRPr="00924858">
        <w:rPr>
          <w:rFonts w:ascii="Times New Roman" w:eastAsia="Times New Roman" w:hAnsi="Times New Roman" w:cs="Times New Roman"/>
          <w:noProof/>
          <w:sz w:val="24"/>
          <w:szCs w:val="24"/>
          <w:lang w:eastAsia="en-GB"/>
        </w:rPr>
        <w:t>c</w:t>
      </w:r>
      <w:r w:rsidR="004F616E" w:rsidRPr="00924858">
        <w:rPr>
          <w:rFonts w:ascii="Times New Roman" w:eastAsia="Times New Roman" w:hAnsi="Times New Roman" w:cs="Times New Roman"/>
          <w:noProof/>
          <w:sz w:val="24"/>
          <w:szCs w:val="24"/>
          <w:lang w:eastAsia="en-GB"/>
        </w:rPr>
        <w:t xml:space="preserve">risis </w:t>
      </w:r>
      <w:r w:rsidR="00924858" w:rsidRPr="00924858">
        <w:rPr>
          <w:rFonts w:ascii="Times New Roman" w:eastAsia="Times New Roman" w:hAnsi="Times New Roman" w:cs="Times New Roman"/>
          <w:noProof/>
          <w:sz w:val="24"/>
          <w:szCs w:val="24"/>
          <w:lang w:eastAsia="en-GB"/>
        </w:rPr>
        <w:t>prepar</w:t>
      </w:r>
      <w:r w:rsidR="00924858">
        <w:rPr>
          <w:rFonts w:ascii="Times New Roman" w:eastAsia="Times New Roman" w:hAnsi="Times New Roman" w:cs="Times New Roman"/>
          <w:noProof/>
          <w:sz w:val="24"/>
          <w:szCs w:val="24"/>
          <w:lang w:eastAsia="en-GB"/>
        </w:rPr>
        <w:t>e</w:t>
      </w:r>
      <w:r w:rsidR="00924858" w:rsidRPr="00924858">
        <w:rPr>
          <w:rFonts w:ascii="Times New Roman" w:eastAsia="Times New Roman" w:hAnsi="Times New Roman" w:cs="Times New Roman"/>
          <w:noProof/>
          <w:sz w:val="24"/>
          <w:szCs w:val="24"/>
          <w:lang w:eastAsia="en-GB"/>
        </w:rPr>
        <w:t>dness</w:t>
      </w:r>
      <w:r w:rsidR="004F616E" w:rsidRPr="00924858">
        <w:rPr>
          <w:rFonts w:ascii="Times New Roman" w:eastAsia="Times New Roman" w:hAnsi="Times New Roman" w:cs="Times New Roman"/>
          <w:noProof/>
          <w:sz w:val="24"/>
          <w:szCs w:val="24"/>
          <w:lang w:eastAsia="en-GB"/>
        </w:rPr>
        <w:t xml:space="preserve"> </w:t>
      </w:r>
      <w:r w:rsidRPr="00924858">
        <w:rPr>
          <w:rFonts w:ascii="Times New Roman" w:eastAsia="Times New Roman" w:hAnsi="Times New Roman" w:cs="Times New Roman"/>
          <w:noProof/>
          <w:sz w:val="24"/>
          <w:szCs w:val="24"/>
          <w:lang w:eastAsia="en-GB"/>
        </w:rPr>
        <w:t>technical assistance project</w:t>
      </w:r>
      <w:r w:rsidR="000642FD">
        <w:rPr>
          <w:rFonts w:ascii="Times New Roman" w:eastAsia="Times New Roman" w:hAnsi="Times New Roman" w:cs="Times New Roman"/>
          <w:noProof/>
          <w:sz w:val="24"/>
          <w:szCs w:val="24"/>
          <w:lang w:eastAsia="en-GB"/>
        </w:rPr>
        <w:t>,</w:t>
      </w:r>
      <w:r w:rsidRPr="00924858">
        <w:rPr>
          <w:rFonts w:ascii="Times New Roman" w:eastAsia="Times New Roman" w:hAnsi="Times New Roman" w:cs="Times New Roman"/>
          <w:noProof/>
          <w:sz w:val="24"/>
          <w:szCs w:val="24"/>
          <w:lang w:eastAsia="en-GB"/>
        </w:rPr>
        <w:t xml:space="preserve"> </w:t>
      </w:r>
      <w:r w:rsidR="000642FD">
        <w:rPr>
          <w:rFonts w:ascii="Times New Roman" w:eastAsia="Times New Roman" w:hAnsi="Times New Roman" w:cs="Times New Roman"/>
          <w:noProof/>
          <w:sz w:val="24"/>
          <w:szCs w:val="24"/>
          <w:lang w:eastAsia="en-GB"/>
        </w:rPr>
        <w:t>which has</w:t>
      </w:r>
      <w:r w:rsidR="000642FD" w:rsidRPr="00924858">
        <w:rPr>
          <w:rFonts w:ascii="Times New Roman" w:eastAsia="Times New Roman" w:hAnsi="Times New Roman" w:cs="Times New Roman"/>
          <w:noProof/>
          <w:sz w:val="24"/>
          <w:szCs w:val="24"/>
          <w:lang w:eastAsia="en-GB"/>
        </w:rPr>
        <w:t xml:space="preserve"> </w:t>
      </w:r>
      <w:r w:rsidRPr="00924858">
        <w:rPr>
          <w:rFonts w:ascii="Times New Roman" w:eastAsia="Times New Roman" w:hAnsi="Times New Roman" w:cs="Times New Roman"/>
          <w:noProof/>
          <w:sz w:val="24"/>
          <w:szCs w:val="24"/>
          <w:lang w:eastAsia="en-GB"/>
        </w:rPr>
        <w:t xml:space="preserve">implications for Green Line trade and implementation of the Halloumi/Hellim package. </w:t>
      </w:r>
      <w:r w:rsidR="000642FD">
        <w:rPr>
          <w:rFonts w:ascii="Times New Roman" w:eastAsia="Times New Roman" w:hAnsi="Times New Roman" w:cs="Times New Roman"/>
          <w:noProof/>
          <w:sz w:val="24"/>
          <w:szCs w:val="24"/>
          <w:lang w:eastAsia="en-GB"/>
        </w:rPr>
        <w:t>S</w:t>
      </w:r>
      <w:r w:rsidR="000642FD" w:rsidRPr="00924858">
        <w:rPr>
          <w:rFonts w:ascii="Times New Roman" w:eastAsia="Times New Roman" w:hAnsi="Times New Roman" w:cs="Times New Roman"/>
          <w:noProof/>
          <w:sz w:val="24"/>
          <w:szCs w:val="24"/>
          <w:lang w:eastAsia="en-GB"/>
        </w:rPr>
        <w:t>upport</w:t>
      </w:r>
      <w:r w:rsidR="000642FD">
        <w:rPr>
          <w:rFonts w:ascii="Times New Roman" w:eastAsia="Times New Roman" w:hAnsi="Times New Roman" w:cs="Times New Roman"/>
          <w:noProof/>
          <w:sz w:val="24"/>
          <w:szCs w:val="24"/>
          <w:lang w:eastAsia="en-GB"/>
        </w:rPr>
        <w:t xml:space="preserve"> was made available to</w:t>
      </w:r>
      <w:r w:rsidR="000642FD" w:rsidRPr="00924858">
        <w:rPr>
          <w:rFonts w:ascii="Times New Roman" w:eastAsia="Times New Roman" w:hAnsi="Times New Roman" w:cs="Times New Roman"/>
          <w:noProof/>
          <w:sz w:val="24"/>
          <w:szCs w:val="24"/>
          <w:lang w:eastAsia="en-GB"/>
        </w:rPr>
        <w:t xml:space="preserve"> </w:t>
      </w:r>
      <w:r w:rsidRPr="00924858">
        <w:rPr>
          <w:rFonts w:ascii="Times New Roman" w:eastAsia="Times New Roman" w:hAnsi="Times New Roman" w:cs="Times New Roman"/>
          <w:noProof/>
          <w:sz w:val="24"/>
          <w:szCs w:val="24"/>
          <w:lang w:eastAsia="en-GB"/>
        </w:rPr>
        <w:t xml:space="preserve">28 food business operators </w:t>
      </w:r>
      <w:r w:rsidR="000642FD">
        <w:rPr>
          <w:rFonts w:ascii="Times New Roman" w:eastAsia="Times New Roman" w:hAnsi="Times New Roman" w:cs="Times New Roman"/>
          <w:noProof/>
          <w:sz w:val="24"/>
          <w:szCs w:val="24"/>
          <w:lang w:eastAsia="en-GB"/>
        </w:rPr>
        <w:t>to</w:t>
      </w:r>
      <w:r w:rsidRPr="00924858">
        <w:rPr>
          <w:rFonts w:ascii="Times New Roman" w:eastAsia="Times New Roman" w:hAnsi="Times New Roman" w:cs="Times New Roman"/>
          <w:noProof/>
          <w:sz w:val="24"/>
          <w:szCs w:val="24"/>
          <w:lang w:eastAsia="en-GB"/>
        </w:rPr>
        <w:t xml:space="preserve"> develop and implement action plans to reach EU standards. The certification </w:t>
      </w:r>
      <w:r w:rsidR="00527D40" w:rsidRPr="00924858">
        <w:rPr>
          <w:rFonts w:ascii="Times New Roman" w:eastAsia="Times New Roman" w:hAnsi="Times New Roman" w:cs="Times New Roman"/>
          <w:noProof/>
          <w:sz w:val="24"/>
          <w:szCs w:val="24"/>
          <w:lang w:eastAsia="en-GB"/>
        </w:rPr>
        <w:t xml:space="preserve">process </w:t>
      </w:r>
      <w:r w:rsidRPr="00924858">
        <w:rPr>
          <w:rFonts w:ascii="Times New Roman" w:eastAsia="Times New Roman" w:hAnsi="Times New Roman" w:cs="Times New Roman"/>
          <w:noProof/>
          <w:sz w:val="24"/>
          <w:szCs w:val="24"/>
          <w:lang w:eastAsia="en-GB"/>
        </w:rPr>
        <w:t xml:space="preserve">of farms </w:t>
      </w:r>
      <w:r w:rsidR="00527D40" w:rsidRPr="00924858">
        <w:rPr>
          <w:rFonts w:ascii="Times New Roman" w:eastAsia="Times New Roman" w:hAnsi="Times New Roman" w:cs="Times New Roman"/>
          <w:noProof/>
          <w:sz w:val="24"/>
          <w:szCs w:val="24"/>
          <w:lang w:eastAsia="en-GB"/>
        </w:rPr>
        <w:t>began</w:t>
      </w:r>
      <w:r w:rsidRPr="00924858">
        <w:rPr>
          <w:rFonts w:ascii="Times New Roman" w:eastAsia="Times New Roman" w:hAnsi="Times New Roman" w:cs="Times New Roman"/>
          <w:noProof/>
          <w:sz w:val="24"/>
          <w:szCs w:val="24"/>
          <w:lang w:eastAsia="en-GB"/>
        </w:rPr>
        <w:t xml:space="preserve"> and</w:t>
      </w:r>
      <w:r w:rsidR="00527D40" w:rsidRPr="00924858">
        <w:rPr>
          <w:rFonts w:ascii="Times New Roman" w:eastAsia="Times New Roman" w:hAnsi="Times New Roman" w:cs="Times New Roman"/>
          <w:noProof/>
          <w:sz w:val="24"/>
          <w:szCs w:val="24"/>
          <w:lang w:eastAsia="en-GB"/>
        </w:rPr>
        <w:t>,</w:t>
      </w:r>
      <w:r w:rsidRPr="00924858">
        <w:rPr>
          <w:rFonts w:ascii="Times New Roman" w:eastAsia="Times New Roman" w:hAnsi="Times New Roman" w:cs="Times New Roman"/>
          <w:noProof/>
          <w:sz w:val="24"/>
          <w:szCs w:val="24"/>
          <w:lang w:eastAsia="en-GB"/>
        </w:rPr>
        <w:t xml:space="preserve"> by the end of 2022, 11 farms </w:t>
      </w:r>
      <w:r w:rsidR="000642FD">
        <w:rPr>
          <w:rFonts w:ascii="Times New Roman" w:eastAsia="Times New Roman" w:hAnsi="Times New Roman" w:cs="Times New Roman"/>
          <w:noProof/>
          <w:sz w:val="24"/>
          <w:szCs w:val="24"/>
          <w:lang w:eastAsia="en-GB"/>
        </w:rPr>
        <w:t>had been</w:t>
      </w:r>
      <w:r w:rsidR="000642FD" w:rsidRPr="00924858">
        <w:rPr>
          <w:rFonts w:ascii="Times New Roman" w:eastAsia="Times New Roman" w:hAnsi="Times New Roman" w:cs="Times New Roman"/>
          <w:noProof/>
          <w:sz w:val="24"/>
          <w:szCs w:val="24"/>
          <w:lang w:eastAsia="en-GB"/>
        </w:rPr>
        <w:t xml:space="preserve"> </w:t>
      </w:r>
      <w:r w:rsidRPr="00924858">
        <w:rPr>
          <w:rFonts w:ascii="Times New Roman" w:eastAsia="Times New Roman" w:hAnsi="Times New Roman" w:cs="Times New Roman"/>
          <w:noProof/>
          <w:sz w:val="24"/>
          <w:szCs w:val="24"/>
          <w:lang w:eastAsia="en-GB"/>
        </w:rPr>
        <w:t xml:space="preserve">certified and </w:t>
      </w:r>
      <w:r w:rsidR="000642FD">
        <w:rPr>
          <w:rFonts w:ascii="Times New Roman" w:eastAsia="Times New Roman" w:hAnsi="Times New Roman" w:cs="Times New Roman"/>
          <w:noProof/>
          <w:sz w:val="24"/>
          <w:szCs w:val="24"/>
          <w:lang w:eastAsia="en-GB"/>
        </w:rPr>
        <w:t xml:space="preserve">an </w:t>
      </w:r>
      <w:r w:rsidRPr="00924858">
        <w:rPr>
          <w:rFonts w:ascii="Times New Roman" w:eastAsia="Times New Roman" w:hAnsi="Times New Roman" w:cs="Times New Roman"/>
          <w:noProof/>
          <w:sz w:val="24"/>
          <w:szCs w:val="24"/>
          <w:lang w:eastAsia="en-GB"/>
        </w:rPr>
        <w:t xml:space="preserve">additional 26 farms </w:t>
      </w:r>
      <w:r w:rsidR="000642FD">
        <w:rPr>
          <w:rFonts w:ascii="Times New Roman" w:eastAsia="Times New Roman" w:hAnsi="Times New Roman" w:cs="Times New Roman"/>
          <w:noProof/>
          <w:sz w:val="24"/>
          <w:szCs w:val="24"/>
          <w:lang w:eastAsia="en-GB"/>
        </w:rPr>
        <w:t>had been</w:t>
      </w:r>
      <w:r w:rsidR="000642FD" w:rsidRPr="00924858">
        <w:rPr>
          <w:rFonts w:ascii="Times New Roman" w:eastAsia="Times New Roman" w:hAnsi="Times New Roman" w:cs="Times New Roman"/>
          <w:noProof/>
          <w:sz w:val="24"/>
          <w:szCs w:val="24"/>
          <w:lang w:eastAsia="en-GB"/>
        </w:rPr>
        <w:t xml:space="preserve"> </w:t>
      </w:r>
      <w:r w:rsidRPr="00924858">
        <w:rPr>
          <w:rFonts w:ascii="Times New Roman" w:eastAsia="Times New Roman" w:hAnsi="Times New Roman" w:cs="Times New Roman"/>
          <w:noProof/>
          <w:sz w:val="24"/>
          <w:szCs w:val="24"/>
          <w:lang w:eastAsia="en-GB"/>
        </w:rPr>
        <w:t>assessed.</w:t>
      </w:r>
    </w:p>
    <w:p w14:paraId="051981C4" w14:textId="50CBAF7D" w:rsidR="00286688" w:rsidRPr="00924858" w:rsidRDefault="001C6D2A" w:rsidP="00212D71">
      <w:pPr>
        <w:spacing w:after="120" w:line="240" w:lineRule="auto"/>
        <w:ind w:left="851"/>
        <w:jc w:val="both"/>
        <w:rPr>
          <w:rFonts w:ascii="Times New Roman" w:eastAsia="Times New Roman" w:hAnsi="Times New Roman" w:cs="Times New Roman"/>
          <w:noProof/>
          <w:sz w:val="24"/>
          <w:szCs w:val="24"/>
          <w:lang w:eastAsia="en-GB"/>
        </w:rPr>
      </w:pPr>
      <w:r w:rsidRPr="00924858">
        <w:rPr>
          <w:rFonts w:ascii="Times New Roman" w:eastAsia="Times New Roman" w:hAnsi="Times New Roman" w:cs="Times New Roman"/>
          <w:noProof/>
          <w:sz w:val="24"/>
          <w:szCs w:val="24"/>
          <w:lang w:eastAsia="en-GB"/>
        </w:rPr>
        <w:t xml:space="preserve">A third large-scale testing and sampling </w:t>
      </w:r>
      <w:r w:rsidR="00F42B39" w:rsidRPr="00924858">
        <w:rPr>
          <w:rFonts w:ascii="Times New Roman" w:eastAsia="Times New Roman" w:hAnsi="Times New Roman" w:cs="Times New Roman"/>
          <w:noProof/>
          <w:sz w:val="24"/>
          <w:szCs w:val="24"/>
          <w:lang w:eastAsia="en-GB"/>
        </w:rPr>
        <w:t>of animals for priority</w:t>
      </w:r>
      <w:r w:rsidR="00AB3340" w:rsidRPr="00924858">
        <w:rPr>
          <w:rFonts w:ascii="Times New Roman" w:eastAsia="Times New Roman" w:hAnsi="Times New Roman" w:cs="Times New Roman"/>
          <w:noProof/>
          <w:sz w:val="24"/>
          <w:szCs w:val="24"/>
          <w:lang w:eastAsia="en-GB"/>
        </w:rPr>
        <w:t xml:space="preserve"> diseases, namely </w:t>
      </w:r>
      <w:r w:rsidR="00F42B39" w:rsidRPr="00924858">
        <w:rPr>
          <w:rFonts w:ascii="Times New Roman" w:eastAsia="Times New Roman" w:hAnsi="Times New Roman" w:cs="Times New Roman"/>
          <w:noProof/>
          <w:sz w:val="24"/>
          <w:szCs w:val="24"/>
          <w:lang w:eastAsia="en-GB"/>
        </w:rPr>
        <w:t>brucellosis</w:t>
      </w:r>
      <w:r w:rsidR="00AD34B6" w:rsidRPr="00924858">
        <w:rPr>
          <w:rFonts w:ascii="Times New Roman" w:eastAsia="Times New Roman" w:hAnsi="Times New Roman" w:cs="Times New Roman"/>
          <w:noProof/>
          <w:sz w:val="24"/>
          <w:szCs w:val="24"/>
          <w:lang w:eastAsia="en-GB"/>
        </w:rPr>
        <w:t xml:space="preserve"> and</w:t>
      </w:r>
      <w:r w:rsidR="00AB3340" w:rsidRPr="00924858">
        <w:rPr>
          <w:rFonts w:ascii="Times New Roman" w:eastAsia="Times New Roman" w:hAnsi="Times New Roman" w:cs="Times New Roman"/>
          <w:noProof/>
          <w:sz w:val="24"/>
          <w:szCs w:val="24"/>
          <w:lang w:eastAsia="en-GB"/>
        </w:rPr>
        <w:t xml:space="preserve"> tuberculosis,</w:t>
      </w:r>
      <w:r w:rsidRPr="00924858">
        <w:rPr>
          <w:rFonts w:ascii="Times New Roman" w:eastAsia="Times New Roman" w:hAnsi="Times New Roman" w:cs="Times New Roman"/>
          <w:noProof/>
          <w:sz w:val="24"/>
          <w:szCs w:val="24"/>
          <w:lang w:eastAsia="en-GB"/>
        </w:rPr>
        <w:t xml:space="preserve"> was completed</w:t>
      </w:r>
      <w:r w:rsidR="00F42B39" w:rsidRPr="00924858">
        <w:rPr>
          <w:rFonts w:ascii="Times New Roman" w:eastAsia="Times New Roman" w:hAnsi="Times New Roman" w:cs="Times New Roman"/>
          <w:noProof/>
          <w:sz w:val="24"/>
          <w:szCs w:val="24"/>
          <w:lang w:eastAsia="en-GB"/>
        </w:rPr>
        <w:t xml:space="preserve">. </w:t>
      </w:r>
      <w:r w:rsidR="000642FD">
        <w:rPr>
          <w:rFonts w:ascii="Times New Roman" w:eastAsia="Times New Roman" w:hAnsi="Times New Roman" w:cs="Times New Roman"/>
          <w:noProof/>
          <w:sz w:val="24"/>
          <w:szCs w:val="24"/>
          <w:lang w:eastAsia="en-GB"/>
        </w:rPr>
        <w:t>F</w:t>
      </w:r>
      <w:r w:rsidR="000642FD" w:rsidRPr="00924858">
        <w:rPr>
          <w:rFonts w:ascii="Times New Roman" w:eastAsia="Times New Roman" w:hAnsi="Times New Roman" w:cs="Times New Roman"/>
          <w:noProof/>
          <w:sz w:val="24"/>
          <w:szCs w:val="24"/>
          <w:lang w:eastAsia="en-GB"/>
        </w:rPr>
        <w:t>or this</w:t>
      </w:r>
      <w:r w:rsidR="000642FD">
        <w:rPr>
          <w:rFonts w:ascii="Times New Roman" w:eastAsia="Times New Roman" w:hAnsi="Times New Roman" w:cs="Times New Roman"/>
          <w:noProof/>
          <w:sz w:val="24"/>
          <w:szCs w:val="24"/>
          <w:lang w:eastAsia="en-GB"/>
        </w:rPr>
        <w:t>,</w:t>
      </w:r>
      <w:r w:rsidR="000642FD" w:rsidRPr="00924858">
        <w:rPr>
          <w:rFonts w:ascii="Times New Roman" w:eastAsia="Times New Roman" w:hAnsi="Times New Roman" w:cs="Times New Roman"/>
          <w:noProof/>
          <w:sz w:val="24"/>
          <w:szCs w:val="24"/>
          <w:lang w:eastAsia="en-GB"/>
        </w:rPr>
        <w:t xml:space="preserve"> </w:t>
      </w:r>
      <w:r w:rsidR="000642FD">
        <w:rPr>
          <w:rFonts w:ascii="Times New Roman" w:eastAsia="Times New Roman" w:hAnsi="Times New Roman" w:cs="Times New Roman"/>
          <w:noProof/>
          <w:sz w:val="24"/>
          <w:szCs w:val="24"/>
          <w:lang w:eastAsia="en-GB"/>
        </w:rPr>
        <w:t>t</w:t>
      </w:r>
      <w:r w:rsidR="00B32720" w:rsidRPr="00924858">
        <w:rPr>
          <w:rFonts w:ascii="Times New Roman" w:eastAsia="Times New Roman" w:hAnsi="Times New Roman" w:cs="Times New Roman"/>
          <w:noProof/>
          <w:sz w:val="24"/>
          <w:szCs w:val="24"/>
          <w:lang w:eastAsia="en-GB"/>
        </w:rPr>
        <w:t>he Commission provided laboratory tests</w:t>
      </w:r>
      <w:r w:rsidR="008D242B" w:rsidRPr="00924858">
        <w:rPr>
          <w:rFonts w:ascii="Times New Roman" w:eastAsia="Times New Roman" w:hAnsi="Times New Roman" w:cs="Times New Roman"/>
          <w:noProof/>
          <w:sz w:val="24"/>
          <w:szCs w:val="24"/>
          <w:lang w:eastAsia="en-GB"/>
        </w:rPr>
        <w:t xml:space="preserve">, </w:t>
      </w:r>
      <w:r w:rsidR="00B32720" w:rsidRPr="00924858">
        <w:rPr>
          <w:rFonts w:ascii="Times New Roman" w:eastAsia="Times New Roman" w:hAnsi="Times New Roman" w:cs="Times New Roman"/>
          <w:noProof/>
          <w:sz w:val="24"/>
          <w:szCs w:val="24"/>
          <w:lang w:eastAsia="en-GB"/>
        </w:rPr>
        <w:t>veterinary consumables</w:t>
      </w:r>
      <w:r w:rsidR="008D242B" w:rsidRPr="00924858">
        <w:rPr>
          <w:rFonts w:ascii="Times New Roman" w:eastAsia="Times New Roman" w:hAnsi="Times New Roman" w:cs="Times New Roman"/>
          <w:noProof/>
          <w:sz w:val="24"/>
          <w:szCs w:val="24"/>
          <w:lang w:eastAsia="en-GB"/>
        </w:rPr>
        <w:t xml:space="preserve"> and </w:t>
      </w:r>
      <w:r w:rsidR="00B32720" w:rsidRPr="00924858">
        <w:rPr>
          <w:rFonts w:ascii="Times New Roman" w:eastAsia="Times New Roman" w:hAnsi="Times New Roman" w:cs="Times New Roman"/>
          <w:noProof/>
          <w:sz w:val="24"/>
          <w:szCs w:val="24"/>
          <w:lang w:eastAsia="en-GB"/>
        </w:rPr>
        <w:t>services</w:t>
      </w:r>
      <w:r w:rsidR="00F42B39" w:rsidRPr="00924858">
        <w:rPr>
          <w:rFonts w:ascii="Times New Roman" w:eastAsia="Times New Roman" w:hAnsi="Times New Roman" w:cs="Times New Roman"/>
          <w:noProof/>
          <w:sz w:val="24"/>
          <w:szCs w:val="24"/>
          <w:lang w:eastAsia="en-GB"/>
        </w:rPr>
        <w:t xml:space="preserve">. As a result, </w:t>
      </w:r>
      <w:r w:rsidRPr="00924858">
        <w:rPr>
          <w:rFonts w:ascii="Times New Roman" w:eastAsia="Times New Roman" w:hAnsi="Times New Roman" w:cs="Times New Roman"/>
          <w:noProof/>
          <w:sz w:val="24"/>
          <w:szCs w:val="24"/>
          <w:lang w:eastAsia="en-GB"/>
        </w:rPr>
        <w:t>by the end of 2022, the trend of a decrease in the prevalence rate of brucellosis continued and reached around 2% of herd prevalence.</w:t>
      </w:r>
    </w:p>
    <w:p w14:paraId="38FD0C4C" w14:textId="7CF60B1B" w:rsidR="00286688" w:rsidRPr="00924858" w:rsidRDefault="00286688" w:rsidP="00212D71">
      <w:pPr>
        <w:spacing w:after="120" w:line="240" w:lineRule="auto"/>
        <w:ind w:left="851"/>
        <w:jc w:val="both"/>
        <w:rPr>
          <w:rFonts w:ascii="Times New Roman" w:eastAsia="Times New Roman" w:hAnsi="Times New Roman" w:cs="Times New Roman"/>
          <w:noProof/>
          <w:sz w:val="24"/>
          <w:szCs w:val="24"/>
          <w:lang w:eastAsia="en-GB"/>
        </w:rPr>
      </w:pPr>
      <w:r w:rsidRPr="00924858">
        <w:rPr>
          <w:rFonts w:ascii="Times New Roman" w:eastAsia="Times New Roman" w:hAnsi="Times New Roman" w:cs="Times New Roman"/>
          <w:noProof/>
          <w:sz w:val="24"/>
          <w:szCs w:val="24"/>
          <w:lang w:eastAsia="en-GB"/>
        </w:rPr>
        <w:t xml:space="preserve">EU support also contributed to further progress in engaging private veterinarians to implement </w:t>
      </w:r>
      <w:r w:rsidR="00203087" w:rsidRPr="00924858">
        <w:rPr>
          <w:rFonts w:ascii="Times New Roman" w:eastAsia="Times New Roman" w:hAnsi="Times New Roman" w:cs="Times New Roman"/>
          <w:noProof/>
          <w:sz w:val="24"/>
          <w:szCs w:val="24"/>
          <w:lang w:eastAsia="en-GB"/>
        </w:rPr>
        <w:t>controls.</w:t>
      </w:r>
    </w:p>
    <w:p w14:paraId="1E3106CD" w14:textId="08DED304" w:rsidR="00527D40" w:rsidRPr="00924858" w:rsidRDefault="00F42B39" w:rsidP="00936E11">
      <w:pPr>
        <w:spacing w:before="120" w:after="120" w:line="240" w:lineRule="auto"/>
        <w:ind w:left="851"/>
        <w:jc w:val="both"/>
        <w:rPr>
          <w:rFonts w:ascii="Times New Roman" w:hAnsi="Times New Roman" w:cs="Times New Roman"/>
          <w:noProof/>
          <w:sz w:val="24"/>
          <w:szCs w:val="24"/>
        </w:rPr>
      </w:pPr>
      <w:r w:rsidRPr="00924858">
        <w:rPr>
          <w:rFonts w:ascii="Times New Roman" w:hAnsi="Times New Roman" w:cs="Times New Roman"/>
          <w:noProof/>
          <w:sz w:val="24"/>
          <w:szCs w:val="24"/>
        </w:rPr>
        <w:t xml:space="preserve">In the education sector, </w:t>
      </w:r>
      <w:r w:rsidR="001C6D2A" w:rsidRPr="00924858">
        <w:rPr>
          <w:rFonts w:ascii="Times New Roman" w:hAnsi="Times New Roman" w:cs="Times New Roman"/>
          <w:noProof/>
          <w:sz w:val="24"/>
          <w:szCs w:val="24"/>
        </w:rPr>
        <w:t xml:space="preserve">support was maintained in areas strongly linked to </w:t>
      </w:r>
      <w:r w:rsidR="00453A78" w:rsidRPr="00924858">
        <w:rPr>
          <w:rFonts w:ascii="Times New Roman" w:hAnsi="Times New Roman" w:cs="Times New Roman"/>
          <w:noProof/>
          <w:sz w:val="24"/>
          <w:szCs w:val="24"/>
        </w:rPr>
        <w:t xml:space="preserve">increasing </w:t>
      </w:r>
      <w:r w:rsidR="001C6D2A" w:rsidRPr="00924858">
        <w:rPr>
          <w:rFonts w:ascii="Times New Roman" w:hAnsi="Times New Roman" w:cs="Times New Roman"/>
          <w:noProof/>
          <w:sz w:val="24"/>
          <w:szCs w:val="24"/>
        </w:rPr>
        <w:t>capacities in the labour market, including</w:t>
      </w:r>
      <w:r w:rsidR="00453A78" w:rsidRPr="00924858">
        <w:rPr>
          <w:rFonts w:ascii="Times New Roman" w:hAnsi="Times New Roman" w:cs="Times New Roman"/>
          <w:noProof/>
          <w:sz w:val="24"/>
          <w:szCs w:val="24"/>
        </w:rPr>
        <w:t xml:space="preserve"> through</w:t>
      </w:r>
      <w:r w:rsidR="001C6D2A" w:rsidRPr="00924858">
        <w:rPr>
          <w:rFonts w:ascii="Times New Roman" w:hAnsi="Times New Roman" w:cs="Times New Roman"/>
          <w:noProof/>
          <w:sz w:val="24"/>
          <w:szCs w:val="24"/>
        </w:rPr>
        <w:t xml:space="preserve"> science education, vocational education and training</w:t>
      </w:r>
      <w:r w:rsidR="00453A78" w:rsidRPr="00924858">
        <w:rPr>
          <w:rFonts w:ascii="Times New Roman" w:hAnsi="Times New Roman" w:cs="Times New Roman"/>
          <w:noProof/>
          <w:sz w:val="24"/>
          <w:szCs w:val="24"/>
        </w:rPr>
        <w:t xml:space="preserve"> (VET)</w:t>
      </w:r>
      <w:r w:rsidR="00B77D71">
        <w:rPr>
          <w:rFonts w:ascii="Times New Roman" w:hAnsi="Times New Roman" w:cs="Times New Roman"/>
          <w:noProof/>
          <w:sz w:val="24"/>
          <w:szCs w:val="24"/>
        </w:rPr>
        <w:t>,</w:t>
      </w:r>
      <w:r w:rsidR="001C6D2A" w:rsidRPr="00924858">
        <w:rPr>
          <w:rFonts w:ascii="Times New Roman" w:hAnsi="Times New Roman" w:cs="Times New Roman"/>
          <w:noProof/>
          <w:sz w:val="24"/>
          <w:szCs w:val="24"/>
        </w:rPr>
        <w:t xml:space="preserve"> and lifelong learning.</w:t>
      </w:r>
      <w:r w:rsidR="00924858" w:rsidRPr="00924858">
        <w:rPr>
          <w:rFonts w:ascii="Times New Roman" w:hAnsi="Times New Roman" w:cs="Times New Roman"/>
          <w:noProof/>
          <w:sz w:val="24"/>
          <w:szCs w:val="24"/>
        </w:rPr>
        <w:t xml:space="preserve"> </w:t>
      </w:r>
      <w:r w:rsidR="001C6D2A" w:rsidRPr="00924858">
        <w:rPr>
          <w:rFonts w:ascii="Times New Roman" w:hAnsi="Times New Roman" w:cs="Times New Roman"/>
          <w:noProof/>
          <w:sz w:val="24"/>
          <w:szCs w:val="24"/>
        </w:rPr>
        <w:t xml:space="preserve">The first phase of the multi-year vocational education curriculum development project came to an end with </w:t>
      </w:r>
      <w:r w:rsidR="00527D40" w:rsidRPr="00924858">
        <w:rPr>
          <w:rFonts w:ascii="Times New Roman" w:hAnsi="Times New Roman" w:cs="Times New Roman"/>
          <w:noProof/>
          <w:sz w:val="24"/>
          <w:szCs w:val="24"/>
        </w:rPr>
        <w:t>tangible</w:t>
      </w:r>
      <w:r w:rsidR="001C6D2A" w:rsidRPr="00924858">
        <w:rPr>
          <w:rFonts w:ascii="Times New Roman" w:hAnsi="Times New Roman" w:cs="Times New Roman"/>
          <w:noProof/>
          <w:sz w:val="24"/>
          <w:szCs w:val="24"/>
        </w:rPr>
        <w:t xml:space="preserve"> results</w:t>
      </w:r>
      <w:r w:rsidR="00527D40" w:rsidRPr="00924858">
        <w:rPr>
          <w:rFonts w:ascii="Times New Roman" w:hAnsi="Times New Roman" w:cs="Times New Roman"/>
          <w:noProof/>
          <w:sz w:val="24"/>
          <w:szCs w:val="24"/>
        </w:rPr>
        <w:t>. Among other</w:t>
      </w:r>
      <w:r w:rsidR="00B77D71">
        <w:rPr>
          <w:rFonts w:ascii="Times New Roman" w:hAnsi="Times New Roman" w:cs="Times New Roman"/>
          <w:noProof/>
          <w:sz w:val="24"/>
          <w:szCs w:val="24"/>
        </w:rPr>
        <w:t xml:space="preserve"> achievement</w:t>
      </w:r>
      <w:r w:rsidR="00527D40" w:rsidRPr="00924858">
        <w:rPr>
          <w:rFonts w:ascii="Times New Roman" w:hAnsi="Times New Roman" w:cs="Times New Roman"/>
          <w:noProof/>
          <w:sz w:val="24"/>
          <w:szCs w:val="24"/>
        </w:rPr>
        <w:t>s,</w:t>
      </w:r>
      <w:r w:rsidR="00924858" w:rsidRPr="00924858">
        <w:rPr>
          <w:rFonts w:ascii="Times New Roman" w:hAnsi="Times New Roman" w:cs="Times New Roman"/>
          <w:noProof/>
          <w:sz w:val="24"/>
          <w:szCs w:val="24"/>
        </w:rPr>
        <w:t xml:space="preserve"> </w:t>
      </w:r>
      <w:r w:rsidR="00936E11" w:rsidRPr="00924858">
        <w:rPr>
          <w:rFonts w:ascii="Times New Roman" w:hAnsi="Times New Roman" w:cs="Times New Roman"/>
          <w:noProof/>
          <w:sz w:val="24"/>
          <w:szCs w:val="24"/>
        </w:rPr>
        <w:t xml:space="preserve">it helped to develop </w:t>
      </w:r>
      <w:r w:rsidR="001C6D2A" w:rsidRPr="00924858">
        <w:rPr>
          <w:rFonts w:ascii="Times New Roman" w:hAnsi="Times New Roman" w:cs="Times New Roman"/>
          <w:noProof/>
          <w:sz w:val="24"/>
          <w:szCs w:val="24"/>
        </w:rPr>
        <w:t>20 curriculum packages for revised VET curricula and a new</w:t>
      </w:r>
      <w:r w:rsidR="00936E11" w:rsidRPr="00924858">
        <w:rPr>
          <w:rFonts w:ascii="Times New Roman" w:hAnsi="Times New Roman" w:cs="Times New Roman"/>
          <w:noProof/>
          <w:sz w:val="24"/>
          <w:szCs w:val="24"/>
        </w:rPr>
        <w:t xml:space="preserve"> testing and evaluation mechanism for VET education. The project was extended for another 2 years.</w:t>
      </w:r>
    </w:p>
    <w:p w14:paraId="5682744F" w14:textId="4D86446B" w:rsidR="001C6D2A" w:rsidRPr="00924858" w:rsidRDefault="00453A78">
      <w:pPr>
        <w:spacing w:before="120" w:after="120" w:line="240" w:lineRule="auto"/>
        <w:ind w:left="851"/>
        <w:jc w:val="both"/>
        <w:rPr>
          <w:rFonts w:ascii="Times New Roman" w:hAnsi="Times New Roman" w:cs="Times New Roman"/>
          <w:noProof/>
          <w:sz w:val="24"/>
          <w:szCs w:val="24"/>
        </w:rPr>
      </w:pPr>
      <w:r w:rsidRPr="00924858">
        <w:rPr>
          <w:rFonts w:ascii="Times New Roman" w:hAnsi="Times New Roman" w:cs="Times New Roman"/>
          <w:noProof/>
          <w:sz w:val="24"/>
          <w:szCs w:val="24"/>
        </w:rPr>
        <w:t xml:space="preserve">In terms of science education, </w:t>
      </w:r>
      <w:r w:rsidR="00D005E7" w:rsidRPr="00924858">
        <w:rPr>
          <w:rFonts w:ascii="Times New Roman" w:hAnsi="Times New Roman" w:cs="Times New Roman"/>
          <w:noProof/>
          <w:sz w:val="24"/>
          <w:szCs w:val="24"/>
        </w:rPr>
        <w:t xml:space="preserve">34 </w:t>
      </w:r>
      <w:r w:rsidR="001C6D2A" w:rsidRPr="00924858">
        <w:rPr>
          <w:rFonts w:ascii="Times New Roman" w:hAnsi="Times New Roman" w:cs="Times New Roman"/>
          <w:noProof/>
          <w:sz w:val="24"/>
          <w:szCs w:val="24"/>
        </w:rPr>
        <w:t>secondary schools</w:t>
      </w:r>
      <w:r w:rsidR="00D005E7" w:rsidRPr="00924858">
        <w:rPr>
          <w:rFonts w:ascii="Times New Roman" w:hAnsi="Times New Roman" w:cs="Times New Roman"/>
          <w:noProof/>
          <w:sz w:val="24"/>
          <w:szCs w:val="24"/>
        </w:rPr>
        <w:t xml:space="preserve"> and 12 VET schools </w:t>
      </w:r>
      <w:r w:rsidR="001C6D2A" w:rsidRPr="00924858">
        <w:rPr>
          <w:rFonts w:ascii="Times New Roman" w:hAnsi="Times New Roman" w:cs="Times New Roman"/>
          <w:noProof/>
          <w:sz w:val="24"/>
          <w:szCs w:val="24"/>
        </w:rPr>
        <w:t>received science</w:t>
      </w:r>
      <w:r w:rsidR="00D005E7" w:rsidRPr="00924858">
        <w:rPr>
          <w:rFonts w:ascii="Times New Roman" w:hAnsi="Times New Roman" w:cs="Times New Roman"/>
          <w:noProof/>
          <w:sz w:val="24"/>
          <w:szCs w:val="24"/>
        </w:rPr>
        <w:t xml:space="preserve"> lab equipment for a total of 77</w:t>
      </w:r>
      <w:r w:rsidR="001C6D2A" w:rsidRPr="00924858">
        <w:rPr>
          <w:rFonts w:ascii="Times New Roman" w:hAnsi="Times New Roman" w:cs="Times New Roman"/>
          <w:noProof/>
          <w:sz w:val="24"/>
          <w:szCs w:val="24"/>
        </w:rPr>
        <w:t xml:space="preserve"> laboratories and </w:t>
      </w:r>
      <w:r w:rsidR="00866550" w:rsidRPr="00924858">
        <w:rPr>
          <w:rFonts w:ascii="Times New Roman" w:hAnsi="Times New Roman" w:cs="Times New Roman"/>
          <w:noProof/>
          <w:sz w:val="24"/>
          <w:szCs w:val="24"/>
        </w:rPr>
        <w:t xml:space="preserve">1 </w:t>
      </w:r>
      <w:r w:rsidR="001C6D2A" w:rsidRPr="00924858">
        <w:rPr>
          <w:rFonts w:ascii="Times New Roman" w:hAnsi="Times New Roman" w:cs="Times New Roman"/>
          <w:noProof/>
          <w:sz w:val="24"/>
          <w:szCs w:val="24"/>
        </w:rPr>
        <w:t xml:space="preserve">VET </w:t>
      </w:r>
      <w:r w:rsidR="00866550" w:rsidRPr="00924858">
        <w:rPr>
          <w:rFonts w:ascii="Times New Roman" w:hAnsi="Times New Roman" w:cs="Times New Roman"/>
          <w:noProof/>
          <w:sz w:val="24"/>
          <w:szCs w:val="24"/>
        </w:rPr>
        <w:t xml:space="preserve">resource </w:t>
      </w:r>
      <w:r w:rsidR="00924858" w:rsidRPr="00924858">
        <w:rPr>
          <w:rFonts w:ascii="Times New Roman" w:hAnsi="Times New Roman" w:cs="Times New Roman"/>
          <w:noProof/>
          <w:sz w:val="24"/>
          <w:szCs w:val="24"/>
        </w:rPr>
        <w:t>cent</w:t>
      </w:r>
      <w:r w:rsidR="00924858">
        <w:rPr>
          <w:rFonts w:ascii="Times New Roman" w:hAnsi="Times New Roman" w:cs="Times New Roman"/>
          <w:noProof/>
          <w:sz w:val="24"/>
          <w:szCs w:val="24"/>
        </w:rPr>
        <w:t>re</w:t>
      </w:r>
      <w:r w:rsidRPr="00924858">
        <w:rPr>
          <w:rFonts w:ascii="Times New Roman" w:hAnsi="Times New Roman" w:cs="Times New Roman"/>
          <w:noProof/>
          <w:sz w:val="24"/>
          <w:szCs w:val="24"/>
        </w:rPr>
        <w:t>,</w:t>
      </w:r>
      <w:r w:rsidR="001C6D2A" w:rsidRPr="00924858">
        <w:rPr>
          <w:rFonts w:ascii="Times New Roman" w:hAnsi="Times New Roman" w:cs="Times New Roman"/>
          <w:noProof/>
          <w:sz w:val="24"/>
          <w:szCs w:val="24"/>
        </w:rPr>
        <w:t xml:space="preserve"> boosting science learning opportunities</w:t>
      </w:r>
      <w:r w:rsidRPr="00924858">
        <w:rPr>
          <w:rFonts w:ascii="Times New Roman" w:hAnsi="Times New Roman" w:cs="Times New Roman"/>
          <w:noProof/>
          <w:sz w:val="24"/>
          <w:szCs w:val="24"/>
        </w:rPr>
        <w:t xml:space="preserve"> for </w:t>
      </w:r>
      <w:r w:rsidR="00B77D71">
        <w:rPr>
          <w:rFonts w:ascii="Times New Roman" w:hAnsi="Times New Roman" w:cs="Times New Roman"/>
          <w:noProof/>
          <w:sz w:val="24"/>
          <w:szCs w:val="24"/>
        </w:rPr>
        <w:t>young people</w:t>
      </w:r>
      <w:r w:rsidR="001C6D2A" w:rsidRPr="00924858">
        <w:rPr>
          <w:rFonts w:ascii="Times New Roman" w:hAnsi="Times New Roman" w:cs="Times New Roman"/>
          <w:noProof/>
          <w:sz w:val="24"/>
          <w:szCs w:val="24"/>
        </w:rPr>
        <w:t>.</w:t>
      </w:r>
      <w:r w:rsidRPr="00924858">
        <w:rPr>
          <w:rFonts w:ascii="Times New Roman" w:hAnsi="Times New Roman" w:cs="Times New Roman"/>
          <w:noProof/>
          <w:sz w:val="24"/>
          <w:szCs w:val="24"/>
        </w:rPr>
        <w:t xml:space="preserve"> In previous years, 48 primary schools received science lab equipment.</w:t>
      </w:r>
      <w:r w:rsidR="001C6D2A" w:rsidRPr="00924858">
        <w:rPr>
          <w:rFonts w:ascii="Times New Roman" w:hAnsi="Times New Roman" w:cs="Times New Roman"/>
          <w:noProof/>
          <w:sz w:val="24"/>
          <w:szCs w:val="24"/>
        </w:rPr>
        <w:t xml:space="preserve"> The professional development of teachers and school leaders was enhanced through the creation of a pool of trainers. A total of 1</w:t>
      </w:r>
      <w:r w:rsidR="00924858">
        <w:rPr>
          <w:rFonts w:ascii="Times New Roman" w:hAnsi="Times New Roman" w:cs="Times New Roman"/>
          <w:noProof/>
          <w:sz w:val="24"/>
          <w:szCs w:val="24"/>
        </w:rPr>
        <w:t> </w:t>
      </w:r>
      <w:r w:rsidR="001C6D2A" w:rsidRPr="00924858">
        <w:rPr>
          <w:rFonts w:ascii="Times New Roman" w:hAnsi="Times New Roman" w:cs="Times New Roman"/>
          <w:noProof/>
          <w:sz w:val="24"/>
          <w:szCs w:val="24"/>
        </w:rPr>
        <w:t xml:space="preserve">468 primary and secondary teachers, head teachers and school leaders were trained in topics such as </w:t>
      </w:r>
      <w:r w:rsidR="00936E11" w:rsidRPr="00924858">
        <w:rPr>
          <w:rFonts w:ascii="Times New Roman" w:hAnsi="Times New Roman" w:cs="Times New Roman"/>
          <w:noProof/>
          <w:sz w:val="24"/>
          <w:szCs w:val="24"/>
        </w:rPr>
        <w:t>s</w:t>
      </w:r>
      <w:r w:rsidR="001C6D2A" w:rsidRPr="00924858">
        <w:rPr>
          <w:rFonts w:ascii="Times New Roman" w:hAnsi="Times New Roman" w:cs="Times New Roman"/>
          <w:noProof/>
          <w:sz w:val="24"/>
          <w:szCs w:val="24"/>
        </w:rPr>
        <w:t>tudent</w:t>
      </w:r>
      <w:r w:rsidR="00B77D71">
        <w:rPr>
          <w:rFonts w:ascii="Times New Roman" w:hAnsi="Times New Roman" w:cs="Times New Roman"/>
          <w:noProof/>
          <w:sz w:val="24"/>
          <w:szCs w:val="24"/>
        </w:rPr>
        <w:t>-</w:t>
      </w:r>
      <w:r w:rsidR="00924858" w:rsidRPr="00924858">
        <w:rPr>
          <w:rFonts w:ascii="Times New Roman" w:hAnsi="Times New Roman" w:cs="Times New Roman"/>
          <w:noProof/>
          <w:sz w:val="24"/>
          <w:szCs w:val="24"/>
        </w:rPr>
        <w:t>centred</w:t>
      </w:r>
      <w:r w:rsidR="001C6D2A" w:rsidRPr="00924858">
        <w:rPr>
          <w:rFonts w:ascii="Times New Roman" w:hAnsi="Times New Roman" w:cs="Times New Roman"/>
          <w:noProof/>
          <w:sz w:val="24"/>
          <w:szCs w:val="24"/>
        </w:rPr>
        <w:t xml:space="preserve"> </w:t>
      </w:r>
      <w:r w:rsidR="00936E11" w:rsidRPr="00924858">
        <w:rPr>
          <w:rFonts w:ascii="Times New Roman" w:hAnsi="Times New Roman" w:cs="Times New Roman"/>
          <w:noProof/>
          <w:sz w:val="24"/>
          <w:szCs w:val="24"/>
        </w:rPr>
        <w:t>l</w:t>
      </w:r>
      <w:r w:rsidR="001C6D2A" w:rsidRPr="00924858">
        <w:rPr>
          <w:rFonts w:ascii="Times New Roman" w:hAnsi="Times New Roman" w:cs="Times New Roman"/>
          <w:noProof/>
          <w:sz w:val="24"/>
          <w:szCs w:val="24"/>
        </w:rPr>
        <w:t xml:space="preserve">earning and </w:t>
      </w:r>
      <w:r w:rsidR="00936E11" w:rsidRPr="00924858">
        <w:rPr>
          <w:rFonts w:ascii="Times New Roman" w:hAnsi="Times New Roman" w:cs="Times New Roman"/>
          <w:noProof/>
          <w:sz w:val="24"/>
          <w:szCs w:val="24"/>
        </w:rPr>
        <w:t>t</w:t>
      </w:r>
      <w:r w:rsidR="001C6D2A" w:rsidRPr="00924858">
        <w:rPr>
          <w:rFonts w:ascii="Times New Roman" w:hAnsi="Times New Roman" w:cs="Times New Roman"/>
          <w:noProof/>
          <w:sz w:val="24"/>
          <w:szCs w:val="24"/>
        </w:rPr>
        <w:t xml:space="preserve">eaching, </w:t>
      </w:r>
      <w:r w:rsidR="00936E11" w:rsidRPr="00924858">
        <w:rPr>
          <w:rFonts w:ascii="Times New Roman" w:hAnsi="Times New Roman" w:cs="Times New Roman"/>
          <w:noProof/>
          <w:sz w:val="24"/>
          <w:szCs w:val="24"/>
        </w:rPr>
        <w:t>s</w:t>
      </w:r>
      <w:r w:rsidR="001C6D2A" w:rsidRPr="00924858">
        <w:rPr>
          <w:rFonts w:ascii="Times New Roman" w:hAnsi="Times New Roman" w:cs="Times New Roman"/>
          <w:noProof/>
          <w:sz w:val="24"/>
          <w:szCs w:val="24"/>
        </w:rPr>
        <w:t>cience</w:t>
      </w:r>
      <w:r w:rsidR="00B35EE0">
        <w:rPr>
          <w:rFonts w:ascii="Times New Roman" w:hAnsi="Times New Roman" w:cs="Times New Roman"/>
          <w:noProof/>
          <w:sz w:val="24"/>
          <w:szCs w:val="24"/>
        </w:rPr>
        <w:t xml:space="preserve"> lab</w:t>
      </w:r>
      <w:r w:rsidR="001C6D2A" w:rsidRPr="00924858">
        <w:rPr>
          <w:rFonts w:ascii="Times New Roman" w:hAnsi="Times New Roman" w:cs="Times New Roman"/>
          <w:noProof/>
          <w:sz w:val="24"/>
          <w:szCs w:val="24"/>
        </w:rPr>
        <w:t xml:space="preserve"> </w:t>
      </w:r>
      <w:r w:rsidR="00936E11" w:rsidRPr="00924858">
        <w:rPr>
          <w:rFonts w:ascii="Times New Roman" w:hAnsi="Times New Roman" w:cs="Times New Roman"/>
          <w:noProof/>
          <w:sz w:val="24"/>
          <w:szCs w:val="24"/>
        </w:rPr>
        <w:t>u</w:t>
      </w:r>
      <w:r w:rsidR="001C6D2A" w:rsidRPr="00924858">
        <w:rPr>
          <w:rFonts w:ascii="Times New Roman" w:hAnsi="Times New Roman" w:cs="Times New Roman"/>
          <w:noProof/>
          <w:sz w:val="24"/>
          <w:szCs w:val="24"/>
        </w:rPr>
        <w:t>se</w:t>
      </w:r>
      <w:r w:rsidR="00B77D71">
        <w:rPr>
          <w:rFonts w:ascii="Times New Roman" w:hAnsi="Times New Roman" w:cs="Times New Roman"/>
          <w:noProof/>
          <w:sz w:val="24"/>
          <w:szCs w:val="24"/>
        </w:rPr>
        <w:t>,</w:t>
      </w:r>
      <w:r w:rsidR="008E2B65" w:rsidRPr="00924858">
        <w:rPr>
          <w:rFonts w:ascii="Times New Roman" w:hAnsi="Times New Roman" w:cs="Times New Roman"/>
          <w:noProof/>
          <w:sz w:val="24"/>
          <w:szCs w:val="24"/>
        </w:rPr>
        <w:t xml:space="preserve"> and</w:t>
      </w:r>
      <w:r w:rsidR="001C6D2A" w:rsidRPr="00924858">
        <w:rPr>
          <w:rFonts w:ascii="Times New Roman" w:hAnsi="Times New Roman" w:cs="Times New Roman"/>
          <w:noProof/>
          <w:sz w:val="24"/>
          <w:szCs w:val="24"/>
        </w:rPr>
        <w:t xml:space="preserve"> </w:t>
      </w:r>
      <w:r w:rsidR="00936E11" w:rsidRPr="00924858">
        <w:rPr>
          <w:rFonts w:ascii="Times New Roman" w:hAnsi="Times New Roman" w:cs="Times New Roman"/>
          <w:noProof/>
          <w:sz w:val="24"/>
          <w:szCs w:val="24"/>
        </w:rPr>
        <w:t>i</w:t>
      </w:r>
      <w:r w:rsidR="001C6D2A" w:rsidRPr="00924858">
        <w:rPr>
          <w:rFonts w:ascii="Times New Roman" w:hAnsi="Times New Roman" w:cs="Times New Roman"/>
          <w:noProof/>
          <w:sz w:val="24"/>
          <w:szCs w:val="24"/>
        </w:rPr>
        <w:t xml:space="preserve">nteractive </w:t>
      </w:r>
      <w:r w:rsidR="00936E11" w:rsidRPr="00924858">
        <w:rPr>
          <w:rFonts w:ascii="Times New Roman" w:hAnsi="Times New Roman" w:cs="Times New Roman"/>
          <w:noProof/>
          <w:sz w:val="24"/>
          <w:szCs w:val="24"/>
        </w:rPr>
        <w:t>a</w:t>
      </w:r>
      <w:r w:rsidR="001C6D2A" w:rsidRPr="00924858">
        <w:rPr>
          <w:rFonts w:ascii="Times New Roman" w:hAnsi="Times New Roman" w:cs="Times New Roman"/>
          <w:noProof/>
          <w:sz w:val="24"/>
          <w:szCs w:val="24"/>
        </w:rPr>
        <w:t>ppr</w:t>
      </w:r>
      <w:r w:rsidRPr="00924858">
        <w:rPr>
          <w:rFonts w:ascii="Times New Roman" w:hAnsi="Times New Roman" w:cs="Times New Roman"/>
          <w:noProof/>
          <w:sz w:val="24"/>
          <w:szCs w:val="24"/>
        </w:rPr>
        <w:t>oach</w:t>
      </w:r>
      <w:r w:rsidR="00B77D71">
        <w:rPr>
          <w:rFonts w:ascii="Times New Roman" w:hAnsi="Times New Roman" w:cs="Times New Roman"/>
          <w:noProof/>
          <w:sz w:val="24"/>
          <w:szCs w:val="24"/>
        </w:rPr>
        <w:t>es</w:t>
      </w:r>
      <w:r w:rsidRPr="00924858">
        <w:rPr>
          <w:rFonts w:ascii="Times New Roman" w:hAnsi="Times New Roman" w:cs="Times New Roman"/>
          <w:noProof/>
          <w:sz w:val="24"/>
          <w:szCs w:val="24"/>
        </w:rPr>
        <w:t xml:space="preserve"> in </w:t>
      </w:r>
      <w:r w:rsidR="00936E11" w:rsidRPr="00924858">
        <w:rPr>
          <w:rFonts w:ascii="Times New Roman" w:hAnsi="Times New Roman" w:cs="Times New Roman"/>
          <w:noProof/>
          <w:sz w:val="24"/>
          <w:szCs w:val="24"/>
        </w:rPr>
        <w:t>l</w:t>
      </w:r>
      <w:r w:rsidRPr="00924858">
        <w:rPr>
          <w:rFonts w:ascii="Times New Roman" w:hAnsi="Times New Roman" w:cs="Times New Roman"/>
          <w:noProof/>
          <w:sz w:val="24"/>
          <w:szCs w:val="24"/>
        </w:rPr>
        <w:t xml:space="preserve">anguage </w:t>
      </w:r>
      <w:r w:rsidR="00936E11" w:rsidRPr="00924858">
        <w:rPr>
          <w:rFonts w:ascii="Times New Roman" w:hAnsi="Times New Roman" w:cs="Times New Roman"/>
          <w:noProof/>
          <w:sz w:val="24"/>
          <w:szCs w:val="24"/>
        </w:rPr>
        <w:t>l</w:t>
      </w:r>
      <w:r w:rsidRPr="00924858">
        <w:rPr>
          <w:rFonts w:ascii="Times New Roman" w:hAnsi="Times New Roman" w:cs="Times New Roman"/>
          <w:noProof/>
          <w:sz w:val="24"/>
          <w:szCs w:val="24"/>
        </w:rPr>
        <w:t>earning</w:t>
      </w:r>
      <w:r w:rsidR="001C6D2A" w:rsidRPr="00924858">
        <w:rPr>
          <w:rFonts w:ascii="Times New Roman" w:hAnsi="Times New Roman" w:cs="Times New Roman"/>
          <w:noProof/>
          <w:sz w:val="24"/>
          <w:szCs w:val="24"/>
        </w:rPr>
        <w:t>.</w:t>
      </w:r>
      <w:r w:rsidR="00EF37FA" w:rsidRPr="00924858">
        <w:rPr>
          <w:noProof/>
        </w:rPr>
        <w:t xml:space="preserve"> </w:t>
      </w:r>
      <w:r w:rsidR="00EF37FA" w:rsidRPr="00924858">
        <w:rPr>
          <w:rFonts w:ascii="Times New Roman" w:hAnsi="Times New Roman" w:cs="Times New Roman"/>
          <w:noProof/>
          <w:sz w:val="24"/>
          <w:szCs w:val="24"/>
        </w:rPr>
        <w:t xml:space="preserve">Analytical work </w:t>
      </w:r>
      <w:r w:rsidR="00B77D71" w:rsidRPr="00924858">
        <w:rPr>
          <w:rFonts w:ascii="Times New Roman" w:hAnsi="Times New Roman" w:cs="Times New Roman"/>
          <w:noProof/>
          <w:sz w:val="24"/>
          <w:szCs w:val="24"/>
        </w:rPr>
        <w:t xml:space="preserve">is underway </w:t>
      </w:r>
      <w:r w:rsidR="00EF37FA" w:rsidRPr="00924858">
        <w:rPr>
          <w:rFonts w:ascii="Times New Roman" w:hAnsi="Times New Roman" w:cs="Times New Roman"/>
          <w:noProof/>
          <w:sz w:val="24"/>
          <w:szCs w:val="24"/>
        </w:rPr>
        <w:t xml:space="preserve">to pave the way for future support </w:t>
      </w:r>
      <w:r w:rsidR="00B77D71">
        <w:rPr>
          <w:rFonts w:ascii="Times New Roman" w:hAnsi="Times New Roman" w:cs="Times New Roman"/>
          <w:noProof/>
          <w:sz w:val="24"/>
          <w:szCs w:val="24"/>
        </w:rPr>
        <w:t>for</w:t>
      </w:r>
      <w:r w:rsidR="00B77D71" w:rsidRPr="00924858">
        <w:rPr>
          <w:rFonts w:ascii="Times New Roman" w:hAnsi="Times New Roman" w:cs="Times New Roman"/>
          <w:noProof/>
          <w:sz w:val="24"/>
          <w:szCs w:val="24"/>
        </w:rPr>
        <w:t xml:space="preserve"> </w:t>
      </w:r>
      <w:r w:rsidR="00EF37FA" w:rsidRPr="00924858">
        <w:rPr>
          <w:rFonts w:ascii="Times New Roman" w:hAnsi="Times New Roman" w:cs="Times New Roman"/>
          <w:noProof/>
          <w:sz w:val="24"/>
          <w:szCs w:val="24"/>
        </w:rPr>
        <w:t>lifelong learning, special needs education and qualifications.</w:t>
      </w:r>
    </w:p>
    <w:p w14:paraId="76ACB2D0" w14:textId="0D8D8421" w:rsidR="00207756" w:rsidRPr="00924858" w:rsidRDefault="00EF37FA">
      <w:pPr>
        <w:spacing w:before="120" w:after="120" w:line="240" w:lineRule="auto"/>
        <w:ind w:left="851"/>
        <w:jc w:val="both"/>
        <w:rPr>
          <w:rFonts w:ascii="Times New Roman" w:eastAsia="Times New Roman" w:hAnsi="Times New Roman" w:cs="Times New Roman"/>
          <w:noProof/>
          <w:sz w:val="24"/>
          <w:szCs w:val="24"/>
          <w:lang w:eastAsia="en-GB"/>
        </w:rPr>
      </w:pPr>
      <w:r w:rsidRPr="00924858">
        <w:rPr>
          <w:rFonts w:ascii="Times New Roman" w:eastAsia="Times New Roman" w:hAnsi="Times New Roman" w:cs="Times New Roman"/>
          <w:noProof/>
          <w:sz w:val="24"/>
          <w:szCs w:val="24"/>
          <w:lang w:eastAsia="en-GB"/>
        </w:rPr>
        <w:t xml:space="preserve">A new agreement was signed with the World Bank, focusing on continued provision of support to macroeconomic monitoring, facilitation of trade procedures and trade across the Green Line, improvement of the </w:t>
      </w:r>
      <w:r w:rsidR="00CC536D" w:rsidRPr="00924858">
        <w:rPr>
          <w:rFonts w:ascii="Times New Roman,Calibri" w:eastAsia="Times New Roman,Calibri" w:hAnsi="Times New Roman,Calibri" w:cs="Times New Roman,Calibri"/>
          <w:noProof/>
          <w:sz w:val="24"/>
          <w:szCs w:val="24"/>
          <w:lang w:eastAsia="en-GB"/>
        </w:rPr>
        <w:t xml:space="preserve">Turkish Cypriot </w:t>
      </w:r>
      <w:r w:rsidRPr="00924858">
        <w:rPr>
          <w:rFonts w:ascii="Times New Roman" w:eastAsia="Times New Roman" w:hAnsi="Times New Roman" w:cs="Times New Roman"/>
          <w:noProof/>
          <w:sz w:val="24"/>
          <w:szCs w:val="24"/>
          <w:lang w:eastAsia="en-GB"/>
        </w:rPr>
        <w:t>business environment</w:t>
      </w:r>
      <w:r w:rsidR="00513674" w:rsidRPr="00924858">
        <w:rPr>
          <w:rFonts w:ascii="Times New Roman" w:eastAsia="Times New Roman" w:hAnsi="Times New Roman" w:cs="Times New Roman"/>
          <w:noProof/>
          <w:sz w:val="24"/>
          <w:szCs w:val="24"/>
          <w:lang w:eastAsia="en-GB"/>
        </w:rPr>
        <w:t>,</w:t>
      </w:r>
      <w:r w:rsidRPr="00924858">
        <w:rPr>
          <w:rFonts w:ascii="Times New Roman" w:eastAsia="Times New Roman" w:hAnsi="Times New Roman" w:cs="Times New Roman"/>
          <w:noProof/>
          <w:sz w:val="24"/>
          <w:szCs w:val="24"/>
          <w:lang w:eastAsia="en-GB"/>
        </w:rPr>
        <w:t xml:space="preserve"> and providing technical support </w:t>
      </w:r>
      <w:r w:rsidR="0070008A">
        <w:rPr>
          <w:rFonts w:ascii="Times New Roman" w:eastAsia="Times New Roman" w:hAnsi="Times New Roman" w:cs="Times New Roman"/>
          <w:noProof/>
          <w:sz w:val="24"/>
          <w:szCs w:val="24"/>
          <w:lang w:eastAsia="en-GB"/>
        </w:rPr>
        <w:t>in</w:t>
      </w:r>
      <w:r w:rsidR="0070008A" w:rsidRPr="00924858">
        <w:rPr>
          <w:rFonts w:ascii="Times New Roman" w:eastAsia="Times New Roman" w:hAnsi="Times New Roman" w:cs="Times New Roman"/>
          <w:noProof/>
          <w:sz w:val="24"/>
          <w:szCs w:val="24"/>
          <w:lang w:eastAsia="en-GB"/>
        </w:rPr>
        <w:t xml:space="preserve"> </w:t>
      </w:r>
      <w:r w:rsidRPr="00924858">
        <w:rPr>
          <w:rFonts w:ascii="Times New Roman" w:eastAsia="Times New Roman" w:hAnsi="Times New Roman" w:cs="Times New Roman"/>
          <w:noProof/>
          <w:sz w:val="24"/>
          <w:szCs w:val="24"/>
          <w:lang w:eastAsia="en-GB"/>
        </w:rPr>
        <w:t>key areas of statistics.</w:t>
      </w:r>
    </w:p>
    <w:p w14:paraId="5854C06D" w14:textId="09128B62" w:rsidR="00207756" w:rsidRPr="00924858" w:rsidRDefault="00207756" w:rsidP="00036827">
      <w:pPr>
        <w:spacing w:before="120" w:after="120" w:line="240" w:lineRule="auto"/>
        <w:ind w:left="850"/>
        <w:jc w:val="both"/>
        <w:rPr>
          <w:rFonts w:ascii="Times New Roman" w:eastAsia="Times New Roman" w:hAnsi="Times New Roman" w:cs="Times New Roman"/>
          <w:noProof/>
          <w:sz w:val="24"/>
          <w:szCs w:val="24"/>
          <w:lang w:eastAsia="en-GB"/>
        </w:rPr>
      </w:pPr>
      <w:r w:rsidRPr="00924858">
        <w:rPr>
          <w:rFonts w:ascii="Times New Roman" w:eastAsia="Times New Roman" w:hAnsi="Times New Roman" w:cs="Times New Roman"/>
          <w:noProof/>
          <w:sz w:val="24"/>
          <w:szCs w:val="24"/>
          <w:lang w:eastAsia="en-GB"/>
        </w:rPr>
        <w:t>In the</w:t>
      </w:r>
      <w:r w:rsidR="00284F69" w:rsidRPr="00924858">
        <w:rPr>
          <w:rFonts w:ascii="Times New Roman" w:eastAsia="Times New Roman" w:hAnsi="Times New Roman" w:cs="Times New Roman"/>
          <w:noProof/>
          <w:sz w:val="24"/>
          <w:szCs w:val="24"/>
          <w:lang w:eastAsia="en-GB"/>
        </w:rPr>
        <w:t xml:space="preserve"> field of</w:t>
      </w:r>
      <w:r w:rsidRPr="00924858">
        <w:rPr>
          <w:rFonts w:ascii="Times New Roman" w:eastAsia="Times New Roman" w:hAnsi="Times New Roman" w:cs="Times New Roman"/>
          <w:noProof/>
          <w:sz w:val="24"/>
          <w:szCs w:val="24"/>
          <w:lang w:eastAsia="en-GB"/>
        </w:rPr>
        <w:t xml:space="preserve"> </w:t>
      </w:r>
      <w:r w:rsidR="00703DD0" w:rsidRPr="00924858">
        <w:rPr>
          <w:rFonts w:ascii="Times New Roman" w:eastAsia="Times New Roman" w:hAnsi="Times New Roman" w:cs="Times New Roman"/>
          <w:noProof/>
          <w:sz w:val="24"/>
          <w:szCs w:val="24"/>
          <w:lang w:eastAsia="en-GB"/>
        </w:rPr>
        <w:t xml:space="preserve">statistics, </w:t>
      </w:r>
      <w:r w:rsidR="00341797" w:rsidRPr="00924858">
        <w:rPr>
          <w:rFonts w:ascii="Times New Roman" w:eastAsia="Times New Roman" w:hAnsi="Times New Roman" w:cs="Times New Roman"/>
          <w:noProof/>
          <w:sz w:val="24"/>
          <w:szCs w:val="24"/>
          <w:lang w:eastAsia="en-GB"/>
        </w:rPr>
        <w:t>a technical assistance project with Statistics Denmark started in September 2022 aim</w:t>
      </w:r>
      <w:r w:rsidR="00B77D71">
        <w:rPr>
          <w:rFonts w:ascii="Times New Roman" w:eastAsia="Times New Roman" w:hAnsi="Times New Roman" w:cs="Times New Roman"/>
          <w:noProof/>
          <w:sz w:val="24"/>
          <w:szCs w:val="24"/>
          <w:lang w:eastAsia="en-GB"/>
        </w:rPr>
        <w:t>ing</w:t>
      </w:r>
      <w:r w:rsidR="00341797" w:rsidRPr="00924858">
        <w:rPr>
          <w:rFonts w:ascii="Times New Roman" w:eastAsia="Times New Roman" w:hAnsi="Times New Roman" w:cs="Times New Roman"/>
          <w:noProof/>
          <w:sz w:val="24"/>
          <w:szCs w:val="24"/>
          <w:lang w:eastAsia="en-GB"/>
        </w:rPr>
        <w:t xml:space="preserve"> </w:t>
      </w:r>
      <w:r w:rsidR="00B77D71">
        <w:rPr>
          <w:rFonts w:ascii="Times New Roman" w:eastAsia="Times New Roman" w:hAnsi="Times New Roman" w:cs="Times New Roman"/>
          <w:noProof/>
          <w:sz w:val="24"/>
          <w:szCs w:val="24"/>
          <w:lang w:eastAsia="en-GB"/>
        </w:rPr>
        <w:t>to</w:t>
      </w:r>
      <w:r w:rsidR="00B77D71" w:rsidRPr="00924858">
        <w:rPr>
          <w:rFonts w:ascii="Times New Roman" w:eastAsia="Times New Roman" w:hAnsi="Times New Roman" w:cs="Times New Roman"/>
          <w:noProof/>
          <w:sz w:val="24"/>
          <w:szCs w:val="24"/>
          <w:lang w:eastAsia="en-GB"/>
        </w:rPr>
        <w:t xml:space="preserve"> </w:t>
      </w:r>
      <w:r w:rsidR="00341797" w:rsidRPr="00924858">
        <w:rPr>
          <w:rFonts w:ascii="Times New Roman" w:eastAsia="Times New Roman" w:hAnsi="Times New Roman" w:cs="Times New Roman"/>
          <w:noProof/>
          <w:sz w:val="24"/>
          <w:szCs w:val="24"/>
          <w:lang w:eastAsia="en-GB"/>
        </w:rPr>
        <w:t>improv</w:t>
      </w:r>
      <w:r w:rsidR="00B77D71">
        <w:rPr>
          <w:rFonts w:ascii="Times New Roman" w:eastAsia="Times New Roman" w:hAnsi="Times New Roman" w:cs="Times New Roman"/>
          <w:noProof/>
          <w:sz w:val="24"/>
          <w:szCs w:val="24"/>
          <w:lang w:eastAsia="en-GB"/>
        </w:rPr>
        <w:t>e</w:t>
      </w:r>
      <w:r w:rsidR="00341797" w:rsidRPr="00924858">
        <w:rPr>
          <w:rFonts w:ascii="Times New Roman" w:eastAsia="Times New Roman" w:hAnsi="Times New Roman" w:cs="Times New Roman"/>
          <w:noProof/>
          <w:sz w:val="24"/>
          <w:szCs w:val="24"/>
          <w:lang w:eastAsia="en-GB"/>
        </w:rPr>
        <w:t xml:space="preserve"> business delivery and management of data sources. </w:t>
      </w:r>
      <w:r w:rsidR="00B77D71">
        <w:rPr>
          <w:rFonts w:ascii="Times New Roman" w:eastAsia="Times New Roman" w:hAnsi="Times New Roman" w:cs="Times New Roman"/>
          <w:noProof/>
          <w:sz w:val="24"/>
          <w:szCs w:val="24"/>
          <w:lang w:eastAsia="en-GB"/>
        </w:rPr>
        <w:t>Before</w:t>
      </w:r>
      <w:r w:rsidR="00341797" w:rsidRPr="00924858">
        <w:rPr>
          <w:rFonts w:ascii="Times New Roman" w:eastAsia="Times New Roman" w:hAnsi="Times New Roman" w:cs="Times New Roman"/>
          <w:noProof/>
          <w:sz w:val="24"/>
          <w:szCs w:val="24"/>
          <w:lang w:eastAsia="en-GB"/>
        </w:rPr>
        <w:t xml:space="preserve"> this, IT </w:t>
      </w:r>
      <w:r w:rsidR="001A4CF4" w:rsidRPr="00924858">
        <w:rPr>
          <w:rFonts w:ascii="Times New Roman" w:eastAsia="Times New Roman" w:hAnsi="Times New Roman" w:cs="Times New Roman"/>
          <w:noProof/>
          <w:sz w:val="24"/>
          <w:szCs w:val="24"/>
          <w:lang w:eastAsia="en-GB"/>
        </w:rPr>
        <w:t>equipment</w:t>
      </w:r>
      <w:r w:rsidR="00341797" w:rsidRPr="00924858">
        <w:rPr>
          <w:rFonts w:ascii="Times New Roman" w:eastAsia="Times New Roman" w:hAnsi="Times New Roman" w:cs="Times New Roman"/>
          <w:noProof/>
          <w:sz w:val="24"/>
          <w:szCs w:val="24"/>
          <w:lang w:eastAsia="en-GB"/>
        </w:rPr>
        <w:t xml:space="preserve"> and specialised software </w:t>
      </w:r>
      <w:r w:rsidR="00333B41">
        <w:rPr>
          <w:rFonts w:ascii="Times New Roman" w:eastAsia="Times New Roman" w:hAnsi="Times New Roman" w:cs="Times New Roman"/>
          <w:noProof/>
          <w:sz w:val="24"/>
          <w:szCs w:val="24"/>
          <w:lang w:eastAsia="en-GB"/>
        </w:rPr>
        <w:t>was</w:t>
      </w:r>
      <w:r w:rsidR="00333B41" w:rsidRPr="00924858">
        <w:rPr>
          <w:rFonts w:ascii="Times New Roman" w:eastAsia="Times New Roman" w:hAnsi="Times New Roman" w:cs="Times New Roman"/>
          <w:noProof/>
          <w:sz w:val="24"/>
          <w:szCs w:val="24"/>
          <w:lang w:eastAsia="en-GB"/>
        </w:rPr>
        <w:t xml:space="preserve"> </w:t>
      </w:r>
      <w:r w:rsidR="001A4CF4" w:rsidRPr="00924858">
        <w:rPr>
          <w:rFonts w:ascii="Times New Roman" w:eastAsia="Times New Roman" w:hAnsi="Times New Roman" w:cs="Times New Roman"/>
          <w:noProof/>
          <w:sz w:val="24"/>
          <w:szCs w:val="24"/>
          <w:lang w:eastAsia="en-GB"/>
        </w:rPr>
        <w:t>supplied to improve statistical outputs in line with EU standards</w:t>
      </w:r>
      <w:r w:rsidR="009860BB" w:rsidRPr="00924858">
        <w:rPr>
          <w:rFonts w:ascii="Times New Roman" w:eastAsia="Times New Roman" w:hAnsi="Times New Roman" w:cs="Times New Roman"/>
          <w:noProof/>
          <w:sz w:val="24"/>
          <w:szCs w:val="24"/>
          <w:lang w:eastAsia="en-GB"/>
        </w:rPr>
        <w:t>. The projects</w:t>
      </w:r>
      <w:r w:rsidR="00284F69" w:rsidRPr="00924858">
        <w:rPr>
          <w:rFonts w:ascii="Times New Roman" w:eastAsia="Times New Roman" w:hAnsi="Times New Roman" w:cs="Times New Roman"/>
          <w:noProof/>
          <w:sz w:val="24"/>
          <w:szCs w:val="24"/>
          <w:lang w:eastAsia="en-GB"/>
        </w:rPr>
        <w:t xml:space="preserve"> </w:t>
      </w:r>
      <w:r w:rsidR="00341797" w:rsidRPr="00924858">
        <w:rPr>
          <w:rFonts w:ascii="Times New Roman" w:eastAsia="Times New Roman" w:hAnsi="Times New Roman" w:cs="Times New Roman"/>
          <w:noProof/>
          <w:sz w:val="24"/>
          <w:szCs w:val="24"/>
          <w:lang w:eastAsia="en-GB"/>
        </w:rPr>
        <w:t xml:space="preserve">were </w:t>
      </w:r>
      <w:r w:rsidR="007131DC" w:rsidRPr="00924858">
        <w:rPr>
          <w:rFonts w:ascii="Times New Roman" w:eastAsia="Times New Roman" w:hAnsi="Times New Roman" w:cs="Times New Roman"/>
          <w:noProof/>
          <w:sz w:val="24"/>
          <w:szCs w:val="24"/>
          <w:lang w:eastAsia="en-GB"/>
        </w:rPr>
        <w:t xml:space="preserve">complemented by targeted </w:t>
      </w:r>
      <w:r w:rsidR="001A4CF4" w:rsidRPr="00924858">
        <w:rPr>
          <w:rFonts w:ascii="Times New Roman" w:eastAsia="Times New Roman" w:hAnsi="Times New Roman" w:cs="Times New Roman"/>
          <w:noProof/>
          <w:sz w:val="24"/>
          <w:szCs w:val="24"/>
          <w:lang w:eastAsia="en-GB"/>
        </w:rPr>
        <w:t xml:space="preserve">support </w:t>
      </w:r>
      <w:r w:rsidR="007131DC" w:rsidRPr="00924858">
        <w:rPr>
          <w:rFonts w:ascii="Times New Roman" w:eastAsia="Times New Roman" w:hAnsi="Times New Roman" w:cs="Times New Roman"/>
          <w:noProof/>
          <w:sz w:val="24"/>
          <w:szCs w:val="24"/>
          <w:lang w:eastAsia="en-GB"/>
        </w:rPr>
        <w:t xml:space="preserve">provided through </w:t>
      </w:r>
      <w:r w:rsidR="00284F69" w:rsidRPr="00924858">
        <w:rPr>
          <w:rFonts w:ascii="Times New Roman" w:eastAsia="Times New Roman" w:hAnsi="Times New Roman" w:cs="Times New Roman"/>
          <w:noProof/>
          <w:sz w:val="24"/>
          <w:szCs w:val="24"/>
          <w:lang w:eastAsia="en-GB"/>
        </w:rPr>
        <w:t xml:space="preserve">the </w:t>
      </w:r>
      <w:r w:rsidR="00284F69" w:rsidRPr="00924858">
        <w:rPr>
          <w:rFonts w:ascii="Times New Roman,Calibri" w:eastAsia="Times New Roman,Calibri" w:hAnsi="Times New Roman,Calibri" w:cs="Times New Roman,Calibri"/>
          <w:noProof/>
          <w:sz w:val="24"/>
          <w:szCs w:val="24"/>
          <w:lang w:eastAsia="en-GB"/>
        </w:rPr>
        <w:t>Commission’s technical assistance and information exchange</w:t>
      </w:r>
      <w:r w:rsidR="00284F69" w:rsidRPr="00924858">
        <w:rPr>
          <w:rFonts w:ascii="Times New Roman" w:eastAsia="Times New Roman" w:hAnsi="Times New Roman" w:cs="Times New Roman"/>
          <w:noProof/>
          <w:sz w:val="24"/>
          <w:szCs w:val="24"/>
          <w:lang w:eastAsia="en-GB"/>
        </w:rPr>
        <w:t xml:space="preserve"> (</w:t>
      </w:r>
      <w:r w:rsidR="007131DC" w:rsidRPr="00924858">
        <w:rPr>
          <w:rFonts w:ascii="Times New Roman" w:eastAsia="Times New Roman" w:hAnsi="Times New Roman" w:cs="Times New Roman"/>
          <w:noProof/>
          <w:sz w:val="24"/>
          <w:szCs w:val="24"/>
          <w:lang w:eastAsia="en-GB"/>
        </w:rPr>
        <w:t>TAIEX</w:t>
      </w:r>
      <w:r w:rsidR="00284F69" w:rsidRPr="00924858">
        <w:rPr>
          <w:rFonts w:ascii="Times New Roman" w:eastAsia="Times New Roman" w:hAnsi="Times New Roman" w:cs="Times New Roman"/>
          <w:noProof/>
          <w:sz w:val="24"/>
          <w:szCs w:val="24"/>
          <w:lang w:eastAsia="en-GB"/>
        </w:rPr>
        <w:t>)</w:t>
      </w:r>
      <w:r w:rsidR="007131DC" w:rsidRPr="00924858">
        <w:rPr>
          <w:rFonts w:ascii="Times New Roman" w:eastAsia="Times New Roman" w:hAnsi="Times New Roman" w:cs="Times New Roman"/>
          <w:noProof/>
          <w:sz w:val="24"/>
          <w:szCs w:val="24"/>
          <w:lang w:eastAsia="en-GB"/>
        </w:rPr>
        <w:t xml:space="preserve"> instrument and the World Bank</w:t>
      </w:r>
      <w:r w:rsidR="00284F69" w:rsidRPr="00924858">
        <w:rPr>
          <w:rFonts w:ascii="Times New Roman" w:eastAsia="Times New Roman" w:hAnsi="Times New Roman" w:cs="Times New Roman"/>
          <w:noProof/>
          <w:sz w:val="24"/>
          <w:szCs w:val="24"/>
          <w:lang w:eastAsia="en-GB"/>
        </w:rPr>
        <w:t xml:space="preserve">. </w:t>
      </w:r>
      <w:r w:rsidR="001A4CF4" w:rsidRPr="00924858">
        <w:rPr>
          <w:rFonts w:ascii="Times New Roman" w:eastAsia="Times New Roman" w:hAnsi="Times New Roman" w:cs="Times New Roman"/>
          <w:noProof/>
          <w:sz w:val="24"/>
          <w:szCs w:val="24"/>
          <w:lang w:eastAsia="en-GB"/>
        </w:rPr>
        <w:t>All these actions</w:t>
      </w:r>
      <w:r w:rsidR="009860BB" w:rsidRPr="00924858">
        <w:rPr>
          <w:rFonts w:ascii="Times New Roman" w:eastAsia="Times New Roman" w:hAnsi="Times New Roman" w:cs="Times New Roman"/>
          <w:noProof/>
          <w:sz w:val="24"/>
          <w:szCs w:val="24"/>
          <w:lang w:eastAsia="en-GB"/>
        </w:rPr>
        <w:t xml:space="preserve"> form a </w:t>
      </w:r>
      <w:r w:rsidR="00341797" w:rsidRPr="00924858">
        <w:rPr>
          <w:rFonts w:ascii="Times New Roman" w:eastAsia="Times New Roman" w:hAnsi="Times New Roman" w:cs="Times New Roman"/>
          <w:noProof/>
          <w:sz w:val="24"/>
          <w:szCs w:val="24"/>
          <w:lang w:eastAsia="en-GB"/>
        </w:rPr>
        <w:t xml:space="preserve">comprehensive </w:t>
      </w:r>
      <w:r w:rsidR="009860BB" w:rsidRPr="00924858">
        <w:rPr>
          <w:rFonts w:ascii="Times New Roman" w:eastAsia="Times New Roman" w:hAnsi="Times New Roman" w:cs="Times New Roman"/>
          <w:noProof/>
          <w:sz w:val="24"/>
          <w:szCs w:val="24"/>
          <w:lang w:eastAsia="en-GB"/>
        </w:rPr>
        <w:t>EU strategy</w:t>
      </w:r>
      <w:r w:rsidR="00FB5B4F" w:rsidRPr="00924858">
        <w:rPr>
          <w:rFonts w:ascii="Times New Roman" w:eastAsia="Times New Roman" w:hAnsi="Times New Roman" w:cs="Times New Roman"/>
          <w:noProof/>
          <w:sz w:val="24"/>
          <w:szCs w:val="24"/>
          <w:lang w:eastAsia="en-GB"/>
        </w:rPr>
        <w:t xml:space="preserve"> </w:t>
      </w:r>
      <w:r w:rsidR="001A4CF4" w:rsidRPr="00924858">
        <w:rPr>
          <w:rFonts w:ascii="Times New Roman" w:eastAsia="Times New Roman" w:hAnsi="Times New Roman" w:cs="Times New Roman"/>
          <w:noProof/>
          <w:sz w:val="24"/>
          <w:szCs w:val="24"/>
          <w:lang w:eastAsia="en-GB"/>
        </w:rPr>
        <w:t xml:space="preserve">aimed at </w:t>
      </w:r>
      <w:r w:rsidR="009860BB" w:rsidRPr="00924858">
        <w:rPr>
          <w:rFonts w:ascii="Times New Roman" w:eastAsia="Times New Roman" w:hAnsi="Times New Roman" w:cs="Times New Roman"/>
          <w:noProof/>
          <w:sz w:val="24"/>
          <w:szCs w:val="24"/>
          <w:lang w:eastAsia="en-GB"/>
        </w:rPr>
        <w:t>improv</w:t>
      </w:r>
      <w:r w:rsidR="001A4CF4" w:rsidRPr="00924858">
        <w:rPr>
          <w:rFonts w:ascii="Times New Roman" w:eastAsia="Times New Roman" w:hAnsi="Times New Roman" w:cs="Times New Roman"/>
          <w:noProof/>
          <w:sz w:val="24"/>
          <w:szCs w:val="24"/>
          <w:lang w:eastAsia="en-GB"/>
        </w:rPr>
        <w:t>ing</w:t>
      </w:r>
      <w:r w:rsidR="009860BB" w:rsidRPr="00924858">
        <w:rPr>
          <w:rFonts w:ascii="Times New Roman" w:eastAsia="Times New Roman" w:hAnsi="Times New Roman" w:cs="Times New Roman"/>
          <w:noProof/>
          <w:sz w:val="24"/>
          <w:szCs w:val="24"/>
          <w:lang w:eastAsia="en-GB"/>
        </w:rPr>
        <w:t xml:space="preserve"> the </w:t>
      </w:r>
      <w:r w:rsidR="003C73B3" w:rsidRPr="00924858">
        <w:rPr>
          <w:rFonts w:ascii="Times New Roman" w:eastAsia="Times New Roman" w:hAnsi="Times New Roman" w:cs="Times New Roman"/>
          <w:noProof/>
          <w:sz w:val="24"/>
          <w:szCs w:val="24"/>
          <w:lang w:eastAsia="en-GB"/>
        </w:rPr>
        <w:t xml:space="preserve">provision </w:t>
      </w:r>
      <w:r w:rsidR="009860BB" w:rsidRPr="00924858">
        <w:rPr>
          <w:rFonts w:ascii="Times New Roman" w:eastAsia="Times New Roman" w:hAnsi="Times New Roman" w:cs="Times New Roman"/>
          <w:noProof/>
          <w:sz w:val="24"/>
          <w:szCs w:val="24"/>
          <w:lang w:eastAsia="en-GB"/>
        </w:rPr>
        <w:t xml:space="preserve">of statistics in the </w:t>
      </w:r>
      <w:r w:rsidR="00CC536D" w:rsidRPr="00924858">
        <w:rPr>
          <w:rFonts w:ascii="Times New Roman,Calibri" w:eastAsia="Times New Roman,Calibri" w:hAnsi="Times New Roman,Calibri" w:cs="Times New Roman,Calibri"/>
          <w:noProof/>
          <w:sz w:val="24"/>
          <w:szCs w:val="24"/>
          <w:lang w:eastAsia="en-GB"/>
        </w:rPr>
        <w:t>Turkish Cypriot community</w:t>
      </w:r>
      <w:r w:rsidR="001A4CF4" w:rsidRPr="00924858">
        <w:rPr>
          <w:rFonts w:ascii="Times New Roman" w:eastAsia="Times New Roman" w:hAnsi="Times New Roman" w:cs="Times New Roman"/>
          <w:noProof/>
          <w:sz w:val="24"/>
          <w:szCs w:val="24"/>
          <w:lang w:eastAsia="en-GB"/>
        </w:rPr>
        <w:t xml:space="preserve">, which is essential </w:t>
      </w:r>
      <w:r w:rsidR="00E10C0F" w:rsidRPr="00924858">
        <w:rPr>
          <w:rFonts w:ascii="Times New Roman" w:eastAsia="Times New Roman" w:hAnsi="Times New Roman" w:cs="Times New Roman"/>
          <w:noProof/>
          <w:sz w:val="24"/>
          <w:szCs w:val="24"/>
          <w:lang w:eastAsia="en-GB"/>
        </w:rPr>
        <w:t>to facilitate</w:t>
      </w:r>
      <w:r w:rsidR="001A4CF4" w:rsidRPr="00924858">
        <w:rPr>
          <w:rFonts w:ascii="Times New Roman" w:eastAsia="Times New Roman" w:hAnsi="Times New Roman" w:cs="Times New Roman"/>
          <w:noProof/>
          <w:sz w:val="24"/>
          <w:szCs w:val="24"/>
          <w:lang w:eastAsia="en-GB"/>
        </w:rPr>
        <w:t xml:space="preserve"> preparations</w:t>
      </w:r>
      <w:r w:rsidR="00E10C0F" w:rsidRPr="00924858">
        <w:rPr>
          <w:rFonts w:ascii="Times New Roman" w:eastAsia="Times New Roman" w:hAnsi="Times New Roman" w:cs="Times New Roman"/>
          <w:noProof/>
          <w:sz w:val="24"/>
          <w:szCs w:val="24"/>
          <w:lang w:eastAsia="en-GB"/>
        </w:rPr>
        <w:t xml:space="preserve"> for reunification</w:t>
      </w:r>
      <w:r w:rsidR="00472452" w:rsidRPr="00924858">
        <w:rPr>
          <w:rFonts w:ascii="Times New Roman" w:eastAsia="Times New Roman" w:hAnsi="Times New Roman" w:cs="Times New Roman"/>
          <w:noProof/>
          <w:sz w:val="24"/>
          <w:szCs w:val="24"/>
          <w:lang w:eastAsia="en-GB"/>
        </w:rPr>
        <w:t>.</w:t>
      </w:r>
    </w:p>
    <w:p w14:paraId="5A54BC37" w14:textId="5DF10236" w:rsidR="006C615B" w:rsidRPr="00924858" w:rsidRDefault="00F42B39">
      <w:pPr>
        <w:numPr>
          <w:ilvl w:val="2"/>
          <w:numId w:val="3"/>
        </w:numPr>
        <w:spacing w:before="120" w:after="120" w:line="240" w:lineRule="auto"/>
        <w:jc w:val="both"/>
        <w:outlineLvl w:val="2"/>
        <w:rPr>
          <w:rFonts w:ascii="Times New Roman" w:eastAsia="Times New Roman" w:hAnsi="Times New Roman" w:cs="Times New Roman"/>
          <w:i/>
          <w:iCs/>
          <w:noProof/>
          <w:sz w:val="24"/>
          <w:szCs w:val="24"/>
          <w:lang w:eastAsia="en-GB"/>
        </w:rPr>
      </w:pPr>
      <w:r w:rsidRPr="00924858">
        <w:rPr>
          <w:rFonts w:ascii="Times New Roman" w:eastAsia="Times New Roman" w:hAnsi="Times New Roman" w:cs="Times New Roman"/>
          <w:i/>
          <w:iCs/>
          <w:noProof/>
          <w:sz w:val="24"/>
          <w:szCs w:val="24"/>
          <w:lang w:eastAsia="en-GB"/>
        </w:rPr>
        <w:t>Objective 3: Fostering reconciliation, confidence</w:t>
      </w:r>
      <w:r w:rsidR="005C30F8" w:rsidRPr="00924858">
        <w:rPr>
          <w:rFonts w:ascii="Times New Roman" w:eastAsia="Times New Roman" w:hAnsi="Times New Roman" w:cs="Times New Roman"/>
          <w:i/>
          <w:iCs/>
          <w:noProof/>
          <w:sz w:val="24"/>
          <w:szCs w:val="24"/>
          <w:lang w:eastAsia="en-GB"/>
        </w:rPr>
        <w:t>-</w:t>
      </w:r>
      <w:r w:rsidRPr="00924858">
        <w:rPr>
          <w:rFonts w:ascii="Times New Roman" w:eastAsia="Times New Roman" w:hAnsi="Times New Roman" w:cs="Times New Roman"/>
          <w:i/>
          <w:iCs/>
          <w:noProof/>
          <w:sz w:val="24"/>
          <w:szCs w:val="24"/>
          <w:lang w:eastAsia="en-GB"/>
        </w:rPr>
        <w:t>building measures, and support to civil society</w:t>
      </w:r>
    </w:p>
    <w:p w14:paraId="7FC55E1F" w14:textId="0206922E" w:rsidR="006C615B" w:rsidRPr="00924858" w:rsidRDefault="00F42B39" w:rsidP="11F28CCE">
      <w:pPr>
        <w:spacing w:before="120" w:after="120" w:line="240" w:lineRule="auto"/>
        <w:ind w:left="850"/>
        <w:jc w:val="both"/>
        <w:rPr>
          <w:rFonts w:ascii="Times New Roman,Calibri" w:eastAsia="Times New Roman,Calibri" w:hAnsi="Times New Roman,Calibri" w:cs="Times New Roman,Calibri"/>
          <w:i/>
          <w:iCs/>
          <w:noProof/>
          <w:sz w:val="24"/>
          <w:szCs w:val="24"/>
          <w:lang w:eastAsia="en-GB"/>
        </w:rPr>
      </w:pPr>
      <w:r w:rsidRPr="00924858">
        <w:rPr>
          <w:rFonts w:ascii="Times New Roman" w:eastAsia="Times New Roman" w:hAnsi="Times New Roman" w:cs="Times New Roman"/>
          <w:noProof/>
          <w:sz w:val="24"/>
          <w:szCs w:val="24"/>
        </w:rPr>
        <w:t xml:space="preserve">The Committee on Missing Persons, supported by the Aid Programme through a contribution agreement with </w:t>
      </w:r>
      <w:r w:rsidR="00897FBD" w:rsidRPr="00924858">
        <w:rPr>
          <w:rFonts w:ascii="Times New Roman" w:eastAsia="Times New Roman" w:hAnsi="Times New Roman" w:cs="Times New Roman"/>
          <w:noProof/>
          <w:sz w:val="24"/>
          <w:szCs w:val="24"/>
        </w:rPr>
        <w:t xml:space="preserve">the </w:t>
      </w:r>
      <w:r w:rsidRPr="00924858">
        <w:rPr>
          <w:rFonts w:ascii="Times New Roman" w:eastAsia="Times New Roman" w:hAnsi="Times New Roman" w:cs="Times New Roman"/>
          <w:noProof/>
          <w:sz w:val="24"/>
          <w:szCs w:val="24"/>
        </w:rPr>
        <w:t>UNDP, continued its field and laboratory work. By the end of 202</w:t>
      </w:r>
      <w:r w:rsidR="007766CC" w:rsidRPr="00924858">
        <w:rPr>
          <w:rFonts w:ascii="Times New Roman" w:eastAsia="Times New Roman" w:hAnsi="Times New Roman" w:cs="Times New Roman"/>
          <w:noProof/>
          <w:sz w:val="24"/>
          <w:szCs w:val="24"/>
        </w:rPr>
        <w:t>2</w:t>
      </w:r>
      <w:r w:rsidRPr="00924858">
        <w:rPr>
          <w:rFonts w:ascii="Times New Roman" w:eastAsia="Times New Roman" w:hAnsi="Times New Roman" w:cs="Times New Roman"/>
          <w:noProof/>
          <w:sz w:val="24"/>
          <w:szCs w:val="24"/>
        </w:rPr>
        <w:t>, of the 2</w:t>
      </w:r>
      <w:r w:rsidR="00924858">
        <w:rPr>
          <w:rFonts w:ascii="Times New Roman" w:eastAsia="Times New Roman" w:hAnsi="Times New Roman" w:cs="Times New Roman"/>
          <w:noProof/>
          <w:sz w:val="24"/>
          <w:szCs w:val="24"/>
        </w:rPr>
        <w:t> </w:t>
      </w:r>
      <w:r w:rsidRPr="00924858">
        <w:rPr>
          <w:rFonts w:ascii="Times New Roman" w:eastAsia="Times New Roman" w:hAnsi="Times New Roman" w:cs="Times New Roman"/>
          <w:noProof/>
          <w:sz w:val="24"/>
          <w:szCs w:val="24"/>
        </w:rPr>
        <w:t xml:space="preserve">002 total missing persons, </w:t>
      </w:r>
      <w:r w:rsidR="00D66666">
        <w:rPr>
          <w:rFonts w:ascii="Times New Roman" w:eastAsia="Times New Roman" w:hAnsi="Times New Roman" w:cs="Times New Roman"/>
          <w:noProof/>
          <w:sz w:val="24"/>
          <w:szCs w:val="24"/>
        </w:rPr>
        <w:t>it</w:t>
      </w:r>
      <w:r w:rsidRPr="00924858">
        <w:rPr>
          <w:rFonts w:ascii="Times New Roman" w:eastAsia="Times New Roman" w:hAnsi="Times New Roman" w:cs="Times New Roman"/>
          <w:noProof/>
          <w:sz w:val="24"/>
          <w:szCs w:val="24"/>
        </w:rPr>
        <w:t xml:space="preserve"> had exhumed 1</w:t>
      </w:r>
      <w:r w:rsidR="00924858">
        <w:rPr>
          <w:rFonts w:ascii="Times New Roman" w:eastAsia="Times New Roman" w:hAnsi="Times New Roman" w:cs="Times New Roman"/>
          <w:noProof/>
          <w:sz w:val="24"/>
          <w:szCs w:val="24"/>
        </w:rPr>
        <w:t> </w:t>
      </w:r>
      <w:r w:rsidRPr="00924858">
        <w:rPr>
          <w:rFonts w:ascii="Times New Roman" w:eastAsia="Times New Roman" w:hAnsi="Times New Roman" w:cs="Times New Roman"/>
          <w:noProof/>
          <w:sz w:val="24"/>
          <w:szCs w:val="24"/>
        </w:rPr>
        <w:t>1</w:t>
      </w:r>
      <w:r w:rsidR="007766CC" w:rsidRPr="00924858">
        <w:rPr>
          <w:rFonts w:ascii="Times New Roman" w:eastAsia="Times New Roman" w:hAnsi="Times New Roman" w:cs="Times New Roman"/>
          <w:noProof/>
          <w:sz w:val="24"/>
          <w:szCs w:val="24"/>
        </w:rPr>
        <w:t>96</w:t>
      </w:r>
      <w:r w:rsidRPr="00924858">
        <w:rPr>
          <w:rFonts w:ascii="Times New Roman" w:eastAsia="Times New Roman" w:hAnsi="Times New Roman" w:cs="Times New Roman"/>
          <w:noProof/>
          <w:sz w:val="24"/>
          <w:szCs w:val="24"/>
        </w:rPr>
        <w:t xml:space="preserve"> sets of remains</w:t>
      </w:r>
      <w:r w:rsidR="00897FBD" w:rsidRPr="00924858">
        <w:rPr>
          <w:rFonts w:ascii="Times New Roman" w:eastAsia="Times New Roman" w:hAnsi="Times New Roman" w:cs="Times New Roman"/>
          <w:noProof/>
          <w:sz w:val="24"/>
          <w:szCs w:val="24"/>
        </w:rPr>
        <w:t>.</w:t>
      </w:r>
      <w:r w:rsidRPr="00924858">
        <w:rPr>
          <w:rFonts w:ascii="Times New Roman" w:eastAsia="Times New Roman" w:hAnsi="Times New Roman" w:cs="Times New Roman"/>
          <w:noProof/>
          <w:sz w:val="24"/>
          <w:szCs w:val="24"/>
        </w:rPr>
        <w:t xml:space="preserve"> </w:t>
      </w:r>
      <w:r w:rsidR="00897FBD" w:rsidRPr="00924858">
        <w:rPr>
          <w:rFonts w:ascii="Times New Roman" w:eastAsia="Times New Roman" w:hAnsi="Times New Roman" w:cs="Times New Roman"/>
          <w:noProof/>
          <w:sz w:val="24"/>
          <w:szCs w:val="24"/>
        </w:rPr>
        <w:t>O</w:t>
      </w:r>
      <w:r w:rsidR="00866D29" w:rsidRPr="00924858">
        <w:rPr>
          <w:rFonts w:ascii="Times New Roman" w:eastAsia="Times New Roman" w:hAnsi="Times New Roman" w:cs="Times New Roman"/>
          <w:noProof/>
          <w:sz w:val="24"/>
          <w:szCs w:val="24"/>
        </w:rPr>
        <w:t xml:space="preserve">f </w:t>
      </w:r>
      <w:r w:rsidR="00897FBD" w:rsidRPr="00924858">
        <w:rPr>
          <w:rFonts w:ascii="Times New Roman" w:eastAsia="Times New Roman" w:hAnsi="Times New Roman" w:cs="Times New Roman"/>
          <w:noProof/>
          <w:sz w:val="24"/>
          <w:szCs w:val="24"/>
        </w:rPr>
        <w:t xml:space="preserve">these, </w:t>
      </w:r>
      <w:r w:rsidR="00866D29" w:rsidRPr="00924858">
        <w:rPr>
          <w:rFonts w:ascii="Times New Roman" w:eastAsia="Times New Roman" w:hAnsi="Times New Roman" w:cs="Times New Roman"/>
          <w:noProof/>
          <w:sz w:val="24"/>
          <w:szCs w:val="24"/>
        </w:rPr>
        <w:t>1</w:t>
      </w:r>
      <w:r w:rsidR="00924858">
        <w:rPr>
          <w:rFonts w:ascii="Times New Roman" w:eastAsia="Times New Roman" w:hAnsi="Times New Roman" w:cs="Times New Roman"/>
          <w:noProof/>
          <w:sz w:val="24"/>
          <w:szCs w:val="24"/>
        </w:rPr>
        <w:t> </w:t>
      </w:r>
      <w:r w:rsidR="00866D29" w:rsidRPr="00924858">
        <w:rPr>
          <w:rFonts w:ascii="Times New Roman" w:eastAsia="Times New Roman" w:hAnsi="Times New Roman" w:cs="Times New Roman"/>
          <w:noProof/>
          <w:sz w:val="24"/>
          <w:szCs w:val="24"/>
        </w:rPr>
        <w:t>02</w:t>
      </w:r>
      <w:r w:rsidR="007766CC" w:rsidRPr="00924858">
        <w:rPr>
          <w:rFonts w:ascii="Times New Roman" w:eastAsia="Times New Roman" w:hAnsi="Times New Roman" w:cs="Times New Roman"/>
          <w:noProof/>
          <w:sz w:val="24"/>
          <w:szCs w:val="24"/>
        </w:rPr>
        <w:t>9</w:t>
      </w:r>
      <w:r w:rsidRPr="00924858">
        <w:rPr>
          <w:rFonts w:ascii="Times New Roman" w:eastAsia="Times New Roman" w:hAnsi="Times New Roman" w:cs="Times New Roman"/>
          <w:noProof/>
          <w:sz w:val="24"/>
          <w:szCs w:val="24"/>
        </w:rPr>
        <w:t xml:space="preserve"> were identified </w:t>
      </w:r>
      <w:r w:rsidR="00897FBD" w:rsidRPr="00924858">
        <w:rPr>
          <w:rFonts w:ascii="Times New Roman" w:eastAsia="Times New Roman" w:hAnsi="Times New Roman" w:cs="Times New Roman"/>
          <w:noProof/>
          <w:sz w:val="24"/>
          <w:szCs w:val="24"/>
        </w:rPr>
        <w:t xml:space="preserve">genetically </w:t>
      </w:r>
      <w:r w:rsidRPr="00924858">
        <w:rPr>
          <w:rFonts w:ascii="Times New Roman" w:eastAsia="Times New Roman" w:hAnsi="Times New Roman" w:cs="Times New Roman"/>
          <w:noProof/>
          <w:sz w:val="24"/>
          <w:szCs w:val="24"/>
        </w:rPr>
        <w:t>and returned to their families.</w:t>
      </w:r>
    </w:p>
    <w:p w14:paraId="0DB19DAD" w14:textId="2E7EF6FE" w:rsidR="007766CC" w:rsidRPr="00924858" w:rsidRDefault="00F42B39" w:rsidP="00936E11">
      <w:pPr>
        <w:spacing w:before="120" w:after="120" w:line="240" w:lineRule="auto"/>
        <w:ind w:left="850"/>
        <w:jc w:val="both"/>
        <w:rPr>
          <w:rFonts w:ascii="Times New Roman" w:eastAsia="Times New Roman" w:hAnsi="Times New Roman" w:cs="Times New Roman"/>
          <w:noProof/>
          <w:sz w:val="24"/>
          <w:szCs w:val="24"/>
        </w:rPr>
      </w:pPr>
      <w:r w:rsidRPr="00924858">
        <w:rPr>
          <w:rFonts w:ascii="Times New Roman" w:eastAsia="Times New Roman" w:hAnsi="Times New Roman" w:cs="Times New Roman"/>
          <w:noProof/>
          <w:sz w:val="24"/>
          <w:szCs w:val="24"/>
        </w:rPr>
        <w:t xml:space="preserve">In December </w:t>
      </w:r>
      <w:r w:rsidR="007766CC" w:rsidRPr="00924858">
        <w:rPr>
          <w:rFonts w:ascii="Times New Roman" w:eastAsia="Times New Roman" w:hAnsi="Times New Roman" w:cs="Times New Roman"/>
          <w:noProof/>
          <w:sz w:val="24"/>
          <w:szCs w:val="24"/>
        </w:rPr>
        <w:t>2022</w:t>
      </w:r>
      <w:r w:rsidRPr="00924858">
        <w:rPr>
          <w:rFonts w:ascii="Times New Roman" w:eastAsia="Times New Roman" w:hAnsi="Times New Roman" w:cs="Times New Roman"/>
          <w:noProof/>
          <w:sz w:val="24"/>
          <w:szCs w:val="24"/>
        </w:rPr>
        <w:t xml:space="preserve">, </w:t>
      </w:r>
      <w:r w:rsidR="00866D29" w:rsidRPr="00924858">
        <w:rPr>
          <w:rFonts w:ascii="Times New Roman" w:eastAsia="Times New Roman" w:hAnsi="Times New Roman" w:cs="Times New Roman"/>
          <w:noProof/>
          <w:sz w:val="24"/>
          <w:szCs w:val="24"/>
        </w:rPr>
        <w:t xml:space="preserve">a new </w:t>
      </w:r>
      <w:r w:rsidR="00897FBD" w:rsidRPr="00924858">
        <w:rPr>
          <w:rFonts w:ascii="Times New Roman" w:eastAsia="Times New Roman" w:hAnsi="Times New Roman" w:cs="Times New Roman"/>
          <w:noProof/>
          <w:sz w:val="24"/>
          <w:szCs w:val="24"/>
        </w:rPr>
        <w:t>EUR</w:t>
      </w:r>
      <w:r w:rsidR="00924858">
        <w:rPr>
          <w:rFonts w:ascii="Times New Roman" w:eastAsia="Times New Roman" w:hAnsi="Times New Roman" w:cs="Times New Roman"/>
          <w:noProof/>
          <w:sz w:val="24"/>
          <w:szCs w:val="24"/>
        </w:rPr>
        <w:t> </w:t>
      </w:r>
      <w:r w:rsidR="00897FBD" w:rsidRPr="00924858">
        <w:rPr>
          <w:rFonts w:ascii="Times New Roman" w:eastAsia="Times New Roman" w:hAnsi="Times New Roman" w:cs="Times New Roman"/>
          <w:noProof/>
          <w:sz w:val="24"/>
          <w:szCs w:val="24"/>
        </w:rPr>
        <w:t xml:space="preserve">2.6 million </w:t>
      </w:r>
      <w:r w:rsidRPr="00924858">
        <w:rPr>
          <w:rFonts w:ascii="Times New Roman" w:eastAsia="Times New Roman" w:hAnsi="Times New Roman" w:cs="Times New Roman"/>
          <w:noProof/>
          <w:sz w:val="24"/>
          <w:szCs w:val="24"/>
        </w:rPr>
        <w:t xml:space="preserve">contribution agreement was </w:t>
      </w:r>
      <w:r w:rsidR="00866D29" w:rsidRPr="00924858">
        <w:rPr>
          <w:rFonts w:ascii="Times New Roman" w:eastAsia="Times New Roman" w:hAnsi="Times New Roman" w:cs="Times New Roman"/>
          <w:noProof/>
          <w:sz w:val="24"/>
          <w:szCs w:val="24"/>
        </w:rPr>
        <w:t xml:space="preserve">signed </w:t>
      </w:r>
      <w:r w:rsidRPr="00924858">
        <w:rPr>
          <w:rFonts w:ascii="Times New Roman" w:eastAsia="Times New Roman" w:hAnsi="Times New Roman" w:cs="Times New Roman"/>
          <w:noProof/>
          <w:sz w:val="24"/>
          <w:szCs w:val="24"/>
        </w:rPr>
        <w:t xml:space="preserve">to provide funding for </w:t>
      </w:r>
      <w:r w:rsidR="00D66666">
        <w:rPr>
          <w:rFonts w:ascii="Times New Roman" w:eastAsia="Times New Roman" w:hAnsi="Times New Roman" w:cs="Times New Roman"/>
          <w:noProof/>
          <w:sz w:val="24"/>
          <w:szCs w:val="24"/>
        </w:rPr>
        <w:t>the Committee’s</w:t>
      </w:r>
      <w:r w:rsidR="00D66666" w:rsidRPr="00924858">
        <w:rPr>
          <w:rFonts w:ascii="Times New Roman" w:eastAsia="Times New Roman" w:hAnsi="Times New Roman" w:cs="Times New Roman"/>
          <w:noProof/>
          <w:sz w:val="24"/>
          <w:szCs w:val="24"/>
        </w:rPr>
        <w:t xml:space="preserve"> </w:t>
      </w:r>
      <w:r w:rsidRPr="00924858">
        <w:rPr>
          <w:rFonts w:ascii="Times New Roman" w:eastAsia="Times New Roman" w:hAnsi="Times New Roman" w:cs="Times New Roman"/>
          <w:noProof/>
          <w:sz w:val="24"/>
          <w:szCs w:val="24"/>
        </w:rPr>
        <w:t>operations in 202</w:t>
      </w:r>
      <w:r w:rsidR="007766CC" w:rsidRPr="00924858">
        <w:rPr>
          <w:rFonts w:ascii="Times New Roman" w:eastAsia="Times New Roman" w:hAnsi="Times New Roman" w:cs="Times New Roman"/>
          <w:noProof/>
          <w:sz w:val="24"/>
          <w:szCs w:val="24"/>
        </w:rPr>
        <w:t>3</w:t>
      </w:r>
      <w:r w:rsidRPr="00924858">
        <w:rPr>
          <w:rFonts w:ascii="Times New Roman" w:eastAsia="Times New Roman" w:hAnsi="Times New Roman" w:cs="Times New Roman"/>
          <w:noProof/>
          <w:sz w:val="24"/>
          <w:szCs w:val="24"/>
        </w:rPr>
        <w:t xml:space="preserve">. Overall, </w:t>
      </w:r>
      <w:r w:rsidR="00936E11" w:rsidRPr="00924858">
        <w:rPr>
          <w:rFonts w:ascii="Times New Roman" w:eastAsia="Times New Roman" w:hAnsi="Times New Roman" w:cs="Times New Roman"/>
          <w:noProof/>
          <w:sz w:val="24"/>
          <w:szCs w:val="24"/>
        </w:rPr>
        <w:t xml:space="preserve">in 2006-2022, </w:t>
      </w:r>
      <w:r w:rsidRPr="00924858">
        <w:rPr>
          <w:rFonts w:ascii="Times New Roman" w:eastAsia="Times New Roman" w:hAnsi="Times New Roman" w:cs="Times New Roman"/>
          <w:noProof/>
          <w:sz w:val="24"/>
          <w:szCs w:val="24"/>
        </w:rPr>
        <w:t xml:space="preserve">the EU </w:t>
      </w:r>
      <w:r w:rsidR="007766CC" w:rsidRPr="00924858">
        <w:rPr>
          <w:rFonts w:ascii="Times New Roman" w:eastAsia="Times New Roman" w:hAnsi="Times New Roman" w:cs="Times New Roman"/>
          <w:noProof/>
          <w:sz w:val="24"/>
          <w:szCs w:val="24"/>
        </w:rPr>
        <w:t xml:space="preserve">has </w:t>
      </w:r>
      <w:r w:rsidRPr="00924858">
        <w:rPr>
          <w:rFonts w:ascii="Times New Roman" w:eastAsia="Times New Roman" w:hAnsi="Times New Roman" w:cs="Times New Roman"/>
          <w:noProof/>
          <w:sz w:val="24"/>
          <w:szCs w:val="24"/>
        </w:rPr>
        <w:t>contributed EUR</w:t>
      </w:r>
      <w:r w:rsidR="00924858">
        <w:rPr>
          <w:rFonts w:ascii="Times New Roman" w:eastAsia="Times New Roman" w:hAnsi="Times New Roman" w:cs="Times New Roman"/>
          <w:noProof/>
          <w:sz w:val="24"/>
          <w:szCs w:val="24"/>
        </w:rPr>
        <w:t> </w:t>
      </w:r>
      <w:r w:rsidRPr="00924858">
        <w:rPr>
          <w:rFonts w:ascii="Times New Roman" w:eastAsia="Times New Roman" w:hAnsi="Times New Roman" w:cs="Times New Roman"/>
          <w:noProof/>
          <w:sz w:val="24"/>
          <w:szCs w:val="24"/>
        </w:rPr>
        <w:t>3</w:t>
      </w:r>
      <w:r w:rsidR="007766CC" w:rsidRPr="00924858">
        <w:rPr>
          <w:rFonts w:ascii="Times New Roman" w:eastAsia="Times New Roman" w:hAnsi="Times New Roman" w:cs="Times New Roman"/>
          <w:noProof/>
          <w:sz w:val="24"/>
          <w:szCs w:val="24"/>
        </w:rPr>
        <w:t>5</w:t>
      </w:r>
      <w:r w:rsidR="00AB3340" w:rsidRPr="00924858">
        <w:rPr>
          <w:rFonts w:ascii="Times New Roman" w:eastAsia="Times New Roman" w:hAnsi="Times New Roman" w:cs="Times New Roman"/>
          <w:noProof/>
          <w:sz w:val="24"/>
          <w:szCs w:val="24"/>
        </w:rPr>
        <w:t>.</w:t>
      </w:r>
      <w:r w:rsidR="007766CC" w:rsidRPr="00924858">
        <w:rPr>
          <w:rFonts w:ascii="Times New Roman" w:eastAsia="Times New Roman" w:hAnsi="Times New Roman" w:cs="Times New Roman"/>
          <w:noProof/>
          <w:sz w:val="24"/>
          <w:szCs w:val="24"/>
        </w:rPr>
        <w:t xml:space="preserve">8 million to support </w:t>
      </w:r>
      <w:r w:rsidR="00D66666">
        <w:rPr>
          <w:rFonts w:ascii="Times New Roman" w:eastAsia="Times New Roman" w:hAnsi="Times New Roman" w:cs="Times New Roman"/>
          <w:noProof/>
          <w:sz w:val="24"/>
          <w:szCs w:val="24"/>
        </w:rPr>
        <w:t>its</w:t>
      </w:r>
      <w:r w:rsidR="007766CC" w:rsidRPr="00924858">
        <w:rPr>
          <w:rFonts w:ascii="Times New Roman" w:eastAsia="Times New Roman" w:hAnsi="Times New Roman" w:cs="Times New Roman"/>
          <w:noProof/>
          <w:sz w:val="24"/>
          <w:szCs w:val="24"/>
        </w:rPr>
        <w:t xml:space="preserve"> activities</w:t>
      </w:r>
      <w:r w:rsidRPr="00924858">
        <w:rPr>
          <w:rFonts w:ascii="Times New Roman" w:eastAsia="Times New Roman" w:hAnsi="Times New Roman" w:cs="Times New Roman"/>
          <w:noProof/>
          <w:sz w:val="24"/>
          <w:szCs w:val="24"/>
        </w:rPr>
        <w:t>, amount</w:t>
      </w:r>
      <w:r w:rsidR="00897FBD" w:rsidRPr="00924858">
        <w:rPr>
          <w:rFonts w:ascii="Times New Roman" w:eastAsia="Times New Roman" w:hAnsi="Times New Roman" w:cs="Times New Roman"/>
          <w:noProof/>
          <w:sz w:val="24"/>
          <w:szCs w:val="24"/>
        </w:rPr>
        <w:t>ing</w:t>
      </w:r>
      <w:r w:rsidRPr="00924858">
        <w:rPr>
          <w:rFonts w:ascii="Times New Roman" w:eastAsia="Times New Roman" w:hAnsi="Times New Roman" w:cs="Times New Roman"/>
          <w:noProof/>
          <w:sz w:val="24"/>
          <w:szCs w:val="24"/>
        </w:rPr>
        <w:t xml:space="preserve"> to 75% of </w:t>
      </w:r>
      <w:r w:rsidR="00897FBD" w:rsidRPr="00924858">
        <w:rPr>
          <w:rFonts w:ascii="Times New Roman" w:eastAsia="Times New Roman" w:hAnsi="Times New Roman" w:cs="Times New Roman"/>
          <w:noProof/>
          <w:sz w:val="24"/>
          <w:szCs w:val="24"/>
        </w:rPr>
        <w:t>all</w:t>
      </w:r>
      <w:r w:rsidRPr="00924858">
        <w:rPr>
          <w:rFonts w:ascii="Times New Roman" w:eastAsia="Times New Roman" w:hAnsi="Times New Roman" w:cs="Times New Roman"/>
          <w:noProof/>
          <w:sz w:val="24"/>
          <w:szCs w:val="24"/>
        </w:rPr>
        <w:t xml:space="preserve"> </w:t>
      </w:r>
      <w:r w:rsidR="00333B41">
        <w:rPr>
          <w:rFonts w:ascii="Times New Roman" w:eastAsia="Times New Roman" w:hAnsi="Times New Roman" w:cs="Times New Roman"/>
          <w:noProof/>
          <w:sz w:val="24"/>
          <w:szCs w:val="24"/>
        </w:rPr>
        <w:t xml:space="preserve">of its </w:t>
      </w:r>
      <w:r w:rsidRPr="00924858">
        <w:rPr>
          <w:rFonts w:ascii="Times New Roman" w:eastAsia="Times New Roman" w:hAnsi="Times New Roman" w:cs="Times New Roman"/>
          <w:noProof/>
          <w:sz w:val="24"/>
          <w:szCs w:val="24"/>
        </w:rPr>
        <w:t>funding in this period.</w:t>
      </w:r>
    </w:p>
    <w:p w14:paraId="1A71FB04" w14:textId="0D7580D5" w:rsidR="00AA3980" w:rsidRPr="00924858" w:rsidRDefault="00F42B39">
      <w:pPr>
        <w:spacing w:before="120" w:after="120" w:line="240" w:lineRule="auto"/>
        <w:ind w:left="850"/>
        <w:jc w:val="both"/>
        <w:rPr>
          <w:rFonts w:ascii="Times New Roman" w:eastAsia="Times New Roman" w:hAnsi="Times New Roman" w:cs="Times New Roman"/>
          <w:noProof/>
          <w:sz w:val="24"/>
          <w:szCs w:val="24"/>
        </w:rPr>
      </w:pPr>
      <w:r w:rsidRPr="00924858">
        <w:rPr>
          <w:rFonts w:ascii="Times New Roman" w:eastAsia="Times New Roman" w:hAnsi="Times New Roman" w:cs="Times New Roman"/>
          <w:noProof/>
          <w:sz w:val="24"/>
          <w:szCs w:val="24"/>
        </w:rPr>
        <w:t xml:space="preserve">Cultural </w:t>
      </w:r>
      <w:r w:rsidR="00897FBD" w:rsidRPr="00924858">
        <w:rPr>
          <w:rFonts w:ascii="Times New Roman" w:eastAsia="Times New Roman" w:hAnsi="Times New Roman" w:cs="Times New Roman"/>
          <w:noProof/>
          <w:sz w:val="24"/>
          <w:szCs w:val="24"/>
        </w:rPr>
        <w:t>h</w:t>
      </w:r>
      <w:r w:rsidRPr="00924858">
        <w:rPr>
          <w:rFonts w:ascii="Times New Roman" w:eastAsia="Times New Roman" w:hAnsi="Times New Roman" w:cs="Times New Roman"/>
          <w:noProof/>
          <w:sz w:val="24"/>
          <w:szCs w:val="24"/>
        </w:rPr>
        <w:t>eritage protection</w:t>
      </w:r>
      <w:r w:rsidRPr="00924858">
        <w:rPr>
          <w:rFonts w:ascii="Times New Roman" w:eastAsia="Times New Roman" w:hAnsi="Times New Roman" w:cs="Times New Roman"/>
          <w:i/>
          <w:iCs/>
          <w:noProof/>
          <w:sz w:val="24"/>
          <w:szCs w:val="24"/>
        </w:rPr>
        <w:t xml:space="preserve"> </w:t>
      </w:r>
      <w:r w:rsidRPr="00924858">
        <w:rPr>
          <w:rFonts w:ascii="Times New Roman" w:eastAsia="Times New Roman" w:hAnsi="Times New Roman" w:cs="Times New Roman"/>
          <w:noProof/>
          <w:sz w:val="24"/>
          <w:szCs w:val="24"/>
        </w:rPr>
        <w:t>through the bi-communal Technical Committee on Cultural Heritage remained a key component of the reconciliation and confidence</w:t>
      </w:r>
      <w:r w:rsidR="00897FBD" w:rsidRPr="00924858">
        <w:rPr>
          <w:rFonts w:ascii="Times New Roman" w:eastAsia="Times New Roman" w:hAnsi="Times New Roman" w:cs="Times New Roman"/>
          <w:noProof/>
          <w:sz w:val="24"/>
          <w:szCs w:val="24"/>
        </w:rPr>
        <w:t>-</w:t>
      </w:r>
      <w:r w:rsidRPr="00924858">
        <w:rPr>
          <w:rFonts w:ascii="Times New Roman" w:eastAsia="Times New Roman" w:hAnsi="Times New Roman" w:cs="Times New Roman"/>
          <w:noProof/>
          <w:sz w:val="24"/>
          <w:szCs w:val="24"/>
        </w:rPr>
        <w:t xml:space="preserve">building </w:t>
      </w:r>
      <w:r w:rsidR="00897FBD" w:rsidRPr="00924858">
        <w:rPr>
          <w:rFonts w:ascii="Times New Roman" w:eastAsia="Times New Roman" w:hAnsi="Times New Roman" w:cs="Times New Roman"/>
          <w:noProof/>
          <w:sz w:val="24"/>
          <w:szCs w:val="24"/>
        </w:rPr>
        <w:t xml:space="preserve">measures </w:t>
      </w:r>
      <w:r w:rsidRPr="00924858">
        <w:rPr>
          <w:rFonts w:ascii="Times New Roman" w:eastAsia="Times New Roman" w:hAnsi="Times New Roman" w:cs="Times New Roman"/>
          <w:noProof/>
          <w:sz w:val="24"/>
          <w:szCs w:val="24"/>
        </w:rPr>
        <w:t>supported under the Aid Programme, with 1</w:t>
      </w:r>
      <w:r w:rsidR="007766CC" w:rsidRPr="00924858">
        <w:rPr>
          <w:rFonts w:ascii="Times New Roman" w:eastAsia="Times New Roman" w:hAnsi="Times New Roman" w:cs="Times New Roman"/>
          <w:noProof/>
          <w:sz w:val="24"/>
          <w:szCs w:val="24"/>
        </w:rPr>
        <w:t>6</w:t>
      </w:r>
      <w:r w:rsidRPr="00924858">
        <w:rPr>
          <w:rFonts w:ascii="Times New Roman" w:eastAsia="Times New Roman" w:hAnsi="Times New Roman" w:cs="Times New Roman"/>
          <w:noProof/>
          <w:sz w:val="24"/>
          <w:szCs w:val="24"/>
        </w:rPr>
        <w:t xml:space="preserve"> projects completed in 202</w:t>
      </w:r>
      <w:r w:rsidR="007766CC" w:rsidRPr="00924858">
        <w:rPr>
          <w:rFonts w:ascii="Times New Roman" w:eastAsia="Times New Roman" w:hAnsi="Times New Roman" w:cs="Times New Roman"/>
          <w:noProof/>
          <w:sz w:val="24"/>
          <w:szCs w:val="24"/>
        </w:rPr>
        <w:t>2</w:t>
      </w:r>
      <w:r w:rsidRPr="00924858">
        <w:rPr>
          <w:rFonts w:ascii="Times New Roman" w:eastAsia="Times New Roman" w:hAnsi="Times New Roman" w:cs="Times New Roman"/>
          <w:noProof/>
          <w:sz w:val="24"/>
          <w:szCs w:val="24"/>
        </w:rPr>
        <w:t xml:space="preserve">. Overall, the </w:t>
      </w:r>
      <w:r w:rsidR="00897FBD" w:rsidRPr="00924858">
        <w:rPr>
          <w:rFonts w:ascii="Times New Roman" w:eastAsia="Times New Roman" w:hAnsi="Times New Roman" w:cs="Times New Roman"/>
          <w:noProof/>
          <w:sz w:val="24"/>
          <w:szCs w:val="24"/>
        </w:rPr>
        <w:t>c</w:t>
      </w:r>
      <w:r w:rsidRPr="00924858">
        <w:rPr>
          <w:rFonts w:ascii="Times New Roman" w:eastAsia="Times New Roman" w:hAnsi="Times New Roman" w:cs="Times New Roman"/>
          <w:noProof/>
          <w:sz w:val="24"/>
          <w:szCs w:val="24"/>
        </w:rPr>
        <w:t xml:space="preserve">ultural </w:t>
      </w:r>
      <w:r w:rsidR="00897FBD" w:rsidRPr="00924858">
        <w:rPr>
          <w:rFonts w:ascii="Times New Roman" w:eastAsia="Times New Roman" w:hAnsi="Times New Roman" w:cs="Times New Roman"/>
          <w:noProof/>
          <w:sz w:val="24"/>
          <w:szCs w:val="24"/>
        </w:rPr>
        <w:t>h</w:t>
      </w:r>
      <w:r w:rsidRPr="00924858">
        <w:rPr>
          <w:rFonts w:ascii="Times New Roman" w:eastAsia="Times New Roman" w:hAnsi="Times New Roman" w:cs="Times New Roman"/>
          <w:noProof/>
          <w:sz w:val="24"/>
          <w:szCs w:val="24"/>
        </w:rPr>
        <w:t xml:space="preserve">eritage programme has received </w:t>
      </w:r>
      <w:r w:rsidR="005163BD" w:rsidRPr="00924858">
        <w:rPr>
          <w:rFonts w:ascii="Times New Roman" w:eastAsia="Times New Roman" w:hAnsi="Times New Roman" w:cs="Times New Roman"/>
          <w:noProof/>
          <w:sz w:val="24"/>
          <w:szCs w:val="24"/>
        </w:rPr>
        <w:t>EU fund</w:t>
      </w:r>
      <w:r w:rsidR="005163BD">
        <w:rPr>
          <w:rFonts w:ascii="Times New Roman" w:eastAsia="Times New Roman" w:hAnsi="Times New Roman" w:cs="Times New Roman"/>
          <w:noProof/>
          <w:sz w:val="24"/>
          <w:szCs w:val="24"/>
        </w:rPr>
        <w:t>ing</w:t>
      </w:r>
      <w:r w:rsidR="005163BD" w:rsidRPr="00924858">
        <w:rPr>
          <w:rFonts w:ascii="Times New Roman" w:eastAsia="Times New Roman" w:hAnsi="Times New Roman" w:cs="Times New Roman"/>
          <w:noProof/>
          <w:sz w:val="24"/>
          <w:szCs w:val="24"/>
        </w:rPr>
        <w:t xml:space="preserve"> of </w:t>
      </w:r>
      <w:r w:rsidR="00866D29" w:rsidRPr="00924858">
        <w:rPr>
          <w:rFonts w:ascii="Times New Roman" w:eastAsia="Times New Roman" w:hAnsi="Times New Roman" w:cs="Times New Roman"/>
          <w:noProof/>
          <w:sz w:val="24"/>
          <w:szCs w:val="24"/>
        </w:rPr>
        <w:t xml:space="preserve">approximately </w:t>
      </w:r>
      <w:r w:rsidRPr="00924858">
        <w:rPr>
          <w:rFonts w:ascii="Times New Roman" w:eastAsia="Times New Roman" w:hAnsi="Times New Roman" w:cs="Times New Roman"/>
          <w:noProof/>
          <w:sz w:val="24"/>
          <w:szCs w:val="24"/>
        </w:rPr>
        <w:t>EUR</w:t>
      </w:r>
      <w:r w:rsidR="00924858">
        <w:rPr>
          <w:rFonts w:ascii="Times New Roman" w:eastAsia="Times New Roman" w:hAnsi="Times New Roman" w:cs="Times New Roman"/>
          <w:noProof/>
          <w:sz w:val="24"/>
          <w:szCs w:val="24"/>
        </w:rPr>
        <w:t> </w:t>
      </w:r>
      <w:r w:rsidRPr="00924858">
        <w:rPr>
          <w:rFonts w:ascii="Times New Roman" w:eastAsia="Times New Roman" w:hAnsi="Times New Roman" w:cs="Times New Roman"/>
          <w:noProof/>
          <w:sz w:val="24"/>
          <w:szCs w:val="24"/>
        </w:rPr>
        <w:t>2</w:t>
      </w:r>
      <w:r w:rsidR="007766CC" w:rsidRPr="00924858">
        <w:rPr>
          <w:rFonts w:ascii="Times New Roman" w:eastAsia="Times New Roman" w:hAnsi="Times New Roman" w:cs="Times New Roman"/>
          <w:noProof/>
          <w:sz w:val="24"/>
          <w:szCs w:val="24"/>
        </w:rPr>
        <w:t>4</w:t>
      </w:r>
      <w:r w:rsidRPr="00924858">
        <w:rPr>
          <w:rFonts w:ascii="Times New Roman" w:eastAsia="Times New Roman" w:hAnsi="Times New Roman" w:cs="Times New Roman"/>
          <w:noProof/>
          <w:sz w:val="24"/>
          <w:szCs w:val="24"/>
        </w:rPr>
        <w:t xml:space="preserve"> million</w:t>
      </w:r>
      <w:r w:rsidR="00866D29" w:rsidRPr="00924858">
        <w:rPr>
          <w:rFonts w:ascii="Times New Roman" w:eastAsia="Times New Roman" w:hAnsi="Times New Roman" w:cs="Times New Roman"/>
          <w:noProof/>
          <w:sz w:val="24"/>
          <w:szCs w:val="24"/>
        </w:rPr>
        <w:t xml:space="preserve">. </w:t>
      </w:r>
      <w:r w:rsidR="00FC7EF4" w:rsidRPr="00924858">
        <w:rPr>
          <w:rFonts w:ascii="Times New Roman" w:eastAsia="Times New Roman" w:hAnsi="Times New Roman" w:cs="Times New Roman"/>
          <w:noProof/>
          <w:sz w:val="24"/>
          <w:szCs w:val="24"/>
        </w:rPr>
        <w:t xml:space="preserve">This </w:t>
      </w:r>
      <w:r w:rsidR="00897FBD" w:rsidRPr="00924858">
        <w:rPr>
          <w:rFonts w:ascii="Times New Roman" w:eastAsia="Times New Roman" w:hAnsi="Times New Roman" w:cs="Times New Roman"/>
          <w:noProof/>
          <w:sz w:val="24"/>
          <w:szCs w:val="24"/>
        </w:rPr>
        <w:t>enabled</w:t>
      </w:r>
      <w:r w:rsidR="00FC7EF4" w:rsidRPr="00924858">
        <w:rPr>
          <w:rFonts w:ascii="Times New Roman" w:eastAsia="Times New Roman" w:hAnsi="Times New Roman" w:cs="Times New Roman"/>
          <w:noProof/>
          <w:sz w:val="24"/>
          <w:szCs w:val="24"/>
        </w:rPr>
        <w:t xml:space="preserve"> m</w:t>
      </w:r>
      <w:r w:rsidR="00866D29" w:rsidRPr="00924858">
        <w:rPr>
          <w:rFonts w:ascii="Times New Roman" w:eastAsia="Times New Roman" w:hAnsi="Times New Roman" w:cs="Times New Roman"/>
          <w:noProof/>
          <w:sz w:val="24"/>
          <w:szCs w:val="24"/>
        </w:rPr>
        <w:t xml:space="preserve">ore than </w:t>
      </w:r>
      <w:r w:rsidR="007766CC" w:rsidRPr="00924858">
        <w:rPr>
          <w:rFonts w:ascii="Times New Roman" w:eastAsia="Times New Roman" w:hAnsi="Times New Roman" w:cs="Times New Roman"/>
          <w:noProof/>
          <w:sz w:val="24"/>
          <w:szCs w:val="24"/>
        </w:rPr>
        <w:t xml:space="preserve">120 </w:t>
      </w:r>
      <w:r w:rsidR="00866D29" w:rsidRPr="00924858">
        <w:rPr>
          <w:rFonts w:ascii="Times New Roman" w:eastAsia="Times New Roman" w:hAnsi="Times New Roman" w:cs="Times New Roman"/>
          <w:noProof/>
          <w:sz w:val="24"/>
          <w:szCs w:val="24"/>
        </w:rPr>
        <w:t xml:space="preserve">cultural heritage sites </w:t>
      </w:r>
      <w:r w:rsidR="00897FBD" w:rsidRPr="00924858">
        <w:rPr>
          <w:rFonts w:ascii="Times New Roman" w:eastAsia="Times New Roman" w:hAnsi="Times New Roman" w:cs="Times New Roman"/>
          <w:noProof/>
          <w:sz w:val="24"/>
          <w:szCs w:val="24"/>
        </w:rPr>
        <w:t xml:space="preserve">across the island </w:t>
      </w:r>
      <w:r w:rsidR="00FC7EF4" w:rsidRPr="00924858">
        <w:rPr>
          <w:rFonts w:ascii="Times New Roman" w:eastAsia="Times New Roman" w:hAnsi="Times New Roman" w:cs="Times New Roman"/>
          <w:noProof/>
          <w:sz w:val="24"/>
          <w:szCs w:val="24"/>
        </w:rPr>
        <w:t>to be</w:t>
      </w:r>
      <w:r w:rsidR="00866D29" w:rsidRPr="00924858">
        <w:rPr>
          <w:rFonts w:ascii="Times New Roman" w:eastAsia="Times New Roman" w:hAnsi="Times New Roman" w:cs="Times New Roman"/>
          <w:noProof/>
          <w:sz w:val="24"/>
          <w:szCs w:val="24"/>
        </w:rPr>
        <w:t xml:space="preserve"> conserved, structurally supported, physically protected or restored.</w:t>
      </w:r>
    </w:p>
    <w:p w14:paraId="305BD6F4" w14:textId="2C5D85DA" w:rsidR="00360324" w:rsidRPr="00924858" w:rsidRDefault="00360324">
      <w:pPr>
        <w:spacing w:before="120" w:after="120" w:line="240" w:lineRule="auto"/>
        <w:ind w:left="850"/>
        <w:jc w:val="both"/>
        <w:rPr>
          <w:rFonts w:ascii="Times New Roman" w:eastAsia="Times New Roman" w:hAnsi="Times New Roman" w:cs="Times New Roman"/>
          <w:noProof/>
          <w:sz w:val="24"/>
          <w:szCs w:val="24"/>
        </w:rPr>
      </w:pPr>
      <w:r w:rsidRPr="00924858">
        <w:rPr>
          <w:rFonts w:ascii="Times New Roman" w:eastAsia="Times New Roman" w:hAnsi="Times New Roman" w:cs="Times New Roman"/>
          <w:noProof/>
          <w:sz w:val="24"/>
          <w:szCs w:val="24"/>
        </w:rPr>
        <w:t>In December 2022, a new EUR</w:t>
      </w:r>
      <w:r w:rsidR="00924858">
        <w:rPr>
          <w:rFonts w:ascii="Times New Roman" w:eastAsia="Times New Roman" w:hAnsi="Times New Roman" w:cs="Times New Roman"/>
          <w:noProof/>
          <w:sz w:val="24"/>
          <w:szCs w:val="24"/>
        </w:rPr>
        <w:t> </w:t>
      </w:r>
      <w:r w:rsidRPr="00924858">
        <w:rPr>
          <w:rFonts w:ascii="Times New Roman" w:eastAsia="Times New Roman" w:hAnsi="Times New Roman" w:cs="Times New Roman"/>
          <w:noProof/>
          <w:sz w:val="24"/>
          <w:szCs w:val="24"/>
        </w:rPr>
        <w:t>1 million contribution was signed to</w:t>
      </w:r>
      <w:r w:rsidRPr="00924858">
        <w:rPr>
          <w:rFonts w:ascii="Times New Roman" w:hAnsi="Times New Roman" w:cs="Times New Roman"/>
          <w:noProof/>
          <w:color w:val="000000"/>
          <w:sz w:val="24"/>
          <w:szCs w:val="24"/>
        </w:rPr>
        <w:t xml:space="preserve"> continue the EU-funded </w:t>
      </w:r>
      <w:r w:rsidR="00D66666">
        <w:rPr>
          <w:rFonts w:ascii="Times New Roman" w:hAnsi="Times New Roman" w:cs="Times New Roman"/>
          <w:noProof/>
          <w:color w:val="000000"/>
          <w:sz w:val="24"/>
          <w:szCs w:val="24"/>
        </w:rPr>
        <w:t>s</w:t>
      </w:r>
      <w:r w:rsidRPr="00924858">
        <w:rPr>
          <w:rFonts w:ascii="Times New Roman" w:hAnsi="Times New Roman" w:cs="Times New Roman"/>
          <w:noProof/>
          <w:color w:val="000000"/>
          <w:sz w:val="24"/>
          <w:szCs w:val="24"/>
        </w:rPr>
        <w:t xml:space="preserve">upport </w:t>
      </w:r>
      <w:r w:rsidR="00D66666">
        <w:rPr>
          <w:rFonts w:ascii="Times New Roman" w:hAnsi="Times New Roman" w:cs="Times New Roman"/>
          <w:noProof/>
          <w:color w:val="000000"/>
          <w:sz w:val="24"/>
          <w:szCs w:val="24"/>
        </w:rPr>
        <w:t>f</w:t>
      </w:r>
      <w:r w:rsidRPr="00924858">
        <w:rPr>
          <w:rFonts w:ascii="Times New Roman" w:hAnsi="Times New Roman" w:cs="Times New Roman"/>
          <w:noProof/>
          <w:color w:val="000000"/>
          <w:sz w:val="24"/>
          <w:szCs w:val="24"/>
        </w:rPr>
        <w:t xml:space="preserve">acility to the Technical Committees. This support is implemented by the UNDP. Since 2019, the </w:t>
      </w:r>
      <w:r w:rsidR="00D66666">
        <w:rPr>
          <w:rFonts w:ascii="Times New Roman" w:hAnsi="Times New Roman" w:cs="Times New Roman"/>
          <w:noProof/>
          <w:color w:val="000000"/>
          <w:sz w:val="24"/>
          <w:szCs w:val="24"/>
        </w:rPr>
        <w:t>s</w:t>
      </w:r>
      <w:r w:rsidRPr="00924858">
        <w:rPr>
          <w:rFonts w:ascii="Times New Roman" w:hAnsi="Times New Roman" w:cs="Times New Roman"/>
          <w:noProof/>
          <w:color w:val="000000"/>
          <w:sz w:val="24"/>
          <w:szCs w:val="24"/>
        </w:rPr>
        <w:t xml:space="preserve">upport </w:t>
      </w:r>
      <w:r w:rsidR="00D66666">
        <w:rPr>
          <w:rFonts w:ascii="Times New Roman" w:hAnsi="Times New Roman" w:cs="Times New Roman"/>
          <w:noProof/>
          <w:color w:val="000000"/>
          <w:sz w:val="24"/>
          <w:szCs w:val="24"/>
        </w:rPr>
        <w:t>f</w:t>
      </w:r>
      <w:r w:rsidRPr="00924858">
        <w:rPr>
          <w:rFonts w:ascii="Times New Roman" w:hAnsi="Times New Roman" w:cs="Times New Roman"/>
          <w:noProof/>
          <w:color w:val="000000"/>
          <w:sz w:val="24"/>
          <w:szCs w:val="24"/>
        </w:rPr>
        <w:t>acility has funded more than 10 projects of the Technical Committees, from feasibility and research studies to workshops and exhibitions.</w:t>
      </w:r>
    </w:p>
    <w:p w14:paraId="53B12EE1" w14:textId="5402F655" w:rsidR="006C615B" w:rsidRPr="00924858" w:rsidRDefault="00866D29">
      <w:pPr>
        <w:spacing w:before="120" w:after="120" w:line="240" w:lineRule="auto"/>
        <w:ind w:left="850"/>
        <w:jc w:val="both"/>
        <w:rPr>
          <w:rFonts w:ascii="Times New Roman" w:eastAsia="Times New Roman" w:hAnsi="Times New Roman" w:cs="Times New Roman"/>
          <w:noProof/>
          <w:sz w:val="24"/>
          <w:szCs w:val="24"/>
        </w:rPr>
      </w:pPr>
      <w:r w:rsidRPr="00924858">
        <w:rPr>
          <w:rFonts w:ascii="Times New Roman" w:eastAsia="Times New Roman,Calibri" w:hAnsi="Times New Roman" w:cs="Times New Roman"/>
          <w:noProof/>
          <w:sz w:val="24"/>
          <w:szCs w:val="24"/>
          <w:lang w:eastAsia="en-GB"/>
        </w:rPr>
        <w:t>After the successful implementation of a pilot bi-communal scholarship scheme by United World Colleges,</w:t>
      </w:r>
      <w:r w:rsidR="00706411" w:rsidRPr="00924858">
        <w:rPr>
          <w:rFonts w:ascii="Times New Roman" w:eastAsia="Times New Roman,Calibri" w:hAnsi="Times New Roman" w:cs="Times New Roman"/>
          <w:noProof/>
          <w:sz w:val="24"/>
          <w:szCs w:val="24"/>
          <w:lang w:eastAsia="en-GB"/>
        </w:rPr>
        <w:t xml:space="preserve"> and c</w:t>
      </w:r>
      <w:r w:rsidR="00706411" w:rsidRPr="00924858">
        <w:rPr>
          <w:rFonts w:ascii="Times New Roman" w:hAnsi="Times New Roman" w:cs="Times New Roman"/>
          <w:noProof/>
          <w:sz w:val="24"/>
          <w:szCs w:val="24"/>
        </w:rPr>
        <w:t xml:space="preserve">ontinuing the good experience from previous years, 12 students </w:t>
      </w:r>
      <w:r w:rsidR="00B2147F" w:rsidRPr="00924858">
        <w:rPr>
          <w:rFonts w:ascii="Times New Roman" w:hAnsi="Times New Roman" w:cs="Times New Roman"/>
          <w:noProof/>
          <w:sz w:val="24"/>
          <w:szCs w:val="24"/>
        </w:rPr>
        <w:t xml:space="preserve">from both communities </w:t>
      </w:r>
      <w:r w:rsidR="00706411" w:rsidRPr="00924858">
        <w:rPr>
          <w:rFonts w:ascii="Times New Roman" w:hAnsi="Times New Roman" w:cs="Times New Roman"/>
          <w:noProof/>
          <w:sz w:val="24"/>
          <w:szCs w:val="24"/>
        </w:rPr>
        <w:t>were selected in 2022 to undertake the International Baccalaureate Diploma programme in different countries.</w:t>
      </w:r>
      <w:r w:rsidR="00FC7EF4" w:rsidRPr="00924858">
        <w:rPr>
          <w:rFonts w:ascii="Times New Roman" w:eastAsia="Times New Roman,Calibri" w:hAnsi="Times New Roman" w:cs="Times New Roman"/>
          <w:noProof/>
          <w:sz w:val="24"/>
          <w:szCs w:val="24"/>
          <w:lang w:eastAsia="en-GB"/>
        </w:rPr>
        <w:t xml:space="preserve"> </w:t>
      </w:r>
      <w:r w:rsidRPr="00924858">
        <w:rPr>
          <w:rFonts w:ascii="Times New Roman" w:eastAsia="Times New Roman,Calibri" w:hAnsi="Times New Roman" w:cs="Times New Roman"/>
          <w:noProof/>
          <w:sz w:val="24"/>
          <w:szCs w:val="24"/>
          <w:lang w:eastAsia="en-GB"/>
        </w:rPr>
        <w:t xml:space="preserve">The actions implemented by </w:t>
      </w:r>
      <w:r w:rsidR="00D66666" w:rsidRPr="00D66666">
        <w:rPr>
          <w:rFonts w:ascii="Times New Roman" w:eastAsia="Times New Roman,Calibri" w:hAnsi="Times New Roman" w:cs="Times New Roman"/>
          <w:noProof/>
          <w:sz w:val="24"/>
          <w:szCs w:val="24"/>
          <w:lang w:eastAsia="en-GB"/>
        </w:rPr>
        <w:t xml:space="preserve">United World Colleges </w:t>
      </w:r>
      <w:r w:rsidRPr="00924858">
        <w:rPr>
          <w:rFonts w:ascii="Times New Roman" w:eastAsia="Times New Roman,Calibri" w:hAnsi="Times New Roman" w:cs="Times New Roman"/>
          <w:noProof/>
          <w:sz w:val="24"/>
          <w:szCs w:val="24"/>
          <w:lang w:eastAsia="en-GB"/>
        </w:rPr>
        <w:t xml:space="preserve">also include cross-community youth engagement activities and short courses </w:t>
      </w:r>
      <w:r w:rsidR="00292717" w:rsidRPr="00924858">
        <w:rPr>
          <w:rFonts w:ascii="Times New Roman" w:eastAsia="Times New Roman,Calibri" w:hAnsi="Times New Roman" w:cs="Times New Roman"/>
          <w:noProof/>
          <w:sz w:val="24"/>
          <w:szCs w:val="24"/>
          <w:lang w:eastAsia="en-GB"/>
        </w:rPr>
        <w:t xml:space="preserve">aimed </w:t>
      </w:r>
      <w:r w:rsidRPr="00924858">
        <w:rPr>
          <w:rFonts w:ascii="Times New Roman" w:eastAsia="Times New Roman,Calibri" w:hAnsi="Times New Roman" w:cs="Times New Roman"/>
          <w:noProof/>
          <w:sz w:val="24"/>
          <w:szCs w:val="24"/>
          <w:lang w:eastAsia="en-GB"/>
        </w:rPr>
        <w:t xml:space="preserve">at empowering the youth </w:t>
      </w:r>
      <w:r w:rsidR="00292717" w:rsidRPr="00924858">
        <w:rPr>
          <w:rFonts w:ascii="Times New Roman" w:eastAsia="Times New Roman,Calibri" w:hAnsi="Times New Roman" w:cs="Times New Roman"/>
          <w:noProof/>
          <w:sz w:val="24"/>
          <w:szCs w:val="24"/>
          <w:lang w:eastAsia="en-GB"/>
        </w:rPr>
        <w:t>to bring about</w:t>
      </w:r>
      <w:r w:rsidRPr="00924858">
        <w:rPr>
          <w:rFonts w:ascii="Times New Roman" w:eastAsia="Times New Roman,Calibri" w:hAnsi="Times New Roman" w:cs="Times New Roman"/>
          <w:noProof/>
          <w:sz w:val="24"/>
          <w:szCs w:val="24"/>
          <w:lang w:eastAsia="en-GB"/>
        </w:rPr>
        <w:t xml:space="preserve"> positive change in their societies.</w:t>
      </w:r>
    </w:p>
    <w:p w14:paraId="3E670AC1" w14:textId="574CC8E9" w:rsidR="006C615B" w:rsidRPr="00924858" w:rsidRDefault="00B2147F">
      <w:pPr>
        <w:spacing w:before="120" w:after="120" w:line="240" w:lineRule="auto"/>
        <w:ind w:left="850"/>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Support for civil society continued in 2022. </w:t>
      </w:r>
      <w:r w:rsidR="00B438BD">
        <w:rPr>
          <w:rFonts w:ascii="Times New Roman,Calibri" w:eastAsia="Times New Roman,Calibri" w:hAnsi="Times New Roman,Calibri" w:cs="Times New Roman,Calibri"/>
          <w:noProof/>
          <w:sz w:val="24"/>
          <w:szCs w:val="24"/>
          <w:lang w:eastAsia="en-GB"/>
        </w:rPr>
        <w:t xml:space="preserve">The project </w:t>
      </w:r>
      <w:r w:rsidRPr="00924858">
        <w:rPr>
          <w:rFonts w:ascii="Times New Roman,Calibri" w:eastAsia="Times New Roman,Calibri" w:hAnsi="Times New Roman,Calibri" w:cs="Times New Roman,Calibri"/>
          <w:noProof/>
          <w:sz w:val="24"/>
          <w:szCs w:val="24"/>
          <w:lang w:eastAsia="en-GB"/>
        </w:rPr>
        <w:t xml:space="preserve">Civic Space, providing technical assistance for </w:t>
      </w:r>
      <w:bookmarkStart w:id="3" w:name="_Hlk133395118"/>
      <w:r w:rsidRPr="00924858">
        <w:rPr>
          <w:rFonts w:ascii="Times New Roman,Calibri" w:eastAsia="Times New Roman,Calibri" w:hAnsi="Times New Roman,Calibri" w:cs="Times New Roman,Calibri"/>
          <w:noProof/>
          <w:sz w:val="24"/>
          <w:szCs w:val="24"/>
          <w:lang w:eastAsia="en-GB"/>
        </w:rPr>
        <w:t>civil society organisations</w:t>
      </w:r>
      <w:bookmarkEnd w:id="3"/>
      <w:r w:rsidRPr="00924858">
        <w:rPr>
          <w:rFonts w:ascii="Times New Roman,Calibri" w:eastAsia="Times New Roman,Calibri" w:hAnsi="Times New Roman,Calibri" w:cs="Times New Roman,Calibri"/>
          <w:noProof/>
          <w:sz w:val="24"/>
          <w:szCs w:val="24"/>
          <w:lang w:eastAsia="en-GB"/>
        </w:rPr>
        <w:t xml:space="preserve">, continued to help </w:t>
      </w:r>
      <w:r w:rsidR="00B35EE0">
        <w:rPr>
          <w:rFonts w:ascii="Times New Roman,Calibri" w:eastAsia="Times New Roman,Calibri" w:hAnsi="Times New Roman,Calibri" w:cs="Times New Roman,Calibri"/>
          <w:noProof/>
          <w:sz w:val="24"/>
          <w:szCs w:val="24"/>
          <w:lang w:eastAsia="en-GB"/>
        </w:rPr>
        <w:t xml:space="preserve">them </w:t>
      </w:r>
      <w:r w:rsidRPr="00924858">
        <w:rPr>
          <w:rFonts w:ascii="Times New Roman,Calibri" w:eastAsia="Times New Roman,Calibri" w:hAnsi="Times New Roman,Calibri" w:cs="Times New Roman,Calibri"/>
          <w:noProof/>
          <w:sz w:val="24"/>
          <w:szCs w:val="24"/>
          <w:lang w:eastAsia="en-GB"/>
        </w:rPr>
        <w:t xml:space="preserve">build </w:t>
      </w:r>
      <w:r w:rsidR="00481251">
        <w:rPr>
          <w:rFonts w:ascii="Times New Roman,Calibri" w:eastAsia="Times New Roman,Calibri" w:hAnsi="Times New Roman,Calibri" w:cs="Times New Roman,Calibri"/>
          <w:noProof/>
          <w:sz w:val="24"/>
          <w:szCs w:val="24"/>
          <w:lang w:eastAsia="en-GB"/>
        </w:rPr>
        <w:t>their</w:t>
      </w:r>
      <w:r w:rsidR="00481251" w:rsidRPr="00924858">
        <w:rPr>
          <w:rFonts w:ascii="Times New Roman,Calibri" w:eastAsia="Times New Roman,Calibri" w:hAnsi="Times New Roman,Calibri" w:cs="Times New Roman,Calibri"/>
          <w:noProof/>
          <w:sz w:val="24"/>
          <w:szCs w:val="24"/>
          <w:lang w:eastAsia="en-GB"/>
        </w:rPr>
        <w:t xml:space="preserve"> </w:t>
      </w:r>
      <w:r w:rsidRPr="00924858">
        <w:rPr>
          <w:rFonts w:ascii="Times New Roman,Calibri" w:eastAsia="Times New Roman,Calibri" w:hAnsi="Times New Roman,Calibri" w:cs="Times New Roman,Calibri"/>
          <w:noProof/>
          <w:sz w:val="24"/>
          <w:szCs w:val="24"/>
          <w:lang w:eastAsia="en-GB"/>
        </w:rPr>
        <w:t>capacities, promote an enabling environment for the development of civil society</w:t>
      </w:r>
      <w:r w:rsidR="00AB3340" w:rsidRPr="00924858">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 xml:space="preserve"> and stimulate networking and joint actions with Greek Cypriot and other EU </w:t>
      </w:r>
      <w:r w:rsidR="00481251" w:rsidRPr="00481251">
        <w:rPr>
          <w:rFonts w:ascii="Times New Roman,Calibri" w:eastAsia="Times New Roman,Calibri" w:hAnsi="Times New Roman,Calibri" w:cs="Times New Roman,Calibri"/>
          <w:noProof/>
          <w:sz w:val="24"/>
          <w:szCs w:val="24"/>
          <w:lang w:eastAsia="en-GB"/>
        </w:rPr>
        <w:t>civil society organisations</w:t>
      </w:r>
      <w:r w:rsidRPr="00924858">
        <w:rPr>
          <w:rFonts w:ascii="Times New Roman,Calibri" w:eastAsia="Times New Roman,Calibri" w:hAnsi="Times New Roman,Calibri" w:cs="Times New Roman,Calibri"/>
          <w:noProof/>
          <w:sz w:val="24"/>
          <w:szCs w:val="24"/>
          <w:lang w:eastAsia="en-GB"/>
        </w:rPr>
        <w:t>.</w:t>
      </w:r>
      <w:r w:rsidR="00F42B39" w:rsidRPr="00924858">
        <w:rPr>
          <w:rFonts w:ascii="Times New Roman,Calibri" w:eastAsia="Times New Roman,Calibri" w:hAnsi="Times New Roman,Calibri" w:cs="Times New Roman,Calibri"/>
          <w:noProof/>
          <w:sz w:val="24"/>
          <w:szCs w:val="24"/>
          <w:lang w:eastAsia="en-GB"/>
        </w:rPr>
        <w:t xml:space="preserve"> </w:t>
      </w:r>
      <w:r w:rsidR="00575130" w:rsidRPr="00924858">
        <w:rPr>
          <w:rFonts w:ascii="Times New Roman,Calibri" w:eastAsia="Times New Roman,Calibri" w:hAnsi="Times New Roman,Calibri" w:cs="Times New Roman,Calibri"/>
          <w:noProof/>
          <w:sz w:val="24"/>
          <w:szCs w:val="24"/>
          <w:lang w:eastAsia="en-GB"/>
        </w:rPr>
        <w:t xml:space="preserve">Given the positive feedback of its work, the Civic Space has been extended </w:t>
      </w:r>
      <w:r w:rsidR="00A877D2" w:rsidRPr="00924858">
        <w:rPr>
          <w:rFonts w:ascii="Times New Roman,Calibri" w:eastAsia="Times New Roman,Calibri" w:hAnsi="Times New Roman,Calibri" w:cs="Times New Roman,Calibri"/>
          <w:noProof/>
          <w:sz w:val="24"/>
          <w:szCs w:val="24"/>
          <w:lang w:eastAsia="en-GB"/>
        </w:rPr>
        <w:t>for</w:t>
      </w:r>
      <w:r w:rsidR="00575130" w:rsidRPr="00924858">
        <w:rPr>
          <w:rFonts w:ascii="Times New Roman,Calibri" w:eastAsia="Times New Roman,Calibri" w:hAnsi="Times New Roman,Calibri" w:cs="Times New Roman,Calibri"/>
          <w:noProof/>
          <w:sz w:val="24"/>
          <w:szCs w:val="24"/>
          <w:lang w:eastAsia="en-GB"/>
        </w:rPr>
        <w:t xml:space="preserve"> another </w:t>
      </w:r>
      <w:r w:rsidR="00481251">
        <w:rPr>
          <w:rFonts w:ascii="Times New Roman,Calibri" w:eastAsia="Times New Roman,Calibri" w:hAnsi="Times New Roman,Calibri" w:cs="Times New Roman,Calibri"/>
          <w:noProof/>
          <w:sz w:val="24"/>
          <w:szCs w:val="24"/>
          <w:lang w:eastAsia="en-GB"/>
        </w:rPr>
        <w:t>2 </w:t>
      </w:r>
      <w:r w:rsidR="00575130" w:rsidRPr="00924858">
        <w:rPr>
          <w:rFonts w:ascii="Times New Roman,Calibri" w:eastAsia="Times New Roman,Calibri" w:hAnsi="Times New Roman,Calibri" w:cs="Times New Roman,Calibri"/>
          <w:noProof/>
          <w:sz w:val="24"/>
          <w:szCs w:val="24"/>
          <w:lang w:eastAsia="en-GB"/>
        </w:rPr>
        <w:t>years.</w:t>
      </w:r>
    </w:p>
    <w:p w14:paraId="557B7117" w14:textId="2779D438" w:rsidR="00575130" w:rsidRPr="00924858" w:rsidRDefault="00575130" w:rsidP="00D753D8">
      <w:pPr>
        <w:spacing w:before="120" w:after="120" w:line="240" w:lineRule="auto"/>
        <w:ind w:left="850"/>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The new call for proposals </w:t>
      </w:r>
      <w:r w:rsidR="00B438BD">
        <w:rPr>
          <w:rFonts w:ascii="Times New Roman,Calibri" w:eastAsia="Times New Roman,Calibri" w:hAnsi="Times New Roman,Calibri" w:cs="Times New Roman,Calibri"/>
          <w:noProof/>
          <w:sz w:val="24"/>
          <w:szCs w:val="24"/>
          <w:lang w:eastAsia="en-GB"/>
        </w:rPr>
        <w:t>Cypriot Civil Society in A</w:t>
      </w:r>
      <w:r w:rsidR="00B438BD" w:rsidRPr="00924858">
        <w:rPr>
          <w:rFonts w:ascii="Times New Roman,Calibri" w:eastAsia="Times New Roman,Calibri" w:hAnsi="Times New Roman,Calibri" w:cs="Times New Roman,Calibri"/>
          <w:noProof/>
          <w:sz w:val="24"/>
          <w:szCs w:val="24"/>
          <w:lang w:eastAsia="en-GB"/>
        </w:rPr>
        <w:t xml:space="preserve">ction VIII </w:t>
      </w:r>
      <w:r w:rsidRPr="00924858">
        <w:rPr>
          <w:rFonts w:ascii="Times New Roman,Calibri" w:eastAsia="Times New Roman,Calibri" w:hAnsi="Times New Roman,Calibri" w:cs="Times New Roman,Calibri"/>
          <w:noProof/>
          <w:sz w:val="24"/>
          <w:szCs w:val="24"/>
          <w:lang w:eastAsia="en-GB"/>
        </w:rPr>
        <w:t xml:space="preserve">was successfully launched </w:t>
      </w:r>
      <w:r w:rsidR="00B2147F" w:rsidRPr="00924858">
        <w:rPr>
          <w:rFonts w:ascii="Times New Roman,Calibri" w:eastAsia="Times New Roman,Calibri" w:hAnsi="Times New Roman,Calibri" w:cs="Times New Roman,Calibri"/>
          <w:noProof/>
          <w:sz w:val="24"/>
          <w:szCs w:val="24"/>
          <w:lang w:eastAsia="en-GB"/>
        </w:rPr>
        <w:t>in</w:t>
      </w:r>
      <w:r w:rsidRPr="00924858">
        <w:rPr>
          <w:rFonts w:ascii="Times New Roman,Calibri" w:eastAsia="Times New Roman,Calibri" w:hAnsi="Times New Roman,Calibri" w:cs="Times New Roman,Calibri"/>
          <w:noProof/>
          <w:sz w:val="24"/>
          <w:szCs w:val="24"/>
          <w:lang w:eastAsia="en-GB"/>
        </w:rPr>
        <w:t xml:space="preserve"> March 2022 for a total financial allocation of EUR</w:t>
      </w:r>
      <w:r w:rsidR="00924858">
        <w:rPr>
          <w:rFonts w:ascii="Times New Roman,Calibri" w:eastAsia="Times New Roman,Calibri" w:hAnsi="Times New Roman,Calibri" w:cs="Times New Roman,Calibri"/>
          <w:noProof/>
          <w:sz w:val="24"/>
          <w:szCs w:val="24"/>
          <w:lang w:eastAsia="en-GB"/>
        </w:rPr>
        <w:t> </w:t>
      </w:r>
      <w:r w:rsidRPr="00924858">
        <w:rPr>
          <w:rFonts w:ascii="Times New Roman,Calibri" w:eastAsia="Times New Roman,Calibri" w:hAnsi="Times New Roman,Calibri" w:cs="Times New Roman,Calibri"/>
          <w:noProof/>
          <w:sz w:val="24"/>
          <w:szCs w:val="24"/>
          <w:lang w:eastAsia="en-GB"/>
        </w:rPr>
        <w:t>2.5 million. The call focused on supporting actions in three areas: bi-communal research actions</w:t>
      </w:r>
      <w:r w:rsidR="00481251">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 xml:space="preserve"> bi-communal confidence</w:t>
      </w:r>
      <w:r w:rsidR="00B35EE0">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building actions</w:t>
      </w:r>
      <w:r w:rsidR="00481251">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 xml:space="preserve"> and strengthening civil society in the </w:t>
      </w:r>
      <w:r w:rsidR="00CC536D" w:rsidRPr="00924858">
        <w:rPr>
          <w:rFonts w:ascii="Times New Roman,Calibri" w:eastAsia="Times New Roman,Calibri" w:hAnsi="Times New Roman,Calibri" w:cs="Times New Roman,Calibri"/>
          <w:noProof/>
          <w:sz w:val="24"/>
          <w:szCs w:val="24"/>
          <w:lang w:eastAsia="en-GB"/>
        </w:rPr>
        <w:t>Turkish Cypriot community</w:t>
      </w:r>
      <w:r w:rsidRPr="00924858">
        <w:rPr>
          <w:rFonts w:ascii="Times New Roman,Calibri" w:eastAsia="Times New Roman,Calibri" w:hAnsi="Times New Roman,Calibri" w:cs="Times New Roman,Calibri"/>
          <w:noProof/>
          <w:sz w:val="24"/>
          <w:szCs w:val="24"/>
          <w:lang w:eastAsia="en-GB"/>
        </w:rPr>
        <w:t>.</w:t>
      </w:r>
      <w:r w:rsidR="00924858" w:rsidRPr="00924858">
        <w:rPr>
          <w:rFonts w:ascii="Times New Roman,Calibri" w:eastAsia="Times New Roman,Calibri" w:hAnsi="Times New Roman,Calibri" w:cs="Times New Roman,Calibri"/>
          <w:noProof/>
          <w:sz w:val="24"/>
          <w:szCs w:val="24"/>
          <w:lang w:eastAsia="en-GB"/>
        </w:rPr>
        <w:t xml:space="preserve"> </w:t>
      </w:r>
      <w:r w:rsidRPr="00924858">
        <w:rPr>
          <w:rFonts w:ascii="Times New Roman,Calibri" w:eastAsia="Times New Roman,Calibri" w:hAnsi="Times New Roman,Calibri" w:cs="Times New Roman,Calibri"/>
          <w:noProof/>
          <w:sz w:val="24"/>
          <w:szCs w:val="24"/>
          <w:lang w:eastAsia="en-GB"/>
        </w:rPr>
        <w:t>The award process was under</w:t>
      </w:r>
      <w:r w:rsidR="00481251">
        <w:rPr>
          <w:rFonts w:ascii="Times New Roman,Calibri" w:eastAsia="Times New Roman,Calibri" w:hAnsi="Times New Roman,Calibri" w:cs="Times New Roman,Calibri"/>
          <w:noProof/>
          <w:sz w:val="24"/>
          <w:szCs w:val="24"/>
          <w:lang w:eastAsia="en-GB"/>
        </w:rPr>
        <w:t xml:space="preserve"> </w:t>
      </w:r>
      <w:r w:rsidRPr="00924858">
        <w:rPr>
          <w:rFonts w:ascii="Times New Roman,Calibri" w:eastAsia="Times New Roman,Calibri" w:hAnsi="Times New Roman,Calibri" w:cs="Times New Roman,Calibri"/>
          <w:noProof/>
          <w:sz w:val="24"/>
          <w:szCs w:val="24"/>
          <w:lang w:eastAsia="en-GB"/>
        </w:rPr>
        <w:t xml:space="preserve">way at the end of 2022. The 12 projects awarded under the previous </w:t>
      </w:r>
      <w:r w:rsidR="00B2147F" w:rsidRPr="00924858">
        <w:rPr>
          <w:rFonts w:ascii="Times New Roman,Calibri" w:eastAsia="Times New Roman,Calibri" w:hAnsi="Times New Roman,Calibri" w:cs="Times New Roman,Calibri"/>
          <w:noProof/>
          <w:sz w:val="24"/>
          <w:szCs w:val="24"/>
          <w:lang w:eastAsia="en-GB"/>
        </w:rPr>
        <w:t>edition</w:t>
      </w:r>
      <w:r w:rsidRPr="00924858">
        <w:rPr>
          <w:rFonts w:ascii="Times New Roman,Calibri" w:eastAsia="Times New Roman,Calibri" w:hAnsi="Times New Roman,Calibri" w:cs="Times New Roman,Calibri"/>
          <w:noProof/>
          <w:sz w:val="24"/>
          <w:szCs w:val="24"/>
          <w:lang w:eastAsia="en-GB"/>
        </w:rPr>
        <w:t xml:space="preserve"> </w:t>
      </w:r>
      <w:r w:rsidR="00B2147F" w:rsidRPr="00924858">
        <w:rPr>
          <w:rFonts w:ascii="Times New Roman,Calibri" w:eastAsia="Times New Roman,Calibri" w:hAnsi="Times New Roman,Calibri" w:cs="Times New Roman,Calibri"/>
          <w:noProof/>
          <w:sz w:val="24"/>
          <w:szCs w:val="24"/>
          <w:lang w:eastAsia="en-GB"/>
        </w:rPr>
        <w:t xml:space="preserve">of the call </w:t>
      </w:r>
      <w:r w:rsidRPr="00924858">
        <w:rPr>
          <w:rFonts w:ascii="Times New Roman,Calibri" w:eastAsia="Times New Roman,Calibri" w:hAnsi="Times New Roman,Calibri" w:cs="Times New Roman,Calibri"/>
          <w:noProof/>
          <w:sz w:val="24"/>
          <w:szCs w:val="24"/>
          <w:lang w:eastAsia="en-GB"/>
        </w:rPr>
        <w:t>entered their full implementation</w:t>
      </w:r>
      <w:r w:rsidR="00481251">
        <w:rPr>
          <w:rFonts w:ascii="Times New Roman,Calibri" w:eastAsia="Times New Roman,Calibri" w:hAnsi="Times New Roman,Calibri" w:cs="Times New Roman,Calibri"/>
          <w:noProof/>
          <w:sz w:val="24"/>
          <w:szCs w:val="24"/>
          <w:lang w:eastAsia="en-GB"/>
        </w:rPr>
        <w:t xml:space="preserve"> phase</w:t>
      </w:r>
      <w:r w:rsidRPr="00924858">
        <w:rPr>
          <w:rFonts w:ascii="Times New Roman,Calibri" w:eastAsia="Times New Roman,Calibri" w:hAnsi="Times New Roman,Calibri" w:cs="Times New Roman,Calibri"/>
          <w:noProof/>
          <w:sz w:val="24"/>
          <w:szCs w:val="24"/>
          <w:lang w:eastAsia="en-GB"/>
        </w:rPr>
        <w:t xml:space="preserve">, </w:t>
      </w:r>
      <w:r w:rsidR="005163BD">
        <w:rPr>
          <w:rFonts w:ascii="Times New Roman,Calibri" w:eastAsia="Times New Roman,Calibri" w:hAnsi="Times New Roman,Calibri" w:cs="Times New Roman,Calibri"/>
          <w:noProof/>
          <w:sz w:val="24"/>
          <w:szCs w:val="24"/>
          <w:lang w:eastAsia="en-GB"/>
        </w:rPr>
        <w:t>enabling</w:t>
      </w:r>
      <w:r w:rsidR="005163BD" w:rsidRPr="00924858">
        <w:rPr>
          <w:rFonts w:ascii="Times New Roman,Calibri" w:eastAsia="Times New Roman,Calibri" w:hAnsi="Times New Roman,Calibri" w:cs="Times New Roman,Calibri"/>
          <w:noProof/>
          <w:sz w:val="24"/>
          <w:szCs w:val="24"/>
          <w:lang w:eastAsia="en-GB"/>
        </w:rPr>
        <w:t xml:space="preserve"> </w:t>
      </w:r>
      <w:r w:rsidRPr="00924858">
        <w:rPr>
          <w:rFonts w:ascii="Times New Roman,Calibri" w:eastAsia="Times New Roman,Calibri" w:hAnsi="Times New Roman,Calibri" w:cs="Times New Roman,Calibri"/>
          <w:noProof/>
          <w:sz w:val="24"/>
          <w:szCs w:val="24"/>
          <w:lang w:eastAsia="en-GB"/>
        </w:rPr>
        <w:t>civil society to undertake key advocacy activities and stimulate civic activity.</w:t>
      </w:r>
    </w:p>
    <w:p w14:paraId="4F745C3F" w14:textId="07CF22DE" w:rsidR="00575130" w:rsidRPr="00924858" w:rsidRDefault="00575130" w:rsidP="000402B4">
      <w:pPr>
        <w:spacing w:before="120" w:after="120" w:line="240" w:lineRule="auto"/>
        <w:ind w:left="850"/>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The Human Rights Platform association continued to successfully implement its EU-funded direct grant. The main activities </w:t>
      </w:r>
      <w:r w:rsidR="00B2147F" w:rsidRPr="00924858">
        <w:rPr>
          <w:rFonts w:ascii="Times New Roman,Calibri" w:eastAsia="Times New Roman,Calibri" w:hAnsi="Times New Roman,Calibri" w:cs="Times New Roman,Calibri"/>
          <w:noProof/>
          <w:sz w:val="24"/>
          <w:szCs w:val="24"/>
          <w:lang w:eastAsia="en-GB"/>
        </w:rPr>
        <w:t>focused on</w:t>
      </w:r>
      <w:r w:rsidRPr="00924858">
        <w:rPr>
          <w:rFonts w:ascii="Times New Roman,Calibri" w:eastAsia="Times New Roman,Calibri" w:hAnsi="Times New Roman,Calibri" w:cs="Times New Roman,Calibri"/>
          <w:noProof/>
          <w:sz w:val="24"/>
          <w:szCs w:val="24"/>
          <w:lang w:eastAsia="en-GB"/>
        </w:rPr>
        <w:t xml:space="preserve"> anti-trafficking, refugees’ rights, LGBTI</w:t>
      </w:r>
      <w:r w:rsidR="0034735A">
        <w:rPr>
          <w:rFonts w:ascii="Times New Roman,Calibri" w:eastAsia="Times New Roman,Calibri" w:hAnsi="Times New Roman,Calibri" w:cs="Times New Roman,Calibri"/>
          <w:noProof/>
          <w:sz w:val="24"/>
          <w:szCs w:val="24"/>
          <w:lang w:eastAsia="en-GB"/>
        </w:rPr>
        <w:t>Q</w:t>
      </w:r>
      <w:r w:rsidRPr="00924858">
        <w:rPr>
          <w:rFonts w:ascii="Times New Roman,Calibri" w:eastAsia="Times New Roman,Calibri" w:hAnsi="Times New Roman,Calibri" w:cs="Times New Roman,Calibri"/>
          <w:noProof/>
          <w:sz w:val="24"/>
          <w:szCs w:val="24"/>
          <w:lang w:eastAsia="en-GB"/>
        </w:rPr>
        <w:t xml:space="preserve">+ rights, relevant stakeholder participation, detention conditions and freedom from torture. The platform was involved in bringing the first human trafficking case before the </w:t>
      </w:r>
      <w:r w:rsidR="00CC536D">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courts</w:t>
      </w:r>
      <w:r w:rsidR="00CC536D">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 xml:space="preserve"> of the </w:t>
      </w:r>
      <w:r w:rsidR="00CC536D" w:rsidRPr="00924858">
        <w:rPr>
          <w:rFonts w:ascii="Times New Roman,Calibri" w:eastAsia="Times New Roman,Calibri" w:hAnsi="Times New Roman,Calibri" w:cs="Times New Roman,Calibri"/>
          <w:noProof/>
          <w:sz w:val="24"/>
          <w:szCs w:val="24"/>
          <w:lang w:eastAsia="en-GB"/>
        </w:rPr>
        <w:t>Turkish Cypriot community</w:t>
      </w:r>
      <w:r w:rsidRPr="00924858">
        <w:rPr>
          <w:rFonts w:ascii="Times New Roman,Calibri" w:eastAsia="Times New Roman,Calibri" w:hAnsi="Times New Roman,Calibri" w:cs="Times New Roman,Calibri"/>
          <w:noProof/>
          <w:sz w:val="24"/>
          <w:szCs w:val="24"/>
          <w:lang w:eastAsia="en-GB"/>
        </w:rPr>
        <w:t xml:space="preserve">, which ended in a conviction. It also provided support to victims of human rights violations and </w:t>
      </w:r>
      <w:r w:rsidR="005163BD">
        <w:rPr>
          <w:rFonts w:ascii="Times New Roman,Calibri" w:eastAsia="Times New Roman,Calibri" w:hAnsi="Times New Roman,Calibri" w:cs="Times New Roman,Calibri"/>
          <w:noProof/>
          <w:sz w:val="24"/>
          <w:szCs w:val="24"/>
          <w:lang w:eastAsia="en-GB"/>
        </w:rPr>
        <w:t>bolstered</w:t>
      </w:r>
      <w:r w:rsidR="00B35EE0" w:rsidRPr="00924858">
        <w:rPr>
          <w:rFonts w:ascii="Times New Roman,Calibri" w:eastAsia="Times New Roman,Calibri" w:hAnsi="Times New Roman,Calibri" w:cs="Times New Roman,Calibri"/>
          <w:noProof/>
          <w:sz w:val="24"/>
          <w:szCs w:val="24"/>
          <w:lang w:eastAsia="en-GB"/>
        </w:rPr>
        <w:t xml:space="preserve"> </w:t>
      </w:r>
      <w:r w:rsidRPr="00924858">
        <w:rPr>
          <w:rFonts w:ascii="Times New Roman,Calibri" w:eastAsia="Times New Roman,Calibri" w:hAnsi="Times New Roman,Calibri" w:cs="Times New Roman,Calibri"/>
          <w:noProof/>
          <w:sz w:val="24"/>
          <w:szCs w:val="24"/>
          <w:lang w:eastAsia="en-GB"/>
        </w:rPr>
        <w:t>the capacities of civil society on rights-based issues in general.</w:t>
      </w:r>
    </w:p>
    <w:p w14:paraId="1F2967EF" w14:textId="3884507B" w:rsidR="006C615B" w:rsidRPr="00924858" w:rsidRDefault="00F42B39">
      <w:pPr>
        <w:numPr>
          <w:ilvl w:val="2"/>
          <w:numId w:val="3"/>
        </w:numPr>
        <w:spacing w:before="120" w:after="120" w:line="240" w:lineRule="auto"/>
        <w:jc w:val="both"/>
        <w:outlineLvl w:val="2"/>
        <w:rPr>
          <w:rFonts w:ascii="Times New Roman" w:eastAsia="Times New Roman" w:hAnsi="Times New Roman" w:cs="Times New Roman"/>
          <w:i/>
          <w:iCs/>
          <w:noProof/>
          <w:sz w:val="24"/>
          <w:szCs w:val="24"/>
          <w:lang w:eastAsia="en-GB"/>
        </w:rPr>
      </w:pPr>
      <w:r w:rsidRPr="00924858">
        <w:rPr>
          <w:rFonts w:ascii="Times New Roman" w:eastAsia="Times New Roman" w:hAnsi="Times New Roman" w:cs="Times New Roman"/>
          <w:i/>
          <w:iCs/>
          <w:noProof/>
          <w:sz w:val="24"/>
          <w:szCs w:val="24"/>
          <w:lang w:eastAsia="en-GB"/>
        </w:rPr>
        <w:t xml:space="preserve">Objective 4: Bringing the </w:t>
      </w:r>
      <w:r w:rsidR="00CC536D" w:rsidRPr="00CC536D">
        <w:rPr>
          <w:rFonts w:ascii="Times New Roman,Calibri" w:eastAsia="Times New Roman,Calibri" w:hAnsi="Times New Roman,Calibri" w:cs="Times New Roman,Calibri"/>
          <w:i/>
          <w:noProof/>
          <w:sz w:val="24"/>
          <w:szCs w:val="24"/>
          <w:lang w:eastAsia="en-GB"/>
        </w:rPr>
        <w:t>Turkish Cypriot community</w:t>
      </w:r>
      <w:r w:rsidR="00CC536D" w:rsidRPr="00924858">
        <w:rPr>
          <w:rFonts w:ascii="Times New Roman,Calibri" w:eastAsia="Times New Roman,Calibri" w:hAnsi="Times New Roman,Calibri" w:cs="Times New Roman,Calibri"/>
          <w:noProof/>
          <w:sz w:val="24"/>
          <w:szCs w:val="24"/>
          <w:lang w:eastAsia="en-GB"/>
        </w:rPr>
        <w:t xml:space="preserve"> </w:t>
      </w:r>
      <w:r w:rsidRPr="00924858">
        <w:rPr>
          <w:rFonts w:ascii="Times New Roman" w:eastAsia="Times New Roman" w:hAnsi="Times New Roman" w:cs="Times New Roman"/>
          <w:i/>
          <w:iCs/>
          <w:noProof/>
          <w:sz w:val="24"/>
          <w:szCs w:val="24"/>
          <w:lang w:eastAsia="en-GB"/>
        </w:rPr>
        <w:t xml:space="preserve">closer to the </w:t>
      </w:r>
      <w:r w:rsidR="00CC536D">
        <w:rPr>
          <w:rFonts w:ascii="Times New Roman" w:eastAsia="Times New Roman" w:hAnsi="Times New Roman" w:cs="Times New Roman"/>
          <w:i/>
          <w:iCs/>
          <w:noProof/>
          <w:sz w:val="24"/>
          <w:szCs w:val="24"/>
          <w:lang w:eastAsia="en-GB"/>
        </w:rPr>
        <w:t>Union</w:t>
      </w:r>
    </w:p>
    <w:p w14:paraId="4E644931" w14:textId="7B914C60" w:rsidR="00706411" w:rsidRPr="00924858" w:rsidRDefault="00706411" w:rsidP="00036827">
      <w:pPr>
        <w:pStyle w:val="AARText"/>
        <w:spacing w:after="120"/>
        <w:ind w:left="851"/>
        <w:rPr>
          <w:rFonts w:ascii="Times New Roman" w:hAnsi="Times New Roman"/>
          <w:noProof/>
          <w:sz w:val="24"/>
        </w:rPr>
      </w:pPr>
      <w:r w:rsidRPr="00924858">
        <w:rPr>
          <w:rFonts w:ascii="Times New Roman" w:hAnsi="Times New Roman"/>
          <w:noProof/>
          <w:sz w:val="24"/>
        </w:rPr>
        <w:t>In</w:t>
      </w:r>
      <w:r w:rsidR="00924858" w:rsidRPr="00924858">
        <w:rPr>
          <w:rFonts w:ascii="Times New Roman" w:hAnsi="Times New Roman"/>
          <w:noProof/>
          <w:sz w:val="24"/>
        </w:rPr>
        <w:t xml:space="preserve"> </w:t>
      </w:r>
      <w:r w:rsidRPr="00924858">
        <w:rPr>
          <w:rFonts w:ascii="Times New Roman" w:hAnsi="Times New Roman"/>
          <w:noProof/>
          <w:sz w:val="24"/>
        </w:rPr>
        <w:t>2022, the Goethe-Institut replaced the British Council as the implementing partner for the EU Scholarship Programme. In April 2022</w:t>
      </w:r>
      <w:r w:rsidR="00C37893" w:rsidRPr="00924858">
        <w:rPr>
          <w:rFonts w:ascii="Times New Roman" w:hAnsi="Times New Roman"/>
          <w:noProof/>
          <w:sz w:val="24"/>
        </w:rPr>
        <w:t>,</w:t>
      </w:r>
      <w:r w:rsidRPr="00924858">
        <w:rPr>
          <w:rFonts w:ascii="Times New Roman" w:hAnsi="Times New Roman"/>
          <w:noProof/>
          <w:sz w:val="24"/>
        </w:rPr>
        <w:t xml:space="preserve"> a </w:t>
      </w:r>
      <w:r w:rsidR="00C37893" w:rsidRPr="00924858">
        <w:rPr>
          <w:rFonts w:ascii="Times New Roman" w:hAnsi="Times New Roman"/>
          <w:noProof/>
          <w:sz w:val="24"/>
        </w:rPr>
        <w:t>contribution</w:t>
      </w:r>
      <w:r w:rsidRPr="00924858">
        <w:rPr>
          <w:rFonts w:ascii="Times New Roman" w:hAnsi="Times New Roman"/>
          <w:noProof/>
          <w:sz w:val="24"/>
        </w:rPr>
        <w:t xml:space="preserve"> </w:t>
      </w:r>
      <w:r w:rsidR="00C37893" w:rsidRPr="00924858">
        <w:rPr>
          <w:rFonts w:ascii="Times New Roman" w:hAnsi="Times New Roman"/>
          <w:noProof/>
          <w:sz w:val="24"/>
        </w:rPr>
        <w:t>a</w:t>
      </w:r>
      <w:r w:rsidRPr="00924858">
        <w:rPr>
          <w:rFonts w:ascii="Times New Roman" w:hAnsi="Times New Roman"/>
          <w:noProof/>
          <w:sz w:val="24"/>
        </w:rPr>
        <w:t>greement was concluded with the Goethe-Inst</w:t>
      </w:r>
      <w:r w:rsidR="000402B4" w:rsidRPr="00924858">
        <w:rPr>
          <w:rFonts w:ascii="Times New Roman" w:hAnsi="Times New Roman"/>
          <w:noProof/>
          <w:sz w:val="24"/>
        </w:rPr>
        <w:t>it</w:t>
      </w:r>
      <w:r w:rsidRPr="00924858">
        <w:rPr>
          <w:rFonts w:ascii="Times New Roman" w:hAnsi="Times New Roman"/>
          <w:noProof/>
          <w:sz w:val="24"/>
        </w:rPr>
        <w:t xml:space="preserve">ut </w:t>
      </w:r>
      <w:r w:rsidR="00C37893" w:rsidRPr="00924858">
        <w:rPr>
          <w:rFonts w:ascii="Times New Roman" w:hAnsi="Times New Roman"/>
          <w:noProof/>
          <w:sz w:val="24"/>
        </w:rPr>
        <w:t>for</w:t>
      </w:r>
      <w:r w:rsidRPr="00924858">
        <w:rPr>
          <w:rFonts w:ascii="Times New Roman" w:hAnsi="Times New Roman"/>
          <w:noProof/>
          <w:sz w:val="24"/>
        </w:rPr>
        <w:t xml:space="preserve"> </w:t>
      </w:r>
      <w:r w:rsidR="009A73EA">
        <w:rPr>
          <w:rFonts w:ascii="Times New Roman" w:hAnsi="Times New Roman"/>
          <w:noProof/>
          <w:sz w:val="24"/>
        </w:rPr>
        <w:t>an</w:t>
      </w:r>
      <w:r w:rsidR="009A73EA" w:rsidRPr="00924858">
        <w:rPr>
          <w:rFonts w:ascii="Times New Roman" w:hAnsi="Times New Roman"/>
          <w:noProof/>
          <w:sz w:val="24"/>
        </w:rPr>
        <w:t xml:space="preserve"> </w:t>
      </w:r>
      <w:r w:rsidRPr="00924858">
        <w:rPr>
          <w:rFonts w:ascii="Times New Roman" w:hAnsi="Times New Roman"/>
          <w:noProof/>
          <w:sz w:val="24"/>
        </w:rPr>
        <w:t>amou</w:t>
      </w:r>
      <w:r w:rsidR="00007324" w:rsidRPr="00924858">
        <w:rPr>
          <w:rFonts w:ascii="Times New Roman" w:hAnsi="Times New Roman"/>
          <w:noProof/>
          <w:sz w:val="24"/>
        </w:rPr>
        <w:t>n</w:t>
      </w:r>
      <w:r w:rsidRPr="00924858">
        <w:rPr>
          <w:rFonts w:ascii="Times New Roman" w:hAnsi="Times New Roman"/>
          <w:noProof/>
          <w:sz w:val="24"/>
        </w:rPr>
        <w:t>t of EUR</w:t>
      </w:r>
      <w:r w:rsidR="00924858">
        <w:rPr>
          <w:rFonts w:ascii="Times New Roman" w:hAnsi="Times New Roman"/>
          <w:noProof/>
          <w:sz w:val="24"/>
        </w:rPr>
        <w:t> </w:t>
      </w:r>
      <w:r w:rsidRPr="00924858">
        <w:rPr>
          <w:rFonts w:ascii="Times New Roman" w:hAnsi="Times New Roman"/>
          <w:noProof/>
          <w:sz w:val="24"/>
        </w:rPr>
        <w:t xml:space="preserve">5 million. </w:t>
      </w:r>
      <w:r w:rsidR="00C37893" w:rsidRPr="00924858">
        <w:rPr>
          <w:rFonts w:ascii="Times New Roman" w:hAnsi="Times New Roman"/>
          <w:noProof/>
          <w:sz w:val="24"/>
        </w:rPr>
        <w:t>During the year</w:t>
      </w:r>
      <w:r w:rsidRPr="00924858">
        <w:rPr>
          <w:rFonts w:ascii="Times New Roman" w:hAnsi="Times New Roman"/>
          <w:noProof/>
          <w:sz w:val="24"/>
        </w:rPr>
        <w:t xml:space="preserve">, 159 </w:t>
      </w:r>
      <w:r w:rsidR="00B3037A" w:rsidRPr="00924858">
        <w:rPr>
          <w:rFonts w:ascii="Times New Roman" w:hAnsi="Times New Roman"/>
          <w:noProof/>
          <w:sz w:val="24"/>
        </w:rPr>
        <w:t>scholarship</w:t>
      </w:r>
      <w:r w:rsidRPr="00924858">
        <w:rPr>
          <w:rFonts w:ascii="Times New Roman" w:hAnsi="Times New Roman"/>
          <w:noProof/>
          <w:sz w:val="24"/>
        </w:rPr>
        <w:t xml:space="preserve"> awards were offered to Turkish Cypriot students to attend universities in EU countries</w:t>
      </w:r>
      <w:r w:rsidR="005163BD">
        <w:rPr>
          <w:rFonts w:ascii="Times New Roman" w:hAnsi="Times New Roman"/>
          <w:noProof/>
          <w:sz w:val="24"/>
        </w:rPr>
        <w:t>,</w:t>
      </w:r>
      <w:r w:rsidRPr="00924858">
        <w:rPr>
          <w:rFonts w:ascii="Times New Roman" w:hAnsi="Times New Roman"/>
          <w:noProof/>
          <w:sz w:val="24"/>
        </w:rPr>
        <w:t xml:space="preserve"> and the first Turkish Cypriot </w:t>
      </w:r>
      <w:r w:rsidR="009A73EA">
        <w:rPr>
          <w:rFonts w:ascii="Times New Roman" w:hAnsi="Times New Roman"/>
          <w:noProof/>
          <w:sz w:val="24"/>
        </w:rPr>
        <w:t>benefiting from</w:t>
      </w:r>
      <w:r w:rsidR="009A73EA" w:rsidRPr="00924858">
        <w:rPr>
          <w:rFonts w:ascii="Times New Roman" w:hAnsi="Times New Roman"/>
          <w:noProof/>
          <w:sz w:val="24"/>
        </w:rPr>
        <w:t xml:space="preserve"> </w:t>
      </w:r>
      <w:r w:rsidRPr="00924858">
        <w:rPr>
          <w:rFonts w:ascii="Times New Roman" w:hAnsi="Times New Roman"/>
          <w:noProof/>
          <w:sz w:val="24"/>
        </w:rPr>
        <w:t>an EU scholarship was admitted to the College of Europe.</w:t>
      </w:r>
    </w:p>
    <w:p w14:paraId="6AE65727" w14:textId="102BFE8E" w:rsidR="00706411" w:rsidRPr="00924858" w:rsidRDefault="00007324" w:rsidP="00036827">
      <w:pPr>
        <w:pStyle w:val="AARText"/>
        <w:spacing w:after="120"/>
        <w:ind w:left="851"/>
        <w:rPr>
          <w:rFonts w:ascii="Times New Roman" w:hAnsi="Times New Roman"/>
          <w:noProof/>
          <w:sz w:val="24"/>
        </w:rPr>
      </w:pPr>
      <w:r w:rsidRPr="00924858">
        <w:rPr>
          <w:rFonts w:ascii="Times New Roman" w:hAnsi="Times New Roman"/>
          <w:noProof/>
          <w:sz w:val="24"/>
        </w:rPr>
        <w:t>Since 2007, over 2</w:t>
      </w:r>
      <w:r w:rsidR="00924858">
        <w:rPr>
          <w:rFonts w:ascii="Times New Roman" w:hAnsi="Times New Roman"/>
          <w:noProof/>
          <w:sz w:val="24"/>
        </w:rPr>
        <w:t> </w:t>
      </w:r>
      <w:r w:rsidRPr="00924858">
        <w:rPr>
          <w:rFonts w:ascii="Times New Roman" w:hAnsi="Times New Roman"/>
          <w:noProof/>
          <w:sz w:val="24"/>
        </w:rPr>
        <w:t xml:space="preserve">000 </w:t>
      </w:r>
      <w:r w:rsidR="00C37893" w:rsidRPr="00924858">
        <w:rPr>
          <w:rFonts w:ascii="Times New Roman" w:hAnsi="Times New Roman"/>
          <w:noProof/>
          <w:sz w:val="24"/>
        </w:rPr>
        <w:t xml:space="preserve">scholarships </w:t>
      </w:r>
      <w:r w:rsidRPr="00924858">
        <w:rPr>
          <w:rFonts w:ascii="Times New Roman" w:hAnsi="Times New Roman"/>
          <w:noProof/>
          <w:sz w:val="24"/>
        </w:rPr>
        <w:t xml:space="preserve">have been awarded to students, covering </w:t>
      </w:r>
      <w:r w:rsidR="00AB3340" w:rsidRPr="00924858">
        <w:rPr>
          <w:rFonts w:ascii="Times New Roman" w:hAnsi="Times New Roman"/>
          <w:noProof/>
          <w:sz w:val="24"/>
        </w:rPr>
        <w:t>more than</w:t>
      </w:r>
      <w:r w:rsidRPr="00924858">
        <w:rPr>
          <w:rFonts w:ascii="Times New Roman" w:hAnsi="Times New Roman"/>
          <w:noProof/>
          <w:sz w:val="24"/>
        </w:rPr>
        <w:t xml:space="preserve"> 100 universities and 23 EU countries. These scholarships support students during the first year of undergraduate studies, graduate students in their masters or doctoral programmes, and researchers and professionals in further developing their language and professional skills across EU countries.</w:t>
      </w:r>
    </w:p>
    <w:p w14:paraId="7ECEB377" w14:textId="319F98DC" w:rsidR="001E24EC" w:rsidRPr="00924858" w:rsidRDefault="00F42B39" w:rsidP="00D753D8">
      <w:pPr>
        <w:pStyle w:val="AARText"/>
        <w:spacing w:after="120"/>
        <w:ind w:left="851"/>
        <w:rPr>
          <w:rFonts w:ascii="Times New Roman" w:hAnsi="Times New Roman"/>
          <w:noProof/>
          <w:sz w:val="24"/>
        </w:rPr>
      </w:pPr>
      <w:r w:rsidRPr="00924858">
        <w:rPr>
          <w:rFonts w:ascii="Times New Roman" w:hAnsi="Times New Roman"/>
          <w:noProof/>
          <w:sz w:val="24"/>
        </w:rPr>
        <w:t>The EU Infopoint</w:t>
      </w:r>
      <w:r w:rsidR="009A73EA">
        <w:rPr>
          <w:rFonts w:ascii="Times New Roman" w:hAnsi="Times New Roman"/>
          <w:noProof/>
          <w:sz w:val="24"/>
        </w:rPr>
        <w:t xml:space="preserve"> is</w:t>
      </w:r>
      <w:r w:rsidRPr="00924858">
        <w:rPr>
          <w:rFonts w:ascii="Times New Roman" w:hAnsi="Times New Roman"/>
          <w:noProof/>
          <w:sz w:val="24"/>
        </w:rPr>
        <w:t xml:space="preserve"> managed by the EU</w:t>
      </w:r>
      <w:r w:rsidR="00E261B1" w:rsidRPr="00924858">
        <w:rPr>
          <w:rFonts w:ascii="Times New Roman" w:hAnsi="Times New Roman"/>
          <w:noProof/>
          <w:sz w:val="24"/>
        </w:rPr>
        <w:t xml:space="preserve"> </w:t>
      </w:r>
      <w:r w:rsidRPr="00924858">
        <w:rPr>
          <w:rFonts w:ascii="Times New Roman" w:hAnsi="Times New Roman"/>
          <w:noProof/>
          <w:sz w:val="24"/>
        </w:rPr>
        <w:t>P</w:t>
      </w:r>
      <w:r w:rsidR="00E261B1" w:rsidRPr="00924858">
        <w:rPr>
          <w:rFonts w:ascii="Times New Roman" w:hAnsi="Times New Roman"/>
          <w:noProof/>
          <w:sz w:val="24"/>
        </w:rPr>
        <w:t xml:space="preserve">rogramme </w:t>
      </w:r>
      <w:r w:rsidRPr="00924858">
        <w:rPr>
          <w:rFonts w:ascii="Times New Roman" w:hAnsi="Times New Roman"/>
          <w:noProof/>
          <w:sz w:val="24"/>
        </w:rPr>
        <w:t>S</w:t>
      </w:r>
      <w:r w:rsidR="00E261B1" w:rsidRPr="00924858">
        <w:rPr>
          <w:rFonts w:ascii="Times New Roman" w:hAnsi="Times New Roman"/>
          <w:noProof/>
          <w:sz w:val="24"/>
        </w:rPr>
        <w:t xml:space="preserve">upport </w:t>
      </w:r>
      <w:r w:rsidRPr="00924858">
        <w:rPr>
          <w:rFonts w:ascii="Times New Roman" w:hAnsi="Times New Roman"/>
          <w:noProof/>
          <w:sz w:val="24"/>
        </w:rPr>
        <w:t>O</w:t>
      </w:r>
      <w:r w:rsidR="00E261B1" w:rsidRPr="00924858">
        <w:rPr>
          <w:rFonts w:ascii="Times New Roman" w:hAnsi="Times New Roman"/>
          <w:noProof/>
          <w:sz w:val="24"/>
        </w:rPr>
        <w:t>ffice</w:t>
      </w:r>
      <w:r w:rsidRPr="00924858">
        <w:rPr>
          <w:rFonts w:ascii="Times New Roman" w:hAnsi="Times New Roman"/>
          <w:noProof/>
          <w:sz w:val="24"/>
        </w:rPr>
        <w:t xml:space="preserve"> together with the </w:t>
      </w:r>
      <w:r w:rsidR="00791BAC" w:rsidRPr="00924858">
        <w:rPr>
          <w:rFonts w:ascii="Times New Roman" w:hAnsi="Times New Roman"/>
          <w:noProof/>
          <w:sz w:val="24"/>
        </w:rPr>
        <w:t xml:space="preserve">Commission </w:t>
      </w:r>
      <w:r w:rsidRPr="00924858">
        <w:rPr>
          <w:rFonts w:ascii="Times New Roman" w:hAnsi="Times New Roman"/>
          <w:noProof/>
          <w:sz w:val="24"/>
        </w:rPr>
        <w:t>Representation in Cyprus</w:t>
      </w:r>
      <w:r w:rsidR="009A73EA">
        <w:rPr>
          <w:rFonts w:ascii="Times New Roman" w:hAnsi="Times New Roman"/>
          <w:noProof/>
          <w:sz w:val="24"/>
        </w:rPr>
        <w:t>.</w:t>
      </w:r>
      <w:r w:rsidRPr="00924858">
        <w:rPr>
          <w:rFonts w:ascii="Times New Roman" w:hAnsi="Times New Roman"/>
          <w:noProof/>
          <w:sz w:val="24"/>
        </w:rPr>
        <w:t xml:space="preserve"> </w:t>
      </w:r>
      <w:r w:rsidR="009A73EA">
        <w:rPr>
          <w:rFonts w:ascii="Times New Roman" w:hAnsi="Times New Roman"/>
          <w:noProof/>
          <w:sz w:val="24"/>
        </w:rPr>
        <w:t>I</w:t>
      </w:r>
      <w:r w:rsidR="009A73EA" w:rsidRPr="00924858">
        <w:rPr>
          <w:rFonts w:ascii="Times New Roman" w:hAnsi="Times New Roman"/>
          <w:noProof/>
          <w:sz w:val="24"/>
        </w:rPr>
        <w:t>n 2022</w:t>
      </w:r>
      <w:r w:rsidR="009A73EA">
        <w:rPr>
          <w:rFonts w:ascii="Times New Roman" w:hAnsi="Times New Roman"/>
          <w:noProof/>
          <w:sz w:val="24"/>
        </w:rPr>
        <w:t>,</w:t>
      </w:r>
      <w:r w:rsidR="009A73EA" w:rsidRPr="00924858">
        <w:rPr>
          <w:rFonts w:ascii="Times New Roman" w:hAnsi="Times New Roman"/>
          <w:noProof/>
          <w:sz w:val="24"/>
        </w:rPr>
        <w:t xml:space="preserve"> through its activities both online and offline</w:t>
      </w:r>
      <w:r w:rsidR="009A73EA">
        <w:rPr>
          <w:rFonts w:ascii="Times New Roman" w:hAnsi="Times New Roman"/>
          <w:noProof/>
          <w:sz w:val="24"/>
        </w:rPr>
        <w:t>, it</w:t>
      </w:r>
      <w:r w:rsidR="009A73EA" w:rsidRPr="00924858">
        <w:rPr>
          <w:rFonts w:ascii="Times New Roman" w:hAnsi="Times New Roman"/>
          <w:noProof/>
          <w:sz w:val="24"/>
        </w:rPr>
        <w:t xml:space="preserve"> </w:t>
      </w:r>
      <w:r w:rsidRPr="00924858">
        <w:rPr>
          <w:rFonts w:ascii="Times New Roman" w:hAnsi="Times New Roman"/>
          <w:noProof/>
          <w:sz w:val="24"/>
        </w:rPr>
        <w:t xml:space="preserve">achieved a high level of visibility for the EU. </w:t>
      </w:r>
      <w:r w:rsidR="00924858" w:rsidRPr="00924858">
        <w:rPr>
          <w:rFonts w:ascii="Times New Roman" w:hAnsi="Times New Roman"/>
          <w:noProof/>
          <w:sz w:val="24"/>
        </w:rPr>
        <w:t>The EU Infopoint covered more than 20 EU-related themes, including gender equality, gender</w:t>
      </w:r>
      <w:r w:rsidR="00924858">
        <w:rPr>
          <w:rFonts w:ascii="Times New Roman" w:hAnsi="Times New Roman"/>
          <w:noProof/>
          <w:sz w:val="24"/>
        </w:rPr>
        <w:t>-</w:t>
      </w:r>
      <w:r w:rsidR="00924858" w:rsidRPr="00924858">
        <w:rPr>
          <w:rFonts w:ascii="Times New Roman" w:hAnsi="Times New Roman"/>
          <w:noProof/>
          <w:sz w:val="24"/>
        </w:rPr>
        <w:t>based violence, LGBTI</w:t>
      </w:r>
      <w:r w:rsidR="009A73EA">
        <w:rPr>
          <w:rFonts w:ascii="Times New Roman" w:hAnsi="Times New Roman"/>
          <w:noProof/>
          <w:sz w:val="24"/>
        </w:rPr>
        <w:t>Q</w:t>
      </w:r>
      <w:r w:rsidR="00924858" w:rsidRPr="00924858">
        <w:rPr>
          <w:rFonts w:ascii="Times New Roman" w:hAnsi="Times New Roman"/>
          <w:noProof/>
          <w:sz w:val="24"/>
        </w:rPr>
        <w:t>+ rights, rights for people with disabilities, disinformation, and health and safety at work.</w:t>
      </w:r>
    </w:p>
    <w:p w14:paraId="289F2899" w14:textId="38B89C45" w:rsidR="00007324" w:rsidRPr="00924858" w:rsidRDefault="00F42B39" w:rsidP="00D753D8">
      <w:pPr>
        <w:pStyle w:val="AARText"/>
        <w:spacing w:after="120"/>
        <w:ind w:left="851"/>
        <w:rPr>
          <w:rFonts w:ascii="Times New Roman" w:hAnsi="Times New Roman"/>
          <w:noProof/>
          <w:sz w:val="24"/>
        </w:rPr>
      </w:pPr>
      <w:r w:rsidRPr="00924858">
        <w:rPr>
          <w:rFonts w:ascii="Times New Roman" w:hAnsi="Times New Roman"/>
          <w:noProof/>
          <w:sz w:val="24"/>
        </w:rPr>
        <w:t xml:space="preserve">The EU Infopoint organised </w:t>
      </w:r>
      <w:r w:rsidR="007419FD" w:rsidRPr="00924858">
        <w:rPr>
          <w:rFonts w:ascii="Times New Roman" w:hAnsi="Times New Roman"/>
          <w:noProof/>
          <w:sz w:val="24"/>
        </w:rPr>
        <w:t>3</w:t>
      </w:r>
      <w:r w:rsidR="00007324" w:rsidRPr="00924858">
        <w:rPr>
          <w:rFonts w:ascii="Times New Roman" w:hAnsi="Times New Roman"/>
          <w:noProof/>
          <w:sz w:val="24"/>
        </w:rPr>
        <w:t>5</w:t>
      </w:r>
      <w:r w:rsidR="007419FD" w:rsidRPr="00924858">
        <w:rPr>
          <w:rFonts w:ascii="Times New Roman" w:hAnsi="Times New Roman"/>
          <w:noProof/>
          <w:sz w:val="24"/>
        </w:rPr>
        <w:t xml:space="preserve"> </w:t>
      </w:r>
      <w:r w:rsidRPr="00924858">
        <w:rPr>
          <w:rFonts w:ascii="Times New Roman" w:hAnsi="Times New Roman"/>
          <w:noProof/>
          <w:sz w:val="24"/>
        </w:rPr>
        <w:t xml:space="preserve">events, </w:t>
      </w:r>
      <w:r w:rsidR="00007324" w:rsidRPr="00924858">
        <w:rPr>
          <w:rFonts w:ascii="Times New Roman" w:hAnsi="Times New Roman"/>
          <w:noProof/>
          <w:sz w:val="24"/>
        </w:rPr>
        <w:t>attracting over 16</w:t>
      </w:r>
      <w:r w:rsidR="00924858">
        <w:rPr>
          <w:rFonts w:ascii="Times New Roman" w:hAnsi="Times New Roman"/>
          <w:noProof/>
          <w:sz w:val="24"/>
        </w:rPr>
        <w:t> </w:t>
      </w:r>
      <w:r w:rsidR="00007324" w:rsidRPr="00924858">
        <w:rPr>
          <w:rFonts w:ascii="Times New Roman" w:hAnsi="Times New Roman"/>
          <w:noProof/>
          <w:sz w:val="24"/>
        </w:rPr>
        <w:t>000 participants. The events showed a slight increase in attendance compar</w:t>
      </w:r>
      <w:r w:rsidR="009A73EA">
        <w:rPr>
          <w:rFonts w:ascii="Times New Roman" w:hAnsi="Times New Roman"/>
          <w:noProof/>
          <w:sz w:val="24"/>
        </w:rPr>
        <w:t>ed</w:t>
      </w:r>
      <w:r w:rsidR="00007324" w:rsidRPr="00924858">
        <w:rPr>
          <w:rFonts w:ascii="Times New Roman" w:hAnsi="Times New Roman"/>
          <w:noProof/>
          <w:sz w:val="24"/>
        </w:rPr>
        <w:t xml:space="preserve"> </w:t>
      </w:r>
      <w:r w:rsidR="009A73EA">
        <w:rPr>
          <w:rFonts w:ascii="Times New Roman" w:hAnsi="Times New Roman"/>
          <w:noProof/>
          <w:sz w:val="24"/>
        </w:rPr>
        <w:t>with</w:t>
      </w:r>
      <w:r w:rsidR="009A73EA" w:rsidRPr="00924858">
        <w:rPr>
          <w:rFonts w:ascii="Times New Roman" w:hAnsi="Times New Roman"/>
          <w:noProof/>
          <w:sz w:val="24"/>
        </w:rPr>
        <w:t xml:space="preserve"> </w:t>
      </w:r>
      <w:r w:rsidR="00007324" w:rsidRPr="00924858">
        <w:rPr>
          <w:rFonts w:ascii="Times New Roman" w:hAnsi="Times New Roman"/>
          <w:noProof/>
          <w:sz w:val="24"/>
        </w:rPr>
        <w:t>previous years</w:t>
      </w:r>
      <w:r w:rsidRPr="00924858">
        <w:rPr>
          <w:rFonts w:ascii="Times New Roman" w:hAnsi="Times New Roman"/>
          <w:noProof/>
          <w:sz w:val="24"/>
        </w:rPr>
        <w:t xml:space="preserve">. </w:t>
      </w:r>
      <w:r w:rsidR="00007324" w:rsidRPr="00924858">
        <w:rPr>
          <w:rFonts w:ascii="Times New Roman" w:hAnsi="Times New Roman"/>
          <w:noProof/>
          <w:sz w:val="24"/>
        </w:rPr>
        <w:t xml:space="preserve">In addition, 14 publications, 69 </w:t>
      </w:r>
      <w:r w:rsidR="00B3037A" w:rsidRPr="00924858">
        <w:rPr>
          <w:rFonts w:ascii="Times New Roman" w:hAnsi="Times New Roman"/>
          <w:noProof/>
          <w:sz w:val="24"/>
        </w:rPr>
        <w:t xml:space="preserve">infographics </w:t>
      </w:r>
      <w:r w:rsidR="00007324" w:rsidRPr="00924858">
        <w:rPr>
          <w:rFonts w:ascii="Times New Roman" w:hAnsi="Times New Roman"/>
          <w:noProof/>
          <w:sz w:val="24"/>
        </w:rPr>
        <w:t>and 12 audiovisual products were developed, focusing on EU priorities in Cyprus.</w:t>
      </w:r>
      <w:r w:rsidR="00C37893" w:rsidRPr="00924858">
        <w:rPr>
          <w:rFonts w:ascii="Times New Roman" w:hAnsi="Times New Roman"/>
          <w:noProof/>
          <w:sz w:val="24"/>
        </w:rPr>
        <w:t xml:space="preserve"> </w:t>
      </w:r>
      <w:r w:rsidRPr="00924858">
        <w:rPr>
          <w:rFonts w:ascii="Times New Roman" w:hAnsi="Times New Roman"/>
          <w:noProof/>
          <w:sz w:val="24"/>
        </w:rPr>
        <w:t xml:space="preserve">Traffic on the </w:t>
      </w:r>
      <w:r w:rsidR="00465AC9" w:rsidRPr="00924858">
        <w:rPr>
          <w:rFonts w:ascii="Times New Roman" w:hAnsi="Times New Roman"/>
          <w:noProof/>
          <w:sz w:val="24"/>
        </w:rPr>
        <w:t xml:space="preserve">EU Infopoint’s social media continued to increase. The </w:t>
      </w:r>
      <w:r w:rsidR="0071236B" w:rsidRPr="00924858">
        <w:rPr>
          <w:rFonts w:ascii="Times New Roman" w:hAnsi="Times New Roman"/>
          <w:noProof/>
          <w:sz w:val="24"/>
        </w:rPr>
        <w:t xml:space="preserve">EU </w:t>
      </w:r>
      <w:r w:rsidR="00465AC9" w:rsidRPr="00924858">
        <w:rPr>
          <w:rFonts w:ascii="Times New Roman" w:hAnsi="Times New Roman"/>
          <w:noProof/>
          <w:sz w:val="24"/>
        </w:rPr>
        <w:t>Infopoint’s</w:t>
      </w:r>
      <w:r w:rsidRPr="00924858">
        <w:rPr>
          <w:rFonts w:ascii="Times New Roman" w:hAnsi="Times New Roman"/>
          <w:noProof/>
          <w:sz w:val="24"/>
        </w:rPr>
        <w:t xml:space="preserve"> </w:t>
      </w:r>
      <w:r w:rsidR="00791BAC" w:rsidRPr="00924858">
        <w:rPr>
          <w:rFonts w:ascii="Times New Roman" w:hAnsi="Times New Roman"/>
          <w:noProof/>
          <w:sz w:val="24"/>
        </w:rPr>
        <w:t xml:space="preserve">Facebook page </w:t>
      </w:r>
      <w:r w:rsidR="00465AC9" w:rsidRPr="00924858">
        <w:rPr>
          <w:rFonts w:ascii="Times New Roman" w:hAnsi="Times New Roman"/>
          <w:noProof/>
          <w:sz w:val="24"/>
        </w:rPr>
        <w:t>received around</w:t>
      </w:r>
      <w:r w:rsidRPr="00924858">
        <w:rPr>
          <w:rFonts w:ascii="Times New Roman" w:hAnsi="Times New Roman"/>
          <w:noProof/>
          <w:sz w:val="24"/>
        </w:rPr>
        <w:t xml:space="preserve"> </w:t>
      </w:r>
      <w:r w:rsidR="00465AC9" w:rsidRPr="00924858">
        <w:rPr>
          <w:rFonts w:ascii="Times New Roman" w:hAnsi="Times New Roman"/>
          <w:noProof/>
          <w:sz w:val="24"/>
        </w:rPr>
        <w:t>1</w:t>
      </w:r>
      <w:r w:rsidR="00924858">
        <w:rPr>
          <w:rFonts w:ascii="Times New Roman" w:hAnsi="Times New Roman"/>
          <w:noProof/>
          <w:sz w:val="24"/>
        </w:rPr>
        <w:t> </w:t>
      </w:r>
      <w:r w:rsidRPr="00924858">
        <w:rPr>
          <w:rFonts w:ascii="Times New Roman" w:hAnsi="Times New Roman"/>
          <w:noProof/>
          <w:sz w:val="24"/>
        </w:rPr>
        <w:t xml:space="preserve">000 new followers in </w:t>
      </w:r>
      <w:r w:rsidR="007419FD" w:rsidRPr="00924858">
        <w:rPr>
          <w:rFonts w:ascii="Times New Roman" w:hAnsi="Times New Roman"/>
          <w:noProof/>
          <w:sz w:val="24"/>
        </w:rPr>
        <w:t>20</w:t>
      </w:r>
      <w:r w:rsidR="00465AC9" w:rsidRPr="00924858">
        <w:rPr>
          <w:rFonts w:ascii="Times New Roman" w:hAnsi="Times New Roman"/>
          <w:noProof/>
          <w:sz w:val="24"/>
        </w:rPr>
        <w:t>22.</w:t>
      </w:r>
    </w:p>
    <w:p w14:paraId="1F16510C" w14:textId="3879005E" w:rsidR="006C615B" w:rsidRPr="00924858" w:rsidRDefault="00F42B39">
      <w:pPr>
        <w:pStyle w:val="AARText"/>
        <w:spacing w:before="120" w:after="120"/>
        <w:ind w:left="850" w:hanging="850"/>
        <w:rPr>
          <w:rFonts w:asciiTheme="minorEastAsia" w:eastAsiaTheme="minorEastAsia" w:hAnsiTheme="minorEastAsia" w:cstheme="minorEastAsia"/>
          <w:noProof/>
          <w:sz w:val="24"/>
        </w:rPr>
      </w:pPr>
      <w:r w:rsidRPr="00924858">
        <w:rPr>
          <w:rFonts w:ascii="Times New Roman" w:hAnsi="Times New Roman"/>
          <w:i/>
          <w:iCs/>
          <w:noProof/>
          <w:sz w:val="24"/>
        </w:rPr>
        <w:t>4.2.</w:t>
      </w:r>
      <w:r w:rsidRPr="00924858">
        <w:rPr>
          <w:rFonts w:ascii="Times New Roman" w:hAnsi="Times New Roman"/>
          <w:i/>
          <w:iCs/>
          <w:noProof/>
          <w:sz w:val="24"/>
          <w:lang w:eastAsia="en-US"/>
        </w:rPr>
        <w:t>5</w:t>
      </w:r>
      <w:r w:rsidR="00BF5ED4" w:rsidRPr="00924858">
        <w:rPr>
          <w:rFonts w:ascii="Times New Roman" w:hAnsi="Times New Roman"/>
          <w:i/>
          <w:iCs/>
          <w:noProof/>
          <w:sz w:val="24"/>
        </w:rPr>
        <w:t>.</w:t>
      </w:r>
      <w:r w:rsidR="00924858" w:rsidRPr="00924858">
        <w:rPr>
          <w:rFonts w:ascii="Times New Roman" w:hAnsi="Times New Roman"/>
          <w:i/>
          <w:iCs/>
          <w:noProof/>
          <w:sz w:val="24"/>
        </w:rPr>
        <w:t xml:space="preserve"> </w:t>
      </w:r>
      <w:r w:rsidR="00576D42">
        <w:rPr>
          <w:rFonts w:ascii="Times New Roman" w:hAnsi="Times New Roman"/>
          <w:i/>
          <w:iCs/>
          <w:noProof/>
          <w:sz w:val="24"/>
        </w:rPr>
        <w:tab/>
      </w:r>
      <w:r w:rsidRPr="00924858">
        <w:rPr>
          <w:rFonts w:ascii="Times New Roman" w:hAnsi="Times New Roman"/>
          <w:i/>
          <w:iCs/>
          <w:noProof/>
          <w:sz w:val="24"/>
        </w:rPr>
        <w:t xml:space="preserve">Objectives 5-6: Preparing the Turkish Cypriot community to introduce and implement the </w:t>
      </w:r>
      <w:r w:rsidR="00924858">
        <w:rPr>
          <w:rFonts w:ascii="Times New Roman" w:hAnsi="Times New Roman"/>
          <w:i/>
          <w:iCs/>
          <w:noProof/>
          <w:sz w:val="24"/>
        </w:rPr>
        <w:t>acquis</w:t>
      </w:r>
    </w:p>
    <w:p w14:paraId="362FFA79" w14:textId="471049C3" w:rsidR="006C615B" w:rsidRPr="00924858" w:rsidRDefault="00F42B39">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The </w:t>
      </w:r>
      <w:r w:rsidR="008E2B65" w:rsidRPr="00924858">
        <w:rPr>
          <w:rFonts w:ascii="Times New Roman,Calibri" w:eastAsia="Times New Roman,Calibri" w:hAnsi="Times New Roman,Calibri" w:cs="Times New Roman,Calibri"/>
          <w:noProof/>
          <w:sz w:val="24"/>
          <w:szCs w:val="24"/>
          <w:lang w:eastAsia="en-GB"/>
        </w:rPr>
        <w:t>TAIEX</w:t>
      </w:r>
      <w:r w:rsidRPr="00924858">
        <w:rPr>
          <w:rFonts w:ascii="Times New Roman,Calibri" w:eastAsia="Times New Roman,Calibri" w:hAnsi="Times New Roman,Calibri" w:cs="Times New Roman,Calibri"/>
          <w:noProof/>
          <w:sz w:val="24"/>
          <w:szCs w:val="24"/>
          <w:lang w:eastAsia="en-GB"/>
        </w:rPr>
        <w:t xml:space="preserve"> instrument is used to implement objectives 5 and 6 of the Aid Regulation</w:t>
      </w:r>
      <w:r w:rsidR="0039162D">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 xml:space="preserve"> </w:t>
      </w:r>
      <w:r w:rsidR="0039162D">
        <w:rPr>
          <w:rFonts w:ascii="Times New Roman,Calibri" w:eastAsia="Times New Roman,Calibri" w:hAnsi="Times New Roman,Calibri" w:cs="Times New Roman,Calibri"/>
          <w:noProof/>
          <w:sz w:val="24"/>
          <w:szCs w:val="24"/>
          <w:lang w:eastAsia="en-GB"/>
        </w:rPr>
        <w:t>It</w:t>
      </w:r>
      <w:r w:rsidRPr="00924858">
        <w:rPr>
          <w:rFonts w:ascii="Times New Roman,Calibri" w:eastAsia="Times New Roman,Calibri" w:hAnsi="Times New Roman,Calibri" w:cs="Times New Roman,Calibri"/>
          <w:noProof/>
          <w:sz w:val="24"/>
          <w:szCs w:val="24"/>
          <w:lang w:eastAsia="en-GB"/>
        </w:rPr>
        <w:t xml:space="preserve"> helps prepare the </w:t>
      </w:r>
      <w:r w:rsidR="00CC536D" w:rsidRPr="00924858">
        <w:rPr>
          <w:rFonts w:ascii="Times New Roman,Calibri" w:eastAsia="Times New Roman,Calibri" w:hAnsi="Times New Roman,Calibri" w:cs="Times New Roman,Calibri"/>
          <w:noProof/>
          <w:sz w:val="24"/>
          <w:szCs w:val="24"/>
          <w:lang w:eastAsia="en-GB"/>
        </w:rPr>
        <w:t xml:space="preserve">Turkish Cypriot community </w:t>
      </w:r>
      <w:r w:rsidRPr="00924858">
        <w:rPr>
          <w:rFonts w:ascii="Times New Roman,Calibri" w:eastAsia="Times New Roman,Calibri" w:hAnsi="Times New Roman,Calibri" w:cs="Times New Roman,Calibri"/>
          <w:noProof/>
          <w:sz w:val="24"/>
          <w:szCs w:val="24"/>
          <w:lang w:eastAsia="en-GB"/>
        </w:rPr>
        <w:t>for implement</w:t>
      </w:r>
      <w:r w:rsidR="0039162D">
        <w:rPr>
          <w:rFonts w:ascii="Times New Roman,Calibri" w:eastAsia="Times New Roman,Calibri" w:hAnsi="Times New Roman,Calibri" w:cs="Times New Roman,Calibri"/>
          <w:noProof/>
          <w:sz w:val="24"/>
          <w:szCs w:val="24"/>
          <w:lang w:eastAsia="en-GB"/>
        </w:rPr>
        <w:t>ing</w:t>
      </w:r>
      <w:r w:rsidRPr="00924858">
        <w:rPr>
          <w:rFonts w:ascii="Times New Roman,Calibri" w:eastAsia="Times New Roman,Calibri" w:hAnsi="Times New Roman,Calibri" w:cs="Times New Roman,Calibri"/>
          <w:noProof/>
          <w:sz w:val="24"/>
          <w:szCs w:val="24"/>
          <w:lang w:eastAsia="en-GB"/>
        </w:rPr>
        <w:t xml:space="preserve"> the </w:t>
      </w:r>
      <w:r w:rsidR="00924858">
        <w:rPr>
          <w:rFonts w:ascii="Times New Roman,Calibri" w:eastAsia="Times New Roman,Calibri" w:hAnsi="Times New Roman,Calibri" w:cs="Times New Roman,Calibri"/>
          <w:i/>
          <w:iCs/>
          <w:noProof/>
          <w:sz w:val="24"/>
          <w:szCs w:val="24"/>
          <w:lang w:eastAsia="en-GB"/>
        </w:rPr>
        <w:t>acquis</w:t>
      </w:r>
      <w:r w:rsidRPr="00924858">
        <w:rPr>
          <w:rFonts w:ascii="Times New Roman,Calibri" w:eastAsia="Times New Roman,Calibri" w:hAnsi="Times New Roman,Calibri" w:cs="Times New Roman,Calibri"/>
          <w:noProof/>
          <w:sz w:val="24"/>
          <w:szCs w:val="24"/>
          <w:lang w:eastAsia="en-GB"/>
        </w:rPr>
        <w:t xml:space="preserve"> in view of the withdrawal of </w:t>
      </w:r>
      <w:r w:rsidR="008E4FD5">
        <w:rPr>
          <w:rFonts w:ascii="Times New Roman,Calibri" w:eastAsia="Times New Roman,Calibri" w:hAnsi="Times New Roman,Calibri" w:cs="Times New Roman,Calibri"/>
          <w:noProof/>
          <w:sz w:val="24"/>
          <w:szCs w:val="24"/>
          <w:lang w:eastAsia="en-GB"/>
        </w:rPr>
        <w:t>the</w:t>
      </w:r>
      <w:r w:rsidR="008E4FD5" w:rsidRPr="00924858">
        <w:rPr>
          <w:rFonts w:ascii="Times New Roman,Calibri" w:eastAsia="Times New Roman,Calibri" w:hAnsi="Times New Roman,Calibri" w:cs="Times New Roman,Calibri"/>
          <w:noProof/>
          <w:sz w:val="24"/>
          <w:szCs w:val="24"/>
          <w:lang w:eastAsia="en-GB"/>
        </w:rPr>
        <w:t xml:space="preserve"> </w:t>
      </w:r>
      <w:r w:rsidRPr="00924858">
        <w:rPr>
          <w:rFonts w:ascii="Times New Roman,Calibri" w:eastAsia="Times New Roman,Calibri" w:hAnsi="Times New Roman,Calibri" w:cs="Times New Roman,Calibri"/>
          <w:noProof/>
          <w:sz w:val="24"/>
          <w:szCs w:val="24"/>
          <w:lang w:eastAsia="en-GB"/>
        </w:rPr>
        <w:t xml:space="preserve">suspension </w:t>
      </w:r>
      <w:r w:rsidR="008E4FD5">
        <w:rPr>
          <w:rFonts w:ascii="Times New Roman,Calibri" w:eastAsia="Times New Roman,Calibri" w:hAnsi="Times New Roman,Calibri" w:cs="Times New Roman,Calibri"/>
          <w:noProof/>
          <w:sz w:val="24"/>
          <w:szCs w:val="24"/>
          <w:lang w:eastAsia="en-GB"/>
        </w:rPr>
        <w:t xml:space="preserve">of its application </w:t>
      </w:r>
      <w:r w:rsidRPr="00924858">
        <w:rPr>
          <w:rFonts w:ascii="Times New Roman,Calibri" w:eastAsia="Times New Roman,Calibri" w:hAnsi="Times New Roman,Calibri" w:cs="Times New Roman,Calibri"/>
          <w:noProof/>
          <w:sz w:val="24"/>
          <w:szCs w:val="24"/>
          <w:lang w:eastAsia="en-GB"/>
        </w:rPr>
        <w:t>upon the entry into force of a comprehensive settlement.</w:t>
      </w:r>
    </w:p>
    <w:p w14:paraId="69A8C7E0" w14:textId="00CF7FA1" w:rsidR="006C615B" w:rsidRPr="00924858" w:rsidRDefault="00E120E0">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The TAIEX facility remains an important</w:t>
      </w:r>
      <w:r w:rsidR="001E24EC" w:rsidRPr="00924858">
        <w:rPr>
          <w:rFonts w:ascii="Times New Roman,Calibri" w:eastAsia="Times New Roman,Calibri" w:hAnsi="Times New Roman,Calibri" w:cs="Times New Roman,Calibri"/>
          <w:noProof/>
          <w:sz w:val="24"/>
          <w:szCs w:val="24"/>
          <w:lang w:eastAsia="en-GB"/>
        </w:rPr>
        <w:t xml:space="preserve"> tool</w:t>
      </w:r>
      <w:r w:rsidRPr="00924858">
        <w:rPr>
          <w:rFonts w:ascii="Times New Roman,Calibri" w:eastAsia="Times New Roman,Calibri" w:hAnsi="Times New Roman,Calibri" w:cs="Times New Roman,Calibri"/>
          <w:noProof/>
          <w:sz w:val="24"/>
          <w:szCs w:val="24"/>
          <w:lang w:eastAsia="en-GB"/>
        </w:rPr>
        <w:t xml:space="preserve"> contributi</w:t>
      </w:r>
      <w:r w:rsidR="001E24EC" w:rsidRPr="00924858">
        <w:rPr>
          <w:rFonts w:ascii="Times New Roman,Calibri" w:eastAsia="Times New Roman,Calibri" w:hAnsi="Times New Roman,Calibri" w:cs="Times New Roman,Calibri"/>
          <w:noProof/>
          <w:sz w:val="24"/>
          <w:szCs w:val="24"/>
          <w:lang w:eastAsia="en-GB"/>
        </w:rPr>
        <w:t>ng</w:t>
      </w:r>
      <w:r w:rsidRPr="00924858">
        <w:rPr>
          <w:rFonts w:ascii="Times New Roman,Calibri" w:eastAsia="Times New Roman,Calibri" w:hAnsi="Times New Roman,Calibri" w:cs="Times New Roman,Calibri"/>
          <w:noProof/>
          <w:sz w:val="24"/>
          <w:szCs w:val="24"/>
          <w:lang w:eastAsia="en-GB"/>
        </w:rPr>
        <w:t xml:space="preserve"> to the Aid Programme’s object</w:t>
      </w:r>
      <w:r w:rsidR="00BF5ED4" w:rsidRPr="00924858">
        <w:rPr>
          <w:rFonts w:ascii="Times New Roman,Calibri" w:eastAsia="Times New Roman,Calibri" w:hAnsi="Times New Roman,Calibri" w:cs="Times New Roman,Calibri"/>
          <w:noProof/>
          <w:sz w:val="24"/>
          <w:szCs w:val="24"/>
          <w:lang w:eastAsia="en-GB"/>
        </w:rPr>
        <w:t>i</w:t>
      </w:r>
      <w:r w:rsidRPr="00924858">
        <w:rPr>
          <w:rFonts w:ascii="Times New Roman,Calibri" w:eastAsia="Times New Roman,Calibri" w:hAnsi="Times New Roman,Calibri" w:cs="Times New Roman,Calibri"/>
          <w:noProof/>
          <w:sz w:val="24"/>
          <w:szCs w:val="24"/>
          <w:lang w:eastAsia="en-GB"/>
        </w:rPr>
        <w:t>ves</w:t>
      </w:r>
      <w:r w:rsidR="001E24EC" w:rsidRPr="00924858">
        <w:rPr>
          <w:rFonts w:ascii="Times New Roman,Calibri" w:eastAsia="Times New Roman,Calibri" w:hAnsi="Times New Roman,Calibri" w:cs="Times New Roman,Calibri"/>
          <w:noProof/>
          <w:sz w:val="24"/>
          <w:szCs w:val="24"/>
          <w:lang w:eastAsia="en-GB"/>
        </w:rPr>
        <w:t>. In 2022, the instrument</w:t>
      </w:r>
      <w:r w:rsidRPr="00924858">
        <w:rPr>
          <w:rFonts w:ascii="Times New Roman,Calibri" w:eastAsia="Times New Roman,Calibri" w:hAnsi="Times New Roman,Calibri" w:cs="Times New Roman,Calibri"/>
          <w:noProof/>
          <w:sz w:val="24"/>
          <w:szCs w:val="24"/>
          <w:lang w:eastAsia="en-GB"/>
        </w:rPr>
        <w:t xml:space="preserve"> </w:t>
      </w:r>
      <w:r w:rsidR="001E24EC" w:rsidRPr="00924858">
        <w:rPr>
          <w:rFonts w:ascii="Times New Roman,Calibri" w:eastAsia="Times New Roman,Calibri" w:hAnsi="Times New Roman,Calibri" w:cs="Times New Roman,Calibri"/>
          <w:noProof/>
          <w:sz w:val="24"/>
          <w:szCs w:val="24"/>
          <w:lang w:eastAsia="en-GB"/>
        </w:rPr>
        <w:t>provided</w:t>
      </w:r>
      <w:r w:rsidRPr="00924858">
        <w:rPr>
          <w:rFonts w:ascii="Times New Roman,Calibri" w:eastAsia="Times New Roman,Calibri" w:hAnsi="Times New Roman,Calibri" w:cs="Times New Roman,Calibri"/>
          <w:noProof/>
          <w:sz w:val="24"/>
          <w:szCs w:val="24"/>
          <w:lang w:eastAsia="en-GB"/>
        </w:rPr>
        <w:t xml:space="preserve"> continuous support </w:t>
      </w:r>
      <w:r w:rsidR="001E24EC" w:rsidRPr="00924858">
        <w:rPr>
          <w:rFonts w:ascii="Times New Roman,Calibri" w:eastAsia="Times New Roman,Calibri" w:hAnsi="Times New Roman,Calibri" w:cs="Times New Roman,Calibri"/>
          <w:noProof/>
          <w:sz w:val="24"/>
          <w:szCs w:val="24"/>
          <w:lang w:eastAsia="en-GB"/>
        </w:rPr>
        <w:t xml:space="preserve">across 12 thematic areas of the </w:t>
      </w:r>
      <w:r w:rsidR="00924858">
        <w:rPr>
          <w:rFonts w:ascii="Times New Roman,Calibri" w:eastAsia="Times New Roman,Calibri" w:hAnsi="Times New Roman,Calibri" w:cs="Times New Roman,Calibri"/>
          <w:i/>
          <w:noProof/>
          <w:sz w:val="24"/>
          <w:szCs w:val="24"/>
          <w:lang w:eastAsia="en-GB"/>
        </w:rPr>
        <w:t>acquis</w:t>
      </w:r>
      <w:r w:rsidR="001E24EC" w:rsidRPr="00924858">
        <w:rPr>
          <w:rFonts w:ascii="Times New Roman,Calibri" w:eastAsia="Times New Roman,Calibri" w:hAnsi="Times New Roman,Calibri" w:cs="Times New Roman,Calibri"/>
          <w:noProof/>
          <w:sz w:val="24"/>
          <w:szCs w:val="24"/>
          <w:lang w:eastAsia="en-GB"/>
        </w:rPr>
        <w:t xml:space="preserve"> </w:t>
      </w:r>
      <w:r w:rsidRPr="00924858">
        <w:rPr>
          <w:rFonts w:ascii="Times New Roman,Calibri" w:eastAsia="Times New Roman,Calibri" w:hAnsi="Times New Roman,Calibri" w:cs="Times New Roman,Calibri"/>
          <w:noProof/>
          <w:sz w:val="24"/>
          <w:szCs w:val="24"/>
          <w:lang w:eastAsia="en-GB"/>
        </w:rPr>
        <w:t>through a combination of online and on</w:t>
      </w:r>
      <w:r w:rsidR="0039162D">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 xml:space="preserve">site </w:t>
      </w:r>
      <w:r w:rsidR="008E2B65" w:rsidRPr="00924858">
        <w:rPr>
          <w:rFonts w:ascii="Times New Roman,Calibri" w:eastAsia="Times New Roman,Calibri" w:hAnsi="Times New Roman,Calibri" w:cs="Times New Roman,Calibri"/>
          <w:noProof/>
          <w:sz w:val="24"/>
          <w:szCs w:val="24"/>
          <w:lang w:eastAsia="en-GB"/>
        </w:rPr>
        <w:t>events</w:t>
      </w:r>
      <w:r w:rsidRPr="00924858">
        <w:rPr>
          <w:rFonts w:ascii="Times New Roman,Calibri" w:eastAsia="Times New Roman,Calibri" w:hAnsi="Times New Roman,Calibri" w:cs="Times New Roman,Calibri"/>
          <w:noProof/>
          <w:sz w:val="24"/>
          <w:szCs w:val="24"/>
          <w:lang w:eastAsia="en-GB"/>
        </w:rPr>
        <w:t xml:space="preserve">. </w:t>
      </w:r>
      <w:r w:rsidR="008E2B65" w:rsidRPr="00924858">
        <w:rPr>
          <w:rFonts w:ascii="Times New Roman,Calibri" w:eastAsia="Times New Roman,Calibri" w:hAnsi="Times New Roman,Calibri" w:cs="Times New Roman,Calibri"/>
          <w:noProof/>
          <w:sz w:val="24"/>
          <w:szCs w:val="24"/>
          <w:lang w:eastAsia="en-GB"/>
        </w:rPr>
        <w:t>It</w:t>
      </w:r>
      <w:r w:rsidRPr="00924858">
        <w:rPr>
          <w:rFonts w:ascii="Times New Roman,Calibri" w:eastAsia="Times New Roman,Calibri" w:hAnsi="Times New Roman,Calibri" w:cs="Times New Roman,Calibri"/>
          <w:noProof/>
          <w:sz w:val="24"/>
          <w:szCs w:val="24"/>
          <w:lang w:eastAsia="en-GB"/>
        </w:rPr>
        <w:t xml:space="preserve"> also provided regular assistance by health experts in the context of the </w:t>
      </w:r>
      <w:r w:rsidR="00C37893" w:rsidRPr="0039162D">
        <w:rPr>
          <w:rFonts w:ascii="Times New Roman,Calibri" w:eastAsia="Times New Roman,Calibri" w:hAnsi="Times New Roman,Calibri" w:cs="Times New Roman,Calibri"/>
          <w:noProof/>
          <w:sz w:val="24"/>
          <w:szCs w:val="24"/>
          <w:lang w:eastAsia="en-GB"/>
        </w:rPr>
        <w:t>COVID</w:t>
      </w:r>
      <w:r w:rsidRPr="0039162D">
        <w:rPr>
          <w:rFonts w:ascii="Times New Roman,Calibri" w:eastAsia="Times New Roman,Calibri" w:hAnsi="Times New Roman,Calibri" w:cs="Times New Roman,Calibri"/>
          <w:noProof/>
          <w:sz w:val="24"/>
          <w:szCs w:val="24"/>
          <w:lang w:eastAsia="en-GB"/>
        </w:rPr>
        <w:t>-19</w:t>
      </w:r>
      <w:r w:rsidRPr="00924858">
        <w:rPr>
          <w:rFonts w:ascii="Times New Roman,Calibri" w:eastAsia="Times New Roman,Calibri" w:hAnsi="Times New Roman,Calibri" w:cs="Times New Roman,Calibri"/>
          <w:noProof/>
          <w:sz w:val="24"/>
          <w:szCs w:val="24"/>
          <w:lang w:eastAsia="en-GB"/>
        </w:rPr>
        <w:t xml:space="preserve"> pandemic. In total, 151 TAIEX events were organised, keeping the number </w:t>
      </w:r>
      <w:r w:rsidR="0039162D">
        <w:rPr>
          <w:rFonts w:ascii="Times New Roman,Calibri" w:eastAsia="Times New Roman,Calibri" w:hAnsi="Times New Roman,Calibri" w:cs="Times New Roman,Calibri"/>
          <w:noProof/>
          <w:sz w:val="24"/>
          <w:szCs w:val="24"/>
          <w:lang w:eastAsia="en-GB"/>
        </w:rPr>
        <w:t>similarly</w:t>
      </w:r>
      <w:r w:rsidR="0039162D" w:rsidRPr="00924858">
        <w:rPr>
          <w:rFonts w:ascii="Times New Roman,Calibri" w:eastAsia="Times New Roman,Calibri" w:hAnsi="Times New Roman,Calibri" w:cs="Times New Roman,Calibri"/>
          <w:noProof/>
          <w:sz w:val="24"/>
          <w:szCs w:val="24"/>
          <w:lang w:eastAsia="en-GB"/>
        </w:rPr>
        <w:t xml:space="preserve"> </w:t>
      </w:r>
      <w:r w:rsidRPr="00924858">
        <w:rPr>
          <w:rFonts w:ascii="Times New Roman,Calibri" w:eastAsia="Times New Roman,Calibri" w:hAnsi="Times New Roman,Calibri" w:cs="Times New Roman,Calibri"/>
          <w:noProof/>
          <w:sz w:val="24"/>
          <w:szCs w:val="24"/>
          <w:lang w:eastAsia="en-GB"/>
        </w:rPr>
        <w:t xml:space="preserve">high in comparison </w:t>
      </w:r>
      <w:r w:rsidR="0039162D">
        <w:rPr>
          <w:rFonts w:ascii="Times New Roman,Calibri" w:eastAsia="Times New Roman,Calibri" w:hAnsi="Times New Roman,Calibri" w:cs="Times New Roman,Calibri"/>
          <w:noProof/>
          <w:sz w:val="24"/>
          <w:szCs w:val="24"/>
          <w:lang w:eastAsia="en-GB"/>
        </w:rPr>
        <w:t>with</w:t>
      </w:r>
      <w:r w:rsidRPr="00924858">
        <w:rPr>
          <w:rFonts w:ascii="Times New Roman,Calibri" w:eastAsia="Times New Roman,Calibri" w:hAnsi="Times New Roman,Calibri" w:cs="Times New Roman,Calibri"/>
          <w:noProof/>
          <w:sz w:val="24"/>
          <w:szCs w:val="24"/>
          <w:lang w:eastAsia="en-GB"/>
        </w:rPr>
        <w:t xml:space="preserve"> </w:t>
      </w:r>
      <w:r w:rsidR="008E2B65" w:rsidRPr="00924858">
        <w:rPr>
          <w:rFonts w:ascii="Times New Roman,Calibri" w:eastAsia="Times New Roman,Calibri" w:hAnsi="Times New Roman,Calibri" w:cs="Times New Roman,Calibri"/>
          <w:noProof/>
          <w:sz w:val="24"/>
          <w:szCs w:val="24"/>
          <w:lang w:eastAsia="en-GB"/>
        </w:rPr>
        <w:t>the previous year</w:t>
      </w:r>
      <w:r w:rsidRPr="00924858">
        <w:rPr>
          <w:rFonts w:ascii="Times New Roman,Calibri" w:eastAsia="Times New Roman,Calibri" w:hAnsi="Times New Roman,Calibri" w:cs="Times New Roman,Calibri"/>
          <w:noProof/>
          <w:sz w:val="24"/>
          <w:szCs w:val="24"/>
          <w:lang w:eastAsia="en-GB"/>
        </w:rPr>
        <w:t>.</w:t>
      </w:r>
      <w:r w:rsidR="00C37893" w:rsidRPr="00924858">
        <w:rPr>
          <w:rFonts w:ascii="Times New Roman,Calibri" w:eastAsia="Times New Roman,Calibri" w:hAnsi="Times New Roman,Calibri" w:cs="Times New Roman,Calibri"/>
          <w:noProof/>
          <w:sz w:val="24"/>
          <w:szCs w:val="24"/>
          <w:lang w:eastAsia="en-GB"/>
        </w:rPr>
        <w:t xml:space="preserve"> </w:t>
      </w:r>
      <w:r w:rsidR="00F007B0" w:rsidRPr="00924858">
        <w:rPr>
          <w:rFonts w:ascii="Times New Roman,Calibri" w:eastAsia="Times New Roman,Calibri" w:hAnsi="Times New Roman,Calibri" w:cs="Times New Roman,Calibri"/>
          <w:noProof/>
          <w:sz w:val="24"/>
          <w:szCs w:val="24"/>
          <w:lang w:eastAsia="en-GB"/>
        </w:rPr>
        <w:t xml:space="preserve">In addition, a database of all legal texts </w:t>
      </w:r>
      <w:r w:rsidR="00AF1B59" w:rsidRPr="00924858">
        <w:rPr>
          <w:rFonts w:ascii="Times New Roman,Calibri" w:eastAsia="Times New Roman,Calibri" w:hAnsi="Times New Roman,Calibri" w:cs="Times New Roman,Calibri"/>
          <w:noProof/>
          <w:sz w:val="24"/>
          <w:szCs w:val="24"/>
          <w:lang w:eastAsia="en-GB"/>
        </w:rPr>
        <w:t>drafted</w:t>
      </w:r>
      <w:r w:rsidR="00F007B0" w:rsidRPr="00924858">
        <w:rPr>
          <w:rFonts w:ascii="Times New Roman,Calibri" w:eastAsia="Times New Roman,Calibri" w:hAnsi="Times New Roman,Calibri" w:cs="Times New Roman,Calibri"/>
          <w:noProof/>
          <w:sz w:val="24"/>
          <w:szCs w:val="24"/>
          <w:lang w:eastAsia="en-GB"/>
        </w:rPr>
        <w:t xml:space="preserve"> with TAIEX support </w:t>
      </w:r>
      <w:r w:rsidRPr="00924858">
        <w:rPr>
          <w:rFonts w:ascii="Times New Roman,Calibri" w:eastAsia="Times New Roman,Calibri" w:hAnsi="Times New Roman,Calibri" w:cs="Times New Roman,Calibri"/>
          <w:noProof/>
          <w:sz w:val="24"/>
          <w:szCs w:val="24"/>
          <w:lang w:eastAsia="en-GB"/>
        </w:rPr>
        <w:t>was developed</w:t>
      </w:r>
      <w:r w:rsidR="00730A1B">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 xml:space="preserve"> </w:t>
      </w:r>
      <w:r w:rsidR="00F007B0" w:rsidRPr="00924858">
        <w:rPr>
          <w:rFonts w:ascii="Times New Roman,Calibri" w:eastAsia="Times New Roman,Calibri" w:hAnsi="Times New Roman,Calibri" w:cs="Times New Roman,Calibri"/>
          <w:noProof/>
          <w:sz w:val="24"/>
          <w:szCs w:val="24"/>
          <w:lang w:eastAsia="en-GB"/>
        </w:rPr>
        <w:t xml:space="preserve">and </w:t>
      </w:r>
      <w:r w:rsidRPr="00924858">
        <w:rPr>
          <w:rFonts w:ascii="Times New Roman,Calibri" w:eastAsia="Times New Roman,Calibri" w:hAnsi="Times New Roman,Calibri" w:cs="Times New Roman,Calibri"/>
          <w:noProof/>
          <w:sz w:val="24"/>
          <w:szCs w:val="24"/>
          <w:lang w:eastAsia="en-GB"/>
        </w:rPr>
        <w:t xml:space="preserve">efforts </w:t>
      </w:r>
      <w:r w:rsidR="00F007B0" w:rsidRPr="00924858">
        <w:rPr>
          <w:rFonts w:ascii="Times New Roman,Calibri" w:eastAsia="Times New Roman,Calibri" w:hAnsi="Times New Roman,Calibri" w:cs="Times New Roman,Calibri"/>
          <w:noProof/>
          <w:sz w:val="24"/>
          <w:szCs w:val="24"/>
          <w:lang w:eastAsia="en-GB"/>
        </w:rPr>
        <w:t>to improve the quality of trans</w:t>
      </w:r>
      <w:r w:rsidR="00F20E47" w:rsidRPr="00924858">
        <w:rPr>
          <w:rFonts w:ascii="Times New Roman,Calibri" w:eastAsia="Times New Roman,Calibri" w:hAnsi="Times New Roman,Calibri" w:cs="Times New Roman,Calibri"/>
          <w:noProof/>
          <w:sz w:val="24"/>
          <w:szCs w:val="24"/>
          <w:lang w:eastAsia="en-GB"/>
        </w:rPr>
        <w:t>la</w:t>
      </w:r>
      <w:r w:rsidR="00F007B0" w:rsidRPr="00924858">
        <w:rPr>
          <w:rFonts w:ascii="Times New Roman,Calibri" w:eastAsia="Times New Roman,Calibri" w:hAnsi="Times New Roman,Calibri" w:cs="Times New Roman,Calibri"/>
          <w:noProof/>
          <w:sz w:val="24"/>
          <w:szCs w:val="24"/>
          <w:lang w:eastAsia="en-GB"/>
        </w:rPr>
        <w:t>tion and interpretation</w:t>
      </w:r>
      <w:r w:rsidR="00AF1B59" w:rsidRPr="00924858">
        <w:rPr>
          <w:rFonts w:ascii="Times New Roman,Calibri" w:eastAsia="Times New Roman,Calibri" w:hAnsi="Times New Roman,Calibri" w:cs="Times New Roman,Calibri"/>
          <w:noProof/>
          <w:sz w:val="24"/>
          <w:szCs w:val="24"/>
          <w:lang w:eastAsia="en-GB"/>
        </w:rPr>
        <w:t xml:space="preserve"> in the </w:t>
      </w:r>
      <w:r w:rsidR="00CC536D" w:rsidRPr="00924858">
        <w:rPr>
          <w:rFonts w:ascii="Times New Roman,Calibri" w:eastAsia="Times New Roman,Calibri" w:hAnsi="Times New Roman,Calibri" w:cs="Times New Roman,Calibri"/>
          <w:noProof/>
          <w:sz w:val="24"/>
          <w:szCs w:val="24"/>
          <w:lang w:eastAsia="en-GB"/>
        </w:rPr>
        <w:t xml:space="preserve">Turkish Cypriot community </w:t>
      </w:r>
      <w:r w:rsidRPr="00924858">
        <w:rPr>
          <w:rFonts w:ascii="Times New Roman,Calibri" w:eastAsia="Times New Roman,Calibri" w:hAnsi="Times New Roman,Calibri" w:cs="Times New Roman,Calibri"/>
          <w:noProof/>
          <w:sz w:val="24"/>
          <w:szCs w:val="24"/>
          <w:lang w:eastAsia="en-GB"/>
        </w:rPr>
        <w:t>continued</w:t>
      </w:r>
      <w:r w:rsidR="00F007B0" w:rsidRPr="00924858">
        <w:rPr>
          <w:rFonts w:ascii="Times New Roman,Calibri" w:eastAsia="Times New Roman,Calibri" w:hAnsi="Times New Roman,Calibri" w:cs="Times New Roman,Calibri"/>
          <w:noProof/>
          <w:sz w:val="24"/>
          <w:szCs w:val="24"/>
          <w:lang w:eastAsia="en-GB"/>
        </w:rPr>
        <w:t>.</w:t>
      </w:r>
    </w:p>
    <w:p w14:paraId="6B43FF63" w14:textId="05094E03" w:rsidR="00C37893" w:rsidRPr="00924858" w:rsidRDefault="00C47888" w:rsidP="00C47888">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TAIEX support for trade across the Green Line (</w:t>
      </w:r>
      <w:r w:rsidR="00DB4BA8">
        <w:rPr>
          <w:rFonts w:ascii="Times New Roman,Calibri" w:eastAsia="Times New Roman,Calibri" w:hAnsi="Times New Roman,Calibri" w:cs="Times New Roman,Calibri"/>
          <w:noProof/>
          <w:sz w:val="24"/>
          <w:szCs w:val="24"/>
          <w:lang w:eastAsia="en-GB"/>
        </w:rPr>
        <w:t xml:space="preserve">Council </w:t>
      </w:r>
      <w:r w:rsidRPr="00924858">
        <w:rPr>
          <w:rFonts w:ascii="Times New Roman,Calibri" w:eastAsia="Times New Roman,Calibri" w:hAnsi="Times New Roman,Calibri" w:cs="Times New Roman,Calibri"/>
          <w:noProof/>
          <w:sz w:val="24"/>
          <w:szCs w:val="24"/>
          <w:lang w:eastAsia="en-GB"/>
        </w:rPr>
        <w:t xml:space="preserve">Regulation </w:t>
      </w:r>
      <w:r w:rsidR="00DB4BA8">
        <w:rPr>
          <w:rFonts w:ascii="Times New Roman,Calibri" w:eastAsia="Times New Roman,Calibri" w:hAnsi="Times New Roman,Calibri" w:cs="Times New Roman,Calibri"/>
          <w:noProof/>
          <w:sz w:val="24"/>
          <w:szCs w:val="24"/>
          <w:lang w:eastAsia="en-GB"/>
        </w:rPr>
        <w:t xml:space="preserve">(EC) No </w:t>
      </w:r>
      <w:r w:rsidRPr="00924858">
        <w:rPr>
          <w:rFonts w:ascii="Times New Roman,Calibri" w:eastAsia="Times New Roman,Calibri" w:hAnsi="Times New Roman,Calibri" w:cs="Times New Roman,Calibri"/>
          <w:noProof/>
          <w:sz w:val="24"/>
          <w:szCs w:val="24"/>
          <w:lang w:eastAsia="en-GB"/>
        </w:rPr>
        <w:t xml:space="preserve">866/2004) continued. </w:t>
      </w:r>
      <w:r w:rsidR="005C30F8" w:rsidRPr="00924858">
        <w:rPr>
          <w:rFonts w:ascii="Times New Roman,Calibri" w:eastAsia="Times New Roman,Calibri" w:hAnsi="Times New Roman,Calibri" w:cs="Times New Roman,Calibri"/>
          <w:noProof/>
          <w:sz w:val="24"/>
          <w:szCs w:val="24"/>
          <w:lang w:eastAsia="en-GB"/>
        </w:rPr>
        <w:t xml:space="preserve">Commission-mandated </w:t>
      </w:r>
      <w:r w:rsidRPr="00924858">
        <w:rPr>
          <w:rFonts w:ascii="Times New Roman,Calibri" w:eastAsia="Times New Roman,Calibri" w:hAnsi="Times New Roman,Calibri" w:cs="Times New Roman,Calibri"/>
          <w:noProof/>
          <w:sz w:val="24"/>
          <w:szCs w:val="24"/>
          <w:lang w:eastAsia="en-GB"/>
        </w:rPr>
        <w:t xml:space="preserve">independent experts </w:t>
      </w:r>
      <w:r w:rsidR="00C37893" w:rsidRPr="00924858">
        <w:rPr>
          <w:rFonts w:ascii="Times New Roman,Calibri" w:eastAsia="Times New Roman,Calibri" w:hAnsi="Times New Roman,Calibri" w:cs="Times New Roman,Calibri"/>
          <w:noProof/>
          <w:sz w:val="24"/>
          <w:szCs w:val="24"/>
          <w:lang w:eastAsia="en-GB"/>
        </w:rPr>
        <w:t>carried out</w:t>
      </w:r>
      <w:r w:rsidR="00924858" w:rsidRPr="00924858">
        <w:rPr>
          <w:rFonts w:ascii="Times New Roman,Calibri" w:eastAsia="Times New Roman,Calibri" w:hAnsi="Times New Roman,Calibri" w:cs="Times New Roman,Calibri"/>
          <w:noProof/>
          <w:sz w:val="24"/>
          <w:szCs w:val="24"/>
          <w:lang w:eastAsia="en-GB"/>
        </w:rPr>
        <w:t xml:space="preserve"> </w:t>
      </w:r>
      <w:r w:rsidR="00F007B0" w:rsidRPr="00924858">
        <w:rPr>
          <w:rFonts w:ascii="Times New Roman,Calibri" w:eastAsia="Times New Roman,Calibri" w:hAnsi="Times New Roman,Calibri" w:cs="Times New Roman,Calibri"/>
          <w:noProof/>
          <w:sz w:val="24"/>
          <w:szCs w:val="24"/>
          <w:lang w:eastAsia="en-GB"/>
        </w:rPr>
        <w:t xml:space="preserve">regular inspections of </w:t>
      </w:r>
      <w:r w:rsidR="007934A3" w:rsidRPr="00924858">
        <w:rPr>
          <w:rFonts w:ascii="Times New Roman,Calibri" w:eastAsia="Times New Roman,Calibri" w:hAnsi="Times New Roman,Calibri" w:cs="Times New Roman,Calibri"/>
          <w:noProof/>
          <w:sz w:val="24"/>
          <w:szCs w:val="24"/>
          <w:lang w:eastAsia="en-GB"/>
        </w:rPr>
        <w:t>fresh fruit</w:t>
      </w:r>
      <w:r w:rsidR="00C37893" w:rsidRPr="00924858">
        <w:rPr>
          <w:rFonts w:ascii="Times New Roman,Calibri" w:eastAsia="Times New Roman,Calibri" w:hAnsi="Times New Roman,Calibri" w:cs="Times New Roman,Calibri"/>
          <w:noProof/>
          <w:sz w:val="24"/>
          <w:szCs w:val="24"/>
          <w:lang w:eastAsia="en-GB"/>
        </w:rPr>
        <w:t>s</w:t>
      </w:r>
      <w:r w:rsidR="007934A3" w:rsidRPr="00924858">
        <w:rPr>
          <w:rFonts w:ascii="Times New Roman,Calibri" w:eastAsia="Times New Roman,Calibri" w:hAnsi="Times New Roman,Calibri" w:cs="Times New Roman,Calibri"/>
          <w:noProof/>
          <w:sz w:val="24"/>
          <w:szCs w:val="24"/>
          <w:lang w:eastAsia="en-GB"/>
        </w:rPr>
        <w:t xml:space="preserve"> and vegetables, potatoes, honey and fish. </w:t>
      </w:r>
      <w:r w:rsidR="00C37893" w:rsidRPr="00924858">
        <w:rPr>
          <w:rFonts w:ascii="Times New Roman,Calibri" w:eastAsia="Times New Roman,Calibri" w:hAnsi="Times New Roman,Calibri" w:cs="Times New Roman,Calibri"/>
          <w:noProof/>
          <w:sz w:val="24"/>
          <w:szCs w:val="24"/>
          <w:lang w:eastAsia="en-GB"/>
        </w:rPr>
        <w:t xml:space="preserve">In </w:t>
      </w:r>
      <w:r w:rsidR="007934A3" w:rsidRPr="00924858">
        <w:rPr>
          <w:rFonts w:ascii="Times New Roman,Calibri" w:eastAsia="Times New Roman,Calibri" w:hAnsi="Times New Roman,Calibri" w:cs="Times New Roman,Calibri"/>
          <w:noProof/>
          <w:sz w:val="24"/>
          <w:szCs w:val="24"/>
          <w:lang w:eastAsia="en-GB"/>
        </w:rPr>
        <w:t xml:space="preserve">addition, </w:t>
      </w:r>
      <w:r w:rsidR="008E4FD5" w:rsidRPr="00924858">
        <w:rPr>
          <w:rFonts w:ascii="Times New Roman,Calibri" w:eastAsia="Times New Roman,Calibri" w:hAnsi="Times New Roman,Calibri" w:cs="Times New Roman,Calibri"/>
          <w:noProof/>
          <w:sz w:val="24"/>
          <w:szCs w:val="24"/>
          <w:lang w:eastAsia="en-GB"/>
        </w:rPr>
        <w:t>in 2022</w:t>
      </w:r>
      <w:r w:rsidR="008E4FD5">
        <w:rPr>
          <w:rFonts w:ascii="Times New Roman,Calibri" w:eastAsia="Times New Roman,Calibri" w:hAnsi="Times New Roman,Calibri" w:cs="Times New Roman,Calibri"/>
          <w:noProof/>
          <w:sz w:val="24"/>
          <w:szCs w:val="24"/>
          <w:lang w:eastAsia="en-GB"/>
        </w:rPr>
        <w:t xml:space="preserve">, </w:t>
      </w:r>
      <w:r w:rsidR="007934A3" w:rsidRPr="00924858">
        <w:rPr>
          <w:rFonts w:ascii="Times New Roman,Calibri" w:eastAsia="Times New Roman,Calibri" w:hAnsi="Times New Roman,Calibri" w:cs="Times New Roman,Calibri"/>
          <w:noProof/>
          <w:sz w:val="24"/>
          <w:szCs w:val="24"/>
          <w:lang w:eastAsia="en-GB"/>
        </w:rPr>
        <w:t>six types of processed food of non-animal origin</w:t>
      </w:r>
      <w:r w:rsidR="006121EE" w:rsidRPr="00924858">
        <w:rPr>
          <w:rFonts w:ascii="Times New Roman,Calibri" w:eastAsia="Times New Roman,Calibri" w:hAnsi="Times New Roman,Calibri" w:cs="Times New Roman,Calibri"/>
          <w:noProof/>
          <w:sz w:val="24"/>
          <w:szCs w:val="24"/>
          <w:lang w:eastAsia="en-GB"/>
        </w:rPr>
        <w:t xml:space="preserve"> crossed the Green Line for the first time. These include </w:t>
      </w:r>
      <w:r w:rsidR="00C37893" w:rsidRPr="00924858">
        <w:rPr>
          <w:rFonts w:ascii="Times New Roman,Calibri" w:eastAsia="Times New Roman,Calibri" w:hAnsi="Times New Roman,Calibri" w:cs="Times New Roman,Calibri"/>
          <w:noProof/>
          <w:sz w:val="24"/>
          <w:szCs w:val="24"/>
          <w:lang w:eastAsia="en-GB"/>
        </w:rPr>
        <w:t xml:space="preserve">olive oil, tahini, halva, carob syrup, jams and fruit juice. </w:t>
      </w:r>
      <w:r w:rsidR="00BD35B0" w:rsidRPr="00924858">
        <w:rPr>
          <w:rFonts w:ascii="Times New Roman,Calibri" w:eastAsia="Times New Roman,Calibri" w:hAnsi="Times New Roman,Calibri" w:cs="Times New Roman,Calibri"/>
          <w:noProof/>
          <w:sz w:val="24"/>
          <w:szCs w:val="24"/>
          <w:lang w:eastAsia="en-GB"/>
        </w:rPr>
        <w:t xml:space="preserve">TAIEX experts </w:t>
      </w:r>
      <w:r w:rsidR="008E2B65" w:rsidRPr="00924858">
        <w:rPr>
          <w:rFonts w:ascii="Times New Roman,Calibri" w:eastAsia="Times New Roman,Calibri" w:hAnsi="Times New Roman,Calibri" w:cs="Times New Roman,Calibri"/>
          <w:noProof/>
          <w:sz w:val="24"/>
          <w:szCs w:val="24"/>
          <w:lang w:eastAsia="en-GB"/>
        </w:rPr>
        <w:t>were</w:t>
      </w:r>
      <w:r w:rsidR="00BD35B0" w:rsidRPr="00924858">
        <w:rPr>
          <w:rFonts w:ascii="Times New Roman,Calibri" w:eastAsia="Times New Roman,Calibri" w:hAnsi="Times New Roman,Calibri" w:cs="Times New Roman,Calibri"/>
          <w:noProof/>
          <w:sz w:val="24"/>
          <w:szCs w:val="24"/>
          <w:lang w:eastAsia="en-GB"/>
        </w:rPr>
        <w:t xml:space="preserve"> the main driving force ensuring EU-level standards and quality through</w:t>
      </w:r>
      <w:r w:rsidR="007934A3" w:rsidRPr="00924858">
        <w:rPr>
          <w:rFonts w:ascii="Times New Roman,Calibri" w:eastAsia="Times New Roman,Calibri" w:hAnsi="Times New Roman,Calibri" w:cs="Times New Roman,Calibri"/>
          <w:noProof/>
          <w:sz w:val="24"/>
          <w:szCs w:val="24"/>
          <w:lang w:eastAsia="en-GB"/>
        </w:rPr>
        <w:t xml:space="preserve"> </w:t>
      </w:r>
      <w:r w:rsidR="0071236B" w:rsidRPr="00924858">
        <w:rPr>
          <w:rFonts w:ascii="Times New Roman,Calibri" w:eastAsia="Times New Roman,Calibri" w:hAnsi="Times New Roman,Calibri" w:cs="Times New Roman,Calibri"/>
          <w:noProof/>
          <w:sz w:val="24"/>
          <w:szCs w:val="24"/>
          <w:lang w:eastAsia="en-GB"/>
        </w:rPr>
        <w:t xml:space="preserve">relevant </w:t>
      </w:r>
      <w:r w:rsidR="00BD35B0" w:rsidRPr="00924858">
        <w:rPr>
          <w:rFonts w:ascii="Times New Roman,Calibri" w:eastAsia="Times New Roman,Calibri" w:hAnsi="Times New Roman,Calibri" w:cs="Times New Roman,Calibri"/>
          <w:noProof/>
          <w:sz w:val="24"/>
          <w:szCs w:val="24"/>
          <w:lang w:eastAsia="en-GB"/>
        </w:rPr>
        <w:t>compliance</w:t>
      </w:r>
      <w:r w:rsidR="007934A3" w:rsidRPr="00924858">
        <w:rPr>
          <w:rFonts w:ascii="Times New Roman,Calibri" w:eastAsia="Times New Roman,Calibri" w:hAnsi="Times New Roman,Calibri" w:cs="Times New Roman,Calibri"/>
          <w:noProof/>
          <w:sz w:val="24"/>
          <w:szCs w:val="24"/>
          <w:lang w:eastAsia="en-GB"/>
        </w:rPr>
        <w:t xml:space="preserve"> checks of </w:t>
      </w:r>
      <w:r w:rsidR="00BD35B0" w:rsidRPr="00924858">
        <w:rPr>
          <w:rFonts w:ascii="Times New Roman,Calibri" w:eastAsia="Times New Roman,Calibri" w:hAnsi="Times New Roman,Calibri" w:cs="Times New Roman,Calibri"/>
          <w:noProof/>
          <w:sz w:val="24"/>
          <w:szCs w:val="24"/>
          <w:lang w:eastAsia="en-GB"/>
        </w:rPr>
        <w:t xml:space="preserve">the </w:t>
      </w:r>
      <w:r w:rsidR="007934A3" w:rsidRPr="00924858">
        <w:rPr>
          <w:rFonts w:ascii="Times New Roman,Calibri" w:eastAsia="Times New Roman,Calibri" w:hAnsi="Times New Roman,Calibri" w:cs="Times New Roman,Calibri"/>
          <w:noProof/>
          <w:sz w:val="24"/>
          <w:szCs w:val="24"/>
          <w:lang w:eastAsia="en-GB"/>
        </w:rPr>
        <w:t>facilities.</w:t>
      </w:r>
    </w:p>
    <w:p w14:paraId="38285592" w14:textId="51028C26" w:rsidR="00C47888" w:rsidRPr="00924858" w:rsidRDefault="007934A3" w:rsidP="00C47888">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The </w:t>
      </w:r>
      <w:r w:rsidR="00C37893" w:rsidRPr="00924858">
        <w:rPr>
          <w:rFonts w:ascii="Times New Roman,Calibri" w:eastAsia="Times New Roman,Calibri" w:hAnsi="Times New Roman,Calibri" w:cs="Times New Roman,Calibri"/>
          <w:noProof/>
          <w:sz w:val="24"/>
          <w:szCs w:val="24"/>
          <w:lang w:eastAsia="en-GB"/>
        </w:rPr>
        <w:t>Commission</w:t>
      </w:r>
      <w:r w:rsidRPr="00924858">
        <w:rPr>
          <w:rFonts w:ascii="Times New Roman,Calibri" w:eastAsia="Times New Roman,Calibri" w:hAnsi="Times New Roman,Calibri" w:cs="Times New Roman,Calibri"/>
          <w:noProof/>
          <w:sz w:val="24"/>
          <w:szCs w:val="24"/>
          <w:lang w:eastAsia="en-GB"/>
        </w:rPr>
        <w:t xml:space="preserve"> also </w:t>
      </w:r>
      <w:r w:rsidR="00BD35B0" w:rsidRPr="00924858">
        <w:rPr>
          <w:rFonts w:ascii="Times New Roman,Calibri" w:eastAsia="Times New Roman,Calibri" w:hAnsi="Times New Roman,Calibri" w:cs="Times New Roman,Calibri"/>
          <w:noProof/>
          <w:sz w:val="24"/>
          <w:szCs w:val="24"/>
          <w:lang w:eastAsia="en-GB"/>
        </w:rPr>
        <w:t>worked</w:t>
      </w:r>
      <w:r w:rsidR="00C37893" w:rsidRPr="00924858">
        <w:rPr>
          <w:rFonts w:ascii="Times New Roman,Calibri" w:eastAsia="Times New Roman,Calibri" w:hAnsi="Times New Roman,Calibri" w:cs="Times New Roman,Calibri"/>
          <w:noProof/>
          <w:sz w:val="24"/>
          <w:szCs w:val="24"/>
          <w:lang w:eastAsia="en-GB"/>
        </w:rPr>
        <w:t xml:space="preserve"> </w:t>
      </w:r>
      <w:r w:rsidRPr="00924858">
        <w:rPr>
          <w:rFonts w:ascii="Times New Roman,Calibri" w:eastAsia="Times New Roman,Calibri" w:hAnsi="Times New Roman,Calibri" w:cs="Times New Roman,Calibri"/>
          <w:noProof/>
          <w:sz w:val="24"/>
          <w:szCs w:val="24"/>
          <w:lang w:eastAsia="en-GB"/>
        </w:rPr>
        <w:t xml:space="preserve">on removing obstacles to Green Line trade by ensuring smooth implementation of the </w:t>
      </w:r>
      <w:r w:rsidR="00DB4BA8" w:rsidRPr="00924858">
        <w:rPr>
          <w:rFonts w:ascii="Times New Roman,Calibri" w:eastAsia="Times New Roman,Calibri" w:hAnsi="Times New Roman,Calibri" w:cs="Times New Roman,Calibri"/>
          <w:noProof/>
          <w:sz w:val="24"/>
          <w:szCs w:val="24"/>
          <w:lang w:eastAsia="en-GB"/>
        </w:rPr>
        <w:t xml:space="preserve">inspection regimes </w:t>
      </w:r>
      <w:r w:rsidRPr="00924858">
        <w:rPr>
          <w:rFonts w:ascii="Times New Roman,Calibri" w:eastAsia="Times New Roman,Calibri" w:hAnsi="Times New Roman,Calibri" w:cs="Times New Roman,Calibri"/>
          <w:noProof/>
          <w:sz w:val="24"/>
          <w:szCs w:val="24"/>
          <w:lang w:eastAsia="en-GB"/>
        </w:rPr>
        <w:t>newly put in place</w:t>
      </w:r>
      <w:r w:rsidR="00C37893" w:rsidRPr="00924858">
        <w:rPr>
          <w:rFonts w:ascii="Times New Roman,Calibri" w:eastAsia="Times New Roman,Calibri" w:hAnsi="Times New Roman,Calibri" w:cs="Times New Roman,Calibri"/>
          <w:noProof/>
          <w:sz w:val="24"/>
          <w:szCs w:val="24"/>
          <w:lang w:eastAsia="en-GB"/>
        </w:rPr>
        <w:t xml:space="preserve">, which </w:t>
      </w:r>
      <w:r w:rsidRPr="00924858">
        <w:rPr>
          <w:rFonts w:ascii="Times New Roman,Calibri" w:eastAsia="Times New Roman,Calibri" w:hAnsi="Times New Roman,Calibri" w:cs="Times New Roman,Calibri"/>
          <w:noProof/>
          <w:sz w:val="24"/>
          <w:szCs w:val="24"/>
          <w:lang w:eastAsia="en-GB"/>
        </w:rPr>
        <w:t>now require phytosanitary certificates for all fruits and vegetables.</w:t>
      </w:r>
    </w:p>
    <w:p w14:paraId="71D7E090" w14:textId="77777777" w:rsidR="006C615B" w:rsidRPr="00924858" w:rsidRDefault="00F42B39">
      <w:pPr>
        <w:numPr>
          <w:ilvl w:val="1"/>
          <w:numId w:val="3"/>
        </w:numPr>
        <w:spacing w:before="120" w:after="120" w:line="240" w:lineRule="auto"/>
        <w:ind w:left="851"/>
        <w:jc w:val="both"/>
        <w:outlineLvl w:val="1"/>
        <w:rPr>
          <w:rFonts w:ascii="Times New Roman" w:eastAsia="Times New Roman" w:hAnsi="Times New Roman" w:cs="Times New Roman"/>
          <w:b/>
          <w:bCs/>
          <w:noProof/>
          <w:sz w:val="24"/>
          <w:szCs w:val="24"/>
          <w:lang w:eastAsia="en-GB"/>
        </w:rPr>
      </w:pPr>
      <w:r w:rsidRPr="00924858">
        <w:rPr>
          <w:rFonts w:ascii="Times New Roman" w:eastAsia="Times New Roman" w:hAnsi="Times New Roman" w:cs="Times New Roman"/>
          <w:b/>
          <w:bCs/>
          <w:noProof/>
          <w:sz w:val="24"/>
          <w:szCs w:val="24"/>
          <w:lang w:eastAsia="en-GB"/>
        </w:rPr>
        <w:t>Financial execution (contracts and payments)</w:t>
      </w:r>
    </w:p>
    <w:p w14:paraId="01CEF02C" w14:textId="77777777" w:rsidR="006C615B" w:rsidRPr="00924858" w:rsidRDefault="00F42B39">
      <w:pPr>
        <w:numPr>
          <w:ilvl w:val="2"/>
          <w:numId w:val="3"/>
        </w:numPr>
        <w:spacing w:before="120" w:after="120" w:line="240" w:lineRule="auto"/>
        <w:ind w:left="851"/>
        <w:jc w:val="both"/>
        <w:outlineLvl w:val="2"/>
        <w:rPr>
          <w:rFonts w:ascii="Times New Roman" w:eastAsia="Times New Roman" w:hAnsi="Times New Roman" w:cs="Times New Roman"/>
          <w:i/>
          <w:iCs/>
          <w:noProof/>
          <w:sz w:val="24"/>
          <w:szCs w:val="24"/>
          <w:lang w:eastAsia="en-GB"/>
        </w:rPr>
      </w:pPr>
      <w:r w:rsidRPr="00924858">
        <w:rPr>
          <w:rFonts w:ascii="Times New Roman" w:eastAsia="Times New Roman" w:hAnsi="Times New Roman" w:cs="Times New Roman"/>
          <w:i/>
          <w:iCs/>
          <w:noProof/>
          <w:sz w:val="24"/>
          <w:szCs w:val="24"/>
          <w:lang w:eastAsia="en-GB"/>
        </w:rPr>
        <w:t>Contracting</w:t>
      </w:r>
    </w:p>
    <w:p w14:paraId="7AE08533" w14:textId="1950A23C" w:rsidR="006C615B" w:rsidRPr="00924858" w:rsidRDefault="00F42B39">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The Commission signed legal commitments amounting to EUR</w:t>
      </w:r>
      <w:r w:rsidR="00924858">
        <w:rPr>
          <w:rFonts w:ascii="Times New Roman,Calibri" w:eastAsia="Times New Roman,Calibri" w:hAnsi="Times New Roman,Calibri" w:cs="Times New Roman,Calibri"/>
          <w:noProof/>
          <w:sz w:val="24"/>
          <w:szCs w:val="24"/>
          <w:lang w:eastAsia="en-GB"/>
        </w:rPr>
        <w:t> </w:t>
      </w:r>
      <w:r w:rsidR="001F4BE7" w:rsidRPr="00924858">
        <w:rPr>
          <w:rFonts w:ascii="Times New Roman,Calibri" w:eastAsia="Times New Roman,Calibri" w:hAnsi="Times New Roman,Calibri" w:cs="Times New Roman,Calibri"/>
          <w:noProof/>
          <w:sz w:val="24"/>
          <w:szCs w:val="24"/>
          <w:lang w:eastAsia="en-GB"/>
        </w:rPr>
        <w:t xml:space="preserve">27.2 </w:t>
      </w:r>
      <w:r w:rsidRPr="00924858">
        <w:rPr>
          <w:rFonts w:ascii="Times New Roman,Calibri" w:eastAsia="Times New Roman,Calibri" w:hAnsi="Times New Roman,Calibri" w:cs="Times New Roman,Calibri"/>
          <w:noProof/>
          <w:sz w:val="24"/>
          <w:szCs w:val="24"/>
          <w:lang w:eastAsia="en-GB"/>
        </w:rPr>
        <w:t>million</w:t>
      </w:r>
      <w:r w:rsidR="005C30F8" w:rsidRPr="00924858">
        <w:rPr>
          <w:rFonts w:ascii="Times New Roman,Calibri" w:eastAsia="Times New Roman,Calibri" w:hAnsi="Times New Roman,Calibri" w:cs="Times New Roman,Calibri"/>
          <w:noProof/>
          <w:sz w:val="24"/>
          <w:szCs w:val="24"/>
          <w:lang w:eastAsia="en-GB"/>
        </w:rPr>
        <w:t xml:space="preserve"> in </w:t>
      </w:r>
      <w:r w:rsidR="001F4BE7" w:rsidRPr="00924858">
        <w:rPr>
          <w:rFonts w:ascii="Times New Roman,Calibri" w:eastAsia="Times New Roman,Calibri" w:hAnsi="Times New Roman,Calibri" w:cs="Times New Roman,Calibri"/>
          <w:noProof/>
          <w:sz w:val="24"/>
          <w:szCs w:val="24"/>
          <w:lang w:eastAsia="en-GB"/>
        </w:rPr>
        <w:t>2022</w:t>
      </w:r>
      <w:r w:rsidR="005C30F8" w:rsidRPr="00924858">
        <w:rPr>
          <w:rFonts w:ascii="Times New Roman,Calibri" w:eastAsia="Times New Roman,Calibri" w:hAnsi="Times New Roman,Calibri" w:cs="Times New Roman,Calibri"/>
          <w:noProof/>
          <w:sz w:val="24"/>
          <w:szCs w:val="24"/>
          <w:lang w:eastAsia="en-GB"/>
        </w:rPr>
        <w:t>.</w:t>
      </w:r>
    </w:p>
    <w:p w14:paraId="1262DEBB" w14:textId="77777777" w:rsidR="006C615B" w:rsidRPr="00924858" w:rsidRDefault="00F42B39">
      <w:pPr>
        <w:numPr>
          <w:ilvl w:val="2"/>
          <w:numId w:val="3"/>
        </w:numPr>
        <w:spacing w:before="120" w:after="120" w:line="240" w:lineRule="auto"/>
        <w:ind w:left="851"/>
        <w:jc w:val="both"/>
        <w:outlineLvl w:val="2"/>
        <w:rPr>
          <w:rFonts w:ascii="Times New Roman" w:eastAsia="Times New Roman" w:hAnsi="Times New Roman" w:cs="Times New Roman"/>
          <w:i/>
          <w:iCs/>
          <w:noProof/>
          <w:sz w:val="24"/>
          <w:szCs w:val="24"/>
          <w:lang w:eastAsia="en-GB"/>
        </w:rPr>
      </w:pPr>
      <w:r w:rsidRPr="00924858">
        <w:rPr>
          <w:rFonts w:ascii="Times New Roman" w:eastAsia="Times New Roman" w:hAnsi="Times New Roman" w:cs="Times New Roman"/>
          <w:i/>
          <w:iCs/>
          <w:noProof/>
          <w:sz w:val="24"/>
          <w:szCs w:val="24"/>
          <w:lang w:eastAsia="en-GB"/>
        </w:rPr>
        <w:t>Payments</w:t>
      </w:r>
    </w:p>
    <w:p w14:paraId="76077762" w14:textId="6999C365" w:rsidR="006C615B" w:rsidRPr="00924858" w:rsidRDefault="00F42B39">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Payments in </w:t>
      </w:r>
      <w:r w:rsidR="001F4BE7" w:rsidRPr="00924858">
        <w:rPr>
          <w:rFonts w:ascii="Times New Roman,Calibri" w:eastAsia="Times New Roman,Calibri" w:hAnsi="Times New Roman,Calibri" w:cs="Times New Roman,Calibri"/>
          <w:noProof/>
          <w:sz w:val="24"/>
          <w:szCs w:val="24"/>
          <w:lang w:eastAsia="en-GB"/>
        </w:rPr>
        <w:t>2022</w:t>
      </w:r>
      <w:r w:rsidR="003D265A" w:rsidRPr="00924858">
        <w:rPr>
          <w:rFonts w:ascii="Times New Roman,Calibri" w:eastAsia="Times New Roman,Calibri" w:hAnsi="Times New Roman,Calibri" w:cs="Times New Roman,Calibri"/>
          <w:noProof/>
          <w:sz w:val="24"/>
          <w:szCs w:val="24"/>
          <w:lang w:eastAsia="en-GB"/>
        </w:rPr>
        <w:t xml:space="preserve"> </w:t>
      </w:r>
      <w:r w:rsidR="005C30F8" w:rsidRPr="00924858">
        <w:rPr>
          <w:rFonts w:ascii="Times New Roman,Calibri" w:eastAsia="Times New Roman,Calibri" w:hAnsi="Times New Roman,Calibri" w:cs="Times New Roman,Calibri"/>
          <w:noProof/>
          <w:sz w:val="24"/>
          <w:szCs w:val="24"/>
          <w:lang w:eastAsia="en-GB"/>
        </w:rPr>
        <w:t xml:space="preserve">totalled </w:t>
      </w:r>
      <w:r w:rsidRPr="00924858">
        <w:rPr>
          <w:rFonts w:ascii="Times New Roman,Calibri" w:eastAsia="Times New Roman,Calibri" w:hAnsi="Times New Roman,Calibri" w:cs="Times New Roman,Calibri"/>
          <w:noProof/>
          <w:sz w:val="24"/>
          <w:szCs w:val="24"/>
          <w:lang w:eastAsia="en-GB"/>
        </w:rPr>
        <w:t>EUR</w:t>
      </w:r>
      <w:r w:rsidR="00924858">
        <w:rPr>
          <w:rFonts w:ascii="Times New Roman,Calibri" w:eastAsia="Times New Roman,Calibri" w:hAnsi="Times New Roman,Calibri" w:cs="Times New Roman,Calibri"/>
          <w:noProof/>
          <w:sz w:val="24"/>
          <w:szCs w:val="24"/>
          <w:lang w:eastAsia="en-GB"/>
        </w:rPr>
        <w:t> </w:t>
      </w:r>
      <w:r w:rsidR="001F4BE7" w:rsidRPr="00924858">
        <w:rPr>
          <w:rFonts w:ascii="Times New Roman,Calibri" w:eastAsia="Times New Roman,Calibri" w:hAnsi="Times New Roman,Calibri" w:cs="Times New Roman,Calibri"/>
          <w:noProof/>
          <w:sz w:val="24"/>
          <w:szCs w:val="24"/>
          <w:lang w:eastAsia="en-GB"/>
        </w:rPr>
        <w:t xml:space="preserve">40.6 </w:t>
      </w:r>
      <w:r w:rsidRPr="00924858">
        <w:rPr>
          <w:rFonts w:ascii="Times New Roman,Calibri" w:eastAsia="Times New Roman,Calibri" w:hAnsi="Times New Roman,Calibri" w:cs="Times New Roman,Calibri"/>
          <w:noProof/>
          <w:sz w:val="24"/>
          <w:szCs w:val="24"/>
          <w:lang w:eastAsia="en-GB"/>
        </w:rPr>
        <w:t>million (EUR</w:t>
      </w:r>
      <w:r w:rsidR="00924858">
        <w:rPr>
          <w:rFonts w:ascii="Times New Roman,Calibri" w:eastAsia="Times New Roman,Calibri" w:hAnsi="Times New Roman,Calibri" w:cs="Times New Roman,Calibri"/>
          <w:noProof/>
          <w:sz w:val="24"/>
          <w:szCs w:val="24"/>
          <w:lang w:eastAsia="en-GB"/>
        </w:rPr>
        <w:t> </w:t>
      </w:r>
      <w:r w:rsidR="001F4BE7" w:rsidRPr="00924858">
        <w:rPr>
          <w:rFonts w:ascii="Times New Roman,Calibri" w:eastAsia="Times New Roman,Calibri" w:hAnsi="Times New Roman,Calibri" w:cs="Times New Roman,Calibri"/>
          <w:noProof/>
          <w:sz w:val="24"/>
          <w:szCs w:val="24"/>
          <w:lang w:eastAsia="en-GB"/>
        </w:rPr>
        <w:t xml:space="preserve">38 </w:t>
      </w:r>
      <w:r w:rsidRPr="00924858">
        <w:rPr>
          <w:rFonts w:ascii="Times New Roman,Calibri" w:eastAsia="Times New Roman,Calibri" w:hAnsi="Times New Roman,Calibri" w:cs="Times New Roman,Calibri"/>
          <w:noProof/>
          <w:sz w:val="24"/>
          <w:szCs w:val="24"/>
          <w:lang w:eastAsia="en-GB"/>
        </w:rPr>
        <w:t xml:space="preserve">million in </w:t>
      </w:r>
      <w:r w:rsidR="001F4BE7" w:rsidRPr="00924858">
        <w:rPr>
          <w:rFonts w:ascii="Times New Roman,Calibri" w:eastAsia="Times New Roman,Calibri" w:hAnsi="Times New Roman,Calibri" w:cs="Times New Roman,Calibri"/>
          <w:noProof/>
          <w:sz w:val="24"/>
          <w:szCs w:val="24"/>
          <w:lang w:eastAsia="en-GB"/>
        </w:rPr>
        <w:t>2021</w:t>
      </w:r>
      <w:r w:rsidRPr="00924858">
        <w:rPr>
          <w:rFonts w:ascii="Times New Roman,Calibri" w:eastAsia="Times New Roman,Calibri" w:hAnsi="Times New Roman,Calibri" w:cs="Times New Roman,Calibri"/>
          <w:noProof/>
          <w:sz w:val="24"/>
          <w:szCs w:val="24"/>
          <w:lang w:eastAsia="en-GB"/>
        </w:rPr>
        <w:t>).</w:t>
      </w:r>
    </w:p>
    <w:p w14:paraId="177BE76F" w14:textId="77777777" w:rsidR="006C615B" w:rsidRPr="00924858" w:rsidRDefault="00F42B39">
      <w:pPr>
        <w:numPr>
          <w:ilvl w:val="1"/>
          <w:numId w:val="3"/>
        </w:numPr>
        <w:spacing w:before="120" w:after="120" w:line="240" w:lineRule="auto"/>
        <w:ind w:left="851"/>
        <w:jc w:val="both"/>
        <w:outlineLvl w:val="1"/>
        <w:rPr>
          <w:rFonts w:ascii="Times New Roman" w:eastAsia="Times New Roman" w:hAnsi="Times New Roman" w:cs="Times New Roman"/>
          <w:b/>
          <w:bCs/>
          <w:noProof/>
          <w:sz w:val="24"/>
          <w:szCs w:val="24"/>
          <w:lang w:eastAsia="en-GB"/>
        </w:rPr>
      </w:pPr>
      <w:r w:rsidRPr="00924858">
        <w:rPr>
          <w:rFonts w:ascii="Times New Roman" w:eastAsia="Times New Roman" w:hAnsi="Times New Roman" w:cs="Times New Roman"/>
          <w:b/>
          <w:bCs/>
          <w:noProof/>
          <w:sz w:val="24"/>
          <w:szCs w:val="24"/>
          <w:lang w:eastAsia="en-GB"/>
        </w:rPr>
        <w:t>Monitoring</w:t>
      </w:r>
    </w:p>
    <w:p w14:paraId="076A587B" w14:textId="52C68421" w:rsidR="006C615B" w:rsidRPr="00924858" w:rsidRDefault="00F42B39">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The Commission </w:t>
      </w:r>
      <w:r w:rsidR="005C30F8" w:rsidRPr="00924858">
        <w:rPr>
          <w:rFonts w:ascii="Times New Roman,Calibri" w:eastAsia="Times New Roman,Calibri" w:hAnsi="Times New Roman,Calibri" w:cs="Times New Roman,Calibri"/>
          <w:noProof/>
          <w:sz w:val="24"/>
          <w:szCs w:val="24"/>
          <w:lang w:eastAsia="en-GB"/>
        </w:rPr>
        <w:t xml:space="preserve">is </w:t>
      </w:r>
      <w:r w:rsidRPr="00924858">
        <w:rPr>
          <w:rFonts w:ascii="Times New Roman,Calibri" w:eastAsia="Times New Roman,Calibri" w:hAnsi="Times New Roman,Calibri" w:cs="Times New Roman,Calibri"/>
          <w:noProof/>
          <w:sz w:val="24"/>
          <w:szCs w:val="24"/>
          <w:lang w:eastAsia="en-GB"/>
        </w:rPr>
        <w:t>direct</w:t>
      </w:r>
      <w:r w:rsidR="005C30F8" w:rsidRPr="00924858">
        <w:rPr>
          <w:rFonts w:ascii="Times New Roman,Calibri" w:eastAsia="Times New Roman,Calibri" w:hAnsi="Times New Roman,Calibri" w:cs="Times New Roman,Calibri"/>
          <w:noProof/>
          <w:sz w:val="24"/>
          <w:szCs w:val="24"/>
          <w:lang w:eastAsia="en-GB"/>
        </w:rPr>
        <w:t>ly</w:t>
      </w:r>
      <w:r w:rsidRPr="00924858">
        <w:rPr>
          <w:rFonts w:ascii="Times New Roman,Calibri" w:eastAsia="Times New Roman,Calibri" w:hAnsi="Times New Roman,Calibri" w:cs="Times New Roman,Calibri"/>
          <w:noProof/>
          <w:sz w:val="24"/>
          <w:szCs w:val="24"/>
          <w:lang w:eastAsia="en-GB"/>
        </w:rPr>
        <w:t xml:space="preserve"> responsib</w:t>
      </w:r>
      <w:r w:rsidR="005C30F8" w:rsidRPr="00924858">
        <w:rPr>
          <w:rFonts w:ascii="Times New Roman,Calibri" w:eastAsia="Times New Roman,Calibri" w:hAnsi="Times New Roman,Calibri" w:cs="Times New Roman,Calibri"/>
          <w:noProof/>
          <w:sz w:val="24"/>
          <w:szCs w:val="24"/>
          <w:lang w:eastAsia="en-GB"/>
        </w:rPr>
        <w:t>le</w:t>
      </w:r>
      <w:r w:rsidRPr="00924858">
        <w:rPr>
          <w:rFonts w:ascii="Times New Roman,Calibri" w:eastAsia="Times New Roman,Calibri" w:hAnsi="Times New Roman,Calibri" w:cs="Times New Roman,Calibri"/>
          <w:noProof/>
          <w:sz w:val="24"/>
          <w:szCs w:val="24"/>
          <w:lang w:eastAsia="en-GB"/>
        </w:rPr>
        <w:t xml:space="preserve"> for </w:t>
      </w:r>
      <w:r w:rsidR="00924858" w:rsidRPr="00924858">
        <w:rPr>
          <w:rFonts w:ascii="Times New Roman,Calibri" w:eastAsia="Times New Roman,Calibri" w:hAnsi="Times New Roman,Calibri" w:cs="Times New Roman,Calibri"/>
          <w:noProof/>
          <w:sz w:val="24"/>
          <w:szCs w:val="24"/>
          <w:lang w:eastAsia="en-GB"/>
        </w:rPr>
        <w:t>implementing</w:t>
      </w:r>
      <w:r w:rsidRPr="00924858">
        <w:rPr>
          <w:rFonts w:ascii="Times New Roman,Calibri" w:eastAsia="Times New Roman,Calibri" w:hAnsi="Times New Roman,Calibri" w:cs="Times New Roman,Calibri"/>
          <w:noProof/>
          <w:sz w:val="24"/>
          <w:szCs w:val="24"/>
          <w:lang w:eastAsia="en-GB"/>
        </w:rPr>
        <w:t xml:space="preserve"> most projects (direct management). </w:t>
      </w:r>
      <w:r w:rsidR="00924858" w:rsidRPr="00924858">
        <w:rPr>
          <w:rFonts w:ascii="Times New Roman,Calibri" w:eastAsia="Times New Roman,Calibri" w:hAnsi="Times New Roman,Calibri" w:cs="Times New Roman,Calibri"/>
          <w:noProof/>
          <w:sz w:val="24"/>
          <w:szCs w:val="24"/>
          <w:lang w:eastAsia="en-GB"/>
        </w:rPr>
        <w:t>The level of monitoring by Commission staff is very high, with constant contacts with contractors, spot-check visits, site meetings and steering committee meetings. The technical assistance provided by the Grant Support Team continued to support the Commission in monitoring the implementation of grant contracts, while also assisting grant beneficiaries in applying EU rules on implementing grant contracts, including secondary procurement rules.</w:t>
      </w:r>
    </w:p>
    <w:p w14:paraId="15D12148" w14:textId="24C7D290" w:rsidR="006C615B" w:rsidRPr="00924858" w:rsidRDefault="00864521">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T</w:t>
      </w:r>
      <w:r w:rsidR="00F42B39" w:rsidRPr="00924858">
        <w:rPr>
          <w:rFonts w:ascii="Times New Roman,Calibri" w:eastAsia="Times New Roman,Calibri" w:hAnsi="Times New Roman,Calibri" w:cs="Times New Roman,Calibri"/>
          <w:noProof/>
          <w:sz w:val="24"/>
          <w:szCs w:val="24"/>
          <w:lang w:eastAsia="en-GB"/>
        </w:rPr>
        <w:t xml:space="preserve">he Commission </w:t>
      </w:r>
      <w:r w:rsidRPr="00924858">
        <w:rPr>
          <w:rFonts w:ascii="Times New Roman,Calibri" w:eastAsia="Times New Roman,Calibri" w:hAnsi="Times New Roman,Calibri" w:cs="Times New Roman,Calibri"/>
          <w:noProof/>
          <w:sz w:val="24"/>
          <w:szCs w:val="24"/>
          <w:lang w:eastAsia="en-GB"/>
        </w:rPr>
        <w:t xml:space="preserve">also </w:t>
      </w:r>
      <w:r w:rsidR="00F42B39" w:rsidRPr="00924858">
        <w:rPr>
          <w:rFonts w:ascii="Times New Roman,Calibri" w:eastAsia="Times New Roman,Calibri" w:hAnsi="Times New Roman,Calibri" w:cs="Times New Roman,Calibri"/>
          <w:noProof/>
          <w:sz w:val="24"/>
          <w:szCs w:val="24"/>
          <w:lang w:eastAsia="en-GB"/>
        </w:rPr>
        <w:t xml:space="preserve">implements a number of contracts </w:t>
      </w:r>
      <w:r w:rsidRPr="00924858">
        <w:rPr>
          <w:rFonts w:ascii="Times New Roman,Calibri" w:eastAsia="Times New Roman,Calibri" w:hAnsi="Times New Roman,Calibri" w:cs="Times New Roman,Calibri"/>
          <w:noProof/>
          <w:sz w:val="24"/>
          <w:szCs w:val="24"/>
          <w:lang w:eastAsia="en-GB"/>
        </w:rPr>
        <w:t xml:space="preserve">through </w:t>
      </w:r>
      <w:r w:rsidR="00F42B39" w:rsidRPr="00924858">
        <w:rPr>
          <w:rFonts w:ascii="Times New Roman,Calibri" w:eastAsia="Times New Roman,Calibri" w:hAnsi="Times New Roman,Calibri" w:cs="Times New Roman,Calibri"/>
          <w:noProof/>
          <w:sz w:val="24"/>
          <w:szCs w:val="24"/>
          <w:lang w:eastAsia="en-GB"/>
        </w:rPr>
        <w:t xml:space="preserve">indirect management. The implementing </w:t>
      </w:r>
      <w:r w:rsidRPr="00924858">
        <w:rPr>
          <w:rFonts w:ascii="Times New Roman,Calibri" w:eastAsia="Times New Roman,Calibri" w:hAnsi="Times New Roman,Calibri" w:cs="Times New Roman,Calibri"/>
          <w:noProof/>
          <w:sz w:val="24"/>
          <w:szCs w:val="24"/>
          <w:lang w:eastAsia="en-GB"/>
        </w:rPr>
        <w:t xml:space="preserve">bodies, </w:t>
      </w:r>
      <w:r w:rsidR="00F42B39" w:rsidRPr="00924858">
        <w:rPr>
          <w:rFonts w:ascii="Times New Roman,Calibri" w:eastAsia="Times New Roman,Calibri" w:hAnsi="Times New Roman,Calibri" w:cs="Times New Roman,Calibri"/>
          <w:noProof/>
          <w:sz w:val="24"/>
          <w:szCs w:val="24"/>
          <w:lang w:eastAsia="en-GB"/>
        </w:rPr>
        <w:t xml:space="preserve">such as the UNDP, </w:t>
      </w:r>
      <w:r w:rsidR="001F4BE7" w:rsidRPr="00924858">
        <w:rPr>
          <w:rFonts w:ascii="Times New Roman,Calibri" w:eastAsia="Times New Roman,Calibri" w:hAnsi="Times New Roman,Calibri" w:cs="Times New Roman,Calibri"/>
          <w:noProof/>
          <w:sz w:val="24"/>
          <w:szCs w:val="24"/>
          <w:lang w:eastAsia="en-GB"/>
        </w:rPr>
        <w:t xml:space="preserve">the World Bank, </w:t>
      </w:r>
      <w:r w:rsidR="008E4FD5">
        <w:rPr>
          <w:rFonts w:ascii="Times New Roman,Calibri" w:eastAsia="Times New Roman,Calibri" w:hAnsi="Times New Roman,Calibri" w:cs="Times New Roman,Calibri"/>
          <w:noProof/>
          <w:sz w:val="24"/>
          <w:szCs w:val="24"/>
          <w:lang w:eastAsia="en-GB"/>
        </w:rPr>
        <w:t xml:space="preserve">the </w:t>
      </w:r>
      <w:r w:rsidR="001F4BE7" w:rsidRPr="00924858">
        <w:rPr>
          <w:rFonts w:ascii="Times New Roman,Calibri" w:eastAsia="Times New Roman,Calibri" w:hAnsi="Times New Roman,Calibri" w:cs="Times New Roman,Calibri"/>
          <w:noProof/>
          <w:sz w:val="24"/>
          <w:szCs w:val="24"/>
          <w:lang w:eastAsia="en-GB"/>
        </w:rPr>
        <w:t>Goethe</w:t>
      </w:r>
      <w:r w:rsidR="0071236B" w:rsidRPr="00924858">
        <w:rPr>
          <w:rFonts w:ascii="Times New Roman,Calibri" w:eastAsia="Times New Roman,Calibri" w:hAnsi="Times New Roman,Calibri" w:cs="Times New Roman,Calibri"/>
          <w:noProof/>
          <w:sz w:val="24"/>
          <w:szCs w:val="24"/>
          <w:lang w:eastAsia="en-GB"/>
        </w:rPr>
        <w:t>-</w:t>
      </w:r>
      <w:r w:rsidR="001F4BE7" w:rsidRPr="00924858">
        <w:rPr>
          <w:rFonts w:ascii="Times New Roman,Calibri" w:eastAsia="Times New Roman,Calibri" w:hAnsi="Times New Roman,Calibri" w:cs="Times New Roman,Calibri"/>
          <w:noProof/>
          <w:sz w:val="24"/>
          <w:szCs w:val="24"/>
          <w:lang w:eastAsia="en-GB"/>
        </w:rPr>
        <w:t>Institut</w:t>
      </w:r>
      <w:r w:rsidR="00F42B39" w:rsidRPr="00924858">
        <w:rPr>
          <w:rFonts w:ascii="Times New Roman,Calibri" w:eastAsia="Times New Roman,Calibri" w:hAnsi="Times New Roman,Calibri" w:cs="Times New Roman,Calibri"/>
          <w:noProof/>
          <w:sz w:val="24"/>
          <w:szCs w:val="24"/>
          <w:lang w:eastAsia="en-GB"/>
        </w:rPr>
        <w:t xml:space="preserve"> and </w:t>
      </w:r>
      <w:r w:rsidR="00F42B39" w:rsidRPr="00924858">
        <w:rPr>
          <w:rFonts w:ascii="Times New Roman" w:eastAsia="Times New Roman" w:hAnsi="Times New Roman" w:cs="Times New Roman"/>
          <w:noProof/>
          <w:sz w:val="24"/>
          <w:szCs w:val="24"/>
          <w:lang w:eastAsia="en-GB"/>
        </w:rPr>
        <w:t>NI-CO</w:t>
      </w:r>
      <w:r w:rsidRPr="00924858">
        <w:rPr>
          <w:rFonts w:ascii="Times New Roman" w:eastAsia="Times New Roman" w:hAnsi="Times New Roman" w:cs="Times New Roman"/>
          <w:noProof/>
          <w:sz w:val="24"/>
          <w:szCs w:val="24"/>
          <w:lang w:eastAsia="en-GB"/>
        </w:rPr>
        <w:t>,</w:t>
      </w:r>
      <w:r w:rsidR="00F42B39" w:rsidRPr="00924858">
        <w:rPr>
          <w:rFonts w:ascii="Times New Roman,Calibri" w:eastAsia="Times New Roman,Calibri" w:hAnsi="Times New Roman,Calibri" w:cs="Times New Roman,Calibri"/>
          <w:noProof/>
          <w:sz w:val="24"/>
          <w:szCs w:val="24"/>
          <w:lang w:eastAsia="en-GB"/>
        </w:rPr>
        <w:t xml:space="preserve"> report to the Commission in </w:t>
      </w:r>
      <w:r w:rsidRPr="00924858">
        <w:rPr>
          <w:rFonts w:ascii="Times New Roman,Calibri" w:eastAsia="Times New Roman,Calibri" w:hAnsi="Times New Roman,Calibri" w:cs="Times New Roman,Calibri"/>
          <w:noProof/>
          <w:sz w:val="24"/>
          <w:szCs w:val="24"/>
          <w:lang w:eastAsia="en-GB"/>
        </w:rPr>
        <w:t xml:space="preserve">line </w:t>
      </w:r>
      <w:r w:rsidR="00F42B39" w:rsidRPr="00924858">
        <w:rPr>
          <w:rFonts w:ascii="Times New Roman,Calibri" w:eastAsia="Times New Roman,Calibri" w:hAnsi="Times New Roman,Calibri" w:cs="Times New Roman,Calibri"/>
          <w:noProof/>
          <w:sz w:val="24"/>
          <w:szCs w:val="24"/>
          <w:lang w:eastAsia="en-GB"/>
        </w:rPr>
        <w:t xml:space="preserve">with the respective </w:t>
      </w:r>
      <w:r w:rsidRPr="00924858">
        <w:rPr>
          <w:rFonts w:ascii="Times New Roman,Calibri" w:eastAsia="Times New Roman,Calibri" w:hAnsi="Times New Roman,Calibri" w:cs="Times New Roman,Calibri"/>
          <w:noProof/>
          <w:sz w:val="24"/>
          <w:szCs w:val="24"/>
          <w:lang w:eastAsia="en-GB"/>
        </w:rPr>
        <w:t>f</w:t>
      </w:r>
      <w:r w:rsidR="00F42B39" w:rsidRPr="00924858">
        <w:rPr>
          <w:rFonts w:ascii="Times New Roman,Calibri" w:eastAsia="Times New Roman,Calibri" w:hAnsi="Times New Roman,Calibri" w:cs="Times New Roman,Calibri"/>
          <w:noProof/>
          <w:sz w:val="24"/>
          <w:szCs w:val="24"/>
          <w:lang w:eastAsia="en-GB"/>
        </w:rPr>
        <w:t xml:space="preserve">ramework </w:t>
      </w:r>
      <w:r w:rsidRPr="00924858">
        <w:rPr>
          <w:rFonts w:ascii="Times New Roman,Calibri" w:eastAsia="Times New Roman,Calibri" w:hAnsi="Times New Roman,Calibri" w:cs="Times New Roman,Calibri"/>
          <w:noProof/>
          <w:sz w:val="24"/>
          <w:szCs w:val="24"/>
          <w:lang w:eastAsia="en-GB"/>
        </w:rPr>
        <w:t>a</w:t>
      </w:r>
      <w:r w:rsidR="00F42B39" w:rsidRPr="00924858">
        <w:rPr>
          <w:rFonts w:ascii="Times New Roman,Calibri" w:eastAsia="Times New Roman,Calibri" w:hAnsi="Times New Roman,Calibri" w:cs="Times New Roman,Calibri"/>
          <w:noProof/>
          <w:sz w:val="24"/>
          <w:szCs w:val="24"/>
          <w:lang w:eastAsia="en-GB"/>
        </w:rPr>
        <w:t>greements. The Commission is closely involved in the day-to-day monitoring of these actions.</w:t>
      </w:r>
    </w:p>
    <w:p w14:paraId="12F67C49" w14:textId="77777777" w:rsidR="006C615B" w:rsidRPr="00924858" w:rsidRDefault="00F42B39">
      <w:pPr>
        <w:numPr>
          <w:ilvl w:val="1"/>
          <w:numId w:val="3"/>
        </w:numPr>
        <w:spacing w:before="120" w:after="120" w:line="240" w:lineRule="auto"/>
        <w:ind w:left="851"/>
        <w:jc w:val="both"/>
        <w:outlineLvl w:val="1"/>
        <w:rPr>
          <w:rFonts w:ascii="Times New Roman" w:eastAsia="Times New Roman" w:hAnsi="Times New Roman" w:cs="Times New Roman"/>
          <w:b/>
          <w:bCs/>
          <w:noProof/>
          <w:sz w:val="24"/>
          <w:szCs w:val="24"/>
          <w:lang w:eastAsia="en-GB"/>
        </w:rPr>
      </w:pPr>
      <w:r w:rsidRPr="00924858">
        <w:rPr>
          <w:rFonts w:ascii="Times New Roman" w:eastAsia="Times New Roman" w:hAnsi="Times New Roman" w:cs="Times New Roman"/>
          <w:b/>
          <w:bCs/>
          <w:noProof/>
          <w:sz w:val="24"/>
          <w:szCs w:val="24"/>
          <w:lang w:eastAsia="en-GB"/>
        </w:rPr>
        <w:t>Audit and controls</w:t>
      </w:r>
    </w:p>
    <w:p w14:paraId="150AA7AE" w14:textId="5917F5D3" w:rsidR="006C615B" w:rsidRPr="00924858" w:rsidRDefault="00F42B39">
      <w:pPr>
        <w:spacing w:before="120" w:after="120" w:line="240" w:lineRule="auto"/>
        <w:ind w:left="851"/>
        <w:jc w:val="both"/>
        <w:rPr>
          <w:rFonts w:ascii="Times New Roman" w:eastAsia="Times New Roman" w:hAnsi="Times New Roman" w:cs="Times New Roman"/>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The recommendations of the last audit conducted by the </w:t>
      </w:r>
      <w:r w:rsidR="00864521" w:rsidRPr="00924858">
        <w:rPr>
          <w:rFonts w:ascii="Times New Roman,Calibri" w:eastAsia="Times New Roman,Calibri" w:hAnsi="Times New Roman,Calibri" w:cs="Times New Roman,Calibri"/>
          <w:noProof/>
          <w:sz w:val="24"/>
          <w:szCs w:val="24"/>
          <w:lang w:eastAsia="en-GB"/>
        </w:rPr>
        <w:t>Internal Audit Service</w:t>
      </w:r>
      <w:r w:rsidR="00864521" w:rsidRPr="00924858" w:rsidDel="00864521">
        <w:rPr>
          <w:rFonts w:ascii="Times New Roman,Calibri" w:eastAsia="Times New Roman,Calibri" w:hAnsi="Times New Roman,Calibri" w:cs="Times New Roman,Calibri"/>
          <w:noProof/>
          <w:sz w:val="24"/>
          <w:szCs w:val="24"/>
          <w:lang w:eastAsia="en-GB"/>
        </w:rPr>
        <w:t xml:space="preserve"> </w:t>
      </w:r>
      <w:r w:rsidRPr="00924858">
        <w:rPr>
          <w:rFonts w:ascii="Times New Roman,Calibri" w:eastAsia="Times New Roman,Calibri" w:hAnsi="Times New Roman,Calibri" w:cs="Times New Roman,Calibri"/>
          <w:noProof/>
          <w:sz w:val="24"/>
          <w:szCs w:val="24"/>
          <w:lang w:eastAsia="en-GB"/>
        </w:rPr>
        <w:t>in 2017</w:t>
      </w:r>
      <w:r w:rsidR="00864521" w:rsidRPr="00924858">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 xml:space="preserve"> related to internal control arrangements in the area of public procurement</w:t>
      </w:r>
      <w:r w:rsidR="00864521" w:rsidRPr="00924858">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 xml:space="preserve"> have been fully implemented.</w:t>
      </w:r>
    </w:p>
    <w:p w14:paraId="54CF89AA" w14:textId="77777777" w:rsidR="006C615B" w:rsidRPr="00924858" w:rsidRDefault="00F42B39">
      <w:pPr>
        <w:numPr>
          <w:ilvl w:val="1"/>
          <w:numId w:val="2"/>
        </w:numPr>
        <w:spacing w:before="120" w:after="120" w:line="240" w:lineRule="auto"/>
        <w:ind w:left="851"/>
        <w:jc w:val="both"/>
        <w:outlineLvl w:val="1"/>
        <w:rPr>
          <w:rFonts w:ascii="Times New Roman" w:eastAsia="Times New Roman" w:hAnsi="Times New Roman" w:cs="Times New Roman"/>
          <w:noProof/>
          <w:sz w:val="24"/>
          <w:szCs w:val="24"/>
          <w:lang w:eastAsia="en-GB"/>
        </w:rPr>
      </w:pPr>
      <w:r w:rsidRPr="00924858">
        <w:rPr>
          <w:rFonts w:ascii="Times New Roman" w:eastAsia="Times New Roman" w:hAnsi="Times New Roman" w:cs="Times New Roman"/>
          <w:b/>
          <w:bCs/>
          <w:noProof/>
          <w:sz w:val="24"/>
          <w:szCs w:val="24"/>
          <w:lang w:eastAsia="en-GB"/>
        </w:rPr>
        <w:t>Evaluation</w:t>
      </w:r>
    </w:p>
    <w:p w14:paraId="38E1153A" w14:textId="318D9AFB" w:rsidR="006C615B" w:rsidRPr="00924858" w:rsidRDefault="00F42B39">
      <w:pPr>
        <w:pStyle w:val="Default"/>
        <w:spacing w:after="120"/>
        <w:ind w:left="851"/>
        <w:jc w:val="both"/>
        <w:rPr>
          <w:noProof/>
        </w:rPr>
      </w:pPr>
      <w:r w:rsidRPr="00924858">
        <w:rPr>
          <w:noProof/>
        </w:rPr>
        <w:t xml:space="preserve">The </w:t>
      </w:r>
      <w:r w:rsidR="00864521" w:rsidRPr="00924858">
        <w:rPr>
          <w:noProof/>
        </w:rPr>
        <w:t>r</w:t>
      </w:r>
      <w:r w:rsidRPr="00924858">
        <w:rPr>
          <w:noProof/>
        </w:rPr>
        <w:t>esults</w:t>
      </w:r>
      <w:r w:rsidR="00864521" w:rsidRPr="00924858">
        <w:rPr>
          <w:noProof/>
        </w:rPr>
        <w:t>-o</w:t>
      </w:r>
      <w:r w:rsidRPr="00924858">
        <w:rPr>
          <w:noProof/>
        </w:rPr>
        <w:t xml:space="preserve">riented </w:t>
      </w:r>
      <w:r w:rsidR="00864521" w:rsidRPr="00924858">
        <w:rPr>
          <w:noProof/>
        </w:rPr>
        <w:t>m</w:t>
      </w:r>
      <w:r w:rsidRPr="00924858">
        <w:rPr>
          <w:noProof/>
        </w:rPr>
        <w:t xml:space="preserve">onitoring (ROM) project </w:t>
      </w:r>
      <w:r w:rsidR="001F4BE7" w:rsidRPr="00924858">
        <w:rPr>
          <w:noProof/>
        </w:rPr>
        <w:t>was completed</w:t>
      </w:r>
      <w:r w:rsidR="00D107E8" w:rsidRPr="00924858">
        <w:rPr>
          <w:noProof/>
        </w:rPr>
        <w:t xml:space="preserve"> in 2022</w:t>
      </w:r>
      <w:r w:rsidR="001F4BE7" w:rsidRPr="00924858">
        <w:rPr>
          <w:noProof/>
        </w:rPr>
        <w:t xml:space="preserve">. </w:t>
      </w:r>
      <w:r w:rsidR="00D92C98" w:rsidRPr="00924858">
        <w:rPr>
          <w:noProof/>
        </w:rPr>
        <w:t>It</w:t>
      </w:r>
      <w:r w:rsidR="00864521" w:rsidRPr="00924858">
        <w:rPr>
          <w:noProof/>
        </w:rPr>
        <w:t xml:space="preserve"> </w:t>
      </w:r>
      <w:r w:rsidRPr="00924858">
        <w:rPr>
          <w:noProof/>
        </w:rPr>
        <w:t>review</w:t>
      </w:r>
      <w:r w:rsidR="001F4BE7" w:rsidRPr="00924858">
        <w:rPr>
          <w:noProof/>
        </w:rPr>
        <w:t>ed</w:t>
      </w:r>
      <w:r w:rsidRPr="00924858">
        <w:rPr>
          <w:noProof/>
        </w:rPr>
        <w:t xml:space="preserve"> the selected actions and </w:t>
      </w:r>
      <w:r w:rsidRPr="00924858">
        <w:rPr>
          <w:rFonts w:ascii="Times New Roman,Calibri" w:eastAsia="Times New Roman,Calibri" w:hAnsi="Times New Roman,Calibri" w:cs="Times New Roman,Calibri"/>
          <w:noProof/>
          <w:color w:val="000000" w:themeColor="text1"/>
        </w:rPr>
        <w:t xml:space="preserve">delivered the </w:t>
      </w:r>
      <w:r w:rsidR="00864521" w:rsidRPr="00924858">
        <w:rPr>
          <w:rFonts w:ascii="Times New Roman,Calibri" w:eastAsia="Times New Roman,Calibri" w:hAnsi="Times New Roman,Calibri" w:cs="Times New Roman,Calibri"/>
          <w:noProof/>
          <w:color w:val="000000" w:themeColor="text1"/>
        </w:rPr>
        <w:t xml:space="preserve">planned </w:t>
      </w:r>
      <w:r w:rsidRPr="00924858">
        <w:rPr>
          <w:rFonts w:ascii="Times New Roman,Calibri" w:eastAsia="Times New Roman,Calibri" w:hAnsi="Times New Roman,Calibri" w:cs="Times New Roman,Calibri"/>
          <w:noProof/>
          <w:color w:val="000000" w:themeColor="text1"/>
        </w:rPr>
        <w:t>training</w:t>
      </w:r>
      <w:r w:rsidR="00730A1B">
        <w:rPr>
          <w:rFonts w:ascii="Times New Roman,Calibri" w:eastAsia="Times New Roman,Calibri" w:hAnsi="Times New Roman,Calibri" w:cs="Times New Roman,Calibri"/>
          <w:noProof/>
          <w:color w:val="000000" w:themeColor="text1"/>
        </w:rPr>
        <w:t>s</w:t>
      </w:r>
      <w:r w:rsidRPr="00924858">
        <w:rPr>
          <w:rFonts w:ascii="Times New Roman,Calibri" w:eastAsia="Times New Roman,Calibri" w:hAnsi="Times New Roman,Calibri" w:cs="Times New Roman,Calibri"/>
          <w:noProof/>
          <w:color w:val="000000" w:themeColor="text1"/>
        </w:rPr>
        <w:t xml:space="preserve"> on </w:t>
      </w:r>
      <w:r w:rsidR="00864521" w:rsidRPr="00924858">
        <w:rPr>
          <w:rFonts w:ascii="Times New Roman,Calibri" w:eastAsia="Times New Roman,Calibri" w:hAnsi="Times New Roman,Calibri" w:cs="Times New Roman,Calibri"/>
          <w:noProof/>
          <w:color w:val="000000" w:themeColor="text1"/>
        </w:rPr>
        <w:t xml:space="preserve">the </w:t>
      </w:r>
      <w:r w:rsidRPr="00924858">
        <w:rPr>
          <w:rFonts w:ascii="Times New Roman,Calibri" w:eastAsia="Times New Roman,Calibri" w:hAnsi="Times New Roman,Calibri" w:cs="Times New Roman,Calibri"/>
          <w:noProof/>
          <w:color w:val="000000" w:themeColor="text1"/>
        </w:rPr>
        <w:t>improved internal monitoring capacity of relevant stakeholders</w:t>
      </w:r>
      <w:r w:rsidRPr="00924858">
        <w:rPr>
          <w:noProof/>
        </w:rPr>
        <w:t xml:space="preserve">. </w:t>
      </w:r>
      <w:r w:rsidR="00730A1B">
        <w:rPr>
          <w:noProof/>
        </w:rPr>
        <w:t>ROM e</w:t>
      </w:r>
      <w:r w:rsidR="00242A3C" w:rsidRPr="00924858">
        <w:rPr>
          <w:noProof/>
        </w:rPr>
        <w:t>xperts</w:t>
      </w:r>
      <w:r w:rsidR="00242A3C">
        <w:rPr>
          <w:noProof/>
        </w:rPr>
        <w:t xml:space="preserve"> made</w:t>
      </w:r>
      <w:r w:rsidR="00864521" w:rsidRPr="00924858">
        <w:rPr>
          <w:noProof/>
        </w:rPr>
        <w:t xml:space="preserve"> </w:t>
      </w:r>
      <w:r w:rsidRPr="00924858">
        <w:rPr>
          <w:noProof/>
        </w:rPr>
        <w:t>recommendations</w:t>
      </w:r>
      <w:r w:rsidR="00242A3C">
        <w:rPr>
          <w:noProof/>
        </w:rPr>
        <w:t xml:space="preserve"> </w:t>
      </w:r>
      <w:r w:rsidR="00864521" w:rsidRPr="00924858">
        <w:rPr>
          <w:noProof/>
        </w:rPr>
        <w:t>on</w:t>
      </w:r>
      <w:r w:rsidRPr="00924858">
        <w:rPr>
          <w:noProof/>
        </w:rPr>
        <w:t xml:space="preserve"> relevance, efficiency, effectiveness and </w:t>
      </w:r>
      <w:r w:rsidR="00242A3C">
        <w:rPr>
          <w:noProof/>
        </w:rPr>
        <w:t xml:space="preserve">sustainability; these </w:t>
      </w:r>
      <w:r w:rsidR="001F4BE7" w:rsidRPr="00924858">
        <w:rPr>
          <w:noProof/>
        </w:rPr>
        <w:t>have been</w:t>
      </w:r>
      <w:r w:rsidRPr="00924858">
        <w:rPr>
          <w:noProof/>
        </w:rPr>
        <w:t xml:space="preserve"> </w:t>
      </w:r>
      <w:r w:rsidR="00864521" w:rsidRPr="00924858">
        <w:rPr>
          <w:noProof/>
        </w:rPr>
        <w:t xml:space="preserve">incorporated into </w:t>
      </w:r>
      <w:r w:rsidRPr="00924858">
        <w:rPr>
          <w:noProof/>
        </w:rPr>
        <w:t>the reviewed actions and beyond.</w:t>
      </w:r>
    </w:p>
    <w:p w14:paraId="2DF81D13" w14:textId="7AEA88DF" w:rsidR="006C615B" w:rsidRPr="00924858" w:rsidRDefault="00D92C98">
      <w:pPr>
        <w:pStyle w:val="Default"/>
        <w:ind w:left="851"/>
        <w:jc w:val="both"/>
        <w:rPr>
          <w:noProof/>
        </w:rPr>
      </w:pPr>
      <w:r w:rsidRPr="00924858">
        <w:rPr>
          <w:noProof/>
        </w:rPr>
        <w:t xml:space="preserve">The Commission published </w:t>
      </w:r>
      <w:r w:rsidR="00242A3C">
        <w:rPr>
          <w:noProof/>
        </w:rPr>
        <w:t>a</w:t>
      </w:r>
      <w:r w:rsidR="00242A3C" w:rsidRPr="00924858">
        <w:rPr>
          <w:noProof/>
        </w:rPr>
        <w:t xml:space="preserve"> </w:t>
      </w:r>
      <w:r w:rsidRPr="00924858">
        <w:rPr>
          <w:noProof/>
        </w:rPr>
        <w:t>staff working document</w:t>
      </w:r>
      <w:r w:rsidR="00E85AA3" w:rsidRPr="004454A0">
        <w:rPr>
          <w:rStyle w:val="FootnoteReference"/>
          <w:rFonts w:asciiTheme="minorHAnsi" w:eastAsiaTheme="minorHAnsi" w:hAnsiTheme="minorHAnsi" w:cstheme="minorBidi"/>
          <w:noProof/>
          <w:color w:val="auto"/>
          <w:sz w:val="22"/>
          <w:szCs w:val="22"/>
        </w:rPr>
        <w:footnoteReference w:id="5"/>
      </w:r>
      <w:r w:rsidRPr="00924858">
        <w:rPr>
          <w:noProof/>
        </w:rPr>
        <w:t xml:space="preserve"> on the results of the evaluation of the Aid Programme in 2022. This evaluation provided an independent assessment and evidence of the progress made towards achieving the Aid Regulation objectives in the period 2013-2018</w:t>
      </w:r>
      <w:r w:rsidR="00F42B39" w:rsidRPr="00924858">
        <w:rPr>
          <w:noProof/>
        </w:rPr>
        <w:t xml:space="preserve">. The </w:t>
      </w:r>
      <w:r w:rsidRPr="00924858">
        <w:rPr>
          <w:noProof/>
        </w:rPr>
        <w:t>evaluation</w:t>
      </w:r>
      <w:r w:rsidR="00F42B39" w:rsidRPr="00924858">
        <w:rPr>
          <w:noProof/>
        </w:rPr>
        <w:t xml:space="preserve"> </w:t>
      </w:r>
      <w:r w:rsidR="0063102B" w:rsidRPr="00924858">
        <w:rPr>
          <w:noProof/>
        </w:rPr>
        <w:t xml:space="preserve">concluded that the Aid Programme can be considered as highly relevant and, given the peculiar circumstances of the </w:t>
      </w:r>
      <w:r w:rsidR="00CC536D" w:rsidRPr="00924858">
        <w:rPr>
          <w:rFonts w:ascii="Times New Roman,Calibri" w:eastAsia="Times New Roman,Calibri" w:hAnsi="Times New Roman,Calibri" w:cs="Times New Roman,Calibri"/>
          <w:noProof/>
          <w:lang w:eastAsia="en-GB"/>
        </w:rPr>
        <w:t xml:space="preserve">Turkish Cypriot community </w:t>
      </w:r>
      <w:r w:rsidR="0063102B" w:rsidRPr="00924858">
        <w:rPr>
          <w:noProof/>
        </w:rPr>
        <w:t>context, a relatively successful initiative, with substantial EU added value.</w:t>
      </w:r>
    </w:p>
    <w:p w14:paraId="228034ED" w14:textId="386D66E0" w:rsidR="006C615B" w:rsidRPr="00924858" w:rsidRDefault="00F42B39">
      <w:pPr>
        <w:numPr>
          <w:ilvl w:val="1"/>
          <w:numId w:val="3"/>
        </w:numPr>
        <w:spacing w:before="120" w:after="120" w:line="240" w:lineRule="auto"/>
        <w:ind w:left="851"/>
        <w:jc w:val="both"/>
        <w:outlineLvl w:val="1"/>
        <w:rPr>
          <w:rFonts w:ascii="Times New Roman" w:eastAsia="Times New Roman" w:hAnsi="Times New Roman" w:cs="Times New Roman"/>
          <w:b/>
          <w:bCs/>
          <w:noProof/>
          <w:sz w:val="24"/>
          <w:szCs w:val="24"/>
          <w:lang w:eastAsia="en-GB"/>
        </w:rPr>
      </w:pPr>
      <w:r w:rsidRPr="00924858">
        <w:rPr>
          <w:rFonts w:ascii="Times New Roman" w:eastAsia="Times New Roman" w:hAnsi="Times New Roman" w:cs="Times New Roman"/>
          <w:b/>
          <w:bCs/>
          <w:noProof/>
          <w:sz w:val="24"/>
          <w:szCs w:val="24"/>
          <w:lang w:eastAsia="en-GB"/>
        </w:rPr>
        <w:t xml:space="preserve">Information, </w:t>
      </w:r>
      <w:r w:rsidR="008C7E90">
        <w:rPr>
          <w:rFonts w:ascii="Times New Roman" w:eastAsia="Times New Roman" w:hAnsi="Times New Roman" w:cs="Times New Roman"/>
          <w:b/>
          <w:bCs/>
          <w:noProof/>
          <w:sz w:val="24"/>
          <w:szCs w:val="24"/>
          <w:lang w:eastAsia="en-GB"/>
        </w:rPr>
        <w:t>p</w:t>
      </w:r>
      <w:r w:rsidRPr="00924858">
        <w:rPr>
          <w:rFonts w:ascii="Times New Roman" w:eastAsia="Times New Roman" w:hAnsi="Times New Roman" w:cs="Times New Roman"/>
          <w:b/>
          <w:bCs/>
          <w:noProof/>
          <w:sz w:val="24"/>
          <w:szCs w:val="24"/>
          <w:lang w:eastAsia="en-GB"/>
        </w:rPr>
        <w:t xml:space="preserve">ublicity and </w:t>
      </w:r>
      <w:r w:rsidR="008C7E90">
        <w:rPr>
          <w:rFonts w:ascii="Times New Roman" w:eastAsia="Times New Roman" w:hAnsi="Times New Roman" w:cs="Times New Roman"/>
          <w:b/>
          <w:bCs/>
          <w:noProof/>
          <w:sz w:val="24"/>
          <w:szCs w:val="24"/>
          <w:lang w:eastAsia="en-GB"/>
        </w:rPr>
        <w:t>v</w:t>
      </w:r>
      <w:r w:rsidRPr="00924858">
        <w:rPr>
          <w:rFonts w:ascii="Times New Roman" w:eastAsia="Times New Roman" w:hAnsi="Times New Roman" w:cs="Times New Roman"/>
          <w:b/>
          <w:bCs/>
          <w:noProof/>
          <w:sz w:val="24"/>
          <w:szCs w:val="24"/>
          <w:lang w:eastAsia="en-GB"/>
        </w:rPr>
        <w:t>isibility</w:t>
      </w:r>
    </w:p>
    <w:p w14:paraId="2B7B2577" w14:textId="32306C36" w:rsidR="006C615B" w:rsidRPr="00924858" w:rsidRDefault="00F42B39">
      <w:pPr>
        <w:pStyle w:val="Default"/>
        <w:ind w:left="851"/>
        <w:jc w:val="both"/>
        <w:rPr>
          <w:noProof/>
        </w:rPr>
      </w:pPr>
      <w:r w:rsidRPr="00924858">
        <w:rPr>
          <w:noProof/>
        </w:rPr>
        <w:t xml:space="preserve">Overall, </w:t>
      </w:r>
      <w:r w:rsidR="00D107E8" w:rsidRPr="00924858">
        <w:rPr>
          <w:noProof/>
        </w:rPr>
        <w:t xml:space="preserve">584 </w:t>
      </w:r>
      <w:r w:rsidRPr="00924858">
        <w:rPr>
          <w:noProof/>
        </w:rPr>
        <w:t xml:space="preserve">visibility and communication actions </w:t>
      </w:r>
      <w:r w:rsidR="00503FD5" w:rsidRPr="00924858">
        <w:rPr>
          <w:noProof/>
        </w:rPr>
        <w:t xml:space="preserve">were </w:t>
      </w:r>
      <w:r w:rsidR="00270A8E" w:rsidRPr="00924858">
        <w:rPr>
          <w:noProof/>
        </w:rPr>
        <w:t xml:space="preserve">organised </w:t>
      </w:r>
      <w:r w:rsidRPr="00924858">
        <w:rPr>
          <w:noProof/>
        </w:rPr>
        <w:t xml:space="preserve">in </w:t>
      </w:r>
      <w:r w:rsidR="00C257CF" w:rsidRPr="00924858">
        <w:rPr>
          <w:noProof/>
        </w:rPr>
        <w:t>2022</w:t>
      </w:r>
      <w:r w:rsidR="00270A8E" w:rsidRPr="00924858">
        <w:rPr>
          <w:noProof/>
        </w:rPr>
        <w:t xml:space="preserve"> to showcase the EU’s work</w:t>
      </w:r>
      <w:r w:rsidRPr="00924858">
        <w:rPr>
          <w:noProof/>
        </w:rPr>
        <w:t xml:space="preserve">. </w:t>
      </w:r>
      <w:r w:rsidR="008058B9" w:rsidRPr="00924858">
        <w:rPr>
          <w:noProof/>
        </w:rPr>
        <w:t>T</w:t>
      </w:r>
      <w:r w:rsidR="001E24EC" w:rsidRPr="00924858">
        <w:rPr>
          <w:noProof/>
        </w:rPr>
        <w:t>he Commission published t</w:t>
      </w:r>
      <w:r w:rsidR="00503FD5" w:rsidRPr="00924858">
        <w:rPr>
          <w:noProof/>
        </w:rPr>
        <w:t xml:space="preserve">he </w:t>
      </w:r>
      <w:r w:rsidR="008058B9" w:rsidRPr="00924858">
        <w:rPr>
          <w:noProof/>
        </w:rPr>
        <w:t>booklet</w:t>
      </w:r>
      <w:r w:rsidR="001442FF" w:rsidRPr="00924858">
        <w:rPr>
          <w:noProof/>
        </w:rPr>
        <w:t xml:space="preserve"> </w:t>
      </w:r>
      <w:r w:rsidR="00C94C3D" w:rsidRPr="00924858">
        <w:rPr>
          <w:noProof/>
        </w:rPr>
        <w:t xml:space="preserve">on EU support in response to </w:t>
      </w:r>
      <w:r w:rsidR="00C94C3D" w:rsidRPr="00242A3C">
        <w:rPr>
          <w:noProof/>
        </w:rPr>
        <w:t>COVID-19</w:t>
      </w:r>
      <w:r w:rsidR="001E24EC" w:rsidRPr="00924858">
        <w:rPr>
          <w:noProof/>
        </w:rPr>
        <w:t xml:space="preserve">; </w:t>
      </w:r>
      <w:r w:rsidR="008058B9" w:rsidRPr="00924858">
        <w:rPr>
          <w:noProof/>
        </w:rPr>
        <w:t xml:space="preserve">preparations for the booklet </w:t>
      </w:r>
      <w:r w:rsidR="00C94C3D" w:rsidRPr="00924858">
        <w:rPr>
          <w:noProof/>
        </w:rPr>
        <w:t xml:space="preserve">on </w:t>
      </w:r>
      <w:r w:rsidR="00503FD5" w:rsidRPr="00924858">
        <w:rPr>
          <w:noProof/>
        </w:rPr>
        <w:t>p</w:t>
      </w:r>
      <w:r w:rsidR="00C94C3D" w:rsidRPr="00924858">
        <w:rPr>
          <w:noProof/>
        </w:rPr>
        <w:t xml:space="preserve">rivate </w:t>
      </w:r>
      <w:r w:rsidR="00503FD5" w:rsidRPr="00924858">
        <w:rPr>
          <w:noProof/>
        </w:rPr>
        <w:t>s</w:t>
      </w:r>
      <w:r w:rsidR="00C94C3D" w:rsidRPr="00924858">
        <w:rPr>
          <w:noProof/>
        </w:rPr>
        <w:t xml:space="preserve">ector </w:t>
      </w:r>
      <w:r w:rsidR="00503FD5" w:rsidRPr="00924858">
        <w:rPr>
          <w:noProof/>
        </w:rPr>
        <w:t>d</w:t>
      </w:r>
      <w:r w:rsidR="00C94C3D" w:rsidRPr="00924858">
        <w:rPr>
          <w:noProof/>
        </w:rPr>
        <w:t>evelopment</w:t>
      </w:r>
      <w:r w:rsidR="008058B9" w:rsidRPr="00924858">
        <w:rPr>
          <w:noProof/>
        </w:rPr>
        <w:t xml:space="preserve"> advanced</w:t>
      </w:r>
      <w:r w:rsidR="00C94C3D" w:rsidRPr="00924858">
        <w:rPr>
          <w:noProof/>
        </w:rPr>
        <w:t>.</w:t>
      </w:r>
    </w:p>
    <w:p w14:paraId="2E591701" w14:textId="77777777" w:rsidR="006C615B" w:rsidRPr="00924858" w:rsidRDefault="00F42B39">
      <w:pPr>
        <w:numPr>
          <w:ilvl w:val="1"/>
          <w:numId w:val="3"/>
        </w:numPr>
        <w:spacing w:before="120" w:after="120" w:line="240" w:lineRule="auto"/>
        <w:ind w:left="851"/>
        <w:jc w:val="both"/>
        <w:outlineLvl w:val="1"/>
        <w:rPr>
          <w:rFonts w:ascii="Times New Roman" w:eastAsia="Times New Roman" w:hAnsi="Times New Roman" w:cs="Times New Roman"/>
          <w:b/>
          <w:bCs/>
          <w:noProof/>
          <w:sz w:val="24"/>
          <w:szCs w:val="24"/>
          <w:lang w:eastAsia="en-GB"/>
        </w:rPr>
      </w:pPr>
      <w:r w:rsidRPr="00924858">
        <w:rPr>
          <w:rFonts w:ascii="Times New Roman" w:eastAsia="Times New Roman" w:hAnsi="Times New Roman" w:cs="Times New Roman"/>
          <w:b/>
          <w:bCs/>
          <w:noProof/>
          <w:sz w:val="24"/>
          <w:szCs w:val="24"/>
          <w:lang w:eastAsia="en-GB"/>
        </w:rPr>
        <w:t>Consultations with the Government of the Republic of Cyprus</w:t>
      </w:r>
    </w:p>
    <w:p w14:paraId="2AD453DC" w14:textId="350A745F" w:rsidR="006C615B" w:rsidRDefault="00F42B39">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Meetings were held with representatives of the Government of the Republic of Cyprus, </w:t>
      </w:r>
      <w:r w:rsidR="00B01544" w:rsidRPr="00924858">
        <w:rPr>
          <w:rFonts w:ascii="Times New Roman,Calibri" w:eastAsia="Times New Roman,Calibri" w:hAnsi="Times New Roman,Calibri" w:cs="Times New Roman,Calibri"/>
          <w:noProof/>
          <w:sz w:val="24"/>
          <w:szCs w:val="24"/>
          <w:lang w:eastAsia="en-GB"/>
        </w:rPr>
        <w:t xml:space="preserve">both </w:t>
      </w:r>
      <w:r w:rsidR="00503FD5" w:rsidRPr="00924858">
        <w:rPr>
          <w:rFonts w:ascii="Times New Roman,Calibri" w:eastAsia="Times New Roman,Calibri" w:hAnsi="Times New Roman,Calibri" w:cs="Times New Roman,Calibri"/>
          <w:noProof/>
          <w:sz w:val="24"/>
          <w:szCs w:val="24"/>
          <w:lang w:eastAsia="en-GB"/>
        </w:rPr>
        <w:t xml:space="preserve">in person </w:t>
      </w:r>
      <w:r w:rsidR="00B01544" w:rsidRPr="00924858">
        <w:rPr>
          <w:rFonts w:ascii="Times New Roman,Calibri" w:eastAsia="Times New Roman,Calibri" w:hAnsi="Times New Roman,Calibri" w:cs="Times New Roman,Calibri"/>
          <w:noProof/>
          <w:sz w:val="24"/>
          <w:szCs w:val="24"/>
          <w:lang w:eastAsia="en-GB"/>
        </w:rPr>
        <w:t>and online</w:t>
      </w:r>
      <w:r w:rsidRPr="00924858">
        <w:rPr>
          <w:rFonts w:ascii="Times New Roman,Calibri" w:eastAsia="Times New Roman,Calibri" w:hAnsi="Times New Roman,Calibri" w:cs="Times New Roman,Calibri"/>
          <w:noProof/>
          <w:sz w:val="24"/>
          <w:szCs w:val="24"/>
          <w:lang w:eastAsia="en-GB"/>
        </w:rPr>
        <w:t>. The Commission continues to rely on the Government</w:t>
      </w:r>
      <w:r w:rsidR="00924858">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 xml:space="preserve">s cooperation for </w:t>
      </w:r>
      <w:r w:rsidR="00503FD5" w:rsidRPr="00924858">
        <w:rPr>
          <w:rFonts w:ascii="Times New Roman,Calibri" w:eastAsia="Times New Roman,Calibri" w:hAnsi="Times New Roman,Calibri" w:cs="Times New Roman,Calibri"/>
          <w:noProof/>
          <w:sz w:val="24"/>
          <w:szCs w:val="24"/>
          <w:lang w:eastAsia="en-GB"/>
        </w:rPr>
        <w:t xml:space="preserve">the </w:t>
      </w:r>
      <w:r w:rsidRPr="00924858">
        <w:rPr>
          <w:rFonts w:ascii="Times New Roman,Calibri" w:eastAsia="Times New Roman,Calibri" w:hAnsi="Times New Roman,Calibri" w:cs="Times New Roman,Calibri"/>
          <w:noProof/>
          <w:sz w:val="24"/>
          <w:szCs w:val="24"/>
          <w:lang w:eastAsia="en-GB"/>
        </w:rPr>
        <w:t xml:space="preserve">verification of property rights and </w:t>
      </w:r>
      <w:r w:rsidR="00503FD5" w:rsidRPr="00924858">
        <w:rPr>
          <w:rFonts w:ascii="Times New Roman,Calibri" w:eastAsia="Times New Roman,Calibri" w:hAnsi="Times New Roman,Calibri" w:cs="Times New Roman,Calibri"/>
          <w:noProof/>
          <w:sz w:val="24"/>
          <w:szCs w:val="24"/>
          <w:lang w:eastAsia="en-GB"/>
        </w:rPr>
        <w:t xml:space="preserve">the </w:t>
      </w:r>
      <w:r w:rsidRPr="00924858">
        <w:rPr>
          <w:rFonts w:ascii="Times New Roman,Calibri" w:eastAsia="Times New Roman,Calibri" w:hAnsi="Times New Roman,Calibri" w:cs="Times New Roman,Calibri"/>
          <w:noProof/>
          <w:sz w:val="24"/>
          <w:szCs w:val="24"/>
          <w:lang w:eastAsia="en-GB"/>
        </w:rPr>
        <w:t>facilitation of the work of the bi-communal technical committees. The Commission meets regularly with the Permanent Representation.</w:t>
      </w:r>
    </w:p>
    <w:p w14:paraId="6D1F2A17" w14:textId="77777777" w:rsidR="00C948E8" w:rsidRPr="00924858" w:rsidRDefault="00C948E8">
      <w:pPr>
        <w:spacing w:before="120" w:after="120" w:line="240" w:lineRule="auto"/>
        <w:ind w:left="851"/>
        <w:jc w:val="both"/>
        <w:rPr>
          <w:rFonts w:ascii="Times New Roman,Calibri" w:eastAsia="Times New Roman,Calibri" w:hAnsi="Times New Roman,Calibri" w:cs="Times New Roman,Calibri"/>
          <w:noProof/>
          <w:sz w:val="24"/>
          <w:szCs w:val="24"/>
          <w:lang w:eastAsia="en-GB"/>
        </w:rPr>
      </w:pPr>
    </w:p>
    <w:p w14:paraId="2EA1F83D" w14:textId="77777777" w:rsidR="006C615B" w:rsidRPr="00924858" w:rsidRDefault="00F42B39">
      <w:pPr>
        <w:numPr>
          <w:ilvl w:val="0"/>
          <w:numId w:val="3"/>
        </w:numPr>
        <w:spacing w:before="120" w:after="120" w:line="240" w:lineRule="auto"/>
        <w:ind w:left="851" w:hanging="851"/>
        <w:jc w:val="both"/>
        <w:outlineLvl w:val="0"/>
        <w:rPr>
          <w:rFonts w:ascii="Times New Roman" w:eastAsia="Times New Roman" w:hAnsi="Times New Roman" w:cs="Times New Roman"/>
          <w:b/>
          <w:bCs/>
          <w:noProof/>
          <w:sz w:val="24"/>
          <w:szCs w:val="24"/>
          <w:lang w:eastAsia="en-GB"/>
        </w:rPr>
      </w:pPr>
      <w:r w:rsidRPr="00924858">
        <w:rPr>
          <w:rFonts w:ascii="Times New Roman" w:eastAsia="Times New Roman" w:hAnsi="Times New Roman" w:cs="Times New Roman"/>
          <w:b/>
          <w:bCs/>
          <w:smallCaps/>
          <w:noProof/>
          <w:sz w:val="24"/>
          <w:szCs w:val="24"/>
          <w:lang w:eastAsia="en-GB"/>
        </w:rPr>
        <w:t>Conclusions</w:t>
      </w:r>
    </w:p>
    <w:p w14:paraId="16BD036B" w14:textId="0244C269" w:rsidR="006C615B" w:rsidRPr="00924858" w:rsidRDefault="008C7E90">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Pr>
          <w:rFonts w:ascii="Times New Roman,Calibri" w:eastAsia="Times New Roman,Calibri" w:hAnsi="Times New Roman,Calibri" w:cs="Times New Roman,Calibri"/>
          <w:noProof/>
          <w:sz w:val="24"/>
          <w:szCs w:val="24"/>
          <w:lang w:eastAsia="en-GB"/>
        </w:rPr>
        <w:t>T</w:t>
      </w:r>
      <w:r w:rsidRPr="00924858">
        <w:rPr>
          <w:rFonts w:ascii="Times New Roman,Calibri" w:eastAsia="Times New Roman,Calibri" w:hAnsi="Times New Roman,Calibri" w:cs="Times New Roman,Calibri"/>
          <w:noProof/>
          <w:sz w:val="24"/>
          <w:szCs w:val="24"/>
          <w:lang w:eastAsia="en-GB"/>
        </w:rPr>
        <w:t>hrough the work it does in line with the Aid Regulation objectives</w:t>
      </w:r>
      <w:r>
        <w:rPr>
          <w:rFonts w:ascii="Times New Roman,Calibri" w:eastAsia="Times New Roman,Calibri" w:hAnsi="Times New Roman,Calibri" w:cs="Times New Roman,Calibri"/>
          <w:noProof/>
          <w:sz w:val="24"/>
          <w:szCs w:val="24"/>
          <w:lang w:eastAsia="en-GB"/>
        </w:rPr>
        <w:t>,</w:t>
      </w:r>
      <w:r w:rsidRPr="00924858">
        <w:rPr>
          <w:rFonts w:ascii="Times New Roman,Calibri" w:eastAsia="Times New Roman,Calibri" w:hAnsi="Times New Roman,Calibri" w:cs="Times New Roman,Calibri"/>
          <w:noProof/>
          <w:sz w:val="24"/>
          <w:szCs w:val="24"/>
          <w:lang w:eastAsia="en-GB"/>
        </w:rPr>
        <w:t xml:space="preserve"> </w:t>
      </w:r>
      <w:r>
        <w:rPr>
          <w:rFonts w:ascii="Times New Roman,Calibri" w:eastAsia="Times New Roman,Calibri" w:hAnsi="Times New Roman,Calibri" w:cs="Times New Roman,Calibri"/>
          <w:noProof/>
          <w:sz w:val="24"/>
          <w:szCs w:val="24"/>
          <w:lang w:eastAsia="en-GB"/>
        </w:rPr>
        <w:t>t</w:t>
      </w:r>
      <w:r w:rsidR="00F42B39" w:rsidRPr="00924858">
        <w:rPr>
          <w:rFonts w:ascii="Times New Roman,Calibri" w:eastAsia="Times New Roman,Calibri" w:hAnsi="Times New Roman,Calibri" w:cs="Times New Roman,Calibri"/>
          <w:noProof/>
          <w:sz w:val="24"/>
          <w:szCs w:val="24"/>
          <w:lang w:eastAsia="en-GB"/>
        </w:rPr>
        <w:t xml:space="preserve">he Commission continues to deliver assistance under the Aid Regulation to facilitate the reunification of Cyprus by encouraging the economic development of the </w:t>
      </w:r>
      <w:r w:rsidR="00CC536D" w:rsidRPr="00924858">
        <w:rPr>
          <w:rFonts w:ascii="Times New Roman,Calibri" w:eastAsia="Times New Roman,Calibri" w:hAnsi="Times New Roman,Calibri" w:cs="Times New Roman,Calibri"/>
          <w:noProof/>
          <w:sz w:val="24"/>
          <w:szCs w:val="24"/>
          <w:lang w:eastAsia="en-GB"/>
        </w:rPr>
        <w:t>Turkish Cypriot community</w:t>
      </w:r>
      <w:r w:rsidR="00F42B39" w:rsidRPr="00924858">
        <w:rPr>
          <w:rFonts w:ascii="Times New Roman,Calibri" w:eastAsia="Times New Roman,Calibri" w:hAnsi="Times New Roman,Calibri" w:cs="Times New Roman,Calibri"/>
          <w:noProof/>
          <w:sz w:val="24"/>
          <w:szCs w:val="24"/>
          <w:lang w:eastAsia="en-GB"/>
        </w:rPr>
        <w:t xml:space="preserve">. During </w:t>
      </w:r>
      <w:r w:rsidR="00C257CF" w:rsidRPr="00924858">
        <w:rPr>
          <w:rFonts w:ascii="Times New Roman,Calibri" w:eastAsia="Times New Roman,Calibri" w:hAnsi="Times New Roman,Calibri" w:cs="Times New Roman,Calibri"/>
          <w:noProof/>
          <w:sz w:val="24"/>
          <w:szCs w:val="24"/>
          <w:lang w:eastAsia="en-GB"/>
        </w:rPr>
        <w:t>2022</w:t>
      </w:r>
      <w:r w:rsidR="00F42B39" w:rsidRPr="00924858">
        <w:rPr>
          <w:rFonts w:ascii="Times New Roman,Calibri" w:eastAsia="Times New Roman,Calibri" w:hAnsi="Times New Roman,Calibri" w:cs="Times New Roman,Calibri"/>
          <w:noProof/>
          <w:sz w:val="24"/>
          <w:szCs w:val="24"/>
          <w:lang w:eastAsia="en-GB"/>
        </w:rPr>
        <w:t xml:space="preserve">, assistance continued to focus on areas that present particular problems </w:t>
      </w:r>
      <w:r w:rsidR="00503FD5" w:rsidRPr="00924858">
        <w:rPr>
          <w:rFonts w:ascii="Times New Roman,Calibri" w:eastAsia="Times New Roman,Calibri" w:hAnsi="Times New Roman,Calibri" w:cs="Times New Roman,Calibri"/>
          <w:noProof/>
          <w:sz w:val="24"/>
          <w:szCs w:val="24"/>
          <w:lang w:eastAsia="en-GB"/>
        </w:rPr>
        <w:t xml:space="preserve">for </w:t>
      </w:r>
      <w:r w:rsidR="00F42B39" w:rsidRPr="00924858">
        <w:rPr>
          <w:rFonts w:ascii="Times New Roman,Calibri" w:eastAsia="Times New Roman,Calibri" w:hAnsi="Times New Roman,Calibri" w:cs="Times New Roman,Calibri"/>
          <w:noProof/>
          <w:sz w:val="24"/>
          <w:szCs w:val="24"/>
          <w:lang w:eastAsia="en-GB"/>
        </w:rPr>
        <w:t xml:space="preserve">future </w:t>
      </w:r>
      <w:r w:rsidR="00503FD5" w:rsidRPr="00924858">
        <w:rPr>
          <w:rFonts w:ascii="Times New Roman,Calibri" w:eastAsia="Times New Roman,Calibri" w:hAnsi="Times New Roman,Calibri" w:cs="Times New Roman,Calibri"/>
          <w:noProof/>
          <w:sz w:val="24"/>
          <w:szCs w:val="24"/>
          <w:lang w:eastAsia="en-GB"/>
        </w:rPr>
        <w:t>compliance with the</w:t>
      </w:r>
      <w:r w:rsidR="00503FD5" w:rsidRPr="00924858">
        <w:rPr>
          <w:rFonts w:ascii="Times New Roman,Calibri" w:eastAsia="Times New Roman,Calibri" w:hAnsi="Times New Roman,Calibri" w:cs="Times New Roman,Calibri"/>
          <w:i/>
          <w:iCs/>
          <w:noProof/>
          <w:sz w:val="24"/>
          <w:szCs w:val="24"/>
          <w:lang w:eastAsia="en-GB"/>
        </w:rPr>
        <w:t xml:space="preserve"> </w:t>
      </w:r>
      <w:r w:rsidR="00924858">
        <w:rPr>
          <w:rFonts w:ascii="Times New Roman,Calibri" w:eastAsia="Times New Roman,Calibri" w:hAnsi="Times New Roman,Calibri" w:cs="Times New Roman,Calibri"/>
          <w:i/>
          <w:iCs/>
          <w:noProof/>
          <w:sz w:val="24"/>
          <w:szCs w:val="24"/>
          <w:lang w:eastAsia="en-GB"/>
        </w:rPr>
        <w:t>acquis</w:t>
      </w:r>
      <w:r w:rsidR="00F42B39" w:rsidRPr="00924858">
        <w:rPr>
          <w:rFonts w:ascii="Times New Roman,Calibri" w:eastAsia="Times New Roman,Calibri" w:hAnsi="Times New Roman,Calibri" w:cs="Times New Roman,Calibri"/>
          <w:noProof/>
          <w:sz w:val="24"/>
          <w:szCs w:val="24"/>
          <w:lang w:eastAsia="en-GB"/>
        </w:rPr>
        <w:t>.</w:t>
      </w:r>
    </w:p>
    <w:p w14:paraId="6C38EFBE" w14:textId="480D531C" w:rsidR="006C615B" w:rsidRPr="00924858" w:rsidRDefault="00F42B39">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sidRPr="00924858">
        <w:rPr>
          <w:rFonts w:ascii="Times New Roman,Calibri" w:eastAsia="Times New Roman,Calibri" w:hAnsi="Times New Roman,Calibri" w:cs="Times New Roman,Calibri"/>
          <w:noProof/>
          <w:sz w:val="24"/>
          <w:szCs w:val="24"/>
          <w:lang w:eastAsia="en-GB"/>
        </w:rPr>
        <w:t xml:space="preserve">The track record of past assistance and the maturity of projects will be continuously reflected in future programming </w:t>
      </w:r>
      <w:r w:rsidR="00503FD5" w:rsidRPr="00924858">
        <w:rPr>
          <w:rFonts w:ascii="Times New Roman,Calibri" w:eastAsia="Times New Roman,Calibri" w:hAnsi="Times New Roman,Calibri" w:cs="Times New Roman,Calibri"/>
          <w:noProof/>
          <w:sz w:val="24"/>
          <w:szCs w:val="24"/>
          <w:lang w:eastAsia="en-GB"/>
        </w:rPr>
        <w:t>rounds</w:t>
      </w:r>
      <w:r w:rsidRPr="00924858">
        <w:rPr>
          <w:rFonts w:ascii="Times New Roman,Calibri" w:eastAsia="Times New Roman,Calibri" w:hAnsi="Times New Roman,Calibri" w:cs="Times New Roman,Calibri"/>
          <w:noProof/>
          <w:sz w:val="24"/>
          <w:szCs w:val="24"/>
          <w:lang w:eastAsia="en-GB"/>
        </w:rPr>
        <w:t xml:space="preserve">. Efforts will </w:t>
      </w:r>
      <w:r w:rsidR="00503FD5" w:rsidRPr="00924858">
        <w:rPr>
          <w:rFonts w:ascii="Times New Roman,Calibri" w:eastAsia="Times New Roman,Calibri" w:hAnsi="Times New Roman,Calibri" w:cs="Times New Roman,Calibri"/>
          <w:noProof/>
          <w:sz w:val="24"/>
          <w:szCs w:val="24"/>
          <w:lang w:eastAsia="en-GB"/>
        </w:rPr>
        <w:t xml:space="preserve">continue to </w:t>
      </w:r>
      <w:r w:rsidRPr="00924858">
        <w:rPr>
          <w:rFonts w:ascii="Times New Roman,Calibri" w:eastAsia="Times New Roman,Calibri" w:hAnsi="Times New Roman,Calibri" w:cs="Times New Roman,Calibri"/>
          <w:noProof/>
          <w:sz w:val="24"/>
          <w:szCs w:val="24"/>
          <w:lang w:eastAsia="en-GB"/>
        </w:rPr>
        <w:t xml:space="preserve">focus on </w:t>
      </w:r>
      <w:r w:rsidR="00503FD5" w:rsidRPr="00924858">
        <w:rPr>
          <w:rFonts w:ascii="Times New Roman,Calibri" w:eastAsia="Times New Roman,Calibri" w:hAnsi="Times New Roman,Calibri" w:cs="Times New Roman,Calibri"/>
          <w:noProof/>
          <w:sz w:val="24"/>
          <w:szCs w:val="24"/>
          <w:lang w:eastAsia="en-GB"/>
        </w:rPr>
        <w:t>making a greater</w:t>
      </w:r>
      <w:r w:rsidRPr="00924858">
        <w:rPr>
          <w:rFonts w:ascii="Times New Roman,Calibri" w:eastAsia="Times New Roman,Calibri" w:hAnsi="Times New Roman,Calibri" w:cs="Times New Roman,Calibri"/>
          <w:noProof/>
          <w:sz w:val="24"/>
          <w:szCs w:val="24"/>
          <w:lang w:eastAsia="en-GB"/>
        </w:rPr>
        <w:t xml:space="preserve"> impact in priority areas through fewer but larger actions.</w:t>
      </w:r>
    </w:p>
    <w:p w14:paraId="5F523DFD" w14:textId="6DD5B8F9" w:rsidR="006C615B" w:rsidRPr="00924858" w:rsidRDefault="00F42B39">
      <w:pPr>
        <w:spacing w:before="120" w:after="120" w:line="240" w:lineRule="auto"/>
        <w:ind w:left="851"/>
        <w:jc w:val="both"/>
        <w:rPr>
          <w:rFonts w:ascii="Times New Roman,Calibri" w:eastAsia="Times New Roman,Calibri" w:hAnsi="Times New Roman,Calibri" w:cs="Times New Roman,Calibri"/>
          <w:noProof/>
          <w:sz w:val="24"/>
          <w:szCs w:val="24"/>
          <w:lang w:eastAsia="en-GB"/>
        </w:rPr>
      </w:pPr>
      <w:r w:rsidRPr="00924858">
        <w:rPr>
          <w:rFonts w:ascii="Times New Roman" w:eastAsia="Times New Roman" w:hAnsi="Times New Roman" w:cs="Times New Roman"/>
          <w:noProof/>
          <w:sz w:val="24"/>
          <w:szCs w:val="24"/>
        </w:rPr>
        <w:t xml:space="preserve">The Commission stands ready to deploy resources </w:t>
      </w:r>
      <w:r w:rsidR="008E4FD5" w:rsidRPr="00924858">
        <w:rPr>
          <w:rFonts w:ascii="Times New Roman" w:eastAsia="Times New Roman" w:hAnsi="Times New Roman" w:cs="Times New Roman"/>
          <w:noProof/>
          <w:sz w:val="24"/>
          <w:szCs w:val="24"/>
        </w:rPr>
        <w:t>as needed</w:t>
      </w:r>
      <w:r w:rsidR="008E4FD5">
        <w:rPr>
          <w:rFonts w:ascii="Times New Roman" w:eastAsia="Times New Roman" w:hAnsi="Times New Roman" w:cs="Times New Roman"/>
          <w:noProof/>
          <w:sz w:val="24"/>
          <w:szCs w:val="24"/>
        </w:rPr>
        <w:t>,</w:t>
      </w:r>
      <w:r w:rsidR="008E4FD5" w:rsidRPr="00924858">
        <w:rPr>
          <w:rFonts w:ascii="Times New Roman" w:eastAsia="Times New Roman" w:hAnsi="Times New Roman" w:cs="Times New Roman"/>
          <w:noProof/>
          <w:sz w:val="24"/>
          <w:szCs w:val="24"/>
        </w:rPr>
        <w:t xml:space="preserve"> </w:t>
      </w:r>
      <w:r w:rsidRPr="00924858">
        <w:rPr>
          <w:rFonts w:ascii="Times New Roman" w:eastAsia="Times New Roman" w:hAnsi="Times New Roman" w:cs="Times New Roman"/>
          <w:noProof/>
          <w:sz w:val="24"/>
          <w:szCs w:val="24"/>
        </w:rPr>
        <w:t>including under the Aid Programme, to support settlement negotiations under UN auspices.</w:t>
      </w:r>
      <w:bookmarkEnd w:id="0"/>
    </w:p>
    <w:sectPr w:rsidR="006C615B" w:rsidRPr="00924858" w:rsidSect="00A0614E">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D023A" w14:textId="77777777" w:rsidR="00D73D18" w:rsidRPr="00924858" w:rsidRDefault="00D73D18">
      <w:pPr>
        <w:spacing w:after="0" w:line="240" w:lineRule="auto"/>
      </w:pPr>
      <w:r w:rsidRPr="00924858">
        <w:separator/>
      </w:r>
    </w:p>
  </w:endnote>
  <w:endnote w:type="continuationSeparator" w:id="0">
    <w:p w14:paraId="3E8A92A1" w14:textId="77777777" w:rsidR="00D73D18" w:rsidRPr="00924858" w:rsidRDefault="00D73D18">
      <w:pPr>
        <w:spacing w:after="0" w:line="240" w:lineRule="auto"/>
      </w:pPr>
      <w:r w:rsidRPr="00924858">
        <w:continuationSeparator/>
      </w:r>
    </w:p>
  </w:endnote>
  <w:endnote w:type="continuationNotice" w:id="1">
    <w:p w14:paraId="49C80CDF" w14:textId="77777777" w:rsidR="00D73D18" w:rsidRPr="00924858" w:rsidRDefault="00D73D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C Square Sans Pro">
    <w:altName w:val="Bahnschrift Light"/>
    <w:charset w:val="00"/>
    <w:family w:val="swiss"/>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Calib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FE392" w14:textId="5EEB1475" w:rsidR="00C948E8" w:rsidRPr="007F2F5E" w:rsidRDefault="00C948E8" w:rsidP="007F2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4EB82" w14:textId="0BA8F837" w:rsidR="00C948E8" w:rsidRPr="007F2F5E" w:rsidRDefault="007F2F5E" w:rsidP="007F2F5E">
    <w:pPr>
      <w:pStyle w:val="FooterCoverPage"/>
      <w:rPr>
        <w:rFonts w:ascii="Arial" w:hAnsi="Arial" w:cs="Arial"/>
        <w:b/>
        <w:sz w:val="48"/>
      </w:rPr>
    </w:pPr>
    <w:r w:rsidRPr="007F2F5E">
      <w:rPr>
        <w:rFonts w:ascii="Arial" w:hAnsi="Arial" w:cs="Arial"/>
        <w:b/>
        <w:sz w:val="48"/>
      </w:rPr>
      <w:t>EN</w:t>
    </w:r>
    <w:r w:rsidRPr="007F2F5E">
      <w:rPr>
        <w:rFonts w:ascii="Arial" w:hAnsi="Arial" w:cs="Arial"/>
        <w:b/>
        <w:sz w:val="48"/>
      </w:rPr>
      <w:tab/>
    </w:r>
    <w:r w:rsidRPr="007F2F5E">
      <w:rPr>
        <w:rFonts w:ascii="Arial" w:hAnsi="Arial" w:cs="Arial"/>
        <w:b/>
        <w:sz w:val="48"/>
      </w:rPr>
      <w:tab/>
    </w:r>
    <w:r w:rsidRPr="007F2F5E">
      <w:tab/>
    </w:r>
    <w:r w:rsidRPr="007F2F5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D900C" w14:textId="77777777" w:rsidR="007F2F5E" w:rsidRPr="007F2F5E" w:rsidRDefault="007F2F5E" w:rsidP="007F2F5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D3F79" w14:textId="77777777" w:rsidR="00D73D18" w:rsidRPr="00924858" w:rsidRDefault="00D73D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068386"/>
      <w:docPartObj>
        <w:docPartGallery w:val="Page Numbers (Bottom of Page)"/>
        <w:docPartUnique/>
      </w:docPartObj>
    </w:sdtPr>
    <w:sdtEndPr>
      <w:rPr>
        <w:rFonts w:ascii="Times New Roman" w:hAnsi="Times New Roman" w:cs="Times New Roman"/>
        <w:sz w:val="24"/>
        <w:szCs w:val="24"/>
      </w:rPr>
    </w:sdtEndPr>
    <w:sdtContent>
      <w:p w14:paraId="0D64C43D" w14:textId="0027ACEA" w:rsidR="00D73D18" w:rsidRPr="00924858" w:rsidRDefault="00D73D18">
        <w:pPr>
          <w:pStyle w:val="Footer"/>
          <w:jc w:val="center"/>
          <w:rPr>
            <w:rFonts w:ascii="Times New Roman" w:hAnsi="Times New Roman" w:cs="Times New Roman"/>
            <w:sz w:val="24"/>
            <w:szCs w:val="24"/>
          </w:rPr>
        </w:pPr>
        <w:r w:rsidRPr="00924858">
          <w:rPr>
            <w:rFonts w:ascii="Times New Roman" w:hAnsi="Times New Roman" w:cs="Times New Roman"/>
            <w:sz w:val="24"/>
            <w:szCs w:val="24"/>
          </w:rPr>
          <w:fldChar w:fldCharType="begin"/>
        </w:r>
        <w:r w:rsidRPr="00924858">
          <w:rPr>
            <w:rFonts w:ascii="Times New Roman" w:hAnsi="Times New Roman" w:cs="Times New Roman"/>
            <w:sz w:val="24"/>
            <w:szCs w:val="24"/>
          </w:rPr>
          <w:instrText xml:space="preserve"> PAGE   \* MERGEFORMAT </w:instrText>
        </w:r>
        <w:r w:rsidRPr="00924858">
          <w:rPr>
            <w:rFonts w:ascii="Times New Roman" w:hAnsi="Times New Roman" w:cs="Times New Roman"/>
            <w:sz w:val="24"/>
            <w:szCs w:val="24"/>
          </w:rPr>
          <w:fldChar w:fldCharType="separate"/>
        </w:r>
        <w:r w:rsidR="007F2F5E">
          <w:rPr>
            <w:rFonts w:ascii="Times New Roman" w:hAnsi="Times New Roman" w:cs="Times New Roman"/>
            <w:noProof/>
            <w:sz w:val="24"/>
            <w:szCs w:val="24"/>
          </w:rPr>
          <w:t>1</w:t>
        </w:r>
        <w:r w:rsidRPr="00924858">
          <w:rPr>
            <w:rFonts w:ascii="Times New Roman" w:hAnsi="Times New Roman" w:cs="Times New Roman"/>
            <w:sz w:val="24"/>
            <w:szCs w:val="24"/>
          </w:rPr>
          <w:fldChar w:fldCharType="end"/>
        </w:r>
      </w:p>
    </w:sdtContent>
  </w:sdt>
  <w:p w14:paraId="6DC92077" w14:textId="77777777" w:rsidR="00D73D18" w:rsidRPr="00924858" w:rsidRDefault="00D73D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445A" w14:textId="77777777" w:rsidR="00D73D18" w:rsidRPr="00924858" w:rsidRDefault="00D73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7A973" w14:textId="77777777" w:rsidR="00D73D18" w:rsidRPr="00924858" w:rsidRDefault="00D73D18">
      <w:pPr>
        <w:spacing w:after="0" w:line="240" w:lineRule="auto"/>
      </w:pPr>
      <w:r w:rsidRPr="00924858">
        <w:separator/>
      </w:r>
    </w:p>
  </w:footnote>
  <w:footnote w:type="continuationSeparator" w:id="0">
    <w:p w14:paraId="74B87BF2" w14:textId="77777777" w:rsidR="00D73D18" w:rsidRPr="00924858" w:rsidRDefault="00D73D18">
      <w:pPr>
        <w:spacing w:after="0" w:line="240" w:lineRule="auto"/>
      </w:pPr>
      <w:r w:rsidRPr="00924858">
        <w:continuationSeparator/>
      </w:r>
    </w:p>
  </w:footnote>
  <w:footnote w:type="continuationNotice" w:id="1">
    <w:p w14:paraId="69C7AB6F" w14:textId="77777777" w:rsidR="00D73D18" w:rsidRPr="00924858" w:rsidRDefault="00D73D18">
      <w:pPr>
        <w:spacing w:after="0" w:line="240" w:lineRule="auto"/>
      </w:pPr>
    </w:p>
  </w:footnote>
  <w:footnote w:id="2">
    <w:p w14:paraId="39AF7166" w14:textId="6F6B2B1B" w:rsidR="00D73D18" w:rsidRPr="00924858" w:rsidRDefault="00D73D18">
      <w:pPr>
        <w:pStyle w:val="FootnoteText"/>
        <w:jc w:val="both"/>
        <w:rPr>
          <w:rFonts w:ascii="Times New Roman" w:eastAsia="Times New Roman" w:hAnsi="Times New Roman" w:cs="Times New Roman"/>
        </w:rPr>
      </w:pPr>
      <w:r w:rsidRPr="00924858">
        <w:rPr>
          <w:rStyle w:val="FootnoteReference"/>
          <w:rFonts w:ascii="Times New Roman" w:eastAsia="Times New Roman" w:hAnsi="Times New Roman" w:cs="Times New Roman"/>
        </w:rPr>
        <w:footnoteRef/>
      </w:r>
      <w:r w:rsidRPr="00924858">
        <w:rPr>
          <w:rFonts w:ascii="Times New Roman" w:hAnsi="Times New Roman" w:cs="Times New Roman"/>
        </w:rPr>
        <w:tab/>
      </w:r>
      <w:r w:rsidRPr="00924858">
        <w:rPr>
          <w:rFonts w:ascii="Times New Roman" w:eastAsia="Times New Roman" w:hAnsi="Times New Roman" w:cs="Times New Roman"/>
        </w:rPr>
        <w:t>Council Regulation (EC) No</w:t>
      </w:r>
      <w:r w:rsidR="00924858">
        <w:rPr>
          <w:rFonts w:ascii="Times New Roman" w:eastAsia="Times New Roman" w:hAnsi="Times New Roman" w:cs="Times New Roman"/>
        </w:rPr>
        <w:t> </w:t>
      </w:r>
      <w:r w:rsidRPr="00924858">
        <w:rPr>
          <w:rFonts w:ascii="Times New Roman" w:eastAsia="Times New Roman" w:hAnsi="Times New Roman" w:cs="Times New Roman"/>
        </w:rPr>
        <w:t>389/2006 of 27</w:t>
      </w:r>
      <w:r w:rsidR="00924858">
        <w:rPr>
          <w:rFonts w:ascii="Times New Roman" w:eastAsia="Times New Roman" w:hAnsi="Times New Roman" w:cs="Times New Roman"/>
        </w:rPr>
        <w:t> </w:t>
      </w:r>
      <w:r w:rsidRPr="00924858">
        <w:rPr>
          <w:rFonts w:ascii="Times New Roman" w:eastAsia="Times New Roman" w:hAnsi="Times New Roman" w:cs="Times New Roman"/>
        </w:rPr>
        <w:t>February 2006 establishing an instrument of financial support for encouraging the economic development of the Turkish Cypriot community and amending Council Regulation (EC) No</w:t>
      </w:r>
      <w:r w:rsidR="00924858">
        <w:rPr>
          <w:rFonts w:ascii="Times New Roman" w:eastAsia="Times New Roman" w:hAnsi="Times New Roman" w:cs="Times New Roman"/>
        </w:rPr>
        <w:t> </w:t>
      </w:r>
      <w:r w:rsidRPr="00924858">
        <w:rPr>
          <w:rFonts w:ascii="Times New Roman" w:eastAsia="Times New Roman" w:hAnsi="Times New Roman" w:cs="Times New Roman"/>
        </w:rPr>
        <w:t>2667/2000 on the European Agency for Reconstruction (OJ L65, 7.3.2006, p.</w:t>
      </w:r>
      <w:r w:rsidR="00924858">
        <w:rPr>
          <w:rFonts w:ascii="Times New Roman" w:eastAsia="Times New Roman" w:hAnsi="Times New Roman" w:cs="Times New Roman"/>
        </w:rPr>
        <w:t> </w:t>
      </w:r>
      <w:r w:rsidRPr="00924858">
        <w:rPr>
          <w:rFonts w:ascii="Times New Roman" w:eastAsia="Times New Roman" w:hAnsi="Times New Roman" w:cs="Times New Roman"/>
        </w:rPr>
        <w:t>5).</w:t>
      </w:r>
    </w:p>
  </w:footnote>
  <w:footnote w:id="3">
    <w:p w14:paraId="1A9E391D" w14:textId="6668915C" w:rsidR="00D73D18" w:rsidRPr="00924858" w:rsidRDefault="00D73D18">
      <w:pPr>
        <w:pStyle w:val="FootnoteText"/>
        <w:jc w:val="both"/>
        <w:rPr>
          <w:rFonts w:ascii="Times New Roman" w:eastAsia="Times New Roman" w:hAnsi="Times New Roman" w:cs="Times New Roman"/>
        </w:rPr>
      </w:pPr>
      <w:r w:rsidRPr="00924858">
        <w:rPr>
          <w:rStyle w:val="FootnoteReference"/>
          <w:rFonts w:ascii="Times New Roman" w:eastAsia="Times New Roman" w:hAnsi="Times New Roman" w:cs="Times New Roman"/>
        </w:rPr>
        <w:footnoteRef/>
      </w:r>
      <w:r w:rsidRPr="00924858">
        <w:rPr>
          <w:rFonts w:ascii="Times New Roman" w:hAnsi="Times New Roman" w:cs="Times New Roman"/>
        </w:rPr>
        <w:tab/>
      </w:r>
      <w:r w:rsidRPr="00924858">
        <w:rPr>
          <w:rFonts w:ascii="Times New Roman" w:eastAsia="Times New Roman" w:hAnsi="Times New Roman" w:cs="Times New Roman"/>
        </w:rPr>
        <w:t>Commission Implementing Decision of 13.12.2021 on adopting an Action Programme for the Turkish Cypriot community for the year 2021 (C(2021) 8905).</w:t>
      </w:r>
    </w:p>
  </w:footnote>
  <w:footnote w:id="4">
    <w:p w14:paraId="4301C5F5" w14:textId="42790830" w:rsidR="00D73D18" w:rsidRPr="00924858" w:rsidRDefault="00D73D18">
      <w:pPr>
        <w:pStyle w:val="FootnoteText"/>
        <w:jc w:val="both"/>
      </w:pPr>
      <w:r w:rsidRPr="00924858">
        <w:rPr>
          <w:rStyle w:val="FootnoteReference"/>
          <w:rFonts w:ascii="Times New Roman" w:eastAsia="Times New Roman" w:hAnsi="Times New Roman" w:cs="Times New Roman"/>
        </w:rPr>
        <w:footnoteRef/>
      </w:r>
      <w:r w:rsidR="00924858" w:rsidRPr="00924858">
        <w:rPr>
          <w:rFonts w:ascii="Times New Roman" w:eastAsia="Times New Roman" w:hAnsi="Times New Roman" w:cs="Times New Roman"/>
        </w:rPr>
        <w:tab/>
      </w:r>
      <w:r w:rsidRPr="00924858">
        <w:rPr>
          <w:rFonts w:ascii="Times New Roman" w:eastAsia="Times New Roman" w:hAnsi="Times New Roman" w:cs="Times New Roman"/>
        </w:rPr>
        <w:t>Council Regulation (EU, Euratom) 2020/2093 of 17</w:t>
      </w:r>
      <w:r w:rsidR="00924858">
        <w:rPr>
          <w:rFonts w:ascii="Times New Roman" w:eastAsia="Times New Roman" w:hAnsi="Times New Roman" w:cs="Times New Roman"/>
        </w:rPr>
        <w:t> </w:t>
      </w:r>
      <w:r w:rsidRPr="00924858">
        <w:rPr>
          <w:rFonts w:ascii="Times New Roman" w:eastAsia="Times New Roman" w:hAnsi="Times New Roman" w:cs="Times New Roman"/>
        </w:rPr>
        <w:t>December 2020 laying down the multiannual financial framework for the years 2021 to 2027 (OJ L433I, 22.12.2020, p.</w:t>
      </w:r>
      <w:r w:rsidR="00924858">
        <w:rPr>
          <w:rFonts w:ascii="Times New Roman" w:eastAsia="Times New Roman" w:hAnsi="Times New Roman" w:cs="Times New Roman"/>
        </w:rPr>
        <w:t> </w:t>
      </w:r>
      <w:r w:rsidRPr="00924858">
        <w:rPr>
          <w:rFonts w:ascii="Times New Roman" w:eastAsia="Times New Roman" w:hAnsi="Times New Roman" w:cs="Times New Roman"/>
        </w:rPr>
        <w:t>11).</w:t>
      </w:r>
    </w:p>
  </w:footnote>
  <w:footnote w:id="5">
    <w:p w14:paraId="24F51A11" w14:textId="47F62B3A" w:rsidR="004454A0" w:rsidRPr="004454A0" w:rsidRDefault="00E85AA3" w:rsidP="004454A0">
      <w:pPr>
        <w:pStyle w:val="FootnoteText"/>
        <w:jc w:val="both"/>
        <w:rPr>
          <w:rFonts w:ascii="Times New Roman" w:hAnsi="Times New Roman" w:cs="Times New Roman"/>
        </w:rPr>
      </w:pPr>
      <w:r w:rsidRPr="004454A0">
        <w:rPr>
          <w:rStyle w:val="FootnoteReference"/>
          <w:rFonts w:ascii="Times New Roman" w:hAnsi="Times New Roman" w:cs="Times New Roman"/>
        </w:rPr>
        <w:footnoteRef/>
      </w:r>
      <w:r w:rsidRPr="004454A0">
        <w:rPr>
          <w:rFonts w:ascii="Times New Roman" w:hAnsi="Times New Roman" w:cs="Times New Roman"/>
        </w:rPr>
        <w:t xml:space="preserve"> </w:t>
      </w:r>
      <w:r w:rsidRPr="004454A0">
        <w:rPr>
          <w:rFonts w:ascii="Times New Roman" w:hAnsi="Times New Roman" w:cs="Times New Roman"/>
        </w:rPr>
        <w:tab/>
      </w:r>
      <w:hyperlink r:id="rId1" w:history="1">
        <w:r w:rsidR="004454A0" w:rsidRPr="004454A0">
          <w:rPr>
            <w:rStyle w:val="Hyperlink"/>
            <w:rFonts w:ascii="Times New Roman" w:hAnsi="Times New Roman" w:cs="Times New Roman"/>
          </w:rPr>
          <w:t>COMMISSION STAFF WORKING DOCUMENT EVALUATION Evaluation of the Aid Programme for the Turkish Cypriot community (2013-2018) - Publications Office of the EU (europa.eu)</w:t>
        </w:r>
      </w:hyperlink>
      <w:r w:rsidR="004454A0">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36CAC" w14:textId="77777777" w:rsidR="007F2F5E" w:rsidRPr="007F2F5E" w:rsidRDefault="007F2F5E" w:rsidP="007F2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A5A8D" w14:textId="77777777" w:rsidR="007F2F5E" w:rsidRPr="007F2F5E" w:rsidRDefault="007F2F5E" w:rsidP="007F2F5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69B76" w14:textId="77777777" w:rsidR="007F2F5E" w:rsidRPr="007F2F5E" w:rsidRDefault="007F2F5E" w:rsidP="007F2F5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F810F" w14:textId="77777777" w:rsidR="00D73D18" w:rsidRPr="00924858" w:rsidRDefault="00D73D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C5825" w14:textId="77777777" w:rsidR="00D73D18" w:rsidRPr="00924858" w:rsidRDefault="00D73D18" w:rsidP="00B06F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A0476" w14:textId="77777777" w:rsidR="00D73D18" w:rsidRPr="00924858" w:rsidRDefault="00D73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0296"/>
    <w:multiLevelType w:val="hybridMultilevel"/>
    <w:tmpl w:val="BE48427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51167639"/>
    <w:multiLevelType w:val="hybridMultilevel"/>
    <w:tmpl w:val="6A9A1C96"/>
    <w:lvl w:ilvl="0" w:tplc="EFFAFDCE">
      <w:start w:val="1"/>
      <w:numFmt w:val="bullet"/>
      <w:lvlText w:val=""/>
      <w:lvlJc w:val="left"/>
      <w:pPr>
        <w:ind w:left="720" w:hanging="360"/>
      </w:pPr>
      <w:rPr>
        <w:rFonts w:ascii="Symbol" w:hAnsi="Symbol" w:hint="default"/>
      </w:rPr>
    </w:lvl>
    <w:lvl w:ilvl="1" w:tplc="946C640C">
      <w:start w:val="1"/>
      <w:numFmt w:val="bullet"/>
      <w:lvlText w:val="o"/>
      <w:lvlJc w:val="left"/>
      <w:pPr>
        <w:ind w:left="1440" w:hanging="360"/>
      </w:pPr>
      <w:rPr>
        <w:rFonts w:ascii="Courier New" w:hAnsi="Courier New" w:hint="default"/>
      </w:rPr>
    </w:lvl>
    <w:lvl w:ilvl="2" w:tplc="B042690C">
      <w:start w:val="1"/>
      <w:numFmt w:val="bullet"/>
      <w:lvlText w:val=""/>
      <w:lvlJc w:val="left"/>
      <w:pPr>
        <w:ind w:left="2160" w:hanging="360"/>
      </w:pPr>
      <w:rPr>
        <w:rFonts w:ascii="Wingdings" w:hAnsi="Wingdings" w:hint="default"/>
      </w:rPr>
    </w:lvl>
    <w:lvl w:ilvl="3" w:tplc="750A7D34">
      <w:start w:val="1"/>
      <w:numFmt w:val="bullet"/>
      <w:lvlText w:val=""/>
      <w:lvlJc w:val="left"/>
      <w:pPr>
        <w:ind w:left="2880" w:hanging="360"/>
      </w:pPr>
      <w:rPr>
        <w:rFonts w:ascii="Symbol" w:hAnsi="Symbol" w:hint="default"/>
      </w:rPr>
    </w:lvl>
    <w:lvl w:ilvl="4" w:tplc="A4FE185A">
      <w:start w:val="1"/>
      <w:numFmt w:val="bullet"/>
      <w:lvlText w:val="o"/>
      <w:lvlJc w:val="left"/>
      <w:pPr>
        <w:ind w:left="3600" w:hanging="360"/>
      </w:pPr>
      <w:rPr>
        <w:rFonts w:ascii="Courier New" w:hAnsi="Courier New" w:hint="default"/>
      </w:rPr>
    </w:lvl>
    <w:lvl w:ilvl="5" w:tplc="748A475A">
      <w:start w:val="1"/>
      <w:numFmt w:val="bullet"/>
      <w:lvlText w:val=""/>
      <w:lvlJc w:val="left"/>
      <w:pPr>
        <w:ind w:left="4320" w:hanging="360"/>
      </w:pPr>
      <w:rPr>
        <w:rFonts w:ascii="Wingdings" w:hAnsi="Wingdings" w:hint="default"/>
      </w:rPr>
    </w:lvl>
    <w:lvl w:ilvl="6" w:tplc="DDD274F0">
      <w:start w:val="1"/>
      <w:numFmt w:val="bullet"/>
      <w:lvlText w:val=""/>
      <w:lvlJc w:val="left"/>
      <w:pPr>
        <w:ind w:left="5040" w:hanging="360"/>
      </w:pPr>
      <w:rPr>
        <w:rFonts w:ascii="Symbol" w:hAnsi="Symbol" w:hint="default"/>
      </w:rPr>
    </w:lvl>
    <w:lvl w:ilvl="7" w:tplc="876235DC">
      <w:start w:val="1"/>
      <w:numFmt w:val="bullet"/>
      <w:lvlText w:val="o"/>
      <w:lvlJc w:val="left"/>
      <w:pPr>
        <w:ind w:left="5760" w:hanging="360"/>
      </w:pPr>
      <w:rPr>
        <w:rFonts w:ascii="Courier New" w:hAnsi="Courier New" w:hint="default"/>
      </w:rPr>
    </w:lvl>
    <w:lvl w:ilvl="8" w:tplc="BCEC6428">
      <w:start w:val="1"/>
      <w:numFmt w:val="bullet"/>
      <w:lvlText w:val=""/>
      <w:lvlJc w:val="left"/>
      <w:pPr>
        <w:ind w:left="6480" w:hanging="360"/>
      </w:pPr>
      <w:rPr>
        <w:rFonts w:ascii="Wingdings" w:hAnsi="Wingdings" w:hint="default"/>
      </w:rPr>
    </w:lvl>
  </w:abstractNum>
  <w:abstractNum w:abstractNumId="2" w15:restartNumberingAfterBreak="0">
    <w:nsid w:val="54E05DE6"/>
    <w:multiLevelType w:val="hybridMultilevel"/>
    <w:tmpl w:val="026E9454"/>
    <w:lvl w:ilvl="0" w:tplc="3070B298">
      <w:start w:val="1"/>
      <w:numFmt w:val="lowerLetter"/>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EA53655"/>
    <w:multiLevelType w:val="hybridMultilevel"/>
    <w:tmpl w:val="36E0B85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A12FA4"/>
    <w:multiLevelType w:val="multilevel"/>
    <w:tmpl w:val="5746AFF0"/>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rPr>
        <w:rFonts w:ascii="Times New Roman" w:hAnsi="Times New Roman" w:cs="Times New Roman" w:hint="default"/>
        <w:b w:val="0"/>
        <w:i/>
      </w:rPr>
    </w:lvl>
    <w:lvl w:ilvl="3">
      <w:start w:val="1"/>
      <w:numFmt w:val="decimal"/>
      <w:pStyle w:val="Heading4"/>
      <w:lvlText w:val="%1.%2.%3.%4."/>
      <w:lvlJc w:val="left"/>
      <w:pPr>
        <w:tabs>
          <w:tab w:val="num" w:pos="1842"/>
        </w:tabs>
        <w:ind w:left="1842"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7091835"/>
    <w:multiLevelType w:val="hybridMultilevel"/>
    <w:tmpl w:val="E08E6AD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705B1A03"/>
    <w:multiLevelType w:val="hybridMultilevel"/>
    <w:tmpl w:val="203288B8"/>
    <w:lvl w:ilvl="0" w:tplc="A366090E">
      <w:start w:val="1"/>
      <w:numFmt w:val="bullet"/>
      <w:lvlText w:val=""/>
      <w:lvlJc w:val="left"/>
      <w:pPr>
        <w:ind w:left="720" w:hanging="360"/>
      </w:pPr>
      <w:rPr>
        <w:rFonts w:ascii="Symbol" w:hAnsi="Symbol" w:hint="default"/>
      </w:rPr>
    </w:lvl>
    <w:lvl w:ilvl="1" w:tplc="B42470EC">
      <w:start w:val="1"/>
      <w:numFmt w:val="bullet"/>
      <w:lvlText w:val="o"/>
      <w:lvlJc w:val="left"/>
      <w:pPr>
        <w:ind w:left="1440" w:hanging="360"/>
      </w:pPr>
      <w:rPr>
        <w:rFonts w:ascii="Courier New" w:hAnsi="Courier New" w:hint="default"/>
      </w:rPr>
    </w:lvl>
    <w:lvl w:ilvl="2" w:tplc="8F44A872">
      <w:start w:val="1"/>
      <w:numFmt w:val="bullet"/>
      <w:lvlText w:val=""/>
      <w:lvlJc w:val="left"/>
      <w:pPr>
        <w:ind w:left="2160" w:hanging="360"/>
      </w:pPr>
      <w:rPr>
        <w:rFonts w:ascii="Wingdings" w:hAnsi="Wingdings" w:hint="default"/>
      </w:rPr>
    </w:lvl>
    <w:lvl w:ilvl="3" w:tplc="BBC4D2D8">
      <w:start w:val="1"/>
      <w:numFmt w:val="bullet"/>
      <w:lvlText w:val=""/>
      <w:lvlJc w:val="left"/>
      <w:pPr>
        <w:ind w:left="2880" w:hanging="360"/>
      </w:pPr>
      <w:rPr>
        <w:rFonts w:ascii="Symbol" w:hAnsi="Symbol" w:hint="default"/>
      </w:rPr>
    </w:lvl>
    <w:lvl w:ilvl="4" w:tplc="24BA74C0">
      <w:start w:val="1"/>
      <w:numFmt w:val="bullet"/>
      <w:lvlText w:val="o"/>
      <w:lvlJc w:val="left"/>
      <w:pPr>
        <w:ind w:left="3600" w:hanging="360"/>
      </w:pPr>
      <w:rPr>
        <w:rFonts w:ascii="Courier New" w:hAnsi="Courier New" w:hint="default"/>
      </w:rPr>
    </w:lvl>
    <w:lvl w:ilvl="5" w:tplc="6B7C07DA">
      <w:start w:val="1"/>
      <w:numFmt w:val="bullet"/>
      <w:lvlText w:val=""/>
      <w:lvlJc w:val="left"/>
      <w:pPr>
        <w:ind w:left="4320" w:hanging="360"/>
      </w:pPr>
      <w:rPr>
        <w:rFonts w:ascii="Wingdings" w:hAnsi="Wingdings" w:hint="default"/>
      </w:rPr>
    </w:lvl>
    <w:lvl w:ilvl="6" w:tplc="8A8A63CC">
      <w:start w:val="1"/>
      <w:numFmt w:val="bullet"/>
      <w:lvlText w:val=""/>
      <w:lvlJc w:val="left"/>
      <w:pPr>
        <w:ind w:left="5040" w:hanging="360"/>
      </w:pPr>
      <w:rPr>
        <w:rFonts w:ascii="Symbol" w:hAnsi="Symbol" w:hint="default"/>
      </w:rPr>
    </w:lvl>
    <w:lvl w:ilvl="7" w:tplc="19C0451C">
      <w:start w:val="1"/>
      <w:numFmt w:val="bullet"/>
      <w:lvlText w:val="o"/>
      <w:lvlJc w:val="left"/>
      <w:pPr>
        <w:ind w:left="5760" w:hanging="360"/>
      </w:pPr>
      <w:rPr>
        <w:rFonts w:ascii="Courier New" w:hAnsi="Courier New" w:hint="default"/>
      </w:rPr>
    </w:lvl>
    <w:lvl w:ilvl="8" w:tplc="A96AB502">
      <w:start w:val="1"/>
      <w:numFmt w:val="bullet"/>
      <w:lvlText w:val=""/>
      <w:lvlJc w:val="left"/>
      <w:pPr>
        <w:ind w:left="6480" w:hanging="360"/>
      </w:pPr>
      <w:rPr>
        <w:rFonts w:ascii="Wingdings" w:hAnsi="Wingdings" w:hint="default"/>
      </w:rPr>
    </w:lvl>
  </w:abstractNum>
  <w:abstractNum w:abstractNumId="7" w15:restartNumberingAfterBreak="0">
    <w:nsid w:val="7CF62F33"/>
    <w:multiLevelType w:val="hybridMultilevel"/>
    <w:tmpl w:val="F3E05A8C"/>
    <w:lvl w:ilvl="0" w:tplc="0B12ECF0">
      <w:start w:val="1"/>
      <w:numFmt w:val="bullet"/>
      <w:lvlText w:val=""/>
      <w:lvlJc w:val="left"/>
      <w:pPr>
        <w:ind w:left="720" w:hanging="360"/>
      </w:pPr>
      <w:rPr>
        <w:rFonts w:ascii="Symbol" w:hAnsi="Symbol" w:hint="default"/>
      </w:rPr>
    </w:lvl>
    <w:lvl w:ilvl="1" w:tplc="6E4A6AF6">
      <w:start w:val="1"/>
      <w:numFmt w:val="bullet"/>
      <w:lvlText w:val="o"/>
      <w:lvlJc w:val="left"/>
      <w:pPr>
        <w:ind w:left="1440" w:hanging="360"/>
      </w:pPr>
      <w:rPr>
        <w:rFonts w:ascii="Courier New" w:hAnsi="Courier New" w:hint="default"/>
      </w:rPr>
    </w:lvl>
    <w:lvl w:ilvl="2" w:tplc="C4FEE3E8">
      <w:start w:val="1"/>
      <w:numFmt w:val="bullet"/>
      <w:lvlText w:val=""/>
      <w:lvlJc w:val="left"/>
      <w:pPr>
        <w:ind w:left="2160" w:hanging="360"/>
      </w:pPr>
      <w:rPr>
        <w:rFonts w:ascii="Wingdings" w:hAnsi="Wingdings" w:hint="default"/>
      </w:rPr>
    </w:lvl>
    <w:lvl w:ilvl="3" w:tplc="DB943DFC">
      <w:start w:val="1"/>
      <w:numFmt w:val="bullet"/>
      <w:lvlText w:val=""/>
      <w:lvlJc w:val="left"/>
      <w:pPr>
        <w:ind w:left="2880" w:hanging="360"/>
      </w:pPr>
      <w:rPr>
        <w:rFonts w:ascii="Symbol" w:hAnsi="Symbol" w:hint="default"/>
      </w:rPr>
    </w:lvl>
    <w:lvl w:ilvl="4" w:tplc="503C9B8E">
      <w:start w:val="1"/>
      <w:numFmt w:val="bullet"/>
      <w:lvlText w:val="o"/>
      <w:lvlJc w:val="left"/>
      <w:pPr>
        <w:ind w:left="3600" w:hanging="360"/>
      </w:pPr>
      <w:rPr>
        <w:rFonts w:ascii="Courier New" w:hAnsi="Courier New" w:hint="default"/>
      </w:rPr>
    </w:lvl>
    <w:lvl w:ilvl="5" w:tplc="16341EF4">
      <w:start w:val="1"/>
      <w:numFmt w:val="bullet"/>
      <w:lvlText w:val=""/>
      <w:lvlJc w:val="left"/>
      <w:pPr>
        <w:ind w:left="4320" w:hanging="360"/>
      </w:pPr>
      <w:rPr>
        <w:rFonts w:ascii="Wingdings" w:hAnsi="Wingdings" w:hint="default"/>
      </w:rPr>
    </w:lvl>
    <w:lvl w:ilvl="6" w:tplc="D53C0A48">
      <w:start w:val="1"/>
      <w:numFmt w:val="bullet"/>
      <w:lvlText w:val=""/>
      <w:lvlJc w:val="left"/>
      <w:pPr>
        <w:ind w:left="5040" w:hanging="360"/>
      </w:pPr>
      <w:rPr>
        <w:rFonts w:ascii="Symbol" w:hAnsi="Symbol" w:hint="default"/>
      </w:rPr>
    </w:lvl>
    <w:lvl w:ilvl="7" w:tplc="ACE2D6B6">
      <w:start w:val="1"/>
      <w:numFmt w:val="bullet"/>
      <w:lvlText w:val="o"/>
      <w:lvlJc w:val="left"/>
      <w:pPr>
        <w:ind w:left="5760" w:hanging="360"/>
      </w:pPr>
      <w:rPr>
        <w:rFonts w:ascii="Courier New" w:hAnsi="Courier New" w:hint="default"/>
      </w:rPr>
    </w:lvl>
    <w:lvl w:ilvl="8" w:tplc="A762FDF8">
      <w:start w:val="1"/>
      <w:numFmt w:val="bullet"/>
      <w:lvlText w:val=""/>
      <w:lvlJc w:val="left"/>
      <w:pPr>
        <w:ind w:left="6480"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63EF9730-7735-42ED-8497-8A0A653BA696"/>
    <w:docVar w:name="LW_COVERPAGE_TYPE" w:val="1"/>
    <w:docVar w:name="LW_CROSSREFERENCE" w:val="&lt;UNUSED&gt;"/>
    <w:docVar w:name="LW_DocType" w:val="NORMAL"/>
    <w:docVar w:name="LW_EMISSION" w:val="29.6.2023"/>
    <w:docVar w:name="LW_EMISSION_ISODATE" w:val="2023-06-2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35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Seventeenth Annual Report for 2022 on the implementation of the Union assistance under Council Regulation (EC) No 389/2006 of 27 February 2006 establishing an instrument of financial support for encouraging the economic development of the Turkish Cypriot community"/>
    <w:docVar w:name="LW_TYPE.DOC.CP" w:val="REPORT FROM THE COMMISSION TO THE EUROPEAN PARLIAMENT AND THE COUNCIL"/>
    <w:docVar w:name="LwApiVersions" w:val="LW4CoDe 1.23.2.0; LW 8.0, Build 20211117"/>
    <w:docVar w:name="Stamp" w:val="\\dossiers.dgt.cec.eu.int\dossiers\REFORM\REFORM-2023-00017\REFORM-2023-00017-00-01-EN-EDT-00.202304251615209988760.DOCX"/>
  </w:docVars>
  <w:rsids>
    <w:rsidRoot w:val="006C615B"/>
    <w:rsid w:val="00006F35"/>
    <w:rsid w:val="00007324"/>
    <w:rsid w:val="00033FC8"/>
    <w:rsid w:val="00036827"/>
    <w:rsid w:val="000402B4"/>
    <w:rsid w:val="00043C94"/>
    <w:rsid w:val="0004597C"/>
    <w:rsid w:val="0004686A"/>
    <w:rsid w:val="00061332"/>
    <w:rsid w:val="0006360B"/>
    <w:rsid w:val="000642FD"/>
    <w:rsid w:val="0006637A"/>
    <w:rsid w:val="00091876"/>
    <w:rsid w:val="000A7788"/>
    <w:rsid w:val="000B1C7A"/>
    <w:rsid w:val="000B340D"/>
    <w:rsid w:val="000B6FB3"/>
    <w:rsid w:val="000C3E64"/>
    <w:rsid w:val="000C4903"/>
    <w:rsid w:val="000D1B00"/>
    <w:rsid w:val="000E4D1D"/>
    <w:rsid w:val="000F34DB"/>
    <w:rsid w:val="000F3D80"/>
    <w:rsid w:val="00112446"/>
    <w:rsid w:val="00113893"/>
    <w:rsid w:val="00136EDD"/>
    <w:rsid w:val="001442FF"/>
    <w:rsid w:val="00145D5D"/>
    <w:rsid w:val="00193997"/>
    <w:rsid w:val="001A3A63"/>
    <w:rsid w:val="001A4CF4"/>
    <w:rsid w:val="001A5F18"/>
    <w:rsid w:val="001C19C7"/>
    <w:rsid w:val="001C6D2A"/>
    <w:rsid w:val="001C79B8"/>
    <w:rsid w:val="001D100D"/>
    <w:rsid w:val="001E24EC"/>
    <w:rsid w:val="001F1F5C"/>
    <w:rsid w:val="001F29E2"/>
    <w:rsid w:val="001F4962"/>
    <w:rsid w:val="001F4BE7"/>
    <w:rsid w:val="001F57FB"/>
    <w:rsid w:val="001F630A"/>
    <w:rsid w:val="00203087"/>
    <w:rsid w:val="00203AD1"/>
    <w:rsid w:val="00207756"/>
    <w:rsid w:val="00212D71"/>
    <w:rsid w:val="00226DA4"/>
    <w:rsid w:val="002338C2"/>
    <w:rsid w:val="00242A3C"/>
    <w:rsid w:val="00270A8E"/>
    <w:rsid w:val="002768D2"/>
    <w:rsid w:val="00280C51"/>
    <w:rsid w:val="00284F69"/>
    <w:rsid w:val="00286688"/>
    <w:rsid w:val="00292717"/>
    <w:rsid w:val="002A2C46"/>
    <w:rsid w:val="002C2B25"/>
    <w:rsid w:val="002E08B1"/>
    <w:rsid w:val="002E4BE7"/>
    <w:rsid w:val="002E88EB"/>
    <w:rsid w:val="00311F8E"/>
    <w:rsid w:val="00327913"/>
    <w:rsid w:val="0033096C"/>
    <w:rsid w:val="00332D81"/>
    <w:rsid w:val="00333B41"/>
    <w:rsid w:val="00341797"/>
    <w:rsid w:val="0034735A"/>
    <w:rsid w:val="00360324"/>
    <w:rsid w:val="00370FCD"/>
    <w:rsid w:val="00377227"/>
    <w:rsid w:val="00377AE6"/>
    <w:rsid w:val="0039162D"/>
    <w:rsid w:val="003932FC"/>
    <w:rsid w:val="003A6045"/>
    <w:rsid w:val="003B053F"/>
    <w:rsid w:val="003C73B3"/>
    <w:rsid w:val="003D1EEA"/>
    <w:rsid w:val="003D265A"/>
    <w:rsid w:val="003E4212"/>
    <w:rsid w:val="00404DA2"/>
    <w:rsid w:val="004138B6"/>
    <w:rsid w:val="00426534"/>
    <w:rsid w:val="00440751"/>
    <w:rsid w:val="00444B68"/>
    <w:rsid w:val="004454A0"/>
    <w:rsid w:val="00453A78"/>
    <w:rsid w:val="00456742"/>
    <w:rsid w:val="00465AC9"/>
    <w:rsid w:val="00472452"/>
    <w:rsid w:val="00474E06"/>
    <w:rsid w:val="00481251"/>
    <w:rsid w:val="004936E2"/>
    <w:rsid w:val="00497A9C"/>
    <w:rsid w:val="004C4920"/>
    <w:rsid w:val="004C561D"/>
    <w:rsid w:val="004C6D45"/>
    <w:rsid w:val="004E43BD"/>
    <w:rsid w:val="004E7A10"/>
    <w:rsid w:val="004F616E"/>
    <w:rsid w:val="00503FD5"/>
    <w:rsid w:val="00513674"/>
    <w:rsid w:val="005163BD"/>
    <w:rsid w:val="0051679B"/>
    <w:rsid w:val="005178FB"/>
    <w:rsid w:val="00527D40"/>
    <w:rsid w:val="00534DA4"/>
    <w:rsid w:val="005354F1"/>
    <w:rsid w:val="005472BD"/>
    <w:rsid w:val="005614DF"/>
    <w:rsid w:val="00565D03"/>
    <w:rsid w:val="00575130"/>
    <w:rsid w:val="00576D42"/>
    <w:rsid w:val="0058073E"/>
    <w:rsid w:val="00584DA3"/>
    <w:rsid w:val="0059184B"/>
    <w:rsid w:val="005C30F8"/>
    <w:rsid w:val="005C56E6"/>
    <w:rsid w:val="005D1C6F"/>
    <w:rsid w:val="005D260F"/>
    <w:rsid w:val="005D4D0B"/>
    <w:rsid w:val="005F5551"/>
    <w:rsid w:val="005F5678"/>
    <w:rsid w:val="00610096"/>
    <w:rsid w:val="006121EE"/>
    <w:rsid w:val="00616D3C"/>
    <w:rsid w:val="0062171C"/>
    <w:rsid w:val="0063102B"/>
    <w:rsid w:val="0067049C"/>
    <w:rsid w:val="00676B92"/>
    <w:rsid w:val="006849EC"/>
    <w:rsid w:val="006B0B2B"/>
    <w:rsid w:val="006B70ED"/>
    <w:rsid w:val="006B72E8"/>
    <w:rsid w:val="006C5AFE"/>
    <w:rsid w:val="006C615B"/>
    <w:rsid w:val="006D3711"/>
    <w:rsid w:val="006E7A7C"/>
    <w:rsid w:val="0070008A"/>
    <w:rsid w:val="00703DD0"/>
    <w:rsid w:val="0070585F"/>
    <w:rsid w:val="00706411"/>
    <w:rsid w:val="007105BE"/>
    <w:rsid w:val="0071236B"/>
    <w:rsid w:val="007131DC"/>
    <w:rsid w:val="00713A5C"/>
    <w:rsid w:val="00713DC3"/>
    <w:rsid w:val="00720527"/>
    <w:rsid w:val="00730A1B"/>
    <w:rsid w:val="00733739"/>
    <w:rsid w:val="007419FD"/>
    <w:rsid w:val="00772DF1"/>
    <w:rsid w:val="007766CC"/>
    <w:rsid w:val="00787D17"/>
    <w:rsid w:val="00791BAC"/>
    <w:rsid w:val="007934A3"/>
    <w:rsid w:val="007A3071"/>
    <w:rsid w:val="007A6647"/>
    <w:rsid w:val="007B3FD8"/>
    <w:rsid w:val="007B564E"/>
    <w:rsid w:val="007D7A35"/>
    <w:rsid w:val="007F0390"/>
    <w:rsid w:val="007F2F5E"/>
    <w:rsid w:val="008058B9"/>
    <w:rsid w:val="00810E11"/>
    <w:rsid w:val="008115CA"/>
    <w:rsid w:val="00843E9F"/>
    <w:rsid w:val="00844ACB"/>
    <w:rsid w:val="00846757"/>
    <w:rsid w:val="00852E89"/>
    <w:rsid w:val="00864521"/>
    <w:rsid w:val="00866550"/>
    <w:rsid w:val="00866D29"/>
    <w:rsid w:val="008812DA"/>
    <w:rsid w:val="00887901"/>
    <w:rsid w:val="00891DEB"/>
    <w:rsid w:val="00895628"/>
    <w:rsid w:val="00897FBD"/>
    <w:rsid w:val="008A7186"/>
    <w:rsid w:val="008C7E90"/>
    <w:rsid w:val="008D242B"/>
    <w:rsid w:val="008E2B65"/>
    <w:rsid w:val="008E3883"/>
    <w:rsid w:val="008E4FD5"/>
    <w:rsid w:val="008E5576"/>
    <w:rsid w:val="00924858"/>
    <w:rsid w:val="009310E0"/>
    <w:rsid w:val="00936E11"/>
    <w:rsid w:val="00941AA2"/>
    <w:rsid w:val="00957838"/>
    <w:rsid w:val="00974A64"/>
    <w:rsid w:val="0097579B"/>
    <w:rsid w:val="009860BB"/>
    <w:rsid w:val="009900C7"/>
    <w:rsid w:val="009A73EA"/>
    <w:rsid w:val="009B5129"/>
    <w:rsid w:val="009C3319"/>
    <w:rsid w:val="009C42FC"/>
    <w:rsid w:val="009D2303"/>
    <w:rsid w:val="009D7611"/>
    <w:rsid w:val="009F2D38"/>
    <w:rsid w:val="009F47AB"/>
    <w:rsid w:val="009F5C5D"/>
    <w:rsid w:val="00A01573"/>
    <w:rsid w:val="00A0614E"/>
    <w:rsid w:val="00A15CF2"/>
    <w:rsid w:val="00A25FA3"/>
    <w:rsid w:val="00A27235"/>
    <w:rsid w:val="00A42198"/>
    <w:rsid w:val="00A43E74"/>
    <w:rsid w:val="00A46CE3"/>
    <w:rsid w:val="00A50689"/>
    <w:rsid w:val="00A63738"/>
    <w:rsid w:val="00A877D2"/>
    <w:rsid w:val="00A94BF6"/>
    <w:rsid w:val="00A96741"/>
    <w:rsid w:val="00AA2E0D"/>
    <w:rsid w:val="00AA3980"/>
    <w:rsid w:val="00AA79EC"/>
    <w:rsid w:val="00AB3340"/>
    <w:rsid w:val="00AC0BD4"/>
    <w:rsid w:val="00AC1074"/>
    <w:rsid w:val="00AC6701"/>
    <w:rsid w:val="00AD34B6"/>
    <w:rsid w:val="00AF0CFD"/>
    <w:rsid w:val="00AF1B59"/>
    <w:rsid w:val="00B01544"/>
    <w:rsid w:val="00B06FD6"/>
    <w:rsid w:val="00B12E56"/>
    <w:rsid w:val="00B15843"/>
    <w:rsid w:val="00B2147F"/>
    <w:rsid w:val="00B232A2"/>
    <w:rsid w:val="00B3037A"/>
    <w:rsid w:val="00B32720"/>
    <w:rsid w:val="00B35EE0"/>
    <w:rsid w:val="00B438BD"/>
    <w:rsid w:val="00B525BC"/>
    <w:rsid w:val="00B67805"/>
    <w:rsid w:val="00B77D71"/>
    <w:rsid w:val="00B93A2F"/>
    <w:rsid w:val="00B94C50"/>
    <w:rsid w:val="00BA59C9"/>
    <w:rsid w:val="00BA6DDB"/>
    <w:rsid w:val="00BC7CE1"/>
    <w:rsid w:val="00BD35B0"/>
    <w:rsid w:val="00BD5764"/>
    <w:rsid w:val="00BD6311"/>
    <w:rsid w:val="00BE01D0"/>
    <w:rsid w:val="00BF5ED4"/>
    <w:rsid w:val="00C05441"/>
    <w:rsid w:val="00C21CB3"/>
    <w:rsid w:val="00C257CF"/>
    <w:rsid w:val="00C25A7C"/>
    <w:rsid w:val="00C37893"/>
    <w:rsid w:val="00C45930"/>
    <w:rsid w:val="00C47888"/>
    <w:rsid w:val="00C5018F"/>
    <w:rsid w:val="00C568FC"/>
    <w:rsid w:val="00C63BDD"/>
    <w:rsid w:val="00C72E6C"/>
    <w:rsid w:val="00C741D5"/>
    <w:rsid w:val="00C749A3"/>
    <w:rsid w:val="00C948E8"/>
    <w:rsid w:val="00C94958"/>
    <w:rsid w:val="00C94C3D"/>
    <w:rsid w:val="00CA2A83"/>
    <w:rsid w:val="00CB0656"/>
    <w:rsid w:val="00CB1B9D"/>
    <w:rsid w:val="00CB5D9E"/>
    <w:rsid w:val="00CC3410"/>
    <w:rsid w:val="00CC536D"/>
    <w:rsid w:val="00CE246E"/>
    <w:rsid w:val="00CE61AB"/>
    <w:rsid w:val="00CE719D"/>
    <w:rsid w:val="00D005E7"/>
    <w:rsid w:val="00D02526"/>
    <w:rsid w:val="00D06D28"/>
    <w:rsid w:val="00D07720"/>
    <w:rsid w:val="00D107E8"/>
    <w:rsid w:val="00D326F3"/>
    <w:rsid w:val="00D412F6"/>
    <w:rsid w:val="00D448A5"/>
    <w:rsid w:val="00D66666"/>
    <w:rsid w:val="00D7214C"/>
    <w:rsid w:val="00D73D18"/>
    <w:rsid w:val="00D73E47"/>
    <w:rsid w:val="00D753D8"/>
    <w:rsid w:val="00D81EE0"/>
    <w:rsid w:val="00D92C98"/>
    <w:rsid w:val="00DA6F0E"/>
    <w:rsid w:val="00DB047B"/>
    <w:rsid w:val="00DB4BA8"/>
    <w:rsid w:val="00DC5104"/>
    <w:rsid w:val="00DD1A25"/>
    <w:rsid w:val="00E0446F"/>
    <w:rsid w:val="00E050B2"/>
    <w:rsid w:val="00E067BE"/>
    <w:rsid w:val="00E10C0F"/>
    <w:rsid w:val="00E120E0"/>
    <w:rsid w:val="00E15B06"/>
    <w:rsid w:val="00E261B1"/>
    <w:rsid w:val="00E409EC"/>
    <w:rsid w:val="00E44BE1"/>
    <w:rsid w:val="00E47B88"/>
    <w:rsid w:val="00E5218B"/>
    <w:rsid w:val="00E5574E"/>
    <w:rsid w:val="00E61E4A"/>
    <w:rsid w:val="00E737C6"/>
    <w:rsid w:val="00E803D8"/>
    <w:rsid w:val="00E85AA3"/>
    <w:rsid w:val="00E85C57"/>
    <w:rsid w:val="00E90F7A"/>
    <w:rsid w:val="00E96AAF"/>
    <w:rsid w:val="00EB2471"/>
    <w:rsid w:val="00ED6995"/>
    <w:rsid w:val="00EE4D86"/>
    <w:rsid w:val="00EF37FA"/>
    <w:rsid w:val="00F007B0"/>
    <w:rsid w:val="00F031D8"/>
    <w:rsid w:val="00F142A4"/>
    <w:rsid w:val="00F20E47"/>
    <w:rsid w:val="00F35A2C"/>
    <w:rsid w:val="00F3783E"/>
    <w:rsid w:val="00F425FD"/>
    <w:rsid w:val="00F42B39"/>
    <w:rsid w:val="00F43B3B"/>
    <w:rsid w:val="00F6109A"/>
    <w:rsid w:val="00F72E94"/>
    <w:rsid w:val="00F75A7E"/>
    <w:rsid w:val="00F77079"/>
    <w:rsid w:val="00F90059"/>
    <w:rsid w:val="00FA09D6"/>
    <w:rsid w:val="00FA3A03"/>
    <w:rsid w:val="00FB473F"/>
    <w:rsid w:val="00FB4B04"/>
    <w:rsid w:val="00FB5966"/>
    <w:rsid w:val="00FB5B4F"/>
    <w:rsid w:val="00FC15F8"/>
    <w:rsid w:val="00FC46C8"/>
    <w:rsid w:val="00FC5C64"/>
    <w:rsid w:val="00FC7EF4"/>
    <w:rsid w:val="00FD21EB"/>
    <w:rsid w:val="00FE0294"/>
    <w:rsid w:val="00FF1A12"/>
    <w:rsid w:val="00FF3EAA"/>
    <w:rsid w:val="0143F83E"/>
    <w:rsid w:val="04080690"/>
    <w:rsid w:val="05B7B27D"/>
    <w:rsid w:val="06348CD2"/>
    <w:rsid w:val="0B9EC624"/>
    <w:rsid w:val="0BF1B5E8"/>
    <w:rsid w:val="0C689E00"/>
    <w:rsid w:val="0E468F23"/>
    <w:rsid w:val="0EFFE5F8"/>
    <w:rsid w:val="1010ABC9"/>
    <w:rsid w:val="11F28CCE"/>
    <w:rsid w:val="1209DB95"/>
    <w:rsid w:val="12F8A4F5"/>
    <w:rsid w:val="13029F4C"/>
    <w:rsid w:val="1484B2D5"/>
    <w:rsid w:val="172D3022"/>
    <w:rsid w:val="1B1D4FDB"/>
    <w:rsid w:val="1B6081FA"/>
    <w:rsid w:val="1BB61048"/>
    <w:rsid w:val="1BE4DE9A"/>
    <w:rsid w:val="1C6225C5"/>
    <w:rsid w:val="1C7BE402"/>
    <w:rsid w:val="1EC3B1E3"/>
    <w:rsid w:val="212F1221"/>
    <w:rsid w:val="284CECD8"/>
    <w:rsid w:val="2AD83F49"/>
    <w:rsid w:val="2BAE96BF"/>
    <w:rsid w:val="2CF21AF4"/>
    <w:rsid w:val="2D6FD7C2"/>
    <w:rsid w:val="2ECF0361"/>
    <w:rsid w:val="31134DD0"/>
    <w:rsid w:val="313DD6DD"/>
    <w:rsid w:val="31582499"/>
    <w:rsid w:val="3166ECE3"/>
    <w:rsid w:val="32D1C3B3"/>
    <w:rsid w:val="34B08BC7"/>
    <w:rsid w:val="35084FBC"/>
    <w:rsid w:val="3AB46B9D"/>
    <w:rsid w:val="3BCCB4A9"/>
    <w:rsid w:val="3C21EA50"/>
    <w:rsid w:val="3C5F44C8"/>
    <w:rsid w:val="3CC25AAA"/>
    <w:rsid w:val="3CE70E95"/>
    <w:rsid w:val="3CFF476D"/>
    <w:rsid w:val="3D75BCD4"/>
    <w:rsid w:val="3F36C200"/>
    <w:rsid w:val="415CB2E0"/>
    <w:rsid w:val="4310CF47"/>
    <w:rsid w:val="44222AFB"/>
    <w:rsid w:val="4486B7CE"/>
    <w:rsid w:val="44DCE994"/>
    <w:rsid w:val="458A616C"/>
    <w:rsid w:val="46757E34"/>
    <w:rsid w:val="49ACF822"/>
    <w:rsid w:val="4A24B9A2"/>
    <w:rsid w:val="4B6BAC69"/>
    <w:rsid w:val="515AAA6C"/>
    <w:rsid w:val="54AA779C"/>
    <w:rsid w:val="55056D2A"/>
    <w:rsid w:val="56ECD4D2"/>
    <w:rsid w:val="57F1CA06"/>
    <w:rsid w:val="5A00CEF7"/>
    <w:rsid w:val="5AC02B59"/>
    <w:rsid w:val="5B5CFCA5"/>
    <w:rsid w:val="5B89CA53"/>
    <w:rsid w:val="5CE3C05B"/>
    <w:rsid w:val="6094B337"/>
    <w:rsid w:val="61D9A72C"/>
    <w:rsid w:val="61F2AFE6"/>
    <w:rsid w:val="62F773E1"/>
    <w:rsid w:val="65B10CC0"/>
    <w:rsid w:val="65D5536E"/>
    <w:rsid w:val="66776429"/>
    <w:rsid w:val="6962B8B9"/>
    <w:rsid w:val="6A5F61B8"/>
    <w:rsid w:val="6D6B73EF"/>
    <w:rsid w:val="6DACA0D5"/>
    <w:rsid w:val="6DE94567"/>
    <w:rsid w:val="6E58B2B8"/>
    <w:rsid w:val="6F891005"/>
    <w:rsid w:val="7140CBB7"/>
    <w:rsid w:val="72051807"/>
    <w:rsid w:val="742546A0"/>
    <w:rsid w:val="744487BB"/>
    <w:rsid w:val="7473B319"/>
    <w:rsid w:val="748B4F7A"/>
    <w:rsid w:val="77516072"/>
    <w:rsid w:val="789E86F1"/>
    <w:rsid w:val="78D46582"/>
    <w:rsid w:val="7AEFCD59"/>
    <w:rsid w:val="7DCFBF53"/>
    <w:rsid w:val="7F295B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6278B9"/>
  <w15:docId w15:val="{A148D0A0-DDB0-45B0-939E-49E6B5D3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qFormat/>
    <w:pPr>
      <w:keepNext/>
      <w:numPr>
        <w:ilvl w:val="1"/>
        <w:numId w:val="2"/>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2"/>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en-GB"/>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uiPriority w:val="99"/>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ascii="Verdana" w:eastAsia="Times New Roman" w:hAnsi="Verdana" w:cs="Times New Roman"/>
      <w:sz w:val="20"/>
      <w:szCs w:val="24"/>
      <w:lang w:eastAsia="en-GB"/>
    </w:rPr>
  </w:style>
  <w:style w:type="character" w:customStyle="1" w:styleId="AARTextChar">
    <w:name w:val="AAR Text Char"/>
    <w:link w:val="AARText"/>
    <w:rPr>
      <w:rFonts w:ascii="Verdana" w:eastAsia="Times New Roman" w:hAnsi="Verdana" w:cs="Times New Roman"/>
      <w:sz w:val="20"/>
      <w:szCs w:val="24"/>
      <w:lang w:eastAsia="en-GB"/>
    </w:rPr>
  </w:style>
  <w:style w:type="paragraph" w:customStyle="1" w:styleId="Default">
    <w:name w:val="Default"/>
    <w:basedOn w:val="Normal"/>
    <w:pPr>
      <w:autoSpaceDE w:val="0"/>
      <w:autoSpaceDN w:val="0"/>
      <w:spacing w:after="0" w:line="240" w:lineRule="auto"/>
    </w:pPr>
    <w:rPr>
      <w:rFonts w:ascii="Times New Roman" w:eastAsia="Calibri" w:hAnsi="Times New Roman" w:cs="Times New Roman"/>
      <w:color w:val="000000"/>
      <w:sz w:val="24"/>
      <w:szCs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normaltextrun">
    <w:name w:val="normaltextrun"/>
    <w:basedOn w:val="DefaultParagraphFont"/>
  </w:style>
  <w:style w:type="character" w:customStyle="1" w:styleId="findhit">
    <w:name w:val="findhit"/>
    <w:basedOn w:val="DefaultParagraphFont"/>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Normal1">
    <w:name w:val="Normal1"/>
    <w:basedOn w:val="Normal"/>
    <w:rsid w:val="00787D1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italic">
    <w:name w:val="italic"/>
    <w:basedOn w:val="DefaultParagraphFont"/>
    <w:rsid w:val="00787D17"/>
  </w:style>
  <w:style w:type="paragraph" w:customStyle="1" w:styleId="ti-art">
    <w:name w:val="ti-art"/>
    <w:basedOn w:val="Normal"/>
    <w:rsid w:val="009D2303"/>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NormalWeb">
    <w:name w:val="Normal (Web)"/>
    <w:basedOn w:val="Normal"/>
    <w:uiPriority w:val="99"/>
    <w:semiHidden/>
    <w:unhideWhenUsed/>
    <w:rsid w:val="007766C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table" w:customStyle="1" w:styleId="Planning2022TableOutput-Indicator-Target">
    <w:name w:val="[Planning 2022] Table Output-Indicator-Target"/>
    <w:basedOn w:val="TableNormal"/>
    <w:uiPriority w:val="99"/>
    <w:rsid w:val="00007324"/>
    <w:pPr>
      <w:keepLines/>
      <w:spacing w:before="40" w:after="40" w:line="264" w:lineRule="auto"/>
    </w:pPr>
    <w:rPr>
      <w:rFonts w:ascii="EC Square Sans Pro" w:eastAsiaTheme="minorEastAsia" w:hAnsi="EC Square Sans Pro"/>
      <w:sz w:val="20"/>
      <w:szCs w:val="24"/>
      <w:lang w:eastAsia="nl-BE"/>
    </w:rPr>
    <w:tblPr>
      <w:tblStyleRowBandSize w:val="1"/>
      <w:tblStyleColBandSize w:val="1"/>
      <w:tblBorders>
        <w:top w:val="single" w:sz="4" w:space="0" w:color="8C8C8C"/>
        <w:left w:val="single" w:sz="4" w:space="0" w:color="8C8C8C"/>
        <w:bottom w:val="single" w:sz="4" w:space="0" w:color="8C8C8C"/>
        <w:right w:val="single" w:sz="4" w:space="0" w:color="8C8C8C"/>
        <w:insideH w:val="single" w:sz="4" w:space="0" w:color="8C8C8C"/>
        <w:insideV w:val="single" w:sz="4" w:space="0" w:color="8C8C8C"/>
      </w:tblBorders>
    </w:tblPr>
    <w:tcPr>
      <w:shd w:val="clear" w:color="auto" w:fill="F2F2F2"/>
    </w:tcPr>
    <w:tblStylePr w:type="firstRow">
      <w:pPr>
        <w:keepNext/>
        <w:keepLines/>
        <w:wordWrap/>
        <w:spacing w:beforeLines="0" w:before="40" w:beforeAutospacing="0" w:afterLines="0" w:after="40" w:afterAutospacing="0" w:line="264" w:lineRule="auto"/>
        <w:ind w:leftChars="0" w:left="0" w:rightChars="0" w:right="57" w:firstLineChars="0" w:firstLine="0"/>
        <w:jc w:val="left"/>
        <w:outlineLvl w:val="9"/>
      </w:pPr>
      <w:rPr>
        <w:rFonts w:ascii="EC Square Sans Pro" w:hAnsi="EC Square Sans Pro"/>
        <w:color w:val="000000" w:themeColor="text1"/>
      </w:rPr>
    </w:tblStylePr>
  </w:style>
  <w:style w:type="paragraph" w:customStyle="1" w:styleId="OPTABLEText">
    <w:name w:val="OP_TABLE Text"/>
    <w:basedOn w:val="Normal"/>
    <w:next w:val="Normal"/>
    <w:qFormat/>
    <w:rsid w:val="00007324"/>
    <w:pPr>
      <w:spacing w:before="40" w:after="40" w:line="264" w:lineRule="auto"/>
    </w:pPr>
    <w:rPr>
      <w:rFonts w:ascii="EC Square Sans Pro" w:eastAsiaTheme="minorEastAsia" w:hAnsi="EC Square Sans Pro"/>
      <w:sz w:val="20"/>
      <w:szCs w:val="24"/>
      <w:lang w:eastAsia="nl-BE"/>
    </w:rPr>
  </w:style>
  <w:style w:type="character" w:styleId="Hyperlink">
    <w:name w:val="Hyperlink"/>
    <w:basedOn w:val="DefaultParagraphFont"/>
    <w:uiPriority w:val="99"/>
    <w:unhideWhenUsed/>
    <w:rsid w:val="00A01573"/>
    <w:rPr>
      <w:color w:val="0000FF" w:themeColor="hyperlink"/>
      <w:u w:val="single"/>
    </w:rPr>
  </w:style>
  <w:style w:type="character" w:styleId="FollowedHyperlink">
    <w:name w:val="FollowedHyperlink"/>
    <w:basedOn w:val="DefaultParagraphFont"/>
    <w:uiPriority w:val="99"/>
    <w:semiHidden/>
    <w:unhideWhenUsed/>
    <w:rsid w:val="004454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9582">
      <w:bodyDiv w:val="1"/>
      <w:marLeft w:val="0"/>
      <w:marRight w:val="0"/>
      <w:marTop w:val="0"/>
      <w:marBottom w:val="0"/>
      <w:divBdr>
        <w:top w:val="none" w:sz="0" w:space="0" w:color="auto"/>
        <w:left w:val="none" w:sz="0" w:space="0" w:color="auto"/>
        <w:bottom w:val="none" w:sz="0" w:space="0" w:color="auto"/>
        <w:right w:val="none" w:sz="0" w:space="0" w:color="auto"/>
      </w:divBdr>
    </w:div>
    <w:div w:id="428506674">
      <w:bodyDiv w:val="1"/>
      <w:marLeft w:val="0"/>
      <w:marRight w:val="0"/>
      <w:marTop w:val="0"/>
      <w:marBottom w:val="0"/>
      <w:divBdr>
        <w:top w:val="none" w:sz="0" w:space="0" w:color="auto"/>
        <w:left w:val="none" w:sz="0" w:space="0" w:color="auto"/>
        <w:bottom w:val="none" w:sz="0" w:space="0" w:color="auto"/>
        <w:right w:val="none" w:sz="0" w:space="0" w:color="auto"/>
      </w:divBdr>
    </w:div>
    <w:div w:id="458110994">
      <w:bodyDiv w:val="1"/>
      <w:marLeft w:val="0"/>
      <w:marRight w:val="0"/>
      <w:marTop w:val="0"/>
      <w:marBottom w:val="0"/>
      <w:divBdr>
        <w:top w:val="none" w:sz="0" w:space="0" w:color="auto"/>
        <w:left w:val="none" w:sz="0" w:space="0" w:color="auto"/>
        <w:bottom w:val="none" w:sz="0" w:space="0" w:color="auto"/>
        <w:right w:val="none" w:sz="0" w:space="0" w:color="auto"/>
      </w:divBdr>
    </w:div>
    <w:div w:id="482702236">
      <w:bodyDiv w:val="1"/>
      <w:marLeft w:val="0"/>
      <w:marRight w:val="0"/>
      <w:marTop w:val="0"/>
      <w:marBottom w:val="0"/>
      <w:divBdr>
        <w:top w:val="none" w:sz="0" w:space="0" w:color="auto"/>
        <w:left w:val="none" w:sz="0" w:space="0" w:color="auto"/>
        <w:bottom w:val="none" w:sz="0" w:space="0" w:color="auto"/>
        <w:right w:val="none" w:sz="0" w:space="0" w:color="auto"/>
      </w:divBdr>
    </w:div>
    <w:div w:id="517932075">
      <w:bodyDiv w:val="1"/>
      <w:marLeft w:val="0"/>
      <w:marRight w:val="0"/>
      <w:marTop w:val="0"/>
      <w:marBottom w:val="0"/>
      <w:divBdr>
        <w:top w:val="none" w:sz="0" w:space="0" w:color="auto"/>
        <w:left w:val="none" w:sz="0" w:space="0" w:color="auto"/>
        <w:bottom w:val="none" w:sz="0" w:space="0" w:color="auto"/>
        <w:right w:val="none" w:sz="0" w:space="0" w:color="auto"/>
      </w:divBdr>
    </w:div>
    <w:div w:id="732502870">
      <w:bodyDiv w:val="1"/>
      <w:marLeft w:val="0"/>
      <w:marRight w:val="0"/>
      <w:marTop w:val="0"/>
      <w:marBottom w:val="0"/>
      <w:divBdr>
        <w:top w:val="none" w:sz="0" w:space="0" w:color="auto"/>
        <w:left w:val="none" w:sz="0" w:space="0" w:color="auto"/>
        <w:bottom w:val="none" w:sz="0" w:space="0" w:color="auto"/>
        <w:right w:val="none" w:sz="0" w:space="0" w:color="auto"/>
      </w:divBdr>
    </w:div>
    <w:div w:id="805854121">
      <w:bodyDiv w:val="1"/>
      <w:marLeft w:val="0"/>
      <w:marRight w:val="0"/>
      <w:marTop w:val="0"/>
      <w:marBottom w:val="0"/>
      <w:divBdr>
        <w:top w:val="none" w:sz="0" w:space="0" w:color="auto"/>
        <w:left w:val="none" w:sz="0" w:space="0" w:color="auto"/>
        <w:bottom w:val="none" w:sz="0" w:space="0" w:color="auto"/>
        <w:right w:val="none" w:sz="0" w:space="0" w:color="auto"/>
      </w:divBdr>
      <w:divsChild>
        <w:div w:id="1634871005">
          <w:marLeft w:val="0"/>
          <w:marRight w:val="0"/>
          <w:marTop w:val="0"/>
          <w:marBottom w:val="0"/>
          <w:divBdr>
            <w:top w:val="none" w:sz="0" w:space="0" w:color="auto"/>
            <w:left w:val="none" w:sz="0" w:space="0" w:color="auto"/>
            <w:bottom w:val="none" w:sz="0" w:space="0" w:color="auto"/>
            <w:right w:val="none" w:sz="0" w:space="0" w:color="auto"/>
          </w:divBdr>
        </w:div>
        <w:div w:id="93326230">
          <w:marLeft w:val="0"/>
          <w:marRight w:val="0"/>
          <w:marTop w:val="0"/>
          <w:marBottom w:val="0"/>
          <w:divBdr>
            <w:top w:val="none" w:sz="0" w:space="0" w:color="auto"/>
            <w:left w:val="none" w:sz="0" w:space="0" w:color="auto"/>
            <w:bottom w:val="none" w:sz="0" w:space="0" w:color="auto"/>
            <w:right w:val="none" w:sz="0" w:space="0" w:color="auto"/>
          </w:divBdr>
        </w:div>
        <w:div w:id="1983578882">
          <w:marLeft w:val="0"/>
          <w:marRight w:val="0"/>
          <w:marTop w:val="0"/>
          <w:marBottom w:val="0"/>
          <w:divBdr>
            <w:top w:val="none" w:sz="0" w:space="0" w:color="auto"/>
            <w:left w:val="none" w:sz="0" w:space="0" w:color="auto"/>
            <w:bottom w:val="none" w:sz="0" w:space="0" w:color="auto"/>
            <w:right w:val="none" w:sz="0" w:space="0" w:color="auto"/>
          </w:divBdr>
        </w:div>
        <w:div w:id="1685092098">
          <w:marLeft w:val="0"/>
          <w:marRight w:val="0"/>
          <w:marTop w:val="0"/>
          <w:marBottom w:val="0"/>
          <w:divBdr>
            <w:top w:val="none" w:sz="0" w:space="0" w:color="auto"/>
            <w:left w:val="none" w:sz="0" w:space="0" w:color="auto"/>
            <w:bottom w:val="none" w:sz="0" w:space="0" w:color="auto"/>
            <w:right w:val="none" w:sz="0" w:space="0" w:color="auto"/>
          </w:divBdr>
        </w:div>
        <w:div w:id="681710795">
          <w:marLeft w:val="0"/>
          <w:marRight w:val="0"/>
          <w:marTop w:val="0"/>
          <w:marBottom w:val="0"/>
          <w:divBdr>
            <w:top w:val="none" w:sz="0" w:space="0" w:color="auto"/>
            <w:left w:val="none" w:sz="0" w:space="0" w:color="auto"/>
            <w:bottom w:val="none" w:sz="0" w:space="0" w:color="auto"/>
            <w:right w:val="none" w:sz="0" w:space="0" w:color="auto"/>
          </w:divBdr>
        </w:div>
        <w:div w:id="1120492581">
          <w:marLeft w:val="0"/>
          <w:marRight w:val="0"/>
          <w:marTop w:val="0"/>
          <w:marBottom w:val="0"/>
          <w:divBdr>
            <w:top w:val="none" w:sz="0" w:space="0" w:color="auto"/>
            <w:left w:val="none" w:sz="0" w:space="0" w:color="auto"/>
            <w:bottom w:val="none" w:sz="0" w:space="0" w:color="auto"/>
            <w:right w:val="none" w:sz="0" w:space="0" w:color="auto"/>
          </w:divBdr>
        </w:div>
        <w:div w:id="278881197">
          <w:marLeft w:val="0"/>
          <w:marRight w:val="0"/>
          <w:marTop w:val="0"/>
          <w:marBottom w:val="0"/>
          <w:divBdr>
            <w:top w:val="none" w:sz="0" w:space="0" w:color="auto"/>
            <w:left w:val="none" w:sz="0" w:space="0" w:color="auto"/>
            <w:bottom w:val="none" w:sz="0" w:space="0" w:color="auto"/>
            <w:right w:val="none" w:sz="0" w:space="0" w:color="auto"/>
          </w:divBdr>
        </w:div>
        <w:div w:id="355499145">
          <w:marLeft w:val="0"/>
          <w:marRight w:val="0"/>
          <w:marTop w:val="0"/>
          <w:marBottom w:val="0"/>
          <w:divBdr>
            <w:top w:val="none" w:sz="0" w:space="0" w:color="auto"/>
            <w:left w:val="none" w:sz="0" w:space="0" w:color="auto"/>
            <w:bottom w:val="none" w:sz="0" w:space="0" w:color="auto"/>
            <w:right w:val="none" w:sz="0" w:space="0" w:color="auto"/>
          </w:divBdr>
        </w:div>
      </w:divsChild>
    </w:div>
    <w:div w:id="997882065">
      <w:bodyDiv w:val="1"/>
      <w:marLeft w:val="0"/>
      <w:marRight w:val="0"/>
      <w:marTop w:val="0"/>
      <w:marBottom w:val="0"/>
      <w:divBdr>
        <w:top w:val="none" w:sz="0" w:space="0" w:color="auto"/>
        <w:left w:val="none" w:sz="0" w:space="0" w:color="auto"/>
        <w:bottom w:val="none" w:sz="0" w:space="0" w:color="auto"/>
        <w:right w:val="none" w:sz="0" w:space="0" w:color="auto"/>
      </w:divBdr>
    </w:div>
    <w:div w:id="1125660578">
      <w:bodyDiv w:val="1"/>
      <w:marLeft w:val="0"/>
      <w:marRight w:val="0"/>
      <w:marTop w:val="0"/>
      <w:marBottom w:val="0"/>
      <w:divBdr>
        <w:top w:val="none" w:sz="0" w:space="0" w:color="auto"/>
        <w:left w:val="none" w:sz="0" w:space="0" w:color="auto"/>
        <w:bottom w:val="none" w:sz="0" w:space="0" w:color="auto"/>
        <w:right w:val="none" w:sz="0" w:space="0" w:color="auto"/>
      </w:divBdr>
    </w:div>
    <w:div w:id="1133518715">
      <w:bodyDiv w:val="1"/>
      <w:marLeft w:val="0"/>
      <w:marRight w:val="0"/>
      <w:marTop w:val="0"/>
      <w:marBottom w:val="0"/>
      <w:divBdr>
        <w:top w:val="none" w:sz="0" w:space="0" w:color="auto"/>
        <w:left w:val="none" w:sz="0" w:space="0" w:color="auto"/>
        <w:bottom w:val="none" w:sz="0" w:space="0" w:color="auto"/>
        <w:right w:val="none" w:sz="0" w:space="0" w:color="auto"/>
      </w:divBdr>
    </w:div>
    <w:div w:id="1247879639">
      <w:bodyDiv w:val="1"/>
      <w:marLeft w:val="0"/>
      <w:marRight w:val="0"/>
      <w:marTop w:val="0"/>
      <w:marBottom w:val="0"/>
      <w:divBdr>
        <w:top w:val="none" w:sz="0" w:space="0" w:color="auto"/>
        <w:left w:val="none" w:sz="0" w:space="0" w:color="auto"/>
        <w:bottom w:val="none" w:sz="0" w:space="0" w:color="auto"/>
        <w:right w:val="none" w:sz="0" w:space="0" w:color="auto"/>
      </w:divBdr>
    </w:div>
    <w:div w:id="1268152265">
      <w:bodyDiv w:val="1"/>
      <w:marLeft w:val="0"/>
      <w:marRight w:val="0"/>
      <w:marTop w:val="0"/>
      <w:marBottom w:val="0"/>
      <w:divBdr>
        <w:top w:val="none" w:sz="0" w:space="0" w:color="auto"/>
        <w:left w:val="none" w:sz="0" w:space="0" w:color="auto"/>
        <w:bottom w:val="none" w:sz="0" w:space="0" w:color="auto"/>
        <w:right w:val="none" w:sz="0" w:space="0" w:color="auto"/>
      </w:divBdr>
    </w:div>
    <w:div w:id="1343320025">
      <w:bodyDiv w:val="1"/>
      <w:marLeft w:val="0"/>
      <w:marRight w:val="0"/>
      <w:marTop w:val="0"/>
      <w:marBottom w:val="0"/>
      <w:divBdr>
        <w:top w:val="none" w:sz="0" w:space="0" w:color="auto"/>
        <w:left w:val="none" w:sz="0" w:space="0" w:color="auto"/>
        <w:bottom w:val="none" w:sz="0" w:space="0" w:color="auto"/>
        <w:right w:val="none" w:sz="0" w:space="0" w:color="auto"/>
      </w:divBdr>
    </w:div>
    <w:div w:id="1390299800">
      <w:bodyDiv w:val="1"/>
      <w:marLeft w:val="0"/>
      <w:marRight w:val="0"/>
      <w:marTop w:val="0"/>
      <w:marBottom w:val="0"/>
      <w:divBdr>
        <w:top w:val="none" w:sz="0" w:space="0" w:color="auto"/>
        <w:left w:val="none" w:sz="0" w:space="0" w:color="auto"/>
        <w:bottom w:val="none" w:sz="0" w:space="0" w:color="auto"/>
        <w:right w:val="none" w:sz="0" w:space="0" w:color="auto"/>
      </w:divBdr>
    </w:div>
    <w:div w:id="1538659349">
      <w:bodyDiv w:val="1"/>
      <w:marLeft w:val="0"/>
      <w:marRight w:val="0"/>
      <w:marTop w:val="0"/>
      <w:marBottom w:val="0"/>
      <w:divBdr>
        <w:top w:val="none" w:sz="0" w:space="0" w:color="auto"/>
        <w:left w:val="none" w:sz="0" w:space="0" w:color="auto"/>
        <w:bottom w:val="none" w:sz="0" w:space="0" w:color="auto"/>
        <w:right w:val="none" w:sz="0" w:space="0" w:color="auto"/>
      </w:divBdr>
    </w:div>
    <w:div w:id="1558005714">
      <w:bodyDiv w:val="1"/>
      <w:marLeft w:val="0"/>
      <w:marRight w:val="0"/>
      <w:marTop w:val="0"/>
      <w:marBottom w:val="0"/>
      <w:divBdr>
        <w:top w:val="none" w:sz="0" w:space="0" w:color="auto"/>
        <w:left w:val="none" w:sz="0" w:space="0" w:color="auto"/>
        <w:bottom w:val="none" w:sz="0" w:space="0" w:color="auto"/>
        <w:right w:val="none" w:sz="0" w:space="0" w:color="auto"/>
      </w:divBdr>
    </w:div>
    <w:div w:id="1579828207">
      <w:bodyDiv w:val="1"/>
      <w:marLeft w:val="0"/>
      <w:marRight w:val="0"/>
      <w:marTop w:val="0"/>
      <w:marBottom w:val="0"/>
      <w:divBdr>
        <w:top w:val="none" w:sz="0" w:space="0" w:color="auto"/>
        <w:left w:val="none" w:sz="0" w:space="0" w:color="auto"/>
        <w:bottom w:val="none" w:sz="0" w:space="0" w:color="auto"/>
        <w:right w:val="none" w:sz="0" w:space="0" w:color="auto"/>
      </w:divBdr>
    </w:div>
    <w:div w:id="1696343157">
      <w:bodyDiv w:val="1"/>
      <w:marLeft w:val="0"/>
      <w:marRight w:val="0"/>
      <w:marTop w:val="0"/>
      <w:marBottom w:val="0"/>
      <w:divBdr>
        <w:top w:val="none" w:sz="0" w:space="0" w:color="auto"/>
        <w:left w:val="none" w:sz="0" w:space="0" w:color="auto"/>
        <w:bottom w:val="none" w:sz="0" w:space="0" w:color="auto"/>
        <w:right w:val="none" w:sz="0" w:space="0" w:color="auto"/>
      </w:divBdr>
    </w:div>
    <w:div w:id="1744256024">
      <w:bodyDiv w:val="1"/>
      <w:marLeft w:val="0"/>
      <w:marRight w:val="0"/>
      <w:marTop w:val="0"/>
      <w:marBottom w:val="0"/>
      <w:divBdr>
        <w:top w:val="none" w:sz="0" w:space="0" w:color="auto"/>
        <w:left w:val="none" w:sz="0" w:space="0" w:color="auto"/>
        <w:bottom w:val="none" w:sz="0" w:space="0" w:color="auto"/>
        <w:right w:val="none" w:sz="0" w:space="0" w:color="auto"/>
      </w:divBdr>
    </w:div>
    <w:div w:id="1759058524">
      <w:bodyDiv w:val="1"/>
      <w:marLeft w:val="0"/>
      <w:marRight w:val="0"/>
      <w:marTop w:val="0"/>
      <w:marBottom w:val="0"/>
      <w:divBdr>
        <w:top w:val="none" w:sz="0" w:space="0" w:color="auto"/>
        <w:left w:val="none" w:sz="0" w:space="0" w:color="auto"/>
        <w:bottom w:val="none" w:sz="0" w:space="0" w:color="auto"/>
        <w:right w:val="none" w:sz="0" w:space="0" w:color="auto"/>
      </w:divBdr>
      <w:divsChild>
        <w:div w:id="2118476802">
          <w:marLeft w:val="0"/>
          <w:marRight w:val="0"/>
          <w:marTop w:val="15"/>
          <w:marBottom w:val="0"/>
          <w:divBdr>
            <w:top w:val="none" w:sz="0" w:space="0" w:color="auto"/>
            <w:left w:val="none" w:sz="0" w:space="0" w:color="auto"/>
            <w:bottom w:val="none" w:sz="0" w:space="0" w:color="auto"/>
            <w:right w:val="none" w:sz="0" w:space="0" w:color="auto"/>
          </w:divBdr>
          <w:divsChild>
            <w:div w:id="780076813">
              <w:marLeft w:val="0"/>
              <w:marRight w:val="0"/>
              <w:marTop w:val="0"/>
              <w:marBottom w:val="0"/>
              <w:divBdr>
                <w:top w:val="none" w:sz="0" w:space="0" w:color="auto"/>
                <w:left w:val="none" w:sz="0" w:space="0" w:color="auto"/>
                <w:bottom w:val="none" w:sz="0" w:space="0" w:color="auto"/>
                <w:right w:val="none" w:sz="0" w:space="0" w:color="auto"/>
              </w:divBdr>
              <w:divsChild>
                <w:div w:id="131407522">
                  <w:marLeft w:val="0"/>
                  <w:marRight w:val="0"/>
                  <w:marTop w:val="0"/>
                  <w:marBottom w:val="0"/>
                  <w:divBdr>
                    <w:top w:val="none" w:sz="0" w:space="0" w:color="auto"/>
                    <w:left w:val="none" w:sz="0" w:space="0" w:color="auto"/>
                    <w:bottom w:val="none" w:sz="0" w:space="0" w:color="auto"/>
                    <w:right w:val="none" w:sz="0" w:space="0" w:color="auto"/>
                  </w:divBdr>
                </w:div>
                <w:div w:id="992562809">
                  <w:marLeft w:val="0"/>
                  <w:marRight w:val="0"/>
                  <w:marTop w:val="0"/>
                  <w:marBottom w:val="0"/>
                  <w:divBdr>
                    <w:top w:val="none" w:sz="0" w:space="0" w:color="auto"/>
                    <w:left w:val="none" w:sz="0" w:space="0" w:color="auto"/>
                    <w:bottom w:val="none" w:sz="0" w:space="0" w:color="auto"/>
                    <w:right w:val="none" w:sz="0" w:space="0" w:color="auto"/>
                  </w:divBdr>
                </w:div>
                <w:div w:id="651057583">
                  <w:marLeft w:val="0"/>
                  <w:marRight w:val="0"/>
                  <w:marTop w:val="0"/>
                  <w:marBottom w:val="0"/>
                  <w:divBdr>
                    <w:top w:val="none" w:sz="0" w:space="0" w:color="auto"/>
                    <w:left w:val="none" w:sz="0" w:space="0" w:color="auto"/>
                    <w:bottom w:val="none" w:sz="0" w:space="0" w:color="auto"/>
                    <w:right w:val="none" w:sz="0" w:space="0" w:color="auto"/>
                  </w:divBdr>
                </w:div>
                <w:div w:id="918952491">
                  <w:marLeft w:val="0"/>
                  <w:marRight w:val="0"/>
                  <w:marTop w:val="0"/>
                  <w:marBottom w:val="0"/>
                  <w:divBdr>
                    <w:top w:val="none" w:sz="0" w:space="0" w:color="auto"/>
                    <w:left w:val="none" w:sz="0" w:space="0" w:color="auto"/>
                    <w:bottom w:val="none" w:sz="0" w:space="0" w:color="auto"/>
                    <w:right w:val="none" w:sz="0" w:space="0" w:color="auto"/>
                  </w:divBdr>
                </w:div>
                <w:div w:id="70785091">
                  <w:marLeft w:val="0"/>
                  <w:marRight w:val="0"/>
                  <w:marTop w:val="0"/>
                  <w:marBottom w:val="0"/>
                  <w:divBdr>
                    <w:top w:val="none" w:sz="0" w:space="0" w:color="auto"/>
                    <w:left w:val="none" w:sz="0" w:space="0" w:color="auto"/>
                    <w:bottom w:val="none" w:sz="0" w:space="0" w:color="auto"/>
                    <w:right w:val="none" w:sz="0" w:space="0" w:color="auto"/>
                  </w:divBdr>
                </w:div>
                <w:div w:id="1190876005">
                  <w:marLeft w:val="0"/>
                  <w:marRight w:val="0"/>
                  <w:marTop w:val="0"/>
                  <w:marBottom w:val="0"/>
                  <w:divBdr>
                    <w:top w:val="none" w:sz="0" w:space="0" w:color="auto"/>
                    <w:left w:val="none" w:sz="0" w:space="0" w:color="auto"/>
                    <w:bottom w:val="none" w:sz="0" w:space="0" w:color="auto"/>
                    <w:right w:val="none" w:sz="0" w:space="0" w:color="auto"/>
                  </w:divBdr>
                </w:div>
                <w:div w:id="1523589620">
                  <w:marLeft w:val="0"/>
                  <w:marRight w:val="0"/>
                  <w:marTop w:val="0"/>
                  <w:marBottom w:val="0"/>
                  <w:divBdr>
                    <w:top w:val="none" w:sz="0" w:space="0" w:color="auto"/>
                    <w:left w:val="none" w:sz="0" w:space="0" w:color="auto"/>
                    <w:bottom w:val="none" w:sz="0" w:space="0" w:color="auto"/>
                    <w:right w:val="none" w:sz="0" w:space="0" w:color="auto"/>
                  </w:divBdr>
                </w:div>
                <w:div w:id="752169256">
                  <w:marLeft w:val="0"/>
                  <w:marRight w:val="0"/>
                  <w:marTop w:val="0"/>
                  <w:marBottom w:val="0"/>
                  <w:divBdr>
                    <w:top w:val="none" w:sz="0" w:space="0" w:color="auto"/>
                    <w:left w:val="none" w:sz="0" w:space="0" w:color="auto"/>
                    <w:bottom w:val="none" w:sz="0" w:space="0" w:color="auto"/>
                    <w:right w:val="none" w:sz="0" w:space="0" w:color="auto"/>
                  </w:divBdr>
                </w:div>
                <w:div w:id="14511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159">
          <w:marLeft w:val="0"/>
          <w:marRight w:val="0"/>
          <w:marTop w:val="15"/>
          <w:marBottom w:val="0"/>
          <w:divBdr>
            <w:top w:val="none" w:sz="0" w:space="0" w:color="auto"/>
            <w:left w:val="none" w:sz="0" w:space="0" w:color="auto"/>
            <w:bottom w:val="none" w:sz="0" w:space="0" w:color="auto"/>
            <w:right w:val="none" w:sz="0" w:space="0" w:color="auto"/>
          </w:divBdr>
          <w:divsChild>
            <w:div w:id="445278181">
              <w:marLeft w:val="0"/>
              <w:marRight w:val="0"/>
              <w:marTop w:val="0"/>
              <w:marBottom w:val="0"/>
              <w:divBdr>
                <w:top w:val="none" w:sz="0" w:space="0" w:color="auto"/>
                <w:left w:val="none" w:sz="0" w:space="0" w:color="auto"/>
                <w:bottom w:val="none" w:sz="0" w:space="0" w:color="auto"/>
                <w:right w:val="none" w:sz="0" w:space="0" w:color="auto"/>
              </w:divBdr>
              <w:divsChild>
                <w:div w:id="1254775689">
                  <w:marLeft w:val="0"/>
                  <w:marRight w:val="0"/>
                  <w:marTop w:val="0"/>
                  <w:marBottom w:val="0"/>
                  <w:divBdr>
                    <w:top w:val="none" w:sz="0" w:space="0" w:color="auto"/>
                    <w:left w:val="none" w:sz="0" w:space="0" w:color="auto"/>
                    <w:bottom w:val="none" w:sz="0" w:space="0" w:color="auto"/>
                    <w:right w:val="none" w:sz="0" w:space="0" w:color="auto"/>
                  </w:divBdr>
                </w:div>
                <w:div w:id="825240948">
                  <w:marLeft w:val="0"/>
                  <w:marRight w:val="0"/>
                  <w:marTop w:val="0"/>
                  <w:marBottom w:val="0"/>
                  <w:divBdr>
                    <w:top w:val="none" w:sz="0" w:space="0" w:color="auto"/>
                    <w:left w:val="none" w:sz="0" w:space="0" w:color="auto"/>
                    <w:bottom w:val="none" w:sz="0" w:space="0" w:color="auto"/>
                    <w:right w:val="none" w:sz="0" w:space="0" w:color="auto"/>
                  </w:divBdr>
                </w:div>
                <w:div w:id="1173103364">
                  <w:marLeft w:val="0"/>
                  <w:marRight w:val="0"/>
                  <w:marTop w:val="0"/>
                  <w:marBottom w:val="0"/>
                  <w:divBdr>
                    <w:top w:val="none" w:sz="0" w:space="0" w:color="auto"/>
                    <w:left w:val="none" w:sz="0" w:space="0" w:color="auto"/>
                    <w:bottom w:val="none" w:sz="0" w:space="0" w:color="auto"/>
                    <w:right w:val="none" w:sz="0" w:space="0" w:color="auto"/>
                  </w:divBdr>
                </w:div>
                <w:div w:id="1963268472">
                  <w:marLeft w:val="0"/>
                  <w:marRight w:val="0"/>
                  <w:marTop w:val="0"/>
                  <w:marBottom w:val="0"/>
                  <w:divBdr>
                    <w:top w:val="none" w:sz="0" w:space="0" w:color="auto"/>
                    <w:left w:val="none" w:sz="0" w:space="0" w:color="auto"/>
                    <w:bottom w:val="none" w:sz="0" w:space="0" w:color="auto"/>
                    <w:right w:val="none" w:sz="0" w:space="0" w:color="auto"/>
                  </w:divBdr>
                </w:div>
                <w:div w:id="775176060">
                  <w:marLeft w:val="0"/>
                  <w:marRight w:val="0"/>
                  <w:marTop w:val="0"/>
                  <w:marBottom w:val="0"/>
                  <w:divBdr>
                    <w:top w:val="none" w:sz="0" w:space="0" w:color="auto"/>
                    <w:left w:val="none" w:sz="0" w:space="0" w:color="auto"/>
                    <w:bottom w:val="none" w:sz="0" w:space="0" w:color="auto"/>
                    <w:right w:val="none" w:sz="0" w:space="0" w:color="auto"/>
                  </w:divBdr>
                </w:div>
                <w:div w:id="311912845">
                  <w:marLeft w:val="0"/>
                  <w:marRight w:val="0"/>
                  <w:marTop w:val="0"/>
                  <w:marBottom w:val="0"/>
                  <w:divBdr>
                    <w:top w:val="none" w:sz="0" w:space="0" w:color="auto"/>
                    <w:left w:val="none" w:sz="0" w:space="0" w:color="auto"/>
                    <w:bottom w:val="none" w:sz="0" w:space="0" w:color="auto"/>
                    <w:right w:val="none" w:sz="0" w:space="0" w:color="auto"/>
                  </w:divBdr>
                </w:div>
                <w:div w:id="2042825034">
                  <w:marLeft w:val="0"/>
                  <w:marRight w:val="0"/>
                  <w:marTop w:val="0"/>
                  <w:marBottom w:val="0"/>
                  <w:divBdr>
                    <w:top w:val="none" w:sz="0" w:space="0" w:color="auto"/>
                    <w:left w:val="none" w:sz="0" w:space="0" w:color="auto"/>
                    <w:bottom w:val="none" w:sz="0" w:space="0" w:color="auto"/>
                    <w:right w:val="none" w:sz="0" w:space="0" w:color="auto"/>
                  </w:divBdr>
                </w:div>
                <w:div w:id="1641960302">
                  <w:marLeft w:val="0"/>
                  <w:marRight w:val="0"/>
                  <w:marTop w:val="0"/>
                  <w:marBottom w:val="0"/>
                  <w:divBdr>
                    <w:top w:val="none" w:sz="0" w:space="0" w:color="auto"/>
                    <w:left w:val="none" w:sz="0" w:space="0" w:color="auto"/>
                    <w:bottom w:val="none" w:sz="0" w:space="0" w:color="auto"/>
                    <w:right w:val="none" w:sz="0" w:space="0" w:color="auto"/>
                  </w:divBdr>
                </w:div>
                <w:div w:id="1164736369">
                  <w:marLeft w:val="0"/>
                  <w:marRight w:val="0"/>
                  <w:marTop w:val="0"/>
                  <w:marBottom w:val="0"/>
                  <w:divBdr>
                    <w:top w:val="none" w:sz="0" w:space="0" w:color="auto"/>
                    <w:left w:val="none" w:sz="0" w:space="0" w:color="auto"/>
                    <w:bottom w:val="none" w:sz="0" w:space="0" w:color="auto"/>
                    <w:right w:val="none" w:sz="0" w:space="0" w:color="auto"/>
                  </w:divBdr>
                </w:div>
                <w:div w:id="1566574347">
                  <w:marLeft w:val="0"/>
                  <w:marRight w:val="0"/>
                  <w:marTop w:val="0"/>
                  <w:marBottom w:val="0"/>
                  <w:divBdr>
                    <w:top w:val="none" w:sz="0" w:space="0" w:color="auto"/>
                    <w:left w:val="none" w:sz="0" w:space="0" w:color="auto"/>
                    <w:bottom w:val="none" w:sz="0" w:space="0" w:color="auto"/>
                    <w:right w:val="none" w:sz="0" w:space="0" w:color="auto"/>
                  </w:divBdr>
                </w:div>
                <w:div w:id="1046484673">
                  <w:marLeft w:val="0"/>
                  <w:marRight w:val="0"/>
                  <w:marTop w:val="0"/>
                  <w:marBottom w:val="0"/>
                  <w:divBdr>
                    <w:top w:val="none" w:sz="0" w:space="0" w:color="auto"/>
                    <w:left w:val="none" w:sz="0" w:space="0" w:color="auto"/>
                    <w:bottom w:val="none" w:sz="0" w:space="0" w:color="auto"/>
                    <w:right w:val="none" w:sz="0" w:space="0" w:color="auto"/>
                  </w:divBdr>
                </w:div>
                <w:div w:id="166676460">
                  <w:marLeft w:val="0"/>
                  <w:marRight w:val="0"/>
                  <w:marTop w:val="0"/>
                  <w:marBottom w:val="0"/>
                  <w:divBdr>
                    <w:top w:val="none" w:sz="0" w:space="0" w:color="auto"/>
                    <w:left w:val="none" w:sz="0" w:space="0" w:color="auto"/>
                    <w:bottom w:val="none" w:sz="0" w:space="0" w:color="auto"/>
                    <w:right w:val="none" w:sz="0" w:space="0" w:color="auto"/>
                  </w:divBdr>
                </w:div>
                <w:div w:id="13049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4442">
      <w:bodyDiv w:val="1"/>
      <w:marLeft w:val="0"/>
      <w:marRight w:val="0"/>
      <w:marTop w:val="0"/>
      <w:marBottom w:val="0"/>
      <w:divBdr>
        <w:top w:val="none" w:sz="0" w:space="0" w:color="auto"/>
        <w:left w:val="none" w:sz="0" w:space="0" w:color="auto"/>
        <w:bottom w:val="none" w:sz="0" w:space="0" w:color="auto"/>
        <w:right w:val="none" w:sz="0" w:space="0" w:color="auto"/>
      </w:divBdr>
    </w:div>
    <w:div w:id="1943609168">
      <w:bodyDiv w:val="1"/>
      <w:marLeft w:val="0"/>
      <w:marRight w:val="0"/>
      <w:marTop w:val="0"/>
      <w:marBottom w:val="0"/>
      <w:divBdr>
        <w:top w:val="none" w:sz="0" w:space="0" w:color="auto"/>
        <w:left w:val="none" w:sz="0" w:space="0" w:color="auto"/>
        <w:bottom w:val="none" w:sz="0" w:space="0" w:color="auto"/>
        <w:right w:val="none" w:sz="0" w:space="0" w:color="auto"/>
      </w:divBdr>
    </w:div>
    <w:div w:id="2078287569">
      <w:bodyDiv w:val="1"/>
      <w:marLeft w:val="0"/>
      <w:marRight w:val="0"/>
      <w:marTop w:val="0"/>
      <w:marBottom w:val="0"/>
      <w:divBdr>
        <w:top w:val="none" w:sz="0" w:space="0" w:color="auto"/>
        <w:left w:val="none" w:sz="0" w:space="0" w:color="auto"/>
        <w:bottom w:val="none" w:sz="0" w:space="0" w:color="auto"/>
        <w:right w:val="none" w:sz="0" w:space="0" w:color="auto"/>
      </w:divBdr>
    </w:div>
    <w:div w:id="209709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op.europa.eu/en/publication-detail/-/publication/1a9d56b9-9658-11ec-b4e4-01aa75ed71a1/languag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aa30d10d-b30d-4a7a-9d26-d2ca493895f6" xsi:nil="true"/>
    <_Status xmlns="http://schemas.microsoft.com/sharepoint/v3/fields">Not Started</_Status>
    <EC_Collab_DocumentLanguage xmlns="aa30d10d-b30d-4a7a-9d26-d2ca493895f6">EN</EC_Collab_DocumentLanguage>
    <EC_Collab_Status xmlns="aa30d10d-b30d-4a7a-9d26-d2ca493895f6">Draft</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C19CB19FD2FBA47808508DA40B1A876" ma:contentTypeVersion="2" ma:contentTypeDescription="Create a new document in this library." ma:contentTypeScope="" ma:versionID="3923189a794b5493b2b4295a40120092">
  <xsd:schema xmlns:xsd="http://www.w3.org/2001/XMLSchema" xmlns:xs="http://www.w3.org/2001/XMLSchema" xmlns:p="http://schemas.microsoft.com/office/2006/metadata/properties" xmlns:ns2="http://schemas.microsoft.com/sharepoint/v3/fields" xmlns:ns3="aa30d10d-b30d-4a7a-9d26-d2ca493895f6" xmlns:ns4="dff91fe5-b91d-4940-8e43-17920bc15740" targetNamespace="http://schemas.microsoft.com/office/2006/metadata/properties" ma:root="true" ma:fieldsID="b495899bcf3fe2d0e418b1137719a0ba" ns2:_="" ns3:_="" ns4:_="">
    <xsd:import namespace="http://schemas.microsoft.com/sharepoint/v3/fields"/>
    <xsd:import namespace="aa30d10d-b30d-4a7a-9d26-d2ca493895f6"/>
    <xsd:import namespace="dff91fe5-b91d-4940-8e43-17920bc15740"/>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30d10d-b30d-4a7a-9d26-d2ca493895f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dff91fe5-b91d-4940-8e43-17920bc1574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DAE56-06A4-44AA-AB25-C70E985840EA}">
  <ds:schemaRefs>
    <ds:schemaRef ds:uri="http://schemas.microsoft.com/sharepoint/v3/fields"/>
    <ds:schemaRef ds:uri="http://schemas.microsoft.com/office/2006/documentManagement/types"/>
    <ds:schemaRef ds:uri="http://www.w3.org/XML/1998/namespace"/>
    <ds:schemaRef ds:uri="http://schemas.microsoft.com/office/infopath/2007/PartnerControls"/>
    <ds:schemaRef ds:uri="aa30d10d-b30d-4a7a-9d26-d2ca493895f6"/>
    <ds:schemaRef ds:uri="http://purl.org/dc/elements/1.1/"/>
    <ds:schemaRef ds:uri="dff91fe5-b91d-4940-8e43-17920bc15740"/>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BB4D4A71-7EFF-41BD-B72F-E19245449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30d10d-b30d-4a7a-9d26-d2ca493895f6"/>
    <ds:schemaRef ds:uri="dff91fe5-b91d-4940-8e43-17920bc15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DEA5A-CF41-4EFB-8C5D-D09D1001CDA8}">
  <ds:schemaRefs>
    <ds:schemaRef ds:uri="http://schemas.microsoft.com/sharepoint/v3/contenttype/forms"/>
  </ds:schemaRefs>
</ds:datastoreItem>
</file>

<file path=customXml/itemProps4.xml><?xml version="1.0" encoding="utf-8"?>
<ds:datastoreItem xmlns:ds="http://schemas.openxmlformats.org/officeDocument/2006/customXml" ds:itemID="{BA448D2D-35CB-49B6-8E83-EC3EA66C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3867</Words>
  <Characters>22353</Characters>
  <Application>Microsoft Office Word</Application>
  <DocSecurity>0</DocSecurity>
  <Lines>366</Lines>
  <Paragraphs>100</Paragraphs>
  <ScaleCrop>false</ScaleCrop>
  <HeadingPairs>
    <vt:vector size="2" baseType="variant">
      <vt:variant>
        <vt:lpstr>Title</vt:lpstr>
      </vt:variant>
      <vt:variant>
        <vt:i4>1</vt:i4>
      </vt:variant>
    </vt:vector>
  </HeadingPairs>
  <TitlesOfParts>
    <vt:vector size="1" baseType="lpstr">
      <vt:lpstr>Aid Report 2022</vt:lpstr>
    </vt:vector>
  </TitlesOfParts>
  <Manager/>
  <Company/>
  <LinksUpToDate>false</LinksUpToDate>
  <CharactersWithSpaces>26120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Report 2022</dc:title>
  <dc:subject/>
  <dc:creator/>
  <cp:keywords/>
  <dc:description/>
  <cp:lastModifiedBy>EC CoDe</cp:lastModifiedBy>
  <cp:revision>27</cp:revision>
  <cp:lastPrinted>2023-04-25T14:16:00Z</cp:lastPrinted>
  <dcterms:created xsi:type="dcterms:W3CDTF">2023-05-25T09:52:00Z</dcterms:created>
  <dcterms:modified xsi:type="dcterms:W3CDTF">2023-06-29T08:15:00Z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9.0, Build 20230317</vt:lpwstr>
  </property>
  <property fmtid="{D5CDD505-2E9C-101B-9397-08002B2CF9AE}" pid="7" name="Created using">
    <vt:lpwstr>LW 6.0.1, Build 20180503</vt:lpwstr>
  </property>
  <property fmtid="{D5CDD505-2E9C-101B-9397-08002B2CF9AE}" pid="8" name="Offisync_ProviderInitializationData">
    <vt:lpwstr>https://webgate.ec.europa.eu/connected</vt:lpwstr>
  </property>
  <property fmtid="{D5CDD505-2E9C-101B-9397-08002B2CF9AE}" pid="9" name="Offisync_ServerID">
    <vt:lpwstr>0d3b22a6-6203-4efc-8e8e-b5279256493b</vt:lpwstr>
  </property>
  <property fmtid="{D5CDD505-2E9C-101B-9397-08002B2CF9AE}" pid="10" name="Offisync_UniqueId">
    <vt:lpwstr>220926</vt:lpwstr>
  </property>
  <property fmtid="{D5CDD505-2E9C-101B-9397-08002B2CF9AE}" pid="11" name="Offisync_UpdateToken">
    <vt:lpwstr>742</vt:lpwstr>
  </property>
  <property fmtid="{D5CDD505-2E9C-101B-9397-08002B2CF9AE}" pid="12" name="Jive_LatestUserAccountName">
    <vt:lpwstr>dochemi</vt:lpwstr>
  </property>
  <property fmtid="{D5CDD505-2E9C-101B-9397-08002B2CF9AE}" pid="13" name="Jive_VersionGuid">
    <vt:lpwstr>a84ca07f-d499-481c-8b60-853de55b10db</vt:lpwstr>
  </property>
  <property fmtid="{D5CDD505-2E9C-101B-9397-08002B2CF9AE}" pid="14" name="CPTemplateID">
    <vt:lpwstr>CP-006</vt:lpwstr>
  </property>
  <property fmtid="{D5CDD505-2E9C-101B-9397-08002B2CF9AE}" pid="15" name="_LW_INVALIDATED__LW_INVALIDATED__LW_INVALIDATED__LW_INVALIDATED_ContentTypeId">
    <vt:lpwstr>0x01010062DF5834DAC63F45A019F166D171546C</vt:lpwstr>
  </property>
  <property fmtid="{D5CDD505-2E9C-101B-9397-08002B2CF9AE}" pid="16" name="ContentTypeId">
    <vt:lpwstr>0x010100258AA79CEB83498886A3A08681123250004C19CB19FD2FBA47808508DA40B1A876</vt:lpwstr>
  </property>
  <property fmtid="{D5CDD505-2E9C-101B-9397-08002B2CF9AE}" pid="17" name="MSIP_Label_6bd9ddd1-4d20-43f6-abfa-fc3c07406f94_Enabled">
    <vt:lpwstr>true</vt:lpwstr>
  </property>
  <property fmtid="{D5CDD505-2E9C-101B-9397-08002B2CF9AE}" pid="18" name="MSIP_Label_6bd9ddd1-4d20-43f6-abfa-fc3c07406f94_SetDate">
    <vt:lpwstr>2022-05-04T15:59:11Z</vt:lpwstr>
  </property>
  <property fmtid="{D5CDD505-2E9C-101B-9397-08002B2CF9AE}" pid="19" name="MSIP_Label_6bd9ddd1-4d20-43f6-abfa-fc3c07406f94_Method">
    <vt:lpwstr>Standard</vt:lpwstr>
  </property>
  <property fmtid="{D5CDD505-2E9C-101B-9397-08002B2CF9AE}" pid="20" name="MSIP_Label_6bd9ddd1-4d20-43f6-abfa-fc3c07406f94_Name">
    <vt:lpwstr>Commission Use</vt:lpwstr>
  </property>
  <property fmtid="{D5CDD505-2E9C-101B-9397-08002B2CF9AE}" pid="21" name="MSIP_Label_6bd9ddd1-4d20-43f6-abfa-fc3c07406f94_SiteId">
    <vt:lpwstr>b24c8b06-522c-46fe-9080-70926f8dddb1</vt:lpwstr>
  </property>
  <property fmtid="{D5CDD505-2E9C-101B-9397-08002B2CF9AE}" pid="22" name="MSIP_Label_6bd9ddd1-4d20-43f6-abfa-fc3c07406f94_ActionId">
    <vt:lpwstr>ba0cc6ef-a799-4f04-bed1-1c50247008d1</vt:lpwstr>
  </property>
  <property fmtid="{D5CDD505-2E9C-101B-9397-08002B2CF9AE}" pid="23" name="MSIP_Label_6bd9ddd1-4d20-43f6-abfa-fc3c07406f94_ContentBits">
    <vt:lpwstr>0</vt:lpwstr>
  </property>
</Properties>
</file>