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2C63" w14:textId="31FF5E3E" w:rsidR="004B7662" w:rsidRDefault="00667D6E" w:rsidP="00667D6E">
      <w:pPr>
        <w:pStyle w:val="Pagedecouverture"/>
        <w:rPr>
          <w:noProof/>
        </w:rPr>
      </w:pPr>
      <w:bookmarkStart w:id="0" w:name="LW_BM_COVERPAGE"/>
      <w:r>
        <w:rPr>
          <w:noProof/>
        </w:rPr>
        <w:pict w14:anchorId="0155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B9476DB5-2E79-490D-A05A-A4D3278E06F4" style="width:455.25pt;height:365.25pt">
            <v:imagedata r:id="rId13" o:title=""/>
          </v:shape>
        </w:pict>
      </w:r>
    </w:p>
    <w:bookmarkEnd w:id="0"/>
    <w:p w14:paraId="4E88ADE7" w14:textId="77777777" w:rsidR="00351F93" w:rsidRDefault="00351F93" w:rsidP="00351F93">
      <w:pPr>
        <w:rPr>
          <w:noProof/>
        </w:rPr>
        <w:sectPr w:rsidR="00351F93" w:rsidSect="00667D6E">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2A601C8E" w14:textId="34A50F2E" w:rsidR="00351F93" w:rsidRPr="00351F93" w:rsidRDefault="00394979" w:rsidP="00351F93">
      <w:pPr>
        <w:spacing w:line="240" w:lineRule="auto"/>
        <w:jc w:val="center"/>
        <w:rPr>
          <w:rFonts w:ascii="Times New Roman" w:hAnsi="Times New Roman" w:cs="Times New Roman"/>
          <w:b/>
          <w:noProof/>
          <w:sz w:val="24"/>
          <w:szCs w:val="24"/>
        </w:rPr>
      </w:pPr>
      <w:bookmarkStart w:id="1" w:name="_GoBack"/>
      <w:bookmarkEnd w:id="1"/>
      <w:r w:rsidRPr="00394979">
        <w:rPr>
          <w:rFonts w:ascii="Times New Roman" w:hAnsi="Times New Roman" w:cs="Times New Roman"/>
          <w:b/>
          <w:noProof/>
          <w:sz w:val="24"/>
          <w:szCs w:val="24"/>
        </w:rPr>
        <w:lastRenderedPageBreak/>
        <w:t>REPORT FROM THE COMMISSION TO THE EUROPEAN PARLIAMENT, THE COUNCIL, THE EUROPEAN CENTRAL BANK AND THE EUROPEAN ECONOMIC AND SOCIAL COMMITTEE</w:t>
      </w:r>
    </w:p>
    <w:p w14:paraId="19E12F41" w14:textId="2E2A4D59" w:rsidR="001C6C09" w:rsidRDefault="001C6C09" w:rsidP="00EC774F">
      <w:pPr>
        <w:pStyle w:val="TOCHeading"/>
        <w:numPr>
          <w:ilvl w:val="0"/>
          <w:numId w:val="0"/>
        </w:numPr>
        <w:spacing w:line="240" w:lineRule="auto"/>
        <w:ind w:left="432"/>
        <w:jc w:val="center"/>
        <w:rPr>
          <w:rFonts w:ascii="Times New Roman" w:eastAsiaTheme="minorHAnsi" w:hAnsi="Times New Roman" w:cs="Times New Roman"/>
          <w:b/>
          <w:bCs/>
          <w:noProof/>
          <w:color w:val="000000"/>
          <w:sz w:val="24"/>
          <w:szCs w:val="24"/>
        </w:rPr>
      </w:pPr>
      <w:r w:rsidRPr="001C6C09">
        <w:rPr>
          <w:rFonts w:ascii="Times New Roman" w:eastAsiaTheme="minorHAnsi" w:hAnsi="Times New Roman" w:cs="Times New Roman"/>
          <w:b/>
          <w:bCs/>
          <w:noProof/>
          <w:color w:val="000000"/>
          <w:sz w:val="24"/>
          <w:szCs w:val="24"/>
        </w:rPr>
        <w:t xml:space="preserve">on the review of Directive 2015/2366/EU of the European Parliament </w:t>
      </w:r>
      <w:r>
        <w:rPr>
          <w:rFonts w:ascii="Times New Roman" w:eastAsiaTheme="minorHAnsi" w:hAnsi="Times New Roman" w:cs="Times New Roman"/>
          <w:b/>
          <w:bCs/>
          <w:noProof/>
          <w:color w:val="000000"/>
          <w:sz w:val="24"/>
          <w:szCs w:val="24"/>
        </w:rPr>
        <w:t xml:space="preserve">and of the </w:t>
      </w:r>
      <w:r w:rsidRPr="001C6C09">
        <w:rPr>
          <w:rFonts w:ascii="Times New Roman" w:eastAsiaTheme="minorHAnsi" w:hAnsi="Times New Roman" w:cs="Times New Roman"/>
          <w:b/>
          <w:bCs/>
          <w:noProof/>
          <w:color w:val="000000"/>
          <w:sz w:val="24"/>
          <w:szCs w:val="24"/>
        </w:rPr>
        <w:t>Council on payment services in the internal market</w:t>
      </w:r>
    </w:p>
    <w:p w14:paraId="27E61312" w14:textId="407654CF" w:rsidR="00D715C6" w:rsidRDefault="00D715C6" w:rsidP="00D715C6">
      <w:pPr>
        <w:rPr>
          <w:noProof/>
          <w:lang w:val="en-US"/>
        </w:rPr>
      </w:pPr>
    </w:p>
    <w:sdt>
      <w:sdtPr>
        <w:rPr>
          <w:rFonts w:asciiTheme="minorHAnsi" w:eastAsiaTheme="minorHAnsi" w:hAnsiTheme="minorHAnsi" w:cstheme="minorBidi"/>
          <w:noProof/>
          <w:color w:val="auto"/>
          <w:sz w:val="22"/>
          <w:szCs w:val="22"/>
          <w:lang w:val="en-GB"/>
        </w:rPr>
        <w:id w:val="900711820"/>
        <w:docPartObj>
          <w:docPartGallery w:val="Table of Contents"/>
          <w:docPartUnique/>
        </w:docPartObj>
      </w:sdtPr>
      <w:sdtEndPr>
        <w:rPr>
          <w:b/>
          <w:bCs/>
        </w:rPr>
      </w:sdtEndPr>
      <w:sdtContent>
        <w:p w14:paraId="318A9A58" w14:textId="788EFCA0" w:rsidR="00D715C6" w:rsidRDefault="00D715C6" w:rsidP="00CA21B2">
          <w:pPr>
            <w:pStyle w:val="TOCHeading"/>
            <w:numPr>
              <w:ilvl w:val="0"/>
              <w:numId w:val="0"/>
            </w:numPr>
            <w:ind w:left="432"/>
            <w:rPr>
              <w:noProof/>
            </w:rPr>
          </w:pPr>
          <w:r>
            <w:rPr>
              <w:noProof/>
            </w:rPr>
            <w:t>Contents</w:t>
          </w:r>
        </w:p>
        <w:p w14:paraId="207E8727" w14:textId="77777777" w:rsidR="00D715C6" w:rsidRPr="00D715C6" w:rsidRDefault="00D715C6" w:rsidP="00D715C6">
          <w:pPr>
            <w:rPr>
              <w:noProof/>
              <w:lang w:val="en-US"/>
            </w:rPr>
          </w:pPr>
        </w:p>
        <w:p w14:paraId="3D5C69A1" w14:textId="5C78CEBB" w:rsidR="0029291A" w:rsidRDefault="00D715C6">
          <w:pPr>
            <w:pStyle w:val="TOC1"/>
            <w:rPr>
              <w:rFonts w:cstheme="minorBidi"/>
              <w:noProof/>
              <w:lang w:val="en-IE" w:eastAsia="en-IE"/>
            </w:rPr>
          </w:pPr>
          <w:r>
            <w:rPr>
              <w:noProof/>
            </w:rPr>
            <w:fldChar w:fldCharType="begin"/>
          </w:r>
          <w:r>
            <w:rPr>
              <w:noProof/>
            </w:rPr>
            <w:instrText xml:space="preserve"> TOC \o "1-3" \h \z \u </w:instrText>
          </w:r>
          <w:r>
            <w:rPr>
              <w:noProof/>
            </w:rPr>
            <w:fldChar w:fldCharType="separate"/>
          </w:r>
          <w:hyperlink w:anchor="_Toc138066876" w:history="1">
            <w:r w:rsidR="0029291A" w:rsidRPr="00F21D39">
              <w:rPr>
                <w:rStyle w:val="Hyperlink"/>
                <w:rFonts w:ascii="Times New Roman" w:hAnsi="Times New Roman"/>
                <w:b/>
                <w:bCs/>
                <w:noProof/>
              </w:rPr>
              <w:t>1.</w:t>
            </w:r>
            <w:r w:rsidR="0029291A">
              <w:rPr>
                <w:rFonts w:cstheme="minorBidi"/>
                <w:noProof/>
                <w:lang w:val="en-IE" w:eastAsia="en-IE"/>
              </w:rPr>
              <w:tab/>
            </w:r>
            <w:r w:rsidR="0029291A" w:rsidRPr="00F21D39">
              <w:rPr>
                <w:rStyle w:val="Hyperlink"/>
                <w:rFonts w:ascii="Times New Roman" w:hAnsi="Times New Roman"/>
                <w:b/>
                <w:bCs/>
                <w:noProof/>
              </w:rPr>
              <w:t>INTRODUCTION</w:t>
            </w:r>
            <w:r w:rsidR="0029291A">
              <w:rPr>
                <w:noProof/>
                <w:webHidden/>
              </w:rPr>
              <w:tab/>
            </w:r>
            <w:r w:rsidR="0029291A">
              <w:rPr>
                <w:noProof/>
                <w:webHidden/>
              </w:rPr>
              <w:fldChar w:fldCharType="begin"/>
            </w:r>
            <w:r w:rsidR="0029291A">
              <w:rPr>
                <w:noProof/>
                <w:webHidden/>
              </w:rPr>
              <w:instrText xml:space="preserve"> PAGEREF _Toc138066876 \h </w:instrText>
            </w:r>
            <w:r w:rsidR="0029291A">
              <w:rPr>
                <w:noProof/>
                <w:webHidden/>
              </w:rPr>
            </w:r>
            <w:r w:rsidR="0029291A">
              <w:rPr>
                <w:noProof/>
                <w:webHidden/>
              </w:rPr>
              <w:fldChar w:fldCharType="separate"/>
            </w:r>
            <w:r w:rsidR="0041350B">
              <w:rPr>
                <w:noProof/>
                <w:webHidden/>
              </w:rPr>
              <w:t>3</w:t>
            </w:r>
            <w:r w:rsidR="0029291A">
              <w:rPr>
                <w:noProof/>
                <w:webHidden/>
              </w:rPr>
              <w:fldChar w:fldCharType="end"/>
            </w:r>
          </w:hyperlink>
        </w:p>
        <w:p w14:paraId="1D4D1B0F" w14:textId="111050DA" w:rsidR="0029291A" w:rsidRDefault="00667D6E">
          <w:pPr>
            <w:pStyle w:val="TOC1"/>
            <w:rPr>
              <w:rFonts w:cstheme="minorBidi"/>
              <w:noProof/>
              <w:lang w:val="en-IE" w:eastAsia="en-IE"/>
            </w:rPr>
          </w:pPr>
          <w:hyperlink w:anchor="_Toc138066877" w:history="1">
            <w:r w:rsidR="0029291A" w:rsidRPr="00F21D39">
              <w:rPr>
                <w:rStyle w:val="Hyperlink"/>
                <w:rFonts w:ascii="Times New Roman" w:hAnsi="Times New Roman"/>
                <w:b/>
                <w:bCs/>
                <w:noProof/>
              </w:rPr>
              <w:t>2.</w:t>
            </w:r>
            <w:r w:rsidR="0029291A">
              <w:rPr>
                <w:rFonts w:cstheme="minorBidi"/>
                <w:noProof/>
                <w:lang w:val="en-IE" w:eastAsia="en-IE"/>
              </w:rPr>
              <w:tab/>
            </w:r>
            <w:r w:rsidR="0029291A" w:rsidRPr="00F21D39">
              <w:rPr>
                <w:rStyle w:val="Hyperlink"/>
                <w:rFonts w:ascii="Times New Roman" w:hAnsi="Times New Roman"/>
                <w:b/>
                <w:bCs/>
                <w:noProof/>
              </w:rPr>
              <w:t>APPLICATION AND IMPACTS OF PSD2 IN GENERAL</w:t>
            </w:r>
            <w:r w:rsidR="0029291A">
              <w:rPr>
                <w:noProof/>
                <w:webHidden/>
              </w:rPr>
              <w:tab/>
            </w:r>
            <w:r w:rsidR="0029291A">
              <w:rPr>
                <w:noProof/>
                <w:webHidden/>
              </w:rPr>
              <w:fldChar w:fldCharType="begin"/>
            </w:r>
            <w:r w:rsidR="0029291A">
              <w:rPr>
                <w:noProof/>
                <w:webHidden/>
              </w:rPr>
              <w:instrText xml:space="preserve"> PAGEREF _Toc138066877 \h </w:instrText>
            </w:r>
            <w:r w:rsidR="0029291A">
              <w:rPr>
                <w:noProof/>
                <w:webHidden/>
              </w:rPr>
            </w:r>
            <w:r w:rsidR="0029291A">
              <w:rPr>
                <w:noProof/>
                <w:webHidden/>
              </w:rPr>
              <w:fldChar w:fldCharType="separate"/>
            </w:r>
            <w:r w:rsidR="0041350B">
              <w:rPr>
                <w:noProof/>
                <w:webHidden/>
              </w:rPr>
              <w:t>3</w:t>
            </w:r>
            <w:r w:rsidR="0029291A">
              <w:rPr>
                <w:noProof/>
                <w:webHidden/>
              </w:rPr>
              <w:fldChar w:fldCharType="end"/>
            </w:r>
          </w:hyperlink>
        </w:p>
        <w:p w14:paraId="3213D28F" w14:textId="57690EAC" w:rsidR="0029291A" w:rsidRDefault="00667D6E">
          <w:pPr>
            <w:pStyle w:val="TOC1"/>
            <w:rPr>
              <w:rFonts w:cstheme="minorBidi"/>
              <w:noProof/>
              <w:lang w:val="en-IE" w:eastAsia="en-IE"/>
            </w:rPr>
          </w:pPr>
          <w:hyperlink w:anchor="_Toc138066878" w:history="1">
            <w:r w:rsidR="0029291A" w:rsidRPr="00F21D39">
              <w:rPr>
                <w:rStyle w:val="Hyperlink"/>
                <w:rFonts w:ascii="Times New Roman" w:hAnsi="Times New Roman"/>
                <w:b/>
                <w:noProof/>
              </w:rPr>
              <w:t>3.</w:t>
            </w:r>
            <w:r w:rsidR="0029291A">
              <w:rPr>
                <w:rFonts w:cstheme="minorBidi"/>
                <w:noProof/>
                <w:lang w:val="en-IE" w:eastAsia="en-IE"/>
              </w:rPr>
              <w:tab/>
            </w:r>
            <w:r w:rsidR="0029291A" w:rsidRPr="00F21D39">
              <w:rPr>
                <w:rStyle w:val="Hyperlink"/>
                <w:rFonts w:ascii="Times New Roman" w:hAnsi="Times New Roman"/>
                <w:b/>
                <w:bCs/>
                <w:noProof/>
              </w:rPr>
              <w:t>SPECIFIC ASPECTS OF PSD2</w:t>
            </w:r>
            <w:r w:rsidR="0029291A">
              <w:rPr>
                <w:noProof/>
                <w:webHidden/>
              </w:rPr>
              <w:tab/>
            </w:r>
            <w:r w:rsidR="0029291A">
              <w:rPr>
                <w:noProof/>
                <w:webHidden/>
              </w:rPr>
              <w:fldChar w:fldCharType="begin"/>
            </w:r>
            <w:r w:rsidR="0029291A">
              <w:rPr>
                <w:noProof/>
                <w:webHidden/>
              </w:rPr>
              <w:instrText xml:space="preserve"> PAGEREF _Toc138066878 \h </w:instrText>
            </w:r>
            <w:r w:rsidR="0029291A">
              <w:rPr>
                <w:noProof/>
                <w:webHidden/>
              </w:rPr>
            </w:r>
            <w:r w:rsidR="0029291A">
              <w:rPr>
                <w:noProof/>
                <w:webHidden/>
              </w:rPr>
              <w:fldChar w:fldCharType="separate"/>
            </w:r>
            <w:r w:rsidR="0041350B">
              <w:rPr>
                <w:noProof/>
                <w:webHidden/>
              </w:rPr>
              <w:t>4</w:t>
            </w:r>
            <w:r w:rsidR="0029291A">
              <w:rPr>
                <w:noProof/>
                <w:webHidden/>
              </w:rPr>
              <w:fldChar w:fldCharType="end"/>
            </w:r>
          </w:hyperlink>
        </w:p>
        <w:p w14:paraId="3D81960F" w14:textId="591A8426" w:rsidR="0029291A" w:rsidRDefault="00667D6E">
          <w:pPr>
            <w:pStyle w:val="TOC2"/>
            <w:rPr>
              <w:rFonts w:asciiTheme="minorHAnsi" w:hAnsiTheme="minorHAnsi" w:cstheme="minorBidi"/>
              <w:lang w:val="en-IE" w:eastAsia="en-IE"/>
            </w:rPr>
          </w:pPr>
          <w:hyperlink w:anchor="_Toc138066879" w:history="1">
            <w:r w:rsidR="0029291A" w:rsidRPr="00F21D39">
              <w:rPr>
                <w:rStyle w:val="Hyperlink"/>
              </w:rPr>
              <w:t>3.1.</w:t>
            </w:r>
            <w:r w:rsidR="0029291A">
              <w:rPr>
                <w:rFonts w:asciiTheme="minorHAnsi" w:hAnsiTheme="minorHAnsi" w:cstheme="minorBidi"/>
                <w:lang w:val="en-IE" w:eastAsia="en-IE"/>
              </w:rPr>
              <w:tab/>
            </w:r>
            <w:r w:rsidR="0029291A" w:rsidRPr="00F21D39">
              <w:rPr>
                <w:rStyle w:val="Hyperlink"/>
              </w:rPr>
              <w:t>Open banking</w:t>
            </w:r>
            <w:r w:rsidR="0029291A">
              <w:rPr>
                <w:webHidden/>
              </w:rPr>
              <w:tab/>
            </w:r>
            <w:r w:rsidR="0029291A">
              <w:rPr>
                <w:webHidden/>
              </w:rPr>
              <w:fldChar w:fldCharType="begin"/>
            </w:r>
            <w:r w:rsidR="0029291A">
              <w:rPr>
                <w:webHidden/>
              </w:rPr>
              <w:instrText xml:space="preserve"> PAGEREF _Toc138066879 \h </w:instrText>
            </w:r>
            <w:r w:rsidR="0029291A">
              <w:rPr>
                <w:webHidden/>
              </w:rPr>
            </w:r>
            <w:r w:rsidR="0029291A">
              <w:rPr>
                <w:webHidden/>
              </w:rPr>
              <w:fldChar w:fldCharType="separate"/>
            </w:r>
            <w:r w:rsidR="0041350B">
              <w:rPr>
                <w:webHidden/>
              </w:rPr>
              <w:t>4</w:t>
            </w:r>
            <w:r w:rsidR="0029291A">
              <w:rPr>
                <w:webHidden/>
              </w:rPr>
              <w:fldChar w:fldCharType="end"/>
            </w:r>
          </w:hyperlink>
        </w:p>
        <w:p w14:paraId="2F669CAF" w14:textId="36C9AE9D" w:rsidR="0029291A" w:rsidRDefault="00667D6E">
          <w:pPr>
            <w:pStyle w:val="TOC2"/>
            <w:rPr>
              <w:rFonts w:asciiTheme="minorHAnsi" w:hAnsiTheme="minorHAnsi" w:cstheme="minorBidi"/>
              <w:lang w:val="en-IE" w:eastAsia="en-IE"/>
            </w:rPr>
          </w:pPr>
          <w:hyperlink w:anchor="_Toc138066880" w:history="1">
            <w:r w:rsidR="0029291A" w:rsidRPr="00F21D39">
              <w:rPr>
                <w:rStyle w:val="Hyperlink"/>
              </w:rPr>
              <w:t>3.2.</w:t>
            </w:r>
            <w:r w:rsidR="0029291A">
              <w:rPr>
                <w:rFonts w:asciiTheme="minorHAnsi" w:hAnsiTheme="minorHAnsi" w:cstheme="minorBidi"/>
                <w:lang w:val="en-IE" w:eastAsia="en-IE"/>
              </w:rPr>
              <w:tab/>
            </w:r>
            <w:r w:rsidR="0029291A" w:rsidRPr="00F21D39">
              <w:rPr>
                <w:rStyle w:val="Hyperlink"/>
              </w:rPr>
              <w:t>Scope</w:t>
            </w:r>
            <w:r w:rsidR="0029291A">
              <w:rPr>
                <w:webHidden/>
              </w:rPr>
              <w:tab/>
            </w:r>
            <w:r w:rsidR="0029291A">
              <w:rPr>
                <w:webHidden/>
              </w:rPr>
              <w:fldChar w:fldCharType="begin"/>
            </w:r>
            <w:r w:rsidR="0029291A">
              <w:rPr>
                <w:webHidden/>
              </w:rPr>
              <w:instrText xml:space="preserve"> PAGEREF _Toc138066880 \h </w:instrText>
            </w:r>
            <w:r w:rsidR="0029291A">
              <w:rPr>
                <w:webHidden/>
              </w:rPr>
            </w:r>
            <w:r w:rsidR="0029291A">
              <w:rPr>
                <w:webHidden/>
              </w:rPr>
              <w:fldChar w:fldCharType="separate"/>
            </w:r>
            <w:r w:rsidR="0041350B">
              <w:rPr>
                <w:webHidden/>
              </w:rPr>
              <w:t>6</w:t>
            </w:r>
            <w:r w:rsidR="0029291A">
              <w:rPr>
                <w:webHidden/>
              </w:rPr>
              <w:fldChar w:fldCharType="end"/>
            </w:r>
          </w:hyperlink>
        </w:p>
        <w:p w14:paraId="0E95BA3F" w14:textId="1963A1D3" w:rsidR="0029291A" w:rsidRDefault="00667D6E">
          <w:pPr>
            <w:pStyle w:val="TOC2"/>
            <w:rPr>
              <w:rFonts w:asciiTheme="minorHAnsi" w:hAnsiTheme="minorHAnsi" w:cstheme="minorBidi"/>
              <w:lang w:val="en-IE" w:eastAsia="en-IE"/>
            </w:rPr>
          </w:pPr>
          <w:hyperlink w:anchor="_Toc138066881" w:history="1">
            <w:r w:rsidR="0029291A" w:rsidRPr="00F21D39">
              <w:rPr>
                <w:rStyle w:val="Hyperlink"/>
              </w:rPr>
              <w:t>3.3.</w:t>
            </w:r>
            <w:r w:rsidR="0029291A">
              <w:rPr>
                <w:rFonts w:asciiTheme="minorHAnsi" w:hAnsiTheme="minorHAnsi" w:cstheme="minorBidi"/>
                <w:lang w:val="en-IE" w:eastAsia="en-IE"/>
              </w:rPr>
              <w:tab/>
            </w:r>
            <w:r w:rsidR="0029291A" w:rsidRPr="00F21D39">
              <w:rPr>
                <w:rStyle w:val="Hyperlink"/>
              </w:rPr>
              <w:t>Consumer protection</w:t>
            </w:r>
            <w:r w:rsidR="0029291A">
              <w:rPr>
                <w:webHidden/>
              </w:rPr>
              <w:tab/>
            </w:r>
            <w:r w:rsidR="0029291A">
              <w:rPr>
                <w:webHidden/>
              </w:rPr>
              <w:fldChar w:fldCharType="begin"/>
            </w:r>
            <w:r w:rsidR="0029291A">
              <w:rPr>
                <w:webHidden/>
              </w:rPr>
              <w:instrText xml:space="preserve"> PAGEREF _Toc138066881 \h </w:instrText>
            </w:r>
            <w:r w:rsidR="0029291A">
              <w:rPr>
                <w:webHidden/>
              </w:rPr>
            </w:r>
            <w:r w:rsidR="0029291A">
              <w:rPr>
                <w:webHidden/>
              </w:rPr>
              <w:fldChar w:fldCharType="separate"/>
            </w:r>
            <w:r w:rsidR="0041350B">
              <w:rPr>
                <w:webHidden/>
              </w:rPr>
              <w:t>7</w:t>
            </w:r>
            <w:r w:rsidR="0029291A">
              <w:rPr>
                <w:webHidden/>
              </w:rPr>
              <w:fldChar w:fldCharType="end"/>
            </w:r>
          </w:hyperlink>
        </w:p>
        <w:p w14:paraId="2116C01B" w14:textId="2E114CC3" w:rsidR="0029291A" w:rsidRDefault="00667D6E">
          <w:pPr>
            <w:pStyle w:val="TOC2"/>
            <w:rPr>
              <w:rFonts w:asciiTheme="minorHAnsi" w:hAnsiTheme="minorHAnsi" w:cstheme="minorBidi"/>
              <w:lang w:val="en-IE" w:eastAsia="en-IE"/>
            </w:rPr>
          </w:pPr>
          <w:hyperlink w:anchor="_Toc138066882" w:history="1">
            <w:r w:rsidR="0029291A" w:rsidRPr="00F21D39">
              <w:rPr>
                <w:rStyle w:val="Hyperlink"/>
              </w:rPr>
              <w:t>3.4.</w:t>
            </w:r>
            <w:r w:rsidR="0029291A">
              <w:rPr>
                <w:rFonts w:asciiTheme="minorHAnsi" w:hAnsiTheme="minorHAnsi" w:cstheme="minorBidi"/>
                <w:lang w:val="en-IE" w:eastAsia="en-IE"/>
              </w:rPr>
              <w:tab/>
            </w:r>
            <w:r w:rsidR="0029291A" w:rsidRPr="00F21D39">
              <w:rPr>
                <w:rStyle w:val="Hyperlink"/>
              </w:rPr>
              <w:t>Security and fraud prevention</w:t>
            </w:r>
            <w:r w:rsidR="0029291A">
              <w:rPr>
                <w:webHidden/>
              </w:rPr>
              <w:tab/>
            </w:r>
            <w:r w:rsidR="0029291A">
              <w:rPr>
                <w:webHidden/>
              </w:rPr>
              <w:fldChar w:fldCharType="begin"/>
            </w:r>
            <w:r w:rsidR="0029291A">
              <w:rPr>
                <w:webHidden/>
              </w:rPr>
              <w:instrText xml:space="preserve"> PAGEREF _Toc138066882 \h </w:instrText>
            </w:r>
            <w:r w:rsidR="0029291A">
              <w:rPr>
                <w:webHidden/>
              </w:rPr>
            </w:r>
            <w:r w:rsidR="0029291A">
              <w:rPr>
                <w:webHidden/>
              </w:rPr>
              <w:fldChar w:fldCharType="separate"/>
            </w:r>
            <w:r w:rsidR="0041350B">
              <w:rPr>
                <w:webHidden/>
              </w:rPr>
              <w:t>9</w:t>
            </w:r>
            <w:r w:rsidR="0029291A">
              <w:rPr>
                <w:webHidden/>
              </w:rPr>
              <w:fldChar w:fldCharType="end"/>
            </w:r>
          </w:hyperlink>
        </w:p>
        <w:p w14:paraId="00D48EA6" w14:textId="581A90F1" w:rsidR="0029291A" w:rsidRDefault="00667D6E">
          <w:pPr>
            <w:pStyle w:val="TOC2"/>
            <w:rPr>
              <w:rFonts w:asciiTheme="minorHAnsi" w:hAnsiTheme="minorHAnsi" w:cstheme="minorBidi"/>
              <w:lang w:val="en-IE" w:eastAsia="en-IE"/>
            </w:rPr>
          </w:pPr>
          <w:hyperlink w:anchor="_Toc138066883" w:history="1">
            <w:r w:rsidR="0029291A" w:rsidRPr="00F21D39">
              <w:rPr>
                <w:rStyle w:val="Hyperlink"/>
              </w:rPr>
              <w:t>3.5.</w:t>
            </w:r>
            <w:r w:rsidR="0029291A">
              <w:rPr>
                <w:rFonts w:asciiTheme="minorHAnsi" w:hAnsiTheme="minorHAnsi" w:cstheme="minorBidi"/>
                <w:lang w:val="en-IE" w:eastAsia="en-IE"/>
              </w:rPr>
              <w:tab/>
            </w:r>
            <w:r w:rsidR="0029291A" w:rsidRPr="00F21D39">
              <w:rPr>
                <w:rStyle w:val="Hyperlink"/>
              </w:rPr>
              <w:t>De-risking and competition-related issues</w:t>
            </w:r>
            <w:r w:rsidR="0029291A">
              <w:rPr>
                <w:webHidden/>
              </w:rPr>
              <w:tab/>
            </w:r>
            <w:r w:rsidR="0029291A">
              <w:rPr>
                <w:webHidden/>
              </w:rPr>
              <w:fldChar w:fldCharType="begin"/>
            </w:r>
            <w:r w:rsidR="0029291A">
              <w:rPr>
                <w:webHidden/>
              </w:rPr>
              <w:instrText xml:space="preserve"> PAGEREF _Toc138066883 \h </w:instrText>
            </w:r>
            <w:r w:rsidR="0029291A">
              <w:rPr>
                <w:webHidden/>
              </w:rPr>
            </w:r>
            <w:r w:rsidR="0029291A">
              <w:rPr>
                <w:webHidden/>
              </w:rPr>
              <w:fldChar w:fldCharType="separate"/>
            </w:r>
            <w:r w:rsidR="0041350B">
              <w:rPr>
                <w:webHidden/>
              </w:rPr>
              <w:t>11</w:t>
            </w:r>
            <w:r w:rsidR="0029291A">
              <w:rPr>
                <w:webHidden/>
              </w:rPr>
              <w:fldChar w:fldCharType="end"/>
            </w:r>
          </w:hyperlink>
        </w:p>
        <w:p w14:paraId="75712AAD" w14:textId="7919A03D" w:rsidR="0029291A" w:rsidRDefault="00667D6E">
          <w:pPr>
            <w:pStyle w:val="TOC2"/>
            <w:rPr>
              <w:rFonts w:asciiTheme="minorHAnsi" w:hAnsiTheme="minorHAnsi" w:cstheme="minorBidi"/>
              <w:lang w:val="en-IE" w:eastAsia="en-IE"/>
            </w:rPr>
          </w:pPr>
          <w:hyperlink w:anchor="_Toc138066884" w:history="1">
            <w:r w:rsidR="0029291A" w:rsidRPr="00F21D39">
              <w:rPr>
                <w:rStyle w:val="Hyperlink"/>
              </w:rPr>
              <w:t>3.6.</w:t>
            </w:r>
            <w:r w:rsidR="0029291A">
              <w:rPr>
                <w:rFonts w:asciiTheme="minorHAnsi" w:hAnsiTheme="minorHAnsi" w:cstheme="minorBidi"/>
                <w:lang w:val="en-IE" w:eastAsia="en-IE"/>
              </w:rPr>
              <w:tab/>
            </w:r>
            <w:r w:rsidR="0029291A" w:rsidRPr="00F21D39">
              <w:rPr>
                <w:rStyle w:val="Hyperlink"/>
              </w:rPr>
              <w:t>Enforcement</w:t>
            </w:r>
            <w:r w:rsidR="0029291A">
              <w:rPr>
                <w:webHidden/>
              </w:rPr>
              <w:tab/>
            </w:r>
            <w:r w:rsidR="0029291A">
              <w:rPr>
                <w:webHidden/>
              </w:rPr>
              <w:fldChar w:fldCharType="begin"/>
            </w:r>
            <w:r w:rsidR="0029291A">
              <w:rPr>
                <w:webHidden/>
              </w:rPr>
              <w:instrText xml:space="preserve"> PAGEREF _Toc138066884 \h </w:instrText>
            </w:r>
            <w:r w:rsidR="0029291A">
              <w:rPr>
                <w:webHidden/>
              </w:rPr>
            </w:r>
            <w:r w:rsidR="0029291A">
              <w:rPr>
                <w:webHidden/>
              </w:rPr>
              <w:fldChar w:fldCharType="separate"/>
            </w:r>
            <w:r w:rsidR="0041350B">
              <w:rPr>
                <w:webHidden/>
              </w:rPr>
              <w:t>11</w:t>
            </w:r>
            <w:r w:rsidR="0029291A">
              <w:rPr>
                <w:webHidden/>
              </w:rPr>
              <w:fldChar w:fldCharType="end"/>
            </w:r>
          </w:hyperlink>
        </w:p>
        <w:p w14:paraId="117F2DC8" w14:textId="1BC23547" w:rsidR="0029291A" w:rsidRDefault="00667D6E">
          <w:pPr>
            <w:pStyle w:val="TOC2"/>
            <w:rPr>
              <w:rFonts w:asciiTheme="minorHAnsi" w:hAnsiTheme="minorHAnsi" w:cstheme="minorBidi"/>
              <w:lang w:val="en-IE" w:eastAsia="en-IE"/>
            </w:rPr>
          </w:pPr>
          <w:hyperlink w:anchor="_Toc138066885" w:history="1">
            <w:r w:rsidR="0029291A" w:rsidRPr="00F21D39">
              <w:rPr>
                <w:rStyle w:val="Hyperlink"/>
              </w:rPr>
              <w:t>3.7.</w:t>
            </w:r>
            <w:r w:rsidR="0029291A">
              <w:rPr>
                <w:rFonts w:asciiTheme="minorHAnsi" w:hAnsiTheme="minorHAnsi" w:cstheme="minorBidi"/>
                <w:lang w:val="en-IE" w:eastAsia="en-IE"/>
              </w:rPr>
              <w:tab/>
            </w:r>
            <w:r w:rsidR="0029291A" w:rsidRPr="00F21D39">
              <w:rPr>
                <w:rStyle w:val="Hyperlink"/>
              </w:rPr>
              <w:t>Other issues</w:t>
            </w:r>
            <w:r w:rsidR="0029291A">
              <w:rPr>
                <w:webHidden/>
              </w:rPr>
              <w:tab/>
            </w:r>
            <w:r w:rsidR="0029291A">
              <w:rPr>
                <w:webHidden/>
              </w:rPr>
              <w:fldChar w:fldCharType="begin"/>
            </w:r>
            <w:r w:rsidR="0029291A">
              <w:rPr>
                <w:webHidden/>
              </w:rPr>
              <w:instrText xml:space="preserve"> PAGEREF _Toc138066885 \h </w:instrText>
            </w:r>
            <w:r w:rsidR="0029291A">
              <w:rPr>
                <w:webHidden/>
              </w:rPr>
            </w:r>
            <w:r w:rsidR="0029291A">
              <w:rPr>
                <w:webHidden/>
              </w:rPr>
              <w:fldChar w:fldCharType="separate"/>
            </w:r>
            <w:r w:rsidR="0041350B">
              <w:rPr>
                <w:webHidden/>
              </w:rPr>
              <w:t>12</w:t>
            </w:r>
            <w:r w:rsidR="0029291A">
              <w:rPr>
                <w:webHidden/>
              </w:rPr>
              <w:fldChar w:fldCharType="end"/>
            </w:r>
          </w:hyperlink>
        </w:p>
        <w:p w14:paraId="570C0522" w14:textId="20D643B7" w:rsidR="0029291A" w:rsidRDefault="00667D6E">
          <w:pPr>
            <w:pStyle w:val="TOC1"/>
            <w:rPr>
              <w:rFonts w:cstheme="minorBidi"/>
              <w:noProof/>
              <w:lang w:val="en-IE" w:eastAsia="en-IE"/>
            </w:rPr>
          </w:pPr>
          <w:hyperlink w:anchor="_Toc138066886" w:history="1">
            <w:r w:rsidR="0029291A" w:rsidRPr="00F21D39">
              <w:rPr>
                <w:rStyle w:val="Hyperlink"/>
                <w:rFonts w:ascii="Times New Roman" w:hAnsi="Times New Roman"/>
                <w:b/>
                <w:bCs/>
                <w:noProof/>
              </w:rPr>
              <w:t>4.</w:t>
            </w:r>
            <w:r w:rsidR="0029291A">
              <w:rPr>
                <w:rFonts w:cstheme="minorBidi"/>
                <w:noProof/>
                <w:lang w:val="en-IE" w:eastAsia="en-IE"/>
              </w:rPr>
              <w:tab/>
            </w:r>
            <w:r w:rsidR="0029291A" w:rsidRPr="00F21D39">
              <w:rPr>
                <w:rStyle w:val="Hyperlink"/>
                <w:rFonts w:ascii="Times New Roman" w:hAnsi="Times New Roman"/>
                <w:b/>
                <w:bCs/>
                <w:noProof/>
              </w:rPr>
              <w:t>CONCLUSIONS</w:t>
            </w:r>
            <w:r w:rsidR="0029291A">
              <w:rPr>
                <w:noProof/>
                <w:webHidden/>
              </w:rPr>
              <w:tab/>
            </w:r>
            <w:r w:rsidR="0029291A">
              <w:rPr>
                <w:noProof/>
                <w:webHidden/>
              </w:rPr>
              <w:fldChar w:fldCharType="begin"/>
            </w:r>
            <w:r w:rsidR="0029291A">
              <w:rPr>
                <w:noProof/>
                <w:webHidden/>
              </w:rPr>
              <w:instrText xml:space="preserve"> PAGEREF _Toc138066886 \h </w:instrText>
            </w:r>
            <w:r w:rsidR="0029291A">
              <w:rPr>
                <w:noProof/>
                <w:webHidden/>
              </w:rPr>
            </w:r>
            <w:r w:rsidR="0029291A">
              <w:rPr>
                <w:noProof/>
                <w:webHidden/>
              </w:rPr>
              <w:fldChar w:fldCharType="separate"/>
            </w:r>
            <w:r w:rsidR="0041350B">
              <w:rPr>
                <w:noProof/>
                <w:webHidden/>
              </w:rPr>
              <w:t>13</w:t>
            </w:r>
            <w:r w:rsidR="0029291A">
              <w:rPr>
                <w:noProof/>
                <w:webHidden/>
              </w:rPr>
              <w:fldChar w:fldCharType="end"/>
            </w:r>
          </w:hyperlink>
        </w:p>
        <w:p w14:paraId="2D4FE7F4" w14:textId="032DBB07" w:rsidR="00D715C6" w:rsidRDefault="00D715C6">
          <w:pPr>
            <w:rPr>
              <w:noProof/>
            </w:rPr>
          </w:pPr>
          <w:r>
            <w:rPr>
              <w:b/>
              <w:bCs/>
              <w:noProof/>
            </w:rPr>
            <w:fldChar w:fldCharType="end"/>
          </w:r>
        </w:p>
      </w:sdtContent>
    </w:sdt>
    <w:p w14:paraId="16A056AE" w14:textId="77777777" w:rsidR="00D715C6" w:rsidRPr="00D715C6" w:rsidRDefault="00D715C6" w:rsidP="00D715C6">
      <w:pPr>
        <w:rPr>
          <w:noProof/>
          <w:lang w:val="en-US"/>
        </w:rPr>
      </w:pPr>
    </w:p>
    <w:p w14:paraId="15A3D473" w14:textId="4FB120E0" w:rsidR="004B7662" w:rsidRDefault="00A55BE8" w:rsidP="008010AD">
      <w:pPr>
        <w:spacing w:line="240" w:lineRule="auto"/>
        <w:jc w:val="center"/>
        <w:rPr>
          <w:rFonts w:ascii="Times New Roman" w:hAnsi="Times New Roman" w:cs="Times New Roman"/>
          <w:b/>
          <w:bCs/>
          <w:noProof/>
          <w:sz w:val="24"/>
          <w:szCs w:val="24"/>
        </w:rPr>
      </w:pPr>
      <w:bookmarkStart w:id="2" w:name="_Toc10474381"/>
      <w:r>
        <w:rPr>
          <w:rFonts w:ascii="Times New Roman" w:hAnsi="Times New Roman" w:cs="Times New Roman"/>
          <w:b/>
          <w:bCs/>
          <w:noProof/>
          <w:sz w:val="24"/>
          <w:szCs w:val="24"/>
        </w:rPr>
        <w:br w:type="page"/>
      </w:r>
      <w:bookmarkStart w:id="3" w:name="_Toc17730530"/>
      <w:r>
        <w:rPr>
          <w:rFonts w:ascii="Times New Roman" w:hAnsi="Times New Roman" w:cs="Times New Roman"/>
          <w:b/>
          <w:bCs/>
          <w:noProof/>
          <w:sz w:val="24"/>
          <w:szCs w:val="24"/>
        </w:rPr>
        <w:t>ABBREVIATIONS</w:t>
      </w:r>
      <w:bookmarkEnd w:id="2"/>
      <w:bookmarkEnd w:id="3"/>
    </w:p>
    <w:p w14:paraId="4919F3DA" w14:textId="77777777" w:rsidR="004B7662" w:rsidRDefault="004B7662">
      <w:pPr>
        <w:spacing w:after="0" w:line="240" w:lineRule="auto"/>
        <w:jc w:val="both"/>
        <w:rPr>
          <w:rFonts w:ascii="Times New Roman" w:eastAsiaTheme="majorEastAsia" w:hAnsi="Times New Roman" w:cs="Times New Roman"/>
          <w:noProof/>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838"/>
      </w:tblGrid>
      <w:tr w:rsidR="008010AD" w:rsidRPr="008010AD" w14:paraId="26C9605B" w14:textId="77777777" w:rsidTr="004358A0">
        <w:trPr>
          <w:trHeight w:val="344"/>
        </w:trPr>
        <w:tc>
          <w:tcPr>
            <w:tcW w:w="1701" w:type="dxa"/>
          </w:tcPr>
          <w:p w14:paraId="39E3D790"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AIS</w:t>
            </w:r>
          </w:p>
        </w:tc>
        <w:tc>
          <w:tcPr>
            <w:tcW w:w="5838" w:type="dxa"/>
          </w:tcPr>
          <w:p w14:paraId="74D1918A" w14:textId="42F06730"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Account information service</w:t>
            </w:r>
          </w:p>
        </w:tc>
      </w:tr>
      <w:tr w:rsidR="008010AD" w:rsidRPr="008010AD" w14:paraId="70DF05A5" w14:textId="77777777" w:rsidTr="004358A0">
        <w:trPr>
          <w:trHeight w:val="344"/>
        </w:trPr>
        <w:tc>
          <w:tcPr>
            <w:tcW w:w="1701" w:type="dxa"/>
          </w:tcPr>
          <w:p w14:paraId="16825B67" w14:textId="77777777" w:rsidR="008010AD" w:rsidRPr="008010AD" w:rsidDel="00161CC3"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AISP</w:t>
            </w:r>
          </w:p>
        </w:tc>
        <w:tc>
          <w:tcPr>
            <w:tcW w:w="5838" w:type="dxa"/>
          </w:tcPr>
          <w:p w14:paraId="21F937D1" w14:textId="4C43B0B1" w:rsidR="008010AD" w:rsidRPr="008010AD" w:rsidDel="00161CC3"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Account information services provider</w:t>
            </w:r>
          </w:p>
        </w:tc>
      </w:tr>
      <w:tr w:rsidR="00BC2B26" w:rsidRPr="008010AD" w14:paraId="3C3FCB19" w14:textId="77777777" w:rsidTr="004358A0">
        <w:trPr>
          <w:trHeight w:val="344"/>
        </w:trPr>
        <w:tc>
          <w:tcPr>
            <w:tcW w:w="1701" w:type="dxa"/>
          </w:tcPr>
          <w:p w14:paraId="5700B4A8" w14:textId="51A4D714"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API</w:t>
            </w:r>
          </w:p>
        </w:tc>
        <w:tc>
          <w:tcPr>
            <w:tcW w:w="5838" w:type="dxa"/>
          </w:tcPr>
          <w:p w14:paraId="511F63AD" w14:textId="7C3C3529"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Application </w:t>
            </w:r>
            <w:r w:rsidR="00FB6A9E">
              <w:rPr>
                <w:rFonts w:ascii="Times New Roman" w:hAnsi="Times New Roman" w:cs="Times New Roman"/>
                <w:noProof/>
                <w:sz w:val="24"/>
                <w:szCs w:val="24"/>
              </w:rPr>
              <w:t>programming interface</w:t>
            </w:r>
          </w:p>
        </w:tc>
      </w:tr>
      <w:tr w:rsidR="008010AD" w:rsidRPr="008010AD" w14:paraId="25BE9EF2" w14:textId="77777777" w:rsidTr="004358A0">
        <w:trPr>
          <w:trHeight w:val="344"/>
        </w:trPr>
        <w:tc>
          <w:tcPr>
            <w:tcW w:w="1701" w:type="dxa"/>
          </w:tcPr>
          <w:p w14:paraId="6BAE9083"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ASPSP</w:t>
            </w:r>
          </w:p>
        </w:tc>
        <w:tc>
          <w:tcPr>
            <w:tcW w:w="5838" w:type="dxa"/>
          </w:tcPr>
          <w:p w14:paraId="22EAD373" w14:textId="4E5787F4"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Account servicing payment service provider </w:t>
            </w:r>
          </w:p>
        </w:tc>
      </w:tr>
      <w:tr w:rsidR="008010AD" w:rsidRPr="008010AD" w14:paraId="5A704A64" w14:textId="77777777" w:rsidTr="004358A0">
        <w:trPr>
          <w:trHeight w:val="344"/>
        </w:trPr>
        <w:tc>
          <w:tcPr>
            <w:tcW w:w="1701" w:type="dxa"/>
          </w:tcPr>
          <w:p w14:paraId="1CE47E4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ATM</w:t>
            </w:r>
          </w:p>
        </w:tc>
        <w:tc>
          <w:tcPr>
            <w:tcW w:w="5838" w:type="dxa"/>
          </w:tcPr>
          <w:p w14:paraId="04CD7E3B" w14:textId="2E188B80"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Automatic teller machine</w:t>
            </w:r>
          </w:p>
        </w:tc>
      </w:tr>
      <w:tr w:rsidR="008010AD" w:rsidRPr="008010AD" w14:paraId="31616807" w14:textId="77777777" w:rsidTr="004358A0">
        <w:trPr>
          <w:trHeight w:val="357"/>
        </w:trPr>
        <w:tc>
          <w:tcPr>
            <w:tcW w:w="1701" w:type="dxa"/>
          </w:tcPr>
          <w:p w14:paraId="586665DE"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DORA</w:t>
            </w:r>
          </w:p>
        </w:tc>
        <w:tc>
          <w:tcPr>
            <w:tcW w:w="5838" w:type="dxa"/>
          </w:tcPr>
          <w:p w14:paraId="6B5EDD6C" w14:textId="3ADC9145"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Digital operational resilience act</w:t>
            </w:r>
          </w:p>
        </w:tc>
      </w:tr>
      <w:tr w:rsidR="008010AD" w:rsidRPr="008010AD" w14:paraId="25337963" w14:textId="77777777" w:rsidTr="004358A0">
        <w:trPr>
          <w:trHeight w:val="357"/>
        </w:trPr>
        <w:tc>
          <w:tcPr>
            <w:tcW w:w="1701" w:type="dxa"/>
          </w:tcPr>
          <w:p w14:paraId="00E0AEB0"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EBA</w:t>
            </w:r>
          </w:p>
        </w:tc>
        <w:tc>
          <w:tcPr>
            <w:tcW w:w="5838" w:type="dxa"/>
          </w:tcPr>
          <w:p w14:paraId="469A36C2" w14:textId="21A916F0"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European banking authority</w:t>
            </w:r>
          </w:p>
        </w:tc>
      </w:tr>
      <w:tr w:rsidR="008010AD" w:rsidRPr="008010AD" w14:paraId="1FB7B2A1" w14:textId="77777777" w:rsidTr="004358A0">
        <w:trPr>
          <w:trHeight w:val="357"/>
        </w:trPr>
        <w:tc>
          <w:tcPr>
            <w:tcW w:w="1701" w:type="dxa"/>
          </w:tcPr>
          <w:p w14:paraId="42C47FCA"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EDIW</w:t>
            </w:r>
          </w:p>
        </w:tc>
        <w:tc>
          <w:tcPr>
            <w:tcW w:w="5838" w:type="dxa"/>
          </w:tcPr>
          <w:p w14:paraId="07674466" w14:textId="63F33DB3"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European digital identity wallet</w:t>
            </w:r>
          </w:p>
        </w:tc>
      </w:tr>
      <w:tr w:rsidR="008010AD" w:rsidRPr="008010AD" w14:paraId="111EC9DB" w14:textId="77777777" w:rsidTr="004358A0">
        <w:trPr>
          <w:trHeight w:val="357"/>
        </w:trPr>
        <w:tc>
          <w:tcPr>
            <w:tcW w:w="1701" w:type="dxa"/>
          </w:tcPr>
          <w:p w14:paraId="3BE9B410"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ECB</w:t>
            </w:r>
          </w:p>
        </w:tc>
        <w:tc>
          <w:tcPr>
            <w:tcW w:w="5838" w:type="dxa"/>
          </w:tcPr>
          <w:p w14:paraId="0FAD944B" w14:textId="7292B8B9"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European central bank</w:t>
            </w:r>
          </w:p>
        </w:tc>
      </w:tr>
      <w:tr w:rsidR="008010AD" w:rsidRPr="008010AD" w14:paraId="6B82A464" w14:textId="77777777" w:rsidTr="004358A0">
        <w:trPr>
          <w:trHeight w:val="357"/>
        </w:trPr>
        <w:tc>
          <w:tcPr>
            <w:tcW w:w="1701" w:type="dxa"/>
          </w:tcPr>
          <w:p w14:paraId="65328A68"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EEA</w:t>
            </w:r>
          </w:p>
        </w:tc>
        <w:tc>
          <w:tcPr>
            <w:tcW w:w="5838" w:type="dxa"/>
          </w:tcPr>
          <w:p w14:paraId="5EF4AC4B" w14:textId="13627B27"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European economic area</w:t>
            </w:r>
          </w:p>
        </w:tc>
      </w:tr>
      <w:tr w:rsidR="008010AD" w:rsidRPr="008010AD" w14:paraId="2FA489BE" w14:textId="77777777" w:rsidTr="004358A0">
        <w:trPr>
          <w:trHeight w:val="344"/>
        </w:trPr>
        <w:tc>
          <w:tcPr>
            <w:tcW w:w="1701" w:type="dxa"/>
          </w:tcPr>
          <w:p w14:paraId="0DE986CB"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EMD</w:t>
            </w:r>
          </w:p>
        </w:tc>
        <w:tc>
          <w:tcPr>
            <w:tcW w:w="5838" w:type="dxa"/>
          </w:tcPr>
          <w:p w14:paraId="52E4D3F7" w14:textId="65DBFB23"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Electronic money directive</w:t>
            </w:r>
          </w:p>
        </w:tc>
      </w:tr>
      <w:tr w:rsidR="008010AD" w:rsidRPr="008010AD" w14:paraId="4BDD8071" w14:textId="77777777" w:rsidTr="004358A0">
        <w:trPr>
          <w:trHeight w:val="344"/>
        </w:trPr>
        <w:tc>
          <w:tcPr>
            <w:tcW w:w="1701" w:type="dxa"/>
          </w:tcPr>
          <w:p w14:paraId="5644FDC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EMI</w:t>
            </w:r>
          </w:p>
        </w:tc>
        <w:tc>
          <w:tcPr>
            <w:tcW w:w="5838" w:type="dxa"/>
          </w:tcPr>
          <w:p w14:paraId="2FC8F7F7" w14:textId="4AAFFD33"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Electronic money institution</w:t>
            </w:r>
          </w:p>
        </w:tc>
      </w:tr>
      <w:tr w:rsidR="008010AD" w:rsidRPr="008010AD" w14:paraId="19C02DE7" w14:textId="77777777" w:rsidTr="004358A0">
        <w:trPr>
          <w:trHeight w:val="357"/>
        </w:trPr>
        <w:tc>
          <w:tcPr>
            <w:tcW w:w="1701" w:type="dxa"/>
          </w:tcPr>
          <w:p w14:paraId="7BDEAFC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GDPR</w:t>
            </w:r>
          </w:p>
        </w:tc>
        <w:tc>
          <w:tcPr>
            <w:tcW w:w="5838" w:type="dxa"/>
          </w:tcPr>
          <w:p w14:paraId="290AADF4" w14:textId="545C2E9C"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General data protection regulation </w:t>
            </w:r>
          </w:p>
        </w:tc>
      </w:tr>
      <w:tr w:rsidR="008010AD" w:rsidRPr="008010AD" w14:paraId="382D6AAE" w14:textId="77777777" w:rsidTr="004358A0">
        <w:trPr>
          <w:trHeight w:val="357"/>
        </w:trPr>
        <w:tc>
          <w:tcPr>
            <w:tcW w:w="1701" w:type="dxa"/>
          </w:tcPr>
          <w:p w14:paraId="7CADBC9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IBAN</w:t>
            </w:r>
          </w:p>
        </w:tc>
        <w:tc>
          <w:tcPr>
            <w:tcW w:w="5838" w:type="dxa"/>
          </w:tcPr>
          <w:p w14:paraId="302936F0" w14:textId="73B76935"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International bank account number</w:t>
            </w:r>
          </w:p>
        </w:tc>
      </w:tr>
      <w:tr w:rsidR="008010AD" w:rsidRPr="008010AD" w14:paraId="20C6E556" w14:textId="77777777" w:rsidTr="004358A0">
        <w:trPr>
          <w:trHeight w:val="357"/>
        </w:trPr>
        <w:tc>
          <w:tcPr>
            <w:tcW w:w="1701" w:type="dxa"/>
          </w:tcPr>
          <w:p w14:paraId="2278E4D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IP</w:t>
            </w:r>
          </w:p>
        </w:tc>
        <w:tc>
          <w:tcPr>
            <w:tcW w:w="5838" w:type="dxa"/>
          </w:tcPr>
          <w:p w14:paraId="12F01E4B" w14:textId="279EDCE9"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Instant payment</w:t>
            </w:r>
          </w:p>
        </w:tc>
      </w:tr>
      <w:tr w:rsidR="008010AD" w:rsidRPr="008010AD" w14:paraId="4F18E593" w14:textId="77777777" w:rsidTr="004358A0">
        <w:trPr>
          <w:trHeight w:val="357"/>
        </w:trPr>
        <w:tc>
          <w:tcPr>
            <w:tcW w:w="1701" w:type="dxa"/>
          </w:tcPr>
          <w:p w14:paraId="2C07ABB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MIT</w:t>
            </w:r>
          </w:p>
        </w:tc>
        <w:tc>
          <w:tcPr>
            <w:tcW w:w="5838" w:type="dxa"/>
          </w:tcPr>
          <w:p w14:paraId="3D53B378" w14:textId="6F78896F"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Merchant</w:t>
            </w:r>
            <w:r w:rsidR="00A441F5">
              <w:rPr>
                <w:rFonts w:ascii="Times New Roman" w:hAnsi="Times New Roman" w:cs="Times New Roman"/>
                <w:noProof/>
                <w:sz w:val="24"/>
                <w:szCs w:val="24"/>
              </w:rPr>
              <w:t>-</w:t>
            </w:r>
            <w:r w:rsidR="00FB6A9E" w:rsidRPr="008010AD">
              <w:rPr>
                <w:rFonts w:ascii="Times New Roman" w:hAnsi="Times New Roman" w:cs="Times New Roman"/>
                <w:noProof/>
                <w:sz w:val="24"/>
                <w:szCs w:val="24"/>
              </w:rPr>
              <w:t>initiated transaction</w:t>
            </w:r>
          </w:p>
        </w:tc>
      </w:tr>
      <w:tr w:rsidR="008010AD" w:rsidRPr="008010AD" w14:paraId="43BB7A81" w14:textId="77777777" w:rsidTr="004358A0">
        <w:trPr>
          <w:trHeight w:val="357"/>
        </w:trPr>
        <w:tc>
          <w:tcPr>
            <w:tcW w:w="1701" w:type="dxa"/>
          </w:tcPr>
          <w:p w14:paraId="092C1039"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MOTO</w:t>
            </w:r>
          </w:p>
        </w:tc>
        <w:tc>
          <w:tcPr>
            <w:tcW w:w="5838" w:type="dxa"/>
          </w:tcPr>
          <w:p w14:paraId="7A7709AF" w14:textId="500BE586"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Mail </w:t>
            </w:r>
            <w:r w:rsidR="00FB6A9E">
              <w:rPr>
                <w:rFonts w:ascii="Times New Roman" w:hAnsi="Times New Roman" w:cs="Times New Roman"/>
                <w:noProof/>
                <w:sz w:val="24"/>
                <w:szCs w:val="24"/>
              </w:rPr>
              <w:t>o</w:t>
            </w:r>
            <w:r w:rsidRPr="008010AD">
              <w:rPr>
                <w:rFonts w:ascii="Times New Roman" w:hAnsi="Times New Roman" w:cs="Times New Roman"/>
                <w:noProof/>
                <w:sz w:val="24"/>
                <w:szCs w:val="24"/>
              </w:rPr>
              <w:t xml:space="preserve">rder or </w:t>
            </w:r>
            <w:r w:rsidR="00FB6A9E">
              <w:rPr>
                <w:rFonts w:ascii="Times New Roman" w:hAnsi="Times New Roman" w:cs="Times New Roman"/>
                <w:noProof/>
                <w:sz w:val="24"/>
                <w:szCs w:val="24"/>
              </w:rPr>
              <w:t>t</w:t>
            </w:r>
            <w:r w:rsidRPr="008010AD">
              <w:rPr>
                <w:rFonts w:ascii="Times New Roman" w:hAnsi="Times New Roman" w:cs="Times New Roman"/>
                <w:noProof/>
                <w:sz w:val="24"/>
                <w:szCs w:val="24"/>
              </w:rPr>
              <w:t xml:space="preserve">elephone </w:t>
            </w:r>
            <w:r w:rsidR="00FB6A9E">
              <w:rPr>
                <w:rFonts w:ascii="Times New Roman" w:hAnsi="Times New Roman" w:cs="Times New Roman"/>
                <w:noProof/>
                <w:sz w:val="24"/>
                <w:szCs w:val="24"/>
              </w:rPr>
              <w:t>o</w:t>
            </w:r>
            <w:r w:rsidRPr="008010AD">
              <w:rPr>
                <w:rFonts w:ascii="Times New Roman" w:hAnsi="Times New Roman" w:cs="Times New Roman"/>
                <w:noProof/>
                <w:sz w:val="24"/>
                <w:szCs w:val="24"/>
              </w:rPr>
              <w:t>rder</w:t>
            </w:r>
          </w:p>
        </w:tc>
      </w:tr>
      <w:tr w:rsidR="008010AD" w:rsidRPr="008010AD" w14:paraId="167625B7" w14:textId="77777777" w:rsidTr="004358A0">
        <w:trPr>
          <w:trHeight w:val="357"/>
        </w:trPr>
        <w:tc>
          <w:tcPr>
            <w:tcW w:w="1701" w:type="dxa"/>
          </w:tcPr>
          <w:p w14:paraId="0A57917D"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NCA</w:t>
            </w:r>
          </w:p>
        </w:tc>
        <w:tc>
          <w:tcPr>
            <w:tcW w:w="5838" w:type="dxa"/>
          </w:tcPr>
          <w:p w14:paraId="5C752E18" w14:textId="5B101A0F"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National competent authority</w:t>
            </w:r>
          </w:p>
        </w:tc>
      </w:tr>
      <w:tr w:rsidR="00A43211" w:rsidRPr="008010AD" w14:paraId="6313B35F" w14:textId="77777777" w:rsidTr="004358A0">
        <w:trPr>
          <w:trHeight w:val="357"/>
        </w:trPr>
        <w:tc>
          <w:tcPr>
            <w:tcW w:w="1701" w:type="dxa"/>
          </w:tcPr>
          <w:p w14:paraId="3D57BB5D" w14:textId="5DD0A07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OB</w:t>
            </w:r>
          </w:p>
        </w:tc>
        <w:tc>
          <w:tcPr>
            <w:tcW w:w="5838" w:type="dxa"/>
          </w:tcPr>
          <w:p w14:paraId="69BBC223" w14:textId="7371352C"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Open </w:t>
            </w:r>
            <w:r w:rsidR="00FB6A9E">
              <w:rPr>
                <w:rFonts w:ascii="Times New Roman" w:hAnsi="Times New Roman" w:cs="Times New Roman"/>
                <w:noProof/>
                <w:sz w:val="24"/>
                <w:szCs w:val="24"/>
              </w:rPr>
              <w:t>b</w:t>
            </w:r>
            <w:r>
              <w:rPr>
                <w:rFonts w:ascii="Times New Roman" w:hAnsi="Times New Roman" w:cs="Times New Roman"/>
                <w:noProof/>
                <w:sz w:val="24"/>
                <w:szCs w:val="24"/>
              </w:rPr>
              <w:t>anking</w:t>
            </w:r>
          </w:p>
        </w:tc>
      </w:tr>
      <w:tr w:rsidR="00A43211" w:rsidRPr="008010AD" w14:paraId="13CB9B0D" w14:textId="77777777" w:rsidTr="004358A0">
        <w:trPr>
          <w:trHeight w:val="357"/>
        </w:trPr>
        <w:tc>
          <w:tcPr>
            <w:tcW w:w="1701" w:type="dxa"/>
          </w:tcPr>
          <w:p w14:paraId="1814F03B" w14:textId="6B49212F" w:rsidR="00A43211" w:rsidRDefault="00A43211"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OF</w:t>
            </w:r>
          </w:p>
        </w:tc>
        <w:tc>
          <w:tcPr>
            <w:tcW w:w="5838" w:type="dxa"/>
          </w:tcPr>
          <w:p w14:paraId="7650C612" w14:textId="4FD5E87D" w:rsidR="00A43211" w:rsidRDefault="00FB6A9E"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Open fin</w:t>
            </w:r>
            <w:r w:rsidR="00A43211">
              <w:rPr>
                <w:rFonts w:ascii="Times New Roman" w:hAnsi="Times New Roman" w:cs="Times New Roman"/>
                <w:noProof/>
                <w:sz w:val="24"/>
                <w:szCs w:val="24"/>
              </w:rPr>
              <w:t>ance</w:t>
            </w:r>
          </w:p>
        </w:tc>
      </w:tr>
      <w:tr w:rsidR="008010AD" w:rsidRPr="008010AD" w14:paraId="6B8407E9" w14:textId="77777777" w:rsidTr="004358A0">
        <w:trPr>
          <w:trHeight w:val="357"/>
        </w:trPr>
        <w:tc>
          <w:tcPr>
            <w:tcW w:w="1701" w:type="dxa"/>
          </w:tcPr>
          <w:p w14:paraId="37E27442"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PI</w:t>
            </w:r>
          </w:p>
        </w:tc>
        <w:tc>
          <w:tcPr>
            <w:tcW w:w="5838" w:type="dxa"/>
          </w:tcPr>
          <w:p w14:paraId="0592CB0B" w14:textId="58225AD8"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Payment institution</w:t>
            </w:r>
          </w:p>
        </w:tc>
      </w:tr>
      <w:tr w:rsidR="00A43211" w:rsidRPr="008010AD" w14:paraId="26B6B958" w14:textId="77777777" w:rsidTr="004358A0">
        <w:trPr>
          <w:trHeight w:val="357"/>
        </w:trPr>
        <w:tc>
          <w:tcPr>
            <w:tcW w:w="1701" w:type="dxa"/>
          </w:tcPr>
          <w:p w14:paraId="25B26961" w14:textId="30592B15"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PISA</w:t>
            </w:r>
          </w:p>
        </w:tc>
        <w:tc>
          <w:tcPr>
            <w:tcW w:w="5838" w:type="dxa"/>
          </w:tcPr>
          <w:p w14:paraId="488162C3" w14:textId="67CB2BA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Payment </w:t>
            </w:r>
            <w:r w:rsidR="00FB6A9E">
              <w:rPr>
                <w:rFonts w:ascii="Times New Roman" w:hAnsi="Times New Roman" w:cs="Times New Roman"/>
                <w:noProof/>
                <w:sz w:val="24"/>
                <w:szCs w:val="24"/>
              </w:rPr>
              <w:t>i</w:t>
            </w:r>
            <w:r>
              <w:rPr>
                <w:rFonts w:ascii="Times New Roman" w:hAnsi="Times New Roman" w:cs="Times New Roman"/>
                <w:noProof/>
                <w:sz w:val="24"/>
                <w:szCs w:val="24"/>
              </w:rPr>
              <w:t xml:space="preserve">nstruments </w:t>
            </w:r>
            <w:r w:rsidR="00FB6A9E">
              <w:rPr>
                <w:rFonts w:ascii="Times New Roman" w:hAnsi="Times New Roman" w:cs="Times New Roman"/>
                <w:noProof/>
                <w:sz w:val="24"/>
                <w:szCs w:val="24"/>
              </w:rPr>
              <w:t>s</w:t>
            </w:r>
            <w:r>
              <w:rPr>
                <w:rFonts w:ascii="Times New Roman" w:hAnsi="Times New Roman" w:cs="Times New Roman"/>
                <w:noProof/>
                <w:sz w:val="24"/>
                <w:szCs w:val="24"/>
              </w:rPr>
              <w:t xml:space="preserve">chemes and </w:t>
            </w:r>
            <w:r w:rsidR="00FB6A9E">
              <w:rPr>
                <w:rFonts w:ascii="Times New Roman" w:hAnsi="Times New Roman" w:cs="Times New Roman"/>
                <w:noProof/>
                <w:sz w:val="24"/>
                <w:szCs w:val="24"/>
              </w:rPr>
              <w:t>a</w:t>
            </w:r>
            <w:r>
              <w:rPr>
                <w:rFonts w:ascii="Times New Roman" w:hAnsi="Times New Roman" w:cs="Times New Roman"/>
                <w:noProof/>
                <w:sz w:val="24"/>
                <w:szCs w:val="24"/>
              </w:rPr>
              <w:t>rrangements</w:t>
            </w:r>
          </w:p>
        </w:tc>
      </w:tr>
      <w:tr w:rsidR="008010AD" w:rsidRPr="008010AD" w14:paraId="682FB14B" w14:textId="77777777" w:rsidTr="004358A0">
        <w:trPr>
          <w:trHeight w:val="357"/>
        </w:trPr>
        <w:tc>
          <w:tcPr>
            <w:tcW w:w="1701" w:type="dxa"/>
          </w:tcPr>
          <w:p w14:paraId="661175D3"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POS</w:t>
            </w:r>
          </w:p>
        </w:tc>
        <w:tc>
          <w:tcPr>
            <w:tcW w:w="5838" w:type="dxa"/>
          </w:tcPr>
          <w:p w14:paraId="46E206E7" w14:textId="785718CF"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Point of </w:t>
            </w:r>
            <w:r w:rsidR="00FB6A9E">
              <w:rPr>
                <w:rFonts w:ascii="Times New Roman" w:hAnsi="Times New Roman" w:cs="Times New Roman"/>
                <w:noProof/>
                <w:sz w:val="24"/>
                <w:szCs w:val="24"/>
              </w:rPr>
              <w:t>s</w:t>
            </w:r>
            <w:r w:rsidRPr="008010AD">
              <w:rPr>
                <w:rFonts w:ascii="Times New Roman" w:hAnsi="Times New Roman" w:cs="Times New Roman"/>
                <w:noProof/>
                <w:sz w:val="24"/>
                <w:szCs w:val="24"/>
              </w:rPr>
              <w:t>ale</w:t>
            </w:r>
          </w:p>
        </w:tc>
      </w:tr>
      <w:tr w:rsidR="008010AD" w:rsidRPr="008010AD" w14:paraId="4B69479D" w14:textId="77777777" w:rsidTr="004358A0">
        <w:trPr>
          <w:trHeight w:val="357"/>
        </w:trPr>
        <w:tc>
          <w:tcPr>
            <w:tcW w:w="1701" w:type="dxa"/>
          </w:tcPr>
          <w:p w14:paraId="08B1813C"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PSD2</w:t>
            </w:r>
          </w:p>
        </w:tc>
        <w:tc>
          <w:tcPr>
            <w:tcW w:w="5838" w:type="dxa"/>
          </w:tcPr>
          <w:p w14:paraId="1CB79F5C" w14:textId="2A3DF9A0"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Second payment services directive</w:t>
            </w:r>
          </w:p>
        </w:tc>
      </w:tr>
      <w:tr w:rsidR="008010AD" w:rsidRPr="008010AD" w14:paraId="0CDC759E" w14:textId="77777777" w:rsidTr="004358A0">
        <w:trPr>
          <w:trHeight w:val="357"/>
        </w:trPr>
        <w:tc>
          <w:tcPr>
            <w:tcW w:w="1701" w:type="dxa"/>
          </w:tcPr>
          <w:p w14:paraId="346DAA7B"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PSP</w:t>
            </w:r>
          </w:p>
        </w:tc>
        <w:tc>
          <w:tcPr>
            <w:tcW w:w="5838" w:type="dxa"/>
          </w:tcPr>
          <w:p w14:paraId="6E31F04C" w14:textId="4B3FCE87"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Payment service provider</w:t>
            </w:r>
          </w:p>
        </w:tc>
      </w:tr>
      <w:tr w:rsidR="008010AD" w:rsidRPr="008010AD" w14:paraId="4D445CF3" w14:textId="77777777" w:rsidTr="004358A0">
        <w:trPr>
          <w:trHeight w:val="357"/>
        </w:trPr>
        <w:tc>
          <w:tcPr>
            <w:tcW w:w="1701" w:type="dxa"/>
          </w:tcPr>
          <w:p w14:paraId="0098F85B"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PSU</w:t>
            </w:r>
          </w:p>
        </w:tc>
        <w:tc>
          <w:tcPr>
            <w:tcW w:w="5838" w:type="dxa"/>
          </w:tcPr>
          <w:p w14:paraId="077C7941" w14:textId="4395B80A"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Payment service user</w:t>
            </w:r>
          </w:p>
        </w:tc>
      </w:tr>
      <w:tr w:rsidR="008010AD" w:rsidRPr="008010AD" w14:paraId="6683D01A" w14:textId="77777777" w:rsidTr="004358A0">
        <w:trPr>
          <w:trHeight w:val="357"/>
        </w:trPr>
        <w:tc>
          <w:tcPr>
            <w:tcW w:w="1701" w:type="dxa"/>
          </w:tcPr>
          <w:p w14:paraId="0B1727A4"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RPS</w:t>
            </w:r>
          </w:p>
        </w:tc>
        <w:tc>
          <w:tcPr>
            <w:tcW w:w="5838" w:type="dxa"/>
          </w:tcPr>
          <w:p w14:paraId="125874C1" w14:textId="6FB4BA5D"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Retail payments strategy</w:t>
            </w:r>
          </w:p>
        </w:tc>
      </w:tr>
      <w:tr w:rsidR="008010AD" w:rsidRPr="008010AD" w14:paraId="37CB576A" w14:textId="77777777" w:rsidTr="004358A0">
        <w:trPr>
          <w:trHeight w:val="357"/>
        </w:trPr>
        <w:tc>
          <w:tcPr>
            <w:tcW w:w="1701" w:type="dxa"/>
          </w:tcPr>
          <w:p w14:paraId="69D353ED"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RTS</w:t>
            </w:r>
          </w:p>
        </w:tc>
        <w:tc>
          <w:tcPr>
            <w:tcW w:w="5838" w:type="dxa"/>
          </w:tcPr>
          <w:p w14:paraId="6B47AD2C" w14:textId="30A1F03E"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Regulatory </w:t>
            </w:r>
            <w:r w:rsidR="00FB6A9E">
              <w:rPr>
                <w:rFonts w:ascii="Times New Roman" w:hAnsi="Times New Roman" w:cs="Times New Roman"/>
                <w:noProof/>
                <w:sz w:val="24"/>
                <w:szCs w:val="24"/>
              </w:rPr>
              <w:t>t</w:t>
            </w:r>
            <w:r w:rsidRPr="008010AD">
              <w:rPr>
                <w:rFonts w:ascii="Times New Roman" w:hAnsi="Times New Roman" w:cs="Times New Roman"/>
                <w:noProof/>
                <w:sz w:val="24"/>
                <w:szCs w:val="24"/>
              </w:rPr>
              <w:t xml:space="preserve">echnical </w:t>
            </w:r>
            <w:r w:rsidR="00FB6A9E">
              <w:rPr>
                <w:rFonts w:ascii="Times New Roman" w:hAnsi="Times New Roman" w:cs="Times New Roman"/>
                <w:noProof/>
                <w:sz w:val="24"/>
                <w:szCs w:val="24"/>
              </w:rPr>
              <w:t>s</w:t>
            </w:r>
            <w:r w:rsidRPr="008010AD">
              <w:rPr>
                <w:rFonts w:ascii="Times New Roman" w:hAnsi="Times New Roman" w:cs="Times New Roman"/>
                <w:noProof/>
                <w:sz w:val="24"/>
                <w:szCs w:val="24"/>
              </w:rPr>
              <w:t>tandard(s)</w:t>
            </w:r>
          </w:p>
        </w:tc>
      </w:tr>
      <w:tr w:rsidR="008010AD" w:rsidRPr="008010AD" w14:paraId="67DE95AD" w14:textId="77777777" w:rsidTr="004358A0">
        <w:trPr>
          <w:trHeight w:val="357"/>
        </w:trPr>
        <w:tc>
          <w:tcPr>
            <w:tcW w:w="1701" w:type="dxa"/>
          </w:tcPr>
          <w:p w14:paraId="0EE53CAD"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SCA</w:t>
            </w:r>
          </w:p>
        </w:tc>
        <w:tc>
          <w:tcPr>
            <w:tcW w:w="5838" w:type="dxa"/>
          </w:tcPr>
          <w:p w14:paraId="0B55710C" w14:textId="580762C3"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Strong customer authentication</w:t>
            </w:r>
          </w:p>
        </w:tc>
      </w:tr>
      <w:tr w:rsidR="008010AD" w:rsidRPr="008010AD" w14:paraId="646A6944" w14:textId="77777777" w:rsidTr="004358A0">
        <w:trPr>
          <w:trHeight w:val="357"/>
        </w:trPr>
        <w:tc>
          <w:tcPr>
            <w:tcW w:w="1701" w:type="dxa"/>
          </w:tcPr>
          <w:p w14:paraId="56E179E3"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SEPA</w:t>
            </w:r>
          </w:p>
        </w:tc>
        <w:tc>
          <w:tcPr>
            <w:tcW w:w="5838" w:type="dxa"/>
          </w:tcPr>
          <w:p w14:paraId="230DD328" w14:textId="68C56F6C"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Single euro payments area</w:t>
            </w:r>
          </w:p>
        </w:tc>
      </w:tr>
      <w:tr w:rsidR="008010AD" w:rsidRPr="008010AD" w14:paraId="222084A4" w14:textId="77777777" w:rsidTr="004358A0">
        <w:trPr>
          <w:trHeight w:val="357"/>
        </w:trPr>
        <w:tc>
          <w:tcPr>
            <w:tcW w:w="1701" w:type="dxa"/>
          </w:tcPr>
          <w:p w14:paraId="61553755"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SFD</w:t>
            </w:r>
          </w:p>
        </w:tc>
        <w:tc>
          <w:tcPr>
            <w:tcW w:w="5838" w:type="dxa"/>
          </w:tcPr>
          <w:p w14:paraId="1D38ABB8" w14:textId="1DB4D660"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Settlement finality directive</w:t>
            </w:r>
          </w:p>
        </w:tc>
      </w:tr>
      <w:tr w:rsidR="008010AD" w:rsidRPr="008010AD" w14:paraId="0D283AF6" w14:textId="77777777" w:rsidTr="004358A0">
        <w:trPr>
          <w:trHeight w:val="357"/>
        </w:trPr>
        <w:tc>
          <w:tcPr>
            <w:tcW w:w="1701" w:type="dxa"/>
          </w:tcPr>
          <w:p w14:paraId="548D5667"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TMM</w:t>
            </w:r>
          </w:p>
        </w:tc>
        <w:tc>
          <w:tcPr>
            <w:tcW w:w="5838" w:type="dxa"/>
          </w:tcPr>
          <w:p w14:paraId="4D388A8E" w14:textId="06F8FACD"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 xml:space="preserve">Transaction </w:t>
            </w:r>
            <w:r w:rsidR="00FB6A9E">
              <w:rPr>
                <w:rFonts w:ascii="Times New Roman" w:hAnsi="Times New Roman" w:cs="Times New Roman"/>
                <w:noProof/>
                <w:sz w:val="24"/>
                <w:szCs w:val="24"/>
              </w:rPr>
              <w:t>m</w:t>
            </w:r>
            <w:r w:rsidRPr="008010AD">
              <w:rPr>
                <w:rFonts w:ascii="Times New Roman" w:hAnsi="Times New Roman" w:cs="Times New Roman"/>
                <w:noProof/>
                <w:sz w:val="24"/>
                <w:szCs w:val="24"/>
              </w:rPr>
              <w:t xml:space="preserve">onitoring </w:t>
            </w:r>
            <w:r w:rsidR="00FB6A9E">
              <w:rPr>
                <w:rFonts w:ascii="Times New Roman" w:hAnsi="Times New Roman" w:cs="Times New Roman"/>
                <w:noProof/>
                <w:sz w:val="24"/>
                <w:szCs w:val="24"/>
              </w:rPr>
              <w:t>m</w:t>
            </w:r>
            <w:r w:rsidRPr="008010AD">
              <w:rPr>
                <w:rFonts w:ascii="Times New Roman" w:hAnsi="Times New Roman" w:cs="Times New Roman"/>
                <w:noProof/>
                <w:sz w:val="24"/>
                <w:szCs w:val="24"/>
              </w:rPr>
              <w:t>echanism(s)</w:t>
            </w:r>
          </w:p>
        </w:tc>
      </w:tr>
      <w:tr w:rsidR="008010AD" w:rsidRPr="008010AD" w14:paraId="46CB4DD1" w14:textId="77777777" w:rsidTr="004358A0">
        <w:trPr>
          <w:trHeight w:val="344"/>
        </w:trPr>
        <w:tc>
          <w:tcPr>
            <w:tcW w:w="1701" w:type="dxa"/>
          </w:tcPr>
          <w:p w14:paraId="5B6AACE2" w14:textId="77777777" w:rsidR="008010AD" w:rsidRPr="008010AD" w:rsidRDefault="008010AD"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TPP</w:t>
            </w:r>
          </w:p>
        </w:tc>
        <w:tc>
          <w:tcPr>
            <w:tcW w:w="5838" w:type="dxa"/>
          </w:tcPr>
          <w:p w14:paraId="267738D0" w14:textId="7993C254" w:rsidR="008010AD" w:rsidRPr="008010AD" w:rsidRDefault="00FB6A9E" w:rsidP="008010AD">
            <w:pPr>
              <w:spacing w:after="0" w:line="240" w:lineRule="auto"/>
              <w:jc w:val="both"/>
              <w:rPr>
                <w:rFonts w:ascii="Times New Roman" w:hAnsi="Times New Roman" w:cs="Times New Roman"/>
                <w:noProof/>
                <w:sz w:val="24"/>
                <w:szCs w:val="24"/>
              </w:rPr>
            </w:pPr>
            <w:r w:rsidRPr="008010AD">
              <w:rPr>
                <w:rFonts w:ascii="Times New Roman" w:hAnsi="Times New Roman" w:cs="Times New Roman"/>
                <w:noProof/>
                <w:sz w:val="24"/>
                <w:szCs w:val="24"/>
              </w:rPr>
              <w:t>Third party provider</w:t>
            </w:r>
          </w:p>
        </w:tc>
      </w:tr>
      <w:tr w:rsidR="00A43211" w:rsidRPr="008010AD" w14:paraId="03C27B87" w14:textId="77777777" w:rsidTr="004358A0">
        <w:trPr>
          <w:trHeight w:val="344"/>
        </w:trPr>
        <w:tc>
          <w:tcPr>
            <w:tcW w:w="1701" w:type="dxa"/>
          </w:tcPr>
          <w:p w14:paraId="3D6EB74A" w14:textId="4233B2A0" w:rsidR="00A43211" w:rsidRPr="008010AD" w:rsidRDefault="00A43211" w:rsidP="008010AD">
            <w:pPr>
              <w:spacing w:after="0" w:line="240" w:lineRule="auto"/>
              <w:jc w:val="both"/>
              <w:rPr>
                <w:rFonts w:ascii="Times New Roman" w:hAnsi="Times New Roman" w:cs="Times New Roman"/>
                <w:noProof/>
                <w:sz w:val="24"/>
                <w:szCs w:val="24"/>
              </w:rPr>
            </w:pPr>
            <w:bookmarkStart w:id="4" w:name="_Toc878023"/>
            <w:bookmarkStart w:id="5" w:name="_Toc17730531"/>
            <w:bookmarkStart w:id="6" w:name="_Toc41385899"/>
            <w:bookmarkStart w:id="7" w:name="_Toc52294919"/>
            <w:bookmarkStart w:id="8" w:name="_Toc52302081"/>
            <w:bookmarkStart w:id="9" w:name="_Toc52901478"/>
            <w:bookmarkStart w:id="10" w:name="_Toc4058292"/>
            <w:bookmarkStart w:id="11" w:name="_Toc10474382"/>
            <w:r>
              <w:rPr>
                <w:rFonts w:ascii="Times New Roman" w:hAnsi="Times New Roman" w:cs="Times New Roman"/>
                <w:noProof/>
                <w:sz w:val="24"/>
                <w:szCs w:val="24"/>
              </w:rPr>
              <w:t>TSP</w:t>
            </w:r>
          </w:p>
        </w:tc>
        <w:tc>
          <w:tcPr>
            <w:tcW w:w="5838" w:type="dxa"/>
          </w:tcPr>
          <w:p w14:paraId="5B7A740A" w14:textId="1191F8A0" w:rsidR="00A43211"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Technical service provider</w:t>
            </w:r>
          </w:p>
        </w:tc>
      </w:tr>
    </w:tbl>
    <w:p w14:paraId="78DF97AA" w14:textId="77777777" w:rsidR="008010AD" w:rsidRDefault="008010AD" w:rsidP="008010AD">
      <w:pPr>
        <w:pStyle w:val="Heading1"/>
        <w:numPr>
          <w:ilvl w:val="0"/>
          <w:numId w:val="0"/>
        </w:numPr>
        <w:spacing w:after="120"/>
        <w:rPr>
          <w:rStyle w:val="Hyperlink"/>
          <w:rFonts w:ascii="Times New Roman" w:hAnsi="Times New Roman" w:cs="Times New Roman"/>
          <w:b/>
          <w:bCs/>
          <w:noProof/>
          <w:color w:val="auto"/>
          <w:sz w:val="24"/>
          <w:szCs w:val="24"/>
          <w:u w:val="none"/>
        </w:rPr>
      </w:pPr>
    </w:p>
    <w:p w14:paraId="05B741B0" w14:textId="64A9C9BD" w:rsidR="00C12F49" w:rsidRDefault="00C12F49" w:rsidP="00AE3F61">
      <w:pPr>
        <w:pStyle w:val="ListParagraph"/>
        <w:spacing w:before="120" w:after="120" w:line="240" w:lineRule="auto"/>
        <w:jc w:val="both"/>
        <w:rPr>
          <w:rStyle w:val="Hyperlink"/>
          <w:rFonts w:ascii="Times New Roman" w:hAnsi="Times New Roman" w:cs="Times New Roman"/>
          <w:b/>
          <w:bCs/>
          <w:noProof/>
          <w:color w:val="auto"/>
          <w:sz w:val="24"/>
          <w:szCs w:val="24"/>
          <w:u w:val="none"/>
        </w:rPr>
        <w:sectPr w:rsidR="00C12F49">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pPr>
    </w:p>
    <w:p w14:paraId="3C680349" w14:textId="34CA3EDB" w:rsidR="004B7662" w:rsidRDefault="00A55BE8" w:rsidP="00EC774F">
      <w:pPr>
        <w:pStyle w:val="Heading1"/>
        <w:numPr>
          <w:ilvl w:val="0"/>
          <w:numId w:val="3"/>
        </w:numPr>
        <w:spacing w:after="120"/>
        <w:ind w:left="357" w:hanging="357"/>
        <w:rPr>
          <w:rStyle w:val="Hyperlink"/>
          <w:rFonts w:ascii="Times New Roman" w:hAnsi="Times New Roman" w:cs="Times New Roman"/>
          <w:b/>
          <w:bCs/>
          <w:noProof/>
          <w:color w:val="auto"/>
          <w:sz w:val="24"/>
          <w:szCs w:val="24"/>
          <w:u w:val="none"/>
        </w:rPr>
      </w:pPr>
      <w:bookmarkStart w:id="12" w:name="_Toc138066876"/>
      <w:r w:rsidRPr="00D715C6">
        <w:rPr>
          <w:rStyle w:val="Hyperlink"/>
          <w:rFonts w:ascii="Times New Roman" w:hAnsi="Times New Roman" w:cs="Times New Roman"/>
          <w:b/>
          <w:bCs/>
          <w:noProof/>
          <w:color w:val="auto"/>
          <w:sz w:val="24"/>
          <w:szCs w:val="24"/>
          <w:u w:val="none"/>
        </w:rPr>
        <w:t>INTRODUCTION</w:t>
      </w:r>
      <w:bookmarkEnd w:id="4"/>
      <w:bookmarkEnd w:id="5"/>
      <w:bookmarkEnd w:id="6"/>
      <w:bookmarkEnd w:id="7"/>
      <w:bookmarkEnd w:id="8"/>
      <w:bookmarkEnd w:id="9"/>
      <w:bookmarkEnd w:id="12"/>
      <w:r w:rsidRPr="00D715C6">
        <w:rPr>
          <w:rStyle w:val="Hyperlink"/>
          <w:rFonts w:ascii="Times New Roman" w:hAnsi="Times New Roman" w:cs="Times New Roman"/>
          <w:b/>
          <w:bCs/>
          <w:noProof/>
          <w:color w:val="auto"/>
          <w:sz w:val="24"/>
          <w:szCs w:val="24"/>
          <w:u w:val="none"/>
        </w:rPr>
        <w:t xml:space="preserve"> </w:t>
      </w:r>
      <w:bookmarkEnd w:id="10"/>
      <w:bookmarkEnd w:id="11"/>
    </w:p>
    <w:p w14:paraId="2E97080B" w14:textId="6FAF942E" w:rsidR="005E54D1" w:rsidRDefault="005E54D1" w:rsidP="00157409">
      <w:pPr>
        <w:spacing w:before="120" w:after="0" w:line="240" w:lineRule="auto"/>
        <w:jc w:val="both"/>
        <w:rPr>
          <w:rFonts w:ascii="Times New Roman" w:hAnsi="Times New Roman" w:cs="Times New Roman"/>
          <w:noProof/>
          <w:color w:val="333333"/>
          <w:sz w:val="24"/>
          <w:szCs w:val="24"/>
          <w:shd w:val="clear" w:color="auto" w:fill="FFFFFF"/>
        </w:rPr>
      </w:pPr>
      <w:r w:rsidRPr="005E54D1">
        <w:rPr>
          <w:rFonts w:ascii="Times New Roman" w:hAnsi="Times New Roman" w:cs="Times New Roman"/>
          <w:noProof/>
          <w:color w:val="333333"/>
          <w:sz w:val="24"/>
          <w:szCs w:val="24"/>
          <w:shd w:val="clear" w:color="auto" w:fill="FFFFFF"/>
        </w:rPr>
        <w:t>The second Payment Services Directive (PSD2</w:t>
      </w:r>
      <w:r w:rsidRPr="005E54D1">
        <w:rPr>
          <w:rFonts w:ascii="Times New Roman" w:hAnsi="Times New Roman" w:cs="Times New Roman"/>
          <w:noProof/>
          <w:color w:val="333333"/>
          <w:sz w:val="24"/>
          <w:szCs w:val="24"/>
          <w:shd w:val="clear" w:color="auto" w:fill="FFFFFF"/>
          <w:vertAlign w:val="superscript"/>
        </w:rPr>
        <w:footnoteReference w:id="2"/>
      </w:r>
      <w:r w:rsidRPr="005E54D1">
        <w:rPr>
          <w:rFonts w:ascii="Times New Roman" w:hAnsi="Times New Roman" w:cs="Times New Roman"/>
          <w:noProof/>
          <w:color w:val="333333"/>
          <w:sz w:val="24"/>
          <w:szCs w:val="24"/>
          <w:shd w:val="clear" w:color="auto" w:fill="FFFFFF"/>
        </w:rPr>
        <w:t xml:space="preserve">) provides a framework for all retail payments in the EU, </w:t>
      </w:r>
      <w:r w:rsidR="00B26FE9">
        <w:rPr>
          <w:rFonts w:ascii="Times New Roman" w:hAnsi="Times New Roman" w:cs="Times New Roman"/>
          <w:noProof/>
          <w:color w:val="333333"/>
          <w:sz w:val="24"/>
          <w:szCs w:val="24"/>
          <w:shd w:val="clear" w:color="auto" w:fill="FFFFFF"/>
        </w:rPr>
        <w:t>e</w:t>
      </w:r>
      <w:r w:rsidRPr="005E54D1">
        <w:rPr>
          <w:rFonts w:ascii="Times New Roman" w:hAnsi="Times New Roman" w:cs="Times New Roman"/>
          <w:noProof/>
          <w:color w:val="333333"/>
          <w:sz w:val="24"/>
          <w:szCs w:val="24"/>
          <w:shd w:val="clear" w:color="auto" w:fill="FFFFFF"/>
        </w:rPr>
        <w:t>uro and non-</w:t>
      </w:r>
      <w:r w:rsidR="00B26FE9">
        <w:rPr>
          <w:rFonts w:ascii="Times New Roman" w:hAnsi="Times New Roman" w:cs="Times New Roman"/>
          <w:noProof/>
          <w:color w:val="333333"/>
          <w:sz w:val="24"/>
          <w:szCs w:val="24"/>
          <w:shd w:val="clear" w:color="auto" w:fill="FFFFFF"/>
        </w:rPr>
        <w:t>e</w:t>
      </w:r>
      <w:r w:rsidRPr="005E54D1">
        <w:rPr>
          <w:rFonts w:ascii="Times New Roman" w:hAnsi="Times New Roman" w:cs="Times New Roman"/>
          <w:noProof/>
          <w:color w:val="333333"/>
          <w:sz w:val="24"/>
          <w:szCs w:val="24"/>
          <w:shd w:val="clear" w:color="auto" w:fill="FFFFFF"/>
        </w:rPr>
        <w:t xml:space="preserve">uro, domestic and cross-border. </w:t>
      </w:r>
      <w:r>
        <w:rPr>
          <w:rFonts w:ascii="Times New Roman" w:hAnsi="Times New Roman" w:cs="Times New Roman"/>
          <w:noProof/>
          <w:color w:val="333333"/>
          <w:sz w:val="24"/>
          <w:szCs w:val="24"/>
          <w:shd w:val="clear" w:color="auto" w:fill="FFFFFF"/>
        </w:rPr>
        <w:t xml:space="preserve">The first </w:t>
      </w:r>
      <w:r w:rsidRPr="005E54D1">
        <w:rPr>
          <w:rFonts w:ascii="Times New Roman" w:hAnsi="Times New Roman" w:cs="Times New Roman"/>
          <w:noProof/>
          <w:color w:val="333333"/>
          <w:sz w:val="24"/>
          <w:szCs w:val="24"/>
          <w:shd w:val="clear" w:color="auto" w:fill="FFFFFF"/>
        </w:rPr>
        <w:t>Payment Services Directive</w:t>
      </w:r>
      <w:r>
        <w:rPr>
          <w:rFonts w:ascii="Times New Roman" w:hAnsi="Times New Roman" w:cs="Times New Roman"/>
          <w:noProof/>
          <w:color w:val="333333"/>
          <w:sz w:val="24"/>
          <w:szCs w:val="24"/>
          <w:shd w:val="clear" w:color="auto" w:fill="FFFFFF"/>
        </w:rPr>
        <w:t xml:space="preserve"> (PSD1</w:t>
      </w:r>
      <w:r w:rsidRPr="005E54D1">
        <w:rPr>
          <w:rFonts w:ascii="Times New Roman" w:hAnsi="Times New Roman" w:cs="Times New Roman"/>
          <w:noProof/>
          <w:color w:val="333333"/>
          <w:sz w:val="24"/>
          <w:szCs w:val="24"/>
          <w:shd w:val="clear" w:color="auto" w:fill="FFFFFF"/>
          <w:vertAlign w:val="superscript"/>
        </w:rPr>
        <w:footnoteReference w:id="3"/>
      </w:r>
      <w:r>
        <w:rPr>
          <w:rFonts w:ascii="Times New Roman" w:hAnsi="Times New Roman" w:cs="Times New Roman"/>
          <w:noProof/>
          <w:color w:val="333333"/>
          <w:sz w:val="24"/>
          <w:szCs w:val="24"/>
          <w:shd w:val="clear" w:color="auto" w:fill="FFFFFF"/>
        </w:rPr>
        <w:t>)</w:t>
      </w:r>
      <w:r w:rsidR="001E142A">
        <w:rPr>
          <w:rFonts w:ascii="Times New Roman" w:hAnsi="Times New Roman" w:cs="Times New Roman"/>
          <w:noProof/>
          <w:color w:val="333333"/>
          <w:sz w:val="24"/>
          <w:szCs w:val="24"/>
          <w:shd w:val="clear" w:color="auto" w:fill="FFFFFF"/>
        </w:rPr>
        <w:t>, adopted in 2007,</w:t>
      </w:r>
      <w:r w:rsidR="00E153C3">
        <w:rPr>
          <w:rFonts w:ascii="Times New Roman" w:hAnsi="Times New Roman" w:cs="Times New Roman"/>
          <w:noProof/>
          <w:color w:val="333333"/>
          <w:sz w:val="24"/>
          <w:szCs w:val="24"/>
          <w:shd w:val="clear" w:color="auto" w:fill="FFFFFF"/>
        </w:rPr>
        <w:t xml:space="preserve"> </w:t>
      </w:r>
      <w:r w:rsidRPr="005E54D1">
        <w:rPr>
          <w:rFonts w:ascii="Times New Roman" w:hAnsi="Times New Roman" w:cs="Times New Roman"/>
          <w:noProof/>
          <w:color w:val="333333"/>
          <w:sz w:val="24"/>
          <w:szCs w:val="24"/>
          <w:shd w:val="clear" w:color="auto" w:fill="FFFFFF"/>
        </w:rPr>
        <w:t>establish</w:t>
      </w:r>
      <w:r>
        <w:rPr>
          <w:rFonts w:ascii="Times New Roman" w:hAnsi="Times New Roman" w:cs="Times New Roman"/>
          <w:noProof/>
          <w:color w:val="333333"/>
          <w:sz w:val="24"/>
          <w:szCs w:val="24"/>
          <w:shd w:val="clear" w:color="auto" w:fill="FFFFFF"/>
        </w:rPr>
        <w:t>ed</w:t>
      </w:r>
      <w:r w:rsidRPr="005E54D1">
        <w:rPr>
          <w:rFonts w:ascii="Times New Roman" w:hAnsi="Times New Roman" w:cs="Times New Roman"/>
          <w:noProof/>
          <w:color w:val="333333"/>
          <w:sz w:val="24"/>
          <w:szCs w:val="24"/>
          <w:shd w:val="clear" w:color="auto" w:fill="FFFFFF"/>
        </w:rPr>
        <w:t xml:space="preserve"> a harmonised legal framework for the creation of an integrated EU payments market</w:t>
      </w:r>
      <w:r>
        <w:rPr>
          <w:rFonts w:ascii="Times New Roman" w:hAnsi="Times New Roman" w:cs="Times New Roman"/>
          <w:noProof/>
          <w:color w:val="333333"/>
          <w:sz w:val="24"/>
          <w:szCs w:val="24"/>
          <w:shd w:val="clear" w:color="auto" w:fill="FFFFFF"/>
        </w:rPr>
        <w:t xml:space="preserve">. Building on PSD1, PSD2 </w:t>
      </w:r>
      <w:r w:rsidRPr="005E54D1">
        <w:rPr>
          <w:rFonts w:ascii="Times New Roman" w:hAnsi="Times New Roman" w:cs="Times New Roman"/>
          <w:noProof/>
          <w:color w:val="333333"/>
          <w:sz w:val="24"/>
          <w:szCs w:val="24"/>
          <w:shd w:val="clear" w:color="auto" w:fill="FFFFFF"/>
        </w:rPr>
        <w:t>address</w:t>
      </w:r>
      <w:r>
        <w:rPr>
          <w:rFonts w:ascii="Times New Roman" w:hAnsi="Times New Roman" w:cs="Times New Roman"/>
          <w:noProof/>
          <w:color w:val="333333"/>
          <w:sz w:val="24"/>
          <w:szCs w:val="24"/>
          <w:shd w:val="clear" w:color="auto" w:fill="FFFFFF"/>
        </w:rPr>
        <w:t>ed</w:t>
      </w:r>
      <w:r w:rsidRPr="005E54D1">
        <w:rPr>
          <w:rFonts w:ascii="Times New Roman" w:hAnsi="Times New Roman" w:cs="Times New Roman"/>
          <w:noProof/>
          <w:color w:val="333333"/>
          <w:sz w:val="24"/>
          <w:szCs w:val="24"/>
          <w:shd w:val="clear" w:color="auto" w:fill="FFFFFF"/>
        </w:rPr>
        <w:t xml:space="preserve"> barriers to new types of payment services and improve</w:t>
      </w:r>
      <w:r>
        <w:rPr>
          <w:rFonts w:ascii="Times New Roman" w:hAnsi="Times New Roman" w:cs="Times New Roman"/>
          <w:noProof/>
          <w:color w:val="333333"/>
          <w:sz w:val="24"/>
          <w:szCs w:val="24"/>
          <w:shd w:val="clear" w:color="auto" w:fill="FFFFFF"/>
        </w:rPr>
        <w:t>d</w:t>
      </w:r>
      <w:r w:rsidRPr="005E54D1">
        <w:rPr>
          <w:rFonts w:ascii="Times New Roman" w:hAnsi="Times New Roman" w:cs="Times New Roman"/>
          <w:noProof/>
          <w:color w:val="333333"/>
          <w:sz w:val="24"/>
          <w:szCs w:val="24"/>
          <w:shd w:val="clear" w:color="auto" w:fill="FFFFFF"/>
        </w:rPr>
        <w:t xml:space="preserve"> the level of consumer protection and security</w:t>
      </w:r>
      <w:r>
        <w:rPr>
          <w:rFonts w:ascii="Times New Roman" w:hAnsi="Times New Roman" w:cs="Times New Roman"/>
          <w:noProof/>
          <w:color w:val="333333"/>
          <w:sz w:val="24"/>
          <w:szCs w:val="24"/>
          <w:shd w:val="clear" w:color="auto" w:fill="FFFFFF"/>
        </w:rPr>
        <w:t xml:space="preserve">. </w:t>
      </w:r>
      <w:r w:rsidRPr="005E54D1">
        <w:rPr>
          <w:rFonts w:ascii="Times New Roman" w:hAnsi="Times New Roman" w:cs="Times New Roman"/>
          <w:noProof/>
          <w:color w:val="333333"/>
          <w:sz w:val="24"/>
          <w:szCs w:val="24"/>
          <w:shd w:val="clear" w:color="auto" w:fill="FFFFFF"/>
        </w:rPr>
        <w:t>The review clause of PSD2 (Article 108</w:t>
      </w:r>
      <w:r w:rsidR="001D7A80">
        <w:rPr>
          <w:rFonts w:ascii="Times New Roman" w:hAnsi="Times New Roman" w:cs="Times New Roman"/>
          <w:noProof/>
          <w:color w:val="333333"/>
          <w:sz w:val="24"/>
          <w:szCs w:val="24"/>
          <w:shd w:val="clear" w:color="auto" w:fill="FFFFFF"/>
        </w:rPr>
        <w:t>, s</w:t>
      </w:r>
      <w:r w:rsidR="00C3366D">
        <w:rPr>
          <w:rFonts w:ascii="Times New Roman" w:hAnsi="Times New Roman" w:cs="Times New Roman"/>
          <w:noProof/>
          <w:color w:val="333333"/>
          <w:sz w:val="24"/>
          <w:szCs w:val="24"/>
          <w:shd w:val="clear" w:color="auto" w:fill="FFFFFF"/>
        </w:rPr>
        <w:t>e</w:t>
      </w:r>
      <w:r w:rsidR="001D7A80">
        <w:rPr>
          <w:rFonts w:ascii="Times New Roman" w:hAnsi="Times New Roman" w:cs="Times New Roman"/>
          <w:noProof/>
          <w:color w:val="333333"/>
          <w:sz w:val="24"/>
          <w:szCs w:val="24"/>
          <w:shd w:val="clear" w:color="auto" w:fill="FFFFFF"/>
        </w:rPr>
        <w:t>e A</w:t>
      </w:r>
      <w:r w:rsidR="00A02FC2">
        <w:rPr>
          <w:rFonts w:ascii="Times New Roman" w:hAnsi="Times New Roman" w:cs="Times New Roman"/>
          <w:noProof/>
          <w:color w:val="333333"/>
          <w:sz w:val="24"/>
          <w:szCs w:val="24"/>
          <w:shd w:val="clear" w:color="auto" w:fill="FFFFFF"/>
        </w:rPr>
        <w:t>ppendix</w:t>
      </w:r>
      <w:r w:rsidR="00C3366D">
        <w:rPr>
          <w:rFonts w:ascii="Times New Roman" w:hAnsi="Times New Roman" w:cs="Times New Roman"/>
          <w:noProof/>
          <w:color w:val="333333"/>
          <w:sz w:val="24"/>
          <w:szCs w:val="24"/>
          <w:shd w:val="clear" w:color="auto" w:fill="FFFFFF"/>
        </w:rPr>
        <w:t xml:space="preserve"> 1</w:t>
      </w:r>
      <w:r w:rsidRPr="005E54D1">
        <w:rPr>
          <w:rFonts w:ascii="Times New Roman" w:hAnsi="Times New Roman" w:cs="Times New Roman"/>
          <w:noProof/>
          <w:color w:val="333333"/>
          <w:sz w:val="24"/>
          <w:szCs w:val="24"/>
          <w:shd w:val="clear" w:color="auto" w:fill="FFFFFF"/>
        </w:rPr>
        <w:t xml:space="preserve">) required the Commission to report on the application and impact of </w:t>
      </w:r>
      <w:r w:rsidR="002D5B74">
        <w:rPr>
          <w:rFonts w:ascii="Times New Roman" w:hAnsi="Times New Roman" w:cs="Times New Roman"/>
          <w:noProof/>
          <w:color w:val="333333"/>
          <w:sz w:val="24"/>
          <w:szCs w:val="24"/>
          <w:shd w:val="clear" w:color="auto" w:fill="FFFFFF"/>
        </w:rPr>
        <w:t>PSD2</w:t>
      </w:r>
      <w:r w:rsidRPr="005E54D1">
        <w:rPr>
          <w:rFonts w:ascii="Times New Roman" w:hAnsi="Times New Roman" w:cs="Times New Roman"/>
          <w:noProof/>
          <w:color w:val="333333"/>
          <w:sz w:val="24"/>
          <w:szCs w:val="24"/>
          <w:shd w:val="clear" w:color="auto" w:fill="FFFFFF"/>
        </w:rPr>
        <w:t xml:space="preserve"> by 13 January 2021</w:t>
      </w:r>
      <w:r w:rsidR="00DE3A4A">
        <w:rPr>
          <w:rFonts w:ascii="Times New Roman" w:hAnsi="Times New Roman" w:cs="Times New Roman"/>
          <w:noProof/>
          <w:color w:val="333333"/>
          <w:sz w:val="24"/>
          <w:szCs w:val="24"/>
          <w:shd w:val="clear" w:color="auto" w:fill="FFFFFF"/>
        </w:rPr>
        <w:t xml:space="preserve"> </w:t>
      </w:r>
      <w:r w:rsidRPr="005E54D1">
        <w:rPr>
          <w:rFonts w:ascii="Times New Roman" w:hAnsi="Times New Roman" w:cs="Times New Roman"/>
          <w:noProof/>
          <w:color w:val="333333"/>
          <w:sz w:val="24"/>
          <w:szCs w:val="24"/>
          <w:shd w:val="clear" w:color="auto" w:fill="FFFFFF"/>
        </w:rPr>
        <w:t>in particular on charges, scope, thresholds and access to payment systems. The review could not take place by th</w:t>
      </w:r>
      <w:r>
        <w:rPr>
          <w:rFonts w:ascii="Times New Roman" w:hAnsi="Times New Roman" w:cs="Times New Roman"/>
          <w:noProof/>
          <w:color w:val="333333"/>
          <w:sz w:val="24"/>
          <w:szCs w:val="24"/>
          <w:shd w:val="clear" w:color="auto" w:fill="FFFFFF"/>
        </w:rPr>
        <w:t>at</w:t>
      </w:r>
      <w:r w:rsidRPr="005E54D1">
        <w:rPr>
          <w:rFonts w:ascii="Times New Roman" w:hAnsi="Times New Roman" w:cs="Times New Roman"/>
          <w:noProof/>
          <w:color w:val="333333"/>
          <w:sz w:val="24"/>
          <w:szCs w:val="24"/>
          <w:shd w:val="clear" w:color="auto" w:fill="FFFFFF"/>
        </w:rPr>
        <w:t xml:space="preserve"> date due to </w:t>
      </w:r>
      <w:r w:rsidR="00657C24">
        <w:rPr>
          <w:rFonts w:ascii="Times New Roman" w:hAnsi="Times New Roman" w:cs="Times New Roman"/>
          <w:noProof/>
          <w:color w:val="333333"/>
          <w:sz w:val="24"/>
          <w:szCs w:val="24"/>
          <w:shd w:val="clear" w:color="auto" w:fill="FFFFFF"/>
        </w:rPr>
        <w:t xml:space="preserve">the directive’s </w:t>
      </w:r>
      <w:r w:rsidRPr="005E54D1">
        <w:rPr>
          <w:rFonts w:ascii="Times New Roman" w:hAnsi="Times New Roman" w:cs="Times New Roman"/>
          <w:noProof/>
          <w:color w:val="333333"/>
          <w:sz w:val="24"/>
          <w:szCs w:val="24"/>
          <w:shd w:val="clear" w:color="auto" w:fill="FFFFFF"/>
        </w:rPr>
        <w:t>late transposition by some Member States and the delay in applying some of its rules, such as on S</w:t>
      </w:r>
      <w:r w:rsidR="002D5B74">
        <w:rPr>
          <w:rFonts w:ascii="Times New Roman" w:hAnsi="Times New Roman" w:cs="Times New Roman"/>
          <w:noProof/>
          <w:color w:val="333333"/>
          <w:sz w:val="24"/>
          <w:szCs w:val="24"/>
          <w:shd w:val="clear" w:color="auto" w:fill="FFFFFF"/>
        </w:rPr>
        <w:t xml:space="preserve">trong </w:t>
      </w:r>
      <w:r w:rsidRPr="005E54D1">
        <w:rPr>
          <w:rFonts w:ascii="Times New Roman" w:hAnsi="Times New Roman" w:cs="Times New Roman"/>
          <w:noProof/>
          <w:color w:val="333333"/>
          <w:sz w:val="24"/>
          <w:szCs w:val="24"/>
          <w:shd w:val="clear" w:color="auto" w:fill="FFFFFF"/>
        </w:rPr>
        <w:t>C</w:t>
      </w:r>
      <w:r w:rsidR="002D5B74">
        <w:rPr>
          <w:rFonts w:ascii="Times New Roman" w:hAnsi="Times New Roman" w:cs="Times New Roman"/>
          <w:noProof/>
          <w:color w:val="333333"/>
          <w:sz w:val="24"/>
          <w:szCs w:val="24"/>
          <w:shd w:val="clear" w:color="auto" w:fill="FFFFFF"/>
        </w:rPr>
        <w:t xml:space="preserve">ustomer </w:t>
      </w:r>
      <w:r w:rsidRPr="005E54D1">
        <w:rPr>
          <w:rFonts w:ascii="Times New Roman" w:hAnsi="Times New Roman" w:cs="Times New Roman"/>
          <w:noProof/>
          <w:color w:val="333333"/>
          <w:sz w:val="24"/>
          <w:szCs w:val="24"/>
          <w:shd w:val="clear" w:color="auto" w:fill="FFFFFF"/>
        </w:rPr>
        <w:t>A</w:t>
      </w:r>
      <w:r w:rsidR="002D5B74">
        <w:rPr>
          <w:rFonts w:ascii="Times New Roman" w:hAnsi="Times New Roman" w:cs="Times New Roman"/>
          <w:noProof/>
          <w:color w:val="333333"/>
          <w:sz w:val="24"/>
          <w:szCs w:val="24"/>
          <w:shd w:val="clear" w:color="auto" w:fill="FFFFFF"/>
        </w:rPr>
        <w:t>uthentication</w:t>
      </w:r>
      <w:r w:rsidR="001D7A80">
        <w:rPr>
          <w:rFonts w:ascii="Times New Roman" w:hAnsi="Times New Roman" w:cs="Times New Roman"/>
          <w:noProof/>
          <w:color w:val="333333"/>
          <w:sz w:val="24"/>
          <w:szCs w:val="24"/>
          <w:shd w:val="clear" w:color="auto" w:fill="FFFFFF"/>
        </w:rPr>
        <w:t xml:space="preserve"> (</w:t>
      </w:r>
      <w:r w:rsidR="00FB6A9E">
        <w:rPr>
          <w:rFonts w:ascii="Times New Roman" w:hAnsi="Times New Roman" w:cs="Times New Roman"/>
          <w:noProof/>
          <w:color w:val="333333"/>
          <w:sz w:val="24"/>
          <w:szCs w:val="24"/>
          <w:shd w:val="clear" w:color="auto" w:fill="FFFFFF"/>
        </w:rPr>
        <w:t xml:space="preserve">SCA, </w:t>
      </w:r>
      <w:r w:rsidR="001D7A80">
        <w:rPr>
          <w:rFonts w:ascii="Times New Roman" w:hAnsi="Times New Roman" w:cs="Times New Roman"/>
          <w:noProof/>
          <w:color w:val="333333"/>
          <w:sz w:val="24"/>
          <w:szCs w:val="24"/>
          <w:shd w:val="clear" w:color="auto" w:fill="FFFFFF"/>
        </w:rPr>
        <w:t xml:space="preserve">see </w:t>
      </w:r>
      <w:r w:rsidR="00BA772B">
        <w:rPr>
          <w:rFonts w:ascii="Times New Roman" w:hAnsi="Times New Roman" w:cs="Times New Roman"/>
          <w:noProof/>
          <w:color w:val="333333"/>
          <w:sz w:val="24"/>
          <w:szCs w:val="24"/>
          <w:shd w:val="clear" w:color="auto" w:fill="FFFFFF"/>
        </w:rPr>
        <w:t xml:space="preserve">§3.4 </w:t>
      </w:r>
      <w:r w:rsidR="001D7A80">
        <w:rPr>
          <w:rFonts w:ascii="Times New Roman" w:hAnsi="Times New Roman" w:cs="Times New Roman"/>
          <w:noProof/>
          <w:color w:val="333333"/>
          <w:sz w:val="24"/>
          <w:szCs w:val="24"/>
          <w:shd w:val="clear" w:color="auto" w:fill="FFFFFF"/>
        </w:rPr>
        <w:t>below)</w:t>
      </w:r>
      <w:r w:rsidR="002D5B74">
        <w:rPr>
          <w:rStyle w:val="FootnoteReference"/>
          <w:rFonts w:ascii="Times New Roman" w:hAnsi="Times New Roman" w:cs="Times New Roman"/>
          <w:noProof/>
          <w:color w:val="333333"/>
          <w:sz w:val="24"/>
          <w:szCs w:val="24"/>
          <w:shd w:val="clear" w:color="auto" w:fill="FFFFFF"/>
        </w:rPr>
        <w:footnoteReference w:id="4"/>
      </w:r>
      <w:r w:rsidRPr="005E54D1">
        <w:rPr>
          <w:rFonts w:ascii="Times New Roman" w:hAnsi="Times New Roman" w:cs="Times New Roman"/>
          <w:noProof/>
          <w:color w:val="333333"/>
          <w:sz w:val="24"/>
          <w:szCs w:val="24"/>
          <w:shd w:val="clear" w:color="auto" w:fill="FFFFFF"/>
        </w:rPr>
        <w:t xml:space="preserve">. </w:t>
      </w:r>
      <w:r w:rsidR="006F64C8">
        <w:rPr>
          <w:rFonts w:ascii="Times New Roman" w:hAnsi="Times New Roman" w:cs="Times New Roman"/>
          <w:noProof/>
          <w:color w:val="333333"/>
          <w:sz w:val="24"/>
          <w:szCs w:val="24"/>
          <w:shd w:val="clear" w:color="auto" w:fill="FFFFFF"/>
        </w:rPr>
        <w:t>The</w:t>
      </w:r>
      <w:r w:rsidRPr="005E54D1">
        <w:rPr>
          <w:rFonts w:ascii="Times New Roman" w:hAnsi="Times New Roman" w:cs="Times New Roman"/>
          <w:noProof/>
          <w:color w:val="333333"/>
          <w:sz w:val="24"/>
          <w:szCs w:val="24"/>
          <w:shd w:val="clear" w:color="auto" w:fill="FFFFFF"/>
        </w:rPr>
        <w:t xml:space="preserve"> evaluation </w:t>
      </w:r>
      <w:r w:rsidR="00B66BD7">
        <w:rPr>
          <w:rFonts w:ascii="Times New Roman" w:hAnsi="Times New Roman" w:cs="Times New Roman"/>
          <w:noProof/>
          <w:color w:val="333333"/>
          <w:sz w:val="24"/>
          <w:szCs w:val="24"/>
          <w:shd w:val="clear" w:color="auto" w:fill="FFFFFF"/>
        </w:rPr>
        <w:t xml:space="preserve">of </w:t>
      </w:r>
      <w:r w:rsidR="00B66BD7" w:rsidRPr="005E54D1">
        <w:rPr>
          <w:rFonts w:ascii="Times New Roman" w:hAnsi="Times New Roman" w:cs="Times New Roman"/>
          <w:noProof/>
          <w:color w:val="333333"/>
          <w:sz w:val="24"/>
          <w:szCs w:val="24"/>
          <w:shd w:val="clear" w:color="auto" w:fill="FFFFFF"/>
        </w:rPr>
        <w:t xml:space="preserve">PSD2 </w:t>
      </w:r>
      <w:r w:rsidRPr="005E54D1">
        <w:rPr>
          <w:rFonts w:ascii="Times New Roman" w:hAnsi="Times New Roman" w:cs="Times New Roman"/>
          <w:noProof/>
          <w:color w:val="333333"/>
          <w:sz w:val="24"/>
          <w:szCs w:val="24"/>
          <w:shd w:val="clear" w:color="auto" w:fill="FFFFFF"/>
        </w:rPr>
        <w:t xml:space="preserve">therefore </w:t>
      </w:r>
      <w:r w:rsidR="00B66BD7">
        <w:rPr>
          <w:rFonts w:ascii="Times New Roman" w:hAnsi="Times New Roman" w:cs="Times New Roman"/>
          <w:noProof/>
          <w:color w:val="333333"/>
          <w:sz w:val="24"/>
          <w:szCs w:val="24"/>
          <w:shd w:val="clear" w:color="auto" w:fill="FFFFFF"/>
        </w:rPr>
        <w:t xml:space="preserve">only </w:t>
      </w:r>
      <w:r w:rsidRPr="005E54D1">
        <w:rPr>
          <w:rFonts w:ascii="Times New Roman" w:hAnsi="Times New Roman" w:cs="Times New Roman"/>
          <w:noProof/>
          <w:color w:val="333333"/>
          <w:sz w:val="24"/>
          <w:szCs w:val="24"/>
          <w:shd w:val="clear" w:color="auto" w:fill="FFFFFF"/>
        </w:rPr>
        <w:t>took place in 2022</w:t>
      </w:r>
      <w:r w:rsidR="00D01BC9">
        <w:rPr>
          <w:rStyle w:val="FootnoteReference"/>
          <w:rFonts w:ascii="Times New Roman" w:hAnsi="Times New Roman" w:cs="Times New Roman"/>
          <w:noProof/>
          <w:color w:val="333333"/>
          <w:sz w:val="24"/>
          <w:szCs w:val="24"/>
          <w:shd w:val="clear" w:color="auto" w:fill="FFFFFF"/>
        </w:rPr>
        <w:footnoteReference w:id="5"/>
      </w:r>
      <w:r w:rsidRPr="005E54D1">
        <w:rPr>
          <w:rFonts w:ascii="Times New Roman" w:hAnsi="Times New Roman" w:cs="Times New Roman"/>
          <w:noProof/>
          <w:color w:val="333333"/>
          <w:sz w:val="24"/>
          <w:szCs w:val="24"/>
          <w:shd w:val="clear" w:color="auto" w:fill="FFFFFF"/>
        </w:rPr>
        <w:t>.</w:t>
      </w:r>
      <w:r w:rsidR="001E142A">
        <w:rPr>
          <w:rFonts w:ascii="Times New Roman" w:hAnsi="Times New Roman" w:cs="Times New Roman"/>
          <w:noProof/>
          <w:color w:val="333333"/>
          <w:sz w:val="24"/>
          <w:szCs w:val="24"/>
          <w:shd w:val="clear" w:color="auto" w:fill="FFFFFF"/>
        </w:rPr>
        <w:t xml:space="preserve"> </w:t>
      </w:r>
      <w:r w:rsidR="00B66BD7">
        <w:rPr>
          <w:rFonts w:ascii="Times New Roman" w:hAnsi="Times New Roman" w:cs="Times New Roman"/>
          <w:noProof/>
          <w:color w:val="333333"/>
          <w:sz w:val="24"/>
          <w:szCs w:val="24"/>
          <w:shd w:val="clear" w:color="auto" w:fill="FFFFFF"/>
        </w:rPr>
        <w:t>Following the evaluation</w:t>
      </w:r>
      <w:r w:rsidR="006F64C8">
        <w:rPr>
          <w:rFonts w:ascii="Times New Roman" w:hAnsi="Times New Roman" w:cs="Times New Roman"/>
          <w:noProof/>
          <w:color w:val="333333"/>
          <w:sz w:val="24"/>
          <w:szCs w:val="24"/>
          <w:shd w:val="clear" w:color="auto" w:fill="FFFFFF"/>
        </w:rPr>
        <w:t>,</w:t>
      </w:r>
      <w:r w:rsidR="00C44F87">
        <w:rPr>
          <w:rFonts w:ascii="Times New Roman" w:hAnsi="Times New Roman" w:cs="Times New Roman"/>
          <w:noProof/>
          <w:color w:val="333333"/>
          <w:sz w:val="24"/>
          <w:szCs w:val="24"/>
          <w:shd w:val="clear" w:color="auto" w:fill="FFFFFF"/>
        </w:rPr>
        <w:t xml:space="preserve"> </w:t>
      </w:r>
      <w:r w:rsidR="00B26FE9">
        <w:rPr>
          <w:rFonts w:ascii="Times New Roman" w:hAnsi="Times New Roman" w:cs="Times New Roman"/>
          <w:noProof/>
          <w:color w:val="333333"/>
          <w:sz w:val="24"/>
          <w:szCs w:val="24"/>
          <w:shd w:val="clear" w:color="auto" w:fill="FFFFFF"/>
        </w:rPr>
        <w:t xml:space="preserve">and </w:t>
      </w:r>
      <w:r w:rsidR="00EC774F">
        <w:rPr>
          <w:rFonts w:ascii="Times New Roman" w:hAnsi="Times New Roman" w:cs="Times New Roman"/>
          <w:noProof/>
          <w:color w:val="333333"/>
          <w:sz w:val="24"/>
          <w:szCs w:val="24"/>
          <w:shd w:val="clear" w:color="auto" w:fill="FFFFFF"/>
        </w:rPr>
        <w:t xml:space="preserve">in light of </w:t>
      </w:r>
      <w:r w:rsidR="00B26FE9">
        <w:rPr>
          <w:rFonts w:ascii="Times New Roman" w:hAnsi="Times New Roman" w:cs="Times New Roman"/>
          <w:noProof/>
          <w:color w:val="333333"/>
          <w:sz w:val="24"/>
          <w:szCs w:val="24"/>
          <w:shd w:val="clear" w:color="auto" w:fill="FFFFFF"/>
        </w:rPr>
        <w:t xml:space="preserve">its </w:t>
      </w:r>
      <w:r w:rsidR="00EC774F" w:rsidRPr="00EC774F">
        <w:rPr>
          <w:rFonts w:ascii="Times New Roman" w:hAnsi="Times New Roman" w:cs="Times New Roman"/>
          <w:noProof/>
          <w:color w:val="333333"/>
          <w:sz w:val="24"/>
          <w:szCs w:val="24"/>
          <w:shd w:val="clear" w:color="auto" w:fill="FFFFFF"/>
        </w:rPr>
        <w:t>2020 Communication on a Retail Payments Strategy (RPS) for the EU</w:t>
      </w:r>
      <w:r w:rsidR="00EC774F">
        <w:rPr>
          <w:rStyle w:val="FootnoteReference"/>
          <w:rFonts w:ascii="Times New Roman" w:hAnsi="Times New Roman" w:cs="Times New Roman"/>
          <w:noProof/>
          <w:color w:val="333333"/>
          <w:sz w:val="24"/>
          <w:szCs w:val="24"/>
          <w:shd w:val="clear" w:color="auto" w:fill="FFFFFF"/>
        </w:rPr>
        <w:footnoteReference w:id="6"/>
      </w:r>
      <w:r w:rsidR="00EC774F">
        <w:rPr>
          <w:rFonts w:ascii="Times New Roman" w:hAnsi="Times New Roman" w:cs="Times New Roman"/>
          <w:noProof/>
          <w:color w:val="333333"/>
          <w:sz w:val="24"/>
          <w:szCs w:val="24"/>
          <w:shd w:val="clear" w:color="auto" w:fill="FFFFFF"/>
        </w:rPr>
        <w:t>,</w:t>
      </w:r>
      <w:r w:rsidR="001E142A">
        <w:rPr>
          <w:rFonts w:ascii="Times New Roman" w:hAnsi="Times New Roman" w:cs="Times New Roman"/>
          <w:noProof/>
          <w:color w:val="333333"/>
          <w:sz w:val="24"/>
          <w:szCs w:val="24"/>
          <w:shd w:val="clear" w:color="auto" w:fill="FFFFFF"/>
        </w:rPr>
        <w:t xml:space="preserve"> </w:t>
      </w:r>
      <w:r w:rsidR="00B26FE9">
        <w:rPr>
          <w:rFonts w:ascii="Times New Roman" w:hAnsi="Times New Roman" w:cs="Times New Roman"/>
          <w:noProof/>
          <w:color w:val="333333"/>
          <w:sz w:val="24"/>
          <w:szCs w:val="24"/>
          <w:shd w:val="clear" w:color="auto" w:fill="FFFFFF"/>
        </w:rPr>
        <w:t xml:space="preserve">the Commission decided </w:t>
      </w:r>
      <w:r w:rsidR="001E142A">
        <w:rPr>
          <w:rFonts w:ascii="Times New Roman" w:hAnsi="Times New Roman" w:cs="Times New Roman"/>
          <w:noProof/>
          <w:color w:val="333333"/>
          <w:sz w:val="24"/>
          <w:szCs w:val="24"/>
          <w:shd w:val="clear" w:color="auto" w:fill="FFFFFF"/>
        </w:rPr>
        <w:t xml:space="preserve">to </w:t>
      </w:r>
      <w:r w:rsidR="00B26FE9">
        <w:rPr>
          <w:rFonts w:ascii="Times New Roman" w:hAnsi="Times New Roman" w:cs="Times New Roman"/>
          <w:noProof/>
          <w:color w:val="333333"/>
          <w:sz w:val="24"/>
          <w:szCs w:val="24"/>
          <w:shd w:val="clear" w:color="auto" w:fill="FFFFFF"/>
        </w:rPr>
        <w:t xml:space="preserve">revise </w:t>
      </w:r>
      <w:r w:rsidR="001E142A">
        <w:rPr>
          <w:rFonts w:ascii="Times New Roman" w:hAnsi="Times New Roman" w:cs="Times New Roman"/>
          <w:noProof/>
          <w:color w:val="333333"/>
          <w:sz w:val="24"/>
          <w:szCs w:val="24"/>
          <w:shd w:val="clear" w:color="auto" w:fill="FFFFFF"/>
        </w:rPr>
        <w:t xml:space="preserve">PSD2. The present review report accompanies </w:t>
      </w:r>
      <w:r w:rsidR="0032076E">
        <w:rPr>
          <w:rFonts w:ascii="Times New Roman" w:hAnsi="Times New Roman" w:cs="Times New Roman"/>
          <w:noProof/>
          <w:color w:val="333333"/>
          <w:sz w:val="24"/>
          <w:szCs w:val="24"/>
          <w:shd w:val="clear" w:color="auto" w:fill="FFFFFF"/>
        </w:rPr>
        <w:t xml:space="preserve">the </w:t>
      </w:r>
      <w:r w:rsidR="00B26FE9">
        <w:rPr>
          <w:rFonts w:ascii="Times New Roman" w:hAnsi="Times New Roman" w:cs="Times New Roman"/>
          <w:noProof/>
          <w:color w:val="333333"/>
          <w:sz w:val="24"/>
          <w:szCs w:val="24"/>
          <w:shd w:val="clear" w:color="auto" w:fill="FFFFFF"/>
        </w:rPr>
        <w:t xml:space="preserve">two </w:t>
      </w:r>
      <w:r w:rsidR="001E142A">
        <w:rPr>
          <w:rFonts w:ascii="Times New Roman" w:hAnsi="Times New Roman" w:cs="Times New Roman"/>
          <w:noProof/>
          <w:color w:val="333333"/>
          <w:sz w:val="24"/>
          <w:szCs w:val="24"/>
          <w:shd w:val="clear" w:color="auto" w:fill="FFFFFF"/>
        </w:rPr>
        <w:t>legislative proposal</w:t>
      </w:r>
      <w:r w:rsidR="0032076E">
        <w:rPr>
          <w:rFonts w:ascii="Times New Roman" w:hAnsi="Times New Roman" w:cs="Times New Roman"/>
          <w:noProof/>
          <w:color w:val="333333"/>
          <w:sz w:val="24"/>
          <w:szCs w:val="24"/>
          <w:shd w:val="clear" w:color="auto" w:fill="FFFFFF"/>
        </w:rPr>
        <w:t>s</w:t>
      </w:r>
      <w:r w:rsidR="001E142A">
        <w:rPr>
          <w:rFonts w:ascii="Times New Roman" w:hAnsi="Times New Roman" w:cs="Times New Roman"/>
          <w:noProof/>
          <w:color w:val="333333"/>
          <w:sz w:val="24"/>
          <w:szCs w:val="24"/>
          <w:shd w:val="clear" w:color="auto" w:fill="FFFFFF"/>
        </w:rPr>
        <w:t xml:space="preserve"> </w:t>
      </w:r>
      <w:r w:rsidR="00B26FE9">
        <w:rPr>
          <w:rFonts w:ascii="Times New Roman" w:hAnsi="Times New Roman" w:cs="Times New Roman"/>
          <w:noProof/>
          <w:color w:val="333333"/>
          <w:sz w:val="24"/>
          <w:szCs w:val="24"/>
          <w:shd w:val="clear" w:color="auto" w:fill="FFFFFF"/>
        </w:rPr>
        <w:t xml:space="preserve">revising </w:t>
      </w:r>
      <w:r w:rsidR="001E142A">
        <w:rPr>
          <w:rFonts w:ascii="Times New Roman" w:hAnsi="Times New Roman" w:cs="Times New Roman"/>
          <w:noProof/>
          <w:color w:val="333333"/>
          <w:sz w:val="24"/>
          <w:szCs w:val="24"/>
          <w:shd w:val="clear" w:color="auto" w:fill="FFFFFF"/>
        </w:rPr>
        <w:t>PSD2</w:t>
      </w:r>
      <w:r w:rsidR="007E30D4">
        <w:rPr>
          <w:rFonts w:ascii="Times New Roman" w:hAnsi="Times New Roman" w:cs="Times New Roman"/>
          <w:noProof/>
          <w:color w:val="333333"/>
          <w:sz w:val="24"/>
          <w:szCs w:val="24"/>
          <w:shd w:val="clear" w:color="auto" w:fill="FFFFFF"/>
        </w:rPr>
        <w:t>.</w:t>
      </w:r>
      <w:r w:rsidR="001E142A">
        <w:rPr>
          <w:rStyle w:val="FootnoteReference"/>
          <w:rFonts w:ascii="Times New Roman" w:hAnsi="Times New Roman" w:cs="Times New Roman"/>
          <w:noProof/>
          <w:color w:val="333333"/>
          <w:sz w:val="24"/>
          <w:szCs w:val="24"/>
          <w:shd w:val="clear" w:color="auto" w:fill="FFFFFF"/>
        </w:rPr>
        <w:footnoteReference w:id="7"/>
      </w:r>
      <w:r w:rsidRPr="005E54D1">
        <w:rPr>
          <w:rFonts w:ascii="Times New Roman" w:hAnsi="Times New Roman" w:cs="Times New Roman"/>
          <w:noProof/>
          <w:color w:val="333333"/>
          <w:sz w:val="24"/>
          <w:szCs w:val="24"/>
          <w:shd w:val="clear" w:color="auto" w:fill="FFFFFF"/>
        </w:rPr>
        <w:t xml:space="preserve"> </w:t>
      </w:r>
    </w:p>
    <w:p w14:paraId="5CBF68AA" w14:textId="25071FA3" w:rsidR="00E45CE7" w:rsidRPr="00D715C6" w:rsidRDefault="001C6C09" w:rsidP="00BD71BE">
      <w:pPr>
        <w:pStyle w:val="Heading1"/>
        <w:numPr>
          <w:ilvl w:val="0"/>
          <w:numId w:val="3"/>
        </w:numPr>
        <w:spacing w:before="120" w:after="120" w:line="240" w:lineRule="auto"/>
        <w:ind w:left="357" w:hanging="357"/>
        <w:jc w:val="both"/>
        <w:rPr>
          <w:rStyle w:val="Hyperlink"/>
          <w:rFonts w:ascii="Times New Roman" w:hAnsi="Times New Roman" w:cs="Times New Roman"/>
          <w:b/>
          <w:bCs/>
          <w:noProof/>
          <w:color w:val="auto"/>
          <w:sz w:val="24"/>
          <w:szCs w:val="24"/>
          <w:u w:val="none"/>
        </w:rPr>
      </w:pPr>
      <w:bookmarkStart w:id="13" w:name="_Toc138066877"/>
      <w:r w:rsidRPr="00D715C6">
        <w:rPr>
          <w:rStyle w:val="Hyperlink"/>
          <w:rFonts w:ascii="Times New Roman" w:hAnsi="Times New Roman" w:cs="Times New Roman"/>
          <w:b/>
          <w:bCs/>
          <w:noProof/>
          <w:color w:val="auto"/>
          <w:sz w:val="24"/>
          <w:szCs w:val="24"/>
          <w:u w:val="none"/>
        </w:rPr>
        <w:t>APPLICATION AND IMPACTS OF PSD2 IN GENERAL</w:t>
      </w:r>
      <w:bookmarkEnd w:id="13"/>
    </w:p>
    <w:p w14:paraId="361F3898" w14:textId="3D8A5DF7" w:rsidR="00B931E6" w:rsidRDefault="00DA0E0C"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cs="Times New Roman"/>
          <w:noProof/>
          <w:color w:val="333333"/>
          <w:sz w:val="24"/>
          <w:szCs w:val="24"/>
          <w:shd w:val="clear" w:color="auto" w:fill="FFFFFF"/>
        </w:rPr>
        <w:t>Recent years have</w:t>
      </w:r>
      <w:r w:rsidR="008F1AFF">
        <w:rPr>
          <w:rFonts w:ascii="Times New Roman" w:hAnsi="Times New Roman" w:cs="Times New Roman"/>
          <w:noProof/>
          <w:color w:val="333333"/>
          <w:sz w:val="24"/>
          <w:szCs w:val="24"/>
          <w:shd w:val="clear" w:color="auto" w:fill="FFFFFF"/>
        </w:rPr>
        <w:t xml:space="preserve"> seen </w:t>
      </w:r>
      <w:r w:rsidR="006A5020">
        <w:rPr>
          <w:rFonts w:ascii="Times New Roman" w:hAnsi="Times New Roman" w:cs="Times New Roman"/>
          <w:noProof/>
          <w:color w:val="333333"/>
          <w:sz w:val="24"/>
          <w:szCs w:val="24"/>
          <w:shd w:val="clear" w:color="auto" w:fill="FFFFFF"/>
        </w:rPr>
        <w:t>many</w:t>
      </w:r>
      <w:r w:rsidR="008F1AFF" w:rsidRPr="008F1AFF">
        <w:rPr>
          <w:rFonts w:ascii="Times New Roman" w:hAnsi="Times New Roman" w:cs="Times New Roman"/>
          <w:noProof/>
          <w:color w:val="333333"/>
          <w:sz w:val="24"/>
          <w:szCs w:val="24"/>
          <w:shd w:val="clear" w:color="auto" w:fill="FFFFFF"/>
        </w:rPr>
        <w:t xml:space="preserve"> changes </w:t>
      </w:r>
      <w:r w:rsidR="008F1AFF">
        <w:rPr>
          <w:rFonts w:ascii="Times New Roman" w:hAnsi="Times New Roman" w:cs="Times New Roman"/>
          <w:noProof/>
          <w:color w:val="333333"/>
          <w:sz w:val="24"/>
          <w:szCs w:val="24"/>
          <w:shd w:val="clear" w:color="auto" w:fill="FFFFFF"/>
        </w:rPr>
        <w:t xml:space="preserve">in the </w:t>
      </w:r>
      <w:r w:rsidR="008F1AFF" w:rsidRPr="008F1AFF">
        <w:rPr>
          <w:rFonts w:ascii="Times New Roman" w:hAnsi="Times New Roman" w:cs="Times New Roman"/>
          <w:noProof/>
          <w:color w:val="333333"/>
          <w:sz w:val="24"/>
          <w:szCs w:val="24"/>
          <w:shd w:val="clear" w:color="auto" w:fill="FFFFFF"/>
        </w:rPr>
        <w:t>payment services market</w:t>
      </w:r>
      <w:r w:rsidR="00B0323F">
        <w:rPr>
          <w:rFonts w:ascii="Times New Roman" w:hAnsi="Times New Roman" w:cs="Times New Roman"/>
          <w:noProof/>
          <w:color w:val="333333"/>
          <w:sz w:val="24"/>
          <w:szCs w:val="24"/>
          <w:shd w:val="clear" w:color="auto" w:fill="FFFFFF"/>
        </w:rPr>
        <w:t>.</w:t>
      </w:r>
      <w:r w:rsidR="00B0323F" w:rsidRPr="00B0323F">
        <w:rPr>
          <w:rFonts w:ascii="Times New Roman" w:hAnsi="Times New Roman" w:cs="Times New Roman"/>
          <w:noProof/>
          <w:color w:val="333333"/>
          <w:sz w:val="24"/>
          <w:szCs w:val="24"/>
          <w:shd w:val="clear" w:color="auto" w:fill="FFFFFF"/>
        </w:rPr>
        <w:t xml:space="preserve"> </w:t>
      </w:r>
      <w:r w:rsidR="00E659C9">
        <w:rPr>
          <w:rFonts w:ascii="Times New Roman" w:hAnsi="Times New Roman" w:cs="Times New Roman"/>
          <w:noProof/>
          <w:color w:val="333333"/>
          <w:sz w:val="24"/>
          <w:szCs w:val="24"/>
          <w:shd w:val="clear" w:color="auto" w:fill="FFFFFF"/>
        </w:rPr>
        <w:t>Electronic</w:t>
      </w:r>
      <w:r w:rsidR="00E659C9" w:rsidRPr="008F1AFF">
        <w:rPr>
          <w:rFonts w:ascii="Times New Roman" w:hAnsi="Times New Roman" w:cs="Times New Roman"/>
          <w:noProof/>
          <w:color w:val="333333"/>
          <w:sz w:val="24"/>
          <w:szCs w:val="24"/>
          <w:shd w:val="clear" w:color="auto" w:fill="FFFFFF"/>
        </w:rPr>
        <w:t xml:space="preserve"> </w:t>
      </w:r>
      <w:r w:rsidR="00B0323F" w:rsidRPr="008F1AFF">
        <w:rPr>
          <w:rFonts w:ascii="Times New Roman" w:hAnsi="Times New Roman" w:cs="Times New Roman"/>
          <w:noProof/>
          <w:color w:val="333333"/>
          <w:sz w:val="24"/>
          <w:szCs w:val="24"/>
          <w:shd w:val="clear" w:color="auto" w:fill="FFFFFF"/>
        </w:rPr>
        <w:t>payments in the EU have been in constant growth</w:t>
      </w:r>
      <w:r>
        <w:rPr>
          <w:rFonts w:ascii="Times New Roman" w:hAnsi="Times New Roman" w:cs="Times New Roman"/>
          <w:noProof/>
          <w:color w:val="333333"/>
          <w:sz w:val="24"/>
          <w:szCs w:val="24"/>
          <w:shd w:val="clear" w:color="auto" w:fill="FFFFFF"/>
        </w:rPr>
        <w:t>,</w:t>
      </w:r>
      <w:r w:rsidR="00B0323F" w:rsidRPr="00B0323F">
        <w:rPr>
          <w:rFonts w:ascii="Times New Roman" w:hAnsi="Times New Roman" w:cs="Times New Roman"/>
          <w:noProof/>
          <w:color w:val="333333"/>
          <w:sz w:val="24"/>
          <w:szCs w:val="24"/>
          <w:shd w:val="clear" w:color="auto" w:fill="FFFFFF"/>
        </w:rPr>
        <w:t xml:space="preserve"> </w:t>
      </w:r>
      <w:r w:rsidR="00B0323F">
        <w:rPr>
          <w:rFonts w:ascii="Times New Roman" w:hAnsi="Times New Roman" w:cs="Times New Roman"/>
          <w:noProof/>
          <w:color w:val="333333"/>
          <w:sz w:val="24"/>
          <w:szCs w:val="24"/>
          <w:shd w:val="clear" w:color="auto" w:fill="FFFFFF"/>
        </w:rPr>
        <w:t>r</w:t>
      </w:r>
      <w:r w:rsidR="00B0323F" w:rsidRPr="008F1AFF">
        <w:rPr>
          <w:rFonts w:ascii="Times New Roman" w:hAnsi="Times New Roman" w:cs="Times New Roman"/>
          <w:noProof/>
          <w:color w:val="333333"/>
          <w:sz w:val="24"/>
          <w:szCs w:val="24"/>
          <w:shd w:val="clear" w:color="auto" w:fill="FFFFFF"/>
        </w:rPr>
        <w:t>eaching €240 trillion</w:t>
      </w:r>
      <w:r w:rsidR="00E659C9">
        <w:rPr>
          <w:rFonts w:ascii="Times New Roman" w:hAnsi="Times New Roman" w:cs="Times New Roman"/>
          <w:noProof/>
          <w:color w:val="333333"/>
          <w:sz w:val="24"/>
          <w:szCs w:val="24"/>
          <w:shd w:val="clear" w:color="auto" w:fill="FFFFFF"/>
        </w:rPr>
        <w:t xml:space="preserve"> in value</w:t>
      </w:r>
      <w:r w:rsidR="00B0323F" w:rsidRPr="008F1AFF">
        <w:rPr>
          <w:rFonts w:ascii="Times New Roman" w:hAnsi="Times New Roman" w:cs="Times New Roman"/>
          <w:noProof/>
          <w:color w:val="333333"/>
          <w:sz w:val="24"/>
          <w:szCs w:val="24"/>
          <w:shd w:val="clear" w:color="auto" w:fill="FFFFFF"/>
        </w:rPr>
        <w:t xml:space="preserve"> in 2021</w:t>
      </w:r>
      <w:r w:rsidR="00B0323F">
        <w:rPr>
          <w:rFonts w:ascii="Times New Roman" w:hAnsi="Times New Roman" w:cs="Times New Roman"/>
          <w:noProof/>
          <w:color w:val="333333"/>
          <w:sz w:val="24"/>
          <w:szCs w:val="24"/>
          <w:shd w:val="clear" w:color="auto" w:fill="FFFFFF"/>
        </w:rPr>
        <w:t xml:space="preserve"> </w:t>
      </w:r>
      <w:r w:rsidR="00B0323F" w:rsidRPr="00052B95">
        <w:rPr>
          <w:rFonts w:ascii="Times New Roman" w:hAnsi="Times New Roman" w:cs="Times New Roman"/>
          <w:noProof/>
          <w:color w:val="333333"/>
          <w:sz w:val="24"/>
          <w:szCs w:val="24"/>
          <w:shd w:val="clear" w:color="auto" w:fill="FFFFFF"/>
        </w:rPr>
        <w:t>(compared with €184.2 t</w:t>
      </w:r>
      <w:r w:rsidR="001C4A6C">
        <w:rPr>
          <w:rFonts w:ascii="Times New Roman" w:hAnsi="Times New Roman" w:cs="Times New Roman"/>
          <w:noProof/>
          <w:color w:val="333333"/>
          <w:sz w:val="24"/>
          <w:szCs w:val="24"/>
          <w:shd w:val="clear" w:color="auto" w:fill="FFFFFF"/>
        </w:rPr>
        <w:t>rillio</w:t>
      </w:r>
      <w:r w:rsidR="00B0323F" w:rsidRPr="00052B95">
        <w:rPr>
          <w:rFonts w:ascii="Times New Roman" w:hAnsi="Times New Roman" w:cs="Times New Roman"/>
          <w:noProof/>
          <w:color w:val="333333"/>
          <w:sz w:val="24"/>
          <w:szCs w:val="24"/>
          <w:shd w:val="clear" w:color="auto" w:fill="FFFFFF"/>
        </w:rPr>
        <w:t>n in 2017)</w:t>
      </w:r>
      <w:r w:rsidR="00B0323F">
        <w:rPr>
          <w:rStyle w:val="FootnoteReference"/>
          <w:rFonts w:ascii="Times New Roman" w:hAnsi="Times New Roman" w:cs="Times New Roman"/>
          <w:noProof/>
          <w:color w:val="333333"/>
          <w:sz w:val="24"/>
          <w:szCs w:val="24"/>
          <w:shd w:val="clear" w:color="auto" w:fill="FFFFFF"/>
        </w:rPr>
        <w:footnoteReference w:id="8"/>
      </w:r>
      <w:r w:rsidR="00B0323F">
        <w:rPr>
          <w:rFonts w:ascii="Times New Roman" w:hAnsi="Times New Roman" w:cs="Times New Roman"/>
          <w:noProof/>
          <w:color w:val="333333"/>
          <w:sz w:val="24"/>
          <w:szCs w:val="24"/>
          <w:shd w:val="clear" w:color="auto" w:fill="FFFFFF"/>
        </w:rPr>
        <w:t>. Alongside</w:t>
      </w:r>
      <w:r w:rsidR="008F1AFF" w:rsidRPr="008F1AFF">
        <w:rPr>
          <w:rFonts w:ascii="Times New Roman" w:hAnsi="Times New Roman" w:cs="Times New Roman"/>
          <w:noProof/>
          <w:color w:val="333333"/>
          <w:sz w:val="24"/>
          <w:szCs w:val="24"/>
          <w:shd w:val="clear" w:color="auto" w:fill="FFFFFF"/>
        </w:rPr>
        <w:t xml:space="preserve"> </w:t>
      </w:r>
      <w:r w:rsidR="00B0323F">
        <w:rPr>
          <w:rFonts w:ascii="Times New Roman" w:hAnsi="Times New Roman" w:cs="Times New Roman"/>
          <w:noProof/>
          <w:color w:val="333333"/>
          <w:sz w:val="24"/>
          <w:szCs w:val="24"/>
          <w:shd w:val="clear" w:color="auto" w:fill="FFFFFF"/>
        </w:rPr>
        <w:t xml:space="preserve">the </w:t>
      </w:r>
      <w:r w:rsidR="00B0323F" w:rsidRPr="008F1AFF">
        <w:rPr>
          <w:rFonts w:ascii="Times New Roman" w:hAnsi="Times New Roman" w:cs="Times New Roman"/>
          <w:noProof/>
          <w:color w:val="333333"/>
          <w:sz w:val="24"/>
          <w:szCs w:val="24"/>
          <w:shd w:val="clear" w:color="auto" w:fill="FFFFFF"/>
        </w:rPr>
        <w:t>increasing use of cards</w:t>
      </w:r>
      <w:r w:rsidR="00B0323F">
        <w:rPr>
          <w:rFonts w:ascii="Times New Roman" w:hAnsi="Times New Roman" w:cs="Times New Roman"/>
          <w:noProof/>
          <w:color w:val="333333"/>
          <w:sz w:val="24"/>
          <w:szCs w:val="24"/>
          <w:shd w:val="clear" w:color="auto" w:fill="FFFFFF"/>
        </w:rPr>
        <w:t>,</w:t>
      </w:r>
      <w:r w:rsidR="00B0323F" w:rsidRPr="008F1AFF">
        <w:rPr>
          <w:rFonts w:ascii="Times New Roman" w:hAnsi="Times New Roman" w:cs="Times New Roman"/>
          <w:noProof/>
          <w:color w:val="333333"/>
          <w:sz w:val="24"/>
          <w:szCs w:val="24"/>
          <w:shd w:val="clear" w:color="auto" w:fill="FFFFFF"/>
        </w:rPr>
        <w:t xml:space="preserve"> </w:t>
      </w:r>
      <w:r w:rsidR="00B0323F">
        <w:rPr>
          <w:rFonts w:ascii="Times New Roman" w:hAnsi="Times New Roman" w:cs="Times New Roman"/>
          <w:noProof/>
          <w:color w:val="333333"/>
          <w:sz w:val="24"/>
          <w:szCs w:val="24"/>
          <w:shd w:val="clear" w:color="auto" w:fill="FFFFFF"/>
        </w:rPr>
        <w:t>n</w:t>
      </w:r>
      <w:r w:rsidR="00B0323F" w:rsidRPr="008F1AFF">
        <w:rPr>
          <w:rFonts w:ascii="Times New Roman" w:hAnsi="Times New Roman" w:cs="Times New Roman"/>
          <w:noProof/>
          <w:color w:val="333333"/>
          <w:sz w:val="24"/>
          <w:szCs w:val="24"/>
          <w:shd w:val="clear" w:color="auto" w:fill="FFFFFF"/>
        </w:rPr>
        <w:t xml:space="preserve">ew </w:t>
      </w:r>
      <w:r w:rsidR="00B0323F">
        <w:rPr>
          <w:rFonts w:ascii="Times New Roman" w:hAnsi="Times New Roman" w:cs="Times New Roman"/>
          <w:noProof/>
          <w:color w:val="333333"/>
          <w:sz w:val="24"/>
          <w:szCs w:val="24"/>
          <w:shd w:val="clear" w:color="auto" w:fill="FFFFFF"/>
        </w:rPr>
        <w:t>providers</w:t>
      </w:r>
      <w:r w:rsidR="00B0323F" w:rsidRPr="008F1AFF">
        <w:rPr>
          <w:rFonts w:ascii="Times New Roman" w:hAnsi="Times New Roman" w:cs="Times New Roman"/>
          <w:noProof/>
          <w:color w:val="333333"/>
          <w:sz w:val="24"/>
          <w:szCs w:val="24"/>
          <w:shd w:val="clear" w:color="auto" w:fill="FFFFFF"/>
        </w:rPr>
        <w:t xml:space="preserve"> enabled by digital technologies have </w:t>
      </w:r>
      <w:r w:rsidR="00BC2B26">
        <w:rPr>
          <w:rFonts w:ascii="Times New Roman" w:hAnsi="Times New Roman" w:cs="Times New Roman"/>
          <w:noProof/>
          <w:color w:val="333333"/>
          <w:sz w:val="24"/>
          <w:szCs w:val="24"/>
          <w:shd w:val="clear" w:color="auto" w:fill="FFFFFF"/>
        </w:rPr>
        <w:t>entered the market</w:t>
      </w:r>
      <w:r w:rsidR="00B0323F" w:rsidRPr="008F1AFF">
        <w:rPr>
          <w:rFonts w:ascii="Times New Roman" w:hAnsi="Times New Roman" w:cs="Times New Roman"/>
          <w:noProof/>
          <w:color w:val="333333"/>
          <w:sz w:val="24"/>
          <w:szCs w:val="24"/>
          <w:shd w:val="clear" w:color="auto" w:fill="FFFFFF"/>
        </w:rPr>
        <w:t xml:space="preserve">. For example, non-bank </w:t>
      </w:r>
      <w:r w:rsidR="00E659C9">
        <w:rPr>
          <w:rFonts w:ascii="Times New Roman" w:hAnsi="Times New Roman" w:cs="Times New Roman"/>
          <w:noProof/>
          <w:color w:val="333333"/>
          <w:sz w:val="24"/>
          <w:szCs w:val="24"/>
          <w:shd w:val="clear" w:color="auto" w:fill="FFFFFF"/>
        </w:rPr>
        <w:t>p</w:t>
      </w:r>
      <w:r w:rsidR="00B0323F" w:rsidRPr="008F1AFF">
        <w:rPr>
          <w:rFonts w:ascii="Times New Roman" w:hAnsi="Times New Roman" w:cs="Times New Roman"/>
          <w:noProof/>
          <w:color w:val="333333"/>
          <w:sz w:val="24"/>
          <w:szCs w:val="24"/>
          <w:shd w:val="clear" w:color="auto" w:fill="FFFFFF"/>
        </w:rPr>
        <w:t xml:space="preserve">ayment </w:t>
      </w:r>
      <w:r w:rsidR="00E659C9">
        <w:rPr>
          <w:rFonts w:ascii="Times New Roman" w:hAnsi="Times New Roman" w:cs="Times New Roman"/>
          <w:noProof/>
          <w:color w:val="333333"/>
          <w:sz w:val="24"/>
          <w:szCs w:val="24"/>
          <w:shd w:val="clear" w:color="auto" w:fill="FFFFFF"/>
        </w:rPr>
        <w:t>s</w:t>
      </w:r>
      <w:r w:rsidR="00B0323F" w:rsidRPr="008F1AFF">
        <w:rPr>
          <w:rFonts w:ascii="Times New Roman" w:hAnsi="Times New Roman" w:cs="Times New Roman"/>
          <w:noProof/>
          <w:color w:val="333333"/>
          <w:sz w:val="24"/>
          <w:szCs w:val="24"/>
          <w:shd w:val="clear" w:color="auto" w:fill="FFFFFF"/>
        </w:rPr>
        <w:t xml:space="preserve">ervice </w:t>
      </w:r>
      <w:r w:rsidR="00E659C9">
        <w:rPr>
          <w:rFonts w:ascii="Times New Roman" w:hAnsi="Times New Roman" w:cs="Times New Roman"/>
          <w:noProof/>
          <w:color w:val="333333"/>
          <w:sz w:val="24"/>
          <w:szCs w:val="24"/>
          <w:shd w:val="clear" w:color="auto" w:fill="FFFFFF"/>
        </w:rPr>
        <w:t>p</w:t>
      </w:r>
      <w:r w:rsidR="00B0323F" w:rsidRPr="008F1AFF">
        <w:rPr>
          <w:rFonts w:ascii="Times New Roman" w:hAnsi="Times New Roman" w:cs="Times New Roman"/>
          <w:noProof/>
          <w:color w:val="333333"/>
          <w:sz w:val="24"/>
          <w:szCs w:val="24"/>
          <w:shd w:val="clear" w:color="auto" w:fill="FFFFFF"/>
        </w:rPr>
        <w:t xml:space="preserve">roviders (PSPs) such as </w:t>
      </w:r>
      <w:r w:rsidR="00A43211">
        <w:rPr>
          <w:rFonts w:ascii="Times New Roman" w:hAnsi="Times New Roman" w:cs="Times New Roman"/>
          <w:noProof/>
          <w:color w:val="333333"/>
          <w:sz w:val="24"/>
          <w:szCs w:val="24"/>
          <w:shd w:val="clear" w:color="auto" w:fill="FFFFFF"/>
        </w:rPr>
        <w:t>p</w:t>
      </w:r>
      <w:r w:rsidR="00B0323F" w:rsidRPr="008F1AFF">
        <w:rPr>
          <w:rFonts w:ascii="Times New Roman" w:hAnsi="Times New Roman" w:cs="Times New Roman"/>
          <w:noProof/>
          <w:color w:val="333333"/>
          <w:sz w:val="24"/>
          <w:szCs w:val="24"/>
          <w:shd w:val="clear" w:color="auto" w:fill="FFFFFF"/>
        </w:rPr>
        <w:t xml:space="preserve">ayment </w:t>
      </w:r>
      <w:r w:rsidR="00A43211">
        <w:rPr>
          <w:rFonts w:ascii="Times New Roman" w:hAnsi="Times New Roman" w:cs="Times New Roman"/>
          <w:noProof/>
          <w:color w:val="333333"/>
          <w:sz w:val="24"/>
          <w:szCs w:val="24"/>
          <w:shd w:val="clear" w:color="auto" w:fill="FFFFFF"/>
        </w:rPr>
        <w:t>i</w:t>
      </w:r>
      <w:r w:rsidR="00B0323F" w:rsidRPr="008F1AFF">
        <w:rPr>
          <w:rFonts w:ascii="Times New Roman" w:hAnsi="Times New Roman" w:cs="Times New Roman"/>
          <w:noProof/>
          <w:color w:val="333333"/>
          <w:sz w:val="24"/>
          <w:szCs w:val="24"/>
          <w:shd w:val="clear" w:color="auto" w:fill="FFFFFF"/>
        </w:rPr>
        <w:t xml:space="preserve">nstitutions (PIs) and </w:t>
      </w:r>
      <w:r w:rsidR="00A43211">
        <w:rPr>
          <w:rFonts w:ascii="Times New Roman" w:hAnsi="Times New Roman" w:cs="Times New Roman"/>
          <w:noProof/>
          <w:color w:val="333333"/>
          <w:sz w:val="24"/>
          <w:szCs w:val="24"/>
          <w:shd w:val="clear" w:color="auto" w:fill="FFFFFF"/>
        </w:rPr>
        <w:t>e</w:t>
      </w:r>
      <w:r w:rsidR="00B0323F" w:rsidRPr="008F1AFF">
        <w:rPr>
          <w:rFonts w:ascii="Times New Roman" w:hAnsi="Times New Roman" w:cs="Times New Roman"/>
          <w:noProof/>
          <w:color w:val="333333"/>
          <w:sz w:val="24"/>
          <w:szCs w:val="24"/>
          <w:shd w:val="clear" w:color="auto" w:fill="FFFFFF"/>
        </w:rPr>
        <w:t>-</w:t>
      </w:r>
      <w:r w:rsidR="00A43211">
        <w:rPr>
          <w:rFonts w:ascii="Times New Roman" w:hAnsi="Times New Roman" w:cs="Times New Roman"/>
          <w:noProof/>
          <w:color w:val="333333"/>
          <w:sz w:val="24"/>
          <w:szCs w:val="24"/>
          <w:shd w:val="clear" w:color="auto" w:fill="FFFFFF"/>
        </w:rPr>
        <w:t>m</w:t>
      </w:r>
      <w:r w:rsidR="00B0323F" w:rsidRPr="008F1AFF">
        <w:rPr>
          <w:rFonts w:ascii="Times New Roman" w:hAnsi="Times New Roman" w:cs="Times New Roman"/>
          <w:noProof/>
          <w:color w:val="333333"/>
          <w:sz w:val="24"/>
          <w:szCs w:val="24"/>
          <w:shd w:val="clear" w:color="auto" w:fill="FFFFFF"/>
        </w:rPr>
        <w:t xml:space="preserve">oney </w:t>
      </w:r>
      <w:r w:rsidR="00A43211">
        <w:rPr>
          <w:rFonts w:ascii="Times New Roman" w:hAnsi="Times New Roman" w:cs="Times New Roman"/>
          <w:noProof/>
          <w:color w:val="333333"/>
          <w:sz w:val="24"/>
          <w:szCs w:val="24"/>
          <w:shd w:val="clear" w:color="auto" w:fill="FFFFFF"/>
        </w:rPr>
        <w:t>i</w:t>
      </w:r>
      <w:r w:rsidR="00B0323F" w:rsidRPr="008F1AFF">
        <w:rPr>
          <w:rFonts w:ascii="Times New Roman" w:hAnsi="Times New Roman" w:cs="Times New Roman"/>
          <w:noProof/>
          <w:color w:val="333333"/>
          <w:sz w:val="24"/>
          <w:szCs w:val="24"/>
          <w:shd w:val="clear" w:color="auto" w:fill="FFFFFF"/>
        </w:rPr>
        <w:t>nstitutions (EMIs) are now widely present</w:t>
      </w:r>
      <w:r w:rsidR="00B0323F">
        <w:rPr>
          <w:rFonts w:ascii="Times New Roman" w:hAnsi="Times New Roman" w:cs="Times New Roman"/>
          <w:noProof/>
          <w:color w:val="333333"/>
          <w:sz w:val="24"/>
          <w:szCs w:val="24"/>
          <w:shd w:val="clear" w:color="auto" w:fill="FFFFFF"/>
        </w:rPr>
        <w:t xml:space="preserve">. </w:t>
      </w:r>
      <w:r w:rsidR="00DE3A4A">
        <w:rPr>
          <w:rFonts w:ascii="Times New Roman" w:hAnsi="Times New Roman" w:cs="Times New Roman"/>
          <w:noProof/>
          <w:color w:val="333333"/>
          <w:sz w:val="24"/>
          <w:szCs w:val="24"/>
          <w:shd w:val="clear" w:color="auto" w:fill="FFFFFF"/>
        </w:rPr>
        <w:t>O</w:t>
      </w:r>
      <w:r w:rsidR="00A43211">
        <w:rPr>
          <w:rFonts w:ascii="Times New Roman" w:hAnsi="Times New Roman" w:cs="Times New Roman"/>
          <w:noProof/>
          <w:color w:val="333333"/>
          <w:sz w:val="24"/>
          <w:szCs w:val="24"/>
          <w:shd w:val="clear" w:color="auto" w:fill="FFFFFF"/>
        </w:rPr>
        <w:t>pen banking</w:t>
      </w:r>
      <w:r w:rsidR="0032076E">
        <w:rPr>
          <w:rFonts w:ascii="Times New Roman" w:hAnsi="Times New Roman" w:cs="Times New Roman"/>
          <w:noProof/>
          <w:color w:val="333333"/>
          <w:sz w:val="24"/>
          <w:szCs w:val="24"/>
          <w:shd w:val="clear" w:color="auto" w:fill="FFFFFF"/>
        </w:rPr>
        <w:t xml:space="preserve"> services</w:t>
      </w:r>
      <w:r w:rsidR="00B0323F">
        <w:rPr>
          <w:rFonts w:ascii="Times New Roman" w:hAnsi="Times New Roman" w:cs="Times New Roman"/>
          <w:noProof/>
          <w:color w:val="333333"/>
          <w:sz w:val="24"/>
          <w:szCs w:val="24"/>
          <w:shd w:val="clear" w:color="auto" w:fill="FFFFFF"/>
        </w:rPr>
        <w:t xml:space="preserve">, including account information and payment initiation services, have </w:t>
      </w:r>
      <w:r w:rsidR="00B26FE9">
        <w:rPr>
          <w:rFonts w:ascii="Times New Roman" w:hAnsi="Times New Roman" w:cs="Times New Roman"/>
          <w:noProof/>
          <w:color w:val="333333"/>
          <w:sz w:val="24"/>
          <w:szCs w:val="24"/>
          <w:shd w:val="clear" w:color="auto" w:fill="FFFFFF"/>
        </w:rPr>
        <w:t xml:space="preserve">significantly </w:t>
      </w:r>
      <w:r w:rsidR="00B0323F">
        <w:rPr>
          <w:rFonts w:ascii="Times New Roman" w:hAnsi="Times New Roman" w:cs="Times New Roman"/>
          <w:noProof/>
          <w:color w:val="333333"/>
          <w:sz w:val="24"/>
          <w:szCs w:val="24"/>
          <w:shd w:val="clear" w:color="auto" w:fill="FFFFFF"/>
        </w:rPr>
        <w:t>grown over this period (see §3.1 below).</w:t>
      </w:r>
      <w:r w:rsidR="00B0323F" w:rsidRPr="008F1AFF" w:rsidDel="00B0323F">
        <w:rPr>
          <w:rFonts w:ascii="Times New Roman" w:hAnsi="Times New Roman" w:cs="Times New Roman"/>
          <w:noProof/>
          <w:color w:val="333333"/>
          <w:sz w:val="24"/>
          <w:szCs w:val="24"/>
          <w:shd w:val="clear" w:color="auto" w:fill="FFFFFF"/>
        </w:rPr>
        <w:t xml:space="preserve"> </w:t>
      </w:r>
    </w:p>
    <w:p w14:paraId="391A776B" w14:textId="4C4C81DA" w:rsidR="00EC774F" w:rsidRDefault="00B26FE9"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cs="Times New Roman"/>
          <w:noProof/>
          <w:color w:val="333333"/>
          <w:sz w:val="24"/>
          <w:szCs w:val="24"/>
          <w:shd w:val="clear" w:color="auto" w:fill="FFFFFF"/>
        </w:rPr>
        <w:t xml:space="preserve">The PSD2 </w:t>
      </w:r>
      <w:r w:rsidR="00E659C9">
        <w:rPr>
          <w:rFonts w:ascii="Times New Roman" w:hAnsi="Times New Roman" w:cs="Times New Roman"/>
          <w:noProof/>
          <w:color w:val="333333"/>
          <w:sz w:val="24"/>
          <w:szCs w:val="24"/>
          <w:shd w:val="clear" w:color="auto" w:fill="FFFFFF"/>
        </w:rPr>
        <w:t>e</w:t>
      </w:r>
      <w:r w:rsidR="00EC774F">
        <w:rPr>
          <w:rFonts w:ascii="Times New Roman" w:hAnsi="Times New Roman" w:cs="Times New Roman"/>
          <w:noProof/>
          <w:color w:val="333333"/>
          <w:sz w:val="24"/>
          <w:szCs w:val="24"/>
          <w:shd w:val="clear" w:color="auto" w:fill="FFFFFF"/>
        </w:rPr>
        <w:t xml:space="preserve">valuation </w:t>
      </w:r>
      <w:r w:rsidR="00E659C9">
        <w:rPr>
          <w:rFonts w:ascii="Times New Roman" w:hAnsi="Times New Roman" w:cs="Times New Roman"/>
          <w:noProof/>
          <w:color w:val="333333"/>
          <w:sz w:val="24"/>
          <w:szCs w:val="24"/>
          <w:shd w:val="clear" w:color="auto" w:fill="FFFFFF"/>
        </w:rPr>
        <w:t>r</w:t>
      </w:r>
      <w:r w:rsidR="00EC774F">
        <w:rPr>
          <w:rFonts w:ascii="Times New Roman" w:hAnsi="Times New Roman" w:cs="Times New Roman"/>
          <w:noProof/>
          <w:color w:val="333333"/>
          <w:sz w:val="24"/>
          <w:szCs w:val="24"/>
          <w:shd w:val="clear" w:color="auto" w:fill="FFFFFF"/>
        </w:rPr>
        <w:t xml:space="preserve">eport concludes that </w:t>
      </w:r>
      <w:r w:rsidR="004D7E89">
        <w:rPr>
          <w:rFonts w:ascii="Times New Roman" w:hAnsi="Times New Roman" w:cs="Times New Roman"/>
          <w:noProof/>
          <w:color w:val="333333"/>
          <w:sz w:val="24"/>
          <w:szCs w:val="24"/>
          <w:shd w:val="clear" w:color="auto" w:fill="FFFFFF"/>
        </w:rPr>
        <w:t xml:space="preserve">PSD2 has had </w:t>
      </w:r>
      <w:r w:rsidR="00C44F87">
        <w:rPr>
          <w:rFonts w:ascii="Times New Roman" w:hAnsi="Times New Roman" w:cs="Times New Roman"/>
          <w:noProof/>
          <w:color w:val="333333"/>
          <w:sz w:val="24"/>
          <w:szCs w:val="24"/>
          <w:shd w:val="clear" w:color="auto" w:fill="FFFFFF"/>
        </w:rPr>
        <w:t>varying</w:t>
      </w:r>
      <w:r w:rsidR="004D7E89">
        <w:rPr>
          <w:rFonts w:ascii="Times New Roman" w:hAnsi="Times New Roman" w:cs="Times New Roman"/>
          <w:noProof/>
          <w:color w:val="333333"/>
          <w:sz w:val="24"/>
          <w:szCs w:val="24"/>
          <w:shd w:val="clear" w:color="auto" w:fill="FFFFFF"/>
        </w:rPr>
        <w:t xml:space="preserve"> degrees of success in meeting its objectives. One area of clear </w:t>
      </w:r>
      <w:r w:rsidR="00A05D8D">
        <w:rPr>
          <w:rFonts w:ascii="Times New Roman" w:hAnsi="Times New Roman" w:cs="Times New Roman"/>
          <w:noProof/>
          <w:color w:val="333333"/>
          <w:sz w:val="24"/>
          <w:szCs w:val="24"/>
          <w:shd w:val="clear" w:color="auto" w:fill="FFFFFF"/>
        </w:rPr>
        <w:t xml:space="preserve">positive </w:t>
      </w:r>
      <w:r w:rsidR="004D7E89">
        <w:rPr>
          <w:rFonts w:ascii="Times New Roman" w:hAnsi="Times New Roman" w:cs="Times New Roman"/>
          <w:noProof/>
          <w:color w:val="333333"/>
          <w:sz w:val="24"/>
          <w:szCs w:val="24"/>
          <w:shd w:val="clear" w:color="auto" w:fill="FFFFFF"/>
        </w:rPr>
        <w:t>impact has been that of fraud prevention, via the introduction of SCA; although more c</w:t>
      </w:r>
      <w:r w:rsidR="00657C24">
        <w:rPr>
          <w:rFonts w:ascii="Times New Roman" w:hAnsi="Times New Roman" w:cs="Times New Roman"/>
          <w:noProof/>
          <w:color w:val="333333"/>
          <w:sz w:val="24"/>
          <w:szCs w:val="24"/>
          <w:shd w:val="clear" w:color="auto" w:fill="FFFFFF"/>
        </w:rPr>
        <w:t xml:space="preserve">hallenging </w:t>
      </w:r>
      <w:r w:rsidR="004D7E89">
        <w:rPr>
          <w:rFonts w:ascii="Times New Roman" w:hAnsi="Times New Roman" w:cs="Times New Roman"/>
          <w:noProof/>
          <w:color w:val="333333"/>
          <w:sz w:val="24"/>
          <w:szCs w:val="24"/>
          <w:shd w:val="clear" w:color="auto" w:fill="FFFFFF"/>
        </w:rPr>
        <w:t xml:space="preserve">to implement than anticipated, SCA has </w:t>
      </w:r>
      <w:r w:rsidR="00657C24">
        <w:rPr>
          <w:rFonts w:ascii="Times New Roman" w:hAnsi="Times New Roman" w:cs="Times New Roman"/>
          <w:noProof/>
          <w:color w:val="333333"/>
          <w:sz w:val="24"/>
          <w:szCs w:val="24"/>
          <w:shd w:val="clear" w:color="auto" w:fill="FFFFFF"/>
        </w:rPr>
        <w:t xml:space="preserve">already </w:t>
      </w:r>
      <w:r w:rsidR="004D7E89">
        <w:rPr>
          <w:rFonts w:ascii="Times New Roman" w:hAnsi="Times New Roman" w:cs="Times New Roman"/>
          <w:noProof/>
          <w:color w:val="333333"/>
          <w:sz w:val="24"/>
          <w:szCs w:val="24"/>
          <w:shd w:val="clear" w:color="auto" w:fill="FFFFFF"/>
        </w:rPr>
        <w:t xml:space="preserve">had a significant impact in reducing fraud. PSD2 has also </w:t>
      </w:r>
      <w:r w:rsidR="004D7E89" w:rsidRPr="004D7E89">
        <w:rPr>
          <w:rFonts w:ascii="Times New Roman" w:hAnsi="Times New Roman" w:cs="Times New Roman"/>
          <w:noProof/>
          <w:color w:val="333333"/>
          <w:sz w:val="24"/>
          <w:szCs w:val="24"/>
          <w:shd w:val="clear" w:color="auto" w:fill="FFFFFF"/>
        </w:rPr>
        <w:t>been particularly effective with regard to its goal of increasing the efficiency, transparency and choice of payment instruments for payment service users</w:t>
      </w:r>
      <w:r w:rsidR="004D7E89">
        <w:rPr>
          <w:rFonts w:ascii="Times New Roman" w:hAnsi="Times New Roman" w:cs="Times New Roman"/>
          <w:noProof/>
          <w:color w:val="333333"/>
          <w:sz w:val="24"/>
          <w:szCs w:val="24"/>
          <w:shd w:val="clear" w:color="auto" w:fill="FFFFFF"/>
        </w:rPr>
        <w:t xml:space="preserve">. However, </w:t>
      </w:r>
      <w:r w:rsidR="00BC2B26">
        <w:rPr>
          <w:rFonts w:ascii="Times New Roman" w:hAnsi="Times New Roman" w:cs="Times New Roman"/>
          <w:noProof/>
          <w:color w:val="333333"/>
          <w:sz w:val="24"/>
          <w:szCs w:val="24"/>
          <w:shd w:val="clear" w:color="auto" w:fill="FFFFFF"/>
        </w:rPr>
        <w:t xml:space="preserve">the evaluation </w:t>
      </w:r>
      <w:r w:rsidR="00A05D8D">
        <w:rPr>
          <w:rFonts w:ascii="Times New Roman" w:hAnsi="Times New Roman" w:cs="Times New Roman"/>
          <w:noProof/>
          <w:color w:val="333333"/>
          <w:sz w:val="24"/>
          <w:szCs w:val="24"/>
          <w:shd w:val="clear" w:color="auto" w:fill="FFFFFF"/>
        </w:rPr>
        <w:t xml:space="preserve">found </w:t>
      </w:r>
      <w:r w:rsidR="00BC2B26">
        <w:rPr>
          <w:rFonts w:ascii="Times New Roman" w:hAnsi="Times New Roman" w:cs="Times New Roman"/>
          <w:noProof/>
          <w:color w:val="333333"/>
          <w:sz w:val="24"/>
          <w:szCs w:val="24"/>
          <w:shd w:val="clear" w:color="auto" w:fill="FFFFFF"/>
        </w:rPr>
        <w:t xml:space="preserve">that </w:t>
      </w:r>
      <w:r w:rsidR="004D7E89">
        <w:rPr>
          <w:rFonts w:ascii="Times New Roman" w:hAnsi="Times New Roman" w:cs="Times New Roman"/>
          <w:noProof/>
          <w:color w:val="333333"/>
          <w:sz w:val="24"/>
          <w:szCs w:val="24"/>
          <w:shd w:val="clear" w:color="auto" w:fill="FFFFFF"/>
        </w:rPr>
        <w:t xml:space="preserve">there are </w:t>
      </w:r>
      <w:r w:rsidR="004D7E89" w:rsidRPr="004D7E89">
        <w:rPr>
          <w:rFonts w:ascii="Times New Roman" w:hAnsi="Times New Roman" w:cs="Times New Roman"/>
          <w:noProof/>
          <w:color w:val="333333"/>
          <w:sz w:val="24"/>
          <w:szCs w:val="24"/>
          <w:shd w:val="clear" w:color="auto" w:fill="FFFFFF"/>
        </w:rPr>
        <w:t>limit</w:t>
      </w:r>
      <w:r w:rsidR="00F41A15">
        <w:rPr>
          <w:rFonts w:ascii="Times New Roman" w:hAnsi="Times New Roman" w:cs="Times New Roman"/>
          <w:noProof/>
          <w:color w:val="333333"/>
          <w:sz w:val="24"/>
          <w:szCs w:val="24"/>
          <w:shd w:val="clear" w:color="auto" w:fill="FFFFFF"/>
        </w:rPr>
        <w:t>s</w:t>
      </w:r>
      <w:r w:rsidR="004D7E89" w:rsidRPr="004D7E89">
        <w:rPr>
          <w:rFonts w:ascii="Times New Roman" w:hAnsi="Times New Roman" w:cs="Times New Roman"/>
          <w:noProof/>
          <w:color w:val="333333"/>
          <w:sz w:val="24"/>
          <w:szCs w:val="24"/>
          <w:shd w:val="clear" w:color="auto" w:fill="FFFFFF"/>
        </w:rPr>
        <w:t xml:space="preserve"> to PSD2’s effectiveness </w:t>
      </w:r>
      <w:r w:rsidR="004D7E89">
        <w:rPr>
          <w:rFonts w:ascii="Times New Roman" w:hAnsi="Times New Roman" w:cs="Times New Roman"/>
          <w:noProof/>
          <w:color w:val="333333"/>
          <w:sz w:val="24"/>
          <w:szCs w:val="24"/>
          <w:shd w:val="clear" w:color="auto" w:fill="FFFFFF"/>
        </w:rPr>
        <w:t>in achieving a level playing field</w:t>
      </w:r>
      <w:r w:rsidR="004D7E89" w:rsidRPr="004D7E89">
        <w:rPr>
          <w:rFonts w:ascii="Times New Roman" w:hAnsi="Times New Roman" w:cs="Times New Roman"/>
          <w:noProof/>
          <w:color w:val="333333"/>
          <w:sz w:val="24"/>
          <w:szCs w:val="24"/>
          <w:shd w:val="clear" w:color="auto" w:fill="FFFFFF"/>
        </w:rPr>
        <w:t xml:space="preserve">, most notably the persisting </w:t>
      </w:r>
      <w:r w:rsidR="00C44F87">
        <w:rPr>
          <w:rFonts w:ascii="Times New Roman" w:hAnsi="Times New Roman" w:cs="Times New Roman"/>
          <w:noProof/>
          <w:color w:val="333333"/>
          <w:sz w:val="24"/>
          <w:szCs w:val="24"/>
          <w:shd w:val="clear" w:color="auto" w:fill="FFFFFF"/>
        </w:rPr>
        <w:t>im</w:t>
      </w:r>
      <w:r w:rsidR="004D7E89" w:rsidRPr="004D7E89">
        <w:rPr>
          <w:rFonts w:ascii="Times New Roman" w:hAnsi="Times New Roman" w:cs="Times New Roman"/>
          <w:noProof/>
          <w:color w:val="333333"/>
          <w:sz w:val="24"/>
          <w:szCs w:val="24"/>
          <w:shd w:val="clear" w:color="auto" w:fill="FFFFFF"/>
        </w:rPr>
        <w:t xml:space="preserve">balance between bank and non-bank PSPs </w:t>
      </w:r>
      <w:r w:rsidR="00E659C9">
        <w:rPr>
          <w:rFonts w:ascii="Times New Roman" w:hAnsi="Times New Roman" w:cs="Times New Roman"/>
          <w:noProof/>
          <w:color w:val="333333"/>
          <w:sz w:val="24"/>
          <w:szCs w:val="24"/>
          <w:shd w:val="clear" w:color="auto" w:fill="FFFFFF"/>
        </w:rPr>
        <w:t>resulting</w:t>
      </w:r>
      <w:r w:rsidR="00E659C9" w:rsidRPr="004D7E89">
        <w:rPr>
          <w:rFonts w:ascii="Times New Roman" w:hAnsi="Times New Roman" w:cs="Times New Roman"/>
          <w:noProof/>
          <w:color w:val="333333"/>
          <w:sz w:val="24"/>
          <w:szCs w:val="24"/>
          <w:shd w:val="clear" w:color="auto" w:fill="FFFFFF"/>
        </w:rPr>
        <w:t xml:space="preserve"> </w:t>
      </w:r>
      <w:r w:rsidR="004D7E89" w:rsidRPr="004D7E89">
        <w:rPr>
          <w:rFonts w:ascii="Times New Roman" w:hAnsi="Times New Roman" w:cs="Times New Roman"/>
          <w:noProof/>
          <w:color w:val="333333"/>
          <w:sz w:val="24"/>
          <w:szCs w:val="24"/>
          <w:shd w:val="clear" w:color="auto" w:fill="FFFFFF"/>
        </w:rPr>
        <w:t xml:space="preserve">from the lack of direct access </w:t>
      </w:r>
      <w:r w:rsidR="006A5020" w:rsidRPr="004D7E89">
        <w:rPr>
          <w:rFonts w:ascii="Times New Roman" w:hAnsi="Times New Roman" w:cs="Times New Roman"/>
          <w:noProof/>
          <w:color w:val="333333"/>
          <w:sz w:val="24"/>
          <w:szCs w:val="24"/>
          <w:shd w:val="clear" w:color="auto" w:fill="FFFFFF"/>
        </w:rPr>
        <w:t xml:space="preserve">by the latter </w:t>
      </w:r>
      <w:r w:rsidR="004D7E89" w:rsidRPr="004D7E89">
        <w:rPr>
          <w:rFonts w:ascii="Times New Roman" w:hAnsi="Times New Roman" w:cs="Times New Roman"/>
          <w:noProof/>
          <w:color w:val="333333"/>
          <w:sz w:val="24"/>
          <w:szCs w:val="24"/>
          <w:shd w:val="clear" w:color="auto" w:fill="FFFFFF"/>
        </w:rPr>
        <w:t xml:space="preserve">to </w:t>
      </w:r>
      <w:r w:rsidR="00C44F87">
        <w:rPr>
          <w:rFonts w:ascii="Times New Roman" w:hAnsi="Times New Roman" w:cs="Times New Roman"/>
          <w:noProof/>
          <w:color w:val="333333"/>
          <w:sz w:val="24"/>
          <w:szCs w:val="24"/>
          <w:shd w:val="clear" w:color="auto" w:fill="FFFFFF"/>
        </w:rPr>
        <w:t xml:space="preserve">certain key </w:t>
      </w:r>
      <w:r w:rsidR="004D7E89" w:rsidRPr="004D7E89">
        <w:rPr>
          <w:rFonts w:ascii="Times New Roman" w:hAnsi="Times New Roman" w:cs="Times New Roman"/>
          <w:noProof/>
          <w:color w:val="333333"/>
          <w:sz w:val="24"/>
          <w:szCs w:val="24"/>
          <w:shd w:val="clear" w:color="auto" w:fill="FFFFFF"/>
        </w:rPr>
        <w:t>payment systems.</w:t>
      </w:r>
      <w:r w:rsidR="004D7E89">
        <w:rPr>
          <w:rFonts w:ascii="Times New Roman" w:hAnsi="Times New Roman" w:cs="Times New Roman"/>
          <w:noProof/>
          <w:color w:val="333333"/>
          <w:sz w:val="24"/>
          <w:szCs w:val="24"/>
          <w:shd w:val="clear" w:color="auto" w:fill="FFFFFF"/>
        </w:rPr>
        <w:t xml:space="preserve"> </w:t>
      </w:r>
      <w:r w:rsidR="00657C24">
        <w:rPr>
          <w:rFonts w:ascii="Times New Roman" w:hAnsi="Times New Roman" w:cs="Times New Roman"/>
          <w:noProof/>
          <w:color w:val="333333"/>
          <w:sz w:val="24"/>
          <w:szCs w:val="24"/>
          <w:shd w:val="clear" w:color="auto" w:fill="FFFFFF"/>
        </w:rPr>
        <w:t xml:space="preserve">In spite of the emergence of hundreds of new non-bank providers </w:t>
      </w:r>
      <w:r w:rsidR="00B67342">
        <w:rPr>
          <w:rFonts w:ascii="Times New Roman" w:hAnsi="Times New Roman" w:cs="Times New Roman"/>
          <w:noProof/>
          <w:color w:val="333333"/>
          <w:sz w:val="24"/>
          <w:szCs w:val="24"/>
          <w:shd w:val="clear" w:color="auto" w:fill="FFFFFF"/>
        </w:rPr>
        <w:t>servicing millions of clients</w:t>
      </w:r>
      <w:r w:rsidR="00BC2B26">
        <w:rPr>
          <w:rFonts w:ascii="Times New Roman" w:hAnsi="Times New Roman" w:cs="Times New Roman"/>
          <w:noProof/>
          <w:color w:val="333333"/>
          <w:sz w:val="24"/>
          <w:szCs w:val="24"/>
          <w:shd w:val="clear" w:color="auto" w:fill="FFFFFF"/>
        </w:rPr>
        <w:t>,</w:t>
      </w:r>
      <w:r w:rsidR="00B67342">
        <w:rPr>
          <w:rFonts w:ascii="Times New Roman" w:hAnsi="Times New Roman" w:cs="Times New Roman"/>
          <w:noProof/>
          <w:color w:val="333333"/>
          <w:sz w:val="24"/>
          <w:szCs w:val="24"/>
          <w:shd w:val="clear" w:color="auto" w:fill="FFFFFF"/>
        </w:rPr>
        <w:t xml:space="preserve"> </w:t>
      </w:r>
      <w:r w:rsidR="00657C24">
        <w:rPr>
          <w:rFonts w:ascii="Times New Roman" w:hAnsi="Times New Roman" w:cs="Times New Roman"/>
          <w:noProof/>
          <w:color w:val="333333"/>
          <w:sz w:val="24"/>
          <w:szCs w:val="24"/>
          <w:shd w:val="clear" w:color="auto" w:fill="FFFFFF"/>
        </w:rPr>
        <w:t>t</w:t>
      </w:r>
      <w:r w:rsidR="004D7E89">
        <w:rPr>
          <w:rFonts w:ascii="Times New Roman" w:hAnsi="Times New Roman" w:cs="Times New Roman"/>
          <w:noProof/>
          <w:color w:val="333333"/>
          <w:sz w:val="24"/>
          <w:szCs w:val="24"/>
          <w:shd w:val="clear" w:color="auto" w:fill="FFFFFF"/>
        </w:rPr>
        <w:t xml:space="preserve">here has been mixed success in </w:t>
      </w:r>
      <w:r w:rsidR="00657C24">
        <w:rPr>
          <w:rFonts w:ascii="Times New Roman" w:hAnsi="Times New Roman" w:cs="Times New Roman"/>
          <w:noProof/>
          <w:color w:val="333333"/>
          <w:sz w:val="24"/>
          <w:szCs w:val="24"/>
          <w:shd w:val="clear" w:color="auto" w:fill="FFFFFF"/>
        </w:rPr>
        <w:t xml:space="preserve">the uptake </w:t>
      </w:r>
      <w:r w:rsidR="004D7E89">
        <w:rPr>
          <w:rFonts w:ascii="Times New Roman" w:hAnsi="Times New Roman" w:cs="Times New Roman"/>
          <w:noProof/>
          <w:color w:val="333333"/>
          <w:sz w:val="24"/>
          <w:szCs w:val="24"/>
          <w:shd w:val="clear" w:color="auto" w:fill="FFFFFF"/>
        </w:rPr>
        <w:t xml:space="preserve">of </w:t>
      </w:r>
      <w:r w:rsidR="00A43211">
        <w:rPr>
          <w:rFonts w:ascii="Times New Roman" w:hAnsi="Times New Roman" w:cs="Times New Roman"/>
          <w:noProof/>
          <w:color w:val="333333"/>
          <w:sz w:val="24"/>
          <w:szCs w:val="24"/>
          <w:shd w:val="clear" w:color="auto" w:fill="FFFFFF"/>
        </w:rPr>
        <w:t>open banking</w:t>
      </w:r>
      <w:r w:rsidR="004D7E89">
        <w:rPr>
          <w:rFonts w:ascii="Times New Roman" w:hAnsi="Times New Roman" w:cs="Times New Roman"/>
          <w:noProof/>
          <w:color w:val="333333"/>
          <w:sz w:val="24"/>
          <w:szCs w:val="24"/>
          <w:shd w:val="clear" w:color="auto" w:fill="FFFFFF"/>
        </w:rPr>
        <w:t xml:space="preserve"> (OB)</w:t>
      </w:r>
      <w:r>
        <w:rPr>
          <w:rFonts w:ascii="Times New Roman" w:hAnsi="Times New Roman" w:cs="Times New Roman"/>
          <w:noProof/>
          <w:color w:val="333333"/>
          <w:sz w:val="24"/>
          <w:szCs w:val="24"/>
          <w:shd w:val="clear" w:color="auto" w:fill="FFFFFF"/>
        </w:rPr>
        <w:t xml:space="preserve"> in the EU</w:t>
      </w:r>
      <w:r w:rsidR="004D7E89">
        <w:rPr>
          <w:rFonts w:ascii="Times New Roman" w:hAnsi="Times New Roman" w:cs="Times New Roman"/>
          <w:noProof/>
          <w:color w:val="333333"/>
          <w:sz w:val="24"/>
          <w:szCs w:val="24"/>
          <w:shd w:val="clear" w:color="auto" w:fill="FFFFFF"/>
        </w:rPr>
        <w:t xml:space="preserve">, with issues relating to </w:t>
      </w:r>
      <w:r>
        <w:rPr>
          <w:rFonts w:ascii="Times New Roman" w:hAnsi="Times New Roman" w:cs="Times New Roman"/>
          <w:noProof/>
          <w:color w:val="333333"/>
          <w:sz w:val="24"/>
          <w:szCs w:val="24"/>
          <w:shd w:val="clear" w:color="auto" w:fill="FFFFFF"/>
        </w:rPr>
        <w:t xml:space="preserve">the performance of </w:t>
      </w:r>
      <w:r w:rsidR="004D7E89">
        <w:rPr>
          <w:rFonts w:ascii="Times New Roman" w:hAnsi="Times New Roman" w:cs="Times New Roman"/>
          <w:noProof/>
          <w:color w:val="333333"/>
          <w:sz w:val="24"/>
          <w:szCs w:val="24"/>
          <w:shd w:val="clear" w:color="auto" w:fill="FFFFFF"/>
        </w:rPr>
        <w:t>data access interfac</w:t>
      </w:r>
      <w:r w:rsidR="00F87C0A">
        <w:rPr>
          <w:rFonts w:ascii="Times New Roman" w:hAnsi="Times New Roman" w:cs="Times New Roman"/>
          <w:noProof/>
          <w:color w:val="333333"/>
          <w:sz w:val="24"/>
          <w:szCs w:val="24"/>
          <w:shd w:val="clear" w:color="auto" w:fill="FFFFFF"/>
        </w:rPr>
        <w:t>e</w:t>
      </w:r>
      <w:r w:rsidR="004D7E89">
        <w:rPr>
          <w:rFonts w:ascii="Times New Roman" w:hAnsi="Times New Roman" w:cs="Times New Roman"/>
          <w:noProof/>
          <w:color w:val="333333"/>
          <w:sz w:val="24"/>
          <w:szCs w:val="24"/>
          <w:shd w:val="clear" w:color="auto" w:fill="FFFFFF"/>
        </w:rPr>
        <w:t xml:space="preserve">s for OB </w:t>
      </w:r>
      <w:r w:rsidR="008213E0">
        <w:rPr>
          <w:rFonts w:ascii="Times New Roman" w:hAnsi="Times New Roman" w:cs="Times New Roman"/>
          <w:noProof/>
          <w:color w:val="333333"/>
          <w:sz w:val="24"/>
          <w:szCs w:val="24"/>
          <w:shd w:val="clear" w:color="auto" w:fill="FFFFFF"/>
        </w:rPr>
        <w:t xml:space="preserve">service </w:t>
      </w:r>
      <w:r w:rsidR="004D7E89">
        <w:rPr>
          <w:rFonts w:ascii="Times New Roman" w:hAnsi="Times New Roman" w:cs="Times New Roman"/>
          <w:noProof/>
          <w:color w:val="333333"/>
          <w:sz w:val="24"/>
          <w:szCs w:val="24"/>
          <w:shd w:val="clear" w:color="auto" w:fill="FFFFFF"/>
        </w:rPr>
        <w:t>providers</w:t>
      </w:r>
      <w:r w:rsidR="008213E0">
        <w:rPr>
          <w:rFonts w:ascii="Times New Roman" w:hAnsi="Times New Roman" w:cs="Times New Roman"/>
          <w:noProof/>
          <w:color w:val="333333"/>
          <w:sz w:val="24"/>
          <w:szCs w:val="24"/>
          <w:shd w:val="clear" w:color="auto" w:fill="FFFFFF"/>
        </w:rPr>
        <w:t xml:space="preserve">. </w:t>
      </w:r>
      <w:r w:rsidR="0004606E">
        <w:rPr>
          <w:rFonts w:ascii="Times New Roman" w:hAnsi="Times New Roman" w:cs="Times New Roman"/>
          <w:noProof/>
          <w:color w:val="333333"/>
          <w:sz w:val="24"/>
          <w:szCs w:val="24"/>
          <w:shd w:val="clear" w:color="auto" w:fill="FFFFFF"/>
        </w:rPr>
        <w:t>W</w:t>
      </w:r>
      <w:r w:rsidR="004D7E89">
        <w:rPr>
          <w:rFonts w:ascii="Times New Roman" w:hAnsi="Times New Roman" w:cs="Times New Roman"/>
          <w:noProof/>
          <w:color w:val="333333"/>
          <w:sz w:val="24"/>
          <w:szCs w:val="24"/>
          <w:shd w:val="clear" w:color="auto" w:fill="FFFFFF"/>
        </w:rPr>
        <w:t xml:space="preserve">hile cross-border provision of payment services is increasing, </w:t>
      </w:r>
      <w:r w:rsidR="00BC2B26">
        <w:rPr>
          <w:rFonts w:ascii="Times New Roman" w:hAnsi="Times New Roman" w:cs="Times New Roman"/>
          <w:noProof/>
          <w:color w:val="333333"/>
          <w:sz w:val="24"/>
          <w:szCs w:val="24"/>
          <w:shd w:val="clear" w:color="auto" w:fill="FFFFFF"/>
        </w:rPr>
        <w:t xml:space="preserve">many </w:t>
      </w:r>
      <w:r w:rsidR="004D7E89">
        <w:rPr>
          <w:rFonts w:ascii="Times New Roman" w:hAnsi="Times New Roman" w:cs="Times New Roman"/>
          <w:noProof/>
          <w:color w:val="333333"/>
          <w:sz w:val="24"/>
          <w:szCs w:val="24"/>
          <w:shd w:val="clear" w:color="auto" w:fill="FFFFFF"/>
        </w:rPr>
        <w:t xml:space="preserve">payment systems (especially debit card systems) remain </w:t>
      </w:r>
      <w:r w:rsidR="0032076E">
        <w:rPr>
          <w:rFonts w:ascii="Times New Roman" w:hAnsi="Times New Roman" w:cs="Times New Roman"/>
          <w:noProof/>
          <w:color w:val="333333"/>
          <w:sz w:val="24"/>
          <w:szCs w:val="24"/>
          <w:shd w:val="clear" w:color="auto" w:fill="FFFFFF"/>
        </w:rPr>
        <w:t xml:space="preserve">largely </w:t>
      </w:r>
      <w:r w:rsidR="004D7E89">
        <w:rPr>
          <w:rFonts w:ascii="Times New Roman" w:hAnsi="Times New Roman" w:cs="Times New Roman"/>
          <w:noProof/>
          <w:color w:val="333333"/>
          <w:sz w:val="24"/>
          <w:szCs w:val="24"/>
          <w:shd w:val="clear" w:color="auto" w:fill="FFFFFF"/>
        </w:rPr>
        <w:t>national</w:t>
      </w:r>
      <w:r w:rsidR="00C040C7">
        <w:rPr>
          <w:rFonts w:ascii="Times New Roman" w:hAnsi="Times New Roman" w:cs="Times New Roman"/>
          <w:noProof/>
          <w:color w:val="333333"/>
          <w:sz w:val="24"/>
          <w:szCs w:val="24"/>
          <w:shd w:val="clear" w:color="auto" w:fill="FFFFFF"/>
        </w:rPr>
        <w:t xml:space="preserve">. </w:t>
      </w:r>
      <w:r w:rsidR="0032076E">
        <w:rPr>
          <w:rFonts w:ascii="Times New Roman" w:hAnsi="Times New Roman" w:cs="Times New Roman"/>
          <w:noProof/>
          <w:color w:val="333333"/>
          <w:sz w:val="24"/>
          <w:szCs w:val="24"/>
          <w:shd w:val="clear" w:color="auto" w:fill="FFFFFF"/>
        </w:rPr>
        <w:t xml:space="preserve">No </w:t>
      </w:r>
      <w:r w:rsidR="008213E0">
        <w:rPr>
          <w:rFonts w:ascii="Times New Roman" w:hAnsi="Times New Roman" w:cs="Times New Roman"/>
          <w:noProof/>
          <w:color w:val="333333"/>
          <w:sz w:val="24"/>
          <w:szCs w:val="24"/>
          <w:shd w:val="clear" w:color="auto" w:fill="FFFFFF"/>
        </w:rPr>
        <w:t xml:space="preserve">new </w:t>
      </w:r>
      <w:r w:rsidR="00CB6C1B">
        <w:rPr>
          <w:rFonts w:ascii="Times New Roman" w:hAnsi="Times New Roman" w:cs="Times New Roman"/>
          <w:noProof/>
          <w:color w:val="333333"/>
          <w:sz w:val="24"/>
          <w:szCs w:val="24"/>
          <w:shd w:val="clear" w:color="auto" w:fill="FFFFFF"/>
        </w:rPr>
        <w:t xml:space="preserve">fully </w:t>
      </w:r>
      <w:r w:rsidR="0032076E">
        <w:rPr>
          <w:rFonts w:ascii="Times New Roman" w:hAnsi="Times New Roman" w:cs="Times New Roman"/>
          <w:noProof/>
          <w:color w:val="333333"/>
          <w:sz w:val="24"/>
          <w:szCs w:val="24"/>
          <w:shd w:val="clear" w:color="auto" w:fill="FFFFFF"/>
        </w:rPr>
        <w:t xml:space="preserve">pan-European payment </w:t>
      </w:r>
      <w:r w:rsidR="00CB6C1B">
        <w:rPr>
          <w:rFonts w:ascii="Times New Roman" w:hAnsi="Times New Roman" w:cs="Times New Roman"/>
          <w:noProof/>
          <w:color w:val="333333"/>
          <w:sz w:val="24"/>
          <w:szCs w:val="24"/>
          <w:shd w:val="clear" w:color="auto" w:fill="FFFFFF"/>
        </w:rPr>
        <w:t>solution has yet emerged</w:t>
      </w:r>
      <w:r w:rsidR="006F64C8">
        <w:rPr>
          <w:rFonts w:ascii="Times New Roman" w:hAnsi="Times New Roman" w:cs="Times New Roman"/>
          <w:noProof/>
          <w:color w:val="333333"/>
          <w:sz w:val="24"/>
          <w:szCs w:val="24"/>
          <w:shd w:val="clear" w:color="auto" w:fill="FFFFFF"/>
        </w:rPr>
        <w:t>. T</w:t>
      </w:r>
      <w:r w:rsidR="00C040C7">
        <w:rPr>
          <w:rFonts w:ascii="Times New Roman" w:hAnsi="Times New Roman" w:cs="Times New Roman"/>
          <w:noProof/>
          <w:color w:val="333333"/>
          <w:sz w:val="24"/>
          <w:szCs w:val="24"/>
          <w:shd w:val="clear" w:color="auto" w:fill="FFFFFF"/>
        </w:rPr>
        <w:t>he European Payments Initiative</w:t>
      </w:r>
      <w:r w:rsidR="00CB6C1B">
        <w:rPr>
          <w:rFonts w:ascii="Times New Roman" w:hAnsi="Times New Roman" w:cs="Times New Roman"/>
          <w:noProof/>
          <w:color w:val="333333"/>
          <w:sz w:val="24"/>
          <w:szCs w:val="24"/>
          <w:shd w:val="clear" w:color="auto" w:fill="FFFFFF"/>
        </w:rPr>
        <w:t xml:space="preserve"> (</w:t>
      </w:r>
      <w:r w:rsidR="00C040C7">
        <w:rPr>
          <w:rFonts w:ascii="Times New Roman" w:hAnsi="Times New Roman" w:cs="Times New Roman"/>
          <w:noProof/>
          <w:color w:val="333333"/>
          <w:sz w:val="24"/>
          <w:szCs w:val="24"/>
          <w:shd w:val="clear" w:color="auto" w:fill="FFFFFF"/>
        </w:rPr>
        <w:t>EPI)</w:t>
      </w:r>
      <w:r w:rsidR="00CB6C1B">
        <w:rPr>
          <w:rStyle w:val="FootnoteReference"/>
          <w:rFonts w:ascii="Times New Roman" w:hAnsi="Times New Roman" w:cs="Times New Roman"/>
          <w:noProof/>
          <w:color w:val="333333"/>
          <w:sz w:val="24"/>
          <w:szCs w:val="24"/>
          <w:shd w:val="clear" w:color="auto" w:fill="FFFFFF"/>
        </w:rPr>
        <w:footnoteReference w:id="9"/>
      </w:r>
      <w:r w:rsidR="008213E0">
        <w:rPr>
          <w:rFonts w:ascii="Times New Roman" w:hAnsi="Times New Roman" w:cs="Times New Roman"/>
          <w:noProof/>
          <w:color w:val="333333"/>
          <w:sz w:val="24"/>
          <w:szCs w:val="24"/>
          <w:shd w:val="clear" w:color="auto" w:fill="FFFFFF"/>
        </w:rPr>
        <w:t xml:space="preserve"> </w:t>
      </w:r>
      <w:r w:rsidR="00CB6C1B">
        <w:rPr>
          <w:rFonts w:ascii="Times New Roman" w:hAnsi="Times New Roman" w:cs="Times New Roman"/>
          <w:noProof/>
          <w:color w:val="333333"/>
          <w:sz w:val="24"/>
          <w:szCs w:val="24"/>
          <w:shd w:val="clear" w:color="auto" w:fill="FFFFFF"/>
        </w:rPr>
        <w:t xml:space="preserve">is </w:t>
      </w:r>
      <w:r w:rsidR="001C4B86">
        <w:rPr>
          <w:rFonts w:ascii="Times New Roman" w:hAnsi="Times New Roman" w:cs="Times New Roman"/>
          <w:noProof/>
          <w:color w:val="333333"/>
          <w:sz w:val="24"/>
          <w:szCs w:val="24"/>
          <w:shd w:val="clear" w:color="auto" w:fill="FFFFFF"/>
        </w:rPr>
        <w:t xml:space="preserve">currently </w:t>
      </w:r>
      <w:r w:rsidR="00CB6C1B">
        <w:rPr>
          <w:rFonts w:ascii="Times New Roman" w:hAnsi="Times New Roman" w:cs="Times New Roman"/>
          <w:noProof/>
          <w:color w:val="333333"/>
          <w:sz w:val="24"/>
          <w:szCs w:val="24"/>
          <w:shd w:val="clear" w:color="auto" w:fill="FFFFFF"/>
        </w:rPr>
        <w:t xml:space="preserve">developing </w:t>
      </w:r>
      <w:r w:rsidR="001C4B86">
        <w:rPr>
          <w:rFonts w:ascii="Times New Roman" w:hAnsi="Times New Roman" w:cs="Times New Roman"/>
          <w:noProof/>
          <w:color w:val="333333"/>
          <w:sz w:val="24"/>
          <w:szCs w:val="24"/>
          <w:shd w:val="clear" w:color="auto" w:fill="FFFFFF"/>
        </w:rPr>
        <w:t>its first</w:t>
      </w:r>
      <w:r w:rsidR="00CB6C1B">
        <w:rPr>
          <w:rFonts w:ascii="Times New Roman" w:hAnsi="Times New Roman" w:cs="Times New Roman"/>
          <w:noProof/>
          <w:color w:val="333333"/>
          <w:sz w:val="24"/>
          <w:szCs w:val="24"/>
          <w:shd w:val="clear" w:color="auto" w:fill="FFFFFF"/>
        </w:rPr>
        <w:t xml:space="preserve"> pan-European payment solution. </w:t>
      </w:r>
      <w:r w:rsidR="006F64C8">
        <w:rPr>
          <w:rFonts w:ascii="Times New Roman" w:hAnsi="Times New Roman" w:cs="Times New Roman"/>
          <w:noProof/>
          <w:color w:val="333333"/>
          <w:sz w:val="24"/>
          <w:szCs w:val="24"/>
          <w:shd w:val="clear" w:color="auto" w:fill="FFFFFF"/>
        </w:rPr>
        <w:t>A</w:t>
      </w:r>
      <w:r w:rsidR="004D7E89">
        <w:rPr>
          <w:rFonts w:ascii="Times New Roman" w:hAnsi="Times New Roman" w:cs="Times New Roman"/>
          <w:noProof/>
          <w:color w:val="333333"/>
          <w:sz w:val="24"/>
          <w:szCs w:val="24"/>
          <w:shd w:val="clear" w:color="auto" w:fill="FFFFFF"/>
        </w:rPr>
        <w:t>nticipated cost reductions for merchants from new cheaper payment means</w:t>
      </w:r>
      <w:r w:rsidR="006F64C8">
        <w:rPr>
          <w:rFonts w:ascii="Times New Roman" w:hAnsi="Times New Roman" w:cs="Times New Roman"/>
          <w:noProof/>
          <w:color w:val="333333"/>
          <w:sz w:val="24"/>
          <w:szCs w:val="24"/>
          <w:shd w:val="clear" w:color="auto" w:fill="FFFFFF"/>
        </w:rPr>
        <w:t xml:space="preserve">, </w:t>
      </w:r>
      <w:r w:rsidR="00C44F87">
        <w:rPr>
          <w:rFonts w:ascii="Times New Roman" w:hAnsi="Times New Roman" w:cs="Times New Roman"/>
          <w:noProof/>
          <w:color w:val="333333"/>
          <w:sz w:val="24"/>
          <w:szCs w:val="24"/>
          <w:shd w:val="clear" w:color="auto" w:fill="FFFFFF"/>
        </w:rPr>
        <w:t>for example based on OB</w:t>
      </w:r>
      <w:r w:rsidR="006F64C8">
        <w:rPr>
          <w:rFonts w:ascii="Times New Roman" w:hAnsi="Times New Roman" w:cs="Times New Roman"/>
          <w:noProof/>
          <w:color w:val="333333"/>
          <w:sz w:val="24"/>
          <w:szCs w:val="24"/>
          <w:shd w:val="clear" w:color="auto" w:fill="FFFFFF"/>
        </w:rPr>
        <w:t xml:space="preserve">, </w:t>
      </w:r>
      <w:r w:rsidR="004D7E89">
        <w:rPr>
          <w:rFonts w:ascii="Times New Roman" w:hAnsi="Times New Roman" w:cs="Times New Roman"/>
          <w:noProof/>
          <w:color w:val="333333"/>
          <w:sz w:val="24"/>
          <w:szCs w:val="24"/>
          <w:shd w:val="clear" w:color="auto" w:fill="FFFFFF"/>
        </w:rPr>
        <w:t xml:space="preserve">have </w:t>
      </w:r>
      <w:r w:rsidR="00B67342">
        <w:rPr>
          <w:rFonts w:ascii="Times New Roman" w:hAnsi="Times New Roman" w:cs="Times New Roman"/>
          <w:noProof/>
          <w:color w:val="333333"/>
          <w:sz w:val="24"/>
          <w:szCs w:val="24"/>
          <w:shd w:val="clear" w:color="auto" w:fill="FFFFFF"/>
        </w:rPr>
        <w:t xml:space="preserve">not </w:t>
      </w:r>
      <w:r w:rsidR="008213E0">
        <w:rPr>
          <w:rFonts w:ascii="Times New Roman" w:hAnsi="Times New Roman" w:cs="Times New Roman"/>
          <w:noProof/>
          <w:color w:val="333333"/>
          <w:sz w:val="24"/>
          <w:szCs w:val="24"/>
          <w:shd w:val="clear" w:color="auto" w:fill="FFFFFF"/>
        </w:rPr>
        <w:t xml:space="preserve">yet </w:t>
      </w:r>
      <w:r w:rsidR="00B67342">
        <w:rPr>
          <w:rFonts w:ascii="Times New Roman" w:hAnsi="Times New Roman" w:cs="Times New Roman"/>
          <w:noProof/>
          <w:color w:val="333333"/>
          <w:sz w:val="24"/>
          <w:szCs w:val="24"/>
          <w:shd w:val="clear" w:color="auto" w:fill="FFFFFF"/>
        </w:rPr>
        <w:t xml:space="preserve">fully </w:t>
      </w:r>
      <w:r w:rsidR="004D7E89">
        <w:rPr>
          <w:rFonts w:ascii="Times New Roman" w:hAnsi="Times New Roman" w:cs="Times New Roman"/>
          <w:noProof/>
          <w:color w:val="333333"/>
          <w:sz w:val="24"/>
          <w:szCs w:val="24"/>
          <w:shd w:val="clear" w:color="auto" w:fill="FFFFFF"/>
        </w:rPr>
        <w:t>materialise</w:t>
      </w:r>
      <w:r w:rsidR="00B67342">
        <w:rPr>
          <w:rFonts w:ascii="Times New Roman" w:hAnsi="Times New Roman" w:cs="Times New Roman"/>
          <w:noProof/>
          <w:color w:val="333333"/>
          <w:sz w:val="24"/>
          <w:szCs w:val="24"/>
          <w:shd w:val="clear" w:color="auto" w:fill="FFFFFF"/>
        </w:rPr>
        <w:t>d</w:t>
      </w:r>
      <w:r w:rsidR="004D7E89">
        <w:rPr>
          <w:rFonts w:ascii="Times New Roman" w:hAnsi="Times New Roman" w:cs="Times New Roman"/>
          <w:noProof/>
          <w:color w:val="333333"/>
          <w:sz w:val="24"/>
          <w:szCs w:val="24"/>
          <w:shd w:val="clear" w:color="auto" w:fill="FFFFFF"/>
        </w:rPr>
        <w:t>.</w:t>
      </w:r>
      <w:r w:rsidR="00C44F87">
        <w:rPr>
          <w:rFonts w:ascii="Times New Roman" w:hAnsi="Times New Roman" w:cs="Times New Roman"/>
          <w:noProof/>
          <w:color w:val="333333"/>
          <w:sz w:val="24"/>
          <w:szCs w:val="24"/>
          <w:shd w:val="clear" w:color="auto" w:fill="FFFFFF"/>
        </w:rPr>
        <w:t xml:space="preserve"> Overall, the </w:t>
      </w:r>
      <w:r w:rsidR="00BC2B26">
        <w:rPr>
          <w:rFonts w:ascii="Times New Roman" w:hAnsi="Times New Roman" w:cs="Times New Roman"/>
          <w:noProof/>
          <w:color w:val="333333"/>
          <w:sz w:val="24"/>
          <w:szCs w:val="24"/>
          <w:shd w:val="clear" w:color="auto" w:fill="FFFFFF"/>
        </w:rPr>
        <w:t>e</w:t>
      </w:r>
      <w:r w:rsidR="00C44F87">
        <w:rPr>
          <w:rFonts w:ascii="Times New Roman" w:hAnsi="Times New Roman" w:cs="Times New Roman"/>
          <w:noProof/>
          <w:color w:val="333333"/>
          <w:sz w:val="24"/>
          <w:szCs w:val="24"/>
          <w:shd w:val="clear" w:color="auto" w:fill="FFFFFF"/>
        </w:rPr>
        <w:t>valuation concludes that</w:t>
      </w:r>
      <w:r w:rsidR="00C44F87" w:rsidRPr="00C44F87">
        <w:rPr>
          <w:rFonts w:ascii="Times New Roman" w:hAnsi="Times New Roman" w:cs="Times New Roman"/>
          <w:noProof/>
          <w:color w:val="333333"/>
          <w:sz w:val="24"/>
          <w:szCs w:val="24"/>
          <w:shd w:val="clear" w:color="auto" w:fill="FFFFFF"/>
        </w:rPr>
        <w:t xml:space="preserve"> despite certain shortcomings the current PSD2 framework has enabled progress towards its objectives.</w:t>
      </w:r>
    </w:p>
    <w:p w14:paraId="38631CDC" w14:textId="13DAB15D" w:rsidR="00B66BD7" w:rsidRPr="008F1AFF" w:rsidRDefault="00B66BD7"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cs="Times New Roman"/>
          <w:noProof/>
          <w:color w:val="333333"/>
          <w:sz w:val="24"/>
          <w:szCs w:val="24"/>
          <w:shd w:val="clear" w:color="auto" w:fill="FFFFFF"/>
        </w:rPr>
        <w:t>These and other issues are treated in more detail in section 3 below</w:t>
      </w:r>
      <w:r w:rsidR="00166B52">
        <w:rPr>
          <w:rFonts w:ascii="Times New Roman" w:hAnsi="Times New Roman" w:cs="Times New Roman"/>
          <w:noProof/>
          <w:color w:val="333333"/>
          <w:sz w:val="24"/>
          <w:szCs w:val="24"/>
          <w:shd w:val="clear" w:color="auto" w:fill="FFFFFF"/>
        </w:rPr>
        <w:t>, which includes the issues highlighted in article 108 of PSD2</w:t>
      </w:r>
      <w:r w:rsidR="007D72B7">
        <w:rPr>
          <w:rFonts w:ascii="Times New Roman" w:hAnsi="Times New Roman" w:cs="Times New Roman"/>
          <w:noProof/>
          <w:color w:val="333333"/>
          <w:sz w:val="24"/>
          <w:szCs w:val="24"/>
          <w:shd w:val="clear" w:color="auto" w:fill="FFFFFF"/>
        </w:rPr>
        <w:t xml:space="preserve"> and summarises the outcome of the review of PSD2 more generally</w:t>
      </w:r>
      <w:r>
        <w:rPr>
          <w:rFonts w:ascii="Times New Roman" w:hAnsi="Times New Roman" w:cs="Times New Roman"/>
          <w:noProof/>
          <w:color w:val="333333"/>
          <w:sz w:val="24"/>
          <w:szCs w:val="24"/>
          <w:shd w:val="clear" w:color="auto" w:fill="FFFFFF"/>
        </w:rPr>
        <w:t>.</w:t>
      </w:r>
    </w:p>
    <w:p w14:paraId="12C5C7CF" w14:textId="03C46D15" w:rsidR="000C59FD" w:rsidRDefault="000C59FD" w:rsidP="00BD71BE">
      <w:pPr>
        <w:pStyle w:val="Heading1"/>
        <w:numPr>
          <w:ilvl w:val="0"/>
          <w:numId w:val="3"/>
        </w:numPr>
        <w:spacing w:before="120" w:after="120" w:line="240" w:lineRule="auto"/>
        <w:jc w:val="both"/>
        <w:rPr>
          <w:rStyle w:val="Hyperlink"/>
          <w:rFonts w:ascii="Times New Roman" w:hAnsi="Times New Roman" w:cs="Times New Roman"/>
          <w:b/>
          <w:noProof/>
          <w:color w:val="auto"/>
          <w:sz w:val="24"/>
          <w:szCs w:val="24"/>
        </w:rPr>
      </w:pPr>
      <w:bookmarkStart w:id="14" w:name="_Toc138066878"/>
      <w:bookmarkStart w:id="15" w:name="_Toc52294928"/>
      <w:bookmarkStart w:id="16" w:name="_Toc52302091"/>
      <w:bookmarkStart w:id="17" w:name="_Toc52901488"/>
      <w:bookmarkStart w:id="18" w:name="_Toc52909769"/>
      <w:r w:rsidRPr="00BE786A">
        <w:rPr>
          <w:rStyle w:val="Hyperlink"/>
          <w:rFonts w:ascii="Times New Roman" w:hAnsi="Times New Roman" w:cs="Times New Roman"/>
          <w:b/>
          <w:bCs/>
          <w:noProof/>
          <w:color w:val="auto"/>
          <w:sz w:val="24"/>
          <w:szCs w:val="24"/>
          <w:u w:val="none"/>
        </w:rPr>
        <w:t>S</w:t>
      </w:r>
      <w:r w:rsidR="002660A8">
        <w:rPr>
          <w:rStyle w:val="Hyperlink"/>
          <w:rFonts w:ascii="Times New Roman" w:hAnsi="Times New Roman" w:cs="Times New Roman"/>
          <w:b/>
          <w:bCs/>
          <w:noProof/>
          <w:color w:val="auto"/>
          <w:sz w:val="24"/>
          <w:szCs w:val="24"/>
          <w:u w:val="none"/>
        </w:rPr>
        <w:t>PECIFIC ASPECTS OF PSD2</w:t>
      </w:r>
      <w:bookmarkEnd w:id="14"/>
      <w:r w:rsidRPr="0050226D">
        <w:rPr>
          <w:rStyle w:val="Hyperlink"/>
          <w:rFonts w:ascii="Times New Roman" w:hAnsi="Times New Roman" w:cs="Times New Roman"/>
          <w:b/>
          <w:bCs/>
          <w:noProof/>
          <w:color w:val="auto"/>
          <w:sz w:val="24"/>
          <w:szCs w:val="24"/>
        </w:rPr>
        <w:t xml:space="preserve"> </w:t>
      </w:r>
      <w:r w:rsidRPr="0050226D">
        <w:rPr>
          <w:rStyle w:val="Hyperlink"/>
          <w:rFonts w:ascii="Times New Roman" w:hAnsi="Times New Roman" w:cs="Times New Roman"/>
          <w:b/>
          <w:noProof/>
          <w:color w:val="auto"/>
          <w:sz w:val="24"/>
          <w:szCs w:val="24"/>
        </w:rPr>
        <w:t xml:space="preserve"> </w:t>
      </w:r>
      <w:bookmarkStart w:id="19" w:name="_Toc52272628"/>
      <w:bookmarkStart w:id="20" w:name="_Toc52272689"/>
      <w:bookmarkStart w:id="21" w:name="_Toc52272833"/>
      <w:bookmarkStart w:id="22" w:name="_Toc52272863"/>
      <w:bookmarkStart w:id="23" w:name="_Toc52273668"/>
      <w:bookmarkStart w:id="24" w:name="_Toc52273806"/>
      <w:bookmarkStart w:id="25" w:name="_Toc52273854"/>
      <w:bookmarkStart w:id="26" w:name="_Toc52273909"/>
      <w:bookmarkStart w:id="27" w:name="_Toc52274042"/>
      <w:bookmarkStart w:id="28" w:name="_Toc52274136"/>
      <w:bookmarkEnd w:id="15"/>
      <w:bookmarkEnd w:id="16"/>
      <w:bookmarkEnd w:id="17"/>
      <w:bookmarkEnd w:id="18"/>
    </w:p>
    <w:p w14:paraId="5DED1FBD" w14:textId="2B47B115" w:rsidR="002660A8" w:rsidRPr="008010AD" w:rsidRDefault="00E659C9"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29" w:name="_Toc138066879"/>
      <w:bookmarkEnd w:id="19"/>
      <w:bookmarkEnd w:id="20"/>
      <w:bookmarkEnd w:id="21"/>
      <w:bookmarkEnd w:id="22"/>
      <w:bookmarkEnd w:id="23"/>
      <w:bookmarkEnd w:id="24"/>
      <w:bookmarkEnd w:id="25"/>
      <w:bookmarkEnd w:id="26"/>
      <w:bookmarkEnd w:id="27"/>
      <w:bookmarkEnd w:id="28"/>
      <w:r>
        <w:rPr>
          <w:rFonts w:ascii="Times New Roman" w:hAnsi="Times New Roman" w:cs="Times New Roman"/>
          <w:noProof/>
          <w:color w:val="auto"/>
          <w:sz w:val="24"/>
          <w:szCs w:val="24"/>
          <w:u w:val="single"/>
        </w:rPr>
        <w:t>O</w:t>
      </w:r>
      <w:r w:rsidR="00A43211">
        <w:rPr>
          <w:rFonts w:ascii="Times New Roman" w:hAnsi="Times New Roman" w:cs="Times New Roman"/>
          <w:noProof/>
          <w:color w:val="auto"/>
          <w:sz w:val="24"/>
          <w:szCs w:val="24"/>
          <w:u w:val="single"/>
        </w:rPr>
        <w:t>pen banking</w:t>
      </w:r>
      <w:bookmarkEnd w:id="29"/>
    </w:p>
    <w:p w14:paraId="2C60CD6C" w14:textId="2CFF90A5" w:rsidR="00B94B83" w:rsidRDefault="00E659C9" w:rsidP="00BD71BE">
      <w:pPr>
        <w:spacing w:before="120" w:after="120" w:line="240" w:lineRule="auto"/>
        <w:jc w:val="both"/>
        <w:rPr>
          <w:rFonts w:ascii="Times New Roman" w:hAnsi="Times New Roman" w:cs="Times New Roman"/>
          <w:noProof/>
          <w:sz w:val="24"/>
          <w:szCs w:val="24"/>
        </w:rPr>
      </w:pPr>
      <w:bookmarkStart w:id="30" w:name="_Hlk126070994"/>
      <w:r>
        <w:rPr>
          <w:rFonts w:ascii="Times New Roman" w:hAnsi="Times New Roman" w:cs="Times New Roman"/>
          <w:noProof/>
          <w:sz w:val="24"/>
          <w:szCs w:val="24"/>
        </w:rPr>
        <w:t>O</w:t>
      </w:r>
      <w:r w:rsidR="00A43211">
        <w:rPr>
          <w:rFonts w:ascii="Times New Roman" w:hAnsi="Times New Roman" w:cs="Times New Roman"/>
          <w:noProof/>
          <w:sz w:val="24"/>
          <w:szCs w:val="24"/>
        </w:rPr>
        <w:t>pen banking</w:t>
      </w:r>
      <w:r w:rsidR="00CE1D1C" w:rsidRPr="00CE1D1C">
        <w:rPr>
          <w:rFonts w:ascii="Times New Roman" w:hAnsi="Times New Roman" w:cs="Times New Roman"/>
          <w:noProof/>
          <w:sz w:val="24"/>
          <w:szCs w:val="24"/>
        </w:rPr>
        <w:t xml:space="preserve"> (OB) is the term given to the process by which </w:t>
      </w:r>
      <w:r>
        <w:rPr>
          <w:rFonts w:ascii="Times New Roman" w:hAnsi="Times New Roman" w:cs="Times New Roman"/>
          <w:noProof/>
          <w:sz w:val="24"/>
          <w:szCs w:val="24"/>
        </w:rPr>
        <w:t>a</w:t>
      </w:r>
      <w:r w:rsidR="00CE1D1C" w:rsidRPr="00CE1D1C">
        <w:rPr>
          <w:rFonts w:ascii="Times New Roman" w:hAnsi="Times New Roman" w:cs="Times New Roman"/>
          <w:noProof/>
          <w:sz w:val="24"/>
          <w:szCs w:val="24"/>
        </w:rPr>
        <w:t xml:space="preserve">ccount </w:t>
      </w:r>
      <w:r>
        <w:rPr>
          <w:rFonts w:ascii="Times New Roman" w:hAnsi="Times New Roman" w:cs="Times New Roman"/>
          <w:noProof/>
          <w:sz w:val="24"/>
          <w:szCs w:val="24"/>
        </w:rPr>
        <w:t>i</w:t>
      </w:r>
      <w:r w:rsidR="00CE1D1C" w:rsidRPr="00CE1D1C">
        <w:rPr>
          <w:rFonts w:ascii="Times New Roman" w:hAnsi="Times New Roman" w:cs="Times New Roman"/>
          <w:noProof/>
          <w:sz w:val="24"/>
          <w:szCs w:val="24"/>
        </w:rPr>
        <w:t xml:space="preserve">nformation </w:t>
      </w:r>
      <w:r>
        <w:rPr>
          <w:rFonts w:ascii="Times New Roman" w:hAnsi="Times New Roman" w:cs="Times New Roman"/>
          <w:noProof/>
          <w:sz w:val="24"/>
          <w:szCs w:val="24"/>
        </w:rPr>
        <w:t>s</w:t>
      </w:r>
      <w:r w:rsidR="00CE1D1C" w:rsidRPr="00CE1D1C">
        <w:rPr>
          <w:rFonts w:ascii="Times New Roman" w:hAnsi="Times New Roman" w:cs="Times New Roman"/>
          <w:noProof/>
          <w:sz w:val="24"/>
          <w:szCs w:val="24"/>
        </w:rPr>
        <w:t xml:space="preserve">ervice </w:t>
      </w:r>
      <w:r>
        <w:rPr>
          <w:rFonts w:ascii="Times New Roman" w:hAnsi="Times New Roman" w:cs="Times New Roman"/>
          <w:noProof/>
          <w:sz w:val="24"/>
          <w:szCs w:val="24"/>
        </w:rPr>
        <w:t>p</w:t>
      </w:r>
      <w:r w:rsidR="00CE1D1C" w:rsidRPr="00CE1D1C">
        <w:rPr>
          <w:rFonts w:ascii="Times New Roman" w:hAnsi="Times New Roman" w:cs="Times New Roman"/>
          <w:noProof/>
          <w:sz w:val="24"/>
          <w:szCs w:val="24"/>
        </w:rPr>
        <w:t xml:space="preserve">roviders (AISPs) and </w:t>
      </w:r>
      <w:r>
        <w:rPr>
          <w:rFonts w:ascii="Times New Roman" w:hAnsi="Times New Roman" w:cs="Times New Roman"/>
          <w:noProof/>
          <w:sz w:val="24"/>
          <w:szCs w:val="24"/>
        </w:rPr>
        <w:t>p</w:t>
      </w:r>
      <w:r w:rsidR="00CE1D1C" w:rsidRPr="00CE1D1C">
        <w:rPr>
          <w:rFonts w:ascii="Times New Roman" w:hAnsi="Times New Roman" w:cs="Times New Roman"/>
          <w:noProof/>
          <w:sz w:val="24"/>
          <w:szCs w:val="24"/>
        </w:rPr>
        <w:t xml:space="preserve">ayment </w:t>
      </w:r>
      <w:r>
        <w:rPr>
          <w:rFonts w:ascii="Times New Roman" w:hAnsi="Times New Roman" w:cs="Times New Roman"/>
          <w:noProof/>
          <w:sz w:val="24"/>
          <w:szCs w:val="24"/>
        </w:rPr>
        <w:t>i</w:t>
      </w:r>
      <w:r w:rsidR="00CE1D1C" w:rsidRPr="00CE1D1C">
        <w:rPr>
          <w:rFonts w:ascii="Times New Roman" w:hAnsi="Times New Roman" w:cs="Times New Roman"/>
          <w:noProof/>
          <w:sz w:val="24"/>
          <w:szCs w:val="24"/>
        </w:rPr>
        <w:t xml:space="preserve">nitiation </w:t>
      </w:r>
      <w:r>
        <w:rPr>
          <w:rFonts w:ascii="Times New Roman" w:hAnsi="Times New Roman" w:cs="Times New Roman"/>
          <w:noProof/>
          <w:sz w:val="24"/>
          <w:szCs w:val="24"/>
        </w:rPr>
        <w:t>s</w:t>
      </w:r>
      <w:r w:rsidR="00CE1D1C" w:rsidRPr="00CE1D1C">
        <w:rPr>
          <w:rFonts w:ascii="Times New Roman" w:hAnsi="Times New Roman" w:cs="Times New Roman"/>
          <w:noProof/>
          <w:sz w:val="24"/>
          <w:szCs w:val="24"/>
        </w:rPr>
        <w:t xml:space="preserve">ervice </w:t>
      </w:r>
      <w:r>
        <w:rPr>
          <w:rFonts w:ascii="Times New Roman" w:hAnsi="Times New Roman" w:cs="Times New Roman"/>
          <w:noProof/>
          <w:sz w:val="24"/>
          <w:szCs w:val="24"/>
        </w:rPr>
        <w:t>p</w:t>
      </w:r>
      <w:r w:rsidR="00CE1D1C" w:rsidRPr="00CE1D1C">
        <w:rPr>
          <w:rFonts w:ascii="Times New Roman" w:hAnsi="Times New Roman" w:cs="Times New Roman"/>
          <w:noProof/>
          <w:sz w:val="24"/>
          <w:szCs w:val="24"/>
        </w:rPr>
        <w:t xml:space="preserve">roviders (PISPs), collectively known as </w:t>
      </w:r>
      <w:r>
        <w:rPr>
          <w:rFonts w:ascii="Times New Roman" w:hAnsi="Times New Roman" w:cs="Times New Roman"/>
          <w:noProof/>
          <w:sz w:val="24"/>
          <w:szCs w:val="24"/>
        </w:rPr>
        <w:t>t</w:t>
      </w:r>
      <w:r w:rsidR="00CE1D1C" w:rsidRPr="00CE1D1C">
        <w:rPr>
          <w:rFonts w:ascii="Times New Roman" w:hAnsi="Times New Roman" w:cs="Times New Roman"/>
          <w:noProof/>
          <w:sz w:val="24"/>
          <w:szCs w:val="24"/>
        </w:rPr>
        <w:t xml:space="preserve">hird </w:t>
      </w:r>
      <w:r>
        <w:rPr>
          <w:rFonts w:ascii="Times New Roman" w:hAnsi="Times New Roman" w:cs="Times New Roman"/>
          <w:noProof/>
          <w:sz w:val="24"/>
          <w:szCs w:val="24"/>
        </w:rPr>
        <w:t>p</w:t>
      </w:r>
      <w:r w:rsidR="00CE1D1C" w:rsidRPr="00CE1D1C">
        <w:rPr>
          <w:rFonts w:ascii="Times New Roman" w:hAnsi="Times New Roman" w:cs="Times New Roman"/>
          <w:noProof/>
          <w:sz w:val="24"/>
          <w:szCs w:val="24"/>
        </w:rPr>
        <w:t xml:space="preserve">arty </w:t>
      </w:r>
      <w:r>
        <w:rPr>
          <w:rFonts w:ascii="Times New Roman" w:hAnsi="Times New Roman" w:cs="Times New Roman"/>
          <w:noProof/>
          <w:sz w:val="24"/>
          <w:szCs w:val="24"/>
        </w:rPr>
        <w:t>p</w:t>
      </w:r>
      <w:r w:rsidR="00CE1D1C" w:rsidRPr="00CE1D1C">
        <w:rPr>
          <w:rFonts w:ascii="Times New Roman" w:hAnsi="Times New Roman" w:cs="Times New Roman"/>
          <w:noProof/>
          <w:sz w:val="24"/>
          <w:szCs w:val="24"/>
        </w:rPr>
        <w:t xml:space="preserve">roviders (TPPs), provide </w:t>
      </w:r>
      <w:r>
        <w:rPr>
          <w:rFonts w:ascii="Times New Roman" w:hAnsi="Times New Roman" w:cs="Times New Roman"/>
          <w:noProof/>
          <w:sz w:val="24"/>
          <w:szCs w:val="24"/>
        </w:rPr>
        <w:t xml:space="preserve">or facilitate </w:t>
      </w:r>
      <w:r w:rsidR="008213E0">
        <w:rPr>
          <w:rFonts w:ascii="Times New Roman" w:hAnsi="Times New Roman" w:cs="Times New Roman"/>
          <w:noProof/>
          <w:sz w:val="24"/>
          <w:szCs w:val="24"/>
        </w:rPr>
        <w:t>PSD2</w:t>
      </w:r>
      <w:r>
        <w:rPr>
          <w:rFonts w:ascii="Times New Roman" w:hAnsi="Times New Roman" w:cs="Times New Roman"/>
          <w:noProof/>
          <w:sz w:val="24"/>
          <w:szCs w:val="24"/>
        </w:rPr>
        <w:t>-</w:t>
      </w:r>
      <w:r w:rsidR="008213E0">
        <w:rPr>
          <w:rFonts w:ascii="Times New Roman" w:hAnsi="Times New Roman" w:cs="Times New Roman"/>
          <w:noProof/>
          <w:sz w:val="24"/>
          <w:szCs w:val="24"/>
        </w:rPr>
        <w:t xml:space="preserve">regulated </w:t>
      </w:r>
      <w:r w:rsidR="00CE1D1C" w:rsidRPr="00CE1D1C">
        <w:rPr>
          <w:rFonts w:ascii="Times New Roman" w:hAnsi="Times New Roman" w:cs="Times New Roman"/>
          <w:noProof/>
          <w:sz w:val="24"/>
          <w:szCs w:val="24"/>
        </w:rPr>
        <w:t>services to users b</w:t>
      </w:r>
      <w:r w:rsidR="008213E0">
        <w:rPr>
          <w:rFonts w:ascii="Times New Roman" w:hAnsi="Times New Roman" w:cs="Times New Roman"/>
          <w:noProof/>
          <w:sz w:val="24"/>
          <w:szCs w:val="24"/>
        </w:rPr>
        <w:t xml:space="preserve">ased on </w:t>
      </w:r>
      <w:r w:rsidR="00CE1D1C" w:rsidRPr="00CE1D1C">
        <w:rPr>
          <w:rFonts w:ascii="Times New Roman" w:hAnsi="Times New Roman" w:cs="Times New Roman"/>
          <w:noProof/>
          <w:sz w:val="24"/>
          <w:szCs w:val="24"/>
        </w:rPr>
        <w:t xml:space="preserve">accessing – </w:t>
      </w:r>
      <w:r w:rsidR="00CA2F65">
        <w:rPr>
          <w:rFonts w:ascii="Times New Roman" w:hAnsi="Times New Roman" w:cs="Times New Roman"/>
          <w:noProof/>
          <w:sz w:val="24"/>
          <w:szCs w:val="24"/>
        </w:rPr>
        <w:t>upon</w:t>
      </w:r>
      <w:r w:rsidR="00CE1D1C" w:rsidRPr="00CE1D1C">
        <w:rPr>
          <w:rFonts w:ascii="Times New Roman" w:hAnsi="Times New Roman" w:cs="Times New Roman"/>
          <w:noProof/>
          <w:sz w:val="24"/>
          <w:szCs w:val="24"/>
        </w:rPr>
        <w:t xml:space="preserve"> user </w:t>
      </w:r>
      <w:r w:rsidR="00CA2F65">
        <w:rPr>
          <w:rFonts w:ascii="Times New Roman" w:hAnsi="Times New Roman" w:cs="Times New Roman"/>
          <w:noProof/>
          <w:sz w:val="24"/>
          <w:szCs w:val="24"/>
        </w:rPr>
        <w:t>request</w:t>
      </w:r>
      <w:r w:rsidR="00CE1D1C" w:rsidRPr="00CE1D1C">
        <w:rPr>
          <w:rFonts w:ascii="Times New Roman" w:hAnsi="Times New Roman" w:cs="Times New Roman"/>
          <w:noProof/>
          <w:sz w:val="24"/>
          <w:szCs w:val="24"/>
        </w:rPr>
        <w:t xml:space="preserve"> - their account data held by </w:t>
      </w:r>
      <w:r w:rsidR="00F87C0A" w:rsidRPr="00CE1D1C">
        <w:rPr>
          <w:rFonts w:ascii="Times New Roman" w:hAnsi="Times New Roman" w:cs="Times New Roman"/>
          <w:noProof/>
          <w:sz w:val="24"/>
          <w:szCs w:val="24"/>
        </w:rPr>
        <w:t>account servicing payment service provider</w:t>
      </w:r>
      <w:r w:rsidR="00F87C0A">
        <w:rPr>
          <w:rFonts w:ascii="Times New Roman" w:hAnsi="Times New Roman" w:cs="Times New Roman"/>
          <w:noProof/>
          <w:sz w:val="24"/>
          <w:szCs w:val="24"/>
        </w:rPr>
        <w:t>s</w:t>
      </w:r>
      <w:r w:rsidR="00F87C0A" w:rsidRPr="00CE1D1C">
        <w:rPr>
          <w:rFonts w:ascii="Times New Roman" w:hAnsi="Times New Roman" w:cs="Times New Roman"/>
          <w:noProof/>
          <w:sz w:val="24"/>
          <w:szCs w:val="24"/>
        </w:rPr>
        <w:t xml:space="preserve"> (ASPSP</w:t>
      </w:r>
      <w:r w:rsidR="007B3145">
        <w:rPr>
          <w:rFonts w:ascii="Times New Roman" w:hAnsi="Times New Roman" w:cs="Times New Roman"/>
          <w:noProof/>
          <w:sz w:val="24"/>
          <w:szCs w:val="24"/>
        </w:rPr>
        <w:t>s</w:t>
      </w:r>
      <w:r w:rsidR="006F64C8">
        <w:rPr>
          <w:rFonts w:ascii="Times New Roman" w:hAnsi="Times New Roman" w:cs="Times New Roman"/>
          <w:noProof/>
          <w:sz w:val="24"/>
          <w:szCs w:val="24"/>
        </w:rPr>
        <w:t>)</w:t>
      </w:r>
      <w:r w:rsidR="00F87C0A">
        <w:rPr>
          <w:rFonts w:ascii="Times New Roman" w:hAnsi="Times New Roman" w:cs="Times New Roman"/>
          <w:noProof/>
          <w:sz w:val="24"/>
          <w:szCs w:val="24"/>
        </w:rPr>
        <w:t>.</w:t>
      </w:r>
      <w:bookmarkEnd w:id="30"/>
      <w:r w:rsidR="00CE1D1C" w:rsidRPr="00CE1D1C">
        <w:rPr>
          <w:rFonts w:ascii="Times New Roman" w:hAnsi="Times New Roman" w:cs="Times New Roman"/>
          <w:noProof/>
          <w:sz w:val="24"/>
          <w:szCs w:val="24"/>
        </w:rPr>
        <w:t xml:space="preserve"> Although </w:t>
      </w:r>
      <w:r w:rsidR="00A43211">
        <w:rPr>
          <w:rFonts w:ascii="Times New Roman" w:hAnsi="Times New Roman" w:cs="Times New Roman"/>
          <w:noProof/>
          <w:sz w:val="24"/>
          <w:szCs w:val="24"/>
        </w:rPr>
        <w:t>open banking</w:t>
      </w:r>
      <w:r w:rsidR="00B67342">
        <w:rPr>
          <w:rFonts w:ascii="Times New Roman" w:hAnsi="Times New Roman" w:cs="Times New Roman"/>
          <w:noProof/>
          <w:sz w:val="24"/>
          <w:szCs w:val="24"/>
        </w:rPr>
        <w:t xml:space="preserve"> </w:t>
      </w:r>
      <w:r w:rsidR="00CE1D1C" w:rsidRPr="00CE1D1C">
        <w:rPr>
          <w:rFonts w:ascii="Times New Roman" w:hAnsi="Times New Roman" w:cs="Times New Roman"/>
          <w:noProof/>
          <w:sz w:val="24"/>
          <w:szCs w:val="24"/>
        </w:rPr>
        <w:t xml:space="preserve">existed </w:t>
      </w:r>
      <w:r w:rsidR="008213E0">
        <w:rPr>
          <w:rFonts w:ascii="Times New Roman" w:hAnsi="Times New Roman" w:cs="Times New Roman"/>
          <w:noProof/>
          <w:sz w:val="24"/>
          <w:szCs w:val="24"/>
        </w:rPr>
        <w:t xml:space="preserve">in the EU </w:t>
      </w:r>
      <w:r w:rsidR="00CE1D1C" w:rsidRPr="00CE1D1C">
        <w:rPr>
          <w:rFonts w:ascii="Times New Roman" w:hAnsi="Times New Roman" w:cs="Times New Roman"/>
          <w:noProof/>
          <w:sz w:val="24"/>
          <w:szCs w:val="24"/>
        </w:rPr>
        <w:t xml:space="preserve">before PSD2, </w:t>
      </w:r>
      <w:r w:rsidR="00B67342">
        <w:rPr>
          <w:rFonts w:ascii="Times New Roman" w:hAnsi="Times New Roman" w:cs="Times New Roman"/>
          <w:noProof/>
          <w:sz w:val="24"/>
          <w:szCs w:val="24"/>
        </w:rPr>
        <w:t xml:space="preserve">TPPs </w:t>
      </w:r>
      <w:r w:rsidR="00CE1D1C" w:rsidRPr="00CE1D1C">
        <w:rPr>
          <w:rFonts w:ascii="Times New Roman" w:hAnsi="Times New Roman" w:cs="Times New Roman"/>
          <w:noProof/>
          <w:sz w:val="24"/>
          <w:szCs w:val="24"/>
        </w:rPr>
        <w:t>operated in a</w:t>
      </w:r>
      <w:r w:rsidR="00B67342">
        <w:rPr>
          <w:rFonts w:ascii="Times New Roman" w:hAnsi="Times New Roman" w:cs="Times New Roman"/>
          <w:noProof/>
          <w:sz w:val="24"/>
          <w:szCs w:val="24"/>
        </w:rPr>
        <w:t xml:space="preserve"> largely </w:t>
      </w:r>
      <w:r w:rsidR="00CE1D1C" w:rsidRPr="00CE1D1C">
        <w:rPr>
          <w:rFonts w:ascii="Times New Roman" w:hAnsi="Times New Roman" w:cs="Times New Roman"/>
          <w:noProof/>
          <w:sz w:val="24"/>
          <w:szCs w:val="24"/>
        </w:rPr>
        <w:t xml:space="preserve">unregulated </w:t>
      </w:r>
      <w:r w:rsidR="00C06779">
        <w:rPr>
          <w:rFonts w:ascii="Times New Roman" w:hAnsi="Times New Roman" w:cs="Times New Roman"/>
          <w:noProof/>
          <w:sz w:val="24"/>
          <w:szCs w:val="24"/>
        </w:rPr>
        <w:t xml:space="preserve">environment. </w:t>
      </w:r>
      <w:r w:rsidR="00CE1D1C" w:rsidRPr="00CE1D1C">
        <w:rPr>
          <w:rFonts w:ascii="Times New Roman" w:hAnsi="Times New Roman" w:cs="Times New Roman"/>
          <w:noProof/>
          <w:sz w:val="24"/>
          <w:szCs w:val="24"/>
        </w:rPr>
        <w:t xml:space="preserve">PSD2 gave </w:t>
      </w:r>
      <w:r w:rsidR="00B67342">
        <w:rPr>
          <w:rFonts w:ascii="Times New Roman" w:hAnsi="Times New Roman" w:cs="Times New Roman"/>
          <w:noProof/>
          <w:sz w:val="24"/>
          <w:szCs w:val="24"/>
        </w:rPr>
        <w:t xml:space="preserve">OB </w:t>
      </w:r>
      <w:r w:rsidR="00CE1D1C" w:rsidRPr="00CE1D1C">
        <w:rPr>
          <w:rFonts w:ascii="Times New Roman" w:hAnsi="Times New Roman" w:cs="Times New Roman"/>
          <w:noProof/>
          <w:sz w:val="24"/>
          <w:szCs w:val="24"/>
        </w:rPr>
        <w:t xml:space="preserve">a </w:t>
      </w:r>
      <w:r w:rsidR="00B67342">
        <w:rPr>
          <w:rFonts w:ascii="Times New Roman" w:hAnsi="Times New Roman" w:cs="Times New Roman"/>
          <w:noProof/>
          <w:sz w:val="24"/>
          <w:szCs w:val="24"/>
        </w:rPr>
        <w:t xml:space="preserve">stable </w:t>
      </w:r>
      <w:r w:rsidR="00CE1D1C" w:rsidRPr="00CE1D1C">
        <w:rPr>
          <w:rFonts w:ascii="Times New Roman" w:hAnsi="Times New Roman" w:cs="Times New Roman"/>
          <w:noProof/>
          <w:sz w:val="24"/>
          <w:szCs w:val="24"/>
        </w:rPr>
        <w:t>regulatory framework</w:t>
      </w:r>
      <w:r w:rsidR="00C06779">
        <w:rPr>
          <w:rFonts w:ascii="Times New Roman" w:hAnsi="Times New Roman" w:cs="Times New Roman"/>
          <w:noProof/>
          <w:sz w:val="24"/>
          <w:szCs w:val="24"/>
        </w:rPr>
        <w:t>,</w:t>
      </w:r>
      <w:r w:rsidR="007D72B7">
        <w:rPr>
          <w:rFonts w:ascii="Times New Roman" w:hAnsi="Times New Roman" w:cs="Times New Roman"/>
          <w:noProof/>
          <w:sz w:val="24"/>
          <w:szCs w:val="24"/>
        </w:rPr>
        <w:t xml:space="preserve"> with safeguards for users</w:t>
      </w:r>
      <w:r w:rsidR="00C06779">
        <w:rPr>
          <w:rFonts w:ascii="Times New Roman" w:hAnsi="Times New Roman" w:cs="Times New Roman"/>
          <w:noProof/>
          <w:sz w:val="24"/>
          <w:szCs w:val="24"/>
        </w:rPr>
        <w:t xml:space="preserve">. It </w:t>
      </w:r>
      <w:r w:rsidR="00CE1D1C" w:rsidRPr="00CE1D1C">
        <w:rPr>
          <w:rFonts w:ascii="Times New Roman" w:hAnsi="Times New Roman" w:cs="Times New Roman"/>
          <w:noProof/>
          <w:sz w:val="24"/>
          <w:szCs w:val="24"/>
        </w:rPr>
        <w:t xml:space="preserve">imposed an obligation on </w:t>
      </w:r>
      <w:r w:rsidR="00F87C0A">
        <w:rPr>
          <w:rFonts w:ascii="Times New Roman" w:hAnsi="Times New Roman" w:cs="Times New Roman"/>
          <w:noProof/>
          <w:sz w:val="24"/>
          <w:szCs w:val="24"/>
        </w:rPr>
        <w:t xml:space="preserve">ASPSPs </w:t>
      </w:r>
      <w:r w:rsidR="00CE1D1C" w:rsidRPr="00CE1D1C">
        <w:rPr>
          <w:rFonts w:ascii="Times New Roman" w:hAnsi="Times New Roman" w:cs="Times New Roman"/>
          <w:noProof/>
          <w:sz w:val="24"/>
          <w:szCs w:val="24"/>
        </w:rPr>
        <w:t xml:space="preserve">to facilitate </w:t>
      </w:r>
      <w:r w:rsidR="008213E0">
        <w:rPr>
          <w:rFonts w:ascii="Times New Roman" w:hAnsi="Times New Roman" w:cs="Times New Roman"/>
          <w:noProof/>
          <w:sz w:val="24"/>
          <w:szCs w:val="24"/>
        </w:rPr>
        <w:t xml:space="preserve">TPP </w:t>
      </w:r>
      <w:r w:rsidR="00CE1D1C" w:rsidRPr="00CE1D1C">
        <w:rPr>
          <w:rFonts w:ascii="Times New Roman" w:hAnsi="Times New Roman" w:cs="Times New Roman"/>
          <w:noProof/>
          <w:sz w:val="24"/>
          <w:szCs w:val="24"/>
        </w:rPr>
        <w:t xml:space="preserve">access to payments data without any </w:t>
      </w:r>
      <w:r w:rsidR="008213E0">
        <w:rPr>
          <w:rFonts w:ascii="Times New Roman" w:hAnsi="Times New Roman" w:cs="Times New Roman"/>
          <w:noProof/>
          <w:sz w:val="24"/>
          <w:szCs w:val="24"/>
        </w:rPr>
        <w:t xml:space="preserve">mandatory </w:t>
      </w:r>
      <w:r w:rsidR="00CE1D1C" w:rsidRPr="00CE1D1C">
        <w:rPr>
          <w:rFonts w:ascii="Times New Roman" w:hAnsi="Times New Roman" w:cs="Times New Roman"/>
          <w:noProof/>
          <w:sz w:val="24"/>
          <w:szCs w:val="24"/>
        </w:rPr>
        <w:t>contractual obligations</w:t>
      </w:r>
      <w:r>
        <w:rPr>
          <w:rFonts w:ascii="Times New Roman" w:hAnsi="Times New Roman" w:cs="Times New Roman"/>
          <w:noProof/>
          <w:sz w:val="24"/>
          <w:szCs w:val="24"/>
        </w:rPr>
        <w:t>,</w:t>
      </w:r>
      <w:r w:rsidR="00CE1D1C" w:rsidRPr="00CE1D1C">
        <w:rPr>
          <w:rFonts w:ascii="Times New Roman" w:hAnsi="Times New Roman" w:cs="Times New Roman"/>
          <w:noProof/>
          <w:sz w:val="24"/>
          <w:szCs w:val="24"/>
        </w:rPr>
        <w:t xml:space="preserve"> with the objective of stimulating the development of OB</w:t>
      </w:r>
      <w:r w:rsidR="00FF1A63" w:rsidRPr="00FF1A63">
        <w:rPr>
          <w:rFonts w:ascii="Times New Roman" w:hAnsi="Times New Roman" w:cs="Times New Roman"/>
          <w:noProof/>
          <w:sz w:val="24"/>
          <w:szCs w:val="24"/>
        </w:rPr>
        <w:t xml:space="preserve">, while </w:t>
      </w:r>
      <w:r w:rsidR="00FF1A63">
        <w:rPr>
          <w:rFonts w:ascii="Times New Roman" w:hAnsi="Times New Roman" w:cs="Times New Roman"/>
          <w:noProof/>
          <w:sz w:val="24"/>
          <w:szCs w:val="24"/>
        </w:rPr>
        <w:t>laying down</w:t>
      </w:r>
      <w:r w:rsidR="00FF1A63" w:rsidRPr="00FF1A63">
        <w:rPr>
          <w:rFonts w:ascii="Times New Roman" w:hAnsi="Times New Roman" w:cs="Times New Roman"/>
          <w:noProof/>
          <w:sz w:val="24"/>
          <w:szCs w:val="24"/>
        </w:rPr>
        <w:t xml:space="preserve"> measures to provide greater security and protection to users.</w:t>
      </w:r>
      <w:r w:rsidR="00F87C0A">
        <w:rPr>
          <w:rFonts w:ascii="Times New Roman" w:hAnsi="Times New Roman" w:cs="Times New Roman"/>
          <w:noProof/>
          <w:sz w:val="24"/>
          <w:szCs w:val="24"/>
        </w:rPr>
        <w:t xml:space="preserve"> </w:t>
      </w:r>
    </w:p>
    <w:p w14:paraId="17CA827C" w14:textId="500B968B" w:rsidR="00F87C0A" w:rsidRDefault="007D72B7"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w:t>
      </w:r>
      <w:r w:rsidR="0022778D">
        <w:rPr>
          <w:rFonts w:ascii="Times New Roman" w:hAnsi="Times New Roman" w:cs="Times New Roman"/>
          <w:noProof/>
          <w:sz w:val="24"/>
          <w:szCs w:val="24"/>
        </w:rPr>
        <w:t xml:space="preserve">a growth trend </w:t>
      </w:r>
      <w:r w:rsidR="00E659C9">
        <w:rPr>
          <w:rFonts w:ascii="Times New Roman" w:hAnsi="Times New Roman" w:cs="Times New Roman"/>
          <w:noProof/>
          <w:sz w:val="24"/>
          <w:szCs w:val="24"/>
        </w:rPr>
        <w:t xml:space="preserve">in OB </w:t>
      </w:r>
      <w:r w:rsidR="0022778D">
        <w:rPr>
          <w:rFonts w:ascii="Times New Roman" w:hAnsi="Times New Roman" w:cs="Times New Roman"/>
          <w:noProof/>
          <w:sz w:val="24"/>
          <w:szCs w:val="24"/>
        </w:rPr>
        <w:t xml:space="preserve">could </w:t>
      </w:r>
      <w:r w:rsidR="00C06779">
        <w:rPr>
          <w:rFonts w:ascii="Times New Roman" w:hAnsi="Times New Roman" w:cs="Times New Roman"/>
          <w:noProof/>
          <w:sz w:val="24"/>
          <w:szCs w:val="24"/>
        </w:rPr>
        <w:t xml:space="preserve">already </w:t>
      </w:r>
      <w:r w:rsidR="0022778D">
        <w:rPr>
          <w:rFonts w:ascii="Times New Roman" w:hAnsi="Times New Roman" w:cs="Times New Roman"/>
          <w:noProof/>
          <w:sz w:val="24"/>
          <w:szCs w:val="24"/>
        </w:rPr>
        <w:t xml:space="preserve">be observed prior </w:t>
      </w:r>
      <w:r>
        <w:rPr>
          <w:rFonts w:ascii="Times New Roman" w:hAnsi="Times New Roman" w:cs="Times New Roman"/>
          <w:noProof/>
          <w:sz w:val="24"/>
          <w:szCs w:val="24"/>
        </w:rPr>
        <w:t xml:space="preserve">to </w:t>
      </w:r>
      <w:r w:rsidR="0022778D">
        <w:rPr>
          <w:rFonts w:ascii="Times New Roman" w:hAnsi="Times New Roman" w:cs="Times New Roman"/>
          <w:noProof/>
          <w:sz w:val="24"/>
          <w:szCs w:val="24"/>
        </w:rPr>
        <w:t xml:space="preserve">PSD2, the market in OB services has </w:t>
      </w:r>
      <w:r>
        <w:rPr>
          <w:rFonts w:ascii="Times New Roman" w:hAnsi="Times New Roman" w:cs="Times New Roman"/>
          <w:noProof/>
          <w:sz w:val="24"/>
          <w:szCs w:val="24"/>
        </w:rPr>
        <w:t xml:space="preserve">continued to </w:t>
      </w:r>
      <w:r w:rsidR="0022778D">
        <w:rPr>
          <w:rFonts w:ascii="Times New Roman" w:hAnsi="Times New Roman" w:cs="Times New Roman"/>
          <w:noProof/>
          <w:sz w:val="24"/>
          <w:szCs w:val="24"/>
        </w:rPr>
        <w:t>grow since 2018.</w:t>
      </w:r>
      <w:r w:rsidR="00265D7C">
        <w:rPr>
          <w:rFonts w:ascii="Times New Roman" w:hAnsi="Times New Roman" w:cs="Times New Roman"/>
          <w:noProof/>
          <w:sz w:val="24"/>
          <w:szCs w:val="24"/>
        </w:rPr>
        <w:t xml:space="preserve"> </w:t>
      </w:r>
      <w:r w:rsidR="00F87C0A">
        <w:rPr>
          <w:rFonts w:ascii="Times New Roman" w:hAnsi="Times New Roman" w:cs="Times New Roman"/>
          <w:noProof/>
          <w:sz w:val="24"/>
          <w:szCs w:val="24"/>
        </w:rPr>
        <w:t xml:space="preserve">The number of TPPs and </w:t>
      </w:r>
      <w:r w:rsidR="0022778D">
        <w:rPr>
          <w:rFonts w:ascii="Times New Roman" w:hAnsi="Times New Roman" w:cs="Times New Roman"/>
          <w:noProof/>
          <w:sz w:val="24"/>
          <w:szCs w:val="24"/>
        </w:rPr>
        <w:t>users</w:t>
      </w:r>
      <w:r w:rsidR="00F87C0A">
        <w:rPr>
          <w:rFonts w:ascii="Times New Roman" w:hAnsi="Times New Roman" w:cs="Times New Roman"/>
          <w:noProof/>
          <w:sz w:val="24"/>
          <w:szCs w:val="24"/>
        </w:rPr>
        <w:t xml:space="preserve"> of OB</w:t>
      </w:r>
      <w:r w:rsidR="0022778D">
        <w:rPr>
          <w:rFonts w:ascii="Times New Roman" w:hAnsi="Times New Roman" w:cs="Times New Roman"/>
          <w:noProof/>
          <w:sz w:val="24"/>
          <w:szCs w:val="24"/>
        </w:rPr>
        <w:t xml:space="preserve"> services</w:t>
      </w:r>
      <w:r w:rsidR="00F87C0A">
        <w:rPr>
          <w:rFonts w:ascii="Times New Roman" w:hAnsi="Times New Roman" w:cs="Times New Roman"/>
          <w:noProof/>
          <w:sz w:val="24"/>
          <w:szCs w:val="24"/>
        </w:rPr>
        <w:t xml:space="preserve"> in the EU has</w:t>
      </w:r>
      <w:r w:rsidR="00CB6C1B">
        <w:rPr>
          <w:rFonts w:ascii="Times New Roman" w:hAnsi="Times New Roman" w:cs="Times New Roman"/>
          <w:noProof/>
          <w:sz w:val="24"/>
          <w:szCs w:val="24"/>
        </w:rPr>
        <w:t xml:space="preserve"> </w:t>
      </w:r>
      <w:r w:rsidR="00BC2B26">
        <w:rPr>
          <w:rFonts w:ascii="Times New Roman" w:hAnsi="Times New Roman" w:cs="Times New Roman"/>
          <w:noProof/>
          <w:sz w:val="24"/>
          <w:szCs w:val="24"/>
        </w:rPr>
        <w:t xml:space="preserve">been </w:t>
      </w:r>
      <w:r w:rsidR="00C06779">
        <w:rPr>
          <w:rFonts w:ascii="Times New Roman" w:hAnsi="Times New Roman" w:cs="Times New Roman"/>
          <w:noProof/>
          <w:sz w:val="24"/>
          <w:szCs w:val="24"/>
        </w:rPr>
        <w:t>increasing</w:t>
      </w:r>
      <w:r w:rsidR="00F87C0A">
        <w:rPr>
          <w:rFonts w:ascii="Times New Roman" w:hAnsi="Times New Roman" w:cs="Times New Roman"/>
          <w:noProof/>
          <w:sz w:val="24"/>
          <w:szCs w:val="24"/>
        </w:rPr>
        <w:t xml:space="preserve">, </w:t>
      </w:r>
      <w:r w:rsidR="00BC2B26">
        <w:rPr>
          <w:rFonts w:ascii="Times New Roman" w:hAnsi="Times New Roman" w:cs="Times New Roman"/>
          <w:noProof/>
          <w:sz w:val="24"/>
          <w:szCs w:val="24"/>
        </w:rPr>
        <w:t xml:space="preserve">reaching almost 19 million users </w:t>
      </w:r>
      <w:r w:rsidR="008213E0">
        <w:rPr>
          <w:rFonts w:ascii="Times New Roman" w:hAnsi="Times New Roman" w:cs="Times New Roman"/>
          <w:noProof/>
          <w:sz w:val="24"/>
          <w:szCs w:val="24"/>
        </w:rPr>
        <w:t>i</w:t>
      </w:r>
      <w:r w:rsidR="00BC2B26">
        <w:rPr>
          <w:rFonts w:ascii="Times New Roman" w:hAnsi="Times New Roman" w:cs="Times New Roman"/>
          <w:noProof/>
          <w:sz w:val="24"/>
          <w:szCs w:val="24"/>
        </w:rPr>
        <w:t>n 2021</w:t>
      </w:r>
      <w:r w:rsidR="007E30D4">
        <w:rPr>
          <w:rFonts w:ascii="Times New Roman" w:hAnsi="Times New Roman" w:cs="Times New Roman"/>
          <w:noProof/>
          <w:sz w:val="24"/>
          <w:szCs w:val="24"/>
        </w:rPr>
        <w:t>.</w:t>
      </w:r>
      <w:r w:rsidR="00BC2B26">
        <w:rPr>
          <w:rStyle w:val="FootnoteReference"/>
          <w:rFonts w:ascii="Times New Roman" w:hAnsi="Times New Roman" w:cs="Times New Roman"/>
          <w:noProof/>
          <w:sz w:val="24"/>
          <w:szCs w:val="24"/>
        </w:rPr>
        <w:footnoteReference w:id="10"/>
      </w:r>
      <w:r w:rsidR="00B94B83">
        <w:rPr>
          <w:rFonts w:ascii="Times New Roman" w:hAnsi="Times New Roman" w:cs="Times New Roman"/>
          <w:noProof/>
          <w:sz w:val="24"/>
          <w:szCs w:val="24"/>
        </w:rPr>
        <w:t xml:space="preserve"> </w:t>
      </w:r>
      <w:r w:rsidR="00F87C0A" w:rsidRPr="00F87C0A">
        <w:rPr>
          <w:rFonts w:ascii="Times New Roman" w:hAnsi="Times New Roman" w:cs="Times New Roman"/>
          <w:noProof/>
          <w:sz w:val="24"/>
          <w:szCs w:val="24"/>
        </w:rPr>
        <w:t xml:space="preserve">The legal framework has </w:t>
      </w:r>
      <w:r w:rsidR="00E95E1C">
        <w:rPr>
          <w:rFonts w:ascii="Times New Roman" w:hAnsi="Times New Roman" w:cs="Times New Roman"/>
          <w:noProof/>
          <w:sz w:val="24"/>
          <w:szCs w:val="24"/>
        </w:rPr>
        <w:t xml:space="preserve">legitimised </w:t>
      </w:r>
      <w:r w:rsidR="00F87C0A" w:rsidRPr="00F87C0A">
        <w:rPr>
          <w:rFonts w:ascii="Times New Roman" w:hAnsi="Times New Roman" w:cs="Times New Roman"/>
          <w:noProof/>
          <w:sz w:val="24"/>
          <w:szCs w:val="24"/>
        </w:rPr>
        <w:t xml:space="preserve">TPPs’ </w:t>
      </w:r>
      <w:r w:rsidR="008213E0">
        <w:rPr>
          <w:rFonts w:ascii="Times New Roman" w:hAnsi="Times New Roman" w:cs="Times New Roman"/>
          <w:noProof/>
          <w:sz w:val="24"/>
          <w:szCs w:val="24"/>
        </w:rPr>
        <w:t xml:space="preserve">regulated </w:t>
      </w:r>
      <w:r w:rsidR="00F87C0A" w:rsidRPr="00F87C0A">
        <w:rPr>
          <w:rFonts w:ascii="Times New Roman" w:hAnsi="Times New Roman" w:cs="Times New Roman"/>
          <w:noProof/>
          <w:sz w:val="24"/>
          <w:szCs w:val="24"/>
        </w:rPr>
        <w:t xml:space="preserve">access to payment accounts and the security of users and </w:t>
      </w:r>
      <w:r w:rsidR="00612C37">
        <w:rPr>
          <w:rFonts w:ascii="Times New Roman" w:hAnsi="Times New Roman" w:cs="Times New Roman"/>
          <w:noProof/>
          <w:sz w:val="24"/>
          <w:szCs w:val="24"/>
        </w:rPr>
        <w:t xml:space="preserve">of </w:t>
      </w:r>
      <w:r w:rsidR="00F87C0A" w:rsidRPr="00F87C0A">
        <w:rPr>
          <w:rFonts w:ascii="Times New Roman" w:hAnsi="Times New Roman" w:cs="Times New Roman"/>
          <w:noProof/>
          <w:sz w:val="24"/>
          <w:szCs w:val="24"/>
        </w:rPr>
        <w:t xml:space="preserve">their data has been </w:t>
      </w:r>
      <w:r w:rsidR="008213E0">
        <w:rPr>
          <w:rFonts w:ascii="Times New Roman" w:hAnsi="Times New Roman" w:cs="Times New Roman"/>
          <w:noProof/>
          <w:sz w:val="24"/>
          <w:szCs w:val="24"/>
        </w:rPr>
        <w:t xml:space="preserve">ensured. </w:t>
      </w:r>
      <w:r w:rsidR="00F87C0A">
        <w:rPr>
          <w:rFonts w:ascii="Times New Roman" w:hAnsi="Times New Roman" w:cs="Times New Roman"/>
          <w:noProof/>
          <w:sz w:val="24"/>
          <w:szCs w:val="24"/>
        </w:rPr>
        <w:t xml:space="preserve">However, </w:t>
      </w:r>
      <w:r w:rsidR="008213E0">
        <w:rPr>
          <w:rFonts w:ascii="Times New Roman" w:hAnsi="Times New Roman" w:cs="Times New Roman"/>
          <w:noProof/>
          <w:sz w:val="24"/>
          <w:szCs w:val="24"/>
        </w:rPr>
        <w:t xml:space="preserve">the PSD2 evaluation has revealed recurrent </w:t>
      </w:r>
      <w:r w:rsidR="00F87C0A">
        <w:rPr>
          <w:rFonts w:ascii="Times New Roman" w:hAnsi="Times New Roman" w:cs="Times New Roman"/>
          <w:noProof/>
          <w:sz w:val="24"/>
          <w:szCs w:val="24"/>
        </w:rPr>
        <w:t xml:space="preserve">problems </w:t>
      </w:r>
      <w:r w:rsidR="00F87C0A" w:rsidRPr="00F87C0A">
        <w:rPr>
          <w:rFonts w:ascii="Times New Roman" w:hAnsi="Times New Roman" w:cs="Times New Roman"/>
          <w:noProof/>
          <w:sz w:val="24"/>
          <w:szCs w:val="24"/>
        </w:rPr>
        <w:t xml:space="preserve">as regards effective and efficient access </w:t>
      </w:r>
      <w:r w:rsidR="007B3145">
        <w:rPr>
          <w:rFonts w:ascii="Times New Roman" w:hAnsi="Times New Roman" w:cs="Times New Roman"/>
          <w:noProof/>
          <w:sz w:val="24"/>
          <w:szCs w:val="24"/>
        </w:rPr>
        <w:t>by</w:t>
      </w:r>
      <w:r w:rsidR="007B3145" w:rsidRPr="00F87C0A">
        <w:rPr>
          <w:rFonts w:ascii="Times New Roman" w:hAnsi="Times New Roman" w:cs="Times New Roman"/>
          <w:noProof/>
          <w:sz w:val="24"/>
          <w:szCs w:val="24"/>
        </w:rPr>
        <w:t xml:space="preserve"> </w:t>
      </w:r>
      <w:r w:rsidR="00F87C0A" w:rsidRPr="00F87C0A">
        <w:rPr>
          <w:rFonts w:ascii="Times New Roman" w:hAnsi="Times New Roman" w:cs="Times New Roman"/>
          <w:noProof/>
          <w:sz w:val="24"/>
          <w:szCs w:val="24"/>
        </w:rPr>
        <w:t>TPPs to data held by ASPSPs</w:t>
      </w:r>
      <w:r w:rsidR="00B67342">
        <w:rPr>
          <w:rFonts w:ascii="Times New Roman" w:hAnsi="Times New Roman" w:cs="Times New Roman"/>
          <w:noProof/>
          <w:sz w:val="24"/>
          <w:szCs w:val="24"/>
        </w:rPr>
        <w:t xml:space="preserve">. TPPs still face </w:t>
      </w:r>
      <w:r w:rsidR="008213E0">
        <w:rPr>
          <w:rFonts w:ascii="Times New Roman" w:hAnsi="Times New Roman" w:cs="Times New Roman"/>
          <w:noProof/>
          <w:sz w:val="24"/>
          <w:szCs w:val="24"/>
        </w:rPr>
        <w:t xml:space="preserve">substantial </w:t>
      </w:r>
      <w:r w:rsidR="00B67342">
        <w:rPr>
          <w:rFonts w:ascii="Times New Roman" w:hAnsi="Times New Roman" w:cs="Times New Roman"/>
          <w:noProof/>
          <w:sz w:val="24"/>
          <w:szCs w:val="24"/>
        </w:rPr>
        <w:t xml:space="preserve">obstacles and frequently </w:t>
      </w:r>
      <w:r w:rsidR="006A5020">
        <w:rPr>
          <w:rFonts w:ascii="Times New Roman" w:hAnsi="Times New Roman" w:cs="Times New Roman"/>
          <w:noProof/>
          <w:sz w:val="24"/>
          <w:szCs w:val="24"/>
        </w:rPr>
        <w:t xml:space="preserve">report that </w:t>
      </w:r>
      <w:r w:rsidR="008213E0">
        <w:rPr>
          <w:rFonts w:ascii="Times New Roman" w:hAnsi="Times New Roman" w:cs="Times New Roman"/>
          <w:noProof/>
          <w:sz w:val="24"/>
          <w:szCs w:val="24"/>
        </w:rPr>
        <w:t xml:space="preserve">the </w:t>
      </w:r>
      <w:r w:rsidR="00F87C0A">
        <w:rPr>
          <w:rFonts w:ascii="Times New Roman" w:hAnsi="Times New Roman" w:cs="Times New Roman"/>
          <w:noProof/>
          <w:sz w:val="24"/>
          <w:szCs w:val="24"/>
        </w:rPr>
        <w:t>interfaces</w:t>
      </w:r>
      <w:r w:rsidR="00F87C0A" w:rsidRPr="00F87C0A">
        <w:rPr>
          <w:rFonts w:ascii="Times New Roman" w:hAnsi="Times New Roman" w:cs="Times New Roman"/>
          <w:noProof/>
          <w:sz w:val="24"/>
          <w:szCs w:val="24"/>
        </w:rPr>
        <w:t xml:space="preserve"> </w:t>
      </w:r>
      <w:r w:rsidR="008213E0">
        <w:rPr>
          <w:rFonts w:ascii="Times New Roman" w:hAnsi="Times New Roman" w:cs="Times New Roman"/>
          <w:noProof/>
          <w:sz w:val="24"/>
          <w:szCs w:val="24"/>
        </w:rPr>
        <w:t>which have been designed to facilitate their data access</w:t>
      </w:r>
      <w:r w:rsidR="006F64C8">
        <w:rPr>
          <w:rStyle w:val="FootnoteReference"/>
          <w:rFonts w:ascii="Times New Roman" w:hAnsi="Times New Roman" w:cs="Times New Roman"/>
          <w:noProof/>
          <w:sz w:val="24"/>
          <w:szCs w:val="24"/>
        </w:rPr>
        <w:footnoteReference w:id="11"/>
      </w:r>
      <w:r w:rsidR="008213E0">
        <w:rPr>
          <w:rFonts w:ascii="Times New Roman" w:hAnsi="Times New Roman" w:cs="Times New Roman"/>
          <w:noProof/>
          <w:sz w:val="24"/>
          <w:szCs w:val="24"/>
        </w:rPr>
        <w:t xml:space="preserve"> </w:t>
      </w:r>
      <w:r w:rsidR="00F87C0A" w:rsidRPr="00F87C0A">
        <w:rPr>
          <w:rFonts w:ascii="Times New Roman" w:hAnsi="Times New Roman" w:cs="Times New Roman"/>
          <w:noProof/>
          <w:sz w:val="24"/>
          <w:szCs w:val="24"/>
        </w:rPr>
        <w:t>vary in quality</w:t>
      </w:r>
      <w:r w:rsidR="00B67342">
        <w:rPr>
          <w:rFonts w:ascii="Times New Roman" w:hAnsi="Times New Roman" w:cs="Times New Roman"/>
          <w:noProof/>
          <w:sz w:val="24"/>
          <w:szCs w:val="24"/>
        </w:rPr>
        <w:t xml:space="preserve"> and performance. </w:t>
      </w:r>
      <w:r w:rsidR="00F87C0A" w:rsidRPr="00F87C0A">
        <w:rPr>
          <w:rFonts w:ascii="Times New Roman" w:hAnsi="Times New Roman" w:cs="Times New Roman"/>
          <w:noProof/>
          <w:sz w:val="24"/>
          <w:szCs w:val="24"/>
        </w:rPr>
        <w:t xml:space="preserve">ASPSPs report significant implementation costs for the development of </w:t>
      </w:r>
      <w:r w:rsidR="00E659C9">
        <w:rPr>
          <w:rFonts w:ascii="Times New Roman" w:hAnsi="Times New Roman" w:cs="Times New Roman"/>
          <w:noProof/>
          <w:sz w:val="24"/>
          <w:szCs w:val="24"/>
        </w:rPr>
        <w:t>APIs</w:t>
      </w:r>
      <w:r w:rsidR="006A5020">
        <w:rPr>
          <w:rStyle w:val="FootnoteReference"/>
          <w:rFonts w:ascii="Times New Roman" w:hAnsi="Times New Roman" w:cs="Times New Roman"/>
          <w:noProof/>
          <w:sz w:val="24"/>
          <w:szCs w:val="24"/>
        </w:rPr>
        <w:footnoteReference w:id="12"/>
      </w:r>
      <w:r w:rsidR="00F87C0A" w:rsidRPr="00F87C0A">
        <w:rPr>
          <w:rFonts w:ascii="Times New Roman" w:hAnsi="Times New Roman" w:cs="Times New Roman"/>
          <w:noProof/>
          <w:sz w:val="24"/>
          <w:szCs w:val="24"/>
        </w:rPr>
        <w:t xml:space="preserve"> and </w:t>
      </w:r>
      <w:r w:rsidR="006A5020">
        <w:rPr>
          <w:rFonts w:ascii="Times New Roman" w:hAnsi="Times New Roman" w:cs="Times New Roman"/>
          <w:noProof/>
          <w:sz w:val="24"/>
          <w:szCs w:val="24"/>
        </w:rPr>
        <w:t>regret</w:t>
      </w:r>
      <w:r w:rsidR="00F87C0A" w:rsidRPr="00F87C0A">
        <w:rPr>
          <w:rFonts w:ascii="Times New Roman" w:hAnsi="Times New Roman" w:cs="Times New Roman"/>
          <w:noProof/>
          <w:sz w:val="24"/>
          <w:szCs w:val="24"/>
        </w:rPr>
        <w:t xml:space="preserve"> that the legislative framework </w:t>
      </w:r>
      <w:r w:rsidR="00BC2B26">
        <w:rPr>
          <w:rFonts w:ascii="Times New Roman" w:hAnsi="Times New Roman" w:cs="Times New Roman"/>
          <w:noProof/>
          <w:sz w:val="24"/>
          <w:szCs w:val="24"/>
        </w:rPr>
        <w:t>of</w:t>
      </w:r>
      <w:r w:rsidR="00F87C0A" w:rsidRPr="00F87C0A">
        <w:rPr>
          <w:rFonts w:ascii="Times New Roman" w:hAnsi="Times New Roman" w:cs="Times New Roman"/>
          <w:noProof/>
          <w:sz w:val="24"/>
          <w:szCs w:val="24"/>
        </w:rPr>
        <w:t xml:space="preserve"> PSD2 prevents </w:t>
      </w:r>
      <w:r w:rsidR="006A5020">
        <w:rPr>
          <w:rFonts w:ascii="Times New Roman" w:hAnsi="Times New Roman" w:cs="Times New Roman"/>
          <w:noProof/>
          <w:sz w:val="24"/>
          <w:szCs w:val="24"/>
        </w:rPr>
        <w:t>them</w:t>
      </w:r>
      <w:r w:rsidR="00F87C0A" w:rsidRPr="00F87C0A">
        <w:rPr>
          <w:rFonts w:ascii="Times New Roman" w:hAnsi="Times New Roman" w:cs="Times New Roman"/>
          <w:noProof/>
          <w:sz w:val="24"/>
          <w:szCs w:val="24"/>
        </w:rPr>
        <w:t xml:space="preserve"> from charging </w:t>
      </w:r>
      <w:r w:rsidR="00B67342">
        <w:rPr>
          <w:rFonts w:ascii="Times New Roman" w:hAnsi="Times New Roman" w:cs="Times New Roman"/>
          <w:noProof/>
          <w:sz w:val="24"/>
          <w:szCs w:val="24"/>
        </w:rPr>
        <w:t xml:space="preserve">TPPs </w:t>
      </w:r>
      <w:r w:rsidR="00F87C0A" w:rsidRPr="00F87C0A">
        <w:rPr>
          <w:rFonts w:ascii="Times New Roman" w:hAnsi="Times New Roman" w:cs="Times New Roman"/>
          <w:noProof/>
          <w:sz w:val="24"/>
          <w:szCs w:val="24"/>
        </w:rPr>
        <w:t xml:space="preserve">for </w:t>
      </w:r>
      <w:r w:rsidR="007E258D">
        <w:rPr>
          <w:rFonts w:ascii="Times New Roman" w:hAnsi="Times New Roman" w:cs="Times New Roman"/>
          <w:noProof/>
          <w:sz w:val="24"/>
          <w:szCs w:val="24"/>
        </w:rPr>
        <w:t xml:space="preserve">facilitating </w:t>
      </w:r>
      <w:r w:rsidR="00F87C0A" w:rsidRPr="00F87C0A">
        <w:rPr>
          <w:rFonts w:ascii="Times New Roman" w:hAnsi="Times New Roman" w:cs="Times New Roman"/>
          <w:noProof/>
          <w:sz w:val="24"/>
          <w:szCs w:val="24"/>
        </w:rPr>
        <w:t>access to customer data</w:t>
      </w:r>
      <w:r w:rsidR="00B67342">
        <w:rPr>
          <w:rFonts w:ascii="Times New Roman" w:hAnsi="Times New Roman" w:cs="Times New Roman"/>
          <w:noProof/>
          <w:sz w:val="24"/>
          <w:szCs w:val="24"/>
        </w:rPr>
        <w:t xml:space="preserve"> via APIs</w:t>
      </w:r>
      <w:r w:rsidR="00F87C0A">
        <w:rPr>
          <w:rFonts w:ascii="Times New Roman" w:hAnsi="Times New Roman" w:cs="Times New Roman"/>
          <w:noProof/>
          <w:sz w:val="24"/>
          <w:szCs w:val="24"/>
        </w:rPr>
        <w:t xml:space="preserve">. </w:t>
      </w:r>
      <w:r w:rsidR="00255868">
        <w:rPr>
          <w:rFonts w:ascii="Times New Roman" w:hAnsi="Times New Roman" w:cs="Times New Roman"/>
          <w:noProof/>
          <w:sz w:val="24"/>
          <w:szCs w:val="24"/>
        </w:rPr>
        <w:t xml:space="preserve">ASPSPs also often express </w:t>
      </w:r>
      <w:r w:rsidR="001C4A6C">
        <w:rPr>
          <w:rFonts w:ascii="Times New Roman" w:hAnsi="Times New Roman" w:cs="Times New Roman"/>
          <w:noProof/>
          <w:sz w:val="24"/>
          <w:szCs w:val="24"/>
        </w:rPr>
        <w:t>dissatisfaction</w:t>
      </w:r>
      <w:r w:rsidR="00255868">
        <w:rPr>
          <w:rFonts w:ascii="Times New Roman" w:hAnsi="Times New Roman" w:cs="Times New Roman"/>
          <w:noProof/>
          <w:sz w:val="24"/>
          <w:szCs w:val="24"/>
        </w:rPr>
        <w:t xml:space="preserve"> with</w:t>
      </w:r>
      <w:r w:rsidR="00B67342">
        <w:rPr>
          <w:rFonts w:ascii="Times New Roman" w:hAnsi="Times New Roman" w:cs="Times New Roman"/>
          <w:noProof/>
          <w:sz w:val="24"/>
          <w:szCs w:val="24"/>
        </w:rPr>
        <w:t xml:space="preserve"> the low use of their APIs </w:t>
      </w:r>
      <w:r w:rsidR="00612C37">
        <w:rPr>
          <w:rFonts w:ascii="Times New Roman" w:hAnsi="Times New Roman" w:cs="Times New Roman"/>
          <w:noProof/>
          <w:sz w:val="24"/>
          <w:szCs w:val="24"/>
        </w:rPr>
        <w:t xml:space="preserve">by TPPs </w:t>
      </w:r>
      <w:r w:rsidR="00B67342">
        <w:rPr>
          <w:rFonts w:ascii="Times New Roman" w:hAnsi="Times New Roman" w:cs="Times New Roman"/>
          <w:noProof/>
          <w:sz w:val="24"/>
          <w:szCs w:val="24"/>
        </w:rPr>
        <w:t xml:space="preserve">and the continued </w:t>
      </w:r>
      <w:r w:rsidR="00255868">
        <w:rPr>
          <w:rFonts w:ascii="Times New Roman" w:hAnsi="Times New Roman" w:cs="Times New Roman"/>
          <w:noProof/>
          <w:sz w:val="24"/>
          <w:szCs w:val="24"/>
        </w:rPr>
        <w:t xml:space="preserve">use by </w:t>
      </w:r>
      <w:r w:rsidR="00BC2B26">
        <w:rPr>
          <w:rFonts w:ascii="Times New Roman" w:hAnsi="Times New Roman" w:cs="Times New Roman"/>
          <w:noProof/>
          <w:sz w:val="24"/>
          <w:szCs w:val="24"/>
        </w:rPr>
        <w:t xml:space="preserve">some </w:t>
      </w:r>
      <w:r w:rsidR="00255868">
        <w:rPr>
          <w:rFonts w:ascii="Times New Roman" w:hAnsi="Times New Roman" w:cs="Times New Roman"/>
          <w:noProof/>
          <w:sz w:val="24"/>
          <w:szCs w:val="24"/>
        </w:rPr>
        <w:t>TPPs of the</w:t>
      </w:r>
      <w:r w:rsidR="00413D39">
        <w:rPr>
          <w:rFonts w:ascii="Times New Roman" w:hAnsi="Times New Roman" w:cs="Times New Roman"/>
          <w:noProof/>
          <w:sz w:val="24"/>
          <w:szCs w:val="24"/>
        </w:rPr>
        <w:t>ir</w:t>
      </w:r>
      <w:r w:rsidR="00255868">
        <w:rPr>
          <w:rFonts w:ascii="Times New Roman" w:hAnsi="Times New Roman" w:cs="Times New Roman"/>
          <w:noProof/>
          <w:sz w:val="24"/>
          <w:szCs w:val="24"/>
        </w:rPr>
        <w:t xml:space="preserve"> customer interface rather than </w:t>
      </w:r>
      <w:r w:rsidR="00612C37">
        <w:rPr>
          <w:rFonts w:ascii="Times New Roman" w:hAnsi="Times New Roman" w:cs="Times New Roman"/>
          <w:noProof/>
          <w:sz w:val="24"/>
          <w:szCs w:val="24"/>
        </w:rPr>
        <w:t xml:space="preserve">of </w:t>
      </w:r>
      <w:r w:rsidR="00255868">
        <w:rPr>
          <w:rFonts w:ascii="Times New Roman" w:hAnsi="Times New Roman" w:cs="Times New Roman"/>
          <w:noProof/>
          <w:sz w:val="24"/>
          <w:szCs w:val="24"/>
        </w:rPr>
        <w:t xml:space="preserve">the </w:t>
      </w:r>
      <w:r w:rsidR="00BC2B26">
        <w:rPr>
          <w:rFonts w:ascii="Times New Roman" w:hAnsi="Times New Roman" w:cs="Times New Roman"/>
          <w:noProof/>
          <w:sz w:val="24"/>
          <w:szCs w:val="24"/>
        </w:rPr>
        <w:t>API</w:t>
      </w:r>
      <w:r w:rsidR="00255868">
        <w:rPr>
          <w:rFonts w:ascii="Times New Roman" w:hAnsi="Times New Roman" w:cs="Times New Roman"/>
          <w:noProof/>
          <w:sz w:val="24"/>
          <w:szCs w:val="24"/>
        </w:rPr>
        <w:t xml:space="preserve">. </w:t>
      </w:r>
    </w:p>
    <w:p w14:paraId="2CD7AEFC" w14:textId="7E280056" w:rsidR="00540C48" w:rsidRDefault="00255868"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Against this background, the choice made </w:t>
      </w:r>
      <w:r w:rsidR="00CB6C1B">
        <w:rPr>
          <w:rFonts w:ascii="Times New Roman" w:hAnsi="Times New Roman" w:cs="Times New Roman"/>
          <w:noProof/>
          <w:sz w:val="24"/>
          <w:szCs w:val="24"/>
        </w:rPr>
        <w:t xml:space="preserve">by the Commission </w:t>
      </w:r>
      <w:r w:rsidR="00C06779">
        <w:rPr>
          <w:rFonts w:ascii="Times New Roman" w:hAnsi="Times New Roman" w:cs="Times New Roman"/>
          <w:noProof/>
          <w:sz w:val="24"/>
          <w:szCs w:val="24"/>
        </w:rPr>
        <w:t xml:space="preserve">following </w:t>
      </w:r>
      <w:r>
        <w:rPr>
          <w:rFonts w:ascii="Times New Roman" w:hAnsi="Times New Roman" w:cs="Times New Roman"/>
          <w:noProof/>
          <w:sz w:val="24"/>
          <w:szCs w:val="24"/>
        </w:rPr>
        <w:t xml:space="preserve">the PSD2 review </w:t>
      </w:r>
      <w:r w:rsidR="00B94B83">
        <w:rPr>
          <w:rFonts w:ascii="Times New Roman" w:hAnsi="Times New Roman" w:cs="Times New Roman"/>
          <w:noProof/>
          <w:sz w:val="24"/>
          <w:szCs w:val="24"/>
        </w:rPr>
        <w:t>is</w:t>
      </w:r>
      <w:r>
        <w:rPr>
          <w:rFonts w:ascii="Times New Roman" w:hAnsi="Times New Roman" w:cs="Times New Roman"/>
          <w:noProof/>
          <w:sz w:val="24"/>
          <w:szCs w:val="24"/>
        </w:rPr>
        <w:t xml:space="preserve"> to make a number of targeted amendments to the OB framework</w:t>
      </w:r>
      <w:r w:rsidR="006A5020">
        <w:rPr>
          <w:rFonts w:ascii="Times New Roman" w:hAnsi="Times New Roman" w:cs="Times New Roman"/>
          <w:noProof/>
          <w:sz w:val="24"/>
          <w:szCs w:val="24"/>
        </w:rPr>
        <w:t xml:space="preserve"> to improve its functioning</w:t>
      </w:r>
      <w:r>
        <w:rPr>
          <w:rFonts w:ascii="Times New Roman" w:hAnsi="Times New Roman" w:cs="Times New Roman"/>
          <w:noProof/>
          <w:sz w:val="24"/>
          <w:szCs w:val="24"/>
        </w:rPr>
        <w:t xml:space="preserve">, but to avoid radical changes which might destabilise the market or </w:t>
      </w:r>
      <w:r w:rsidR="006A5020">
        <w:rPr>
          <w:rFonts w:ascii="Times New Roman" w:hAnsi="Times New Roman" w:cs="Times New Roman"/>
          <w:noProof/>
          <w:sz w:val="24"/>
          <w:szCs w:val="24"/>
        </w:rPr>
        <w:t>generate significant further implementation costs</w:t>
      </w:r>
      <w:r>
        <w:rPr>
          <w:rFonts w:ascii="Times New Roman" w:hAnsi="Times New Roman" w:cs="Times New Roman"/>
          <w:noProof/>
          <w:sz w:val="24"/>
          <w:szCs w:val="24"/>
        </w:rPr>
        <w:t xml:space="preserve">. </w:t>
      </w:r>
      <w:r w:rsidR="003D4EAD">
        <w:rPr>
          <w:rFonts w:ascii="Times New Roman" w:hAnsi="Times New Roman" w:cs="Times New Roman"/>
          <w:noProof/>
          <w:sz w:val="24"/>
          <w:szCs w:val="24"/>
        </w:rPr>
        <w:t>De</w:t>
      </w:r>
      <w:r w:rsidR="00612C37">
        <w:rPr>
          <w:rFonts w:ascii="Times New Roman" w:hAnsi="Times New Roman" w:cs="Times New Roman"/>
          <w:noProof/>
          <w:sz w:val="24"/>
          <w:szCs w:val="24"/>
        </w:rPr>
        <w:t>spite the existence of different API standards</w:t>
      </w:r>
      <w:r w:rsidR="00E659C9">
        <w:rPr>
          <w:rFonts w:ascii="Times New Roman" w:hAnsi="Times New Roman" w:cs="Times New Roman"/>
          <w:noProof/>
          <w:sz w:val="24"/>
          <w:szCs w:val="24"/>
        </w:rPr>
        <w:t xml:space="preserve"> </w:t>
      </w:r>
      <w:r w:rsidR="00612C37">
        <w:rPr>
          <w:rFonts w:ascii="Times New Roman" w:hAnsi="Times New Roman" w:cs="Times New Roman"/>
          <w:noProof/>
          <w:sz w:val="24"/>
          <w:szCs w:val="24"/>
        </w:rPr>
        <w:t>in the EU</w:t>
      </w:r>
      <w:r w:rsidR="007E30D4">
        <w:rPr>
          <w:rStyle w:val="FootnoteReference"/>
          <w:rFonts w:ascii="Times New Roman" w:hAnsi="Times New Roman" w:cs="Times New Roman"/>
          <w:noProof/>
          <w:sz w:val="24"/>
          <w:szCs w:val="24"/>
        </w:rPr>
        <w:footnoteReference w:id="13"/>
      </w:r>
      <w:r w:rsidR="00612C37">
        <w:rPr>
          <w:rFonts w:ascii="Times New Roman" w:hAnsi="Times New Roman" w:cs="Times New Roman"/>
          <w:noProof/>
          <w:sz w:val="24"/>
          <w:szCs w:val="24"/>
        </w:rPr>
        <w:t xml:space="preserve"> the Commission </w:t>
      </w:r>
      <w:r w:rsidR="00C06779">
        <w:rPr>
          <w:rFonts w:ascii="Times New Roman" w:hAnsi="Times New Roman" w:cs="Times New Roman"/>
          <w:noProof/>
          <w:sz w:val="24"/>
          <w:szCs w:val="24"/>
        </w:rPr>
        <w:t>deem</w:t>
      </w:r>
      <w:r w:rsidR="00612C37">
        <w:rPr>
          <w:rFonts w:ascii="Times New Roman" w:hAnsi="Times New Roman" w:cs="Times New Roman"/>
          <w:noProof/>
          <w:sz w:val="24"/>
          <w:szCs w:val="24"/>
        </w:rPr>
        <w:t>s</w:t>
      </w:r>
      <w:r w:rsidR="00C06779">
        <w:rPr>
          <w:rFonts w:ascii="Times New Roman" w:hAnsi="Times New Roman" w:cs="Times New Roman"/>
          <w:noProof/>
          <w:sz w:val="24"/>
          <w:szCs w:val="24"/>
        </w:rPr>
        <w:t xml:space="preserve"> </w:t>
      </w:r>
      <w:r w:rsidR="001F59C8">
        <w:rPr>
          <w:rFonts w:ascii="Times New Roman" w:hAnsi="Times New Roman" w:cs="Times New Roman"/>
          <w:noProof/>
          <w:sz w:val="24"/>
          <w:szCs w:val="24"/>
        </w:rPr>
        <w:t xml:space="preserve">it </w:t>
      </w:r>
      <w:r w:rsidR="00C06779">
        <w:rPr>
          <w:rFonts w:ascii="Times New Roman" w:hAnsi="Times New Roman" w:cs="Times New Roman"/>
          <w:noProof/>
          <w:sz w:val="24"/>
          <w:szCs w:val="24"/>
        </w:rPr>
        <w:t>preferable</w:t>
      </w:r>
      <w:r>
        <w:rPr>
          <w:rFonts w:ascii="Times New Roman" w:hAnsi="Times New Roman" w:cs="Times New Roman"/>
          <w:noProof/>
          <w:sz w:val="24"/>
          <w:szCs w:val="24"/>
        </w:rPr>
        <w:t xml:space="preserve"> not to impose</w:t>
      </w:r>
      <w:r w:rsidR="00DE3A4A">
        <w:rPr>
          <w:rFonts w:ascii="Times New Roman" w:hAnsi="Times New Roman" w:cs="Times New Roman"/>
          <w:noProof/>
          <w:sz w:val="24"/>
          <w:szCs w:val="24"/>
        </w:rPr>
        <w:t xml:space="preserve"> a</w:t>
      </w:r>
      <w:r w:rsidR="00612C37">
        <w:rPr>
          <w:rFonts w:ascii="Times New Roman" w:hAnsi="Times New Roman" w:cs="Times New Roman"/>
          <w:noProof/>
          <w:sz w:val="24"/>
          <w:szCs w:val="24"/>
        </w:rPr>
        <w:t xml:space="preserve"> new fully </w:t>
      </w:r>
      <w:r>
        <w:rPr>
          <w:rFonts w:ascii="Times New Roman" w:hAnsi="Times New Roman" w:cs="Times New Roman"/>
          <w:noProof/>
          <w:sz w:val="24"/>
          <w:szCs w:val="24"/>
        </w:rPr>
        <w:t xml:space="preserve">standardised </w:t>
      </w:r>
      <w:r w:rsidR="00612C37">
        <w:rPr>
          <w:rFonts w:ascii="Times New Roman" w:hAnsi="Times New Roman" w:cs="Times New Roman"/>
          <w:noProof/>
          <w:sz w:val="24"/>
          <w:szCs w:val="24"/>
        </w:rPr>
        <w:t xml:space="preserve">EU </w:t>
      </w:r>
      <w:r w:rsidR="007B3145">
        <w:rPr>
          <w:rFonts w:ascii="Times New Roman" w:hAnsi="Times New Roman" w:cs="Times New Roman"/>
          <w:noProof/>
          <w:sz w:val="24"/>
          <w:szCs w:val="24"/>
        </w:rPr>
        <w:t xml:space="preserve">data access </w:t>
      </w:r>
      <w:r>
        <w:rPr>
          <w:rFonts w:ascii="Times New Roman" w:hAnsi="Times New Roman" w:cs="Times New Roman"/>
          <w:noProof/>
          <w:sz w:val="24"/>
          <w:szCs w:val="24"/>
        </w:rPr>
        <w:t>interface</w:t>
      </w:r>
      <w:r w:rsidR="00612C37">
        <w:rPr>
          <w:rFonts w:ascii="Times New Roman" w:hAnsi="Times New Roman" w:cs="Times New Roman"/>
          <w:noProof/>
          <w:sz w:val="24"/>
          <w:szCs w:val="24"/>
        </w:rPr>
        <w:t xml:space="preserve">. Doing this would present some </w:t>
      </w:r>
      <w:r w:rsidR="00912270">
        <w:rPr>
          <w:rFonts w:ascii="Times New Roman" w:hAnsi="Times New Roman" w:cs="Times New Roman"/>
          <w:noProof/>
          <w:sz w:val="24"/>
          <w:szCs w:val="24"/>
        </w:rPr>
        <w:t xml:space="preserve">obvious </w:t>
      </w:r>
      <w:r w:rsidR="00612C37">
        <w:rPr>
          <w:rFonts w:ascii="Times New Roman" w:hAnsi="Times New Roman" w:cs="Times New Roman"/>
          <w:noProof/>
          <w:sz w:val="24"/>
          <w:szCs w:val="24"/>
        </w:rPr>
        <w:t>advantages</w:t>
      </w:r>
      <w:r w:rsidR="00E13F0D">
        <w:rPr>
          <w:rFonts w:ascii="Times New Roman" w:hAnsi="Times New Roman" w:cs="Times New Roman"/>
          <w:noProof/>
          <w:sz w:val="24"/>
          <w:szCs w:val="24"/>
        </w:rPr>
        <w:t xml:space="preserve"> in terms of data access by TPPs</w:t>
      </w:r>
      <w:r w:rsidR="00612C37">
        <w:rPr>
          <w:rFonts w:ascii="Times New Roman" w:hAnsi="Times New Roman" w:cs="Times New Roman"/>
          <w:noProof/>
          <w:sz w:val="24"/>
          <w:szCs w:val="24"/>
        </w:rPr>
        <w:t xml:space="preserve">. </w:t>
      </w:r>
      <w:r w:rsidR="00912270">
        <w:rPr>
          <w:rFonts w:ascii="Times New Roman" w:hAnsi="Times New Roman" w:cs="Times New Roman"/>
          <w:noProof/>
          <w:sz w:val="24"/>
          <w:szCs w:val="24"/>
        </w:rPr>
        <w:t>Adapting to a new standard w</w:t>
      </w:r>
      <w:r w:rsidR="00612C37">
        <w:rPr>
          <w:rFonts w:ascii="Times New Roman" w:hAnsi="Times New Roman" w:cs="Times New Roman"/>
          <w:noProof/>
          <w:sz w:val="24"/>
          <w:szCs w:val="24"/>
        </w:rPr>
        <w:t>ould ho</w:t>
      </w:r>
      <w:r w:rsidR="00E13F0D">
        <w:rPr>
          <w:rFonts w:ascii="Times New Roman" w:hAnsi="Times New Roman" w:cs="Times New Roman"/>
          <w:noProof/>
          <w:sz w:val="24"/>
          <w:szCs w:val="24"/>
        </w:rPr>
        <w:t>weve</w:t>
      </w:r>
      <w:r w:rsidR="00612C37">
        <w:rPr>
          <w:rFonts w:ascii="Times New Roman" w:hAnsi="Times New Roman" w:cs="Times New Roman"/>
          <w:noProof/>
          <w:sz w:val="24"/>
          <w:szCs w:val="24"/>
        </w:rPr>
        <w:t xml:space="preserve">r be quite </w:t>
      </w:r>
      <w:r>
        <w:rPr>
          <w:rFonts w:ascii="Times New Roman" w:hAnsi="Times New Roman" w:cs="Times New Roman"/>
          <w:noProof/>
          <w:sz w:val="24"/>
          <w:szCs w:val="24"/>
        </w:rPr>
        <w:t>costly</w:t>
      </w:r>
      <w:r w:rsidR="00E13F0D">
        <w:rPr>
          <w:rFonts w:ascii="Times New Roman" w:hAnsi="Times New Roman" w:cs="Times New Roman"/>
          <w:noProof/>
          <w:sz w:val="24"/>
          <w:szCs w:val="24"/>
        </w:rPr>
        <w:t xml:space="preserve"> for the market as a whole</w:t>
      </w:r>
      <w:r w:rsidR="00612C37">
        <w:rPr>
          <w:rFonts w:ascii="Times New Roman" w:hAnsi="Times New Roman" w:cs="Times New Roman"/>
          <w:noProof/>
          <w:sz w:val="24"/>
          <w:szCs w:val="24"/>
        </w:rPr>
        <w:t>. The PSD2 API standards in place in the EU, whilst still presenting some differences, have substantially converged over</w:t>
      </w:r>
      <w:r w:rsidR="00F701C2">
        <w:rPr>
          <w:rFonts w:ascii="Times New Roman" w:hAnsi="Times New Roman" w:cs="Times New Roman"/>
          <w:noProof/>
          <w:sz w:val="24"/>
          <w:szCs w:val="24"/>
        </w:rPr>
        <w:t xml:space="preserve"> </w:t>
      </w:r>
      <w:r w:rsidR="00612C37">
        <w:rPr>
          <w:rFonts w:ascii="Times New Roman" w:hAnsi="Times New Roman" w:cs="Times New Roman"/>
          <w:noProof/>
          <w:sz w:val="24"/>
          <w:szCs w:val="24"/>
        </w:rPr>
        <w:t xml:space="preserve">time. </w:t>
      </w:r>
      <w:r w:rsidR="00E13F0D">
        <w:rPr>
          <w:rFonts w:ascii="Times New Roman" w:hAnsi="Times New Roman" w:cs="Times New Roman"/>
          <w:noProof/>
          <w:sz w:val="24"/>
          <w:szCs w:val="24"/>
        </w:rPr>
        <w:t xml:space="preserve">And one of the two main API standards </w:t>
      </w:r>
      <w:r w:rsidR="00DA2644">
        <w:rPr>
          <w:rFonts w:ascii="Times New Roman" w:hAnsi="Times New Roman" w:cs="Times New Roman"/>
          <w:noProof/>
          <w:sz w:val="24"/>
          <w:szCs w:val="24"/>
        </w:rPr>
        <w:t xml:space="preserve">claims to account for </w:t>
      </w:r>
      <w:r w:rsidR="00DA2644" w:rsidRPr="00DA2644">
        <w:rPr>
          <w:rFonts w:ascii="Times New Roman" w:hAnsi="Times New Roman" w:cs="Times New Roman"/>
          <w:noProof/>
          <w:sz w:val="24"/>
          <w:szCs w:val="24"/>
        </w:rPr>
        <w:t xml:space="preserve">80% of the European open banking </w:t>
      </w:r>
      <w:r w:rsidR="00DA2644">
        <w:rPr>
          <w:rFonts w:ascii="Times New Roman" w:hAnsi="Times New Roman" w:cs="Times New Roman"/>
          <w:noProof/>
          <w:sz w:val="24"/>
          <w:szCs w:val="24"/>
        </w:rPr>
        <w:t>APIs</w:t>
      </w:r>
      <w:r w:rsidR="00E13F0D">
        <w:rPr>
          <w:rFonts w:ascii="Times New Roman" w:hAnsi="Times New Roman" w:cs="Times New Roman"/>
          <w:noProof/>
          <w:sz w:val="24"/>
          <w:szCs w:val="24"/>
        </w:rPr>
        <w:t>.</w:t>
      </w:r>
      <w:r w:rsidR="00AC37C7">
        <w:rPr>
          <w:rStyle w:val="FootnoteReference"/>
          <w:rFonts w:ascii="Times New Roman" w:hAnsi="Times New Roman" w:cs="Times New Roman"/>
          <w:noProof/>
          <w:sz w:val="24"/>
          <w:szCs w:val="24"/>
        </w:rPr>
        <w:footnoteReference w:id="14"/>
      </w:r>
      <w:r w:rsidR="00E13F0D">
        <w:rPr>
          <w:rFonts w:ascii="Times New Roman" w:hAnsi="Times New Roman" w:cs="Times New Roman"/>
          <w:noProof/>
          <w:sz w:val="24"/>
          <w:szCs w:val="24"/>
        </w:rPr>
        <w:t xml:space="preserve"> In addition, </w:t>
      </w:r>
      <w:r w:rsidR="00DA2644">
        <w:rPr>
          <w:rFonts w:ascii="Times New Roman" w:hAnsi="Times New Roman" w:cs="Times New Roman"/>
          <w:noProof/>
          <w:sz w:val="24"/>
          <w:szCs w:val="24"/>
        </w:rPr>
        <w:t>although</w:t>
      </w:r>
      <w:r w:rsidR="00912270">
        <w:rPr>
          <w:rFonts w:ascii="Times New Roman" w:hAnsi="Times New Roman" w:cs="Times New Roman"/>
          <w:noProof/>
          <w:sz w:val="24"/>
          <w:szCs w:val="24"/>
        </w:rPr>
        <w:t xml:space="preserve"> differences subsist </w:t>
      </w:r>
      <w:r w:rsidR="00DA2644">
        <w:rPr>
          <w:rFonts w:ascii="Times New Roman" w:hAnsi="Times New Roman" w:cs="Times New Roman"/>
          <w:noProof/>
          <w:sz w:val="24"/>
          <w:szCs w:val="24"/>
        </w:rPr>
        <w:t>(</w:t>
      </w:r>
      <w:r w:rsidR="00912270">
        <w:rPr>
          <w:rFonts w:ascii="Times New Roman" w:hAnsi="Times New Roman" w:cs="Times New Roman"/>
          <w:noProof/>
          <w:sz w:val="24"/>
          <w:szCs w:val="24"/>
        </w:rPr>
        <w:t>often caused by individual ASPSP variations of the main standards</w:t>
      </w:r>
      <w:r w:rsidR="00DA2644">
        <w:rPr>
          <w:rFonts w:ascii="Times New Roman" w:hAnsi="Times New Roman" w:cs="Times New Roman"/>
          <w:noProof/>
          <w:sz w:val="24"/>
          <w:szCs w:val="24"/>
        </w:rPr>
        <w:t>)</w:t>
      </w:r>
      <w:r w:rsidR="00912270">
        <w:rPr>
          <w:rFonts w:ascii="Times New Roman" w:hAnsi="Times New Roman" w:cs="Times New Roman"/>
          <w:noProof/>
          <w:sz w:val="24"/>
          <w:szCs w:val="24"/>
        </w:rPr>
        <w:t xml:space="preserve">, </w:t>
      </w:r>
      <w:r w:rsidR="007E30D4">
        <w:rPr>
          <w:rFonts w:ascii="Times New Roman" w:hAnsi="Times New Roman" w:cs="Times New Roman"/>
          <w:noProof/>
          <w:sz w:val="24"/>
          <w:szCs w:val="24"/>
        </w:rPr>
        <w:t>A</w:t>
      </w:r>
      <w:r w:rsidR="00912270">
        <w:rPr>
          <w:rFonts w:ascii="Times New Roman" w:hAnsi="Times New Roman" w:cs="Times New Roman"/>
          <w:noProof/>
          <w:sz w:val="24"/>
          <w:szCs w:val="24"/>
        </w:rPr>
        <w:t xml:space="preserve">PI </w:t>
      </w:r>
      <w:r w:rsidR="007E30D4">
        <w:rPr>
          <w:rFonts w:ascii="Times New Roman" w:hAnsi="Times New Roman" w:cs="Times New Roman"/>
          <w:noProof/>
          <w:sz w:val="24"/>
          <w:szCs w:val="24"/>
        </w:rPr>
        <w:t>“</w:t>
      </w:r>
      <w:r w:rsidR="00E13F0D">
        <w:rPr>
          <w:rFonts w:ascii="Times New Roman" w:hAnsi="Times New Roman" w:cs="Times New Roman"/>
          <w:noProof/>
          <w:sz w:val="24"/>
          <w:szCs w:val="24"/>
        </w:rPr>
        <w:t>aggregators</w:t>
      </w:r>
      <w:r w:rsidR="00DA2644">
        <w:rPr>
          <w:rFonts w:ascii="Times New Roman" w:hAnsi="Times New Roman" w:cs="Times New Roman"/>
          <w:noProof/>
          <w:sz w:val="24"/>
          <w:szCs w:val="24"/>
        </w:rPr>
        <w:t>”</w:t>
      </w:r>
      <w:r w:rsidR="00912270">
        <w:rPr>
          <w:rFonts w:ascii="Times New Roman" w:hAnsi="Times New Roman" w:cs="Times New Roman"/>
          <w:noProof/>
          <w:sz w:val="24"/>
          <w:szCs w:val="24"/>
        </w:rPr>
        <w:t xml:space="preserve"> provid</w:t>
      </w:r>
      <w:r w:rsidR="00DA2644">
        <w:rPr>
          <w:rFonts w:ascii="Times New Roman" w:hAnsi="Times New Roman" w:cs="Times New Roman"/>
          <w:noProof/>
          <w:sz w:val="24"/>
          <w:szCs w:val="24"/>
        </w:rPr>
        <w:t>e</w:t>
      </w:r>
      <w:r w:rsidR="00912270">
        <w:rPr>
          <w:rFonts w:ascii="Times New Roman" w:hAnsi="Times New Roman" w:cs="Times New Roman"/>
          <w:noProof/>
          <w:sz w:val="24"/>
          <w:szCs w:val="24"/>
        </w:rPr>
        <w:t xml:space="preserve"> a single implementation point</w:t>
      </w:r>
      <w:r w:rsidR="00E13F0D">
        <w:rPr>
          <w:rFonts w:ascii="Times New Roman" w:hAnsi="Times New Roman" w:cs="Times New Roman"/>
          <w:noProof/>
          <w:sz w:val="24"/>
          <w:szCs w:val="24"/>
        </w:rPr>
        <w:t xml:space="preserve">, </w:t>
      </w:r>
      <w:r w:rsidR="00DA2644">
        <w:rPr>
          <w:rFonts w:ascii="Times New Roman" w:hAnsi="Times New Roman" w:cs="Times New Roman"/>
          <w:noProof/>
          <w:sz w:val="24"/>
          <w:szCs w:val="24"/>
        </w:rPr>
        <w:t xml:space="preserve">allowing </w:t>
      </w:r>
      <w:r w:rsidR="00E13F0D">
        <w:rPr>
          <w:rFonts w:ascii="Times New Roman" w:hAnsi="Times New Roman" w:cs="Times New Roman"/>
          <w:noProof/>
          <w:sz w:val="24"/>
          <w:szCs w:val="24"/>
        </w:rPr>
        <w:t xml:space="preserve">the simultaneous connection by TPPs to a multitude of different APIs. Therefore, the Commission, largely </w:t>
      </w:r>
      <w:r w:rsidR="00912270">
        <w:rPr>
          <w:rFonts w:ascii="Times New Roman" w:hAnsi="Times New Roman" w:cs="Times New Roman"/>
          <w:noProof/>
          <w:sz w:val="24"/>
          <w:szCs w:val="24"/>
        </w:rPr>
        <w:t xml:space="preserve">supported </w:t>
      </w:r>
      <w:r w:rsidR="00E13F0D">
        <w:rPr>
          <w:rFonts w:ascii="Times New Roman" w:hAnsi="Times New Roman" w:cs="Times New Roman"/>
          <w:noProof/>
          <w:sz w:val="24"/>
          <w:szCs w:val="24"/>
        </w:rPr>
        <w:t xml:space="preserve">by the market, considers that the costs of introducing a new single API standard in the EU would </w:t>
      </w:r>
      <w:r w:rsidR="00912270">
        <w:rPr>
          <w:rFonts w:ascii="Times New Roman" w:hAnsi="Times New Roman" w:cs="Times New Roman"/>
          <w:noProof/>
          <w:sz w:val="24"/>
          <w:szCs w:val="24"/>
        </w:rPr>
        <w:t xml:space="preserve">overall </w:t>
      </w:r>
      <w:r w:rsidR="00E13F0D">
        <w:rPr>
          <w:rFonts w:ascii="Times New Roman" w:hAnsi="Times New Roman" w:cs="Times New Roman"/>
          <w:noProof/>
          <w:sz w:val="24"/>
          <w:szCs w:val="24"/>
        </w:rPr>
        <w:t xml:space="preserve">outweigh the benefits.  </w:t>
      </w:r>
    </w:p>
    <w:p w14:paraId="6D62621D" w14:textId="69582C73" w:rsidR="000C0DFC" w:rsidRDefault="00E973DB"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Nor does t</w:t>
      </w:r>
      <w:r w:rsidR="00540C48">
        <w:rPr>
          <w:rFonts w:ascii="Times New Roman" w:hAnsi="Times New Roman" w:cs="Times New Roman"/>
          <w:noProof/>
          <w:sz w:val="24"/>
          <w:szCs w:val="24"/>
        </w:rPr>
        <w:t xml:space="preserve">he Commission see merits in </w:t>
      </w:r>
      <w:bookmarkStart w:id="31" w:name="_Hlk129002859"/>
      <w:r w:rsidR="00255868">
        <w:rPr>
          <w:rFonts w:ascii="Times New Roman" w:hAnsi="Times New Roman" w:cs="Times New Roman"/>
          <w:noProof/>
          <w:sz w:val="24"/>
          <w:szCs w:val="24"/>
        </w:rPr>
        <w:t>chang</w:t>
      </w:r>
      <w:r w:rsidR="00540C48">
        <w:rPr>
          <w:rFonts w:ascii="Times New Roman" w:hAnsi="Times New Roman" w:cs="Times New Roman"/>
          <w:noProof/>
          <w:sz w:val="24"/>
          <w:szCs w:val="24"/>
        </w:rPr>
        <w:t>ing</w:t>
      </w:r>
      <w:r w:rsidR="00255868">
        <w:rPr>
          <w:rFonts w:ascii="Times New Roman" w:hAnsi="Times New Roman" w:cs="Times New Roman"/>
          <w:noProof/>
          <w:sz w:val="24"/>
          <w:szCs w:val="24"/>
        </w:rPr>
        <w:t xml:space="preserve"> the </w:t>
      </w:r>
      <w:r w:rsidR="00540C48">
        <w:rPr>
          <w:rFonts w:ascii="Times New Roman" w:hAnsi="Times New Roman" w:cs="Times New Roman"/>
          <w:noProof/>
          <w:sz w:val="24"/>
          <w:szCs w:val="24"/>
        </w:rPr>
        <w:t xml:space="preserve">PSD2 </w:t>
      </w:r>
      <w:r w:rsidR="00255868">
        <w:rPr>
          <w:rFonts w:ascii="Times New Roman" w:hAnsi="Times New Roman" w:cs="Times New Roman"/>
          <w:noProof/>
          <w:sz w:val="24"/>
          <w:szCs w:val="24"/>
        </w:rPr>
        <w:t xml:space="preserve">default rule of allowing access </w:t>
      </w:r>
      <w:r w:rsidR="00B67342">
        <w:rPr>
          <w:rFonts w:ascii="Times New Roman" w:hAnsi="Times New Roman" w:cs="Times New Roman"/>
          <w:noProof/>
          <w:sz w:val="24"/>
          <w:szCs w:val="24"/>
        </w:rPr>
        <w:t>t</w:t>
      </w:r>
      <w:r w:rsidR="006B4E6C">
        <w:rPr>
          <w:rFonts w:ascii="Times New Roman" w:hAnsi="Times New Roman" w:cs="Times New Roman"/>
          <w:noProof/>
          <w:sz w:val="24"/>
          <w:szCs w:val="24"/>
        </w:rPr>
        <w:t xml:space="preserve">o data </w:t>
      </w:r>
      <w:r w:rsidR="00C06779">
        <w:rPr>
          <w:rFonts w:ascii="Times New Roman" w:hAnsi="Times New Roman" w:cs="Times New Roman"/>
          <w:noProof/>
          <w:sz w:val="24"/>
          <w:szCs w:val="24"/>
        </w:rPr>
        <w:t xml:space="preserve">by TPPs </w:t>
      </w:r>
      <w:r w:rsidR="00255868">
        <w:rPr>
          <w:rFonts w:ascii="Times New Roman" w:hAnsi="Times New Roman" w:cs="Times New Roman"/>
          <w:noProof/>
          <w:sz w:val="24"/>
          <w:szCs w:val="24"/>
        </w:rPr>
        <w:t xml:space="preserve">without a </w:t>
      </w:r>
      <w:r w:rsidR="00912270">
        <w:rPr>
          <w:rFonts w:ascii="Times New Roman" w:hAnsi="Times New Roman" w:cs="Times New Roman"/>
          <w:noProof/>
          <w:sz w:val="24"/>
          <w:szCs w:val="24"/>
        </w:rPr>
        <w:t xml:space="preserve">mandatory </w:t>
      </w:r>
      <w:r w:rsidR="00255868">
        <w:rPr>
          <w:rFonts w:ascii="Times New Roman" w:hAnsi="Times New Roman" w:cs="Times New Roman"/>
          <w:noProof/>
          <w:sz w:val="24"/>
          <w:szCs w:val="24"/>
        </w:rPr>
        <w:t xml:space="preserve">contractual relationship </w:t>
      </w:r>
      <w:r w:rsidR="00912270">
        <w:rPr>
          <w:rFonts w:ascii="Times New Roman" w:hAnsi="Times New Roman" w:cs="Times New Roman"/>
          <w:noProof/>
          <w:sz w:val="24"/>
          <w:szCs w:val="24"/>
        </w:rPr>
        <w:t xml:space="preserve">and therefore without financial compensation for ASPSPs. Introducing such a radical change in the </w:t>
      </w:r>
      <w:r w:rsidR="00A43211">
        <w:rPr>
          <w:rFonts w:ascii="Times New Roman" w:hAnsi="Times New Roman" w:cs="Times New Roman"/>
          <w:noProof/>
          <w:sz w:val="24"/>
          <w:szCs w:val="24"/>
        </w:rPr>
        <w:t>open banking</w:t>
      </w:r>
      <w:r w:rsidR="00912270">
        <w:rPr>
          <w:rFonts w:ascii="Times New Roman" w:hAnsi="Times New Roman" w:cs="Times New Roman"/>
          <w:noProof/>
          <w:sz w:val="24"/>
          <w:szCs w:val="24"/>
        </w:rPr>
        <w:t xml:space="preserve"> ecosystem would be potentially very disruptive</w:t>
      </w:r>
      <w:r w:rsidR="00DA2644">
        <w:rPr>
          <w:rFonts w:ascii="Times New Roman" w:hAnsi="Times New Roman" w:cs="Times New Roman"/>
          <w:noProof/>
          <w:sz w:val="24"/>
          <w:szCs w:val="24"/>
        </w:rPr>
        <w:t>,</w:t>
      </w:r>
      <w:r w:rsidR="00912270">
        <w:rPr>
          <w:rFonts w:ascii="Times New Roman" w:hAnsi="Times New Roman" w:cs="Times New Roman"/>
          <w:noProof/>
          <w:sz w:val="24"/>
          <w:szCs w:val="24"/>
        </w:rPr>
        <w:t xml:space="preserve"> with no guarantee that the performance of interface</w:t>
      </w:r>
      <w:r w:rsidR="004551A2">
        <w:rPr>
          <w:rFonts w:ascii="Times New Roman" w:hAnsi="Times New Roman" w:cs="Times New Roman"/>
          <w:noProof/>
          <w:sz w:val="24"/>
          <w:szCs w:val="24"/>
        </w:rPr>
        <w:t>s</w:t>
      </w:r>
      <w:r w:rsidR="00912270">
        <w:rPr>
          <w:rFonts w:ascii="Times New Roman" w:hAnsi="Times New Roman" w:cs="Times New Roman"/>
          <w:noProof/>
          <w:sz w:val="24"/>
          <w:szCs w:val="24"/>
        </w:rPr>
        <w:t xml:space="preserve"> would be rapidly and significantly improved. The market </w:t>
      </w:r>
      <w:r w:rsidR="00015733">
        <w:rPr>
          <w:rFonts w:ascii="Times New Roman" w:hAnsi="Times New Roman" w:cs="Times New Roman"/>
          <w:noProof/>
          <w:sz w:val="24"/>
          <w:szCs w:val="24"/>
        </w:rPr>
        <w:t>sh</w:t>
      </w:r>
      <w:r w:rsidR="00912270">
        <w:rPr>
          <w:rFonts w:ascii="Times New Roman" w:hAnsi="Times New Roman" w:cs="Times New Roman"/>
          <w:noProof/>
          <w:sz w:val="24"/>
          <w:szCs w:val="24"/>
        </w:rPr>
        <w:t xml:space="preserve">ould </w:t>
      </w:r>
      <w:r w:rsidR="00015733">
        <w:rPr>
          <w:rFonts w:ascii="Times New Roman" w:hAnsi="Times New Roman" w:cs="Times New Roman"/>
          <w:noProof/>
          <w:sz w:val="24"/>
          <w:szCs w:val="24"/>
        </w:rPr>
        <w:t xml:space="preserve">however </w:t>
      </w:r>
      <w:r w:rsidR="00912270">
        <w:rPr>
          <w:rFonts w:ascii="Times New Roman" w:hAnsi="Times New Roman" w:cs="Times New Roman"/>
          <w:noProof/>
          <w:sz w:val="24"/>
          <w:szCs w:val="24"/>
        </w:rPr>
        <w:t xml:space="preserve">be free to conclude agreements, accompanied by a compensation regime, </w:t>
      </w:r>
      <w:r w:rsidR="00432672">
        <w:rPr>
          <w:rFonts w:ascii="Times New Roman" w:hAnsi="Times New Roman" w:cs="Times New Roman"/>
          <w:noProof/>
          <w:sz w:val="24"/>
          <w:szCs w:val="24"/>
        </w:rPr>
        <w:t>for services going beyond</w:t>
      </w:r>
      <w:r w:rsidR="00912270">
        <w:rPr>
          <w:rFonts w:ascii="Times New Roman" w:hAnsi="Times New Roman" w:cs="Times New Roman"/>
          <w:noProof/>
          <w:sz w:val="24"/>
          <w:szCs w:val="24"/>
        </w:rPr>
        <w:t xml:space="preserve"> th</w:t>
      </w:r>
      <w:r w:rsidR="00432672">
        <w:rPr>
          <w:rFonts w:ascii="Times New Roman" w:hAnsi="Times New Roman" w:cs="Times New Roman"/>
          <w:noProof/>
          <w:sz w:val="24"/>
          <w:szCs w:val="24"/>
        </w:rPr>
        <w:t xml:space="preserve">ose regulated in the </w:t>
      </w:r>
      <w:r w:rsidR="004551A2">
        <w:rPr>
          <w:rFonts w:ascii="Times New Roman" w:hAnsi="Times New Roman" w:cs="Times New Roman"/>
          <w:noProof/>
          <w:sz w:val="24"/>
          <w:szCs w:val="24"/>
        </w:rPr>
        <w:t xml:space="preserve">revised </w:t>
      </w:r>
      <w:r w:rsidR="00912270">
        <w:rPr>
          <w:rFonts w:ascii="Times New Roman" w:hAnsi="Times New Roman" w:cs="Times New Roman"/>
          <w:noProof/>
          <w:sz w:val="24"/>
          <w:szCs w:val="24"/>
        </w:rPr>
        <w:t>PSD2</w:t>
      </w:r>
      <w:r w:rsidR="00015733">
        <w:rPr>
          <w:rFonts w:ascii="Times New Roman" w:hAnsi="Times New Roman" w:cs="Times New Roman"/>
          <w:noProof/>
          <w:sz w:val="24"/>
          <w:szCs w:val="24"/>
        </w:rPr>
        <w:t>,</w:t>
      </w:r>
      <w:r w:rsidR="00912270">
        <w:rPr>
          <w:rStyle w:val="FootnoteReference"/>
          <w:rFonts w:ascii="Times New Roman" w:hAnsi="Times New Roman" w:cs="Times New Roman"/>
          <w:noProof/>
          <w:sz w:val="24"/>
          <w:szCs w:val="24"/>
        </w:rPr>
        <w:footnoteReference w:id="15"/>
      </w:r>
      <w:r w:rsidR="00912270">
        <w:rPr>
          <w:rFonts w:ascii="Times New Roman" w:hAnsi="Times New Roman" w:cs="Times New Roman"/>
          <w:noProof/>
          <w:sz w:val="24"/>
          <w:szCs w:val="24"/>
        </w:rPr>
        <w:t xml:space="preserve"> but it should always be possible for any </w:t>
      </w:r>
      <w:r w:rsidR="00DA2644">
        <w:rPr>
          <w:rFonts w:ascii="Times New Roman" w:hAnsi="Times New Roman" w:cs="Times New Roman"/>
          <w:noProof/>
          <w:sz w:val="24"/>
          <w:szCs w:val="24"/>
        </w:rPr>
        <w:t>TPPs</w:t>
      </w:r>
      <w:r w:rsidR="00912270">
        <w:rPr>
          <w:rFonts w:ascii="Times New Roman" w:hAnsi="Times New Roman" w:cs="Times New Roman"/>
          <w:noProof/>
          <w:sz w:val="24"/>
          <w:szCs w:val="24"/>
        </w:rPr>
        <w:t xml:space="preserve"> to benefit</w:t>
      </w:r>
      <w:r w:rsidR="00DA2644" w:rsidRPr="00DA2644">
        <w:rPr>
          <w:rFonts w:ascii="Times New Roman" w:hAnsi="Times New Roman" w:cs="Times New Roman"/>
          <w:noProof/>
          <w:sz w:val="24"/>
          <w:szCs w:val="24"/>
        </w:rPr>
        <w:t xml:space="preserve"> </w:t>
      </w:r>
      <w:r w:rsidR="00DA2644">
        <w:rPr>
          <w:rFonts w:ascii="Times New Roman" w:hAnsi="Times New Roman" w:cs="Times New Roman"/>
          <w:noProof/>
          <w:sz w:val="24"/>
          <w:szCs w:val="24"/>
        </w:rPr>
        <w:t>from the PSD2 ‘baseline’ services</w:t>
      </w:r>
      <w:r w:rsidR="00BB6063">
        <w:rPr>
          <w:rFonts w:ascii="Times New Roman" w:hAnsi="Times New Roman" w:cs="Times New Roman"/>
          <w:noProof/>
          <w:sz w:val="24"/>
          <w:szCs w:val="24"/>
        </w:rPr>
        <w:t xml:space="preserve"> without prior </w:t>
      </w:r>
      <w:r w:rsidR="005E2E0B">
        <w:rPr>
          <w:rFonts w:ascii="Times New Roman" w:hAnsi="Times New Roman" w:cs="Times New Roman"/>
          <w:noProof/>
          <w:sz w:val="24"/>
          <w:szCs w:val="24"/>
        </w:rPr>
        <w:t xml:space="preserve">contractual </w:t>
      </w:r>
      <w:r w:rsidR="00BB6063">
        <w:rPr>
          <w:rFonts w:ascii="Times New Roman" w:hAnsi="Times New Roman" w:cs="Times New Roman"/>
          <w:noProof/>
          <w:sz w:val="24"/>
          <w:szCs w:val="24"/>
        </w:rPr>
        <w:t>agreement</w:t>
      </w:r>
      <w:r w:rsidR="00DA2644">
        <w:rPr>
          <w:rFonts w:ascii="Times New Roman" w:hAnsi="Times New Roman" w:cs="Times New Roman"/>
          <w:noProof/>
          <w:sz w:val="24"/>
          <w:szCs w:val="24"/>
        </w:rPr>
        <w:t xml:space="preserve"> or charging</w:t>
      </w:r>
      <w:r w:rsidR="00BB6063">
        <w:rPr>
          <w:rFonts w:ascii="Times New Roman" w:hAnsi="Times New Roman" w:cs="Times New Roman"/>
          <w:noProof/>
          <w:sz w:val="24"/>
          <w:szCs w:val="24"/>
        </w:rPr>
        <w:t>.</w:t>
      </w:r>
      <w:r w:rsidR="00912270">
        <w:rPr>
          <w:rFonts w:ascii="Times New Roman" w:hAnsi="Times New Roman" w:cs="Times New Roman"/>
          <w:noProof/>
          <w:sz w:val="24"/>
          <w:szCs w:val="24"/>
        </w:rPr>
        <w:t xml:space="preserve"> </w:t>
      </w:r>
      <w:r w:rsidR="00255868">
        <w:rPr>
          <w:rFonts w:ascii="Times New Roman" w:hAnsi="Times New Roman" w:cs="Times New Roman"/>
          <w:noProof/>
          <w:sz w:val="24"/>
          <w:szCs w:val="24"/>
        </w:rPr>
        <w:t>On the other hand, new minimum requirements for the performance of dedicated interfaces</w:t>
      </w:r>
      <w:r w:rsidR="00BB6063">
        <w:rPr>
          <w:rFonts w:ascii="Times New Roman" w:hAnsi="Times New Roman" w:cs="Times New Roman"/>
          <w:noProof/>
          <w:sz w:val="24"/>
          <w:szCs w:val="24"/>
        </w:rPr>
        <w:t xml:space="preserve">, including a </w:t>
      </w:r>
      <w:r w:rsidR="00E8555A">
        <w:rPr>
          <w:rFonts w:ascii="Times New Roman" w:hAnsi="Times New Roman" w:cs="Times New Roman"/>
          <w:noProof/>
          <w:sz w:val="24"/>
          <w:szCs w:val="24"/>
        </w:rPr>
        <w:t xml:space="preserve">non-exhaustive </w:t>
      </w:r>
      <w:r w:rsidR="00BB6063">
        <w:rPr>
          <w:rFonts w:ascii="Times New Roman" w:hAnsi="Times New Roman" w:cs="Times New Roman"/>
          <w:noProof/>
          <w:sz w:val="24"/>
          <w:szCs w:val="24"/>
        </w:rPr>
        <w:t>set of prohibited OB obstacles,</w:t>
      </w:r>
      <w:r w:rsidR="00255868">
        <w:rPr>
          <w:rFonts w:ascii="Times New Roman" w:hAnsi="Times New Roman" w:cs="Times New Roman"/>
          <w:noProof/>
          <w:sz w:val="24"/>
          <w:szCs w:val="24"/>
        </w:rPr>
        <w:t xml:space="preserve"> will be laid down</w:t>
      </w:r>
      <w:r w:rsidR="00CB6C1B">
        <w:rPr>
          <w:rFonts w:ascii="Times New Roman" w:hAnsi="Times New Roman" w:cs="Times New Roman"/>
          <w:noProof/>
          <w:sz w:val="24"/>
          <w:szCs w:val="24"/>
        </w:rPr>
        <w:t xml:space="preserve"> in the </w:t>
      </w:r>
      <w:r w:rsidR="004551A2">
        <w:rPr>
          <w:rFonts w:ascii="Times New Roman" w:hAnsi="Times New Roman" w:cs="Times New Roman"/>
          <w:noProof/>
          <w:sz w:val="24"/>
          <w:szCs w:val="24"/>
        </w:rPr>
        <w:t xml:space="preserve">acts </w:t>
      </w:r>
      <w:r w:rsidR="00CB6C1B">
        <w:rPr>
          <w:rFonts w:ascii="Times New Roman" w:hAnsi="Times New Roman" w:cs="Times New Roman"/>
          <w:noProof/>
          <w:sz w:val="24"/>
          <w:szCs w:val="24"/>
        </w:rPr>
        <w:t>revis</w:t>
      </w:r>
      <w:r w:rsidR="004551A2">
        <w:rPr>
          <w:rFonts w:ascii="Times New Roman" w:hAnsi="Times New Roman" w:cs="Times New Roman"/>
          <w:noProof/>
          <w:sz w:val="24"/>
          <w:szCs w:val="24"/>
        </w:rPr>
        <w:t>ing</w:t>
      </w:r>
      <w:r w:rsidR="00CB6C1B">
        <w:rPr>
          <w:rFonts w:ascii="Times New Roman" w:hAnsi="Times New Roman" w:cs="Times New Roman"/>
          <w:noProof/>
          <w:sz w:val="24"/>
          <w:szCs w:val="24"/>
        </w:rPr>
        <w:t xml:space="preserve"> PSD2</w:t>
      </w:r>
      <w:r w:rsidR="00BB6063">
        <w:rPr>
          <w:rFonts w:ascii="Times New Roman" w:hAnsi="Times New Roman" w:cs="Times New Roman"/>
          <w:noProof/>
          <w:sz w:val="24"/>
          <w:szCs w:val="24"/>
        </w:rPr>
        <w:t xml:space="preserve"> to ensure optimal TPP data access for the full benefit of their clients</w:t>
      </w:r>
      <w:r w:rsidR="00CB6C1B">
        <w:rPr>
          <w:rFonts w:ascii="Times New Roman" w:hAnsi="Times New Roman" w:cs="Times New Roman"/>
          <w:noProof/>
          <w:sz w:val="24"/>
          <w:szCs w:val="24"/>
        </w:rPr>
        <w:t xml:space="preserve">. </w:t>
      </w:r>
    </w:p>
    <w:p w14:paraId="1EC07301" w14:textId="2F830B04" w:rsidR="00255868" w:rsidRDefault="005E61D8" w:rsidP="00BD71BE">
      <w:pPr>
        <w:spacing w:before="120" w:after="120" w:line="240" w:lineRule="auto"/>
        <w:jc w:val="both"/>
        <w:rPr>
          <w:rFonts w:ascii="Times New Roman" w:hAnsi="Times New Roman" w:cs="Times New Roman"/>
          <w:noProof/>
          <w:sz w:val="24"/>
          <w:szCs w:val="24"/>
        </w:rPr>
      </w:pPr>
      <w:r w:rsidRPr="00AE3F61">
        <w:rPr>
          <w:rFonts w:ascii="Times New Roman" w:hAnsi="Times New Roman" w:cs="Times New Roman"/>
          <w:noProof/>
          <w:sz w:val="24"/>
          <w:szCs w:val="24"/>
        </w:rPr>
        <w:t xml:space="preserve">Currently, </w:t>
      </w:r>
      <w:r w:rsidR="00F257A5">
        <w:rPr>
          <w:rFonts w:ascii="Times New Roman" w:hAnsi="Times New Roman" w:cs="Times New Roman"/>
          <w:noProof/>
          <w:sz w:val="24"/>
          <w:szCs w:val="24"/>
        </w:rPr>
        <w:t xml:space="preserve">with PSD2, </w:t>
      </w:r>
      <w:r w:rsidRPr="00AE3F61">
        <w:rPr>
          <w:rFonts w:ascii="Times New Roman" w:hAnsi="Times New Roman" w:cs="Times New Roman"/>
          <w:noProof/>
          <w:sz w:val="24"/>
          <w:szCs w:val="24"/>
        </w:rPr>
        <w:t xml:space="preserve">ASPSPs must maintain </w:t>
      </w:r>
      <w:r w:rsidR="00F257A5">
        <w:rPr>
          <w:rFonts w:ascii="Times New Roman" w:hAnsi="Times New Roman" w:cs="Times New Roman"/>
          <w:noProof/>
          <w:sz w:val="24"/>
          <w:szCs w:val="24"/>
        </w:rPr>
        <w:t xml:space="preserve">-except if they benefit from an exemption- </w:t>
      </w:r>
      <w:r w:rsidRPr="00AE3F61">
        <w:rPr>
          <w:rFonts w:ascii="Times New Roman" w:hAnsi="Times New Roman" w:cs="Times New Roman"/>
          <w:noProof/>
          <w:sz w:val="24"/>
          <w:szCs w:val="24"/>
        </w:rPr>
        <w:t xml:space="preserve">two </w:t>
      </w:r>
      <w:r w:rsidR="005C5BE0">
        <w:rPr>
          <w:rFonts w:ascii="Times New Roman" w:hAnsi="Times New Roman" w:cs="Times New Roman"/>
          <w:noProof/>
          <w:sz w:val="24"/>
          <w:szCs w:val="24"/>
        </w:rPr>
        <w:t xml:space="preserve">OB data </w:t>
      </w:r>
      <w:r w:rsidRPr="00AE3F61">
        <w:rPr>
          <w:rFonts w:ascii="Times New Roman" w:hAnsi="Times New Roman" w:cs="Times New Roman"/>
          <w:noProof/>
          <w:sz w:val="24"/>
          <w:szCs w:val="24"/>
        </w:rPr>
        <w:t xml:space="preserve">interfaces, a principal interface and a </w:t>
      </w:r>
      <w:r>
        <w:rPr>
          <w:rFonts w:ascii="Times New Roman" w:hAnsi="Times New Roman" w:cs="Times New Roman"/>
          <w:noProof/>
          <w:sz w:val="24"/>
          <w:szCs w:val="24"/>
        </w:rPr>
        <w:t>“</w:t>
      </w:r>
      <w:r w:rsidRPr="00AE3F61">
        <w:rPr>
          <w:rFonts w:ascii="Times New Roman" w:hAnsi="Times New Roman" w:cs="Times New Roman"/>
          <w:noProof/>
          <w:sz w:val="24"/>
          <w:szCs w:val="24"/>
        </w:rPr>
        <w:t>fallback interface</w:t>
      </w:r>
      <w:r>
        <w:rPr>
          <w:rFonts w:ascii="Times New Roman" w:hAnsi="Times New Roman" w:cs="Times New Roman"/>
          <w:noProof/>
          <w:sz w:val="24"/>
          <w:szCs w:val="24"/>
        </w:rPr>
        <w:t>”</w:t>
      </w:r>
      <w:r w:rsidRPr="00AE3F61">
        <w:rPr>
          <w:rFonts w:ascii="Times New Roman" w:hAnsi="Times New Roman" w:cs="Times New Roman"/>
          <w:noProof/>
          <w:sz w:val="24"/>
          <w:szCs w:val="24"/>
        </w:rPr>
        <w:t>.</w:t>
      </w:r>
      <w:r>
        <w:rPr>
          <w:rFonts w:ascii="Times New Roman" w:hAnsi="Times New Roman" w:cs="Times New Roman"/>
          <w:noProof/>
          <w:sz w:val="24"/>
          <w:szCs w:val="24"/>
        </w:rPr>
        <w:t xml:space="preserve"> However, </w:t>
      </w:r>
      <w:r w:rsidR="005C5BE0">
        <w:rPr>
          <w:rFonts w:ascii="Times New Roman" w:hAnsi="Times New Roman" w:cs="Times New Roman"/>
          <w:noProof/>
          <w:sz w:val="24"/>
          <w:szCs w:val="24"/>
        </w:rPr>
        <w:t xml:space="preserve">this rather complex regime should be streamlined: </w:t>
      </w:r>
      <w:r w:rsidR="001C1ABA">
        <w:rPr>
          <w:rFonts w:ascii="Times New Roman" w:hAnsi="Times New Roman" w:cs="Times New Roman"/>
          <w:noProof/>
          <w:sz w:val="24"/>
          <w:szCs w:val="24"/>
        </w:rPr>
        <w:t xml:space="preserve">if </w:t>
      </w:r>
      <w:r>
        <w:rPr>
          <w:rFonts w:ascii="Times New Roman" w:hAnsi="Times New Roman" w:cs="Times New Roman"/>
          <w:noProof/>
          <w:sz w:val="24"/>
          <w:szCs w:val="24"/>
        </w:rPr>
        <w:t>ASPSPs</w:t>
      </w:r>
      <w:r w:rsidR="004551A2">
        <w:rPr>
          <w:rFonts w:ascii="Times New Roman" w:hAnsi="Times New Roman" w:cs="Times New Roman"/>
          <w:noProof/>
          <w:sz w:val="24"/>
          <w:szCs w:val="24"/>
        </w:rPr>
        <w:t xml:space="preserve"> </w:t>
      </w:r>
      <w:r w:rsidR="00BB6063">
        <w:rPr>
          <w:rFonts w:ascii="Times New Roman" w:hAnsi="Times New Roman" w:cs="Times New Roman"/>
          <w:noProof/>
          <w:sz w:val="24"/>
          <w:szCs w:val="24"/>
        </w:rPr>
        <w:t xml:space="preserve">offer </w:t>
      </w:r>
      <w:r w:rsidR="00165B2B">
        <w:rPr>
          <w:rFonts w:ascii="Times New Roman" w:hAnsi="Times New Roman" w:cs="Times New Roman"/>
          <w:noProof/>
          <w:sz w:val="24"/>
          <w:szCs w:val="24"/>
        </w:rPr>
        <w:t>compliant</w:t>
      </w:r>
      <w:r w:rsidR="00BB6063">
        <w:rPr>
          <w:rFonts w:ascii="Times New Roman" w:hAnsi="Times New Roman" w:cs="Times New Roman"/>
          <w:noProof/>
          <w:sz w:val="24"/>
          <w:szCs w:val="24"/>
        </w:rPr>
        <w:t xml:space="preserve"> dedicated interfaces </w:t>
      </w:r>
      <w:r w:rsidR="001C1ABA">
        <w:rPr>
          <w:rFonts w:ascii="Times New Roman" w:hAnsi="Times New Roman" w:cs="Times New Roman"/>
          <w:noProof/>
          <w:sz w:val="24"/>
          <w:szCs w:val="24"/>
        </w:rPr>
        <w:t xml:space="preserve">providing </w:t>
      </w:r>
      <w:r w:rsidR="00BB6063">
        <w:rPr>
          <w:rFonts w:ascii="Times New Roman" w:hAnsi="Times New Roman" w:cs="Times New Roman"/>
          <w:noProof/>
          <w:sz w:val="24"/>
          <w:szCs w:val="24"/>
        </w:rPr>
        <w:t>to TPPs the data the</w:t>
      </w:r>
      <w:r>
        <w:rPr>
          <w:rFonts w:ascii="Times New Roman" w:hAnsi="Times New Roman" w:cs="Times New Roman"/>
          <w:noProof/>
          <w:sz w:val="24"/>
          <w:szCs w:val="24"/>
        </w:rPr>
        <w:t xml:space="preserve">y </w:t>
      </w:r>
      <w:r w:rsidR="00BB6063">
        <w:rPr>
          <w:rFonts w:ascii="Times New Roman" w:hAnsi="Times New Roman" w:cs="Times New Roman"/>
          <w:noProof/>
          <w:sz w:val="24"/>
          <w:szCs w:val="24"/>
        </w:rPr>
        <w:t>need to service their clients</w:t>
      </w:r>
      <w:r w:rsidR="005E2E0B">
        <w:rPr>
          <w:rFonts w:ascii="Times New Roman" w:hAnsi="Times New Roman" w:cs="Times New Roman"/>
          <w:noProof/>
          <w:sz w:val="24"/>
          <w:szCs w:val="24"/>
        </w:rPr>
        <w:t>,</w:t>
      </w:r>
      <w:r w:rsidR="00BB6063">
        <w:rPr>
          <w:rFonts w:ascii="Times New Roman" w:hAnsi="Times New Roman" w:cs="Times New Roman"/>
          <w:noProof/>
          <w:sz w:val="24"/>
          <w:szCs w:val="24"/>
        </w:rPr>
        <w:t xml:space="preserve"> </w:t>
      </w:r>
      <w:r w:rsidR="004551A2">
        <w:rPr>
          <w:rFonts w:ascii="Times New Roman" w:hAnsi="Times New Roman" w:cs="Times New Roman"/>
          <w:noProof/>
          <w:sz w:val="24"/>
          <w:szCs w:val="24"/>
        </w:rPr>
        <w:t xml:space="preserve">there is no reason to continue </w:t>
      </w:r>
      <w:r w:rsidR="00015733">
        <w:rPr>
          <w:rFonts w:ascii="Times New Roman" w:hAnsi="Times New Roman" w:cs="Times New Roman"/>
          <w:noProof/>
          <w:sz w:val="24"/>
          <w:szCs w:val="24"/>
        </w:rPr>
        <w:t xml:space="preserve">with this two interfaces </w:t>
      </w:r>
      <w:r>
        <w:rPr>
          <w:rFonts w:ascii="Times New Roman" w:hAnsi="Times New Roman" w:cs="Times New Roman"/>
          <w:noProof/>
          <w:sz w:val="24"/>
          <w:szCs w:val="24"/>
        </w:rPr>
        <w:t>requirement</w:t>
      </w:r>
      <w:r w:rsidR="004551A2">
        <w:rPr>
          <w:rFonts w:ascii="Times New Roman" w:hAnsi="Times New Roman" w:cs="Times New Roman"/>
          <w:noProof/>
          <w:sz w:val="24"/>
          <w:szCs w:val="24"/>
        </w:rPr>
        <w:t xml:space="preserve">. </w:t>
      </w:r>
      <w:r w:rsidR="00015733">
        <w:rPr>
          <w:rFonts w:ascii="Times New Roman" w:hAnsi="Times New Roman" w:cs="Times New Roman"/>
          <w:noProof/>
          <w:sz w:val="24"/>
          <w:szCs w:val="24"/>
        </w:rPr>
        <w:t xml:space="preserve">ASPSPs </w:t>
      </w:r>
      <w:r w:rsidR="004551A2">
        <w:rPr>
          <w:rFonts w:ascii="Times New Roman" w:hAnsi="Times New Roman" w:cs="Times New Roman"/>
          <w:noProof/>
          <w:sz w:val="24"/>
          <w:szCs w:val="24"/>
        </w:rPr>
        <w:t xml:space="preserve">should rather </w:t>
      </w:r>
      <w:r w:rsidR="005E2E0B">
        <w:rPr>
          <w:rFonts w:ascii="Times New Roman" w:hAnsi="Times New Roman" w:cs="Times New Roman"/>
          <w:noProof/>
          <w:sz w:val="24"/>
          <w:szCs w:val="24"/>
        </w:rPr>
        <w:t xml:space="preserve">only </w:t>
      </w:r>
      <w:r w:rsidR="001C1ABA">
        <w:rPr>
          <w:rFonts w:ascii="Times New Roman" w:hAnsi="Times New Roman" w:cs="Times New Roman"/>
          <w:noProof/>
          <w:sz w:val="24"/>
          <w:szCs w:val="24"/>
        </w:rPr>
        <w:t xml:space="preserve">be required to </w:t>
      </w:r>
      <w:r w:rsidR="005E2E0B">
        <w:rPr>
          <w:rFonts w:ascii="Times New Roman" w:hAnsi="Times New Roman" w:cs="Times New Roman"/>
          <w:noProof/>
          <w:sz w:val="24"/>
          <w:szCs w:val="24"/>
        </w:rPr>
        <w:t xml:space="preserve">maintain </w:t>
      </w:r>
      <w:r w:rsidR="00C7628C">
        <w:rPr>
          <w:rFonts w:ascii="Times New Roman" w:hAnsi="Times New Roman" w:cs="Times New Roman"/>
          <w:noProof/>
          <w:sz w:val="24"/>
          <w:szCs w:val="24"/>
        </w:rPr>
        <w:t xml:space="preserve">permanently </w:t>
      </w:r>
      <w:r w:rsidR="005E2E0B">
        <w:rPr>
          <w:rFonts w:ascii="Times New Roman" w:hAnsi="Times New Roman" w:cs="Times New Roman"/>
          <w:noProof/>
          <w:sz w:val="24"/>
          <w:szCs w:val="24"/>
        </w:rPr>
        <w:t xml:space="preserve">one </w:t>
      </w:r>
      <w:r w:rsidR="001C1ABA">
        <w:rPr>
          <w:rFonts w:ascii="Times New Roman" w:hAnsi="Times New Roman" w:cs="Times New Roman"/>
          <w:noProof/>
          <w:sz w:val="24"/>
          <w:szCs w:val="24"/>
        </w:rPr>
        <w:t>“</w:t>
      </w:r>
      <w:r w:rsidR="005E2E0B">
        <w:rPr>
          <w:rFonts w:ascii="Times New Roman" w:hAnsi="Times New Roman" w:cs="Times New Roman"/>
          <w:noProof/>
          <w:sz w:val="24"/>
          <w:szCs w:val="24"/>
        </w:rPr>
        <w:t>dedicated</w:t>
      </w:r>
      <w:r w:rsidR="001C1ABA">
        <w:rPr>
          <w:rFonts w:ascii="Times New Roman" w:hAnsi="Times New Roman" w:cs="Times New Roman"/>
          <w:noProof/>
          <w:sz w:val="24"/>
          <w:szCs w:val="24"/>
        </w:rPr>
        <w:t>”</w:t>
      </w:r>
      <w:r w:rsidR="005E2E0B">
        <w:rPr>
          <w:rFonts w:ascii="Times New Roman" w:hAnsi="Times New Roman" w:cs="Times New Roman"/>
          <w:noProof/>
          <w:sz w:val="24"/>
          <w:szCs w:val="24"/>
        </w:rPr>
        <w:t xml:space="preserve"> </w:t>
      </w:r>
      <w:r w:rsidR="001C1ABA">
        <w:rPr>
          <w:rFonts w:ascii="Times New Roman" w:hAnsi="Times New Roman" w:cs="Times New Roman"/>
          <w:noProof/>
          <w:sz w:val="24"/>
          <w:szCs w:val="24"/>
        </w:rPr>
        <w:t xml:space="preserve">OB </w:t>
      </w:r>
      <w:r w:rsidR="005E2E0B">
        <w:rPr>
          <w:rFonts w:ascii="Times New Roman" w:hAnsi="Times New Roman" w:cs="Times New Roman"/>
          <w:noProof/>
          <w:sz w:val="24"/>
          <w:szCs w:val="24"/>
        </w:rPr>
        <w:t>interface</w:t>
      </w:r>
      <w:r w:rsidR="004551A2">
        <w:rPr>
          <w:rFonts w:ascii="Times New Roman" w:hAnsi="Times New Roman" w:cs="Times New Roman"/>
          <w:noProof/>
          <w:sz w:val="24"/>
          <w:szCs w:val="24"/>
        </w:rPr>
        <w:t>.</w:t>
      </w:r>
      <w:r w:rsidR="001C1ABA">
        <w:rPr>
          <w:rStyle w:val="FootnoteReference"/>
          <w:rFonts w:ascii="Times New Roman" w:hAnsi="Times New Roman" w:cs="Times New Roman"/>
          <w:noProof/>
          <w:sz w:val="24"/>
          <w:szCs w:val="24"/>
        </w:rPr>
        <w:footnoteReference w:id="16"/>
      </w:r>
      <w:r w:rsidR="005E2E0B">
        <w:rPr>
          <w:rFonts w:ascii="Times New Roman" w:hAnsi="Times New Roman" w:cs="Times New Roman"/>
          <w:noProof/>
          <w:sz w:val="24"/>
          <w:szCs w:val="24"/>
        </w:rPr>
        <w:t xml:space="preserve"> But </w:t>
      </w:r>
      <w:r w:rsidR="00F257A5">
        <w:rPr>
          <w:rFonts w:ascii="Times New Roman" w:hAnsi="Times New Roman" w:cs="Times New Roman"/>
          <w:noProof/>
          <w:sz w:val="24"/>
          <w:szCs w:val="24"/>
        </w:rPr>
        <w:t xml:space="preserve">the </w:t>
      </w:r>
      <w:r>
        <w:rPr>
          <w:rFonts w:ascii="Times New Roman" w:hAnsi="Times New Roman" w:cs="Times New Roman"/>
          <w:noProof/>
          <w:sz w:val="24"/>
          <w:szCs w:val="24"/>
        </w:rPr>
        <w:t>removal of</w:t>
      </w:r>
      <w:r w:rsidR="005E2E0B">
        <w:rPr>
          <w:rFonts w:ascii="Times New Roman" w:hAnsi="Times New Roman" w:cs="Times New Roman"/>
          <w:noProof/>
          <w:sz w:val="24"/>
          <w:szCs w:val="24"/>
        </w:rPr>
        <w:t xml:space="preserve"> the </w:t>
      </w:r>
      <w:r w:rsidR="00C7628C">
        <w:rPr>
          <w:rFonts w:ascii="Times New Roman" w:hAnsi="Times New Roman" w:cs="Times New Roman"/>
          <w:noProof/>
          <w:sz w:val="24"/>
          <w:szCs w:val="24"/>
        </w:rPr>
        <w:t xml:space="preserve">permanent </w:t>
      </w:r>
      <w:r w:rsidR="005E2E0B">
        <w:rPr>
          <w:rFonts w:ascii="Times New Roman" w:hAnsi="Times New Roman" w:cs="Times New Roman"/>
          <w:noProof/>
          <w:sz w:val="24"/>
          <w:szCs w:val="24"/>
        </w:rPr>
        <w:t>fallback</w:t>
      </w:r>
      <w:r w:rsidR="00C7628C">
        <w:rPr>
          <w:rFonts w:ascii="Times New Roman" w:hAnsi="Times New Roman" w:cs="Times New Roman"/>
          <w:noProof/>
          <w:sz w:val="24"/>
          <w:szCs w:val="24"/>
        </w:rPr>
        <w:t xml:space="preserve"> </w:t>
      </w:r>
      <w:r>
        <w:rPr>
          <w:rFonts w:ascii="Times New Roman" w:hAnsi="Times New Roman" w:cs="Times New Roman"/>
          <w:noProof/>
          <w:sz w:val="24"/>
          <w:szCs w:val="24"/>
        </w:rPr>
        <w:t>interface</w:t>
      </w:r>
      <w:r w:rsidR="005E2E0B">
        <w:rPr>
          <w:rFonts w:ascii="Times New Roman" w:hAnsi="Times New Roman" w:cs="Times New Roman"/>
          <w:noProof/>
          <w:sz w:val="24"/>
          <w:szCs w:val="24"/>
        </w:rPr>
        <w:t xml:space="preserve">, which many TPPs </w:t>
      </w:r>
      <w:r w:rsidR="000C0DFC">
        <w:rPr>
          <w:rFonts w:ascii="Times New Roman" w:hAnsi="Times New Roman" w:cs="Times New Roman"/>
          <w:noProof/>
          <w:sz w:val="24"/>
          <w:szCs w:val="24"/>
        </w:rPr>
        <w:t xml:space="preserve">still </w:t>
      </w:r>
      <w:r w:rsidR="004551A2">
        <w:rPr>
          <w:rFonts w:ascii="Times New Roman" w:hAnsi="Times New Roman" w:cs="Times New Roman"/>
          <w:noProof/>
          <w:sz w:val="24"/>
          <w:szCs w:val="24"/>
        </w:rPr>
        <w:t xml:space="preserve">often </w:t>
      </w:r>
      <w:r w:rsidR="005E2E0B">
        <w:rPr>
          <w:rFonts w:ascii="Times New Roman" w:hAnsi="Times New Roman" w:cs="Times New Roman"/>
          <w:noProof/>
          <w:sz w:val="24"/>
          <w:szCs w:val="24"/>
        </w:rPr>
        <w:t xml:space="preserve">use given the </w:t>
      </w:r>
      <w:r w:rsidR="004551A2">
        <w:rPr>
          <w:rFonts w:ascii="Times New Roman" w:hAnsi="Times New Roman" w:cs="Times New Roman"/>
          <w:noProof/>
          <w:sz w:val="24"/>
          <w:szCs w:val="24"/>
        </w:rPr>
        <w:t xml:space="preserve">suboptimal </w:t>
      </w:r>
      <w:r w:rsidR="005E2E0B">
        <w:rPr>
          <w:rFonts w:ascii="Times New Roman" w:hAnsi="Times New Roman" w:cs="Times New Roman"/>
          <w:noProof/>
          <w:sz w:val="24"/>
          <w:szCs w:val="24"/>
        </w:rPr>
        <w:t xml:space="preserve">quality of </w:t>
      </w:r>
      <w:r>
        <w:rPr>
          <w:rFonts w:ascii="Times New Roman" w:hAnsi="Times New Roman" w:cs="Times New Roman"/>
          <w:noProof/>
          <w:sz w:val="24"/>
          <w:szCs w:val="24"/>
        </w:rPr>
        <w:t>certain</w:t>
      </w:r>
      <w:r w:rsidR="005E2E0B">
        <w:rPr>
          <w:rFonts w:ascii="Times New Roman" w:hAnsi="Times New Roman" w:cs="Times New Roman"/>
          <w:noProof/>
          <w:sz w:val="24"/>
          <w:szCs w:val="24"/>
        </w:rPr>
        <w:t xml:space="preserve"> APIs, must indispensably be accompanied by a substantial upgrade of the interfaces performance level and a robust enforcement regime. </w:t>
      </w:r>
      <w:r w:rsidR="004551A2">
        <w:rPr>
          <w:rFonts w:ascii="Times New Roman" w:hAnsi="Times New Roman" w:cs="Times New Roman"/>
          <w:noProof/>
          <w:sz w:val="24"/>
          <w:szCs w:val="24"/>
        </w:rPr>
        <w:t xml:space="preserve">These are two </w:t>
      </w:r>
      <w:r w:rsidR="00F257A5">
        <w:rPr>
          <w:rFonts w:ascii="Times New Roman" w:hAnsi="Times New Roman" w:cs="Times New Roman"/>
          <w:noProof/>
          <w:sz w:val="24"/>
          <w:szCs w:val="24"/>
        </w:rPr>
        <w:t xml:space="preserve">indispensable </w:t>
      </w:r>
      <w:r w:rsidR="004551A2">
        <w:rPr>
          <w:rFonts w:ascii="Times New Roman" w:hAnsi="Times New Roman" w:cs="Times New Roman"/>
          <w:noProof/>
          <w:sz w:val="24"/>
          <w:szCs w:val="24"/>
        </w:rPr>
        <w:t>prerequisites to the simplification of the current landscape</w:t>
      </w:r>
      <w:r w:rsidR="001A5039">
        <w:rPr>
          <w:rFonts w:ascii="Times New Roman" w:hAnsi="Times New Roman" w:cs="Times New Roman"/>
          <w:noProof/>
          <w:sz w:val="24"/>
          <w:szCs w:val="24"/>
        </w:rPr>
        <w:t xml:space="preserve"> and the abandonment of the </w:t>
      </w:r>
      <w:r>
        <w:rPr>
          <w:rFonts w:ascii="Times New Roman" w:hAnsi="Times New Roman" w:cs="Times New Roman"/>
          <w:noProof/>
          <w:sz w:val="24"/>
          <w:szCs w:val="24"/>
        </w:rPr>
        <w:t xml:space="preserve">requirement of </w:t>
      </w:r>
      <w:r w:rsidR="00F257A5">
        <w:rPr>
          <w:rFonts w:ascii="Times New Roman" w:hAnsi="Times New Roman" w:cs="Times New Roman"/>
          <w:noProof/>
          <w:sz w:val="24"/>
          <w:szCs w:val="24"/>
        </w:rPr>
        <w:t xml:space="preserve">maintaining </w:t>
      </w:r>
      <w:r>
        <w:rPr>
          <w:rFonts w:ascii="Times New Roman" w:hAnsi="Times New Roman" w:cs="Times New Roman"/>
          <w:noProof/>
          <w:sz w:val="24"/>
          <w:szCs w:val="24"/>
        </w:rPr>
        <w:t xml:space="preserve">a </w:t>
      </w:r>
      <w:r w:rsidR="001A5039">
        <w:rPr>
          <w:rFonts w:ascii="Times New Roman" w:hAnsi="Times New Roman" w:cs="Times New Roman"/>
          <w:noProof/>
          <w:sz w:val="24"/>
          <w:szCs w:val="24"/>
        </w:rPr>
        <w:t xml:space="preserve">permanent </w:t>
      </w:r>
      <w:r w:rsidR="007E30D4">
        <w:rPr>
          <w:rFonts w:ascii="Times New Roman" w:hAnsi="Times New Roman" w:cs="Times New Roman"/>
          <w:noProof/>
          <w:sz w:val="24"/>
          <w:szCs w:val="24"/>
        </w:rPr>
        <w:t>“</w:t>
      </w:r>
      <w:r w:rsidR="001A5039">
        <w:rPr>
          <w:rFonts w:ascii="Times New Roman" w:hAnsi="Times New Roman" w:cs="Times New Roman"/>
          <w:noProof/>
          <w:sz w:val="24"/>
          <w:szCs w:val="24"/>
        </w:rPr>
        <w:t>fallback</w:t>
      </w:r>
      <w:r w:rsidR="007E30D4">
        <w:rPr>
          <w:rFonts w:ascii="Times New Roman" w:hAnsi="Times New Roman" w:cs="Times New Roman"/>
          <w:noProof/>
          <w:sz w:val="24"/>
          <w:szCs w:val="24"/>
        </w:rPr>
        <w:t>” interface</w:t>
      </w:r>
      <w:r w:rsidR="004551A2">
        <w:rPr>
          <w:rFonts w:ascii="Times New Roman" w:hAnsi="Times New Roman" w:cs="Times New Roman"/>
          <w:noProof/>
          <w:sz w:val="24"/>
          <w:szCs w:val="24"/>
        </w:rPr>
        <w:t>. However, e</w:t>
      </w:r>
      <w:r w:rsidR="005E2E0B">
        <w:rPr>
          <w:rFonts w:ascii="Times New Roman" w:hAnsi="Times New Roman" w:cs="Times New Roman"/>
          <w:noProof/>
          <w:sz w:val="24"/>
          <w:szCs w:val="24"/>
        </w:rPr>
        <w:t>ven if of high quality</w:t>
      </w:r>
      <w:r w:rsidR="000C0DFC">
        <w:rPr>
          <w:rFonts w:ascii="Times New Roman" w:hAnsi="Times New Roman" w:cs="Times New Roman"/>
          <w:noProof/>
          <w:sz w:val="24"/>
          <w:szCs w:val="24"/>
        </w:rPr>
        <w:t>,</w:t>
      </w:r>
      <w:r w:rsidR="005E2E0B">
        <w:rPr>
          <w:rFonts w:ascii="Times New Roman" w:hAnsi="Times New Roman" w:cs="Times New Roman"/>
          <w:noProof/>
          <w:sz w:val="24"/>
          <w:szCs w:val="24"/>
        </w:rPr>
        <w:t xml:space="preserve"> </w:t>
      </w:r>
      <w:r w:rsidR="00BB6063">
        <w:rPr>
          <w:rFonts w:ascii="Times New Roman" w:hAnsi="Times New Roman" w:cs="Times New Roman"/>
          <w:noProof/>
          <w:sz w:val="24"/>
          <w:szCs w:val="24"/>
        </w:rPr>
        <w:t>API</w:t>
      </w:r>
      <w:r w:rsidR="000C0DFC">
        <w:rPr>
          <w:rFonts w:ascii="Times New Roman" w:hAnsi="Times New Roman" w:cs="Times New Roman"/>
          <w:noProof/>
          <w:sz w:val="24"/>
          <w:szCs w:val="24"/>
        </w:rPr>
        <w:t>s</w:t>
      </w:r>
      <w:r w:rsidR="00BB6063">
        <w:rPr>
          <w:rFonts w:ascii="Times New Roman" w:hAnsi="Times New Roman" w:cs="Times New Roman"/>
          <w:noProof/>
          <w:sz w:val="24"/>
          <w:szCs w:val="24"/>
        </w:rPr>
        <w:t xml:space="preserve"> may </w:t>
      </w:r>
      <w:r w:rsidR="005E2E0B">
        <w:rPr>
          <w:rFonts w:ascii="Times New Roman" w:hAnsi="Times New Roman" w:cs="Times New Roman"/>
          <w:noProof/>
          <w:sz w:val="24"/>
          <w:szCs w:val="24"/>
        </w:rPr>
        <w:t xml:space="preserve">sometimes </w:t>
      </w:r>
      <w:r w:rsidR="00BB6063">
        <w:rPr>
          <w:rFonts w:ascii="Times New Roman" w:hAnsi="Times New Roman" w:cs="Times New Roman"/>
          <w:noProof/>
          <w:sz w:val="24"/>
          <w:szCs w:val="24"/>
        </w:rPr>
        <w:t>break</w:t>
      </w:r>
      <w:r w:rsidR="00AC3902">
        <w:rPr>
          <w:rFonts w:ascii="Times New Roman" w:hAnsi="Times New Roman" w:cs="Times New Roman"/>
          <w:noProof/>
          <w:sz w:val="24"/>
          <w:szCs w:val="24"/>
        </w:rPr>
        <w:t xml:space="preserve"> </w:t>
      </w:r>
      <w:r w:rsidR="00BB6063">
        <w:rPr>
          <w:rFonts w:ascii="Times New Roman" w:hAnsi="Times New Roman" w:cs="Times New Roman"/>
          <w:noProof/>
          <w:sz w:val="24"/>
          <w:szCs w:val="24"/>
        </w:rPr>
        <w:t>down and TPPs must</w:t>
      </w:r>
      <w:r w:rsidR="005E2E0B">
        <w:rPr>
          <w:rFonts w:ascii="Times New Roman" w:hAnsi="Times New Roman" w:cs="Times New Roman"/>
          <w:noProof/>
          <w:sz w:val="24"/>
          <w:szCs w:val="24"/>
        </w:rPr>
        <w:t>, in these circumstances,</w:t>
      </w:r>
      <w:r w:rsidR="00BB6063">
        <w:rPr>
          <w:rFonts w:ascii="Times New Roman" w:hAnsi="Times New Roman" w:cs="Times New Roman"/>
          <w:noProof/>
          <w:sz w:val="24"/>
          <w:szCs w:val="24"/>
        </w:rPr>
        <w:t xml:space="preserve"> be offered a means of preserving business continuity through </w:t>
      </w:r>
      <w:r w:rsidR="005E2E0B">
        <w:rPr>
          <w:rFonts w:ascii="Times New Roman" w:hAnsi="Times New Roman" w:cs="Times New Roman"/>
          <w:noProof/>
          <w:sz w:val="24"/>
          <w:szCs w:val="24"/>
        </w:rPr>
        <w:t xml:space="preserve">temporary </w:t>
      </w:r>
      <w:r w:rsidR="00C56645">
        <w:rPr>
          <w:rFonts w:ascii="Times New Roman" w:hAnsi="Times New Roman" w:cs="Times New Roman"/>
          <w:noProof/>
          <w:sz w:val="24"/>
          <w:szCs w:val="24"/>
        </w:rPr>
        <w:t xml:space="preserve">contingency </w:t>
      </w:r>
      <w:r>
        <w:rPr>
          <w:rFonts w:ascii="Times New Roman" w:hAnsi="Times New Roman" w:cs="Times New Roman"/>
          <w:noProof/>
          <w:sz w:val="24"/>
          <w:szCs w:val="24"/>
        </w:rPr>
        <w:t xml:space="preserve">data </w:t>
      </w:r>
      <w:r w:rsidR="00E95E1C">
        <w:rPr>
          <w:rFonts w:ascii="Times New Roman" w:hAnsi="Times New Roman" w:cs="Times New Roman"/>
          <w:noProof/>
          <w:sz w:val="24"/>
          <w:szCs w:val="24"/>
        </w:rPr>
        <w:t>access</w:t>
      </w:r>
      <w:r w:rsidR="00BB6063">
        <w:rPr>
          <w:rFonts w:ascii="Times New Roman" w:hAnsi="Times New Roman" w:cs="Times New Roman"/>
          <w:noProof/>
          <w:sz w:val="24"/>
          <w:szCs w:val="24"/>
        </w:rPr>
        <w:t xml:space="preserve">. </w:t>
      </w:r>
      <w:r w:rsidR="005E2E0B">
        <w:rPr>
          <w:rFonts w:ascii="Times New Roman" w:hAnsi="Times New Roman" w:cs="Times New Roman"/>
          <w:noProof/>
          <w:sz w:val="24"/>
          <w:szCs w:val="24"/>
        </w:rPr>
        <w:t>Finally, t</w:t>
      </w:r>
      <w:r w:rsidR="00255868">
        <w:rPr>
          <w:rFonts w:ascii="Times New Roman" w:hAnsi="Times New Roman" w:cs="Times New Roman"/>
          <w:noProof/>
          <w:sz w:val="24"/>
          <w:szCs w:val="24"/>
        </w:rPr>
        <w:t xml:space="preserve">o </w:t>
      </w:r>
      <w:r w:rsidR="005E2E0B">
        <w:rPr>
          <w:rFonts w:ascii="Times New Roman" w:hAnsi="Times New Roman" w:cs="Times New Roman"/>
          <w:noProof/>
          <w:sz w:val="24"/>
          <w:szCs w:val="24"/>
        </w:rPr>
        <w:t xml:space="preserve">increase consumers’ trust in </w:t>
      </w:r>
      <w:r>
        <w:rPr>
          <w:rFonts w:ascii="Times New Roman" w:hAnsi="Times New Roman" w:cs="Times New Roman"/>
          <w:noProof/>
          <w:sz w:val="24"/>
          <w:szCs w:val="24"/>
        </w:rPr>
        <w:t>OB</w:t>
      </w:r>
      <w:r w:rsidR="005E2E0B">
        <w:rPr>
          <w:rFonts w:ascii="Times New Roman" w:hAnsi="Times New Roman" w:cs="Times New Roman"/>
          <w:noProof/>
          <w:sz w:val="24"/>
          <w:szCs w:val="24"/>
        </w:rPr>
        <w:t xml:space="preserve"> and </w:t>
      </w:r>
      <w:r w:rsidR="00255868">
        <w:rPr>
          <w:rFonts w:ascii="Times New Roman" w:hAnsi="Times New Roman" w:cs="Times New Roman"/>
          <w:noProof/>
          <w:sz w:val="24"/>
          <w:szCs w:val="24"/>
        </w:rPr>
        <w:t>facilitate the</w:t>
      </w:r>
      <w:r w:rsidR="005E2E0B">
        <w:rPr>
          <w:rFonts w:ascii="Times New Roman" w:hAnsi="Times New Roman" w:cs="Times New Roman"/>
          <w:noProof/>
          <w:sz w:val="24"/>
          <w:szCs w:val="24"/>
        </w:rPr>
        <w:t>ir</w:t>
      </w:r>
      <w:r w:rsidR="00255868">
        <w:rPr>
          <w:rFonts w:ascii="Times New Roman" w:hAnsi="Times New Roman" w:cs="Times New Roman"/>
          <w:noProof/>
          <w:sz w:val="24"/>
          <w:szCs w:val="24"/>
        </w:rPr>
        <w:t xml:space="preserve"> </w:t>
      </w:r>
      <w:r w:rsidR="005E2E0B">
        <w:rPr>
          <w:rFonts w:ascii="Times New Roman" w:hAnsi="Times New Roman" w:cs="Times New Roman"/>
          <w:noProof/>
          <w:sz w:val="24"/>
          <w:szCs w:val="24"/>
        </w:rPr>
        <w:t xml:space="preserve">use </w:t>
      </w:r>
      <w:r w:rsidR="00255868">
        <w:rPr>
          <w:rFonts w:ascii="Times New Roman" w:hAnsi="Times New Roman" w:cs="Times New Roman"/>
          <w:noProof/>
          <w:sz w:val="24"/>
          <w:szCs w:val="24"/>
        </w:rPr>
        <w:t>of OB</w:t>
      </w:r>
      <w:r w:rsidR="005E2E0B">
        <w:rPr>
          <w:rFonts w:ascii="Times New Roman" w:hAnsi="Times New Roman" w:cs="Times New Roman"/>
          <w:noProof/>
          <w:sz w:val="24"/>
          <w:szCs w:val="24"/>
        </w:rPr>
        <w:t xml:space="preserve"> services</w:t>
      </w:r>
      <w:r w:rsidR="00FF1A63" w:rsidRPr="00FF1A63">
        <w:rPr>
          <w:noProof/>
        </w:rPr>
        <w:t xml:space="preserve"> </w:t>
      </w:r>
      <w:r w:rsidR="00FF1A63" w:rsidRPr="00FF1A63">
        <w:rPr>
          <w:rFonts w:ascii="Times New Roman" w:hAnsi="Times New Roman" w:cs="Times New Roman"/>
          <w:noProof/>
          <w:sz w:val="24"/>
          <w:szCs w:val="24"/>
        </w:rPr>
        <w:t>and to improve consumer protection</w:t>
      </w:r>
      <w:r w:rsidR="00255868">
        <w:rPr>
          <w:rFonts w:ascii="Times New Roman" w:hAnsi="Times New Roman" w:cs="Times New Roman"/>
          <w:noProof/>
          <w:sz w:val="24"/>
          <w:szCs w:val="24"/>
        </w:rPr>
        <w:t xml:space="preserve">, banks and other ASPSPs will be required to </w:t>
      </w:r>
      <w:r>
        <w:rPr>
          <w:rFonts w:ascii="Times New Roman" w:hAnsi="Times New Roman" w:cs="Times New Roman"/>
          <w:noProof/>
          <w:sz w:val="24"/>
          <w:szCs w:val="24"/>
        </w:rPr>
        <w:t>o</w:t>
      </w:r>
      <w:r w:rsidR="00015733">
        <w:rPr>
          <w:rFonts w:ascii="Times New Roman" w:hAnsi="Times New Roman" w:cs="Times New Roman"/>
          <w:noProof/>
          <w:sz w:val="24"/>
          <w:szCs w:val="24"/>
        </w:rPr>
        <w:t>f</w:t>
      </w:r>
      <w:r>
        <w:rPr>
          <w:rFonts w:ascii="Times New Roman" w:hAnsi="Times New Roman" w:cs="Times New Roman"/>
          <w:noProof/>
          <w:sz w:val="24"/>
          <w:szCs w:val="24"/>
        </w:rPr>
        <w:t xml:space="preserve">fer </w:t>
      </w:r>
      <w:r w:rsidR="00015733">
        <w:rPr>
          <w:rFonts w:ascii="Times New Roman" w:hAnsi="Times New Roman" w:cs="Times New Roman"/>
          <w:noProof/>
          <w:sz w:val="24"/>
          <w:szCs w:val="24"/>
        </w:rPr>
        <w:t xml:space="preserve">to their clients making use of </w:t>
      </w:r>
      <w:r>
        <w:rPr>
          <w:rFonts w:ascii="Times New Roman" w:hAnsi="Times New Roman" w:cs="Times New Roman"/>
          <w:noProof/>
          <w:sz w:val="24"/>
          <w:szCs w:val="24"/>
        </w:rPr>
        <w:t xml:space="preserve">OB </w:t>
      </w:r>
      <w:r w:rsidR="00015733">
        <w:rPr>
          <w:rFonts w:ascii="Times New Roman" w:hAnsi="Times New Roman" w:cs="Times New Roman"/>
          <w:noProof/>
          <w:sz w:val="24"/>
          <w:szCs w:val="24"/>
        </w:rPr>
        <w:t xml:space="preserve">services </w:t>
      </w:r>
      <w:r w:rsidR="00255868">
        <w:rPr>
          <w:rFonts w:ascii="Times New Roman" w:hAnsi="Times New Roman" w:cs="Times New Roman"/>
          <w:noProof/>
          <w:sz w:val="24"/>
          <w:szCs w:val="24"/>
        </w:rPr>
        <w:t>a</w:t>
      </w:r>
      <w:r w:rsidR="00C56645">
        <w:rPr>
          <w:rFonts w:ascii="Times New Roman" w:hAnsi="Times New Roman" w:cs="Times New Roman"/>
          <w:noProof/>
          <w:sz w:val="24"/>
          <w:szCs w:val="24"/>
        </w:rPr>
        <w:t>n IT</w:t>
      </w:r>
      <w:r w:rsidR="00255868">
        <w:rPr>
          <w:rFonts w:ascii="Times New Roman" w:hAnsi="Times New Roman" w:cs="Times New Roman"/>
          <w:noProof/>
          <w:sz w:val="24"/>
          <w:szCs w:val="24"/>
        </w:rPr>
        <w:t xml:space="preserve"> </w:t>
      </w:r>
      <w:r w:rsidR="00C56645">
        <w:rPr>
          <w:rFonts w:ascii="Times New Roman" w:hAnsi="Times New Roman" w:cs="Times New Roman"/>
          <w:noProof/>
          <w:sz w:val="24"/>
          <w:szCs w:val="24"/>
        </w:rPr>
        <w:t xml:space="preserve">tool </w:t>
      </w:r>
      <w:r w:rsidR="00413D39">
        <w:rPr>
          <w:rFonts w:ascii="Times New Roman" w:hAnsi="Times New Roman" w:cs="Times New Roman"/>
          <w:noProof/>
          <w:sz w:val="24"/>
          <w:szCs w:val="24"/>
        </w:rPr>
        <w:t xml:space="preserve">(a </w:t>
      </w:r>
      <w:r w:rsidR="00C06779">
        <w:rPr>
          <w:rFonts w:ascii="Times New Roman" w:hAnsi="Times New Roman" w:cs="Times New Roman"/>
          <w:noProof/>
          <w:sz w:val="24"/>
          <w:szCs w:val="24"/>
        </w:rPr>
        <w:t>“</w:t>
      </w:r>
      <w:r w:rsidR="00413D39">
        <w:rPr>
          <w:rFonts w:ascii="Times New Roman" w:hAnsi="Times New Roman" w:cs="Times New Roman"/>
          <w:noProof/>
          <w:sz w:val="24"/>
          <w:szCs w:val="24"/>
        </w:rPr>
        <w:t>dashboard</w:t>
      </w:r>
      <w:r w:rsidR="00C06779">
        <w:rPr>
          <w:rFonts w:ascii="Times New Roman" w:hAnsi="Times New Roman" w:cs="Times New Roman"/>
          <w:noProof/>
          <w:sz w:val="24"/>
          <w:szCs w:val="24"/>
        </w:rPr>
        <w:t>”</w:t>
      </w:r>
      <w:r w:rsidR="00413D39">
        <w:rPr>
          <w:rFonts w:ascii="Times New Roman" w:hAnsi="Times New Roman" w:cs="Times New Roman"/>
          <w:noProof/>
          <w:sz w:val="24"/>
          <w:szCs w:val="24"/>
        </w:rPr>
        <w:t xml:space="preserve">) </w:t>
      </w:r>
      <w:r w:rsidR="00255868">
        <w:rPr>
          <w:rFonts w:ascii="Times New Roman" w:hAnsi="Times New Roman" w:cs="Times New Roman"/>
          <w:noProof/>
          <w:sz w:val="24"/>
          <w:szCs w:val="24"/>
        </w:rPr>
        <w:t xml:space="preserve">allowing </w:t>
      </w:r>
      <w:r w:rsidR="005E2E0B">
        <w:rPr>
          <w:rFonts w:ascii="Times New Roman" w:hAnsi="Times New Roman" w:cs="Times New Roman"/>
          <w:noProof/>
          <w:sz w:val="24"/>
          <w:szCs w:val="24"/>
        </w:rPr>
        <w:t>the</w:t>
      </w:r>
      <w:r>
        <w:rPr>
          <w:rFonts w:ascii="Times New Roman" w:hAnsi="Times New Roman" w:cs="Times New Roman"/>
          <w:noProof/>
          <w:sz w:val="24"/>
          <w:szCs w:val="24"/>
        </w:rPr>
        <w:t>m</w:t>
      </w:r>
      <w:r w:rsidR="00255868">
        <w:rPr>
          <w:rFonts w:ascii="Times New Roman" w:hAnsi="Times New Roman" w:cs="Times New Roman"/>
          <w:noProof/>
          <w:sz w:val="24"/>
          <w:szCs w:val="24"/>
        </w:rPr>
        <w:t xml:space="preserve"> to see at a glance what data access </w:t>
      </w:r>
      <w:r w:rsidR="007B3145">
        <w:rPr>
          <w:rFonts w:ascii="Times New Roman" w:hAnsi="Times New Roman" w:cs="Times New Roman"/>
          <w:noProof/>
          <w:sz w:val="24"/>
          <w:szCs w:val="24"/>
        </w:rPr>
        <w:t xml:space="preserve">rights </w:t>
      </w:r>
      <w:r w:rsidR="00255868">
        <w:rPr>
          <w:rFonts w:ascii="Times New Roman" w:hAnsi="Times New Roman" w:cs="Times New Roman"/>
          <w:noProof/>
          <w:sz w:val="24"/>
          <w:szCs w:val="24"/>
        </w:rPr>
        <w:t>they have granted</w:t>
      </w:r>
      <w:r w:rsidR="006B4E6C">
        <w:rPr>
          <w:rFonts w:ascii="Times New Roman" w:hAnsi="Times New Roman" w:cs="Times New Roman"/>
          <w:noProof/>
          <w:sz w:val="24"/>
          <w:szCs w:val="24"/>
        </w:rPr>
        <w:t xml:space="preserve"> and to whom</w:t>
      </w:r>
      <w:r w:rsidR="00255868">
        <w:rPr>
          <w:rFonts w:ascii="Times New Roman" w:hAnsi="Times New Roman" w:cs="Times New Roman"/>
          <w:noProof/>
          <w:sz w:val="24"/>
          <w:szCs w:val="24"/>
        </w:rPr>
        <w:t xml:space="preserve"> and</w:t>
      </w:r>
      <w:r w:rsidR="005E2E0B">
        <w:rPr>
          <w:rFonts w:ascii="Times New Roman" w:hAnsi="Times New Roman" w:cs="Times New Roman"/>
          <w:noProof/>
          <w:sz w:val="24"/>
          <w:szCs w:val="24"/>
        </w:rPr>
        <w:t xml:space="preserve">, should they </w:t>
      </w:r>
      <w:r>
        <w:rPr>
          <w:rFonts w:ascii="Times New Roman" w:hAnsi="Times New Roman" w:cs="Times New Roman"/>
          <w:noProof/>
          <w:sz w:val="24"/>
          <w:szCs w:val="24"/>
        </w:rPr>
        <w:t>desire</w:t>
      </w:r>
      <w:r w:rsidR="005E2E0B">
        <w:rPr>
          <w:rFonts w:ascii="Times New Roman" w:hAnsi="Times New Roman" w:cs="Times New Roman"/>
          <w:noProof/>
          <w:sz w:val="24"/>
          <w:szCs w:val="24"/>
        </w:rPr>
        <w:t>,</w:t>
      </w:r>
      <w:r w:rsidR="00255868">
        <w:rPr>
          <w:rFonts w:ascii="Times New Roman" w:hAnsi="Times New Roman" w:cs="Times New Roman"/>
          <w:noProof/>
          <w:sz w:val="24"/>
          <w:szCs w:val="24"/>
        </w:rPr>
        <w:t xml:space="preserve"> </w:t>
      </w:r>
      <w:bookmarkEnd w:id="31"/>
      <w:r w:rsidR="00255868">
        <w:rPr>
          <w:rFonts w:ascii="Times New Roman" w:hAnsi="Times New Roman" w:cs="Times New Roman"/>
          <w:noProof/>
          <w:sz w:val="24"/>
          <w:szCs w:val="24"/>
        </w:rPr>
        <w:t xml:space="preserve">to </w:t>
      </w:r>
      <w:r>
        <w:rPr>
          <w:rFonts w:ascii="Times New Roman" w:hAnsi="Times New Roman" w:cs="Times New Roman"/>
          <w:noProof/>
          <w:sz w:val="24"/>
          <w:szCs w:val="24"/>
        </w:rPr>
        <w:t xml:space="preserve">cancel </w:t>
      </w:r>
      <w:r w:rsidR="005E2E0B">
        <w:rPr>
          <w:rFonts w:ascii="Times New Roman" w:hAnsi="Times New Roman" w:cs="Times New Roman"/>
          <w:noProof/>
          <w:sz w:val="24"/>
          <w:szCs w:val="24"/>
        </w:rPr>
        <w:t xml:space="preserve">TPP </w:t>
      </w:r>
      <w:r w:rsidR="007E258D">
        <w:rPr>
          <w:rFonts w:ascii="Times New Roman" w:hAnsi="Times New Roman" w:cs="Times New Roman"/>
          <w:noProof/>
          <w:sz w:val="24"/>
          <w:szCs w:val="24"/>
        </w:rPr>
        <w:t xml:space="preserve">access </w:t>
      </w:r>
      <w:r w:rsidR="005E2E0B">
        <w:rPr>
          <w:rFonts w:ascii="Times New Roman" w:hAnsi="Times New Roman" w:cs="Times New Roman"/>
          <w:noProof/>
          <w:sz w:val="24"/>
          <w:szCs w:val="24"/>
        </w:rPr>
        <w:t xml:space="preserve">to their data </w:t>
      </w:r>
      <w:r w:rsidR="007E258D">
        <w:rPr>
          <w:rFonts w:ascii="Times New Roman" w:hAnsi="Times New Roman" w:cs="Times New Roman"/>
          <w:noProof/>
          <w:sz w:val="24"/>
          <w:szCs w:val="24"/>
        </w:rPr>
        <w:t>via this tool</w:t>
      </w:r>
      <w:r w:rsidR="00255868">
        <w:rPr>
          <w:rFonts w:ascii="Times New Roman" w:hAnsi="Times New Roman" w:cs="Times New Roman"/>
          <w:noProof/>
          <w:sz w:val="24"/>
          <w:szCs w:val="24"/>
        </w:rPr>
        <w:t>.</w:t>
      </w:r>
    </w:p>
    <w:p w14:paraId="79007EFC" w14:textId="10F4B19D" w:rsidR="000C3115" w:rsidRDefault="005C5BE0"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000C3115">
        <w:rPr>
          <w:rFonts w:ascii="Times New Roman" w:hAnsi="Times New Roman" w:cs="Times New Roman"/>
          <w:noProof/>
          <w:sz w:val="24"/>
          <w:szCs w:val="24"/>
        </w:rPr>
        <w:t xml:space="preserve">ogether with the </w:t>
      </w:r>
      <w:r w:rsidR="00413D39">
        <w:rPr>
          <w:rFonts w:ascii="Times New Roman" w:hAnsi="Times New Roman" w:cs="Times New Roman"/>
          <w:noProof/>
          <w:sz w:val="24"/>
          <w:szCs w:val="24"/>
        </w:rPr>
        <w:t xml:space="preserve">two </w:t>
      </w:r>
      <w:r w:rsidR="000C3115">
        <w:rPr>
          <w:rFonts w:ascii="Times New Roman" w:hAnsi="Times New Roman" w:cs="Times New Roman"/>
          <w:noProof/>
          <w:sz w:val="24"/>
          <w:szCs w:val="24"/>
        </w:rPr>
        <w:t>proposal</w:t>
      </w:r>
      <w:r w:rsidR="00413D39">
        <w:rPr>
          <w:rFonts w:ascii="Times New Roman" w:hAnsi="Times New Roman" w:cs="Times New Roman"/>
          <w:noProof/>
          <w:sz w:val="24"/>
          <w:szCs w:val="24"/>
        </w:rPr>
        <w:t>s</w:t>
      </w:r>
      <w:r w:rsidR="000C3115">
        <w:rPr>
          <w:rFonts w:ascii="Times New Roman" w:hAnsi="Times New Roman" w:cs="Times New Roman"/>
          <w:noProof/>
          <w:sz w:val="24"/>
          <w:szCs w:val="24"/>
        </w:rPr>
        <w:t xml:space="preserve"> revising PSD2 </w:t>
      </w:r>
      <w:r>
        <w:rPr>
          <w:rFonts w:ascii="Times New Roman" w:hAnsi="Times New Roman" w:cs="Times New Roman"/>
          <w:noProof/>
          <w:sz w:val="24"/>
          <w:szCs w:val="24"/>
        </w:rPr>
        <w:t xml:space="preserve">the Commission is presenting </w:t>
      </w:r>
      <w:r w:rsidR="000C3115">
        <w:rPr>
          <w:rFonts w:ascii="Times New Roman" w:hAnsi="Times New Roman" w:cs="Times New Roman"/>
          <w:noProof/>
          <w:sz w:val="24"/>
          <w:szCs w:val="24"/>
        </w:rPr>
        <w:t xml:space="preserve">a legislative proposal on </w:t>
      </w:r>
      <w:r w:rsidR="00FB6A9E">
        <w:rPr>
          <w:rFonts w:ascii="Times New Roman" w:hAnsi="Times New Roman" w:cs="Times New Roman"/>
          <w:noProof/>
          <w:sz w:val="24"/>
          <w:szCs w:val="24"/>
        </w:rPr>
        <w:t>financial information data access (</w:t>
      </w:r>
      <w:r w:rsidR="00015733">
        <w:rPr>
          <w:rFonts w:ascii="Times New Roman" w:hAnsi="Times New Roman" w:cs="Times New Roman"/>
          <w:noProof/>
          <w:sz w:val="24"/>
          <w:szCs w:val="24"/>
        </w:rPr>
        <w:t>FIDA</w:t>
      </w:r>
      <w:r w:rsidR="00FB6A9E">
        <w:rPr>
          <w:rFonts w:ascii="Times New Roman" w:hAnsi="Times New Roman" w:cs="Times New Roman"/>
          <w:noProof/>
          <w:sz w:val="24"/>
          <w:szCs w:val="24"/>
        </w:rPr>
        <w:t>)</w:t>
      </w:r>
      <w:r w:rsidR="000C3115">
        <w:rPr>
          <w:rFonts w:ascii="Times New Roman" w:hAnsi="Times New Roman" w:cs="Times New Roman"/>
          <w:noProof/>
          <w:sz w:val="24"/>
          <w:szCs w:val="24"/>
        </w:rPr>
        <w:t xml:space="preserve">, extending </w:t>
      </w:r>
      <w:r w:rsidR="007E258D" w:rsidRPr="007E258D">
        <w:rPr>
          <w:rFonts w:ascii="Times New Roman" w:hAnsi="Times New Roman" w:cs="Times New Roman"/>
          <w:noProof/>
          <w:sz w:val="24"/>
          <w:szCs w:val="24"/>
        </w:rPr>
        <w:t xml:space="preserve">the obligation to provide </w:t>
      </w:r>
      <w:r w:rsidR="000C3115">
        <w:rPr>
          <w:rFonts w:ascii="Times New Roman" w:hAnsi="Times New Roman" w:cs="Times New Roman"/>
          <w:noProof/>
          <w:sz w:val="24"/>
          <w:szCs w:val="24"/>
        </w:rPr>
        <w:t>access to financial data beyond payment account data</w:t>
      </w:r>
      <w:r w:rsidR="00015733">
        <w:rPr>
          <w:rFonts w:ascii="Times New Roman" w:hAnsi="Times New Roman" w:cs="Times New Roman"/>
          <w:noProof/>
          <w:sz w:val="24"/>
          <w:szCs w:val="24"/>
        </w:rPr>
        <w:t xml:space="preserve"> (“Open Finance”)</w:t>
      </w:r>
      <w:r w:rsidR="000C3115">
        <w:rPr>
          <w:rFonts w:ascii="Times New Roman" w:hAnsi="Times New Roman" w:cs="Times New Roman"/>
          <w:noProof/>
          <w:sz w:val="24"/>
          <w:szCs w:val="24"/>
        </w:rPr>
        <w:t xml:space="preserve">. The Commission </w:t>
      </w:r>
      <w:r w:rsidR="00DB7C99">
        <w:rPr>
          <w:rFonts w:ascii="Times New Roman" w:hAnsi="Times New Roman" w:cs="Times New Roman"/>
          <w:noProof/>
          <w:sz w:val="24"/>
          <w:szCs w:val="24"/>
        </w:rPr>
        <w:t>examined the possibility of transferring</w:t>
      </w:r>
      <w:r>
        <w:rPr>
          <w:rFonts w:ascii="Times New Roman" w:hAnsi="Times New Roman" w:cs="Times New Roman"/>
          <w:noProof/>
          <w:sz w:val="24"/>
          <w:szCs w:val="24"/>
        </w:rPr>
        <w:t xml:space="preserve"> AISPs</w:t>
      </w:r>
      <w:r w:rsidR="00DB7C99">
        <w:rPr>
          <w:rFonts w:ascii="Times New Roman" w:hAnsi="Times New Roman" w:cs="Times New Roman"/>
          <w:noProof/>
          <w:sz w:val="24"/>
          <w:szCs w:val="24"/>
        </w:rPr>
        <w:t xml:space="preserve"> </w:t>
      </w:r>
      <w:r w:rsidR="00C06779">
        <w:rPr>
          <w:rFonts w:ascii="Times New Roman" w:hAnsi="Times New Roman" w:cs="Times New Roman"/>
          <w:noProof/>
          <w:sz w:val="24"/>
          <w:szCs w:val="24"/>
        </w:rPr>
        <w:t xml:space="preserve">from PSD to </w:t>
      </w:r>
      <w:r w:rsidR="000C3115">
        <w:rPr>
          <w:rFonts w:ascii="Times New Roman" w:hAnsi="Times New Roman" w:cs="Times New Roman"/>
          <w:noProof/>
          <w:sz w:val="24"/>
          <w:szCs w:val="24"/>
        </w:rPr>
        <w:t xml:space="preserve">the </w:t>
      </w:r>
      <w:r w:rsidR="00C56645">
        <w:rPr>
          <w:rFonts w:ascii="Times New Roman" w:hAnsi="Times New Roman" w:cs="Times New Roman"/>
          <w:noProof/>
          <w:sz w:val="24"/>
          <w:szCs w:val="24"/>
        </w:rPr>
        <w:t xml:space="preserve">future </w:t>
      </w:r>
      <w:r w:rsidR="00015733">
        <w:rPr>
          <w:rFonts w:ascii="Times New Roman" w:hAnsi="Times New Roman" w:cs="Times New Roman"/>
          <w:noProof/>
          <w:sz w:val="24"/>
          <w:szCs w:val="24"/>
        </w:rPr>
        <w:t xml:space="preserve">FIDA </w:t>
      </w:r>
      <w:r w:rsidR="000C3115">
        <w:rPr>
          <w:rFonts w:ascii="Times New Roman" w:hAnsi="Times New Roman" w:cs="Times New Roman"/>
          <w:noProof/>
          <w:sz w:val="24"/>
          <w:szCs w:val="24"/>
        </w:rPr>
        <w:t>framework</w:t>
      </w:r>
      <w:r w:rsidR="00DB7C99">
        <w:rPr>
          <w:rFonts w:ascii="Times New Roman" w:hAnsi="Times New Roman" w:cs="Times New Roman"/>
          <w:noProof/>
          <w:sz w:val="24"/>
          <w:szCs w:val="24"/>
        </w:rPr>
        <w:t xml:space="preserve">. Although such </w:t>
      </w:r>
      <w:r w:rsidR="007B3145">
        <w:rPr>
          <w:rFonts w:ascii="Times New Roman" w:hAnsi="Times New Roman" w:cs="Times New Roman"/>
          <w:noProof/>
          <w:sz w:val="24"/>
          <w:szCs w:val="24"/>
        </w:rPr>
        <w:t xml:space="preserve">a </w:t>
      </w:r>
      <w:r w:rsidR="00DB7C99">
        <w:rPr>
          <w:rFonts w:ascii="Times New Roman" w:hAnsi="Times New Roman" w:cs="Times New Roman"/>
          <w:noProof/>
          <w:sz w:val="24"/>
          <w:szCs w:val="24"/>
        </w:rPr>
        <w:t xml:space="preserve">transfer </w:t>
      </w:r>
      <w:r w:rsidR="00015733">
        <w:rPr>
          <w:rFonts w:ascii="Times New Roman" w:hAnsi="Times New Roman" w:cs="Times New Roman"/>
          <w:noProof/>
          <w:sz w:val="24"/>
          <w:szCs w:val="24"/>
        </w:rPr>
        <w:t>c</w:t>
      </w:r>
      <w:r w:rsidR="00DB7C99">
        <w:rPr>
          <w:rFonts w:ascii="Times New Roman" w:hAnsi="Times New Roman" w:cs="Times New Roman"/>
          <w:noProof/>
          <w:sz w:val="24"/>
          <w:szCs w:val="24"/>
        </w:rPr>
        <w:t xml:space="preserve">ould </w:t>
      </w:r>
      <w:r w:rsidR="007D72B7">
        <w:rPr>
          <w:rFonts w:ascii="Times New Roman" w:hAnsi="Times New Roman" w:cs="Times New Roman"/>
          <w:noProof/>
          <w:sz w:val="24"/>
          <w:szCs w:val="24"/>
        </w:rPr>
        <w:t xml:space="preserve">ultimately </w:t>
      </w:r>
      <w:r w:rsidR="00DB7C99">
        <w:rPr>
          <w:rFonts w:ascii="Times New Roman" w:hAnsi="Times New Roman" w:cs="Times New Roman"/>
          <w:noProof/>
          <w:sz w:val="24"/>
          <w:szCs w:val="24"/>
        </w:rPr>
        <w:t xml:space="preserve">make sense, </w:t>
      </w:r>
      <w:r w:rsidR="005E2E0B">
        <w:rPr>
          <w:rFonts w:ascii="Times New Roman" w:hAnsi="Times New Roman" w:cs="Times New Roman"/>
          <w:noProof/>
          <w:sz w:val="24"/>
          <w:szCs w:val="24"/>
        </w:rPr>
        <w:t>given the nature of AISP</w:t>
      </w:r>
      <w:r>
        <w:rPr>
          <w:rFonts w:ascii="Times New Roman" w:hAnsi="Times New Roman" w:cs="Times New Roman"/>
          <w:noProof/>
          <w:sz w:val="24"/>
          <w:szCs w:val="24"/>
        </w:rPr>
        <w:t>s’</w:t>
      </w:r>
      <w:r w:rsidR="005E2E0B">
        <w:rPr>
          <w:rFonts w:ascii="Times New Roman" w:hAnsi="Times New Roman" w:cs="Times New Roman"/>
          <w:noProof/>
          <w:sz w:val="24"/>
          <w:szCs w:val="24"/>
        </w:rPr>
        <w:t xml:space="preserve"> business, </w:t>
      </w:r>
      <w:r w:rsidR="00DB7C99">
        <w:rPr>
          <w:rFonts w:ascii="Times New Roman" w:hAnsi="Times New Roman" w:cs="Times New Roman"/>
          <w:noProof/>
          <w:sz w:val="24"/>
          <w:szCs w:val="24"/>
        </w:rPr>
        <w:t>the</w:t>
      </w:r>
      <w:r w:rsidR="007D72B7">
        <w:rPr>
          <w:rFonts w:ascii="Times New Roman" w:hAnsi="Times New Roman" w:cs="Times New Roman"/>
          <w:noProof/>
          <w:sz w:val="24"/>
          <w:szCs w:val="24"/>
        </w:rPr>
        <w:t>re would be</w:t>
      </w:r>
      <w:r w:rsidR="00DB7C99">
        <w:rPr>
          <w:rFonts w:ascii="Times New Roman" w:hAnsi="Times New Roman" w:cs="Times New Roman"/>
          <w:noProof/>
          <w:sz w:val="24"/>
          <w:szCs w:val="24"/>
        </w:rPr>
        <w:t xml:space="preserve"> </w:t>
      </w:r>
      <w:r w:rsidR="005E2E0B">
        <w:rPr>
          <w:rFonts w:ascii="Times New Roman" w:hAnsi="Times New Roman" w:cs="Times New Roman"/>
          <w:noProof/>
          <w:sz w:val="24"/>
          <w:szCs w:val="24"/>
        </w:rPr>
        <w:t xml:space="preserve">a significant </w:t>
      </w:r>
      <w:r w:rsidR="00DB7C99">
        <w:rPr>
          <w:rFonts w:ascii="Times New Roman" w:hAnsi="Times New Roman" w:cs="Times New Roman"/>
          <w:noProof/>
          <w:sz w:val="24"/>
          <w:szCs w:val="24"/>
        </w:rPr>
        <w:t xml:space="preserve">risk of disruption </w:t>
      </w:r>
      <w:r w:rsidR="00680588">
        <w:rPr>
          <w:rFonts w:ascii="Times New Roman" w:hAnsi="Times New Roman" w:cs="Times New Roman"/>
          <w:noProof/>
          <w:sz w:val="24"/>
          <w:szCs w:val="24"/>
        </w:rPr>
        <w:t xml:space="preserve">and data access </w:t>
      </w:r>
      <w:r w:rsidR="004551A2">
        <w:rPr>
          <w:rFonts w:ascii="Times New Roman" w:hAnsi="Times New Roman" w:cs="Times New Roman"/>
          <w:noProof/>
          <w:sz w:val="24"/>
          <w:szCs w:val="24"/>
        </w:rPr>
        <w:t xml:space="preserve">rights </w:t>
      </w:r>
      <w:r w:rsidR="00680588">
        <w:rPr>
          <w:rFonts w:ascii="Times New Roman" w:hAnsi="Times New Roman" w:cs="Times New Roman"/>
          <w:noProof/>
          <w:sz w:val="24"/>
          <w:szCs w:val="24"/>
        </w:rPr>
        <w:t xml:space="preserve">interruptions </w:t>
      </w:r>
      <w:r w:rsidR="00DB7C99">
        <w:rPr>
          <w:rFonts w:ascii="Times New Roman" w:hAnsi="Times New Roman" w:cs="Times New Roman"/>
          <w:noProof/>
          <w:sz w:val="24"/>
          <w:szCs w:val="24"/>
        </w:rPr>
        <w:t xml:space="preserve">for </w:t>
      </w:r>
      <w:r>
        <w:rPr>
          <w:rFonts w:ascii="Times New Roman" w:hAnsi="Times New Roman" w:cs="Times New Roman"/>
          <w:noProof/>
          <w:sz w:val="24"/>
          <w:szCs w:val="24"/>
        </w:rPr>
        <w:t>AISPs</w:t>
      </w:r>
      <w:r w:rsidR="00DB7C99">
        <w:rPr>
          <w:rFonts w:ascii="Times New Roman" w:hAnsi="Times New Roman" w:cs="Times New Roman"/>
          <w:noProof/>
          <w:sz w:val="24"/>
          <w:szCs w:val="24"/>
        </w:rPr>
        <w:t xml:space="preserve"> </w:t>
      </w:r>
      <w:r w:rsidR="007D72B7">
        <w:rPr>
          <w:rFonts w:ascii="Times New Roman" w:hAnsi="Times New Roman" w:cs="Times New Roman"/>
          <w:noProof/>
          <w:sz w:val="24"/>
          <w:szCs w:val="24"/>
        </w:rPr>
        <w:t xml:space="preserve">if </w:t>
      </w:r>
      <w:r w:rsidR="00C06779">
        <w:rPr>
          <w:rFonts w:ascii="Times New Roman" w:hAnsi="Times New Roman" w:cs="Times New Roman"/>
          <w:noProof/>
          <w:sz w:val="24"/>
          <w:szCs w:val="24"/>
        </w:rPr>
        <w:t xml:space="preserve">such </w:t>
      </w:r>
      <w:r>
        <w:rPr>
          <w:rFonts w:ascii="Times New Roman" w:hAnsi="Times New Roman" w:cs="Times New Roman"/>
          <w:noProof/>
          <w:sz w:val="24"/>
          <w:szCs w:val="24"/>
        </w:rPr>
        <w:t xml:space="preserve">a </w:t>
      </w:r>
      <w:r w:rsidR="007D72B7">
        <w:rPr>
          <w:rFonts w:ascii="Times New Roman" w:hAnsi="Times New Roman" w:cs="Times New Roman"/>
          <w:noProof/>
          <w:sz w:val="24"/>
          <w:szCs w:val="24"/>
        </w:rPr>
        <w:t xml:space="preserve">transfer were </w:t>
      </w:r>
      <w:r w:rsidR="005E2E0B">
        <w:rPr>
          <w:rFonts w:ascii="Times New Roman" w:hAnsi="Times New Roman" w:cs="Times New Roman"/>
          <w:noProof/>
          <w:sz w:val="24"/>
          <w:szCs w:val="24"/>
        </w:rPr>
        <w:t xml:space="preserve">to be </w:t>
      </w:r>
      <w:r w:rsidR="007D72B7">
        <w:rPr>
          <w:rFonts w:ascii="Times New Roman" w:hAnsi="Times New Roman" w:cs="Times New Roman"/>
          <w:noProof/>
          <w:sz w:val="24"/>
          <w:szCs w:val="24"/>
        </w:rPr>
        <w:t>carried out prematurely</w:t>
      </w:r>
      <w:r w:rsidR="00413D39">
        <w:rPr>
          <w:rFonts w:ascii="Times New Roman" w:hAnsi="Times New Roman" w:cs="Times New Roman"/>
          <w:noProof/>
          <w:sz w:val="24"/>
          <w:szCs w:val="24"/>
        </w:rPr>
        <w:t xml:space="preserve">, </w:t>
      </w:r>
      <w:r w:rsidR="00C06779">
        <w:rPr>
          <w:rFonts w:ascii="Times New Roman" w:hAnsi="Times New Roman" w:cs="Times New Roman"/>
          <w:noProof/>
          <w:sz w:val="24"/>
          <w:szCs w:val="24"/>
        </w:rPr>
        <w:t xml:space="preserve">i.e. </w:t>
      </w:r>
      <w:r w:rsidR="007D72B7">
        <w:rPr>
          <w:rFonts w:ascii="Times New Roman" w:hAnsi="Times New Roman" w:cs="Times New Roman"/>
          <w:noProof/>
          <w:sz w:val="24"/>
          <w:szCs w:val="24"/>
        </w:rPr>
        <w:t>before the exist</w:t>
      </w:r>
      <w:r w:rsidR="001C4B86">
        <w:rPr>
          <w:rFonts w:ascii="Times New Roman" w:hAnsi="Times New Roman" w:cs="Times New Roman"/>
          <w:noProof/>
          <w:sz w:val="24"/>
          <w:szCs w:val="24"/>
        </w:rPr>
        <w:t>e</w:t>
      </w:r>
      <w:r w:rsidR="007D72B7">
        <w:rPr>
          <w:rFonts w:ascii="Times New Roman" w:hAnsi="Times New Roman" w:cs="Times New Roman"/>
          <w:noProof/>
          <w:sz w:val="24"/>
          <w:szCs w:val="24"/>
        </w:rPr>
        <w:t xml:space="preserve">nce of a “scheme”, which </w:t>
      </w:r>
      <w:r w:rsidR="00680588">
        <w:rPr>
          <w:rFonts w:ascii="Times New Roman" w:hAnsi="Times New Roman" w:cs="Times New Roman"/>
          <w:noProof/>
          <w:sz w:val="24"/>
          <w:szCs w:val="24"/>
        </w:rPr>
        <w:t xml:space="preserve">will be </w:t>
      </w:r>
      <w:r w:rsidR="007D72B7">
        <w:rPr>
          <w:rFonts w:ascii="Times New Roman" w:hAnsi="Times New Roman" w:cs="Times New Roman"/>
          <w:noProof/>
          <w:sz w:val="24"/>
          <w:szCs w:val="24"/>
        </w:rPr>
        <w:t xml:space="preserve">a pre-requisite for </w:t>
      </w:r>
      <w:r w:rsidR="00015733">
        <w:rPr>
          <w:rFonts w:ascii="Times New Roman" w:hAnsi="Times New Roman" w:cs="Times New Roman"/>
          <w:noProof/>
          <w:sz w:val="24"/>
          <w:szCs w:val="24"/>
        </w:rPr>
        <w:t xml:space="preserve">Open Finance </w:t>
      </w:r>
      <w:r w:rsidR="007D72B7">
        <w:rPr>
          <w:rFonts w:ascii="Times New Roman" w:hAnsi="Times New Roman" w:cs="Times New Roman"/>
          <w:noProof/>
          <w:sz w:val="24"/>
          <w:szCs w:val="24"/>
        </w:rPr>
        <w:t>to take place</w:t>
      </w:r>
      <w:r w:rsidR="001564E5">
        <w:rPr>
          <w:rStyle w:val="FootnoteReference"/>
          <w:rFonts w:ascii="Times New Roman" w:hAnsi="Times New Roman" w:cs="Times New Roman"/>
          <w:noProof/>
          <w:sz w:val="24"/>
          <w:szCs w:val="24"/>
        </w:rPr>
        <w:footnoteReference w:id="17"/>
      </w:r>
      <w:r w:rsidR="00DB7C99">
        <w:rPr>
          <w:rFonts w:ascii="Times New Roman" w:hAnsi="Times New Roman" w:cs="Times New Roman"/>
          <w:noProof/>
          <w:sz w:val="24"/>
          <w:szCs w:val="24"/>
        </w:rPr>
        <w:t xml:space="preserve">. </w:t>
      </w:r>
      <w:r w:rsidR="00C06779">
        <w:rPr>
          <w:rFonts w:ascii="Times New Roman" w:hAnsi="Times New Roman" w:cs="Times New Roman"/>
          <w:noProof/>
          <w:sz w:val="24"/>
          <w:szCs w:val="24"/>
        </w:rPr>
        <w:t xml:space="preserve">There is currently no such scheme in the </w:t>
      </w:r>
      <w:r>
        <w:rPr>
          <w:rFonts w:ascii="Times New Roman" w:hAnsi="Times New Roman" w:cs="Times New Roman"/>
          <w:noProof/>
          <w:sz w:val="24"/>
          <w:szCs w:val="24"/>
        </w:rPr>
        <w:t xml:space="preserve">OB </w:t>
      </w:r>
      <w:r w:rsidR="00C06779">
        <w:rPr>
          <w:rFonts w:ascii="Times New Roman" w:hAnsi="Times New Roman" w:cs="Times New Roman"/>
          <w:noProof/>
          <w:sz w:val="24"/>
          <w:szCs w:val="24"/>
        </w:rPr>
        <w:t>market</w:t>
      </w:r>
      <w:r w:rsidR="00680588">
        <w:rPr>
          <w:rFonts w:ascii="Times New Roman" w:hAnsi="Times New Roman" w:cs="Times New Roman"/>
          <w:noProof/>
          <w:sz w:val="24"/>
          <w:szCs w:val="24"/>
        </w:rPr>
        <w:t>, although one is currently being designed by market participants</w:t>
      </w:r>
      <w:r w:rsidR="00C06779">
        <w:rPr>
          <w:rFonts w:ascii="Times New Roman" w:hAnsi="Times New Roman" w:cs="Times New Roman"/>
          <w:noProof/>
          <w:sz w:val="24"/>
          <w:szCs w:val="24"/>
        </w:rPr>
        <w:t xml:space="preserve">. </w:t>
      </w:r>
      <w:r w:rsidR="00DB7C99">
        <w:rPr>
          <w:rFonts w:ascii="Times New Roman" w:hAnsi="Times New Roman" w:cs="Times New Roman"/>
          <w:noProof/>
          <w:sz w:val="24"/>
          <w:szCs w:val="24"/>
        </w:rPr>
        <w:t>It is therefore deemed preferable</w:t>
      </w:r>
      <w:r w:rsidR="00AC118D">
        <w:rPr>
          <w:rFonts w:ascii="Times New Roman" w:hAnsi="Times New Roman" w:cs="Times New Roman"/>
          <w:noProof/>
          <w:sz w:val="24"/>
          <w:szCs w:val="24"/>
        </w:rPr>
        <w:t xml:space="preserve"> by the Commission</w:t>
      </w:r>
      <w:r w:rsidR="00DB7C99">
        <w:rPr>
          <w:rFonts w:ascii="Times New Roman" w:hAnsi="Times New Roman" w:cs="Times New Roman"/>
          <w:noProof/>
          <w:sz w:val="24"/>
          <w:szCs w:val="24"/>
        </w:rPr>
        <w:t xml:space="preserve"> to have a staged approach</w:t>
      </w:r>
      <w:r w:rsidR="000C3115">
        <w:rPr>
          <w:rFonts w:ascii="Times New Roman" w:hAnsi="Times New Roman" w:cs="Times New Roman"/>
          <w:noProof/>
          <w:sz w:val="24"/>
          <w:szCs w:val="24"/>
        </w:rPr>
        <w:t xml:space="preserve"> </w:t>
      </w:r>
      <w:r w:rsidR="00DB7C99">
        <w:rPr>
          <w:rFonts w:ascii="Times New Roman" w:hAnsi="Times New Roman" w:cs="Times New Roman"/>
          <w:noProof/>
          <w:sz w:val="24"/>
          <w:szCs w:val="24"/>
        </w:rPr>
        <w:t xml:space="preserve">and provide for such </w:t>
      </w:r>
      <w:r>
        <w:rPr>
          <w:rFonts w:ascii="Times New Roman" w:hAnsi="Times New Roman" w:cs="Times New Roman"/>
          <w:noProof/>
          <w:sz w:val="24"/>
          <w:szCs w:val="24"/>
        </w:rPr>
        <w:t xml:space="preserve">a </w:t>
      </w:r>
      <w:r w:rsidR="00DB7C99">
        <w:rPr>
          <w:rFonts w:ascii="Times New Roman" w:hAnsi="Times New Roman" w:cs="Times New Roman"/>
          <w:noProof/>
          <w:sz w:val="24"/>
          <w:szCs w:val="24"/>
        </w:rPr>
        <w:t xml:space="preserve">transfer </w:t>
      </w:r>
      <w:r w:rsidR="000C3115">
        <w:rPr>
          <w:rFonts w:ascii="Times New Roman" w:hAnsi="Times New Roman" w:cs="Times New Roman"/>
          <w:noProof/>
          <w:sz w:val="24"/>
          <w:szCs w:val="24"/>
        </w:rPr>
        <w:t>when th</w:t>
      </w:r>
      <w:r w:rsidR="00DB7C99">
        <w:rPr>
          <w:rFonts w:ascii="Times New Roman" w:hAnsi="Times New Roman" w:cs="Times New Roman"/>
          <w:noProof/>
          <w:sz w:val="24"/>
          <w:szCs w:val="24"/>
        </w:rPr>
        <w:t xml:space="preserve">e </w:t>
      </w:r>
      <w:r w:rsidR="00015733">
        <w:rPr>
          <w:rFonts w:ascii="Times New Roman" w:hAnsi="Times New Roman" w:cs="Times New Roman"/>
          <w:noProof/>
          <w:sz w:val="24"/>
          <w:szCs w:val="24"/>
        </w:rPr>
        <w:t xml:space="preserve">FIDA </w:t>
      </w:r>
      <w:r w:rsidR="000C3115">
        <w:rPr>
          <w:rFonts w:ascii="Times New Roman" w:hAnsi="Times New Roman" w:cs="Times New Roman"/>
          <w:noProof/>
          <w:sz w:val="24"/>
          <w:szCs w:val="24"/>
        </w:rPr>
        <w:t xml:space="preserve">framework </w:t>
      </w:r>
      <w:r>
        <w:rPr>
          <w:rFonts w:ascii="Times New Roman" w:hAnsi="Times New Roman" w:cs="Times New Roman"/>
          <w:noProof/>
          <w:sz w:val="24"/>
          <w:szCs w:val="24"/>
        </w:rPr>
        <w:t>is</w:t>
      </w:r>
      <w:r w:rsidR="000C3115">
        <w:rPr>
          <w:rFonts w:ascii="Times New Roman" w:hAnsi="Times New Roman" w:cs="Times New Roman"/>
          <w:noProof/>
          <w:sz w:val="24"/>
          <w:szCs w:val="24"/>
        </w:rPr>
        <w:t xml:space="preserve"> </w:t>
      </w:r>
      <w:r w:rsidR="00C56645">
        <w:rPr>
          <w:rFonts w:ascii="Times New Roman" w:hAnsi="Times New Roman" w:cs="Times New Roman"/>
          <w:noProof/>
          <w:sz w:val="24"/>
          <w:szCs w:val="24"/>
        </w:rPr>
        <w:t xml:space="preserve">fully </w:t>
      </w:r>
      <w:r w:rsidR="000C3115">
        <w:rPr>
          <w:rFonts w:ascii="Times New Roman" w:hAnsi="Times New Roman" w:cs="Times New Roman"/>
          <w:noProof/>
          <w:sz w:val="24"/>
          <w:szCs w:val="24"/>
        </w:rPr>
        <w:t xml:space="preserve">operational and </w:t>
      </w:r>
      <w:r w:rsidR="00680588">
        <w:rPr>
          <w:rFonts w:ascii="Times New Roman" w:hAnsi="Times New Roman" w:cs="Times New Roman"/>
          <w:noProof/>
          <w:sz w:val="24"/>
          <w:szCs w:val="24"/>
        </w:rPr>
        <w:t xml:space="preserve">only if and </w:t>
      </w:r>
      <w:r w:rsidR="000C3115">
        <w:rPr>
          <w:rFonts w:ascii="Times New Roman" w:hAnsi="Times New Roman" w:cs="Times New Roman"/>
          <w:noProof/>
          <w:sz w:val="24"/>
          <w:szCs w:val="24"/>
        </w:rPr>
        <w:t xml:space="preserve">when </w:t>
      </w:r>
      <w:r w:rsidR="00F257A5">
        <w:rPr>
          <w:rFonts w:ascii="Times New Roman" w:hAnsi="Times New Roman" w:cs="Times New Roman"/>
          <w:noProof/>
          <w:sz w:val="24"/>
          <w:szCs w:val="24"/>
        </w:rPr>
        <w:t xml:space="preserve">the </w:t>
      </w:r>
      <w:r w:rsidR="000C3115">
        <w:rPr>
          <w:rFonts w:ascii="Times New Roman" w:hAnsi="Times New Roman" w:cs="Times New Roman"/>
          <w:noProof/>
          <w:sz w:val="24"/>
          <w:szCs w:val="24"/>
        </w:rPr>
        <w:t xml:space="preserve">conditions </w:t>
      </w:r>
      <w:r w:rsidR="00DB7C99">
        <w:rPr>
          <w:rFonts w:ascii="Times New Roman" w:hAnsi="Times New Roman" w:cs="Times New Roman"/>
          <w:noProof/>
          <w:sz w:val="24"/>
          <w:szCs w:val="24"/>
        </w:rPr>
        <w:t xml:space="preserve">for a smooth transfer </w:t>
      </w:r>
      <w:r w:rsidR="004B0689">
        <w:rPr>
          <w:rFonts w:ascii="Times New Roman" w:hAnsi="Times New Roman" w:cs="Times New Roman"/>
          <w:noProof/>
          <w:sz w:val="24"/>
          <w:szCs w:val="24"/>
        </w:rPr>
        <w:t xml:space="preserve">are </w:t>
      </w:r>
      <w:r w:rsidR="00680588">
        <w:rPr>
          <w:rFonts w:ascii="Times New Roman" w:hAnsi="Times New Roman" w:cs="Times New Roman"/>
          <w:noProof/>
          <w:sz w:val="24"/>
          <w:szCs w:val="24"/>
        </w:rPr>
        <w:t xml:space="preserve">considered </w:t>
      </w:r>
      <w:r w:rsidR="000C3115">
        <w:rPr>
          <w:rFonts w:ascii="Times New Roman" w:hAnsi="Times New Roman" w:cs="Times New Roman"/>
          <w:noProof/>
          <w:sz w:val="24"/>
          <w:szCs w:val="24"/>
        </w:rPr>
        <w:t>appropriate</w:t>
      </w:r>
      <w:r w:rsidR="00DB7C99">
        <w:rPr>
          <w:rFonts w:ascii="Times New Roman" w:hAnsi="Times New Roman" w:cs="Times New Roman"/>
          <w:noProof/>
          <w:sz w:val="24"/>
          <w:szCs w:val="24"/>
        </w:rPr>
        <w:t xml:space="preserve">. </w:t>
      </w:r>
    </w:p>
    <w:p w14:paraId="218CE779" w14:textId="63E67BC2"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2" w:name="_Toc138066880"/>
      <w:r w:rsidRPr="008010AD">
        <w:rPr>
          <w:rFonts w:ascii="Times New Roman" w:hAnsi="Times New Roman" w:cs="Times New Roman"/>
          <w:noProof/>
          <w:color w:val="auto"/>
          <w:sz w:val="24"/>
          <w:szCs w:val="24"/>
          <w:u w:val="single"/>
        </w:rPr>
        <w:t>Scope</w:t>
      </w:r>
      <w:r w:rsidR="00697C72">
        <w:rPr>
          <w:rStyle w:val="FootnoteReference"/>
          <w:rFonts w:ascii="Times New Roman" w:hAnsi="Times New Roman" w:cs="Times New Roman"/>
          <w:noProof/>
          <w:color w:val="auto"/>
          <w:sz w:val="24"/>
          <w:szCs w:val="24"/>
          <w:u w:val="single"/>
        </w:rPr>
        <w:footnoteReference w:id="18"/>
      </w:r>
      <w:bookmarkEnd w:id="32"/>
    </w:p>
    <w:p w14:paraId="2301B1E6" w14:textId="00D64884" w:rsidR="00A41AB1" w:rsidRDefault="00A41AB1" w:rsidP="00BD71BE">
      <w:pPr>
        <w:spacing w:before="120" w:after="120" w:line="240" w:lineRule="auto"/>
        <w:jc w:val="both"/>
        <w:rPr>
          <w:rFonts w:ascii="Times New Roman" w:hAnsi="Times New Roman" w:cs="Times New Roman"/>
          <w:noProof/>
          <w:sz w:val="24"/>
          <w:szCs w:val="24"/>
        </w:rPr>
      </w:pPr>
      <w:r w:rsidRPr="00A41AB1">
        <w:rPr>
          <w:rFonts w:ascii="Times New Roman" w:hAnsi="Times New Roman" w:cs="Times New Roman"/>
          <w:noProof/>
          <w:sz w:val="24"/>
          <w:szCs w:val="24"/>
        </w:rPr>
        <w:t xml:space="preserve">New means of payment have </w:t>
      </w:r>
      <w:r w:rsidR="00C56645">
        <w:rPr>
          <w:rFonts w:ascii="Times New Roman" w:hAnsi="Times New Roman" w:cs="Times New Roman"/>
          <w:noProof/>
          <w:sz w:val="24"/>
          <w:szCs w:val="24"/>
        </w:rPr>
        <w:t xml:space="preserve">been </w:t>
      </w:r>
      <w:r w:rsidRPr="00A41AB1">
        <w:rPr>
          <w:rFonts w:ascii="Times New Roman" w:hAnsi="Times New Roman" w:cs="Times New Roman"/>
          <w:noProof/>
          <w:sz w:val="24"/>
          <w:szCs w:val="24"/>
        </w:rPr>
        <w:t>developed</w:t>
      </w:r>
      <w:r w:rsidR="005C5BE0" w:rsidRPr="005C5BE0">
        <w:rPr>
          <w:rFonts w:ascii="Times New Roman" w:hAnsi="Times New Roman" w:cs="Times New Roman"/>
          <w:noProof/>
          <w:sz w:val="24"/>
          <w:szCs w:val="24"/>
        </w:rPr>
        <w:t xml:space="preserve"> </w:t>
      </w:r>
      <w:r w:rsidR="005C5BE0">
        <w:rPr>
          <w:rFonts w:ascii="Times New Roman" w:hAnsi="Times New Roman" w:cs="Times New Roman"/>
          <w:noProof/>
          <w:sz w:val="24"/>
          <w:szCs w:val="24"/>
        </w:rPr>
        <w:t>s</w:t>
      </w:r>
      <w:r w:rsidR="005C5BE0" w:rsidRPr="00A41AB1">
        <w:rPr>
          <w:rFonts w:ascii="Times New Roman" w:hAnsi="Times New Roman" w:cs="Times New Roman"/>
          <w:noProof/>
          <w:sz w:val="24"/>
          <w:szCs w:val="24"/>
        </w:rPr>
        <w:t>ince PSD2 was adopted</w:t>
      </w:r>
      <w:r w:rsidR="005C5BE0">
        <w:rPr>
          <w:rFonts w:ascii="Times New Roman" w:hAnsi="Times New Roman" w:cs="Times New Roman"/>
          <w:noProof/>
          <w:sz w:val="24"/>
          <w:szCs w:val="24"/>
        </w:rPr>
        <w:t>,</w:t>
      </w:r>
      <w:r w:rsidRPr="00A41AB1">
        <w:rPr>
          <w:rFonts w:ascii="Times New Roman" w:hAnsi="Times New Roman" w:cs="Times New Roman"/>
          <w:noProof/>
          <w:sz w:val="24"/>
          <w:szCs w:val="24"/>
        </w:rPr>
        <w:t xml:space="preserve"> such as </w:t>
      </w:r>
      <w:r w:rsidR="00C56645">
        <w:rPr>
          <w:rFonts w:ascii="Times New Roman" w:hAnsi="Times New Roman" w:cs="Times New Roman"/>
          <w:noProof/>
          <w:sz w:val="24"/>
          <w:szCs w:val="24"/>
        </w:rPr>
        <w:t xml:space="preserve">instant payments or </w:t>
      </w:r>
      <w:r w:rsidRPr="00A41AB1">
        <w:rPr>
          <w:rFonts w:ascii="Times New Roman" w:hAnsi="Times New Roman" w:cs="Times New Roman"/>
          <w:noProof/>
          <w:sz w:val="24"/>
          <w:szCs w:val="24"/>
        </w:rPr>
        <w:t>e-money tokens (EMTs, a type of crypto asset</w:t>
      </w:r>
      <w:r w:rsidR="000C3115">
        <w:rPr>
          <w:rStyle w:val="FootnoteReference"/>
          <w:rFonts w:ascii="Times New Roman" w:hAnsi="Times New Roman" w:cs="Times New Roman"/>
          <w:noProof/>
          <w:sz w:val="24"/>
          <w:szCs w:val="24"/>
        </w:rPr>
        <w:footnoteReference w:id="19"/>
      </w:r>
      <w:r w:rsidRPr="00A41AB1">
        <w:rPr>
          <w:rFonts w:ascii="Times New Roman" w:hAnsi="Times New Roman" w:cs="Times New Roman"/>
          <w:noProof/>
          <w:sz w:val="24"/>
          <w:szCs w:val="24"/>
        </w:rPr>
        <w:t xml:space="preserve">). </w:t>
      </w:r>
      <w:r w:rsidR="00015733">
        <w:rPr>
          <w:rFonts w:ascii="Times New Roman" w:hAnsi="Times New Roman" w:cs="Times New Roman"/>
          <w:noProof/>
          <w:sz w:val="24"/>
          <w:szCs w:val="24"/>
        </w:rPr>
        <w:t>O</w:t>
      </w:r>
      <w:r w:rsidR="005C5BE0">
        <w:rPr>
          <w:rFonts w:ascii="Times New Roman" w:hAnsi="Times New Roman" w:cs="Times New Roman"/>
          <w:noProof/>
          <w:sz w:val="24"/>
          <w:szCs w:val="24"/>
        </w:rPr>
        <w:t xml:space="preserve">ther </w:t>
      </w:r>
      <w:r w:rsidR="004B0689">
        <w:rPr>
          <w:rFonts w:ascii="Times New Roman" w:hAnsi="Times New Roman" w:cs="Times New Roman"/>
          <w:noProof/>
          <w:sz w:val="24"/>
          <w:szCs w:val="24"/>
        </w:rPr>
        <w:t xml:space="preserve">new products </w:t>
      </w:r>
      <w:r w:rsidR="00015733">
        <w:rPr>
          <w:rFonts w:ascii="Times New Roman" w:hAnsi="Times New Roman" w:cs="Times New Roman"/>
          <w:noProof/>
          <w:sz w:val="24"/>
          <w:szCs w:val="24"/>
        </w:rPr>
        <w:t>are</w:t>
      </w:r>
      <w:r w:rsidR="000C0DFC">
        <w:rPr>
          <w:rFonts w:ascii="Times New Roman" w:hAnsi="Times New Roman" w:cs="Times New Roman"/>
          <w:noProof/>
          <w:sz w:val="24"/>
          <w:szCs w:val="24"/>
        </w:rPr>
        <w:t xml:space="preserve"> </w:t>
      </w:r>
      <w:r w:rsidR="004B0689" w:rsidRPr="00A41AB1">
        <w:rPr>
          <w:rFonts w:ascii="Times New Roman" w:hAnsi="Times New Roman" w:cs="Times New Roman"/>
          <w:noProof/>
          <w:sz w:val="24"/>
          <w:szCs w:val="24"/>
        </w:rPr>
        <w:t xml:space="preserve">e-wallets (specifically “pass-through wallets”) </w:t>
      </w:r>
      <w:r w:rsidR="004B0689">
        <w:rPr>
          <w:rFonts w:ascii="Times New Roman" w:hAnsi="Times New Roman" w:cs="Times New Roman"/>
          <w:noProof/>
          <w:sz w:val="24"/>
          <w:szCs w:val="24"/>
        </w:rPr>
        <w:t xml:space="preserve">which </w:t>
      </w:r>
      <w:r w:rsidR="004B0689" w:rsidRPr="00A41AB1">
        <w:rPr>
          <w:rFonts w:ascii="Times New Roman" w:hAnsi="Times New Roman" w:cs="Times New Roman"/>
          <w:noProof/>
          <w:sz w:val="24"/>
          <w:szCs w:val="24"/>
        </w:rPr>
        <w:t>allow</w:t>
      </w:r>
      <w:r w:rsidR="004B0689">
        <w:rPr>
          <w:rFonts w:ascii="Times New Roman" w:hAnsi="Times New Roman" w:cs="Times New Roman"/>
          <w:noProof/>
          <w:sz w:val="24"/>
          <w:szCs w:val="24"/>
        </w:rPr>
        <w:t>, through tokenisation,</w:t>
      </w:r>
      <w:r w:rsidR="004B0689" w:rsidRPr="00A41AB1">
        <w:rPr>
          <w:rFonts w:ascii="Times New Roman" w:hAnsi="Times New Roman" w:cs="Times New Roman"/>
          <w:noProof/>
          <w:sz w:val="24"/>
          <w:szCs w:val="24"/>
        </w:rPr>
        <w:t xml:space="preserve"> </w:t>
      </w:r>
      <w:r w:rsidR="004B0689">
        <w:rPr>
          <w:rFonts w:ascii="Times New Roman" w:hAnsi="Times New Roman" w:cs="Times New Roman"/>
          <w:noProof/>
          <w:sz w:val="24"/>
          <w:szCs w:val="24"/>
        </w:rPr>
        <w:t>the use</w:t>
      </w:r>
      <w:r w:rsidR="004B0689" w:rsidRPr="00A41AB1">
        <w:rPr>
          <w:rFonts w:ascii="Times New Roman" w:hAnsi="Times New Roman" w:cs="Times New Roman"/>
          <w:noProof/>
          <w:sz w:val="24"/>
          <w:szCs w:val="24"/>
        </w:rPr>
        <w:t xml:space="preserve"> of a</w:t>
      </w:r>
      <w:r w:rsidR="004B0689">
        <w:rPr>
          <w:rFonts w:ascii="Times New Roman" w:hAnsi="Times New Roman" w:cs="Times New Roman"/>
          <w:noProof/>
          <w:sz w:val="24"/>
          <w:szCs w:val="24"/>
        </w:rPr>
        <w:t xml:space="preserve"> </w:t>
      </w:r>
      <w:r w:rsidR="004B0689" w:rsidRPr="00A41AB1">
        <w:rPr>
          <w:rFonts w:ascii="Times New Roman" w:hAnsi="Times New Roman" w:cs="Times New Roman"/>
          <w:noProof/>
          <w:sz w:val="24"/>
          <w:szCs w:val="24"/>
        </w:rPr>
        <w:t xml:space="preserve">payment instrument via a mobile device to make online or contactless payments. </w:t>
      </w:r>
      <w:r w:rsidR="00C56645">
        <w:rPr>
          <w:rFonts w:ascii="Times New Roman" w:hAnsi="Times New Roman" w:cs="Times New Roman"/>
          <w:noProof/>
          <w:sz w:val="24"/>
          <w:szCs w:val="24"/>
        </w:rPr>
        <w:t>New services facilitating the provision of payment services</w:t>
      </w:r>
      <w:r w:rsidR="000C0DFC">
        <w:rPr>
          <w:rFonts w:ascii="Times New Roman" w:hAnsi="Times New Roman" w:cs="Times New Roman"/>
          <w:noProof/>
          <w:sz w:val="24"/>
          <w:szCs w:val="24"/>
        </w:rPr>
        <w:t xml:space="preserve"> without themselves being payment services</w:t>
      </w:r>
      <w:r w:rsidR="00C56645">
        <w:rPr>
          <w:rFonts w:ascii="Times New Roman" w:hAnsi="Times New Roman" w:cs="Times New Roman"/>
          <w:noProof/>
          <w:sz w:val="24"/>
          <w:szCs w:val="24"/>
        </w:rPr>
        <w:t xml:space="preserve">, </w:t>
      </w:r>
      <w:r w:rsidRPr="00A41AB1">
        <w:rPr>
          <w:rFonts w:ascii="Times New Roman" w:hAnsi="Times New Roman" w:cs="Times New Roman"/>
          <w:noProof/>
          <w:sz w:val="24"/>
          <w:szCs w:val="24"/>
        </w:rPr>
        <w:t>such as “buy</w:t>
      </w:r>
      <w:r w:rsidR="000C0DFC">
        <w:rPr>
          <w:rFonts w:ascii="Times New Roman" w:hAnsi="Times New Roman" w:cs="Times New Roman"/>
          <w:noProof/>
          <w:sz w:val="24"/>
          <w:szCs w:val="24"/>
        </w:rPr>
        <w:t>-</w:t>
      </w:r>
      <w:r w:rsidRPr="00A41AB1">
        <w:rPr>
          <w:rFonts w:ascii="Times New Roman" w:hAnsi="Times New Roman" w:cs="Times New Roman"/>
          <w:noProof/>
          <w:sz w:val="24"/>
          <w:szCs w:val="24"/>
        </w:rPr>
        <w:t>now</w:t>
      </w:r>
      <w:r w:rsidR="000C0DFC">
        <w:rPr>
          <w:rFonts w:ascii="Times New Roman" w:hAnsi="Times New Roman" w:cs="Times New Roman"/>
          <w:noProof/>
          <w:sz w:val="24"/>
          <w:szCs w:val="24"/>
        </w:rPr>
        <w:t>-</w:t>
      </w:r>
      <w:r w:rsidRPr="00A41AB1">
        <w:rPr>
          <w:rFonts w:ascii="Times New Roman" w:hAnsi="Times New Roman" w:cs="Times New Roman"/>
          <w:noProof/>
          <w:sz w:val="24"/>
          <w:szCs w:val="24"/>
        </w:rPr>
        <w:t>pay</w:t>
      </w:r>
      <w:r w:rsidR="000C0DFC">
        <w:rPr>
          <w:rFonts w:ascii="Times New Roman" w:hAnsi="Times New Roman" w:cs="Times New Roman"/>
          <w:noProof/>
          <w:sz w:val="24"/>
          <w:szCs w:val="24"/>
        </w:rPr>
        <w:t>-</w:t>
      </w:r>
      <w:r w:rsidRPr="00A41AB1">
        <w:rPr>
          <w:rFonts w:ascii="Times New Roman" w:hAnsi="Times New Roman" w:cs="Times New Roman"/>
          <w:noProof/>
          <w:sz w:val="24"/>
          <w:szCs w:val="24"/>
        </w:rPr>
        <w:t xml:space="preserve">later” </w:t>
      </w:r>
      <w:r w:rsidR="006B4E6C">
        <w:rPr>
          <w:rFonts w:ascii="Times New Roman" w:hAnsi="Times New Roman" w:cs="Times New Roman"/>
          <w:noProof/>
          <w:sz w:val="24"/>
          <w:szCs w:val="24"/>
        </w:rPr>
        <w:t xml:space="preserve">or </w:t>
      </w:r>
      <w:r w:rsidR="000C0DFC">
        <w:rPr>
          <w:rFonts w:ascii="Times New Roman" w:hAnsi="Times New Roman" w:cs="Times New Roman"/>
          <w:noProof/>
          <w:sz w:val="24"/>
          <w:szCs w:val="24"/>
        </w:rPr>
        <w:t>“</w:t>
      </w:r>
      <w:r w:rsidR="006B4E6C">
        <w:rPr>
          <w:rFonts w:ascii="Times New Roman" w:hAnsi="Times New Roman" w:cs="Times New Roman"/>
          <w:noProof/>
          <w:sz w:val="24"/>
          <w:szCs w:val="24"/>
        </w:rPr>
        <w:t>request-to-pay</w:t>
      </w:r>
      <w:r w:rsidR="000C0DFC">
        <w:rPr>
          <w:rFonts w:ascii="Times New Roman" w:hAnsi="Times New Roman" w:cs="Times New Roman"/>
          <w:noProof/>
          <w:sz w:val="24"/>
          <w:szCs w:val="24"/>
        </w:rPr>
        <w:t>”</w:t>
      </w:r>
      <w:r w:rsidR="00873549">
        <w:rPr>
          <w:rFonts w:ascii="Times New Roman" w:hAnsi="Times New Roman" w:cs="Times New Roman"/>
          <w:noProof/>
          <w:sz w:val="24"/>
          <w:szCs w:val="24"/>
        </w:rPr>
        <w:t>,</w:t>
      </w:r>
      <w:r w:rsidRPr="00A41AB1">
        <w:rPr>
          <w:rFonts w:ascii="Times New Roman" w:hAnsi="Times New Roman" w:cs="Times New Roman"/>
          <w:noProof/>
          <w:sz w:val="24"/>
          <w:szCs w:val="24"/>
        </w:rPr>
        <w:t xml:space="preserve"> </w:t>
      </w:r>
      <w:r w:rsidR="00C56645">
        <w:rPr>
          <w:rFonts w:ascii="Times New Roman" w:hAnsi="Times New Roman" w:cs="Times New Roman"/>
          <w:noProof/>
          <w:sz w:val="24"/>
          <w:szCs w:val="24"/>
        </w:rPr>
        <w:t xml:space="preserve">have also emerged. </w:t>
      </w:r>
    </w:p>
    <w:p w14:paraId="6AC63D54" w14:textId="3FFB055E" w:rsidR="00873549" w:rsidRDefault="00015733"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Many p</w:t>
      </w:r>
      <w:r w:rsidR="005C5BE0">
        <w:rPr>
          <w:rFonts w:ascii="Times New Roman" w:hAnsi="Times New Roman" w:cs="Times New Roman"/>
          <w:noProof/>
          <w:sz w:val="24"/>
          <w:szCs w:val="24"/>
        </w:rPr>
        <w:t xml:space="preserve">roviders of such new services are </w:t>
      </w:r>
      <w:r w:rsidR="00873549">
        <w:rPr>
          <w:rFonts w:ascii="Times New Roman" w:hAnsi="Times New Roman" w:cs="Times New Roman"/>
          <w:noProof/>
          <w:sz w:val="24"/>
          <w:szCs w:val="24"/>
        </w:rPr>
        <w:t>exclude</w:t>
      </w:r>
      <w:r w:rsidR="005C5BE0">
        <w:rPr>
          <w:rFonts w:ascii="Times New Roman" w:hAnsi="Times New Roman" w:cs="Times New Roman"/>
          <w:noProof/>
          <w:sz w:val="24"/>
          <w:szCs w:val="24"/>
        </w:rPr>
        <w:t>d from the scope of PSD2 as</w:t>
      </w:r>
      <w:r w:rsidR="00873549">
        <w:rPr>
          <w:rFonts w:ascii="Times New Roman" w:hAnsi="Times New Roman" w:cs="Times New Roman"/>
          <w:noProof/>
          <w:sz w:val="24"/>
          <w:szCs w:val="24"/>
        </w:rPr>
        <w:t xml:space="preserve"> </w:t>
      </w:r>
      <w:r>
        <w:rPr>
          <w:rFonts w:ascii="Times New Roman" w:hAnsi="Times New Roman" w:cs="Times New Roman"/>
          <w:noProof/>
          <w:sz w:val="24"/>
          <w:szCs w:val="24"/>
        </w:rPr>
        <w:t xml:space="preserve">being </w:t>
      </w:r>
      <w:r w:rsidR="00873549">
        <w:rPr>
          <w:rFonts w:ascii="Times New Roman" w:hAnsi="Times New Roman" w:cs="Times New Roman"/>
          <w:noProof/>
          <w:sz w:val="24"/>
          <w:szCs w:val="24"/>
        </w:rPr>
        <w:t>“technical service providers” (TSPs)</w:t>
      </w:r>
      <w:bookmarkStart w:id="34" w:name="_Hlk132969099"/>
      <w:r w:rsidR="00413D39">
        <w:rPr>
          <w:rFonts w:ascii="Times New Roman" w:hAnsi="Times New Roman" w:cs="Times New Roman"/>
          <w:noProof/>
          <w:sz w:val="24"/>
          <w:szCs w:val="24"/>
        </w:rPr>
        <w:t xml:space="preserve">. </w:t>
      </w:r>
      <w:bookmarkEnd w:id="34"/>
      <w:r w:rsidR="00873549" w:rsidRPr="00A41AB1">
        <w:rPr>
          <w:rFonts w:ascii="Times New Roman" w:hAnsi="Times New Roman" w:cs="Times New Roman"/>
          <w:noProof/>
          <w:sz w:val="24"/>
          <w:szCs w:val="24"/>
        </w:rPr>
        <w:t>The</w:t>
      </w:r>
      <w:r w:rsidR="00873549">
        <w:rPr>
          <w:rFonts w:ascii="Times New Roman" w:hAnsi="Times New Roman" w:cs="Times New Roman"/>
          <w:noProof/>
          <w:sz w:val="24"/>
          <w:szCs w:val="24"/>
        </w:rPr>
        <w:t xml:space="preserve">se include </w:t>
      </w:r>
      <w:r w:rsidR="00873549" w:rsidRPr="00A41AB1">
        <w:rPr>
          <w:rFonts w:ascii="Times New Roman" w:hAnsi="Times New Roman" w:cs="Times New Roman"/>
          <w:noProof/>
          <w:sz w:val="24"/>
          <w:szCs w:val="24"/>
        </w:rPr>
        <w:t xml:space="preserve">payment system </w:t>
      </w:r>
      <w:r w:rsidR="00873549">
        <w:rPr>
          <w:rFonts w:ascii="Times New Roman" w:hAnsi="Times New Roman" w:cs="Times New Roman"/>
          <w:noProof/>
          <w:sz w:val="24"/>
          <w:szCs w:val="24"/>
        </w:rPr>
        <w:t>operators</w:t>
      </w:r>
      <w:r w:rsidR="00873549" w:rsidRPr="00A41AB1">
        <w:rPr>
          <w:rFonts w:ascii="Times New Roman" w:hAnsi="Times New Roman" w:cs="Times New Roman"/>
          <w:noProof/>
          <w:sz w:val="24"/>
          <w:szCs w:val="24"/>
        </w:rPr>
        <w:t xml:space="preserve"> and </w:t>
      </w:r>
      <w:r w:rsidR="000C0DFC">
        <w:rPr>
          <w:rFonts w:ascii="Times New Roman" w:hAnsi="Times New Roman" w:cs="Times New Roman"/>
          <w:noProof/>
          <w:sz w:val="24"/>
          <w:szCs w:val="24"/>
        </w:rPr>
        <w:t xml:space="preserve">service </w:t>
      </w:r>
      <w:r w:rsidR="00873549" w:rsidRPr="00A41AB1">
        <w:rPr>
          <w:rFonts w:ascii="Times New Roman" w:hAnsi="Times New Roman" w:cs="Times New Roman"/>
          <w:noProof/>
          <w:sz w:val="24"/>
          <w:szCs w:val="24"/>
        </w:rPr>
        <w:t>providers</w:t>
      </w:r>
      <w:r w:rsidR="00C56645">
        <w:rPr>
          <w:rFonts w:ascii="Times New Roman" w:hAnsi="Times New Roman" w:cs="Times New Roman"/>
          <w:noProof/>
          <w:sz w:val="24"/>
          <w:szCs w:val="24"/>
        </w:rPr>
        <w:t xml:space="preserve"> such as </w:t>
      </w:r>
      <w:r w:rsidR="007E258D">
        <w:rPr>
          <w:rFonts w:ascii="Times New Roman" w:hAnsi="Times New Roman" w:cs="Times New Roman"/>
          <w:noProof/>
          <w:sz w:val="24"/>
          <w:szCs w:val="24"/>
        </w:rPr>
        <w:t xml:space="preserve">payment </w:t>
      </w:r>
      <w:r w:rsidR="00C56645">
        <w:rPr>
          <w:rFonts w:ascii="Times New Roman" w:hAnsi="Times New Roman" w:cs="Times New Roman"/>
          <w:noProof/>
          <w:sz w:val="24"/>
          <w:szCs w:val="24"/>
        </w:rPr>
        <w:t xml:space="preserve">processors or gateways </w:t>
      </w:r>
      <w:r w:rsidR="004B0689">
        <w:rPr>
          <w:rFonts w:ascii="Times New Roman" w:hAnsi="Times New Roman" w:cs="Times New Roman"/>
          <w:noProof/>
          <w:sz w:val="24"/>
          <w:szCs w:val="24"/>
        </w:rPr>
        <w:t xml:space="preserve">which, although not </w:t>
      </w:r>
      <w:r w:rsidR="005C5BE0">
        <w:rPr>
          <w:rFonts w:ascii="Times New Roman" w:hAnsi="Times New Roman" w:cs="Times New Roman"/>
          <w:noProof/>
          <w:sz w:val="24"/>
          <w:szCs w:val="24"/>
        </w:rPr>
        <w:t>PSPs</w:t>
      </w:r>
      <w:r w:rsidR="004B0689">
        <w:rPr>
          <w:rFonts w:ascii="Times New Roman" w:hAnsi="Times New Roman" w:cs="Times New Roman"/>
          <w:noProof/>
          <w:sz w:val="24"/>
          <w:szCs w:val="24"/>
        </w:rPr>
        <w:t xml:space="preserve"> themselves, </w:t>
      </w:r>
      <w:r w:rsidR="00873549" w:rsidRPr="00A41AB1">
        <w:rPr>
          <w:rFonts w:ascii="Times New Roman" w:hAnsi="Times New Roman" w:cs="Times New Roman"/>
          <w:noProof/>
          <w:sz w:val="24"/>
          <w:szCs w:val="24"/>
        </w:rPr>
        <w:t xml:space="preserve">support the provision </w:t>
      </w:r>
      <w:r w:rsidR="005C5BE0" w:rsidRPr="00A41AB1">
        <w:rPr>
          <w:rFonts w:ascii="Times New Roman" w:hAnsi="Times New Roman" w:cs="Times New Roman"/>
          <w:noProof/>
          <w:sz w:val="24"/>
          <w:szCs w:val="24"/>
        </w:rPr>
        <w:t xml:space="preserve">of payment services </w:t>
      </w:r>
      <w:r w:rsidR="00873549" w:rsidRPr="00A41AB1">
        <w:rPr>
          <w:rFonts w:ascii="Times New Roman" w:hAnsi="Times New Roman" w:cs="Times New Roman"/>
          <w:noProof/>
          <w:sz w:val="24"/>
          <w:szCs w:val="24"/>
        </w:rPr>
        <w:t xml:space="preserve">by regulated </w:t>
      </w:r>
      <w:r w:rsidR="005C5BE0">
        <w:rPr>
          <w:rFonts w:ascii="Times New Roman" w:hAnsi="Times New Roman" w:cs="Times New Roman"/>
          <w:noProof/>
          <w:sz w:val="24"/>
          <w:szCs w:val="24"/>
        </w:rPr>
        <w:t>PSPs</w:t>
      </w:r>
      <w:r w:rsidR="00873549" w:rsidRPr="00A41AB1">
        <w:rPr>
          <w:rFonts w:ascii="Times New Roman" w:hAnsi="Times New Roman" w:cs="Times New Roman"/>
          <w:noProof/>
          <w:sz w:val="24"/>
          <w:szCs w:val="24"/>
        </w:rPr>
        <w:t>.</w:t>
      </w:r>
      <w:r w:rsidR="000C0DFC">
        <w:rPr>
          <w:rFonts w:ascii="Times New Roman" w:hAnsi="Times New Roman" w:cs="Times New Roman"/>
          <w:noProof/>
          <w:sz w:val="24"/>
          <w:szCs w:val="24"/>
        </w:rPr>
        <w:t xml:space="preserve"> Some of these TSPs have, since PSD2, gained a very significant role in the payment chain</w:t>
      </w:r>
      <w:r w:rsidR="005C5BE0">
        <w:rPr>
          <w:rFonts w:ascii="Times New Roman" w:hAnsi="Times New Roman" w:cs="Times New Roman"/>
          <w:noProof/>
          <w:sz w:val="24"/>
          <w:szCs w:val="24"/>
        </w:rPr>
        <w:t xml:space="preserve"> and</w:t>
      </w:r>
      <w:r w:rsidR="000C0DFC">
        <w:rPr>
          <w:rFonts w:ascii="Times New Roman" w:hAnsi="Times New Roman" w:cs="Times New Roman"/>
          <w:noProof/>
          <w:sz w:val="24"/>
          <w:szCs w:val="24"/>
        </w:rPr>
        <w:t xml:space="preserve"> some of them, like big </w:t>
      </w:r>
      <w:r w:rsidR="002A359E">
        <w:rPr>
          <w:rFonts w:ascii="Times New Roman" w:hAnsi="Times New Roman" w:cs="Times New Roman"/>
          <w:noProof/>
          <w:sz w:val="24"/>
          <w:szCs w:val="24"/>
        </w:rPr>
        <w:t xml:space="preserve">payments data </w:t>
      </w:r>
      <w:r w:rsidR="000C0DFC">
        <w:rPr>
          <w:rFonts w:ascii="Times New Roman" w:hAnsi="Times New Roman" w:cs="Times New Roman"/>
          <w:noProof/>
          <w:sz w:val="24"/>
          <w:szCs w:val="24"/>
        </w:rPr>
        <w:t>processors, hav</w:t>
      </w:r>
      <w:r w:rsidR="005C5BE0">
        <w:rPr>
          <w:rFonts w:ascii="Times New Roman" w:hAnsi="Times New Roman" w:cs="Times New Roman"/>
          <w:noProof/>
          <w:sz w:val="24"/>
          <w:szCs w:val="24"/>
        </w:rPr>
        <w:t>e</w:t>
      </w:r>
      <w:r w:rsidR="000C0DFC">
        <w:rPr>
          <w:rFonts w:ascii="Times New Roman" w:hAnsi="Times New Roman" w:cs="Times New Roman"/>
          <w:noProof/>
          <w:sz w:val="24"/>
          <w:szCs w:val="24"/>
        </w:rPr>
        <w:t xml:space="preserve"> </w:t>
      </w:r>
      <w:r w:rsidR="00AC118D">
        <w:rPr>
          <w:rFonts w:ascii="Times New Roman" w:hAnsi="Times New Roman" w:cs="Times New Roman"/>
          <w:noProof/>
          <w:sz w:val="24"/>
          <w:szCs w:val="24"/>
        </w:rPr>
        <w:t xml:space="preserve">even </w:t>
      </w:r>
      <w:r w:rsidR="000C0DFC">
        <w:rPr>
          <w:rFonts w:ascii="Times New Roman" w:hAnsi="Times New Roman" w:cs="Times New Roman"/>
          <w:noProof/>
          <w:sz w:val="24"/>
          <w:szCs w:val="24"/>
        </w:rPr>
        <w:t>acquired quasi-systemic status</w:t>
      </w:r>
      <w:r w:rsidR="002A359E">
        <w:rPr>
          <w:rFonts w:ascii="Times New Roman" w:hAnsi="Times New Roman" w:cs="Times New Roman"/>
          <w:noProof/>
          <w:sz w:val="24"/>
          <w:szCs w:val="24"/>
        </w:rPr>
        <w:t xml:space="preserve"> in some Member States</w:t>
      </w:r>
      <w:r w:rsidR="000C0DFC">
        <w:rPr>
          <w:rFonts w:ascii="Times New Roman" w:hAnsi="Times New Roman" w:cs="Times New Roman"/>
          <w:noProof/>
          <w:sz w:val="24"/>
          <w:szCs w:val="24"/>
        </w:rPr>
        <w:t xml:space="preserve">. This situation may obviously generate new risks in </w:t>
      </w:r>
      <w:r w:rsidR="00495554">
        <w:rPr>
          <w:rFonts w:ascii="Times New Roman" w:hAnsi="Times New Roman" w:cs="Times New Roman"/>
          <w:noProof/>
          <w:sz w:val="24"/>
          <w:szCs w:val="24"/>
        </w:rPr>
        <w:t xml:space="preserve">the </w:t>
      </w:r>
      <w:r w:rsidR="00F257A5">
        <w:rPr>
          <w:rFonts w:ascii="Times New Roman" w:hAnsi="Times New Roman" w:cs="Times New Roman"/>
          <w:noProof/>
          <w:sz w:val="24"/>
          <w:szCs w:val="24"/>
        </w:rPr>
        <w:t xml:space="preserve">EU </w:t>
      </w:r>
      <w:r w:rsidR="00AC118D">
        <w:rPr>
          <w:rFonts w:ascii="Times New Roman" w:hAnsi="Times New Roman" w:cs="Times New Roman"/>
          <w:noProof/>
          <w:sz w:val="24"/>
          <w:szCs w:val="24"/>
        </w:rPr>
        <w:t>payments</w:t>
      </w:r>
      <w:r w:rsidR="00495554">
        <w:rPr>
          <w:rFonts w:ascii="Times New Roman" w:hAnsi="Times New Roman" w:cs="Times New Roman"/>
          <w:noProof/>
          <w:sz w:val="24"/>
          <w:szCs w:val="24"/>
        </w:rPr>
        <w:t xml:space="preserve"> </w:t>
      </w:r>
      <w:r w:rsidR="00F257A5">
        <w:rPr>
          <w:rFonts w:ascii="Times New Roman" w:hAnsi="Times New Roman" w:cs="Times New Roman"/>
          <w:noProof/>
          <w:sz w:val="24"/>
          <w:szCs w:val="24"/>
        </w:rPr>
        <w:t xml:space="preserve">landscape. </w:t>
      </w:r>
      <w:r w:rsidR="002A359E">
        <w:rPr>
          <w:rFonts w:ascii="Times New Roman" w:hAnsi="Times New Roman" w:cs="Times New Roman"/>
          <w:noProof/>
          <w:sz w:val="24"/>
          <w:szCs w:val="24"/>
        </w:rPr>
        <w:t xml:space="preserve"> </w:t>
      </w:r>
    </w:p>
    <w:p w14:paraId="24813F7B" w14:textId="4B25AF8B" w:rsidR="002A359E" w:rsidRDefault="00E76D83" w:rsidP="00BD71BE">
      <w:pPr>
        <w:spacing w:before="120" w:after="120" w:line="240" w:lineRule="auto"/>
        <w:jc w:val="both"/>
        <w:rPr>
          <w:rFonts w:ascii="Times New Roman" w:eastAsia="Times New Roman" w:hAnsi="Times New Roman" w:cs="Times New Roman"/>
          <w:noProof/>
          <w:sz w:val="24"/>
          <w:szCs w:val="20"/>
        </w:rPr>
      </w:pPr>
      <w:r w:rsidRPr="00E76D83">
        <w:rPr>
          <w:rFonts w:ascii="Times New Roman" w:eastAsia="Times New Roman" w:hAnsi="Times New Roman" w:cs="Times New Roman"/>
          <w:noProof/>
          <w:sz w:val="24"/>
          <w:szCs w:val="20"/>
        </w:rPr>
        <w:t xml:space="preserve">Against this background, the Digital Operational Resilience Act </w:t>
      </w:r>
      <w:r w:rsidR="00F03966">
        <w:rPr>
          <w:rFonts w:ascii="Times New Roman" w:eastAsia="Times New Roman" w:hAnsi="Times New Roman" w:cs="Times New Roman"/>
          <w:noProof/>
          <w:sz w:val="24"/>
          <w:szCs w:val="20"/>
        </w:rPr>
        <w:t xml:space="preserve">(DORA) </w:t>
      </w:r>
      <w:r w:rsidRPr="00E76D83">
        <w:rPr>
          <w:rFonts w:ascii="Times New Roman" w:eastAsia="Times New Roman" w:hAnsi="Times New Roman" w:cs="Times New Roman"/>
          <w:noProof/>
          <w:sz w:val="24"/>
          <w:szCs w:val="20"/>
        </w:rPr>
        <w:t>is relevant</w:t>
      </w:r>
      <w:r>
        <w:rPr>
          <w:rStyle w:val="FootnoteReference"/>
          <w:rFonts w:ascii="Times New Roman" w:eastAsia="Times New Roman" w:hAnsi="Times New Roman" w:cs="Times New Roman"/>
          <w:noProof/>
          <w:sz w:val="24"/>
          <w:szCs w:val="20"/>
        </w:rPr>
        <w:footnoteReference w:id="20"/>
      </w:r>
      <w:r w:rsidRPr="00E76D83">
        <w:rPr>
          <w:rFonts w:ascii="Times New Roman" w:eastAsia="Times New Roman" w:hAnsi="Times New Roman" w:cs="Times New Roman"/>
          <w:noProof/>
          <w:sz w:val="24"/>
          <w:szCs w:val="20"/>
        </w:rPr>
        <w:t xml:space="preserve">. </w:t>
      </w:r>
      <w:r w:rsidR="005C5BE0">
        <w:rPr>
          <w:rFonts w:ascii="Times New Roman" w:eastAsia="Times New Roman" w:hAnsi="Times New Roman" w:cs="Times New Roman"/>
          <w:noProof/>
          <w:sz w:val="24"/>
          <w:szCs w:val="20"/>
        </w:rPr>
        <w:t>PSPs</w:t>
      </w:r>
      <w:r w:rsidRPr="00E76D83">
        <w:rPr>
          <w:rFonts w:ascii="Times New Roman" w:eastAsia="Times New Roman" w:hAnsi="Times New Roman" w:cs="Times New Roman"/>
          <w:noProof/>
          <w:sz w:val="24"/>
          <w:szCs w:val="20"/>
        </w:rPr>
        <w:t xml:space="preserve"> in the meaning of PSD</w:t>
      </w:r>
      <w:r w:rsidR="005C5BE0">
        <w:rPr>
          <w:rFonts w:ascii="Times New Roman" w:eastAsia="Times New Roman" w:hAnsi="Times New Roman" w:cs="Times New Roman"/>
          <w:noProof/>
          <w:sz w:val="24"/>
          <w:szCs w:val="20"/>
        </w:rPr>
        <w:t>2</w:t>
      </w:r>
      <w:r w:rsidRPr="00E76D83">
        <w:rPr>
          <w:rFonts w:ascii="Times New Roman" w:eastAsia="Times New Roman" w:hAnsi="Times New Roman" w:cs="Times New Roman"/>
          <w:noProof/>
          <w:sz w:val="24"/>
          <w:szCs w:val="20"/>
        </w:rPr>
        <w:t xml:space="preserve"> are </w:t>
      </w:r>
      <w:r w:rsidR="00F257A5">
        <w:rPr>
          <w:rFonts w:ascii="Times New Roman" w:eastAsia="Times New Roman" w:hAnsi="Times New Roman" w:cs="Times New Roman"/>
          <w:noProof/>
          <w:sz w:val="24"/>
          <w:szCs w:val="20"/>
        </w:rPr>
        <w:t xml:space="preserve">included </w:t>
      </w:r>
      <w:r w:rsidRPr="00E76D83">
        <w:rPr>
          <w:rFonts w:ascii="Times New Roman" w:eastAsia="Times New Roman" w:hAnsi="Times New Roman" w:cs="Times New Roman"/>
          <w:noProof/>
          <w:sz w:val="24"/>
          <w:szCs w:val="20"/>
        </w:rPr>
        <w:t>within the scope of DORA</w:t>
      </w:r>
      <w:r w:rsidR="00F257A5">
        <w:rPr>
          <w:rFonts w:ascii="Times New Roman" w:eastAsia="Times New Roman" w:hAnsi="Times New Roman" w:cs="Times New Roman"/>
          <w:noProof/>
          <w:sz w:val="24"/>
          <w:szCs w:val="20"/>
        </w:rPr>
        <w:t xml:space="preserve"> whose </w:t>
      </w:r>
      <w:r w:rsidRPr="00E76D83">
        <w:rPr>
          <w:rFonts w:ascii="Times New Roman" w:eastAsia="Times New Roman" w:hAnsi="Times New Roman" w:cs="Times New Roman"/>
          <w:noProof/>
          <w:sz w:val="24"/>
          <w:szCs w:val="20"/>
        </w:rPr>
        <w:t xml:space="preserve">provisions apply directly to them. However, payment system operators, which are not </w:t>
      </w:r>
      <w:r>
        <w:rPr>
          <w:rFonts w:ascii="Times New Roman" w:eastAsia="Times New Roman" w:hAnsi="Times New Roman" w:cs="Times New Roman"/>
          <w:noProof/>
          <w:sz w:val="24"/>
          <w:szCs w:val="20"/>
        </w:rPr>
        <w:t xml:space="preserve">currently </w:t>
      </w:r>
      <w:r w:rsidR="00873549">
        <w:rPr>
          <w:rFonts w:ascii="Times New Roman" w:eastAsia="Times New Roman" w:hAnsi="Times New Roman" w:cs="Times New Roman"/>
          <w:noProof/>
          <w:sz w:val="24"/>
          <w:szCs w:val="20"/>
        </w:rPr>
        <w:t>subjected to a licensing regime under</w:t>
      </w:r>
      <w:r w:rsidRPr="00E76D83">
        <w:rPr>
          <w:rFonts w:ascii="Times New Roman" w:eastAsia="Times New Roman" w:hAnsi="Times New Roman" w:cs="Times New Roman"/>
          <w:noProof/>
          <w:sz w:val="24"/>
          <w:szCs w:val="20"/>
        </w:rPr>
        <w:t xml:space="preserve"> PSD2</w:t>
      </w:r>
      <w:r w:rsidR="00873549">
        <w:rPr>
          <w:rStyle w:val="FootnoteReference"/>
          <w:rFonts w:ascii="Times New Roman" w:eastAsia="Times New Roman" w:hAnsi="Times New Roman" w:cs="Times New Roman"/>
          <w:noProof/>
          <w:sz w:val="24"/>
          <w:szCs w:val="20"/>
        </w:rPr>
        <w:footnoteReference w:id="21"/>
      </w:r>
      <w:r w:rsidRPr="00E76D83">
        <w:rPr>
          <w:rFonts w:ascii="Times New Roman" w:eastAsia="Times New Roman" w:hAnsi="Times New Roman" w:cs="Times New Roman"/>
          <w:noProof/>
          <w:sz w:val="24"/>
          <w:szCs w:val="20"/>
        </w:rPr>
        <w:t xml:space="preserve">, </w:t>
      </w:r>
      <w:r w:rsidR="00873549">
        <w:rPr>
          <w:rFonts w:ascii="Times New Roman" w:eastAsia="Times New Roman" w:hAnsi="Times New Roman" w:cs="Times New Roman"/>
          <w:noProof/>
          <w:sz w:val="24"/>
          <w:szCs w:val="20"/>
        </w:rPr>
        <w:t>fall outside</w:t>
      </w:r>
      <w:r w:rsidRPr="00E76D83">
        <w:rPr>
          <w:rFonts w:ascii="Times New Roman" w:eastAsia="Times New Roman" w:hAnsi="Times New Roman" w:cs="Times New Roman"/>
          <w:noProof/>
          <w:sz w:val="24"/>
          <w:szCs w:val="20"/>
        </w:rPr>
        <w:t xml:space="preserve"> the scope of DORA</w:t>
      </w:r>
      <w:r w:rsidR="0028138A">
        <w:rPr>
          <w:rFonts w:ascii="Times New Roman" w:eastAsia="Times New Roman" w:hAnsi="Times New Roman" w:cs="Times New Roman"/>
          <w:noProof/>
          <w:sz w:val="24"/>
          <w:szCs w:val="20"/>
        </w:rPr>
        <w:t xml:space="preserve"> as DORA only applies to financial entities which are regulated and supervised under EU legislation</w:t>
      </w:r>
      <w:r w:rsidRPr="00E76D83">
        <w:rPr>
          <w:rFonts w:ascii="Times New Roman" w:eastAsia="Times New Roman" w:hAnsi="Times New Roman" w:cs="Times New Roman"/>
          <w:noProof/>
          <w:sz w:val="24"/>
          <w:szCs w:val="20"/>
        </w:rPr>
        <w:t xml:space="preserve">. DORA </w:t>
      </w:r>
      <w:r w:rsidR="00F257A5">
        <w:rPr>
          <w:rFonts w:ascii="Times New Roman" w:eastAsia="Times New Roman" w:hAnsi="Times New Roman" w:cs="Times New Roman"/>
          <w:noProof/>
          <w:sz w:val="24"/>
          <w:szCs w:val="20"/>
        </w:rPr>
        <w:t xml:space="preserve">mandated the Commission, in the context of the </w:t>
      </w:r>
      <w:r w:rsidRPr="00E76D83">
        <w:rPr>
          <w:rFonts w:ascii="Times New Roman" w:eastAsia="Times New Roman" w:hAnsi="Times New Roman" w:cs="Times New Roman"/>
          <w:noProof/>
          <w:sz w:val="24"/>
          <w:szCs w:val="20"/>
        </w:rPr>
        <w:t>PSD2 review</w:t>
      </w:r>
      <w:r w:rsidR="00F257A5">
        <w:rPr>
          <w:rFonts w:ascii="Times New Roman" w:eastAsia="Times New Roman" w:hAnsi="Times New Roman" w:cs="Times New Roman"/>
          <w:noProof/>
          <w:sz w:val="24"/>
          <w:szCs w:val="20"/>
        </w:rPr>
        <w:t>,</w:t>
      </w:r>
      <w:r w:rsidRPr="00E76D83">
        <w:rPr>
          <w:rFonts w:ascii="Times New Roman" w:eastAsia="Times New Roman" w:hAnsi="Times New Roman" w:cs="Times New Roman"/>
          <w:noProof/>
          <w:sz w:val="24"/>
          <w:szCs w:val="20"/>
        </w:rPr>
        <w:t xml:space="preserve"> to consider the inclusion of </w:t>
      </w:r>
      <w:r w:rsidRPr="00157409">
        <w:rPr>
          <w:rFonts w:ascii="Times New Roman" w:eastAsia="Times New Roman" w:hAnsi="Times New Roman" w:cs="Times New Roman"/>
          <w:i/>
          <w:iCs/>
          <w:noProof/>
          <w:sz w:val="24"/>
          <w:szCs w:val="20"/>
        </w:rPr>
        <w:t>“operators of payment systems and entities involved in payment–processing activities”</w:t>
      </w:r>
      <w:r w:rsidRPr="00E76D83">
        <w:rPr>
          <w:rFonts w:ascii="Times New Roman" w:eastAsia="Times New Roman" w:hAnsi="Times New Roman" w:cs="Times New Roman"/>
          <w:noProof/>
          <w:sz w:val="24"/>
          <w:szCs w:val="20"/>
        </w:rPr>
        <w:t xml:space="preserve"> within the scope of PSD2, which would consequently allow their inclusion within the scope of DORA</w:t>
      </w:r>
      <w:r w:rsidRPr="00E76D83">
        <w:rPr>
          <w:rStyle w:val="FootnoteReference"/>
          <w:noProof/>
        </w:rPr>
        <w:footnoteReference w:id="22"/>
      </w:r>
      <w:r w:rsidRPr="00E76D83">
        <w:rPr>
          <w:rFonts w:ascii="Times New Roman" w:eastAsia="Times New Roman" w:hAnsi="Times New Roman" w:cs="Times New Roman"/>
          <w:noProof/>
          <w:sz w:val="24"/>
          <w:szCs w:val="20"/>
        </w:rPr>
        <w:t xml:space="preserve">. </w:t>
      </w:r>
    </w:p>
    <w:p w14:paraId="4C5B6365" w14:textId="50867DEF" w:rsidR="006E2632" w:rsidRDefault="00B23B8E"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00A41AB1" w:rsidRPr="00A41AB1">
        <w:rPr>
          <w:rFonts w:ascii="Times New Roman" w:hAnsi="Times New Roman" w:cs="Times New Roman"/>
          <w:noProof/>
          <w:sz w:val="24"/>
          <w:szCs w:val="24"/>
        </w:rPr>
        <w:t>Commission</w:t>
      </w:r>
      <w:r>
        <w:rPr>
          <w:rFonts w:ascii="Times New Roman" w:hAnsi="Times New Roman" w:cs="Times New Roman"/>
          <w:noProof/>
          <w:sz w:val="24"/>
          <w:szCs w:val="24"/>
        </w:rPr>
        <w:t xml:space="preserve"> has </w:t>
      </w:r>
      <w:r w:rsidR="007C7E83">
        <w:rPr>
          <w:rFonts w:ascii="Times New Roman" w:hAnsi="Times New Roman" w:cs="Times New Roman"/>
          <w:noProof/>
          <w:sz w:val="24"/>
          <w:szCs w:val="24"/>
        </w:rPr>
        <w:t>reached the conclusion that such inclusion would</w:t>
      </w:r>
      <w:r w:rsidR="002A359E">
        <w:rPr>
          <w:rFonts w:ascii="Times New Roman" w:hAnsi="Times New Roman" w:cs="Times New Roman"/>
          <w:noProof/>
          <w:sz w:val="24"/>
          <w:szCs w:val="24"/>
        </w:rPr>
        <w:t>, at this stage,</w:t>
      </w:r>
      <w:r w:rsidR="007C7E83">
        <w:rPr>
          <w:rFonts w:ascii="Times New Roman" w:hAnsi="Times New Roman" w:cs="Times New Roman"/>
          <w:noProof/>
          <w:sz w:val="24"/>
          <w:szCs w:val="24"/>
        </w:rPr>
        <w:t xml:space="preserve"> be premature. </w:t>
      </w:r>
      <w:r w:rsidR="001042E7" w:rsidRPr="001042E7">
        <w:rPr>
          <w:rFonts w:ascii="Times New Roman" w:hAnsi="Times New Roman" w:cs="Times New Roman"/>
          <w:noProof/>
          <w:sz w:val="24"/>
          <w:szCs w:val="24"/>
        </w:rPr>
        <w:t>There is no prevailing view on this question among stakeholders</w:t>
      </w:r>
      <w:r w:rsidR="001042E7">
        <w:rPr>
          <w:rFonts w:ascii="Times New Roman" w:hAnsi="Times New Roman" w:cs="Times New Roman"/>
          <w:noProof/>
          <w:sz w:val="24"/>
          <w:szCs w:val="24"/>
        </w:rPr>
        <w:t xml:space="preserve"> </w:t>
      </w:r>
      <w:r w:rsidR="00B823C9">
        <w:rPr>
          <w:rFonts w:ascii="Times New Roman" w:hAnsi="Times New Roman" w:cs="Times New Roman"/>
          <w:noProof/>
          <w:sz w:val="24"/>
          <w:szCs w:val="24"/>
        </w:rPr>
        <w:t>-</w:t>
      </w:r>
      <w:r w:rsidR="00D533FD">
        <w:rPr>
          <w:rFonts w:ascii="Times New Roman" w:hAnsi="Times New Roman" w:cs="Times New Roman"/>
          <w:noProof/>
          <w:sz w:val="24"/>
          <w:szCs w:val="24"/>
        </w:rPr>
        <w:t xml:space="preserve"> </w:t>
      </w:r>
      <w:r w:rsidR="00B823C9">
        <w:rPr>
          <w:rFonts w:ascii="Times New Roman" w:hAnsi="Times New Roman" w:cs="Times New Roman"/>
          <w:noProof/>
          <w:sz w:val="24"/>
          <w:szCs w:val="24"/>
        </w:rPr>
        <w:t>whether private or public</w:t>
      </w:r>
      <w:r w:rsidR="00D533FD">
        <w:rPr>
          <w:rFonts w:ascii="Times New Roman" w:hAnsi="Times New Roman" w:cs="Times New Roman"/>
          <w:noProof/>
          <w:sz w:val="24"/>
          <w:szCs w:val="24"/>
        </w:rPr>
        <w:t xml:space="preserve"> </w:t>
      </w:r>
      <w:r w:rsidR="00B823C9">
        <w:rPr>
          <w:rFonts w:ascii="Times New Roman" w:hAnsi="Times New Roman" w:cs="Times New Roman"/>
          <w:noProof/>
          <w:sz w:val="24"/>
          <w:szCs w:val="24"/>
        </w:rPr>
        <w:t xml:space="preserve">- </w:t>
      </w:r>
      <w:r w:rsidR="001042E7">
        <w:rPr>
          <w:rFonts w:ascii="Times New Roman" w:hAnsi="Times New Roman" w:cs="Times New Roman"/>
          <w:noProof/>
          <w:sz w:val="24"/>
          <w:szCs w:val="24"/>
        </w:rPr>
        <w:t>consulted by the Commission during its PSD2 review,</w:t>
      </w:r>
      <w:r w:rsidR="001042E7" w:rsidRPr="001042E7">
        <w:rPr>
          <w:rFonts w:ascii="Times New Roman" w:hAnsi="Times New Roman" w:cs="Times New Roman"/>
          <w:noProof/>
          <w:sz w:val="24"/>
          <w:szCs w:val="24"/>
        </w:rPr>
        <w:t xml:space="preserve"> and no clear detriment or risk to consumers or other market players has </w:t>
      </w:r>
      <w:r w:rsidR="001042E7">
        <w:rPr>
          <w:rFonts w:ascii="Times New Roman" w:hAnsi="Times New Roman" w:cs="Times New Roman"/>
          <w:noProof/>
          <w:sz w:val="24"/>
          <w:szCs w:val="24"/>
        </w:rPr>
        <w:t xml:space="preserve">yet </w:t>
      </w:r>
      <w:r w:rsidR="001042E7" w:rsidRPr="001042E7">
        <w:rPr>
          <w:rFonts w:ascii="Times New Roman" w:hAnsi="Times New Roman" w:cs="Times New Roman"/>
          <w:noProof/>
          <w:sz w:val="24"/>
          <w:szCs w:val="24"/>
        </w:rPr>
        <w:t xml:space="preserve">been observed. Many of the currently excluded services and their providers are already </w:t>
      </w:r>
      <w:r w:rsidR="00B823C9">
        <w:rPr>
          <w:rFonts w:ascii="Times New Roman" w:hAnsi="Times New Roman" w:cs="Times New Roman"/>
          <w:noProof/>
          <w:sz w:val="24"/>
          <w:szCs w:val="24"/>
        </w:rPr>
        <w:t>-</w:t>
      </w:r>
      <w:r w:rsidR="00D533FD">
        <w:rPr>
          <w:rFonts w:ascii="Times New Roman" w:hAnsi="Times New Roman" w:cs="Times New Roman"/>
          <w:noProof/>
          <w:sz w:val="24"/>
          <w:szCs w:val="24"/>
        </w:rPr>
        <w:t xml:space="preserve"> </w:t>
      </w:r>
      <w:r w:rsidR="00B823C9">
        <w:rPr>
          <w:rFonts w:ascii="Times New Roman" w:hAnsi="Times New Roman" w:cs="Times New Roman"/>
          <w:noProof/>
          <w:sz w:val="24"/>
          <w:szCs w:val="24"/>
        </w:rPr>
        <w:t>or are about to be</w:t>
      </w:r>
      <w:r w:rsidR="00D533FD">
        <w:rPr>
          <w:rFonts w:ascii="Times New Roman" w:hAnsi="Times New Roman" w:cs="Times New Roman"/>
          <w:noProof/>
          <w:sz w:val="24"/>
          <w:szCs w:val="24"/>
        </w:rPr>
        <w:t xml:space="preserve"> </w:t>
      </w:r>
      <w:r w:rsidR="00B823C9">
        <w:rPr>
          <w:rFonts w:ascii="Times New Roman" w:hAnsi="Times New Roman" w:cs="Times New Roman"/>
          <w:noProof/>
          <w:sz w:val="24"/>
          <w:szCs w:val="24"/>
        </w:rPr>
        <w:t xml:space="preserve">- </w:t>
      </w:r>
      <w:r w:rsidR="00D533FD" w:rsidRPr="001042E7">
        <w:rPr>
          <w:rFonts w:ascii="Times New Roman" w:hAnsi="Times New Roman" w:cs="Times New Roman"/>
          <w:noProof/>
          <w:sz w:val="24"/>
          <w:szCs w:val="24"/>
        </w:rPr>
        <w:t xml:space="preserve">subjected </w:t>
      </w:r>
      <w:r w:rsidR="001042E7" w:rsidRPr="001042E7">
        <w:rPr>
          <w:rFonts w:ascii="Times New Roman" w:hAnsi="Times New Roman" w:cs="Times New Roman"/>
          <w:noProof/>
          <w:sz w:val="24"/>
          <w:szCs w:val="24"/>
        </w:rPr>
        <w:t>to European Central Bank/Eurosystem oversight (based on article 127§2 of the Treaty)</w:t>
      </w:r>
      <w:r w:rsidR="005A21F2">
        <w:rPr>
          <w:rFonts w:ascii="Times New Roman" w:hAnsi="Times New Roman" w:cs="Times New Roman"/>
          <w:noProof/>
          <w:sz w:val="24"/>
          <w:szCs w:val="24"/>
        </w:rPr>
        <w:t>. S</w:t>
      </w:r>
      <w:r w:rsidR="001042E7" w:rsidRPr="001042E7">
        <w:rPr>
          <w:rFonts w:ascii="Times New Roman" w:hAnsi="Times New Roman" w:cs="Times New Roman"/>
          <w:noProof/>
          <w:sz w:val="24"/>
          <w:szCs w:val="24"/>
        </w:rPr>
        <w:t xml:space="preserve">chemes and </w:t>
      </w:r>
      <w:r w:rsidR="007C7E83">
        <w:rPr>
          <w:rFonts w:ascii="Times New Roman" w:hAnsi="Times New Roman" w:cs="Times New Roman"/>
          <w:noProof/>
          <w:sz w:val="24"/>
          <w:szCs w:val="24"/>
        </w:rPr>
        <w:t>so-called “</w:t>
      </w:r>
      <w:r w:rsidR="001042E7" w:rsidRPr="001042E7">
        <w:rPr>
          <w:rFonts w:ascii="Times New Roman" w:hAnsi="Times New Roman" w:cs="Times New Roman"/>
          <w:noProof/>
          <w:sz w:val="24"/>
          <w:szCs w:val="24"/>
        </w:rPr>
        <w:t>arrangements</w:t>
      </w:r>
      <w:r w:rsidR="007C7E83">
        <w:rPr>
          <w:rFonts w:ascii="Times New Roman" w:hAnsi="Times New Roman" w:cs="Times New Roman"/>
          <w:noProof/>
          <w:sz w:val="24"/>
          <w:szCs w:val="24"/>
        </w:rPr>
        <w:t>”</w:t>
      </w:r>
      <w:r w:rsidR="001042E7" w:rsidRPr="001042E7">
        <w:rPr>
          <w:rFonts w:ascii="Times New Roman" w:hAnsi="Times New Roman" w:cs="Times New Roman"/>
          <w:noProof/>
          <w:sz w:val="24"/>
          <w:szCs w:val="24"/>
        </w:rPr>
        <w:t xml:space="preserve"> (such as digital wallets) are covered by the new ‘PISA’ oversight framework of the E</w:t>
      </w:r>
      <w:r w:rsidR="001042E7">
        <w:rPr>
          <w:rFonts w:ascii="Times New Roman" w:hAnsi="Times New Roman" w:cs="Times New Roman"/>
          <w:noProof/>
          <w:sz w:val="24"/>
          <w:szCs w:val="24"/>
        </w:rPr>
        <w:t>urosystem</w:t>
      </w:r>
      <w:r w:rsidR="001F7B36">
        <w:rPr>
          <w:rFonts w:ascii="Times New Roman" w:hAnsi="Times New Roman" w:cs="Times New Roman"/>
          <w:noProof/>
          <w:sz w:val="24"/>
          <w:szCs w:val="24"/>
        </w:rPr>
        <w:t>,</w:t>
      </w:r>
      <w:r w:rsidR="001042E7" w:rsidRPr="001042E7">
        <w:rPr>
          <w:rFonts w:ascii="Times New Roman" w:hAnsi="Times New Roman" w:cs="Times New Roman"/>
          <w:noProof/>
          <w:sz w:val="24"/>
          <w:szCs w:val="24"/>
        </w:rPr>
        <w:t xml:space="preserve"> which is currently being progressively rolled out</w:t>
      </w:r>
      <w:r w:rsidR="00B823C9">
        <w:rPr>
          <w:rFonts w:ascii="Times New Roman" w:hAnsi="Times New Roman" w:cs="Times New Roman"/>
          <w:noProof/>
          <w:sz w:val="24"/>
          <w:szCs w:val="24"/>
        </w:rPr>
        <w:t>. T</w:t>
      </w:r>
      <w:r w:rsidR="00125B05">
        <w:rPr>
          <w:rFonts w:ascii="Times New Roman" w:hAnsi="Times New Roman" w:cs="Times New Roman"/>
          <w:noProof/>
          <w:sz w:val="24"/>
          <w:szCs w:val="24"/>
        </w:rPr>
        <w:t>here would therefore be a significant risk of duplication</w:t>
      </w:r>
      <w:r w:rsidR="00B823C9">
        <w:rPr>
          <w:rFonts w:ascii="Times New Roman" w:hAnsi="Times New Roman" w:cs="Times New Roman"/>
          <w:noProof/>
          <w:sz w:val="24"/>
          <w:szCs w:val="24"/>
        </w:rPr>
        <w:t xml:space="preserve"> if a </w:t>
      </w:r>
      <w:r w:rsidR="00AC118D">
        <w:rPr>
          <w:rFonts w:ascii="Times New Roman" w:hAnsi="Times New Roman" w:cs="Times New Roman"/>
          <w:noProof/>
          <w:sz w:val="24"/>
          <w:szCs w:val="24"/>
        </w:rPr>
        <w:t xml:space="preserve">new </w:t>
      </w:r>
      <w:r w:rsidR="00B823C9">
        <w:rPr>
          <w:rFonts w:ascii="Times New Roman" w:hAnsi="Times New Roman" w:cs="Times New Roman"/>
          <w:noProof/>
          <w:sz w:val="24"/>
          <w:szCs w:val="24"/>
        </w:rPr>
        <w:t xml:space="preserve">layer of </w:t>
      </w:r>
      <w:r w:rsidR="00AC118D">
        <w:rPr>
          <w:rFonts w:ascii="Times New Roman" w:hAnsi="Times New Roman" w:cs="Times New Roman"/>
          <w:noProof/>
          <w:sz w:val="24"/>
          <w:szCs w:val="24"/>
        </w:rPr>
        <w:t xml:space="preserve">EU </w:t>
      </w:r>
      <w:r w:rsidR="00B823C9">
        <w:rPr>
          <w:rFonts w:ascii="Times New Roman" w:hAnsi="Times New Roman" w:cs="Times New Roman"/>
          <w:noProof/>
          <w:sz w:val="24"/>
          <w:szCs w:val="24"/>
        </w:rPr>
        <w:t xml:space="preserve">supervision </w:t>
      </w:r>
      <w:r w:rsidR="00D533FD">
        <w:rPr>
          <w:rFonts w:ascii="Times New Roman" w:hAnsi="Times New Roman" w:cs="Times New Roman"/>
          <w:noProof/>
          <w:sz w:val="24"/>
          <w:szCs w:val="24"/>
        </w:rPr>
        <w:t>were to be</w:t>
      </w:r>
      <w:r w:rsidR="00B823C9">
        <w:rPr>
          <w:rFonts w:ascii="Times New Roman" w:hAnsi="Times New Roman" w:cs="Times New Roman"/>
          <w:noProof/>
          <w:sz w:val="24"/>
          <w:szCs w:val="24"/>
        </w:rPr>
        <w:t xml:space="preserve"> added to </w:t>
      </w:r>
      <w:r w:rsidR="00AC118D">
        <w:rPr>
          <w:rFonts w:ascii="Times New Roman" w:hAnsi="Times New Roman" w:cs="Times New Roman"/>
          <w:noProof/>
          <w:sz w:val="24"/>
          <w:szCs w:val="24"/>
        </w:rPr>
        <w:t xml:space="preserve">the existing </w:t>
      </w:r>
      <w:r w:rsidR="00B823C9">
        <w:rPr>
          <w:rFonts w:ascii="Times New Roman" w:hAnsi="Times New Roman" w:cs="Times New Roman"/>
          <w:noProof/>
          <w:sz w:val="24"/>
          <w:szCs w:val="24"/>
        </w:rPr>
        <w:t>layer of ECB/Eurosystem oversight</w:t>
      </w:r>
      <w:r w:rsidR="00D533FD">
        <w:rPr>
          <w:rFonts w:ascii="Times New Roman" w:hAnsi="Times New Roman" w:cs="Times New Roman"/>
          <w:noProof/>
          <w:sz w:val="24"/>
          <w:szCs w:val="24"/>
        </w:rPr>
        <w:t>, without robust evidence of the need for it</w:t>
      </w:r>
      <w:r w:rsidR="00B823C9">
        <w:rPr>
          <w:rFonts w:ascii="Times New Roman" w:hAnsi="Times New Roman" w:cs="Times New Roman"/>
          <w:noProof/>
          <w:sz w:val="24"/>
          <w:szCs w:val="24"/>
        </w:rPr>
        <w:t xml:space="preserve">. </w:t>
      </w:r>
      <w:r w:rsidR="001042E7" w:rsidRPr="001042E7">
        <w:rPr>
          <w:rFonts w:ascii="Times New Roman" w:hAnsi="Times New Roman" w:cs="Times New Roman"/>
          <w:noProof/>
          <w:sz w:val="24"/>
          <w:szCs w:val="24"/>
        </w:rPr>
        <w:t xml:space="preserve">Also, the </w:t>
      </w:r>
      <w:r w:rsidR="00125B05">
        <w:rPr>
          <w:rFonts w:ascii="Times New Roman" w:hAnsi="Times New Roman" w:cs="Times New Roman"/>
          <w:noProof/>
          <w:sz w:val="24"/>
          <w:szCs w:val="24"/>
        </w:rPr>
        <w:t xml:space="preserve">main </w:t>
      </w:r>
      <w:r w:rsidR="001042E7" w:rsidRPr="001042E7">
        <w:rPr>
          <w:rFonts w:ascii="Times New Roman" w:hAnsi="Times New Roman" w:cs="Times New Roman"/>
          <w:noProof/>
          <w:sz w:val="24"/>
          <w:szCs w:val="24"/>
        </w:rPr>
        <w:t>logic of PSD2 is to regulate services provided to end-users (consumers, merchants) and not services pertaining to the operation of payment infrastructures, nor services supporting the execution of payment services without being payment services themselves (</w:t>
      </w:r>
      <w:r w:rsidR="00D533FD">
        <w:rPr>
          <w:rFonts w:ascii="Times New Roman" w:hAnsi="Times New Roman" w:cs="Times New Roman"/>
          <w:noProof/>
          <w:sz w:val="24"/>
          <w:szCs w:val="24"/>
        </w:rPr>
        <w:t>for example</w:t>
      </w:r>
      <w:r w:rsidR="007C7E83">
        <w:rPr>
          <w:rFonts w:ascii="Times New Roman" w:hAnsi="Times New Roman" w:cs="Times New Roman"/>
          <w:noProof/>
          <w:sz w:val="24"/>
          <w:szCs w:val="24"/>
        </w:rPr>
        <w:t xml:space="preserve"> </w:t>
      </w:r>
      <w:r w:rsidR="001042E7" w:rsidRPr="001042E7">
        <w:rPr>
          <w:rFonts w:ascii="Times New Roman" w:hAnsi="Times New Roman" w:cs="Times New Roman"/>
          <w:noProof/>
          <w:sz w:val="24"/>
          <w:szCs w:val="24"/>
        </w:rPr>
        <w:t xml:space="preserve">payment data processing, operation of payment terminals, cloud services etc.) or services </w:t>
      </w:r>
      <w:r w:rsidR="007C7E83">
        <w:rPr>
          <w:rFonts w:ascii="Times New Roman" w:hAnsi="Times New Roman" w:cs="Times New Roman"/>
          <w:noProof/>
          <w:sz w:val="24"/>
          <w:szCs w:val="24"/>
        </w:rPr>
        <w:t xml:space="preserve">which </w:t>
      </w:r>
      <w:r w:rsidR="001042E7" w:rsidRPr="001042E7">
        <w:rPr>
          <w:rFonts w:ascii="Times New Roman" w:hAnsi="Times New Roman" w:cs="Times New Roman"/>
          <w:noProof/>
          <w:sz w:val="24"/>
          <w:szCs w:val="24"/>
        </w:rPr>
        <w:t>only facilitat</w:t>
      </w:r>
      <w:r w:rsidR="007C7E83">
        <w:rPr>
          <w:rFonts w:ascii="Times New Roman" w:hAnsi="Times New Roman" w:cs="Times New Roman"/>
          <w:noProof/>
          <w:sz w:val="24"/>
          <w:szCs w:val="24"/>
        </w:rPr>
        <w:t>e</w:t>
      </w:r>
      <w:r w:rsidR="001042E7" w:rsidRPr="001042E7">
        <w:rPr>
          <w:rFonts w:ascii="Times New Roman" w:hAnsi="Times New Roman" w:cs="Times New Roman"/>
          <w:noProof/>
          <w:sz w:val="24"/>
          <w:szCs w:val="24"/>
        </w:rPr>
        <w:t xml:space="preserve"> the use of a payment instrument</w:t>
      </w:r>
      <w:r w:rsidR="001042E7">
        <w:rPr>
          <w:rFonts w:ascii="Times New Roman" w:hAnsi="Times New Roman" w:cs="Times New Roman"/>
          <w:noProof/>
          <w:sz w:val="24"/>
          <w:szCs w:val="24"/>
        </w:rPr>
        <w:t xml:space="preserve">, </w:t>
      </w:r>
      <w:r w:rsidR="001042E7" w:rsidRPr="001042E7">
        <w:rPr>
          <w:rFonts w:ascii="Times New Roman" w:hAnsi="Times New Roman" w:cs="Times New Roman"/>
          <w:noProof/>
          <w:sz w:val="24"/>
          <w:szCs w:val="24"/>
        </w:rPr>
        <w:t xml:space="preserve">without </w:t>
      </w:r>
      <w:r w:rsidR="001042E7">
        <w:rPr>
          <w:rFonts w:ascii="Times New Roman" w:hAnsi="Times New Roman" w:cs="Times New Roman"/>
          <w:noProof/>
          <w:sz w:val="24"/>
          <w:szCs w:val="24"/>
        </w:rPr>
        <w:t xml:space="preserve">any regulated </w:t>
      </w:r>
      <w:r w:rsidR="001042E7" w:rsidRPr="001042E7">
        <w:rPr>
          <w:rFonts w:ascii="Times New Roman" w:hAnsi="Times New Roman" w:cs="Times New Roman"/>
          <w:noProof/>
          <w:sz w:val="24"/>
          <w:szCs w:val="24"/>
        </w:rPr>
        <w:t>payment service</w:t>
      </w:r>
      <w:r w:rsidR="007C7E83">
        <w:rPr>
          <w:rFonts w:ascii="Times New Roman" w:hAnsi="Times New Roman" w:cs="Times New Roman"/>
          <w:noProof/>
          <w:sz w:val="24"/>
          <w:szCs w:val="24"/>
        </w:rPr>
        <w:t xml:space="preserve"> being involved</w:t>
      </w:r>
      <w:r w:rsidR="001042E7" w:rsidRPr="001042E7">
        <w:rPr>
          <w:rFonts w:ascii="Times New Roman" w:hAnsi="Times New Roman" w:cs="Times New Roman"/>
          <w:noProof/>
          <w:sz w:val="24"/>
          <w:szCs w:val="24"/>
        </w:rPr>
        <w:t>.</w:t>
      </w:r>
      <w:r w:rsidR="006E2632">
        <w:rPr>
          <w:rFonts w:ascii="Times New Roman" w:hAnsi="Times New Roman" w:cs="Times New Roman"/>
          <w:noProof/>
          <w:sz w:val="24"/>
          <w:szCs w:val="24"/>
        </w:rPr>
        <w:t xml:space="preserve"> </w:t>
      </w:r>
      <w:r w:rsidR="006503FD">
        <w:rPr>
          <w:rFonts w:ascii="Times New Roman" w:hAnsi="Times New Roman" w:cs="Times New Roman"/>
          <w:noProof/>
          <w:sz w:val="24"/>
          <w:szCs w:val="24"/>
        </w:rPr>
        <w:t xml:space="preserve">EU financial services legislation tends to separate consumer-related issues and regulation of wholesale and infrastructure issues in </w:t>
      </w:r>
      <w:r w:rsidR="001042E7" w:rsidRPr="001042E7">
        <w:rPr>
          <w:rFonts w:ascii="Times New Roman" w:hAnsi="Times New Roman" w:cs="Times New Roman"/>
          <w:noProof/>
          <w:sz w:val="24"/>
          <w:szCs w:val="24"/>
        </w:rPr>
        <w:t>separate piece</w:t>
      </w:r>
      <w:r w:rsidR="006503FD">
        <w:rPr>
          <w:rFonts w:ascii="Times New Roman" w:hAnsi="Times New Roman" w:cs="Times New Roman"/>
          <w:noProof/>
          <w:sz w:val="24"/>
          <w:szCs w:val="24"/>
        </w:rPr>
        <w:t>s</w:t>
      </w:r>
      <w:r w:rsidR="001042E7" w:rsidRPr="001042E7">
        <w:rPr>
          <w:rFonts w:ascii="Times New Roman" w:hAnsi="Times New Roman" w:cs="Times New Roman"/>
          <w:noProof/>
          <w:sz w:val="24"/>
          <w:szCs w:val="24"/>
        </w:rPr>
        <w:t xml:space="preserve"> of legislation</w:t>
      </w:r>
      <w:r w:rsidR="006503FD">
        <w:rPr>
          <w:rStyle w:val="FootnoteReference"/>
          <w:rFonts w:ascii="Times New Roman" w:hAnsi="Times New Roman" w:cs="Times New Roman"/>
          <w:noProof/>
          <w:sz w:val="24"/>
          <w:szCs w:val="24"/>
        </w:rPr>
        <w:footnoteReference w:id="23"/>
      </w:r>
      <w:r w:rsidR="001042E7" w:rsidRPr="001042E7">
        <w:rPr>
          <w:rFonts w:ascii="Times New Roman" w:hAnsi="Times New Roman" w:cs="Times New Roman"/>
          <w:noProof/>
          <w:sz w:val="24"/>
          <w:szCs w:val="24"/>
        </w:rPr>
        <w:t>.</w:t>
      </w:r>
      <w:r w:rsidR="001042E7">
        <w:rPr>
          <w:rFonts w:ascii="Times New Roman" w:hAnsi="Times New Roman" w:cs="Times New Roman"/>
          <w:noProof/>
          <w:sz w:val="24"/>
          <w:szCs w:val="24"/>
        </w:rPr>
        <w:t xml:space="preserve"> </w:t>
      </w:r>
    </w:p>
    <w:p w14:paraId="79E73D14" w14:textId="478FE072" w:rsidR="004C6104" w:rsidRDefault="001042E7"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t>
      </w:r>
      <w:r w:rsidR="00413D39">
        <w:rPr>
          <w:rFonts w:ascii="Times New Roman" w:hAnsi="Times New Roman" w:cs="Times New Roman"/>
          <w:noProof/>
          <w:sz w:val="24"/>
          <w:szCs w:val="24"/>
        </w:rPr>
        <w:t xml:space="preserve">is however fully aware of the </w:t>
      </w:r>
      <w:r w:rsidR="007C7E83">
        <w:rPr>
          <w:rFonts w:ascii="Times New Roman" w:hAnsi="Times New Roman" w:cs="Times New Roman"/>
          <w:noProof/>
          <w:sz w:val="24"/>
          <w:szCs w:val="24"/>
        </w:rPr>
        <w:t xml:space="preserve">growing </w:t>
      </w:r>
      <w:r>
        <w:rPr>
          <w:rFonts w:ascii="Times New Roman" w:hAnsi="Times New Roman" w:cs="Times New Roman"/>
          <w:noProof/>
          <w:sz w:val="24"/>
          <w:szCs w:val="24"/>
        </w:rPr>
        <w:t xml:space="preserve">importance </w:t>
      </w:r>
      <w:r w:rsidR="00D533FD">
        <w:rPr>
          <w:rFonts w:ascii="Times New Roman" w:hAnsi="Times New Roman" w:cs="Times New Roman"/>
          <w:noProof/>
          <w:sz w:val="24"/>
          <w:szCs w:val="24"/>
        </w:rPr>
        <w:t>of</w:t>
      </w:r>
      <w:r w:rsidR="007C7E83">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these </w:t>
      </w:r>
      <w:r w:rsidR="007C7E83">
        <w:rPr>
          <w:rFonts w:ascii="Times New Roman" w:hAnsi="Times New Roman" w:cs="Times New Roman"/>
          <w:noProof/>
          <w:sz w:val="24"/>
          <w:szCs w:val="24"/>
        </w:rPr>
        <w:t>unsupervised</w:t>
      </w:r>
      <w:r>
        <w:rPr>
          <w:rFonts w:ascii="Times New Roman" w:hAnsi="Times New Roman" w:cs="Times New Roman"/>
          <w:noProof/>
          <w:sz w:val="24"/>
          <w:szCs w:val="24"/>
        </w:rPr>
        <w:t xml:space="preserve"> operators in the provision of payment services</w:t>
      </w:r>
      <w:r w:rsidR="007C7E83">
        <w:rPr>
          <w:rFonts w:ascii="Times New Roman" w:hAnsi="Times New Roman" w:cs="Times New Roman"/>
          <w:noProof/>
          <w:sz w:val="24"/>
          <w:szCs w:val="24"/>
        </w:rPr>
        <w:t>,</w:t>
      </w:r>
      <w:r>
        <w:rPr>
          <w:rFonts w:ascii="Times New Roman" w:hAnsi="Times New Roman" w:cs="Times New Roman"/>
          <w:noProof/>
          <w:sz w:val="24"/>
          <w:szCs w:val="24"/>
        </w:rPr>
        <w:t xml:space="preserve"> and </w:t>
      </w:r>
      <w:r w:rsidR="007C7E83">
        <w:rPr>
          <w:rFonts w:ascii="Times New Roman" w:hAnsi="Times New Roman" w:cs="Times New Roman"/>
          <w:noProof/>
          <w:sz w:val="24"/>
          <w:szCs w:val="24"/>
        </w:rPr>
        <w:t xml:space="preserve">of </w:t>
      </w:r>
      <w:r>
        <w:rPr>
          <w:rFonts w:ascii="Times New Roman" w:hAnsi="Times New Roman" w:cs="Times New Roman"/>
          <w:noProof/>
          <w:sz w:val="24"/>
          <w:szCs w:val="24"/>
        </w:rPr>
        <w:t xml:space="preserve">the </w:t>
      </w:r>
      <w:r w:rsidR="007C7E83">
        <w:rPr>
          <w:rFonts w:ascii="Times New Roman" w:hAnsi="Times New Roman" w:cs="Times New Roman"/>
          <w:noProof/>
          <w:sz w:val="24"/>
          <w:szCs w:val="24"/>
        </w:rPr>
        <w:t>potential</w:t>
      </w:r>
      <w:r>
        <w:rPr>
          <w:rFonts w:ascii="Times New Roman" w:hAnsi="Times New Roman" w:cs="Times New Roman"/>
          <w:noProof/>
          <w:sz w:val="24"/>
          <w:szCs w:val="24"/>
        </w:rPr>
        <w:t xml:space="preserve"> risks that </w:t>
      </w:r>
      <w:r w:rsidR="007C7E83">
        <w:rPr>
          <w:rFonts w:ascii="Times New Roman" w:hAnsi="Times New Roman" w:cs="Times New Roman"/>
          <w:noProof/>
          <w:sz w:val="24"/>
          <w:szCs w:val="24"/>
        </w:rPr>
        <w:t>their activities may potentially cause to payment systems and financial stability</w:t>
      </w:r>
      <w:r>
        <w:rPr>
          <w:rFonts w:ascii="Times New Roman" w:hAnsi="Times New Roman" w:cs="Times New Roman"/>
          <w:noProof/>
          <w:sz w:val="24"/>
          <w:szCs w:val="24"/>
        </w:rPr>
        <w:t>. The Commission will</w:t>
      </w:r>
      <w:r w:rsidR="00456F5B">
        <w:rPr>
          <w:rFonts w:ascii="Times New Roman" w:hAnsi="Times New Roman" w:cs="Times New Roman"/>
          <w:noProof/>
          <w:sz w:val="24"/>
          <w:szCs w:val="24"/>
        </w:rPr>
        <w:t xml:space="preserve"> therefore</w:t>
      </w:r>
      <w:r>
        <w:rPr>
          <w:rFonts w:ascii="Times New Roman" w:hAnsi="Times New Roman" w:cs="Times New Roman"/>
          <w:noProof/>
          <w:sz w:val="24"/>
          <w:szCs w:val="24"/>
        </w:rPr>
        <w:t xml:space="preserve">, </w:t>
      </w:r>
      <w:r w:rsidR="005D7C8D">
        <w:rPr>
          <w:rFonts w:ascii="Times New Roman" w:hAnsi="Times New Roman" w:cs="Times New Roman"/>
          <w:noProof/>
          <w:sz w:val="24"/>
          <w:szCs w:val="24"/>
        </w:rPr>
        <w:t xml:space="preserve">within </w:t>
      </w:r>
      <w:r w:rsidR="00FF1A63">
        <w:rPr>
          <w:rFonts w:ascii="Times New Roman" w:hAnsi="Times New Roman" w:cs="Times New Roman"/>
          <w:noProof/>
          <w:sz w:val="24"/>
          <w:szCs w:val="24"/>
        </w:rPr>
        <w:t>3</w:t>
      </w:r>
      <w:r>
        <w:rPr>
          <w:rFonts w:ascii="Times New Roman" w:hAnsi="Times New Roman" w:cs="Times New Roman"/>
          <w:noProof/>
          <w:sz w:val="24"/>
          <w:szCs w:val="24"/>
        </w:rPr>
        <w:t xml:space="preserve"> years</w:t>
      </w:r>
      <w:r w:rsidR="005D7C8D">
        <w:rPr>
          <w:rFonts w:ascii="Times New Roman" w:hAnsi="Times New Roman" w:cs="Times New Roman"/>
          <w:noProof/>
          <w:sz w:val="24"/>
          <w:szCs w:val="24"/>
        </w:rPr>
        <w:t xml:space="preserve"> of application of the revised legislation</w:t>
      </w:r>
      <w:r>
        <w:rPr>
          <w:rFonts w:ascii="Times New Roman" w:hAnsi="Times New Roman" w:cs="Times New Roman"/>
          <w:noProof/>
          <w:sz w:val="24"/>
          <w:szCs w:val="24"/>
        </w:rPr>
        <w:t xml:space="preserve">, </w:t>
      </w:r>
      <w:r w:rsidR="00166B52">
        <w:rPr>
          <w:rFonts w:ascii="Times New Roman" w:hAnsi="Times New Roman" w:cs="Times New Roman"/>
          <w:noProof/>
          <w:sz w:val="24"/>
          <w:szCs w:val="24"/>
        </w:rPr>
        <w:t xml:space="preserve">carry out a </w:t>
      </w:r>
      <w:r w:rsidR="007C7E83">
        <w:rPr>
          <w:rFonts w:ascii="Times New Roman" w:hAnsi="Times New Roman" w:cs="Times New Roman"/>
          <w:noProof/>
          <w:sz w:val="24"/>
          <w:szCs w:val="24"/>
        </w:rPr>
        <w:t xml:space="preserve">thorough </w:t>
      </w:r>
      <w:r w:rsidR="00166B52">
        <w:rPr>
          <w:rFonts w:ascii="Times New Roman" w:hAnsi="Times New Roman" w:cs="Times New Roman"/>
          <w:noProof/>
          <w:sz w:val="24"/>
          <w:szCs w:val="24"/>
        </w:rPr>
        <w:t>review</w:t>
      </w:r>
      <w:r>
        <w:rPr>
          <w:rFonts w:ascii="Times New Roman" w:hAnsi="Times New Roman" w:cs="Times New Roman"/>
          <w:noProof/>
          <w:sz w:val="24"/>
          <w:szCs w:val="24"/>
        </w:rPr>
        <w:t xml:space="preserve">, based on evidence and in close cooperation with the ECB/Eurosystem, </w:t>
      </w:r>
      <w:r w:rsidR="00D533FD">
        <w:rPr>
          <w:rFonts w:ascii="Times New Roman" w:hAnsi="Times New Roman" w:cs="Times New Roman"/>
          <w:noProof/>
          <w:sz w:val="24"/>
          <w:szCs w:val="24"/>
        </w:rPr>
        <w:t xml:space="preserve">assessing </w:t>
      </w:r>
      <w:r w:rsidR="001F7B36">
        <w:rPr>
          <w:rFonts w:ascii="Times New Roman" w:hAnsi="Times New Roman" w:cs="Times New Roman"/>
          <w:noProof/>
          <w:sz w:val="24"/>
          <w:szCs w:val="24"/>
        </w:rPr>
        <w:t xml:space="preserve">in particular </w:t>
      </w:r>
      <w:r w:rsidR="00B23B8E">
        <w:rPr>
          <w:rFonts w:ascii="Times New Roman" w:hAnsi="Times New Roman" w:cs="Times New Roman"/>
          <w:noProof/>
          <w:sz w:val="24"/>
          <w:szCs w:val="24"/>
        </w:rPr>
        <w:t>whether a</w:t>
      </w:r>
      <w:r>
        <w:rPr>
          <w:rFonts w:ascii="Times New Roman" w:hAnsi="Times New Roman" w:cs="Times New Roman"/>
          <w:noProof/>
          <w:sz w:val="24"/>
          <w:szCs w:val="24"/>
        </w:rPr>
        <w:t xml:space="preserve"> dedicated </w:t>
      </w:r>
      <w:r w:rsidR="00B23B8E">
        <w:rPr>
          <w:rFonts w:ascii="Times New Roman" w:hAnsi="Times New Roman" w:cs="Times New Roman"/>
          <w:noProof/>
          <w:sz w:val="24"/>
          <w:szCs w:val="24"/>
        </w:rPr>
        <w:t xml:space="preserve">EU licensing </w:t>
      </w:r>
      <w:r w:rsidR="005A21F2">
        <w:rPr>
          <w:rFonts w:ascii="Times New Roman" w:hAnsi="Times New Roman" w:cs="Times New Roman"/>
          <w:noProof/>
          <w:sz w:val="24"/>
          <w:szCs w:val="24"/>
        </w:rPr>
        <w:t xml:space="preserve">and supervision </w:t>
      </w:r>
      <w:r w:rsidR="00B23B8E">
        <w:rPr>
          <w:rFonts w:ascii="Times New Roman" w:hAnsi="Times New Roman" w:cs="Times New Roman"/>
          <w:noProof/>
          <w:sz w:val="24"/>
          <w:szCs w:val="24"/>
        </w:rPr>
        <w:t xml:space="preserve">regime </w:t>
      </w:r>
      <w:r w:rsidR="00456F5B">
        <w:rPr>
          <w:rFonts w:ascii="Times New Roman" w:hAnsi="Times New Roman" w:cs="Times New Roman"/>
          <w:noProof/>
          <w:sz w:val="24"/>
          <w:szCs w:val="24"/>
        </w:rPr>
        <w:t xml:space="preserve">for some of the hitherto excluded entities </w:t>
      </w:r>
      <w:r w:rsidR="00873549">
        <w:rPr>
          <w:rFonts w:ascii="Times New Roman" w:hAnsi="Times New Roman" w:cs="Times New Roman"/>
          <w:noProof/>
          <w:sz w:val="24"/>
          <w:szCs w:val="24"/>
        </w:rPr>
        <w:t>is</w:t>
      </w:r>
      <w:r w:rsidR="00B23B8E">
        <w:rPr>
          <w:rFonts w:ascii="Times New Roman" w:hAnsi="Times New Roman" w:cs="Times New Roman"/>
          <w:noProof/>
          <w:sz w:val="24"/>
          <w:szCs w:val="24"/>
        </w:rPr>
        <w:t xml:space="preserve"> necessary</w:t>
      </w:r>
      <w:r>
        <w:rPr>
          <w:rFonts w:ascii="Times New Roman" w:hAnsi="Times New Roman" w:cs="Times New Roman"/>
          <w:noProof/>
          <w:sz w:val="24"/>
          <w:szCs w:val="24"/>
        </w:rPr>
        <w:t xml:space="preserve"> in addition to the existing oversight</w:t>
      </w:r>
      <w:r w:rsidR="00955F80">
        <w:rPr>
          <w:rFonts w:ascii="Times New Roman" w:hAnsi="Times New Roman" w:cs="Times New Roman"/>
          <w:noProof/>
          <w:sz w:val="24"/>
          <w:szCs w:val="24"/>
        </w:rPr>
        <w:t xml:space="preserve"> regime</w:t>
      </w:r>
      <w:r w:rsidR="004C6104">
        <w:rPr>
          <w:rFonts w:ascii="Times New Roman" w:hAnsi="Times New Roman" w:cs="Times New Roman"/>
          <w:noProof/>
          <w:sz w:val="24"/>
          <w:szCs w:val="24"/>
        </w:rPr>
        <w:t>.</w:t>
      </w:r>
      <w:r w:rsidR="00B23B8E">
        <w:rPr>
          <w:rFonts w:ascii="Times New Roman" w:hAnsi="Times New Roman" w:cs="Times New Roman"/>
          <w:noProof/>
          <w:sz w:val="24"/>
          <w:szCs w:val="24"/>
        </w:rPr>
        <w:t xml:space="preserve"> </w:t>
      </w:r>
      <w:r w:rsidR="005D7C8D">
        <w:rPr>
          <w:rFonts w:ascii="Times New Roman" w:hAnsi="Times New Roman" w:cs="Times New Roman"/>
          <w:noProof/>
          <w:sz w:val="24"/>
          <w:szCs w:val="24"/>
        </w:rPr>
        <w:t>This timescale is necessary in order to gather sufficient evidence of implementation.</w:t>
      </w:r>
    </w:p>
    <w:p w14:paraId="68F5F76D" w14:textId="3C45212E" w:rsidR="009E6646" w:rsidRDefault="00B23B8E" w:rsidP="00BD71BE">
      <w:pPr>
        <w:spacing w:before="120" w:after="120" w:line="240" w:lineRule="auto"/>
        <w:jc w:val="both"/>
        <w:rPr>
          <w:rFonts w:ascii="Times New Roman" w:hAnsi="Times New Roman" w:cs="Times New Roman"/>
          <w:noProof/>
          <w:sz w:val="24"/>
          <w:szCs w:val="24"/>
        </w:rPr>
      </w:pPr>
      <w:r w:rsidRPr="00B23B8E">
        <w:rPr>
          <w:rFonts w:ascii="Times New Roman" w:hAnsi="Times New Roman" w:cs="Times New Roman"/>
          <w:noProof/>
          <w:sz w:val="24"/>
          <w:szCs w:val="24"/>
        </w:rPr>
        <w:t xml:space="preserve">In light of these considerations, </w:t>
      </w:r>
      <w:r w:rsidR="004C6104">
        <w:rPr>
          <w:rFonts w:ascii="Times New Roman" w:hAnsi="Times New Roman" w:cs="Times New Roman"/>
          <w:noProof/>
          <w:sz w:val="24"/>
          <w:szCs w:val="24"/>
        </w:rPr>
        <w:t xml:space="preserve">the PSD2 revision proposal </w:t>
      </w:r>
      <w:r w:rsidRPr="00B23B8E">
        <w:rPr>
          <w:rFonts w:ascii="Times New Roman" w:hAnsi="Times New Roman" w:cs="Times New Roman"/>
          <w:noProof/>
          <w:sz w:val="24"/>
          <w:szCs w:val="24"/>
        </w:rPr>
        <w:t>only make</w:t>
      </w:r>
      <w:r w:rsidR="004C6104">
        <w:rPr>
          <w:rFonts w:ascii="Times New Roman" w:hAnsi="Times New Roman" w:cs="Times New Roman"/>
          <w:noProof/>
          <w:sz w:val="24"/>
          <w:szCs w:val="24"/>
        </w:rPr>
        <w:t>s</w:t>
      </w:r>
      <w:r w:rsidRPr="00B23B8E">
        <w:rPr>
          <w:rFonts w:ascii="Times New Roman" w:hAnsi="Times New Roman" w:cs="Times New Roman"/>
          <w:noProof/>
          <w:sz w:val="24"/>
          <w:szCs w:val="24"/>
        </w:rPr>
        <w:t xml:space="preserve"> essential clarifications on the rules on the scope of PSD2 where there are currently ambiguities, but without </w:t>
      </w:r>
      <w:r w:rsidR="000F6700">
        <w:rPr>
          <w:rFonts w:ascii="Times New Roman" w:hAnsi="Times New Roman" w:cs="Times New Roman"/>
          <w:noProof/>
          <w:sz w:val="24"/>
          <w:szCs w:val="24"/>
        </w:rPr>
        <w:t>introducing</w:t>
      </w:r>
      <w:r w:rsidRPr="00B23B8E">
        <w:rPr>
          <w:rFonts w:ascii="Times New Roman" w:hAnsi="Times New Roman" w:cs="Times New Roman"/>
          <w:noProof/>
          <w:sz w:val="24"/>
          <w:szCs w:val="24"/>
        </w:rPr>
        <w:t xml:space="preserve"> significant changes</w:t>
      </w:r>
      <w:r w:rsidRPr="00B23B8E" w:rsidDel="006E2632">
        <w:rPr>
          <w:rFonts w:ascii="Times New Roman" w:hAnsi="Times New Roman" w:cs="Times New Roman"/>
          <w:noProof/>
          <w:sz w:val="24"/>
          <w:szCs w:val="24"/>
        </w:rPr>
        <w:t xml:space="preserve"> to the </w:t>
      </w:r>
      <w:r w:rsidR="000F6700">
        <w:rPr>
          <w:rFonts w:ascii="Times New Roman" w:hAnsi="Times New Roman" w:cs="Times New Roman"/>
          <w:noProof/>
          <w:sz w:val="24"/>
          <w:szCs w:val="24"/>
        </w:rPr>
        <w:t xml:space="preserve">existing PSD2 </w:t>
      </w:r>
      <w:r w:rsidR="00B823C9">
        <w:rPr>
          <w:rFonts w:ascii="Times New Roman" w:hAnsi="Times New Roman" w:cs="Times New Roman"/>
          <w:noProof/>
          <w:sz w:val="24"/>
          <w:szCs w:val="24"/>
        </w:rPr>
        <w:t xml:space="preserve">scope. </w:t>
      </w:r>
    </w:p>
    <w:p w14:paraId="3B67469F" w14:textId="5F2D720E" w:rsidR="000E4B93" w:rsidRDefault="001F7B36"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Access to cash is a Commission priority. </w:t>
      </w:r>
      <w:r w:rsidR="00897F9E">
        <w:rPr>
          <w:rFonts w:ascii="Times New Roman" w:hAnsi="Times New Roman" w:cs="Times New Roman"/>
          <w:noProof/>
          <w:sz w:val="24"/>
          <w:szCs w:val="24"/>
        </w:rPr>
        <w:t>T</w:t>
      </w:r>
      <w:r w:rsidR="00E9062D">
        <w:rPr>
          <w:rFonts w:ascii="Times New Roman" w:hAnsi="Times New Roman" w:cs="Times New Roman"/>
          <w:noProof/>
          <w:sz w:val="24"/>
          <w:szCs w:val="24"/>
        </w:rPr>
        <w:t xml:space="preserve">he </w:t>
      </w:r>
      <w:r>
        <w:rPr>
          <w:rFonts w:ascii="Times New Roman" w:hAnsi="Times New Roman" w:cs="Times New Roman"/>
          <w:noProof/>
          <w:sz w:val="24"/>
          <w:szCs w:val="24"/>
        </w:rPr>
        <w:t xml:space="preserve">new </w:t>
      </w:r>
      <w:r w:rsidR="00E9062D">
        <w:rPr>
          <w:rFonts w:ascii="Times New Roman" w:hAnsi="Times New Roman" w:cs="Times New Roman"/>
          <w:noProof/>
          <w:sz w:val="24"/>
          <w:szCs w:val="24"/>
        </w:rPr>
        <w:t xml:space="preserve">proposal </w:t>
      </w:r>
      <w:r>
        <w:rPr>
          <w:rFonts w:ascii="Times New Roman" w:hAnsi="Times New Roman" w:cs="Times New Roman"/>
          <w:noProof/>
          <w:sz w:val="24"/>
          <w:szCs w:val="24"/>
        </w:rPr>
        <w:t xml:space="preserve">contributes to this goal by </w:t>
      </w:r>
      <w:r w:rsidR="00D533FD" w:rsidRPr="009E6646">
        <w:rPr>
          <w:rFonts w:ascii="Times New Roman" w:hAnsi="Times New Roman" w:cs="Times New Roman"/>
          <w:noProof/>
          <w:sz w:val="24"/>
          <w:szCs w:val="24"/>
        </w:rPr>
        <w:t>facilitat</w:t>
      </w:r>
      <w:r>
        <w:rPr>
          <w:rFonts w:ascii="Times New Roman" w:hAnsi="Times New Roman" w:cs="Times New Roman"/>
          <w:noProof/>
          <w:sz w:val="24"/>
          <w:szCs w:val="24"/>
        </w:rPr>
        <w:t>ing</w:t>
      </w:r>
      <w:r w:rsidR="00D533FD" w:rsidRPr="009E6646">
        <w:rPr>
          <w:rFonts w:ascii="Times New Roman" w:hAnsi="Times New Roman" w:cs="Times New Roman"/>
          <w:noProof/>
          <w:sz w:val="24"/>
          <w:szCs w:val="24"/>
        </w:rPr>
        <w:t xml:space="preserve"> access to cash</w:t>
      </w:r>
      <w:r w:rsidR="00897F9E">
        <w:rPr>
          <w:rFonts w:ascii="Times New Roman" w:hAnsi="Times New Roman" w:cs="Times New Roman"/>
          <w:noProof/>
          <w:sz w:val="24"/>
          <w:szCs w:val="24"/>
        </w:rPr>
        <w:t xml:space="preserve">. </w:t>
      </w:r>
      <w:r w:rsidR="000E4B93">
        <w:rPr>
          <w:rFonts w:ascii="Times New Roman" w:hAnsi="Times New Roman" w:cs="Times New Roman"/>
          <w:noProof/>
          <w:sz w:val="24"/>
          <w:szCs w:val="24"/>
        </w:rPr>
        <w:t xml:space="preserve">Currently, </w:t>
      </w:r>
      <w:r w:rsidR="00897F9E">
        <w:rPr>
          <w:rFonts w:ascii="Times New Roman" w:hAnsi="Times New Roman" w:cs="Times New Roman"/>
          <w:noProof/>
          <w:sz w:val="24"/>
          <w:szCs w:val="24"/>
        </w:rPr>
        <w:t xml:space="preserve">under PSD2, </w:t>
      </w:r>
      <w:r w:rsidR="000E4B93" w:rsidRPr="000E4B93">
        <w:rPr>
          <w:rFonts w:ascii="Times New Roman" w:hAnsi="Times New Roman" w:cs="Times New Roman"/>
          <w:noProof/>
          <w:sz w:val="24"/>
          <w:szCs w:val="24"/>
        </w:rPr>
        <w:t>a retailer may provide cash to a customer without a PSP license</w:t>
      </w:r>
      <w:r w:rsidR="006E2632">
        <w:rPr>
          <w:rFonts w:ascii="Times New Roman" w:hAnsi="Times New Roman" w:cs="Times New Roman"/>
          <w:noProof/>
          <w:sz w:val="24"/>
          <w:szCs w:val="24"/>
        </w:rPr>
        <w:t>, but only</w:t>
      </w:r>
      <w:r w:rsidR="006E2632" w:rsidRPr="006E2632">
        <w:rPr>
          <w:rFonts w:ascii="Times New Roman" w:hAnsi="Times New Roman" w:cs="Times New Roman"/>
          <w:noProof/>
          <w:sz w:val="24"/>
          <w:szCs w:val="24"/>
        </w:rPr>
        <w:t xml:space="preserve"> </w:t>
      </w:r>
      <w:r w:rsidR="006E2632" w:rsidRPr="000E4B93">
        <w:rPr>
          <w:rFonts w:ascii="Times New Roman" w:hAnsi="Times New Roman" w:cs="Times New Roman"/>
          <w:noProof/>
          <w:sz w:val="24"/>
          <w:szCs w:val="24"/>
        </w:rPr>
        <w:t xml:space="preserve">in association with a purchase </w:t>
      </w:r>
      <w:r w:rsidR="006E2632">
        <w:rPr>
          <w:rFonts w:ascii="Times New Roman" w:hAnsi="Times New Roman" w:cs="Times New Roman"/>
          <w:noProof/>
          <w:sz w:val="24"/>
          <w:szCs w:val="24"/>
        </w:rPr>
        <w:t>(“cashback”)</w:t>
      </w:r>
      <w:r w:rsidR="000E4B93" w:rsidRPr="000E4B93">
        <w:rPr>
          <w:rFonts w:ascii="Times New Roman" w:hAnsi="Times New Roman" w:cs="Times New Roman"/>
          <w:noProof/>
          <w:sz w:val="24"/>
          <w:szCs w:val="24"/>
        </w:rPr>
        <w:t xml:space="preserve">. </w:t>
      </w:r>
      <w:r w:rsidR="000F6700">
        <w:rPr>
          <w:rFonts w:ascii="Times New Roman" w:hAnsi="Times New Roman" w:cs="Times New Roman"/>
          <w:noProof/>
          <w:sz w:val="24"/>
          <w:szCs w:val="24"/>
        </w:rPr>
        <w:t>In order to further increase access to cash t</w:t>
      </w:r>
      <w:r w:rsidR="004C6104">
        <w:rPr>
          <w:rFonts w:ascii="Times New Roman" w:hAnsi="Times New Roman" w:cs="Times New Roman"/>
          <w:noProof/>
          <w:sz w:val="24"/>
          <w:szCs w:val="24"/>
        </w:rPr>
        <w:t xml:space="preserve">he </w:t>
      </w:r>
      <w:r w:rsidR="00456F5B">
        <w:rPr>
          <w:rFonts w:ascii="Times New Roman" w:hAnsi="Times New Roman" w:cs="Times New Roman"/>
          <w:noProof/>
          <w:sz w:val="24"/>
          <w:szCs w:val="24"/>
        </w:rPr>
        <w:t xml:space="preserve">Commission proposes to </w:t>
      </w:r>
      <w:r w:rsidR="009E6646" w:rsidRPr="009E6646">
        <w:rPr>
          <w:rFonts w:ascii="Times New Roman" w:hAnsi="Times New Roman" w:cs="Times New Roman"/>
          <w:noProof/>
          <w:sz w:val="24"/>
          <w:szCs w:val="24"/>
        </w:rPr>
        <w:t xml:space="preserve">allow </w:t>
      </w:r>
      <w:r w:rsidR="001042E7">
        <w:rPr>
          <w:rFonts w:ascii="Times New Roman" w:hAnsi="Times New Roman" w:cs="Times New Roman"/>
          <w:noProof/>
          <w:sz w:val="24"/>
          <w:szCs w:val="24"/>
        </w:rPr>
        <w:t xml:space="preserve">retailers </w:t>
      </w:r>
      <w:r w:rsidR="009E6646" w:rsidRPr="009E6646">
        <w:rPr>
          <w:rFonts w:ascii="Times New Roman" w:hAnsi="Times New Roman" w:cs="Times New Roman"/>
          <w:noProof/>
          <w:sz w:val="24"/>
          <w:szCs w:val="24"/>
        </w:rPr>
        <w:t xml:space="preserve">to offer a cash </w:t>
      </w:r>
      <w:r w:rsidR="001042E7">
        <w:rPr>
          <w:rFonts w:ascii="Times New Roman" w:hAnsi="Times New Roman" w:cs="Times New Roman"/>
          <w:noProof/>
          <w:sz w:val="24"/>
          <w:szCs w:val="24"/>
        </w:rPr>
        <w:t xml:space="preserve">provision </w:t>
      </w:r>
      <w:r w:rsidR="009E6646" w:rsidRPr="009E6646">
        <w:rPr>
          <w:rFonts w:ascii="Times New Roman" w:hAnsi="Times New Roman" w:cs="Times New Roman"/>
          <w:noProof/>
          <w:sz w:val="24"/>
          <w:szCs w:val="24"/>
        </w:rPr>
        <w:t xml:space="preserve">service </w:t>
      </w:r>
      <w:r w:rsidR="008E5DB9">
        <w:rPr>
          <w:rFonts w:ascii="Times New Roman" w:hAnsi="Times New Roman" w:cs="Times New Roman"/>
          <w:noProof/>
          <w:sz w:val="24"/>
          <w:szCs w:val="24"/>
        </w:rPr>
        <w:t xml:space="preserve">even </w:t>
      </w:r>
      <w:r w:rsidR="009E6646" w:rsidRPr="009E6646">
        <w:rPr>
          <w:rFonts w:ascii="Times New Roman" w:hAnsi="Times New Roman" w:cs="Times New Roman"/>
          <w:noProof/>
          <w:sz w:val="24"/>
          <w:szCs w:val="24"/>
        </w:rPr>
        <w:t xml:space="preserve">in the absence of a purchase by a customer, without having </w:t>
      </w:r>
      <w:r w:rsidR="001042E7">
        <w:rPr>
          <w:rFonts w:ascii="Times New Roman" w:hAnsi="Times New Roman" w:cs="Times New Roman"/>
          <w:noProof/>
          <w:sz w:val="24"/>
          <w:szCs w:val="24"/>
        </w:rPr>
        <w:t xml:space="preserve">to obtain </w:t>
      </w:r>
      <w:r w:rsidR="009E6646" w:rsidRPr="009E6646">
        <w:rPr>
          <w:rFonts w:ascii="Times New Roman" w:hAnsi="Times New Roman" w:cs="Times New Roman"/>
          <w:noProof/>
          <w:sz w:val="24"/>
          <w:szCs w:val="24"/>
        </w:rPr>
        <w:t xml:space="preserve">a </w:t>
      </w:r>
      <w:r w:rsidR="004C6104">
        <w:rPr>
          <w:rFonts w:ascii="Times New Roman" w:hAnsi="Times New Roman" w:cs="Times New Roman"/>
          <w:noProof/>
          <w:sz w:val="24"/>
          <w:szCs w:val="24"/>
        </w:rPr>
        <w:t>PSP</w:t>
      </w:r>
      <w:r w:rsidR="009E6646">
        <w:rPr>
          <w:rFonts w:ascii="Times New Roman" w:hAnsi="Times New Roman" w:cs="Times New Roman"/>
          <w:noProof/>
          <w:sz w:val="24"/>
          <w:szCs w:val="24"/>
        </w:rPr>
        <w:t xml:space="preserve"> </w:t>
      </w:r>
      <w:r w:rsidR="009E6646" w:rsidRPr="009E6646">
        <w:rPr>
          <w:rFonts w:ascii="Times New Roman" w:hAnsi="Times New Roman" w:cs="Times New Roman"/>
          <w:noProof/>
          <w:sz w:val="24"/>
          <w:szCs w:val="24"/>
        </w:rPr>
        <w:t xml:space="preserve">license or being an agent of a </w:t>
      </w:r>
      <w:r w:rsidR="00D533FD">
        <w:rPr>
          <w:rFonts w:ascii="Times New Roman" w:hAnsi="Times New Roman" w:cs="Times New Roman"/>
          <w:noProof/>
          <w:sz w:val="24"/>
          <w:szCs w:val="24"/>
        </w:rPr>
        <w:t>p</w:t>
      </w:r>
      <w:r w:rsidR="004C6104">
        <w:rPr>
          <w:rFonts w:ascii="Times New Roman" w:hAnsi="Times New Roman" w:cs="Times New Roman"/>
          <w:noProof/>
          <w:sz w:val="24"/>
          <w:szCs w:val="24"/>
        </w:rPr>
        <w:t xml:space="preserve">ayment </w:t>
      </w:r>
      <w:r w:rsidR="00D533FD">
        <w:rPr>
          <w:rFonts w:ascii="Times New Roman" w:hAnsi="Times New Roman" w:cs="Times New Roman"/>
          <w:noProof/>
          <w:sz w:val="24"/>
          <w:szCs w:val="24"/>
        </w:rPr>
        <w:t>i</w:t>
      </w:r>
      <w:r w:rsidR="004C6104">
        <w:rPr>
          <w:rFonts w:ascii="Times New Roman" w:hAnsi="Times New Roman" w:cs="Times New Roman"/>
          <w:noProof/>
          <w:sz w:val="24"/>
          <w:szCs w:val="24"/>
        </w:rPr>
        <w:t>nstitution</w:t>
      </w:r>
      <w:r w:rsidR="009E6646" w:rsidRPr="009E6646">
        <w:rPr>
          <w:rFonts w:ascii="Times New Roman" w:hAnsi="Times New Roman" w:cs="Times New Roman"/>
          <w:noProof/>
          <w:sz w:val="24"/>
          <w:szCs w:val="24"/>
        </w:rPr>
        <w:t xml:space="preserve">. This </w:t>
      </w:r>
      <w:r w:rsidR="004C6104">
        <w:rPr>
          <w:rFonts w:ascii="Times New Roman" w:hAnsi="Times New Roman" w:cs="Times New Roman"/>
          <w:noProof/>
          <w:sz w:val="24"/>
          <w:szCs w:val="24"/>
        </w:rPr>
        <w:t>is</w:t>
      </w:r>
      <w:r w:rsidR="009E6646" w:rsidRPr="009E6646">
        <w:rPr>
          <w:rFonts w:ascii="Times New Roman" w:hAnsi="Times New Roman" w:cs="Times New Roman"/>
          <w:noProof/>
          <w:sz w:val="24"/>
          <w:szCs w:val="24"/>
        </w:rPr>
        <w:t xml:space="preserve"> associated with </w:t>
      </w:r>
      <w:r w:rsidR="00456F5B">
        <w:rPr>
          <w:rFonts w:ascii="Times New Roman" w:hAnsi="Times New Roman" w:cs="Times New Roman"/>
          <w:noProof/>
          <w:sz w:val="24"/>
          <w:szCs w:val="24"/>
        </w:rPr>
        <w:t xml:space="preserve">some </w:t>
      </w:r>
      <w:r w:rsidR="00A160BE">
        <w:rPr>
          <w:rFonts w:ascii="Times New Roman" w:hAnsi="Times New Roman" w:cs="Times New Roman"/>
          <w:noProof/>
          <w:sz w:val="24"/>
          <w:szCs w:val="24"/>
        </w:rPr>
        <w:t>conditions</w:t>
      </w:r>
      <w:r w:rsidR="00456F5B">
        <w:rPr>
          <w:rFonts w:ascii="Times New Roman" w:hAnsi="Times New Roman" w:cs="Times New Roman"/>
          <w:noProof/>
          <w:sz w:val="24"/>
          <w:szCs w:val="24"/>
        </w:rPr>
        <w:t xml:space="preserve">, such as </w:t>
      </w:r>
      <w:r w:rsidR="009E6646" w:rsidRPr="009E6646">
        <w:rPr>
          <w:rFonts w:ascii="Times New Roman" w:hAnsi="Times New Roman" w:cs="Times New Roman"/>
          <w:noProof/>
          <w:sz w:val="24"/>
          <w:szCs w:val="24"/>
        </w:rPr>
        <w:t xml:space="preserve">a cap </w:t>
      </w:r>
      <w:r w:rsidR="0089461B">
        <w:rPr>
          <w:rFonts w:ascii="Times New Roman" w:hAnsi="Times New Roman" w:cs="Times New Roman"/>
          <w:noProof/>
          <w:sz w:val="24"/>
          <w:szCs w:val="24"/>
        </w:rPr>
        <w:t>of €50</w:t>
      </w:r>
      <w:r w:rsidR="00F76CBA">
        <w:rPr>
          <w:rStyle w:val="FootnoteReference"/>
          <w:rFonts w:ascii="Times New Roman" w:hAnsi="Times New Roman" w:cs="Times New Roman"/>
          <w:noProof/>
          <w:sz w:val="24"/>
          <w:szCs w:val="24"/>
        </w:rPr>
        <w:footnoteReference w:id="24"/>
      </w:r>
      <w:r w:rsidR="0089461B">
        <w:rPr>
          <w:rFonts w:ascii="Times New Roman" w:hAnsi="Times New Roman" w:cs="Times New Roman"/>
          <w:noProof/>
          <w:sz w:val="24"/>
          <w:szCs w:val="24"/>
        </w:rPr>
        <w:t xml:space="preserve"> per withdrawal </w:t>
      </w:r>
      <w:r w:rsidR="009E6646" w:rsidRPr="009E6646">
        <w:rPr>
          <w:rFonts w:ascii="Times New Roman" w:hAnsi="Times New Roman" w:cs="Times New Roman"/>
          <w:noProof/>
          <w:sz w:val="24"/>
          <w:szCs w:val="24"/>
        </w:rPr>
        <w:t xml:space="preserve">and an obligation to disclose </w:t>
      </w:r>
      <w:r w:rsidR="000F6700">
        <w:rPr>
          <w:rFonts w:ascii="Times New Roman" w:hAnsi="Times New Roman" w:cs="Times New Roman"/>
          <w:noProof/>
          <w:sz w:val="24"/>
          <w:szCs w:val="24"/>
        </w:rPr>
        <w:t xml:space="preserve">any </w:t>
      </w:r>
      <w:r w:rsidR="009E6646" w:rsidRPr="009E6646">
        <w:rPr>
          <w:rFonts w:ascii="Times New Roman" w:hAnsi="Times New Roman" w:cs="Times New Roman"/>
          <w:noProof/>
          <w:sz w:val="24"/>
          <w:szCs w:val="24"/>
        </w:rPr>
        <w:t xml:space="preserve">fees charged. </w:t>
      </w:r>
    </w:p>
    <w:p w14:paraId="578EC7D9" w14:textId="6DC42E72" w:rsidR="00DB7C99" w:rsidRDefault="000E4B93" w:rsidP="00BD71BE">
      <w:pPr>
        <w:spacing w:before="120" w:after="120" w:line="240" w:lineRule="auto"/>
        <w:jc w:val="both"/>
        <w:rPr>
          <w:rFonts w:ascii="Times New Roman" w:hAnsi="Times New Roman" w:cs="Times New Roman"/>
          <w:noProof/>
          <w:sz w:val="24"/>
          <w:szCs w:val="24"/>
        </w:rPr>
      </w:pPr>
      <w:r w:rsidRPr="000E4B93">
        <w:rPr>
          <w:rFonts w:ascii="Times New Roman" w:hAnsi="Times New Roman" w:cs="Times New Roman"/>
          <w:noProof/>
          <w:sz w:val="24"/>
          <w:szCs w:val="24"/>
        </w:rPr>
        <w:t>The distribution of cash via ATM</w:t>
      </w:r>
      <w:r w:rsidR="001564E5">
        <w:rPr>
          <w:rFonts w:ascii="Times New Roman" w:hAnsi="Times New Roman" w:cs="Times New Roman"/>
          <w:noProof/>
          <w:sz w:val="24"/>
          <w:szCs w:val="24"/>
        </w:rPr>
        <w:t>s</w:t>
      </w:r>
      <w:r w:rsidRPr="000E4B93">
        <w:rPr>
          <w:rFonts w:ascii="Times New Roman" w:hAnsi="Times New Roman" w:cs="Times New Roman"/>
          <w:noProof/>
          <w:sz w:val="24"/>
          <w:szCs w:val="24"/>
        </w:rPr>
        <w:t xml:space="preserve"> in general requires a </w:t>
      </w:r>
      <w:r w:rsidR="006E2632" w:rsidRPr="000E4B93">
        <w:rPr>
          <w:rFonts w:ascii="Times New Roman" w:hAnsi="Times New Roman" w:cs="Times New Roman"/>
          <w:noProof/>
          <w:sz w:val="24"/>
          <w:szCs w:val="24"/>
        </w:rPr>
        <w:t xml:space="preserve">PSP </w:t>
      </w:r>
      <w:r w:rsidRPr="000E4B93">
        <w:rPr>
          <w:rFonts w:ascii="Times New Roman" w:hAnsi="Times New Roman" w:cs="Times New Roman"/>
          <w:noProof/>
          <w:sz w:val="24"/>
          <w:szCs w:val="24"/>
        </w:rPr>
        <w:t xml:space="preserve">license, but there is an exclusion </w:t>
      </w:r>
      <w:r w:rsidR="006E2632">
        <w:rPr>
          <w:rFonts w:ascii="Times New Roman" w:hAnsi="Times New Roman" w:cs="Times New Roman"/>
          <w:noProof/>
          <w:sz w:val="24"/>
          <w:szCs w:val="24"/>
        </w:rPr>
        <w:t>in</w:t>
      </w:r>
      <w:r w:rsidRPr="000E4B93">
        <w:rPr>
          <w:rFonts w:ascii="Times New Roman" w:hAnsi="Times New Roman" w:cs="Times New Roman"/>
          <w:noProof/>
          <w:sz w:val="24"/>
          <w:szCs w:val="24"/>
        </w:rPr>
        <w:t xml:space="preserve"> PSD2 for certain </w:t>
      </w:r>
      <w:r w:rsidR="001C4D03">
        <w:rPr>
          <w:rFonts w:ascii="Times New Roman" w:hAnsi="Times New Roman" w:cs="Times New Roman"/>
          <w:noProof/>
          <w:sz w:val="24"/>
          <w:szCs w:val="24"/>
        </w:rPr>
        <w:t xml:space="preserve">non-bank </w:t>
      </w:r>
      <w:r w:rsidRPr="000E4B93">
        <w:rPr>
          <w:rFonts w:ascii="Times New Roman" w:hAnsi="Times New Roman" w:cs="Times New Roman"/>
          <w:noProof/>
          <w:sz w:val="24"/>
          <w:szCs w:val="24"/>
        </w:rPr>
        <w:t>ATM operators, with specific conditions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This</w:t>
      </w:r>
      <w:r w:rsidR="009E6646">
        <w:rPr>
          <w:rFonts w:ascii="Times New Roman" w:hAnsi="Times New Roman" w:cs="Times New Roman"/>
          <w:noProof/>
          <w:sz w:val="24"/>
          <w:szCs w:val="24"/>
        </w:rPr>
        <w:t xml:space="preserve"> </w:t>
      </w:r>
      <w:r w:rsidR="009E6646" w:rsidRPr="009E6646">
        <w:rPr>
          <w:rFonts w:ascii="Times New Roman" w:hAnsi="Times New Roman" w:cs="Times New Roman"/>
          <w:noProof/>
          <w:sz w:val="24"/>
          <w:szCs w:val="24"/>
        </w:rPr>
        <w:t xml:space="preserve">exclusion has proven difficult </w:t>
      </w:r>
      <w:r w:rsidR="00287636">
        <w:rPr>
          <w:rFonts w:ascii="Times New Roman" w:hAnsi="Times New Roman" w:cs="Times New Roman"/>
          <w:noProof/>
          <w:sz w:val="24"/>
          <w:szCs w:val="24"/>
        </w:rPr>
        <w:t>to apply in practice</w:t>
      </w:r>
      <w:r w:rsidR="009E6646" w:rsidRPr="009E6646">
        <w:rPr>
          <w:rFonts w:ascii="Times New Roman" w:hAnsi="Times New Roman" w:cs="Times New Roman"/>
          <w:noProof/>
          <w:sz w:val="24"/>
          <w:szCs w:val="24"/>
        </w:rPr>
        <w:t xml:space="preserve">. </w:t>
      </w:r>
      <w:r w:rsidR="00F03966">
        <w:rPr>
          <w:rFonts w:ascii="Times New Roman" w:hAnsi="Times New Roman" w:cs="Times New Roman"/>
          <w:noProof/>
          <w:sz w:val="24"/>
          <w:szCs w:val="24"/>
        </w:rPr>
        <w:t xml:space="preserve">It is therefore proposed to </w:t>
      </w:r>
      <w:r w:rsidR="0004606E">
        <w:rPr>
          <w:rFonts w:ascii="Times New Roman" w:hAnsi="Times New Roman" w:cs="Times New Roman"/>
          <w:noProof/>
          <w:sz w:val="24"/>
          <w:szCs w:val="24"/>
        </w:rPr>
        <w:t xml:space="preserve">remove the exclusion, but to include in the scope </w:t>
      </w:r>
      <w:r w:rsidR="009E6646" w:rsidRPr="009E6646">
        <w:rPr>
          <w:rFonts w:ascii="Times New Roman" w:hAnsi="Times New Roman" w:cs="Times New Roman"/>
          <w:noProof/>
          <w:sz w:val="24"/>
          <w:szCs w:val="24"/>
        </w:rPr>
        <w:t>ATM operators which do not service payment accounts</w:t>
      </w:r>
      <w:r w:rsidR="00F03966">
        <w:rPr>
          <w:rFonts w:ascii="Times New Roman" w:hAnsi="Times New Roman" w:cs="Times New Roman"/>
          <w:noProof/>
          <w:sz w:val="24"/>
          <w:szCs w:val="24"/>
        </w:rPr>
        <w:t xml:space="preserve"> </w:t>
      </w:r>
      <w:r w:rsidR="006E2632">
        <w:rPr>
          <w:rFonts w:ascii="Times New Roman" w:hAnsi="Times New Roman" w:cs="Times New Roman"/>
          <w:noProof/>
          <w:sz w:val="24"/>
          <w:szCs w:val="24"/>
        </w:rPr>
        <w:t xml:space="preserve">with </w:t>
      </w:r>
      <w:r w:rsidR="009E6646" w:rsidRPr="009E6646">
        <w:rPr>
          <w:rFonts w:ascii="Times New Roman" w:hAnsi="Times New Roman" w:cs="Times New Roman"/>
          <w:noProof/>
          <w:sz w:val="24"/>
          <w:szCs w:val="24"/>
        </w:rPr>
        <w:t xml:space="preserve">a </w:t>
      </w:r>
      <w:r w:rsidR="000F6700">
        <w:rPr>
          <w:rFonts w:ascii="Times New Roman" w:hAnsi="Times New Roman" w:cs="Times New Roman"/>
          <w:noProof/>
          <w:sz w:val="24"/>
          <w:szCs w:val="24"/>
        </w:rPr>
        <w:t xml:space="preserve">lighter </w:t>
      </w:r>
      <w:r w:rsidR="009E6646" w:rsidRPr="009E6646">
        <w:rPr>
          <w:rFonts w:ascii="Times New Roman" w:hAnsi="Times New Roman" w:cs="Times New Roman"/>
          <w:noProof/>
          <w:sz w:val="24"/>
          <w:szCs w:val="24"/>
        </w:rPr>
        <w:t xml:space="preserve">registration regime </w:t>
      </w:r>
      <w:r w:rsidR="006E2632">
        <w:rPr>
          <w:rFonts w:ascii="Times New Roman" w:hAnsi="Times New Roman" w:cs="Times New Roman"/>
          <w:noProof/>
          <w:sz w:val="24"/>
          <w:szCs w:val="24"/>
        </w:rPr>
        <w:t>and</w:t>
      </w:r>
      <w:r w:rsidR="006E2632" w:rsidRPr="009E6646">
        <w:rPr>
          <w:rFonts w:ascii="Times New Roman" w:hAnsi="Times New Roman" w:cs="Times New Roman"/>
          <w:noProof/>
          <w:sz w:val="24"/>
          <w:szCs w:val="24"/>
        </w:rPr>
        <w:t xml:space="preserve"> </w:t>
      </w:r>
      <w:r w:rsidR="009E6646" w:rsidRPr="009E6646">
        <w:rPr>
          <w:rFonts w:ascii="Times New Roman" w:hAnsi="Times New Roman" w:cs="Times New Roman"/>
          <w:noProof/>
          <w:sz w:val="24"/>
          <w:szCs w:val="24"/>
        </w:rPr>
        <w:t xml:space="preserve">an </w:t>
      </w:r>
      <w:r w:rsidR="001C4D03">
        <w:rPr>
          <w:rFonts w:ascii="Times New Roman" w:hAnsi="Times New Roman" w:cs="Times New Roman"/>
          <w:noProof/>
          <w:sz w:val="24"/>
          <w:szCs w:val="24"/>
        </w:rPr>
        <w:t>appropriate</w:t>
      </w:r>
      <w:r w:rsidR="009E6646" w:rsidRPr="009E6646">
        <w:rPr>
          <w:rFonts w:ascii="Times New Roman" w:hAnsi="Times New Roman" w:cs="Times New Roman"/>
          <w:noProof/>
          <w:sz w:val="24"/>
          <w:szCs w:val="24"/>
        </w:rPr>
        <w:t xml:space="preserve"> level of regulation</w:t>
      </w:r>
      <w:r w:rsidR="001C4D03">
        <w:rPr>
          <w:rFonts w:ascii="Times New Roman" w:hAnsi="Times New Roman" w:cs="Times New Roman"/>
          <w:noProof/>
          <w:sz w:val="24"/>
          <w:szCs w:val="24"/>
        </w:rPr>
        <w:t xml:space="preserve"> (for example, t</w:t>
      </w:r>
      <w:r w:rsidR="009E6646" w:rsidRPr="009E6646">
        <w:rPr>
          <w:rFonts w:ascii="Times New Roman" w:hAnsi="Times New Roman" w:cs="Times New Roman"/>
          <w:noProof/>
          <w:sz w:val="24"/>
          <w:szCs w:val="24"/>
        </w:rPr>
        <w:t xml:space="preserve">ransparency on fees </w:t>
      </w:r>
      <w:r w:rsidR="008E5DB9">
        <w:rPr>
          <w:rFonts w:ascii="Times New Roman" w:hAnsi="Times New Roman" w:cs="Times New Roman"/>
          <w:noProof/>
          <w:sz w:val="24"/>
          <w:szCs w:val="24"/>
        </w:rPr>
        <w:t xml:space="preserve">will be </w:t>
      </w:r>
      <w:r w:rsidR="00E9062D">
        <w:rPr>
          <w:rFonts w:ascii="Times New Roman" w:hAnsi="Times New Roman" w:cs="Times New Roman"/>
          <w:noProof/>
          <w:sz w:val="24"/>
          <w:szCs w:val="24"/>
        </w:rPr>
        <w:t>required</w:t>
      </w:r>
      <w:r w:rsidR="001C4D03">
        <w:rPr>
          <w:rFonts w:ascii="Times New Roman" w:hAnsi="Times New Roman" w:cs="Times New Roman"/>
          <w:noProof/>
          <w:sz w:val="24"/>
          <w:szCs w:val="24"/>
        </w:rPr>
        <w:t>)</w:t>
      </w:r>
      <w:r w:rsidR="00456F5B">
        <w:rPr>
          <w:rFonts w:ascii="Times New Roman" w:hAnsi="Times New Roman" w:cs="Times New Roman"/>
          <w:noProof/>
          <w:sz w:val="24"/>
          <w:szCs w:val="24"/>
        </w:rPr>
        <w:t xml:space="preserve">. </w:t>
      </w:r>
    </w:p>
    <w:p w14:paraId="571E2F1E" w14:textId="174F301D"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5" w:name="_Toc138066881"/>
      <w:r w:rsidRPr="008010AD">
        <w:rPr>
          <w:rFonts w:ascii="Times New Roman" w:hAnsi="Times New Roman" w:cs="Times New Roman"/>
          <w:noProof/>
          <w:color w:val="auto"/>
          <w:sz w:val="24"/>
          <w:szCs w:val="24"/>
          <w:u w:val="single"/>
        </w:rPr>
        <w:t>Consumer protection</w:t>
      </w:r>
      <w:bookmarkEnd w:id="35"/>
    </w:p>
    <w:p w14:paraId="4D92D907" w14:textId="2363EDCD"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sidRPr="00C12F49">
        <w:rPr>
          <w:rFonts w:ascii="Times New Roman" w:hAnsi="Times New Roman" w:cs="Times New Roman"/>
          <w:i/>
          <w:iCs/>
          <w:noProof/>
          <w:sz w:val="24"/>
          <w:szCs w:val="24"/>
        </w:rPr>
        <w:t>i.</w:t>
      </w:r>
      <w:r w:rsidRPr="00C12F49">
        <w:rPr>
          <w:rFonts w:ascii="Times New Roman" w:hAnsi="Times New Roman" w:cs="Times New Roman"/>
          <w:i/>
          <w:iCs/>
          <w:noProof/>
          <w:sz w:val="24"/>
          <w:szCs w:val="24"/>
        </w:rPr>
        <w:tab/>
        <w:t>Rules on charges</w:t>
      </w:r>
      <w:r w:rsidR="00E43026" w:rsidRPr="00C12F49">
        <w:rPr>
          <w:rStyle w:val="FootnoteReference"/>
          <w:rFonts w:ascii="Times New Roman" w:hAnsi="Times New Roman" w:cs="Times New Roman"/>
          <w:i/>
          <w:iCs/>
          <w:noProof/>
          <w:sz w:val="24"/>
          <w:szCs w:val="24"/>
        </w:rPr>
        <w:footnoteReference w:id="26"/>
      </w:r>
      <w:r w:rsidRPr="00C12F49">
        <w:rPr>
          <w:rFonts w:ascii="Times New Roman" w:hAnsi="Times New Roman" w:cs="Times New Roman"/>
          <w:i/>
          <w:iCs/>
          <w:noProof/>
          <w:sz w:val="24"/>
          <w:szCs w:val="24"/>
        </w:rPr>
        <w:t xml:space="preserve"> </w:t>
      </w:r>
    </w:p>
    <w:p w14:paraId="159CBDC8" w14:textId="7F783799" w:rsidR="0063770A" w:rsidRPr="0063770A" w:rsidRDefault="00961A63"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PSD2 allows</w:t>
      </w:r>
      <w:r w:rsidR="0063770A" w:rsidRPr="0063770A">
        <w:rPr>
          <w:rFonts w:ascii="Times New Roman" w:hAnsi="Times New Roman" w:cs="Times New Roman"/>
          <w:noProof/>
          <w:sz w:val="24"/>
          <w:szCs w:val="24"/>
        </w:rPr>
        <w:t xml:space="preserve"> payees to </w:t>
      </w:r>
      <w:r w:rsidR="006E2632">
        <w:rPr>
          <w:rFonts w:ascii="Times New Roman" w:hAnsi="Times New Roman" w:cs="Times New Roman"/>
          <w:noProof/>
          <w:sz w:val="24"/>
          <w:szCs w:val="24"/>
        </w:rPr>
        <w:t>impose</w:t>
      </w:r>
      <w:r w:rsidR="006E2632"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charges </w:t>
      </w:r>
      <w:r w:rsidR="006E2632">
        <w:rPr>
          <w:rFonts w:ascii="Times New Roman" w:hAnsi="Times New Roman" w:cs="Times New Roman"/>
          <w:noProof/>
          <w:sz w:val="24"/>
          <w:szCs w:val="24"/>
        </w:rPr>
        <w:t>on</w:t>
      </w:r>
      <w:r w:rsidR="006E2632"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payers in order to steer them towards the use of specific payment instruments (so-called </w:t>
      </w:r>
      <w:r w:rsidR="00287636">
        <w:rPr>
          <w:rFonts w:ascii="Times New Roman" w:hAnsi="Times New Roman" w:cs="Times New Roman"/>
          <w:noProof/>
          <w:sz w:val="24"/>
          <w:szCs w:val="24"/>
        </w:rPr>
        <w:t>“</w:t>
      </w:r>
      <w:r w:rsidR="0063770A" w:rsidRPr="0063770A">
        <w:rPr>
          <w:rFonts w:ascii="Times New Roman" w:hAnsi="Times New Roman" w:cs="Times New Roman"/>
          <w:noProof/>
          <w:sz w:val="24"/>
          <w:szCs w:val="24"/>
        </w:rPr>
        <w:t>surcharging</w:t>
      </w:r>
      <w:r w:rsidR="00287636">
        <w:rPr>
          <w:rFonts w:ascii="Times New Roman" w:hAnsi="Times New Roman" w:cs="Times New Roman"/>
          <w:noProof/>
          <w:sz w:val="24"/>
          <w:szCs w:val="24"/>
        </w:rPr>
        <w:t>”</w:t>
      </w:r>
      <w:r w:rsidR="0063770A" w:rsidRPr="0063770A">
        <w:rPr>
          <w:rFonts w:ascii="Times New Roman" w:hAnsi="Times New Roman" w:cs="Times New Roman"/>
          <w:noProof/>
          <w:sz w:val="24"/>
          <w:szCs w:val="24"/>
        </w:rPr>
        <w:t xml:space="preserve">). However, payees are prevented from requesting charges for the use of payment instruments for which interchange fees are regulated under </w:t>
      </w:r>
      <w:r>
        <w:rPr>
          <w:rFonts w:ascii="Times New Roman" w:hAnsi="Times New Roman" w:cs="Times New Roman"/>
          <w:noProof/>
          <w:sz w:val="24"/>
          <w:szCs w:val="24"/>
        </w:rPr>
        <w:t xml:space="preserve">the </w:t>
      </w:r>
      <w:r w:rsidR="0063770A" w:rsidRPr="0063770A">
        <w:rPr>
          <w:rFonts w:ascii="Times New Roman" w:hAnsi="Times New Roman" w:cs="Times New Roman"/>
          <w:noProof/>
          <w:sz w:val="24"/>
          <w:szCs w:val="24"/>
        </w:rPr>
        <w:t>Regulation</w:t>
      </w:r>
      <w:r>
        <w:rPr>
          <w:rFonts w:ascii="Times New Roman" w:hAnsi="Times New Roman" w:cs="Times New Roman"/>
          <w:noProof/>
          <w:sz w:val="24"/>
          <w:szCs w:val="24"/>
        </w:rPr>
        <w:t xml:space="preserve"> </w:t>
      </w:r>
      <w:r w:rsidR="00287636">
        <w:rPr>
          <w:rFonts w:ascii="Times New Roman" w:hAnsi="Times New Roman" w:cs="Times New Roman"/>
          <w:noProof/>
          <w:sz w:val="24"/>
          <w:szCs w:val="24"/>
        </w:rPr>
        <w:t xml:space="preserve">on </w:t>
      </w:r>
      <w:r>
        <w:rPr>
          <w:rFonts w:ascii="Times New Roman" w:hAnsi="Times New Roman" w:cs="Times New Roman"/>
          <w:noProof/>
          <w:sz w:val="24"/>
          <w:szCs w:val="24"/>
        </w:rPr>
        <w:t>Interchange fees</w:t>
      </w:r>
      <w:r>
        <w:rPr>
          <w:rStyle w:val="FootnoteReference"/>
          <w:rFonts w:ascii="Times New Roman" w:hAnsi="Times New Roman" w:cs="Times New Roman"/>
          <w:noProof/>
          <w:sz w:val="24"/>
          <w:szCs w:val="24"/>
        </w:rPr>
        <w:footnoteReference w:id="27"/>
      </w:r>
      <w:r w:rsidR="0063770A" w:rsidRPr="0063770A">
        <w:rPr>
          <w:rFonts w:ascii="Times New Roman" w:hAnsi="Times New Roman" w:cs="Times New Roman"/>
          <w:noProof/>
          <w:sz w:val="24"/>
          <w:szCs w:val="24"/>
        </w:rPr>
        <w:t xml:space="preserve">, i.e. for consumer debit and credit cards issued under four-party card schemes, and for those payment services to which </w:t>
      </w:r>
      <w:r>
        <w:rPr>
          <w:rFonts w:ascii="Times New Roman" w:hAnsi="Times New Roman" w:cs="Times New Roman"/>
          <w:noProof/>
          <w:sz w:val="24"/>
          <w:szCs w:val="24"/>
        </w:rPr>
        <w:t xml:space="preserve">the </w:t>
      </w:r>
      <w:r w:rsidR="0063770A" w:rsidRPr="0063770A">
        <w:rPr>
          <w:rFonts w:ascii="Times New Roman" w:hAnsi="Times New Roman" w:cs="Times New Roman"/>
          <w:noProof/>
          <w:sz w:val="24"/>
          <w:szCs w:val="24"/>
        </w:rPr>
        <w:t>SEPA</w:t>
      </w:r>
      <w:r>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Regulation</w:t>
      </w:r>
      <w:r>
        <w:rPr>
          <w:rStyle w:val="FootnoteReference"/>
          <w:rFonts w:ascii="Times New Roman" w:hAnsi="Times New Roman" w:cs="Times New Roman"/>
          <w:noProof/>
          <w:sz w:val="24"/>
          <w:szCs w:val="24"/>
        </w:rPr>
        <w:footnoteReference w:id="28"/>
      </w:r>
      <w:r w:rsidR="0063770A" w:rsidRPr="0063770A">
        <w:rPr>
          <w:rFonts w:ascii="Times New Roman" w:hAnsi="Times New Roman" w:cs="Times New Roman"/>
          <w:noProof/>
          <w:sz w:val="24"/>
          <w:szCs w:val="24"/>
        </w:rPr>
        <w:t xml:space="preserve"> applies, i.e. credit transfer</w:t>
      </w:r>
      <w:r>
        <w:rPr>
          <w:rFonts w:ascii="Times New Roman" w:hAnsi="Times New Roman" w:cs="Times New Roman"/>
          <w:noProof/>
          <w:sz w:val="24"/>
          <w:szCs w:val="24"/>
        </w:rPr>
        <w:t>s</w:t>
      </w:r>
      <w:r w:rsidR="0063770A" w:rsidRPr="0063770A">
        <w:rPr>
          <w:rFonts w:ascii="Times New Roman" w:hAnsi="Times New Roman" w:cs="Times New Roman"/>
          <w:noProof/>
          <w:sz w:val="24"/>
          <w:szCs w:val="24"/>
        </w:rPr>
        <w:t xml:space="preserve"> and direct debit</w:t>
      </w:r>
      <w:r>
        <w:rPr>
          <w:rFonts w:ascii="Times New Roman" w:hAnsi="Times New Roman" w:cs="Times New Roman"/>
          <w:noProof/>
          <w:sz w:val="24"/>
          <w:szCs w:val="24"/>
        </w:rPr>
        <w:t>s</w:t>
      </w:r>
      <w:r w:rsidR="0063770A" w:rsidRPr="0063770A">
        <w:rPr>
          <w:rFonts w:ascii="Times New Roman" w:hAnsi="Times New Roman" w:cs="Times New Roman"/>
          <w:noProof/>
          <w:sz w:val="24"/>
          <w:szCs w:val="24"/>
        </w:rPr>
        <w:t xml:space="preserve"> in euro. Member States </w:t>
      </w:r>
      <w:r>
        <w:rPr>
          <w:rFonts w:ascii="Times New Roman" w:hAnsi="Times New Roman" w:cs="Times New Roman"/>
          <w:noProof/>
          <w:sz w:val="24"/>
          <w:szCs w:val="24"/>
        </w:rPr>
        <w:t xml:space="preserve">are </w:t>
      </w:r>
      <w:r w:rsidR="00287636">
        <w:rPr>
          <w:rFonts w:ascii="Times New Roman" w:hAnsi="Times New Roman" w:cs="Times New Roman"/>
          <w:noProof/>
          <w:sz w:val="24"/>
          <w:szCs w:val="24"/>
        </w:rPr>
        <w:t xml:space="preserve">currently </w:t>
      </w:r>
      <w:r>
        <w:rPr>
          <w:rFonts w:ascii="Times New Roman" w:hAnsi="Times New Roman" w:cs="Times New Roman"/>
          <w:noProof/>
          <w:sz w:val="24"/>
          <w:szCs w:val="24"/>
        </w:rPr>
        <w:t xml:space="preserve">allowed </w:t>
      </w:r>
      <w:r w:rsidR="0063770A" w:rsidRPr="0063770A">
        <w:rPr>
          <w:rFonts w:ascii="Times New Roman" w:hAnsi="Times New Roman" w:cs="Times New Roman"/>
          <w:noProof/>
          <w:sz w:val="24"/>
          <w:szCs w:val="24"/>
        </w:rPr>
        <w:t>to ban or limit surcharging</w:t>
      </w:r>
      <w:r w:rsidR="009473E5">
        <w:rPr>
          <w:rFonts w:ascii="Times New Roman" w:hAnsi="Times New Roman" w:cs="Times New Roman"/>
          <w:noProof/>
          <w:sz w:val="24"/>
          <w:szCs w:val="24"/>
        </w:rPr>
        <w:t xml:space="preserve"> more widely</w:t>
      </w:r>
      <w:r w:rsidR="0063770A" w:rsidRPr="0063770A">
        <w:rPr>
          <w:rFonts w:ascii="Times New Roman" w:hAnsi="Times New Roman" w:cs="Times New Roman"/>
          <w:noProof/>
          <w:sz w:val="24"/>
          <w:szCs w:val="24"/>
        </w:rPr>
        <w:t xml:space="preserve">, an option that has been </w:t>
      </w:r>
      <w:r>
        <w:rPr>
          <w:rFonts w:ascii="Times New Roman" w:hAnsi="Times New Roman" w:cs="Times New Roman"/>
          <w:noProof/>
          <w:sz w:val="24"/>
          <w:szCs w:val="24"/>
        </w:rPr>
        <w:t>used</w:t>
      </w:r>
      <w:r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in </w:t>
      </w:r>
      <w:r w:rsidR="00456F5B">
        <w:rPr>
          <w:rFonts w:ascii="Times New Roman" w:hAnsi="Times New Roman" w:cs="Times New Roman"/>
          <w:noProof/>
          <w:sz w:val="24"/>
          <w:szCs w:val="24"/>
        </w:rPr>
        <w:t xml:space="preserve">more than half of </w:t>
      </w:r>
      <w:r w:rsidR="0063770A" w:rsidRPr="0063770A">
        <w:rPr>
          <w:rFonts w:ascii="Times New Roman" w:hAnsi="Times New Roman" w:cs="Times New Roman"/>
          <w:noProof/>
          <w:sz w:val="24"/>
          <w:szCs w:val="24"/>
        </w:rPr>
        <w:t xml:space="preserve">Member States. </w:t>
      </w:r>
      <w:r w:rsidR="00721550">
        <w:rPr>
          <w:rFonts w:ascii="Times New Roman" w:hAnsi="Times New Roman" w:cs="Times New Roman"/>
          <w:noProof/>
          <w:sz w:val="24"/>
          <w:szCs w:val="24"/>
        </w:rPr>
        <w:t>T</w:t>
      </w:r>
      <w:r w:rsidR="00456F5B">
        <w:rPr>
          <w:rFonts w:ascii="Times New Roman" w:hAnsi="Times New Roman" w:cs="Times New Roman"/>
          <w:noProof/>
          <w:sz w:val="24"/>
          <w:szCs w:val="24"/>
        </w:rPr>
        <w:t>he Commission con</w:t>
      </w:r>
      <w:r w:rsidR="00721550">
        <w:rPr>
          <w:rFonts w:ascii="Times New Roman" w:hAnsi="Times New Roman" w:cs="Times New Roman"/>
          <w:noProof/>
          <w:sz w:val="24"/>
          <w:szCs w:val="24"/>
        </w:rPr>
        <w:t xml:space="preserve">siders </w:t>
      </w:r>
      <w:r w:rsidR="009473E5">
        <w:rPr>
          <w:rFonts w:ascii="Times New Roman" w:hAnsi="Times New Roman" w:cs="Times New Roman"/>
          <w:noProof/>
          <w:sz w:val="24"/>
          <w:szCs w:val="24"/>
        </w:rPr>
        <w:t>that</w:t>
      </w:r>
      <w:r w:rsidR="0063770A" w:rsidRPr="0063770A">
        <w:rPr>
          <w:rFonts w:ascii="Times New Roman" w:hAnsi="Times New Roman" w:cs="Times New Roman"/>
          <w:noProof/>
          <w:sz w:val="24"/>
          <w:szCs w:val="24"/>
        </w:rPr>
        <w:t xml:space="preserve"> there is no need to further align </w:t>
      </w:r>
      <w:r w:rsidR="00287636">
        <w:rPr>
          <w:rFonts w:ascii="Times New Roman" w:hAnsi="Times New Roman" w:cs="Times New Roman"/>
          <w:noProof/>
          <w:sz w:val="24"/>
          <w:szCs w:val="24"/>
        </w:rPr>
        <w:t xml:space="preserve">or modify </w:t>
      </w:r>
      <w:r w:rsidR="0063770A" w:rsidRPr="0063770A">
        <w:rPr>
          <w:rFonts w:ascii="Times New Roman" w:hAnsi="Times New Roman" w:cs="Times New Roman"/>
          <w:noProof/>
          <w:sz w:val="24"/>
          <w:szCs w:val="24"/>
        </w:rPr>
        <w:t xml:space="preserve">charging practices between Member States, as the surcharging ban already applies to </w:t>
      </w:r>
      <w:r>
        <w:rPr>
          <w:rFonts w:ascii="Times New Roman" w:hAnsi="Times New Roman" w:cs="Times New Roman"/>
          <w:noProof/>
          <w:sz w:val="24"/>
          <w:szCs w:val="24"/>
        </w:rPr>
        <w:t xml:space="preserve">95% </w:t>
      </w:r>
      <w:r w:rsidR="0063770A" w:rsidRPr="0063770A">
        <w:rPr>
          <w:rFonts w:ascii="Times New Roman" w:hAnsi="Times New Roman" w:cs="Times New Roman"/>
          <w:noProof/>
          <w:sz w:val="24"/>
          <w:szCs w:val="24"/>
        </w:rPr>
        <w:t>of payments in the EU</w:t>
      </w:r>
      <w:r w:rsidR="000F6700">
        <w:rPr>
          <w:rFonts w:ascii="Times New Roman" w:hAnsi="Times New Roman" w:cs="Times New Roman"/>
          <w:noProof/>
          <w:sz w:val="24"/>
          <w:szCs w:val="24"/>
        </w:rPr>
        <w:t>. This</w:t>
      </w:r>
      <w:r w:rsidR="009473E5">
        <w:rPr>
          <w:rFonts w:ascii="Times New Roman" w:hAnsi="Times New Roman" w:cs="Times New Roman"/>
          <w:noProof/>
          <w:sz w:val="24"/>
          <w:szCs w:val="24"/>
        </w:rPr>
        <w:t xml:space="preserve"> conclusion </w:t>
      </w:r>
      <w:r w:rsidR="000F6700">
        <w:rPr>
          <w:rFonts w:ascii="Times New Roman" w:hAnsi="Times New Roman" w:cs="Times New Roman"/>
          <w:noProof/>
          <w:sz w:val="24"/>
          <w:szCs w:val="24"/>
        </w:rPr>
        <w:t xml:space="preserve">is </w:t>
      </w:r>
      <w:r w:rsidR="009473E5">
        <w:rPr>
          <w:rFonts w:ascii="Times New Roman" w:hAnsi="Times New Roman" w:cs="Times New Roman"/>
          <w:noProof/>
          <w:sz w:val="24"/>
          <w:szCs w:val="24"/>
        </w:rPr>
        <w:t xml:space="preserve">supported </w:t>
      </w:r>
      <w:r w:rsidR="0063770A" w:rsidRPr="0063770A">
        <w:rPr>
          <w:rFonts w:ascii="Times New Roman" w:hAnsi="Times New Roman" w:cs="Times New Roman"/>
          <w:noProof/>
          <w:sz w:val="24"/>
          <w:szCs w:val="24"/>
        </w:rPr>
        <w:t xml:space="preserve">by most respondents to the public consultation. However, the surcharging ban </w:t>
      </w:r>
      <w:r>
        <w:rPr>
          <w:rFonts w:ascii="Times New Roman" w:hAnsi="Times New Roman" w:cs="Times New Roman"/>
          <w:noProof/>
          <w:sz w:val="24"/>
          <w:szCs w:val="24"/>
        </w:rPr>
        <w:t xml:space="preserve">in PSD2 </w:t>
      </w:r>
      <w:r w:rsidR="009473E5">
        <w:rPr>
          <w:rFonts w:ascii="Times New Roman" w:hAnsi="Times New Roman" w:cs="Times New Roman"/>
          <w:noProof/>
          <w:sz w:val="24"/>
          <w:szCs w:val="24"/>
        </w:rPr>
        <w:t xml:space="preserve">does not </w:t>
      </w:r>
      <w:r w:rsidR="00014E27">
        <w:rPr>
          <w:rFonts w:ascii="Times New Roman" w:hAnsi="Times New Roman" w:cs="Times New Roman"/>
          <w:noProof/>
          <w:sz w:val="24"/>
          <w:szCs w:val="24"/>
        </w:rPr>
        <w:t xml:space="preserve">currently </w:t>
      </w:r>
      <w:r>
        <w:rPr>
          <w:rFonts w:ascii="Times New Roman" w:hAnsi="Times New Roman" w:cs="Times New Roman"/>
          <w:noProof/>
          <w:sz w:val="24"/>
          <w:szCs w:val="24"/>
        </w:rPr>
        <w:t xml:space="preserve">extend to </w:t>
      </w:r>
      <w:r w:rsidR="0063770A" w:rsidRPr="0063770A">
        <w:rPr>
          <w:rFonts w:ascii="Times New Roman" w:hAnsi="Times New Roman" w:cs="Times New Roman"/>
          <w:noProof/>
          <w:sz w:val="24"/>
          <w:szCs w:val="24"/>
        </w:rPr>
        <w:t>credit transfer</w:t>
      </w:r>
      <w:r w:rsidR="00474C24">
        <w:rPr>
          <w:rFonts w:ascii="Times New Roman" w:hAnsi="Times New Roman" w:cs="Times New Roman"/>
          <w:noProof/>
          <w:sz w:val="24"/>
          <w:szCs w:val="24"/>
        </w:rPr>
        <w:t>s</w:t>
      </w:r>
      <w:r w:rsidR="0063770A" w:rsidRPr="0063770A">
        <w:rPr>
          <w:rFonts w:ascii="Times New Roman" w:hAnsi="Times New Roman" w:cs="Times New Roman"/>
          <w:noProof/>
          <w:sz w:val="24"/>
          <w:szCs w:val="24"/>
        </w:rPr>
        <w:t xml:space="preserve"> and direct debit</w:t>
      </w:r>
      <w:r w:rsidR="00474C24">
        <w:rPr>
          <w:rFonts w:ascii="Times New Roman" w:hAnsi="Times New Roman" w:cs="Times New Roman"/>
          <w:noProof/>
          <w:sz w:val="24"/>
          <w:szCs w:val="24"/>
        </w:rPr>
        <w:t>s</w:t>
      </w:r>
      <w:r w:rsidR="0063770A" w:rsidRPr="0063770A">
        <w:rPr>
          <w:rFonts w:ascii="Times New Roman" w:hAnsi="Times New Roman" w:cs="Times New Roman"/>
          <w:noProof/>
          <w:sz w:val="24"/>
          <w:szCs w:val="24"/>
        </w:rPr>
        <w:t xml:space="preserve"> denominated in </w:t>
      </w:r>
      <w:r>
        <w:rPr>
          <w:rFonts w:ascii="Times New Roman" w:hAnsi="Times New Roman" w:cs="Times New Roman"/>
          <w:noProof/>
          <w:sz w:val="24"/>
          <w:szCs w:val="24"/>
        </w:rPr>
        <w:t>non-euro</w:t>
      </w:r>
      <w:r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EU currencies. </w:t>
      </w:r>
      <w:r w:rsidR="0063770A" w:rsidRPr="0063770A">
        <w:rPr>
          <w:rFonts w:ascii="Times New Roman" w:hAnsi="Times New Roman" w:cs="Times New Roman"/>
          <w:noProof/>
          <w:sz w:val="24"/>
          <w:szCs w:val="24"/>
          <w:lang w:val="en"/>
        </w:rPr>
        <w:t xml:space="preserve">As there is no </w:t>
      </w:r>
      <w:r w:rsidR="00287636">
        <w:rPr>
          <w:rFonts w:ascii="Times New Roman" w:hAnsi="Times New Roman" w:cs="Times New Roman"/>
          <w:noProof/>
          <w:sz w:val="24"/>
          <w:szCs w:val="24"/>
          <w:lang w:val="en"/>
        </w:rPr>
        <w:t xml:space="preserve">clear </w:t>
      </w:r>
      <w:r w:rsidR="00474C24">
        <w:rPr>
          <w:rFonts w:ascii="Times New Roman" w:hAnsi="Times New Roman" w:cs="Times New Roman"/>
          <w:noProof/>
          <w:sz w:val="24"/>
          <w:szCs w:val="24"/>
          <w:lang w:val="en"/>
        </w:rPr>
        <w:t>rationale</w:t>
      </w:r>
      <w:r w:rsidR="00474C24" w:rsidRPr="0063770A">
        <w:rPr>
          <w:rFonts w:ascii="Times New Roman" w:hAnsi="Times New Roman" w:cs="Times New Roman"/>
          <w:noProof/>
          <w:sz w:val="24"/>
          <w:szCs w:val="24"/>
          <w:lang w:val="en"/>
        </w:rPr>
        <w:t xml:space="preserve"> </w:t>
      </w:r>
      <w:r w:rsidR="0063770A" w:rsidRPr="0063770A">
        <w:rPr>
          <w:rFonts w:ascii="Times New Roman" w:hAnsi="Times New Roman" w:cs="Times New Roman"/>
          <w:noProof/>
          <w:sz w:val="24"/>
          <w:szCs w:val="24"/>
          <w:lang w:val="en"/>
        </w:rPr>
        <w:t>for this restriction</w:t>
      </w:r>
      <w:r w:rsidR="000F6700">
        <w:rPr>
          <w:rFonts w:ascii="Times New Roman" w:hAnsi="Times New Roman" w:cs="Times New Roman"/>
          <w:noProof/>
          <w:sz w:val="24"/>
          <w:szCs w:val="24"/>
          <w:lang w:val="en"/>
        </w:rPr>
        <w:t>,</w:t>
      </w:r>
      <w:r w:rsidR="0063770A" w:rsidRPr="0063770A">
        <w:rPr>
          <w:rFonts w:ascii="Times New Roman" w:hAnsi="Times New Roman" w:cs="Times New Roman"/>
          <w:noProof/>
          <w:sz w:val="24"/>
          <w:szCs w:val="24"/>
          <w:lang w:val="en"/>
        </w:rPr>
        <w:t xml:space="preserve"> </w:t>
      </w:r>
      <w:r w:rsidR="0063770A" w:rsidRPr="0063770A">
        <w:rPr>
          <w:rFonts w:ascii="Times New Roman" w:hAnsi="Times New Roman" w:cs="Times New Roman"/>
          <w:noProof/>
          <w:sz w:val="24"/>
          <w:szCs w:val="24"/>
        </w:rPr>
        <w:t xml:space="preserve">the Commission </w:t>
      </w:r>
      <w:r w:rsidR="009473E5">
        <w:rPr>
          <w:rFonts w:ascii="Times New Roman" w:hAnsi="Times New Roman" w:cs="Times New Roman"/>
          <w:noProof/>
          <w:sz w:val="24"/>
          <w:szCs w:val="24"/>
        </w:rPr>
        <w:t>is</w:t>
      </w:r>
      <w:r w:rsidR="0063770A" w:rsidRPr="0063770A">
        <w:rPr>
          <w:rFonts w:ascii="Times New Roman" w:hAnsi="Times New Roman" w:cs="Times New Roman"/>
          <w:noProof/>
          <w:sz w:val="24"/>
          <w:szCs w:val="24"/>
        </w:rPr>
        <w:t xml:space="preserve"> propos</w:t>
      </w:r>
      <w:r w:rsidR="009473E5">
        <w:rPr>
          <w:rFonts w:ascii="Times New Roman" w:hAnsi="Times New Roman" w:cs="Times New Roman"/>
          <w:noProof/>
          <w:sz w:val="24"/>
          <w:szCs w:val="24"/>
        </w:rPr>
        <w:t>ing</w:t>
      </w:r>
      <w:r w:rsidR="0063770A" w:rsidRPr="0063770A">
        <w:rPr>
          <w:rFonts w:ascii="Times New Roman" w:hAnsi="Times New Roman" w:cs="Times New Roman"/>
          <w:noProof/>
          <w:sz w:val="24"/>
          <w:szCs w:val="24"/>
        </w:rPr>
        <w:t xml:space="preserve"> to extend the surcharging ban to all credit transfers and direct debits</w:t>
      </w:r>
      <w:r w:rsidR="009473E5">
        <w:rPr>
          <w:rFonts w:ascii="Times New Roman" w:hAnsi="Times New Roman" w:cs="Times New Roman"/>
          <w:noProof/>
          <w:sz w:val="24"/>
          <w:szCs w:val="24"/>
        </w:rPr>
        <w:t xml:space="preserve"> in all currencies</w:t>
      </w:r>
      <w:r w:rsidR="0063770A" w:rsidRPr="0063770A">
        <w:rPr>
          <w:rFonts w:ascii="Times New Roman" w:hAnsi="Times New Roman" w:cs="Times New Roman"/>
          <w:noProof/>
          <w:sz w:val="24"/>
          <w:szCs w:val="24"/>
        </w:rPr>
        <w:t>.</w:t>
      </w:r>
    </w:p>
    <w:p w14:paraId="39296C23" w14:textId="54096150"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r w:rsidRPr="00C12F49">
        <w:rPr>
          <w:rFonts w:ascii="Times New Roman" w:hAnsi="Times New Roman" w:cs="Times New Roman"/>
          <w:i/>
          <w:iCs/>
          <w:noProof/>
          <w:sz w:val="24"/>
          <w:szCs w:val="24"/>
        </w:rPr>
        <w:t>ii.</w:t>
      </w:r>
      <w:r w:rsidRPr="00C12F49">
        <w:rPr>
          <w:rFonts w:ascii="Times New Roman" w:hAnsi="Times New Roman" w:cs="Times New Roman"/>
          <w:i/>
          <w:iCs/>
          <w:noProof/>
          <w:sz w:val="24"/>
          <w:szCs w:val="24"/>
        </w:rPr>
        <w:tab/>
        <w:t>Rules on transactions</w:t>
      </w:r>
      <w:r w:rsidR="00BE7A5F">
        <w:rPr>
          <w:rFonts w:ascii="Times New Roman" w:hAnsi="Times New Roman" w:cs="Times New Roman"/>
          <w:i/>
          <w:iCs/>
          <w:noProof/>
          <w:sz w:val="24"/>
          <w:szCs w:val="24"/>
        </w:rPr>
        <w:t xml:space="preserve"> with third countries</w:t>
      </w:r>
      <w:r w:rsidR="00E43026" w:rsidRPr="00C12F49">
        <w:rPr>
          <w:rStyle w:val="FootnoteReference"/>
          <w:rFonts w:ascii="Times New Roman" w:hAnsi="Times New Roman" w:cs="Times New Roman"/>
          <w:i/>
          <w:iCs/>
          <w:noProof/>
          <w:sz w:val="24"/>
          <w:szCs w:val="24"/>
        </w:rPr>
        <w:footnoteReference w:id="29"/>
      </w:r>
      <w:r w:rsidRPr="00C12F49">
        <w:rPr>
          <w:rFonts w:ascii="Times New Roman" w:hAnsi="Times New Roman" w:cs="Times New Roman"/>
          <w:i/>
          <w:iCs/>
          <w:noProof/>
          <w:sz w:val="24"/>
          <w:szCs w:val="24"/>
        </w:rPr>
        <w:t xml:space="preserve"> </w:t>
      </w:r>
    </w:p>
    <w:p w14:paraId="655F533D" w14:textId="35AAB3D5" w:rsidR="00061BB1" w:rsidRDefault="00BE7A5F"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PSD2 applies</w:t>
      </w:r>
      <w:r w:rsidR="0063770A" w:rsidRPr="0063770A">
        <w:rPr>
          <w:rFonts w:ascii="Times New Roman" w:hAnsi="Times New Roman" w:cs="Times New Roman"/>
          <w:noProof/>
          <w:sz w:val="24"/>
          <w:szCs w:val="24"/>
        </w:rPr>
        <w:t xml:space="preserve"> to payment transactions within the </w:t>
      </w:r>
      <w:r w:rsidR="00F244EA">
        <w:rPr>
          <w:rFonts w:ascii="Times New Roman" w:hAnsi="Times New Roman" w:cs="Times New Roman"/>
          <w:noProof/>
          <w:sz w:val="24"/>
          <w:szCs w:val="24"/>
        </w:rPr>
        <w:t>EU</w:t>
      </w:r>
      <w:r w:rsidR="00191BE2">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and from and to </w:t>
      </w:r>
      <w:r w:rsidR="00F244EA">
        <w:rPr>
          <w:rFonts w:ascii="Times New Roman" w:hAnsi="Times New Roman" w:cs="Times New Roman"/>
          <w:noProof/>
          <w:sz w:val="24"/>
          <w:szCs w:val="24"/>
        </w:rPr>
        <w:t xml:space="preserve">third </w:t>
      </w:r>
      <w:r w:rsidR="0063770A" w:rsidRPr="0063770A">
        <w:rPr>
          <w:rFonts w:ascii="Times New Roman" w:hAnsi="Times New Roman" w:cs="Times New Roman"/>
          <w:noProof/>
          <w:sz w:val="24"/>
          <w:szCs w:val="24"/>
        </w:rPr>
        <w:t>countries in any currency</w:t>
      </w:r>
      <w:r w:rsidRPr="00BE7A5F">
        <w:rPr>
          <w:rFonts w:ascii="Times New Roman" w:hAnsi="Times New Roman" w:cs="Times New Roman"/>
          <w:noProof/>
          <w:sz w:val="24"/>
          <w:szCs w:val="24"/>
        </w:rPr>
        <w:t xml:space="preserve"> </w:t>
      </w:r>
      <w:r>
        <w:rPr>
          <w:rFonts w:ascii="Times New Roman" w:hAnsi="Times New Roman" w:cs="Times New Roman"/>
          <w:noProof/>
          <w:sz w:val="24"/>
          <w:szCs w:val="24"/>
        </w:rPr>
        <w:t xml:space="preserve">(including non-EU currencies); however, its provisions are </w:t>
      </w:r>
      <w:r w:rsidR="0063770A" w:rsidRPr="0063770A">
        <w:rPr>
          <w:rFonts w:ascii="Times New Roman" w:hAnsi="Times New Roman" w:cs="Times New Roman"/>
          <w:noProof/>
          <w:sz w:val="24"/>
          <w:szCs w:val="24"/>
        </w:rPr>
        <w:t xml:space="preserve">limited to those parts of </w:t>
      </w:r>
      <w:r>
        <w:rPr>
          <w:rFonts w:ascii="Times New Roman" w:hAnsi="Times New Roman" w:cs="Times New Roman"/>
          <w:noProof/>
          <w:sz w:val="24"/>
          <w:szCs w:val="24"/>
        </w:rPr>
        <w:t>a</w:t>
      </w:r>
      <w:r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transaction that are carried out in the </w:t>
      </w:r>
      <w:r w:rsidR="00061BB1">
        <w:rPr>
          <w:rFonts w:ascii="Times New Roman" w:hAnsi="Times New Roman" w:cs="Times New Roman"/>
          <w:noProof/>
          <w:sz w:val="24"/>
          <w:szCs w:val="24"/>
        </w:rPr>
        <w:t>EU</w:t>
      </w:r>
      <w:r w:rsidR="0063770A" w:rsidRPr="0063770A">
        <w:rPr>
          <w:rFonts w:ascii="Times New Roman" w:hAnsi="Times New Roman" w:cs="Times New Roman"/>
          <w:noProof/>
          <w:sz w:val="24"/>
          <w:szCs w:val="24"/>
        </w:rPr>
        <w:t xml:space="preserve">. </w:t>
      </w:r>
      <w:r>
        <w:rPr>
          <w:rFonts w:ascii="Times New Roman" w:hAnsi="Times New Roman" w:cs="Times New Roman"/>
          <w:noProof/>
          <w:sz w:val="24"/>
          <w:szCs w:val="24"/>
        </w:rPr>
        <w:t xml:space="preserve">Fees and fee transparency for intra-EU payments are covered by the Regulation </w:t>
      </w:r>
      <w:r w:rsidRPr="00BE7A5F">
        <w:rPr>
          <w:rFonts w:ascii="Times New Roman" w:hAnsi="Times New Roman" w:cs="Times New Roman"/>
          <w:noProof/>
          <w:sz w:val="24"/>
          <w:szCs w:val="24"/>
        </w:rPr>
        <w:t>on cross-border payments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but th</w:t>
      </w:r>
      <w:r w:rsidR="006E2632">
        <w:rPr>
          <w:rFonts w:ascii="Times New Roman" w:hAnsi="Times New Roman" w:cs="Times New Roman"/>
          <w:noProof/>
          <w:sz w:val="24"/>
          <w:szCs w:val="24"/>
        </w:rPr>
        <w:t>at Regulation</w:t>
      </w:r>
      <w:r>
        <w:rPr>
          <w:rFonts w:ascii="Times New Roman" w:hAnsi="Times New Roman" w:cs="Times New Roman"/>
          <w:noProof/>
          <w:sz w:val="24"/>
          <w:szCs w:val="24"/>
        </w:rPr>
        <w:t xml:space="preserve"> does </w:t>
      </w:r>
      <w:r w:rsidR="0063770A" w:rsidRPr="0063770A">
        <w:rPr>
          <w:rFonts w:ascii="Times New Roman" w:hAnsi="Times New Roman" w:cs="Times New Roman"/>
          <w:noProof/>
          <w:sz w:val="24"/>
          <w:szCs w:val="24"/>
        </w:rPr>
        <w:t xml:space="preserve">not cover remittance transactions </w:t>
      </w:r>
      <w:r w:rsidR="00F9019C">
        <w:rPr>
          <w:rFonts w:ascii="Times New Roman" w:hAnsi="Times New Roman" w:cs="Times New Roman"/>
          <w:noProof/>
          <w:sz w:val="24"/>
          <w:szCs w:val="24"/>
        </w:rPr>
        <w:t>and</w:t>
      </w:r>
      <w:r w:rsidR="0063770A" w:rsidRPr="0063770A">
        <w:rPr>
          <w:rFonts w:ascii="Times New Roman" w:hAnsi="Times New Roman" w:cs="Times New Roman"/>
          <w:noProof/>
          <w:sz w:val="24"/>
          <w:szCs w:val="24"/>
        </w:rPr>
        <w:t xml:space="preserve"> credit transfers </w:t>
      </w:r>
      <w:r w:rsidR="00F9019C">
        <w:rPr>
          <w:rFonts w:ascii="Times New Roman" w:hAnsi="Times New Roman" w:cs="Times New Roman"/>
          <w:noProof/>
          <w:sz w:val="24"/>
          <w:szCs w:val="24"/>
        </w:rPr>
        <w:t>from the EU to third countries</w:t>
      </w:r>
      <w:r w:rsidR="0063770A" w:rsidRPr="0063770A">
        <w:rPr>
          <w:rFonts w:ascii="Times New Roman" w:hAnsi="Times New Roman" w:cs="Times New Roman"/>
          <w:noProof/>
          <w:sz w:val="24"/>
          <w:szCs w:val="24"/>
        </w:rPr>
        <w:t xml:space="preserve">. When </w:t>
      </w:r>
      <w:r w:rsidR="000F6700">
        <w:rPr>
          <w:rFonts w:ascii="Times New Roman" w:hAnsi="Times New Roman" w:cs="Times New Roman"/>
          <w:noProof/>
          <w:sz w:val="24"/>
          <w:szCs w:val="24"/>
        </w:rPr>
        <w:t xml:space="preserve">a </w:t>
      </w:r>
      <w:r w:rsidR="0063770A" w:rsidRPr="0063770A">
        <w:rPr>
          <w:rFonts w:ascii="Times New Roman" w:hAnsi="Times New Roman" w:cs="Times New Roman"/>
          <w:noProof/>
          <w:sz w:val="24"/>
          <w:szCs w:val="24"/>
        </w:rPr>
        <w:t xml:space="preserve">currency conversion is necessary </w:t>
      </w:r>
      <w:r w:rsidR="000F6700">
        <w:rPr>
          <w:rFonts w:ascii="Times New Roman" w:hAnsi="Times New Roman" w:cs="Times New Roman"/>
          <w:noProof/>
          <w:sz w:val="24"/>
          <w:szCs w:val="24"/>
        </w:rPr>
        <w:t xml:space="preserve">the </w:t>
      </w:r>
      <w:r w:rsidR="0063770A" w:rsidRPr="0063770A">
        <w:rPr>
          <w:rFonts w:ascii="Times New Roman" w:hAnsi="Times New Roman" w:cs="Times New Roman"/>
          <w:noProof/>
          <w:sz w:val="24"/>
          <w:szCs w:val="24"/>
        </w:rPr>
        <w:t xml:space="preserve">costs </w:t>
      </w:r>
      <w:r>
        <w:rPr>
          <w:rFonts w:ascii="Times New Roman" w:hAnsi="Times New Roman" w:cs="Times New Roman"/>
          <w:noProof/>
          <w:sz w:val="24"/>
          <w:szCs w:val="24"/>
        </w:rPr>
        <w:t xml:space="preserve">related to this </w:t>
      </w:r>
      <w:r w:rsidR="0063770A" w:rsidRPr="0063770A">
        <w:rPr>
          <w:rFonts w:ascii="Times New Roman" w:hAnsi="Times New Roman" w:cs="Times New Roman"/>
          <w:noProof/>
          <w:sz w:val="24"/>
          <w:szCs w:val="24"/>
        </w:rPr>
        <w:t xml:space="preserve">are often an important share of the total costs. </w:t>
      </w:r>
      <w:r>
        <w:rPr>
          <w:rFonts w:ascii="Times New Roman" w:hAnsi="Times New Roman" w:cs="Times New Roman"/>
          <w:noProof/>
          <w:sz w:val="24"/>
          <w:szCs w:val="24"/>
        </w:rPr>
        <w:t>For</w:t>
      </w:r>
      <w:r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transactions </w:t>
      </w:r>
      <w:r w:rsidR="00F9019C">
        <w:rPr>
          <w:rFonts w:ascii="Times New Roman" w:hAnsi="Times New Roman" w:cs="Times New Roman"/>
          <w:noProof/>
          <w:sz w:val="24"/>
          <w:szCs w:val="24"/>
        </w:rPr>
        <w:t>from the EU to third countries</w:t>
      </w:r>
      <w:r w:rsidR="0063770A" w:rsidRPr="0063770A">
        <w:rPr>
          <w:rFonts w:ascii="Times New Roman" w:hAnsi="Times New Roman" w:cs="Times New Roman"/>
          <w:noProof/>
          <w:sz w:val="24"/>
          <w:szCs w:val="24"/>
        </w:rPr>
        <w:t xml:space="preserve">, without full transparency </w:t>
      </w:r>
      <w:r>
        <w:rPr>
          <w:rFonts w:ascii="Times New Roman" w:hAnsi="Times New Roman" w:cs="Times New Roman"/>
          <w:noProof/>
          <w:sz w:val="24"/>
          <w:szCs w:val="24"/>
        </w:rPr>
        <w:t xml:space="preserve">on costs and fees </w:t>
      </w:r>
      <w:r w:rsidR="0063770A" w:rsidRPr="0063770A">
        <w:rPr>
          <w:rFonts w:ascii="Times New Roman" w:hAnsi="Times New Roman" w:cs="Times New Roman"/>
          <w:noProof/>
          <w:sz w:val="24"/>
          <w:szCs w:val="24"/>
        </w:rPr>
        <w:t xml:space="preserve">it is hard for consumers to compare charges </w:t>
      </w:r>
      <w:r>
        <w:rPr>
          <w:rFonts w:ascii="Times New Roman" w:hAnsi="Times New Roman" w:cs="Times New Roman"/>
          <w:noProof/>
          <w:sz w:val="24"/>
          <w:szCs w:val="24"/>
        </w:rPr>
        <w:t>of different</w:t>
      </w:r>
      <w:r w:rsidR="0063770A" w:rsidRPr="0063770A">
        <w:rPr>
          <w:rFonts w:ascii="Times New Roman" w:hAnsi="Times New Roman" w:cs="Times New Roman"/>
          <w:noProof/>
          <w:sz w:val="24"/>
          <w:szCs w:val="24"/>
        </w:rPr>
        <w:t xml:space="preserve"> providers; consequently, </w:t>
      </w:r>
      <w:r>
        <w:rPr>
          <w:rFonts w:ascii="Times New Roman" w:hAnsi="Times New Roman" w:cs="Times New Roman"/>
          <w:noProof/>
          <w:sz w:val="24"/>
          <w:szCs w:val="24"/>
        </w:rPr>
        <w:t>they</w:t>
      </w:r>
      <w:r w:rsidR="0063770A" w:rsidRPr="0063770A">
        <w:rPr>
          <w:rFonts w:ascii="Times New Roman" w:hAnsi="Times New Roman" w:cs="Times New Roman"/>
          <w:noProof/>
          <w:sz w:val="24"/>
          <w:szCs w:val="24"/>
        </w:rPr>
        <w:t xml:space="preserve"> may choose a provider which is not the </w:t>
      </w:r>
      <w:r w:rsidR="000F6700">
        <w:rPr>
          <w:rFonts w:ascii="Times New Roman" w:hAnsi="Times New Roman" w:cs="Times New Roman"/>
          <w:noProof/>
          <w:sz w:val="24"/>
          <w:szCs w:val="24"/>
        </w:rPr>
        <w:t xml:space="preserve">most suitable to their needs. </w:t>
      </w:r>
      <w:r w:rsidR="0063770A" w:rsidRPr="0063770A">
        <w:rPr>
          <w:rFonts w:ascii="Times New Roman" w:hAnsi="Times New Roman" w:cs="Times New Roman"/>
          <w:noProof/>
          <w:sz w:val="24"/>
          <w:szCs w:val="24"/>
        </w:rPr>
        <w:t xml:space="preserve">In addition, under the current </w:t>
      </w:r>
      <w:r w:rsidR="009473E5">
        <w:rPr>
          <w:rFonts w:ascii="Times New Roman" w:hAnsi="Times New Roman" w:cs="Times New Roman"/>
          <w:noProof/>
          <w:sz w:val="24"/>
          <w:szCs w:val="24"/>
        </w:rPr>
        <w:t>PSD2</w:t>
      </w:r>
      <w:r w:rsidR="0063770A" w:rsidRPr="0063770A">
        <w:rPr>
          <w:rFonts w:ascii="Times New Roman" w:hAnsi="Times New Roman" w:cs="Times New Roman"/>
          <w:noProof/>
          <w:sz w:val="24"/>
          <w:szCs w:val="24"/>
        </w:rPr>
        <w:t xml:space="preserve"> the</w:t>
      </w:r>
      <w:r w:rsidR="00F63DFE">
        <w:rPr>
          <w:rFonts w:ascii="Times New Roman" w:hAnsi="Times New Roman" w:cs="Times New Roman"/>
          <w:noProof/>
          <w:sz w:val="24"/>
          <w:szCs w:val="24"/>
        </w:rPr>
        <w:t>re is no</w:t>
      </w:r>
      <w:r w:rsidR="0063770A" w:rsidRPr="0063770A">
        <w:rPr>
          <w:rFonts w:ascii="Times New Roman" w:hAnsi="Times New Roman" w:cs="Times New Roman"/>
          <w:noProof/>
          <w:sz w:val="24"/>
          <w:szCs w:val="24"/>
        </w:rPr>
        <w:t xml:space="preserve"> requirement for PSPs to </w:t>
      </w:r>
      <w:r w:rsidR="00F63DFE">
        <w:rPr>
          <w:rFonts w:ascii="Times New Roman" w:hAnsi="Times New Roman" w:cs="Times New Roman"/>
          <w:noProof/>
          <w:sz w:val="24"/>
          <w:szCs w:val="24"/>
        </w:rPr>
        <w:t>give</w:t>
      </w:r>
      <w:r w:rsidR="00F63DFE" w:rsidRPr="0063770A">
        <w:rPr>
          <w:rFonts w:ascii="Times New Roman" w:hAnsi="Times New Roman" w:cs="Times New Roman"/>
          <w:noProof/>
          <w:sz w:val="24"/>
          <w:szCs w:val="24"/>
        </w:rPr>
        <w:t xml:space="preserve"> </w:t>
      </w:r>
      <w:r w:rsidR="0063770A" w:rsidRPr="0063770A">
        <w:rPr>
          <w:rFonts w:ascii="Times New Roman" w:hAnsi="Times New Roman" w:cs="Times New Roman"/>
          <w:noProof/>
          <w:sz w:val="24"/>
          <w:szCs w:val="24"/>
        </w:rPr>
        <w:t xml:space="preserve">the payment service user an estimate of the maximum execution time </w:t>
      </w:r>
      <w:r w:rsidR="00F63DFE">
        <w:rPr>
          <w:rFonts w:ascii="Times New Roman" w:hAnsi="Times New Roman" w:cs="Times New Roman"/>
          <w:noProof/>
          <w:sz w:val="24"/>
          <w:szCs w:val="24"/>
        </w:rPr>
        <w:t>for</w:t>
      </w:r>
      <w:r w:rsidR="0063770A" w:rsidRPr="0063770A">
        <w:rPr>
          <w:rFonts w:ascii="Times New Roman" w:hAnsi="Times New Roman" w:cs="Times New Roman"/>
          <w:noProof/>
          <w:sz w:val="24"/>
          <w:szCs w:val="24"/>
        </w:rPr>
        <w:t xml:space="preserve"> such transactions. </w:t>
      </w:r>
    </w:p>
    <w:p w14:paraId="6ECD8D09" w14:textId="7C610733" w:rsidR="00F03966" w:rsidRDefault="00061BB1"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sidRPr="0063770A">
        <w:rPr>
          <w:rFonts w:ascii="Times New Roman" w:hAnsi="Times New Roman" w:cs="Times New Roman"/>
          <w:noProof/>
          <w:sz w:val="24"/>
          <w:szCs w:val="24"/>
        </w:rPr>
        <w:t>Promoting competition and reducing fees for international credit transfers and remittances is one of the objectives of the G20 Roadmap on cross-border payments</w:t>
      </w:r>
      <w:r>
        <w:rPr>
          <w:rStyle w:val="FootnoteReference"/>
          <w:rFonts w:ascii="Times New Roman" w:hAnsi="Times New Roman" w:cs="Times New Roman"/>
          <w:noProof/>
          <w:sz w:val="24"/>
          <w:szCs w:val="24"/>
        </w:rPr>
        <w:footnoteReference w:id="31"/>
      </w:r>
      <w:r w:rsidRPr="0063770A">
        <w:rPr>
          <w:rFonts w:ascii="Times New Roman" w:hAnsi="Times New Roman" w:cs="Times New Roman"/>
          <w:noProof/>
          <w:sz w:val="24"/>
          <w:szCs w:val="24"/>
        </w:rPr>
        <w:t xml:space="preserve">. </w:t>
      </w:r>
      <w:r w:rsidR="008311E1" w:rsidRPr="008311E1">
        <w:rPr>
          <w:rFonts w:ascii="Times New Roman" w:hAnsi="Times New Roman" w:cs="Times New Roman"/>
          <w:noProof/>
          <w:sz w:val="24"/>
          <w:szCs w:val="24"/>
        </w:rPr>
        <w:t xml:space="preserve">Therefore, </w:t>
      </w:r>
      <w:r w:rsidR="00F63DFE">
        <w:rPr>
          <w:rFonts w:ascii="Times New Roman" w:hAnsi="Times New Roman" w:cs="Times New Roman"/>
          <w:noProof/>
          <w:sz w:val="24"/>
          <w:szCs w:val="24"/>
        </w:rPr>
        <w:t xml:space="preserve">for </w:t>
      </w:r>
      <w:r w:rsidR="00F63DFE" w:rsidRPr="008311E1">
        <w:rPr>
          <w:rFonts w:ascii="Times New Roman" w:hAnsi="Times New Roman" w:cs="Times New Roman"/>
          <w:noProof/>
          <w:sz w:val="24"/>
          <w:szCs w:val="24"/>
        </w:rPr>
        <w:t>credit transfers and money remittances from the EU to third countries</w:t>
      </w:r>
      <w:r w:rsidR="00F63DFE">
        <w:rPr>
          <w:rFonts w:ascii="Times New Roman" w:hAnsi="Times New Roman" w:cs="Times New Roman"/>
          <w:noProof/>
          <w:sz w:val="24"/>
          <w:szCs w:val="24"/>
        </w:rPr>
        <w:t>,</w:t>
      </w:r>
      <w:r w:rsidR="00F63DFE" w:rsidRPr="008311E1">
        <w:rPr>
          <w:rFonts w:ascii="Times New Roman" w:hAnsi="Times New Roman" w:cs="Times New Roman"/>
          <w:noProof/>
          <w:sz w:val="24"/>
          <w:szCs w:val="24"/>
        </w:rPr>
        <w:t xml:space="preserve"> </w:t>
      </w:r>
      <w:r w:rsidR="008311E1" w:rsidRPr="008311E1">
        <w:rPr>
          <w:rFonts w:ascii="Times New Roman" w:hAnsi="Times New Roman" w:cs="Times New Roman"/>
          <w:noProof/>
          <w:sz w:val="24"/>
          <w:szCs w:val="24"/>
        </w:rPr>
        <w:t xml:space="preserve">the Commission </w:t>
      </w:r>
      <w:r w:rsidR="008311E1">
        <w:rPr>
          <w:rFonts w:ascii="Times New Roman" w:hAnsi="Times New Roman" w:cs="Times New Roman"/>
          <w:noProof/>
          <w:sz w:val="24"/>
          <w:szCs w:val="24"/>
        </w:rPr>
        <w:t xml:space="preserve">is </w:t>
      </w:r>
      <w:r w:rsidR="008311E1" w:rsidRPr="008311E1">
        <w:rPr>
          <w:rFonts w:ascii="Times New Roman" w:hAnsi="Times New Roman" w:cs="Times New Roman"/>
          <w:noProof/>
          <w:sz w:val="24"/>
          <w:szCs w:val="24"/>
        </w:rPr>
        <w:t>propos</w:t>
      </w:r>
      <w:r w:rsidR="008311E1">
        <w:rPr>
          <w:rFonts w:ascii="Times New Roman" w:hAnsi="Times New Roman" w:cs="Times New Roman"/>
          <w:noProof/>
          <w:sz w:val="24"/>
          <w:szCs w:val="24"/>
        </w:rPr>
        <w:t>ing</w:t>
      </w:r>
      <w:r w:rsidR="008311E1" w:rsidRPr="008311E1">
        <w:rPr>
          <w:rFonts w:ascii="Times New Roman" w:hAnsi="Times New Roman" w:cs="Times New Roman"/>
          <w:noProof/>
          <w:sz w:val="24"/>
          <w:szCs w:val="24"/>
        </w:rPr>
        <w:t xml:space="preserve"> an obligation to inform the payment service user about the estimated charges for currency conversion</w:t>
      </w:r>
      <w:r w:rsidR="006E2632">
        <w:rPr>
          <w:rFonts w:ascii="Times New Roman" w:hAnsi="Times New Roman" w:cs="Times New Roman"/>
          <w:noProof/>
          <w:sz w:val="24"/>
          <w:szCs w:val="24"/>
        </w:rPr>
        <w:t>,</w:t>
      </w:r>
      <w:r w:rsidR="008311E1" w:rsidRPr="008311E1">
        <w:rPr>
          <w:rFonts w:ascii="Times New Roman" w:hAnsi="Times New Roman" w:cs="Times New Roman"/>
          <w:noProof/>
          <w:sz w:val="24"/>
          <w:szCs w:val="24"/>
        </w:rPr>
        <w:t xml:space="preserve"> </w:t>
      </w:r>
      <w:r w:rsidR="007C5931">
        <w:rPr>
          <w:rFonts w:ascii="Times New Roman" w:hAnsi="Times New Roman" w:cs="Times New Roman"/>
          <w:noProof/>
          <w:sz w:val="24"/>
          <w:szCs w:val="24"/>
        </w:rPr>
        <w:t xml:space="preserve">in line with current </w:t>
      </w:r>
      <w:r w:rsidR="00A06A89">
        <w:rPr>
          <w:rFonts w:ascii="Times New Roman" w:hAnsi="Times New Roman" w:cs="Times New Roman"/>
          <w:noProof/>
          <w:sz w:val="24"/>
          <w:szCs w:val="24"/>
        </w:rPr>
        <w:t xml:space="preserve">information </w:t>
      </w:r>
      <w:r w:rsidR="007C5931">
        <w:rPr>
          <w:rFonts w:ascii="Times New Roman" w:hAnsi="Times New Roman" w:cs="Times New Roman"/>
          <w:noProof/>
          <w:sz w:val="24"/>
          <w:szCs w:val="24"/>
        </w:rPr>
        <w:t>requirements for intra-EU transactions</w:t>
      </w:r>
      <w:r w:rsidR="006E2632">
        <w:rPr>
          <w:rFonts w:ascii="Times New Roman" w:hAnsi="Times New Roman" w:cs="Times New Roman"/>
          <w:noProof/>
          <w:sz w:val="24"/>
          <w:szCs w:val="24"/>
        </w:rPr>
        <w:t>,</w:t>
      </w:r>
      <w:r w:rsidR="007C5931">
        <w:rPr>
          <w:rFonts w:ascii="Times New Roman" w:hAnsi="Times New Roman" w:cs="Times New Roman"/>
          <w:noProof/>
          <w:sz w:val="24"/>
          <w:szCs w:val="24"/>
        </w:rPr>
        <w:t xml:space="preserve"> </w:t>
      </w:r>
      <w:r w:rsidR="008311E1" w:rsidRPr="008311E1">
        <w:rPr>
          <w:rFonts w:ascii="Times New Roman" w:hAnsi="Times New Roman" w:cs="Times New Roman"/>
          <w:noProof/>
          <w:sz w:val="24"/>
          <w:szCs w:val="24"/>
        </w:rPr>
        <w:t xml:space="preserve">as well as the estimated time for the funds to be </w:t>
      </w:r>
      <w:r w:rsidR="00F63DFE">
        <w:rPr>
          <w:rFonts w:ascii="Times New Roman" w:hAnsi="Times New Roman" w:cs="Times New Roman"/>
          <w:noProof/>
          <w:sz w:val="24"/>
          <w:szCs w:val="24"/>
        </w:rPr>
        <w:t xml:space="preserve">received by </w:t>
      </w:r>
      <w:r w:rsidR="008311E1" w:rsidRPr="008311E1">
        <w:rPr>
          <w:rFonts w:ascii="Times New Roman" w:hAnsi="Times New Roman" w:cs="Times New Roman"/>
          <w:noProof/>
          <w:sz w:val="24"/>
          <w:szCs w:val="24"/>
        </w:rPr>
        <w:t>the payee’s payment service provider in a third country.</w:t>
      </w:r>
      <w:r w:rsidR="0097322B">
        <w:rPr>
          <w:rFonts w:ascii="Times New Roman" w:hAnsi="Times New Roman" w:cs="Times New Roman"/>
          <w:noProof/>
          <w:sz w:val="24"/>
          <w:szCs w:val="24"/>
        </w:rPr>
        <w:t xml:space="preserve"> </w:t>
      </w:r>
      <w:r w:rsidR="00897F9E">
        <w:rPr>
          <w:rFonts w:ascii="Times New Roman" w:hAnsi="Times New Roman" w:cs="Times New Roman"/>
          <w:noProof/>
          <w:sz w:val="24"/>
          <w:szCs w:val="24"/>
        </w:rPr>
        <w:t>T</w:t>
      </w:r>
      <w:r w:rsidR="0097322B" w:rsidRPr="0097322B">
        <w:rPr>
          <w:rFonts w:ascii="Times New Roman" w:hAnsi="Times New Roman" w:cs="Times New Roman"/>
          <w:noProof/>
          <w:sz w:val="24"/>
          <w:szCs w:val="24"/>
        </w:rPr>
        <w:t xml:space="preserve">he Commission does not </w:t>
      </w:r>
      <w:r w:rsidR="00721550">
        <w:rPr>
          <w:rFonts w:ascii="Times New Roman" w:hAnsi="Times New Roman" w:cs="Times New Roman"/>
          <w:noProof/>
          <w:sz w:val="24"/>
          <w:szCs w:val="24"/>
        </w:rPr>
        <w:t xml:space="preserve">however </w:t>
      </w:r>
      <w:r w:rsidR="0097322B" w:rsidRPr="0097322B">
        <w:rPr>
          <w:rFonts w:ascii="Times New Roman" w:hAnsi="Times New Roman" w:cs="Times New Roman"/>
          <w:noProof/>
          <w:sz w:val="24"/>
          <w:szCs w:val="24"/>
        </w:rPr>
        <w:t xml:space="preserve">propose </w:t>
      </w:r>
      <w:r w:rsidR="00721550">
        <w:rPr>
          <w:rFonts w:ascii="Times New Roman" w:hAnsi="Times New Roman" w:cs="Times New Roman"/>
          <w:noProof/>
          <w:sz w:val="24"/>
          <w:szCs w:val="24"/>
        </w:rPr>
        <w:t xml:space="preserve">to set </w:t>
      </w:r>
      <w:r w:rsidR="0097322B" w:rsidRPr="0097322B">
        <w:rPr>
          <w:rFonts w:ascii="Times New Roman" w:hAnsi="Times New Roman" w:cs="Times New Roman"/>
          <w:noProof/>
          <w:sz w:val="24"/>
          <w:szCs w:val="24"/>
        </w:rPr>
        <w:t xml:space="preserve">a maximum time for the execution of credit transfers and transfers of funds from the EU to third countries, </w:t>
      </w:r>
      <w:r>
        <w:rPr>
          <w:rFonts w:ascii="Times New Roman" w:hAnsi="Times New Roman" w:cs="Times New Roman"/>
          <w:noProof/>
          <w:sz w:val="24"/>
          <w:szCs w:val="24"/>
        </w:rPr>
        <w:t xml:space="preserve">as this </w:t>
      </w:r>
      <w:r w:rsidR="00FF1A63">
        <w:rPr>
          <w:rFonts w:ascii="Times New Roman" w:hAnsi="Times New Roman" w:cs="Times New Roman"/>
          <w:noProof/>
          <w:sz w:val="24"/>
          <w:szCs w:val="24"/>
        </w:rPr>
        <w:t xml:space="preserve">partly </w:t>
      </w:r>
      <w:r>
        <w:rPr>
          <w:rFonts w:ascii="Times New Roman" w:hAnsi="Times New Roman" w:cs="Times New Roman"/>
          <w:noProof/>
          <w:sz w:val="24"/>
          <w:szCs w:val="24"/>
        </w:rPr>
        <w:t xml:space="preserve">depends on banks outside the EU </w:t>
      </w:r>
      <w:r w:rsidR="00721550">
        <w:rPr>
          <w:rFonts w:ascii="Times New Roman" w:hAnsi="Times New Roman" w:cs="Times New Roman"/>
          <w:noProof/>
          <w:sz w:val="24"/>
          <w:szCs w:val="24"/>
        </w:rPr>
        <w:t xml:space="preserve">which are </w:t>
      </w:r>
      <w:r>
        <w:rPr>
          <w:rFonts w:ascii="Times New Roman" w:hAnsi="Times New Roman" w:cs="Times New Roman"/>
          <w:noProof/>
          <w:sz w:val="24"/>
          <w:szCs w:val="24"/>
        </w:rPr>
        <w:t>not subject to EU rules</w:t>
      </w:r>
      <w:r w:rsidR="00897F9E">
        <w:rPr>
          <w:rFonts w:ascii="Times New Roman" w:hAnsi="Times New Roman" w:cs="Times New Roman"/>
          <w:noProof/>
          <w:sz w:val="24"/>
          <w:szCs w:val="24"/>
        </w:rPr>
        <w:t xml:space="preserve">. </w:t>
      </w:r>
      <w:r w:rsidR="008311E1" w:rsidRPr="008311E1" w:rsidDel="008311E1">
        <w:rPr>
          <w:rFonts w:ascii="Times New Roman" w:hAnsi="Times New Roman" w:cs="Times New Roman"/>
          <w:noProof/>
          <w:sz w:val="24"/>
          <w:szCs w:val="24"/>
        </w:rPr>
        <w:t xml:space="preserve"> </w:t>
      </w:r>
    </w:p>
    <w:p w14:paraId="74E2F9E8" w14:textId="53A8C059"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sidRPr="00C12F49">
        <w:rPr>
          <w:rFonts w:ascii="Times New Roman" w:hAnsi="Times New Roman" w:cs="Times New Roman"/>
          <w:i/>
          <w:iCs/>
          <w:noProof/>
          <w:sz w:val="24"/>
          <w:szCs w:val="24"/>
        </w:rPr>
        <w:t xml:space="preserve">iii. Thresholds related to the </w:t>
      </w:r>
      <w:r w:rsidR="00111161" w:rsidRPr="00C12F49">
        <w:rPr>
          <w:rFonts w:ascii="Times New Roman" w:hAnsi="Times New Roman" w:cs="Times New Roman"/>
          <w:i/>
          <w:iCs/>
          <w:noProof/>
          <w:sz w:val="24"/>
          <w:szCs w:val="24"/>
        </w:rPr>
        <w:t xml:space="preserve">exclusion </w:t>
      </w:r>
      <w:r w:rsidR="00111161">
        <w:rPr>
          <w:rFonts w:ascii="Times New Roman" w:hAnsi="Times New Roman" w:cs="Times New Roman"/>
          <w:i/>
          <w:iCs/>
          <w:noProof/>
          <w:sz w:val="24"/>
          <w:szCs w:val="24"/>
        </w:rPr>
        <w:t xml:space="preserve">of </w:t>
      </w:r>
      <w:r w:rsidRPr="00C12F49">
        <w:rPr>
          <w:rFonts w:ascii="Times New Roman" w:hAnsi="Times New Roman" w:cs="Times New Roman"/>
          <w:i/>
          <w:iCs/>
          <w:noProof/>
          <w:sz w:val="24"/>
          <w:szCs w:val="24"/>
        </w:rPr>
        <w:t>electronic communications network</w:t>
      </w:r>
      <w:r w:rsidR="0029291A">
        <w:rPr>
          <w:rFonts w:ascii="Times New Roman" w:hAnsi="Times New Roman" w:cs="Times New Roman"/>
          <w:i/>
          <w:iCs/>
          <w:noProof/>
          <w:sz w:val="24"/>
          <w:szCs w:val="24"/>
        </w:rPr>
        <w:t>s</w:t>
      </w:r>
      <w:r w:rsidR="00E43026" w:rsidRPr="00C12F49">
        <w:rPr>
          <w:rStyle w:val="FootnoteReference"/>
          <w:rFonts w:ascii="Times New Roman" w:hAnsi="Times New Roman" w:cs="Times New Roman"/>
          <w:i/>
          <w:iCs/>
          <w:noProof/>
          <w:sz w:val="24"/>
          <w:szCs w:val="24"/>
        </w:rPr>
        <w:footnoteReference w:id="32"/>
      </w:r>
    </w:p>
    <w:p w14:paraId="429A27BA" w14:textId="6F38CF08" w:rsidR="0063770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noProof/>
          <w:sz w:val="24"/>
          <w:szCs w:val="24"/>
        </w:rPr>
      </w:pPr>
      <w:r w:rsidRPr="0063770A">
        <w:rPr>
          <w:rFonts w:ascii="Times New Roman" w:hAnsi="Times New Roman" w:cs="Times New Roman"/>
          <w:noProof/>
          <w:sz w:val="24"/>
          <w:szCs w:val="24"/>
        </w:rPr>
        <w:t>PSD2 exclu</w:t>
      </w:r>
      <w:r w:rsidR="009473E5">
        <w:rPr>
          <w:rFonts w:ascii="Times New Roman" w:hAnsi="Times New Roman" w:cs="Times New Roman"/>
          <w:noProof/>
          <w:sz w:val="24"/>
          <w:szCs w:val="24"/>
        </w:rPr>
        <w:t>des</w:t>
      </w:r>
      <w:r w:rsidRPr="0063770A">
        <w:rPr>
          <w:rFonts w:ascii="Times New Roman" w:hAnsi="Times New Roman" w:cs="Times New Roman"/>
          <w:noProof/>
          <w:sz w:val="24"/>
          <w:szCs w:val="24"/>
        </w:rPr>
        <w:t xml:space="preserve"> from </w:t>
      </w:r>
      <w:r w:rsidR="00BB4557">
        <w:rPr>
          <w:rFonts w:ascii="Times New Roman" w:hAnsi="Times New Roman" w:cs="Times New Roman"/>
          <w:noProof/>
          <w:sz w:val="24"/>
          <w:szCs w:val="24"/>
        </w:rPr>
        <w:t>its</w:t>
      </w:r>
      <w:r w:rsidR="00BB4557"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 xml:space="preserve">scope payment transactions carried out by a provider of an electronic communication network that are carried out from or via an electronic device, or for purchase of digital content or voice-based services (e.g. ringtones, music and premium SMS-services), where the transaction is charged to the subscriber's bill. </w:t>
      </w:r>
      <w:r w:rsidR="00BB4557">
        <w:rPr>
          <w:rFonts w:ascii="Times New Roman" w:hAnsi="Times New Roman" w:cs="Times New Roman"/>
          <w:noProof/>
          <w:sz w:val="24"/>
          <w:szCs w:val="24"/>
        </w:rPr>
        <w:t>This exclusion is limited to</w:t>
      </w:r>
      <w:r w:rsidRPr="0063770A">
        <w:rPr>
          <w:rFonts w:ascii="Times New Roman" w:hAnsi="Times New Roman" w:cs="Times New Roman"/>
          <w:noProof/>
          <w:sz w:val="24"/>
          <w:szCs w:val="24"/>
        </w:rPr>
        <w:t xml:space="preserve"> EUR 50 per transaction and EUR 300 per month.</w:t>
      </w:r>
      <w:r w:rsidR="002B4051">
        <w:rPr>
          <w:rFonts w:ascii="Times New Roman" w:hAnsi="Times New Roman" w:cs="Times New Roman"/>
          <w:noProof/>
          <w:sz w:val="24"/>
          <w:szCs w:val="24"/>
        </w:rPr>
        <w:t xml:space="preserve"> </w:t>
      </w:r>
      <w:bookmarkStart w:id="36" w:name="_Hlk128994348"/>
      <w:r w:rsidR="003542E7">
        <w:rPr>
          <w:rFonts w:ascii="Times New Roman" w:hAnsi="Times New Roman" w:cs="Times New Roman"/>
          <w:noProof/>
          <w:sz w:val="24"/>
          <w:szCs w:val="24"/>
        </w:rPr>
        <w:t>The Commis</w:t>
      </w:r>
      <w:r w:rsidR="00A1295A">
        <w:rPr>
          <w:rFonts w:ascii="Times New Roman" w:hAnsi="Times New Roman" w:cs="Times New Roman"/>
          <w:noProof/>
          <w:sz w:val="24"/>
          <w:szCs w:val="24"/>
        </w:rPr>
        <w:t>s</w:t>
      </w:r>
      <w:r w:rsidR="003542E7">
        <w:rPr>
          <w:rFonts w:ascii="Times New Roman" w:hAnsi="Times New Roman" w:cs="Times New Roman"/>
          <w:noProof/>
          <w:sz w:val="24"/>
          <w:szCs w:val="24"/>
        </w:rPr>
        <w:t xml:space="preserve">ion did not identify, in its PSD2 review, any </w:t>
      </w:r>
      <w:r w:rsidRPr="0063770A">
        <w:rPr>
          <w:rFonts w:ascii="Times New Roman" w:hAnsi="Times New Roman" w:cs="Times New Roman"/>
          <w:noProof/>
          <w:sz w:val="24"/>
          <w:szCs w:val="24"/>
          <w:lang w:val="en"/>
        </w:rPr>
        <w:t>issues related to the current levels of the various thresholds set in PSD2</w:t>
      </w:r>
      <w:r w:rsidR="003542E7">
        <w:rPr>
          <w:rFonts w:ascii="Times New Roman" w:hAnsi="Times New Roman" w:cs="Times New Roman"/>
          <w:noProof/>
          <w:sz w:val="24"/>
          <w:szCs w:val="24"/>
          <w:lang w:val="en"/>
        </w:rPr>
        <w:t xml:space="preserve">. </w:t>
      </w:r>
      <w:r w:rsidRPr="0063770A">
        <w:rPr>
          <w:rFonts w:ascii="Times New Roman" w:hAnsi="Times New Roman" w:cs="Times New Roman"/>
          <w:noProof/>
          <w:sz w:val="24"/>
          <w:szCs w:val="24"/>
        </w:rPr>
        <w:t>In view of the evidence received</w:t>
      </w:r>
      <w:r w:rsidR="003542E7">
        <w:rPr>
          <w:rFonts w:ascii="Times New Roman" w:hAnsi="Times New Roman" w:cs="Times New Roman"/>
          <w:noProof/>
          <w:sz w:val="24"/>
          <w:szCs w:val="24"/>
        </w:rPr>
        <w:t xml:space="preserve"> in its review</w:t>
      </w:r>
      <w:r w:rsidRPr="0063770A">
        <w:rPr>
          <w:rFonts w:ascii="Times New Roman" w:hAnsi="Times New Roman" w:cs="Times New Roman"/>
          <w:noProof/>
          <w:sz w:val="24"/>
          <w:szCs w:val="24"/>
        </w:rPr>
        <w:t xml:space="preserve">, the Commission </w:t>
      </w:r>
      <w:r w:rsidR="00BB4557">
        <w:rPr>
          <w:rFonts w:ascii="Times New Roman" w:hAnsi="Times New Roman" w:cs="Times New Roman"/>
          <w:noProof/>
          <w:sz w:val="24"/>
          <w:szCs w:val="24"/>
        </w:rPr>
        <w:t>is</w:t>
      </w:r>
      <w:r w:rsidR="00BB4557"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not propos</w:t>
      </w:r>
      <w:r w:rsidR="00BB4557">
        <w:rPr>
          <w:rFonts w:ascii="Times New Roman" w:hAnsi="Times New Roman" w:cs="Times New Roman"/>
          <w:noProof/>
          <w:sz w:val="24"/>
          <w:szCs w:val="24"/>
        </w:rPr>
        <w:t>ing</w:t>
      </w:r>
      <w:r w:rsidRPr="0063770A">
        <w:rPr>
          <w:rFonts w:ascii="Times New Roman" w:hAnsi="Times New Roman" w:cs="Times New Roman"/>
          <w:noProof/>
          <w:sz w:val="24"/>
          <w:szCs w:val="24"/>
        </w:rPr>
        <w:t xml:space="preserve"> changes to the thresholds but will </w:t>
      </w:r>
      <w:r w:rsidRPr="00C12F49">
        <w:rPr>
          <w:rFonts w:ascii="Times New Roman" w:hAnsi="Times New Roman" w:cs="Times New Roman"/>
          <w:noProof/>
          <w:sz w:val="24"/>
          <w:szCs w:val="24"/>
        </w:rPr>
        <w:t>continue to monitor the</w:t>
      </w:r>
      <w:r w:rsidR="00BB4557">
        <w:rPr>
          <w:rFonts w:ascii="Times New Roman" w:hAnsi="Times New Roman" w:cs="Times New Roman"/>
          <w:noProof/>
          <w:sz w:val="24"/>
          <w:szCs w:val="24"/>
        </w:rPr>
        <w:t>ir</w:t>
      </w:r>
      <w:r w:rsidRPr="00C12F49">
        <w:rPr>
          <w:rFonts w:ascii="Times New Roman" w:hAnsi="Times New Roman" w:cs="Times New Roman"/>
          <w:noProof/>
          <w:sz w:val="24"/>
          <w:szCs w:val="24"/>
        </w:rPr>
        <w:t xml:space="preserve"> adequacy.</w:t>
      </w:r>
    </w:p>
    <w:p w14:paraId="2EF2DA85" w14:textId="17FF8955"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bookmarkStart w:id="37" w:name="_Hlk129169182"/>
      <w:bookmarkEnd w:id="36"/>
      <w:r w:rsidRPr="00C12F49">
        <w:rPr>
          <w:rFonts w:ascii="Times New Roman" w:hAnsi="Times New Roman" w:cs="Times New Roman"/>
          <w:i/>
          <w:iCs/>
          <w:noProof/>
          <w:sz w:val="24"/>
          <w:szCs w:val="24"/>
        </w:rPr>
        <w:t>iv.</w:t>
      </w:r>
      <w:r w:rsidRPr="00C12F49">
        <w:rPr>
          <w:rFonts w:ascii="Times New Roman" w:hAnsi="Times New Roman" w:cs="Times New Roman"/>
          <w:i/>
          <w:iCs/>
          <w:noProof/>
          <w:sz w:val="24"/>
          <w:szCs w:val="24"/>
        </w:rPr>
        <w:tab/>
        <w:t>Rules on blocking of funds</w:t>
      </w:r>
      <w:bookmarkEnd w:id="37"/>
      <w:r w:rsidR="00E43026" w:rsidRPr="00C12F49">
        <w:rPr>
          <w:rStyle w:val="FootnoteReference"/>
          <w:rFonts w:ascii="Times New Roman" w:hAnsi="Times New Roman" w:cs="Times New Roman"/>
          <w:i/>
          <w:iCs/>
          <w:noProof/>
          <w:sz w:val="24"/>
          <w:szCs w:val="24"/>
        </w:rPr>
        <w:footnoteReference w:id="33"/>
      </w:r>
    </w:p>
    <w:p w14:paraId="53F577E4" w14:textId="4D0B4EE8" w:rsidR="0063770A" w:rsidRDefault="0063770A" w:rsidP="00BD71BE">
      <w:pPr>
        <w:spacing w:before="120" w:after="120" w:line="240" w:lineRule="auto"/>
        <w:jc w:val="both"/>
        <w:rPr>
          <w:rFonts w:ascii="Times New Roman" w:hAnsi="Times New Roman" w:cs="Times New Roman"/>
          <w:noProof/>
          <w:sz w:val="24"/>
          <w:szCs w:val="24"/>
        </w:rPr>
      </w:pPr>
      <w:bookmarkStart w:id="38" w:name="_Hlk129595462"/>
      <w:r w:rsidRPr="0063770A">
        <w:rPr>
          <w:rFonts w:ascii="Times New Roman" w:hAnsi="Times New Roman" w:cs="Times New Roman"/>
          <w:noProof/>
          <w:sz w:val="24"/>
          <w:szCs w:val="24"/>
        </w:rPr>
        <w:t xml:space="preserve">When a payment card is used for a payment of an uncertain amount (for example at a petrol station, a hotel or a car rental), funds are normally blocked on the card by the payer’s PSP after consent has been given by the payer. Blocked funds are unavailable to the user for spending until released, which can cause financial difficulties. </w:t>
      </w:r>
      <w:r w:rsidR="009473E5">
        <w:rPr>
          <w:rFonts w:ascii="Times New Roman" w:hAnsi="Times New Roman" w:cs="Times New Roman"/>
          <w:noProof/>
          <w:sz w:val="24"/>
          <w:szCs w:val="24"/>
        </w:rPr>
        <w:t>E</w:t>
      </w:r>
      <w:r w:rsidRPr="0063770A">
        <w:rPr>
          <w:rFonts w:ascii="Times New Roman" w:hAnsi="Times New Roman" w:cs="Times New Roman"/>
          <w:noProof/>
          <w:sz w:val="24"/>
          <w:szCs w:val="24"/>
        </w:rPr>
        <w:t>vidence shows that the blocked funds may be disproportionate or unreasonably high</w:t>
      </w:r>
      <w:r w:rsidR="00DC77D8">
        <w:rPr>
          <w:rFonts w:ascii="Times New Roman" w:hAnsi="Times New Roman" w:cs="Times New Roman"/>
          <w:noProof/>
          <w:sz w:val="24"/>
          <w:szCs w:val="24"/>
        </w:rPr>
        <w:t xml:space="preserve"> compared with the final amount, when known</w:t>
      </w:r>
      <w:r w:rsidR="00710C38">
        <w:rPr>
          <w:rFonts w:ascii="Times New Roman" w:hAnsi="Times New Roman" w:cs="Times New Roman"/>
          <w:noProof/>
          <w:sz w:val="24"/>
          <w:szCs w:val="24"/>
        </w:rPr>
        <w:t xml:space="preserve">. </w:t>
      </w:r>
      <w:r w:rsidR="00A46A2E" w:rsidRPr="00A46A2E">
        <w:rPr>
          <w:rFonts w:ascii="Times New Roman" w:hAnsi="Times New Roman" w:cs="Times New Roman"/>
          <w:noProof/>
          <w:sz w:val="24"/>
          <w:szCs w:val="24"/>
        </w:rPr>
        <w:t xml:space="preserve">The </w:t>
      </w:r>
      <w:r w:rsidR="001835A0">
        <w:rPr>
          <w:rFonts w:ascii="Times New Roman" w:hAnsi="Times New Roman" w:cs="Times New Roman"/>
          <w:noProof/>
          <w:sz w:val="24"/>
          <w:szCs w:val="24"/>
        </w:rPr>
        <w:t>issue</w:t>
      </w:r>
      <w:r w:rsidR="00A46A2E" w:rsidRPr="00A46A2E">
        <w:rPr>
          <w:rFonts w:ascii="Times New Roman" w:hAnsi="Times New Roman" w:cs="Times New Roman"/>
          <w:noProof/>
          <w:sz w:val="24"/>
          <w:szCs w:val="24"/>
        </w:rPr>
        <w:t xml:space="preserve"> of excess</w:t>
      </w:r>
      <w:r w:rsidR="006E2632">
        <w:rPr>
          <w:rFonts w:ascii="Times New Roman" w:hAnsi="Times New Roman" w:cs="Times New Roman"/>
          <w:noProof/>
          <w:sz w:val="24"/>
          <w:szCs w:val="24"/>
        </w:rPr>
        <w:t>ive blocked</w:t>
      </w:r>
      <w:r w:rsidR="00A46A2E" w:rsidRPr="00A46A2E">
        <w:rPr>
          <w:rFonts w:ascii="Times New Roman" w:hAnsi="Times New Roman" w:cs="Times New Roman"/>
          <w:noProof/>
          <w:sz w:val="24"/>
          <w:szCs w:val="24"/>
        </w:rPr>
        <w:t xml:space="preserve"> amounts cannot be solved by introducing caps, as different situations may require very different blocked amounts (fuel purchase, car rental, hotel stay, etc.). This was echoed by a majority of stakeholders in the public consultation</w:t>
      </w:r>
      <w:r w:rsidR="00FF1A63">
        <w:rPr>
          <w:rStyle w:val="FootnoteReference"/>
          <w:rFonts w:ascii="Times New Roman" w:hAnsi="Times New Roman" w:cs="Times New Roman"/>
          <w:noProof/>
          <w:sz w:val="24"/>
          <w:szCs w:val="24"/>
        </w:rPr>
        <w:footnoteReference w:id="34"/>
      </w:r>
      <w:r w:rsidR="00710C38">
        <w:rPr>
          <w:rFonts w:ascii="Times New Roman" w:hAnsi="Times New Roman" w:cs="Times New Roman"/>
          <w:noProof/>
          <w:sz w:val="24"/>
          <w:szCs w:val="24"/>
        </w:rPr>
        <w:t xml:space="preserve">. </w:t>
      </w:r>
      <w:r w:rsidR="00A46A2E">
        <w:rPr>
          <w:rFonts w:ascii="Times New Roman" w:hAnsi="Times New Roman" w:cs="Times New Roman"/>
          <w:noProof/>
          <w:sz w:val="24"/>
          <w:szCs w:val="24"/>
        </w:rPr>
        <w:t xml:space="preserve"> </w:t>
      </w:r>
      <w:r w:rsidRPr="0063770A">
        <w:rPr>
          <w:rFonts w:ascii="Times New Roman" w:hAnsi="Times New Roman" w:cs="Times New Roman"/>
          <w:noProof/>
          <w:sz w:val="24"/>
          <w:szCs w:val="24"/>
        </w:rPr>
        <w:t xml:space="preserve">Another related issue concerns </w:t>
      </w:r>
      <w:r w:rsidR="001835A0">
        <w:rPr>
          <w:rFonts w:ascii="Times New Roman" w:hAnsi="Times New Roman" w:cs="Times New Roman"/>
          <w:noProof/>
          <w:sz w:val="24"/>
          <w:szCs w:val="24"/>
        </w:rPr>
        <w:t>variations in</w:t>
      </w:r>
      <w:r w:rsidRPr="0063770A">
        <w:rPr>
          <w:rFonts w:ascii="Times New Roman" w:hAnsi="Times New Roman" w:cs="Times New Roman"/>
          <w:noProof/>
          <w:sz w:val="24"/>
          <w:szCs w:val="24"/>
        </w:rPr>
        <w:t xml:space="preserve"> the timing </w:t>
      </w:r>
      <w:r w:rsidR="009473E5">
        <w:rPr>
          <w:rFonts w:ascii="Times New Roman" w:hAnsi="Times New Roman" w:cs="Times New Roman"/>
          <w:noProof/>
          <w:sz w:val="24"/>
          <w:szCs w:val="24"/>
        </w:rPr>
        <w:t>of</w:t>
      </w:r>
      <w:r w:rsidRPr="0063770A">
        <w:rPr>
          <w:rFonts w:ascii="Times New Roman" w:hAnsi="Times New Roman" w:cs="Times New Roman"/>
          <w:noProof/>
          <w:sz w:val="24"/>
          <w:szCs w:val="24"/>
        </w:rPr>
        <w:t xml:space="preserve"> release of unused blocked funds, which could, according to feedback received, take up to several weeks </w:t>
      </w:r>
      <w:r w:rsidR="007263C9">
        <w:rPr>
          <w:rFonts w:ascii="Times New Roman" w:hAnsi="Times New Roman" w:cs="Times New Roman"/>
          <w:noProof/>
          <w:sz w:val="24"/>
          <w:szCs w:val="24"/>
        </w:rPr>
        <w:t>to be released</w:t>
      </w:r>
      <w:r w:rsidR="007263C9"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 xml:space="preserve">or even require an explicit request from the payer. Against this background, the Commission </w:t>
      </w:r>
      <w:r w:rsidR="001835A0">
        <w:rPr>
          <w:rFonts w:ascii="Times New Roman" w:hAnsi="Times New Roman" w:cs="Times New Roman"/>
          <w:noProof/>
          <w:sz w:val="24"/>
          <w:szCs w:val="24"/>
        </w:rPr>
        <w:t>is</w:t>
      </w:r>
      <w:r w:rsidR="001835A0"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propos</w:t>
      </w:r>
      <w:r w:rsidR="001835A0">
        <w:rPr>
          <w:rFonts w:ascii="Times New Roman" w:hAnsi="Times New Roman" w:cs="Times New Roman"/>
          <w:noProof/>
          <w:sz w:val="24"/>
          <w:szCs w:val="24"/>
        </w:rPr>
        <w:t>ing</w:t>
      </w:r>
      <w:r w:rsidRPr="0063770A">
        <w:rPr>
          <w:rFonts w:ascii="Times New Roman" w:hAnsi="Times New Roman" w:cs="Times New Roman"/>
          <w:noProof/>
          <w:sz w:val="24"/>
          <w:szCs w:val="24"/>
        </w:rPr>
        <w:t xml:space="preserve"> changes to speed up the </w:t>
      </w:r>
      <w:r w:rsidR="001C4A6C" w:rsidRPr="0063770A">
        <w:rPr>
          <w:rFonts w:ascii="Times New Roman" w:hAnsi="Times New Roman" w:cs="Times New Roman"/>
          <w:noProof/>
          <w:sz w:val="24"/>
          <w:szCs w:val="24"/>
        </w:rPr>
        <w:t>pay-out</w:t>
      </w:r>
      <w:r w:rsidRPr="0063770A">
        <w:rPr>
          <w:rFonts w:ascii="Times New Roman" w:hAnsi="Times New Roman" w:cs="Times New Roman"/>
          <w:noProof/>
          <w:sz w:val="24"/>
          <w:szCs w:val="24"/>
        </w:rPr>
        <w:t xml:space="preserve"> of unused blocked funds and to </w:t>
      </w:r>
      <w:r w:rsidR="001835A0">
        <w:rPr>
          <w:rFonts w:ascii="Times New Roman" w:hAnsi="Times New Roman" w:cs="Times New Roman"/>
          <w:noProof/>
          <w:sz w:val="24"/>
          <w:szCs w:val="24"/>
        </w:rPr>
        <w:t>require</w:t>
      </w:r>
      <w:r w:rsidR="001835A0"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 xml:space="preserve">that the blocked amount </w:t>
      </w:r>
      <w:r w:rsidR="001835A0">
        <w:rPr>
          <w:rFonts w:ascii="Times New Roman" w:hAnsi="Times New Roman" w:cs="Times New Roman"/>
          <w:noProof/>
          <w:sz w:val="24"/>
          <w:szCs w:val="24"/>
        </w:rPr>
        <w:t>be</w:t>
      </w:r>
      <w:r w:rsidR="001835A0" w:rsidRPr="0063770A">
        <w:rPr>
          <w:rFonts w:ascii="Times New Roman" w:hAnsi="Times New Roman" w:cs="Times New Roman"/>
          <w:noProof/>
          <w:sz w:val="24"/>
          <w:szCs w:val="24"/>
        </w:rPr>
        <w:t xml:space="preserve"> </w:t>
      </w:r>
      <w:r w:rsidRPr="0063770A">
        <w:rPr>
          <w:rFonts w:ascii="Times New Roman" w:hAnsi="Times New Roman" w:cs="Times New Roman"/>
          <w:noProof/>
          <w:sz w:val="24"/>
          <w:szCs w:val="24"/>
        </w:rPr>
        <w:t xml:space="preserve">proportionate to the </w:t>
      </w:r>
      <w:r w:rsidR="00DC77D8">
        <w:rPr>
          <w:rFonts w:ascii="Times New Roman" w:hAnsi="Times New Roman" w:cs="Times New Roman"/>
          <w:noProof/>
          <w:sz w:val="24"/>
          <w:szCs w:val="24"/>
        </w:rPr>
        <w:t xml:space="preserve">expected </w:t>
      </w:r>
      <w:r w:rsidRPr="0063770A">
        <w:rPr>
          <w:rFonts w:ascii="Times New Roman" w:hAnsi="Times New Roman" w:cs="Times New Roman"/>
          <w:noProof/>
          <w:sz w:val="24"/>
          <w:szCs w:val="24"/>
        </w:rPr>
        <w:t xml:space="preserve">final amount, rather than proposing the introduction of </w:t>
      </w:r>
      <w:r w:rsidR="001835A0">
        <w:rPr>
          <w:rFonts w:ascii="Times New Roman" w:hAnsi="Times New Roman" w:cs="Times New Roman"/>
          <w:noProof/>
          <w:sz w:val="24"/>
          <w:szCs w:val="24"/>
        </w:rPr>
        <w:t xml:space="preserve">absolute </w:t>
      </w:r>
      <w:r w:rsidRPr="0063770A">
        <w:rPr>
          <w:rFonts w:ascii="Times New Roman" w:hAnsi="Times New Roman" w:cs="Times New Roman"/>
          <w:noProof/>
          <w:sz w:val="24"/>
          <w:szCs w:val="24"/>
        </w:rPr>
        <w:t xml:space="preserve">maximum </w:t>
      </w:r>
      <w:r w:rsidR="009473E5">
        <w:rPr>
          <w:rFonts w:ascii="Times New Roman" w:hAnsi="Times New Roman" w:cs="Times New Roman"/>
          <w:noProof/>
          <w:sz w:val="24"/>
          <w:szCs w:val="24"/>
        </w:rPr>
        <w:t>amounts</w:t>
      </w:r>
      <w:r w:rsidRPr="0063770A">
        <w:rPr>
          <w:rFonts w:ascii="Times New Roman" w:hAnsi="Times New Roman" w:cs="Times New Roman"/>
          <w:noProof/>
          <w:sz w:val="24"/>
          <w:szCs w:val="24"/>
        </w:rPr>
        <w:t>.</w:t>
      </w:r>
    </w:p>
    <w:p w14:paraId="7045CDDE" w14:textId="303730EC" w:rsidR="002660A8" w:rsidRPr="00585DC5"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9" w:name="_Toc138066882"/>
      <w:bookmarkEnd w:id="38"/>
      <w:r w:rsidRPr="00585DC5">
        <w:rPr>
          <w:rFonts w:ascii="Times New Roman" w:hAnsi="Times New Roman" w:cs="Times New Roman"/>
          <w:noProof/>
          <w:color w:val="auto"/>
          <w:sz w:val="24"/>
          <w:szCs w:val="24"/>
          <w:u w:val="single"/>
        </w:rPr>
        <w:t>Security and fraud prevention</w:t>
      </w:r>
      <w:bookmarkEnd w:id="39"/>
    </w:p>
    <w:p w14:paraId="25997118" w14:textId="2ABCD177" w:rsidR="00D30127" w:rsidRDefault="00D30127" w:rsidP="00BD71BE">
      <w:pPr>
        <w:spacing w:before="120" w:after="120" w:line="240" w:lineRule="auto"/>
        <w:jc w:val="both"/>
        <w:rPr>
          <w:rFonts w:ascii="Times New Roman" w:hAnsi="Times New Roman" w:cs="Times New Roman"/>
          <w:noProof/>
          <w:sz w:val="24"/>
          <w:szCs w:val="24"/>
        </w:rPr>
      </w:pPr>
      <w:r w:rsidRPr="00D30127">
        <w:rPr>
          <w:rFonts w:ascii="Times New Roman" w:hAnsi="Times New Roman" w:cs="Times New Roman"/>
          <w:noProof/>
          <w:sz w:val="24"/>
          <w:szCs w:val="24"/>
        </w:rPr>
        <w:t xml:space="preserve">In the area of fraud, the major innovation of PSD2 was the introduction of SCA. </w:t>
      </w:r>
      <w:r>
        <w:rPr>
          <w:rFonts w:ascii="Times New Roman" w:hAnsi="Times New Roman" w:cs="Times New Roman"/>
          <w:noProof/>
          <w:sz w:val="24"/>
          <w:szCs w:val="24"/>
        </w:rPr>
        <w:t>This involves</w:t>
      </w:r>
      <w:r w:rsidRPr="00D30127">
        <w:rPr>
          <w:rFonts w:ascii="Times New Roman" w:hAnsi="Times New Roman" w:cs="Times New Roman"/>
          <w:noProof/>
          <w:sz w:val="24"/>
          <w:szCs w:val="24"/>
        </w:rPr>
        <w:t xml:space="preserve"> two authentication </w:t>
      </w:r>
      <w:r w:rsidR="00DC77D8">
        <w:rPr>
          <w:rFonts w:ascii="Times New Roman" w:hAnsi="Times New Roman" w:cs="Times New Roman"/>
          <w:noProof/>
          <w:sz w:val="24"/>
          <w:szCs w:val="24"/>
        </w:rPr>
        <w:t>factors</w:t>
      </w:r>
      <w:r w:rsidRPr="00D30127">
        <w:rPr>
          <w:rFonts w:ascii="Times New Roman" w:hAnsi="Times New Roman" w:cs="Times New Roman"/>
          <w:noProof/>
          <w:sz w:val="24"/>
          <w:szCs w:val="24"/>
        </w:rPr>
        <w:t xml:space="preserve"> based on either knowledge (e.g. a password)</w:t>
      </w:r>
      <w:r w:rsidR="00721550">
        <w:rPr>
          <w:rFonts w:ascii="Times New Roman" w:hAnsi="Times New Roman" w:cs="Times New Roman"/>
          <w:noProof/>
          <w:sz w:val="24"/>
          <w:szCs w:val="24"/>
        </w:rPr>
        <w:t xml:space="preserve">, </w:t>
      </w:r>
      <w:r w:rsidRPr="00D30127">
        <w:rPr>
          <w:rFonts w:ascii="Times New Roman" w:hAnsi="Times New Roman" w:cs="Times New Roman"/>
          <w:noProof/>
          <w:sz w:val="24"/>
          <w:szCs w:val="24"/>
        </w:rPr>
        <w:t>possession (such as a card) or inherence (such as a fingerprint). PSD2 requires PSPs to apply SCA where the payer accesses a payment account online, initiates a</w:t>
      </w:r>
      <w:r w:rsidR="007263C9">
        <w:rPr>
          <w:rFonts w:ascii="Times New Roman" w:hAnsi="Times New Roman" w:cs="Times New Roman"/>
          <w:noProof/>
          <w:sz w:val="24"/>
          <w:szCs w:val="24"/>
        </w:rPr>
        <w:t>n electronic</w:t>
      </w:r>
      <w:r w:rsidRPr="00D30127">
        <w:rPr>
          <w:rFonts w:ascii="Times New Roman" w:hAnsi="Times New Roman" w:cs="Times New Roman"/>
          <w:noProof/>
          <w:sz w:val="24"/>
          <w:szCs w:val="24"/>
        </w:rPr>
        <w:t xml:space="preserve"> payment transaction or carries out any action through a remote channel which may imply a risk of payment fraud or other abuses. The </w:t>
      </w:r>
      <w:r w:rsidR="00D42E46">
        <w:rPr>
          <w:rFonts w:ascii="Times New Roman" w:hAnsi="Times New Roman" w:cs="Times New Roman"/>
          <w:noProof/>
          <w:sz w:val="24"/>
          <w:szCs w:val="24"/>
        </w:rPr>
        <w:t>e</w:t>
      </w:r>
      <w:r w:rsidRPr="00D30127">
        <w:rPr>
          <w:rFonts w:ascii="Times New Roman" w:hAnsi="Times New Roman" w:cs="Times New Roman"/>
          <w:noProof/>
          <w:sz w:val="24"/>
          <w:szCs w:val="24"/>
        </w:rPr>
        <w:t xml:space="preserve">valuation </w:t>
      </w:r>
      <w:r w:rsidR="00710C38">
        <w:rPr>
          <w:rFonts w:ascii="Times New Roman" w:hAnsi="Times New Roman" w:cs="Times New Roman"/>
          <w:noProof/>
          <w:sz w:val="24"/>
          <w:szCs w:val="24"/>
        </w:rPr>
        <w:t xml:space="preserve">carried out by the Commission shows </w:t>
      </w:r>
      <w:r w:rsidRPr="00D30127">
        <w:rPr>
          <w:rFonts w:ascii="Times New Roman" w:hAnsi="Times New Roman" w:cs="Times New Roman"/>
          <w:noProof/>
          <w:sz w:val="24"/>
          <w:szCs w:val="24"/>
        </w:rPr>
        <w:t>that SCA has already been highly successful in reducing fraud.</w:t>
      </w:r>
      <w:r>
        <w:rPr>
          <w:rFonts w:ascii="Times New Roman" w:hAnsi="Times New Roman" w:cs="Times New Roman"/>
          <w:noProof/>
          <w:sz w:val="24"/>
          <w:szCs w:val="24"/>
        </w:rPr>
        <w:t xml:space="preserve"> </w:t>
      </w:r>
      <w:r w:rsidR="006E161C">
        <w:rPr>
          <w:rFonts w:ascii="Times New Roman" w:hAnsi="Times New Roman" w:cs="Times New Roman"/>
          <w:noProof/>
          <w:sz w:val="24"/>
          <w:szCs w:val="24"/>
        </w:rPr>
        <w:t xml:space="preserve">For example, </w:t>
      </w:r>
      <w:r w:rsidR="006E161C" w:rsidRPr="006E161C">
        <w:rPr>
          <w:rFonts w:ascii="Times New Roman" w:hAnsi="Times New Roman" w:cs="Times New Roman"/>
          <w:noProof/>
          <w:sz w:val="24"/>
          <w:szCs w:val="24"/>
        </w:rPr>
        <w:t>with regard to remote card payments, SCA</w:t>
      </w:r>
      <w:r w:rsidR="006E161C">
        <w:rPr>
          <w:rFonts w:ascii="Times New Roman" w:hAnsi="Times New Roman" w:cs="Times New Roman"/>
          <w:noProof/>
          <w:sz w:val="24"/>
          <w:szCs w:val="24"/>
        </w:rPr>
        <w:t>-</w:t>
      </w:r>
      <w:r w:rsidR="006E161C" w:rsidRPr="006E161C">
        <w:rPr>
          <w:rFonts w:ascii="Times New Roman" w:hAnsi="Times New Roman" w:cs="Times New Roman"/>
          <w:noProof/>
          <w:sz w:val="24"/>
          <w:szCs w:val="24"/>
        </w:rPr>
        <w:t xml:space="preserve">authenticated transactions have a 70-80% lower </w:t>
      </w:r>
      <w:r w:rsidR="006E161C">
        <w:rPr>
          <w:rFonts w:ascii="Times New Roman" w:hAnsi="Times New Roman" w:cs="Times New Roman"/>
          <w:noProof/>
          <w:sz w:val="24"/>
          <w:szCs w:val="24"/>
        </w:rPr>
        <w:t>level</w:t>
      </w:r>
      <w:r w:rsidR="006E161C" w:rsidRPr="006E161C">
        <w:rPr>
          <w:rFonts w:ascii="Times New Roman" w:hAnsi="Times New Roman" w:cs="Times New Roman"/>
          <w:noProof/>
          <w:sz w:val="24"/>
          <w:szCs w:val="24"/>
        </w:rPr>
        <w:t xml:space="preserve"> of fraud than those without</w:t>
      </w:r>
      <w:r w:rsidR="006E161C">
        <w:rPr>
          <w:rStyle w:val="FootnoteReference"/>
          <w:rFonts w:ascii="Times New Roman" w:hAnsi="Times New Roman" w:cs="Times New Roman"/>
          <w:noProof/>
          <w:sz w:val="24"/>
          <w:szCs w:val="24"/>
        </w:rPr>
        <w:footnoteReference w:id="35"/>
      </w:r>
      <w:r w:rsidR="006E161C">
        <w:rPr>
          <w:rFonts w:ascii="Times New Roman" w:hAnsi="Times New Roman" w:cs="Times New Roman"/>
          <w:noProof/>
          <w:sz w:val="24"/>
          <w:szCs w:val="24"/>
        </w:rPr>
        <w:t>.</w:t>
      </w:r>
      <w:r w:rsidR="009D2EA0">
        <w:rPr>
          <w:rFonts w:ascii="Times New Roman" w:hAnsi="Times New Roman" w:cs="Times New Roman"/>
          <w:noProof/>
          <w:sz w:val="24"/>
          <w:szCs w:val="24"/>
        </w:rPr>
        <w:t xml:space="preserve"> However, the </w:t>
      </w:r>
      <w:r w:rsidR="00710C38">
        <w:rPr>
          <w:rFonts w:ascii="Times New Roman" w:hAnsi="Times New Roman" w:cs="Times New Roman"/>
          <w:noProof/>
          <w:sz w:val="24"/>
          <w:szCs w:val="24"/>
        </w:rPr>
        <w:t xml:space="preserve">progressive </w:t>
      </w:r>
      <w:r w:rsidR="009D2EA0">
        <w:rPr>
          <w:rFonts w:ascii="Times New Roman" w:hAnsi="Times New Roman" w:cs="Times New Roman"/>
          <w:noProof/>
          <w:sz w:val="24"/>
          <w:szCs w:val="24"/>
        </w:rPr>
        <w:t xml:space="preserve">introduction of SCA </w:t>
      </w:r>
      <w:r w:rsidR="00710C38">
        <w:rPr>
          <w:rFonts w:ascii="Times New Roman" w:hAnsi="Times New Roman" w:cs="Times New Roman"/>
          <w:noProof/>
          <w:sz w:val="24"/>
          <w:szCs w:val="24"/>
        </w:rPr>
        <w:t xml:space="preserve">by the market </w:t>
      </w:r>
      <w:r w:rsidR="009D2EA0">
        <w:rPr>
          <w:rFonts w:ascii="Times New Roman" w:hAnsi="Times New Roman" w:cs="Times New Roman"/>
          <w:noProof/>
          <w:sz w:val="24"/>
          <w:szCs w:val="24"/>
        </w:rPr>
        <w:t>was challenging</w:t>
      </w:r>
      <w:r w:rsidR="00710C38">
        <w:rPr>
          <w:rFonts w:ascii="Times New Roman" w:hAnsi="Times New Roman" w:cs="Times New Roman"/>
          <w:noProof/>
          <w:sz w:val="24"/>
          <w:szCs w:val="24"/>
        </w:rPr>
        <w:t xml:space="preserve">, causing some </w:t>
      </w:r>
      <w:r w:rsidR="007263C9">
        <w:rPr>
          <w:rFonts w:ascii="Times New Roman" w:hAnsi="Times New Roman" w:cs="Times New Roman"/>
          <w:noProof/>
          <w:sz w:val="24"/>
          <w:szCs w:val="24"/>
        </w:rPr>
        <w:t xml:space="preserve">major </w:t>
      </w:r>
      <w:r w:rsidR="00710C38">
        <w:rPr>
          <w:rFonts w:ascii="Times New Roman" w:hAnsi="Times New Roman" w:cs="Times New Roman"/>
          <w:noProof/>
          <w:sz w:val="24"/>
          <w:szCs w:val="24"/>
        </w:rPr>
        <w:t>delays</w:t>
      </w:r>
      <w:r w:rsidR="00DC77D8">
        <w:rPr>
          <w:rFonts w:ascii="Times New Roman" w:hAnsi="Times New Roman" w:cs="Times New Roman"/>
          <w:noProof/>
          <w:sz w:val="24"/>
          <w:szCs w:val="24"/>
        </w:rPr>
        <w:t xml:space="preserve"> to its full roll-out</w:t>
      </w:r>
      <w:r w:rsidR="00710C38">
        <w:rPr>
          <w:rFonts w:ascii="Times New Roman" w:hAnsi="Times New Roman" w:cs="Times New Roman"/>
          <w:noProof/>
          <w:sz w:val="24"/>
          <w:szCs w:val="24"/>
        </w:rPr>
        <w:t xml:space="preserve">. Market participants </w:t>
      </w:r>
      <w:r w:rsidR="00DC77D8">
        <w:rPr>
          <w:rFonts w:ascii="Times New Roman" w:hAnsi="Times New Roman" w:cs="Times New Roman"/>
          <w:noProof/>
          <w:sz w:val="24"/>
          <w:szCs w:val="24"/>
        </w:rPr>
        <w:t xml:space="preserve">regularly </w:t>
      </w:r>
      <w:r w:rsidR="00710C38">
        <w:rPr>
          <w:rFonts w:ascii="Times New Roman" w:hAnsi="Times New Roman" w:cs="Times New Roman"/>
          <w:noProof/>
          <w:sz w:val="24"/>
          <w:szCs w:val="24"/>
        </w:rPr>
        <w:t>stress the costs incurred by the introduction of SCA</w:t>
      </w:r>
      <w:r w:rsidR="00BA772B">
        <w:rPr>
          <w:rStyle w:val="FootnoteReference"/>
          <w:rFonts w:ascii="Times New Roman" w:hAnsi="Times New Roman" w:cs="Times New Roman"/>
          <w:noProof/>
          <w:sz w:val="24"/>
          <w:szCs w:val="24"/>
        </w:rPr>
        <w:footnoteReference w:id="36"/>
      </w:r>
      <w:r w:rsidR="00413486">
        <w:rPr>
          <w:rFonts w:ascii="Times New Roman" w:hAnsi="Times New Roman" w:cs="Times New Roman"/>
          <w:noProof/>
          <w:sz w:val="24"/>
          <w:szCs w:val="24"/>
        </w:rPr>
        <w:t xml:space="preserve"> </w:t>
      </w:r>
      <w:r w:rsidR="00BA772B">
        <w:rPr>
          <w:rFonts w:ascii="Times New Roman" w:hAnsi="Times New Roman" w:cs="Times New Roman"/>
          <w:noProof/>
          <w:sz w:val="24"/>
          <w:szCs w:val="24"/>
        </w:rPr>
        <w:t xml:space="preserve">and many would </w:t>
      </w:r>
      <w:r w:rsidR="00413486">
        <w:rPr>
          <w:rFonts w:ascii="Times New Roman" w:hAnsi="Times New Roman" w:cs="Times New Roman"/>
          <w:noProof/>
          <w:sz w:val="24"/>
          <w:szCs w:val="24"/>
        </w:rPr>
        <w:t>prefer a more purpose-based approach</w:t>
      </w:r>
      <w:r w:rsidR="00DC77D8">
        <w:rPr>
          <w:rFonts w:ascii="Times New Roman" w:hAnsi="Times New Roman" w:cs="Times New Roman"/>
          <w:noProof/>
          <w:sz w:val="24"/>
          <w:szCs w:val="24"/>
        </w:rPr>
        <w:t xml:space="preserve"> in order</w:t>
      </w:r>
      <w:r w:rsidR="00413486">
        <w:rPr>
          <w:rFonts w:ascii="Times New Roman" w:hAnsi="Times New Roman" w:cs="Times New Roman"/>
          <w:noProof/>
          <w:sz w:val="24"/>
          <w:szCs w:val="24"/>
        </w:rPr>
        <w:t xml:space="preserve"> </w:t>
      </w:r>
      <w:r w:rsidR="00BA772B">
        <w:rPr>
          <w:rFonts w:ascii="Times New Roman" w:hAnsi="Times New Roman" w:cs="Times New Roman"/>
          <w:noProof/>
          <w:sz w:val="24"/>
          <w:szCs w:val="24"/>
        </w:rPr>
        <w:t>to reduce SCA-related</w:t>
      </w:r>
      <w:r w:rsidR="00413486">
        <w:rPr>
          <w:rFonts w:ascii="Times New Roman" w:hAnsi="Times New Roman" w:cs="Times New Roman"/>
          <w:noProof/>
          <w:sz w:val="24"/>
          <w:szCs w:val="24"/>
        </w:rPr>
        <w:t xml:space="preserve"> friction in electronic transactions. The Commission acknowledges that the introduction of SCA could have been smoother and could certainly have been better anticipated by the market</w:t>
      </w:r>
      <w:r w:rsidR="00BA772B">
        <w:rPr>
          <w:rFonts w:ascii="Times New Roman" w:hAnsi="Times New Roman" w:cs="Times New Roman"/>
          <w:noProof/>
          <w:sz w:val="24"/>
          <w:szCs w:val="24"/>
        </w:rPr>
        <w:t>,</w:t>
      </w:r>
      <w:r w:rsidR="00413486">
        <w:rPr>
          <w:rFonts w:ascii="Times New Roman" w:hAnsi="Times New Roman" w:cs="Times New Roman"/>
          <w:noProof/>
          <w:sz w:val="24"/>
          <w:szCs w:val="24"/>
        </w:rPr>
        <w:t xml:space="preserve"> which largely underestimated the complexity and the impact of this migration. The Commission does not however intend to change its approach concerning SCA, given the very positive results that it has already had on fraud levels</w:t>
      </w:r>
      <w:r w:rsidR="005D2AE6">
        <w:rPr>
          <w:rFonts w:ascii="Times New Roman" w:hAnsi="Times New Roman" w:cs="Times New Roman"/>
          <w:noProof/>
          <w:sz w:val="24"/>
          <w:szCs w:val="24"/>
        </w:rPr>
        <w:t xml:space="preserve"> and the fact that, by now and after its progressive introduction, SCA has become familiar to most of its users</w:t>
      </w:r>
      <w:r w:rsidR="00413486">
        <w:rPr>
          <w:rFonts w:ascii="Times New Roman" w:hAnsi="Times New Roman" w:cs="Times New Roman"/>
          <w:noProof/>
          <w:sz w:val="24"/>
          <w:szCs w:val="24"/>
        </w:rPr>
        <w:t xml:space="preserve">.   </w:t>
      </w:r>
    </w:p>
    <w:p w14:paraId="66CBC545" w14:textId="5FF00D84" w:rsidR="00175F55" w:rsidRDefault="007263C9"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00175F55" w:rsidRPr="00175F55">
        <w:rPr>
          <w:rFonts w:ascii="Times New Roman" w:hAnsi="Times New Roman" w:cs="Times New Roman"/>
          <w:noProof/>
          <w:sz w:val="24"/>
          <w:szCs w:val="24"/>
        </w:rPr>
        <w:t xml:space="preserve">he introduction of SCA posed some concrete challenges to many EU </w:t>
      </w:r>
      <w:r w:rsidR="00A441F5">
        <w:rPr>
          <w:rFonts w:ascii="Times New Roman" w:hAnsi="Times New Roman" w:cs="Times New Roman"/>
          <w:noProof/>
          <w:sz w:val="24"/>
          <w:szCs w:val="24"/>
        </w:rPr>
        <w:t>consumers</w:t>
      </w:r>
      <w:r w:rsidR="00721550">
        <w:rPr>
          <w:rFonts w:ascii="Times New Roman" w:hAnsi="Times New Roman" w:cs="Times New Roman"/>
          <w:noProof/>
          <w:sz w:val="24"/>
          <w:szCs w:val="24"/>
        </w:rPr>
        <w:t>, affecting their possibility to carry-out electronic payments</w:t>
      </w:r>
      <w:r w:rsidR="00175F55" w:rsidRPr="00175F55">
        <w:rPr>
          <w:rFonts w:ascii="Times New Roman" w:hAnsi="Times New Roman" w:cs="Times New Roman"/>
          <w:noProof/>
          <w:sz w:val="24"/>
          <w:szCs w:val="24"/>
        </w:rPr>
        <w:t xml:space="preserve">. </w:t>
      </w:r>
      <w:r w:rsidR="00721550">
        <w:rPr>
          <w:rFonts w:ascii="Times New Roman" w:hAnsi="Times New Roman" w:cs="Times New Roman"/>
          <w:noProof/>
          <w:sz w:val="24"/>
          <w:szCs w:val="24"/>
        </w:rPr>
        <w:t>The Commission believes that e</w:t>
      </w:r>
      <w:r w:rsidR="00175F55" w:rsidRPr="00175F55">
        <w:rPr>
          <w:rFonts w:ascii="Times New Roman" w:hAnsi="Times New Roman" w:cs="Times New Roman"/>
          <w:noProof/>
          <w:sz w:val="24"/>
          <w:szCs w:val="24"/>
        </w:rPr>
        <w:t>veryone should be capable of performing SCA, irrespective of their health</w:t>
      </w:r>
      <w:r w:rsidR="00F805F2">
        <w:rPr>
          <w:rFonts w:ascii="Times New Roman" w:hAnsi="Times New Roman" w:cs="Times New Roman"/>
          <w:noProof/>
          <w:sz w:val="24"/>
          <w:szCs w:val="24"/>
        </w:rPr>
        <w:t>,</w:t>
      </w:r>
      <w:r w:rsidR="00175F55" w:rsidRPr="00175F55">
        <w:rPr>
          <w:rFonts w:ascii="Times New Roman" w:hAnsi="Times New Roman" w:cs="Times New Roman"/>
          <w:noProof/>
          <w:sz w:val="24"/>
          <w:szCs w:val="24"/>
        </w:rPr>
        <w:t xml:space="preserve"> age or condition</w:t>
      </w:r>
      <w:r w:rsidR="00721550">
        <w:rPr>
          <w:rFonts w:ascii="Times New Roman" w:hAnsi="Times New Roman" w:cs="Times New Roman"/>
          <w:noProof/>
          <w:sz w:val="24"/>
          <w:szCs w:val="24"/>
        </w:rPr>
        <w:t xml:space="preserve">. </w:t>
      </w:r>
      <w:r w:rsidR="00175F55" w:rsidRPr="00175F55">
        <w:rPr>
          <w:rFonts w:ascii="Times New Roman" w:hAnsi="Times New Roman" w:cs="Times New Roman"/>
          <w:noProof/>
          <w:sz w:val="24"/>
          <w:szCs w:val="24"/>
        </w:rPr>
        <w:t xml:space="preserve">PSPs must therefore have </w:t>
      </w:r>
      <w:r w:rsidRPr="00175F55">
        <w:rPr>
          <w:rFonts w:ascii="Times New Roman" w:hAnsi="Times New Roman" w:cs="Times New Roman"/>
          <w:noProof/>
          <w:sz w:val="24"/>
          <w:szCs w:val="24"/>
        </w:rPr>
        <w:t xml:space="preserve">in place </w:t>
      </w:r>
      <w:r w:rsidR="00175F55" w:rsidRPr="00175F55">
        <w:rPr>
          <w:rFonts w:ascii="Times New Roman" w:hAnsi="Times New Roman" w:cs="Times New Roman"/>
          <w:noProof/>
          <w:sz w:val="24"/>
          <w:szCs w:val="24"/>
        </w:rPr>
        <w:t>means to perform SCA that cater for all their clients and not only those who</w:t>
      </w:r>
      <w:r w:rsidR="00F805F2">
        <w:rPr>
          <w:rFonts w:ascii="Times New Roman" w:hAnsi="Times New Roman" w:cs="Times New Roman"/>
          <w:noProof/>
          <w:sz w:val="24"/>
          <w:szCs w:val="24"/>
        </w:rPr>
        <w:t>,</w:t>
      </w:r>
      <w:r w:rsidR="00175F55" w:rsidRPr="00175F55">
        <w:rPr>
          <w:rFonts w:ascii="Times New Roman" w:hAnsi="Times New Roman" w:cs="Times New Roman"/>
          <w:noProof/>
          <w:sz w:val="24"/>
          <w:szCs w:val="24"/>
        </w:rPr>
        <w:t xml:space="preserve"> for example, possess a smartphone or are familiar with technology.</w:t>
      </w:r>
      <w:r w:rsidR="00F805F2">
        <w:rPr>
          <w:rFonts w:ascii="Times New Roman" w:hAnsi="Times New Roman" w:cs="Times New Roman"/>
          <w:noProof/>
          <w:sz w:val="24"/>
          <w:szCs w:val="24"/>
        </w:rPr>
        <w:t xml:space="preserve"> </w:t>
      </w:r>
      <w:r w:rsidR="00721550" w:rsidRPr="00175F55">
        <w:rPr>
          <w:rFonts w:ascii="Times New Roman" w:hAnsi="Times New Roman" w:cs="Times New Roman"/>
          <w:noProof/>
          <w:sz w:val="24"/>
          <w:szCs w:val="24"/>
        </w:rPr>
        <w:t>The Commission will require PSPs to facilitate the use of SCA by, for example, pe</w:t>
      </w:r>
      <w:r w:rsidR="00E415C9">
        <w:rPr>
          <w:rFonts w:ascii="Times New Roman" w:hAnsi="Times New Roman" w:cs="Times New Roman"/>
          <w:noProof/>
          <w:sz w:val="24"/>
          <w:szCs w:val="24"/>
        </w:rPr>
        <w:t>rsons</w:t>
      </w:r>
      <w:r w:rsidR="00721550" w:rsidRPr="00175F55">
        <w:rPr>
          <w:rFonts w:ascii="Times New Roman" w:hAnsi="Times New Roman" w:cs="Times New Roman"/>
          <w:noProof/>
          <w:sz w:val="24"/>
          <w:szCs w:val="24"/>
        </w:rPr>
        <w:t xml:space="preserve"> with disabilities, older people</w:t>
      </w:r>
      <w:r w:rsidR="00721550">
        <w:rPr>
          <w:rFonts w:ascii="Times New Roman" w:hAnsi="Times New Roman" w:cs="Times New Roman"/>
          <w:noProof/>
          <w:sz w:val="24"/>
          <w:szCs w:val="24"/>
        </w:rPr>
        <w:t xml:space="preserve">, </w:t>
      </w:r>
      <w:r w:rsidR="00721550" w:rsidRPr="00175F55">
        <w:rPr>
          <w:rFonts w:ascii="Times New Roman" w:hAnsi="Times New Roman" w:cs="Times New Roman"/>
          <w:noProof/>
          <w:sz w:val="24"/>
          <w:szCs w:val="24"/>
        </w:rPr>
        <w:t xml:space="preserve">and others </w:t>
      </w:r>
      <w:r w:rsidR="008029AE">
        <w:rPr>
          <w:rFonts w:ascii="Times New Roman" w:hAnsi="Times New Roman" w:cs="Times New Roman"/>
          <w:noProof/>
          <w:sz w:val="24"/>
          <w:szCs w:val="24"/>
        </w:rPr>
        <w:t>exper</w:t>
      </w:r>
      <w:r w:rsidR="000346C3">
        <w:rPr>
          <w:rFonts w:ascii="Times New Roman" w:hAnsi="Times New Roman" w:cs="Times New Roman"/>
          <w:noProof/>
          <w:sz w:val="24"/>
          <w:szCs w:val="24"/>
        </w:rPr>
        <w:t>i</w:t>
      </w:r>
      <w:r w:rsidR="008029AE">
        <w:rPr>
          <w:rFonts w:ascii="Times New Roman" w:hAnsi="Times New Roman" w:cs="Times New Roman"/>
          <w:noProof/>
          <w:sz w:val="24"/>
          <w:szCs w:val="24"/>
        </w:rPr>
        <w:t>encing</w:t>
      </w:r>
      <w:r w:rsidR="00721550" w:rsidRPr="00175F55">
        <w:rPr>
          <w:rFonts w:ascii="Times New Roman" w:hAnsi="Times New Roman" w:cs="Times New Roman"/>
          <w:noProof/>
          <w:sz w:val="24"/>
          <w:szCs w:val="24"/>
        </w:rPr>
        <w:t xml:space="preserve"> </w:t>
      </w:r>
      <w:r w:rsidR="008029AE">
        <w:rPr>
          <w:rFonts w:ascii="Times New Roman" w:hAnsi="Times New Roman" w:cs="Times New Roman"/>
          <w:noProof/>
          <w:sz w:val="24"/>
          <w:szCs w:val="24"/>
        </w:rPr>
        <w:t>difficulties using SCA</w:t>
      </w:r>
      <w:r w:rsidR="00721550" w:rsidRPr="00175F55">
        <w:rPr>
          <w:rFonts w:ascii="Times New Roman" w:hAnsi="Times New Roman" w:cs="Times New Roman"/>
          <w:noProof/>
          <w:sz w:val="24"/>
          <w:szCs w:val="24"/>
        </w:rPr>
        <w:t>, in line with the E</w:t>
      </w:r>
      <w:r w:rsidR="00E415C9">
        <w:rPr>
          <w:rFonts w:ascii="Times New Roman" w:hAnsi="Times New Roman" w:cs="Times New Roman"/>
          <w:noProof/>
          <w:sz w:val="24"/>
          <w:szCs w:val="24"/>
        </w:rPr>
        <w:t>uropean</w:t>
      </w:r>
      <w:r w:rsidR="00721550" w:rsidRPr="00175F55">
        <w:rPr>
          <w:rFonts w:ascii="Times New Roman" w:hAnsi="Times New Roman" w:cs="Times New Roman"/>
          <w:noProof/>
          <w:sz w:val="24"/>
          <w:szCs w:val="24"/>
        </w:rPr>
        <w:t xml:space="preserve"> Accessibility Act.</w:t>
      </w:r>
      <w:r w:rsidR="00721550">
        <w:rPr>
          <w:rStyle w:val="FootnoteReference"/>
          <w:rFonts w:ascii="Times New Roman" w:hAnsi="Times New Roman" w:cs="Times New Roman"/>
          <w:noProof/>
          <w:sz w:val="24"/>
          <w:szCs w:val="24"/>
        </w:rPr>
        <w:footnoteReference w:id="37"/>
      </w:r>
    </w:p>
    <w:p w14:paraId="7D6D1E81" w14:textId="1772C614" w:rsidR="00D30127" w:rsidRDefault="00DF1032"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Despite</w:t>
      </w:r>
      <w:r w:rsidR="00014E27">
        <w:rPr>
          <w:rFonts w:ascii="Times New Roman" w:hAnsi="Times New Roman" w:cs="Times New Roman"/>
          <w:noProof/>
          <w:sz w:val="24"/>
          <w:szCs w:val="24"/>
        </w:rPr>
        <w:t xml:space="preserve"> its success </w:t>
      </w:r>
      <w:r w:rsidR="00413486">
        <w:rPr>
          <w:rFonts w:ascii="Times New Roman" w:hAnsi="Times New Roman" w:cs="Times New Roman"/>
          <w:noProof/>
          <w:sz w:val="24"/>
          <w:szCs w:val="24"/>
        </w:rPr>
        <w:t xml:space="preserve">SCA does not address all types of fraud. </w:t>
      </w:r>
      <w:r>
        <w:rPr>
          <w:rFonts w:ascii="Times New Roman" w:hAnsi="Times New Roman" w:cs="Times New Roman"/>
          <w:noProof/>
          <w:sz w:val="24"/>
          <w:szCs w:val="24"/>
        </w:rPr>
        <w:t xml:space="preserve">Faced with </w:t>
      </w:r>
      <w:r w:rsidR="00D30127">
        <w:rPr>
          <w:rFonts w:ascii="Times New Roman" w:hAnsi="Times New Roman" w:cs="Times New Roman"/>
          <w:noProof/>
          <w:sz w:val="24"/>
          <w:szCs w:val="24"/>
        </w:rPr>
        <w:t xml:space="preserve">the </w:t>
      </w:r>
      <w:r w:rsidR="00014E27">
        <w:rPr>
          <w:rFonts w:ascii="Times New Roman" w:hAnsi="Times New Roman" w:cs="Times New Roman"/>
          <w:noProof/>
          <w:sz w:val="24"/>
          <w:szCs w:val="24"/>
        </w:rPr>
        <w:t>emergence of new types of fraud, particularly “</w:t>
      </w:r>
      <w:r w:rsidR="00D30127">
        <w:rPr>
          <w:rFonts w:ascii="Times New Roman" w:hAnsi="Times New Roman" w:cs="Times New Roman"/>
          <w:noProof/>
          <w:sz w:val="24"/>
          <w:szCs w:val="24"/>
        </w:rPr>
        <w:t>social engineering</w:t>
      </w:r>
      <w:r w:rsidR="00014E27">
        <w:rPr>
          <w:rFonts w:ascii="Times New Roman" w:hAnsi="Times New Roman" w:cs="Times New Roman"/>
          <w:noProof/>
          <w:sz w:val="24"/>
          <w:szCs w:val="24"/>
        </w:rPr>
        <w:t>”</w:t>
      </w:r>
      <w:r w:rsidR="00D30127">
        <w:rPr>
          <w:rFonts w:ascii="Times New Roman" w:hAnsi="Times New Roman" w:cs="Times New Roman"/>
          <w:noProof/>
          <w:sz w:val="24"/>
          <w:szCs w:val="24"/>
        </w:rPr>
        <w:t xml:space="preserve"> fraud, in which fraudsters manipulate </w:t>
      </w:r>
      <w:r w:rsidR="00014E27">
        <w:rPr>
          <w:rFonts w:ascii="Times New Roman" w:hAnsi="Times New Roman" w:cs="Times New Roman"/>
          <w:noProof/>
          <w:sz w:val="24"/>
          <w:szCs w:val="24"/>
        </w:rPr>
        <w:t xml:space="preserve">their </w:t>
      </w:r>
      <w:r w:rsidR="00D30127">
        <w:rPr>
          <w:rFonts w:ascii="Times New Roman" w:hAnsi="Times New Roman" w:cs="Times New Roman"/>
          <w:noProof/>
          <w:sz w:val="24"/>
          <w:szCs w:val="24"/>
        </w:rPr>
        <w:t xml:space="preserve">victim to </w:t>
      </w:r>
      <w:r w:rsidR="00014E27">
        <w:rPr>
          <w:rFonts w:ascii="Times New Roman" w:hAnsi="Times New Roman" w:cs="Times New Roman"/>
          <w:noProof/>
          <w:sz w:val="24"/>
          <w:szCs w:val="24"/>
        </w:rPr>
        <w:t>reveal their credentials</w:t>
      </w:r>
      <w:r w:rsidR="007263C9">
        <w:rPr>
          <w:rFonts w:ascii="Times New Roman" w:hAnsi="Times New Roman" w:cs="Times New Roman"/>
          <w:noProof/>
          <w:sz w:val="24"/>
          <w:szCs w:val="24"/>
        </w:rPr>
        <w:t xml:space="preserve"> or</w:t>
      </w:r>
      <w:r w:rsidR="00014E27">
        <w:rPr>
          <w:rFonts w:ascii="Times New Roman" w:hAnsi="Times New Roman" w:cs="Times New Roman"/>
          <w:noProof/>
          <w:sz w:val="24"/>
          <w:szCs w:val="24"/>
        </w:rPr>
        <w:t xml:space="preserve"> </w:t>
      </w:r>
      <w:r w:rsidR="006E161C">
        <w:rPr>
          <w:rFonts w:ascii="Times New Roman" w:hAnsi="Times New Roman" w:cs="Times New Roman"/>
          <w:noProof/>
          <w:sz w:val="24"/>
          <w:szCs w:val="24"/>
        </w:rPr>
        <w:t>send funds</w:t>
      </w:r>
      <w:r w:rsidR="00D30127">
        <w:rPr>
          <w:rFonts w:ascii="Times New Roman" w:hAnsi="Times New Roman" w:cs="Times New Roman"/>
          <w:noProof/>
          <w:sz w:val="24"/>
          <w:szCs w:val="24"/>
        </w:rPr>
        <w:t xml:space="preserve"> to a</w:t>
      </w:r>
      <w:r w:rsidR="00BA772B">
        <w:rPr>
          <w:rFonts w:ascii="Times New Roman" w:hAnsi="Times New Roman" w:cs="Times New Roman"/>
          <w:noProof/>
          <w:sz w:val="24"/>
          <w:szCs w:val="24"/>
        </w:rPr>
        <w:t>n illegitimate</w:t>
      </w:r>
      <w:r w:rsidR="00D30127">
        <w:rPr>
          <w:rFonts w:ascii="Times New Roman" w:hAnsi="Times New Roman" w:cs="Times New Roman"/>
          <w:noProof/>
          <w:sz w:val="24"/>
          <w:szCs w:val="24"/>
        </w:rPr>
        <w:t xml:space="preserve"> payee</w:t>
      </w:r>
      <w:r w:rsidR="007263C9">
        <w:rPr>
          <w:rFonts w:ascii="Times New Roman" w:hAnsi="Times New Roman" w:cs="Times New Roman"/>
          <w:noProof/>
          <w:sz w:val="24"/>
          <w:szCs w:val="24"/>
        </w:rPr>
        <w:t>,</w:t>
      </w:r>
      <w:r w:rsidR="00014E27">
        <w:rPr>
          <w:rFonts w:ascii="Times New Roman" w:hAnsi="Times New Roman" w:cs="Times New Roman"/>
          <w:noProof/>
          <w:sz w:val="24"/>
          <w:szCs w:val="24"/>
        </w:rPr>
        <w:t xml:space="preserve"> </w:t>
      </w:r>
      <w:r>
        <w:rPr>
          <w:rFonts w:ascii="Times New Roman" w:hAnsi="Times New Roman" w:cs="Times New Roman"/>
          <w:noProof/>
          <w:sz w:val="24"/>
          <w:szCs w:val="24"/>
        </w:rPr>
        <w:t xml:space="preserve">for which SCA is on little effect, </w:t>
      </w:r>
      <w:r w:rsidR="00D30127">
        <w:rPr>
          <w:rFonts w:ascii="Times New Roman" w:hAnsi="Times New Roman" w:cs="Times New Roman"/>
          <w:noProof/>
          <w:sz w:val="24"/>
          <w:szCs w:val="24"/>
        </w:rPr>
        <w:t xml:space="preserve">the </w:t>
      </w:r>
      <w:r w:rsidR="00413486">
        <w:rPr>
          <w:rFonts w:ascii="Times New Roman" w:hAnsi="Times New Roman" w:cs="Times New Roman"/>
          <w:noProof/>
          <w:sz w:val="24"/>
          <w:szCs w:val="24"/>
        </w:rPr>
        <w:t xml:space="preserve">Commission proposes </w:t>
      </w:r>
      <w:r>
        <w:rPr>
          <w:rFonts w:ascii="Times New Roman" w:hAnsi="Times New Roman" w:cs="Times New Roman"/>
          <w:noProof/>
          <w:sz w:val="24"/>
          <w:szCs w:val="24"/>
        </w:rPr>
        <w:t xml:space="preserve">new </w:t>
      </w:r>
      <w:r w:rsidR="00D30127">
        <w:rPr>
          <w:rFonts w:ascii="Times New Roman" w:hAnsi="Times New Roman" w:cs="Times New Roman"/>
          <w:noProof/>
          <w:sz w:val="24"/>
          <w:szCs w:val="24"/>
        </w:rPr>
        <w:t>measures</w:t>
      </w:r>
      <w:r w:rsidR="00413486">
        <w:rPr>
          <w:rFonts w:ascii="Times New Roman" w:hAnsi="Times New Roman" w:cs="Times New Roman"/>
          <w:noProof/>
          <w:sz w:val="24"/>
          <w:szCs w:val="24"/>
        </w:rPr>
        <w:t xml:space="preserve"> regarding both fraud prevention and redress</w:t>
      </w:r>
      <w:r w:rsidR="00202ECC">
        <w:rPr>
          <w:rStyle w:val="FootnoteReference"/>
          <w:rFonts w:ascii="Times New Roman" w:hAnsi="Times New Roman" w:cs="Times New Roman"/>
          <w:noProof/>
          <w:sz w:val="24"/>
          <w:szCs w:val="24"/>
        </w:rPr>
        <w:footnoteReference w:id="38"/>
      </w:r>
      <w:r w:rsidR="00D30127">
        <w:rPr>
          <w:rFonts w:ascii="Times New Roman" w:hAnsi="Times New Roman" w:cs="Times New Roman"/>
          <w:noProof/>
          <w:sz w:val="24"/>
          <w:szCs w:val="24"/>
        </w:rPr>
        <w:t>.</w:t>
      </w:r>
      <w:r w:rsidR="00D30127" w:rsidRPr="00D30127">
        <w:rPr>
          <w:rFonts w:ascii="Times New Roman" w:hAnsi="Times New Roman" w:cs="Times New Roman"/>
          <w:noProof/>
          <w:sz w:val="24"/>
          <w:szCs w:val="24"/>
        </w:rPr>
        <w:t xml:space="preserve"> </w:t>
      </w:r>
      <w:r w:rsidR="00D30127">
        <w:rPr>
          <w:rFonts w:ascii="Times New Roman" w:hAnsi="Times New Roman" w:cs="Times New Roman"/>
          <w:noProof/>
          <w:sz w:val="24"/>
          <w:szCs w:val="24"/>
        </w:rPr>
        <w:t xml:space="preserve">These include </w:t>
      </w:r>
      <w:r w:rsidR="00D30127" w:rsidRPr="00D30127">
        <w:rPr>
          <w:rFonts w:ascii="Times New Roman" w:hAnsi="Times New Roman" w:cs="Times New Roman"/>
          <w:noProof/>
          <w:sz w:val="24"/>
          <w:szCs w:val="24"/>
        </w:rPr>
        <w:t>improve</w:t>
      </w:r>
      <w:r w:rsidR="00D42E46">
        <w:rPr>
          <w:rFonts w:ascii="Times New Roman" w:hAnsi="Times New Roman" w:cs="Times New Roman"/>
          <w:noProof/>
          <w:sz w:val="24"/>
          <w:szCs w:val="24"/>
        </w:rPr>
        <w:t>ments to</w:t>
      </w:r>
      <w:r w:rsidR="00D30127" w:rsidRPr="00D30127">
        <w:rPr>
          <w:rFonts w:ascii="Times New Roman" w:hAnsi="Times New Roman" w:cs="Times New Roman"/>
          <w:noProof/>
          <w:sz w:val="24"/>
          <w:szCs w:val="24"/>
        </w:rPr>
        <w:t xml:space="preserve"> the application of SCA</w:t>
      </w:r>
      <w:r w:rsidR="00D30127">
        <w:rPr>
          <w:rFonts w:ascii="Times New Roman" w:hAnsi="Times New Roman" w:cs="Times New Roman"/>
          <w:noProof/>
          <w:sz w:val="24"/>
          <w:szCs w:val="24"/>
        </w:rPr>
        <w:t xml:space="preserve"> (</w:t>
      </w:r>
      <w:r w:rsidR="00A02202">
        <w:rPr>
          <w:rFonts w:ascii="Times New Roman" w:hAnsi="Times New Roman" w:cs="Times New Roman"/>
          <w:noProof/>
          <w:sz w:val="24"/>
          <w:szCs w:val="24"/>
        </w:rPr>
        <w:t xml:space="preserve">e.g. </w:t>
      </w:r>
      <w:r w:rsidR="00D30127">
        <w:rPr>
          <w:rFonts w:ascii="Times New Roman" w:hAnsi="Times New Roman" w:cs="Times New Roman"/>
          <w:noProof/>
          <w:sz w:val="24"/>
          <w:szCs w:val="24"/>
        </w:rPr>
        <w:t xml:space="preserve">clarifications of when a transaction qualifies as merchant-initiated or a mail or telephone order), </w:t>
      </w:r>
      <w:r>
        <w:rPr>
          <w:rFonts w:ascii="Times New Roman" w:hAnsi="Times New Roman" w:cs="Times New Roman"/>
          <w:noProof/>
          <w:sz w:val="24"/>
          <w:szCs w:val="24"/>
        </w:rPr>
        <w:t xml:space="preserve">the creation of </w:t>
      </w:r>
      <w:r w:rsidR="00D30127">
        <w:rPr>
          <w:rFonts w:ascii="Times New Roman" w:hAnsi="Times New Roman" w:cs="Times New Roman"/>
          <w:noProof/>
          <w:sz w:val="24"/>
          <w:szCs w:val="24"/>
        </w:rPr>
        <w:t>a l</w:t>
      </w:r>
      <w:r w:rsidR="00D30127" w:rsidRPr="00D30127">
        <w:rPr>
          <w:rFonts w:ascii="Times New Roman" w:hAnsi="Times New Roman" w:cs="Times New Roman"/>
          <w:noProof/>
          <w:sz w:val="24"/>
          <w:szCs w:val="24"/>
        </w:rPr>
        <w:t xml:space="preserve">egal basis for PSPs to share </w:t>
      </w:r>
      <w:r w:rsidR="00413486">
        <w:rPr>
          <w:rFonts w:ascii="Times New Roman" w:hAnsi="Times New Roman" w:cs="Times New Roman"/>
          <w:noProof/>
          <w:sz w:val="24"/>
          <w:szCs w:val="24"/>
        </w:rPr>
        <w:t xml:space="preserve">fraud-related </w:t>
      </w:r>
      <w:r w:rsidR="00D30127" w:rsidRPr="00D30127">
        <w:rPr>
          <w:rFonts w:ascii="Times New Roman" w:hAnsi="Times New Roman" w:cs="Times New Roman"/>
          <w:noProof/>
          <w:sz w:val="24"/>
          <w:szCs w:val="24"/>
        </w:rPr>
        <w:t xml:space="preserve">information </w:t>
      </w:r>
      <w:r w:rsidR="00D42E46">
        <w:rPr>
          <w:rFonts w:ascii="Times New Roman" w:hAnsi="Times New Roman" w:cs="Times New Roman"/>
          <w:noProof/>
          <w:sz w:val="24"/>
          <w:szCs w:val="24"/>
        </w:rPr>
        <w:t xml:space="preserve">in </w:t>
      </w:r>
      <w:r w:rsidR="00287636">
        <w:rPr>
          <w:rFonts w:ascii="Times New Roman" w:hAnsi="Times New Roman" w:cs="Times New Roman"/>
          <w:noProof/>
          <w:sz w:val="24"/>
          <w:szCs w:val="24"/>
        </w:rPr>
        <w:t xml:space="preserve">full respect </w:t>
      </w:r>
      <w:r w:rsidR="00D42E46">
        <w:rPr>
          <w:rFonts w:ascii="Times New Roman" w:hAnsi="Times New Roman" w:cs="Times New Roman"/>
          <w:noProof/>
          <w:sz w:val="24"/>
          <w:szCs w:val="24"/>
        </w:rPr>
        <w:t>of GDPR</w:t>
      </w:r>
      <w:r w:rsidR="003E6C37">
        <w:rPr>
          <w:rFonts w:ascii="Times New Roman" w:hAnsi="Times New Roman" w:cs="Times New Roman"/>
          <w:noProof/>
          <w:sz w:val="24"/>
          <w:szCs w:val="24"/>
        </w:rPr>
        <w:t xml:space="preserve">, as </w:t>
      </w:r>
      <w:r w:rsidR="00DE41E7">
        <w:rPr>
          <w:rFonts w:ascii="Times New Roman" w:hAnsi="Times New Roman" w:cs="Times New Roman"/>
          <w:noProof/>
          <w:sz w:val="24"/>
          <w:szCs w:val="24"/>
        </w:rPr>
        <w:t xml:space="preserve">universally </w:t>
      </w:r>
      <w:r w:rsidR="005D2AE6">
        <w:rPr>
          <w:rFonts w:ascii="Times New Roman" w:hAnsi="Times New Roman" w:cs="Times New Roman"/>
          <w:noProof/>
          <w:sz w:val="24"/>
          <w:szCs w:val="24"/>
        </w:rPr>
        <w:t>requested by the market</w:t>
      </w:r>
      <w:r w:rsidR="00D42E46">
        <w:rPr>
          <w:rFonts w:ascii="Times New Roman" w:hAnsi="Times New Roman" w:cs="Times New Roman"/>
          <w:noProof/>
          <w:sz w:val="24"/>
          <w:szCs w:val="24"/>
        </w:rPr>
        <w:t>,</w:t>
      </w:r>
      <w:r w:rsidR="00D42E46" w:rsidRPr="00D30127">
        <w:rPr>
          <w:rFonts w:ascii="Times New Roman" w:hAnsi="Times New Roman" w:cs="Times New Roman"/>
          <w:noProof/>
          <w:sz w:val="24"/>
          <w:szCs w:val="24"/>
        </w:rPr>
        <w:t xml:space="preserve"> </w:t>
      </w:r>
      <w:r w:rsidR="009473E5">
        <w:rPr>
          <w:rFonts w:ascii="Times New Roman" w:hAnsi="Times New Roman" w:cs="Times New Roman"/>
          <w:noProof/>
          <w:sz w:val="24"/>
          <w:szCs w:val="24"/>
        </w:rPr>
        <w:t xml:space="preserve">an </w:t>
      </w:r>
      <w:r w:rsidR="00D30127" w:rsidRPr="00D30127">
        <w:rPr>
          <w:rFonts w:ascii="Times New Roman" w:hAnsi="Times New Roman" w:cs="Times New Roman"/>
          <w:noProof/>
          <w:sz w:val="24"/>
          <w:szCs w:val="24"/>
        </w:rPr>
        <w:t xml:space="preserve">obligation </w:t>
      </w:r>
      <w:r w:rsidR="00413486">
        <w:rPr>
          <w:rFonts w:ascii="Times New Roman" w:hAnsi="Times New Roman" w:cs="Times New Roman"/>
          <w:noProof/>
          <w:sz w:val="24"/>
          <w:szCs w:val="24"/>
        </w:rPr>
        <w:t xml:space="preserve">by PSPs </w:t>
      </w:r>
      <w:r w:rsidR="00D30127" w:rsidRPr="00D30127">
        <w:rPr>
          <w:rFonts w:ascii="Times New Roman" w:hAnsi="Times New Roman" w:cs="Times New Roman"/>
          <w:noProof/>
          <w:sz w:val="24"/>
          <w:szCs w:val="24"/>
        </w:rPr>
        <w:t xml:space="preserve">to </w:t>
      </w:r>
      <w:r w:rsidR="00BA772B">
        <w:rPr>
          <w:rFonts w:ascii="Times New Roman" w:hAnsi="Times New Roman" w:cs="Times New Roman"/>
          <w:noProof/>
          <w:sz w:val="24"/>
          <w:szCs w:val="24"/>
        </w:rPr>
        <w:t xml:space="preserve">carry out education actions to </w:t>
      </w:r>
      <w:r w:rsidR="00BB7E4C">
        <w:rPr>
          <w:rFonts w:ascii="Times New Roman" w:hAnsi="Times New Roman" w:cs="Times New Roman"/>
          <w:noProof/>
          <w:sz w:val="24"/>
          <w:szCs w:val="24"/>
        </w:rPr>
        <w:t xml:space="preserve">increase </w:t>
      </w:r>
      <w:r w:rsidR="00D30127" w:rsidRPr="00D30127">
        <w:rPr>
          <w:rFonts w:ascii="Times New Roman" w:hAnsi="Times New Roman" w:cs="Times New Roman"/>
          <w:noProof/>
          <w:sz w:val="24"/>
          <w:szCs w:val="24"/>
        </w:rPr>
        <w:t>customers</w:t>
      </w:r>
      <w:r w:rsidR="00BB7E4C">
        <w:rPr>
          <w:rFonts w:ascii="Times New Roman" w:hAnsi="Times New Roman" w:cs="Times New Roman"/>
          <w:noProof/>
          <w:sz w:val="24"/>
          <w:szCs w:val="24"/>
        </w:rPr>
        <w:t xml:space="preserve"> awareness of payments fraud</w:t>
      </w:r>
      <w:r w:rsidR="00D30127" w:rsidRPr="00D30127">
        <w:rPr>
          <w:rFonts w:ascii="Times New Roman" w:hAnsi="Times New Roman" w:cs="Times New Roman"/>
          <w:noProof/>
          <w:sz w:val="24"/>
          <w:szCs w:val="24"/>
        </w:rPr>
        <w:t xml:space="preserve"> </w:t>
      </w:r>
      <w:r w:rsidR="00D30127">
        <w:rPr>
          <w:rFonts w:ascii="Times New Roman" w:hAnsi="Times New Roman" w:cs="Times New Roman"/>
          <w:noProof/>
          <w:sz w:val="24"/>
          <w:szCs w:val="24"/>
        </w:rPr>
        <w:t xml:space="preserve">and an extension </w:t>
      </w:r>
      <w:r w:rsidR="00413486">
        <w:rPr>
          <w:rFonts w:ascii="Times New Roman" w:hAnsi="Times New Roman" w:cs="Times New Roman"/>
          <w:noProof/>
          <w:sz w:val="24"/>
          <w:szCs w:val="24"/>
        </w:rPr>
        <w:t xml:space="preserve">to all credit transfers </w:t>
      </w:r>
      <w:r w:rsidR="003E6C37">
        <w:rPr>
          <w:rFonts w:ascii="Times New Roman" w:hAnsi="Times New Roman" w:cs="Times New Roman"/>
          <w:noProof/>
          <w:sz w:val="24"/>
          <w:szCs w:val="24"/>
        </w:rPr>
        <w:t>-</w:t>
      </w:r>
      <w:r w:rsidR="00014E27">
        <w:rPr>
          <w:rFonts w:ascii="Times New Roman" w:hAnsi="Times New Roman" w:cs="Times New Roman"/>
          <w:noProof/>
          <w:sz w:val="24"/>
          <w:szCs w:val="24"/>
        </w:rPr>
        <w:t xml:space="preserve">not only instant </w:t>
      </w:r>
      <w:r w:rsidR="00DE41E7">
        <w:rPr>
          <w:rFonts w:ascii="Times New Roman" w:hAnsi="Times New Roman" w:cs="Times New Roman"/>
          <w:noProof/>
          <w:sz w:val="24"/>
          <w:szCs w:val="24"/>
        </w:rPr>
        <w:t>payments</w:t>
      </w:r>
      <w:r w:rsidR="003E6C37">
        <w:rPr>
          <w:rFonts w:ascii="Times New Roman" w:hAnsi="Times New Roman" w:cs="Times New Roman"/>
          <w:noProof/>
          <w:sz w:val="24"/>
          <w:szCs w:val="24"/>
        </w:rPr>
        <w:t>-</w:t>
      </w:r>
      <w:r w:rsidR="00014E27">
        <w:rPr>
          <w:rFonts w:ascii="Times New Roman" w:hAnsi="Times New Roman" w:cs="Times New Roman"/>
          <w:noProof/>
          <w:sz w:val="24"/>
          <w:szCs w:val="24"/>
        </w:rPr>
        <w:t xml:space="preserve"> </w:t>
      </w:r>
      <w:r w:rsidR="00D30127">
        <w:rPr>
          <w:rFonts w:ascii="Times New Roman" w:hAnsi="Times New Roman" w:cs="Times New Roman"/>
          <w:noProof/>
          <w:sz w:val="24"/>
          <w:szCs w:val="24"/>
        </w:rPr>
        <w:t xml:space="preserve">of IBAN/name verification </w:t>
      </w:r>
      <w:r w:rsidR="00BA772B">
        <w:rPr>
          <w:rFonts w:ascii="Times New Roman" w:hAnsi="Times New Roman" w:cs="Times New Roman"/>
          <w:noProof/>
          <w:sz w:val="24"/>
          <w:szCs w:val="24"/>
        </w:rPr>
        <w:t>services</w:t>
      </w:r>
      <w:r w:rsidR="005D2AE6">
        <w:rPr>
          <w:rFonts w:ascii="Times New Roman" w:hAnsi="Times New Roman" w:cs="Times New Roman"/>
          <w:noProof/>
          <w:sz w:val="24"/>
          <w:szCs w:val="24"/>
        </w:rPr>
        <w:t>, which have already proven their efficiency against fraud and mistakes in those markets where they were introduced</w:t>
      </w:r>
      <w:r w:rsidR="00D30127">
        <w:rPr>
          <w:rStyle w:val="FootnoteReference"/>
          <w:rFonts w:ascii="Times New Roman" w:hAnsi="Times New Roman" w:cs="Times New Roman"/>
          <w:noProof/>
          <w:sz w:val="24"/>
          <w:szCs w:val="24"/>
        </w:rPr>
        <w:footnoteReference w:id="39"/>
      </w:r>
      <w:r w:rsidR="00D30127">
        <w:rPr>
          <w:rFonts w:ascii="Times New Roman" w:hAnsi="Times New Roman" w:cs="Times New Roman"/>
          <w:noProof/>
          <w:sz w:val="24"/>
          <w:szCs w:val="24"/>
        </w:rPr>
        <w:t>.</w:t>
      </w:r>
    </w:p>
    <w:p w14:paraId="2ABD9E0C" w14:textId="658B78FB" w:rsidR="005D2AE6" w:rsidRDefault="00082F1F"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PSD2</w:t>
      </w:r>
      <w:r w:rsidR="00361AD0">
        <w:rPr>
          <w:rFonts w:ascii="Times New Roman" w:hAnsi="Times New Roman" w:cs="Times New Roman"/>
          <w:noProof/>
          <w:sz w:val="24"/>
          <w:szCs w:val="24"/>
        </w:rPr>
        <w:t xml:space="preserve"> </w:t>
      </w:r>
      <w:r w:rsidR="00980236" w:rsidRPr="00980236">
        <w:rPr>
          <w:rFonts w:ascii="Times New Roman" w:hAnsi="Times New Roman" w:cs="Times New Roman"/>
          <w:noProof/>
          <w:sz w:val="24"/>
          <w:szCs w:val="24"/>
        </w:rPr>
        <w:t xml:space="preserve">introduced </w:t>
      </w:r>
      <w:r w:rsidR="00DE41E7">
        <w:rPr>
          <w:rFonts w:ascii="Times New Roman" w:hAnsi="Times New Roman" w:cs="Times New Roman"/>
          <w:noProof/>
          <w:sz w:val="24"/>
          <w:szCs w:val="24"/>
        </w:rPr>
        <w:t xml:space="preserve">a </w:t>
      </w:r>
      <w:r w:rsidR="00980236" w:rsidRPr="00980236">
        <w:rPr>
          <w:rFonts w:ascii="Times New Roman" w:hAnsi="Times New Roman" w:cs="Times New Roman"/>
          <w:noProof/>
          <w:sz w:val="24"/>
          <w:szCs w:val="24"/>
        </w:rPr>
        <w:t xml:space="preserve">refund right for consumers </w:t>
      </w:r>
      <w:r w:rsidR="00DF1032">
        <w:rPr>
          <w:rFonts w:ascii="Times New Roman" w:hAnsi="Times New Roman" w:cs="Times New Roman"/>
          <w:noProof/>
          <w:sz w:val="24"/>
          <w:szCs w:val="24"/>
        </w:rPr>
        <w:t xml:space="preserve">but </w:t>
      </w:r>
      <w:r w:rsidR="00980236" w:rsidRPr="00980236">
        <w:rPr>
          <w:rFonts w:ascii="Times New Roman" w:hAnsi="Times New Roman" w:cs="Times New Roman"/>
          <w:noProof/>
          <w:sz w:val="24"/>
          <w:szCs w:val="24"/>
        </w:rPr>
        <w:t>only as regards unauthorised credit transfers</w:t>
      </w:r>
      <w:r w:rsidR="00413486">
        <w:rPr>
          <w:rFonts w:ascii="Times New Roman" w:hAnsi="Times New Roman" w:cs="Times New Roman"/>
          <w:noProof/>
          <w:sz w:val="24"/>
          <w:szCs w:val="24"/>
        </w:rPr>
        <w:t xml:space="preserve">, </w:t>
      </w:r>
      <w:r w:rsidR="00A02202">
        <w:rPr>
          <w:rFonts w:ascii="Times New Roman" w:hAnsi="Times New Roman" w:cs="Times New Roman"/>
          <w:noProof/>
          <w:sz w:val="24"/>
          <w:szCs w:val="24"/>
        </w:rPr>
        <w:t xml:space="preserve">i.e. </w:t>
      </w:r>
      <w:r w:rsidR="00DE41E7">
        <w:rPr>
          <w:rFonts w:ascii="Times New Roman" w:hAnsi="Times New Roman" w:cs="Times New Roman"/>
          <w:noProof/>
          <w:sz w:val="24"/>
          <w:szCs w:val="24"/>
        </w:rPr>
        <w:t xml:space="preserve">those </w:t>
      </w:r>
      <w:r w:rsidR="00980236" w:rsidRPr="00980236">
        <w:rPr>
          <w:rFonts w:ascii="Times New Roman" w:hAnsi="Times New Roman" w:cs="Times New Roman"/>
          <w:noProof/>
          <w:sz w:val="24"/>
          <w:szCs w:val="24"/>
        </w:rPr>
        <w:t xml:space="preserve">where the payer has not consented to the execution of the payment transaction. It does not </w:t>
      </w:r>
      <w:r w:rsidR="00413486">
        <w:rPr>
          <w:rFonts w:ascii="Times New Roman" w:hAnsi="Times New Roman" w:cs="Times New Roman"/>
          <w:noProof/>
          <w:sz w:val="24"/>
          <w:szCs w:val="24"/>
        </w:rPr>
        <w:t xml:space="preserve">however </w:t>
      </w:r>
      <w:r w:rsidR="00980236" w:rsidRPr="00980236">
        <w:rPr>
          <w:rFonts w:ascii="Times New Roman" w:hAnsi="Times New Roman" w:cs="Times New Roman"/>
          <w:noProof/>
          <w:sz w:val="24"/>
          <w:szCs w:val="24"/>
        </w:rPr>
        <w:t xml:space="preserve">cover the types of fraud which have emerged since its adoption and which have become increasingly widespread, such as </w:t>
      </w:r>
      <w:r w:rsidR="00BA772B" w:rsidRPr="00BA772B">
        <w:rPr>
          <w:rFonts w:ascii="Times New Roman" w:hAnsi="Times New Roman" w:cs="Times New Roman"/>
          <w:noProof/>
          <w:sz w:val="24"/>
          <w:szCs w:val="24"/>
        </w:rPr>
        <w:t>social engineering fraud</w:t>
      </w:r>
      <w:r w:rsidR="00BA772B" w:rsidRPr="00BA772B" w:rsidDel="00BA772B">
        <w:rPr>
          <w:rFonts w:ascii="Times New Roman" w:hAnsi="Times New Roman" w:cs="Times New Roman"/>
          <w:noProof/>
          <w:sz w:val="24"/>
          <w:szCs w:val="24"/>
        </w:rPr>
        <w:t xml:space="preserve"> </w:t>
      </w:r>
      <w:r w:rsidR="00BA772B">
        <w:rPr>
          <w:rFonts w:ascii="Times New Roman" w:hAnsi="Times New Roman" w:cs="Times New Roman"/>
          <w:noProof/>
          <w:sz w:val="24"/>
          <w:szCs w:val="24"/>
        </w:rPr>
        <w:t>mentioned above</w:t>
      </w:r>
      <w:r w:rsidR="00980236" w:rsidRPr="00980236">
        <w:rPr>
          <w:rFonts w:ascii="Times New Roman" w:hAnsi="Times New Roman" w:cs="Times New Roman"/>
          <w:noProof/>
          <w:sz w:val="24"/>
          <w:szCs w:val="24"/>
        </w:rPr>
        <w:t xml:space="preserve">. While the application of </w:t>
      </w:r>
      <w:r w:rsidR="00BA772B">
        <w:rPr>
          <w:rFonts w:ascii="Times New Roman" w:hAnsi="Times New Roman" w:cs="Times New Roman"/>
          <w:noProof/>
          <w:sz w:val="24"/>
          <w:szCs w:val="24"/>
        </w:rPr>
        <w:t>SCA</w:t>
      </w:r>
      <w:r w:rsidR="00980236" w:rsidRPr="00980236">
        <w:rPr>
          <w:rFonts w:ascii="Times New Roman" w:hAnsi="Times New Roman" w:cs="Times New Roman"/>
          <w:noProof/>
          <w:sz w:val="24"/>
          <w:szCs w:val="24"/>
        </w:rPr>
        <w:t xml:space="preserve"> introduced by </w:t>
      </w:r>
      <w:r w:rsidR="00435805">
        <w:rPr>
          <w:rFonts w:ascii="Times New Roman" w:hAnsi="Times New Roman" w:cs="Times New Roman"/>
          <w:noProof/>
          <w:sz w:val="24"/>
          <w:szCs w:val="24"/>
        </w:rPr>
        <w:t>PSD2</w:t>
      </w:r>
      <w:r w:rsidR="00980236" w:rsidRPr="00980236">
        <w:rPr>
          <w:rFonts w:ascii="Times New Roman" w:hAnsi="Times New Roman" w:cs="Times New Roman"/>
          <w:noProof/>
          <w:sz w:val="24"/>
          <w:szCs w:val="24"/>
        </w:rPr>
        <w:t xml:space="preserve"> has already led to a significant reduction in the level of fraud related to unauthorised payment transactions, it is </w:t>
      </w:r>
      <w:r w:rsidR="00BA16E7">
        <w:rPr>
          <w:rFonts w:ascii="Times New Roman" w:hAnsi="Times New Roman" w:cs="Times New Roman"/>
          <w:noProof/>
          <w:sz w:val="24"/>
          <w:szCs w:val="24"/>
        </w:rPr>
        <w:t xml:space="preserve">largely inefficient </w:t>
      </w:r>
      <w:r w:rsidR="00DE41E7">
        <w:rPr>
          <w:rFonts w:ascii="Times New Roman" w:hAnsi="Times New Roman" w:cs="Times New Roman"/>
          <w:noProof/>
          <w:sz w:val="24"/>
          <w:szCs w:val="24"/>
        </w:rPr>
        <w:t>in</w:t>
      </w:r>
      <w:r w:rsidR="00DE41E7" w:rsidRPr="00980236">
        <w:rPr>
          <w:rFonts w:ascii="Times New Roman" w:hAnsi="Times New Roman" w:cs="Times New Roman"/>
          <w:noProof/>
          <w:sz w:val="24"/>
          <w:szCs w:val="24"/>
        </w:rPr>
        <w:t xml:space="preserve"> </w:t>
      </w:r>
      <w:r w:rsidR="00980236" w:rsidRPr="00980236">
        <w:rPr>
          <w:rFonts w:ascii="Times New Roman" w:hAnsi="Times New Roman" w:cs="Times New Roman"/>
          <w:noProof/>
          <w:sz w:val="24"/>
          <w:szCs w:val="24"/>
        </w:rPr>
        <w:t>prevent</w:t>
      </w:r>
      <w:r w:rsidR="00DE41E7">
        <w:rPr>
          <w:rFonts w:ascii="Times New Roman" w:hAnsi="Times New Roman" w:cs="Times New Roman"/>
          <w:noProof/>
          <w:sz w:val="24"/>
          <w:szCs w:val="24"/>
        </w:rPr>
        <w:t>ing</w:t>
      </w:r>
      <w:r w:rsidR="00980236" w:rsidRPr="00980236">
        <w:rPr>
          <w:rFonts w:ascii="Times New Roman" w:hAnsi="Times New Roman" w:cs="Times New Roman"/>
          <w:noProof/>
          <w:sz w:val="24"/>
          <w:szCs w:val="24"/>
        </w:rPr>
        <w:t xml:space="preserve"> these new types of fraud. </w:t>
      </w:r>
      <w:r w:rsidR="00732431">
        <w:rPr>
          <w:rFonts w:ascii="Times New Roman" w:hAnsi="Times New Roman" w:cs="Times New Roman"/>
          <w:noProof/>
          <w:sz w:val="24"/>
          <w:szCs w:val="24"/>
        </w:rPr>
        <w:t>The Commission considers that, with social engineering, the difference between authorised and non-authorised transactions is becoming more blurred and complex to apply in practice</w:t>
      </w:r>
      <w:r w:rsidR="008E7258">
        <w:rPr>
          <w:rFonts w:ascii="Times New Roman" w:hAnsi="Times New Roman" w:cs="Times New Roman"/>
          <w:noProof/>
          <w:sz w:val="24"/>
          <w:szCs w:val="24"/>
        </w:rPr>
        <w:t xml:space="preserve">, </w:t>
      </w:r>
      <w:r w:rsidR="00DE41E7">
        <w:rPr>
          <w:rFonts w:ascii="Times New Roman" w:hAnsi="Times New Roman" w:cs="Times New Roman"/>
          <w:noProof/>
          <w:sz w:val="24"/>
          <w:szCs w:val="24"/>
        </w:rPr>
        <w:t xml:space="preserve">raising </w:t>
      </w:r>
      <w:r w:rsidR="00B9077F">
        <w:rPr>
          <w:rFonts w:ascii="Times New Roman" w:hAnsi="Times New Roman" w:cs="Times New Roman"/>
          <w:noProof/>
          <w:sz w:val="24"/>
          <w:szCs w:val="24"/>
        </w:rPr>
        <w:t xml:space="preserve">also </w:t>
      </w:r>
      <w:r w:rsidR="00DF1032">
        <w:rPr>
          <w:rFonts w:ascii="Times New Roman" w:hAnsi="Times New Roman" w:cs="Times New Roman"/>
          <w:noProof/>
          <w:sz w:val="24"/>
          <w:szCs w:val="24"/>
        </w:rPr>
        <w:t xml:space="preserve">legal </w:t>
      </w:r>
      <w:r w:rsidR="00F40A4B">
        <w:rPr>
          <w:rFonts w:ascii="Times New Roman" w:hAnsi="Times New Roman" w:cs="Times New Roman"/>
          <w:noProof/>
          <w:sz w:val="24"/>
          <w:szCs w:val="24"/>
        </w:rPr>
        <w:t>question</w:t>
      </w:r>
      <w:r w:rsidR="00DE41E7">
        <w:rPr>
          <w:rFonts w:ascii="Times New Roman" w:hAnsi="Times New Roman" w:cs="Times New Roman"/>
          <w:noProof/>
          <w:sz w:val="24"/>
          <w:szCs w:val="24"/>
        </w:rPr>
        <w:t>s as to</w:t>
      </w:r>
      <w:r w:rsidR="00F40A4B">
        <w:rPr>
          <w:rFonts w:ascii="Times New Roman" w:hAnsi="Times New Roman" w:cs="Times New Roman"/>
          <w:noProof/>
          <w:sz w:val="24"/>
          <w:szCs w:val="24"/>
        </w:rPr>
        <w:t xml:space="preserve"> whether </w:t>
      </w:r>
      <w:bookmarkStart w:id="40" w:name="_Hlk136446749"/>
      <w:r w:rsidR="004831E4">
        <w:rPr>
          <w:rFonts w:ascii="Times New Roman" w:hAnsi="Times New Roman" w:cs="Times New Roman"/>
          <w:noProof/>
          <w:sz w:val="24"/>
          <w:szCs w:val="24"/>
        </w:rPr>
        <w:t xml:space="preserve">a transaction </w:t>
      </w:r>
      <w:r w:rsidR="00F40A4B">
        <w:rPr>
          <w:rFonts w:ascii="Times New Roman" w:hAnsi="Times New Roman" w:cs="Times New Roman"/>
          <w:noProof/>
          <w:sz w:val="24"/>
          <w:szCs w:val="24"/>
        </w:rPr>
        <w:t xml:space="preserve">can be deemed </w:t>
      </w:r>
      <w:r w:rsidR="004831E4">
        <w:rPr>
          <w:rFonts w:ascii="Times New Roman" w:hAnsi="Times New Roman" w:cs="Times New Roman"/>
          <w:noProof/>
          <w:sz w:val="24"/>
          <w:szCs w:val="24"/>
        </w:rPr>
        <w:t>aut</w:t>
      </w:r>
      <w:r w:rsidR="00B42F90">
        <w:rPr>
          <w:rFonts w:ascii="Times New Roman" w:hAnsi="Times New Roman" w:cs="Times New Roman"/>
          <w:noProof/>
          <w:sz w:val="24"/>
          <w:szCs w:val="24"/>
        </w:rPr>
        <w:t>h</w:t>
      </w:r>
      <w:r w:rsidR="004831E4">
        <w:rPr>
          <w:rFonts w:ascii="Times New Roman" w:hAnsi="Times New Roman" w:cs="Times New Roman"/>
          <w:noProof/>
          <w:sz w:val="24"/>
          <w:szCs w:val="24"/>
        </w:rPr>
        <w:t>orised just because SCA was performed.</w:t>
      </w:r>
      <w:bookmarkEnd w:id="40"/>
      <w:r w:rsidR="00AC118D">
        <w:rPr>
          <w:rFonts w:ascii="Times New Roman" w:hAnsi="Times New Roman" w:cs="Times New Roman"/>
          <w:noProof/>
          <w:sz w:val="24"/>
          <w:szCs w:val="24"/>
        </w:rPr>
        <w:t xml:space="preserve"> </w:t>
      </w:r>
      <w:r w:rsidR="00533E58">
        <w:rPr>
          <w:rFonts w:ascii="Times New Roman" w:hAnsi="Times New Roman" w:cs="Times New Roman"/>
          <w:noProof/>
          <w:sz w:val="24"/>
          <w:szCs w:val="24"/>
        </w:rPr>
        <w:t xml:space="preserve">  </w:t>
      </w:r>
    </w:p>
    <w:p w14:paraId="1AEDFF6A" w14:textId="1C5F136F" w:rsidR="00175F55" w:rsidRDefault="00BA16E7"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believes that a</w:t>
      </w:r>
      <w:bookmarkStart w:id="41" w:name="_Hlk132907133"/>
      <w:r w:rsidR="009D2EA0">
        <w:rPr>
          <w:rFonts w:ascii="Times New Roman" w:hAnsi="Times New Roman" w:cs="Times New Roman"/>
          <w:noProof/>
          <w:sz w:val="24"/>
          <w:szCs w:val="24"/>
        </w:rPr>
        <w:t xml:space="preserve">ny changes to </w:t>
      </w:r>
      <w:r>
        <w:rPr>
          <w:rFonts w:ascii="Times New Roman" w:hAnsi="Times New Roman" w:cs="Times New Roman"/>
          <w:noProof/>
          <w:sz w:val="24"/>
          <w:szCs w:val="24"/>
        </w:rPr>
        <w:t xml:space="preserve">the PSD2 </w:t>
      </w:r>
      <w:r w:rsidR="009D2EA0">
        <w:rPr>
          <w:rFonts w:ascii="Times New Roman" w:hAnsi="Times New Roman" w:cs="Times New Roman"/>
          <w:noProof/>
          <w:sz w:val="24"/>
          <w:szCs w:val="24"/>
        </w:rPr>
        <w:t xml:space="preserve">liability </w:t>
      </w:r>
      <w:r>
        <w:rPr>
          <w:rFonts w:ascii="Times New Roman" w:hAnsi="Times New Roman" w:cs="Times New Roman"/>
          <w:noProof/>
          <w:sz w:val="24"/>
          <w:szCs w:val="24"/>
        </w:rPr>
        <w:t>framework s</w:t>
      </w:r>
      <w:r w:rsidR="009D2EA0">
        <w:rPr>
          <w:rFonts w:ascii="Times New Roman" w:hAnsi="Times New Roman" w:cs="Times New Roman"/>
          <w:noProof/>
          <w:sz w:val="24"/>
          <w:szCs w:val="24"/>
        </w:rPr>
        <w:t>hould contribute to reducing fraud</w:t>
      </w:r>
      <w:r>
        <w:rPr>
          <w:rFonts w:ascii="Times New Roman" w:hAnsi="Times New Roman" w:cs="Times New Roman"/>
          <w:noProof/>
          <w:sz w:val="24"/>
          <w:szCs w:val="24"/>
        </w:rPr>
        <w:t xml:space="preserve"> but </w:t>
      </w:r>
      <w:r w:rsidR="009D2EA0">
        <w:rPr>
          <w:rFonts w:ascii="Times New Roman" w:hAnsi="Times New Roman" w:cs="Times New Roman"/>
          <w:noProof/>
          <w:sz w:val="24"/>
          <w:szCs w:val="24"/>
        </w:rPr>
        <w:t xml:space="preserve">without creating </w:t>
      </w:r>
      <w:r w:rsidR="00DF1032">
        <w:rPr>
          <w:rFonts w:ascii="Times New Roman" w:hAnsi="Times New Roman" w:cs="Times New Roman"/>
          <w:noProof/>
          <w:sz w:val="24"/>
          <w:szCs w:val="24"/>
        </w:rPr>
        <w:t xml:space="preserve">a new </w:t>
      </w:r>
      <w:r w:rsidR="009D2EA0">
        <w:rPr>
          <w:rFonts w:ascii="Times New Roman" w:hAnsi="Times New Roman" w:cs="Times New Roman"/>
          <w:noProof/>
          <w:sz w:val="24"/>
          <w:szCs w:val="24"/>
        </w:rPr>
        <w:t>moral hazard</w:t>
      </w:r>
      <w:r w:rsidR="003E6C37">
        <w:rPr>
          <w:rFonts w:ascii="Times New Roman" w:hAnsi="Times New Roman" w:cs="Times New Roman"/>
          <w:noProof/>
          <w:sz w:val="24"/>
          <w:szCs w:val="24"/>
        </w:rPr>
        <w:t>, which a general refund right could create,</w:t>
      </w:r>
      <w:r w:rsidR="009D2EA0">
        <w:rPr>
          <w:rFonts w:ascii="Times New Roman" w:hAnsi="Times New Roman" w:cs="Times New Roman"/>
          <w:noProof/>
          <w:sz w:val="24"/>
          <w:szCs w:val="24"/>
        </w:rPr>
        <w:t xml:space="preserve"> or simply </w:t>
      </w:r>
      <w:r w:rsidR="00011317">
        <w:rPr>
          <w:rFonts w:ascii="Times New Roman" w:hAnsi="Times New Roman" w:cs="Times New Roman"/>
          <w:noProof/>
          <w:sz w:val="24"/>
          <w:szCs w:val="24"/>
        </w:rPr>
        <w:t>r</w:t>
      </w:r>
      <w:r w:rsidR="009D2EA0">
        <w:rPr>
          <w:rFonts w:ascii="Times New Roman" w:hAnsi="Times New Roman" w:cs="Times New Roman"/>
          <w:noProof/>
          <w:sz w:val="24"/>
          <w:szCs w:val="24"/>
        </w:rPr>
        <w:t xml:space="preserve">eallocating the </w:t>
      </w:r>
      <w:r w:rsidR="005D2AE6">
        <w:rPr>
          <w:rFonts w:ascii="Times New Roman" w:hAnsi="Times New Roman" w:cs="Times New Roman"/>
          <w:noProof/>
          <w:sz w:val="24"/>
          <w:szCs w:val="24"/>
        </w:rPr>
        <w:t xml:space="preserve">financial </w:t>
      </w:r>
      <w:r w:rsidR="009D2EA0">
        <w:rPr>
          <w:rFonts w:ascii="Times New Roman" w:hAnsi="Times New Roman" w:cs="Times New Roman"/>
          <w:noProof/>
          <w:sz w:val="24"/>
          <w:szCs w:val="24"/>
        </w:rPr>
        <w:t>consequences of fra</w:t>
      </w:r>
      <w:r w:rsidR="00333353">
        <w:rPr>
          <w:rFonts w:ascii="Times New Roman" w:hAnsi="Times New Roman" w:cs="Times New Roman"/>
          <w:noProof/>
          <w:sz w:val="24"/>
          <w:szCs w:val="24"/>
        </w:rPr>
        <w:t>u</w:t>
      </w:r>
      <w:r w:rsidR="009D2EA0">
        <w:rPr>
          <w:rFonts w:ascii="Times New Roman" w:hAnsi="Times New Roman" w:cs="Times New Roman"/>
          <w:noProof/>
          <w:sz w:val="24"/>
          <w:szCs w:val="24"/>
        </w:rPr>
        <w:t>d.</w:t>
      </w:r>
      <w:bookmarkEnd w:id="41"/>
      <w:r w:rsidR="009D2EA0">
        <w:rPr>
          <w:rFonts w:ascii="Times New Roman" w:hAnsi="Times New Roman" w:cs="Times New Roman"/>
          <w:noProof/>
          <w:sz w:val="24"/>
          <w:szCs w:val="24"/>
        </w:rPr>
        <w:t xml:space="preserve"> </w:t>
      </w:r>
      <w:r w:rsidR="00DE41E7">
        <w:rPr>
          <w:rFonts w:ascii="Times New Roman" w:hAnsi="Times New Roman" w:cs="Times New Roman"/>
          <w:noProof/>
          <w:sz w:val="24"/>
          <w:szCs w:val="24"/>
        </w:rPr>
        <w:t>It</w:t>
      </w:r>
      <w:r w:rsidR="00585DC5" w:rsidRPr="00585DC5">
        <w:rPr>
          <w:rFonts w:ascii="Times New Roman" w:hAnsi="Times New Roman" w:cs="Times New Roman"/>
          <w:noProof/>
          <w:sz w:val="24"/>
          <w:szCs w:val="24"/>
        </w:rPr>
        <w:t xml:space="preserve"> </w:t>
      </w:r>
      <w:r w:rsidR="009D2EA0">
        <w:rPr>
          <w:rFonts w:ascii="Times New Roman" w:hAnsi="Times New Roman" w:cs="Times New Roman"/>
          <w:noProof/>
          <w:sz w:val="24"/>
          <w:szCs w:val="24"/>
        </w:rPr>
        <w:t xml:space="preserve">therefore </w:t>
      </w:r>
      <w:r w:rsidR="00585DC5" w:rsidRPr="00585DC5">
        <w:rPr>
          <w:rFonts w:ascii="Times New Roman" w:hAnsi="Times New Roman" w:cs="Times New Roman"/>
          <w:noProof/>
          <w:sz w:val="24"/>
          <w:szCs w:val="24"/>
        </w:rPr>
        <w:t>proposes to introduce a</w:t>
      </w:r>
      <w:r>
        <w:rPr>
          <w:rFonts w:ascii="Times New Roman" w:hAnsi="Times New Roman" w:cs="Times New Roman"/>
          <w:noProof/>
          <w:sz w:val="24"/>
          <w:szCs w:val="24"/>
        </w:rPr>
        <w:t xml:space="preserve">dditional </w:t>
      </w:r>
      <w:r w:rsidR="00585DC5" w:rsidRPr="00585DC5">
        <w:rPr>
          <w:rFonts w:ascii="Times New Roman" w:hAnsi="Times New Roman" w:cs="Times New Roman"/>
          <w:noProof/>
          <w:sz w:val="24"/>
          <w:szCs w:val="24"/>
        </w:rPr>
        <w:t>refund right</w:t>
      </w:r>
      <w:r w:rsidR="00BA772B">
        <w:rPr>
          <w:rFonts w:ascii="Times New Roman" w:hAnsi="Times New Roman" w:cs="Times New Roman"/>
          <w:noProof/>
          <w:sz w:val="24"/>
          <w:szCs w:val="24"/>
        </w:rPr>
        <w:t>s</w:t>
      </w:r>
      <w:r w:rsidR="00585DC5" w:rsidRPr="00585DC5">
        <w:rPr>
          <w:rFonts w:ascii="Times New Roman" w:hAnsi="Times New Roman" w:cs="Times New Roman"/>
          <w:noProof/>
          <w:sz w:val="24"/>
          <w:szCs w:val="24"/>
        </w:rPr>
        <w:t xml:space="preserve"> for consumers</w:t>
      </w:r>
      <w:r w:rsidR="003837BC">
        <w:rPr>
          <w:rFonts w:ascii="Times New Roman" w:hAnsi="Times New Roman" w:cs="Times New Roman"/>
          <w:noProof/>
          <w:sz w:val="24"/>
          <w:szCs w:val="24"/>
        </w:rPr>
        <w:t xml:space="preserve"> beyond </w:t>
      </w:r>
      <w:r w:rsidR="00DF1032">
        <w:rPr>
          <w:rFonts w:ascii="Times New Roman" w:hAnsi="Times New Roman" w:cs="Times New Roman"/>
          <w:noProof/>
          <w:sz w:val="24"/>
          <w:szCs w:val="24"/>
        </w:rPr>
        <w:t xml:space="preserve">for </w:t>
      </w:r>
      <w:r w:rsidR="003837BC">
        <w:rPr>
          <w:rFonts w:ascii="Times New Roman" w:hAnsi="Times New Roman" w:cs="Times New Roman"/>
          <w:noProof/>
          <w:sz w:val="24"/>
          <w:szCs w:val="24"/>
        </w:rPr>
        <w:t>unauthorised transactions</w:t>
      </w:r>
      <w:r>
        <w:rPr>
          <w:rFonts w:ascii="Times New Roman" w:hAnsi="Times New Roman" w:cs="Times New Roman"/>
          <w:noProof/>
          <w:sz w:val="24"/>
          <w:szCs w:val="24"/>
        </w:rPr>
        <w:t xml:space="preserve">, but only for some specific </w:t>
      </w:r>
      <w:r w:rsidR="00DE41E7">
        <w:rPr>
          <w:rFonts w:ascii="Times New Roman" w:hAnsi="Times New Roman" w:cs="Times New Roman"/>
          <w:noProof/>
          <w:sz w:val="24"/>
          <w:szCs w:val="24"/>
        </w:rPr>
        <w:t>situations</w:t>
      </w:r>
      <w:r w:rsidR="003837BC">
        <w:rPr>
          <w:rFonts w:ascii="Times New Roman" w:hAnsi="Times New Roman" w:cs="Times New Roman"/>
          <w:noProof/>
          <w:sz w:val="24"/>
          <w:szCs w:val="24"/>
        </w:rPr>
        <w:t xml:space="preserve"> -</w:t>
      </w:r>
      <w:r w:rsidR="00DE41E7">
        <w:rPr>
          <w:rFonts w:ascii="Times New Roman" w:hAnsi="Times New Roman" w:cs="Times New Roman"/>
          <w:noProof/>
          <w:sz w:val="24"/>
          <w:szCs w:val="24"/>
        </w:rPr>
        <w:t xml:space="preserve"> </w:t>
      </w:r>
      <w:r w:rsidR="003837BC">
        <w:rPr>
          <w:rFonts w:ascii="Times New Roman" w:hAnsi="Times New Roman" w:cs="Times New Roman"/>
          <w:noProof/>
          <w:sz w:val="24"/>
          <w:szCs w:val="24"/>
        </w:rPr>
        <w:t>and subject to some conditions</w:t>
      </w:r>
      <w:r w:rsidR="00DF1032">
        <w:rPr>
          <w:rFonts w:ascii="Times New Roman" w:hAnsi="Times New Roman" w:cs="Times New Roman"/>
          <w:noProof/>
          <w:sz w:val="24"/>
          <w:szCs w:val="24"/>
        </w:rPr>
        <w:t xml:space="preserve">. The logic followed by the Commission is that </w:t>
      </w:r>
      <w:r w:rsidR="003837BC">
        <w:rPr>
          <w:rFonts w:ascii="Times New Roman" w:hAnsi="Times New Roman" w:cs="Times New Roman"/>
          <w:noProof/>
          <w:sz w:val="24"/>
          <w:szCs w:val="24"/>
        </w:rPr>
        <w:t xml:space="preserve">where, because of its actions or inactions, the </w:t>
      </w:r>
      <w:r w:rsidR="00AC118D">
        <w:rPr>
          <w:rFonts w:ascii="Times New Roman" w:hAnsi="Times New Roman" w:cs="Times New Roman"/>
          <w:noProof/>
          <w:sz w:val="24"/>
          <w:szCs w:val="24"/>
        </w:rPr>
        <w:t xml:space="preserve">payment service provider’s </w:t>
      </w:r>
      <w:r w:rsidR="003837BC">
        <w:rPr>
          <w:rFonts w:ascii="Times New Roman" w:hAnsi="Times New Roman" w:cs="Times New Roman"/>
          <w:noProof/>
          <w:sz w:val="24"/>
          <w:szCs w:val="24"/>
        </w:rPr>
        <w:t>liability can be considered as engaged</w:t>
      </w:r>
      <w:r w:rsidR="00DF1032">
        <w:rPr>
          <w:rFonts w:ascii="Times New Roman" w:hAnsi="Times New Roman" w:cs="Times New Roman"/>
          <w:noProof/>
          <w:sz w:val="24"/>
          <w:szCs w:val="24"/>
        </w:rPr>
        <w:t xml:space="preserve"> a refund right may be justified</w:t>
      </w:r>
      <w:r w:rsidR="003837BC">
        <w:rPr>
          <w:rFonts w:ascii="Times New Roman" w:hAnsi="Times New Roman" w:cs="Times New Roman"/>
          <w:noProof/>
          <w:sz w:val="24"/>
          <w:szCs w:val="24"/>
        </w:rPr>
        <w:t xml:space="preserve">. </w:t>
      </w:r>
      <w:r>
        <w:rPr>
          <w:rFonts w:ascii="Times New Roman" w:hAnsi="Times New Roman" w:cs="Times New Roman"/>
          <w:noProof/>
          <w:sz w:val="24"/>
          <w:szCs w:val="24"/>
        </w:rPr>
        <w:t xml:space="preserve">One of these situations is where the consumer suffered </w:t>
      </w:r>
      <w:r w:rsidR="00BB7E4C">
        <w:rPr>
          <w:rFonts w:ascii="Times New Roman" w:hAnsi="Times New Roman" w:cs="Times New Roman"/>
          <w:noProof/>
          <w:sz w:val="24"/>
          <w:szCs w:val="24"/>
        </w:rPr>
        <w:t xml:space="preserve">damages </w:t>
      </w:r>
      <w:r>
        <w:rPr>
          <w:rFonts w:ascii="Times New Roman" w:hAnsi="Times New Roman" w:cs="Times New Roman"/>
          <w:noProof/>
          <w:sz w:val="24"/>
          <w:szCs w:val="24"/>
        </w:rPr>
        <w:t xml:space="preserve">caused </w:t>
      </w:r>
      <w:r w:rsidR="00BB7E4C">
        <w:rPr>
          <w:rFonts w:ascii="Times New Roman" w:hAnsi="Times New Roman" w:cs="Times New Roman"/>
          <w:noProof/>
          <w:sz w:val="24"/>
          <w:szCs w:val="24"/>
        </w:rPr>
        <w:t xml:space="preserve">by a failure of the </w:t>
      </w:r>
      <w:r w:rsidR="00361AD0" w:rsidRPr="00585DC5">
        <w:rPr>
          <w:rFonts w:ascii="Times New Roman" w:hAnsi="Times New Roman" w:cs="Times New Roman"/>
          <w:noProof/>
          <w:sz w:val="24"/>
          <w:szCs w:val="24"/>
        </w:rPr>
        <w:t>IBAN/name verification service</w:t>
      </w:r>
      <w:r>
        <w:rPr>
          <w:rFonts w:ascii="Times New Roman" w:hAnsi="Times New Roman" w:cs="Times New Roman"/>
          <w:noProof/>
          <w:sz w:val="24"/>
          <w:szCs w:val="24"/>
        </w:rPr>
        <w:t>. Another</w:t>
      </w:r>
      <w:r w:rsidR="00AC118D">
        <w:rPr>
          <w:rFonts w:ascii="Times New Roman" w:hAnsi="Times New Roman" w:cs="Times New Roman"/>
          <w:noProof/>
          <w:sz w:val="24"/>
          <w:szCs w:val="24"/>
        </w:rPr>
        <w:t xml:space="preserve"> </w:t>
      </w:r>
      <w:r>
        <w:rPr>
          <w:rFonts w:ascii="Times New Roman" w:hAnsi="Times New Roman" w:cs="Times New Roman"/>
          <w:noProof/>
          <w:sz w:val="24"/>
          <w:szCs w:val="24"/>
        </w:rPr>
        <w:t xml:space="preserve">situation where </w:t>
      </w:r>
      <w:r w:rsidR="004831E4">
        <w:rPr>
          <w:rFonts w:ascii="Times New Roman" w:hAnsi="Times New Roman" w:cs="Times New Roman"/>
          <w:noProof/>
          <w:sz w:val="24"/>
          <w:szCs w:val="24"/>
        </w:rPr>
        <w:t xml:space="preserve">a refund right would be </w:t>
      </w:r>
      <w:r w:rsidR="00DF1032">
        <w:rPr>
          <w:rFonts w:ascii="Times New Roman" w:hAnsi="Times New Roman" w:cs="Times New Roman"/>
          <w:noProof/>
          <w:sz w:val="24"/>
          <w:szCs w:val="24"/>
        </w:rPr>
        <w:t xml:space="preserve">warranted </w:t>
      </w:r>
      <w:r w:rsidR="004831E4">
        <w:rPr>
          <w:rFonts w:ascii="Times New Roman" w:hAnsi="Times New Roman" w:cs="Times New Roman"/>
          <w:noProof/>
          <w:sz w:val="24"/>
          <w:szCs w:val="24"/>
        </w:rPr>
        <w:t xml:space="preserve">is where </w:t>
      </w:r>
      <w:r>
        <w:rPr>
          <w:rFonts w:ascii="Times New Roman" w:hAnsi="Times New Roman" w:cs="Times New Roman"/>
          <w:noProof/>
          <w:sz w:val="24"/>
          <w:szCs w:val="24"/>
        </w:rPr>
        <w:t>a consumer is victim of a fraud where the fraudster pretends to be an employee of the consumer’s bank</w:t>
      </w:r>
      <w:r w:rsidR="00926316">
        <w:rPr>
          <w:rFonts w:ascii="Times New Roman" w:hAnsi="Times New Roman" w:cs="Times New Roman"/>
          <w:noProof/>
          <w:sz w:val="24"/>
          <w:szCs w:val="24"/>
        </w:rPr>
        <w:t>, for example</w:t>
      </w:r>
      <w:r w:rsidR="005D2AE6">
        <w:rPr>
          <w:rFonts w:ascii="Times New Roman" w:hAnsi="Times New Roman" w:cs="Times New Roman"/>
          <w:noProof/>
          <w:sz w:val="24"/>
          <w:szCs w:val="24"/>
        </w:rPr>
        <w:t xml:space="preserve"> </w:t>
      </w:r>
      <w:r w:rsidR="0073430F">
        <w:rPr>
          <w:rFonts w:ascii="Times New Roman" w:hAnsi="Times New Roman" w:cs="Times New Roman"/>
          <w:noProof/>
          <w:sz w:val="24"/>
          <w:szCs w:val="24"/>
        </w:rPr>
        <w:t>using the bank’s telephone number</w:t>
      </w:r>
      <w:r w:rsidR="003837BC">
        <w:rPr>
          <w:rFonts w:ascii="Times New Roman" w:hAnsi="Times New Roman" w:cs="Times New Roman"/>
          <w:noProof/>
          <w:sz w:val="24"/>
          <w:szCs w:val="24"/>
        </w:rPr>
        <w:t xml:space="preserve"> or e-mail address</w:t>
      </w:r>
      <w:r w:rsidR="0073430F">
        <w:rPr>
          <w:rFonts w:ascii="Times New Roman" w:hAnsi="Times New Roman" w:cs="Times New Roman"/>
          <w:noProof/>
          <w:sz w:val="24"/>
          <w:szCs w:val="24"/>
        </w:rPr>
        <w:t xml:space="preserve"> </w:t>
      </w:r>
      <w:r w:rsidR="005D2AE6">
        <w:rPr>
          <w:rFonts w:ascii="Times New Roman" w:hAnsi="Times New Roman" w:cs="Times New Roman"/>
          <w:noProof/>
          <w:sz w:val="24"/>
          <w:szCs w:val="24"/>
        </w:rPr>
        <w:t>(</w:t>
      </w:r>
      <w:r w:rsidR="0073430F">
        <w:rPr>
          <w:rFonts w:ascii="Times New Roman" w:hAnsi="Times New Roman" w:cs="Times New Roman"/>
          <w:noProof/>
          <w:sz w:val="24"/>
          <w:szCs w:val="24"/>
        </w:rPr>
        <w:t>“</w:t>
      </w:r>
      <w:r w:rsidR="00C042A4">
        <w:rPr>
          <w:rFonts w:ascii="Times New Roman" w:hAnsi="Times New Roman" w:cs="Times New Roman"/>
          <w:noProof/>
          <w:sz w:val="24"/>
          <w:szCs w:val="24"/>
        </w:rPr>
        <w:t>impersonation fraud</w:t>
      </w:r>
      <w:r w:rsidR="00AC118D">
        <w:rPr>
          <w:rFonts w:ascii="Times New Roman" w:hAnsi="Times New Roman" w:cs="Times New Roman"/>
          <w:noProof/>
          <w:sz w:val="24"/>
          <w:szCs w:val="24"/>
        </w:rPr>
        <w:t>”, or “</w:t>
      </w:r>
      <w:r w:rsidR="005D2AE6">
        <w:rPr>
          <w:rFonts w:ascii="Times New Roman" w:hAnsi="Times New Roman" w:cs="Times New Roman"/>
          <w:noProof/>
          <w:sz w:val="24"/>
          <w:szCs w:val="24"/>
        </w:rPr>
        <w:t>spoofing</w:t>
      </w:r>
      <w:r w:rsidR="0073430F">
        <w:rPr>
          <w:rFonts w:ascii="Times New Roman" w:hAnsi="Times New Roman" w:cs="Times New Roman"/>
          <w:noProof/>
          <w:sz w:val="24"/>
          <w:szCs w:val="24"/>
        </w:rPr>
        <w:t>”</w:t>
      </w:r>
      <w:r w:rsidR="005D2AE6">
        <w:rPr>
          <w:rFonts w:ascii="Times New Roman" w:hAnsi="Times New Roman" w:cs="Times New Roman"/>
          <w:noProof/>
          <w:sz w:val="24"/>
          <w:szCs w:val="24"/>
        </w:rPr>
        <w:t>)</w:t>
      </w:r>
      <w:r>
        <w:rPr>
          <w:rFonts w:ascii="Times New Roman" w:hAnsi="Times New Roman" w:cs="Times New Roman"/>
          <w:noProof/>
          <w:sz w:val="24"/>
          <w:szCs w:val="24"/>
        </w:rPr>
        <w:t xml:space="preserve">. </w:t>
      </w:r>
      <w:r w:rsidR="003837BC">
        <w:rPr>
          <w:rFonts w:ascii="Times New Roman" w:hAnsi="Times New Roman" w:cs="Times New Roman"/>
          <w:noProof/>
          <w:sz w:val="24"/>
          <w:szCs w:val="24"/>
        </w:rPr>
        <w:t xml:space="preserve"> In this latter case the </w:t>
      </w:r>
      <w:r w:rsidR="00926316">
        <w:rPr>
          <w:rFonts w:ascii="Times New Roman" w:hAnsi="Times New Roman" w:cs="Times New Roman"/>
          <w:noProof/>
          <w:sz w:val="24"/>
          <w:szCs w:val="24"/>
        </w:rPr>
        <w:t>PSP,</w:t>
      </w:r>
      <w:r w:rsidR="00AC118D">
        <w:rPr>
          <w:rFonts w:ascii="Times New Roman" w:hAnsi="Times New Roman" w:cs="Times New Roman"/>
          <w:noProof/>
          <w:sz w:val="24"/>
          <w:szCs w:val="24"/>
        </w:rPr>
        <w:t xml:space="preserve"> h</w:t>
      </w:r>
      <w:r w:rsidR="003837BC">
        <w:rPr>
          <w:rFonts w:ascii="Times New Roman" w:hAnsi="Times New Roman" w:cs="Times New Roman"/>
          <w:noProof/>
          <w:sz w:val="24"/>
          <w:szCs w:val="24"/>
        </w:rPr>
        <w:t xml:space="preserve">aving had its credentials and staff fraudulently </w:t>
      </w:r>
      <w:r w:rsidR="00AC118D">
        <w:rPr>
          <w:rFonts w:ascii="Times New Roman" w:hAnsi="Times New Roman" w:cs="Times New Roman"/>
          <w:noProof/>
          <w:sz w:val="24"/>
          <w:szCs w:val="24"/>
        </w:rPr>
        <w:t>usurped</w:t>
      </w:r>
      <w:r w:rsidR="00926316">
        <w:rPr>
          <w:rFonts w:ascii="Times New Roman" w:hAnsi="Times New Roman" w:cs="Times New Roman"/>
          <w:noProof/>
          <w:sz w:val="24"/>
          <w:szCs w:val="24"/>
        </w:rPr>
        <w:t>,</w:t>
      </w:r>
      <w:r w:rsidR="00AC118D">
        <w:rPr>
          <w:rFonts w:ascii="Times New Roman" w:hAnsi="Times New Roman" w:cs="Times New Roman"/>
          <w:noProof/>
          <w:sz w:val="24"/>
          <w:szCs w:val="24"/>
        </w:rPr>
        <w:t xml:space="preserve"> </w:t>
      </w:r>
      <w:r w:rsidR="00DF1032">
        <w:rPr>
          <w:rFonts w:ascii="Times New Roman" w:hAnsi="Times New Roman" w:cs="Times New Roman"/>
          <w:noProof/>
          <w:sz w:val="24"/>
          <w:szCs w:val="24"/>
        </w:rPr>
        <w:t xml:space="preserve">could </w:t>
      </w:r>
      <w:r w:rsidR="003837BC">
        <w:rPr>
          <w:rFonts w:ascii="Times New Roman" w:hAnsi="Times New Roman" w:cs="Times New Roman"/>
          <w:noProof/>
          <w:sz w:val="24"/>
          <w:szCs w:val="24"/>
        </w:rPr>
        <w:t xml:space="preserve">be considered as a victim as well, like the consumer. However, in a </w:t>
      </w:r>
      <w:r w:rsidR="00AC118D">
        <w:rPr>
          <w:rFonts w:ascii="Times New Roman" w:hAnsi="Times New Roman" w:cs="Times New Roman"/>
          <w:noProof/>
          <w:sz w:val="24"/>
          <w:szCs w:val="24"/>
        </w:rPr>
        <w:t xml:space="preserve">growing </w:t>
      </w:r>
      <w:r w:rsidR="003837BC">
        <w:rPr>
          <w:rFonts w:ascii="Times New Roman" w:hAnsi="Times New Roman" w:cs="Times New Roman"/>
          <w:noProof/>
          <w:sz w:val="24"/>
          <w:szCs w:val="24"/>
        </w:rPr>
        <w:t xml:space="preserve">number of Member States banks, </w:t>
      </w:r>
      <w:r w:rsidR="00AC118D">
        <w:rPr>
          <w:rFonts w:ascii="Times New Roman" w:hAnsi="Times New Roman" w:cs="Times New Roman"/>
          <w:noProof/>
          <w:sz w:val="24"/>
          <w:szCs w:val="24"/>
        </w:rPr>
        <w:t xml:space="preserve">rightly </w:t>
      </w:r>
      <w:r w:rsidR="003837BC">
        <w:rPr>
          <w:rFonts w:ascii="Times New Roman" w:hAnsi="Times New Roman" w:cs="Times New Roman"/>
          <w:noProof/>
          <w:sz w:val="24"/>
          <w:szCs w:val="24"/>
        </w:rPr>
        <w:t>concerned by the impact of such fraud of their reputation</w:t>
      </w:r>
      <w:r w:rsidR="00AC118D">
        <w:rPr>
          <w:rFonts w:ascii="Times New Roman" w:hAnsi="Times New Roman" w:cs="Times New Roman"/>
          <w:noProof/>
          <w:sz w:val="24"/>
          <w:szCs w:val="24"/>
        </w:rPr>
        <w:t xml:space="preserve"> and on consumers</w:t>
      </w:r>
      <w:r w:rsidR="00926316">
        <w:rPr>
          <w:rFonts w:ascii="Times New Roman" w:hAnsi="Times New Roman" w:cs="Times New Roman"/>
          <w:noProof/>
          <w:sz w:val="24"/>
          <w:szCs w:val="24"/>
        </w:rPr>
        <w:t>’</w:t>
      </w:r>
      <w:r w:rsidR="00AC118D">
        <w:rPr>
          <w:rFonts w:ascii="Times New Roman" w:hAnsi="Times New Roman" w:cs="Times New Roman"/>
          <w:noProof/>
          <w:sz w:val="24"/>
          <w:szCs w:val="24"/>
        </w:rPr>
        <w:t xml:space="preserve"> trust in the banking system</w:t>
      </w:r>
      <w:r w:rsidR="003837BC">
        <w:rPr>
          <w:rFonts w:ascii="Times New Roman" w:hAnsi="Times New Roman" w:cs="Times New Roman"/>
          <w:noProof/>
          <w:sz w:val="24"/>
          <w:szCs w:val="24"/>
        </w:rPr>
        <w:t xml:space="preserve">, increasingly </w:t>
      </w:r>
      <w:r w:rsidR="00DF1032">
        <w:rPr>
          <w:rFonts w:ascii="Times New Roman" w:hAnsi="Times New Roman" w:cs="Times New Roman"/>
          <w:noProof/>
          <w:sz w:val="24"/>
          <w:szCs w:val="24"/>
        </w:rPr>
        <w:t xml:space="preserve">choose to </w:t>
      </w:r>
      <w:r w:rsidR="003837BC">
        <w:rPr>
          <w:rFonts w:ascii="Times New Roman" w:hAnsi="Times New Roman" w:cs="Times New Roman"/>
          <w:noProof/>
          <w:sz w:val="24"/>
          <w:szCs w:val="24"/>
        </w:rPr>
        <w:t xml:space="preserve">refund such fraudulent </w:t>
      </w:r>
      <w:r w:rsidR="00AC118D">
        <w:rPr>
          <w:rFonts w:ascii="Times New Roman" w:hAnsi="Times New Roman" w:cs="Times New Roman"/>
          <w:noProof/>
          <w:sz w:val="24"/>
          <w:szCs w:val="24"/>
        </w:rPr>
        <w:t xml:space="preserve">“spoofing” </w:t>
      </w:r>
      <w:r w:rsidR="003837BC">
        <w:rPr>
          <w:rFonts w:ascii="Times New Roman" w:hAnsi="Times New Roman" w:cs="Times New Roman"/>
          <w:noProof/>
          <w:sz w:val="24"/>
          <w:szCs w:val="24"/>
        </w:rPr>
        <w:t>transactions</w:t>
      </w:r>
      <w:r w:rsidR="00DF1032">
        <w:rPr>
          <w:rFonts w:ascii="Times New Roman" w:hAnsi="Times New Roman" w:cs="Times New Roman"/>
          <w:noProof/>
          <w:sz w:val="24"/>
          <w:szCs w:val="24"/>
        </w:rPr>
        <w:t xml:space="preserve">. </w:t>
      </w:r>
      <w:r w:rsidR="003837BC">
        <w:rPr>
          <w:rFonts w:ascii="Times New Roman" w:hAnsi="Times New Roman" w:cs="Times New Roman"/>
          <w:noProof/>
          <w:sz w:val="24"/>
          <w:szCs w:val="24"/>
        </w:rPr>
        <w:t>Some national court ruling</w:t>
      </w:r>
      <w:r w:rsidR="004831E4">
        <w:rPr>
          <w:rFonts w:ascii="Times New Roman" w:hAnsi="Times New Roman" w:cs="Times New Roman"/>
          <w:noProof/>
          <w:sz w:val="24"/>
          <w:szCs w:val="24"/>
        </w:rPr>
        <w:t>s</w:t>
      </w:r>
      <w:r w:rsidR="003837BC">
        <w:rPr>
          <w:rFonts w:ascii="Times New Roman" w:hAnsi="Times New Roman" w:cs="Times New Roman"/>
          <w:noProof/>
          <w:sz w:val="24"/>
          <w:szCs w:val="24"/>
        </w:rPr>
        <w:t xml:space="preserve"> </w:t>
      </w:r>
      <w:r w:rsidR="004831E4">
        <w:rPr>
          <w:rFonts w:ascii="Times New Roman" w:hAnsi="Times New Roman" w:cs="Times New Roman"/>
          <w:noProof/>
          <w:sz w:val="24"/>
          <w:szCs w:val="24"/>
        </w:rPr>
        <w:t xml:space="preserve">seem to follow the same trend. </w:t>
      </w:r>
      <w:r w:rsidR="00B30B44">
        <w:rPr>
          <w:rFonts w:ascii="Times New Roman" w:hAnsi="Times New Roman" w:cs="Times New Roman"/>
          <w:noProof/>
          <w:sz w:val="24"/>
          <w:szCs w:val="24"/>
        </w:rPr>
        <w:t xml:space="preserve">It is however indispensable to have some exceptions </w:t>
      </w:r>
      <w:r w:rsidR="00AC118D">
        <w:rPr>
          <w:rFonts w:ascii="Times New Roman" w:hAnsi="Times New Roman" w:cs="Times New Roman"/>
          <w:noProof/>
          <w:sz w:val="24"/>
          <w:szCs w:val="24"/>
        </w:rPr>
        <w:t xml:space="preserve">and safeguards </w:t>
      </w:r>
      <w:r w:rsidR="00B30B44">
        <w:rPr>
          <w:rFonts w:ascii="Times New Roman" w:hAnsi="Times New Roman" w:cs="Times New Roman"/>
          <w:noProof/>
          <w:sz w:val="24"/>
          <w:szCs w:val="24"/>
        </w:rPr>
        <w:t>to such refund right</w:t>
      </w:r>
      <w:r w:rsidR="00AC118D">
        <w:rPr>
          <w:rFonts w:ascii="Times New Roman" w:hAnsi="Times New Roman" w:cs="Times New Roman"/>
          <w:noProof/>
          <w:sz w:val="24"/>
          <w:szCs w:val="24"/>
        </w:rPr>
        <w:t>s</w:t>
      </w:r>
      <w:r w:rsidR="00B30B44">
        <w:rPr>
          <w:rFonts w:ascii="Times New Roman" w:hAnsi="Times New Roman" w:cs="Times New Roman"/>
          <w:noProof/>
          <w:sz w:val="24"/>
          <w:szCs w:val="24"/>
        </w:rPr>
        <w:t xml:space="preserve">, in particular where there is gross negligence </w:t>
      </w:r>
      <w:r w:rsidR="00DF1032">
        <w:rPr>
          <w:rFonts w:ascii="Times New Roman" w:hAnsi="Times New Roman" w:cs="Times New Roman"/>
          <w:noProof/>
          <w:sz w:val="24"/>
          <w:szCs w:val="24"/>
        </w:rPr>
        <w:t xml:space="preserve">by the consumer </w:t>
      </w:r>
      <w:r w:rsidR="00B30B44">
        <w:rPr>
          <w:rFonts w:ascii="Times New Roman" w:hAnsi="Times New Roman" w:cs="Times New Roman"/>
          <w:noProof/>
          <w:sz w:val="24"/>
          <w:szCs w:val="24"/>
        </w:rPr>
        <w:t xml:space="preserve">or where the consumer is part of the </w:t>
      </w:r>
      <w:r w:rsidR="00AC118D">
        <w:rPr>
          <w:rFonts w:ascii="Times New Roman" w:hAnsi="Times New Roman" w:cs="Times New Roman"/>
          <w:noProof/>
          <w:sz w:val="24"/>
          <w:szCs w:val="24"/>
        </w:rPr>
        <w:t>scam</w:t>
      </w:r>
      <w:r w:rsidR="00B30B44">
        <w:rPr>
          <w:rFonts w:ascii="Times New Roman" w:hAnsi="Times New Roman" w:cs="Times New Roman"/>
          <w:noProof/>
          <w:sz w:val="24"/>
          <w:szCs w:val="24"/>
        </w:rPr>
        <w:t xml:space="preserve">. </w:t>
      </w:r>
    </w:p>
    <w:p w14:paraId="505CAB18" w14:textId="580010C5" w:rsidR="00585DC5" w:rsidRDefault="00BB7E4C"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t>
      </w:r>
      <w:r w:rsidR="00BA772B">
        <w:rPr>
          <w:rFonts w:ascii="Times New Roman" w:hAnsi="Times New Roman" w:cs="Times New Roman"/>
          <w:noProof/>
          <w:sz w:val="24"/>
          <w:szCs w:val="24"/>
        </w:rPr>
        <w:t xml:space="preserve">accords </w:t>
      </w:r>
      <w:r>
        <w:rPr>
          <w:rFonts w:ascii="Times New Roman" w:hAnsi="Times New Roman" w:cs="Times New Roman"/>
          <w:noProof/>
          <w:sz w:val="24"/>
          <w:szCs w:val="24"/>
        </w:rPr>
        <w:t xml:space="preserve">utmost importance to the issue of fraud. It will closely monitor the evolution of payment fraud, in cooperation with consumer organisations, and will be ready, should it become necessary, to propose adjustments to the legal framework, including on further broadening the </w:t>
      </w:r>
      <w:r w:rsidR="00926316">
        <w:rPr>
          <w:rFonts w:ascii="Times New Roman" w:hAnsi="Times New Roman" w:cs="Times New Roman"/>
          <w:noProof/>
          <w:sz w:val="24"/>
          <w:szCs w:val="24"/>
        </w:rPr>
        <w:t xml:space="preserve">shift </w:t>
      </w:r>
      <w:r w:rsidR="00B9077F">
        <w:rPr>
          <w:rFonts w:ascii="Times New Roman" w:hAnsi="Times New Roman" w:cs="Times New Roman"/>
          <w:noProof/>
          <w:sz w:val="24"/>
          <w:szCs w:val="24"/>
        </w:rPr>
        <w:t>of</w:t>
      </w:r>
      <w:r w:rsidR="00926316">
        <w:rPr>
          <w:rFonts w:ascii="Times New Roman" w:hAnsi="Times New Roman" w:cs="Times New Roman"/>
          <w:noProof/>
          <w:sz w:val="24"/>
          <w:szCs w:val="24"/>
        </w:rPr>
        <w:t xml:space="preserve"> </w:t>
      </w:r>
      <w:r>
        <w:rPr>
          <w:rFonts w:ascii="Times New Roman" w:hAnsi="Times New Roman" w:cs="Times New Roman"/>
          <w:noProof/>
          <w:sz w:val="24"/>
          <w:szCs w:val="24"/>
        </w:rPr>
        <w:t xml:space="preserve">liability. </w:t>
      </w:r>
      <w:r w:rsidR="00D17C98">
        <w:rPr>
          <w:rFonts w:ascii="Times New Roman" w:hAnsi="Times New Roman" w:cs="Times New Roman"/>
          <w:noProof/>
          <w:sz w:val="24"/>
          <w:szCs w:val="24"/>
        </w:rPr>
        <w:t>The Commission expects every actor of the payment chain, private or public, regulated or not, to play its full part in fraud prevention. Merchants, payment schemes, technical services providers</w:t>
      </w:r>
      <w:r w:rsidR="003837BC">
        <w:rPr>
          <w:rFonts w:ascii="Times New Roman" w:hAnsi="Times New Roman" w:cs="Times New Roman"/>
          <w:noProof/>
          <w:sz w:val="24"/>
          <w:szCs w:val="24"/>
        </w:rPr>
        <w:t>, m</w:t>
      </w:r>
      <w:r w:rsidR="00D17C98">
        <w:rPr>
          <w:rFonts w:ascii="Times New Roman" w:hAnsi="Times New Roman" w:cs="Times New Roman"/>
          <w:noProof/>
          <w:sz w:val="24"/>
          <w:szCs w:val="24"/>
        </w:rPr>
        <w:t>obile network operators</w:t>
      </w:r>
      <w:r w:rsidR="003837BC">
        <w:rPr>
          <w:rFonts w:ascii="Times New Roman" w:hAnsi="Times New Roman" w:cs="Times New Roman"/>
          <w:noProof/>
          <w:sz w:val="24"/>
          <w:szCs w:val="24"/>
        </w:rPr>
        <w:t>, internet platforms</w:t>
      </w:r>
      <w:r w:rsidR="00926316">
        <w:rPr>
          <w:rFonts w:ascii="Times New Roman" w:hAnsi="Times New Roman" w:cs="Times New Roman"/>
          <w:noProof/>
          <w:sz w:val="24"/>
          <w:szCs w:val="24"/>
        </w:rPr>
        <w:t xml:space="preserve"> and others</w:t>
      </w:r>
      <w:r w:rsidR="00D17C98">
        <w:rPr>
          <w:rFonts w:ascii="Times New Roman" w:hAnsi="Times New Roman" w:cs="Times New Roman"/>
          <w:noProof/>
          <w:sz w:val="24"/>
          <w:szCs w:val="24"/>
        </w:rPr>
        <w:t xml:space="preserve"> should </w:t>
      </w:r>
      <w:r w:rsidR="00F805F2">
        <w:rPr>
          <w:rFonts w:ascii="Times New Roman" w:hAnsi="Times New Roman" w:cs="Times New Roman"/>
          <w:noProof/>
          <w:sz w:val="24"/>
          <w:szCs w:val="24"/>
        </w:rPr>
        <w:t>fully</w:t>
      </w:r>
      <w:r w:rsidR="00D17C98">
        <w:rPr>
          <w:rFonts w:ascii="Times New Roman" w:hAnsi="Times New Roman" w:cs="Times New Roman"/>
          <w:noProof/>
          <w:sz w:val="24"/>
          <w:szCs w:val="24"/>
        </w:rPr>
        <w:t xml:space="preserve"> </w:t>
      </w:r>
      <w:r w:rsidR="00201319">
        <w:rPr>
          <w:rFonts w:ascii="Times New Roman" w:hAnsi="Times New Roman" w:cs="Times New Roman"/>
          <w:noProof/>
          <w:sz w:val="24"/>
          <w:szCs w:val="24"/>
        </w:rPr>
        <w:t xml:space="preserve">play their part </w:t>
      </w:r>
      <w:r w:rsidR="00926316">
        <w:rPr>
          <w:rFonts w:ascii="Times New Roman" w:hAnsi="Times New Roman" w:cs="Times New Roman"/>
          <w:noProof/>
          <w:sz w:val="24"/>
          <w:szCs w:val="24"/>
        </w:rPr>
        <w:t xml:space="preserve">in </w:t>
      </w:r>
      <w:r w:rsidR="00D17C98">
        <w:rPr>
          <w:rFonts w:ascii="Times New Roman" w:hAnsi="Times New Roman" w:cs="Times New Roman"/>
          <w:noProof/>
          <w:sz w:val="24"/>
          <w:szCs w:val="24"/>
        </w:rPr>
        <w:t xml:space="preserve">the collective effort alongside the </w:t>
      </w:r>
      <w:r w:rsidR="00175F55">
        <w:rPr>
          <w:rFonts w:ascii="Times New Roman" w:hAnsi="Times New Roman" w:cs="Times New Roman"/>
          <w:noProof/>
          <w:sz w:val="24"/>
          <w:szCs w:val="24"/>
        </w:rPr>
        <w:t>regulated</w:t>
      </w:r>
      <w:r w:rsidR="00D17C98">
        <w:rPr>
          <w:rFonts w:ascii="Times New Roman" w:hAnsi="Times New Roman" w:cs="Times New Roman"/>
          <w:noProof/>
          <w:sz w:val="24"/>
          <w:szCs w:val="24"/>
        </w:rPr>
        <w:t xml:space="preserve"> </w:t>
      </w:r>
      <w:r w:rsidR="00926316">
        <w:rPr>
          <w:rFonts w:ascii="Times New Roman" w:hAnsi="Times New Roman" w:cs="Times New Roman"/>
          <w:noProof/>
          <w:sz w:val="24"/>
          <w:szCs w:val="24"/>
        </w:rPr>
        <w:t>PSPs</w:t>
      </w:r>
      <w:r w:rsidR="00201319">
        <w:rPr>
          <w:rFonts w:ascii="Times New Roman" w:hAnsi="Times New Roman" w:cs="Times New Roman"/>
          <w:noProof/>
          <w:sz w:val="24"/>
          <w:szCs w:val="24"/>
        </w:rPr>
        <w:t>,</w:t>
      </w:r>
      <w:r w:rsidR="009621B9">
        <w:rPr>
          <w:rFonts w:ascii="Times New Roman" w:hAnsi="Times New Roman" w:cs="Times New Roman"/>
          <w:noProof/>
          <w:sz w:val="24"/>
          <w:szCs w:val="24"/>
        </w:rPr>
        <w:t xml:space="preserve"> and their liability could in some situations be engaged as well</w:t>
      </w:r>
      <w:r w:rsidR="00D17C98">
        <w:rPr>
          <w:rFonts w:ascii="Times New Roman" w:hAnsi="Times New Roman" w:cs="Times New Roman"/>
          <w:noProof/>
          <w:sz w:val="24"/>
          <w:szCs w:val="24"/>
        </w:rPr>
        <w:t>.</w:t>
      </w:r>
    </w:p>
    <w:p w14:paraId="0DFCE7AD" w14:textId="6FC08101"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2" w:name="_Toc138066883"/>
      <w:r w:rsidRPr="008010AD">
        <w:rPr>
          <w:rFonts w:ascii="Times New Roman" w:hAnsi="Times New Roman" w:cs="Times New Roman"/>
          <w:noProof/>
          <w:color w:val="auto"/>
          <w:sz w:val="24"/>
          <w:szCs w:val="24"/>
          <w:u w:val="single"/>
        </w:rPr>
        <w:t>De</w:t>
      </w:r>
      <w:r w:rsidR="000346C3">
        <w:rPr>
          <w:rFonts w:ascii="Times New Roman" w:hAnsi="Times New Roman" w:cs="Times New Roman"/>
          <w:noProof/>
          <w:color w:val="auto"/>
          <w:sz w:val="24"/>
          <w:szCs w:val="24"/>
          <w:u w:val="single"/>
        </w:rPr>
        <w:t>-</w:t>
      </w:r>
      <w:r w:rsidRPr="008010AD">
        <w:rPr>
          <w:rFonts w:ascii="Times New Roman" w:hAnsi="Times New Roman" w:cs="Times New Roman"/>
          <w:noProof/>
          <w:color w:val="auto"/>
          <w:sz w:val="24"/>
          <w:szCs w:val="24"/>
          <w:u w:val="single"/>
        </w:rPr>
        <w:t>risking and competition-related issues</w:t>
      </w:r>
      <w:r w:rsidR="00E43026">
        <w:rPr>
          <w:rStyle w:val="FootnoteReference"/>
          <w:rFonts w:ascii="Times New Roman" w:hAnsi="Times New Roman" w:cs="Times New Roman"/>
          <w:noProof/>
          <w:color w:val="auto"/>
          <w:sz w:val="24"/>
          <w:szCs w:val="24"/>
          <w:u w:val="single"/>
        </w:rPr>
        <w:footnoteReference w:id="40"/>
      </w:r>
      <w:bookmarkEnd w:id="42"/>
    </w:p>
    <w:p w14:paraId="3896E763" w14:textId="0143DC5E" w:rsidR="00B94B83" w:rsidRDefault="00B94B83" w:rsidP="00BD71BE">
      <w:pPr>
        <w:spacing w:before="120" w:after="120" w:line="240" w:lineRule="auto"/>
        <w:jc w:val="both"/>
        <w:rPr>
          <w:rFonts w:ascii="Times New Roman" w:hAnsi="Times New Roman" w:cs="Times New Roman"/>
          <w:noProof/>
          <w:sz w:val="24"/>
          <w:szCs w:val="24"/>
        </w:rPr>
      </w:pPr>
      <w:r w:rsidRPr="00B94B83">
        <w:rPr>
          <w:rFonts w:ascii="Times New Roman" w:hAnsi="Times New Roman" w:cs="Times New Roman"/>
          <w:noProof/>
          <w:sz w:val="24"/>
          <w:szCs w:val="24"/>
        </w:rPr>
        <w:t>Non-bank PSPs</w:t>
      </w:r>
      <w:r>
        <w:rPr>
          <w:rFonts w:ascii="Times New Roman" w:hAnsi="Times New Roman" w:cs="Times New Roman"/>
          <w:noProof/>
          <w:sz w:val="24"/>
          <w:szCs w:val="24"/>
        </w:rPr>
        <w:t xml:space="preserve"> have grown in numbers and importance since </w:t>
      </w:r>
      <w:r w:rsidR="0001137E">
        <w:rPr>
          <w:rFonts w:ascii="Times New Roman" w:hAnsi="Times New Roman" w:cs="Times New Roman"/>
          <w:noProof/>
          <w:sz w:val="24"/>
          <w:szCs w:val="24"/>
        </w:rPr>
        <w:t xml:space="preserve">the </w:t>
      </w:r>
      <w:r>
        <w:rPr>
          <w:rFonts w:ascii="Times New Roman" w:hAnsi="Times New Roman" w:cs="Times New Roman"/>
          <w:noProof/>
          <w:sz w:val="24"/>
          <w:szCs w:val="24"/>
        </w:rPr>
        <w:t>entry into force</w:t>
      </w:r>
      <w:r w:rsidR="0001137E">
        <w:rPr>
          <w:rFonts w:ascii="Times New Roman" w:hAnsi="Times New Roman" w:cs="Times New Roman"/>
          <w:noProof/>
          <w:sz w:val="24"/>
          <w:szCs w:val="24"/>
        </w:rPr>
        <w:t xml:space="preserve"> of</w:t>
      </w:r>
      <w:r w:rsidR="0001137E" w:rsidRPr="0001137E">
        <w:rPr>
          <w:rFonts w:ascii="Times New Roman" w:hAnsi="Times New Roman" w:cs="Times New Roman"/>
          <w:noProof/>
          <w:sz w:val="24"/>
          <w:szCs w:val="24"/>
        </w:rPr>
        <w:t xml:space="preserve"> </w:t>
      </w:r>
      <w:r w:rsidR="0001137E">
        <w:rPr>
          <w:rFonts w:ascii="Times New Roman" w:hAnsi="Times New Roman" w:cs="Times New Roman"/>
          <w:noProof/>
          <w:sz w:val="24"/>
          <w:szCs w:val="24"/>
        </w:rPr>
        <w:t>PSD2</w:t>
      </w:r>
      <w:r>
        <w:rPr>
          <w:rFonts w:ascii="Times New Roman" w:hAnsi="Times New Roman" w:cs="Times New Roman"/>
          <w:noProof/>
          <w:sz w:val="24"/>
          <w:szCs w:val="24"/>
        </w:rPr>
        <w:t>. Although they can offer payment account services, unlike banks they may not lend and they must safeguard customer funds with a commercial bank</w:t>
      </w:r>
      <w:r w:rsidR="00F805F2" w:rsidRPr="00F805F2">
        <w:rPr>
          <w:rFonts w:ascii="Times New Roman" w:hAnsi="Times New Roman" w:cs="Times New Roman"/>
          <w:noProof/>
          <w:sz w:val="24"/>
          <w:szCs w:val="24"/>
        </w:rPr>
        <w:t xml:space="preserve"> </w:t>
      </w:r>
      <w:r w:rsidR="00F805F2">
        <w:rPr>
          <w:rFonts w:ascii="Times New Roman" w:hAnsi="Times New Roman" w:cs="Times New Roman"/>
          <w:noProof/>
          <w:sz w:val="24"/>
          <w:szCs w:val="24"/>
        </w:rPr>
        <w:t>in order to obtain a license</w:t>
      </w:r>
      <w:r>
        <w:rPr>
          <w:rFonts w:ascii="Times New Roman" w:hAnsi="Times New Roman" w:cs="Times New Roman"/>
          <w:noProof/>
          <w:sz w:val="24"/>
          <w:szCs w:val="24"/>
        </w:rPr>
        <w:t xml:space="preserve">. PIs and EMIs </w:t>
      </w:r>
      <w:r w:rsidR="00926316">
        <w:rPr>
          <w:rFonts w:ascii="Times New Roman" w:hAnsi="Times New Roman" w:cs="Times New Roman"/>
          <w:noProof/>
          <w:sz w:val="24"/>
          <w:szCs w:val="24"/>
        </w:rPr>
        <w:t xml:space="preserve">thus </w:t>
      </w:r>
      <w:r w:rsidR="0001137E">
        <w:rPr>
          <w:rFonts w:ascii="Times New Roman" w:hAnsi="Times New Roman" w:cs="Times New Roman"/>
          <w:noProof/>
          <w:sz w:val="24"/>
          <w:szCs w:val="24"/>
        </w:rPr>
        <w:t xml:space="preserve">need </w:t>
      </w:r>
      <w:r>
        <w:rPr>
          <w:rFonts w:ascii="Times New Roman" w:hAnsi="Times New Roman" w:cs="Times New Roman"/>
          <w:noProof/>
          <w:sz w:val="24"/>
          <w:szCs w:val="24"/>
        </w:rPr>
        <w:t>to have an account with a commercial bank.</w:t>
      </w:r>
      <w:r w:rsidR="00A344CC">
        <w:rPr>
          <w:rFonts w:ascii="Times New Roman" w:hAnsi="Times New Roman" w:cs="Times New Roman"/>
          <w:noProof/>
          <w:sz w:val="24"/>
          <w:szCs w:val="24"/>
        </w:rPr>
        <w:t xml:space="preserve"> Furthermore, offering payment services requires access to key payment infrastructures that </w:t>
      </w:r>
      <w:r w:rsidR="00926316">
        <w:rPr>
          <w:rFonts w:ascii="Times New Roman" w:hAnsi="Times New Roman" w:cs="Times New Roman"/>
          <w:noProof/>
          <w:sz w:val="24"/>
          <w:szCs w:val="24"/>
        </w:rPr>
        <w:t xml:space="preserve">process </w:t>
      </w:r>
      <w:r w:rsidR="00A344CC">
        <w:rPr>
          <w:rFonts w:ascii="Times New Roman" w:hAnsi="Times New Roman" w:cs="Times New Roman"/>
          <w:noProof/>
          <w:sz w:val="24"/>
          <w:szCs w:val="24"/>
        </w:rPr>
        <w:t>and settle payments.</w:t>
      </w:r>
    </w:p>
    <w:p w14:paraId="0A7E3B4B" w14:textId="5E20C65F" w:rsidR="00F805F2" w:rsidRDefault="00A344CC"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Problems </w:t>
      </w:r>
      <w:r w:rsidR="00F31362">
        <w:rPr>
          <w:rFonts w:ascii="Times New Roman" w:hAnsi="Times New Roman" w:cs="Times New Roman"/>
          <w:noProof/>
          <w:sz w:val="24"/>
          <w:szCs w:val="24"/>
        </w:rPr>
        <w:t xml:space="preserve">of ‘de-risking’ </w:t>
      </w:r>
      <w:r w:rsidR="00926316">
        <w:rPr>
          <w:rFonts w:ascii="Times New Roman" w:hAnsi="Times New Roman" w:cs="Times New Roman"/>
          <w:noProof/>
          <w:sz w:val="24"/>
          <w:szCs w:val="24"/>
        </w:rPr>
        <w:t xml:space="preserve">by commercial banks </w:t>
      </w:r>
      <w:r>
        <w:rPr>
          <w:rFonts w:ascii="Times New Roman" w:hAnsi="Times New Roman" w:cs="Times New Roman"/>
          <w:noProof/>
          <w:sz w:val="24"/>
          <w:szCs w:val="24"/>
        </w:rPr>
        <w:t>have been encountered by PIs and EMIs</w:t>
      </w:r>
      <w:r w:rsidR="00F31362">
        <w:rPr>
          <w:rFonts w:ascii="Times New Roman" w:hAnsi="Times New Roman" w:cs="Times New Roman"/>
          <w:noProof/>
          <w:sz w:val="24"/>
          <w:szCs w:val="24"/>
        </w:rPr>
        <w:t>, as evidenced by the EBA in its January 2022 Opinion.</w:t>
      </w:r>
      <w:r w:rsidR="00F31362">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xml:space="preserve"> With regard to access to commercial bank accounts, although banks are required by PSD2 to explain and justify any refusal to grant account access to a PI or EMI, they often give superficial pro-forma explanations for doing so, or else grant access but subsequently withdraw it, which PSD2 does not require </w:t>
      </w:r>
      <w:r w:rsidR="00D03B06">
        <w:rPr>
          <w:rFonts w:ascii="Times New Roman" w:hAnsi="Times New Roman" w:cs="Times New Roman"/>
          <w:noProof/>
          <w:sz w:val="24"/>
          <w:szCs w:val="24"/>
        </w:rPr>
        <w:t xml:space="preserve">them </w:t>
      </w:r>
      <w:r>
        <w:rPr>
          <w:rFonts w:ascii="Times New Roman" w:hAnsi="Times New Roman" w:cs="Times New Roman"/>
          <w:noProof/>
          <w:sz w:val="24"/>
          <w:szCs w:val="24"/>
        </w:rPr>
        <w:t xml:space="preserve">to explain. This can cause major disruption to the activity of PIs and EMIs. </w:t>
      </w:r>
    </w:p>
    <w:p w14:paraId="408DFEC2" w14:textId="571F1C4C" w:rsidR="00B94B83" w:rsidRDefault="00361AD0"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Furthermore, t</w:t>
      </w:r>
      <w:r w:rsidR="00A344CC">
        <w:rPr>
          <w:rFonts w:ascii="Times New Roman" w:hAnsi="Times New Roman" w:cs="Times New Roman"/>
          <w:noProof/>
          <w:sz w:val="24"/>
          <w:szCs w:val="24"/>
        </w:rPr>
        <w:t>he Settlement Finality Directive</w:t>
      </w:r>
      <w:r w:rsidR="00984882">
        <w:rPr>
          <w:rFonts w:ascii="Times New Roman" w:hAnsi="Times New Roman" w:cs="Times New Roman"/>
          <w:noProof/>
          <w:sz w:val="24"/>
          <w:szCs w:val="24"/>
        </w:rPr>
        <w:t xml:space="preserve"> (SFD</w:t>
      </w:r>
      <w:r w:rsidR="00984882">
        <w:rPr>
          <w:rStyle w:val="FootnoteReference"/>
          <w:rFonts w:ascii="Times New Roman" w:hAnsi="Times New Roman" w:cs="Times New Roman"/>
          <w:noProof/>
          <w:sz w:val="24"/>
          <w:szCs w:val="24"/>
        </w:rPr>
        <w:footnoteReference w:id="42"/>
      </w:r>
      <w:r w:rsidR="00984882">
        <w:rPr>
          <w:rFonts w:ascii="Times New Roman" w:hAnsi="Times New Roman" w:cs="Times New Roman"/>
          <w:noProof/>
          <w:sz w:val="24"/>
          <w:szCs w:val="24"/>
        </w:rPr>
        <w:t>)</w:t>
      </w:r>
      <w:r w:rsidR="00A344CC">
        <w:rPr>
          <w:rFonts w:ascii="Times New Roman" w:hAnsi="Times New Roman" w:cs="Times New Roman"/>
          <w:noProof/>
          <w:sz w:val="24"/>
          <w:szCs w:val="24"/>
        </w:rPr>
        <w:t xml:space="preserve">, </w:t>
      </w:r>
      <w:r w:rsidR="00F31362">
        <w:rPr>
          <w:rFonts w:ascii="Times New Roman" w:hAnsi="Times New Roman" w:cs="Times New Roman"/>
          <w:noProof/>
          <w:sz w:val="24"/>
          <w:szCs w:val="24"/>
        </w:rPr>
        <w:t xml:space="preserve">as it stands, </w:t>
      </w:r>
      <w:r w:rsidR="0001137E">
        <w:rPr>
          <w:rFonts w:ascii="Times New Roman" w:hAnsi="Times New Roman" w:cs="Times New Roman"/>
          <w:noProof/>
          <w:sz w:val="24"/>
          <w:szCs w:val="24"/>
        </w:rPr>
        <w:t xml:space="preserve">prevents </w:t>
      </w:r>
      <w:r w:rsidR="00A344CC">
        <w:rPr>
          <w:rFonts w:ascii="Times New Roman" w:hAnsi="Times New Roman" w:cs="Times New Roman"/>
          <w:noProof/>
          <w:sz w:val="24"/>
          <w:szCs w:val="24"/>
        </w:rPr>
        <w:t xml:space="preserve">access </w:t>
      </w:r>
      <w:r w:rsidR="0033333B">
        <w:rPr>
          <w:rFonts w:ascii="Times New Roman" w:hAnsi="Times New Roman" w:cs="Times New Roman"/>
          <w:noProof/>
          <w:sz w:val="24"/>
          <w:szCs w:val="24"/>
        </w:rPr>
        <w:t xml:space="preserve">by non-bank PSPs </w:t>
      </w:r>
      <w:r w:rsidR="00A344CC">
        <w:rPr>
          <w:rFonts w:ascii="Times New Roman" w:hAnsi="Times New Roman" w:cs="Times New Roman"/>
          <w:noProof/>
          <w:sz w:val="24"/>
          <w:szCs w:val="24"/>
        </w:rPr>
        <w:t xml:space="preserve">to payment infrastructures which have been designated </w:t>
      </w:r>
      <w:r w:rsidR="0033333B">
        <w:rPr>
          <w:rFonts w:ascii="Times New Roman" w:hAnsi="Times New Roman" w:cs="Times New Roman"/>
          <w:noProof/>
          <w:sz w:val="24"/>
          <w:szCs w:val="24"/>
        </w:rPr>
        <w:t xml:space="preserve">by Member States </w:t>
      </w:r>
      <w:r w:rsidR="00A344CC">
        <w:rPr>
          <w:rFonts w:ascii="Times New Roman" w:hAnsi="Times New Roman" w:cs="Times New Roman"/>
          <w:noProof/>
          <w:sz w:val="24"/>
          <w:szCs w:val="24"/>
        </w:rPr>
        <w:t>under that Directive</w:t>
      </w:r>
      <w:r w:rsidR="00277583">
        <w:rPr>
          <w:rFonts w:ascii="Times New Roman" w:hAnsi="Times New Roman" w:cs="Times New Roman"/>
          <w:noProof/>
          <w:sz w:val="24"/>
          <w:szCs w:val="24"/>
        </w:rPr>
        <w:t>, by not mentioning them as possible participants</w:t>
      </w:r>
      <w:r w:rsidR="001C339C">
        <w:rPr>
          <w:rFonts w:ascii="Times New Roman" w:hAnsi="Times New Roman" w:cs="Times New Roman"/>
          <w:noProof/>
          <w:sz w:val="24"/>
          <w:szCs w:val="24"/>
        </w:rPr>
        <w:t>. This forces PIs and EMIs to rely even more on commercial banks</w:t>
      </w:r>
      <w:r w:rsidR="0001137E">
        <w:rPr>
          <w:rFonts w:ascii="Times New Roman" w:hAnsi="Times New Roman" w:cs="Times New Roman"/>
          <w:noProof/>
          <w:sz w:val="24"/>
          <w:szCs w:val="24"/>
        </w:rPr>
        <w:t>,</w:t>
      </w:r>
      <w:r w:rsidR="00F31362">
        <w:rPr>
          <w:rFonts w:ascii="Times New Roman" w:hAnsi="Times New Roman" w:cs="Times New Roman"/>
          <w:noProof/>
          <w:sz w:val="24"/>
          <w:szCs w:val="24"/>
        </w:rPr>
        <w:t xml:space="preserve"> </w:t>
      </w:r>
      <w:r w:rsidR="001C339C">
        <w:rPr>
          <w:rFonts w:ascii="Times New Roman" w:hAnsi="Times New Roman" w:cs="Times New Roman"/>
          <w:noProof/>
          <w:sz w:val="24"/>
          <w:szCs w:val="24"/>
        </w:rPr>
        <w:t>not only for safeguarding of customer funds but also for execution of payments, establishing a structural dependency of non-bank PSPs on banks and an unlevel playing field</w:t>
      </w:r>
      <w:r w:rsidR="00F31362">
        <w:rPr>
          <w:rFonts w:ascii="Times New Roman" w:hAnsi="Times New Roman" w:cs="Times New Roman"/>
          <w:noProof/>
          <w:sz w:val="24"/>
          <w:szCs w:val="24"/>
        </w:rPr>
        <w:t xml:space="preserve"> denounced by numerous market participants</w:t>
      </w:r>
      <w:r w:rsidR="001C339C">
        <w:rPr>
          <w:rFonts w:ascii="Times New Roman" w:hAnsi="Times New Roman" w:cs="Times New Roman"/>
          <w:noProof/>
          <w:sz w:val="24"/>
          <w:szCs w:val="24"/>
        </w:rPr>
        <w:t>.</w:t>
      </w:r>
    </w:p>
    <w:p w14:paraId="7DC6E0DA" w14:textId="775597B5" w:rsidR="00984882" w:rsidRPr="006032F8" w:rsidRDefault="00984882"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00D01079">
        <w:rPr>
          <w:rFonts w:ascii="Times New Roman" w:hAnsi="Times New Roman" w:cs="Times New Roman"/>
          <w:noProof/>
          <w:sz w:val="24"/>
          <w:szCs w:val="24"/>
        </w:rPr>
        <w:t xml:space="preserve">Commission’s </w:t>
      </w:r>
      <w:r>
        <w:rPr>
          <w:rFonts w:ascii="Times New Roman" w:hAnsi="Times New Roman" w:cs="Times New Roman"/>
          <w:noProof/>
          <w:sz w:val="24"/>
          <w:szCs w:val="24"/>
        </w:rPr>
        <w:t xml:space="preserve">proposal </w:t>
      </w:r>
      <w:r w:rsidR="00D01079">
        <w:rPr>
          <w:rFonts w:ascii="Times New Roman" w:hAnsi="Times New Roman" w:cs="Times New Roman"/>
          <w:noProof/>
          <w:sz w:val="24"/>
          <w:szCs w:val="24"/>
        </w:rPr>
        <w:t xml:space="preserve">revising PSD2 </w:t>
      </w:r>
      <w:r>
        <w:rPr>
          <w:rFonts w:ascii="Times New Roman" w:hAnsi="Times New Roman" w:cs="Times New Roman"/>
          <w:noProof/>
          <w:sz w:val="24"/>
          <w:szCs w:val="24"/>
        </w:rPr>
        <w:t>therefore contains measures to remedy these failings and make the playing field more level. Requ</w:t>
      </w:r>
      <w:r w:rsidR="00472F66">
        <w:rPr>
          <w:rFonts w:ascii="Times New Roman" w:hAnsi="Times New Roman" w:cs="Times New Roman"/>
          <w:noProof/>
          <w:sz w:val="24"/>
          <w:szCs w:val="24"/>
        </w:rPr>
        <w:t>i</w:t>
      </w:r>
      <w:r>
        <w:rPr>
          <w:rFonts w:ascii="Times New Roman" w:hAnsi="Times New Roman" w:cs="Times New Roman"/>
          <w:noProof/>
          <w:sz w:val="24"/>
          <w:szCs w:val="24"/>
        </w:rPr>
        <w:t xml:space="preserve">rements on banks regarding bank account services to </w:t>
      </w:r>
      <w:r w:rsidR="00011317">
        <w:rPr>
          <w:rFonts w:ascii="Times New Roman" w:hAnsi="Times New Roman" w:cs="Times New Roman"/>
          <w:noProof/>
          <w:sz w:val="24"/>
          <w:szCs w:val="24"/>
        </w:rPr>
        <w:t>non-bank PSPs</w:t>
      </w:r>
      <w:r>
        <w:rPr>
          <w:rFonts w:ascii="Times New Roman" w:hAnsi="Times New Roman" w:cs="Times New Roman"/>
          <w:noProof/>
          <w:sz w:val="24"/>
          <w:szCs w:val="24"/>
        </w:rPr>
        <w:t xml:space="preserve"> will be considerably toughened, with a stronger requirement to explain </w:t>
      </w:r>
      <w:r w:rsidR="0033333B">
        <w:rPr>
          <w:rFonts w:ascii="Times New Roman" w:hAnsi="Times New Roman" w:cs="Times New Roman"/>
          <w:noProof/>
          <w:sz w:val="24"/>
          <w:szCs w:val="24"/>
        </w:rPr>
        <w:t>refusal</w:t>
      </w:r>
      <w:r>
        <w:rPr>
          <w:rFonts w:ascii="Times New Roman" w:hAnsi="Times New Roman" w:cs="Times New Roman"/>
          <w:noProof/>
          <w:sz w:val="24"/>
          <w:szCs w:val="24"/>
        </w:rPr>
        <w:t xml:space="preserve">, </w:t>
      </w:r>
      <w:r w:rsidR="00DF3B5B">
        <w:rPr>
          <w:rFonts w:ascii="Times New Roman" w:hAnsi="Times New Roman" w:cs="Times New Roman"/>
          <w:noProof/>
          <w:sz w:val="24"/>
          <w:szCs w:val="24"/>
        </w:rPr>
        <w:t xml:space="preserve">covering </w:t>
      </w:r>
      <w:r>
        <w:rPr>
          <w:rFonts w:ascii="Times New Roman" w:hAnsi="Times New Roman" w:cs="Times New Roman"/>
          <w:noProof/>
          <w:sz w:val="24"/>
          <w:szCs w:val="24"/>
        </w:rPr>
        <w:t>also</w:t>
      </w:r>
      <w:r w:rsidR="00DF3B5B">
        <w:rPr>
          <w:rFonts w:ascii="Times New Roman" w:hAnsi="Times New Roman" w:cs="Times New Roman"/>
          <w:noProof/>
          <w:sz w:val="24"/>
          <w:szCs w:val="24"/>
        </w:rPr>
        <w:t xml:space="preserve">, </w:t>
      </w:r>
      <w:r w:rsidR="0033333B">
        <w:rPr>
          <w:rFonts w:ascii="Times New Roman" w:hAnsi="Times New Roman" w:cs="Times New Roman"/>
          <w:noProof/>
          <w:sz w:val="24"/>
          <w:szCs w:val="24"/>
        </w:rPr>
        <w:t>unlike</w:t>
      </w:r>
      <w:r w:rsidR="00DF3B5B">
        <w:rPr>
          <w:rFonts w:ascii="Times New Roman" w:hAnsi="Times New Roman" w:cs="Times New Roman"/>
          <w:noProof/>
          <w:sz w:val="24"/>
          <w:szCs w:val="24"/>
        </w:rPr>
        <w:t xml:space="preserve"> in PSD2,</w:t>
      </w:r>
      <w:r>
        <w:rPr>
          <w:rFonts w:ascii="Times New Roman" w:hAnsi="Times New Roman" w:cs="Times New Roman"/>
          <w:noProof/>
          <w:sz w:val="24"/>
          <w:szCs w:val="24"/>
        </w:rPr>
        <w:t xml:space="preserve"> withdrawal of service. </w:t>
      </w:r>
      <w:r w:rsidR="0001137E">
        <w:rPr>
          <w:rFonts w:ascii="Times New Roman" w:hAnsi="Times New Roman" w:cs="Times New Roman"/>
          <w:noProof/>
          <w:sz w:val="24"/>
          <w:szCs w:val="24"/>
        </w:rPr>
        <w:t xml:space="preserve">Central banks will also be allowed to provide account services to non-bank PSPs, at their discretion. </w:t>
      </w:r>
      <w:r>
        <w:rPr>
          <w:rFonts w:ascii="Times New Roman" w:hAnsi="Times New Roman" w:cs="Times New Roman"/>
          <w:noProof/>
          <w:sz w:val="24"/>
          <w:szCs w:val="24"/>
        </w:rPr>
        <w:t xml:space="preserve">The </w:t>
      </w:r>
      <w:r w:rsidR="002148D4">
        <w:rPr>
          <w:rFonts w:ascii="Times New Roman" w:hAnsi="Times New Roman" w:cs="Times New Roman"/>
          <w:noProof/>
          <w:sz w:val="24"/>
          <w:szCs w:val="24"/>
        </w:rPr>
        <w:t xml:space="preserve">Commission </w:t>
      </w:r>
      <w:r w:rsidR="0033333B">
        <w:rPr>
          <w:rFonts w:ascii="Times New Roman" w:hAnsi="Times New Roman" w:cs="Times New Roman"/>
          <w:noProof/>
          <w:sz w:val="24"/>
          <w:szCs w:val="24"/>
        </w:rPr>
        <w:t xml:space="preserve">is </w:t>
      </w:r>
      <w:r w:rsidR="00D03B06">
        <w:rPr>
          <w:rFonts w:ascii="Times New Roman" w:hAnsi="Times New Roman" w:cs="Times New Roman"/>
          <w:noProof/>
          <w:sz w:val="24"/>
          <w:szCs w:val="24"/>
        </w:rPr>
        <w:t xml:space="preserve">also </w:t>
      </w:r>
      <w:r w:rsidR="002148D4">
        <w:rPr>
          <w:rFonts w:ascii="Times New Roman" w:hAnsi="Times New Roman" w:cs="Times New Roman"/>
          <w:noProof/>
          <w:sz w:val="24"/>
          <w:szCs w:val="24"/>
        </w:rPr>
        <w:t>propos</w:t>
      </w:r>
      <w:r w:rsidR="0033333B">
        <w:rPr>
          <w:rFonts w:ascii="Times New Roman" w:hAnsi="Times New Roman" w:cs="Times New Roman"/>
          <w:noProof/>
          <w:sz w:val="24"/>
          <w:szCs w:val="24"/>
        </w:rPr>
        <w:t>ing</w:t>
      </w:r>
      <w:r w:rsidR="002148D4">
        <w:rPr>
          <w:rFonts w:ascii="Times New Roman" w:hAnsi="Times New Roman" w:cs="Times New Roman"/>
          <w:noProof/>
          <w:sz w:val="24"/>
          <w:szCs w:val="24"/>
        </w:rPr>
        <w:t xml:space="preserve"> to amend </w:t>
      </w:r>
      <w:r>
        <w:rPr>
          <w:rFonts w:ascii="Times New Roman" w:hAnsi="Times New Roman" w:cs="Times New Roman"/>
          <w:noProof/>
          <w:sz w:val="24"/>
          <w:szCs w:val="24"/>
        </w:rPr>
        <w:t xml:space="preserve">SFD to include </w:t>
      </w:r>
      <w:r w:rsidR="0033333B">
        <w:rPr>
          <w:rFonts w:ascii="Times New Roman" w:hAnsi="Times New Roman" w:cs="Times New Roman"/>
          <w:noProof/>
          <w:sz w:val="24"/>
          <w:szCs w:val="24"/>
        </w:rPr>
        <w:t>PIs</w:t>
      </w:r>
      <w:r w:rsidR="00011317">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as possible participants in designated payment systems</w:t>
      </w:r>
      <w:r w:rsidR="00D03B06">
        <w:rPr>
          <w:rFonts w:ascii="Times New Roman" w:hAnsi="Times New Roman" w:cs="Times New Roman"/>
          <w:noProof/>
          <w:sz w:val="24"/>
          <w:szCs w:val="24"/>
        </w:rPr>
        <w:t>. T</w:t>
      </w:r>
      <w:r w:rsidR="00FB6A9E">
        <w:rPr>
          <w:rFonts w:ascii="Times New Roman" w:hAnsi="Times New Roman" w:cs="Times New Roman"/>
          <w:noProof/>
          <w:sz w:val="24"/>
          <w:szCs w:val="24"/>
        </w:rPr>
        <w:t xml:space="preserve">he revised payment rules </w:t>
      </w:r>
      <w:r>
        <w:rPr>
          <w:rFonts w:ascii="Times New Roman" w:hAnsi="Times New Roman" w:cs="Times New Roman"/>
          <w:noProof/>
          <w:sz w:val="24"/>
          <w:szCs w:val="24"/>
        </w:rPr>
        <w:t xml:space="preserve">will include reinforced rules on the admission of </w:t>
      </w:r>
      <w:r w:rsidR="0033333B">
        <w:rPr>
          <w:rFonts w:ascii="Times New Roman" w:hAnsi="Times New Roman" w:cs="Times New Roman"/>
          <w:noProof/>
          <w:sz w:val="24"/>
          <w:szCs w:val="24"/>
        </w:rPr>
        <w:t>PIs</w:t>
      </w:r>
      <w:r>
        <w:rPr>
          <w:rFonts w:ascii="Times New Roman" w:hAnsi="Times New Roman" w:cs="Times New Roman"/>
          <w:noProof/>
          <w:sz w:val="24"/>
          <w:szCs w:val="24"/>
        </w:rPr>
        <w:t xml:space="preserve"> </w:t>
      </w:r>
      <w:r w:rsidR="0001137E">
        <w:rPr>
          <w:rFonts w:ascii="Times New Roman" w:hAnsi="Times New Roman" w:cs="Times New Roman"/>
          <w:noProof/>
          <w:sz w:val="24"/>
          <w:szCs w:val="24"/>
        </w:rPr>
        <w:t xml:space="preserve">as </w:t>
      </w:r>
      <w:r>
        <w:rPr>
          <w:rFonts w:ascii="Times New Roman" w:hAnsi="Times New Roman" w:cs="Times New Roman"/>
          <w:noProof/>
          <w:sz w:val="24"/>
          <w:szCs w:val="24"/>
        </w:rPr>
        <w:t>participa</w:t>
      </w:r>
      <w:r w:rsidR="0001137E">
        <w:rPr>
          <w:rFonts w:ascii="Times New Roman" w:hAnsi="Times New Roman" w:cs="Times New Roman"/>
          <w:noProof/>
          <w:sz w:val="24"/>
          <w:szCs w:val="24"/>
        </w:rPr>
        <w:t>nts</w:t>
      </w:r>
      <w:r>
        <w:rPr>
          <w:rFonts w:ascii="Times New Roman" w:hAnsi="Times New Roman" w:cs="Times New Roman"/>
          <w:noProof/>
          <w:sz w:val="24"/>
          <w:szCs w:val="24"/>
        </w:rPr>
        <w:t xml:space="preserve"> in payment systems</w:t>
      </w:r>
      <w:r w:rsidR="00361AD0">
        <w:rPr>
          <w:rFonts w:ascii="Times New Roman" w:hAnsi="Times New Roman" w:cs="Times New Roman"/>
          <w:noProof/>
          <w:sz w:val="24"/>
          <w:szCs w:val="24"/>
        </w:rPr>
        <w:t xml:space="preserve">, </w:t>
      </w:r>
      <w:r w:rsidR="0001137E">
        <w:rPr>
          <w:rFonts w:ascii="Times New Roman" w:hAnsi="Times New Roman" w:cs="Times New Roman"/>
          <w:noProof/>
          <w:sz w:val="24"/>
          <w:szCs w:val="24"/>
        </w:rPr>
        <w:t xml:space="preserve">with </w:t>
      </w:r>
      <w:r w:rsidR="00361AD0">
        <w:rPr>
          <w:rFonts w:ascii="Times New Roman" w:hAnsi="Times New Roman" w:cs="Times New Roman"/>
          <w:noProof/>
          <w:sz w:val="24"/>
          <w:szCs w:val="24"/>
        </w:rPr>
        <w:t>appropriate risk assessment</w:t>
      </w:r>
      <w:r>
        <w:rPr>
          <w:rFonts w:ascii="Times New Roman" w:hAnsi="Times New Roman" w:cs="Times New Roman"/>
          <w:noProof/>
          <w:sz w:val="24"/>
          <w:szCs w:val="24"/>
        </w:rPr>
        <w:t>.</w:t>
      </w:r>
    </w:p>
    <w:p w14:paraId="3EF6E947" w14:textId="5D311A9B"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3" w:name="_Toc138066884"/>
      <w:r w:rsidRPr="008010AD">
        <w:rPr>
          <w:rFonts w:ascii="Times New Roman" w:hAnsi="Times New Roman" w:cs="Times New Roman"/>
          <w:noProof/>
          <w:color w:val="auto"/>
          <w:sz w:val="24"/>
          <w:szCs w:val="24"/>
          <w:u w:val="single"/>
        </w:rPr>
        <w:t>Enforcement</w:t>
      </w:r>
      <w:bookmarkEnd w:id="43"/>
    </w:p>
    <w:p w14:paraId="3D676153" w14:textId="41C4240E" w:rsidR="00B1337D" w:rsidRPr="00B1337D" w:rsidRDefault="00A948FD" w:rsidP="00BD71BE">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Adequate </w:t>
      </w:r>
      <w:r w:rsidR="006032F8">
        <w:rPr>
          <w:rFonts w:ascii="Times New Roman" w:hAnsi="Times New Roman" w:cs="Times New Roman"/>
          <w:noProof/>
          <w:sz w:val="24"/>
          <w:szCs w:val="24"/>
        </w:rPr>
        <w:t>e</w:t>
      </w:r>
      <w:r w:rsidR="00B1337D" w:rsidRPr="00B1337D">
        <w:rPr>
          <w:rFonts w:ascii="Times New Roman" w:hAnsi="Times New Roman" w:cs="Times New Roman"/>
          <w:noProof/>
          <w:sz w:val="24"/>
          <w:szCs w:val="24"/>
        </w:rPr>
        <w:t xml:space="preserve">nforcement </w:t>
      </w:r>
      <w:r>
        <w:rPr>
          <w:rFonts w:ascii="Times New Roman" w:hAnsi="Times New Roman" w:cs="Times New Roman"/>
          <w:noProof/>
          <w:sz w:val="24"/>
          <w:szCs w:val="24"/>
        </w:rPr>
        <w:t>is essential</w:t>
      </w:r>
      <w:r w:rsidR="006032F8">
        <w:rPr>
          <w:rFonts w:ascii="Times New Roman" w:hAnsi="Times New Roman" w:cs="Times New Roman"/>
          <w:noProof/>
          <w:sz w:val="24"/>
          <w:szCs w:val="24"/>
        </w:rPr>
        <w:t xml:space="preserve"> to ensure </w:t>
      </w:r>
      <w:r w:rsidR="00B1337D" w:rsidRPr="00B1337D">
        <w:rPr>
          <w:rFonts w:ascii="Times New Roman" w:hAnsi="Times New Roman" w:cs="Times New Roman"/>
          <w:noProof/>
          <w:sz w:val="24"/>
          <w:szCs w:val="24"/>
        </w:rPr>
        <w:t xml:space="preserve">harmonised </w:t>
      </w:r>
      <w:r w:rsidR="006032F8">
        <w:rPr>
          <w:rFonts w:ascii="Times New Roman" w:hAnsi="Times New Roman" w:cs="Times New Roman"/>
          <w:noProof/>
          <w:sz w:val="24"/>
          <w:szCs w:val="24"/>
        </w:rPr>
        <w:t xml:space="preserve">application and implementation of PSD2 rules. </w:t>
      </w:r>
      <w:r>
        <w:rPr>
          <w:rFonts w:ascii="Times New Roman" w:hAnsi="Times New Roman" w:cs="Times New Roman"/>
          <w:noProof/>
          <w:sz w:val="24"/>
          <w:szCs w:val="24"/>
        </w:rPr>
        <w:t>T</w:t>
      </w:r>
      <w:r w:rsidR="006032F8">
        <w:rPr>
          <w:rFonts w:ascii="Times New Roman" w:hAnsi="Times New Roman" w:cs="Times New Roman"/>
          <w:noProof/>
          <w:sz w:val="24"/>
          <w:szCs w:val="24"/>
        </w:rPr>
        <w:t xml:space="preserve">he full harmonisation principle </w:t>
      </w:r>
      <w:r>
        <w:rPr>
          <w:rFonts w:ascii="Times New Roman" w:hAnsi="Times New Roman" w:cs="Times New Roman"/>
          <w:noProof/>
          <w:sz w:val="24"/>
          <w:szCs w:val="24"/>
        </w:rPr>
        <w:t>requires</w:t>
      </w:r>
      <w:r w:rsidR="006032F8">
        <w:rPr>
          <w:rFonts w:ascii="Times New Roman" w:hAnsi="Times New Roman" w:cs="Times New Roman"/>
          <w:noProof/>
          <w:sz w:val="24"/>
          <w:szCs w:val="24"/>
        </w:rPr>
        <w:t xml:space="preserve"> Member States not </w:t>
      </w:r>
      <w:r>
        <w:rPr>
          <w:rFonts w:ascii="Times New Roman" w:hAnsi="Times New Roman" w:cs="Times New Roman"/>
          <w:noProof/>
          <w:sz w:val="24"/>
          <w:szCs w:val="24"/>
        </w:rPr>
        <w:t xml:space="preserve">to </w:t>
      </w:r>
      <w:r w:rsidR="006032F8" w:rsidRPr="006032F8">
        <w:rPr>
          <w:rFonts w:ascii="Times New Roman" w:hAnsi="Times New Roman" w:cs="Times New Roman"/>
          <w:noProof/>
          <w:sz w:val="24"/>
          <w:szCs w:val="24"/>
        </w:rPr>
        <w:t xml:space="preserve">maintain or introduce provisions other than those laid down in </w:t>
      </w:r>
      <w:r w:rsidR="006032F8">
        <w:rPr>
          <w:rFonts w:ascii="Times New Roman" w:hAnsi="Times New Roman" w:cs="Times New Roman"/>
          <w:noProof/>
          <w:sz w:val="24"/>
          <w:szCs w:val="24"/>
        </w:rPr>
        <w:t xml:space="preserve">PSD2. </w:t>
      </w:r>
      <w:r w:rsidR="00E31F3E">
        <w:rPr>
          <w:rFonts w:ascii="Times New Roman" w:hAnsi="Times New Roman" w:cs="Times New Roman"/>
          <w:noProof/>
          <w:sz w:val="24"/>
          <w:szCs w:val="24"/>
        </w:rPr>
        <w:t xml:space="preserve">PSD2 </w:t>
      </w:r>
      <w:r w:rsidR="00B1337D" w:rsidRPr="00B1337D">
        <w:rPr>
          <w:rFonts w:ascii="Times New Roman" w:hAnsi="Times New Roman" w:cs="Times New Roman"/>
          <w:noProof/>
          <w:sz w:val="24"/>
          <w:szCs w:val="24"/>
        </w:rPr>
        <w:t>rules</w:t>
      </w:r>
      <w:r w:rsidR="00E31F3E">
        <w:rPr>
          <w:rFonts w:ascii="Times New Roman" w:hAnsi="Times New Roman" w:cs="Times New Roman"/>
          <w:noProof/>
          <w:sz w:val="24"/>
          <w:szCs w:val="24"/>
        </w:rPr>
        <w:t xml:space="preserve"> </w:t>
      </w:r>
      <w:r w:rsidR="00B1337D" w:rsidRPr="00B1337D">
        <w:rPr>
          <w:rFonts w:ascii="Times New Roman" w:hAnsi="Times New Roman" w:cs="Times New Roman"/>
          <w:noProof/>
          <w:sz w:val="24"/>
          <w:szCs w:val="24"/>
        </w:rPr>
        <w:t xml:space="preserve">are however differently interpreted and implemented by </w:t>
      </w:r>
      <w:r w:rsidR="00E31F3E">
        <w:rPr>
          <w:rFonts w:ascii="Times New Roman" w:hAnsi="Times New Roman" w:cs="Times New Roman"/>
          <w:noProof/>
          <w:sz w:val="24"/>
          <w:szCs w:val="24"/>
        </w:rPr>
        <w:t xml:space="preserve">the </w:t>
      </w:r>
      <w:r w:rsidR="00B1337D" w:rsidRPr="00B1337D">
        <w:rPr>
          <w:rFonts w:ascii="Times New Roman" w:hAnsi="Times New Roman" w:cs="Times New Roman"/>
          <w:noProof/>
          <w:sz w:val="24"/>
          <w:szCs w:val="24"/>
        </w:rPr>
        <w:t>various</w:t>
      </w:r>
      <w:r w:rsidR="00E31F3E">
        <w:rPr>
          <w:rFonts w:ascii="Times New Roman" w:hAnsi="Times New Roman" w:cs="Times New Roman"/>
          <w:noProof/>
          <w:sz w:val="24"/>
          <w:szCs w:val="24"/>
        </w:rPr>
        <w:t xml:space="preserve"> </w:t>
      </w:r>
      <w:r w:rsidR="00B1337D" w:rsidRPr="00B1337D">
        <w:rPr>
          <w:rFonts w:ascii="Times New Roman" w:hAnsi="Times New Roman" w:cs="Times New Roman"/>
          <w:noProof/>
          <w:sz w:val="24"/>
          <w:szCs w:val="24"/>
        </w:rPr>
        <w:t>stakeholders in the payment</w:t>
      </w:r>
      <w:r w:rsidR="0033333B">
        <w:rPr>
          <w:rFonts w:ascii="Times New Roman" w:hAnsi="Times New Roman" w:cs="Times New Roman"/>
          <w:noProof/>
          <w:sz w:val="24"/>
          <w:szCs w:val="24"/>
        </w:rPr>
        <w:t>s</w:t>
      </w:r>
      <w:r w:rsidR="00B1337D" w:rsidRPr="00B1337D">
        <w:rPr>
          <w:rFonts w:ascii="Times New Roman" w:hAnsi="Times New Roman" w:cs="Times New Roman"/>
          <w:noProof/>
          <w:sz w:val="24"/>
          <w:szCs w:val="24"/>
        </w:rPr>
        <w:t xml:space="preserve"> market</w:t>
      </w:r>
      <w:r>
        <w:rPr>
          <w:rFonts w:ascii="Times New Roman" w:hAnsi="Times New Roman" w:cs="Times New Roman"/>
          <w:noProof/>
          <w:sz w:val="24"/>
          <w:szCs w:val="24"/>
        </w:rPr>
        <w:t xml:space="preserve">, despite the fact </w:t>
      </w:r>
      <w:r w:rsidR="00135DCB">
        <w:rPr>
          <w:rFonts w:ascii="Times New Roman" w:hAnsi="Times New Roman" w:cs="Times New Roman"/>
          <w:noProof/>
          <w:sz w:val="24"/>
          <w:szCs w:val="24"/>
        </w:rPr>
        <w:t xml:space="preserve">that </w:t>
      </w:r>
      <w:r w:rsidR="00B1337D" w:rsidRPr="00B1337D">
        <w:rPr>
          <w:rFonts w:ascii="Times New Roman" w:hAnsi="Times New Roman" w:cs="Times New Roman"/>
          <w:noProof/>
          <w:sz w:val="24"/>
          <w:szCs w:val="24"/>
        </w:rPr>
        <w:t>the</w:t>
      </w:r>
      <w:r w:rsidR="00E31F3E">
        <w:rPr>
          <w:rFonts w:ascii="Times New Roman" w:hAnsi="Times New Roman" w:cs="Times New Roman"/>
          <w:noProof/>
          <w:sz w:val="24"/>
          <w:szCs w:val="24"/>
        </w:rPr>
        <w:t xml:space="preserve">re is </w:t>
      </w:r>
      <w:r w:rsidR="00B1337D" w:rsidRPr="00B1337D">
        <w:rPr>
          <w:rFonts w:ascii="Times New Roman" w:hAnsi="Times New Roman" w:cs="Times New Roman"/>
          <w:noProof/>
          <w:sz w:val="24"/>
          <w:szCs w:val="24"/>
        </w:rPr>
        <w:t>interpretative non-binding guidance</w:t>
      </w:r>
      <w:r w:rsidR="00E31F3E">
        <w:rPr>
          <w:rFonts w:ascii="Times New Roman" w:hAnsi="Times New Roman" w:cs="Times New Roman"/>
          <w:noProof/>
          <w:sz w:val="24"/>
          <w:szCs w:val="24"/>
        </w:rPr>
        <w:t xml:space="preserve"> available</w:t>
      </w:r>
      <w:r w:rsidR="00B1337D" w:rsidRPr="00B1337D">
        <w:rPr>
          <w:rFonts w:ascii="Times New Roman" w:hAnsi="Times New Roman" w:cs="Times New Roman"/>
          <w:noProof/>
          <w:sz w:val="24"/>
          <w:szCs w:val="24"/>
        </w:rPr>
        <w:t>, inter alia, in the framework of the Question-and-Answer tool</w:t>
      </w:r>
      <w:r w:rsidR="008B69DD">
        <w:rPr>
          <w:rFonts w:ascii="Times New Roman" w:hAnsi="Times New Roman" w:cs="Times New Roman"/>
          <w:noProof/>
          <w:sz w:val="24"/>
          <w:szCs w:val="24"/>
        </w:rPr>
        <w:t>, Opinions</w:t>
      </w:r>
      <w:r w:rsidR="00B1337D" w:rsidRPr="00B1337D">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guidelines </w:t>
      </w:r>
      <w:r w:rsidR="0033333B">
        <w:rPr>
          <w:rFonts w:ascii="Times New Roman" w:hAnsi="Times New Roman" w:cs="Times New Roman"/>
          <w:noProof/>
          <w:sz w:val="24"/>
          <w:szCs w:val="24"/>
        </w:rPr>
        <w:t>of</w:t>
      </w:r>
      <w:r w:rsidR="00B1337D" w:rsidRPr="00B1337D">
        <w:rPr>
          <w:rFonts w:ascii="Times New Roman" w:hAnsi="Times New Roman" w:cs="Times New Roman"/>
          <w:noProof/>
          <w:sz w:val="24"/>
          <w:szCs w:val="24"/>
        </w:rPr>
        <w:t xml:space="preserve"> the </w:t>
      </w:r>
      <w:r w:rsidR="0033333B">
        <w:rPr>
          <w:rFonts w:ascii="Times New Roman" w:hAnsi="Times New Roman" w:cs="Times New Roman"/>
          <w:noProof/>
          <w:sz w:val="24"/>
          <w:szCs w:val="24"/>
        </w:rPr>
        <w:t>EBA</w:t>
      </w:r>
      <w:r w:rsidR="00B1337D" w:rsidRPr="00B1337D">
        <w:rPr>
          <w:rFonts w:ascii="Times New Roman" w:hAnsi="Times New Roman" w:cs="Times New Roman"/>
          <w:noProof/>
          <w:sz w:val="24"/>
          <w:szCs w:val="24"/>
        </w:rPr>
        <w:t>.</w:t>
      </w:r>
      <w:r w:rsidR="00DB7C99">
        <w:rPr>
          <w:rStyle w:val="FootnoteReference"/>
          <w:rFonts w:ascii="Times New Roman" w:hAnsi="Times New Roman" w:cs="Times New Roman"/>
          <w:noProof/>
          <w:sz w:val="24"/>
          <w:szCs w:val="24"/>
        </w:rPr>
        <w:footnoteReference w:id="44"/>
      </w:r>
      <w:r w:rsidR="00B1337D" w:rsidRPr="00B1337D">
        <w:rPr>
          <w:rFonts w:ascii="Times New Roman" w:hAnsi="Times New Roman" w:cs="Times New Roman"/>
          <w:noProof/>
          <w:sz w:val="24"/>
          <w:szCs w:val="24"/>
        </w:rPr>
        <w:t xml:space="preserve"> </w:t>
      </w:r>
      <w:r w:rsidR="0033333B">
        <w:rPr>
          <w:rFonts w:ascii="Times New Roman" w:hAnsi="Times New Roman" w:cs="Times New Roman"/>
          <w:noProof/>
          <w:sz w:val="24"/>
          <w:szCs w:val="24"/>
        </w:rPr>
        <w:t>S</w:t>
      </w:r>
      <w:r w:rsidR="00B1337D" w:rsidRPr="00B1337D">
        <w:rPr>
          <w:rFonts w:ascii="Times New Roman" w:hAnsi="Times New Roman" w:cs="Times New Roman"/>
          <w:noProof/>
          <w:sz w:val="24"/>
          <w:szCs w:val="24"/>
        </w:rPr>
        <w:t xml:space="preserve">upervision of </w:t>
      </w:r>
      <w:r w:rsidR="0033333B">
        <w:rPr>
          <w:rFonts w:ascii="Times New Roman" w:hAnsi="Times New Roman" w:cs="Times New Roman"/>
          <w:noProof/>
          <w:sz w:val="24"/>
          <w:szCs w:val="24"/>
        </w:rPr>
        <w:t>PIs</w:t>
      </w:r>
      <w:r w:rsidR="00B1337D" w:rsidRPr="00B1337D">
        <w:rPr>
          <w:rFonts w:ascii="Times New Roman" w:hAnsi="Times New Roman" w:cs="Times New Roman"/>
          <w:noProof/>
          <w:sz w:val="24"/>
          <w:szCs w:val="24"/>
        </w:rPr>
        <w:t xml:space="preserve"> is conducted along national lines with national competent authorities responsible within their jurisdiction</w:t>
      </w:r>
      <w:r w:rsidR="00DB7C99">
        <w:rPr>
          <w:rFonts w:ascii="Times New Roman" w:hAnsi="Times New Roman" w:cs="Times New Roman"/>
          <w:noProof/>
          <w:sz w:val="24"/>
          <w:szCs w:val="24"/>
        </w:rPr>
        <w:t xml:space="preserve">. </w:t>
      </w:r>
      <w:r w:rsidR="00B1337D" w:rsidRPr="00B1337D">
        <w:rPr>
          <w:rFonts w:ascii="Times New Roman" w:hAnsi="Times New Roman" w:cs="Times New Roman"/>
          <w:noProof/>
          <w:sz w:val="24"/>
          <w:szCs w:val="24"/>
        </w:rPr>
        <w:t xml:space="preserve">An unlevel playing field with potential for regulatory arbitrage exists </w:t>
      </w:r>
      <w:r>
        <w:rPr>
          <w:rFonts w:ascii="Times New Roman" w:hAnsi="Times New Roman" w:cs="Times New Roman"/>
          <w:noProof/>
          <w:sz w:val="24"/>
          <w:szCs w:val="24"/>
        </w:rPr>
        <w:t>where</w:t>
      </w:r>
      <w:r w:rsidR="00E31F3E">
        <w:rPr>
          <w:rFonts w:ascii="Times New Roman" w:hAnsi="Times New Roman" w:cs="Times New Roman"/>
          <w:noProof/>
          <w:sz w:val="24"/>
          <w:szCs w:val="24"/>
        </w:rPr>
        <w:t xml:space="preserve"> </w:t>
      </w:r>
      <w:r w:rsidR="0033333B">
        <w:rPr>
          <w:rFonts w:ascii="Times New Roman" w:hAnsi="Times New Roman" w:cs="Times New Roman"/>
          <w:noProof/>
          <w:sz w:val="24"/>
          <w:szCs w:val="24"/>
        </w:rPr>
        <w:t>PSPs</w:t>
      </w:r>
      <w:r w:rsidR="00B1337D" w:rsidRPr="00B1337D">
        <w:rPr>
          <w:rFonts w:ascii="Times New Roman" w:hAnsi="Times New Roman" w:cs="Times New Roman"/>
          <w:noProof/>
          <w:sz w:val="24"/>
          <w:szCs w:val="24"/>
        </w:rPr>
        <w:t xml:space="preserve"> </w:t>
      </w:r>
      <w:r>
        <w:rPr>
          <w:rFonts w:ascii="Times New Roman" w:hAnsi="Times New Roman" w:cs="Times New Roman"/>
          <w:noProof/>
          <w:sz w:val="24"/>
          <w:szCs w:val="24"/>
        </w:rPr>
        <w:t>establish themselves in a</w:t>
      </w:r>
      <w:r w:rsidR="00B1337D" w:rsidRPr="00B1337D">
        <w:rPr>
          <w:rFonts w:ascii="Times New Roman" w:hAnsi="Times New Roman" w:cs="Times New Roman"/>
          <w:noProof/>
          <w:sz w:val="24"/>
          <w:szCs w:val="24"/>
        </w:rPr>
        <w:t xml:space="preserve"> Member State that appli</w:t>
      </w:r>
      <w:r>
        <w:rPr>
          <w:rFonts w:ascii="Times New Roman" w:hAnsi="Times New Roman" w:cs="Times New Roman"/>
          <w:noProof/>
          <w:sz w:val="24"/>
          <w:szCs w:val="24"/>
        </w:rPr>
        <w:t>es</w:t>
      </w:r>
      <w:r w:rsidR="00B1337D" w:rsidRPr="00B1337D">
        <w:rPr>
          <w:rFonts w:ascii="Times New Roman" w:hAnsi="Times New Roman" w:cs="Times New Roman"/>
          <w:noProof/>
          <w:sz w:val="24"/>
          <w:szCs w:val="24"/>
        </w:rPr>
        <w:t xml:space="preserve"> </w:t>
      </w:r>
      <w:r w:rsidR="00E31F3E">
        <w:rPr>
          <w:rFonts w:ascii="Times New Roman" w:hAnsi="Times New Roman" w:cs="Times New Roman"/>
          <w:noProof/>
          <w:sz w:val="24"/>
          <w:szCs w:val="24"/>
        </w:rPr>
        <w:t xml:space="preserve">PSD2 </w:t>
      </w:r>
      <w:r w:rsidR="00B1337D" w:rsidRPr="00B1337D">
        <w:rPr>
          <w:rFonts w:ascii="Times New Roman" w:hAnsi="Times New Roman" w:cs="Times New Roman"/>
          <w:noProof/>
          <w:sz w:val="24"/>
          <w:szCs w:val="24"/>
        </w:rPr>
        <w:t>rules</w:t>
      </w:r>
      <w:r w:rsidR="00E31F3E">
        <w:rPr>
          <w:rFonts w:ascii="Times New Roman" w:hAnsi="Times New Roman" w:cs="Times New Roman"/>
          <w:noProof/>
          <w:sz w:val="24"/>
          <w:szCs w:val="24"/>
        </w:rPr>
        <w:t xml:space="preserve"> in a way </w:t>
      </w:r>
      <w:r w:rsidR="00B1337D" w:rsidRPr="00B1337D">
        <w:rPr>
          <w:rFonts w:ascii="Times New Roman" w:hAnsi="Times New Roman" w:cs="Times New Roman"/>
          <w:noProof/>
          <w:sz w:val="24"/>
          <w:szCs w:val="24"/>
        </w:rPr>
        <w:t xml:space="preserve">that is advantageous for them and </w:t>
      </w:r>
      <w:r w:rsidR="00792330">
        <w:rPr>
          <w:rFonts w:ascii="Times New Roman" w:hAnsi="Times New Roman" w:cs="Times New Roman"/>
          <w:noProof/>
          <w:sz w:val="24"/>
          <w:szCs w:val="24"/>
        </w:rPr>
        <w:t xml:space="preserve">from there </w:t>
      </w:r>
      <w:r w:rsidR="00B1337D" w:rsidRPr="00B1337D">
        <w:rPr>
          <w:rFonts w:ascii="Times New Roman" w:hAnsi="Times New Roman" w:cs="Times New Roman"/>
          <w:noProof/>
          <w:sz w:val="24"/>
          <w:szCs w:val="24"/>
        </w:rPr>
        <w:t xml:space="preserve">carry out cross-border services </w:t>
      </w:r>
      <w:r>
        <w:rPr>
          <w:rFonts w:ascii="Times New Roman" w:hAnsi="Times New Roman" w:cs="Times New Roman"/>
          <w:noProof/>
          <w:sz w:val="24"/>
          <w:szCs w:val="24"/>
        </w:rPr>
        <w:t>to</w:t>
      </w:r>
      <w:r w:rsidRPr="00B1337D">
        <w:rPr>
          <w:rFonts w:ascii="Times New Roman" w:hAnsi="Times New Roman" w:cs="Times New Roman"/>
          <w:noProof/>
          <w:sz w:val="24"/>
          <w:szCs w:val="24"/>
        </w:rPr>
        <w:t xml:space="preserve"> </w:t>
      </w:r>
      <w:r w:rsidR="00B1337D" w:rsidRPr="00B1337D">
        <w:rPr>
          <w:rFonts w:ascii="Times New Roman" w:hAnsi="Times New Roman" w:cs="Times New Roman"/>
          <w:noProof/>
          <w:sz w:val="24"/>
          <w:szCs w:val="24"/>
        </w:rPr>
        <w:t>other Member States</w:t>
      </w:r>
      <w:r w:rsidR="0001137E">
        <w:rPr>
          <w:rFonts w:ascii="Times New Roman" w:hAnsi="Times New Roman" w:cs="Times New Roman"/>
          <w:noProof/>
          <w:sz w:val="24"/>
          <w:szCs w:val="24"/>
        </w:rPr>
        <w:t xml:space="preserve"> with stricter interpretations</w:t>
      </w:r>
      <w:r w:rsidR="00B1337D" w:rsidRPr="00B1337D">
        <w:rPr>
          <w:rFonts w:ascii="Times New Roman" w:hAnsi="Times New Roman" w:cs="Times New Roman"/>
          <w:noProof/>
          <w:sz w:val="24"/>
          <w:szCs w:val="24"/>
        </w:rPr>
        <w:t>.</w:t>
      </w:r>
    </w:p>
    <w:p w14:paraId="41B8D9B1" w14:textId="4CDC7546" w:rsidR="00B1337D" w:rsidRPr="00B1337D" w:rsidRDefault="00B1337D" w:rsidP="00BD71BE">
      <w:pPr>
        <w:spacing w:before="120" w:after="120" w:line="240" w:lineRule="auto"/>
        <w:jc w:val="both"/>
        <w:rPr>
          <w:noProof/>
        </w:rPr>
      </w:pPr>
      <w:bookmarkStart w:id="44" w:name="_Hlk128986282"/>
      <w:r w:rsidRPr="00B1337D">
        <w:rPr>
          <w:rFonts w:ascii="Times New Roman" w:hAnsi="Times New Roman" w:cs="Times New Roman"/>
          <w:noProof/>
          <w:sz w:val="24"/>
          <w:szCs w:val="24"/>
        </w:rPr>
        <w:t xml:space="preserve">Against this background, it </w:t>
      </w:r>
      <w:r w:rsidR="00792330">
        <w:rPr>
          <w:rFonts w:ascii="Times New Roman" w:hAnsi="Times New Roman" w:cs="Times New Roman"/>
          <w:noProof/>
          <w:sz w:val="24"/>
          <w:szCs w:val="24"/>
        </w:rPr>
        <w:t xml:space="preserve">is </w:t>
      </w:r>
      <w:r w:rsidRPr="00B1337D">
        <w:rPr>
          <w:rFonts w:ascii="Times New Roman" w:hAnsi="Times New Roman" w:cs="Times New Roman"/>
          <w:noProof/>
          <w:sz w:val="24"/>
          <w:szCs w:val="24"/>
        </w:rPr>
        <w:t>appropriate to strengthen the enforcement power</w:t>
      </w:r>
      <w:r w:rsidR="00792330">
        <w:rPr>
          <w:rFonts w:ascii="Times New Roman" w:hAnsi="Times New Roman" w:cs="Times New Roman"/>
          <w:noProof/>
          <w:sz w:val="24"/>
          <w:szCs w:val="24"/>
        </w:rPr>
        <w:t>s</w:t>
      </w:r>
      <w:r w:rsidRPr="00B1337D">
        <w:rPr>
          <w:rFonts w:ascii="Times New Roman" w:hAnsi="Times New Roman" w:cs="Times New Roman"/>
          <w:noProof/>
          <w:sz w:val="24"/>
          <w:szCs w:val="24"/>
        </w:rPr>
        <w:t xml:space="preserve"> of national competent authorities</w:t>
      </w:r>
      <w:r w:rsidR="00792330">
        <w:rPr>
          <w:rFonts w:ascii="Times New Roman" w:hAnsi="Times New Roman" w:cs="Times New Roman"/>
          <w:noProof/>
          <w:sz w:val="24"/>
          <w:szCs w:val="24"/>
        </w:rPr>
        <w:t>,</w:t>
      </w:r>
      <w:r w:rsidRPr="00B1337D">
        <w:rPr>
          <w:rFonts w:ascii="Times New Roman" w:hAnsi="Times New Roman" w:cs="Times New Roman"/>
          <w:noProof/>
          <w:sz w:val="24"/>
          <w:szCs w:val="24"/>
        </w:rPr>
        <w:t xml:space="preserve"> in particular in the </w:t>
      </w:r>
      <w:bookmarkEnd w:id="44"/>
      <w:r w:rsidRPr="00B1337D">
        <w:rPr>
          <w:rFonts w:ascii="Times New Roman" w:hAnsi="Times New Roman" w:cs="Times New Roman"/>
          <w:noProof/>
          <w:sz w:val="24"/>
          <w:szCs w:val="24"/>
        </w:rPr>
        <w:t>field of penalties</w:t>
      </w:r>
      <w:r w:rsidR="00792330">
        <w:rPr>
          <w:rFonts w:ascii="Times New Roman" w:hAnsi="Times New Roman" w:cs="Times New Roman"/>
          <w:noProof/>
          <w:sz w:val="24"/>
          <w:szCs w:val="24"/>
        </w:rPr>
        <w:t>,</w:t>
      </w:r>
      <w:r w:rsidRPr="00B1337D">
        <w:rPr>
          <w:rFonts w:ascii="Times New Roman" w:hAnsi="Times New Roman" w:cs="Times New Roman"/>
          <w:noProof/>
          <w:sz w:val="24"/>
          <w:szCs w:val="24"/>
        </w:rPr>
        <w:t xml:space="preserve"> and to </w:t>
      </w:r>
      <w:r w:rsidR="00792330">
        <w:rPr>
          <w:rFonts w:ascii="Times New Roman" w:hAnsi="Times New Roman" w:cs="Times New Roman"/>
          <w:noProof/>
          <w:sz w:val="24"/>
          <w:szCs w:val="24"/>
        </w:rPr>
        <w:t>ensure</w:t>
      </w:r>
      <w:r w:rsidR="00792330" w:rsidRPr="00B1337D">
        <w:rPr>
          <w:rFonts w:ascii="Times New Roman" w:hAnsi="Times New Roman" w:cs="Times New Roman"/>
          <w:noProof/>
          <w:sz w:val="24"/>
          <w:szCs w:val="24"/>
        </w:rPr>
        <w:t xml:space="preserve"> </w:t>
      </w:r>
      <w:r w:rsidRPr="00B1337D">
        <w:rPr>
          <w:rFonts w:ascii="Times New Roman" w:hAnsi="Times New Roman" w:cs="Times New Roman"/>
          <w:noProof/>
          <w:sz w:val="24"/>
          <w:szCs w:val="24"/>
        </w:rPr>
        <w:t>uniform application of EU rules on payment</w:t>
      </w:r>
      <w:r w:rsidR="00792330">
        <w:rPr>
          <w:rFonts w:ascii="Times New Roman" w:hAnsi="Times New Roman" w:cs="Times New Roman"/>
          <w:noProof/>
          <w:sz w:val="24"/>
          <w:szCs w:val="24"/>
        </w:rPr>
        <w:t>s</w:t>
      </w:r>
      <w:r w:rsidR="00E31F3E">
        <w:rPr>
          <w:rFonts w:ascii="Times New Roman" w:hAnsi="Times New Roman" w:cs="Times New Roman"/>
          <w:noProof/>
          <w:sz w:val="24"/>
          <w:szCs w:val="24"/>
        </w:rPr>
        <w:t xml:space="preserve"> </w:t>
      </w:r>
      <w:r w:rsidR="00792330">
        <w:rPr>
          <w:rFonts w:ascii="Times New Roman" w:hAnsi="Times New Roman" w:cs="Times New Roman"/>
          <w:noProof/>
          <w:sz w:val="24"/>
          <w:szCs w:val="24"/>
        </w:rPr>
        <w:t xml:space="preserve">by </w:t>
      </w:r>
      <w:r w:rsidR="00E31F3E">
        <w:rPr>
          <w:rFonts w:ascii="Times New Roman" w:hAnsi="Times New Roman" w:cs="Times New Roman"/>
          <w:noProof/>
          <w:sz w:val="24"/>
          <w:szCs w:val="24"/>
        </w:rPr>
        <w:t>transform</w:t>
      </w:r>
      <w:r w:rsidR="00792330">
        <w:rPr>
          <w:rFonts w:ascii="Times New Roman" w:hAnsi="Times New Roman" w:cs="Times New Roman"/>
          <w:noProof/>
          <w:sz w:val="24"/>
          <w:szCs w:val="24"/>
        </w:rPr>
        <w:t>ing</w:t>
      </w:r>
      <w:r w:rsidR="00E31F3E">
        <w:rPr>
          <w:rFonts w:ascii="Times New Roman" w:hAnsi="Times New Roman" w:cs="Times New Roman"/>
          <w:noProof/>
          <w:sz w:val="24"/>
          <w:szCs w:val="24"/>
        </w:rPr>
        <w:t xml:space="preserve"> the greater part of the rules in PSD2 into a directly applicable </w:t>
      </w:r>
      <w:r w:rsidR="00DB7C99">
        <w:rPr>
          <w:rFonts w:ascii="Times New Roman" w:hAnsi="Times New Roman" w:cs="Times New Roman"/>
          <w:noProof/>
          <w:sz w:val="24"/>
          <w:szCs w:val="24"/>
        </w:rPr>
        <w:t>R</w:t>
      </w:r>
      <w:r w:rsidR="00E31F3E">
        <w:rPr>
          <w:rFonts w:ascii="Times New Roman" w:hAnsi="Times New Roman" w:cs="Times New Roman"/>
          <w:noProof/>
          <w:sz w:val="24"/>
          <w:szCs w:val="24"/>
        </w:rPr>
        <w:t>egulation</w:t>
      </w:r>
      <w:r w:rsidRPr="00B1337D">
        <w:rPr>
          <w:rFonts w:ascii="Times New Roman" w:hAnsi="Times New Roman" w:cs="Times New Roman"/>
          <w:noProof/>
          <w:sz w:val="24"/>
          <w:szCs w:val="24"/>
        </w:rPr>
        <w:t>.</w:t>
      </w:r>
    </w:p>
    <w:p w14:paraId="0FBDC01F" w14:textId="26EB7C18"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5" w:name="_Toc138066885"/>
      <w:r w:rsidRPr="008010AD">
        <w:rPr>
          <w:rFonts w:ascii="Times New Roman" w:hAnsi="Times New Roman" w:cs="Times New Roman"/>
          <w:noProof/>
          <w:color w:val="auto"/>
          <w:sz w:val="24"/>
          <w:szCs w:val="24"/>
          <w:u w:val="single"/>
        </w:rPr>
        <w:t>Other issues</w:t>
      </w:r>
      <w:bookmarkEnd w:id="45"/>
    </w:p>
    <w:p w14:paraId="5A3034C7" w14:textId="4BA68BFE" w:rsidR="00156EBD" w:rsidRPr="000F72DC" w:rsidRDefault="00156EBD" w:rsidP="000F72DC">
      <w:pPr>
        <w:pStyle w:val="ListParagraph"/>
        <w:numPr>
          <w:ilvl w:val="0"/>
          <w:numId w:val="8"/>
        </w:numPr>
        <w:spacing w:before="120" w:after="120" w:line="240" w:lineRule="auto"/>
        <w:jc w:val="both"/>
        <w:rPr>
          <w:rFonts w:ascii="Times New Roman" w:hAnsi="Times New Roman" w:cs="Times New Roman"/>
          <w:i/>
          <w:iCs/>
          <w:noProof/>
          <w:sz w:val="24"/>
          <w:szCs w:val="24"/>
          <w:lang w:val="en-US"/>
        </w:rPr>
      </w:pPr>
      <w:r w:rsidRPr="000F72DC">
        <w:rPr>
          <w:rFonts w:ascii="Times New Roman" w:hAnsi="Times New Roman" w:cs="Times New Roman"/>
          <w:i/>
          <w:iCs/>
          <w:noProof/>
          <w:sz w:val="24"/>
          <w:szCs w:val="24"/>
          <w:lang w:val="en-US"/>
        </w:rPr>
        <w:t>Smaller payment institutions</w:t>
      </w:r>
      <w:r w:rsidR="00E43026" w:rsidRPr="00C12F49">
        <w:rPr>
          <w:rStyle w:val="FootnoteReference"/>
          <w:rFonts w:ascii="Times New Roman" w:hAnsi="Times New Roman" w:cs="Times New Roman"/>
          <w:i/>
          <w:iCs/>
          <w:noProof/>
          <w:sz w:val="24"/>
          <w:szCs w:val="24"/>
          <w:lang w:val="en-US"/>
        </w:rPr>
        <w:footnoteReference w:id="45"/>
      </w:r>
    </w:p>
    <w:p w14:paraId="773C8974" w14:textId="4EACEF7B" w:rsidR="004F2670" w:rsidRDefault="00AB5495" w:rsidP="00BD71BE">
      <w:pPr>
        <w:spacing w:before="120" w:after="120" w:line="240" w:lineRule="auto"/>
        <w:jc w:val="both"/>
        <w:rPr>
          <w:noProof/>
        </w:rPr>
      </w:pPr>
      <w:r w:rsidRPr="00156EBD">
        <w:rPr>
          <w:rFonts w:ascii="Times New Roman" w:hAnsi="Times New Roman" w:cs="Times New Roman"/>
          <w:noProof/>
          <w:sz w:val="24"/>
          <w:szCs w:val="24"/>
          <w:lang w:val="en-US"/>
        </w:rPr>
        <w:t>PSD2</w:t>
      </w:r>
      <w:r>
        <w:rPr>
          <w:rFonts w:ascii="Times New Roman" w:hAnsi="Times New Roman" w:cs="Times New Roman"/>
          <w:noProof/>
          <w:sz w:val="24"/>
          <w:szCs w:val="24"/>
          <w:lang w:val="en-US"/>
        </w:rPr>
        <w:t xml:space="preserve"> allows Member States to subject s</w:t>
      </w:r>
      <w:r w:rsidR="00156EBD" w:rsidRPr="00156EBD">
        <w:rPr>
          <w:rFonts w:ascii="Times New Roman" w:hAnsi="Times New Roman" w:cs="Times New Roman"/>
          <w:noProof/>
          <w:sz w:val="24"/>
          <w:szCs w:val="24"/>
          <w:lang w:val="en-US"/>
        </w:rPr>
        <w:t xml:space="preserve">maller </w:t>
      </w:r>
      <w:r w:rsidR="006D3CBA">
        <w:rPr>
          <w:rFonts w:ascii="Times New Roman" w:hAnsi="Times New Roman" w:cs="Times New Roman"/>
          <w:noProof/>
          <w:sz w:val="24"/>
          <w:szCs w:val="24"/>
          <w:lang w:val="en-US"/>
        </w:rPr>
        <w:t>PIs</w:t>
      </w:r>
      <w:r w:rsidR="00156EBD" w:rsidRPr="00156EBD">
        <w:rPr>
          <w:rFonts w:ascii="Times New Roman" w:hAnsi="Times New Roman" w:cs="Times New Roman"/>
          <w:noProof/>
          <w:sz w:val="24"/>
          <w:szCs w:val="24"/>
          <w:lang w:val="en-US"/>
        </w:rPr>
        <w:t xml:space="preserve"> to </w:t>
      </w:r>
      <w:r w:rsidR="00663056">
        <w:rPr>
          <w:rFonts w:ascii="Times New Roman" w:hAnsi="Times New Roman" w:cs="Times New Roman"/>
          <w:noProof/>
          <w:sz w:val="24"/>
          <w:szCs w:val="24"/>
          <w:lang w:val="en-US"/>
        </w:rPr>
        <w:t xml:space="preserve">lighter </w:t>
      </w:r>
      <w:r w:rsidR="00156EBD" w:rsidRPr="00156EBD">
        <w:rPr>
          <w:rFonts w:ascii="Times New Roman" w:hAnsi="Times New Roman" w:cs="Times New Roman"/>
          <w:noProof/>
          <w:sz w:val="24"/>
          <w:szCs w:val="24"/>
          <w:lang w:val="en-US"/>
        </w:rPr>
        <w:t>supervisory requirements</w:t>
      </w:r>
      <w:r>
        <w:rPr>
          <w:rFonts w:ascii="Times New Roman" w:hAnsi="Times New Roman" w:cs="Times New Roman"/>
          <w:noProof/>
          <w:sz w:val="24"/>
          <w:szCs w:val="24"/>
          <w:lang w:val="en-US"/>
        </w:rPr>
        <w:t>,</w:t>
      </w:r>
      <w:r w:rsidR="00156EBD" w:rsidRPr="00156EBD">
        <w:rPr>
          <w:rFonts w:ascii="Times New Roman" w:hAnsi="Times New Roman" w:cs="Times New Roman"/>
          <w:noProof/>
          <w:sz w:val="24"/>
          <w:szCs w:val="24"/>
          <w:lang w:val="en-US"/>
        </w:rPr>
        <w:t xml:space="preserve"> provided that certain thresholds </w:t>
      </w:r>
      <w:r w:rsidR="00663056">
        <w:rPr>
          <w:rFonts w:ascii="Times New Roman" w:hAnsi="Times New Roman" w:cs="Times New Roman"/>
          <w:noProof/>
          <w:sz w:val="24"/>
          <w:szCs w:val="24"/>
          <w:lang w:val="en-US"/>
        </w:rPr>
        <w:t xml:space="preserve">regarding </w:t>
      </w:r>
      <w:r w:rsidR="00156EBD" w:rsidRPr="00156EBD">
        <w:rPr>
          <w:rFonts w:ascii="Times New Roman" w:hAnsi="Times New Roman" w:cs="Times New Roman"/>
          <w:noProof/>
          <w:sz w:val="24"/>
          <w:szCs w:val="24"/>
          <w:lang w:val="en-US"/>
        </w:rPr>
        <w:t>executed payment transactions are respected</w:t>
      </w:r>
      <w:r w:rsidR="00277583">
        <w:rPr>
          <w:rStyle w:val="FootnoteReference"/>
          <w:rFonts w:ascii="Times New Roman" w:hAnsi="Times New Roman" w:cs="Times New Roman"/>
          <w:noProof/>
          <w:sz w:val="24"/>
          <w:szCs w:val="24"/>
          <w:lang w:val="en-US"/>
        </w:rPr>
        <w:footnoteReference w:id="46"/>
      </w:r>
      <w:r w:rsidR="00156EBD" w:rsidRPr="00156EBD">
        <w:rPr>
          <w:rFonts w:ascii="Times New Roman" w:hAnsi="Times New Roman" w:cs="Times New Roman"/>
          <w:noProof/>
          <w:sz w:val="24"/>
          <w:szCs w:val="24"/>
          <w:lang w:val="en-US"/>
        </w:rPr>
        <w:t>.</w:t>
      </w:r>
      <w:r w:rsidR="004F2670">
        <w:rPr>
          <w:rFonts w:ascii="Times New Roman" w:hAnsi="Times New Roman" w:cs="Times New Roman"/>
          <w:noProof/>
          <w:sz w:val="24"/>
          <w:szCs w:val="24"/>
          <w:lang w:val="en-US"/>
        </w:rPr>
        <w:t xml:space="preserve"> No</w:t>
      </w:r>
      <w:r w:rsidR="00FE1BF3" w:rsidRPr="00FE1BF3">
        <w:rPr>
          <w:rFonts w:ascii="Times New Roman" w:hAnsi="Times New Roman" w:cs="Times New Roman"/>
          <w:noProof/>
          <w:sz w:val="24"/>
          <w:szCs w:val="24"/>
          <w:lang w:val="en-US"/>
        </w:rPr>
        <w:t xml:space="preserve"> </w:t>
      </w:r>
      <w:r w:rsidR="00463177">
        <w:rPr>
          <w:rFonts w:ascii="Times New Roman" w:hAnsi="Times New Roman" w:cs="Times New Roman"/>
          <w:noProof/>
          <w:sz w:val="24"/>
          <w:szCs w:val="24"/>
          <w:lang w:val="en-US"/>
        </w:rPr>
        <w:t xml:space="preserve">substantial </w:t>
      </w:r>
      <w:r w:rsidR="00FE1BF3" w:rsidRPr="00FE1BF3">
        <w:rPr>
          <w:rFonts w:ascii="Times New Roman" w:hAnsi="Times New Roman" w:cs="Times New Roman"/>
          <w:noProof/>
          <w:sz w:val="24"/>
          <w:szCs w:val="24"/>
          <w:lang w:val="en-US"/>
        </w:rPr>
        <w:t>issues related to the current level of the</w:t>
      </w:r>
      <w:r w:rsidR="00463177">
        <w:rPr>
          <w:rFonts w:ascii="Times New Roman" w:hAnsi="Times New Roman" w:cs="Times New Roman"/>
          <w:noProof/>
          <w:sz w:val="24"/>
          <w:szCs w:val="24"/>
          <w:lang w:val="en-US"/>
        </w:rPr>
        <w:t xml:space="preserve"> </w:t>
      </w:r>
      <w:r w:rsidR="00FE1BF3" w:rsidRPr="00FE1BF3">
        <w:rPr>
          <w:rFonts w:ascii="Times New Roman" w:hAnsi="Times New Roman" w:cs="Times New Roman"/>
          <w:noProof/>
          <w:sz w:val="24"/>
          <w:szCs w:val="24"/>
          <w:lang w:val="en-US"/>
        </w:rPr>
        <w:t>threshold</w:t>
      </w:r>
      <w:r>
        <w:rPr>
          <w:rFonts w:ascii="Times New Roman" w:hAnsi="Times New Roman" w:cs="Times New Roman"/>
          <w:noProof/>
          <w:sz w:val="24"/>
          <w:szCs w:val="24"/>
          <w:lang w:val="en-US"/>
        </w:rPr>
        <w:t xml:space="preserve">s </w:t>
      </w:r>
      <w:r w:rsidR="004F2670">
        <w:rPr>
          <w:rFonts w:ascii="Times New Roman" w:hAnsi="Times New Roman" w:cs="Times New Roman"/>
          <w:noProof/>
          <w:sz w:val="24"/>
          <w:szCs w:val="24"/>
          <w:lang w:val="en-US"/>
        </w:rPr>
        <w:t xml:space="preserve">have been identified, </w:t>
      </w:r>
      <w:r>
        <w:rPr>
          <w:rFonts w:ascii="Times New Roman" w:hAnsi="Times New Roman" w:cs="Times New Roman"/>
          <w:noProof/>
          <w:sz w:val="24"/>
          <w:szCs w:val="24"/>
          <w:lang w:val="en-US"/>
        </w:rPr>
        <w:t>and therefore</w:t>
      </w:r>
      <w:r w:rsidR="00FE1BF3" w:rsidRPr="00FE1BF3">
        <w:rPr>
          <w:rFonts w:ascii="Times New Roman" w:hAnsi="Times New Roman" w:cs="Times New Roman"/>
          <w:noProof/>
          <w:sz w:val="24"/>
          <w:szCs w:val="24"/>
          <w:lang w:val="en-US"/>
        </w:rPr>
        <w:t xml:space="preserve"> the</w:t>
      </w:r>
      <w:r w:rsidR="00896F20">
        <w:rPr>
          <w:rFonts w:ascii="Times New Roman" w:hAnsi="Times New Roman" w:cs="Times New Roman"/>
          <w:noProof/>
          <w:sz w:val="24"/>
          <w:szCs w:val="24"/>
          <w:lang w:val="en-US"/>
        </w:rPr>
        <w:t xml:space="preserve">re is no compelling reason for the </w:t>
      </w:r>
      <w:r w:rsidR="00FE1BF3" w:rsidRPr="00FE1BF3">
        <w:rPr>
          <w:rFonts w:ascii="Times New Roman" w:hAnsi="Times New Roman" w:cs="Times New Roman"/>
          <w:noProof/>
          <w:sz w:val="24"/>
          <w:szCs w:val="24"/>
          <w:lang w:val="en-US"/>
        </w:rPr>
        <w:t xml:space="preserve">Commission </w:t>
      </w:r>
      <w:r w:rsidR="00896F20">
        <w:rPr>
          <w:rFonts w:ascii="Times New Roman" w:hAnsi="Times New Roman" w:cs="Times New Roman"/>
          <w:noProof/>
          <w:sz w:val="24"/>
          <w:szCs w:val="24"/>
          <w:lang w:val="en-US"/>
        </w:rPr>
        <w:t xml:space="preserve">to </w:t>
      </w:r>
      <w:r w:rsidR="00FE1BF3" w:rsidRPr="00FE1BF3">
        <w:rPr>
          <w:rFonts w:ascii="Times New Roman" w:hAnsi="Times New Roman" w:cs="Times New Roman"/>
          <w:noProof/>
          <w:sz w:val="24"/>
          <w:szCs w:val="24"/>
          <w:lang w:val="en-US"/>
        </w:rPr>
        <w:t>propose changes to the thresholds</w:t>
      </w:r>
      <w:r w:rsidR="006D3CBA">
        <w:rPr>
          <w:rFonts w:ascii="Times New Roman" w:hAnsi="Times New Roman" w:cs="Times New Roman"/>
          <w:noProof/>
          <w:sz w:val="24"/>
          <w:szCs w:val="24"/>
          <w:lang w:val="en-US"/>
        </w:rPr>
        <w:t>;</w:t>
      </w:r>
      <w:r w:rsidR="00896F20">
        <w:rPr>
          <w:rFonts w:ascii="Times New Roman" w:hAnsi="Times New Roman" w:cs="Times New Roman"/>
          <w:noProof/>
          <w:sz w:val="24"/>
          <w:szCs w:val="24"/>
          <w:lang w:val="en-US"/>
        </w:rPr>
        <w:t xml:space="preserve"> however, the Commission </w:t>
      </w:r>
      <w:r w:rsidR="00305B02">
        <w:rPr>
          <w:rFonts w:ascii="Times New Roman" w:hAnsi="Times New Roman" w:cs="Times New Roman"/>
          <w:noProof/>
          <w:sz w:val="24"/>
          <w:szCs w:val="24"/>
          <w:lang w:val="en-US"/>
        </w:rPr>
        <w:t xml:space="preserve">proposes to </w:t>
      </w:r>
      <w:r w:rsidR="008E433A">
        <w:rPr>
          <w:rFonts w:ascii="Times New Roman" w:hAnsi="Times New Roman" w:cs="Times New Roman"/>
          <w:noProof/>
          <w:sz w:val="24"/>
          <w:szCs w:val="24"/>
          <w:lang w:val="en-US"/>
        </w:rPr>
        <w:t xml:space="preserve">update the thresholds </w:t>
      </w:r>
      <w:r>
        <w:rPr>
          <w:rFonts w:ascii="Times New Roman" w:hAnsi="Times New Roman" w:cs="Times New Roman"/>
          <w:noProof/>
          <w:sz w:val="24"/>
          <w:szCs w:val="24"/>
          <w:lang w:val="en-US"/>
        </w:rPr>
        <w:t xml:space="preserve">for inflation and </w:t>
      </w:r>
      <w:r w:rsidR="00135DCB">
        <w:rPr>
          <w:rFonts w:ascii="Times New Roman" w:hAnsi="Times New Roman" w:cs="Times New Roman"/>
          <w:noProof/>
          <w:sz w:val="24"/>
          <w:szCs w:val="24"/>
          <w:lang w:val="en-US"/>
        </w:rPr>
        <w:t xml:space="preserve">to </w:t>
      </w:r>
      <w:r>
        <w:rPr>
          <w:rFonts w:ascii="Times New Roman" w:hAnsi="Times New Roman" w:cs="Times New Roman"/>
          <w:noProof/>
          <w:sz w:val="24"/>
          <w:szCs w:val="24"/>
          <w:lang w:val="en-US"/>
        </w:rPr>
        <w:t>do so periodically in future</w:t>
      </w:r>
      <w:r w:rsidR="008E433A">
        <w:rPr>
          <w:rFonts w:ascii="Times New Roman" w:hAnsi="Times New Roman" w:cs="Times New Roman"/>
          <w:noProof/>
          <w:sz w:val="24"/>
          <w:szCs w:val="24"/>
          <w:lang w:val="en-US"/>
        </w:rPr>
        <w:t>, using delegated legislation</w:t>
      </w:r>
      <w:r w:rsidR="00FE1BF3" w:rsidRPr="00FE1BF3">
        <w:rPr>
          <w:rFonts w:ascii="Times New Roman" w:hAnsi="Times New Roman" w:cs="Times New Roman"/>
          <w:noProof/>
          <w:sz w:val="24"/>
          <w:szCs w:val="24"/>
          <w:lang w:val="en-US"/>
        </w:rPr>
        <w:t>.</w:t>
      </w:r>
      <w:r w:rsidR="004F2670" w:rsidRPr="004F2670">
        <w:rPr>
          <w:noProof/>
        </w:rPr>
        <w:t xml:space="preserve"> </w:t>
      </w:r>
    </w:p>
    <w:p w14:paraId="285DEE79" w14:textId="2FE70B98" w:rsidR="00156EBD" w:rsidRPr="000F72DC" w:rsidRDefault="006F6207" w:rsidP="000F72DC">
      <w:pPr>
        <w:pStyle w:val="ListParagraph"/>
        <w:numPr>
          <w:ilvl w:val="0"/>
          <w:numId w:val="8"/>
        </w:numPr>
        <w:spacing w:before="120" w:after="120" w:line="240" w:lineRule="auto"/>
        <w:jc w:val="both"/>
        <w:rPr>
          <w:rFonts w:ascii="Times New Roman" w:hAnsi="Times New Roman" w:cs="Times New Roman"/>
          <w:i/>
          <w:iCs/>
          <w:noProof/>
          <w:sz w:val="24"/>
          <w:szCs w:val="24"/>
          <w:lang w:val="en-US"/>
        </w:rPr>
      </w:pPr>
      <w:r w:rsidRPr="000F72DC">
        <w:rPr>
          <w:rFonts w:ascii="Times New Roman" w:hAnsi="Times New Roman" w:cs="Times New Roman"/>
          <w:i/>
          <w:iCs/>
          <w:noProof/>
          <w:sz w:val="24"/>
          <w:szCs w:val="24"/>
          <w:lang w:val="en-US"/>
        </w:rPr>
        <w:t>Simplification: streamlining with e</w:t>
      </w:r>
      <w:r w:rsidR="008043F6" w:rsidRPr="000F72DC">
        <w:rPr>
          <w:rFonts w:ascii="Times New Roman" w:hAnsi="Times New Roman" w:cs="Times New Roman"/>
          <w:i/>
          <w:iCs/>
          <w:noProof/>
          <w:sz w:val="24"/>
          <w:szCs w:val="24"/>
          <w:lang w:val="en-US"/>
        </w:rPr>
        <w:t>-</w:t>
      </w:r>
      <w:r w:rsidRPr="000F72DC">
        <w:rPr>
          <w:rFonts w:ascii="Times New Roman" w:hAnsi="Times New Roman" w:cs="Times New Roman"/>
          <w:i/>
          <w:iCs/>
          <w:noProof/>
          <w:sz w:val="24"/>
          <w:szCs w:val="24"/>
          <w:lang w:val="en-US"/>
        </w:rPr>
        <w:t>money services</w:t>
      </w:r>
    </w:p>
    <w:p w14:paraId="0F27EE83" w14:textId="4C32707C" w:rsidR="005E5FC2" w:rsidRPr="005E5FC2" w:rsidRDefault="00455F1E" w:rsidP="00BD71BE">
      <w:pPr>
        <w:spacing w:before="120"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w:t>
      </w:r>
      <w:r w:rsidR="00A441F5">
        <w:rPr>
          <w:rFonts w:ascii="Times New Roman" w:hAnsi="Times New Roman" w:cs="Times New Roman"/>
          <w:noProof/>
          <w:sz w:val="24"/>
          <w:szCs w:val="24"/>
          <w:lang w:val="en-US"/>
        </w:rPr>
        <w:t>s</w:t>
      </w:r>
      <w:r>
        <w:rPr>
          <w:rFonts w:ascii="Times New Roman" w:hAnsi="Times New Roman" w:cs="Times New Roman"/>
          <w:noProof/>
          <w:sz w:val="24"/>
          <w:szCs w:val="24"/>
          <w:lang w:val="en-US"/>
        </w:rPr>
        <w:t>econd E</w:t>
      </w:r>
      <w:r w:rsidR="00AB5495">
        <w:rPr>
          <w:rFonts w:ascii="Times New Roman" w:hAnsi="Times New Roman" w:cs="Times New Roman"/>
          <w:noProof/>
          <w:sz w:val="24"/>
          <w:szCs w:val="24"/>
          <w:lang w:val="en-US"/>
        </w:rPr>
        <w:t>-</w:t>
      </w:r>
      <w:r>
        <w:rPr>
          <w:rFonts w:ascii="Times New Roman" w:hAnsi="Times New Roman" w:cs="Times New Roman"/>
          <w:noProof/>
          <w:sz w:val="24"/>
          <w:szCs w:val="24"/>
          <w:lang w:val="en-US"/>
        </w:rPr>
        <w:t>Money Directive (EMD2</w:t>
      </w:r>
      <w:r w:rsidR="00792330">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lang w:val="en-US"/>
        </w:rPr>
        <w:t xml:space="preserve">) </w:t>
      </w:r>
      <w:r w:rsidR="005E5FC2" w:rsidRPr="005E5FC2">
        <w:rPr>
          <w:rFonts w:ascii="Times New Roman" w:hAnsi="Times New Roman" w:cs="Times New Roman"/>
          <w:noProof/>
          <w:sz w:val="24"/>
          <w:szCs w:val="24"/>
          <w:lang w:val="en-US"/>
        </w:rPr>
        <w:t>contains rules on authori</w:t>
      </w:r>
      <w:r w:rsidR="006D3CBA">
        <w:rPr>
          <w:rFonts w:ascii="Times New Roman" w:hAnsi="Times New Roman" w:cs="Times New Roman"/>
          <w:noProof/>
          <w:sz w:val="24"/>
          <w:szCs w:val="24"/>
          <w:lang w:val="en-US"/>
        </w:rPr>
        <w:t>s</w:t>
      </w:r>
      <w:r w:rsidR="005E5FC2" w:rsidRPr="005E5FC2">
        <w:rPr>
          <w:rFonts w:ascii="Times New Roman" w:hAnsi="Times New Roman" w:cs="Times New Roman"/>
          <w:noProof/>
          <w:sz w:val="24"/>
          <w:szCs w:val="24"/>
          <w:lang w:val="en-US"/>
        </w:rPr>
        <w:t xml:space="preserve">ation and supervision of </w:t>
      </w:r>
      <w:r w:rsidR="00A441F5">
        <w:rPr>
          <w:rFonts w:ascii="Times New Roman" w:hAnsi="Times New Roman" w:cs="Times New Roman"/>
          <w:noProof/>
          <w:sz w:val="24"/>
          <w:szCs w:val="24"/>
          <w:lang w:val="en-US"/>
        </w:rPr>
        <w:t>e</w:t>
      </w:r>
      <w:r w:rsidR="005E5FC2" w:rsidRPr="005E5FC2">
        <w:rPr>
          <w:rFonts w:ascii="Times New Roman" w:hAnsi="Times New Roman" w:cs="Times New Roman"/>
          <w:noProof/>
          <w:sz w:val="24"/>
          <w:szCs w:val="24"/>
          <w:lang w:val="en-US"/>
        </w:rPr>
        <w:t>-</w:t>
      </w:r>
      <w:r w:rsidR="00A441F5">
        <w:rPr>
          <w:rFonts w:ascii="Times New Roman" w:hAnsi="Times New Roman" w:cs="Times New Roman"/>
          <w:noProof/>
          <w:sz w:val="24"/>
          <w:szCs w:val="24"/>
          <w:lang w:val="en-US"/>
        </w:rPr>
        <w:t>m</w:t>
      </w:r>
      <w:r w:rsidR="005E5FC2" w:rsidRPr="005E5FC2">
        <w:rPr>
          <w:rFonts w:ascii="Times New Roman" w:hAnsi="Times New Roman" w:cs="Times New Roman"/>
          <w:noProof/>
          <w:sz w:val="24"/>
          <w:szCs w:val="24"/>
          <w:lang w:val="en-US"/>
        </w:rPr>
        <w:t xml:space="preserve">oney </w:t>
      </w:r>
      <w:r w:rsidR="00A441F5">
        <w:rPr>
          <w:rFonts w:ascii="Times New Roman" w:hAnsi="Times New Roman" w:cs="Times New Roman"/>
          <w:noProof/>
          <w:sz w:val="24"/>
          <w:szCs w:val="24"/>
          <w:lang w:val="en-US"/>
        </w:rPr>
        <w:t>i</w:t>
      </w:r>
      <w:r w:rsidR="005E5FC2" w:rsidRPr="005E5FC2">
        <w:rPr>
          <w:rFonts w:ascii="Times New Roman" w:hAnsi="Times New Roman" w:cs="Times New Roman"/>
          <w:noProof/>
          <w:sz w:val="24"/>
          <w:szCs w:val="24"/>
          <w:lang w:val="en-US"/>
        </w:rPr>
        <w:t>nstitutions</w:t>
      </w:r>
      <w:r>
        <w:rPr>
          <w:rFonts w:ascii="Times New Roman" w:hAnsi="Times New Roman" w:cs="Times New Roman"/>
          <w:noProof/>
          <w:sz w:val="24"/>
          <w:szCs w:val="24"/>
          <w:lang w:val="en-US"/>
        </w:rPr>
        <w:t xml:space="preserve"> (EMIs)</w:t>
      </w:r>
      <w:r w:rsidR="00F805F2">
        <w:rPr>
          <w:rFonts w:ascii="Times New Roman" w:hAnsi="Times New Roman" w:cs="Times New Roman"/>
          <w:noProof/>
          <w:sz w:val="24"/>
          <w:szCs w:val="24"/>
          <w:lang w:val="en-US"/>
        </w:rPr>
        <w:t>.</w:t>
      </w:r>
      <w:r w:rsidR="005E5FC2" w:rsidRPr="005E5FC2">
        <w:rPr>
          <w:rFonts w:ascii="Times New Roman" w:hAnsi="Times New Roman" w:cs="Times New Roman"/>
          <w:noProof/>
          <w:sz w:val="24"/>
          <w:szCs w:val="24"/>
          <w:lang w:val="en-US"/>
        </w:rPr>
        <w:t xml:space="preserve"> PSD2 contains rules on authori</w:t>
      </w:r>
      <w:r w:rsidR="006D3CBA">
        <w:rPr>
          <w:rFonts w:ascii="Times New Roman" w:hAnsi="Times New Roman" w:cs="Times New Roman"/>
          <w:noProof/>
          <w:sz w:val="24"/>
          <w:szCs w:val="24"/>
          <w:lang w:val="en-US"/>
        </w:rPr>
        <w:t>s</w:t>
      </w:r>
      <w:r w:rsidR="005E5FC2" w:rsidRPr="005E5FC2">
        <w:rPr>
          <w:rFonts w:ascii="Times New Roman" w:hAnsi="Times New Roman" w:cs="Times New Roman"/>
          <w:noProof/>
          <w:sz w:val="24"/>
          <w:szCs w:val="24"/>
          <w:lang w:val="en-US"/>
        </w:rPr>
        <w:t xml:space="preserve">ation and supervision of </w:t>
      </w:r>
      <w:r w:rsidR="00E34843">
        <w:rPr>
          <w:rFonts w:ascii="Times New Roman" w:hAnsi="Times New Roman" w:cs="Times New Roman"/>
          <w:noProof/>
          <w:sz w:val="24"/>
          <w:szCs w:val="24"/>
          <w:lang w:val="en-US"/>
        </w:rPr>
        <w:t>PIs</w:t>
      </w:r>
      <w:r w:rsidR="005E5FC2" w:rsidRPr="005E5FC2">
        <w:rPr>
          <w:rFonts w:ascii="Times New Roman" w:hAnsi="Times New Roman" w:cs="Times New Roman"/>
          <w:noProof/>
          <w:sz w:val="24"/>
          <w:szCs w:val="24"/>
          <w:lang w:val="en-US"/>
        </w:rPr>
        <w:t xml:space="preserve"> and establishes rights and obligations and transparency requirements in the relationship between </w:t>
      </w:r>
      <w:r w:rsidR="00AB5495">
        <w:rPr>
          <w:rFonts w:ascii="Times New Roman" w:hAnsi="Times New Roman" w:cs="Times New Roman"/>
          <w:noProof/>
          <w:sz w:val="24"/>
          <w:szCs w:val="24"/>
          <w:lang w:val="en-US"/>
        </w:rPr>
        <w:t xml:space="preserve">all </w:t>
      </w:r>
      <w:r w:rsidR="005E5FC2" w:rsidRPr="005E5FC2">
        <w:rPr>
          <w:rFonts w:ascii="Times New Roman" w:hAnsi="Times New Roman" w:cs="Times New Roman"/>
          <w:noProof/>
          <w:sz w:val="24"/>
          <w:szCs w:val="24"/>
          <w:lang w:val="en-US"/>
        </w:rPr>
        <w:t xml:space="preserve">payment service providers </w:t>
      </w:r>
      <w:r w:rsidR="00AB5495">
        <w:rPr>
          <w:rFonts w:ascii="Times New Roman" w:hAnsi="Times New Roman" w:cs="Times New Roman"/>
          <w:noProof/>
          <w:sz w:val="24"/>
          <w:szCs w:val="24"/>
          <w:lang w:val="en-US"/>
        </w:rPr>
        <w:t xml:space="preserve">(including EMIs) </w:t>
      </w:r>
      <w:r w:rsidR="005E5FC2" w:rsidRPr="005E5FC2">
        <w:rPr>
          <w:rFonts w:ascii="Times New Roman" w:hAnsi="Times New Roman" w:cs="Times New Roman"/>
          <w:noProof/>
          <w:sz w:val="24"/>
          <w:szCs w:val="24"/>
          <w:lang w:val="en-US"/>
        </w:rPr>
        <w:t>and payment service users.</w:t>
      </w:r>
      <w:r>
        <w:rPr>
          <w:rFonts w:ascii="Times New Roman" w:hAnsi="Times New Roman" w:cs="Times New Roman"/>
          <w:noProof/>
          <w:sz w:val="24"/>
          <w:szCs w:val="24"/>
          <w:lang w:val="en-US"/>
        </w:rPr>
        <w:t xml:space="preserve"> </w:t>
      </w:r>
      <w:r w:rsidR="005E5FC2" w:rsidRPr="005E5FC2">
        <w:rPr>
          <w:rFonts w:ascii="Times New Roman" w:hAnsi="Times New Roman" w:cs="Times New Roman"/>
          <w:noProof/>
          <w:sz w:val="24"/>
          <w:szCs w:val="24"/>
          <w:lang w:val="en-US"/>
        </w:rPr>
        <w:t>As payment transactions using e-money are already regulated to a very large extent by PSD2, the legal framework applicable to EMIs and PIs is already reasonably consistent. However, the licensing requirements</w:t>
      </w:r>
      <w:r w:rsidR="00D03B06">
        <w:rPr>
          <w:rFonts w:ascii="Times New Roman" w:hAnsi="Times New Roman" w:cs="Times New Roman"/>
          <w:noProof/>
          <w:sz w:val="24"/>
          <w:szCs w:val="24"/>
          <w:lang w:val="en-US"/>
        </w:rPr>
        <w:t xml:space="preserve">, </w:t>
      </w:r>
      <w:r w:rsidR="005E5FC2" w:rsidRPr="005E5FC2">
        <w:rPr>
          <w:rFonts w:ascii="Times New Roman" w:hAnsi="Times New Roman" w:cs="Times New Roman"/>
          <w:noProof/>
          <w:sz w:val="24"/>
          <w:szCs w:val="24"/>
          <w:lang w:val="en-US"/>
        </w:rPr>
        <w:t>in particular initial capital and ongoing capital</w:t>
      </w:r>
      <w:r w:rsidR="00D03B06">
        <w:rPr>
          <w:rFonts w:ascii="Times New Roman" w:hAnsi="Times New Roman" w:cs="Times New Roman"/>
          <w:noProof/>
          <w:sz w:val="24"/>
          <w:szCs w:val="24"/>
          <w:lang w:val="en-US"/>
        </w:rPr>
        <w:t xml:space="preserve">, </w:t>
      </w:r>
      <w:r w:rsidR="005E5FC2" w:rsidRPr="005E5FC2">
        <w:rPr>
          <w:rFonts w:ascii="Times New Roman" w:hAnsi="Times New Roman" w:cs="Times New Roman"/>
          <w:noProof/>
          <w:sz w:val="24"/>
          <w:szCs w:val="24"/>
          <w:lang w:val="en-US"/>
        </w:rPr>
        <w:t>and some key concepts governing the e-money business</w:t>
      </w:r>
      <w:r w:rsidR="00F805F2">
        <w:rPr>
          <w:rFonts w:ascii="Times New Roman" w:hAnsi="Times New Roman" w:cs="Times New Roman"/>
          <w:noProof/>
          <w:sz w:val="24"/>
          <w:szCs w:val="24"/>
          <w:lang w:val="en-US"/>
        </w:rPr>
        <w:t xml:space="preserve">, </w:t>
      </w:r>
      <w:r w:rsidR="005E5FC2" w:rsidRPr="005E5FC2">
        <w:rPr>
          <w:rFonts w:ascii="Times New Roman" w:hAnsi="Times New Roman" w:cs="Times New Roman"/>
          <w:noProof/>
          <w:sz w:val="24"/>
          <w:szCs w:val="24"/>
          <w:lang w:val="en-US"/>
        </w:rPr>
        <w:t>such as issuance of e-money, e-money distribution and redeemability</w:t>
      </w:r>
      <w:r w:rsidR="00F805F2">
        <w:rPr>
          <w:rFonts w:ascii="Times New Roman" w:hAnsi="Times New Roman" w:cs="Times New Roman"/>
          <w:noProof/>
          <w:sz w:val="24"/>
          <w:szCs w:val="24"/>
          <w:lang w:val="en-US"/>
        </w:rPr>
        <w:t>,</w:t>
      </w:r>
      <w:r w:rsidR="005E5FC2" w:rsidRPr="005E5FC2">
        <w:rPr>
          <w:rFonts w:ascii="Times New Roman" w:hAnsi="Times New Roman" w:cs="Times New Roman"/>
          <w:noProof/>
          <w:sz w:val="24"/>
          <w:szCs w:val="24"/>
          <w:lang w:val="en-US"/>
        </w:rPr>
        <w:t xml:space="preserve"> are quite distinct as compared to the services provided by payment institutions.</w:t>
      </w:r>
      <w:r w:rsidR="00E34843">
        <w:rPr>
          <w:rFonts w:ascii="Times New Roman" w:hAnsi="Times New Roman" w:cs="Times New Roman"/>
          <w:noProof/>
          <w:sz w:val="24"/>
          <w:szCs w:val="24"/>
          <w:lang w:val="en-US"/>
        </w:rPr>
        <w:t xml:space="preserve"> S</w:t>
      </w:r>
      <w:r w:rsidR="005E5FC2" w:rsidRPr="005E5FC2">
        <w:rPr>
          <w:rFonts w:ascii="Times New Roman" w:hAnsi="Times New Roman" w:cs="Times New Roman"/>
          <w:noProof/>
          <w:sz w:val="24"/>
          <w:szCs w:val="24"/>
          <w:lang w:val="en-US"/>
        </w:rPr>
        <w:t>upervis</w:t>
      </w:r>
      <w:r w:rsidR="00AB5495">
        <w:rPr>
          <w:rFonts w:ascii="Times New Roman" w:hAnsi="Times New Roman" w:cs="Times New Roman"/>
          <w:noProof/>
          <w:sz w:val="24"/>
          <w:szCs w:val="24"/>
          <w:lang w:val="en-US"/>
        </w:rPr>
        <w:t>ory</w:t>
      </w:r>
      <w:r w:rsidR="005E5FC2" w:rsidRPr="005E5FC2">
        <w:rPr>
          <w:rFonts w:ascii="Times New Roman" w:hAnsi="Times New Roman" w:cs="Times New Roman"/>
          <w:noProof/>
          <w:sz w:val="24"/>
          <w:szCs w:val="24"/>
          <w:lang w:val="en-US"/>
        </w:rPr>
        <w:t xml:space="preserve"> authorities have experienced practical difficulties in clearly delineating the two regimes and in distinguishing e-money products/services from payment services offered by </w:t>
      </w:r>
      <w:r w:rsidR="001C43F9">
        <w:rPr>
          <w:rFonts w:ascii="Times New Roman" w:hAnsi="Times New Roman" w:cs="Times New Roman"/>
          <w:noProof/>
          <w:sz w:val="24"/>
          <w:szCs w:val="24"/>
          <w:lang w:val="en-US"/>
        </w:rPr>
        <w:t>PIs</w:t>
      </w:r>
      <w:r w:rsidR="005E5FC2" w:rsidRPr="005E5FC2">
        <w:rPr>
          <w:rFonts w:ascii="Times New Roman" w:hAnsi="Times New Roman" w:cs="Times New Roman"/>
          <w:noProof/>
          <w:sz w:val="24"/>
          <w:szCs w:val="24"/>
          <w:lang w:val="en-US"/>
        </w:rPr>
        <w:t xml:space="preserve">. This has led to concerns about regulatory arbitrage and </w:t>
      </w:r>
      <w:r w:rsidR="00E35E89">
        <w:rPr>
          <w:rFonts w:ascii="Times New Roman" w:hAnsi="Times New Roman" w:cs="Times New Roman"/>
          <w:noProof/>
          <w:sz w:val="24"/>
          <w:szCs w:val="24"/>
          <w:lang w:val="en-US"/>
        </w:rPr>
        <w:t xml:space="preserve">an </w:t>
      </w:r>
      <w:r w:rsidR="005E5FC2" w:rsidRPr="005E5FC2">
        <w:rPr>
          <w:rFonts w:ascii="Times New Roman" w:hAnsi="Times New Roman" w:cs="Times New Roman"/>
          <w:noProof/>
          <w:sz w:val="24"/>
          <w:szCs w:val="24"/>
          <w:lang w:val="en-US"/>
        </w:rPr>
        <w:t xml:space="preserve">unlevel playing field, as well as </w:t>
      </w:r>
      <w:r w:rsidR="00F805F2">
        <w:rPr>
          <w:rFonts w:ascii="Times New Roman" w:hAnsi="Times New Roman" w:cs="Times New Roman"/>
          <w:noProof/>
          <w:sz w:val="24"/>
          <w:szCs w:val="24"/>
          <w:lang w:val="en-US"/>
        </w:rPr>
        <w:t xml:space="preserve">to </w:t>
      </w:r>
      <w:r w:rsidR="005E5FC2" w:rsidRPr="005E5FC2">
        <w:rPr>
          <w:rFonts w:ascii="Times New Roman" w:hAnsi="Times New Roman" w:cs="Times New Roman"/>
          <w:noProof/>
          <w:sz w:val="24"/>
          <w:szCs w:val="24"/>
          <w:lang w:val="en-US"/>
        </w:rPr>
        <w:t xml:space="preserve">issues with </w:t>
      </w:r>
      <w:r w:rsidR="0080244B">
        <w:rPr>
          <w:rFonts w:ascii="Times New Roman" w:hAnsi="Times New Roman" w:cs="Times New Roman"/>
          <w:noProof/>
          <w:sz w:val="24"/>
          <w:szCs w:val="24"/>
          <w:lang w:val="en-US"/>
        </w:rPr>
        <w:t>possible</w:t>
      </w:r>
      <w:r w:rsidR="005E5FC2" w:rsidRPr="005E5FC2">
        <w:rPr>
          <w:rFonts w:ascii="Times New Roman" w:hAnsi="Times New Roman" w:cs="Times New Roman"/>
          <w:noProof/>
          <w:sz w:val="24"/>
          <w:szCs w:val="24"/>
          <w:lang w:val="en-US"/>
        </w:rPr>
        <w:t xml:space="preserve"> circumvention of the requirements of EMD2 whereby some institution</w:t>
      </w:r>
      <w:r w:rsidR="00E35E89">
        <w:rPr>
          <w:rFonts w:ascii="Times New Roman" w:hAnsi="Times New Roman" w:cs="Times New Roman"/>
          <w:noProof/>
          <w:sz w:val="24"/>
          <w:szCs w:val="24"/>
          <w:lang w:val="en-US"/>
        </w:rPr>
        <w:t>s</w:t>
      </w:r>
      <w:r w:rsidR="005E5FC2" w:rsidRPr="005E5FC2">
        <w:rPr>
          <w:rFonts w:ascii="Times New Roman" w:hAnsi="Times New Roman" w:cs="Times New Roman"/>
          <w:noProof/>
          <w:sz w:val="24"/>
          <w:szCs w:val="24"/>
          <w:lang w:val="en-US"/>
        </w:rPr>
        <w:t xml:space="preserve"> issuing e</w:t>
      </w:r>
      <w:r w:rsidR="0080244B">
        <w:rPr>
          <w:rFonts w:ascii="Times New Roman" w:hAnsi="Times New Roman" w:cs="Times New Roman"/>
          <w:noProof/>
          <w:sz w:val="24"/>
          <w:szCs w:val="24"/>
          <w:lang w:val="en-US"/>
        </w:rPr>
        <w:t>-</w:t>
      </w:r>
      <w:r w:rsidR="005E5FC2" w:rsidRPr="005E5FC2">
        <w:rPr>
          <w:rFonts w:ascii="Times New Roman" w:hAnsi="Times New Roman" w:cs="Times New Roman"/>
          <w:noProof/>
          <w:sz w:val="24"/>
          <w:szCs w:val="24"/>
          <w:lang w:val="en-US"/>
        </w:rPr>
        <w:t>money, taking advantage of the similarity between payment services and e</w:t>
      </w:r>
      <w:r w:rsidR="001C43F9">
        <w:rPr>
          <w:rFonts w:ascii="Times New Roman" w:hAnsi="Times New Roman" w:cs="Times New Roman"/>
          <w:noProof/>
          <w:sz w:val="24"/>
          <w:szCs w:val="24"/>
          <w:lang w:val="en-US"/>
        </w:rPr>
        <w:t>-</w:t>
      </w:r>
      <w:r w:rsidR="005E5FC2" w:rsidRPr="005E5FC2">
        <w:rPr>
          <w:rFonts w:ascii="Times New Roman" w:hAnsi="Times New Roman" w:cs="Times New Roman"/>
          <w:noProof/>
          <w:sz w:val="24"/>
          <w:szCs w:val="24"/>
          <w:lang w:val="en-US"/>
        </w:rPr>
        <w:t>money services, apply for authori</w:t>
      </w:r>
      <w:r w:rsidR="001C43F9">
        <w:rPr>
          <w:rFonts w:ascii="Times New Roman" w:hAnsi="Times New Roman" w:cs="Times New Roman"/>
          <w:noProof/>
          <w:sz w:val="24"/>
          <w:szCs w:val="24"/>
          <w:lang w:val="en-US"/>
        </w:rPr>
        <w:t>s</w:t>
      </w:r>
      <w:r w:rsidR="005E5FC2" w:rsidRPr="005E5FC2">
        <w:rPr>
          <w:rFonts w:ascii="Times New Roman" w:hAnsi="Times New Roman" w:cs="Times New Roman"/>
          <w:noProof/>
          <w:sz w:val="24"/>
          <w:szCs w:val="24"/>
          <w:lang w:val="en-US"/>
        </w:rPr>
        <w:t xml:space="preserve">ation </w:t>
      </w:r>
      <w:r w:rsidR="00E35E89">
        <w:rPr>
          <w:rFonts w:ascii="Times New Roman" w:hAnsi="Times New Roman" w:cs="Times New Roman"/>
          <w:noProof/>
          <w:sz w:val="24"/>
          <w:szCs w:val="24"/>
          <w:lang w:val="en-US"/>
        </w:rPr>
        <w:t xml:space="preserve">only </w:t>
      </w:r>
      <w:r w:rsidR="005E5FC2" w:rsidRPr="005E5FC2">
        <w:rPr>
          <w:rFonts w:ascii="Times New Roman" w:hAnsi="Times New Roman" w:cs="Times New Roman"/>
          <w:noProof/>
          <w:sz w:val="24"/>
          <w:szCs w:val="24"/>
          <w:lang w:val="en-US"/>
        </w:rPr>
        <w:t xml:space="preserve">as a </w:t>
      </w:r>
      <w:r w:rsidR="00AB5495">
        <w:rPr>
          <w:rFonts w:ascii="Times New Roman" w:hAnsi="Times New Roman" w:cs="Times New Roman"/>
          <w:noProof/>
          <w:sz w:val="24"/>
          <w:szCs w:val="24"/>
          <w:lang w:val="en-US"/>
        </w:rPr>
        <w:t>payment institution</w:t>
      </w:r>
      <w:r w:rsidR="005E5FC2" w:rsidRPr="005E5FC2">
        <w:rPr>
          <w:rFonts w:ascii="Times New Roman" w:hAnsi="Times New Roman" w:cs="Times New Roman"/>
          <w:noProof/>
          <w:sz w:val="24"/>
          <w:szCs w:val="24"/>
          <w:lang w:val="en-US"/>
        </w:rPr>
        <w:t xml:space="preserve">. </w:t>
      </w:r>
    </w:p>
    <w:p w14:paraId="4C6DEB64" w14:textId="4179ADA7" w:rsidR="00A93EF0" w:rsidRDefault="005E5FC2" w:rsidP="00BD71BE">
      <w:pPr>
        <w:spacing w:before="120" w:after="120" w:line="240" w:lineRule="auto"/>
        <w:jc w:val="both"/>
        <w:rPr>
          <w:rFonts w:ascii="Times New Roman" w:hAnsi="Times New Roman" w:cs="Times New Roman"/>
          <w:noProof/>
          <w:sz w:val="24"/>
          <w:szCs w:val="24"/>
          <w:lang w:val="en-US"/>
        </w:rPr>
      </w:pPr>
      <w:r w:rsidRPr="005E5FC2">
        <w:rPr>
          <w:rFonts w:ascii="Times New Roman" w:hAnsi="Times New Roman" w:cs="Times New Roman"/>
          <w:noProof/>
          <w:sz w:val="24"/>
          <w:szCs w:val="24"/>
          <w:lang w:val="en-US"/>
        </w:rPr>
        <w:t>Th</w:t>
      </w:r>
      <w:r w:rsidR="00AB5495">
        <w:rPr>
          <w:rFonts w:ascii="Times New Roman" w:hAnsi="Times New Roman" w:cs="Times New Roman"/>
          <w:noProof/>
          <w:sz w:val="24"/>
          <w:szCs w:val="24"/>
          <w:lang w:val="en-US"/>
        </w:rPr>
        <w:t>e</w:t>
      </w:r>
      <w:r w:rsidRPr="005E5FC2">
        <w:rPr>
          <w:rFonts w:ascii="Times New Roman" w:hAnsi="Times New Roman" w:cs="Times New Roman"/>
          <w:noProof/>
          <w:sz w:val="24"/>
          <w:szCs w:val="24"/>
          <w:lang w:val="en-US"/>
        </w:rPr>
        <w:t xml:space="preserve"> experience acquired is now sufficient to </w:t>
      </w:r>
      <w:r w:rsidR="00DB7C99">
        <w:rPr>
          <w:rFonts w:ascii="Times New Roman" w:hAnsi="Times New Roman" w:cs="Times New Roman"/>
          <w:noProof/>
          <w:sz w:val="24"/>
          <w:szCs w:val="24"/>
          <w:lang w:val="en-US"/>
        </w:rPr>
        <w:t>conclude that a m</w:t>
      </w:r>
      <w:r w:rsidRPr="005E5FC2">
        <w:rPr>
          <w:rFonts w:ascii="Times New Roman" w:hAnsi="Times New Roman" w:cs="Times New Roman"/>
          <w:noProof/>
          <w:sz w:val="24"/>
          <w:szCs w:val="24"/>
          <w:lang w:val="en-US"/>
        </w:rPr>
        <w:t>erge</w:t>
      </w:r>
      <w:r w:rsidR="00DB7C99">
        <w:rPr>
          <w:rFonts w:ascii="Times New Roman" w:hAnsi="Times New Roman" w:cs="Times New Roman"/>
          <w:noProof/>
          <w:sz w:val="24"/>
          <w:szCs w:val="24"/>
          <w:lang w:val="en-US"/>
        </w:rPr>
        <w:t>r</w:t>
      </w:r>
      <w:r w:rsidR="0080244B">
        <w:rPr>
          <w:rFonts w:ascii="Times New Roman" w:hAnsi="Times New Roman" w:cs="Times New Roman"/>
          <w:noProof/>
          <w:sz w:val="24"/>
          <w:szCs w:val="24"/>
          <w:lang w:val="en-US"/>
        </w:rPr>
        <w:t xml:space="preserve"> </w:t>
      </w:r>
      <w:r w:rsidR="00DB7C99">
        <w:rPr>
          <w:rFonts w:ascii="Times New Roman" w:hAnsi="Times New Roman" w:cs="Times New Roman"/>
          <w:noProof/>
          <w:sz w:val="24"/>
          <w:szCs w:val="24"/>
          <w:lang w:val="en-US"/>
        </w:rPr>
        <w:t xml:space="preserve">of </w:t>
      </w:r>
      <w:r w:rsidR="0080244B">
        <w:rPr>
          <w:rFonts w:ascii="Times New Roman" w:hAnsi="Times New Roman" w:cs="Times New Roman"/>
          <w:noProof/>
          <w:sz w:val="24"/>
          <w:szCs w:val="24"/>
          <w:lang w:val="en-US"/>
        </w:rPr>
        <w:t>the two regimes</w:t>
      </w:r>
      <w:r w:rsidR="004F2670">
        <w:rPr>
          <w:rStyle w:val="FootnoteReference"/>
          <w:rFonts w:ascii="Times New Roman" w:hAnsi="Times New Roman" w:cs="Times New Roman"/>
          <w:noProof/>
          <w:sz w:val="24"/>
          <w:szCs w:val="24"/>
          <w:lang w:val="en-US"/>
        </w:rPr>
        <w:footnoteReference w:id="48"/>
      </w:r>
      <w:r w:rsidR="00DB7C99">
        <w:rPr>
          <w:rFonts w:ascii="Times New Roman" w:hAnsi="Times New Roman" w:cs="Times New Roman"/>
          <w:noProof/>
          <w:sz w:val="24"/>
          <w:szCs w:val="24"/>
          <w:lang w:val="en-US"/>
        </w:rPr>
        <w:t xml:space="preserve"> is appropriate</w:t>
      </w:r>
      <w:r w:rsidR="0080244B">
        <w:rPr>
          <w:rFonts w:ascii="Times New Roman" w:hAnsi="Times New Roman" w:cs="Times New Roman"/>
          <w:noProof/>
          <w:sz w:val="24"/>
          <w:szCs w:val="24"/>
        </w:rPr>
        <w:t xml:space="preserve">, bringing </w:t>
      </w:r>
      <w:r w:rsidR="00AB5495">
        <w:rPr>
          <w:rFonts w:ascii="Times New Roman" w:hAnsi="Times New Roman" w:cs="Times New Roman"/>
          <w:noProof/>
          <w:sz w:val="24"/>
          <w:szCs w:val="24"/>
        </w:rPr>
        <w:t xml:space="preserve">them </w:t>
      </w:r>
      <w:r w:rsidR="0080244B">
        <w:rPr>
          <w:rFonts w:ascii="Times New Roman" w:hAnsi="Times New Roman" w:cs="Times New Roman"/>
          <w:noProof/>
          <w:sz w:val="24"/>
          <w:szCs w:val="24"/>
        </w:rPr>
        <w:t xml:space="preserve">together </w:t>
      </w:r>
      <w:r w:rsidR="0080244B" w:rsidRPr="00A93EF0">
        <w:rPr>
          <w:rFonts w:ascii="Times New Roman" w:hAnsi="Times New Roman" w:cs="Times New Roman"/>
          <w:noProof/>
          <w:sz w:val="24"/>
          <w:szCs w:val="24"/>
          <w:lang w:val="en-US"/>
        </w:rPr>
        <w:t xml:space="preserve">in </w:t>
      </w:r>
      <w:r w:rsidR="00AB5495">
        <w:rPr>
          <w:rFonts w:ascii="Times New Roman" w:hAnsi="Times New Roman" w:cs="Times New Roman"/>
          <w:noProof/>
          <w:sz w:val="24"/>
          <w:szCs w:val="24"/>
          <w:lang w:val="en-US"/>
        </w:rPr>
        <w:t>one</w:t>
      </w:r>
      <w:r w:rsidR="00AB5495" w:rsidRPr="008E433A">
        <w:rPr>
          <w:rFonts w:ascii="Times New Roman" w:hAnsi="Times New Roman" w:cs="Times New Roman"/>
          <w:noProof/>
          <w:sz w:val="24"/>
          <w:szCs w:val="24"/>
          <w:lang w:val="en-US"/>
        </w:rPr>
        <w:t xml:space="preserve"> </w:t>
      </w:r>
      <w:r w:rsidR="00DB7C99">
        <w:rPr>
          <w:rFonts w:ascii="Times New Roman" w:hAnsi="Times New Roman" w:cs="Times New Roman"/>
          <w:noProof/>
          <w:sz w:val="24"/>
          <w:szCs w:val="24"/>
          <w:lang w:val="en-US"/>
        </w:rPr>
        <w:t>single piece of legislation</w:t>
      </w:r>
      <w:r w:rsidR="0080244B" w:rsidRPr="008E433A">
        <w:rPr>
          <w:rFonts w:ascii="Times New Roman" w:hAnsi="Times New Roman" w:cs="Times New Roman"/>
          <w:noProof/>
          <w:sz w:val="24"/>
          <w:szCs w:val="24"/>
          <w:lang w:val="en-US"/>
        </w:rPr>
        <w:t xml:space="preserve"> and harmoni</w:t>
      </w:r>
      <w:r w:rsidR="00FB6A9E">
        <w:rPr>
          <w:rFonts w:ascii="Times New Roman" w:hAnsi="Times New Roman" w:cs="Times New Roman"/>
          <w:noProof/>
          <w:sz w:val="24"/>
          <w:szCs w:val="24"/>
          <w:lang w:val="en-US"/>
        </w:rPr>
        <w:t>s</w:t>
      </w:r>
      <w:r w:rsidR="0080244B" w:rsidRPr="008E433A">
        <w:rPr>
          <w:rFonts w:ascii="Times New Roman" w:hAnsi="Times New Roman" w:cs="Times New Roman"/>
          <w:noProof/>
          <w:sz w:val="24"/>
          <w:szCs w:val="24"/>
          <w:lang w:val="en-US"/>
        </w:rPr>
        <w:t>ing them to the extent possible</w:t>
      </w:r>
      <w:r w:rsidR="00E35E89">
        <w:rPr>
          <w:rFonts w:ascii="Times New Roman" w:hAnsi="Times New Roman" w:cs="Times New Roman"/>
          <w:noProof/>
          <w:sz w:val="24"/>
          <w:szCs w:val="24"/>
          <w:lang w:val="en-US"/>
        </w:rPr>
        <w:t>,</w:t>
      </w:r>
      <w:r w:rsidR="0080244B" w:rsidRPr="008E433A">
        <w:rPr>
          <w:rFonts w:ascii="Times New Roman" w:hAnsi="Times New Roman" w:cs="Times New Roman"/>
          <w:noProof/>
          <w:sz w:val="24"/>
          <w:szCs w:val="24"/>
          <w:lang w:val="en-US"/>
        </w:rPr>
        <w:t xml:space="preserve"> while still leaving room for </w:t>
      </w:r>
      <w:r w:rsidR="0080244B" w:rsidRPr="00157409">
        <w:rPr>
          <w:rFonts w:ascii="Times New Roman" w:hAnsi="Times New Roman" w:cs="Times New Roman"/>
          <w:noProof/>
          <w:sz w:val="24"/>
          <w:szCs w:val="24"/>
          <w:lang w:val="en-US"/>
        </w:rPr>
        <w:t>specific</w:t>
      </w:r>
      <w:r w:rsidR="008E433A" w:rsidRPr="00157409">
        <w:rPr>
          <w:rFonts w:ascii="Times New Roman" w:hAnsi="Times New Roman" w:cs="Times New Roman"/>
          <w:noProof/>
          <w:sz w:val="24"/>
          <w:szCs w:val="24"/>
          <w:lang w:val="en-US"/>
        </w:rPr>
        <w:t xml:space="preserve">ities </w:t>
      </w:r>
      <w:r w:rsidR="0080244B" w:rsidRPr="008E433A">
        <w:rPr>
          <w:rFonts w:ascii="Times New Roman" w:hAnsi="Times New Roman" w:cs="Times New Roman"/>
          <w:noProof/>
          <w:sz w:val="24"/>
          <w:szCs w:val="24"/>
          <w:lang w:val="en-US"/>
        </w:rPr>
        <w:t>where justified. This</w:t>
      </w:r>
      <w:r w:rsidR="0080244B" w:rsidRPr="008E433A">
        <w:rPr>
          <w:rFonts w:ascii="Times New Roman" w:hAnsi="Times New Roman" w:cs="Times New Roman"/>
          <w:noProof/>
          <w:sz w:val="24"/>
          <w:szCs w:val="24"/>
        </w:rPr>
        <w:t xml:space="preserve"> will </w:t>
      </w:r>
      <w:r w:rsidRPr="008E433A">
        <w:rPr>
          <w:rFonts w:ascii="Times New Roman" w:hAnsi="Times New Roman" w:cs="Times New Roman"/>
          <w:noProof/>
          <w:sz w:val="24"/>
          <w:szCs w:val="24"/>
          <w:lang w:val="en-US"/>
        </w:rPr>
        <w:t xml:space="preserve">address concerns and challenges with regard to delineating </w:t>
      </w:r>
      <w:r w:rsidRPr="005E5FC2">
        <w:rPr>
          <w:rFonts w:ascii="Times New Roman" w:hAnsi="Times New Roman" w:cs="Times New Roman"/>
          <w:noProof/>
          <w:sz w:val="24"/>
          <w:szCs w:val="24"/>
          <w:lang w:val="en-US"/>
        </w:rPr>
        <w:t xml:space="preserve">the two legal frameworks, in particular at the licensing stage. </w:t>
      </w:r>
      <w:r w:rsidR="00E34843">
        <w:rPr>
          <w:rFonts w:ascii="Times New Roman" w:hAnsi="Times New Roman" w:cs="Times New Roman"/>
          <w:noProof/>
          <w:sz w:val="24"/>
          <w:szCs w:val="24"/>
          <w:lang w:val="en-US"/>
        </w:rPr>
        <w:t xml:space="preserve">It will furthermore </w:t>
      </w:r>
      <w:r w:rsidRPr="005E5FC2">
        <w:rPr>
          <w:rFonts w:ascii="Times New Roman" w:hAnsi="Times New Roman" w:cs="Times New Roman"/>
          <w:noProof/>
          <w:sz w:val="24"/>
          <w:szCs w:val="24"/>
          <w:lang w:val="en-US"/>
        </w:rPr>
        <w:t>ensure a higher degree of harmoni</w:t>
      </w:r>
      <w:r w:rsidR="00FB6A9E">
        <w:rPr>
          <w:rFonts w:ascii="Times New Roman" w:hAnsi="Times New Roman" w:cs="Times New Roman"/>
          <w:noProof/>
          <w:sz w:val="24"/>
          <w:szCs w:val="24"/>
          <w:lang w:val="en-US"/>
        </w:rPr>
        <w:t>s</w:t>
      </w:r>
      <w:r w:rsidRPr="005E5FC2">
        <w:rPr>
          <w:rFonts w:ascii="Times New Roman" w:hAnsi="Times New Roman" w:cs="Times New Roman"/>
          <w:noProof/>
          <w:sz w:val="24"/>
          <w:szCs w:val="24"/>
          <w:lang w:val="en-US"/>
        </w:rPr>
        <w:t>ation, simplification and consistent application of the legal requirements for PIs and EMIs, preventing regulatory arbitrage, ensuring a level playing field and a future-proof legal framework.</w:t>
      </w:r>
    </w:p>
    <w:p w14:paraId="58F5868B" w14:textId="636D04C2" w:rsidR="002660A8" w:rsidRPr="00D715C6" w:rsidRDefault="002660A8" w:rsidP="00BD71BE">
      <w:pPr>
        <w:pStyle w:val="Heading1"/>
        <w:numPr>
          <w:ilvl w:val="0"/>
          <w:numId w:val="3"/>
        </w:numPr>
        <w:spacing w:before="120" w:after="120" w:line="240" w:lineRule="auto"/>
        <w:jc w:val="both"/>
        <w:rPr>
          <w:rStyle w:val="Hyperlink"/>
          <w:rFonts w:ascii="Times New Roman" w:hAnsi="Times New Roman" w:cs="Times New Roman"/>
          <w:b/>
          <w:bCs/>
          <w:noProof/>
          <w:color w:val="auto"/>
          <w:sz w:val="24"/>
          <w:szCs w:val="24"/>
          <w:u w:val="none"/>
        </w:rPr>
      </w:pPr>
      <w:bookmarkStart w:id="46" w:name="_Toc138066886"/>
      <w:r w:rsidRPr="00D715C6">
        <w:rPr>
          <w:rStyle w:val="Hyperlink"/>
          <w:rFonts w:ascii="Times New Roman" w:hAnsi="Times New Roman" w:cs="Times New Roman"/>
          <w:b/>
          <w:bCs/>
          <w:noProof/>
          <w:color w:val="auto"/>
          <w:sz w:val="24"/>
          <w:szCs w:val="24"/>
          <w:u w:val="none"/>
        </w:rPr>
        <w:t>CONCLUSIONS</w:t>
      </w:r>
      <w:bookmarkEnd w:id="46"/>
    </w:p>
    <w:p w14:paraId="070C0366" w14:textId="41500A84" w:rsidR="002660A8" w:rsidRDefault="006A5020" w:rsidP="00BD71BE">
      <w:pPr>
        <w:spacing w:before="120" w:after="120" w:line="240" w:lineRule="auto"/>
        <w:jc w:val="both"/>
        <w:rPr>
          <w:rFonts w:ascii="Times New Roman" w:hAnsi="Times New Roman" w:cs="Times New Roman"/>
          <w:noProof/>
          <w:sz w:val="24"/>
          <w:szCs w:val="24"/>
        </w:rPr>
      </w:pPr>
      <w:bookmarkStart w:id="47" w:name="_Hlk128984787"/>
      <w:r>
        <w:rPr>
          <w:rFonts w:ascii="Times New Roman" w:hAnsi="Times New Roman" w:cs="Times New Roman"/>
          <w:noProof/>
          <w:sz w:val="24"/>
          <w:szCs w:val="24"/>
        </w:rPr>
        <w:t xml:space="preserve">In light of the results of the evaluation report on PSD2, </w:t>
      </w:r>
      <w:r w:rsidR="00DB7C99">
        <w:rPr>
          <w:rFonts w:ascii="Times New Roman" w:hAnsi="Times New Roman" w:cs="Times New Roman"/>
          <w:noProof/>
          <w:sz w:val="24"/>
          <w:szCs w:val="24"/>
        </w:rPr>
        <w:t xml:space="preserve">the Commission </w:t>
      </w:r>
      <w:r>
        <w:rPr>
          <w:rFonts w:ascii="Times New Roman" w:hAnsi="Times New Roman" w:cs="Times New Roman"/>
          <w:noProof/>
          <w:sz w:val="24"/>
          <w:szCs w:val="24"/>
        </w:rPr>
        <w:t>concluded</w:t>
      </w:r>
      <w:r w:rsidR="00F805F2">
        <w:rPr>
          <w:rFonts w:ascii="Times New Roman" w:hAnsi="Times New Roman" w:cs="Times New Roman"/>
          <w:noProof/>
          <w:sz w:val="24"/>
          <w:szCs w:val="24"/>
        </w:rPr>
        <w:t>,</w:t>
      </w:r>
      <w:r>
        <w:rPr>
          <w:rFonts w:ascii="Times New Roman" w:hAnsi="Times New Roman" w:cs="Times New Roman"/>
          <w:noProof/>
          <w:sz w:val="24"/>
          <w:szCs w:val="24"/>
        </w:rPr>
        <w:t xml:space="preserve"> on the one hand</w:t>
      </w:r>
      <w:r w:rsidR="00F805F2">
        <w:rPr>
          <w:rFonts w:ascii="Times New Roman" w:hAnsi="Times New Roman" w:cs="Times New Roman"/>
          <w:noProof/>
          <w:sz w:val="24"/>
          <w:szCs w:val="24"/>
        </w:rPr>
        <w:t>,</w:t>
      </w:r>
      <w:r>
        <w:rPr>
          <w:rFonts w:ascii="Times New Roman" w:hAnsi="Times New Roman" w:cs="Times New Roman"/>
          <w:noProof/>
          <w:sz w:val="24"/>
          <w:szCs w:val="24"/>
        </w:rPr>
        <w:t xml:space="preserve"> that </w:t>
      </w:r>
      <w:r w:rsidR="00672726">
        <w:rPr>
          <w:rFonts w:ascii="Times New Roman" w:hAnsi="Times New Roman" w:cs="Times New Roman"/>
          <w:noProof/>
          <w:sz w:val="24"/>
          <w:szCs w:val="24"/>
        </w:rPr>
        <w:t xml:space="preserve">targeted </w:t>
      </w:r>
      <w:r>
        <w:rPr>
          <w:rFonts w:ascii="Times New Roman" w:hAnsi="Times New Roman" w:cs="Times New Roman"/>
          <w:noProof/>
          <w:sz w:val="24"/>
          <w:szCs w:val="24"/>
        </w:rPr>
        <w:t>amendments are necessary</w:t>
      </w:r>
      <w:r w:rsidR="00672726">
        <w:rPr>
          <w:rFonts w:ascii="Times New Roman" w:hAnsi="Times New Roman" w:cs="Times New Roman"/>
          <w:noProof/>
          <w:sz w:val="24"/>
          <w:szCs w:val="24"/>
        </w:rPr>
        <w:t xml:space="preserve"> and timely</w:t>
      </w:r>
      <w:r>
        <w:rPr>
          <w:rFonts w:ascii="Times New Roman" w:hAnsi="Times New Roman" w:cs="Times New Roman"/>
          <w:noProof/>
          <w:sz w:val="24"/>
          <w:szCs w:val="24"/>
        </w:rPr>
        <w:t xml:space="preserve"> but</w:t>
      </w:r>
      <w:r w:rsidR="00F805F2">
        <w:rPr>
          <w:rFonts w:ascii="Times New Roman" w:hAnsi="Times New Roman" w:cs="Times New Roman"/>
          <w:noProof/>
          <w:sz w:val="24"/>
          <w:szCs w:val="24"/>
        </w:rPr>
        <w:t>,</w:t>
      </w:r>
      <w:r>
        <w:rPr>
          <w:rFonts w:ascii="Times New Roman" w:hAnsi="Times New Roman" w:cs="Times New Roman"/>
          <w:noProof/>
          <w:sz w:val="24"/>
          <w:szCs w:val="24"/>
        </w:rPr>
        <w:t xml:space="preserve"> on the other hand</w:t>
      </w:r>
      <w:r w:rsidR="00F805F2">
        <w:rPr>
          <w:rFonts w:ascii="Times New Roman" w:hAnsi="Times New Roman" w:cs="Times New Roman"/>
          <w:noProof/>
          <w:sz w:val="24"/>
          <w:szCs w:val="24"/>
        </w:rPr>
        <w:t>,</w:t>
      </w:r>
      <w:r>
        <w:rPr>
          <w:rFonts w:ascii="Times New Roman" w:hAnsi="Times New Roman" w:cs="Times New Roman"/>
          <w:noProof/>
          <w:sz w:val="24"/>
          <w:szCs w:val="24"/>
        </w:rPr>
        <w:t xml:space="preserve"> that those amendments should represent </w:t>
      </w:r>
      <w:r w:rsidR="00DB7C99">
        <w:rPr>
          <w:rFonts w:ascii="Times New Roman" w:hAnsi="Times New Roman" w:cs="Times New Roman"/>
          <w:noProof/>
          <w:sz w:val="24"/>
          <w:szCs w:val="24"/>
        </w:rPr>
        <w:t xml:space="preserve">an </w:t>
      </w:r>
      <w:r>
        <w:rPr>
          <w:rFonts w:ascii="Times New Roman" w:hAnsi="Times New Roman" w:cs="Times New Roman"/>
          <w:noProof/>
          <w:sz w:val="24"/>
          <w:szCs w:val="24"/>
        </w:rPr>
        <w:t xml:space="preserve">evolution </w:t>
      </w:r>
      <w:r w:rsidR="00DB7C99">
        <w:rPr>
          <w:rFonts w:ascii="Times New Roman" w:hAnsi="Times New Roman" w:cs="Times New Roman"/>
          <w:noProof/>
          <w:sz w:val="24"/>
          <w:szCs w:val="24"/>
        </w:rPr>
        <w:t xml:space="preserve">but not a </w:t>
      </w:r>
      <w:r>
        <w:rPr>
          <w:rFonts w:ascii="Times New Roman" w:hAnsi="Times New Roman" w:cs="Times New Roman"/>
          <w:noProof/>
          <w:sz w:val="24"/>
          <w:szCs w:val="24"/>
        </w:rPr>
        <w:t xml:space="preserve">revolution for the EU payments framework. In certain areas – for example the scope of the legislation or surcharging – no evidence was found of problems that would justify major </w:t>
      </w:r>
      <w:r w:rsidR="002B73A2">
        <w:rPr>
          <w:rFonts w:ascii="Times New Roman" w:hAnsi="Times New Roman" w:cs="Times New Roman"/>
          <w:noProof/>
          <w:sz w:val="24"/>
          <w:szCs w:val="24"/>
        </w:rPr>
        <w:t xml:space="preserve">and immediate </w:t>
      </w:r>
      <w:r>
        <w:rPr>
          <w:rFonts w:ascii="Times New Roman" w:hAnsi="Times New Roman" w:cs="Times New Roman"/>
          <w:noProof/>
          <w:sz w:val="24"/>
          <w:szCs w:val="24"/>
        </w:rPr>
        <w:t>changes</w:t>
      </w:r>
      <w:r w:rsidR="00F805F2">
        <w:rPr>
          <w:rFonts w:ascii="Times New Roman" w:hAnsi="Times New Roman" w:cs="Times New Roman"/>
          <w:noProof/>
          <w:sz w:val="24"/>
          <w:szCs w:val="24"/>
        </w:rPr>
        <w:t xml:space="preserve">, </w:t>
      </w:r>
      <w:r w:rsidR="00672726">
        <w:rPr>
          <w:rFonts w:ascii="Times New Roman" w:hAnsi="Times New Roman" w:cs="Times New Roman"/>
          <w:noProof/>
          <w:sz w:val="24"/>
          <w:szCs w:val="24"/>
        </w:rPr>
        <w:t>although this will be kept under review</w:t>
      </w:r>
      <w:r w:rsidR="004F2670">
        <w:rPr>
          <w:rFonts w:ascii="Times New Roman" w:hAnsi="Times New Roman" w:cs="Times New Roman"/>
          <w:noProof/>
          <w:sz w:val="24"/>
          <w:szCs w:val="24"/>
        </w:rPr>
        <w:t>, especially as regards operators of payment systems in light of the review clause of DORA</w:t>
      </w:r>
      <w:r>
        <w:rPr>
          <w:rFonts w:ascii="Times New Roman" w:hAnsi="Times New Roman" w:cs="Times New Roman"/>
          <w:noProof/>
          <w:sz w:val="24"/>
          <w:szCs w:val="24"/>
        </w:rPr>
        <w:t xml:space="preserve">. In other areas, for example </w:t>
      </w:r>
      <w:r w:rsidR="00A43211">
        <w:rPr>
          <w:rFonts w:ascii="Times New Roman" w:hAnsi="Times New Roman" w:cs="Times New Roman"/>
          <w:noProof/>
          <w:sz w:val="24"/>
          <w:szCs w:val="24"/>
        </w:rPr>
        <w:t>open banking</w:t>
      </w:r>
      <w:r>
        <w:rPr>
          <w:rFonts w:ascii="Times New Roman" w:hAnsi="Times New Roman" w:cs="Times New Roman"/>
          <w:noProof/>
          <w:sz w:val="24"/>
          <w:szCs w:val="24"/>
        </w:rPr>
        <w:t xml:space="preserve">, </w:t>
      </w:r>
      <w:r w:rsidR="00D03B06">
        <w:rPr>
          <w:rFonts w:ascii="Times New Roman" w:hAnsi="Times New Roman" w:cs="Times New Roman"/>
          <w:noProof/>
          <w:sz w:val="24"/>
          <w:szCs w:val="24"/>
        </w:rPr>
        <w:t xml:space="preserve">considering </w:t>
      </w:r>
      <w:r>
        <w:rPr>
          <w:rFonts w:ascii="Times New Roman" w:hAnsi="Times New Roman" w:cs="Times New Roman"/>
          <w:noProof/>
          <w:sz w:val="24"/>
          <w:szCs w:val="24"/>
        </w:rPr>
        <w:t xml:space="preserve">the </w:t>
      </w:r>
      <w:r w:rsidR="00395790">
        <w:rPr>
          <w:rFonts w:ascii="Times New Roman" w:hAnsi="Times New Roman" w:cs="Times New Roman"/>
          <w:noProof/>
          <w:sz w:val="24"/>
          <w:szCs w:val="24"/>
        </w:rPr>
        <w:t>legacy that PSD2 represents</w:t>
      </w:r>
      <w:r w:rsidR="00D03B06">
        <w:rPr>
          <w:rFonts w:ascii="Times New Roman" w:hAnsi="Times New Roman" w:cs="Times New Roman"/>
          <w:noProof/>
          <w:sz w:val="24"/>
          <w:szCs w:val="24"/>
        </w:rPr>
        <w:t xml:space="preserve"> and </w:t>
      </w:r>
      <w:r w:rsidR="00395790">
        <w:rPr>
          <w:rFonts w:ascii="Times New Roman" w:hAnsi="Times New Roman" w:cs="Times New Roman"/>
          <w:noProof/>
          <w:sz w:val="24"/>
          <w:szCs w:val="24"/>
        </w:rPr>
        <w:t>the investments already made to implement the PSD2 standards</w:t>
      </w:r>
      <w:r w:rsidR="00D03B06">
        <w:rPr>
          <w:rFonts w:ascii="Times New Roman" w:hAnsi="Times New Roman" w:cs="Times New Roman"/>
          <w:noProof/>
          <w:sz w:val="24"/>
          <w:szCs w:val="24"/>
        </w:rPr>
        <w:t>,</w:t>
      </w:r>
      <w:r w:rsidR="00395790">
        <w:rPr>
          <w:rFonts w:ascii="Times New Roman" w:hAnsi="Times New Roman" w:cs="Times New Roman"/>
          <w:noProof/>
          <w:sz w:val="24"/>
          <w:szCs w:val="24"/>
        </w:rPr>
        <w:t xml:space="preserve"> and the costs that </w:t>
      </w:r>
      <w:r w:rsidR="00AB3697">
        <w:rPr>
          <w:rFonts w:ascii="Times New Roman" w:hAnsi="Times New Roman" w:cs="Times New Roman"/>
          <w:noProof/>
          <w:sz w:val="24"/>
          <w:szCs w:val="24"/>
        </w:rPr>
        <w:t xml:space="preserve">profoundly </w:t>
      </w:r>
      <w:r w:rsidR="00395790">
        <w:rPr>
          <w:rFonts w:ascii="Times New Roman" w:hAnsi="Times New Roman" w:cs="Times New Roman"/>
          <w:noProof/>
          <w:sz w:val="24"/>
          <w:szCs w:val="24"/>
        </w:rPr>
        <w:t xml:space="preserve">changing such requirements would entail, </w:t>
      </w:r>
      <w:r w:rsidR="00D03B06">
        <w:rPr>
          <w:rFonts w:ascii="Times New Roman" w:hAnsi="Times New Roman" w:cs="Times New Roman"/>
          <w:noProof/>
          <w:sz w:val="24"/>
          <w:szCs w:val="24"/>
        </w:rPr>
        <w:t xml:space="preserve">the Commission deems it </w:t>
      </w:r>
      <w:r w:rsidR="00395790">
        <w:rPr>
          <w:rFonts w:ascii="Times New Roman" w:hAnsi="Times New Roman" w:cs="Times New Roman"/>
          <w:noProof/>
          <w:sz w:val="24"/>
          <w:szCs w:val="24"/>
        </w:rPr>
        <w:t>essential</w:t>
      </w:r>
      <w:r>
        <w:rPr>
          <w:rFonts w:ascii="Times New Roman" w:hAnsi="Times New Roman" w:cs="Times New Roman"/>
          <w:noProof/>
          <w:sz w:val="24"/>
          <w:szCs w:val="24"/>
        </w:rPr>
        <w:t xml:space="preserve"> to </w:t>
      </w:r>
      <w:r w:rsidR="00D03B06">
        <w:rPr>
          <w:rFonts w:ascii="Times New Roman" w:hAnsi="Times New Roman" w:cs="Times New Roman"/>
          <w:noProof/>
          <w:sz w:val="24"/>
          <w:szCs w:val="24"/>
        </w:rPr>
        <w:t xml:space="preserve">discard any </w:t>
      </w:r>
      <w:r w:rsidR="00395790">
        <w:rPr>
          <w:rFonts w:ascii="Times New Roman" w:hAnsi="Times New Roman" w:cs="Times New Roman"/>
          <w:noProof/>
          <w:sz w:val="24"/>
          <w:szCs w:val="24"/>
        </w:rPr>
        <w:t>o</w:t>
      </w:r>
      <w:r>
        <w:rPr>
          <w:rFonts w:ascii="Times New Roman" w:hAnsi="Times New Roman" w:cs="Times New Roman"/>
          <w:noProof/>
          <w:sz w:val="24"/>
          <w:szCs w:val="24"/>
        </w:rPr>
        <w:t xml:space="preserve">ptions associated with significant </w:t>
      </w:r>
      <w:r w:rsidR="00E35E89">
        <w:rPr>
          <w:rFonts w:ascii="Times New Roman" w:hAnsi="Times New Roman" w:cs="Times New Roman"/>
          <w:noProof/>
          <w:sz w:val="24"/>
          <w:szCs w:val="24"/>
        </w:rPr>
        <w:t xml:space="preserve">new </w:t>
      </w:r>
      <w:r>
        <w:rPr>
          <w:rFonts w:ascii="Times New Roman" w:hAnsi="Times New Roman" w:cs="Times New Roman"/>
          <w:noProof/>
          <w:sz w:val="24"/>
          <w:szCs w:val="24"/>
        </w:rPr>
        <w:t>implementation costs</w:t>
      </w:r>
      <w:r w:rsidR="004F2670">
        <w:rPr>
          <w:rFonts w:ascii="Times New Roman" w:hAnsi="Times New Roman" w:cs="Times New Roman"/>
          <w:noProof/>
          <w:sz w:val="24"/>
          <w:szCs w:val="24"/>
        </w:rPr>
        <w:t xml:space="preserve"> and/or uncertain outcomes</w:t>
      </w:r>
      <w:r w:rsidR="00D03B06">
        <w:rPr>
          <w:rFonts w:ascii="Times New Roman" w:hAnsi="Times New Roman" w:cs="Times New Roman"/>
          <w:noProof/>
          <w:sz w:val="24"/>
          <w:szCs w:val="24"/>
        </w:rPr>
        <w:t>.</w:t>
      </w:r>
    </w:p>
    <w:bookmarkEnd w:id="47"/>
    <w:p w14:paraId="60C36D54" w14:textId="30F63E26" w:rsidR="00FF17CD" w:rsidRDefault="00D03B06" w:rsidP="00BD71BE">
      <w:pPr>
        <w:spacing w:before="120"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t>T</w:t>
      </w:r>
      <w:r w:rsidR="00672726">
        <w:rPr>
          <w:rFonts w:ascii="Times New Roman" w:hAnsi="Times New Roman" w:cs="Times New Roman"/>
          <w:noProof/>
          <w:sz w:val="24"/>
          <w:szCs w:val="24"/>
        </w:rPr>
        <w:t xml:space="preserve">he </w:t>
      </w:r>
      <w:r w:rsidR="00395790">
        <w:rPr>
          <w:rFonts w:ascii="Times New Roman" w:hAnsi="Times New Roman" w:cs="Times New Roman"/>
          <w:noProof/>
          <w:sz w:val="24"/>
          <w:szCs w:val="24"/>
        </w:rPr>
        <w:t xml:space="preserve">proposed revisions to PSD2 </w:t>
      </w:r>
      <w:r w:rsidR="00672726">
        <w:rPr>
          <w:rFonts w:ascii="Times New Roman" w:hAnsi="Times New Roman" w:cs="Times New Roman"/>
          <w:noProof/>
          <w:sz w:val="24"/>
          <w:szCs w:val="24"/>
        </w:rPr>
        <w:t xml:space="preserve">represent a package of changes which will enhance the functioning of </w:t>
      </w:r>
      <w:r w:rsidR="00AB3697">
        <w:rPr>
          <w:rFonts w:ascii="Times New Roman" w:hAnsi="Times New Roman" w:cs="Times New Roman"/>
          <w:noProof/>
          <w:sz w:val="24"/>
          <w:szCs w:val="24"/>
        </w:rPr>
        <w:t xml:space="preserve">the EU </w:t>
      </w:r>
      <w:r w:rsidR="00672726">
        <w:rPr>
          <w:rFonts w:ascii="Times New Roman" w:hAnsi="Times New Roman" w:cs="Times New Roman"/>
          <w:noProof/>
          <w:sz w:val="24"/>
          <w:szCs w:val="24"/>
        </w:rPr>
        <w:t>payments market</w:t>
      </w:r>
      <w:r w:rsidR="00382DB0">
        <w:rPr>
          <w:rFonts w:ascii="Times New Roman" w:hAnsi="Times New Roman" w:cs="Times New Roman"/>
          <w:noProof/>
          <w:sz w:val="24"/>
          <w:szCs w:val="24"/>
        </w:rPr>
        <w:t xml:space="preserve"> and substantially reinforce consumer protection</w:t>
      </w:r>
      <w:r w:rsidR="009621B9">
        <w:rPr>
          <w:rFonts w:ascii="Times New Roman" w:hAnsi="Times New Roman" w:cs="Times New Roman"/>
          <w:noProof/>
          <w:sz w:val="24"/>
          <w:szCs w:val="24"/>
        </w:rPr>
        <w:t xml:space="preserve">. </w:t>
      </w:r>
      <w:r w:rsidR="00672726">
        <w:rPr>
          <w:rFonts w:ascii="Times New Roman" w:hAnsi="Times New Roman" w:cs="Times New Roman"/>
          <w:noProof/>
          <w:sz w:val="24"/>
          <w:szCs w:val="24"/>
        </w:rPr>
        <w:t xml:space="preserve">These changes are </w:t>
      </w:r>
      <w:r w:rsidR="00FA7911">
        <w:rPr>
          <w:rFonts w:ascii="Times New Roman" w:hAnsi="Times New Roman" w:cs="Times New Roman"/>
          <w:noProof/>
          <w:sz w:val="24"/>
          <w:szCs w:val="24"/>
        </w:rPr>
        <w:t xml:space="preserve">fully </w:t>
      </w:r>
      <w:r w:rsidR="00672726">
        <w:rPr>
          <w:rFonts w:ascii="Times New Roman" w:hAnsi="Times New Roman" w:cs="Times New Roman"/>
          <w:noProof/>
          <w:sz w:val="24"/>
          <w:szCs w:val="24"/>
        </w:rPr>
        <w:t xml:space="preserve">in line with the objectives of the </w:t>
      </w:r>
      <w:r w:rsidR="001C4A6C">
        <w:rPr>
          <w:rFonts w:ascii="Times New Roman" w:hAnsi="Times New Roman" w:cs="Times New Roman"/>
          <w:noProof/>
          <w:sz w:val="24"/>
          <w:szCs w:val="24"/>
        </w:rPr>
        <w:t>Commission’s</w:t>
      </w:r>
      <w:r w:rsidR="00DB7C99">
        <w:rPr>
          <w:rFonts w:ascii="Times New Roman" w:hAnsi="Times New Roman" w:cs="Times New Roman"/>
          <w:noProof/>
          <w:sz w:val="24"/>
          <w:szCs w:val="24"/>
        </w:rPr>
        <w:t xml:space="preserve"> </w:t>
      </w:r>
      <w:r w:rsidR="00AB3697">
        <w:rPr>
          <w:rFonts w:ascii="Times New Roman" w:hAnsi="Times New Roman" w:cs="Times New Roman"/>
          <w:noProof/>
          <w:sz w:val="24"/>
          <w:szCs w:val="24"/>
        </w:rPr>
        <w:t>r</w:t>
      </w:r>
      <w:r w:rsidR="00672726">
        <w:rPr>
          <w:rFonts w:ascii="Times New Roman" w:hAnsi="Times New Roman" w:cs="Times New Roman"/>
          <w:noProof/>
          <w:sz w:val="24"/>
          <w:szCs w:val="24"/>
        </w:rPr>
        <w:t xml:space="preserve">etail </w:t>
      </w:r>
      <w:r w:rsidR="00AB3697">
        <w:rPr>
          <w:rFonts w:ascii="Times New Roman" w:hAnsi="Times New Roman" w:cs="Times New Roman"/>
          <w:noProof/>
          <w:sz w:val="24"/>
          <w:szCs w:val="24"/>
        </w:rPr>
        <w:t>p</w:t>
      </w:r>
      <w:r w:rsidR="00672726">
        <w:rPr>
          <w:rFonts w:ascii="Times New Roman" w:hAnsi="Times New Roman" w:cs="Times New Roman"/>
          <w:noProof/>
          <w:sz w:val="24"/>
          <w:szCs w:val="24"/>
        </w:rPr>
        <w:t xml:space="preserve">ayments </w:t>
      </w:r>
      <w:r w:rsidR="00AB3697">
        <w:rPr>
          <w:rFonts w:ascii="Times New Roman" w:hAnsi="Times New Roman" w:cs="Times New Roman"/>
          <w:noProof/>
          <w:sz w:val="24"/>
          <w:szCs w:val="24"/>
        </w:rPr>
        <w:t>s</w:t>
      </w:r>
      <w:r w:rsidR="00672726">
        <w:rPr>
          <w:rFonts w:ascii="Times New Roman" w:hAnsi="Times New Roman" w:cs="Times New Roman"/>
          <w:noProof/>
          <w:sz w:val="24"/>
          <w:szCs w:val="24"/>
        </w:rPr>
        <w:t>trategy and complementary to ongoing initiatives such as the legislative proposal on instant payments</w:t>
      </w:r>
      <w:r w:rsidR="00AB3697">
        <w:rPr>
          <w:rFonts w:ascii="Times New Roman" w:hAnsi="Times New Roman" w:cs="Times New Roman"/>
          <w:noProof/>
          <w:sz w:val="24"/>
          <w:szCs w:val="24"/>
        </w:rPr>
        <w:t xml:space="preserve"> and</w:t>
      </w:r>
      <w:r w:rsidR="00672726">
        <w:rPr>
          <w:rFonts w:ascii="Times New Roman" w:hAnsi="Times New Roman" w:cs="Times New Roman"/>
          <w:noProof/>
          <w:sz w:val="24"/>
          <w:szCs w:val="24"/>
        </w:rPr>
        <w:t xml:space="preserve"> the proposal on </w:t>
      </w:r>
      <w:r w:rsidR="002B73A2">
        <w:rPr>
          <w:rFonts w:ascii="Times New Roman" w:hAnsi="Times New Roman" w:cs="Times New Roman"/>
          <w:noProof/>
          <w:sz w:val="24"/>
          <w:szCs w:val="24"/>
        </w:rPr>
        <w:t>“</w:t>
      </w:r>
      <w:r w:rsidR="00AB3697">
        <w:rPr>
          <w:rFonts w:ascii="Times New Roman" w:hAnsi="Times New Roman" w:cs="Times New Roman"/>
          <w:noProof/>
          <w:sz w:val="24"/>
          <w:szCs w:val="24"/>
        </w:rPr>
        <w:t>o</w:t>
      </w:r>
      <w:r w:rsidR="00672726">
        <w:rPr>
          <w:rFonts w:ascii="Times New Roman" w:hAnsi="Times New Roman" w:cs="Times New Roman"/>
          <w:noProof/>
          <w:sz w:val="24"/>
          <w:szCs w:val="24"/>
        </w:rPr>
        <w:t xml:space="preserve">pen </w:t>
      </w:r>
      <w:r w:rsidR="00AB3697">
        <w:rPr>
          <w:rFonts w:ascii="Times New Roman" w:hAnsi="Times New Roman" w:cs="Times New Roman"/>
          <w:noProof/>
          <w:sz w:val="24"/>
          <w:szCs w:val="24"/>
        </w:rPr>
        <w:t>f</w:t>
      </w:r>
      <w:r w:rsidR="00672726">
        <w:rPr>
          <w:rFonts w:ascii="Times New Roman" w:hAnsi="Times New Roman" w:cs="Times New Roman"/>
          <w:noProof/>
          <w:sz w:val="24"/>
          <w:szCs w:val="24"/>
        </w:rPr>
        <w:t>inance</w:t>
      </w:r>
      <w:r w:rsidR="002B73A2">
        <w:rPr>
          <w:rFonts w:ascii="Times New Roman" w:hAnsi="Times New Roman" w:cs="Times New Roman"/>
          <w:noProof/>
          <w:sz w:val="24"/>
          <w:szCs w:val="24"/>
        </w:rPr>
        <w:t>”</w:t>
      </w:r>
      <w:r w:rsidR="00672726">
        <w:rPr>
          <w:rFonts w:ascii="Times New Roman" w:hAnsi="Times New Roman" w:cs="Times New Roman"/>
          <w:noProof/>
          <w:sz w:val="24"/>
          <w:szCs w:val="24"/>
        </w:rPr>
        <w:t xml:space="preserve"> </w:t>
      </w:r>
      <w:r w:rsidR="003E4307">
        <w:rPr>
          <w:rFonts w:ascii="Times New Roman" w:hAnsi="Times New Roman" w:cs="Times New Roman"/>
          <w:noProof/>
          <w:sz w:val="24"/>
          <w:szCs w:val="24"/>
        </w:rPr>
        <w:t xml:space="preserve">(FIDA) </w:t>
      </w:r>
      <w:r w:rsidR="00382DB0">
        <w:rPr>
          <w:rFonts w:ascii="Times New Roman" w:hAnsi="Times New Roman" w:cs="Times New Roman"/>
          <w:noProof/>
          <w:sz w:val="24"/>
          <w:szCs w:val="24"/>
        </w:rPr>
        <w:t>which the Commission is also proposing with its PSD2 revisions</w:t>
      </w:r>
      <w:r w:rsidR="00672726">
        <w:rPr>
          <w:rFonts w:ascii="Times New Roman" w:hAnsi="Times New Roman" w:cs="Times New Roman"/>
          <w:noProof/>
          <w:sz w:val="24"/>
          <w:szCs w:val="24"/>
        </w:rPr>
        <w:t>.</w:t>
      </w:r>
    </w:p>
    <w:p w14:paraId="3D1C7F44" w14:textId="39FCE293" w:rsidR="00FF17CD" w:rsidRDefault="00E153C3" w:rsidP="00AE3F61">
      <w:pPr>
        <w:spacing w:before="120" w:after="120" w:line="240" w:lineRule="auto"/>
        <w:jc w:val="center"/>
        <w:rPr>
          <w:rFonts w:ascii="Times New Roman" w:hAnsi="Times New Roman" w:cs="Times New Roman"/>
          <w:b/>
          <w:bCs/>
          <w:noProof/>
          <w:sz w:val="24"/>
          <w:szCs w:val="24"/>
          <w:lang w:val="en-US"/>
        </w:rPr>
      </w:pPr>
      <w:r>
        <w:rPr>
          <w:rFonts w:ascii="Times New Roman" w:hAnsi="Times New Roman" w:cs="Times New Roman"/>
          <w:noProof/>
          <w:sz w:val="24"/>
          <w:szCs w:val="24"/>
          <w:lang w:val="en-US"/>
        </w:rPr>
        <w:br w:type="page"/>
      </w:r>
      <w:r w:rsidR="00A02FC2">
        <w:rPr>
          <w:rFonts w:ascii="Times New Roman" w:hAnsi="Times New Roman" w:cs="Times New Roman"/>
          <w:b/>
          <w:bCs/>
          <w:noProof/>
          <w:sz w:val="24"/>
          <w:szCs w:val="24"/>
          <w:lang w:val="en-US"/>
        </w:rPr>
        <w:t>APPENDIX</w:t>
      </w:r>
      <w:r w:rsidR="0078345E">
        <w:rPr>
          <w:rFonts w:ascii="Times New Roman" w:hAnsi="Times New Roman" w:cs="Times New Roman"/>
          <w:b/>
          <w:bCs/>
          <w:noProof/>
          <w:sz w:val="24"/>
          <w:szCs w:val="24"/>
          <w:lang w:val="en-US"/>
        </w:rPr>
        <w:t xml:space="preserve"> 1</w:t>
      </w:r>
    </w:p>
    <w:p w14:paraId="053BA284" w14:textId="77777777" w:rsidR="00382DB0" w:rsidRPr="00E153C3" w:rsidRDefault="00382DB0" w:rsidP="00AE3F61">
      <w:pPr>
        <w:spacing w:before="120" w:after="120" w:line="240" w:lineRule="auto"/>
        <w:jc w:val="both"/>
        <w:rPr>
          <w:rFonts w:ascii="Times New Roman" w:hAnsi="Times New Roman" w:cs="Times New Roman"/>
          <w:b/>
          <w:bCs/>
          <w:noProof/>
          <w:sz w:val="24"/>
          <w:szCs w:val="24"/>
          <w:lang w:val="en-US"/>
        </w:rPr>
      </w:pPr>
    </w:p>
    <w:p w14:paraId="4CD0B52B" w14:textId="4733A9A5" w:rsidR="00E153C3" w:rsidRPr="00AE3F61" w:rsidRDefault="00E153C3" w:rsidP="00E153C3">
      <w:pPr>
        <w:spacing w:line="240" w:lineRule="auto"/>
        <w:jc w:val="center"/>
        <w:rPr>
          <w:rFonts w:ascii="Times New Roman" w:hAnsi="Times New Roman" w:cs="Times New Roman"/>
          <w:b/>
          <w:bCs/>
          <w:noProof/>
          <w:sz w:val="24"/>
          <w:szCs w:val="24"/>
          <w:lang w:val="en-US"/>
        </w:rPr>
      </w:pPr>
      <w:r w:rsidRPr="00AE3F61">
        <w:rPr>
          <w:rFonts w:ascii="Times New Roman" w:hAnsi="Times New Roman" w:cs="Times New Roman"/>
          <w:b/>
          <w:bCs/>
          <w:noProof/>
          <w:sz w:val="24"/>
          <w:szCs w:val="24"/>
          <w:lang w:val="en-US"/>
        </w:rPr>
        <w:t xml:space="preserve">Article 108 of </w:t>
      </w:r>
      <w:r w:rsidR="007C72A3" w:rsidRPr="00AE3F61">
        <w:rPr>
          <w:rFonts w:ascii="Times New Roman" w:hAnsi="Times New Roman" w:cs="Times New Roman"/>
          <w:b/>
          <w:bCs/>
          <w:noProof/>
          <w:sz w:val="24"/>
          <w:szCs w:val="24"/>
          <w:lang w:val="en-US"/>
        </w:rPr>
        <w:t>Directive (EU) 2015/2366</w:t>
      </w:r>
    </w:p>
    <w:p w14:paraId="6F3AE4DF" w14:textId="77777777" w:rsidR="0062452D" w:rsidRPr="0062452D" w:rsidRDefault="0062452D" w:rsidP="0062452D">
      <w:pPr>
        <w:spacing w:line="240" w:lineRule="auto"/>
        <w:jc w:val="center"/>
        <w:rPr>
          <w:rFonts w:ascii="Times New Roman" w:hAnsi="Times New Roman" w:cs="Times New Roman"/>
          <w:i/>
          <w:iCs/>
          <w:noProof/>
          <w:sz w:val="24"/>
          <w:szCs w:val="24"/>
          <w:lang w:val="en-US"/>
        </w:rPr>
      </w:pPr>
      <w:r w:rsidRPr="0062452D">
        <w:rPr>
          <w:rFonts w:ascii="Times New Roman" w:hAnsi="Times New Roman" w:cs="Times New Roman"/>
          <w:i/>
          <w:iCs/>
          <w:noProof/>
          <w:sz w:val="24"/>
          <w:szCs w:val="24"/>
          <w:lang w:val="en-US"/>
        </w:rPr>
        <w:t>Review clause</w:t>
      </w:r>
    </w:p>
    <w:p w14:paraId="47B5F190" w14:textId="24000C1D" w:rsidR="0062452D" w:rsidRPr="00AE3F61" w:rsidRDefault="00382DB0" w:rsidP="0062452D">
      <w:pPr>
        <w:spacing w:line="240" w:lineRule="auto"/>
        <w:jc w:val="both"/>
        <w:rPr>
          <w:rFonts w:ascii="Times New Roman" w:hAnsi="Times New Roman" w:cs="Times New Roman"/>
          <w:i/>
          <w:iCs/>
          <w:noProof/>
          <w:sz w:val="24"/>
          <w:szCs w:val="24"/>
          <w:lang w:val="en-US"/>
        </w:rPr>
      </w:pPr>
      <w:r>
        <w:rPr>
          <w:rFonts w:ascii="Times New Roman" w:hAnsi="Times New Roman" w:cs="Times New Roman"/>
          <w:i/>
          <w:iCs/>
          <w:noProof/>
          <w:sz w:val="24"/>
          <w:szCs w:val="24"/>
          <w:lang w:val="en-US"/>
        </w:rPr>
        <w:t>“</w:t>
      </w:r>
      <w:r w:rsidR="0062452D" w:rsidRPr="00AE3F61">
        <w:rPr>
          <w:rFonts w:ascii="Times New Roman" w:hAnsi="Times New Roman" w:cs="Times New Roman"/>
          <w:i/>
          <w:iCs/>
          <w:noProof/>
          <w:sz w:val="24"/>
          <w:szCs w:val="24"/>
          <w:lang w:val="en-US"/>
        </w:rPr>
        <w:t>The Commission shall, by 13 January 2021, submit to the European Parliament, the Council, the ECB and the European Economic and Social Committee, a report on the application and impact of this Directive, and in particular on:</w:t>
      </w:r>
    </w:p>
    <w:p w14:paraId="2A00EE31" w14:textId="77777777"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(a) the appropriateness and the impact of the rules on charges as set out in Article 62(3), (4) and (5);</w:t>
      </w:r>
    </w:p>
    <w:p w14:paraId="2988FA69" w14:textId="0AF28E17"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(b) the application of Article 2(3) and (4), including an assessment of whether Titles III and IV can, where technically feasible, be applied in full to payment transactions referred to in those paragraphs;</w:t>
      </w:r>
    </w:p>
    <w:p w14:paraId="06FB684A" w14:textId="77777777"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(c) access to payment systems, having regard in particular to the level of competition;</w:t>
      </w:r>
    </w:p>
    <w:p w14:paraId="75DC8B33" w14:textId="77777777"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(d) the appropriateness and the impact of the thresholds for the payment transactions referred to in point (l) of Article 3;</w:t>
      </w:r>
    </w:p>
    <w:p w14:paraId="28D52172" w14:textId="77777777"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(e) the appropriateness and the impact of the threshold for the exemption referred to in point (a) of Article 32(1);</w:t>
      </w:r>
    </w:p>
    <w:p w14:paraId="5E3416E7" w14:textId="60E5F71F" w:rsidR="0062452D" w:rsidRPr="00AE3F61" w:rsidRDefault="0062452D" w:rsidP="0062452D">
      <w:pPr>
        <w:spacing w:line="240" w:lineRule="auto"/>
        <w:ind w:left="720"/>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(f) whether, given developments, it would be desirable, as a complement to the provisions in Article 75 on payment transactions where the amount is not known in advance and funds are blocked, to introduce maximum limits for the amounts to be blocked on the payer’s payment account in such situations.</w:t>
      </w:r>
    </w:p>
    <w:p w14:paraId="6BD62D2E" w14:textId="6C0B336E" w:rsidR="00E153C3" w:rsidRPr="00AE3F61" w:rsidRDefault="0062452D" w:rsidP="0062452D">
      <w:pPr>
        <w:spacing w:line="240" w:lineRule="auto"/>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If appropriate, the Commission shall submit a legislative proposal together with its report</w:t>
      </w:r>
      <w:r w:rsidR="0078345E" w:rsidRPr="00AE3F61">
        <w:rPr>
          <w:rFonts w:ascii="Times New Roman" w:hAnsi="Times New Roman" w:cs="Times New Roman"/>
          <w:i/>
          <w:iCs/>
          <w:noProof/>
          <w:sz w:val="24"/>
          <w:szCs w:val="24"/>
          <w:lang w:val="en-US"/>
        </w:rPr>
        <w:t>.</w:t>
      </w:r>
      <w:r w:rsidR="00382DB0">
        <w:rPr>
          <w:rFonts w:ascii="Times New Roman" w:hAnsi="Times New Roman" w:cs="Times New Roman"/>
          <w:i/>
          <w:iCs/>
          <w:noProof/>
          <w:sz w:val="24"/>
          <w:szCs w:val="24"/>
          <w:lang w:val="en-US"/>
        </w:rPr>
        <w:t>”</w:t>
      </w:r>
    </w:p>
    <w:p w14:paraId="7DB981BB" w14:textId="50B2CC5C" w:rsidR="0078345E" w:rsidRDefault="0078345E">
      <w:pPr>
        <w:rPr>
          <w:rFonts w:ascii="Times New Roman" w:hAnsi="Times New Roman" w:cs="Times New Roman"/>
          <w:noProof/>
          <w:sz w:val="24"/>
          <w:szCs w:val="24"/>
          <w:lang w:val="en-US"/>
        </w:rPr>
      </w:pPr>
      <w:r>
        <w:rPr>
          <w:rFonts w:ascii="Times New Roman" w:hAnsi="Times New Roman" w:cs="Times New Roman"/>
          <w:noProof/>
          <w:sz w:val="24"/>
          <w:szCs w:val="24"/>
          <w:lang w:val="en-US"/>
        </w:rPr>
        <w:br w:type="page"/>
      </w:r>
    </w:p>
    <w:p w14:paraId="004FE7D5" w14:textId="17127F93" w:rsidR="0078345E" w:rsidRPr="00E153C3" w:rsidRDefault="00A02FC2" w:rsidP="0078345E">
      <w:pPr>
        <w:spacing w:line="24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APPENDIX</w:t>
      </w:r>
      <w:r w:rsidR="0078345E">
        <w:rPr>
          <w:rFonts w:ascii="Times New Roman" w:hAnsi="Times New Roman" w:cs="Times New Roman"/>
          <w:b/>
          <w:bCs/>
          <w:noProof/>
          <w:sz w:val="24"/>
          <w:szCs w:val="24"/>
          <w:lang w:val="en-US"/>
        </w:rPr>
        <w:t xml:space="preserve"> 2</w:t>
      </w:r>
    </w:p>
    <w:p w14:paraId="147D7840" w14:textId="3CA941B2" w:rsidR="0078345E" w:rsidRPr="00AE3F61" w:rsidRDefault="0078345E" w:rsidP="0078345E">
      <w:pPr>
        <w:spacing w:line="240" w:lineRule="auto"/>
        <w:jc w:val="center"/>
        <w:rPr>
          <w:rFonts w:ascii="Times New Roman" w:hAnsi="Times New Roman" w:cs="Times New Roman"/>
          <w:b/>
          <w:bCs/>
          <w:noProof/>
          <w:sz w:val="24"/>
          <w:szCs w:val="24"/>
          <w:lang w:val="en-US"/>
        </w:rPr>
      </w:pPr>
      <w:r w:rsidRPr="00AE3F61">
        <w:rPr>
          <w:rFonts w:ascii="Times New Roman" w:hAnsi="Times New Roman" w:cs="Times New Roman"/>
          <w:b/>
          <w:bCs/>
          <w:noProof/>
          <w:sz w:val="24"/>
          <w:szCs w:val="24"/>
          <w:lang w:val="en-US"/>
        </w:rPr>
        <w:t>Article 58</w:t>
      </w:r>
      <w:r w:rsidR="00A22639" w:rsidRPr="00AE3F61">
        <w:rPr>
          <w:rFonts w:ascii="Times New Roman" w:hAnsi="Times New Roman" w:cs="Times New Roman"/>
          <w:b/>
          <w:bCs/>
          <w:noProof/>
          <w:sz w:val="24"/>
          <w:szCs w:val="24"/>
          <w:lang w:val="en-US"/>
        </w:rPr>
        <w:t>(2)</w:t>
      </w:r>
      <w:r w:rsidRPr="00AE3F61">
        <w:rPr>
          <w:rFonts w:ascii="Times New Roman" w:hAnsi="Times New Roman" w:cs="Times New Roman"/>
          <w:b/>
          <w:bCs/>
          <w:noProof/>
          <w:sz w:val="24"/>
          <w:szCs w:val="24"/>
          <w:lang w:val="en-US"/>
        </w:rPr>
        <w:t xml:space="preserve"> of Regulation (EU) 2022/2554</w:t>
      </w:r>
      <w:r w:rsidR="00382DB0">
        <w:rPr>
          <w:rFonts w:ascii="Times New Roman" w:hAnsi="Times New Roman" w:cs="Times New Roman"/>
          <w:b/>
          <w:bCs/>
          <w:noProof/>
          <w:sz w:val="24"/>
          <w:szCs w:val="24"/>
          <w:lang w:val="en-US"/>
        </w:rPr>
        <w:t xml:space="preserve"> (DORA)</w:t>
      </w:r>
    </w:p>
    <w:p w14:paraId="4F3E8E9A" w14:textId="45F84829" w:rsidR="00A22639" w:rsidRPr="00AE3F61" w:rsidRDefault="00382DB0" w:rsidP="00A22639">
      <w:pPr>
        <w:spacing w:line="240" w:lineRule="auto"/>
        <w:jc w:val="both"/>
        <w:rPr>
          <w:rFonts w:ascii="Times New Roman" w:hAnsi="Times New Roman" w:cs="Times New Roman"/>
          <w:i/>
          <w:iCs/>
          <w:noProof/>
          <w:sz w:val="24"/>
          <w:szCs w:val="24"/>
          <w:lang w:val="en-US"/>
        </w:rPr>
      </w:pPr>
      <w:r>
        <w:rPr>
          <w:rFonts w:ascii="Times New Roman" w:hAnsi="Times New Roman" w:cs="Times New Roman"/>
          <w:i/>
          <w:iCs/>
          <w:noProof/>
          <w:sz w:val="24"/>
          <w:szCs w:val="24"/>
          <w:lang w:val="en-US"/>
        </w:rPr>
        <w:t>“</w:t>
      </w:r>
      <w:r w:rsidR="00A22639" w:rsidRPr="00AE3F61">
        <w:rPr>
          <w:rFonts w:ascii="Times New Roman" w:hAnsi="Times New Roman" w:cs="Times New Roman"/>
          <w:i/>
          <w:iCs/>
          <w:noProof/>
          <w:sz w:val="24"/>
          <w:szCs w:val="24"/>
          <w:lang w:val="en-US"/>
        </w:rPr>
        <w:t>In the context of the review of Directive (EU) 2015/2366, the Commission shall assess the need for increased cyber resilience of payment systems and payment-processing activities and the appropriateness of extending the scope of this Regulation to operators of payment systems and entities involved in payment-processing activities. In light of this assessment, the Commission shall submit, as part of the review of Directive (EU) 2015/2366, a report to the European Parliament and the Council no later than 17 July 2023.</w:t>
      </w:r>
    </w:p>
    <w:p w14:paraId="2DF18FA0" w14:textId="5CFD3A74" w:rsidR="00A22639" w:rsidRPr="00AE3F61" w:rsidRDefault="00A22639" w:rsidP="00A22639">
      <w:pPr>
        <w:spacing w:line="240" w:lineRule="auto"/>
        <w:jc w:val="both"/>
        <w:rPr>
          <w:rFonts w:ascii="Times New Roman" w:hAnsi="Times New Roman" w:cs="Times New Roman"/>
          <w:i/>
          <w:iCs/>
          <w:noProof/>
          <w:sz w:val="24"/>
          <w:szCs w:val="24"/>
          <w:lang w:val="en-US"/>
        </w:rPr>
      </w:pPr>
      <w:r w:rsidRPr="00AE3F61">
        <w:rPr>
          <w:rFonts w:ascii="Times New Roman" w:hAnsi="Times New Roman" w:cs="Times New Roman"/>
          <w:i/>
          <w:iCs/>
          <w:noProof/>
          <w:sz w:val="24"/>
          <w:szCs w:val="24"/>
          <w:lang w:val="en-US"/>
        </w:rPr>
        <w:t>Based on that review report, and after consulting ESAs, ECB and the ESRB, the Commission may submit, where appropriate and as part of the legislative proposal that it may adopt pursuant to Article 108, second paragraph, of Directive (EU) 2015/2366, a proposal to ensure that all operators of payment systems and entities involved in payment-processing activities are subject to an appropriate oversight, while taking into account existing oversight by the central bank.</w:t>
      </w:r>
      <w:r w:rsidR="00382DB0">
        <w:rPr>
          <w:rFonts w:ascii="Times New Roman" w:hAnsi="Times New Roman" w:cs="Times New Roman"/>
          <w:i/>
          <w:iCs/>
          <w:noProof/>
          <w:sz w:val="24"/>
          <w:szCs w:val="24"/>
          <w:lang w:val="en-US"/>
        </w:rPr>
        <w:t>”</w:t>
      </w:r>
    </w:p>
    <w:p w14:paraId="145B669C" w14:textId="77777777" w:rsidR="00FF17CD" w:rsidRDefault="00FF17CD" w:rsidP="00847357">
      <w:pPr>
        <w:spacing w:line="240" w:lineRule="auto"/>
        <w:jc w:val="both"/>
        <w:rPr>
          <w:rFonts w:ascii="Times New Roman" w:hAnsi="Times New Roman" w:cs="Times New Roman"/>
          <w:noProof/>
          <w:sz w:val="24"/>
          <w:szCs w:val="24"/>
          <w:lang w:val="en-US"/>
        </w:rPr>
      </w:pPr>
    </w:p>
    <w:p w14:paraId="117C2C44" w14:textId="77777777" w:rsidR="00FF17CD" w:rsidRDefault="00FF17CD" w:rsidP="00847357">
      <w:pPr>
        <w:spacing w:line="240" w:lineRule="auto"/>
        <w:jc w:val="both"/>
        <w:rPr>
          <w:rFonts w:ascii="Times New Roman" w:hAnsi="Times New Roman" w:cs="Times New Roman"/>
          <w:noProof/>
          <w:sz w:val="24"/>
          <w:szCs w:val="24"/>
          <w:lang w:val="en-US"/>
        </w:rPr>
      </w:pPr>
    </w:p>
    <w:p w14:paraId="63BAEC04" w14:textId="77777777" w:rsidR="004F52DE" w:rsidRDefault="004F52DE" w:rsidP="00847357">
      <w:pPr>
        <w:spacing w:line="240" w:lineRule="auto"/>
        <w:jc w:val="both"/>
        <w:rPr>
          <w:rFonts w:ascii="Times New Roman" w:hAnsi="Times New Roman" w:cs="Times New Roman"/>
          <w:noProof/>
          <w:sz w:val="24"/>
          <w:szCs w:val="24"/>
          <w:lang w:val="en-US"/>
        </w:rPr>
      </w:pPr>
    </w:p>
    <w:p w14:paraId="14FD41F4" w14:textId="77777777" w:rsidR="00FE18CC" w:rsidRDefault="00FE18CC" w:rsidP="00847357">
      <w:pPr>
        <w:spacing w:line="240" w:lineRule="auto"/>
        <w:jc w:val="both"/>
        <w:rPr>
          <w:rFonts w:ascii="Times New Roman" w:hAnsi="Times New Roman" w:cs="Times New Roman"/>
          <w:noProof/>
          <w:sz w:val="24"/>
          <w:szCs w:val="24"/>
          <w:lang w:val="en-US"/>
        </w:rPr>
      </w:pPr>
    </w:p>
    <w:sectPr w:rsidR="00FE18CC" w:rsidSect="00530101">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BB88" w14:textId="77777777" w:rsidR="006A7422" w:rsidRDefault="006A7422">
      <w:pPr>
        <w:spacing w:after="0" w:line="240" w:lineRule="auto"/>
      </w:pPr>
      <w:r>
        <w:separator/>
      </w:r>
    </w:p>
  </w:endnote>
  <w:endnote w:type="continuationSeparator" w:id="0">
    <w:p w14:paraId="4F6E31AD" w14:textId="77777777" w:rsidR="006A7422" w:rsidRDefault="006A7422">
      <w:pPr>
        <w:spacing w:after="0" w:line="240" w:lineRule="auto"/>
      </w:pPr>
      <w:r>
        <w:continuationSeparator/>
      </w:r>
    </w:p>
  </w:endnote>
  <w:endnote w:type="continuationNotice" w:id="1">
    <w:p w14:paraId="02130470" w14:textId="77777777" w:rsidR="006A7422" w:rsidRDefault="006A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186" w14:textId="5DD544A4" w:rsidR="0041350B" w:rsidRPr="00667D6E" w:rsidRDefault="0041350B" w:rsidP="00667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AA0F" w14:textId="323713D1" w:rsidR="0041350B" w:rsidRPr="00667D6E" w:rsidRDefault="00667D6E" w:rsidP="00667D6E">
    <w:pPr>
      <w:pStyle w:val="FooterCoverPage"/>
      <w:rPr>
        <w:rFonts w:ascii="Arial" w:hAnsi="Arial" w:cs="Arial"/>
        <w:b/>
        <w:sz w:val="48"/>
      </w:rPr>
    </w:pPr>
    <w:r w:rsidRPr="00667D6E">
      <w:rPr>
        <w:rFonts w:ascii="Arial" w:hAnsi="Arial" w:cs="Arial"/>
        <w:b/>
        <w:sz w:val="48"/>
      </w:rPr>
      <w:t>EN</w:t>
    </w:r>
    <w:r w:rsidRPr="00667D6E">
      <w:rPr>
        <w:rFonts w:ascii="Arial" w:hAnsi="Arial" w:cs="Arial"/>
        <w:b/>
        <w:sz w:val="48"/>
      </w:rPr>
      <w:tab/>
    </w:r>
    <w:r w:rsidRPr="00667D6E">
      <w:rPr>
        <w:rFonts w:ascii="Arial" w:hAnsi="Arial" w:cs="Arial"/>
        <w:b/>
        <w:sz w:val="48"/>
      </w:rPr>
      <w:tab/>
    </w:r>
    <w:r w:rsidRPr="00667D6E">
      <w:tab/>
    </w:r>
    <w:r w:rsidRPr="00667D6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3495" w14:textId="77777777" w:rsidR="00667D6E" w:rsidRPr="00667D6E" w:rsidRDefault="00667D6E" w:rsidP="00667D6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3F0A" w14:textId="77777777" w:rsidR="00757012" w:rsidRDefault="007570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06977253"/>
      <w:docPartObj>
        <w:docPartGallery w:val="Page Numbers (Bottom of Page)"/>
        <w:docPartUnique/>
      </w:docPartObj>
    </w:sdtPr>
    <w:sdtEndPr>
      <w:rPr>
        <w:noProof/>
      </w:rPr>
    </w:sdtEndPr>
    <w:sdtContent>
      <w:p w14:paraId="29C4AC2E" w14:textId="365D6F81" w:rsidR="00757012" w:rsidRDefault="007570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67D6E">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14:paraId="790E2711" w14:textId="77777777" w:rsidR="00757012" w:rsidRDefault="00757012">
    <w:pPr>
      <w:pStyle w:val="Foo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EEA8" w14:textId="77777777" w:rsidR="00757012" w:rsidRDefault="007570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C79" w14:textId="77777777" w:rsidR="006F4580" w:rsidRDefault="006F45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0115804"/>
      <w:docPartObj>
        <w:docPartGallery w:val="Page Numbers (Bottom of Page)"/>
        <w:docPartUnique/>
      </w:docPartObj>
    </w:sdtPr>
    <w:sdtEndPr>
      <w:rPr>
        <w:noProof/>
      </w:rPr>
    </w:sdtEndPr>
    <w:sdtContent>
      <w:p w14:paraId="04D1E80A" w14:textId="5C2B3790" w:rsidR="006F4580" w:rsidRDefault="006F458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67D6E">
          <w:rPr>
            <w:rFonts w:ascii="Times New Roman" w:hAnsi="Times New Roman" w:cs="Times New Roman"/>
            <w:noProof/>
            <w:sz w:val="24"/>
            <w:szCs w:val="24"/>
          </w:rPr>
          <w:t>15</w:t>
        </w:r>
        <w:r>
          <w:rPr>
            <w:rFonts w:ascii="Times New Roman" w:hAnsi="Times New Roman" w:cs="Times New Roman"/>
            <w:noProof/>
            <w:sz w:val="24"/>
            <w:szCs w:val="24"/>
          </w:rPr>
          <w:fldChar w:fldCharType="end"/>
        </w:r>
      </w:p>
    </w:sdtContent>
  </w:sdt>
  <w:p w14:paraId="03BF7E8F" w14:textId="77777777" w:rsidR="006F4580" w:rsidRDefault="006F4580">
    <w:pPr>
      <w:pStyle w:val="Footer"/>
      <w:rPr>
        <w:rFonts w:ascii="Times New Roman" w:hAnsi="Times New Roman" w:cs="Times New Roman"/>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4597" w14:textId="77777777" w:rsidR="006F4580" w:rsidRDefault="006F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052B" w14:textId="77777777" w:rsidR="006A7422" w:rsidRDefault="006A7422">
      <w:pPr>
        <w:spacing w:after="0" w:line="240" w:lineRule="auto"/>
      </w:pPr>
      <w:r>
        <w:separator/>
      </w:r>
    </w:p>
  </w:footnote>
  <w:footnote w:type="continuationSeparator" w:id="0">
    <w:p w14:paraId="5EA1514B" w14:textId="77777777" w:rsidR="006A7422" w:rsidRDefault="006A7422">
      <w:pPr>
        <w:spacing w:after="0" w:line="240" w:lineRule="auto"/>
      </w:pPr>
      <w:r>
        <w:continuationSeparator/>
      </w:r>
    </w:p>
  </w:footnote>
  <w:footnote w:type="continuationNotice" w:id="1">
    <w:p w14:paraId="5EE0416D" w14:textId="77777777" w:rsidR="006A7422" w:rsidRDefault="006A7422">
      <w:pPr>
        <w:spacing w:after="0" w:line="240" w:lineRule="auto"/>
      </w:pPr>
    </w:p>
  </w:footnote>
  <w:footnote w:id="2">
    <w:p w14:paraId="708A2453" w14:textId="4456B08C" w:rsidR="005E54D1" w:rsidRPr="00D11528" w:rsidRDefault="005E54D1" w:rsidP="005E54D1">
      <w:pPr>
        <w:pStyle w:val="FootnoteText"/>
        <w:rPr>
          <w:lang w:val="en-IE"/>
        </w:rPr>
      </w:pPr>
      <w:r w:rsidRPr="00D11528">
        <w:rPr>
          <w:rStyle w:val="FootnoteReference"/>
        </w:rPr>
        <w:footnoteRef/>
      </w:r>
      <w:r w:rsidRPr="00D11528">
        <w:t xml:space="preserve"> Directive (EU) </w:t>
      </w:r>
      <w:hyperlink r:id="rId1" w:history="1">
        <w:r w:rsidRPr="00D11528">
          <w:rPr>
            <w:rStyle w:val="Hyperlink"/>
          </w:rPr>
          <w:t>2015/2366</w:t>
        </w:r>
      </w:hyperlink>
      <w:r w:rsidRPr="00D11528">
        <w:t xml:space="preserve"> of 25 November 2015 on payment services in the internal market.</w:t>
      </w:r>
    </w:p>
  </w:footnote>
  <w:footnote w:id="3">
    <w:p w14:paraId="4C4F0564" w14:textId="4CBFCA8B" w:rsidR="005E54D1" w:rsidRPr="00D11528" w:rsidRDefault="005E54D1" w:rsidP="005E54D1">
      <w:pPr>
        <w:pStyle w:val="FootnoteText"/>
        <w:rPr>
          <w:lang w:val="en-IE"/>
        </w:rPr>
      </w:pPr>
      <w:r w:rsidRPr="00D11528">
        <w:rPr>
          <w:rStyle w:val="FootnoteReference"/>
        </w:rPr>
        <w:footnoteRef/>
      </w:r>
      <w:r w:rsidRPr="00D11528">
        <w:t xml:space="preserve"> Directive </w:t>
      </w:r>
      <w:hyperlink r:id="rId2" w:history="1">
        <w:r w:rsidRPr="00D11528">
          <w:rPr>
            <w:rStyle w:val="Hyperlink"/>
          </w:rPr>
          <w:t>2007/64/EC</w:t>
        </w:r>
      </w:hyperlink>
      <w:r w:rsidRPr="00D11528">
        <w:t xml:space="preserve"> of 13 November 2007 on payment services in the internal market</w:t>
      </w:r>
      <w:r w:rsidRPr="00D11528">
        <w:rPr>
          <w:bCs/>
        </w:rPr>
        <w:t>.</w:t>
      </w:r>
    </w:p>
  </w:footnote>
  <w:footnote w:id="4">
    <w:p w14:paraId="13E7DD4D" w14:textId="7DBDCFEF" w:rsidR="002D5B74" w:rsidRPr="00157409" w:rsidRDefault="002D5B74">
      <w:pPr>
        <w:pStyle w:val="FootnoteText"/>
        <w:rPr>
          <w:lang w:val="en-IE"/>
        </w:rPr>
      </w:pPr>
      <w:r>
        <w:rPr>
          <w:rStyle w:val="FootnoteReference"/>
        </w:rPr>
        <w:footnoteRef/>
      </w:r>
      <w:r>
        <w:t xml:space="preserve"> </w:t>
      </w:r>
      <w:r w:rsidRPr="002D5B74">
        <w:t xml:space="preserve">Most of the rules in PSD2 have been applicable since January 2018, but </w:t>
      </w:r>
      <w:r>
        <w:t>those on SCA</w:t>
      </w:r>
      <w:r w:rsidRPr="002D5B74">
        <w:t xml:space="preserve"> have applied only since September 2019.</w:t>
      </w:r>
    </w:p>
  </w:footnote>
  <w:footnote w:id="5">
    <w:p w14:paraId="7D64A573" w14:textId="0427BAD7" w:rsidR="00D01BC9" w:rsidRPr="009548A2" w:rsidRDefault="00D01BC9">
      <w:pPr>
        <w:pStyle w:val="FootnoteText"/>
      </w:pPr>
      <w:r>
        <w:rPr>
          <w:rStyle w:val="FootnoteReference"/>
        </w:rPr>
        <w:footnoteRef/>
      </w:r>
      <w:r>
        <w:t xml:space="preserve"> </w:t>
      </w:r>
      <w:r w:rsidRPr="0063770A">
        <w:rPr>
          <w:lang w:val="en-IE"/>
        </w:rPr>
        <w:t xml:space="preserve">The Evaluation Report can be found at </w:t>
      </w:r>
      <w:r w:rsidR="00A02FC2">
        <w:rPr>
          <w:lang w:val="en-IE"/>
        </w:rPr>
        <w:t>Annex</w:t>
      </w:r>
      <w:r w:rsidRPr="0063770A">
        <w:rPr>
          <w:lang w:val="en-IE"/>
        </w:rPr>
        <w:t xml:space="preserve"> 5 of the Impact Assessment, </w:t>
      </w:r>
      <w:r w:rsidR="00777FDC" w:rsidRPr="005D0E97">
        <w:rPr>
          <w:lang w:val="en-IE"/>
        </w:rPr>
        <w:t>SWD 2023/</w:t>
      </w:r>
      <w:r w:rsidR="00777FDC" w:rsidRPr="008515AB">
        <w:rPr>
          <w:lang w:val="en-IE"/>
        </w:rPr>
        <w:t>231</w:t>
      </w:r>
      <w:r w:rsidR="00777FDC" w:rsidRPr="005D0E97">
        <w:rPr>
          <w:lang w:val="en-IE"/>
        </w:rPr>
        <w:t xml:space="preserve"> final</w:t>
      </w:r>
      <w:r w:rsidRPr="0063770A">
        <w:rPr>
          <w:lang w:val="en-IE"/>
        </w:rPr>
        <w:t>.</w:t>
      </w:r>
      <w:r w:rsidR="00FB6A9E">
        <w:rPr>
          <w:lang w:val="en-IE"/>
        </w:rPr>
        <w:t xml:space="preserve"> The evaluation was partly based on a report by a contractor, VVA/CEPS, which is available at </w:t>
      </w:r>
      <w:hyperlink r:id="rId3" w:history="1">
        <w:r w:rsidR="00FB6A9E" w:rsidRPr="00FB6A9E">
          <w:rPr>
            <w:rStyle w:val="Hyperlink"/>
            <w:lang w:val="en-IE"/>
          </w:rPr>
          <w:t>this link</w:t>
        </w:r>
      </w:hyperlink>
      <w:r w:rsidR="00FB6A9E">
        <w:rPr>
          <w:lang w:val="en-IE"/>
        </w:rPr>
        <w:t>.</w:t>
      </w:r>
    </w:p>
  </w:footnote>
  <w:footnote w:id="6">
    <w:p w14:paraId="38D00F12" w14:textId="56F1F08D" w:rsidR="00EC774F" w:rsidRPr="0063770A" w:rsidRDefault="00EC774F">
      <w:pPr>
        <w:pStyle w:val="FootnoteText"/>
        <w:rPr>
          <w:lang w:val="en-IE"/>
        </w:rPr>
      </w:pPr>
      <w:r>
        <w:rPr>
          <w:rStyle w:val="FootnoteReference"/>
        </w:rPr>
        <w:footnoteRef/>
      </w:r>
      <w:r>
        <w:t xml:space="preserve"> </w:t>
      </w:r>
      <w:hyperlink r:id="rId4" w:history="1">
        <w:r w:rsidRPr="00D11528">
          <w:rPr>
            <w:rStyle w:val="Hyperlink"/>
          </w:rPr>
          <w:t>COM/2020/592 final</w:t>
        </w:r>
      </w:hyperlink>
      <w:r w:rsidRPr="00D11528">
        <w:t>, of 24/9/2020.</w:t>
      </w:r>
    </w:p>
  </w:footnote>
  <w:footnote w:id="7">
    <w:p w14:paraId="6ED0D05B" w14:textId="2D798485" w:rsidR="001E142A" w:rsidRPr="0063770A" w:rsidRDefault="001E142A">
      <w:pPr>
        <w:pStyle w:val="FootnoteText"/>
        <w:rPr>
          <w:lang w:val="en-IE"/>
        </w:rPr>
      </w:pPr>
      <w:r>
        <w:rPr>
          <w:rStyle w:val="FootnoteReference"/>
        </w:rPr>
        <w:footnoteRef/>
      </w:r>
      <w:r>
        <w:t xml:space="preserve"> </w:t>
      </w:r>
      <w:r w:rsidR="001639E3" w:rsidRPr="0036025F">
        <w:rPr>
          <w:lang w:val="en-IE"/>
        </w:rPr>
        <w:t xml:space="preserve">COM (2023) </w:t>
      </w:r>
      <w:r w:rsidR="00777FDC" w:rsidRPr="0036025F">
        <w:rPr>
          <w:lang w:val="en-IE"/>
        </w:rPr>
        <w:t>366</w:t>
      </w:r>
      <w:r w:rsidR="001639E3" w:rsidRPr="0036025F">
        <w:rPr>
          <w:lang w:val="en-IE"/>
        </w:rPr>
        <w:t xml:space="preserve"> final and COM(2023) </w:t>
      </w:r>
      <w:r w:rsidR="00777FDC" w:rsidRPr="0036025F">
        <w:rPr>
          <w:lang w:val="en-IE"/>
        </w:rPr>
        <w:t>367</w:t>
      </w:r>
      <w:r w:rsidR="001639E3" w:rsidRPr="0036025F">
        <w:rPr>
          <w:lang w:val="en-IE"/>
        </w:rPr>
        <w:t xml:space="preserve"> final</w:t>
      </w:r>
      <w:r w:rsidRPr="0036025F">
        <w:rPr>
          <w:lang w:val="en-IE"/>
        </w:rPr>
        <w:t>.</w:t>
      </w:r>
    </w:p>
  </w:footnote>
  <w:footnote w:id="8">
    <w:p w14:paraId="55B4E285" w14:textId="77777777" w:rsidR="00B0323F" w:rsidRPr="00052B95" w:rsidRDefault="00B0323F" w:rsidP="00B0323F">
      <w:pPr>
        <w:pStyle w:val="FootnoteText"/>
      </w:pPr>
      <w:r>
        <w:rPr>
          <w:rStyle w:val="FootnoteReference"/>
        </w:rPr>
        <w:footnoteRef/>
      </w:r>
      <w:r>
        <w:t xml:space="preserve"> </w:t>
      </w:r>
      <w:r w:rsidRPr="00052B95">
        <w:rPr>
          <w:lang w:val="en-IE"/>
        </w:rPr>
        <w:t xml:space="preserve">ECB, Statistical Data Warehouse, </w:t>
      </w:r>
      <w:hyperlink r:id="rId5" w:history="1">
        <w:r w:rsidRPr="00052B95">
          <w:rPr>
            <w:rStyle w:val="Hyperlink"/>
            <w:lang w:val="en-IE"/>
          </w:rPr>
          <w:t>Payments Statistics Report</w:t>
        </w:r>
      </w:hyperlink>
      <w:r w:rsidRPr="00052B95">
        <w:rPr>
          <w:lang w:val="en-IE"/>
        </w:rPr>
        <w:t>, July 2022.</w:t>
      </w:r>
    </w:p>
  </w:footnote>
  <w:footnote w:id="9">
    <w:p w14:paraId="40B5D4B3" w14:textId="54B0A4EC" w:rsidR="00CB6C1B" w:rsidRPr="00157409" w:rsidRDefault="00CB6C1B">
      <w:pPr>
        <w:pStyle w:val="FootnoteText"/>
        <w:rPr>
          <w:lang w:val="en-IE"/>
        </w:rPr>
      </w:pPr>
      <w:r>
        <w:rPr>
          <w:rStyle w:val="FootnoteReference"/>
        </w:rPr>
        <w:footnoteRef/>
      </w:r>
      <w:r>
        <w:t xml:space="preserve"> </w:t>
      </w:r>
      <w:r w:rsidR="00E659C9">
        <w:t xml:space="preserve">See </w:t>
      </w:r>
      <w:r w:rsidRPr="00CB6C1B">
        <w:t>https://www.epicompany.eu/</w:t>
      </w:r>
      <w:r w:rsidR="00E659C9">
        <w:t>.</w:t>
      </w:r>
    </w:p>
  </w:footnote>
  <w:footnote w:id="10">
    <w:p w14:paraId="7C65306D" w14:textId="33601949" w:rsidR="00BC2B26" w:rsidRPr="00157409" w:rsidRDefault="00BC2B26">
      <w:pPr>
        <w:pStyle w:val="FootnoteText"/>
        <w:rPr>
          <w:lang w:val="en-IE"/>
        </w:rPr>
      </w:pPr>
      <w:r>
        <w:rPr>
          <w:rStyle w:val="FootnoteReference"/>
        </w:rPr>
        <w:footnoteRef/>
      </w:r>
      <w:r>
        <w:t xml:space="preserve"> </w:t>
      </w:r>
      <w:r w:rsidRPr="00BC2B26">
        <w:t>Figure from Juniper research</w:t>
      </w:r>
      <w:r w:rsidR="007B3145">
        <w:t xml:space="preserve">, </w:t>
      </w:r>
      <w:hyperlink r:id="rId6" w:history="1">
        <w:r w:rsidR="007B3145" w:rsidRPr="00E659C9">
          <w:rPr>
            <w:rStyle w:val="Hyperlink"/>
          </w:rPr>
          <w:t>cited by Statista</w:t>
        </w:r>
      </w:hyperlink>
      <w:r w:rsidRPr="00BC2B26">
        <w:t xml:space="preserve">. There are no official statistics on </w:t>
      </w:r>
      <w:r w:rsidR="00A43211">
        <w:t>open banking</w:t>
      </w:r>
      <w:r w:rsidRPr="00BC2B26">
        <w:t xml:space="preserve"> in the EU</w:t>
      </w:r>
      <w:r>
        <w:t>.</w:t>
      </w:r>
    </w:p>
  </w:footnote>
  <w:footnote w:id="11">
    <w:p w14:paraId="56C3C74E" w14:textId="7E6F2348" w:rsidR="006F64C8" w:rsidRPr="006F64C8" w:rsidRDefault="006F64C8">
      <w:pPr>
        <w:pStyle w:val="FootnoteText"/>
      </w:pPr>
      <w:r>
        <w:rPr>
          <w:rStyle w:val="FootnoteReference"/>
        </w:rPr>
        <w:footnoteRef/>
      </w:r>
      <w:r>
        <w:t xml:space="preserve"> U</w:t>
      </w:r>
      <w:r w:rsidRPr="006F64C8">
        <w:t>sually APIs, as the vast majority of ASPSPs opted for an API as open banking interface</w:t>
      </w:r>
      <w:r>
        <w:t>.</w:t>
      </w:r>
    </w:p>
  </w:footnote>
  <w:footnote w:id="12">
    <w:p w14:paraId="595FFEFE" w14:textId="4DDD58B7" w:rsidR="006A5020" w:rsidRPr="0063770A" w:rsidRDefault="006A5020">
      <w:pPr>
        <w:pStyle w:val="FootnoteText"/>
        <w:rPr>
          <w:lang w:val="en-IE"/>
        </w:rPr>
      </w:pPr>
      <w:r>
        <w:rPr>
          <w:rStyle w:val="FootnoteReference"/>
        </w:rPr>
        <w:footnoteRef/>
      </w:r>
      <w:r>
        <w:t xml:space="preserve"> </w:t>
      </w:r>
      <w:r w:rsidRPr="0063770A">
        <w:rPr>
          <w:lang w:val="en-IE"/>
        </w:rPr>
        <w:t xml:space="preserve">According to a report by the </w:t>
      </w:r>
      <w:r w:rsidR="003D4EAD">
        <w:rPr>
          <w:lang w:val="en-IE"/>
        </w:rPr>
        <w:t xml:space="preserve">Commission </w:t>
      </w:r>
      <w:r w:rsidRPr="0063770A">
        <w:rPr>
          <w:lang w:val="en-IE"/>
        </w:rPr>
        <w:t>contractor VVA/CEPS, over €2 billion in one-off implementation costs.</w:t>
      </w:r>
    </w:p>
  </w:footnote>
  <w:footnote w:id="13">
    <w:p w14:paraId="085F1B34" w14:textId="77777777" w:rsidR="007E30D4" w:rsidRPr="00612C37" w:rsidRDefault="007E30D4" w:rsidP="007E30D4">
      <w:pPr>
        <w:pStyle w:val="FootnoteText"/>
      </w:pPr>
      <w:r>
        <w:rPr>
          <w:rStyle w:val="FootnoteReference"/>
        </w:rPr>
        <w:footnoteRef/>
      </w:r>
      <w:r>
        <w:t xml:space="preserve"> There are essentially two main PSD2 API standards in the EU (the ‘Berlin Group’ standard and the ‘STET’ standard).  </w:t>
      </w:r>
    </w:p>
  </w:footnote>
  <w:footnote w:id="14">
    <w:p w14:paraId="37577765" w14:textId="3042E9B5" w:rsidR="00AC37C7" w:rsidRPr="00AC37C7" w:rsidRDefault="00AC37C7">
      <w:pPr>
        <w:pStyle w:val="FootnoteText"/>
      </w:pPr>
      <w:r>
        <w:rPr>
          <w:rStyle w:val="FootnoteReference"/>
        </w:rPr>
        <w:footnoteRef/>
      </w:r>
      <w:r>
        <w:t xml:space="preserve"> </w:t>
      </w:r>
      <w:hyperlink r:id="rId7" w:history="1">
        <w:r w:rsidRPr="00AC37C7">
          <w:rPr>
            <w:rStyle w:val="Hyperlink"/>
          </w:rPr>
          <w:t>PRESS RELEASE - Berlin Group is offering support to new European payment schemes (berlin-group.org)</w:t>
        </w:r>
      </w:hyperlink>
    </w:p>
  </w:footnote>
  <w:footnote w:id="15">
    <w:p w14:paraId="4F4F64AA" w14:textId="4299D530" w:rsidR="00912270" w:rsidRPr="00BB6063" w:rsidRDefault="00912270">
      <w:pPr>
        <w:pStyle w:val="FootnoteText"/>
      </w:pPr>
      <w:r>
        <w:rPr>
          <w:rStyle w:val="FootnoteReference"/>
        </w:rPr>
        <w:footnoteRef/>
      </w:r>
      <w:r>
        <w:t xml:space="preserve"> Such as for example the S</w:t>
      </w:r>
      <w:r w:rsidR="00BB6063">
        <w:t xml:space="preserve">EPA </w:t>
      </w:r>
      <w:r>
        <w:t>P</w:t>
      </w:r>
      <w:r w:rsidR="00BB6063">
        <w:t>ayment Account Access Scheme currently discussed by the market</w:t>
      </w:r>
      <w:r w:rsidR="00BB6063" w:rsidRPr="00BB6063">
        <w:t xml:space="preserve">. </w:t>
      </w:r>
      <w:r w:rsidRPr="00BB6063">
        <w:t xml:space="preserve"> </w:t>
      </w:r>
      <w:hyperlink r:id="rId8" w:history="1">
        <w:r w:rsidR="00BB6063" w:rsidRPr="009548A2">
          <w:rPr>
            <w:color w:val="0000FF"/>
            <w:u w:val="single"/>
          </w:rPr>
          <w:t>SEPA Payment Account Access | European Payments Council</w:t>
        </w:r>
      </w:hyperlink>
      <w:r w:rsidRPr="00BB6063">
        <w:t xml:space="preserve"> </w:t>
      </w:r>
    </w:p>
  </w:footnote>
  <w:footnote w:id="16">
    <w:p w14:paraId="47DFF238" w14:textId="52931330" w:rsidR="001C1ABA" w:rsidRPr="001C1ABA" w:rsidRDefault="001C1ABA">
      <w:pPr>
        <w:pStyle w:val="FootnoteText"/>
      </w:pPr>
      <w:r>
        <w:rPr>
          <w:rStyle w:val="FootnoteReference"/>
        </w:rPr>
        <w:footnoteRef/>
      </w:r>
      <w:r>
        <w:t xml:space="preserve"> Except where, on proportionality grounds, their supervisory authority grants them a dispense from having a dedicated interface in light of their business model.  </w:t>
      </w:r>
    </w:p>
  </w:footnote>
  <w:footnote w:id="17">
    <w:p w14:paraId="50494546" w14:textId="55BF8286" w:rsidR="001564E5" w:rsidRPr="00125B05" w:rsidRDefault="001564E5">
      <w:pPr>
        <w:pStyle w:val="FootnoteText"/>
        <w:rPr>
          <w:lang w:val="en-IE"/>
        </w:rPr>
      </w:pPr>
      <w:r>
        <w:rPr>
          <w:rStyle w:val="FootnoteReference"/>
        </w:rPr>
        <w:footnoteRef/>
      </w:r>
      <w:r>
        <w:t xml:space="preserve"> </w:t>
      </w:r>
      <w:r w:rsidRPr="00125B05">
        <w:rPr>
          <w:lang w:val="en-IE"/>
        </w:rPr>
        <w:t xml:space="preserve">See the Commission’s </w:t>
      </w:r>
      <w:r w:rsidR="001639E3">
        <w:rPr>
          <w:lang w:val="en-IE"/>
        </w:rPr>
        <w:t>p</w:t>
      </w:r>
      <w:r w:rsidR="001639E3" w:rsidRPr="001639E3">
        <w:rPr>
          <w:lang w:val="en-IE"/>
        </w:rPr>
        <w:t xml:space="preserve">roposal for a </w:t>
      </w:r>
      <w:r w:rsidR="001639E3">
        <w:rPr>
          <w:lang w:val="en-IE"/>
        </w:rPr>
        <w:t>regulation</w:t>
      </w:r>
      <w:r w:rsidR="001639E3" w:rsidRPr="001639E3">
        <w:rPr>
          <w:lang w:val="en-IE"/>
        </w:rPr>
        <w:t xml:space="preserve"> on harmonised rules on fair access to and use of data (Data Act)</w:t>
      </w:r>
      <w:r w:rsidR="001639E3">
        <w:rPr>
          <w:lang w:val="en-IE"/>
        </w:rPr>
        <w:t>,</w:t>
      </w:r>
      <w:r w:rsidR="001639E3" w:rsidRPr="001639E3">
        <w:t xml:space="preserve"> </w:t>
      </w:r>
      <w:r w:rsidR="001639E3" w:rsidRPr="001639E3">
        <w:rPr>
          <w:lang w:val="en-IE"/>
        </w:rPr>
        <w:t>COM(2022) 68 final</w:t>
      </w:r>
      <w:r w:rsidR="001639E3">
        <w:rPr>
          <w:lang w:val="en-IE"/>
        </w:rPr>
        <w:t xml:space="preserve"> of 23 February 2022</w:t>
      </w:r>
      <w:r w:rsidRPr="00125B05">
        <w:rPr>
          <w:lang w:val="en-IE"/>
        </w:rPr>
        <w:t>.</w:t>
      </w:r>
    </w:p>
  </w:footnote>
  <w:footnote w:id="18">
    <w:p w14:paraId="1C26B5FE" w14:textId="3689B55A" w:rsidR="00697C72" w:rsidRPr="00FF34E9" w:rsidRDefault="00697C72">
      <w:pPr>
        <w:pStyle w:val="FootnoteText"/>
        <w:rPr>
          <w:lang w:val="en-IE"/>
        </w:rPr>
      </w:pPr>
      <w:r>
        <w:rPr>
          <w:rStyle w:val="FootnoteReference"/>
        </w:rPr>
        <w:footnoteRef/>
      </w:r>
      <w:r>
        <w:t xml:space="preserve"> </w:t>
      </w:r>
      <w:r w:rsidRPr="00697C72">
        <w:t xml:space="preserve">This section responds to article </w:t>
      </w:r>
      <w:r>
        <w:t>58</w:t>
      </w:r>
      <w:r w:rsidRPr="00697C72">
        <w:t>(</w:t>
      </w:r>
      <w:r>
        <w:t>2</w:t>
      </w:r>
      <w:r w:rsidRPr="00697C72">
        <w:t xml:space="preserve">) of </w:t>
      </w:r>
      <w:r>
        <w:t>DORA</w:t>
      </w:r>
      <w:r w:rsidRPr="00697C72">
        <w:t xml:space="preserve">; see </w:t>
      </w:r>
      <w:r w:rsidR="00A02FC2">
        <w:t>Appendix</w:t>
      </w:r>
      <w:r w:rsidRPr="00697C72">
        <w:t xml:space="preserve"> </w:t>
      </w:r>
      <w:r>
        <w:t>2.</w:t>
      </w:r>
    </w:p>
  </w:footnote>
  <w:footnote w:id="19">
    <w:p w14:paraId="1D5080E7" w14:textId="33B57726" w:rsidR="000C3115" w:rsidRPr="00FF34E9" w:rsidRDefault="000C3115">
      <w:pPr>
        <w:pStyle w:val="FootnoteText"/>
        <w:rPr>
          <w:lang w:val="en-IE"/>
        </w:rPr>
      </w:pPr>
      <w:r>
        <w:rPr>
          <w:rStyle w:val="FootnoteReference"/>
        </w:rPr>
        <w:footnoteRef/>
      </w:r>
      <w:r>
        <w:t xml:space="preserve"> </w:t>
      </w:r>
      <w:r w:rsidRPr="00FF34E9">
        <w:rPr>
          <w:lang w:val="en-IE"/>
        </w:rPr>
        <w:t xml:space="preserve">These are regulated, along with other crypto assets which are not suitable for use as a means of payment, in </w:t>
      </w:r>
      <w:bookmarkStart w:id="33" w:name="_Hlk137378079"/>
      <w:r w:rsidR="001639E3" w:rsidRPr="00FF34E9">
        <w:rPr>
          <w:lang w:val="en-IE"/>
        </w:rPr>
        <w:t>Regulation</w:t>
      </w:r>
      <w:r w:rsidR="001639E3">
        <w:rPr>
          <w:lang w:val="en-IE"/>
        </w:rPr>
        <w:t xml:space="preserve"> (EU) 2023/1114 of 31 May 2023 on markets in crypto-</w:t>
      </w:r>
      <w:r w:rsidR="0029291A">
        <w:rPr>
          <w:lang w:val="en-IE"/>
        </w:rPr>
        <w:t>assets</w:t>
      </w:r>
      <w:r w:rsidR="001639E3">
        <w:rPr>
          <w:lang w:val="en-IE"/>
        </w:rPr>
        <w:t xml:space="preserve"> </w:t>
      </w:r>
      <w:bookmarkEnd w:id="33"/>
      <w:r w:rsidRPr="00FF34E9">
        <w:rPr>
          <w:lang w:val="en-IE"/>
        </w:rPr>
        <w:t>(MiCA).</w:t>
      </w:r>
    </w:p>
  </w:footnote>
  <w:footnote w:id="20">
    <w:p w14:paraId="75ED3C10" w14:textId="23D5101A" w:rsidR="00E76D83" w:rsidRPr="00FF34E9" w:rsidRDefault="00E76D83">
      <w:pPr>
        <w:pStyle w:val="FootnoteText"/>
        <w:rPr>
          <w:lang w:val="en-IE"/>
        </w:rPr>
      </w:pPr>
      <w:r>
        <w:rPr>
          <w:rStyle w:val="FootnoteReference"/>
        </w:rPr>
        <w:footnoteRef/>
      </w:r>
      <w:r>
        <w:t xml:space="preserve"> </w:t>
      </w:r>
      <w:r w:rsidRPr="00E76D83">
        <w:t>Regulation (EU) 2022/2554 of 14 December 2022 on digital operational resilience for the financial sector</w:t>
      </w:r>
      <w:r>
        <w:t>.</w:t>
      </w:r>
    </w:p>
  </w:footnote>
  <w:footnote w:id="21">
    <w:p w14:paraId="2F3584C3" w14:textId="6C925602" w:rsidR="00873549" w:rsidRPr="00157409" w:rsidRDefault="00873549">
      <w:pPr>
        <w:pStyle w:val="FootnoteText"/>
        <w:rPr>
          <w:lang w:val="en-IE"/>
        </w:rPr>
      </w:pPr>
      <w:r>
        <w:rPr>
          <w:rStyle w:val="FootnoteReference"/>
        </w:rPr>
        <w:footnoteRef/>
      </w:r>
      <w:r>
        <w:t xml:space="preserve"> </w:t>
      </w:r>
      <w:r w:rsidR="00D533FD">
        <w:rPr>
          <w:lang w:val="en-IE"/>
        </w:rPr>
        <w:t>However</w:t>
      </w:r>
      <w:r w:rsidR="00D533FD" w:rsidRPr="00157409">
        <w:rPr>
          <w:lang w:val="en-IE"/>
        </w:rPr>
        <w:t xml:space="preserve"> </w:t>
      </w:r>
      <w:r w:rsidRPr="00157409">
        <w:rPr>
          <w:lang w:val="en-IE"/>
        </w:rPr>
        <w:t>one article of PSD2, article 35,</w:t>
      </w:r>
      <w:r w:rsidR="00D533FD">
        <w:rPr>
          <w:lang w:val="en-IE"/>
        </w:rPr>
        <w:t xml:space="preserve"> does</w:t>
      </w:r>
      <w:r w:rsidRPr="00157409">
        <w:rPr>
          <w:lang w:val="en-IE"/>
        </w:rPr>
        <w:t xml:space="preserve"> impose requirements on payment system operators.</w:t>
      </w:r>
    </w:p>
  </w:footnote>
  <w:footnote w:id="22">
    <w:p w14:paraId="1FE313A9" w14:textId="624E0A6D" w:rsidR="00E76D83" w:rsidRPr="00D11528" w:rsidRDefault="00E76D83" w:rsidP="0078345E">
      <w:pPr>
        <w:pStyle w:val="FootnoteText"/>
        <w:rPr>
          <w:lang w:val="en-US"/>
        </w:rPr>
      </w:pPr>
      <w:r w:rsidRPr="00D11528">
        <w:rPr>
          <w:rStyle w:val="FootnoteReference"/>
        </w:rPr>
        <w:footnoteRef/>
      </w:r>
      <w:r w:rsidRPr="00D11528">
        <w:t xml:space="preserve"> </w:t>
      </w:r>
      <w:r w:rsidR="00A22639">
        <w:t xml:space="preserve">Article 58(2) of DORA. </w:t>
      </w:r>
      <w:r w:rsidR="0078345E">
        <w:t xml:space="preserve">See </w:t>
      </w:r>
      <w:r w:rsidR="00A02FC2">
        <w:t>Appendix</w:t>
      </w:r>
      <w:r w:rsidR="0078345E">
        <w:t xml:space="preserve"> 2.</w:t>
      </w:r>
    </w:p>
  </w:footnote>
  <w:footnote w:id="23">
    <w:p w14:paraId="5CA6C4D1" w14:textId="50B2F160" w:rsidR="006503FD" w:rsidRPr="00011317" w:rsidRDefault="006503FD">
      <w:pPr>
        <w:pStyle w:val="FootnoteText"/>
        <w:rPr>
          <w:lang w:val="en-IE"/>
        </w:rPr>
      </w:pPr>
      <w:r>
        <w:rPr>
          <w:rStyle w:val="FootnoteReference"/>
        </w:rPr>
        <w:footnoteRef/>
      </w:r>
      <w:r>
        <w:t xml:space="preserve"> </w:t>
      </w:r>
      <w:r w:rsidRPr="00011317">
        <w:rPr>
          <w:lang w:val="en-IE"/>
        </w:rPr>
        <w:t>For example, MiFI</w:t>
      </w:r>
      <w:r w:rsidR="00D533FD">
        <w:rPr>
          <w:lang w:val="en-IE"/>
        </w:rPr>
        <w:t>D</w:t>
      </w:r>
      <w:r w:rsidRPr="00011317">
        <w:rPr>
          <w:lang w:val="en-IE"/>
        </w:rPr>
        <w:t xml:space="preserve"> </w:t>
      </w:r>
      <w:r w:rsidR="003B5E43">
        <w:rPr>
          <w:lang w:val="en-IE"/>
        </w:rPr>
        <w:t>(</w:t>
      </w:r>
      <w:r w:rsidR="00D533FD" w:rsidRPr="00D533FD">
        <w:rPr>
          <w:lang w:val="en-IE"/>
        </w:rPr>
        <w:t>Directive 2014/65/EU of 15 May 2014 on markets in financial instruments</w:t>
      </w:r>
      <w:r w:rsidR="003B5E43">
        <w:rPr>
          <w:lang w:val="en-IE"/>
        </w:rPr>
        <w:t xml:space="preserve">) </w:t>
      </w:r>
      <w:r w:rsidRPr="00011317">
        <w:rPr>
          <w:lang w:val="en-IE"/>
        </w:rPr>
        <w:t xml:space="preserve">and the Regulation on Central Securities Depositories </w:t>
      </w:r>
      <w:r w:rsidR="003B5E43">
        <w:rPr>
          <w:lang w:val="en-IE"/>
        </w:rPr>
        <w:t>(</w:t>
      </w:r>
      <w:r w:rsidR="003B5E43" w:rsidRPr="003B5E43">
        <w:rPr>
          <w:lang w:val="en-IE"/>
        </w:rPr>
        <w:t>Regulation (EU) No 909/2014</w:t>
      </w:r>
      <w:r w:rsidR="003B5E43">
        <w:rPr>
          <w:lang w:val="en-IE"/>
        </w:rPr>
        <w:t xml:space="preserve">) </w:t>
      </w:r>
      <w:r w:rsidRPr="00011317">
        <w:rPr>
          <w:lang w:val="en-IE"/>
        </w:rPr>
        <w:t>in the field of securities.</w:t>
      </w:r>
    </w:p>
  </w:footnote>
  <w:footnote w:id="24">
    <w:p w14:paraId="790BDB88" w14:textId="3502D2BE" w:rsidR="00F76CBA" w:rsidRPr="00AE3F61" w:rsidRDefault="00F76CBA">
      <w:pPr>
        <w:pStyle w:val="FootnoteText"/>
        <w:rPr>
          <w:lang w:val="en-IE"/>
        </w:rPr>
      </w:pPr>
      <w:r>
        <w:rPr>
          <w:rStyle w:val="FootnoteReference"/>
        </w:rPr>
        <w:footnoteRef/>
      </w:r>
      <w:r>
        <w:t xml:space="preserve"> Notably in order to</w:t>
      </w:r>
      <w:r w:rsidRPr="00AE3F61">
        <w:rPr>
          <w:lang w:val="en-IE"/>
        </w:rPr>
        <w:t xml:space="preserve"> preserve </w:t>
      </w:r>
      <w:r>
        <w:rPr>
          <w:lang w:val="en-IE"/>
        </w:rPr>
        <w:t xml:space="preserve">fair </w:t>
      </w:r>
      <w:r w:rsidRPr="00AE3F61">
        <w:rPr>
          <w:lang w:val="en-IE"/>
        </w:rPr>
        <w:t>competition with ATM</w:t>
      </w:r>
      <w:r>
        <w:rPr>
          <w:lang w:val="en-IE"/>
        </w:rPr>
        <w:t>s</w:t>
      </w:r>
      <w:r w:rsidR="002718AA">
        <w:rPr>
          <w:lang w:val="en-IE"/>
        </w:rPr>
        <w:t xml:space="preserve"> and to prevent shops quickly running out of cash</w:t>
      </w:r>
      <w:r>
        <w:rPr>
          <w:lang w:val="en-IE"/>
        </w:rPr>
        <w:t xml:space="preserve">. </w:t>
      </w:r>
    </w:p>
  </w:footnote>
  <w:footnote w:id="25">
    <w:p w14:paraId="57FE57EA" w14:textId="77777777" w:rsidR="000E4B93" w:rsidRPr="00FF34E9" w:rsidRDefault="000E4B93" w:rsidP="000E4B93">
      <w:pPr>
        <w:pStyle w:val="FootnoteText"/>
        <w:rPr>
          <w:lang w:val="en-IE"/>
        </w:rPr>
      </w:pPr>
      <w:r>
        <w:rPr>
          <w:rStyle w:val="FootnoteReference"/>
        </w:rPr>
        <w:footnoteRef/>
      </w:r>
      <w:r>
        <w:t xml:space="preserve"> </w:t>
      </w:r>
      <w:r w:rsidRPr="00FF34E9">
        <w:rPr>
          <w:lang w:val="en-IE"/>
        </w:rPr>
        <w:t>Article 3(o) of PSD2.</w:t>
      </w:r>
    </w:p>
  </w:footnote>
  <w:footnote w:id="26">
    <w:p w14:paraId="6E7EC8CA" w14:textId="0DC976CF" w:rsidR="00E43026" w:rsidRPr="00FF34E9" w:rsidRDefault="00E43026">
      <w:pPr>
        <w:pStyle w:val="FootnoteText"/>
        <w:rPr>
          <w:lang w:val="en-IE"/>
        </w:rPr>
      </w:pPr>
      <w:r>
        <w:rPr>
          <w:rStyle w:val="FootnoteReference"/>
        </w:rPr>
        <w:footnoteRef/>
      </w:r>
      <w:r>
        <w:t xml:space="preserve"> </w:t>
      </w:r>
      <w:r w:rsidRPr="00E43026">
        <w:t>This section responds to article 108(</w:t>
      </w:r>
      <w:r>
        <w:t>a</w:t>
      </w:r>
      <w:r w:rsidRPr="00E43026">
        <w:t xml:space="preserve">) of PSD2; see </w:t>
      </w:r>
      <w:r w:rsidR="00A02FC2">
        <w:t>Appendix</w:t>
      </w:r>
      <w:r w:rsidRPr="00E43026">
        <w:t xml:space="preserve"> 1.</w:t>
      </w:r>
    </w:p>
  </w:footnote>
  <w:footnote w:id="27">
    <w:p w14:paraId="1DF9FC51" w14:textId="2EAE869A" w:rsidR="00961A63" w:rsidRPr="00157409" w:rsidRDefault="00961A63">
      <w:pPr>
        <w:pStyle w:val="FootnoteText"/>
        <w:rPr>
          <w:lang w:val="en-IE"/>
        </w:rPr>
      </w:pPr>
      <w:r>
        <w:rPr>
          <w:rStyle w:val="FootnoteReference"/>
        </w:rPr>
        <w:footnoteRef/>
      </w:r>
      <w:r>
        <w:t xml:space="preserve"> </w:t>
      </w:r>
      <w:r w:rsidRPr="00157409">
        <w:rPr>
          <w:lang w:val="en-IE"/>
        </w:rPr>
        <w:t>Regulation (EU) 2015/751</w:t>
      </w:r>
      <w:r w:rsidR="00474C24" w:rsidRPr="00474C24">
        <w:t xml:space="preserve"> </w:t>
      </w:r>
      <w:r w:rsidR="00474C24" w:rsidRPr="00474C24">
        <w:rPr>
          <w:lang w:val="en-IE"/>
        </w:rPr>
        <w:t>of 29 April 2015 on interchange fees for card-based payment transactions</w:t>
      </w:r>
      <w:r w:rsidRPr="00157409">
        <w:rPr>
          <w:lang w:val="en-IE"/>
        </w:rPr>
        <w:t>.</w:t>
      </w:r>
    </w:p>
  </w:footnote>
  <w:footnote w:id="28">
    <w:p w14:paraId="5C035504" w14:textId="7C1A06ED" w:rsidR="00961A63" w:rsidRPr="00157409" w:rsidRDefault="00961A63">
      <w:pPr>
        <w:pStyle w:val="FootnoteText"/>
        <w:rPr>
          <w:lang w:val="en-IE"/>
        </w:rPr>
      </w:pPr>
      <w:r>
        <w:rPr>
          <w:rStyle w:val="FootnoteReference"/>
        </w:rPr>
        <w:footnoteRef/>
      </w:r>
      <w:r>
        <w:t xml:space="preserve"> Regulation </w:t>
      </w:r>
      <w:r w:rsidRPr="00961A63">
        <w:t>(EU) 260/2012</w:t>
      </w:r>
      <w:r w:rsidR="00474C24" w:rsidRPr="00474C24">
        <w:t xml:space="preserve"> of 14 March 2012 establishing technical and business requirements for credit transfers and direct debits in euro</w:t>
      </w:r>
      <w:r>
        <w:t>.</w:t>
      </w:r>
    </w:p>
  </w:footnote>
  <w:footnote w:id="29">
    <w:p w14:paraId="05808D7F" w14:textId="1202ECBF" w:rsidR="00E43026" w:rsidRPr="00FF34E9" w:rsidRDefault="00E43026">
      <w:pPr>
        <w:pStyle w:val="FootnoteText"/>
        <w:rPr>
          <w:lang w:val="en-IE"/>
        </w:rPr>
      </w:pPr>
      <w:r>
        <w:rPr>
          <w:rStyle w:val="FootnoteReference"/>
        </w:rPr>
        <w:footnoteRef/>
      </w:r>
      <w:r>
        <w:t xml:space="preserve"> </w:t>
      </w:r>
      <w:r w:rsidRPr="00E43026">
        <w:t>This section responds to article 108(</w:t>
      </w:r>
      <w:r>
        <w:t>b</w:t>
      </w:r>
      <w:r w:rsidRPr="00E43026">
        <w:t xml:space="preserve">) of PSD2; see </w:t>
      </w:r>
      <w:r w:rsidR="00A02FC2">
        <w:t>Appendix</w:t>
      </w:r>
      <w:r w:rsidRPr="00E43026">
        <w:t xml:space="preserve"> 1.</w:t>
      </w:r>
      <w:r w:rsidR="00A441F5">
        <w:t xml:space="preserve"> “Third countries” are to be understood as countries outside the European Economic Area.</w:t>
      </w:r>
    </w:p>
  </w:footnote>
  <w:footnote w:id="30">
    <w:p w14:paraId="38E92A0A" w14:textId="55B3332A" w:rsidR="00BE7A5F" w:rsidRPr="00157409" w:rsidRDefault="00BE7A5F">
      <w:pPr>
        <w:pStyle w:val="FootnoteText"/>
        <w:rPr>
          <w:lang w:val="en-IE"/>
        </w:rPr>
      </w:pPr>
      <w:r>
        <w:rPr>
          <w:rStyle w:val="FootnoteReference"/>
        </w:rPr>
        <w:footnoteRef/>
      </w:r>
      <w:r>
        <w:t xml:space="preserve"> </w:t>
      </w:r>
      <w:r w:rsidRPr="00BE7A5F">
        <w:t>Regulation (EU) 2021/1230</w:t>
      </w:r>
      <w:r>
        <w:t xml:space="preserve">, containing </w:t>
      </w:r>
      <w:r w:rsidRPr="00BE7A5F">
        <w:t>transparency obligations for the estimated total amount and applicable currency conversion charges</w:t>
      </w:r>
      <w:r>
        <w:t>.</w:t>
      </w:r>
    </w:p>
  </w:footnote>
  <w:footnote w:id="31">
    <w:p w14:paraId="2DDB9561" w14:textId="77777777" w:rsidR="00061BB1" w:rsidRPr="00FF34E9" w:rsidRDefault="00061BB1" w:rsidP="00061BB1">
      <w:pPr>
        <w:pStyle w:val="FootnoteText"/>
        <w:rPr>
          <w:lang w:val="en-IE"/>
        </w:rPr>
      </w:pPr>
      <w:r>
        <w:rPr>
          <w:rStyle w:val="FootnoteReference"/>
        </w:rPr>
        <w:footnoteRef/>
      </w:r>
      <w:r>
        <w:t xml:space="preserve"> </w:t>
      </w:r>
      <w:hyperlink r:id="rId9" w:history="1">
        <w:r w:rsidRPr="0095611D">
          <w:rPr>
            <w:rStyle w:val="Hyperlink"/>
          </w:rPr>
          <w:t>https://www.fsb.org/wp-content/uploads/P131021-1.pdf</w:t>
        </w:r>
      </w:hyperlink>
      <w:r>
        <w:t>.</w:t>
      </w:r>
    </w:p>
  </w:footnote>
  <w:footnote w:id="32">
    <w:p w14:paraId="73ADF3F9" w14:textId="7B378DB7" w:rsidR="00E43026" w:rsidRPr="00FF34E9" w:rsidRDefault="00E43026">
      <w:pPr>
        <w:pStyle w:val="FootnoteText"/>
        <w:rPr>
          <w:lang w:val="en-IE"/>
        </w:rPr>
      </w:pPr>
      <w:r>
        <w:rPr>
          <w:rStyle w:val="FootnoteReference"/>
        </w:rPr>
        <w:footnoteRef/>
      </w:r>
      <w:r>
        <w:t xml:space="preserve"> </w:t>
      </w:r>
      <w:r w:rsidRPr="00E43026">
        <w:t>This section responds to article 108(</w:t>
      </w:r>
      <w:r>
        <w:t>d</w:t>
      </w:r>
      <w:r w:rsidRPr="00E43026">
        <w:t xml:space="preserve">) of PSD2; see </w:t>
      </w:r>
      <w:r w:rsidR="00A02FC2">
        <w:t>Appendix</w:t>
      </w:r>
      <w:r w:rsidRPr="00E43026">
        <w:t xml:space="preserve"> 1.</w:t>
      </w:r>
    </w:p>
  </w:footnote>
  <w:footnote w:id="33">
    <w:p w14:paraId="6B214D9F" w14:textId="6A5361D3" w:rsidR="00E43026" w:rsidRPr="00FF34E9" w:rsidRDefault="00E43026">
      <w:pPr>
        <w:pStyle w:val="FootnoteText"/>
        <w:rPr>
          <w:lang w:val="en-IE"/>
        </w:rPr>
      </w:pPr>
      <w:r>
        <w:rPr>
          <w:rStyle w:val="FootnoteReference"/>
        </w:rPr>
        <w:footnoteRef/>
      </w:r>
      <w:r>
        <w:t xml:space="preserve"> </w:t>
      </w:r>
      <w:r w:rsidRPr="00E43026">
        <w:t>This section responds to article 108(</w:t>
      </w:r>
      <w:r>
        <w:t>f</w:t>
      </w:r>
      <w:r w:rsidRPr="00E43026">
        <w:t xml:space="preserve">) of PSD2; see </w:t>
      </w:r>
      <w:r w:rsidR="00A02FC2">
        <w:t>Appendix</w:t>
      </w:r>
      <w:r w:rsidRPr="00E43026">
        <w:t xml:space="preserve"> 1.</w:t>
      </w:r>
    </w:p>
  </w:footnote>
  <w:footnote w:id="34">
    <w:p w14:paraId="7CF03364" w14:textId="0C1D2860" w:rsidR="00FF1A63" w:rsidRPr="00AE3F61" w:rsidRDefault="00FF1A63">
      <w:pPr>
        <w:pStyle w:val="FootnoteText"/>
        <w:rPr>
          <w:lang w:val="en-IE"/>
        </w:rPr>
      </w:pPr>
      <w:r>
        <w:rPr>
          <w:rStyle w:val="FootnoteReference"/>
        </w:rPr>
        <w:footnoteRef/>
      </w:r>
      <w:r>
        <w:t xml:space="preserve"> </w:t>
      </w:r>
      <w:r w:rsidRPr="00AE3F61">
        <w:rPr>
          <w:lang w:val="en-IE"/>
        </w:rPr>
        <w:t xml:space="preserve">The public consultation replies are available at </w:t>
      </w:r>
      <w:hyperlink r:id="rId10" w:history="1">
        <w:r w:rsidRPr="00AE3F61">
          <w:rPr>
            <w:rStyle w:val="Hyperlink"/>
            <w:lang w:val="en-IE"/>
          </w:rPr>
          <w:t>this link</w:t>
        </w:r>
      </w:hyperlink>
      <w:r w:rsidRPr="00AE3F61">
        <w:rPr>
          <w:lang w:val="en-IE"/>
        </w:rPr>
        <w:t>.</w:t>
      </w:r>
    </w:p>
  </w:footnote>
  <w:footnote w:id="35">
    <w:p w14:paraId="37724D2D" w14:textId="65FF4222" w:rsidR="006E161C" w:rsidRPr="00157409" w:rsidRDefault="006E161C">
      <w:pPr>
        <w:pStyle w:val="FootnoteText"/>
        <w:rPr>
          <w:lang w:val="en-IE"/>
        </w:rPr>
      </w:pPr>
      <w:r>
        <w:rPr>
          <w:rStyle w:val="FootnoteReference"/>
        </w:rPr>
        <w:footnoteRef/>
      </w:r>
      <w:r>
        <w:t xml:space="preserve"> </w:t>
      </w:r>
      <w:r w:rsidRPr="006E161C">
        <w:t xml:space="preserve">European Banking Authority, Discussion </w:t>
      </w:r>
      <w:r w:rsidR="007263C9">
        <w:t>p</w:t>
      </w:r>
      <w:r w:rsidRPr="006E161C">
        <w:t xml:space="preserve">aper </w:t>
      </w:r>
      <w:r w:rsidR="007263C9">
        <w:t>o</w:t>
      </w:r>
      <w:r w:rsidRPr="006E161C">
        <w:t xml:space="preserve">n EBA’s </w:t>
      </w:r>
      <w:r w:rsidR="007263C9">
        <w:t>p</w:t>
      </w:r>
      <w:r w:rsidRPr="006E161C">
        <w:t xml:space="preserve">reliminary </w:t>
      </w:r>
      <w:r>
        <w:t>o</w:t>
      </w:r>
      <w:r w:rsidRPr="006E161C">
        <w:t xml:space="preserve">bservations </w:t>
      </w:r>
      <w:r>
        <w:t>o</w:t>
      </w:r>
      <w:r w:rsidRPr="006E161C">
        <w:t xml:space="preserve">n </w:t>
      </w:r>
      <w:r>
        <w:t>s</w:t>
      </w:r>
      <w:r w:rsidRPr="006E161C">
        <w:t xml:space="preserve">elected </w:t>
      </w:r>
      <w:r>
        <w:t>p</w:t>
      </w:r>
      <w:r w:rsidRPr="006E161C">
        <w:t xml:space="preserve">ayment </w:t>
      </w:r>
      <w:r w:rsidR="007263C9">
        <w:t>f</w:t>
      </w:r>
      <w:r w:rsidRPr="006E161C">
        <w:t xml:space="preserve">raud </w:t>
      </w:r>
      <w:r w:rsidR="007263C9">
        <w:t>d</w:t>
      </w:r>
      <w:r w:rsidRPr="006E161C">
        <w:t xml:space="preserve">ata </w:t>
      </w:r>
      <w:r w:rsidR="007263C9">
        <w:t>u</w:t>
      </w:r>
      <w:r w:rsidRPr="006E161C">
        <w:t xml:space="preserve">nder PSD2, </w:t>
      </w:r>
      <w:r>
        <w:t>a</w:t>
      </w:r>
      <w:r w:rsidRPr="006E161C">
        <w:t xml:space="preserve">s </w:t>
      </w:r>
      <w:r>
        <w:t>r</w:t>
      </w:r>
      <w:r w:rsidRPr="006E161C">
        <w:t xml:space="preserve">eported </w:t>
      </w:r>
      <w:r>
        <w:t>b</w:t>
      </w:r>
      <w:r w:rsidRPr="006E161C">
        <w:t xml:space="preserve">y </w:t>
      </w:r>
      <w:r>
        <w:t>t</w:t>
      </w:r>
      <w:r w:rsidRPr="006E161C">
        <w:t xml:space="preserve">he </w:t>
      </w:r>
      <w:r>
        <w:t>i</w:t>
      </w:r>
      <w:r w:rsidRPr="006E161C">
        <w:t>ndustry, EBA/DP/2022/01, 17 January 2022.</w:t>
      </w:r>
    </w:p>
  </w:footnote>
  <w:footnote w:id="36">
    <w:p w14:paraId="74A04CA9" w14:textId="2E77F6C1" w:rsidR="00BA772B" w:rsidRPr="00295575" w:rsidRDefault="00BA772B">
      <w:pPr>
        <w:pStyle w:val="FootnoteText"/>
        <w:rPr>
          <w:lang w:val="en-IE"/>
        </w:rPr>
      </w:pPr>
      <w:r>
        <w:rPr>
          <w:rStyle w:val="FootnoteReference"/>
        </w:rPr>
        <w:footnoteRef/>
      </w:r>
      <w:r>
        <w:t xml:space="preserve"> </w:t>
      </w:r>
      <w:r w:rsidRPr="00BA772B">
        <w:t>According to a report by the contractor VVA/CEPS, over €</w:t>
      </w:r>
      <w:r>
        <w:t>5</w:t>
      </w:r>
      <w:r w:rsidRPr="00BA772B">
        <w:t xml:space="preserve"> billion in one-off implementation costs</w:t>
      </w:r>
      <w:r>
        <w:t>, but offset by an annual reduction in fraud of almost €1 billion per year</w:t>
      </w:r>
      <w:r w:rsidRPr="00BA772B">
        <w:t>.</w:t>
      </w:r>
    </w:p>
  </w:footnote>
  <w:footnote w:id="37">
    <w:p w14:paraId="11315BFB" w14:textId="0C98EF7E" w:rsidR="00721550" w:rsidRPr="00014E27" w:rsidRDefault="00721550" w:rsidP="00721550">
      <w:pPr>
        <w:pStyle w:val="FootnoteText"/>
      </w:pPr>
      <w:r>
        <w:rPr>
          <w:rStyle w:val="FootnoteReference"/>
        </w:rPr>
        <w:footnoteRef/>
      </w:r>
      <w:r>
        <w:t xml:space="preserve"> </w:t>
      </w:r>
      <w:r w:rsidR="00E415C9" w:rsidRPr="00E415C9">
        <w:t>Directive 2019/882 of 17 April 2019 on the accessibility requirements for products and services</w:t>
      </w:r>
      <w:r w:rsidR="00E415C9">
        <w:t>.</w:t>
      </w:r>
      <w:hyperlink w:history="1"/>
      <w:r w:rsidR="00E415C9">
        <w:t xml:space="preserve"> </w:t>
      </w:r>
    </w:p>
  </w:footnote>
  <w:footnote w:id="38">
    <w:p w14:paraId="514972B2" w14:textId="41EF5F89" w:rsidR="00202ECC" w:rsidRPr="00157409" w:rsidRDefault="00202ECC">
      <w:pPr>
        <w:pStyle w:val="FootnoteText"/>
        <w:rPr>
          <w:lang w:val="en-IE"/>
        </w:rPr>
      </w:pPr>
      <w:r>
        <w:rPr>
          <w:rStyle w:val="FootnoteReference"/>
        </w:rPr>
        <w:footnoteRef/>
      </w:r>
      <w:r>
        <w:t xml:space="preserve"> </w:t>
      </w:r>
      <w:r w:rsidRPr="00157409">
        <w:rPr>
          <w:lang w:val="en-IE"/>
        </w:rPr>
        <w:t>Commission services have estimated the value of social engineering fraud at €323 million per year, on the basis of EBA data.</w:t>
      </w:r>
      <w:r w:rsidR="003837BC">
        <w:rPr>
          <w:lang w:val="en-IE"/>
        </w:rPr>
        <w:t xml:space="preserve"> </w:t>
      </w:r>
      <w:r w:rsidR="00DA2829">
        <w:rPr>
          <w:lang w:val="en-IE"/>
        </w:rPr>
        <w:t>See the impact assessment</w:t>
      </w:r>
      <w:r w:rsidR="00424373">
        <w:rPr>
          <w:lang w:val="en-IE"/>
        </w:rPr>
        <w:t xml:space="preserve"> accompanying the Commission’s proposal on instant payments</w:t>
      </w:r>
      <w:r w:rsidR="00DA2829">
        <w:rPr>
          <w:lang w:val="en-IE"/>
        </w:rPr>
        <w:t>,</w:t>
      </w:r>
      <w:r w:rsidR="00424373">
        <w:rPr>
          <w:lang w:val="en-IE"/>
        </w:rPr>
        <w:t xml:space="preserve"> </w:t>
      </w:r>
      <w:r w:rsidR="00424373" w:rsidRPr="00424373">
        <w:rPr>
          <w:lang w:val="en-IE"/>
        </w:rPr>
        <w:t>SWD(2022)546 final</w:t>
      </w:r>
      <w:r w:rsidR="007263C9">
        <w:rPr>
          <w:lang w:val="en-IE"/>
        </w:rPr>
        <w:t>.</w:t>
      </w:r>
    </w:p>
  </w:footnote>
  <w:footnote w:id="39">
    <w:p w14:paraId="66FC3517" w14:textId="2F68DB7E" w:rsidR="00D30127" w:rsidRPr="00FF34E9" w:rsidRDefault="00D30127">
      <w:pPr>
        <w:pStyle w:val="FootnoteText"/>
        <w:rPr>
          <w:lang w:val="en-IE"/>
        </w:rPr>
      </w:pPr>
      <w:r>
        <w:rPr>
          <w:rStyle w:val="FootnoteReference"/>
        </w:rPr>
        <w:footnoteRef/>
      </w:r>
      <w:r>
        <w:t xml:space="preserve"> </w:t>
      </w:r>
      <w:r w:rsidRPr="00FF34E9">
        <w:rPr>
          <w:lang w:val="en-IE"/>
        </w:rPr>
        <w:t xml:space="preserve">Such </w:t>
      </w:r>
      <w:r w:rsidR="00BA772B">
        <w:rPr>
          <w:lang w:val="en-IE"/>
        </w:rPr>
        <w:t>services</w:t>
      </w:r>
      <w:r w:rsidRPr="00FF34E9">
        <w:rPr>
          <w:lang w:val="en-IE"/>
        </w:rPr>
        <w:t xml:space="preserve">, which exist at domestic level in certain </w:t>
      </w:r>
      <w:r w:rsidR="00135DCB">
        <w:rPr>
          <w:lang w:val="en-IE"/>
        </w:rPr>
        <w:t>M</w:t>
      </w:r>
      <w:r w:rsidRPr="00FF34E9">
        <w:rPr>
          <w:lang w:val="en-IE"/>
        </w:rPr>
        <w:t xml:space="preserve">ember States, alert a payer before a payment is finalised of any discrepancy between the account number (IBAN) and the name of the payee. </w:t>
      </w:r>
      <w:r w:rsidR="00BA772B">
        <w:rPr>
          <w:lang w:val="en-IE"/>
        </w:rPr>
        <w:t>An obligation on PSPs to offer s</w:t>
      </w:r>
      <w:r w:rsidRPr="00FF34E9">
        <w:rPr>
          <w:lang w:val="en-IE"/>
        </w:rPr>
        <w:t xml:space="preserve">uch a system is already </w:t>
      </w:r>
      <w:r w:rsidR="00135DCB">
        <w:rPr>
          <w:lang w:val="en-IE"/>
        </w:rPr>
        <w:t xml:space="preserve">proposed (but only </w:t>
      </w:r>
      <w:r w:rsidRPr="00FF34E9">
        <w:rPr>
          <w:lang w:val="en-IE"/>
        </w:rPr>
        <w:t>for instant credit transfers in euro</w:t>
      </w:r>
      <w:r w:rsidR="00135DCB">
        <w:rPr>
          <w:lang w:val="en-IE"/>
        </w:rPr>
        <w:t>)</w:t>
      </w:r>
      <w:r w:rsidRPr="00FF34E9">
        <w:rPr>
          <w:lang w:val="en-IE"/>
        </w:rPr>
        <w:t xml:space="preserve"> by the Commission’s legislative proposal on instant payments (</w:t>
      </w:r>
      <w:r w:rsidR="003D1F9B" w:rsidRPr="00FF34E9">
        <w:rPr>
          <w:lang w:val="en-IE"/>
        </w:rPr>
        <w:t>COM(2022) 546 final of 26/10/2022).</w:t>
      </w:r>
    </w:p>
  </w:footnote>
  <w:footnote w:id="40">
    <w:p w14:paraId="2D2125AF" w14:textId="7F05BF1A" w:rsidR="00E43026" w:rsidRPr="00FF34E9" w:rsidRDefault="00E43026">
      <w:pPr>
        <w:pStyle w:val="FootnoteText"/>
        <w:rPr>
          <w:lang w:val="en-IE"/>
        </w:rPr>
      </w:pPr>
      <w:r>
        <w:rPr>
          <w:rStyle w:val="FootnoteReference"/>
        </w:rPr>
        <w:footnoteRef/>
      </w:r>
      <w:r>
        <w:t xml:space="preserve"> </w:t>
      </w:r>
      <w:r w:rsidRPr="00FF34E9">
        <w:rPr>
          <w:lang w:val="en-IE"/>
        </w:rPr>
        <w:t xml:space="preserve">This section responds to article 108(c) of PSD2 ; see </w:t>
      </w:r>
      <w:r w:rsidR="00A02FC2">
        <w:rPr>
          <w:lang w:val="en-IE"/>
        </w:rPr>
        <w:t>Appendix</w:t>
      </w:r>
      <w:r w:rsidRPr="00FF34E9">
        <w:rPr>
          <w:lang w:val="en-IE"/>
        </w:rPr>
        <w:t xml:space="preserve"> 1.</w:t>
      </w:r>
    </w:p>
  </w:footnote>
  <w:footnote w:id="41">
    <w:p w14:paraId="2FA95CAC" w14:textId="56CC12BA" w:rsidR="00F31362" w:rsidRPr="00F31362" w:rsidRDefault="00F31362">
      <w:pPr>
        <w:pStyle w:val="FootnoteText"/>
      </w:pPr>
      <w:r>
        <w:rPr>
          <w:rStyle w:val="FootnoteReference"/>
        </w:rPr>
        <w:footnoteRef/>
      </w:r>
      <w:r>
        <w:t xml:space="preserve"> </w:t>
      </w:r>
      <w:hyperlink r:id="rId11" w:history="1">
        <w:r w:rsidRPr="00F31362">
          <w:rPr>
            <w:rStyle w:val="Hyperlink"/>
          </w:rPr>
          <w:t>EBA Opinion and annexed report on de-risking.pdf (europa.eu)</w:t>
        </w:r>
      </w:hyperlink>
    </w:p>
  </w:footnote>
  <w:footnote w:id="42">
    <w:p w14:paraId="76B041C2" w14:textId="6C34C869" w:rsidR="00984882" w:rsidRPr="00FF34E9" w:rsidRDefault="00984882">
      <w:pPr>
        <w:pStyle w:val="FootnoteText"/>
        <w:rPr>
          <w:lang w:val="en-IE"/>
        </w:rPr>
      </w:pPr>
      <w:r>
        <w:rPr>
          <w:rStyle w:val="FootnoteReference"/>
        </w:rPr>
        <w:footnoteRef/>
      </w:r>
      <w:r>
        <w:t xml:space="preserve"> </w:t>
      </w:r>
      <w:r w:rsidRPr="00984882">
        <w:t>Directive 98/26/EC of 19 May 1998 on settlement finality in payment and securities settlement systems</w:t>
      </w:r>
      <w:r>
        <w:t>, as amended.</w:t>
      </w:r>
    </w:p>
  </w:footnote>
  <w:footnote w:id="43">
    <w:p w14:paraId="6AFF75E2" w14:textId="1730E97B" w:rsidR="00011317" w:rsidRPr="00295575" w:rsidRDefault="00011317">
      <w:pPr>
        <w:pStyle w:val="FootnoteText"/>
        <w:rPr>
          <w:lang w:val="en-IE"/>
        </w:rPr>
      </w:pPr>
      <w:r>
        <w:rPr>
          <w:rStyle w:val="FootnoteReference"/>
        </w:rPr>
        <w:footnoteRef/>
      </w:r>
      <w:r>
        <w:t xml:space="preserve"> </w:t>
      </w:r>
      <w:r w:rsidR="00B9077F">
        <w:t>Not EMI as t</w:t>
      </w:r>
      <w:r w:rsidRPr="00295575">
        <w:rPr>
          <w:lang w:val="en-IE"/>
        </w:rPr>
        <w:t xml:space="preserve">he status of e-money </w:t>
      </w:r>
      <w:r w:rsidR="001C4A6C" w:rsidRPr="001C4A6C">
        <w:rPr>
          <w:lang w:val="en-IE"/>
        </w:rPr>
        <w:t>institution</w:t>
      </w:r>
      <w:r w:rsidRPr="00295575">
        <w:rPr>
          <w:lang w:val="en-IE"/>
        </w:rPr>
        <w:t xml:space="preserve"> will be combined with that of payment institution in the future framework</w:t>
      </w:r>
      <w:r w:rsidR="0001137E" w:rsidRPr="00295575">
        <w:rPr>
          <w:lang w:val="en-IE"/>
        </w:rPr>
        <w:t>; see §3.7(ii) below</w:t>
      </w:r>
      <w:r w:rsidRPr="00295575">
        <w:rPr>
          <w:lang w:val="en-IE"/>
        </w:rPr>
        <w:t>.</w:t>
      </w:r>
    </w:p>
  </w:footnote>
  <w:footnote w:id="44">
    <w:p w14:paraId="6DC92C5D" w14:textId="641617F9" w:rsidR="00DB7C99" w:rsidRPr="00157409" w:rsidRDefault="00DB7C99">
      <w:pPr>
        <w:pStyle w:val="FootnoteText"/>
        <w:rPr>
          <w:lang w:val="en-IE"/>
        </w:rPr>
      </w:pPr>
      <w:r>
        <w:rPr>
          <w:rStyle w:val="FootnoteReference"/>
        </w:rPr>
        <w:footnoteRef/>
      </w:r>
      <w:r>
        <w:t xml:space="preserve"> </w:t>
      </w:r>
      <w:hyperlink r:id="rId12" w:history="1">
        <w:r w:rsidRPr="00DB7C99">
          <w:rPr>
            <w:rStyle w:val="Hyperlink"/>
          </w:rPr>
          <w:t>Single Rulebook Q&amp;A | European Banking Authority (europa.eu)</w:t>
        </w:r>
      </w:hyperlink>
    </w:p>
  </w:footnote>
  <w:footnote w:id="45">
    <w:p w14:paraId="4F557ACC" w14:textId="6E50E8AA" w:rsidR="00E43026" w:rsidRPr="00FF34E9" w:rsidRDefault="00E43026">
      <w:pPr>
        <w:pStyle w:val="FootnoteText"/>
        <w:rPr>
          <w:lang w:val="en-IE"/>
        </w:rPr>
      </w:pPr>
      <w:r>
        <w:rPr>
          <w:rStyle w:val="FootnoteReference"/>
        </w:rPr>
        <w:footnoteRef/>
      </w:r>
      <w:r>
        <w:t xml:space="preserve"> </w:t>
      </w:r>
      <w:r w:rsidRPr="00E43026">
        <w:t>This section responds to article 108(</w:t>
      </w:r>
      <w:r>
        <w:t>e</w:t>
      </w:r>
      <w:r w:rsidRPr="00E43026">
        <w:t xml:space="preserve">) of PSD2; see </w:t>
      </w:r>
      <w:r w:rsidR="00A02FC2">
        <w:t>Appendix</w:t>
      </w:r>
      <w:r w:rsidRPr="00E43026">
        <w:t xml:space="preserve"> 1.</w:t>
      </w:r>
    </w:p>
  </w:footnote>
  <w:footnote w:id="46">
    <w:p w14:paraId="21CB2678" w14:textId="1676E359" w:rsidR="00277583" w:rsidRPr="00157409" w:rsidRDefault="00277583">
      <w:pPr>
        <w:pStyle w:val="FootnoteText"/>
        <w:rPr>
          <w:lang w:val="en-IE"/>
        </w:rPr>
      </w:pPr>
      <w:r>
        <w:rPr>
          <w:rStyle w:val="FootnoteReference"/>
        </w:rPr>
        <w:footnoteRef/>
      </w:r>
      <w:r>
        <w:t xml:space="preserve"> A</w:t>
      </w:r>
      <w:r w:rsidRPr="00277583">
        <w:t>rticle 108(e) in conjunction with article 32 of PSD2</w:t>
      </w:r>
      <w:r>
        <w:t>.</w:t>
      </w:r>
    </w:p>
  </w:footnote>
  <w:footnote w:id="47">
    <w:p w14:paraId="34C92B60" w14:textId="77777777" w:rsidR="00792330" w:rsidRPr="00FF34E9" w:rsidRDefault="00792330" w:rsidP="00792330">
      <w:pPr>
        <w:pStyle w:val="FootnoteText"/>
        <w:rPr>
          <w:lang w:val="en-IE"/>
        </w:rPr>
      </w:pPr>
      <w:r>
        <w:rPr>
          <w:rStyle w:val="FootnoteReference"/>
        </w:rPr>
        <w:footnoteRef/>
      </w:r>
      <w:r>
        <w:t xml:space="preserve"> </w:t>
      </w:r>
      <w:r w:rsidRPr="00C938C0">
        <w:t>Directive 2009/110/EC of 16 September 2009 on the taking up, pursuit and prudential supervision of the business of electronic money institutions</w:t>
      </w:r>
      <w:r>
        <w:t>, as amended.</w:t>
      </w:r>
    </w:p>
  </w:footnote>
  <w:footnote w:id="48">
    <w:p w14:paraId="0781DB7D" w14:textId="64B944C4" w:rsidR="004F2670" w:rsidRPr="00FF34E9" w:rsidRDefault="004F2670">
      <w:pPr>
        <w:pStyle w:val="FootnoteText"/>
        <w:rPr>
          <w:lang w:val="en-IE"/>
        </w:rPr>
      </w:pPr>
      <w:r>
        <w:rPr>
          <w:rStyle w:val="FootnoteReference"/>
        </w:rPr>
        <w:footnoteRef/>
      </w:r>
      <w:r>
        <w:t xml:space="preserve"> S</w:t>
      </w:r>
      <w:r w:rsidRPr="004F2670">
        <w:t xml:space="preserve">ee the </w:t>
      </w:r>
      <w:hyperlink r:id="rId13" w:history="1">
        <w:r w:rsidRPr="004F2670">
          <w:rPr>
            <w:rStyle w:val="Hyperlink"/>
          </w:rPr>
          <w:t>Commission report on the implementation and impact of Directive 2009/110/EC</w:t>
        </w:r>
      </w:hyperlink>
      <w:r>
        <w:t>,</w:t>
      </w:r>
      <w:r w:rsidRPr="004F2670">
        <w:t xml:space="preserve"> in particular on the application of prudential requirements for E-Money Institutions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E4B2" w14:textId="77777777" w:rsidR="00667D6E" w:rsidRPr="00667D6E" w:rsidRDefault="00667D6E" w:rsidP="00667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D34D" w14:textId="77777777" w:rsidR="00667D6E" w:rsidRPr="00667D6E" w:rsidRDefault="00667D6E" w:rsidP="00667D6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EE4D" w14:textId="77777777" w:rsidR="00667D6E" w:rsidRPr="00667D6E" w:rsidRDefault="00667D6E" w:rsidP="00667D6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1D8E" w14:textId="77777777" w:rsidR="00757012" w:rsidRDefault="007570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2DDA" w14:textId="77777777" w:rsidR="00757012" w:rsidRDefault="007570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1328" w14:textId="77777777" w:rsidR="00757012" w:rsidRDefault="007570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51D8" w14:textId="77777777" w:rsidR="006F4580" w:rsidRDefault="006F45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D0A4" w14:textId="77777777" w:rsidR="006F4580" w:rsidRDefault="006F45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805C" w14:textId="77777777" w:rsidR="006F4580" w:rsidRDefault="006F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58E"/>
    <w:multiLevelType w:val="hybridMultilevel"/>
    <w:tmpl w:val="3BB2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5729B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61A85"/>
    <w:multiLevelType w:val="hybridMultilevel"/>
    <w:tmpl w:val="F0FA3B54"/>
    <w:lvl w:ilvl="0" w:tplc="5B204194">
      <w:start w:val="1"/>
      <w:numFmt w:val="decimal"/>
      <w:pStyle w:val="04aNumeration"/>
      <w:lvlText w:val="%1."/>
      <w:lvlJc w:val="left"/>
      <w:pPr>
        <w:tabs>
          <w:tab w:val="num" w:pos="284"/>
        </w:tabs>
        <w:ind w:left="284" w:hanging="284"/>
      </w:pPr>
      <w:rPr>
        <w:rFonts w:ascii="Arial" w:hAnsi="Arial" w:cs="Arial" w:hint="default"/>
        <w:b w:val="0"/>
        <w:i w:val="0"/>
        <w:sz w:val="22"/>
        <w:szCs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3" w15:restartNumberingAfterBreak="0">
    <w:nsid w:val="50243346"/>
    <w:multiLevelType w:val="hybridMultilevel"/>
    <w:tmpl w:val="93B06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BD0293"/>
    <w:multiLevelType w:val="hybridMultilevel"/>
    <w:tmpl w:val="C038ABB6"/>
    <w:lvl w:ilvl="0" w:tplc="FCC4B0D8">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3071607"/>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F97059"/>
    <w:multiLevelType w:val="hybridMultilevel"/>
    <w:tmpl w:val="BCFA526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9476DB5-2E79-490D-A05A-A4D3278E06F4"/>
    <w:docVar w:name="LW_COVERPAGE_TYPE" w:val="1"/>
    <w:docVar w:name="LW_CROSSREFERENCE" w:val="&lt;UNUSED&gt;"/>
    <w:docVar w:name="LW_DocType" w:val="NORMAL"/>
    <w:docVar w:name="LW_EMISSION" w:val="28.6.2023"/>
    <w:docVar w:name="LW_EMISSION_ISODATE" w:val="2023-06-28"/>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3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 THE EUROPEAN PARLIAMENT, THE COUNCIL, THE EUROPEAN CENTRAL BANK AND THE EUROPEAN ECONOMIC AND SOCIAL COMMITTEE_x000d__x000d__x000d__x000b__x000d__x000d__x000d__x000b_on the review of Directive 2015/2366/EU of the European Parliament and of the Council on payment services in the internal market"/>
    <w:docVar w:name="LW_TYPE.DOC.CP" w:val="REPORT FROM THE COMMISSION"/>
    <w:docVar w:name="LwApiVersions" w:val="LW4CoDe 1.23.2.0; LW 8.0, Build 20211117"/>
  </w:docVars>
  <w:rsids>
    <w:rsidRoot w:val="004B7662"/>
    <w:rsid w:val="000000D7"/>
    <w:rsid w:val="00000DAB"/>
    <w:rsid w:val="00001B6F"/>
    <w:rsid w:val="00003575"/>
    <w:rsid w:val="0000380F"/>
    <w:rsid w:val="00004875"/>
    <w:rsid w:val="000049F9"/>
    <w:rsid w:val="00005CA1"/>
    <w:rsid w:val="000072A1"/>
    <w:rsid w:val="00007322"/>
    <w:rsid w:val="0000761B"/>
    <w:rsid w:val="0001074E"/>
    <w:rsid w:val="00011317"/>
    <w:rsid w:val="0001137E"/>
    <w:rsid w:val="000114C0"/>
    <w:rsid w:val="000123A8"/>
    <w:rsid w:val="000129A8"/>
    <w:rsid w:val="00012DB1"/>
    <w:rsid w:val="00014E27"/>
    <w:rsid w:val="00015733"/>
    <w:rsid w:val="00015DAB"/>
    <w:rsid w:val="000160F9"/>
    <w:rsid w:val="00016880"/>
    <w:rsid w:val="00017A60"/>
    <w:rsid w:val="00017B24"/>
    <w:rsid w:val="00020E62"/>
    <w:rsid w:val="00021618"/>
    <w:rsid w:val="00022263"/>
    <w:rsid w:val="00024FB0"/>
    <w:rsid w:val="0002522D"/>
    <w:rsid w:val="000259CF"/>
    <w:rsid w:val="00025A4A"/>
    <w:rsid w:val="00025F0B"/>
    <w:rsid w:val="0002668D"/>
    <w:rsid w:val="000274F6"/>
    <w:rsid w:val="0003062E"/>
    <w:rsid w:val="00031729"/>
    <w:rsid w:val="00032035"/>
    <w:rsid w:val="0003221A"/>
    <w:rsid w:val="00032A83"/>
    <w:rsid w:val="000344CF"/>
    <w:rsid w:val="000346C3"/>
    <w:rsid w:val="000349A2"/>
    <w:rsid w:val="000359A2"/>
    <w:rsid w:val="00036132"/>
    <w:rsid w:val="00036A2C"/>
    <w:rsid w:val="0003707A"/>
    <w:rsid w:val="00040B4A"/>
    <w:rsid w:val="00041074"/>
    <w:rsid w:val="000416AF"/>
    <w:rsid w:val="00041D26"/>
    <w:rsid w:val="0004232B"/>
    <w:rsid w:val="000423BB"/>
    <w:rsid w:val="00042856"/>
    <w:rsid w:val="00042D1F"/>
    <w:rsid w:val="000444F3"/>
    <w:rsid w:val="0004471E"/>
    <w:rsid w:val="00044FCC"/>
    <w:rsid w:val="00045B31"/>
    <w:rsid w:val="0004606E"/>
    <w:rsid w:val="00050852"/>
    <w:rsid w:val="00050E05"/>
    <w:rsid w:val="00051851"/>
    <w:rsid w:val="00052532"/>
    <w:rsid w:val="00052B95"/>
    <w:rsid w:val="00052E85"/>
    <w:rsid w:val="00053B09"/>
    <w:rsid w:val="00053F24"/>
    <w:rsid w:val="00054E06"/>
    <w:rsid w:val="0005547C"/>
    <w:rsid w:val="00055903"/>
    <w:rsid w:val="00060DE2"/>
    <w:rsid w:val="00061BB1"/>
    <w:rsid w:val="000625DA"/>
    <w:rsid w:val="00062A6C"/>
    <w:rsid w:val="00062D50"/>
    <w:rsid w:val="00064163"/>
    <w:rsid w:val="00064D9C"/>
    <w:rsid w:val="00064DC1"/>
    <w:rsid w:val="00066365"/>
    <w:rsid w:val="00066B5B"/>
    <w:rsid w:val="00066C8A"/>
    <w:rsid w:val="00070435"/>
    <w:rsid w:val="00070B9F"/>
    <w:rsid w:val="00072CD2"/>
    <w:rsid w:val="00073922"/>
    <w:rsid w:val="00073CE0"/>
    <w:rsid w:val="00077C19"/>
    <w:rsid w:val="00080FEB"/>
    <w:rsid w:val="0008189B"/>
    <w:rsid w:val="00082A35"/>
    <w:rsid w:val="00082F1F"/>
    <w:rsid w:val="00083748"/>
    <w:rsid w:val="0008391E"/>
    <w:rsid w:val="00083947"/>
    <w:rsid w:val="00083957"/>
    <w:rsid w:val="000848B9"/>
    <w:rsid w:val="00084A60"/>
    <w:rsid w:val="000858D4"/>
    <w:rsid w:val="00085A76"/>
    <w:rsid w:val="0009042C"/>
    <w:rsid w:val="00090BF3"/>
    <w:rsid w:val="000910E3"/>
    <w:rsid w:val="00091419"/>
    <w:rsid w:val="0009189F"/>
    <w:rsid w:val="00092F7B"/>
    <w:rsid w:val="00093963"/>
    <w:rsid w:val="00094591"/>
    <w:rsid w:val="00094B9E"/>
    <w:rsid w:val="00094EA5"/>
    <w:rsid w:val="00095223"/>
    <w:rsid w:val="000956C6"/>
    <w:rsid w:val="00095EA1"/>
    <w:rsid w:val="00097793"/>
    <w:rsid w:val="000A12C3"/>
    <w:rsid w:val="000A134B"/>
    <w:rsid w:val="000A1352"/>
    <w:rsid w:val="000A1B51"/>
    <w:rsid w:val="000A1EA3"/>
    <w:rsid w:val="000A2E4E"/>
    <w:rsid w:val="000A2EFA"/>
    <w:rsid w:val="000A43D3"/>
    <w:rsid w:val="000A50D7"/>
    <w:rsid w:val="000A60D7"/>
    <w:rsid w:val="000A736A"/>
    <w:rsid w:val="000A77F0"/>
    <w:rsid w:val="000B00DE"/>
    <w:rsid w:val="000B01E9"/>
    <w:rsid w:val="000B061D"/>
    <w:rsid w:val="000B0989"/>
    <w:rsid w:val="000B30E0"/>
    <w:rsid w:val="000B437D"/>
    <w:rsid w:val="000B71CF"/>
    <w:rsid w:val="000B774B"/>
    <w:rsid w:val="000C055C"/>
    <w:rsid w:val="000C05E2"/>
    <w:rsid w:val="000C0DFC"/>
    <w:rsid w:val="000C146E"/>
    <w:rsid w:val="000C187C"/>
    <w:rsid w:val="000C3115"/>
    <w:rsid w:val="000C412C"/>
    <w:rsid w:val="000C5790"/>
    <w:rsid w:val="000C5794"/>
    <w:rsid w:val="000C57F3"/>
    <w:rsid w:val="000C59FD"/>
    <w:rsid w:val="000C6AC8"/>
    <w:rsid w:val="000C7784"/>
    <w:rsid w:val="000D0A40"/>
    <w:rsid w:val="000D0F5D"/>
    <w:rsid w:val="000D1805"/>
    <w:rsid w:val="000D24BE"/>
    <w:rsid w:val="000D2B32"/>
    <w:rsid w:val="000D3EBE"/>
    <w:rsid w:val="000D43A8"/>
    <w:rsid w:val="000D5883"/>
    <w:rsid w:val="000D5B1F"/>
    <w:rsid w:val="000D62C9"/>
    <w:rsid w:val="000D695D"/>
    <w:rsid w:val="000E0C15"/>
    <w:rsid w:val="000E1205"/>
    <w:rsid w:val="000E1D1E"/>
    <w:rsid w:val="000E2162"/>
    <w:rsid w:val="000E3711"/>
    <w:rsid w:val="000E4B93"/>
    <w:rsid w:val="000E63B0"/>
    <w:rsid w:val="000E6C48"/>
    <w:rsid w:val="000E78A2"/>
    <w:rsid w:val="000F162E"/>
    <w:rsid w:val="000F37C9"/>
    <w:rsid w:val="000F3AB7"/>
    <w:rsid w:val="000F3B39"/>
    <w:rsid w:val="000F5388"/>
    <w:rsid w:val="000F6700"/>
    <w:rsid w:val="000F6C15"/>
    <w:rsid w:val="000F72B4"/>
    <w:rsid w:val="000F72DC"/>
    <w:rsid w:val="000F7630"/>
    <w:rsid w:val="00100966"/>
    <w:rsid w:val="00100D30"/>
    <w:rsid w:val="0010153B"/>
    <w:rsid w:val="0010191F"/>
    <w:rsid w:val="00101D62"/>
    <w:rsid w:val="001029B4"/>
    <w:rsid w:val="00102F6F"/>
    <w:rsid w:val="00103F15"/>
    <w:rsid w:val="001042E7"/>
    <w:rsid w:val="00104CE1"/>
    <w:rsid w:val="00104D33"/>
    <w:rsid w:val="00105571"/>
    <w:rsid w:val="0011036C"/>
    <w:rsid w:val="00111126"/>
    <w:rsid w:val="00111161"/>
    <w:rsid w:val="001117A9"/>
    <w:rsid w:val="001135B4"/>
    <w:rsid w:val="001138D9"/>
    <w:rsid w:val="001149FE"/>
    <w:rsid w:val="00116384"/>
    <w:rsid w:val="0011728B"/>
    <w:rsid w:val="00117F94"/>
    <w:rsid w:val="0012030C"/>
    <w:rsid w:val="001207F0"/>
    <w:rsid w:val="001213C7"/>
    <w:rsid w:val="00121C93"/>
    <w:rsid w:val="00121D6F"/>
    <w:rsid w:val="0012393A"/>
    <w:rsid w:val="00123F32"/>
    <w:rsid w:val="001242A4"/>
    <w:rsid w:val="00125B05"/>
    <w:rsid w:val="00130301"/>
    <w:rsid w:val="001308CA"/>
    <w:rsid w:val="00130B07"/>
    <w:rsid w:val="00132F1C"/>
    <w:rsid w:val="00135B94"/>
    <w:rsid w:val="00135DCB"/>
    <w:rsid w:val="001377BB"/>
    <w:rsid w:val="001378AE"/>
    <w:rsid w:val="00137939"/>
    <w:rsid w:val="00141861"/>
    <w:rsid w:val="00142042"/>
    <w:rsid w:val="001423C1"/>
    <w:rsid w:val="00144176"/>
    <w:rsid w:val="001443AC"/>
    <w:rsid w:val="00144D85"/>
    <w:rsid w:val="00144E63"/>
    <w:rsid w:val="00144F70"/>
    <w:rsid w:val="0014534A"/>
    <w:rsid w:val="001456D4"/>
    <w:rsid w:val="0014651A"/>
    <w:rsid w:val="001466C2"/>
    <w:rsid w:val="001468D4"/>
    <w:rsid w:val="0014693F"/>
    <w:rsid w:val="00146B90"/>
    <w:rsid w:val="00150E47"/>
    <w:rsid w:val="00154AC4"/>
    <w:rsid w:val="001564E5"/>
    <w:rsid w:val="00156EBD"/>
    <w:rsid w:val="00157409"/>
    <w:rsid w:val="001575A3"/>
    <w:rsid w:val="0015778D"/>
    <w:rsid w:val="00157A4B"/>
    <w:rsid w:val="00160D2F"/>
    <w:rsid w:val="0016139B"/>
    <w:rsid w:val="00162590"/>
    <w:rsid w:val="001639E3"/>
    <w:rsid w:val="00163A5F"/>
    <w:rsid w:val="00165B2B"/>
    <w:rsid w:val="001663CB"/>
    <w:rsid w:val="00166ADB"/>
    <w:rsid w:val="00166B52"/>
    <w:rsid w:val="001678D7"/>
    <w:rsid w:val="00167A5D"/>
    <w:rsid w:val="00167BE1"/>
    <w:rsid w:val="00167F7B"/>
    <w:rsid w:val="00171B31"/>
    <w:rsid w:val="001735FC"/>
    <w:rsid w:val="00173D1B"/>
    <w:rsid w:val="001750D5"/>
    <w:rsid w:val="0017563B"/>
    <w:rsid w:val="00175F55"/>
    <w:rsid w:val="00176968"/>
    <w:rsid w:val="00177138"/>
    <w:rsid w:val="0017790D"/>
    <w:rsid w:val="00177D4E"/>
    <w:rsid w:val="00180C36"/>
    <w:rsid w:val="00181F8B"/>
    <w:rsid w:val="00182B4A"/>
    <w:rsid w:val="001835A0"/>
    <w:rsid w:val="001845FF"/>
    <w:rsid w:val="00184AB2"/>
    <w:rsid w:val="00185275"/>
    <w:rsid w:val="0018606A"/>
    <w:rsid w:val="00186558"/>
    <w:rsid w:val="00186AA3"/>
    <w:rsid w:val="00186E3C"/>
    <w:rsid w:val="00186F60"/>
    <w:rsid w:val="0019061F"/>
    <w:rsid w:val="00190D5D"/>
    <w:rsid w:val="00191BE2"/>
    <w:rsid w:val="00191D7F"/>
    <w:rsid w:val="001920E9"/>
    <w:rsid w:val="001925FF"/>
    <w:rsid w:val="00194F88"/>
    <w:rsid w:val="0019518E"/>
    <w:rsid w:val="0019526F"/>
    <w:rsid w:val="001974E6"/>
    <w:rsid w:val="001A038A"/>
    <w:rsid w:val="001A0E87"/>
    <w:rsid w:val="001A1B7A"/>
    <w:rsid w:val="001A2593"/>
    <w:rsid w:val="001A32FB"/>
    <w:rsid w:val="001A3552"/>
    <w:rsid w:val="001A4C5A"/>
    <w:rsid w:val="001A5039"/>
    <w:rsid w:val="001A7C32"/>
    <w:rsid w:val="001A7E02"/>
    <w:rsid w:val="001B26B6"/>
    <w:rsid w:val="001B3904"/>
    <w:rsid w:val="001B3B55"/>
    <w:rsid w:val="001B5199"/>
    <w:rsid w:val="001B6052"/>
    <w:rsid w:val="001B6F54"/>
    <w:rsid w:val="001B7196"/>
    <w:rsid w:val="001C044C"/>
    <w:rsid w:val="001C07B5"/>
    <w:rsid w:val="001C1ABA"/>
    <w:rsid w:val="001C1D66"/>
    <w:rsid w:val="001C1FEC"/>
    <w:rsid w:val="001C2FE9"/>
    <w:rsid w:val="001C339C"/>
    <w:rsid w:val="001C43F9"/>
    <w:rsid w:val="001C4A6C"/>
    <w:rsid w:val="001C4B86"/>
    <w:rsid w:val="001C4D03"/>
    <w:rsid w:val="001C4F5E"/>
    <w:rsid w:val="001C5CBA"/>
    <w:rsid w:val="001C6C09"/>
    <w:rsid w:val="001D0E21"/>
    <w:rsid w:val="001D4CC4"/>
    <w:rsid w:val="001D57A7"/>
    <w:rsid w:val="001D6651"/>
    <w:rsid w:val="001D75E3"/>
    <w:rsid w:val="001D75EE"/>
    <w:rsid w:val="001D7A80"/>
    <w:rsid w:val="001D7F09"/>
    <w:rsid w:val="001E142A"/>
    <w:rsid w:val="001E2D3B"/>
    <w:rsid w:val="001E4D38"/>
    <w:rsid w:val="001E4E2A"/>
    <w:rsid w:val="001E601A"/>
    <w:rsid w:val="001E626F"/>
    <w:rsid w:val="001E79CB"/>
    <w:rsid w:val="001F0325"/>
    <w:rsid w:val="001F0A27"/>
    <w:rsid w:val="001F0E94"/>
    <w:rsid w:val="001F2158"/>
    <w:rsid w:val="001F338F"/>
    <w:rsid w:val="001F4C2A"/>
    <w:rsid w:val="001F4CD8"/>
    <w:rsid w:val="001F5798"/>
    <w:rsid w:val="001F59C8"/>
    <w:rsid w:val="001F5C98"/>
    <w:rsid w:val="001F67DB"/>
    <w:rsid w:val="001F7B36"/>
    <w:rsid w:val="002003E9"/>
    <w:rsid w:val="002006F5"/>
    <w:rsid w:val="00201319"/>
    <w:rsid w:val="00201556"/>
    <w:rsid w:val="002015C3"/>
    <w:rsid w:val="00201720"/>
    <w:rsid w:val="00201B66"/>
    <w:rsid w:val="0020283E"/>
    <w:rsid w:val="00202ECC"/>
    <w:rsid w:val="0020366D"/>
    <w:rsid w:val="00205CF9"/>
    <w:rsid w:val="00205D5D"/>
    <w:rsid w:val="00205F65"/>
    <w:rsid w:val="002067E7"/>
    <w:rsid w:val="00207C9D"/>
    <w:rsid w:val="002104A5"/>
    <w:rsid w:val="00210580"/>
    <w:rsid w:val="00210638"/>
    <w:rsid w:val="0021068D"/>
    <w:rsid w:val="00210920"/>
    <w:rsid w:val="00210A4E"/>
    <w:rsid w:val="00210EB9"/>
    <w:rsid w:val="0021141A"/>
    <w:rsid w:val="0021232C"/>
    <w:rsid w:val="00212705"/>
    <w:rsid w:val="00212E5A"/>
    <w:rsid w:val="002136B3"/>
    <w:rsid w:val="0021441D"/>
    <w:rsid w:val="002147ED"/>
    <w:rsid w:val="002148D4"/>
    <w:rsid w:val="00214F54"/>
    <w:rsid w:val="00215204"/>
    <w:rsid w:val="00216A17"/>
    <w:rsid w:val="00216BD0"/>
    <w:rsid w:val="002229D5"/>
    <w:rsid w:val="00223C27"/>
    <w:rsid w:val="002273EC"/>
    <w:rsid w:val="0022778D"/>
    <w:rsid w:val="002308E3"/>
    <w:rsid w:val="0023114D"/>
    <w:rsid w:val="0023240E"/>
    <w:rsid w:val="00232F3F"/>
    <w:rsid w:val="002332E4"/>
    <w:rsid w:val="002345F0"/>
    <w:rsid w:val="00235609"/>
    <w:rsid w:val="0023655F"/>
    <w:rsid w:val="00236588"/>
    <w:rsid w:val="00236D3A"/>
    <w:rsid w:val="002418A6"/>
    <w:rsid w:val="002424BE"/>
    <w:rsid w:val="00242ADF"/>
    <w:rsid w:val="00243057"/>
    <w:rsid w:val="00243B47"/>
    <w:rsid w:val="00243B98"/>
    <w:rsid w:val="002453A4"/>
    <w:rsid w:val="00246C74"/>
    <w:rsid w:val="00247553"/>
    <w:rsid w:val="00247650"/>
    <w:rsid w:val="00250C45"/>
    <w:rsid w:val="0025114F"/>
    <w:rsid w:val="00251E5E"/>
    <w:rsid w:val="00251F5D"/>
    <w:rsid w:val="00254FA6"/>
    <w:rsid w:val="00255868"/>
    <w:rsid w:val="002562DC"/>
    <w:rsid w:val="002568B7"/>
    <w:rsid w:val="00257130"/>
    <w:rsid w:val="0025778E"/>
    <w:rsid w:val="00260F46"/>
    <w:rsid w:val="00261597"/>
    <w:rsid w:val="002629D2"/>
    <w:rsid w:val="00263C04"/>
    <w:rsid w:val="00265D7C"/>
    <w:rsid w:val="002660A8"/>
    <w:rsid w:val="002667D1"/>
    <w:rsid w:val="00266E89"/>
    <w:rsid w:val="00266ECC"/>
    <w:rsid w:val="00267023"/>
    <w:rsid w:val="0026707B"/>
    <w:rsid w:val="0027110B"/>
    <w:rsid w:val="002718AA"/>
    <w:rsid w:val="00272DEA"/>
    <w:rsid w:val="0027530A"/>
    <w:rsid w:val="00276341"/>
    <w:rsid w:val="00276E22"/>
    <w:rsid w:val="00277583"/>
    <w:rsid w:val="0028138A"/>
    <w:rsid w:val="0028141B"/>
    <w:rsid w:val="00281A5D"/>
    <w:rsid w:val="00281CA0"/>
    <w:rsid w:val="00282AE0"/>
    <w:rsid w:val="00282D4F"/>
    <w:rsid w:val="002837F0"/>
    <w:rsid w:val="002847FC"/>
    <w:rsid w:val="002852A5"/>
    <w:rsid w:val="00287636"/>
    <w:rsid w:val="002876FE"/>
    <w:rsid w:val="00287A87"/>
    <w:rsid w:val="00287AA9"/>
    <w:rsid w:val="00292811"/>
    <w:rsid w:val="0029291A"/>
    <w:rsid w:val="00292C3C"/>
    <w:rsid w:val="00293739"/>
    <w:rsid w:val="0029461F"/>
    <w:rsid w:val="0029542D"/>
    <w:rsid w:val="00295524"/>
    <w:rsid w:val="00295575"/>
    <w:rsid w:val="00295CE6"/>
    <w:rsid w:val="00295E89"/>
    <w:rsid w:val="0029647A"/>
    <w:rsid w:val="00296F27"/>
    <w:rsid w:val="00297A42"/>
    <w:rsid w:val="002A0E99"/>
    <w:rsid w:val="002A1281"/>
    <w:rsid w:val="002A1BA4"/>
    <w:rsid w:val="002A22C7"/>
    <w:rsid w:val="002A32B0"/>
    <w:rsid w:val="002A359E"/>
    <w:rsid w:val="002A4DAF"/>
    <w:rsid w:val="002A5512"/>
    <w:rsid w:val="002A5BAD"/>
    <w:rsid w:val="002A7538"/>
    <w:rsid w:val="002B0A67"/>
    <w:rsid w:val="002B1BD8"/>
    <w:rsid w:val="002B22D6"/>
    <w:rsid w:val="002B29BC"/>
    <w:rsid w:val="002B2FFD"/>
    <w:rsid w:val="002B4051"/>
    <w:rsid w:val="002B6339"/>
    <w:rsid w:val="002B73A2"/>
    <w:rsid w:val="002B775B"/>
    <w:rsid w:val="002C000E"/>
    <w:rsid w:val="002C1018"/>
    <w:rsid w:val="002C52BC"/>
    <w:rsid w:val="002C6C8B"/>
    <w:rsid w:val="002C7101"/>
    <w:rsid w:val="002C7239"/>
    <w:rsid w:val="002D0949"/>
    <w:rsid w:val="002D0DC6"/>
    <w:rsid w:val="002D31C8"/>
    <w:rsid w:val="002D39A4"/>
    <w:rsid w:val="002D3CE3"/>
    <w:rsid w:val="002D4E50"/>
    <w:rsid w:val="002D5B74"/>
    <w:rsid w:val="002D5B75"/>
    <w:rsid w:val="002D6014"/>
    <w:rsid w:val="002D60E6"/>
    <w:rsid w:val="002D7457"/>
    <w:rsid w:val="002E0C3D"/>
    <w:rsid w:val="002E0CC8"/>
    <w:rsid w:val="002E127D"/>
    <w:rsid w:val="002E135A"/>
    <w:rsid w:val="002E1D74"/>
    <w:rsid w:val="002E1FE4"/>
    <w:rsid w:val="002E2D4E"/>
    <w:rsid w:val="002E4540"/>
    <w:rsid w:val="002E4D52"/>
    <w:rsid w:val="002E5415"/>
    <w:rsid w:val="002E607F"/>
    <w:rsid w:val="002F1ACA"/>
    <w:rsid w:val="002F3543"/>
    <w:rsid w:val="002F4E0F"/>
    <w:rsid w:val="002F5A37"/>
    <w:rsid w:val="002F6E47"/>
    <w:rsid w:val="002F71E9"/>
    <w:rsid w:val="00300FAD"/>
    <w:rsid w:val="0030194E"/>
    <w:rsid w:val="0030195C"/>
    <w:rsid w:val="003036E4"/>
    <w:rsid w:val="00303AA3"/>
    <w:rsid w:val="00304B7B"/>
    <w:rsid w:val="00305842"/>
    <w:rsid w:val="00305B02"/>
    <w:rsid w:val="00305BD4"/>
    <w:rsid w:val="00305F42"/>
    <w:rsid w:val="00306626"/>
    <w:rsid w:val="00306775"/>
    <w:rsid w:val="00307A14"/>
    <w:rsid w:val="00310433"/>
    <w:rsid w:val="003146B9"/>
    <w:rsid w:val="00314FF0"/>
    <w:rsid w:val="00315536"/>
    <w:rsid w:val="00316FCF"/>
    <w:rsid w:val="00317B40"/>
    <w:rsid w:val="00317ECD"/>
    <w:rsid w:val="0032076E"/>
    <w:rsid w:val="00320AAD"/>
    <w:rsid w:val="00320C2C"/>
    <w:rsid w:val="00321E22"/>
    <w:rsid w:val="00323FE9"/>
    <w:rsid w:val="0032452C"/>
    <w:rsid w:val="0032457F"/>
    <w:rsid w:val="0032539D"/>
    <w:rsid w:val="003263E1"/>
    <w:rsid w:val="00326B89"/>
    <w:rsid w:val="0033169A"/>
    <w:rsid w:val="00331F34"/>
    <w:rsid w:val="0033269D"/>
    <w:rsid w:val="00332F21"/>
    <w:rsid w:val="003332A1"/>
    <w:rsid w:val="0033333B"/>
    <w:rsid w:val="00333353"/>
    <w:rsid w:val="00333D98"/>
    <w:rsid w:val="003341CA"/>
    <w:rsid w:val="00335C39"/>
    <w:rsid w:val="00336753"/>
    <w:rsid w:val="00337580"/>
    <w:rsid w:val="00337A87"/>
    <w:rsid w:val="0034162E"/>
    <w:rsid w:val="00341EDF"/>
    <w:rsid w:val="0034323C"/>
    <w:rsid w:val="00343866"/>
    <w:rsid w:val="003445D0"/>
    <w:rsid w:val="00345149"/>
    <w:rsid w:val="00345E91"/>
    <w:rsid w:val="00347573"/>
    <w:rsid w:val="003503C2"/>
    <w:rsid w:val="003508C6"/>
    <w:rsid w:val="003511D5"/>
    <w:rsid w:val="00351F93"/>
    <w:rsid w:val="00352E62"/>
    <w:rsid w:val="00354167"/>
    <w:rsid w:val="003542E7"/>
    <w:rsid w:val="003549B9"/>
    <w:rsid w:val="00354ABB"/>
    <w:rsid w:val="0035576F"/>
    <w:rsid w:val="0035649D"/>
    <w:rsid w:val="0035688E"/>
    <w:rsid w:val="00356977"/>
    <w:rsid w:val="00356E2A"/>
    <w:rsid w:val="00357C10"/>
    <w:rsid w:val="0036025F"/>
    <w:rsid w:val="00361860"/>
    <w:rsid w:val="003618C2"/>
    <w:rsid w:val="00361A69"/>
    <w:rsid w:val="00361AD0"/>
    <w:rsid w:val="003638A7"/>
    <w:rsid w:val="00364E0F"/>
    <w:rsid w:val="00366D2A"/>
    <w:rsid w:val="003678BB"/>
    <w:rsid w:val="00367D28"/>
    <w:rsid w:val="00367F4E"/>
    <w:rsid w:val="00367FE7"/>
    <w:rsid w:val="003701D1"/>
    <w:rsid w:val="00370294"/>
    <w:rsid w:val="00370740"/>
    <w:rsid w:val="00370F2C"/>
    <w:rsid w:val="00371FA1"/>
    <w:rsid w:val="003749FD"/>
    <w:rsid w:val="00374E6F"/>
    <w:rsid w:val="00375498"/>
    <w:rsid w:val="00375592"/>
    <w:rsid w:val="00375593"/>
    <w:rsid w:val="003765BA"/>
    <w:rsid w:val="00376DC7"/>
    <w:rsid w:val="00377128"/>
    <w:rsid w:val="00380A2C"/>
    <w:rsid w:val="00380EC0"/>
    <w:rsid w:val="00382DB0"/>
    <w:rsid w:val="00382F8C"/>
    <w:rsid w:val="003837BC"/>
    <w:rsid w:val="00384628"/>
    <w:rsid w:val="00387D83"/>
    <w:rsid w:val="0039279B"/>
    <w:rsid w:val="00393574"/>
    <w:rsid w:val="00394979"/>
    <w:rsid w:val="00394D20"/>
    <w:rsid w:val="003956A0"/>
    <w:rsid w:val="00395790"/>
    <w:rsid w:val="00395A32"/>
    <w:rsid w:val="00396387"/>
    <w:rsid w:val="003971BF"/>
    <w:rsid w:val="003A101A"/>
    <w:rsid w:val="003A14D7"/>
    <w:rsid w:val="003A1CB4"/>
    <w:rsid w:val="003A262A"/>
    <w:rsid w:val="003A26DD"/>
    <w:rsid w:val="003A2EBC"/>
    <w:rsid w:val="003A4780"/>
    <w:rsid w:val="003A7064"/>
    <w:rsid w:val="003A790D"/>
    <w:rsid w:val="003B11A6"/>
    <w:rsid w:val="003B18EA"/>
    <w:rsid w:val="003B270A"/>
    <w:rsid w:val="003B31E9"/>
    <w:rsid w:val="003B3521"/>
    <w:rsid w:val="003B3616"/>
    <w:rsid w:val="003B4FA1"/>
    <w:rsid w:val="003B5E43"/>
    <w:rsid w:val="003B60EC"/>
    <w:rsid w:val="003B64CB"/>
    <w:rsid w:val="003B68B3"/>
    <w:rsid w:val="003B69BA"/>
    <w:rsid w:val="003B6A6B"/>
    <w:rsid w:val="003B6E78"/>
    <w:rsid w:val="003B7CE1"/>
    <w:rsid w:val="003C147E"/>
    <w:rsid w:val="003C37A5"/>
    <w:rsid w:val="003C5EDE"/>
    <w:rsid w:val="003C6634"/>
    <w:rsid w:val="003C66AB"/>
    <w:rsid w:val="003C6C91"/>
    <w:rsid w:val="003C6F4F"/>
    <w:rsid w:val="003C720F"/>
    <w:rsid w:val="003C79F4"/>
    <w:rsid w:val="003D0187"/>
    <w:rsid w:val="003D1894"/>
    <w:rsid w:val="003D1F9B"/>
    <w:rsid w:val="003D299C"/>
    <w:rsid w:val="003D376A"/>
    <w:rsid w:val="003D3F5F"/>
    <w:rsid w:val="003D41A9"/>
    <w:rsid w:val="003D4779"/>
    <w:rsid w:val="003D4EAD"/>
    <w:rsid w:val="003D5C9A"/>
    <w:rsid w:val="003D6532"/>
    <w:rsid w:val="003D6AC8"/>
    <w:rsid w:val="003E075C"/>
    <w:rsid w:val="003E17B1"/>
    <w:rsid w:val="003E1803"/>
    <w:rsid w:val="003E1A17"/>
    <w:rsid w:val="003E1E68"/>
    <w:rsid w:val="003E1EB6"/>
    <w:rsid w:val="003E2AF5"/>
    <w:rsid w:val="003E33E5"/>
    <w:rsid w:val="003E4307"/>
    <w:rsid w:val="003E43E2"/>
    <w:rsid w:val="003E4F46"/>
    <w:rsid w:val="003E547C"/>
    <w:rsid w:val="003E5FA2"/>
    <w:rsid w:val="003E65E9"/>
    <w:rsid w:val="003E6C37"/>
    <w:rsid w:val="003E75BE"/>
    <w:rsid w:val="003F06B9"/>
    <w:rsid w:val="003F0F50"/>
    <w:rsid w:val="003F1226"/>
    <w:rsid w:val="003F1F00"/>
    <w:rsid w:val="003F4405"/>
    <w:rsid w:val="003F506F"/>
    <w:rsid w:val="003F5806"/>
    <w:rsid w:val="003F656B"/>
    <w:rsid w:val="003F675F"/>
    <w:rsid w:val="004033C8"/>
    <w:rsid w:val="00403B28"/>
    <w:rsid w:val="00403CC2"/>
    <w:rsid w:val="00404687"/>
    <w:rsid w:val="004051C7"/>
    <w:rsid w:val="004051FF"/>
    <w:rsid w:val="0040540F"/>
    <w:rsid w:val="00405B6D"/>
    <w:rsid w:val="00407498"/>
    <w:rsid w:val="00410BDA"/>
    <w:rsid w:val="00411B61"/>
    <w:rsid w:val="00413486"/>
    <w:rsid w:val="0041350B"/>
    <w:rsid w:val="00413BFC"/>
    <w:rsid w:val="00413D39"/>
    <w:rsid w:val="00414886"/>
    <w:rsid w:val="0041572F"/>
    <w:rsid w:val="00415D6A"/>
    <w:rsid w:val="004171DD"/>
    <w:rsid w:val="0041722B"/>
    <w:rsid w:val="004208FF"/>
    <w:rsid w:val="004214B0"/>
    <w:rsid w:val="00421A04"/>
    <w:rsid w:val="00421BA5"/>
    <w:rsid w:val="0042202D"/>
    <w:rsid w:val="00422D9B"/>
    <w:rsid w:val="00424373"/>
    <w:rsid w:val="004246FA"/>
    <w:rsid w:val="00424C46"/>
    <w:rsid w:val="00425654"/>
    <w:rsid w:val="00425906"/>
    <w:rsid w:val="0043034B"/>
    <w:rsid w:val="00431447"/>
    <w:rsid w:val="00432672"/>
    <w:rsid w:val="004328DB"/>
    <w:rsid w:val="00432DA3"/>
    <w:rsid w:val="00432E49"/>
    <w:rsid w:val="00433DAC"/>
    <w:rsid w:val="00435805"/>
    <w:rsid w:val="00435DC0"/>
    <w:rsid w:val="00437BA5"/>
    <w:rsid w:val="00437CEC"/>
    <w:rsid w:val="004405B1"/>
    <w:rsid w:val="00440FE6"/>
    <w:rsid w:val="0044160B"/>
    <w:rsid w:val="0044196D"/>
    <w:rsid w:val="00441FE0"/>
    <w:rsid w:val="00442AF8"/>
    <w:rsid w:val="00443570"/>
    <w:rsid w:val="00444311"/>
    <w:rsid w:val="004445B8"/>
    <w:rsid w:val="004465A4"/>
    <w:rsid w:val="004470B3"/>
    <w:rsid w:val="0045014D"/>
    <w:rsid w:val="0045069F"/>
    <w:rsid w:val="00451111"/>
    <w:rsid w:val="00453CE2"/>
    <w:rsid w:val="00454412"/>
    <w:rsid w:val="0045464D"/>
    <w:rsid w:val="00454AA9"/>
    <w:rsid w:val="004551A2"/>
    <w:rsid w:val="00455F1E"/>
    <w:rsid w:val="00456F5B"/>
    <w:rsid w:val="004579DE"/>
    <w:rsid w:val="00460D72"/>
    <w:rsid w:val="00463177"/>
    <w:rsid w:val="00464D89"/>
    <w:rsid w:val="0046580F"/>
    <w:rsid w:val="004665E0"/>
    <w:rsid w:val="00470216"/>
    <w:rsid w:val="004706F5"/>
    <w:rsid w:val="004720EF"/>
    <w:rsid w:val="004722CA"/>
    <w:rsid w:val="00472435"/>
    <w:rsid w:val="004726ED"/>
    <w:rsid w:val="00472F66"/>
    <w:rsid w:val="00474C24"/>
    <w:rsid w:val="00474D7F"/>
    <w:rsid w:val="0047585E"/>
    <w:rsid w:val="00476080"/>
    <w:rsid w:val="00477181"/>
    <w:rsid w:val="00477B65"/>
    <w:rsid w:val="00481D4F"/>
    <w:rsid w:val="004820D6"/>
    <w:rsid w:val="00482421"/>
    <w:rsid w:val="00482913"/>
    <w:rsid w:val="00482F6E"/>
    <w:rsid w:val="004831E4"/>
    <w:rsid w:val="00484A14"/>
    <w:rsid w:val="00485A5D"/>
    <w:rsid w:val="00485B17"/>
    <w:rsid w:val="00485B69"/>
    <w:rsid w:val="0048600B"/>
    <w:rsid w:val="004860A7"/>
    <w:rsid w:val="004866B9"/>
    <w:rsid w:val="00486F92"/>
    <w:rsid w:val="00487A9B"/>
    <w:rsid w:val="00490478"/>
    <w:rsid w:val="004907AF"/>
    <w:rsid w:val="00491125"/>
    <w:rsid w:val="00491204"/>
    <w:rsid w:val="00492114"/>
    <w:rsid w:val="004921F8"/>
    <w:rsid w:val="004921FE"/>
    <w:rsid w:val="00492356"/>
    <w:rsid w:val="00494F96"/>
    <w:rsid w:val="00495554"/>
    <w:rsid w:val="00496166"/>
    <w:rsid w:val="004971CB"/>
    <w:rsid w:val="00497D89"/>
    <w:rsid w:val="004A0C05"/>
    <w:rsid w:val="004A0C58"/>
    <w:rsid w:val="004A0FA9"/>
    <w:rsid w:val="004A3FB1"/>
    <w:rsid w:val="004A47F6"/>
    <w:rsid w:val="004A5C47"/>
    <w:rsid w:val="004B0689"/>
    <w:rsid w:val="004B1FB5"/>
    <w:rsid w:val="004B2345"/>
    <w:rsid w:val="004B27B3"/>
    <w:rsid w:val="004B371A"/>
    <w:rsid w:val="004B3A24"/>
    <w:rsid w:val="004B3C64"/>
    <w:rsid w:val="004B504C"/>
    <w:rsid w:val="004B5D7A"/>
    <w:rsid w:val="004B5DE4"/>
    <w:rsid w:val="004B7566"/>
    <w:rsid w:val="004B7662"/>
    <w:rsid w:val="004C1AF4"/>
    <w:rsid w:val="004C4E3D"/>
    <w:rsid w:val="004C5A29"/>
    <w:rsid w:val="004C6104"/>
    <w:rsid w:val="004C6888"/>
    <w:rsid w:val="004C6C25"/>
    <w:rsid w:val="004C73F3"/>
    <w:rsid w:val="004D11F3"/>
    <w:rsid w:val="004D221F"/>
    <w:rsid w:val="004D2EF9"/>
    <w:rsid w:val="004D3437"/>
    <w:rsid w:val="004D383E"/>
    <w:rsid w:val="004D4ADD"/>
    <w:rsid w:val="004D50C2"/>
    <w:rsid w:val="004D54D4"/>
    <w:rsid w:val="004D6712"/>
    <w:rsid w:val="004D75AC"/>
    <w:rsid w:val="004D7E89"/>
    <w:rsid w:val="004E03A5"/>
    <w:rsid w:val="004E284E"/>
    <w:rsid w:val="004E2E8B"/>
    <w:rsid w:val="004E3290"/>
    <w:rsid w:val="004E3DD3"/>
    <w:rsid w:val="004E4385"/>
    <w:rsid w:val="004E4FBC"/>
    <w:rsid w:val="004E6E6C"/>
    <w:rsid w:val="004E75CA"/>
    <w:rsid w:val="004E7ADD"/>
    <w:rsid w:val="004E7BC2"/>
    <w:rsid w:val="004E7E9A"/>
    <w:rsid w:val="004F0AFD"/>
    <w:rsid w:val="004F2670"/>
    <w:rsid w:val="004F4747"/>
    <w:rsid w:val="004F4F1B"/>
    <w:rsid w:val="004F52DE"/>
    <w:rsid w:val="004F5812"/>
    <w:rsid w:val="004F6A9A"/>
    <w:rsid w:val="004F7BC6"/>
    <w:rsid w:val="0050074F"/>
    <w:rsid w:val="0050226D"/>
    <w:rsid w:val="00503A30"/>
    <w:rsid w:val="00504756"/>
    <w:rsid w:val="005050C7"/>
    <w:rsid w:val="00505B89"/>
    <w:rsid w:val="0050609D"/>
    <w:rsid w:val="00506217"/>
    <w:rsid w:val="0050675E"/>
    <w:rsid w:val="0050782E"/>
    <w:rsid w:val="00507E0F"/>
    <w:rsid w:val="00510360"/>
    <w:rsid w:val="00512046"/>
    <w:rsid w:val="0051255D"/>
    <w:rsid w:val="005142D2"/>
    <w:rsid w:val="0051471E"/>
    <w:rsid w:val="005150B3"/>
    <w:rsid w:val="00515112"/>
    <w:rsid w:val="0051566D"/>
    <w:rsid w:val="00515BDF"/>
    <w:rsid w:val="005163F0"/>
    <w:rsid w:val="005215F5"/>
    <w:rsid w:val="005218AD"/>
    <w:rsid w:val="00521B96"/>
    <w:rsid w:val="00522089"/>
    <w:rsid w:val="005224E8"/>
    <w:rsid w:val="005226B3"/>
    <w:rsid w:val="00522D2C"/>
    <w:rsid w:val="00522E6B"/>
    <w:rsid w:val="00525B90"/>
    <w:rsid w:val="00526022"/>
    <w:rsid w:val="00526FE6"/>
    <w:rsid w:val="00527060"/>
    <w:rsid w:val="005274E9"/>
    <w:rsid w:val="00527E5F"/>
    <w:rsid w:val="00530101"/>
    <w:rsid w:val="00531145"/>
    <w:rsid w:val="00531FB7"/>
    <w:rsid w:val="0053227A"/>
    <w:rsid w:val="00532761"/>
    <w:rsid w:val="00532D7C"/>
    <w:rsid w:val="00533772"/>
    <w:rsid w:val="005337EB"/>
    <w:rsid w:val="00533E58"/>
    <w:rsid w:val="00534179"/>
    <w:rsid w:val="00535467"/>
    <w:rsid w:val="00535F79"/>
    <w:rsid w:val="0053648D"/>
    <w:rsid w:val="00536852"/>
    <w:rsid w:val="00540661"/>
    <w:rsid w:val="00540C48"/>
    <w:rsid w:val="0054135D"/>
    <w:rsid w:val="005425F5"/>
    <w:rsid w:val="00542A4A"/>
    <w:rsid w:val="0054331E"/>
    <w:rsid w:val="00544F15"/>
    <w:rsid w:val="005459A0"/>
    <w:rsid w:val="00546319"/>
    <w:rsid w:val="00546722"/>
    <w:rsid w:val="00554FFF"/>
    <w:rsid w:val="0055521C"/>
    <w:rsid w:val="00556BD2"/>
    <w:rsid w:val="00557730"/>
    <w:rsid w:val="00560035"/>
    <w:rsid w:val="0056037F"/>
    <w:rsid w:val="005614FA"/>
    <w:rsid w:val="00562E94"/>
    <w:rsid w:val="0056399E"/>
    <w:rsid w:val="00566308"/>
    <w:rsid w:val="00567F41"/>
    <w:rsid w:val="00571B78"/>
    <w:rsid w:val="00571EB8"/>
    <w:rsid w:val="005735FF"/>
    <w:rsid w:val="00573BBC"/>
    <w:rsid w:val="005752A9"/>
    <w:rsid w:val="00576EB9"/>
    <w:rsid w:val="00576FCB"/>
    <w:rsid w:val="0057770E"/>
    <w:rsid w:val="0057789E"/>
    <w:rsid w:val="0057798A"/>
    <w:rsid w:val="00577A62"/>
    <w:rsid w:val="00577E23"/>
    <w:rsid w:val="00581BAC"/>
    <w:rsid w:val="00582932"/>
    <w:rsid w:val="005836E3"/>
    <w:rsid w:val="00583E20"/>
    <w:rsid w:val="00584029"/>
    <w:rsid w:val="00584D12"/>
    <w:rsid w:val="00585C39"/>
    <w:rsid w:val="00585DC5"/>
    <w:rsid w:val="00586C26"/>
    <w:rsid w:val="0058721E"/>
    <w:rsid w:val="0058735C"/>
    <w:rsid w:val="00591F58"/>
    <w:rsid w:val="00592A60"/>
    <w:rsid w:val="00592F3B"/>
    <w:rsid w:val="00593FC1"/>
    <w:rsid w:val="00595269"/>
    <w:rsid w:val="005957BD"/>
    <w:rsid w:val="005962A0"/>
    <w:rsid w:val="005963BB"/>
    <w:rsid w:val="00596D8B"/>
    <w:rsid w:val="00597C23"/>
    <w:rsid w:val="005A0DF3"/>
    <w:rsid w:val="005A14FB"/>
    <w:rsid w:val="005A1527"/>
    <w:rsid w:val="005A21F2"/>
    <w:rsid w:val="005A39A6"/>
    <w:rsid w:val="005A3D9E"/>
    <w:rsid w:val="005A4382"/>
    <w:rsid w:val="005A5CBE"/>
    <w:rsid w:val="005B0FCE"/>
    <w:rsid w:val="005B111E"/>
    <w:rsid w:val="005B29DA"/>
    <w:rsid w:val="005B30F4"/>
    <w:rsid w:val="005B411F"/>
    <w:rsid w:val="005B4FDB"/>
    <w:rsid w:val="005B52F4"/>
    <w:rsid w:val="005B58F3"/>
    <w:rsid w:val="005B5A99"/>
    <w:rsid w:val="005B658E"/>
    <w:rsid w:val="005B6A80"/>
    <w:rsid w:val="005B7B24"/>
    <w:rsid w:val="005C0DF0"/>
    <w:rsid w:val="005C2E73"/>
    <w:rsid w:val="005C5BE0"/>
    <w:rsid w:val="005C5C56"/>
    <w:rsid w:val="005C673F"/>
    <w:rsid w:val="005C6CDC"/>
    <w:rsid w:val="005D1187"/>
    <w:rsid w:val="005D1BBF"/>
    <w:rsid w:val="005D23BB"/>
    <w:rsid w:val="005D24AB"/>
    <w:rsid w:val="005D2AE6"/>
    <w:rsid w:val="005D2C1E"/>
    <w:rsid w:val="005D39D5"/>
    <w:rsid w:val="005D4A76"/>
    <w:rsid w:val="005D5460"/>
    <w:rsid w:val="005D6563"/>
    <w:rsid w:val="005D70C2"/>
    <w:rsid w:val="005D7565"/>
    <w:rsid w:val="005D75E0"/>
    <w:rsid w:val="005D7A37"/>
    <w:rsid w:val="005D7C8D"/>
    <w:rsid w:val="005E1B92"/>
    <w:rsid w:val="005E1D2F"/>
    <w:rsid w:val="005E204E"/>
    <w:rsid w:val="005E2BE9"/>
    <w:rsid w:val="005E2E0B"/>
    <w:rsid w:val="005E3055"/>
    <w:rsid w:val="005E3E04"/>
    <w:rsid w:val="005E3E41"/>
    <w:rsid w:val="005E54D1"/>
    <w:rsid w:val="005E5A10"/>
    <w:rsid w:val="005E5FC2"/>
    <w:rsid w:val="005E61D8"/>
    <w:rsid w:val="005E631C"/>
    <w:rsid w:val="005E6C6D"/>
    <w:rsid w:val="005E76BB"/>
    <w:rsid w:val="005E7A9C"/>
    <w:rsid w:val="005F0147"/>
    <w:rsid w:val="005F0953"/>
    <w:rsid w:val="005F39FC"/>
    <w:rsid w:val="005F4602"/>
    <w:rsid w:val="005F50F1"/>
    <w:rsid w:val="005F51B1"/>
    <w:rsid w:val="005F619C"/>
    <w:rsid w:val="005F6D4D"/>
    <w:rsid w:val="005F6E73"/>
    <w:rsid w:val="005F7023"/>
    <w:rsid w:val="00600ABD"/>
    <w:rsid w:val="00601082"/>
    <w:rsid w:val="00601CBE"/>
    <w:rsid w:val="006022FD"/>
    <w:rsid w:val="00602E4C"/>
    <w:rsid w:val="00602F31"/>
    <w:rsid w:val="00602FC3"/>
    <w:rsid w:val="006032F8"/>
    <w:rsid w:val="006042BD"/>
    <w:rsid w:val="0060436C"/>
    <w:rsid w:val="00605D61"/>
    <w:rsid w:val="00606D58"/>
    <w:rsid w:val="006074D0"/>
    <w:rsid w:val="00607DAF"/>
    <w:rsid w:val="0061043B"/>
    <w:rsid w:val="006112C9"/>
    <w:rsid w:val="00612C37"/>
    <w:rsid w:val="00613D81"/>
    <w:rsid w:val="00614D4D"/>
    <w:rsid w:val="00616150"/>
    <w:rsid w:val="0061635C"/>
    <w:rsid w:val="00617CB7"/>
    <w:rsid w:val="00620E01"/>
    <w:rsid w:val="00621CC3"/>
    <w:rsid w:val="006239C2"/>
    <w:rsid w:val="00623F09"/>
    <w:rsid w:val="0062418D"/>
    <w:rsid w:val="0062452D"/>
    <w:rsid w:val="00627582"/>
    <w:rsid w:val="0063121E"/>
    <w:rsid w:val="00631BD8"/>
    <w:rsid w:val="0063647A"/>
    <w:rsid w:val="006367D0"/>
    <w:rsid w:val="00637088"/>
    <w:rsid w:val="0063747B"/>
    <w:rsid w:val="006374B6"/>
    <w:rsid w:val="0063770A"/>
    <w:rsid w:val="006403F3"/>
    <w:rsid w:val="0064048F"/>
    <w:rsid w:val="0064122F"/>
    <w:rsid w:val="00641837"/>
    <w:rsid w:val="00641A90"/>
    <w:rsid w:val="00642878"/>
    <w:rsid w:val="006430C7"/>
    <w:rsid w:val="00643204"/>
    <w:rsid w:val="006445F5"/>
    <w:rsid w:val="006455E1"/>
    <w:rsid w:val="00646264"/>
    <w:rsid w:val="00646776"/>
    <w:rsid w:val="00646AA0"/>
    <w:rsid w:val="00646D80"/>
    <w:rsid w:val="006474E6"/>
    <w:rsid w:val="00647974"/>
    <w:rsid w:val="00647D49"/>
    <w:rsid w:val="00647F7F"/>
    <w:rsid w:val="006503FD"/>
    <w:rsid w:val="0065042D"/>
    <w:rsid w:val="00650CF6"/>
    <w:rsid w:val="006517A9"/>
    <w:rsid w:val="00652197"/>
    <w:rsid w:val="00652658"/>
    <w:rsid w:val="00652D20"/>
    <w:rsid w:val="00652DC8"/>
    <w:rsid w:val="00654489"/>
    <w:rsid w:val="00655A40"/>
    <w:rsid w:val="00655F27"/>
    <w:rsid w:val="00657907"/>
    <w:rsid w:val="00657B4D"/>
    <w:rsid w:val="00657C24"/>
    <w:rsid w:val="006609A0"/>
    <w:rsid w:val="00661186"/>
    <w:rsid w:val="00662A39"/>
    <w:rsid w:val="00662AE9"/>
    <w:rsid w:val="00663056"/>
    <w:rsid w:val="00663063"/>
    <w:rsid w:val="006650AC"/>
    <w:rsid w:val="006666B4"/>
    <w:rsid w:val="006671C3"/>
    <w:rsid w:val="006677D7"/>
    <w:rsid w:val="00667D6E"/>
    <w:rsid w:val="00667FBA"/>
    <w:rsid w:val="00671BDC"/>
    <w:rsid w:val="00672726"/>
    <w:rsid w:val="006741CB"/>
    <w:rsid w:val="006743BB"/>
    <w:rsid w:val="00674894"/>
    <w:rsid w:val="00676BBC"/>
    <w:rsid w:val="00677EDD"/>
    <w:rsid w:val="00680588"/>
    <w:rsid w:val="00683249"/>
    <w:rsid w:val="00683DF3"/>
    <w:rsid w:val="00686612"/>
    <w:rsid w:val="006866BF"/>
    <w:rsid w:val="00686BED"/>
    <w:rsid w:val="006877F6"/>
    <w:rsid w:val="00687E65"/>
    <w:rsid w:val="00690911"/>
    <w:rsid w:val="0069170A"/>
    <w:rsid w:val="00691C54"/>
    <w:rsid w:val="00692B43"/>
    <w:rsid w:val="00692DE0"/>
    <w:rsid w:val="006934D6"/>
    <w:rsid w:val="00693622"/>
    <w:rsid w:val="00693F03"/>
    <w:rsid w:val="00694F70"/>
    <w:rsid w:val="00695DA2"/>
    <w:rsid w:val="006963B0"/>
    <w:rsid w:val="006979AB"/>
    <w:rsid w:val="00697C72"/>
    <w:rsid w:val="00697E21"/>
    <w:rsid w:val="006A2049"/>
    <w:rsid w:val="006A23E8"/>
    <w:rsid w:val="006A29EA"/>
    <w:rsid w:val="006A4754"/>
    <w:rsid w:val="006A4DD3"/>
    <w:rsid w:val="006A5020"/>
    <w:rsid w:val="006A6D67"/>
    <w:rsid w:val="006A731F"/>
    <w:rsid w:val="006A7422"/>
    <w:rsid w:val="006B1ADF"/>
    <w:rsid w:val="006B221F"/>
    <w:rsid w:val="006B2FE3"/>
    <w:rsid w:val="006B4E6C"/>
    <w:rsid w:val="006B52B8"/>
    <w:rsid w:val="006B62E0"/>
    <w:rsid w:val="006B6909"/>
    <w:rsid w:val="006C11C8"/>
    <w:rsid w:val="006C18CC"/>
    <w:rsid w:val="006C1C75"/>
    <w:rsid w:val="006C3B16"/>
    <w:rsid w:val="006C44B0"/>
    <w:rsid w:val="006C45E1"/>
    <w:rsid w:val="006C54CD"/>
    <w:rsid w:val="006C774C"/>
    <w:rsid w:val="006D07DF"/>
    <w:rsid w:val="006D1D1F"/>
    <w:rsid w:val="006D2141"/>
    <w:rsid w:val="006D2AAD"/>
    <w:rsid w:val="006D380B"/>
    <w:rsid w:val="006D3B77"/>
    <w:rsid w:val="006D3CBA"/>
    <w:rsid w:val="006D59DE"/>
    <w:rsid w:val="006D5B9E"/>
    <w:rsid w:val="006D6B0F"/>
    <w:rsid w:val="006D76CA"/>
    <w:rsid w:val="006D7835"/>
    <w:rsid w:val="006E086F"/>
    <w:rsid w:val="006E108C"/>
    <w:rsid w:val="006E14B5"/>
    <w:rsid w:val="006E161C"/>
    <w:rsid w:val="006E1CEE"/>
    <w:rsid w:val="006E2632"/>
    <w:rsid w:val="006E2A2D"/>
    <w:rsid w:val="006E32FB"/>
    <w:rsid w:val="006E421C"/>
    <w:rsid w:val="006E5332"/>
    <w:rsid w:val="006E5E26"/>
    <w:rsid w:val="006E67B7"/>
    <w:rsid w:val="006E7856"/>
    <w:rsid w:val="006E7A1C"/>
    <w:rsid w:val="006E7F02"/>
    <w:rsid w:val="006F0B09"/>
    <w:rsid w:val="006F0ED9"/>
    <w:rsid w:val="006F1344"/>
    <w:rsid w:val="006F167B"/>
    <w:rsid w:val="006F17C6"/>
    <w:rsid w:val="006F26E8"/>
    <w:rsid w:val="006F2843"/>
    <w:rsid w:val="006F4580"/>
    <w:rsid w:val="006F4B1A"/>
    <w:rsid w:val="006F4D32"/>
    <w:rsid w:val="006F4F7F"/>
    <w:rsid w:val="006F559F"/>
    <w:rsid w:val="006F6207"/>
    <w:rsid w:val="006F64C8"/>
    <w:rsid w:val="006F7917"/>
    <w:rsid w:val="00701B38"/>
    <w:rsid w:val="00701B3E"/>
    <w:rsid w:val="00701CD3"/>
    <w:rsid w:val="00701D50"/>
    <w:rsid w:val="00701EC0"/>
    <w:rsid w:val="0070211B"/>
    <w:rsid w:val="0070298E"/>
    <w:rsid w:val="00703CDC"/>
    <w:rsid w:val="00705AB7"/>
    <w:rsid w:val="00706369"/>
    <w:rsid w:val="00710880"/>
    <w:rsid w:val="00710C38"/>
    <w:rsid w:val="00712040"/>
    <w:rsid w:val="0071389D"/>
    <w:rsid w:val="00714A31"/>
    <w:rsid w:val="00721502"/>
    <w:rsid w:val="00721550"/>
    <w:rsid w:val="007243B9"/>
    <w:rsid w:val="00724710"/>
    <w:rsid w:val="00724F5A"/>
    <w:rsid w:val="00725806"/>
    <w:rsid w:val="007263C9"/>
    <w:rsid w:val="00727179"/>
    <w:rsid w:val="00727F26"/>
    <w:rsid w:val="007303C9"/>
    <w:rsid w:val="00731F03"/>
    <w:rsid w:val="007320B1"/>
    <w:rsid w:val="00732431"/>
    <w:rsid w:val="007326B1"/>
    <w:rsid w:val="00732A09"/>
    <w:rsid w:val="00732A2D"/>
    <w:rsid w:val="0073302D"/>
    <w:rsid w:val="007342B0"/>
    <w:rsid w:val="0073430F"/>
    <w:rsid w:val="00735A80"/>
    <w:rsid w:val="0073678E"/>
    <w:rsid w:val="00736C66"/>
    <w:rsid w:val="00737C5D"/>
    <w:rsid w:val="00737C7F"/>
    <w:rsid w:val="007404D3"/>
    <w:rsid w:val="007421CC"/>
    <w:rsid w:val="00742DE6"/>
    <w:rsid w:val="007432E9"/>
    <w:rsid w:val="00743608"/>
    <w:rsid w:val="00744906"/>
    <w:rsid w:val="00744A73"/>
    <w:rsid w:val="007458C6"/>
    <w:rsid w:val="00745F83"/>
    <w:rsid w:val="00747164"/>
    <w:rsid w:val="007506D2"/>
    <w:rsid w:val="00750C3D"/>
    <w:rsid w:val="00751873"/>
    <w:rsid w:val="00751AA2"/>
    <w:rsid w:val="007525B1"/>
    <w:rsid w:val="00752804"/>
    <w:rsid w:val="0075384B"/>
    <w:rsid w:val="00753B25"/>
    <w:rsid w:val="007546FE"/>
    <w:rsid w:val="00755DFA"/>
    <w:rsid w:val="0075665B"/>
    <w:rsid w:val="00756D99"/>
    <w:rsid w:val="00757012"/>
    <w:rsid w:val="00760BEC"/>
    <w:rsid w:val="00760FDF"/>
    <w:rsid w:val="00761ED4"/>
    <w:rsid w:val="00762F6B"/>
    <w:rsid w:val="00763590"/>
    <w:rsid w:val="007635B3"/>
    <w:rsid w:val="00764305"/>
    <w:rsid w:val="0076521B"/>
    <w:rsid w:val="0076540A"/>
    <w:rsid w:val="00765476"/>
    <w:rsid w:val="00765ECB"/>
    <w:rsid w:val="00766446"/>
    <w:rsid w:val="00767432"/>
    <w:rsid w:val="007675B2"/>
    <w:rsid w:val="00767992"/>
    <w:rsid w:val="00767FF4"/>
    <w:rsid w:val="007700BB"/>
    <w:rsid w:val="00770F0C"/>
    <w:rsid w:val="00771365"/>
    <w:rsid w:val="0077150B"/>
    <w:rsid w:val="00772004"/>
    <w:rsid w:val="0077319C"/>
    <w:rsid w:val="00776155"/>
    <w:rsid w:val="00776477"/>
    <w:rsid w:val="0077727E"/>
    <w:rsid w:val="00777FDC"/>
    <w:rsid w:val="0078078F"/>
    <w:rsid w:val="00782400"/>
    <w:rsid w:val="0078265D"/>
    <w:rsid w:val="00782B52"/>
    <w:rsid w:val="0078345E"/>
    <w:rsid w:val="007837C4"/>
    <w:rsid w:val="00783E59"/>
    <w:rsid w:val="00784D57"/>
    <w:rsid w:val="00785724"/>
    <w:rsid w:val="007864BC"/>
    <w:rsid w:val="00790B6E"/>
    <w:rsid w:val="00792269"/>
    <w:rsid w:val="00792330"/>
    <w:rsid w:val="00792400"/>
    <w:rsid w:val="00792EEB"/>
    <w:rsid w:val="00794862"/>
    <w:rsid w:val="0079561C"/>
    <w:rsid w:val="00796819"/>
    <w:rsid w:val="00797BCD"/>
    <w:rsid w:val="007A0F47"/>
    <w:rsid w:val="007A392D"/>
    <w:rsid w:val="007A4872"/>
    <w:rsid w:val="007A5048"/>
    <w:rsid w:val="007A7116"/>
    <w:rsid w:val="007A71FD"/>
    <w:rsid w:val="007A7224"/>
    <w:rsid w:val="007A7392"/>
    <w:rsid w:val="007B0D6D"/>
    <w:rsid w:val="007B0E93"/>
    <w:rsid w:val="007B13DE"/>
    <w:rsid w:val="007B143A"/>
    <w:rsid w:val="007B1820"/>
    <w:rsid w:val="007B25DE"/>
    <w:rsid w:val="007B3145"/>
    <w:rsid w:val="007B318A"/>
    <w:rsid w:val="007B3FDF"/>
    <w:rsid w:val="007B4EDA"/>
    <w:rsid w:val="007B5704"/>
    <w:rsid w:val="007B5AF0"/>
    <w:rsid w:val="007B615B"/>
    <w:rsid w:val="007B6F62"/>
    <w:rsid w:val="007B74F1"/>
    <w:rsid w:val="007B7CBB"/>
    <w:rsid w:val="007C160E"/>
    <w:rsid w:val="007C1C50"/>
    <w:rsid w:val="007C380E"/>
    <w:rsid w:val="007C42F4"/>
    <w:rsid w:val="007C4D7B"/>
    <w:rsid w:val="007C5931"/>
    <w:rsid w:val="007C727E"/>
    <w:rsid w:val="007C72A3"/>
    <w:rsid w:val="007C782A"/>
    <w:rsid w:val="007C7E83"/>
    <w:rsid w:val="007D2BA6"/>
    <w:rsid w:val="007D38F3"/>
    <w:rsid w:val="007D71B3"/>
    <w:rsid w:val="007D72B7"/>
    <w:rsid w:val="007D7C97"/>
    <w:rsid w:val="007D7D8A"/>
    <w:rsid w:val="007E03B8"/>
    <w:rsid w:val="007E0629"/>
    <w:rsid w:val="007E08C2"/>
    <w:rsid w:val="007E258D"/>
    <w:rsid w:val="007E26FE"/>
    <w:rsid w:val="007E27C9"/>
    <w:rsid w:val="007E2BB3"/>
    <w:rsid w:val="007E2FD4"/>
    <w:rsid w:val="007E30D4"/>
    <w:rsid w:val="007E4484"/>
    <w:rsid w:val="007E478A"/>
    <w:rsid w:val="007E63A9"/>
    <w:rsid w:val="007E6B7A"/>
    <w:rsid w:val="007E70BD"/>
    <w:rsid w:val="007E7B38"/>
    <w:rsid w:val="007F03CA"/>
    <w:rsid w:val="007F0676"/>
    <w:rsid w:val="007F14B4"/>
    <w:rsid w:val="007F21C1"/>
    <w:rsid w:val="007F2647"/>
    <w:rsid w:val="007F3F84"/>
    <w:rsid w:val="007F50DC"/>
    <w:rsid w:val="007F5B95"/>
    <w:rsid w:val="007F5C78"/>
    <w:rsid w:val="007F5E9D"/>
    <w:rsid w:val="007F6A89"/>
    <w:rsid w:val="00800610"/>
    <w:rsid w:val="0080092C"/>
    <w:rsid w:val="008010AD"/>
    <w:rsid w:val="00801938"/>
    <w:rsid w:val="00802052"/>
    <w:rsid w:val="0080244B"/>
    <w:rsid w:val="008029AE"/>
    <w:rsid w:val="008035C6"/>
    <w:rsid w:val="008043F6"/>
    <w:rsid w:val="00806D89"/>
    <w:rsid w:val="00806DF8"/>
    <w:rsid w:val="00806FDE"/>
    <w:rsid w:val="0080742E"/>
    <w:rsid w:val="0081009C"/>
    <w:rsid w:val="0081326C"/>
    <w:rsid w:val="00816D83"/>
    <w:rsid w:val="00820F00"/>
    <w:rsid w:val="00821086"/>
    <w:rsid w:val="008213E0"/>
    <w:rsid w:val="00821E1A"/>
    <w:rsid w:val="0082481C"/>
    <w:rsid w:val="008254BC"/>
    <w:rsid w:val="00825C73"/>
    <w:rsid w:val="008302E7"/>
    <w:rsid w:val="00830BF6"/>
    <w:rsid w:val="008311E1"/>
    <w:rsid w:val="00831DF7"/>
    <w:rsid w:val="0083209E"/>
    <w:rsid w:val="00832618"/>
    <w:rsid w:val="00832F9E"/>
    <w:rsid w:val="00834DCA"/>
    <w:rsid w:val="00835151"/>
    <w:rsid w:val="00835383"/>
    <w:rsid w:val="00836D03"/>
    <w:rsid w:val="00840480"/>
    <w:rsid w:val="00841599"/>
    <w:rsid w:val="00844BD8"/>
    <w:rsid w:val="0084513C"/>
    <w:rsid w:val="00845180"/>
    <w:rsid w:val="008452A6"/>
    <w:rsid w:val="008460E5"/>
    <w:rsid w:val="008465A8"/>
    <w:rsid w:val="00847357"/>
    <w:rsid w:val="008475F3"/>
    <w:rsid w:val="0085070F"/>
    <w:rsid w:val="008520BB"/>
    <w:rsid w:val="008535BB"/>
    <w:rsid w:val="00854D9B"/>
    <w:rsid w:val="00856918"/>
    <w:rsid w:val="008574FE"/>
    <w:rsid w:val="00857E42"/>
    <w:rsid w:val="00861425"/>
    <w:rsid w:val="00863AD5"/>
    <w:rsid w:val="00864518"/>
    <w:rsid w:val="00864F62"/>
    <w:rsid w:val="00866023"/>
    <w:rsid w:val="00866328"/>
    <w:rsid w:val="008666A4"/>
    <w:rsid w:val="008673D1"/>
    <w:rsid w:val="008679C3"/>
    <w:rsid w:val="0087090B"/>
    <w:rsid w:val="008728C9"/>
    <w:rsid w:val="00873549"/>
    <w:rsid w:val="00873BD2"/>
    <w:rsid w:val="00873C2B"/>
    <w:rsid w:val="008768D4"/>
    <w:rsid w:val="00877EE6"/>
    <w:rsid w:val="00882111"/>
    <w:rsid w:val="00883194"/>
    <w:rsid w:val="00884137"/>
    <w:rsid w:val="0088485D"/>
    <w:rsid w:val="00885C6A"/>
    <w:rsid w:val="00885DF4"/>
    <w:rsid w:val="008876BD"/>
    <w:rsid w:val="00887E7E"/>
    <w:rsid w:val="0089064C"/>
    <w:rsid w:val="00890C76"/>
    <w:rsid w:val="0089200C"/>
    <w:rsid w:val="00892B00"/>
    <w:rsid w:val="00893049"/>
    <w:rsid w:val="008930A9"/>
    <w:rsid w:val="008930EC"/>
    <w:rsid w:val="0089461B"/>
    <w:rsid w:val="008950BB"/>
    <w:rsid w:val="00895DC7"/>
    <w:rsid w:val="00896073"/>
    <w:rsid w:val="008963B8"/>
    <w:rsid w:val="008969EC"/>
    <w:rsid w:val="00896F20"/>
    <w:rsid w:val="00897D78"/>
    <w:rsid w:val="00897F9E"/>
    <w:rsid w:val="008A068B"/>
    <w:rsid w:val="008A16F9"/>
    <w:rsid w:val="008A2B1A"/>
    <w:rsid w:val="008A511C"/>
    <w:rsid w:val="008A5D75"/>
    <w:rsid w:val="008B02D9"/>
    <w:rsid w:val="008B0918"/>
    <w:rsid w:val="008B11D2"/>
    <w:rsid w:val="008B2264"/>
    <w:rsid w:val="008B45E1"/>
    <w:rsid w:val="008B4C67"/>
    <w:rsid w:val="008B5219"/>
    <w:rsid w:val="008B5BDC"/>
    <w:rsid w:val="008B5C57"/>
    <w:rsid w:val="008B5DF9"/>
    <w:rsid w:val="008B621C"/>
    <w:rsid w:val="008B69DD"/>
    <w:rsid w:val="008B768C"/>
    <w:rsid w:val="008B7C59"/>
    <w:rsid w:val="008C10B4"/>
    <w:rsid w:val="008C1CBB"/>
    <w:rsid w:val="008C2E42"/>
    <w:rsid w:val="008C32C6"/>
    <w:rsid w:val="008C35F1"/>
    <w:rsid w:val="008C40CB"/>
    <w:rsid w:val="008C47BE"/>
    <w:rsid w:val="008C4CA4"/>
    <w:rsid w:val="008C56D7"/>
    <w:rsid w:val="008C60D9"/>
    <w:rsid w:val="008C6FC4"/>
    <w:rsid w:val="008C7506"/>
    <w:rsid w:val="008D133A"/>
    <w:rsid w:val="008D32B8"/>
    <w:rsid w:val="008D4670"/>
    <w:rsid w:val="008D483D"/>
    <w:rsid w:val="008D545D"/>
    <w:rsid w:val="008D5A43"/>
    <w:rsid w:val="008D62A1"/>
    <w:rsid w:val="008D67FF"/>
    <w:rsid w:val="008D6B8A"/>
    <w:rsid w:val="008D6BCF"/>
    <w:rsid w:val="008D6EF2"/>
    <w:rsid w:val="008D72E8"/>
    <w:rsid w:val="008D74A1"/>
    <w:rsid w:val="008E206F"/>
    <w:rsid w:val="008E22C6"/>
    <w:rsid w:val="008E23F3"/>
    <w:rsid w:val="008E2563"/>
    <w:rsid w:val="008E433A"/>
    <w:rsid w:val="008E51E8"/>
    <w:rsid w:val="008E5DB9"/>
    <w:rsid w:val="008E5FF2"/>
    <w:rsid w:val="008E628C"/>
    <w:rsid w:val="008E6498"/>
    <w:rsid w:val="008E7258"/>
    <w:rsid w:val="008E72C4"/>
    <w:rsid w:val="008E7E46"/>
    <w:rsid w:val="008F010E"/>
    <w:rsid w:val="008F0246"/>
    <w:rsid w:val="008F0496"/>
    <w:rsid w:val="008F0742"/>
    <w:rsid w:val="008F0FFA"/>
    <w:rsid w:val="008F1197"/>
    <w:rsid w:val="008F12C9"/>
    <w:rsid w:val="008F1AFF"/>
    <w:rsid w:val="008F1E24"/>
    <w:rsid w:val="008F3A70"/>
    <w:rsid w:val="008F4B1E"/>
    <w:rsid w:val="008F5620"/>
    <w:rsid w:val="008F59B1"/>
    <w:rsid w:val="008F5A0C"/>
    <w:rsid w:val="008F5E13"/>
    <w:rsid w:val="008F6A99"/>
    <w:rsid w:val="008F6B7C"/>
    <w:rsid w:val="008F75B7"/>
    <w:rsid w:val="0090130A"/>
    <w:rsid w:val="00901910"/>
    <w:rsid w:val="009035B9"/>
    <w:rsid w:val="00904130"/>
    <w:rsid w:val="00904C34"/>
    <w:rsid w:val="00904D7A"/>
    <w:rsid w:val="00906C6F"/>
    <w:rsid w:val="009073C1"/>
    <w:rsid w:val="00907996"/>
    <w:rsid w:val="00907B6B"/>
    <w:rsid w:val="00907CB3"/>
    <w:rsid w:val="009103F2"/>
    <w:rsid w:val="009108D0"/>
    <w:rsid w:val="00910F06"/>
    <w:rsid w:val="00911FBA"/>
    <w:rsid w:val="00912270"/>
    <w:rsid w:val="009122A6"/>
    <w:rsid w:val="00915554"/>
    <w:rsid w:val="009162A8"/>
    <w:rsid w:val="00916ACC"/>
    <w:rsid w:val="009178CA"/>
    <w:rsid w:val="00917E1B"/>
    <w:rsid w:val="009209DC"/>
    <w:rsid w:val="009227CE"/>
    <w:rsid w:val="009232A1"/>
    <w:rsid w:val="00925158"/>
    <w:rsid w:val="00926117"/>
    <w:rsid w:val="00926316"/>
    <w:rsid w:val="00931285"/>
    <w:rsid w:val="0093149D"/>
    <w:rsid w:val="009317FB"/>
    <w:rsid w:val="0093423E"/>
    <w:rsid w:val="00934B9A"/>
    <w:rsid w:val="009368FC"/>
    <w:rsid w:val="0094063C"/>
    <w:rsid w:val="009411DE"/>
    <w:rsid w:val="009414D5"/>
    <w:rsid w:val="00941708"/>
    <w:rsid w:val="00941A3D"/>
    <w:rsid w:val="009421EF"/>
    <w:rsid w:val="00942A9B"/>
    <w:rsid w:val="00942C0C"/>
    <w:rsid w:val="00944142"/>
    <w:rsid w:val="00944737"/>
    <w:rsid w:val="009448CE"/>
    <w:rsid w:val="00944BCD"/>
    <w:rsid w:val="00944C08"/>
    <w:rsid w:val="00944F31"/>
    <w:rsid w:val="009473E5"/>
    <w:rsid w:val="00953140"/>
    <w:rsid w:val="0095320D"/>
    <w:rsid w:val="0095334C"/>
    <w:rsid w:val="009548A2"/>
    <w:rsid w:val="00955532"/>
    <w:rsid w:val="0095565E"/>
    <w:rsid w:val="00955F80"/>
    <w:rsid w:val="00956F8C"/>
    <w:rsid w:val="0096171E"/>
    <w:rsid w:val="00961A63"/>
    <w:rsid w:val="009621B9"/>
    <w:rsid w:val="00963B8D"/>
    <w:rsid w:val="00966830"/>
    <w:rsid w:val="009709D7"/>
    <w:rsid w:val="00971051"/>
    <w:rsid w:val="00972F03"/>
    <w:rsid w:val="00972FD8"/>
    <w:rsid w:val="0097322B"/>
    <w:rsid w:val="00973E05"/>
    <w:rsid w:val="00975697"/>
    <w:rsid w:val="0097593F"/>
    <w:rsid w:val="00980236"/>
    <w:rsid w:val="0098196C"/>
    <w:rsid w:val="00983467"/>
    <w:rsid w:val="00984882"/>
    <w:rsid w:val="00984903"/>
    <w:rsid w:val="0098621E"/>
    <w:rsid w:val="00987DCA"/>
    <w:rsid w:val="00990061"/>
    <w:rsid w:val="00990CA4"/>
    <w:rsid w:val="00991DA0"/>
    <w:rsid w:val="00995F2D"/>
    <w:rsid w:val="00997A58"/>
    <w:rsid w:val="009A05D8"/>
    <w:rsid w:val="009A09AA"/>
    <w:rsid w:val="009A0B7C"/>
    <w:rsid w:val="009A116F"/>
    <w:rsid w:val="009A146A"/>
    <w:rsid w:val="009A1CAD"/>
    <w:rsid w:val="009A438C"/>
    <w:rsid w:val="009A475D"/>
    <w:rsid w:val="009A536F"/>
    <w:rsid w:val="009A5639"/>
    <w:rsid w:val="009A5967"/>
    <w:rsid w:val="009A638F"/>
    <w:rsid w:val="009A654B"/>
    <w:rsid w:val="009A6AF1"/>
    <w:rsid w:val="009A6DF5"/>
    <w:rsid w:val="009A7620"/>
    <w:rsid w:val="009B1EFB"/>
    <w:rsid w:val="009B1FD0"/>
    <w:rsid w:val="009B3882"/>
    <w:rsid w:val="009B4349"/>
    <w:rsid w:val="009B4F57"/>
    <w:rsid w:val="009B51C2"/>
    <w:rsid w:val="009B55CF"/>
    <w:rsid w:val="009B6138"/>
    <w:rsid w:val="009B7B7D"/>
    <w:rsid w:val="009C0650"/>
    <w:rsid w:val="009C115D"/>
    <w:rsid w:val="009C1468"/>
    <w:rsid w:val="009C4149"/>
    <w:rsid w:val="009C48DB"/>
    <w:rsid w:val="009C4A57"/>
    <w:rsid w:val="009D0497"/>
    <w:rsid w:val="009D0A00"/>
    <w:rsid w:val="009D0C0F"/>
    <w:rsid w:val="009D0C34"/>
    <w:rsid w:val="009D0F71"/>
    <w:rsid w:val="009D155B"/>
    <w:rsid w:val="009D234D"/>
    <w:rsid w:val="009D2751"/>
    <w:rsid w:val="009D2EA0"/>
    <w:rsid w:val="009D2FB4"/>
    <w:rsid w:val="009D3786"/>
    <w:rsid w:val="009D61C4"/>
    <w:rsid w:val="009D6E92"/>
    <w:rsid w:val="009D75EF"/>
    <w:rsid w:val="009D788F"/>
    <w:rsid w:val="009D79B4"/>
    <w:rsid w:val="009D7A53"/>
    <w:rsid w:val="009D7CD5"/>
    <w:rsid w:val="009E0A43"/>
    <w:rsid w:val="009E206F"/>
    <w:rsid w:val="009E3EB7"/>
    <w:rsid w:val="009E6646"/>
    <w:rsid w:val="009F1787"/>
    <w:rsid w:val="009F1AC1"/>
    <w:rsid w:val="009F2993"/>
    <w:rsid w:val="009F2E4E"/>
    <w:rsid w:val="009F2E59"/>
    <w:rsid w:val="009F32B7"/>
    <w:rsid w:val="009F32E7"/>
    <w:rsid w:val="009F7B2B"/>
    <w:rsid w:val="009F7BEA"/>
    <w:rsid w:val="00A00B50"/>
    <w:rsid w:val="00A00D85"/>
    <w:rsid w:val="00A00E31"/>
    <w:rsid w:val="00A01794"/>
    <w:rsid w:val="00A02202"/>
    <w:rsid w:val="00A02206"/>
    <w:rsid w:val="00A02DEF"/>
    <w:rsid w:val="00A02FC2"/>
    <w:rsid w:val="00A03F6D"/>
    <w:rsid w:val="00A045AF"/>
    <w:rsid w:val="00A04600"/>
    <w:rsid w:val="00A052FC"/>
    <w:rsid w:val="00A05D8D"/>
    <w:rsid w:val="00A05EDB"/>
    <w:rsid w:val="00A05F30"/>
    <w:rsid w:val="00A060E0"/>
    <w:rsid w:val="00A0653C"/>
    <w:rsid w:val="00A0691C"/>
    <w:rsid w:val="00A06A54"/>
    <w:rsid w:val="00A06A89"/>
    <w:rsid w:val="00A11129"/>
    <w:rsid w:val="00A12583"/>
    <w:rsid w:val="00A1295A"/>
    <w:rsid w:val="00A13689"/>
    <w:rsid w:val="00A1468B"/>
    <w:rsid w:val="00A15436"/>
    <w:rsid w:val="00A15504"/>
    <w:rsid w:val="00A15E6B"/>
    <w:rsid w:val="00A160BE"/>
    <w:rsid w:val="00A17FB0"/>
    <w:rsid w:val="00A22394"/>
    <w:rsid w:val="00A22639"/>
    <w:rsid w:val="00A2284F"/>
    <w:rsid w:val="00A24D48"/>
    <w:rsid w:val="00A24FE2"/>
    <w:rsid w:val="00A254A2"/>
    <w:rsid w:val="00A26298"/>
    <w:rsid w:val="00A26843"/>
    <w:rsid w:val="00A26FEB"/>
    <w:rsid w:val="00A2727F"/>
    <w:rsid w:val="00A304B4"/>
    <w:rsid w:val="00A30EDE"/>
    <w:rsid w:val="00A31A41"/>
    <w:rsid w:val="00A31C71"/>
    <w:rsid w:val="00A344CC"/>
    <w:rsid w:val="00A34908"/>
    <w:rsid w:val="00A3491B"/>
    <w:rsid w:val="00A3505C"/>
    <w:rsid w:val="00A359D5"/>
    <w:rsid w:val="00A36E52"/>
    <w:rsid w:val="00A36FB0"/>
    <w:rsid w:val="00A373C3"/>
    <w:rsid w:val="00A41552"/>
    <w:rsid w:val="00A417F3"/>
    <w:rsid w:val="00A41AB1"/>
    <w:rsid w:val="00A424AC"/>
    <w:rsid w:val="00A43211"/>
    <w:rsid w:val="00A441F5"/>
    <w:rsid w:val="00A4468B"/>
    <w:rsid w:val="00A46A2E"/>
    <w:rsid w:val="00A47866"/>
    <w:rsid w:val="00A47946"/>
    <w:rsid w:val="00A5001A"/>
    <w:rsid w:val="00A50D88"/>
    <w:rsid w:val="00A51D5B"/>
    <w:rsid w:val="00A51DCF"/>
    <w:rsid w:val="00A52F96"/>
    <w:rsid w:val="00A53671"/>
    <w:rsid w:val="00A54770"/>
    <w:rsid w:val="00A548D1"/>
    <w:rsid w:val="00A5503D"/>
    <w:rsid w:val="00A5536D"/>
    <w:rsid w:val="00A55BE8"/>
    <w:rsid w:val="00A564D5"/>
    <w:rsid w:val="00A56657"/>
    <w:rsid w:val="00A56DAC"/>
    <w:rsid w:val="00A57134"/>
    <w:rsid w:val="00A57805"/>
    <w:rsid w:val="00A60A7B"/>
    <w:rsid w:val="00A621E6"/>
    <w:rsid w:val="00A62434"/>
    <w:rsid w:val="00A62CC0"/>
    <w:rsid w:val="00A652C8"/>
    <w:rsid w:val="00A67652"/>
    <w:rsid w:val="00A701A4"/>
    <w:rsid w:val="00A71656"/>
    <w:rsid w:val="00A72F09"/>
    <w:rsid w:val="00A73806"/>
    <w:rsid w:val="00A7381B"/>
    <w:rsid w:val="00A74089"/>
    <w:rsid w:val="00A74593"/>
    <w:rsid w:val="00A74A98"/>
    <w:rsid w:val="00A74B0C"/>
    <w:rsid w:val="00A75059"/>
    <w:rsid w:val="00A75E20"/>
    <w:rsid w:val="00A76A13"/>
    <w:rsid w:val="00A771A1"/>
    <w:rsid w:val="00A77831"/>
    <w:rsid w:val="00A80143"/>
    <w:rsid w:val="00A801DA"/>
    <w:rsid w:val="00A811F3"/>
    <w:rsid w:val="00A823F0"/>
    <w:rsid w:val="00A839F5"/>
    <w:rsid w:val="00A84308"/>
    <w:rsid w:val="00A84CB3"/>
    <w:rsid w:val="00A85F69"/>
    <w:rsid w:val="00A86032"/>
    <w:rsid w:val="00A860FC"/>
    <w:rsid w:val="00A86A4F"/>
    <w:rsid w:val="00A879F3"/>
    <w:rsid w:val="00A87ACB"/>
    <w:rsid w:val="00A900EC"/>
    <w:rsid w:val="00A91E0F"/>
    <w:rsid w:val="00A921A8"/>
    <w:rsid w:val="00A9297A"/>
    <w:rsid w:val="00A92A66"/>
    <w:rsid w:val="00A93EF0"/>
    <w:rsid w:val="00A948FD"/>
    <w:rsid w:val="00A95A03"/>
    <w:rsid w:val="00A960A0"/>
    <w:rsid w:val="00A97DBB"/>
    <w:rsid w:val="00AA0713"/>
    <w:rsid w:val="00AA0981"/>
    <w:rsid w:val="00AA0A81"/>
    <w:rsid w:val="00AA1C3C"/>
    <w:rsid w:val="00AA233F"/>
    <w:rsid w:val="00AA2AEA"/>
    <w:rsid w:val="00AA334D"/>
    <w:rsid w:val="00AA4C4C"/>
    <w:rsid w:val="00AA4E8B"/>
    <w:rsid w:val="00AA599B"/>
    <w:rsid w:val="00AA5DA9"/>
    <w:rsid w:val="00AA600F"/>
    <w:rsid w:val="00AA652B"/>
    <w:rsid w:val="00AA6B01"/>
    <w:rsid w:val="00AB001A"/>
    <w:rsid w:val="00AB0B99"/>
    <w:rsid w:val="00AB193C"/>
    <w:rsid w:val="00AB2D16"/>
    <w:rsid w:val="00AB2D94"/>
    <w:rsid w:val="00AB3073"/>
    <w:rsid w:val="00AB3697"/>
    <w:rsid w:val="00AB370F"/>
    <w:rsid w:val="00AB3976"/>
    <w:rsid w:val="00AB5495"/>
    <w:rsid w:val="00AB59EC"/>
    <w:rsid w:val="00AB631C"/>
    <w:rsid w:val="00AB6AAE"/>
    <w:rsid w:val="00AB72BC"/>
    <w:rsid w:val="00AB79F4"/>
    <w:rsid w:val="00AB7B28"/>
    <w:rsid w:val="00AB7C1B"/>
    <w:rsid w:val="00AC0D0B"/>
    <w:rsid w:val="00AC118D"/>
    <w:rsid w:val="00AC1388"/>
    <w:rsid w:val="00AC2835"/>
    <w:rsid w:val="00AC37C7"/>
    <w:rsid w:val="00AC3902"/>
    <w:rsid w:val="00AC3EE5"/>
    <w:rsid w:val="00AC436F"/>
    <w:rsid w:val="00AC74A6"/>
    <w:rsid w:val="00AD246C"/>
    <w:rsid w:val="00AD2F7F"/>
    <w:rsid w:val="00AD34CE"/>
    <w:rsid w:val="00AD463B"/>
    <w:rsid w:val="00AD4D63"/>
    <w:rsid w:val="00AD7E6E"/>
    <w:rsid w:val="00AE1B1A"/>
    <w:rsid w:val="00AE2984"/>
    <w:rsid w:val="00AE2A19"/>
    <w:rsid w:val="00AE31A0"/>
    <w:rsid w:val="00AE349C"/>
    <w:rsid w:val="00AE3F61"/>
    <w:rsid w:val="00AE439B"/>
    <w:rsid w:val="00AE45E9"/>
    <w:rsid w:val="00AE4ABE"/>
    <w:rsid w:val="00AE4D7B"/>
    <w:rsid w:val="00AE4E63"/>
    <w:rsid w:val="00AE5ED3"/>
    <w:rsid w:val="00AE647A"/>
    <w:rsid w:val="00AE7C31"/>
    <w:rsid w:val="00AE7E75"/>
    <w:rsid w:val="00AF0195"/>
    <w:rsid w:val="00AF078A"/>
    <w:rsid w:val="00AF1BFB"/>
    <w:rsid w:val="00AF31B0"/>
    <w:rsid w:val="00AF355C"/>
    <w:rsid w:val="00AF4498"/>
    <w:rsid w:val="00AF4FA5"/>
    <w:rsid w:val="00AF70C0"/>
    <w:rsid w:val="00B0015B"/>
    <w:rsid w:val="00B005CE"/>
    <w:rsid w:val="00B00D93"/>
    <w:rsid w:val="00B022AF"/>
    <w:rsid w:val="00B0323F"/>
    <w:rsid w:val="00B0366D"/>
    <w:rsid w:val="00B04F5C"/>
    <w:rsid w:val="00B11288"/>
    <w:rsid w:val="00B11AA9"/>
    <w:rsid w:val="00B1337D"/>
    <w:rsid w:val="00B13F66"/>
    <w:rsid w:val="00B14240"/>
    <w:rsid w:val="00B151E0"/>
    <w:rsid w:val="00B16EE6"/>
    <w:rsid w:val="00B2242A"/>
    <w:rsid w:val="00B2341A"/>
    <w:rsid w:val="00B23690"/>
    <w:rsid w:val="00B23B8E"/>
    <w:rsid w:val="00B25F98"/>
    <w:rsid w:val="00B2671C"/>
    <w:rsid w:val="00B26FE9"/>
    <w:rsid w:val="00B30798"/>
    <w:rsid w:val="00B30B44"/>
    <w:rsid w:val="00B32BEA"/>
    <w:rsid w:val="00B3331C"/>
    <w:rsid w:val="00B33D53"/>
    <w:rsid w:val="00B35891"/>
    <w:rsid w:val="00B36001"/>
    <w:rsid w:val="00B36B36"/>
    <w:rsid w:val="00B3747D"/>
    <w:rsid w:val="00B42F90"/>
    <w:rsid w:val="00B42FE5"/>
    <w:rsid w:val="00B431AC"/>
    <w:rsid w:val="00B434E0"/>
    <w:rsid w:val="00B44167"/>
    <w:rsid w:val="00B44D6F"/>
    <w:rsid w:val="00B45614"/>
    <w:rsid w:val="00B45F6E"/>
    <w:rsid w:val="00B47220"/>
    <w:rsid w:val="00B47A4A"/>
    <w:rsid w:val="00B52F44"/>
    <w:rsid w:val="00B53629"/>
    <w:rsid w:val="00B53FDB"/>
    <w:rsid w:val="00B545CF"/>
    <w:rsid w:val="00B551EA"/>
    <w:rsid w:val="00B55DBF"/>
    <w:rsid w:val="00B56739"/>
    <w:rsid w:val="00B567EE"/>
    <w:rsid w:val="00B568DB"/>
    <w:rsid w:val="00B569C5"/>
    <w:rsid w:val="00B572B8"/>
    <w:rsid w:val="00B6091C"/>
    <w:rsid w:val="00B6162D"/>
    <w:rsid w:val="00B6357F"/>
    <w:rsid w:val="00B63EE8"/>
    <w:rsid w:val="00B65059"/>
    <w:rsid w:val="00B6644A"/>
    <w:rsid w:val="00B66BD7"/>
    <w:rsid w:val="00B67342"/>
    <w:rsid w:val="00B70435"/>
    <w:rsid w:val="00B71402"/>
    <w:rsid w:val="00B7456C"/>
    <w:rsid w:val="00B7495E"/>
    <w:rsid w:val="00B74BD8"/>
    <w:rsid w:val="00B76350"/>
    <w:rsid w:val="00B7692F"/>
    <w:rsid w:val="00B76A80"/>
    <w:rsid w:val="00B76BB9"/>
    <w:rsid w:val="00B77FBC"/>
    <w:rsid w:val="00B8051D"/>
    <w:rsid w:val="00B81600"/>
    <w:rsid w:val="00B82176"/>
    <w:rsid w:val="00B822F9"/>
    <w:rsid w:val="00B823C9"/>
    <w:rsid w:val="00B83CBC"/>
    <w:rsid w:val="00B86001"/>
    <w:rsid w:val="00B87941"/>
    <w:rsid w:val="00B879B4"/>
    <w:rsid w:val="00B9077F"/>
    <w:rsid w:val="00B9250D"/>
    <w:rsid w:val="00B9283A"/>
    <w:rsid w:val="00B931E6"/>
    <w:rsid w:val="00B933FE"/>
    <w:rsid w:val="00B94B83"/>
    <w:rsid w:val="00B978CE"/>
    <w:rsid w:val="00B9794A"/>
    <w:rsid w:val="00BA12F4"/>
    <w:rsid w:val="00BA16E7"/>
    <w:rsid w:val="00BA2745"/>
    <w:rsid w:val="00BA2FAB"/>
    <w:rsid w:val="00BA3D18"/>
    <w:rsid w:val="00BA436C"/>
    <w:rsid w:val="00BA4A83"/>
    <w:rsid w:val="00BA531F"/>
    <w:rsid w:val="00BA5573"/>
    <w:rsid w:val="00BA5A53"/>
    <w:rsid w:val="00BA5E0B"/>
    <w:rsid w:val="00BA637B"/>
    <w:rsid w:val="00BA6B8E"/>
    <w:rsid w:val="00BA6F46"/>
    <w:rsid w:val="00BA772B"/>
    <w:rsid w:val="00BB14B1"/>
    <w:rsid w:val="00BB2B0D"/>
    <w:rsid w:val="00BB346A"/>
    <w:rsid w:val="00BB3C18"/>
    <w:rsid w:val="00BB4557"/>
    <w:rsid w:val="00BB5598"/>
    <w:rsid w:val="00BB5CA9"/>
    <w:rsid w:val="00BB6063"/>
    <w:rsid w:val="00BB77F2"/>
    <w:rsid w:val="00BB7E4C"/>
    <w:rsid w:val="00BC1A2F"/>
    <w:rsid w:val="00BC2B26"/>
    <w:rsid w:val="00BC3BF6"/>
    <w:rsid w:val="00BC3F51"/>
    <w:rsid w:val="00BC416A"/>
    <w:rsid w:val="00BC4577"/>
    <w:rsid w:val="00BC607A"/>
    <w:rsid w:val="00BC62B4"/>
    <w:rsid w:val="00BC653B"/>
    <w:rsid w:val="00BC6569"/>
    <w:rsid w:val="00BD0964"/>
    <w:rsid w:val="00BD19CE"/>
    <w:rsid w:val="00BD20F7"/>
    <w:rsid w:val="00BD249A"/>
    <w:rsid w:val="00BD3C11"/>
    <w:rsid w:val="00BD4823"/>
    <w:rsid w:val="00BD50C9"/>
    <w:rsid w:val="00BD663C"/>
    <w:rsid w:val="00BD6811"/>
    <w:rsid w:val="00BD71BE"/>
    <w:rsid w:val="00BD759D"/>
    <w:rsid w:val="00BE078D"/>
    <w:rsid w:val="00BE089D"/>
    <w:rsid w:val="00BE176B"/>
    <w:rsid w:val="00BE23AA"/>
    <w:rsid w:val="00BE3A32"/>
    <w:rsid w:val="00BE4474"/>
    <w:rsid w:val="00BE6573"/>
    <w:rsid w:val="00BE6DE5"/>
    <w:rsid w:val="00BE6F46"/>
    <w:rsid w:val="00BE786A"/>
    <w:rsid w:val="00BE7A5F"/>
    <w:rsid w:val="00BE7C69"/>
    <w:rsid w:val="00BF06E6"/>
    <w:rsid w:val="00BF0D2F"/>
    <w:rsid w:val="00BF172D"/>
    <w:rsid w:val="00BF1A08"/>
    <w:rsid w:val="00BF2864"/>
    <w:rsid w:val="00BF2EC8"/>
    <w:rsid w:val="00BF353E"/>
    <w:rsid w:val="00BF49BA"/>
    <w:rsid w:val="00BF5A5F"/>
    <w:rsid w:val="00BF6809"/>
    <w:rsid w:val="00BF7E46"/>
    <w:rsid w:val="00C006B0"/>
    <w:rsid w:val="00C03774"/>
    <w:rsid w:val="00C03FD4"/>
    <w:rsid w:val="00C040C7"/>
    <w:rsid w:val="00C042A4"/>
    <w:rsid w:val="00C049D5"/>
    <w:rsid w:val="00C05A95"/>
    <w:rsid w:val="00C06779"/>
    <w:rsid w:val="00C06A0E"/>
    <w:rsid w:val="00C07CBC"/>
    <w:rsid w:val="00C07ED3"/>
    <w:rsid w:val="00C11167"/>
    <w:rsid w:val="00C12F49"/>
    <w:rsid w:val="00C1393A"/>
    <w:rsid w:val="00C13E1E"/>
    <w:rsid w:val="00C140D9"/>
    <w:rsid w:val="00C155E9"/>
    <w:rsid w:val="00C156DD"/>
    <w:rsid w:val="00C15F6C"/>
    <w:rsid w:val="00C16E55"/>
    <w:rsid w:val="00C17C44"/>
    <w:rsid w:val="00C223DB"/>
    <w:rsid w:val="00C23AC1"/>
    <w:rsid w:val="00C24650"/>
    <w:rsid w:val="00C24D20"/>
    <w:rsid w:val="00C257DB"/>
    <w:rsid w:val="00C30077"/>
    <w:rsid w:val="00C3010A"/>
    <w:rsid w:val="00C320A0"/>
    <w:rsid w:val="00C3366D"/>
    <w:rsid w:val="00C338CC"/>
    <w:rsid w:val="00C33F8E"/>
    <w:rsid w:val="00C3589E"/>
    <w:rsid w:val="00C36B7E"/>
    <w:rsid w:val="00C36CD7"/>
    <w:rsid w:val="00C37E6F"/>
    <w:rsid w:val="00C4325B"/>
    <w:rsid w:val="00C44F87"/>
    <w:rsid w:val="00C466C0"/>
    <w:rsid w:val="00C46796"/>
    <w:rsid w:val="00C47456"/>
    <w:rsid w:val="00C511C6"/>
    <w:rsid w:val="00C5141F"/>
    <w:rsid w:val="00C51847"/>
    <w:rsid w:val="00C51BA3"/>
    <w:rsid w:val="00C51D7A"/>
    <w:rsid w:val="00C52E2C"/>
    <w:rsid w:val="00C54294"/>
    <w:rsid w:val="00C560DD"/>
    <w:rsid w:val="00C56645"/>
    <w:rsid w:val="00C57163"/>
    <w:rsid w:val="00C5731F"/>
    <w:rsid w:val="00C6009F"/>
    <w:rsid w:val="00C6013E"/>
    <w:rsid w:val="00C61764"/>
    <w:rsid w:val="00C629EC"/>
    <w:rsid w:val="00C6675D"/>
    <w:rsid w:val="00C668BE"/>
    <w:rsid w:val="00C66F20"/>
    <w:rsid w:val="00C673A4"/>
    <w:rsid w:val="00C67F49"/>
    <w:rsid w:val="00C7047D"/>
    <w:rsid w:val="00C7139C"/>
    <w:rsid w:val="00C71689"/>
    <w:rsid w:val="00C722D3"/>
    <w:rsid w:val="00C73F99"/>
    <w:rsid w:val="00C73FA8"/>
    <w:rsid w:val="00C7442A"/>
    <w:rsid w:val="00C74556"/>
    <w:rsid w:val="00C7628C"/>
    <w:rsid w:val="00C76E0C"/>
    <w:rsid w:val="00C76EEF"/>
    <w:rsid w:val="00C8140D"/>
    <w:rsid w:val="00C816D2"/>
    <w:rsid w:val="00C81FE5"/>
    <w:rsid w:val="00C82609"/>
    <w:rsid w:val="00C8363F"/>
    <w:rsid w:val="00C83713"/>
    <w:rsid w:val="00C84542"/>
    <w:rsid w:val="00C85253"/>
    <w:rsid w:val="00C85DB3"/>
    <w:rsid w:val="00C86307"/>
    <w:rsid w:val="00C869FD"/>
    <w:rsid w:val="00C87B9E"/>
    <w:rsid w:val="00C926F1"/>
    <w:rsid w:val="00C932F1"/>
    <w:rsid w:val="00C935CD"/>
    <w:rsid w:val="00C938C0"/>
    <w:rsid w:val="00C9419F"/>
    <w:rsid w:val="00C94FB0"/>
    <w:rsid w:val="00C9645E"/>
    <w:rsid w:val="00C96B10"/>
    <w:rsid w:val="00C96B7E"/>
    <w:rsid w:val="00C974CB"/>
    <w:rsid w:val="00CA02BC"/>
    <w:rsid w:val="00CA21B2"/>
    <w:rsid w:val="00CA2F65"/>
    <w:rsid w:val="00CA5044"/>
    <w:rsid w:val="00CA7CF8"/>
    <w:rsid w:val="00CA7F23"/>
    <w:rsid w:val="00CB10E9"/>
    <w:rsid w:val="00CB2274"/>
    <w:rsid w:val="00CB2746"/>
    <w:rsid w:val="00CB2E2C"/>
    <w:rsid w:val="00CB409F"/>
    <w:rsid w:val="00CB4EEA"/>
    <w:rsid w:val="00CB5E5A"/>
    <w:rsid w:val="00CB6BF9"/>
    <w:rsid w:val="00CB6C1B"/>
    <w:rsid w:val="00CC3F65"/>
    <w:rsid w:val="00CC4441"/>
    <w:rsid w:val="00CC5DF0"/>
    <w:rsid w:val="00CC6E2D"/>
    <w:rsid w:val="00CC749D"/>
    <w:rsid w:val="00CC78B2"/>
    <w:rsid w:val="00CC7B56"/>
    <w:rsid w:val="00CD036D"/>
    <w:rsid w:val="00CD0661"/>
    <w:rsid w:val="00CD1194"/>
    <w:rsid w:val="00CD193B"/>
    <w:rsid w:val="00CD1E91"/>
    <w:rsid w:val="00CD1F73"/>
    <w:rsid w:val="00CD327A"/>
    <w:rsid w:val="00CD539A"/>
    <w:rsid w:val="00CD7EC6"/>
    <w:rsid w:val="00CE001B"/>
    <w:rsid w:val="00CE0C46"/>
    <w:rsid w:val="00CE15E3"/>
    <w:rsid w:val="00CE1D1C"/>
    <w:rsid w:val="00CE2041"/>
    <w:rsid w:val="00CE2358"/>
    <w:rsid w:val="00CE46D0"/>
    <w:rsid w:val="00CE48FE"/>
    <w:rsid w:val="00CE547A"/>
    <w:rsid w:val="00CE671D"/>
    <w:rsid w:val="00CF0FC1"/>
    <w:rsid w:val="00CF1862"/>
    <w:rsid w:val="00CF2A9E"/>
    <w:rsid w:val="00CF2B4E"/>
    <w:rsid w:val="00CF2C3A"/>
    <w:rsid w:val="00CF49B4"/>
    <w:rsid w:val="00CF612E"/>
    <w:rsid w:val="00CF6BA6"/>
    <w:rsid w:val="00CF76C8"/>
    <w:rsid w:val="00D00D1C"/>
    <w:rsid w:val="00D00DFD"/>
    <w:rsid w:val="00D01079"/>
    <w:rsid w:val="00D01095"/>
    <w:rsid w:val="00D01BC9"/>
    <w:rsid w:val="00D02810"/>
    <w:rsid w:val="00D02B63"/>
    <w:rsid w:val="00D03ADA"/>
    <w:rsid w:val="00D03B06"/>
    <w:rsid w:val="00D04EA4"/>
    <w:rsid w:val="00D05549"/>
    <w:rsid w:val="00D05B03"/>
    <w:rsid w:val="00D05FD8"/>
    <w:rsid w:val="00D075AE"/>
    <w:rsid w:val="00D07DA9"/>
    <w:rsid w:val="00D07FA9"/>
    <w:rsid w:val="00D10C2A"/>
    <w:rsid w:val="00D11C28"/>
    <w:rsid w:val="00D11E58"/>
    <w:rsid w:val="00D131B4"/>
    <w:rsid w:val="00D141ED"/>
    <w:rsid w:val="00D14A71"/>
    <w:rsid w:val="00D150D9"/>
    <w:rsid w:val="00D15987"/>
    <w:rsid w:val="00D17C98"/>
    <w:rsid w:val="00D204C6"/>
    <w:rsid w:val="00D20C6D"/>
    <w:rsid w:val="00D21B90"/>
    <w:rsid w:val="00D235F4"/>
    <w:rsid w:val="00D23F80"/>
    <w:rsid w:val="00D247C0"/>
    <w:rsid w:val="00D30127"/>
    <w:rsid w:val="00D31936"/>
    <w:rsid w:val="00D31FC3"/>
    <w:rsid w:val="00D32CFA"/>
    <w:rsid w:val="00D33804"/>
    <w:rsid w:val="00D34503"/>
    <w:rsid w:val="00D367DB"/>
    <w:rsid w:val="00D407FF"/>
    <w:rsid w:val="00D40C7E"/>
    <w:rsid w:val="00D41EC3"/>
    <w:rsid w:val="00D42995"/>
    <w:rsid w:val="00D42A21"/>
    <w:rsid w:val="00D42E46"/>
    <w:rsid w:val="00D462A9"/>
    <w:rsid w:val="00D471FC"/>
    <w:rsid w:val="00D47A8D"/>
    <w:rsid w:val="00D47AFB"/>
    <w:rsid w:val="00D51311"/>
    <w:rsid w:val="00D52E1B"/>
    <w:rsid w:val="00D533FD"/>
    <w:rsid w:val="00D538F8"/>
    <w:rsid w:val="00D53D0F"/>
    <w:rsid w:val="00D540D7"/>
    <w:rsid w:val="00D55025"/>
    <w:rsid w:val="00D55C6C"/>
    <w:rsid w:val="00D55D62"/>
    <w:rsid w:val="00D568EF"/>
    <w:rsid w:val="00D56D69"/>
    <w:rsid w:val="00D6018D"/>
    <w:rsid w:val="00D60F0F"/>
    <w:rsid w:val="00D6110F"/>
    <w:rsid w:val="00D625EB"/>
    <w:rsid w:val="00D62D9F"/>
    <w:rsid w:val="00D63582"/>
    <w:rsid w:val="00D638F7"/>
    <w:rsid w:val="00D63E27"/>
    <w:rsid w:val="00D64358"/>
    <w:rsid w:val="00D64918"/>
    <w:rsid w:val="00D64998"/>
    <w:rsid w:val="00D658FF"/>
    <w:rsid w:val="00D661FC"/>
    <w:rsid w:val="00D66AFB"/>
    <w:rsid w:val="00D6762B"/>
    <w:rsid w:val="00D70E35"/>
    <w:rsid w:val="00D715C6"/>
    <w:rsid w:val="00D720C1"/>
    <w:rsid w:val="00D73131"/>
    <w:rsid w:val="00D73616"/>
    <w:rsid w:val="00D74448"/>
    <w:rsid w:val="00D75E8E"/>
    <w:rsid w:val="00D80948"/>
    <w:rsid w:val="00D8191F"/>
    <w:rsid w:val="00D81D54"/>
    <w:rsid w:val="00D8241C"/>
    <w:rsid w:val="00D82572"/>
    <w:rsid w:val="00D82CD3"/>
    <w:rsid w:val="00D8314A"/>
    <w:rsid w:val="00D8543B"/>
    <w:rsid w:val="00D85A8C"/>
    <w:rsid w:val="00D8700E"/>
    <w:rsid w:val="00D90420"/>
    <w:rsid w:val="00D91199"/>
    <w:rsid w:val="00D91F8B"/>
    <w:rsid w:val="00D92478"/>
    <w:rsid w:val="00D92C2F"/>
    <w:rsid w:val="00D92CA8"/>
    <w:rsid w:val="00D9305E"/>
    <w:rsid w:val="00D93375"/>
    <w:rsid w:val="00D9484B"/>
    <w:rsid w:val="00D94A11"/>
    <w:rsid w:val="00D970D9"/>
    <w:rsid w:val="00DA0516"/>
    <w:rsid w:val="00DA067C"/>
    <w:rsid w:val="00DA0E0C"/>
    <w:rsid w:val="00DA2644"/>
    <w:rsid w:val="00DA2829"/>
    <w:rsid w:val="00DA2E7B"/>
    <w:rsid w:val="00DA3C84"/>
    <w:rsid w:val="00DA48D8"/>
    <w:rsid w:val="00DA589C"/>
    <w:rsid w:val="00DA5DD8"/>
    <w:rsid w:val="00DA7642"/>
    <w:rsid w:val="00DB01DC"/>
    <w:rsid w:val="00DB1156"/>
    <w:rsid w:val="00DB2B97"/>
    <w:rsid w:val="00DB3156"/>
    <w:rsid w:val="00DB3EAF"/>
    <w:rsid w:val="00DB3EF5"/>
    <w:rsid w:val="00DB6B45"/>
    <w:rsid w:val="00DB7C99"/>
    <w:rsid w:val="00DC3141"/>
    <w:rsid w:val="00DC327B"/>
    <w:rsid w:val="00DC39CF"/>
    <w:rsid w:val="00DC3DB0"/>
    <w:rsid w:val="00DC53D7"/>
    <w:rsid w:val="00DC5B52"/>
    <w:rsid w:val="00DC602F"/>
    <w:rsid w:val="00DC6801"/>
    <w:rsid w:val="00DC77D8"/>
    <w:rsid w:val="00DC79F6"/>
    <w:rsid w:val="00DD0F1A"/>
    <w:rsid w:val="00DD2DEF"/>
    <w:rsid w:val="00DD37E0"/>
    <w:rsid w:val="00DD3C8C"/>
    <w:rsid w:val="00DD4183"/>
    <w:rsid w:val="00DD4951"/>
    <w:rsid w:val="00DD4DA7"/>
    <w:rsid w:val="00DD7778"/>
    <w:rsid w:val="00DE045E"/>
    <w:rsid w:val="00DE1E26"/>
    <w:rsid w:val="00DE1F93"/>
    <w:rsid w:val="00DE2744"/>
    <w:rsid w:val="00DE2AB7"/>
    <w:rsid w:val="00DE37AF"/>
    <w:rsid w:val="00DE39D5"/>
    <w:rsid w:val="00DE3A4A"/>
    <w:rsid w:val="00DE3E40"/>
    <w:rsid w:val="00DE4002"/>
    <w:rsid w:val="00DE404C"/>
    <w:rsid w:val="00DE41E7"/>
    <w:rsid w:val="00DE4CAC"/>
    <w:rsid w:val="00DE52E2"/>
    <w:rsid w:val="00DE5970"/>
    <w:rsid w:val="00DE6AE8"/>
    <w:rsid w:val="00DE6D8B"/>
    <w:rsid w:val="00DF0DD3"/>
    <w:rsid w:val="00DF1032"/>
    <w:rsid w:val="00DF21D6"/>
    <w:rsid w:val="00DF3B5B"/>
    <w:rsid w:val="00DF491C"/>
    <w:rsid w:val="00DF51FB"/>
    <w:rsid w:val="00DF6CEC"/>
    <w:rsid w:val="00E000E7"/>
    <w:rsid w:val="00E008A0"/>
    <w:rsid w:val="00E00C71"/>
    <w:rsid w:val="00E03C89"/>
    <w:rsid w:val="00E05171"/>
    <w:rsid w:val="00E05896"/>
    <w:rsid w:val="00E05DFE"/>
    <w:rsid w:val="00E06C8D"/>
    <w:rsid w:val="00E07661"/>
    <w:rsid w:val="00E102E5"/>
    <w:rsid w:val="00E10509"/>
    <w:rsid w:val="00E10EDA"/>
    <w:rsid w:val="00E11779"/>
    <w:rsid w:val="00E120B6"/>
    <w:rsid w:val="00E12446"/>
    <w:rsid w:val="00E1329B"/>
    <w:rsid w:val="00E13953"/>
    <w:rsid w:val="00E13F0D"/>
    <w:rsid w:val="00E153C3"/>
    <w:rsid w:val="00E163FF"/>
    <w:rsid w:val="00E16C86"/>
    <w:rsid w:val="00E17C01"/>
    <w:rsid w:val="00E200B3"/>
    <w:rsid w:val="00E2060A"/>
    <w:rsid w:val="00E22C19"/>
    <w:rsid w:val="00E232A1"/>
    <w:rsid w:val="00E23DAC"/>
    <w:rsid w:val="00E243D2"/>
    <w:rsid w:val="00E24C69"/>
    <w:rsid w:val="00E2574B"/>
    <w:rsid w:val="00E26E14"/>
    <w:rsid w:val="00E270DC"/>
    <w:rsid w:val="00E27190"/>
    <w:rsid w:val="00E272ED"/>
    <w:rsid w:val="00E2770E"/>
    <w:rsid w:val="00E30885"/>
    <w:rsid w:val="00E31618"/>
    <w:rsid w:val="00E316A8"/>
    <w:rsid w:val="00E31F3E"/>
    <w:rsid w:val="00E32D2B"/>
    <w:rsid w:val="00E32EE6"/>
    <w:rsid w:val="00E3470C"/>
    <w:rsid w:val="00E34843"/>
    <w:rsid w:val="00E34BF4"/>
    <w:rsid w:val="00E34BFC"/>
    <w:rsid w:val="00E34F65"/>
    <w:rsid w:val="00E35E89"/>
    <w:rsid w:val="00E3620C"/>
    <w:rsid w:val="00E37E9B"/>
    <w:rsid w:val="00E37F0A"/>
    <w:rsid w:val="00E40A3D"/>
    <w:rsid w:val="00E40BC4"/>
    <w:rsid w:val="00E41458"/>
    <w:rsid w:val="00E415C9"/>
    <w:rsid w:val="00E43026"/>
    <w:rsid w:val="00E43922"/>
    <w:rsid w:val="00E45008"/>
    <w:rsid w:val="00E454AE"/>
    <w:rsid w:val="00E45BC6"/>
    <w:rsid w:val="00E45CE7"/>
    <w:rsid w:val="00E45DB7"/>
    <w:rsid w:val="00E45FFE"/>
    <w:rsid w:val="00E46C80"/>
    <w:rsid w:val="00E47FDF"/>
    <w:rsid w:val="00E50627"/>
    <w:rsid w:val="00E51807"/>
    <w:rsid w:val="00E51B61"/>
    <w:rsid w:val="00E548ED"/>
    <w:rsid w:val="00E563C6"/>
    <w:rsid w:val="00E56B64"/>
    <w:rsid w:val="00E56D61"/>
    <w:rsid w:val="00E61496"/>
    <w:rsid w:val="00E61946"/>
    <w:rsid w:val="00E620C3"/>
    <w:rsid w:val="00E6364B"/>
    <w:rsid w:val="00E636D4"/>
    <w:rsid w:val="00E64957"/>
    <w:rsid w:val="00E64FEE"/>
    <w:rsid w:val="00E659C9"/>
    <w:rsid w:val="00E6678D"/>
    <w:rsid w:val="00E66D39"/>
    <w:rsid w:val="00E677CF"/>
    <w:rsid w:val="00E67A04"/>
    <w:rsid w:val="00E70AC4"/>
    <w:rsid w:val="00E70DE1"/>
    <w:rsid w:val="00E71AA2"/>
    <w:rsid w:val="00E72467"/>
    <w:rsid w:val="00E740FA"/>
    <w:rsid w:val="00E74BF0"/>
    <w:rsid w:val="00E76B28"/>
    <w:rsid w:val="00E76D83"/>
    <w:rsid w:val="00E77ACB"/>
    <w:rsid w:val="00E77F38"/>
    <w:rsid w:val="00E80F7C"/>
    <w:rsid w:val="00E821EB"/>
    <w:rsid w:val="00E8335D"/>
    <w:rsid w:val="00E8555A"/>
    <w:rsid w:val="00E86FC6"/>
    <w:rsid w:val="00E8738A"/>
    <w:rsid w:val="00E9059A"/>
    <w:rsid w:val="00E9062D"/>
    <w:rsid w:val="00E90AEB"/>
    <w:rsid w:val="00E90E25"/>
    <w:rsid w:val="00E911BF"/>
    <w:rsid w:val="00E911F8"/>
    <w:rsid w:val="00E92575"/>
    <w:rsid w:val="00E932B8"/>
    <w:rsid w:val="00E959C1"/>
    <w:rsid w:val="00E95E1C"/>
    <w:rsid w:val="00E96156"/>
    <w:rsid w:val="00E9631D"/>
    <w:rsid w:val="00E9668F"/>
    <w:rsid w:val="00E973DB"/>
    <w:rsid w:val="00E97732"/>
    <w:rsid w:val="00EA0476"/>
    <w:rsid w:val="00EA07D9"/>
    <w:rsid w:val="00EA0F4B"/>
    <w:rsid w:val="00EA11E6"/>
    <w:rsid w:val="00EA1213"/>
    <w:rsid w:val="00EA15C1"/>
    <w:rsid w:val="00EA2689"/>
    <w:rsid w:val="00EA3459"/>
    <w:rsid w:val="00EA4114"/>
    <w:rsid w:val="00EA7ACF"/>
    <w:rsid w:val="00EB06C7"/>
    <w:rsid w:val="00EB2293"/>
    <w:rsid w:val="00EB2841"/>
    <w:rsid w:val="00EB2928"/>
    <w:rsid w:val="00EB2CC3"/>
    <w:rsid w:val="00EB30A4"/>
    <w:rsid w:val="00EB40DF"/>
    <w:rsid w:val="00EB436F"/>
    <w:rsid w:val="00EB43C6"/>
    <w:rsid w:val="00EB43EE"/>
    <w:rsid w:val="00EB4F26"/>
    <w:rsid w:val="00EB525E"/>
    <w:rsid w:val="00EB5455"/>
    <w:rsid w:val="00EB5E52"/>
    <w:rsid w:val="00EB65FE"/>
    <w:rsid w:val="00EB7AA8"/>
    <w:rsid w:val="00EB7E55"/>
    <w:rsid w:val="00EC156B"/>
    <w:rsid w:val="00EC54EC"/>
    <w:rsid w:val="00EC5570"/>
    <w:rsid w:val="00EC57D5"/>
    <w:rsid w:val="00EC5908"/>
    <w:rsid w:val="00EC71DA"/>
    <w:rsid w:val="00EC73B6"/>
    <w:rsid w:val="00EC774F"/>
    <w:rsid w:val="00EC7CCC"/>
    <w:rsid w:val="00ED1612"/>
    <w:rsid w:val="00ED1CCD"/>
    <w:rsid w:val="00ED2BF8"/>
    <w:rsid w:val="00ED33C8"/>
    <w:rsid w:val="00ED57C7"/>
    <w:rsid w:val="00ED6911"/>
    <w:rsid w:val="00ED69C8"/>
    <w:rsid w:val="00ED73ED"/>
    <w:rsid w:val="00ED740C"/>
    <w:rsid w:val="00ED7414"/>
    <w:rsid w:val="00ED7A74"/>
    <w:rsid w:val="00ED7F9D"/>
    <w:rsid w:val="00EE0BAE"/>
    <w:rsid w:val="00EE1142"/>
    <w:rsid w:val="00EE3218"/>
    <w:rsid w:val="00EE3BF1"/>
    <w:rsid w:val="00EE414A"/>
    <w:rsid w:val="00EE5F6C"/>
    <w:rsid w:val="00EF0FFC"/>
    <w:rsid w:val="00EF1C07"/>
    <w:rsid w:val="00EF3122"/>
    <w:rsid w:val="00EF3809"/>
    <w:rsid w:val="00EF3A78"/>
    <w:rsid w:val="00EF5672"/>
    <w:rsid w:val="00EF6564"/>
    <w:rsid w:val="00F00412"/>
    <w:rsid w:val="00F01BF7"/>
    <w:rsid w:val="00F01F61"/>
    <w:rsid w:val="00F02217"/>
    <w:rsid w:val="00F031FB"/>
    <w:rsid w:val="00F03966"/>
    <w:rsid w:val="00F0588C"/>
    <w:rsid w:val="00F06916"/>
    <w:rsid w:val="00F11E2E"/>
    <w:rsid w:val="00F11FE5"/>
    <w:rsid w:val="00F122DB"/>
    <w:rsid w:val="00F1273C"/>
    <w:rsid w:val="00F218F0"/>
    <w:rsid w:val="00F232EA"/>
    <w:rsid w:val="00F23704"/>
    <w:rsid w:val="00F238AA"/>
    <w:rsid w:val="00F244EA"/>
    <w:rsid w:val="00F257A5"/>
    <w:rsid w:val="00F26D01"/>
    <w:rsid w:val="00F26D0B"/>
    <w:rsid w:val="00F272A3"/>
    <w:rsid w:val="00F27E50"/>
    <w:rsid w:val="00F311DF"/>
    <w:rsid w:val="00F31362"/>
    <w:rsid w:val="00F31826"/>
    <w:rsid w:val="00F334A2"/>
    <w:rsid w:val="00F334E4"/>
    <w:rsid w:val="00F33EEA"/>
    <w:rsid w:val="00F34024"/>
    <w:rsid w:val="00F34AC3"/>
    <w:rsid w:val="00F3727D"/>
    <w:rsid w:val="00F37C88"/>
    <w:rsid w:val="00F37EDF"/>
    <w:rsid w:val="00F40053"/>
    <w:rsid w:val="00F40328"/>
    <w:rsid w:val="00F40413"/>
    <w:rsid w:val="00F40A4B"/>
    <w:rsid w:val="00F41A15"/>
    <w:rsid w:val="00F41C4B"/>
    <w:rsid w:val="00F41FA7"/>
    <w:rsid w:val="00F44B0C"/>
    <w:rsid w:val="00F470C7"/>
    <w:rsid w:val="00F475B6"/>
    <w:rsid w:val="00F47786"/>
    <w:rsid w:val="00F51051"/>
    <w:rsid w:val="00F5195B"/>
    <w:rsid w:val="00F519CC"/>
    <w:rsid w:val="00F51F8A"/>
    <w:rsid w:val="00F52B1B"/>
    <w:rsid w:val="00F52F1E"/>
    <w:rsid w:val="00F54807"/>
    <w:rsid w:val="00F54D31"/>
    <w:rsid w:val="00F55A64"/>
    <w:rsid w:val="00F56479"/>
    <w:rsid w:val="00F5690F"/>
    <w:rsid w:val="00F575E6"/>
    <w:rsid w:val="00F57C78"/>
    <w:rsid w:val="00F60DF3"/>
    <w:rsid w:val="00F62C4C"/>
    <w:rsid w:val="00F63DFE"/>
    <w:rsid w:val="00F641E0"/>
    <w:rsid w:val="00F64BF5"/>
    <w:rsid w:val="00F6598A"/>
    <w:rsid w:val="00F66FE6"/>
    <w:rsid w:val="00F701C2"/>
    <w:rsid w:val="00F71416"/>
    <w:rsid w:val="00F720E6"/>
    <w:rsid w:val="00F726F6"/>
    <w:rsid w:val="00F72C01"/>
    <w:rsid w:val="00F72F86"/>
    <w:rsid w:val="00F737AA"/>
    <w:rsid w:val="00F73B12"/>
    <w:rsid w:val="00F73B8E"/>
    <w:rsid w:val="00F74CD2"/>
    <w:rsid w:val="00F75266"/>
    <w:rsid w:val="00F753AC"/>
    <w:rsid w:val="00F75527"/>
    <w:rsid w:val="00F76852"/>
    <w:rsid w:val="00F76CBA"/>
    <w:rsid w:val="00F805F2"/>
    <w:rsid w:val="00F819D8"/>
    <w:rsid w:val="00F81FDC"/>
    <w:rsid w:val="00F8316C"/>
    <w:rsid w:val="00F8321E"/>
    <w:rsid w:val="00F83428"/>
    <w:rsid w:val="00F84057"/>
    <w:rsid w:val="00F846C5"/>
    <w:rsid w:val="00F84B20"/>
    <w:rsid w:val="00F84E60"/>
    <w:rsid w:val="00F85CD7"/>
    <w:rsid w:val="00F863E6"/>
    <w:rsid w:val="00F879B3"/>
    <w:rsid w:val="00F87C0A"/>
    <w:rsid w:val="00F90076"/>
    <w:rsid w:val="00F9019C"/>
    <w:rsid w:val="00F90A82"/>
    <w:rsid w:val="00F91F68"/>
    <w:rsid w:val="00F924A7"/>
    <w:rsid w:val="00FA07EE"/>
    <w:rsid w:val="00FA08A3"/>
    <w:rsid w:val="00FA250F"/>
    <w:rsid w:val="00FA2BFE"/>
    <w:rsid w:val="00FA478A"/>
    <w:rsid w:val="00FA4A1C"/>
    <w:rsid w:val="00FA5BC8"/>
    <w:rsid w:val="00FA6CCB"/>
    <w:rsid w:val="00FA6E15"/>
    <w:rsid w:val="00FA73E4"/>
    <w:rsid w:val="00FA7911"/>
    <w:rsid w:val="00FB138F"/>
    <w:rsid w:val="00FB2A19"/>
    <w:rsid w:val="00FB2C62"/>
    <w:rsid w:val="00FB2C65"/>
    <w:rsid w:val="00FB31A4"/>
    <w:rsid w:val="00FB3759"/>
    <w:rsid w:val="00FB377F"/>
    <w:rsid w:val="00FB3D6F"/>
    <w:rsid w:val="00FB3E26"/>
    <w:rsid w:val="00FB4602"/>
    <w:rsid w:val="00FB46D3"/>
    <w:rsid w:val="00FB6A9E"/>
    <w:rsid w:val="00FB6B0B"/>
    <w:rsid w:val="00FB70AF"/>
    <w:rsid w:val="00FC04D8"/>
    <w:rsid w:val="00FC1E84"/>
    <w:rsid w:val="00FC2CFF"/>
    <w:rsid w:val="00FC4CA6"/>
    <w:rsid w:val="00FC550C"/>
    <w:rsid w:val="00FC65F0"/>
    <w:rsid w:val="00FC6A34"/>
    <w:rsid w:val="00FC6EBE"/>
    <w:rsid w:val="00FC740C"/>
    <w:rsid w:val="00FC768D"/>
    <w:rsid w:val="00FD0347"/>
    <w:rsid w:val="00FD067A"/>
    <w:rsid w:val="00FD2C4A"/>
    <w:rsid w:val="00FD49BA"/>
    <w:rsid w:val="00FE18CC"/>
    <w:rsid w:val="00FE1BF3"/>
    <w:rsid w:val="00FE265C"/>
    <w:rsid w:val="00FE3E2B"/>
    <w:rsid w:val="00FE3EC0"/>
    <w:rsid w:val="00FE436B"/>
    <w:rsid w:val="00FE4C6A"/>
    <w:rsid w:val="00FE5EC7"/>
    <w:rsid w:val="00FE6143"/>
    <w:rsid w:val="00FE63F7"/>
    <w:rsid w:val="00FE73C2"/>
    <w:rsid w:val="00FE7A5D"/>
    <w:rsid w:val="00FF02A1"/>
    <w:rsid w:val="00FF1556"/>
    <w:rsid w:val="00FF17CD"/>
    <w:rsid w:val="00FF1A63"/>
    <w:rsid w:val="00FF1A6A"/>
    <w:rsid w:val="00FF213B"/>
    <w:rsid w:val="00FF2ADC"/>
    <w:rsid w:val="00FF34E9"/>
    <w:rsid w:val="00FF440A"/>
    <w:rsid w:val="00FF58B0"/>
    <w:rsid w:val="00FF6858"/>
    <w:rsid w:val="00FF6B85"/>
    <w:rsid w:val="00FF6F93"/>
    <w:rsid w:val="00FF7923"/>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D"/>
  </w:style>
  <w:style w:type="paragraph" w:styleId="Heading1">
    <w:name w:val="heading 1"/>
    <w:basedOn w:val="Normal"/>
    <w:next w:val="Normal"/>
    <w:link w:val="Heading1Char"/>
    <w:uiPriority w:val="9"/>
    <w:qFormat/>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15C6"/>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15C6"/>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15C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15C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rPr>
      <w:lang w:val="en-US"/>
    </w:rPr>
  </w:style>
  <w:style w:type="paragraph" w:styleId="TOC2">
    <w:name w:val="toc 2"/>
    <w:basedOn w:val="Normal"/>
    <w:next w:val="Normal"/>
    <w:autoRedefine/>
    <w:uiPriority w:val="39"/>
    <w:unhideWhenUsed/>
    <w:rsid w:val="00FB6A9E"/>
    <w:pPr>
      <w:tabs>
        <w:tab w:val="left" w:pos="880"/>
        <w:tab w:val="right" w:leader="dot" w:pos="9062"/>
      </w:tabs>
      <w:spacing w:after="100" w:line="259" w:lineRule="auto"/>
      <w:ind w:left="220"/>
    </w:pPr>
    <w:rPr>
      <w:rFonts w:ascii="Times New Roman" w:eastAsiaTheme="minorEastAsia" w:hAnsi="Times New Roman" w:cs="Times New Roman"/>
      <w:noProof/>
      <w:lang w:val="en-US"/>
    </w:rPr>
  </w:style>
  <w:style w:type="paragraph" w:styleId="TOC1">
    <w:name w:val="toc 1"/>
    <w:basedOn w:val="Normal"/>
    <w:next w:val="Normal"/>
    <w:autoRedefine/>
    <w:uiPriority w:val="39"/>
    <w:unhideWhenUsed/>
    <w:rsid w:val="0032076E"/>
    <w:pPr>
      <w:tabs>
        <w:tab w:val="left" w:pos="660"/>
        <w:tab w:val="right" w:leader="dot" w:pos="9062"/>
      </w:tabs>
      <w:spacing w:after="100" w:line="259" w:lineRule="auto"/>
    </w:pPr>
    <w:rPr>
      <w:rFonts w:eastAsiaTheme="minorEastAsia" w:cs="Times New Roman"/>
      <w:lang w:val="en-US"/>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noProof/>
      <w:sz w:val="24"/>
      <w:szCs w:val="24"/>
      <w:lang w:val="en-US"/>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3,EC,L,lp1"/>
    <w:basedOn w:val="Normal"/>
    <w:link w:val="ListParagraphChar"/>
    <w:uiPriority w:val="34"/>
    <w:qFormat/>
    <w:pPr>
      <w:ind w:left="720"/>
      <w:contextualSpacing/>
    </w:p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Times 10 Point"/>
    <w:basedOn w:val="DefaultParagraphFont"/>
    <w:link w:val="16Poi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1"/>
      </w:numPr>
      <w:spacing w:after="250"/>
      <w:jc w:val="both"/>
    </w:pPr>
    <w:rPr>
      <w:rFonts w:ascii="Georgia" w:eastAsia="Times New Roman" w:hAnsi="Georgia" w:cs="Times New Roman"/>
      <w:sz w:val="20"/>
      <w:szCs w:val="24"/>
      <w:lang w:eastAsia="de-DE"/>
    </w:rPr>
  </w:style>
  <w:style w:type="character" w:customStyle="1" w:styleId="04aNumerationChar">
    <w:name w:val="04a_Numeration Char"/>
    <w:link w:val="04aNumeration"/>
    <w:locked/>
    <w:rPr>
      <w:rFonts w:ascii="Georgia" w:eastAsia="Times New Roman" w:hAnsi="Georgia" w:cs="Times New Roman"/>
      <w:sz w:val="20"/>
      <w:szCs w:val="24"/>
      <w:lang w:eastAsia="de-D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szCs w:val="20"/>
      <w:lang w:val="de-DE"/>
    </w:rPr>
  </w:style>
  <w:style w:type="character" w:customStyle="1" w:styleId="0BodytextZchn">
    <w:name w:val="(0)Body text Zchn"/>
    <w:link w:val="0Bodytext"/>
    <w:rPr>
      <w:rFonts w:ascii="Verdana" w:eastAsia="Calibri" w:hAnsi="Verdana" w:cs="Arial"/>
      <w:color w:val="333333"/>
      <w:sz w:val="20"/>
      <w:szCs w:val="20"/>
      <w:lang w:val="de-DE"/>
    </w:rPr>
  </w:style>
  <w:style w:type="table" w:styleId="TableGrid">
    <w:name w:val="Table Grid"/>
    <w:aliases w:val="Table none"/>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en-IE" w:eastAsia="en-GB"/>
    </w:rPr>
  </w:style>
  <w:style w:type="paragraph" w:customStyle="1" w:styleId="SecurityMarking">
    <w:name w:val="SecurityMarking"/>
    <w:basedOn w:val="Normal"/>
    <w:rsid w:val="0010191F"/>
    <w:pPr>
      <w:spacing w:after="0"/>
      <w:ind w:left="5103"/>
    </w:pPr>
    <w:rPr>
      <w:rFonts w:ascii="Times New Roman" w:hAnsi="Times New Roman" w:cs="Times New Roman"/>
      <w:sz w:val="28"/>
    </w:rPr>
  </w:style>
  <w:style w:type="paragraph" w:customStyle="1" w:styleId="DateMarking">
    <w:name w:val="DateMarking"/>
    <w:basedOn w:val="Normal"/>
    <w:rsid w:val="0010191F"/>
    <w:pPr>
      <w:spacing w:after="0"/>
      <w:ind w:left="5103"/>
    </w:pPr>
    <w:rPr>
      <w:rFonts w:ascii="Times New Roman" w:hAnsi="Times New Roman" w:cs="Times New Roman"/>
      <w:i/>
      <w:sz w:val="28"/>
    </w:rPr>
  </w:style>
  <w:style w:type="paragraph" w:customStyle="1" w:styleId="ReleasableTo">
    <w:name w:val="ReleasableTo"/>
    <w:basedOn w:val="Normal"/>
    <w:rsid w:val="0010191F"/>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0191F"/>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character" w:customStyle="1" w:styleId="e24kjd">
    <w:name w:val="e24kjd"/>
    <w:basedOn w:val="DefaultParagraphFont"/>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table" w:customStyle="1" w:styleId="TableGrid1">
    <w:name w:val="Table Grid1"/>
    <w:basedOn w:val="TableNormal"/>
    <w:next w:val="TableGrid"/>
    <w:uiPriority w:val="39"/>
    <w:rsid w:val="007F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B7692F"/>
    <w:pPr>
      <w:spacing w:after="0" w:line="240" w:lineRule="auto"/>
      <w:jc w:val="both"/>
    </w:pPr>
    <w:rPr>
      <w:color w:val="000000" w:themeColor="text1"/>
      <w:sz w:val="20"/>
      <w:szCs w:val="24"/>
    </w:rPr>
  </w:style>
  <w:style w:type="character" w:customStyle="1" w:styleId="TableChar">
    <w:name w:val="Table Char"/>
    <w:basedOn w:val="DefaultParagraphFont"/>
    <w:link w:val="Table"/>
    <w:rsid w:val="00B7692F"/>
    <w:rPr>
      <w:color w:val="000000" w:themeColor="text1"/>
      <w:sz w:val="20"/>
      <w:szCs w:val="24"/>
    </w:rPr>
  </w:style>
  <w:style w:type="paragraph" w:customStyle="1" w:styleId="FigTabCaption">
    <w:name w:val="FigTab Caption"/>
    <w:basedOn w:val="Caption"/>
    <w:link w:val="FigTabCaptionChar"/>
    <w:qFormat/>
    <w:rsid w:val="00B7692F"/>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rsid w:val="00B7692F"/>
    <w:rPr>
      <w:b/>
      <w:color w:val="FFFFFF" w:themeColor="background1"/>
      <w:sz w:val="20"/>
      <w:szCs w:val="24"/>
    </w:rPr>
  </w:style>
  <w:style w:type="paragraph" w:styleId="Caption">
    <w:name w:val="caption"/>
    <w:basedOn w:val="Normal"/>
    <w:next w:val="Normal"/>
    <w:link w:val="CaptionChar"/>
    <w:uiPriority w:val="35"/>
    <w:unhideWhenUsed/>
    <w:qFormat/>
    <w:rsid w:val="00B7692F"/>
    <w:pPr>
      <w:spacing w:line="240" w:lineRule="auto"/>
    </w:pPr>
    <w:rPr>
      <w:i/>
      <w:iCs/>
      <w:color w:val="1F497D" w:themeColor="text2"/>
      <w:sz w:val="18"/>
      <w:szCs w:val="18"/>
    </w:rPr>
  </w:style>
  <w:style w:type="table" w:customStyle="1" w:styleId="TableGrid2">
    <w:name w:val="Table Grid2"/>
    <w:basedOn w:val="TableNormal"/>
    <w:next w:val="TableGrid"/>
    <w:uiPriority w:val="39"/>
    <w:rsid w:val="000A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Exposant 3 Point Char Char Char"/>
    <w:basedOn w:val="Normal"/>
    <w:uiPriority w:val="99"/>
    <w:rsid w:val="00A254A2"/>
    <w:pPr>
      <w:spacing w:after="160" w:line="240" w:lineRule="exact"/>
      <w:jc w:val="both"/>
    </w:pPr>
    <w:rPr>
      <w:rFonts w:ascii="Times New Roman" w:hAnsi="Times New Roman" w:cs="Times New Roman"/>
      <w:sz w:val="20"/>
      <w:szCs w:val="20"/>
      <w:vertAlign w:val="superscript"/>
    </w:rPr>
  </w:style>
  <w:style w:type="paragraph" w:customStyle="1" w:styleId="Bullet2">
    <w:name w:val="Bullet 2"/>
    <w:aliases w:val="Bullet2,BTBullet2"/>
    <w:basedOn w:val="Normal"/>
    <w:uiPriority w:val="10"/>
    <w:qFormat/>
    <w:rsid w:val="00055903"/>
    <w:pPr>
      <w:tabs>
        <w:tab w:val="num" w:pos="1021"/>
      </w:tabs>
      <w:spacing w:before="120" w:after="120" w:line="240" w:lineRule="auto"/>
      <w:ind w:left="1021" w:hanging="341"/>
      <w:contextualSpacing/>
    </w:pPr>
    <w:rPr>
      <w:rFonts w:ascii="Verdana" w:hAnsi="Verdana"/>
      <w:color w:val="000000" w:themeColor="text1"/>
      <w:sz w:val="20"/>
      <w:lang w:val="nl-BE" w:eastAsia="nl-BE"/>
    </w:rPr>
  </w:style>
  <w:style w:type="character" w:customStyle="1" w:styleId="CaptionChar">
    <w:name w:val="Caption Char"/>
    <w:basedOn w:val="DefaultParagraphFont"/>
    <w:link w:val="Caption"/>
    <w:uiPriority w:val="35"/>
    <w:rsid w:val="000274F6"/>
    <w:rPr>
      <w:i/>
      <w:iCs/>
      <w:color w:val="1F497D" w:themeColor="text2"/>
      <w:sz w:val="18"/>
      <w:szCs w:val="18"/>
    </w:rPr>
  </w:style>
  <w:style w:type="paragraph" w:customStyle="1" w:styleId="Body">
    <w:name w:val="Body"/>
    <w:basedOn w:val="Normal"/>
    <w:link w:val="BodyChar"/>
    <w:qFormat/>
    <w:rsid w:val="004F52DE"/>
    <w:pPr>
      <w:spacing w:before="120" w:after="120" w:line="240" w:lineRule="auto"/>
      <w:jc w:val="both"/>
    </w:pPr>
    <w:rPr>
      <w:rFonts w:ascii="Verdana" w:hAnsi="Verdana"/>
      <w:color w:val="000000" w:themeColor="text1"/>
      <w:sz w:val="20"/>
      <w:lang w:val="nl-BE" w:eastAsia="nl-BE"/>
    </w:rPr>
  </w:style>
  <w:style w:type="character" w:customStyle="1" w:styleId="BodyChar">
    <w:name w:val="Body Char"/>
    <w:link w:val="Body"/>
    <w:rsid w:val="004F52DE"/>
    <w:rPr>
      <w:rFonts w:ascii="Verdana" w:hAnsi="Verdana"/>
      <w:color w:val="000000" w:themeColor="text1"/>
      <w:sz w:val="20"/>
      <w:lang w:val="nl-BE" w:eastAsia="nl-BE"/>
    </w:rPr>
  </w:style>
  <w:style w:type="paragraph" w:customStyle="1" w:styleId="TableHeading">
    <w:name w:val="TableHeading"/>
    <w:aliases w:val="TableHeadingWhite"/>
    <w:basedOn w:val="Normal"/>
    <w:uiPriority w:val="30"/>
    <w:qFormat/>
    <w:rsid w:val="004F52DE"/>
    <w:pPr>
      <w:spacing w:before="120" w:after="0" w:line="240" w:lineRule="auto"/>
      <w:ind w:left="113"/>
    </w:pPr>
    <w:rPr>
      <w:rFonts w:ascii="Verdana" w:hAnsi="Verdana"/>
      <w:b/>
      <w:color w:val="FFFFFF" w:themeColor="background1"/>
      <w:sz w:val="20"/>
      <w:lang w:val="nl-BE" w:eastAsia="nl-BE"/>
    </w:rPr>
  </w:style>
  <w:style w:type="character" w:customStyle="1" w:styleId="Heading6Char">
    <w:name w:val="Heading 6 Char"/>
    <w:basedOn w:val="DefaultParagraphFont"/>
    <w:link w:val="Heading6"/>
    <w:uiPriority w:val="9"/>
    <w:semiHidden/>
    <w:rsid w:val="00D715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715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715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15C6"/>
    <w:rPr>
      <w:rFonts w:asciiTheme="majorHAnsi" w:eastAsiaTheme="majorEastAsia" w:hAnsiTheme="majorHAnsi" w:cstheme="majorBidi"/>
      <w:i/>
      <w:iCs/>
      <w:color w:val="272727" w:themeColor="text1" w:themeTint="D8"/>
      <w:sz w:val="21"/>
      <w:szCs w:val="21"/>
    </w:rPr>
  </w:style>
  <w:style w:type="paragraph" w:customStyle="1" w:styleId="CharCharChar1">
    <w:name w:val="Char Char Char1"/>
    <w:basedOn w:val="Normal"/>
    <w:uiPriority w:val="99"/>
    <w:rsid w:val="005E54D1"/>
    <w:pPr>
      <w:spacing w:after="160" w:line="240" w:lineRule="exact"/>
      <w:jc w:val="both"/>
    </w:pPr>
    <w:rPr>
      <w:rFonts w:ascii="Times New Roman" w:hAnsi="Times New Roman" w:cs="Times New Roman"/>
      <w:sz w:val="24"/>
      <w:szCs w:val="24"/>
      <w:vertAlign w:val="superscript"/>
    </w:rPr>
  </w:style>
  <w:style w:type="character" w:customStyle="1" w:styleId="UnresolvedMention1">
    <w:name w:val="Unresolved Mention1"/>
    <w:basedOn w:val="DefaultParagraphFont"/>
    <w:uiPriority w:val="99"/>
    <w:semiHidden/>
    <w:unhideWhenUsed/>
    <w:rsid w:val="00E34843"/>
    <w:rPr>
      <w:color w:val="605E5C"/>
      <w:shd w:val="clear" w:color="auto" w:fill="E1DFDD"/>
    </w:rPr>
  </w:style>
  <w:style w:type="paragraph" w:customStyle="1" w:styleId="oj-normal">
    <w:name w:val="oj-normal"/>
    <w:basedOn w:val="Normal"/>
    <w:rsid w:val="00A2263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UnresolvedMention2">
    <w:name w:val="Unresolved Mention2"/>
    <w:basedOn w:val="DefaultParagraphFont"/>
    <w:uiPriority w:val="99"/>
    <w:semiHidden/>
    <w:unhideWhenUsed/>
    <w:rsid w:val="00AC37C7"/>
    <w:rPr>
      <w:color w:val="605E5C"/>
      <w:shd w:val="clear" w:color="auto" w:fill="E1DFDD"/>
    </w:rPr>
  </w:style>
  <w:style w:type="paragraph" w:customStyle="1" w:styleId="Typedudocument">
    <w:name w:val="Type du document"/>
    <w:basedOn w:val="Normal"/>
    <w:next w:val="Normal"/>
    <w:rsid w:val="006B2FE3"/>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B2FE3"/>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269">
      <w:bodyDiv w:val="1"/>
      <w:marLeft w:val="0"/>
      <w:marRight w:val="0"/>
      <w:marTop w:val="0"/>
      <w:marBottom w:val="0"/>
      <w:divBdr>
        <w:top w:val="none" w:sz="0" w:space="0" w:color="auto"/>
        <w:left w:val="none" w:sz="0" w:space="0" w:color="auto"/>
        <w:bottom w:val="none" w:sz="0" w:space="0" w:color="auto"/>
        <w:right w:val="none" w:sz="0" w:space="0" w:color="auto"/>
      </w:divBdr>
    </w:div>
    <w:div w:id="113912929">
      <w:bodyDiv w:val="1"/>
      <w:marLeft w:val="0"/>
      <w:marRight w:val="0"/>
      <w:marTop w:val="0"/>
      <w:marBottom w:val="0"/>
      <w:divBdr>
        <w:top w:val="none" w:sz="0" w:space="0" w:color="auto"/>
        <w:left w:val="none" w:sz="0" w:space="0" w:color="auto"/>
        <w:bottom w:val="none" w:sz="0" w:space="0" w:color="auto"/>
        <w:right w:val="none" w:sz="0" w:space="0" w:color="auto"/>
      </w:divBdr>
    </w:div>
    <w:div w:id="201790965">
      <w:bodyDiv w:val="1"/>
      <w:marLeft w:val="0"/>
      <w:marRight w:val="0"/>
      <w:marTop w:val="0"/>
      <w:marBottom w:val="0"/>
      <w:divBdr>
        <w:top w:val="none" w:sz="0" w:space="0" w:color="auto"/>
        <w:left w:val="none" w:sz="0" w:space="0" w:color="auto"/>
        <w:bottom w:val="none" w:sz="0" w:space="0" w:color="auto"/>
        <w:right w:val="none" w:sz="0" w:space="0" w:color="auto"/>
      </w:divBdr>
    </w:div>
    <w:div w:id="220481042">
      <w:bodyDiv w:val="1"/>
      <w:marLeft w:val="0"/>
      <w:marRight w:val="0"/>
      <w:marTop w:val="0"/>
      <w:marBottom w:val="0"/>
      <w:divBdr>
        <w:top w:val="none" w:sz="0" w:space="0" w:color="auto"/>
        <w:left w:val="none" w:sz="0" w:space="0" w:color="auto"/>
        <w:bottom w:val="none" w:sz="0" w:space="0" w:color="auto"/>
        <w:right w:val="none" w:sz="0" w:space="0" w:color="auto"/>
      </w:divBdr>
    </w:div>
    <w:div w:id="501507750">
      <w:bodyDiv w:val="1"/>
      <w:marLeft w:val="0"/>
      <w:marRight w:val="0"/>
      <w:marTop w:val="0"/>
      <w:marBottom w:val="0"/>
      <w:divBdr>
        <w:top w:val="none" w:sz="0" w:space="0" w:color="auto"/>
        <w:left w:val="none" w:sz="0" w:space="0" w:color="auto"/>
        <w:bottom w:val="none" w:sz="0" w:space="0" w:color="auto"/>
        <w:right w:val="none" w:sz="0" w:space="0" w:color="auto"/>
      </w:divBdr>
    </w:div>
    <w:div w:id="572395333">
      <w:bodyDiv w:val="1"/>
      <w:marLeft w:val="0"/>
      <w:marRight w:val="0"/>
      <w:marTop w:val="0"/>
      <w:marBottom w:val="0"/>
      <w:divBdr>
        <w:top w:val="none" w:sz="0" w:space="0" w:color="auto"/>
        <w:left w:val="none" w:sz="0" w:space="0" w:color="auto"/>
        <w:bottom w:val="none" w:sz="0" w:space="0" w:color="auto"/>
        <w:right w:val="none" w:sz="0" w:space="0" w:color="auto"/>
      </w:divBdr>
    </w:div>
    <w:div w:id="611867238">
      <w:bodyDiv w:val="1"/>
      <w:marLeft w:val="0"/>
      <w:marRight w:val="0"/>
      <w:marTop w:val="0"/>
      <w:marBottom w:val="0"/>
      <w:divBdr>
        <w:top w:val="none" w:sz="0" w:space="0" w:color="auto"/>
        <w:left w:val="none" w:sz="0" w:space="0" w:color="auto"/>
        <w:bottom w:val="none" w:sz="0" w:space="0" w:color="auto"/>
        <w:right w:val="none" w:sz="0" w:space="0" w:color="auto"/>
      </w:divBdr>
    </w:div>
    <w:div w:id="630480583">
      <w:bodyDiv w:val="1"/>
      <w:marLeft w:val="0"/>
      <w:marRight w:val="0"/>
      <w:marTop w:val="0"/>
      <w:marBottom w:val="0"/>
      <w:divBdr>
        <w:top w:val="none" w:sz="0" w:space="0" w:color="auto"/>
        <w:left w:val="none" w:sz="0" w:space="0" w:color="auto"/>
        <w:bottom w:val="none" w:sz="0" w:space="0" w:color="auto"/>
        <w:right w:val="none" w:sz="0" w:space="0" w:color="auto"/>
      </w:divBdr>
    </w:div>
    <w:div w:id="632833572">
      <w:bodyDiv w:val="1"/>
      <w:marLeft w:val="0"/>
      <w:marRight w:val="0"/>
      <w:marTop w:val="0"/>
      <w:marBottom w:val="0"/>
      <w:divBdr>
        <w:top w:val="none" w:sz="0" w:space="0" w:color="auto"/>
        <w:left w:val="none" w:sz="0" w:space="0" w:color="auto"/>
        <w:bottom w:val="none" w:sz="0" w:space="0" w:color="auto"/>
        <w:right w:val="none" w:sz="0" w:space="0" w:color="auto"/>
      </w:divBdr>
    </w:div>
    <w:div w:id="703792285">
      <w:bodyDiv w:val="1"/>
      <w:marLeft w:val="0"/>
      <w:marRight w:val="0"/>
      <w:marTop w:val="0"/>
      <w:marBottom w:val="0"/>
      <w:divBdr>
        <w:top w:val="none" w:sz="0" w:space="0" w:color="auto"/>
        <w:left w:val="none" w:sz="0" w:space="0" w:color="auto"/>
        <w:bottom w:val="none" w:sz="0" w:space="0" w:color="auto"/>
        <w:right w:val="none" w:sz="0" w:space="0" w:color="auto"/>
      </w:divBdr>
    </w:div>
    <w:div w:id="730152378">
      <w:bodyDiv w:val="1"/>
      <w:marLeft w:val="0"/>
      <w:marRight w:val="0"/>
      <w:marTop w:val="0"/>
      <w:marBottom w:val="0"/>
      <w:divBdr>
        <w:top w:val="none" w:sz="0" w:space="0" w:color="auto"/>
        <w:left w:val="none" w:sz="0" w:space="0" w:color="auto"/>
        <w:bottom w:val="none" w:sz="0" w:space="0" w:color="auto"/>
        <w:right w:val="none" w:sz="0" w:space="0" w:color="auto"/>
      </w:divBdr>
    </w:div>
    <w:div w:id="989401879">
      <w:bodyDiv w:val="1"/>
      <w:marLeft w:val="0"/>
      <w:marRight w:val="0"/>
      <w:marTop w:val="0"/>
      <w:marBottom w:val="0"/>
      <w:divBdr>
        <w:top w:val="none" w:sz="0" w:space="0" w:color="auto"/>
        <w:left w:val="none" w:sz="0" w:space="0" w:color="auto"/>
        <w:bottom w:val="none" w:sz="0" w:space="0" w:color="auto"/>
        <w:right w:val="none" w:sz="0" w:space="0" w:color="auto"/>
      </w:divBdr>
    </w:div>
    <w:div w:id="991911580">
      <w:bodyDiv w:val="1"/>
      <w:marLeft w:val="0"/>
      <w:marRight w:val="0"/>
      <w:marTop w:val="0"/>
      <w:marBottom w:val="0"/>
      <w:divBdr>
        <w:top w:val="none" w:sz="0" w:space="0" w:color="auto"/>
        <w:left w:val="none" w:sz="0" w:space="0" w:color="auto"/>
        <w:bottom w:val="none" w:sz="0" w:space="0" w:color="auto"/>
        <w:right w:val="none" w:sz="0" w:space="0" w:color="auto"/>
      </w:divBdr>
    </w:div>
    <w:div w:id="1017973782">
      <w:bodyDiv w:val="1"/>
      <w:marLeft w:val="0"/>
      <w:marRight w:val="0"/>
      <w:marTop w:val="0"/>
      <w:marBottom w:val="0"/>
      <w:divBdr>
        <w:top w:val="none" w:sz="0" w:space="0" w:color="auto"/>
        <w:left w:val="none" w:sz="0" w:space="0" w:color="auto"/>
        <w:bottom w:val="none" w:sz="0" w:space="0" w:color="auto"/>
        <w:right w:val="none" w:sz="0" w:space="0" w:color="auto"/>
      </w:divBdr>
    </w:div>
    <w:div w:id="1031540398">
      <w:bodyDiv w:val="1"/>
      <w:marLeft w:val="0"/>
      <w:marRight w:val="0"/>
      <w:marTop w:val="0"/>
      <w:marBottom w:val="0"/>
      <w:divBdr>
        <w:top w:val="none" w:sz="0" w:space="0" w:color="auto"/>
        <w:left w:val="none" w:sz="0" w:space="0" w:color="auto"/>
        <w:bottom w:val="none" w:sz="0" w:space="0" w:color="auto"/>
        <w:right w:val="none" w:sz="0" w:space="0" w:color="auto"/>
      </w:divBdr>
    </w:div>
    <w:div w:id="1071587878">
      <w:bodyDiv w:val="1"/>
      <w:marLeft w:val="0"/>
      <w:marRight w:val="0"/>
      <w:marTop w:val="0"/>
      <w:marBottom w:val="0"/>
      <w:divBdr>
        <w:top w:val="none" w:sz="0" w:space="0" w:color="auto"/>
        <w:left w:val="none" w:sz="0" w:space="0" w:color="auto"/>
        <w:bottom w:val="none" w:sz="0" w:space="0" w:color="auto"/>
        <w:right w:val="none" w:sz="0" w:space="0" w:color="auto"/>
      </w:divBdr>
    </w:div>
    <w:div w:id="1111323087">
      <w:bodyDiv w:val="1"/>
      <w:marLeft w:val="0"/>
      <w:marRight w:val="0"/>
      <w:marTop w:val="0"/>
      <w:marBottom w:val="0"/>
      <w:divBdr>
        <w:top w:val="none" w:sz="0" w:space="0" w:color="auto"/>
        <w:left w:val="none" w:sz="0" w:space="0" w:color="auto"/>
        <w:bottom w:val="none" w:sz="0" w:space="0" w:color="auto"/>
        <w:right w:val="none" w:sz="0" w:space="0" w:color="auto"/>
      </w:divBdr>
    </w:div>
    <w:div w:id="1243182669">
      <w:bodyDiv w:val="1"/>
      <w:marLeft w:val="0"/>
      <w:marRight w:val="0"/>
      <w:marTop w:val="0"/>
      <w:marBottom w:val="0"/>
      <w:divBdr>
        <w:top w:val="none" w:sz="0" w:space="0" w:color="auto"/>
        <w:left w:val="none" w:sz="0" w:space="0" w:color="auto"/>
        <w:bottom w:val="none" w:sz="0" w:space="0" w:color="auto"/>
        <w:right w:val="none" w:sz="0" w:space="0" w:color="auto"/>
      </w:divBdr>
    </w:div>
    <w:div w:id="1605847397">
      <w:bodyDiv w:val="1"/>
      <w:marLeft w:val="0"/>
      <w:marRight w:val="0"/>
      <w:marTop w:val="0"/>
      <w:marBottom w:val="0"/>
      <w:divBdr>
        <w:top w:val="none" w:sz="0" w:space="0" w:color="auto"/>
        <w:left w:val="none" w:sz="0" w:space="0" w:color="auto"/>
        <w:bottom w:val="none" w:sz="0" w:space="0" w:color="auto"/>
        <w:right w:val="none" w:sz="0" w:space="0" w:color="auto"/>
      </w:divBdr>
    </w:div>
    <w:div w:id="1685672935">
      <w:bodyDiv w:val="1"/>
      <w:marLeft w:val="0"/>
      <w:marRight w:val="0"/>
      <w:marTop w:val="0"/>
      <w:marBottom w:val="0"/>
      <w:divBdr>
        <w:top w:val="none" w:sz="0" w:space="0" w:color="auto"/>
        <w:left w:val="none" w:sz="0" w:space="0" w:color="auto"/>
        <w:bottom w:val="none" w:sz="0" w:space="0" w:color="auto"/>
        <w:right w:val="none" w:sz="0" w:space="0" w:color="auto"/>
      </w:divBdr>
    </w:div>
    <w:div w:id="1751350687">
      <w:bodyDiv w:val="1"/>
      <w:marLeft w:val="0"/>
      <w:marRight w:val="0"/>
      <w:marTop w:val="0"/>
      <w:marBottom w:val="0"/>
      <w:divBdr>
        <w:top w:val="none" w:sz="0" w:space="0" w:color="auto"/>
        <w:left w:val="none" w:sz="0" w:space="0" w:color="auto"/>
        <w:bottom w:val="none" w:sz="0" w:space="0" w:color="auto"/>
        <w:right w:val="none" w:sz="0" w:space="0" w:color="auto"/>
      </w:divBdr>
    </w:div>
    <w:div w:id="2010937230">
      <w:bodyDiv w:val="1"/>
      <w:marLeft w:val="0"/>
      <w:marRight w:val="0"/>
      <w:marTop w:val="0"/>
      <w:marBottom w:val="0"/>
      <w:divBdr>
        <w:top w:val="none" w:sz="0" w:space="0" w:color="auto"/>
        <w:left w:val="none" w:sz="0" w:space="0" w:color="auto"/>
        <w:bottom w:val="none" w:sz="0" w:space="0" w:color="auto"/>
        <w:right w:val="none" w:sz="0" w:space="0" w:color="auto"/>
      </w:divBdr>
    </w:div>
    <w:div w:id="2013798223">
      <w:bodyDiv w:val="1"/>
      <w:marLeft w:val="0"/>
      <w:marRight w:val="0"/>
      <w:marTop w:val="0"/>
      <w:marBottom w:val="0"/>
      <w:divBdr>
        <w:top w:val="none" w:sz="0" w:space="0" w:color="auto"/>
        <w:left w:val="none" w:sz="0" w:space="0" w:color="auto"/>
        <w:bottom w:val="none" w:sz="0" w:space="0" w:color="auto"/>
        <w:right w:val="none" w:sz="0" w:space="0" w:color="auto"/>
      </w:divBdr>
    </w:div>
    <w:div w:id="2071686501">
      <w:bodyDiv w:val="1"/>
      <w:marLeft w:val="0"/>
      <w:marRight w:val="0"/>
      <w:marTop w:val="0"/>
      <w:marBottom w:val="0"/>
      <w:divBdr>
        <w:top w:val="none" w:sz="0" w:space="0" w:color="auto"/>
        <w:left w:val="none" w:sz="0" w:space="0" w:color="auto"/>
        <w:bottom w:val="none" w:sz="0" w:space="0" w:color="auto"/>
        <w:right w:val="none" w:sz="0" w:space="0" w:color="auto"/>
      </w:divBdr>
    </w:div>
    <w:div w:id="2083135506">
      <w:bodyDiv w:val="1"/>
      <w:marLeft w:val="0"/>
      <w:marRight w:val="0"/>
      <w:marTop w:val="0"/>
      <w:marBottom w:val="0"/>
      <w:divBdr>
        <w:top w:val="none" w:sz="0" w:space="0" w:color="auto"/>
        <w:left w:val="none" w:sz="0" w:space="0" w:color="auto"/>
        <w:bottom w:val="none" w:sz="0" w:space="0" w:color="auto"/>
        <w:right w:val="none" w:sz="0" w:space="0" w:color="auto"/>
      </w:divBdr>
    </w:div>
    <w:div w:id="20873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eanpaymentscouncil.eu/what-we-do/other-schemes/sepa-payment-account-access" TargetMode="External"/><Relationship Id="rId13" Type="http://schemas.openxmlformats.org/officeDocument/2006/relationships/hyperlink" Target="https://eur-lex.europa.eu/resource.html?uri=cellar:ecb694ad-01bf-11e8-b8f5-01aa75ed71a1.0021.02/DOC_1&amp;format=PDF" TargetMode="External"/><Relationship Id="rId3" Type="http://schemas.openxmlformats.org/officeDocument/2006/relationships/hyperlink" Target="https://data.europa.eu/doi/10.2874/996945" TargetMode="External"/><Relationship Id="rId7" Type="http://schemas.openxmlformats.org/officeDocument/2006/relationships/hyperlink" Target="https://www.berlin-group.org/single-post/press-release-berlin-group-is-offering-support-to-new-european-payment-schemes" TargetMode="External"/><Relationship Id="rId12" Type="http://schemas.openxmlformats.org/officeDocument/2006/relationships/hyperlink" Target="https://www.eba.europa.eu/single-rule-book-qa" TargetMode="External"/><Relationship Id="rId2" Type="http://schemas.openxmlformats.org/officeDocument/2006/relationships/hyperlink" Target="https://eur-lex.europa.eu/legal-content/en/ALL/?uri=CELEX%3A32007L0064" TargetMode="External"/><Relationship Id="rId1" Type="http://schemas.openxmlformats.org/officeDocument/2006/relationships/hyperlink" Target="https://eur-lex.europa.eu/legal-content/EN/TXT/?uri=CELEX%3A32015L2366" TargetMode="External"/><Relationship Id="rId6" Type="http://schemas.openxmlformats.org/officeDocument/2006/relationships/hyperlink" Target="https://www.statista.com/statistics/1228771/open-banking-users-worldwide/" TargetMode="External"/><Relationship Id="rId11"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5" Type="http://schemas.openxmlformats.org/officeDocument/2006/relationships/hyperlink" Target="https://sdw.ecb.europa.eu/reports.do?node=1000001964" TargetMode="External"/><Relationship Id="rId10" Type="http://schemas.openxmlformats.org/officeDocument/2006/relationships/hyperlink" Target="https://finance.ec.europa.eu/regulation-and-supervision/consultations/finance-2022-psd2-review_en" TargetMode="External"/><Relationship Id="rId4" Type="http://schemas.openxmlformats.org/officeDocument/2006/relationships/hyperlink" Target="https://eur-lex.europa.eu/legal-content/EN/TXT/?uri=COM:2020:592:FIN" TargetMode="External"/><Relationship Id="rId9" Type="http://schemas.openxmlformats.org/officeDocument/2006/relationships/hyperlink" Target="https://www.fsb.org/wp-content/uploads/P1310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TranslationStateListUrl xmlns="http://schemas.microsoft.com/sharepoint/v3">
      <Url xsi:nil="true"/>
      <Description xsi:nil="true"/>
    </TranslationStateListUrl>
    <_dlc_DocId xmlns="02ebb043-5898-4877-8c1f-28652c7a58c8">KUAXY5MF5DVP-1379643526-4</_dlc_DocId>
    <_dlc_DocIdUrl xmlns="02ebb043-5898-4877-8c1f-28652c7a58c8">
      <Url>https://myintracomm-collab.ec.europa.eu/dg/FISMA/B/B3/PSD2-project/_layouts/15/DocIdRedir.aspx?ID=KUAXY5MF5DVP-1379643526-4</Url>
      <Description>KUAXY5MF5DVP-1379643526-4</Description>
    </_dlc_DocIdUrl>
    <EC_ARES_NUMBER xmlns="425efeef-6841-4c01-9e77-719592513fdc">
      <Url xsi:nil="true"/>
      <Description xsi:nil="true"/>
    </EC_ARES_NUMBER>
    <EC_Collab_DocumentLanguage xmlns="425efeef-6841-4c01-9e77-719592513fdc">EN</EC_Collab_DocumentLanguage>
    <EC_ARES_TRANSFERRED_BY xmlns="425efeef-6841-4c01-9e77-719592513fdc" xsi:nil="true"/>
    <EC_ARES_DATE_TRANSFERRED xmlns="425efeef-6841-4c01-9e77-719592513fd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D9B1-5453-490E-B1CF-C3A907C5F050}">
  <ds:schemaRefs>
    <ds:schemaRef ds:uri="http://schemas.microsoft.com/sharepoint/events"/>
  </ds:schemaRefs>
</ds:datastoreItem>
</file>

<file path=customXml/itemProps2.xml><?xml version="1.0" encoding="utf-8"?>
<ds:datastoreItem xmlns:ds="http://schemas.openxmlformats.org/officeDocument/2006/customXml" ds:itemID="{889174B6-31FF-4887-97C9-217698DD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98A83-352F-4F64-979F-C57A4CAD6477}">
  <ds:schemaRefs>
    <ds:schemaRef ds:uri="http://schemas.microsoft.com/sharepoint/v3/contenttype/forms"/>
  </ds:schemaRefs>
</ds:datastoreItem>
</file>

<file path=customXml/itemProps4.xml><?xml version="1.0" encoding="utf-8"?>
<ds:datastoreItem xmlns:ds="http://schemas.openxmlformats.org/officeDocument/2006/customXml" ds:itemID="{9AD42E7F-501D-4C18-B3D5-AEE9FA7C4E6B}">
  <ds:schemaRefs>
    <ds:schemaRef ds:uri="http://schemas.microsoft.com/office/2006/metadata/customXsn"/>
  </ds:schemaRefs>
</ds:datastoreItem>
</file>

<file path=customXml/itemProps5.xml><?xml version="1.0" encoding="utf-8"?>
<ds:datastoreItem xmlns:ds="http://schemas.openxmlformats.org/officeDocument/2006/customXml" ds:itemID="{3148D2D3-18F9-4BE7-88FA-0BB41576BA33}">
  <ds:schemaRefs>
    <ds:schemaRef ds:uri="http://schemas.microsoft.com/sharepoint/v3"/>
    <ds:schemaRef ds:uri="425efeef-6841-4c01-9e77-719592513fd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a4cd5a-212d-420e-a580-0e7a3c9b7ae9"/>
    <ds:schemaRef ds:uri="http://schemas.microsoft.com/office/2006/metadata/properties"/>
    <ds:schemaRef ds:uri="http://www.w3.org/XML/1998/namespace"/>
    <ds:schemaRef ds:uri="02ebb043-5898-4877-8c1f-28652c7a58c8"/>
    <ds:schemaRef ds:uri="http://purl.org/dc/terms/"/>
    <ds:schemaRef ds:uri="http://purl.org/dc/elements/1.1/"/>
  </ds:schemaRefs>
</ds:datastoreItem>
</file>

<file path=customXml/itemProps6.xml><?xml version="1.0" encoding="utf-8"?>
<ds:datastoreItem xmlns:ds="http://schemas.openxmlformats.org/officeDocument/2006/customXml" ds:itemID="{57976E4F-C1ED-4384-9076-17E8613A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6149</Words>
  <Characters>33702</Characters>
  <Application>Microsoft Office Word</Application>
  <DocSecurity>0</DocSecurity>
  <Lines>571</Lines>
  <Paragraphs>186</Paragraphs>
  <ScaleCrop>false</ScaleCrop>
  <HeadingPairs>
    <vt:vector size="2" baseType="variant">
      <vt:variant>
        <vt:lpstr>Title</vt:lpstr>
      </vt:variant>
      <vt:variant>
        <vt:i4>1</vt:i4>
      </vt:variant>
    </vt:vector>
  </HeadingPairs>
  <TitlesOfParts>
    <vt:vector size="1" baseType="lpstr">
      <vt:lpstr>REPORT_FROM_COMMISSION_MCD-29.11.20</vt:lpstr>
    </vt:vector>
  </TitlesOfParts>
  <Manager/>
  <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REPORT_FROM_COMMISSION_MCD-29.11.20</dc:title>
  <dc:subject/>
  <dc:creator/>
  <cp:keywords/>
  <dc:description/>
  <cp:lastModifiedBy/>
  <cp:revision>1</cp:revision>
  <dcterms:created xsi:type="dcterms:W3CDTF">2023-06-24T17:48:00Z</dcterms:created>
  <dcterms:modified xsi:type="dcterms:W3CDTF">2023-06-27T22:12:00Z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 regulation">
    <vt:lpwstr/>
  </property>
  <property fmtid="{D5CDD505-2E9C-101B-9397-08002B2CF9AE}" pid="3" name="Doc Status">
    <vt:lpwstr/>
  </property>
  <property fmtid="{D5CDD505-2E9C-101B-9397-08002B2CF9AE}" pid="4" name="Document type">
    <vt:lpwstr/>
  </property>
  <property fmtid="{D5CDD505-2E9C-101B-9397-08002B2CF9AE}" pid="5" name="Confidentiality">
    <vt:lpwstr/>
  </property>
  <property fmtid="{D5CDD505-2E9C-101B-9397-08002B2CF9AE}" pid="6" name="Level of sensitivity">
    <vt:lpwstr>Standard treatment</vt:lpwstr>
  </property>
  <property fmtid="{D5CDD505-2E9C-101B-9397-08002B2CF9AE}" pid="7" name="Last edited using">
    <vt:lpwstr>LW 9.0, Build 20230317</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CP-003</vt:lpwstr>
  </property>
  <property fmtid="{D5CDD505-2E9C-101B-9397-08002B2CF9AE}" pid="12" name="_LW_INVALIDATED__LW_INVALIDATED__LW_INVALIDATED__LW_INVALIDATED__LW_INVALIDATED__LW_INVALIDATED_ContentTypeId">
    <vt:lpwstr>0x010100258AA79CEB83498886A3A086811232500050C710B82CC91B4ABD2B1740005DEAB8</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2022-07-06T17:57:39Z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88073e11-fa23-4828-9d82-a2edf3db7b26</vt:lpwstr>
  </property>
  <property fmtid="{D5CDD505-2E9C-101B-9397-08002B2CF9AE}" pid="19" name="MSIP_Label_6bd9ddd1-4d20-43f6-abfa-fc3c07406f94_ContentBits">
    <vt:lpwstr>0</vt:lpwstr>
  </property>
  <property fmtid="{D5CDD505-2E9C-101B-9397-08002B2CF9AE}" pid="20" name="ContentTypeId">
    <vt:lpwstr>0x010100258AA79CEB83498886A3A0868112325000AA4161285B35C047BFD4CB0CA378D45F</vt:lpwstr>
  </property>
  <property fmtid="{D5CDD505-2E9C-101B-9397-08002B2CF9AE}" pid="21" name="_dlc_DocIdItemGuid">
    <vt:lpwstr>fba64129-e161-4c4e-ad53-f3eaae5c08b1</vt:lpwstr>
  </property>
</Properties>
</file>