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E2378" w14:textId="5A8789A9" w:rsidR="005F4EDC" w:rsidRPr="004D53CF" w:rsidRDefault="00E37E56" w:rsidP="00E37E56">
      <w:pPr>
        <w:pStyle w:val="Pagedecouverture"/>
        <w:rPr>
          <w:noProof/>
        </w:rPr>
      </w:pPr>
      <w:bookmarkStart w:id="0" w:name="LW_BM_COVERPAGE"/>
      <w:r>
        <w:rPr>
          <w:noProof/>
        </w:rPr>
        <w:pict w14:anchorId="770A2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78823982-FBCB-46A9-AAD4-72207890B00E" style="width:455.25pt;height:296.25pt">
            <v:imagedata r:id="rId8" o:title=""/>
          </v:shape>
        </w:pict>
      </w:r>
    </w:p>
    <w:bookmarkEnd w:id="0"/>
    <w:p w14:paraId="39B73C1F" w14:textId="77777777" w:rsidR="005F4EDC" w:rsidRPr="004D53CF" w:rsidRDefault="005F4EDC" w:rsidP="005F4EDC">
      <w:pPr>
        <w:rPr>
          <w:rFonts w:ascii="Times New Roman" w:hAnsi="Times New Roman" w:cs="Times New Roman"/>
          <w:noProof/>
          <w:sz w:val="24"/>
          <w:szCs w:val="24"/>
        </w:rPr>
        <w:sectPr w:rsidR="005F4EDC" w:rsidRPr="004D53CF" w:rsidSect="00E37E56">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7255ED8A" w14:textId="77777777" w:rsidR="00A70417" w:rsidRPr="004D53CF" w:rsidRDefault="00A70417" w:rsidP="00D61044">
      <w:pPr>
        <w:pStyle w:val="ListParagraph"/>
        <w:numPr>
          <w:ilvl w:val="0"/>
          <w:numId w:val="1"/>
        </w:numPr>
        <w:spacing w:after="120" w:line="240" w:lineRule="auto"/>
        <w:rPr>
          <w:rFonts w:ascii="Times New Roman" w:hAnsi="Times New Roman" w:cs="Times New Roman"/>
          <w:noProof/>
          <w:sz w:val="24"/>
          <w:szCs w:val="24"/>
          <w:u w:val="single"/>
        </w:rPr>
      </w:pPr>
      <w:bookmarkStart w:id="1" w:name="_Hlk138074336"/>
      <w:bookmarkStart w:id="2" w:name="_GoBack"/>
      <w:bookmarkEnd w:id="2"/>
      <w:r>
        <w:rPr>
          <w:rFonts w:ascii="Times New Roman" w:hAnsi="Times New Roman"/>
          <w:b/>
          <w:noProof/>
          <w:sz w:val="24"/>
          <w:u w:val="single"/>
        </w:rPr>
        <w:lastRenderedPageBreak/>
        <w:t>Въведение</w:t>
      </w:r>
    </w:p>
    <w:p w14:paraId="24452DFD" w14:textId="341BE5E0" w:rsidR="00E944E2" w:rsidRDefault="00A70417" w:rsidP="003A3563">
      <w:pPr>
        <w:spacing w:after="120" w:line="240" w:lineRule="auto"/>
        <w:jc w:val="both"/>
        <w:rPr>
          <w:rFonts w:ascii="Times New Roman" w:hAnsi="Times New Roman" w:cs="Times New Roman"/>
          <w:noProof/>
          <w:sz w:val="24"/>
          <w:szCs w:val="24"/>
        </w:rPr>
      </w:pPr>
      <w:r>
        <w:rPr>
          <w:rFonts w:ascii="Times New Roman" w:hAnsi="Times New Roman"/>
          <w:noProof/>
          <w:sz w:val="24"/>
        </w:rPr>
        <w:t>Типовите глобални правила срещу свиване на данъчната основа („правилата GloBE“), които се отнасят до втория стълб, предвиден в Декларацията от октомври 2021 г. на Приобщаващата рамка за борба със свиването на данъчната основа и прехвърлянето на печалби</w:t>
      </w:r>
      <w:r>
        <w:rPr>
          <w:rStyle w:val="FootnoteReference"/>
          <w:rFonts w:ascii="Times New Roman" w:hAnsi="Times New Roman" w:cs="Times New Roman"/>
          <w:noProof/>
          <w:sz w:val="24"/>
          <w:szCs w:val="24"/>
          <w:lang w:val="en-IE"/>
        </w:rPr>
        <w:footnoteReference w:id="1"/>
      </w:r>
      <w:r>
        <w:rPr>
          <w:rFonts w:ascii="Times New Roman" w:hAnsi="Times New Roman"/>
          <w:noProof/>
          <w:sz w:val="24"/>
        </w:rPr>
        <w:t>, бяха одобрени на 14 декември 2021 г. и бяха публикувани от Организацията за икономическо сътрудничество и развитие (ОИСР) на 20 декември 2021 г.</w:t>
      </w:r>
      <w:r>
        <w:rPr>
          <w:rStyle w:val="FootnoteReference"/>
          <w:rFonts w:ascii="Times New Roman" w:hAnsi="Times New Roman" w:cs="Times New Roman"/>
          <w:noProof/>
          <w:sz w:val="24"/>
          <w:szCs w:val="24"/>
          <w:lang w:val="en-IE"/>
        </w:rPr>
        <w:footnoteReference w:id="2"/>
      </w:r>
      <w:r>
        <w:rPr>
          <w:rFonts w:ascii="Times New Roman" w:hAnsi="Times New Roman"/>
          <w:noProof/>
          <w:sz w:val="24"/>
        </w:rPr>
        <w:t xml:space="preserve">. Понастоящем ОИСР довършва техническата работа по някои аспекти от Административните насоки (в това число правилото за ограничаване на данъчните задължения по отношение на допустимия национален минимален допълнителен данък, преходното правило за ограничаване на данъчните задължения по отношение на правилото за печалбите, обложени с по-нисък данък, и справка-декларацията във връзка с правилата GloBE) и планира да я приключи до юли 2023 г. </w:t>
      </w:r>
    </w:p>
    <w:p w14:paraId="5A1E6612" w14:textId="2FF60A17" w:rsidR="00F173FE" w:rsidRDefault="00A70417" w:rsidP="00D61044">
      <w:pPr>
        <w:spacing w:after="120" w:line="240" w:lineRule="auto"/>
        <w:jc w:val="both"/>
        <w:rPr>
          <w:rFonts w:ascii="Times New Roman" w:hAnsi="Times New Roman" w:cs="Times New Roman"/>
          <w:noProof/>
          <w:sz w:val="24"/>
          <w:szCs w:val="24"/>
        </w:rPr>
      </w:pPr>
      <w:r>
        <w:rPr>
          <w:rFonts w:ascii="Times New Roman" w:hAnsi="Times New Roman"/>
          <w:noProof/>
          <w:sz w:val="24"/>
        </w:rPr>
        <w:t>Типовите глобални правила срещу свиване на данъчната основа (втори стълб) бяха въведени в законодателството на ЕС чрез Директивата от 15 декември 2022 г. за гарантиране на глобално минимално равнище на данъчно облагане на многонационалните групи от предприятия и големите национални групи в Съюза („Директивата за втория стълб“)</w:t>
      </w:r>
      <w:r>
        <w:rPr>
          <w:rStyle w:val="FootnoteReference"/>
          <w:rFonts w:ascii="Times New Roman" w:hAnsi="Times New Roman" w:cs="Times New Roman"/>
          <w:noProof/>
          <w:sz w:val="24"/>
          <w:szCs w:val="24"/>
          <w:lang w:val="en-IE"/>
        </w:rPr>
        <w:footnoteReference w:id="3"/>
      </w:r>
      <w:r>
        <w:rPr>
          <w:noProof/>
        </w:rPr>
        <w:t>.</w:t>
      </w:r>
      <w:r>
        <w:rPr>
          <w:rFonts w:ascii="Times New Roman" w:hAnsi="Times New Roman"/>
          <w:noProof/>
          <w:sz w:val="24"/>
        </w:rPr>
        <w:t xml:space="preserve"> По силата на член 57 от Директивата за втория стълб Комисията е длъжна да представи на Съвета до 30 юни 2023 г. доклад относно прилагането на първия стълб, предвиден в Декларацията от октомври 2021 г. Настоящият доклад съдържа кратка оценка на състоянието на преговорите, които се водят в ОИСР относно първия стълб. Тъй като понастоящем работата във връзка с първия стълб все още продължава на равнището на ОИСР, в доклада се прави оценка на прилагането на първия стълб към момента на изготвянето на доклада.</w:t>
      </w:r>
    </w:p>
    <w:p w14:paraId="3926B519" w14:textId="77777777" w:rsidR="00882246" w:rsidRPr="003E5E29" w:rsidRDefault="00882246" w:rsidP="00D61044">
      <w:pPr>
        <w:spacing w:after="120" w:line="240" w:lineRule="auto"/>
        <w:contextualSpacing/>
        <w:jc w:val="both"/>
        <w:rPr>
          <w:rFonts w:ascii="Times New Roman" w:hAnsi="Times New Roman" w:cs="Times New Roman"/>
          <w:noProof/>
          <w:sz w:val="24"/>
          <w:szCs w:val="24"/>
          <w:lang w:val="en-IE"/>
        </w:rPr>
      </w:pPr>
    </w:p>
    <w:bookmarkEnd w:id="1"/>
    <w:p w14:paraId="30EF2438" w14:textId="77777777" w:rsidR="004D53CF" w:rsidRPr="004D53CF" w:rsidRDefault="004D53CF" w:rsidP="00D61044">
      <w:pPr>
        <w:pStyle w:val="ListParagraph"/>
        <w:numPr>
          <w:ilvl w:val="0"/>
          <w:numId w:val="1"/>
        </w:numPr>
        <w:spacing w:after="120" w:line="240" w:lineRule="auto"/>
        <w:rPr>
          <w:rFonts w:ascii="Times New Roman" w:hAnsi="Times New Roman" w:cs="Times New Roman"/>
          <w:b/>
          <w:bCs/>
          <w:noProof/>
          <w:sz w:val="24"/>
          <w:szCs w:val="24"/>
          <w:u w:val="single"/>
        </w:rPr>
      </w:pPr>
      <w:r>
        <w:rPr>
          <w:rFonts w:ascii="Times New Roman" w:hAnsi="Times New Roman"/>
          <w:b/>
          <w:noProof/>
          <w:sz w:val="24"/>
          <w:u w:val="single"/>
        </w:rPr>
        <w:t>Оценка на прилагането на първия стълб</w:t>
      </w:r>
    </w:p>
    <w:p w14:paraId="28F5C999" w14:textId="1BE3BFBD" w:rsidR="00EE7E30" w:rsidRDefault="00882246" w:rsidP="00D61044">
      <w:pPr>
        <w:spacing w:after="120" w:line="240" w:lineRule="auto"/>
        <w:jc w:val="both"/>
        <w:rPr>
          <w:rFonts w:ascii="Times New Roman" w:hAnsi="Times New Roman" w:cs="Times New Roman"/>
          <w:noProof/>
          <w:sz w:val="24"/>
          <w:szCs w:val="24"/>
        </w:rPr>
      </w:pPr>
      <w:r>
        <w:rPr>
          <w:rFonts w:ascii="Times New Roman" w:hAnsi="Times New Roman"/>
          <w:noProof/>
          <w:sz w:val="24"/>
        </w:rPr>
        <w:t>Първият стълб се състои от два основни компонента</w:t>
      </w:r>
      <w:r>
        <w:rPr>
          <w:rFonts w:ascii="Times New Roman" w:hAnsi="Times New Roman" w:cs="Times New Roman"/>
          <w:noProof/>
          <w:sz w:val="24"/>
          <w:szCs w:val="24"/>
          <w:vertAlign w:val="superscript"/>
          <w:lang w:val="en-IE"/>
        </w:rPr>
        <w:footnoteReference w:id="4"/>
      </w:r>
      <w:r>
        <w:rPr>
          <w:rFonts w:ascii="Times New Roman" w:hAnsi="Times New Roman"/>
          <w:noProof/>
          <w:sz w:val="24"/>
        </w:rPr>
        <w:t>. Сумата А дава на пазарните юрисдикции ново право да облагат с данък част от остатъчните печалби</w:t>
      </w:r>
      <w:r>
        <w:rPr>
          <w:rStyle w:val="FootnoteReference"/>
          <w:rFonts w:ascii="Times New Roman" w:hAnsi="Times New Roman" w:cs="Times New Roman"/>
          <w:noProof/>
          <w:sz w:val="24"/>
          <w:szCs w:val="24"/>
          <w:lang w:val="en-IE"/>
        </w:rPr>
        <w:footnoteReference w:id="5"/>
      </w:r>
      <w:r>
        <w:rPr>
          <w:rFonts w:ascii="Times New Roman" w:hAnsi="Times New Roman"/>
          <w:noProof/>
          <w:sz w:val="24"/>
        </w:rPr>
        <w:t xml:space="preserve"> на най-големите и най-печелившите многонационални предприятия в света. Сумата Б има за цел да се опрости и да се рационализира прилагането на принципа на сделката между несвързани лица към основните маркетингови и дистрибуционни дейности в дадена държава</w:t>
      </w:r>
      <w:r>
        <w:rPr>
          <w:rStyle w:val="FootnoteReference"/>
          <w:rFonts w:ascii="Times New Roman" w:hAnsi="Times New Roman" w:cs="Times New Roman"/>
          <w:noProof/>
          <w:sz w:val="24"/>
          <w:szCs w:val="24"/>
          <w:lang w:val="en-IE"/>
        </w:rPr>
        <w:footnoteReference w:id="6"/>
      </w:r>
      <w:r>
        <w:rPr>
          <w:rFonts w:ascii="Times New Roman" w:hAnsi="Times New Roman"/>
          <w:noProof/>
          <w:sz w:val="24"/>
        </w:rPr>
        <w:t xml:space="preserve">. </w:t>
      </w:r>
    </w:p>
    <w:p w14:paraId="38B3DA92" w14:textId="29A9E4EF" w:rsidR="004D53CF" w:rsidRPr="004D53CF" w:rsidRDefault="00A70417" w:rsidP="00882246">
      <w:pPr>
        <w:spacing w:after="120" w:line="240" w:lineRule="auto"/>
        <w:jc w:val="both"/>
        <w:rPr>
          <w:rFonts w:ascii="Times New Roman" w:hAnsi="Times New Roman" w:cs="Times New Roman"/>
          <w:noProof/>
          <w:sz w:val="24"/>
          <w:szCs w:val="24"/>
        </w:rPr>
      </w:pPr>
      <w:r>
        <w:rPr>
          <w:rFonts w:ascii="Times New Roman" w:hAnsi="Times New Roman"/>
          <w:noProof/>
          <w:sz w:val="24"/>
        </w:rPr>
        <w:t>Приобщаващата рамка за борба със свиването на данъчната основа и прехвърлянето на печалби оформи облика на споразумението относно ключовите елементи на сумата А, както е отразено в Декларацията от октомври 2021 г. Приобщаващата рамка за борба със свиването на данъчната основа и прехвърлянето на печалби възложи на Работната група по въпросите на цифровата икономика да продължи с техническата работа. В Доклада от юли 2022 г. относно напредъка във връзка със сумата А от първия стълб</w:t>
      </w:r>
      <w:r>
        <w:rPr>
          <w:rStyle w:val="FootnoteReference"/>
          <w:rFonts w:ascii="Times New Roman" w:hAnsi="Times New Roman" w:cs="Times New Roman"/>
          <w:noProof/>
          <w:sz w:val="24"/>
          <w:szCs w:val="24"/>
          <w:lang w:val="en-IE"/>
        </w:rPr>
        <w:footnoteReference w:id="7"/>
      </w:r>
      <w:r>
        <w:rPr>
          <w:rFonts w:ascii="Times New Roman" w:hAnsi="Times New Roman"/>
          <w:noProof/>
          <w:sz w:val="24"/>
        </w:rPr>
        <w:t xml:space="preserve"> бяха очертани следните основни елементи на сумата А: </w:t>
      </w:r>
    </w:p>
    <w:p w14:paraId="66D4F3C5" w14:textId="0B602241" w:rsidR="004D53CF" w:rsidRPr="004D53CF" w:rsidRDefault="00465B50" w:rsidP="00D61044">
      <w:pPr>
        <w:pStyle w:val="ListParagraph"/>
        <w:numPr>
          <w:ilvl w:val="0"/>
          <w:numId w:val="2"/>
        </w:numPr>
        <w:spacing w:after="120" w:line="240" w:lineRule="auto"/>
        <w:ind w:left="357" w:hanging="357"/>
        <w:jc w:val="both"/>
        <w:rPr>
          <w:rFonts w:ascii="Times New Roman" w:hAnsi="Times New Roman" w:cs="Times New Roman"/>
          <w:noProof/>
          <w:sz w:val="24"/>
          <w:szCs w:val="24"/>
        </w:rPr>
      </w:pPr>
      <w:r>
        <w:rPr>
          <w:rFonts w:ascii="Times New Roman" w:hAnsi="Times New Roman"/>
          <w:noProof/>
          <w:sz w:val="24"/>
        </w:rPr>
        <w:t>правилата за обхвата, които съдържат прагове, предназначени да гарантират, че сумата А се прилага само за големи групи с високи печалби. Тези правила изключват от обхвата на сумата А приходите и печалбите от добивни дейности и от регулирани финансови услуги;</w:t>
      </w:r>
    </w:p>
    <w:p w14:paraId="1298B984" w14:textId="730F53C8" w:rsidR="004D53CF" w:rsidRPr="004D53CF" w:rsidRDefault="00465B50" w:rsidP="00D61044">
      <w:pPr>
        <w:pStyle w:val="ListParagraph"/>
        <w:numPr>
          <w:ilvl w:val="0"/>
          <w:numId w:val="2"/>
        </w:numPr>
        <w:spacing w:after="120" w:line="240" w:lineRule="auto"/>
        <w:ind w:left="357" w:hanging="357"/>
        <w:jc w:val="both"/>
        <w:rPr>
          <w:rFonts w:ascii="Times New Roman" w:hAnsi="Times New Roman" w:cs="Times New Roman"/>
          <w:noProof/>
          <w:sz w:val="24"/>
          <w:szCs w:val="24"/>
        </w:rPr>
      </w:pPr>
      <w:r>
        <w:rPr>
          <w:rFonts w:ascii="Times New Roman" w:hAnsi="Times New Roman"/>
          <w:noProof/>
          <w:sz w:val="24"/>
        </w:rPr>
        <w:t>връзка със специално предназначение, която идентифицира юрисдикциите, отговарящи на критериите за сумата А, и подробни правила за източниците на приходи, които осигуряват методика за определяне на мястото, където са генерирани приходите на дадена група;</w:t>
      </w:r>
    </w:p>
    <w:p w14:paraId="0811B47B" w14:textId="67187FA0" w:rsidR="004D53CF" w:rsidRPr="004D53CF" w:rsidRDefault="00465B50" w:rsidP="00D61044">
      <w:pPr>
        <w:pStyle w:val="ListParagraph"/>
        <w:numPr>
          <w:ilvl w:val="0"/>
          <w:numId w:val="2"/>
        </w:numPr>
        <w:spacing w:after="120" w:line="240" w:lineRule="auto"/>
        <w:ind w:left="357" w:hanging="357"/>
        <w:jc w:val="both"/>
        <w:rPr>
          <w:rFonts w:ascii="Times New Roman" w:hAnsi="Times New Roman" w:cs="Times New Roman"/>
          <w:noProof/>
          <w:sz w:val="24"/>
          <w:szCs w:val="24"/>
        </w:rPr>
      </w:pPr>
      <w:r>
        <w:rPr>
          <w:rFonts w:ascii="Times New Roman" w:hAnsi="Times New Roman"/>
          <w:noProof/>
          <w:sz w:val="24"/>
        </w:rPr>
        <w:t>правила за данъчната основа, съдържащи стъпките за изчисляване на печалбата (или загубата) на дадена група, която да бъде използвана за целите на изчисляването на сумата А;</w:t>
      </w:r>
    </w:p>
    <w:p w14:paraId="2A4576A7" w14:textId="411F6EB2" w:rsidR="004D53CF" w:rsidRPr="004D53CF" w:rsidRDefault="00465B50" w:rsidP="00D61044">
      <w:pPr>
        <w:pStyle w:val="ListParagraph"/>
        <w:numPr>
          <w:ilvl w:val="0"/>
          <w:numId w:val="2"/>
        </w:numPr>
        <w:spacing w:after="120" w:line="240" w:lineRule="auto"/>
        <w:ind w:left="357" w:hanging="357"/>
        <w:jc w:val="both"/>
        <w:rPr>
          <w:rFonts w:ascii="Times New Roman" w:hAnsi="Times New Roman" w:cs="Times New Roman"/>
          <w:noProof/>
          <w:sz w:val="24"/>
          <w:szCs w:val="24"/>
        </w:rPr>
      </w:pPr>
      <w:r>
        <w:rPr>
          <w:rFonts w:ascii="Times New Roman" w:hAnsi="Times New Roman"/>
          <w:noProof/>
          <w:sz w:val="24"/>
        </w:rPr>
        <w:t>правила за разпределяне на печалбата, основаващи се на формула, чрез която 25 % от печалбата на дадена група, надхвърляща прага на рентабилност от 10 % от приходите на групата, се разпределят на отговарящите на критериите пазарни юрисдикции, и се взима предвид правило за ограничаване на данъчните задължения за маркетинг и дистрибуция за пазарните юрисдикции, които имат права да облагат с данъци остатъчните печалби на групата;</w:t>
      </w:r>
    </w:p>
    <w:p w14:paraId="45E59F56" w14:textId="042981CE" w:rsidR="004D53CF" w:rsidRPr="004D53CF" w:rsidRDefault="00465B50" w:rsidP="00D61044">
      <w:pPr>
        <w:pStyle w:val="ListParagraph"/>
        <w:numPr>
          <w:ilvl w:val="0"/>
          <w:numId w:val="2"/>
        </w:numPr>
        <w:spacing w:after="120" w:line="240" w:lineRule="auto"/>
        <w:ind w:left="357" w:hanging="357"/>
        <w:jc w:val="both"/>
        <w:rPr>
          <w:rFonts w:ascii="Times New Roman" w:hAnsi="Times New Roman" w:cs="Times New Roman"/>
          <w:noProof/>
          <w:sz w:val="24"/>
          <w:szCs w:val="24"/>
        </w:rPr>
      </w:pPr>
      <w:r>
        <w:rPr>
          <w:rFonts w:ascii="Times New Roman" w:hAnsi="Times New Roman"/>
          <w:noProof/>
          <w:sz w:val="24"/>
        </w:rPr>
        <w:t xml:space="preserve">правила за премахване на евентуалното двойно данъчно облагане, произтичащо от прилагането на сумата А като наслагване върху съществуващата система за разпределяне на печалбата; </w:t>
      </w:r>
    </w:p>
    <w:p w14:paraId="151E88B3" w14:textId="4765741B" w:rsidR="004D53CF" w:rsidRPr="004D53CF" w:rsidRDefault="00465B50" w:rsidP="00D61044">
      <w:pPr>
        <w:pStyle w:val="ListParagraph"/>
        <w:numPr>
          <w:ilvl w:val="0"/>
          <w:numId w:val="2"/>
        </w:numPr>
        <w:spacing w:after="120" w:line="240" w:lineRule="auto"/>
        <w:ind w:left="357" w:hanging="357"/>
        <w:jc w:val="both"/>
        <w:rPr>
          <w:rFonts w:ascii="Times New Roman" w:hAnsi="Times New Roman" w:cs="Times New Roman"/>
          <w:noProof/>
          <w:sz w:val="24"/>
          <w:szCs w:val="24"/>
        </w:rPr>
      </w:pPr>
      <w:r>
        <w:rPr>
          <w:rFonts w:ascii="Times New Roman" w:hAnsi="Times New Roman"/>
          <w:noProof/>
          <w:sz w:val="24"/>
        </w:rPr>
        <w:t xml:space="preserve">и процес на данъчна сигурност по отношение на новите правила за сумата А и свързаните с това въпроси. </w:t>
      </w:r>
    </w:p>
    <w:p w14:paraId="4F6F086D" w14:textId="0679F818" w:rsidR="004D53CF" w:rsidRPr="004D53CF" w:rsidRDefault="004D53CF" w:rsidP="00882246">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Секретариатът на ОИСР понастоящем работи върху претворяването на правилата за сумата А, които изглежда вече са приемливи за членовете на Работната група по въпросите на цифровата икономика, в разпоредби, които да бъдат включени в многостранна конвенция и обяснителна декларация. В многостранната конвенция ще бъдат формулирани правните задължения на страните да прилагат сумата А по координиран и съгласуван начин. Обяснителната декларация ще съдържа коментари и тълкувания на правилата на многостранната конвенция. </w:t>
      </w:r>
    </w:p>
    <w:p w14:paraId="71A32FC9" w14:textId="4DF49321" w:rsidR="004D53CF" w:rsidRPr="004D53CF" w:rsidRDefault="004D53CF" w:rsidP="00882246">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Техническата работа на Работната група по въпросите на цифровата икономика все още не е приключила. За предстоящите седмици са планирани няколко заседания. Елементите на многостранната конвенция, по които все още текат обсъждания, включват: премахването на двойното данъчно облагане, правилото за ограничаване на данъчните задължения за маркетинга и дистрибуцията, третирането на данъците, удържани при източника, замразяването и премахването на данъците върху цифровите услуги и други подобни едностранни мерки, прилагането на автономно освобождаване за местните предприятия, както и условието за влизане в сила. </w:t>
      </w:r>
    </w:p>
    <w:p w14:paraId="1CDB37E6" w14:textId="4A26CF7D" w:rsidR="006B121A" w:rsidRDefault="004D53CF" w:rsidP="00882246">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Секретариатът на ОИСР възнамерява да приключи техническата работа до 10—12 юли 2023 г. и да представи пакета с многостранната конвенция и обяснителната декларация. Тъй като поради свои вътрешни съображения юрисдикциите имат нужда от допълнително време преди да подпишат многостранната конвенция, се очаква церемонията по нейното подписване да се състои в края на 2023 г. </w:t>
      </w:r>
    </w:p>
    <w:p w14:paraId="2C7F2BF6" w14:textId="6562D55C" w:rsidR="00AC45C7" w:rsidRDefault="0099225C" w:rsidP="000863FE">
      <w:pPr>
        <w:pStyle w:val="ListParagraph"/>
        <w:spacing w:after="6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Секретариатът на ОИСР планира също така през юли да има предварително споразумение по основните компоненти от сумата Б, което да бъде предмет на етап на валидиране до края на 2023 г. По-конкретно ОИСР предвижда да постигне споразумение по следните елементи от сумата Б:</w:t>
      </w:r>
    </w:p>
    <w:p w14:paraId="25C63970" w14:textId="5AE8EE77" w:rsidR="00AC45C7" w:rsidRPr="00AC45C7" w:rsidRDefault="007B5DBD" w:rsidP="00D61044">
      <w:pPr>
        <w:pStyle w:val="ListParagraph"/>
        <w:numPr>
          <w:ilvl w:val="0"/>
          <w:numId w:val="3"/>
        </w:numPr>
        <w:spacing w:after="120" w:line="240" w:lineRule="auto"/>
        <w:ind w:left="357" w:hanging="357"/>
        <w:jc w:val="both"/>
        <w:rPr>
          <w:rFonts w:ascii="Times New Roman" w:hAnsi="Times New Roman" w:cs="Times New Roman"/>
          <w:noProof/>
          <w:sz w:val="24"/>
          <w:szCs w:val="24"/>
        </w:rPr>
      </w:pPr>
      <w:r>
        <w:rPr>
          <w:rFonts w:ascii="Times New Roman" w:hAnsi="Times New Roman"/>
          <w:noProof/>
          <w:sz w:val="24"/>
        </w:rPr>
        <w:t>обхвата, като до края на годината следва да бъде извършена допълнителна работа, за да се определят по-добре списъкът на изключените дейности и целесъобразността на методиката на ценообразуването за цифровите стоки;</w:t>
      </w:r>
    </w:p>
    <w:p w14:paraId="40963296" w14:textId="35112F8F" w:rsidR="00AC45C7" w:rsidRPr="00AC45C7" w:rsidRDefault="00465B50" w:rsidP="00D61044">
      <w:pPr>
        <w:pStyle w:val="ListParagraph"/>
        <w:numPr>
          <w:ilvl w:val="0"/>
          <w:numId w:val="3"/>
        </w:numPr>
        <w:spacing w:after="120" w:line="240" w:lineRule="auto"/>
        <w:ind w:left="357" w:hanging="357"/>
        <w:jc w:val="both"/>
        <w:rPr>
          <w:rFonts w:ascii="Times New Roman" w:hAnsi="Times New Roman" w:cs="Times New Roman"/>
          <w:noProof/>
          <w:sz w:val="24"/>
          <w:szCs w:val="24"/>
        </w:rPr>
      </w:pPr>
      <w:r>
        <w:rPr>
          <w:rFonts w:ascii="Times New Roman" w:hAnsi="Times New Roman"/>
          <w:noProof/>
          <w:sz w:val="24"/>
        </w:rPr>
        <w:t>откриването на етапа на валидиране на рамката за ценообразуване, който ще трае до края на годината и ще включва нова обществена консултация;</w:t>
      </w:r>
    </w:p>
    <w:p w14:paraId="5D1F8779" w14:textId="6F5A631A" w:rsidR="00AC45C7" w:rsidRPr="00AC45C7" w:rsidRDefault="0076465D" w:rsidP="00D61044">
      <w:pPr>
        <w:pStyle w:val="ListParagraph"/>
        <w:numPr>
          <w:ilvl w:val="0"/>
          <w:numId w:val="3"/>
        </w:numPr>
        <w:spacing w:after="120" w:line="240" w:lineRule="auto"/>
        <w:ind w:left="357" w:hanging="357"/>
        <w:jc w:val="both"/>
        <w:rPr>
          <w:rFonts w:ascii="Times New Roman" w:hAnsi="Times New Roman" w:cs="Times New Roman"/>
          <w:noProof/>
          <w:sz w:val="24"/>
          <w:szCs w:val="24"/>
        </w:rPr>
      </w:pPr>
      <w:r>
        <w:rPr>
          <w:rFonts w:ascii="Times New Roman" w:hAnsi="Times New Roman"/>
          <w:noProof/>
          <w:sz w:val="24"/>
        </w:rPr>
        <w:t>рамка за прилагане, която признава, че през януари 2024 г. сумата Б ще бъде включена в Насоките на ОИСР относно трансферното ценообразуване и ще бъде подложена на преглед 3 години след началото на прилагането.</w:t>
      </w:r>
    </w:p>
    <w:p w14:paraId="0F9099FE" w14:textId="77777777" w:rsidR="00882246" w:rsidRPr="00D61044" w:rsidRDefault="00882246" w:rsidP="00D61044">
      <w:pPr>
        <w:spacing w:after="120" w:line="240" w:lineRule="auto"/>
        <w:rPr>
          <w:rFonts w:ascii="Times New Roman" w:hAnsi="Times New Roman" w:cs="Times New Roman"/>
          <w:noProof/>
          <w:sz w:val="24"/>
          <w:szCs w:val="24"/>
          <w:lang w:val="en-IE"/>
        </w:rPr>
      </w:pPr>
    </w:p>
    <w:p w14:paraId="39E0E28F" w14:textId="77777777" w:rsidR="004D53CF" w:rsidRPr="004D53CF" w:rsidRDefault="004D53CF" w:rsidP="00D61044">
      <w:pPr>
        <w:pStyle w:val="ListParagraph"/>
        <w:numPr>
          <w:ilvl w:val="0"/>
          <w:numId w:val="1"/>
        </w:numPr>
        <w:spacing w:after="120" w:line="240" w:lineRule="auto"/>
        <w:rPr>
          <w:rFonts w:ascii="Times New Roman" w:hAnsi="Times New Roman" w:cs="Times New Roman"/>
          <w:b/>
          <w:bCs/>
          <w:noProof/>
          <w:sz w:val="24"/>
          <w:szCs w:val="24"/>
          <w:u w:val="single"/>
        </w:rPr>
      </w:pPr>
      <w:r>
        <w:rPr>
          <w:rFonts w:ascii="Times New Roman" w:hAnsi="Times New Roman"/>
          <w:b/>
          <w:noProof/>
          <w:sz w:val="24"/>
          <w:u w:val="single"/>
        </w:rPr>
        <w:t xml:space="preserve">Заключение </w:t>
      </w:r>
    </w:p>
    <w:p w14:paraId="053884A1" w14:textId="23E6F698" w:rsidR="004D53CF" w:rsidRPr="004D53CF" w:rsidRDefault="004D53CF" w:rsidP="00D61044">
      <w:pPr>
        <w:spacing w:after="120" w:line="240" w:lineRule="auto"/>
        <w:contextualSpacing/>
        <w:jc w:val="both"/>
        <w:rPr>
          <w:rFonts w:ascii="Times New Roman" w:hAnsi="Times New Roman" w:cs="Times New Roman"/>
          <w:noProof/>
          <w:sz w:val="24"/>
          <w:szCs w:val="24"/>
        </w:rPr>
      </w:pPr>
      <w:r>
        <w:rPr>
          <w:rFonts w:ascii="Times New Roman" w:hAnsi="Times New Roman"/>
          <w:noProof/>
          <w:sz w:val="24"/>
        </w:rPr>
        <w:t>Комисията приветства големите усилия и постигнатия до момента напредък и призовава всички участници да положат окончателно усилие за постигането на споразумение относно многостранната конвенция за прилагане на първия стълб. Комисията подкрепя категорично намерението на Секретариата на ОИСР да приключи многостранната конвенция и обяснителната декларация и да представи пакета през юли 2023 г., за да се гарантира възможно най-бързото подписване на многостранната конвенция. Това предоставя възможност да се постигне историческо споразумение в областта на международното данъчно облагане и да се завърши работата във връзка с решението, базирано на два стълба, което е предвидено в Декларацията от октомври 2021 г. Комисията ще положи максимални усилия, за да може първият стълб да се прилага на равнището на ЕС своевременно и съгласувано.</w:t>
      </w:r>
    </w:p>
    <w:sectPr w:rsidR="004D53CF" w:rsidRPr="004D53CF" w:rsidSect="005F4EDC">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6FEEB" w14:textId="77777777" w:rsidR="000B2AD8" w:rsidRDefault="000B2AD8" w:rsidP="005F4EDC">
      <w:pPr>
        <w:spacing w:after="0" w:line="240" w:lineRule="auto"/>
      </w:pPr>
      <w:r>
        <w:separator/>
      </w:r>
    </w:p>
  </w:endnote>
  <w:endnote w:type="continuationSeparator" w:id="0">
    <w:p w14:paraId="2251F10A" w14:textId="77777777" w:rsidR="000B2AD8" w:rsidRDefault="000B2AD8" w:rsidP="005F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FDA4F" w14:textId="3878B9EF" w:rsidR="00066620" w:rsidRPr="00E37E56" w:rsidRDefault="00066620" w:rsidP="00E37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EEDD6" w14:textId="7D4511B5" w:rsidR="00066620" w:rsidRPr="00E37E56" w:rsidRDefault="00E37E56" w:rsidP="00E37E56">
    <w:pPr>
      <w:pStyle w:val="FooterCoverPage"/>
      <w:rPr>
        <w:rFonts w:ascii="Arial" w:hAnsi="Arial" w:cs="Arial"/>
        <w:b/>
        <w:sz w:val="48"/>
      </w:rPr>
    </w:pPr>
    <w:r w:rsidRPr="00E37E56">
      <w:rPr>
        <w:rFonts w:ascii="Arial" w:hAnsi="Arial" w:cs="Arial"/>
        <w:b/>
        <w:sz w:val="48"/>
      </w:rPr>
      <w:t>BG</w:t>
    </w:r>
    <w:r w:rsidRPr="00E37E56">
      <w:rPr>
        <w:rFonts w:ascii="Arial" w:hAnsi="Arial" w:cs="Arial"/>
        <w:b/>
        <w:sz w:val="48"/>
      </w:rPr>
      <w:tab/>
    </w:r>
    <w:r w:rsidRPr="00E37E56">
      <w:rPr>
        <w:rFonts w:ascii="Arial" w:hAnsi="Arial" w:cs="Arial"/>
        <w:b/>
        <w:sz w:val="48"/>
      </w:rPr>
      <w:tab/>
    </w:r>
    <w:r w:rsidRPr="00E37E56">
      <w:tab/>
    </w:r>
    <w:r w:rsidRPr="00E37E56">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1F77B" w14:textId="77777777" w:rsidR="00E37E56" w:rsidRPr="00E37E56" w:rsidRDefault="00E37E56" w:rsidP="00E37E5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510B0" w14:textId="77777777" w:rsidR="005F4EDC" w:rsidRDefault="005F4E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243496"/>
      <w:docPartObj>
        <w:docPartGallery w:val="Page Numbers (Bottom of Page)"/>
        <w:docPartUnique/>
      </w:docPartObj>
    </w:sdtPr>
    <w:sdtEndPr>
      <w:rPr>
        <w:noProof/>
      </w:rPr>
    </w:sdtEndPr>
    <w:sdtContent>
      <w:p w14:paraId="7C8FE55B" w14:textId="57DE8964" w:rsidR="008D716F" w:rsidRDefault="008D716F">
        <w:pPr>
          <w:pStyle w:val="Footer"/>
          <w:jc w:val="center"/>
        </w:pPr>
        <w:r>
          <w:fldChar w:fldCharType="begin"/>
        </w:r>
        <w:r>
          <w:instrText xml:space="preserve"> PAGE   \* MERGEFORMAT </w:instrText>
        </w:r>
        <w:r>
          <w:fldChar w:fldCharType="separate"/>
        </w:r>
        <w:r w:rsidR="00E37E56">
          <w:rPr>
            <w:noProof/>
          </w:rPr>
          <w:t>1</w:t>
        </w:r>
        <w:r>
          <w:fldChar w:fldCharType="end"/>
        </w:r>
      </w:p>
    </w:sdtContent>
  </w:sdt>
  <w:p w14:paraId="35FBBFAC" w14:textId="77777777" w:rsidR="005F4EDC" w:rsidRDefault="005F4ED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A08F8" w14:textId="77777777" w:rsidR="005F4EDC" w:rsidRDefault="005F4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BE7B0" w14:textId="77777777" w:rsidR="000B2AD8" w:rsidRDefault="000B2AD8" w:rsidP="005F4EDC">
      <w:pPr>
        <w:spacing w:after="0" w:line="240" w:lineRule="auto"/>
      </w:pPr>
      <w:r>
        <w:separator/>
      </w:r>
    </w:p>
  </w:footnote>
  <w:footnote w:type="continuationSeparator" w:id="0">
    <w:p w14:paraId="2FF17FFC" w14:textId="77777777" w:rsidR="000B2AD8" w:rsidRDefault="000B2AD8" w:rsidP="005F4EDC">
      <w:pPr>
        <w:spacing w:after="0" w:line="240" w:lineRule="auto"/>
      </w:pPr>
      <w:r>
        <w:continuationSeparator/>
      </w:r>
    </w:p>
  </w:footnote>
  <w:footnote w:id="1">
    <w:p w14:paraId="2A9FA5FC" w14:textId="08D07D9F" w:rsidR="003A3563" w:rsidRPr="00D45AF0" w:rsidRDefault="003A3563">
      <w:pPr>
        <w:pStyle w:val="FootnoteText"/>
      </w:pPr>
      <w:r>
        <w:rPr>
          <w:rStyle w:val="FootnoteReference"/>
        </w:rPr>
        <w:footnoteRef/>
      </w:r>
      <w:r>
        <w:t xml:space="preserve"> </w:t>
      </w:r>
      <w:r>
        <w:rPr>
          <w:rFonts w:ascii="Times New Roman" w:hAnsi="Times New Roman"/>
        </w:rPr>
        <w:t>https://www.oecd.org/tax/beps/statement-on-a-two-pillar-solution-to-address-the-tax-challenges-arising-from-the-digitalisation-of-the-economy-october-2021.htm</w:t>
      </w:r>
    </w:p>
  </w:footnote>
  <w:footnote w:id="2">
    <w:p w14:paraId="08832328" w14:textId="77777777" w:rsidR="00A70417" w:rsidRPr="00D45AF0" w:rsidRDefault="00A70417" w:rsidP="00A7041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https://www.oecd-ilibrary.org/docserver/782bac33-en.pdf?expires=1686754557&amp;id=id&amp;accname=oid031827&amp;checksum=CA2158A15A6D3578CA5F47F381F39C5D</w:t>
      </w:r>
    </w:p>
  </w:footnote>
  <w:footnote w:id="3">
    <w:p w14:paraId="29E8779F" w14:textId="1F33C1B3" w:rsidR="00A70417" w:rsidRPr="00EE7E30" w:rsidRDefault="00A70417" w:rsidP="00EE7E3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Директива (ЕС) 2022/2523 на Съвета от 15 декември 2022 г. за гарантиране на глобално минимално равнище на данъчно облагане на многонационалните групи от предприятия и големите национални групи в Съюза (ОВ L 328, 22.12.2022 г., стр. 1).</w:t>
      </w:r>
    </w:p>
  </w:footnote>
  <w:footnote w:id="4">
    <w:p w14:paraId="7843B26B" w14:textId="5ED30354" w:rsidR="00EE7E30" w:rsidRPr="00EE7E30" w:rsidRDefault="00EE7E30" w:rsidP="00EE7E3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За по-подробна информация вж. плана за първия стълб: https://www.oecd-ilibrary.org/docserver/beba0634-en.pdf?expires=1686754864&amp;id=id&amp;accname=oid031827&amp;checksum=514DF17DC29D8C2C6CFFDE643BFC3A6D</w:t>
      </w:r>
    </w:p>
  </w:footnote>
  <w:footnote w:id="5">
    <w:p w14:paraId="5820A9C8" w14:textId="2A3649DC" w:rsidR="00EE7E30" w:rsidRPr="00D61044" w:rsidRDefault="00EE7E30" w:rsidP="00D6104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За целите на сумата А остатъчната печалба на групата се определя като печалбата, която надхвърля прага на рентабилност от 10 % от възвръщаемостта на продажбите на групата.</w:t>
      </w:r>
    </w:p>
  </w:footnote>
  <w:footnote w:id="6">
    <w:p w14:paraId="781E41AF" w14:textId="7FBC55A2" w:rsidR="00EE7E30" w:rsidRDefault="00EE7E30" w:rsidP="00D61044">
      <w:pPr>
        <w:pStyle w:val="FootnoteText"/>
        <w:jc w:val="both"/>
      </w:pPr>
      <w:r>
        <w:rPr>
          <w:rStyle w:val="FootnoteReference"/>
          <w:rFonts w:ascii="Times New Roman" w:hAnsi="Times New Roman" w:cs="Times New Roman"/>
        </w:rPr>
        <w:footnoteRef/>
      </w:r>
      <w:r>
        <w:rPr>
          <w:rFonts w:ascii="Times New Roman" w:hAnsi="Times New Roman"/>
        </w:rPr>
        <w:t xml:space="preserve"> Принципът на сделката между несвързани лица е международен стандарт, за който държавите — членки на ОИСР, се договориха, че следва да се използва за определянето на трансферни цени за данъчни цели.</w:t>
      </w:r>
    </w:p>
  </w:footnote>
  <w:footnote w:id="7">
    <w:p w14:paraId="59508F25" w14:textId="77777777" w:rsidR="004D53CF" w:rsidRPr="004D53CF" w:rsidRDefault="004D53CF" w:rsidP="004D53C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https://www.oecd.org/tax/beps/progress-report-on-amount-a-of-pillar-one-july-2022.pdf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64ECC" w14:textId="77777777" w:rsidR="00E37E56" w:rsidRPr="00E37E56" w:rsidRDefault="00E37E56" w:rsidP="00E37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C39B1" w14:textId="77777777" w:rsidR="00E37E56" w:rsidRPr="00E37E56" w:rsidRDefault="00E37E56" w:rsidP="00E37E5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7DDD7" w14:textId="77777777" w:rsidR="00E37E56" w:rsidRPr="00E37E56" w:rsidRDefault="00E37E56" w:rsidP="00E37E5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2FA2C" w14:textId="77777777" w:rsidR="005F4EDC" w:rsidRDefault="005F4E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A233D" w14:textId="77777777" w:rsidR="005F4EDC" w:rsidRDefault="005F4E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8BD38" w14:textId="77777777" w:rsidR="005F4EDC" w:rsidRDefault="005F4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334D2"/>
    <w:multiLevelType w:val="hybridMultilevel"/>
    <w:tmpl w:val="71E039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70C45864"/>
    <w:multiLevelType w:val="hybridMultilevel"/>
    <w:tmpl w:val="6E40F0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72742B39"/>
    <w:multiLevelType w:val="hybridMultilevel"/>
    <w:tmpl w:val="CE7E72D0"/>
    <w:lvl w:ilvl="0" w:tplc="229886F4">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8823982-FBCB-46A9-AAD4-72207890B00E"/>
    <w:docVar w:name="LW_COVERPAGE_TYPE" w:val="1"/>
    <w:docVar w:name="LW_CROSSREFERENCE" w:val="&lt;UNUSED&gt;"/>
    <w:docVar w:name="LW_DocType" w:val="NORMAL"/>
    <w:docVar w:name="LW_EMISSION" w:val="30.6.2023"/>
    <w:docVar w:name="LW_EMISSION_ISODATE" w:val="2023-06-30"/>
    <w:docVar w:name="LW_EMISSION_LOCATION" w:val="BRX"/>
    <w:docVar w:name="LW_EMISSION_PREFIX" w:val="\u1041?\u1088?\u1102?\u1082?\u1089?\u1077?\u1083?, "/>
    <w:docVar w:name="LW_EMISSION_SUFFIX" w:val=" \u1075?."/>
    <w:docVar w:name="LW_ID_DOCTYPE_NONLW" w:val="CP-004"/>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3) 3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Доклад за напредъка във връзка с първия стълб"/>
    <w:docVar w:name="LW_TYPE.DOC.CP" w:val="ДОКЛАД НА КОМИСИЯТА ДО СЪВЕТА"/>
    <w:docVar w:name="LwApiVersions" w:val="LW4CoDe 1.23.2.0; LW 8.0, Build 20211117"/>
  </w:docVars>
  <w:rsids>
    <w:rsidRoot w:val="005F4EDC"/>
    <w:rsid w:val="00013458"/>
    <w:rsid w:val="00034A90"/>
    <w:rsid w:val="000456A5"/>
    <w:rsid w:val="000475D9"/>
    <w:rsid w:val="00066620"/>
    <w:rsid w:val="000863FE"/>
    <w:rsid w:val="000871E7"/>
    <w:rsid w:val="00090A54"/>
    <w:rsid w:val="00091231"/>
    <w:rsid w:val="00096B08"/>
    <w:rsid w:val="000A2472"/>
    <w:rsid w:val="000B018D"/>
    <w:rsid w:val="000B2AD8"/>
    <w:rsid w:val="000C67A0"/>
    <w:rsid w:val="000D27CB"/>
    <w:rsid w:val="000D7DA3"/>
    <w:rsid w:val="001125EE"/>
    <w:rsid w:val="00125152"/>
    <w:rsid w:val="001352CF"/>
    <w:rsid w:val="00150AAC"/>
    <w:rsid w:val="00154630"/>
    <w:rsid w:val="00157A95"/>
    <w:rsid w:val="00186E79"/>
    <w:rsid w:val="001952F8"/>
    <w:rsid w:val="00197B3F"/>
    <w:rsid w:val="001E3AB1"/>
    <w:rsid w:val="00234929"/>
    <w:rsid w:val="00245995"/>
    <w:rsid w:val="002515C8"/>
    <w:rsid w:val="0026582E"/>
    <w:rsid w:val="002763F7"/>
    <w:rsid w:val="002A0F1A"/>
    <w:rsid w:val="002F5125"/>
    <w:rsid w:val="002F7861"/>
    <w:rsid w:val="00302B15"/>
    <w:rsid w:val="00311264"/>
    <w:rsid w:val="00313DAD"/>
    <w:rsid w:val="00336DFC"/>
    <w:rsid w:val="003456D7"/>
    <w:rsid w:val="00356554"/>
    <w:rsid w:val="0037330B"/>
    <w:rsid w:val="00376CBA"/>
    <w:rsid w:val="003774C9"/>
    <w:rsid w:val="003A3563"/>
    <w:rsid w:val="003A4FD3"/>
    <w:rsid w:val="003C7E8A"/>
    <w:rsid w:val="003E14EB"/>
    <w:rsid w:val="003E5E29"/>
    <w:rsid w:val="003F70CF"/>
    <w:rsid w:val="004555DE"/>
    <w:rsid w:val="00465B50"/>
    <w:rsid w:val="00473C77"/>
    <w:rsid w:val="004D00F5"/>
    <w:rsid w:val="004D53CF"/>
    <w:rsid w:val="00513685"/>
    <w:rsid w:val="00532AA2"/>
    <w:rsid w:val="005711BB"/>
    <w:rsid w:val="00595248"/>
    <w:rsid w:val="005A61C1"/>
    <w:rsid w:val="005C6813"/>
    <w:rsid w:val="005F4EDC"/>
    <w:rsid w:val="00601FF2"/>
    <w:rsid w:val="00634CC5"/>
    <w:rsid w:val="00653985"/>
    <w:rsid w:val="00654E71"/>
    <w:rsid w:val="006564F2"/>
    <w:rsid w:val="00665A76"/>
    <w:rsid w:val="006B121A"/>
    <w:rsid w:val="006B37BA"/>
    <w:rsid w:val="006D142B"/>
    <w:rsid w:val="00707582"/>
    <w:rsid w:val="00715C44"/>
    <w:rsid w:val="0076465D"/>
    <w:rsid w:val="00782A7A"/>
    <w:rsid w:val="007A3D87"/>
    <w:rsid w:val="007B5DBD"/>
    <w:rsid w:val="007F2DF9"/>
    <w:rsid w:val="008215C1"/>
    <w:rsid w:val="008725EA"/>
    <w:rsid w:val="00882246"/>
    <w:rsid w:val="0089490B"/>
    <w:rsid w:val="008A1707"/>
    <w:rsid w:val="008D716F"/>
    <w:rsid w:val="00945F87"/>
    <w:rsid w:val="00966E42"/>
    <w:rsid w:val="00990C31"/>
    <w:rsid w:val="0099225C"/>
    <w:rsid w:val="00997D8B"/>
    <w:rsid w:val="009A7700"/>
    <w:rsid w:val="009C4B93"/>
    <w:rsid w:val="009D54C5"/>
    <w:rsid w:val="00A63C3E"/>
    <w:rsid w:val="00A64D66"/>
    <w:rsid w:val="00A70417"/>
    <w:rsid w:val="00A90A9C"/>
    <w:rsid w:val="00AC3704"/>
    <w:rsid w:val="00AC45C7"/>
    <w:rsid w:val="00B20A50"/>
    <w:rsid w:val="00B24435"/>
    <w:rsid w:val="00B36C0F"/>
    <w:rsid w:val="00B4032E"/>
    <w:rsid w:val="00B62932"/>
    <w:rsid w:val="00B643A6"/>
    <w:rsid w:val="00B86F68"/>
    <w:rsid w:val="00B92181"/>
    <w:rsid w:val="00BA5BDC"/>
    <w:rsid w:val="00BF451B"/>
    <w:rsid w:val="00C07749"/>
    <w:rsid w:val="00C370A6"/>
    <w:rsid w:val="00C564C3"/>
    <w:rsid w:val="00C566AF"/>
    <w:rsid w:val="00C75955"/>
    <w:rsid w:val="00CD29F6"/>
    <w:rsid w:val="00CD36CE"/>
    <w:rsid w:val="00D022EB"/>
    <w:rsid w:val="00D45AF0"/>
    <w:rsid w:val="00D61044"/>
    <w:rsid w:val="00D65A7B"/>
    <w:rsid w:val="00D67F3D"/>
    <w:rsid w:val="00D856A7"/>
    <w:rsid w:val="00DA015A"/>
    <w:rsid w:val="00DF1261"/>
    <w:rsid w:val="00DF19B1"/>
    <w:rsid w:val="00E37E56"/>
    <w:rsid w:val="00E65F48"/>
    <w:rsid w:val="00E944E2"/>
    <w:rsid w:val="00EA632B"/>
    <w:rsid w:val="00EC7C14"/>
    <w:rsid w:val="00ED088F"/>
    <w:rsid w:val="00EE5060"/>
    <w:rsid w:val="00EE7E30"/>
    <w:rsid w:val="00F02DDC"/>
    <w:rsid w:val="00F173FE"/>
    <w:rsid w:val="00F177AD"/>
    <w:rsid w:val="00F20B90"/>
    <w:rsid w:val="00F404BE"/>
    <w:rsid w:val="00F60582"/>
    <w:rsid w:val="00F63AF4"/>
    <w:rsid w:val="00F65BCF"/>
    <w:rsid w:val="00F74769"/>
    <w:rsid w:val="00F94B6C"/>
    <w:rsid w:val="00FB47FA"/>
    <w:rsid w:val="00FB59E1"/>
    <w:rsid w:val="00FD1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69967E"/>
  <w15:chartTrackingRefBased/>
  <w15:docId w15:val="{F911F10B-10EE-44B1-AB40-EE031619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5F4EDC"/>
    <w:rPr>
      <w:color w:val="0000FF"/>
      <w:shd w:val="clear" w:color="auto" w:fill="auto"/>
    </w:rPr>
  </w:style>
  <w:style w:type="paragraph" w:styleId="Header">
    <w:name w:val="header"/>
    <w:basedOn w:val="Normal"/>
    <w:link w:val="HeaderChar"/>
    <w:uiPriority w:val="99"/>
    <w:unhideWhenUsed/>
    <w:rsid w:val="005F4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EDC"/>
  </w:style>
  <w:style w:type="paragraph" w:styleId="Footer">
    <w:name w:val="footer"/>
    <w:basedOn w:val="Normal"/>
    <w:link w:val="FooterChar"/>
    <w:uiPriority w:val="99"/>
    <w:unhideWhenUsed/>
    <w:rsid w:val="005F4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EDC"/>
  </w:style>
  <w:style w:type="paragraph" w:customStyle="1" w:styleId="Pagedecouverture">
    <w:name w:val="Page de couverture"/>
    <w:basedOn w:val="Normal"/>
    <w:next w:val="Normal"/>
    <w:rsid w:val="005F4ED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5F4EDC"/>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F4EDC"/>
    <w:rPr>
      <w:rFonts w:ascii="Times New Roman" w:hAnsi="Times New Roman" w:cs="Times New Roman"/>
      <w:sz w:val="24"/>
    </w:rPr>
  </w:style>
  <w:style w:type="paragraph" w:customStyle="1" w:styleId="FooterSensitivity">
    <w:name w:val="Footer Sensitivity"/>
    <w:basedOn w:val="Normal"/>
    <w:link w:val="FooterSensitivityChar"/>
    <w:rsid w:val="005F4EDC"/>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F4EDC"/>
    <w:rPr>
      <w:rFonts w:ascii="Times New Roman" w:hAnsi="Times New Roman" w:cs="Times New Roman"/>
      <w:b/>
      <w:sz w:val="32"/>
    </w:rPr>
  </w:style>
  <w:style w:type="paragraph" w:customStyle="1" w:styleId="HeaderCoverPage">
    <w:name w:val="Header Cover Page"/>
    <w:basedOn w:val="Normal"/>
    <w:link w:val="HeaderCoverPageChar"/>
    <w:rsid w:val="005F4EDC"/>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F4EDC"/>
    <w:rPr>
      <w:rFonts w:ascii="Times New Roman" w:hAnsi="Times New Roman" w:cs="Times New Roman"/>
      <w:sz w:val="24"/>
    </w:rPr>
  </w:style>
  <w:style w:type="paragraph" w:customStyle="1" w:styleId="HeaderSensitivity">
    <w:name w:val="Header Sensitivity"/>
    <w:basedOn w:val="Normal"/>
    <w:link w:val="HeaderSensitivityChar"/>
    <w:rsid w:val="005F4ED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F4EDC"/>
    <w:rPr>
      <w:rFonts w:ascii="Times New Roman" w:hAnsi="Times New Roman" w:cs="Times New Roman"/>
      <w:b/>
      <w:sz w:val="32"/>
    </w:rPr>
  </w:style>
  <w:style w:type="paragraph" w:customStyle="1" w:styleId="HeaderSensitivityRight">
    <w:name w:val="Header Sensitivity Right"/>
    <w:basedOn w:val="Normal"/>
    <w:link w:val="HeaderSensitivityRightChar"/>
    <w:rsid w:val="005F4EDC"/>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F4EDC"/>
    <w:rPr>
      <w:rFonts w:ascii="Times New Roman" w:hAnsi="Times New Roman" w:cs="Times New Roman"/>
      <w:sz w:val="28"/>
    </w:rPr>
  </w:style>
  <w:style w:type="paragraph" w:styleId="CommentText">
    <w:name w:val="annotation text"/>
    <w:basedOn w:val="Normal"/>
    <w:link w:val="CommentTextChar"/>
    <w:uiPriority w:val="99"/>
    <w:semiHidden/>
    <w:unhideWhenUsed/>
    <w:rsid w:val="004D53CF"/>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4D53CF"/>
    <w:rPr>
      <w:sz w:val="20"/>
      <w:szCs w:val="20"/>
      <w:lang w:val="bg-BG"/>
    </w:rPr>
  </w:style>
  <w:style w:type="paragraph" w:styleId="ListParagraph">
    <w:name w:val="List Paragraph"/>
    <w:basedOn w:val="Normal"/>
    <w:uiPriority w:val="34"/>
    <w:qFormat/>
    <w:rsid w:val="004D53CF"/>
    <w:pPr>
      <w:spacing w:after="160" w:line="259" w:lineRule="auto"/>
      <w:ind w:left="720"/>
      <w:contextualSpacing/>
    </w:pPr>
  </w:style>
  <w:style w:type="paragraph" w:styleId="FootnoteText">
    <w:name w:val="footnote text"/>
    <w:basedOn w:val="Normal"/>
    <w:link w:val="FootnoteTextChar"/>
    <w:uiPriority w:val="99"/>
    <w:semiHidden/>
    <w:unhideWhenUsed/>
    <w:rsid w:val="004D5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3CF"/>
    <w:rPr>
      <w:sz w:val="20"/>
      <w:szCs w:val="20"/>
      <w:lang w:val="bg-BG"/>
    </w:rPr>
  </w:style>
  <w:style w:type="character" w:styleId="FootnoteReference">
    <w:name w:val="footnote reference"/>
    <w:basedOn w:val="DefaultParagraphFont"/>
    <w:uiPriority w:val="99"/>
    <w:semiHidden/>
    <w:unhideWhenUsed/>
    <w:rsid w:val="004D53CF"/>
    <w:rPr>
      <w:vertAlign w:val="superscript"/>
    </w:rPr>
  </w:style>
  <w:style w:type="character" w:styleId="CommentReference">
    <w:name w:val="annotation reference"/>
    <w:basedOn w:val="DefaultParagraphFont"/>
    <w:uiPriority w:val="99"/>
    <w:semiHidden/>
    <w:unhideWhenUsed/>
    <w:rsid w:val="00B24435"/>
    <w:rPr>
      <w:sz w:val="16"/>
      <w:szCs w:val="16"/>
    </w:rPr>
  </w:style>
  <w:style w:type="paragraph" w:styleId="CommentSubject">
    <w:name w:val="annotation subject"/>
    <w:basedOn w:val="CommentText"/>
    <w:next w:val="CommentText"/>
    <w:link w:val="CommentSubjectChar"/>
    <w:uiPriority w:val="99"/>
    <w:semiHidden/>
    <w:unhideWhenUsed/>
    <w:rsid w:val="00B24435"/>
    <w:pPr>
      <w:spacing w:after="200"/>
    </w:pPr>
    <w:rPr>
      <w:b/>
      <w:bCs/>
    </w:rPr>
  </w:style>
  <w:style w:type="character" w:customStyle="1" w:styleId="CommentSubjectChar">
    <w:name w:val="Comment Subject Char"/>
    <w:basedOn w:val="CommentTextChar"/>
    <w:link w:val="CommentSubject"/>
    <w:uiPriority w:val="99"/>
    <w:semiHidden/>
    <w:rsid w:val="00B24435"/>
    <w:rPr>
      <w:b/>
      <w:bCs/>
      <w:sz w:val="20"/>
      <w:szCs w:val="20"/>
      <w:lang w:val="bg-BG"/>
    </w:rPr>
  </w:style>
  <w:style w:type="paragraph" w:styleId="Revision">
    <w:name w:val="Revision"/>
    <w:hidden/>
    <w:uiPriority w:val="99"/>
    <w:semiHidden/>
    <w:rsid w:val="00EE50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58634">
      <w:bodyDiv w:val="1"/>
      <w:marLeft w:val="0"/>
      <w:marRight w:val="0"/>
      <w:marTop w:val="0"/>
      <w:marBottom w:val="0"/>
      <w:divBdr>
        <w:top w:val="none" w:sz="0" w:space="0" w:color="auto"/>
        <w:left w:val="none" w:sz="0" w:space="0" w:color="auto"/>
        <w:bottom w:val="none" w:sz="0" w:space="0" w:color="auto"/>
        <w:right w:val="none" w:sz="0" w:space="0" w:color="auto"/>
      </w:divBdr>
    </w:div>
    <w:div w:id="199776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89F8-4CBA-4B2D-82D0-778F7F197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1069</Words>
  <Characters>6204</Characters>
  <Application>Microsoft Office Word</Application>
  <DocSecurity>0</DocSecurity>
  <Lines>106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29</cp:revision>
  <dcterms:created xsi:type="dcterms:W3CDTF">2023-06-27T13:15:00Z</dcterms:created>
  <dcterms:modified xsi:type="dcterms:W3CDTF">2023-06-30T04:25:00Z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2023-06-14T15:23:09Z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7b09caf3-d394-4fa2-9f81-f7cacc3e4f2d</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CP-004</vt:lpwstr>
  </property>
  <property fmtid="{D5CDD505-2E9C-101B-9397-08002B2CF9AE}" pid="14" name="Last edited using">
    <vt:lpwstr>LW 9.0, Build 20230317</vt:lpwstr>
  </property>
  <property fmtid="{D5CDD505-2E9C-101B-9397-08002B2CF9AE}" pid="15" name="Created using">
    <vt:lpwstr>LW 9.0, Build 20230317</vt:lpwstr>
  </property>
</Properties>
</file>