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27A3" w14:textId="6D0EE37E" w:rsidR="005B04D2" w:rsidRDefault="00EA42FA" w:rsidP="00EA42FA">
      <w:pPr>
        <w:pStyle w:val="Pagedecouverture"/>
        <w:rPr>
          <w:noProof/>
        </w:rPr>
      </w:pPr>
      <w:bookmarkStart w:id="0" w:name="LW_BM_COVERPAGE"/>
      <w:r>
        <w:rPr>
          <w:noProof/>
        </w:rPr>
        <w:pict w14:anchorId="0DDE8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C7A4123-CBA2-44E0-ACA0-53EEF4F7883D" style="width:455.25pt;height:351.75pt">
            <v:imagedata r:id="rId11" o:title=""/>
          </v:shape>
        </w:pict>
      </w:r>
    </w:p>
    <w:bookmarkEnd w:id="0"/>
    <w:p w14:paraId="48267AD2" w14:textId="77777777" w:rsidR="005B04D2" w:rsidRDefault="005B04D2" w:rsidP="005B04D2">
      <w:pPr>
        <w:rPr>
          <w:noProof/>
        </w:rPr>
        <w:sectPr w:rsidR="005B04D2" w:rsidSect="00EA42FA">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0742A5A1" w14:textId="77777777" w:rsidR="00C533FD" w:rsidRPr="00C533FD" w:rsidRDefault="00C533FD" w:rsidP="003E17C3">
      <w:pPr>
        <w:pStyle w:val="ManualHeading1"/>
        <w:ind w:left="0" w:firstLine="0"/>
        <w:jc w:val="center"/>
        <w:rPr>
          <w:noProof/>
          <w:lang w:val="en-US" w:eastAsia="de-DE"/>
        </w:rPr>
      </w:pPr>
      <w:bookmarkStart w:id="1" w:name="_GoBack"/>
      <w:bookmarkEnd w:id="1"/>
      <w:r w:rsidRPr="00C533FD">
        <w:rPr>
          <w:noProof/>
          <w:lang w:val="en-US" w:eastAsia="de-DE"/>
        </w:rPr>
        <w:lastRenderedPageBreak/>
        <w:t>REPORT FROM THE COMMISSION</w:t>
      </w:r>
    </w:p>
    <w:p w14:paraId="22D8D513" w14:textId="77777777" w:rsidR="00E22F83" w:rsidRDefault="00C533FD" w:rsidP="005026C3">
      <w:pPr>
        <w:pStyle w:val="ManualHeading1"/>
        <w:tabs>
          <w:tab w:val="clear" w:pos="850"/>
        </w:tabs>
        <w:jc w:val="center"/>
        <w:rPr>
          <w:noProof/>
          <w:lang w:val="en-US" w:eastAsia="de-DE"/>
        </w:rPr>
      </w:pPr>
      <w:r w:rsidRPr="00C533FD">
        <w:rPr>
          <w:noProof/>
          <w:lang w:val="en-US" w:eastAsia="de-DE"/>
        </w:rPr>
        <w:t>TO THE EUROPEAN PARLIAMENT, THE COUNCIL, THE EUROPEAN CENTRAL BANK, THE EUROPEAN ECONOMIC AND SOCIAL COMMITTEE AND THE COMMITTEE OF THE REGIONS</w:t>
      </w:r>
    </w:p>
    <w:p w14:paraId="73730D98" w14:textId="7C2C2E29" w:rsidR="00C533FD" w:rsidRDefault="005026C3" w:rsidP="00E22F83">
      <w:pPr>
        <w:pStyle w:val="ManualHeading1"/>
        <w:spacing w:before="120"/>
        <w:jc w:val="center"/>
        <w:rPr>
          <w:smallCaps w:val="0"/>
          <w:noProof/>
          <w:lang w:val="en-US"/>
        </w:rPr>
      </w:pPr>
      <w:r>
        <w:rPr>
          <w:smallCaps w:val="0"/>
          <w:noProof/>
          <w:lang w:val="en-US"/>
        </w:rPr>
        <w:t xml:space="preserve"> </w:t>
      </w:r>
      <w:r w:rsidR="00E22F83" w:rsidRPr="00E22F83">
        <w:rPr>
          <w:smallCaps w:val="0"/>
          <w:noProof/>
          <w:lang w:val="en-US"/>
        </w:rPr>
        <w:t>The intro</w:t>
      </w:r>
      <w:r w:rsidR="00ED6F77">
        <w:rPr>
          <w:smallCaps w:val="0"/>
          <w:noProof/>
          <w:lang w:val="en-US"/>
        </w:rPr>
        <w:t>duction of the euro in Croatia</w:t>
      </w:r>
    </w:p>
    <w:p w14:paraId="1ED98EBC" w14:textId="77777777" w:rsidR="009E427B" w:rsidRDefault="009E427B" w:rsidP="009E427B">
      <w:pPr>
        <w:pBdr>
          <w:top w:val="single" w:sz="4" w:space="0" w:color="auto"/>
          <w:left w:val="single" w:sz="4" w:space="4" w:color="auto"/>
          <w:bottom w:val="single" w:sz="4" w:space="1" w:color="auto"/>
          <w:right w:val="single" w:sz="4" w:space="4" w:color="auto"/>
        </w:pBdr>
        <w:jc w:val="center"/>
        <w:rPr>
          <w:b/>
          <w:bCs/>
          <w:i/>
          <w:iCs/>
          <w:noProof/>
        </w:rPr>
      </w:pPr>
    </w:p>
    <w:p w14:paraId="1B458390" w14:textId="77777777" w:rsidR="009E427B" w:rsidRPr="004E2EC6" w:rsidRDefault="009E427B" w:rsidP="009E427B">
      <w:pPr>
        <w:pBdr>
          <w:top w:val="single" w:sz="4" w:space="0" w:color="auto"/>
          <w:left w:val="single" w:sz="4" w:space="4" w:color="auto"/>
          <w:bottom w:val="single" w:sz="4" w:space="1" w:color="auto"/>
          <w:right w:val="single" w:sz="4" w:space="4" w:color="auto"/>
        </w:pBdr>
        <w:jc w:val="center"/>
        <w:rPr>
          <w:b/>
          <w:bCs/>
          <w:i/>
          <w:iCs/>
          <w:noProof/>
        </w:rPr>
      </w:pPr>
      <w:r w:rsidRPr="004E2EC6">
        <w:rPr>
          <w:b/>
          <w:bCs/>
          <w:i/>
          <w:iCs/>
          <w:noProof/>
        </w:rPr>
        <w:t>Executive summary</w:t>
      </w:r>
    </w:p>
    <w:p w14:paraId="54D4FDCF" w14:textId="07DA52C8"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On 1 January 2023, Croatia bec</w:t>
      </w:r>
      <w:r w:rsidR="00E84709">
        <w:rPr>
          <w:noProof/>
        </w:rPr>
        <w:t>a</w:t>
      </w:r>
      <w:r>
        <w:rPr>
          <w:noProof/>
        </w:rPr>
        <w:t>me the 20</w:t>
      </w:r>
      <w:r w:rsidRPr="00FF6A73">
        <w:rPr>
          <w:noProof/>
          <w:vertAlign w:val="superscript"/>
        </w:rPr>
        <w:t>th</w:t>
      </w:r>
      <w:r>
        <w:rPr>
          <w:noProof/>
        </w:rPr>
        <w:t xml:space="preserve"> EU Member State to change over to the euro. 61% of Croatians perceived the changeover as smooth and efficient. 88% considered they were well informed about the single currency. A tailormade communication campaign, which was co-financed by the EU, contributed to timely, targeted, and concise information of citizens, businesses and administrations about the practical aspects of the euro changeover.</w:t>
      </w:r>
    </w:p>
    <w:p w14:paraId="0A19C784" w14:textId="31D7FE81"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The preparations for the cash changeover went according to plan. The Croatian National Bank provided corporate customers with euro cash three months ahead of the changeover. Sufficient euro coin starter kits were provided to the public. Businesses could order euro cash from financial institutions well in advance.</w:t>
      </w:r>
    </w:p>
    <w:p w14:paraId="1A07DA36" w14:textId="58222EC7"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The two-week dual circulation of kuna and euro cash went smoothly. On 1 January, already 70% of all ATMs were distributing euro banknotes, whilst on 15 January 2023, euro banknotes could be withdrawn at any ATM in the country. Kuna cash can still be changed at commercial banks until the end of 2023. Thereafter, kuna coins can be exchanged at the Croatian National Bank until the end of 2025, whereas the latter changes kuna banknotes without any time limit.</w:t>
      </w:r>
    </w:p>
    <w:p w14:paraId="3A4B197E" w14:textId="66C81680" w:rsidR="009E427B" w:rsidRDefault="009E427B" w:rsidP="009E427B">
      <w:pPr>
        <w:pBdr>
          <w:top w:val="single" w:sz="4" w:space="0" w:color="auto"/>
          <w:left w:val="single" w:sz="4" w:space="4" w:color="auto"/>
          <w:bottom w:val="single" w:sz="4" w:space="1" w:color="auto"/>
          <w:right w:val="single" w:sz="4" w:space="4" w:color="auto"/>
        </w:pBdr>
        <w:rPr>
          <w:noProof/>
        </w:rPr>
      </w:pPr>
      <w:r>
        <w:rPr>
          <w:noProof/>
        </w:rPr>
        <w:t xml:space="preserve">More than 80% of all Croatian retailers, supermarkets and groceries joined a code of ethics ahead of </w:t>
      </w:r>
      <w:r w:rsidR="00F25E96">
        <w:rPr>
          <w:noProof/>
        </w:rPr>
        <w:t>the changeover</w:t>
      </w:r>
      <w:r>
        <w:rPr>
          <w:noProof/>
        </w:rPr>
        <w:t xml:space="preserve">. The voluntary code aims to ensure stability of prices for goods and services by helping all subscribing businesses to correctly recalculate and display prices (in euro and kuna), without unjustified increases. It is an important, additional instrument for the Croatian market inspection authorities to carry out price inspections and possibly sanction wrongdoers. </w:t>
      </w:r>
    </w:p>
    <w:p w14:paraId="6E1DC260" w14:textId="3EADCE3E" w:rsidR="009E427B" w:rsidRDefault="00F25E96" w:rsidP="009E427B">
      <w:pPr>
        <w:pBdr>
          <w:top w:val="single" w:sz="4" w:space="0" w:color="auto"/>
          <w:left w:val="single" w:sz="4" w:space="4" w:color="auto"/>
          <w:bottom w:val="single" w:sz="4" w:space="1" w:color="auto"/>
          <w:right w:val="single" w:sz="4" w:space="4" w:color="auto"/>
        </w:pBdr>
        <w:rPr>
          <w:rStyle w:val="ui-provider"/>
          <w:noProof/>
        </w:rPr>
      </w:pPr>
      <w:r w:rsidRPr="00FC6C5B">
        <w:rPr>
          <w:noProof/>
          <w:szCs w:val="22"/>
        </w:rPr>
        <w:t xml:space="preserve">The possible impact </w:t>
      </w:r>
      <w:r>
        <w:rPr>
          <w:noProof/>
          <w:szCs w:val="22"/>
        </w:rPr>
        <w:t xml:space="preserve">of </w:t>
      </w:r>
      <w:r w:rsidRPr="00FC6C5B">
        <w:rPr>
          <w:noProof/>
          <w:szCs w:val="22"/>
        </w:rPr>
        <w:t xml:space="preserve">the changeover to the euro on prices in Croatia is a natural and understandable </w:t>
      </w:r>
      <w:r>
        <w:rPr>
          <w:noProof/>
          <w:szCs w:val="22"/>
        </w:rPr>
        <w:t xml:space="preserve">public </w:t>
      </w:r>
      <w:r w:rsidRPr="00FC6C5B">
        <w:rPr>
          <w:noProof/>
          <w:szCs w:val="22"/>
        </w:rPr>
        <w:t xml:space="preserve">concern </w:t>
      </w:r>
      <w:r>
        <w:rPr>
          <w:noProof/>
          <w:szCs w:val="22"/>
        </w:rPr>
        <w:t>as with</w:t>
      </w:r>
      <w:r w:rsidRPr="00FC6C5B">
        <w:rPr>
          <w:noProof/>
          <w:szCs w:val="22"/>
        </w:rPr>
        <w:t xml:space="preserve"> any changeover to the euro. </w:t>
      </w:r>
      <w:r>
        <w:rPr>
          <w:noProof/>
          <w:szCs w:val="22"/>
        </w:rPr>
        <w:t xml:space="preserve">As this was </w:t>
      </w:r>
      <w:r w:rsidRPr="0001181D">
        <w:rPr>
          <w:noProof/>
          <w:szCs w:val="22"/>
        </w:rPr>
        <w:t xml:space="preserve">the first changeover to the euro to occur in a high inflation environment, this concern was particularly acute and challenging </w:t>
      </w:r>
      <w:r>
        <w:rPr>
          <w:noProof/>
          <w:szCs w:val="22"/>
        </w:rPr>
        <w:t xml:space="preserve">for Croatia </w:t>
      </w:r>
      <w:r w:rsidRPr="0001181D">
        <w:rPr>
          <w:noProof/>
          <w:szCs w:val="22"/>
        </w:rPr>
        <w:t>to address.</w:t>
      </w:r>
      <w:r w:rsidRPr="00FC6C5B">
        <w:rPr>
          <w:noProof/>
          <w:szCs w:val="22"/>
        </w:rPr>
        <w:t xml:space="preserve"> It was, therefore, pivotal for a transparent and fair changeover that the Croatian authorities took all necessary steps to prevent abusive practices.</w:t>
      </w:r>
      <w:r w:rsidR="009E427B">
        <w:rPr>
          <w:noProof/>
        </w:rPr>
        <w:t xml:space="preserve"> </w:t>
      </w:r>
      <w:r>
        <w:rPr>
          <w:noProof/>
        </w:rPr>
        <w:t>T</w:t>
      </w:r>
      <w:r w:rsidR="009E427B" w:rsidRPr="00436E0A">
        <w:rPr>
          <w:rStyle w:val="ui-provider"/>
          <w:noProof/>
        </w:rPr>
        <w:t>he impact of unwarranted price increases on aggregate inflation seems to have been relatively small and broadly in line with what was observed in previous changeovers, based on a preliminary assessment of available evidence.</w:t>
      </w:r>
      <w:r w:rsidR="009E427B">
        <w:rPr>
          <w:rStyle w:val="ui-provider"/>
          <w:noProof/>
        </w:rPr>
        <w:t xml:space="preserve"> </w:t>
      </w:r>
      <w:r>
        <w:rPr>
          <w:rStyle w:val="ui-provider"/>
          <w:noProof/>
        </w:rPr>
        <w:t>T</w:t>
      </w:r>
      <w:r w:rsidR="009E427B">
        <w:rPr>
          <w:rStyle w:val="ui-provider"/>
          <w:noProof/>
        </w:rPr>
        <w:t>he Report formulates amongst others recommendations for future changeovers on how to intensify price monitoring and how to roll out a code of business conduct at an early stage of changeover preparations.</w:t>
      </w:r>
    </w:p>
    <w:p w14:paraId="06B6C148" w14:textId="77777777" w:rsidR="009E427B" w:rsidRDefault="009E427B" w:rsidP="009E427B">
      <w:pPr>
        <w:pBdr>
          <w:top w:val="single" w:sz="4" w:space="0" w:color="auto"/>
          <w:left w:val="single" w:sz="4" w:space="4" w:color="auto"/>
          <w:bottom w:val="single" w:sz="4" w:space="1" w:color="auto"/>
          <w:right w:val="single" w:sz="4" w:space="4" w:color="auto"/>
        </w:pBdr>
        <w:rPr>
          <w:rStyle w:val="ui-provider"/>
          <w:noProof/>
        </w:rPr>
      </w:pPr>
    </w:p>
    <w:p w14:paraId="2C21A9EB" w14:textId="77777777" w:rsidR="009E427B" w:rsidRPr="00FF6A73" w:rsidRDefault="009E427B" w:rsidP="009E427B">
      <w:pPr>
        <w:rPr>
          <w:noProof/>
          <w:lang w:val="en-US"/>
        </w:rPr>
      </w:pPr>
    </w:p>
    <w:p w14:paraId="45F3E177" w14:textId="77777777" w:rsidR="009E427B" w:rsidRPr="009E427B" w:rsidRDefault="009E427B" w:rsidP="009E427B">
      <w:pPr>
        <w:rPr>
          <w:noProof/>
          <w:lang w:val="en-US"/>
        </w:rPr>
      </w:pPr>
    </w:p>
    <w:p w14:paraId="1FDD7C4D" w14:textId="1DF915D0" w:rsidR="001D09A7" w:rsidRDefault="004C4374" w:rsidP="004C4374">
      <w:pPr>
        <w:pStyle w:val="ManualHeading1"/>
        <w:rPr>
          <w:noProof/>
        </w:rPr>
      </w:pPr>
      <w:r w:rsidRPr="004C4374">
        <w:t>1.</w:t>
      </w:r>
      <w:r w:rsidRPr="004C4374">
        <w:tab/>
      </w:r>
      <w:r w:rsidR="001D09A7">
        <w:rPr>
          <w:noProof/>
        </w:rPr>
        <w:t>introduction</w:t>
      </w:r>
    </w:p>
    <w:p w14:paraId="0EF66806" w14:textId="77777777" w:rsidR="005026C3" w:rsidRDefault="001D09A7" w:rsidP="001D09A7">
      <w:pPr>
        <w:rPr>
          <w:noProof/>
          <w:lang w:val="en-US"/>
        </w:rPr>
      </w:pPr>
      <w:r w:rsidRPr="006955CE">
        <w:rPr>
          <w:noProof/>
          <w:lang w:val="en-US"/>
        </w:rPr>
        <w:t xml:space="preserve">The Council decided on </w:t>
      </w:r>
      <w:r w:rsidR="001B3A91" w:rsidRPr="006955CE">
        <w:rPr>
          <w:noProof/>
          <w:lang w:val="en-US"/>
        </w:rPr>
        <w:t>12</w:t>
      </w:r>
      <w:r w:rsidRPr="006955CE">
        <w:rPr>
          <w:noProof/>
          <w:lang w:val="en-US"/>
        </w:rPr>
        <w:t xml:space="preserve"> Jul</w:t>
      </w:r>
      <w:r w:rsidR="001B3A91" w:rsidRPr="006955CE">
        <w:rPr>
          <w:noProof/>
          <w:lang w:val="en-US"/>
        </w:rPr>
        <w:t>y 2022</w:t>
      </w:r>
      <w:r w:rsidRPr="006955CE">
        <w:rPr>
          <w:noProof/>
          <w:lang w:val="en-US"/>
        </w:rPr>
        <w:t xml:space="preserve"> that </w:t>
      </w:r>
      <w:r w:rsidR="001B3A91" w:rsidRPr="006955CE">
        <w:rPr>
          <w:noProof/>
          <w:lang w:val="en-US"/>
        </w:rPr>
        <w:t>Croatia</w:t>
      </w:r>
      <w:r w:rsidRPr="006955CE">
        <w:rPr>
          <w:noProof/>
          <w:lang w:val="en-US"/>
        </w:rPr>
        <w:t xml:space="preserve"> fulfilled the necessary conditions for the adoption of the euro and that its derogation from participating in the single currency was to be abrogated with effect from 1 January </w:t>
      </w:r>
      <w:r w:rsidR="001B3A91" w:rsidRPr="006955CE">
        <w:rPr>
          <w:noProof/>
          <w:lang w:val="en-US"/>
        </w:rPr>
        <w:t>2023</w:t>
      </w:r>
      <w:r w:rsidRPr="006955CE">
        <w:rPr>
          <w:noProof/>
          <w:vertAlign w:val="superscript"/>
          <w:lang w:val="en-US"/>
        </w:rPr>
        <w:footnoteReference w:id="1"/>
      </w:r>
      <w:r w:rsidRPr="006955CE">
        <w:rPr>
          <w:noProof/>
          <w:lang w:val="en-US"/>
        </w:rPr>
        <w:t>.</w:t>
      </w:r>
    </w:p>
    <w:p w14:paraId="1E015DB0" w14:textId="77777777" w:rsidR="001D09A7" w:rsidRPr="006955CE" w:rsidRDefault="005026C3" w:rsidP="001D09A7">
      <w:pPr>
        <w:rPr>
          <w:noProof/>
          <w:lang w:val="en-US"/>
        </w:rPr>
      </w:pPr>
      <w:r>
        <w:rPr>
          <w:noProof/>
          <w:lang w:val="en-US"/>
        </w:rPr>
        <w:t>Croatia has become the 20</w:t>
      </w:r>
      <w:r w:rsidRPr="005026C3">
        <w:rPr>
          <w:noProof/>
          <w:vertAlign w:val="superscript"/>
          <w:lang w:val="en-US"/>
        </w:rPr>
        <w:t>th</w:t>
      </w:r>
      <w:r>
        <w:rPr>
          <w:noProof/>
          <w:lang w:val="en-US"/>
        </w:rPr>
        <w:t xml:space="preserve"> country </w:t>
      </w:r>
      <w:r w:rsidR="008F6159">
        <w:rPr>
          <w:noProof/>
          <w:lang w:val="en-US"/>
        </w:rPr>
        <w:t xml:space="preserve">to </w:t>
      </w:r>
      <w:r>
        <w:rPr>
          <w:noProof/>
          <w:lang w:val="en-US"/>
        </w:rPr>
        <w:t xml:space="preserve">change over to the euro. It </w:t>
      </w:r>
      <w:r w:rsidR="001D09A7" w:rsidRPr="006955CE">
        <w:rPr>
          <w:noProof/>
          <w:lang w:val="en-US"/>
        </w:rPr>
        <w:t>followed the practice of all Member States that have adopted the euro after the first changeover wave (1999–2002) and used the so-called "big-bang" changeover scenario, i.e. euro banknotes and coins acquired legal tender status on the day of euro adoption</w:t>
      </w:r>
      <w:r w:rsidR="001D09A7" w:rsidRPr="006955CE">
        <w:rPr>
          <w:noProof/>
          <w:vertAlign w:val="superscript"/>
          <w:lang w:val="en-US"/>
        </w:rPr>
        <w:footnoteReference w:id="2"/>
      </w:r>
      <w:r w:rsidR="00371C57">
        <w:rPr>
          <w:noProof/>
          <w:lang w:val="en-US"/>
        </w:rPr>
        <w:t xml:space="preserve">. </w:t>
      </w:r>
      <w:r w:rsidR="00371C57" w:rsidRPr="00371C57">
        <w:rPr>
          <w:noProof/>
          <w:lang w:val="en-US"/>
        </w:rPr>
        <w:t>A two-</w:t>
      </w:r>
      <w:r w:rsidR="001D09A7" w:rsidRPr="00371C57">
        <w:rPr>
          <w:noProof/>
          <w:lang w:val="en-US"/>
        </w:rPr>
        <w:t>week</w:t>
      </w:r>
      <w:r w:rsidR="001D09A7" w:rsidRPr="006955CE">
        <w:rPr>
          <w:noProof/>
          <w:lang w:val="en-US"/>
        </w:rPr>
        <w:t xml:space="preserve"> dual circulation period, during which both euro and </w:t>
      </w:r>
      <w:r w:rsidR="001B3A91" w:rsidRPr="006955CE">
        <w:rPr>
          <w:noProof/>
          <w:lang w:val="en-US"/>
        </w:rPr>
        <w:t>Croatian kuna</w:t>
      </w:r>
      <w:r w:rsidR="001D09A7" w:rsidRPr="006955CE">
        <w:rPr>
          <w:noProof/>
          <w:lang w:val="en-US"/>
        </w:rPr>
        <w:t xml:space="preserve"> banknotes and coins circulated in parallel, allowed for the gradual withdrawal of </w:t>
      </w:r>
      <w:r w:rsidR="001B3A91" w:rsidRPr="006955CE">
        <w:rPr>
          <w:noProof/>
          <w:lang w:val="en-US"/>
        </w:rPr>
        <w:t>kuna</w:t>
      </w:r>
      <w:r w:rsidR="001D09A7" w:rsidRPr="006955CE">
        <w:rPr>
          <w:noProof/>
          <w:lang w:val="en-US"/>
        </w:rPr>
        <w:t xml:space="preserve"> cash. This successful changeover demonstrates again that a short dual circulation period is sufficient if the changeover is well prepared</w:t>
      </w:r>
      <w:r w:rsidR="001D09A7" w:rsidRPr="006955CE">
        <w:rPr>
          <w:noProof/>
          <w:vertAlign w:val="superscript"/>
          <w:lang w:val="en-US"/>
        </w:rPr>
        <w:footnoteReference w:id="3"/>
      </w:r>
      <w:r w:rsidR="001D09A7" w:rsidRPr="006955CE">
        <w:rPr>
          <w:noProof/>
          <w:lang w:val="en-US"/>
        </w:rPr>
        <w:t>.</w:t>
      </w:r>
    </w:p>
    <w:p w14:paraId="3573E28F" w14:textId="77777777" w:rsidR="001D09A7" w:rsidRDefault="00ED6F77" w:rsidP="001D09A7">
      <w:pPr>
        <w:rPr>
          <w:noProof/>
        </w:rPr>
      </w:pPr>
      <w:r w:rsidRPr="006955CE">
        <w:rPr>
          <w:noProof/>
          <w:lang w:val="en-US"/>
        </w:rPr>
        <w:t>T</w:t>
      </w:r>
      <w:r w:rsidR="001D09A7" w:rsidRPr="006955CE">
        <w:rPr>
          <w:noProof/>
          <w:lang w:val="en-US"/>
        </w:rPr>
        <w:t xml:space="preserve">his report covers the most important aspects of the changeover process from an ex post perspective focusing on the preparations for the cash changeover, the dual circulation period, measures taken to prevent abusive price practices and </w:t>
      </w:r>
      <w:r w:rsidR="008F6159">
        <w:rPr>
          <w:noProof/>
          <w:lang w:val="en-US"/>
        </w:rPr>
        <w:t>address perceived inflation concerns</w:t>
      </w:r>
      <w:r w:rsidR="001D09A7" w:rsidRPr="006955CE">
        <w:rPr>
          <w:noProof/>
          <w:lang w:val="en-US"/>
        </w:rPr>
        <w:t xml:space="preserve">, price trends and perceptions, and communication on the euro. Where relevant, the report also sets out the Commission's recommendations on further possible action to be taken by </w:t>
      </w:r>
      <w:r w:rsidR="001B3A91" w:rsidRPr="006955CE">
        <w:rPr>
          <w:noProof/>
          <w:lang w:val="en-US"/>
        </w:rPr>
        <w:t>Croatian</w:t>
      </w:r>
      <w:r w:rsidR="001D09A7" w:rsidRPr="006955CE">
        <w:rPr>
          <w:noProof/>
          <w:lang w:val="en-US"/>
        </w:rPr>
        <w:t xml:space="preserve"> authorities and draws conclusions which may be of value for future changeovers.</w:t>
      </w:r>
    </w:p>
    <w:p w14:paraId="39C75593" w14:textId="2A446C3C" w:rsidR="001D09A7" w:rsidRDefault="004C4374" w:rsidP="004C4374">
      <w:pPr>
        <w:pStyle w:val="ManualHeading1"/>
        <w:rPr>
          <w:noProof/>
        </w:rPr>
      </w:pPr>
      <w:r w:rsidRPr="004C4374">
        <w:t>2.</w:t>
      </w:r>
      <w:r w:rsidRPr="004C4374">
        <w:tab/>
      </w:r>
      <w:r w:rsidR="001D09A7">
        <w:rPr>
          <w:noProof/>
        </w:rPr>
        <w:t xml:space="preserve">The </w:t>
      </w:r>
      <w:r w:rsidR="005026C3">
        <w:rPr>
          <w:noProof/>
        </w:rPr>
        <w:t xml:space="preserve">practical aspects of the </w:t>
      </w:r>
      <w:r w:rsidR="001D09A7">
        <w:rPr>
          <w:noProof/>
        </w:rPr>
        <w:t>changeover</w:t>
      </w:r>
    </w:p>
    <w:p w14:paraId="2F2AC923" w14:textId="77777777" w:rsidR="00B64C99" w:rsidRPr="00235842" w:rsidRDefault="00B64C99" w:rsidP="00B64C99">
      <w:pPr>
        <w:rPr>
          <w:noProof/>
        </w:rPr>
      </w:pPr>
      <w:r w:rsidRPr="006955CE">
        <w:rPr>
          <w:noProof/>
          <w:lang w:val="en-US"/>
        </w:rPr>
        <w:t>A majority of Croat</w:t>
      </w:r>
      <w:r w:rsidR="00307EE1">
        <w:rPr>
          <w:noProof/>
          <w:lang w:val="en-US"/>
        </w:rPr>
        <w:t>ian</w:t>
      </w:r>
      <w:r w:rsidRPr="006955CE">
        <w:rPr>
          <w:noProof/>
          <w:lang w:val="en-US"/>
        </w:rPr>
        <w:t>s (61%) perceived the changeover as smooth and efficient</w:t>
      </w:r>
      <w:r w:rsidR="00C61807">
        <w:rPr>
          <w:noProof/>
          <w:lang w:val="en-US"/>
        </w:rPr>
        <w:t xml:space="preserve"> while 88% of </w:t>
      </w:r>
      <w:r w:rsidR="00371C57">
        <w:rPr>
          <w:noProof/>
          <w:lang w:val="en-US"/>
        </w:rPr>
        <w:t xml:space="preserve">the </w:t>
      </w:r>
      <w:r w:rsidR="00C61807">
        <w:rPr>
          <w:noProof/>
          <w:lang w:val="en-US"/>
        </w:rPr>
        <w:t>population considered they were well informed about the euro</w:t>
      </w:r>
      <w:r w:rsidRPr="006955CE">
        <w:rPr>
          <w:noProof/>
          <w:vertAlign w:val="superscript"/>
          <w:lang w:val="en-US"/>
        </w:rPr>
        <w:footnoteReference w:id="4"/>
      </w:r>
      <w:r>
        <w:rPr>
          <w:noProof/>
          <w:lang w:val="en-US"/>
        </w:rPr>
        <w:t xml:space="preserve">. </w:t>
      </w:r>
      <w:r w:rsidR="00641D5A">
        <w:rPr>
          <w:noProof/>
          <w:lang w:val="en-US"/>
        </w:rPr>
        <w:t xml:space="preserve">Against this backdrop, </w:t>
      </w:r>
      <w:r w:rsidR="00371C57">
        <w:rPr>
          <w:noProof/>
          <w:lang w:val="en-US"/>
        </w:rPr>
        <w:t>t</w:t>
      </w:r>
      <w:r w:rsidR="00641D5A">
        <w:rPr>
          <w:noProof/>
          <w:lang w:val="en-US"/>
        </w:rPr>
        <w:t xml:space="preserve">hree </w:t>
      </w:r>
      <w:r w:rsidR="005026C3">
        <w:rPr>
          <w:noProof/>
          <w:lang w:val="en-US"/>
        </w:rPr>
        <w:t xml:space="preserve">practical </w:t>
      </w:r>
      <w:r>
        <w:rPr>
          <w:noProof/>
          <w:lang w:val="en-US"/>
        </w:rPr>
        <w:t xml:space="preserve">aspects </w:t>
      </w:r>
      <w:r w:rsidR="00641D5A">
        <w:rPr>
          <w:noProof/>
          <w:lang w:val="en-US"/>
        </w:rPr>
        <w:t>of the euro changeover shall be looked at in more detail</w:t>
      </w:r>
      <w:r>
        <w:rPr>
          <w:noProof/>
          <w:lang w:val="en-US"/>
        </w:rPr>
        <w:t>: the preparations for the cash changeover, the period of dual circulation of kuna and euro cash and the withdrawal of kuna cash from circulation.</w:t>
      </w:r>
    </w:p>
    <w:p w14:paraId="17730A4D" w14:textId="77777777" w:rsidR="001D09A7" w:rsidRDefault="001D09A7" w:rsidP="001D09A7">
      <w:pPr>
        <w:pStyle w:val="Heading2"/>
        <w:numPr>
          <w:ilvl w:val="0"/>
          <w:numId w:val="0"/>
        </w:numPr>
        <w:ind w:left="850" w:hanging="850"/>
        <w:rPr>
          <w:noProof/>
        </w:rPr>
      </w:pPr>
      <w:r w:rsidRPr="002762CC">
        <w:rPr>
          <w:noProof/>
        </w:rPr>
        <w:t>2.1.</w:t>
      </w:r>
      <w:r w:rsidRPr="002762CC">
        <w:rPr>
          <w:noProof/>
        </w:rPr>
        <w:tab/>
      </w:r>
      <w:r>
        <w:rPr>
          <w:noProof/>
        </w:rPr>
        <w:t>Prep</w:t>
      </w:r>
      <w:r w:rsidR="00007C0D">
        <w:rPr>
          <w:noProof/>
        </w:rPr>
        <w:t>a</w:t>
      </w:r>
      <w:r>
        <w:rPr>
          <w:noProof/>
        </w:rPr>
        <w:t>rations for the cash changeover</w:t>
      </w:r>
    </w:p>
    <w:p w14:paraId="335EE37F" w14:textId="77777777" w:rsidR="001D09A7" w:rsidRDefault="001D09A7" w:rsidP="00CD0643">
      <w:pPr>
        <w:rPr>
          <w:noProof/>
          <w:lang w:val="en-US"/>
        </w:rPr>
      </w:pPr>
      <w:r w:rsidRPr="00CA52F2">
        <w:rPr>
          <w:noProof/>
          <w:lang w:val="en-US"/>
        </w:rPr>
        <w:t xml:space="preserve">The cash changeover </w:t>
      </w:r>
      <w:r w:rsidR="00B64C99">
        <w:rPr>
          <w:noProof/>
          <w:lang w:val="en-US"/>
        </w:rPr>
        <w:t xml:space="preserve">is </w:t>
      </w:r>
      <w:r w:rsidRPr="00CA52F2">
        <w:rPr>
          <w:noProof/>
          <w:lang w:val="en-US"/>
        </w:rPr>
        <w:t xml:space="preserve">the most visible element of the </w:t>
      </w:r>
      <w:r w:rsidR="00B64C99">
        <w:rPr>
          <w:noProof/>
          <w:lang w:val="en-US"/>
        </w:rPr>
        <w:t xml:space="preserve">adoption of the single currency </w:t>
      </w:r>
      <w:r w:rsidRPr="00CA52F2">
        <w:rPr>
          <w:noProof/>
          <w:lang w:val="en-US"/>
        </w:rPr>
        <w:t>since all financial institutions, businesses and citizens are involved. The smoothness and efficiency of this operation depends on a proper supply of euro cash to all parties involved and on banks and businesses being well prepared for the large extra workload.</w:t>
      </w:r>
    </w:p>
    <w:p w14:paraId="5A4A4977" w14:textId="6CF20209" w:rsidR="001D09A7" w:rsidRPr="006B49D4" w:rsidRDefault="008678D3" w:rsidP="001D09A7">
      <w:pPr>
        <w:rPr>
          <w:noProof/>
          <w:color w:val="000000"/>
        </w:rPr>
      </w:pPr>
      <w:bookmarkStart w:id="2" w:name="_Hlk129857203"/>
      <w:r>
        <w:rPr>
          <w:noProof/>
        </w:rPr>
        <w:t>To prepare for the changeover, t</w:t>
      </w:r>
      <w:r w:rsidR="00B64C99">
        <w:rPr>
          <w:noProof/>
        </w:rPr>
        <w:t xml:space="preserve">he Croatian Mint produced </w:t>
      </w:r>
      <w:r w:rsidR="00541CBA" w:rsidRPr="006955CE">
        <w:rPr>
          <w:noProof/>
        </w:rPr>
        <w:t xml:space="preserve">405 </w:t>
      </w:r>
      <w:r w:rsidR="001D09A7" w:rsidRPr="006955CE">
        <w:rPr>
          <w:noProof/>
          <w:spacing w:val="-2"/>
        </w:rPr>
        <w:t>m</w:t>
      </w:r>
      <w:r w:rsidR="001D09A7" w:rsidRPr="006955CE">
        <w:rPr>
          <w:noProof/>
        </w:rPr>
        <w:t>illion</w:t>
      </w:r>
      <w:r w:rsidR="001D09A7" w:rsidRPr="006955CE">
        <w:rPr>
          <w:noProof/>
          <w:spacing w:val="1"/>
        </w:rPr>
        <w:t xml:space="preserve"> </w:t>
      </w:r>
      <w:r w:rsidR="00D4750B">
        <w:rPr>
          <w:noProof/>
          <w:spacing w:val="1"/>
        </w:rPr>
        <w:t xml:space="preserve">pieces of </w:t>
      </w:r>
      <w:r w:rsidR="001D09A7" w:rsidRPr="006955CE">
        <w:rPr>
          <w:noProof/>
        </w:rPr>
        <w:t>euro</w:t>
      </w:r>
      <w:r w:rsidR="001D09A7" w:rsidRPr="006955CE">
        <w:rPr>
          <w:noProof/>
          <w:spacing w:val="1"/>
        </w:rPr>
        <w:t xml:space="preserve"> </w:t>
      </w:r>
      <w:r w:rsidR="001D09A7" w:rsidRPr="006955CE">
        <w:rPr>
          <w:noProof/>
        </w:rPr>
        <w:t>c</w:t>
      </w:r>
      <w:r w:rsidR="001D09A7" w:rsidRPr="006955CE">
        <w:rPr>
          <w:noProof/>
          <w:spacing w:val="-1"/>
        </w:rPr>
        <w:t>o</w:t>
      </w:r>
      <w:r w:rsidR="001D09A7" w:rsidRPr="006955CE">
        <w:rPr>
          <w:noProof/>
        </w:rPr>
        <w:t>i</w:t>
      </w:r>
      <w:r w:rsidR="001D09A7" w:rsidRPr="006955CE">
        <w:rPr>
          <w:noProof/>
          <w:spacing w:val="-1"/>
        </w:rPr>
        <w:t>n</w:t>
      </w:r>
      <w:r w:rsidR="001D09A7" w:rsidRPr="006955CE">
        <w:rPr>
          <w:noProof/>
        </w:rPr>
        <w:t>s</w:t>
      </w:r>
      <w:r>
        <w:rPr>
          <w:noProof/>
        </w:rPr>
        <w:t xml:space="preserve"> </w:t>
      </w:r>
      <w:r w:rsidR="00DE61C3" w:rsidRPr="006955CE">
        <w:rPr>
          <w:noProof/>
          <w:color w:val="000000"/>
        </w:rPr>
        <w:t>in 2022</w:t>
      </w:r>
      <w:r w:rsidR="00B64C99">
        <w:rPr>
          <w:noProof/>
          <w:color w:val="000000"/>
        </w:rPr>
        <w:t xml:space="preserve">. </w:t>
      </w:r>
      <w:r w:rsidR="001C7FBA" w:rsidRPr="006077AC">
        <w:rPr>
          <w:noProof/>
          <w:color w:val="000000"/>
        </w:rPr>
        <w:t xml:space="preserve">Practical fitness tests of </w:t>
      </w:r>
      <w:r w:rsidR="005E6FFF" w:rsidRPr="006077AC">
        <w:rPr>
          <w:noProof/>
          <w:color w:val="000000"/>
        </w:rPr>
        <w:t>sample</w:t>
      </w:r>
      <w:r w:rsidR="001C7FBA" w:rsidRPr="006077AC">
        <w:rPr>
          <w:noProof/>
          <w:color w:val="000000"/>
        </w:rPr>
        <w:t xml:space="preserve"> coins in vending machines used in the euro area started relatively late</w:t>
      </w:r>
      <w:r w:rsidRPr="006077AC">
        <w:rPr>
          <w:noProof/>
          <w:color w:val="000000"/>
        </w:rPr>
        <w:t>,</w:t>
      </w:r>
      <w:r w:rsidR="001C7FBA" w:rsidRPr="006077AC">
        <w:rPr>
          <w:noProof/>
          <w:color w:val="000000"/>
        </w:rPr>
        <w:t xml:space="preserve"> but did not </w:t>
      </w:r>
      <w:r w:rsidR="0009097B" w:rsidRPr="006077AC">
        <w:rPr>
          <w:noProof/>
          <w:color w:val="000000"/>
        </w:rPr>
        <w:t xml:space="preserve">point to </w:t>
      </w:r>
      <w:r w:rsidR="001C7FBA" w:rsidRPr="006077AC">
        <w:rPr>
          <w:noProof/>
          <w:color w:val="000000"/>
        </w:rPr>
        <w:t xml:space="preserve">any </w:t>
      </w:r>
      <w:r w:rsidR="0009097B" w:rsidRPr="006077AC">
        <w:rPr>
          <w:noProof/>
          <w:color w:val="000000"/>
        </w:rPr>
        <w:t>concerns</w:t>
      </w:r>
      <w:r w:rsidR="001C7FBA" w:rsidRPr="006077AC">
        <w:rPr>
          <w:noProof/>
          <w:color w:val="000000"/>
        </w:rPr>
        <w:t xml:space="preserve">. </w:t>
      </w:r>
      <w:r w:rsidR="00162DC7">
        <w:rPr>
          <w:noProof/>
          <w:color w:val="000000"/>
        </w:rPr>
        <w:t>39</w:t>
      </w:r>
      <w:r w:rsidR="003307AB">
        <w:rPr>
          <w:noProof/>
          <w:color w:val="000000"/>
        </w:rPr>
        <w:t>.</w:t>
      </w:r>
      <w:r w:rsidR="00B64C99" w:rsidRPr="006077AC">
        <w:rPr>
          <w:noProof/>
          <w:color w:val="000000"/>
        </w:rPr>
        <w:t xml:space="preserve">6 million </w:t>
      </w:r>
      <w:r w:rsidR="006077AC">
        <w:rPr>
          <w:noProof/>
          <w:color w:val="000000"/>
        </w:rPr>
        <w:t xml:space="preserve">pieces of </w:t>
      </w:r>
      <w:r w:rsidR="00B64C99" w:rsidRPr="006077AC">
        <w:rPr>
          <w:noProof/>
          <w:color w:val="000000"/>
        </w:rPr>
        <w:t>coins were used to prepare citizen starter kits, which contain</w:t>
      </w:r>
      <w:r w:rsidR="0009097B" w:rsidRPr="006077AC">
        <w:rPr>
          <w:noProof/>
          <w:color w:val="000000"/>
        </w:rPr>
        <w:t>ed</w:t>
      </w:r>
      <w:r w:rsidR="00B64C99" w:rsidRPr="006077AC">
        <w:rPr>
          <w:noProof/>
          <w:color w:val="000000"/>
        </w:rPr>
        <w:t xml:space="preserve"> </w:t>
      </w:r>
      <w:r w:rsidR="00B64C99" w:rsidRPr="006077AC">
        <w:rPr>
          <w:noProof/>
          <w:lang w:val="en-US"/>
        </w:rPr>
        <w:t>33 euro coins of all Croatian euro coin denominations</w:t>
      </w:r>
      <w:r w:rsidR="00B64C99" w:rsidRPr="006B49D4">
        <w:rPr>
          <w:noProof/>
          <w:lang w:val="en-US"/>
        </w:rPr>
        <w:t xml:space="preserve"> </w:t>
      </w:r>
      <w:r w:rsidR="006B49D4" w:rsidRPr="006B49D4">
        <w:rPr>
          <w:noProof/>
          <w:lang w:val="en-US"/>
        </w:rPr>
        <w:t xml:space="preserve">worth </w:t>
      </w:r>
      <w:r w:rsidR="00162DC7">
        <w:rPr>
          <w:noProof/>
          <w:lang w:val="en-US"/>
        </w:rPr>
        <w:t>EUR 13</w:t>
      </w:r>
      <w:r w:rsidR="003307AB">
        <w:rPr>
          <w:noProof/>
          <w:lang w:val="en-US"/>
        </w:rPr>
        <w:t>.</w:t>
      </w:r>
      <w:r w:rsidR="00B64C99" w:rsidRPr="006B49D4">
        <w:rPr>
          <w:noProof/>
          <w:lang w:val="en-US"/>
        </w:rPr>
        <w:t>28</w:t>
      </w:r>
      <w:r w:rsidR="006B49D4" w:rsidRPr="006B49D4">
        <w:rPr>
          <w:noProof/>
          <w:lang w:val="en-US"/>
        </w:rPr>
        <w:t>.</w:t>
      </w:r>
      <w:r w:rsidR="006B49D4">
        <w:rPr>
          <w:noProof/>
          <w:lang w:val="en-US"/>
        </w:rPr>
        <w:t xml:space="preserve"> Furthermore</w:t>
      </w:r>
      <w:r w:rsidR="006B49D4" w:rsidRPr="006B49D4">
        <w:rPr>
          <w:noProof/>
          <w:lang w:val="en-US"/>
        </w:rPr>
        <w:t xml:space="preserve">, the </w:t>
      </w:r>
      <w:r w:rsidR="008F6159">
        <w:rPr>
          <w:noProof/>
          <w:lang w:val="en-US"/>
        </w:rPr>
        <w:t>M</w:t>
      </w:r>
      <w:r w:rsidR="006B49D4" w:rsidRPr="006B49D4">
        <w:rPr>
          <w:noProof/>
          <w:lang w:val="en-US"/>
        </w:rPr>
        <w:t xml:space="preserve">int prepared commercial </w:t>
      </w:r>
      <w:r w:rsidR="008F6159">
        <w:rPr>
          <w:noProof/>
          <w:lang w:val="en-US"/>
        </w:rPr>
        <w:t xml:space="preserve">starter </w:t>
      </w:r>
      <w:r w:rsidR="006B49D4" w:rsidRPr="006B49D4">
        <w:rPr>
          <w:noProof/>
          <w:lang w:val="en-US"/>
        </w:rPr>
        <w:t xml:space="preserve">kits </w:t>
      </w:r>
      <w:r w:rsidR="008F6159">
        <w:rPr>
          <w:noProof/>
          <w:lang w:val="en-US"/>
        </w:rPr>
        <w:t xml:space="preserve">for businesses </w:t>
      </w:r>
      <w:r w:rsidR="006B49D4" w:rsidRPr="006B49D4">
        <w:rPr>
          <w:noProof/>
          <w:lang w:val="en-US"/>
        </w:rPr>
        <w:t>containing 525 euro coins of all de</w:t>
      </w:r>
      <w:r w:rsidR="00162DC7">
        <w:rPr>
          <w:noProof/>
          <w:lang w:val="en-US"/>
        </w:rPr>
        <w:t>nominations with a value of 145</w:t>
      </w:r>
      <w:r w:rsidR="003307AB">
        <w:rPr>
          <w:noProof/>
          <w:lang w:val="en-US"/>
        </w:rPr>
        <w:t>.</w:t>
      </w:r>
      <w:r w:rsidR="006B49D4" w:rsidRPr="006B49D4">
        <w:rPr>
          <w:noProof/>
          <w:lang w:val="en-US"/>
        </w:rPr>
        <w:t>50 EUR.</w:t>
      </w:r>
      <w:r w:rsidR="006B49D4">
        <w:rPr>
          <w:noProof/>
          <w:lang w:val="en-US"/>
        </w:rPr>
        <w:t xml:space="preserve"> </w:t>
      </w:r>
      <w:r w:rsidR="00541CBA" w:rsidRPr="006955CE">
        <w:rPr>
          <w:noProof/>
        </w:rPr>
        <w:t xml:space="preserve">In addition, the Croatian National Bank bought </w:t>
      </w:r>
      <w:r w:rsidR="000D6A8E">
        <w:rPr>
          <w:noProof/>
        </w:rPr>
        <w:t>182</w:t>
      </w:r>
      <w:r w:rsidR="00541CBA" w:rsidRPr="006955CE">
        <w:rPr>
          <w:noProof/>
        </w:rPr>
        <w:t xml:space="preserve"> million </w:t>
      </w:r>
      <w:r w:rsidR="006077AC">
        <w:rPr>
          <w:noProof/>
        </w:rPr>
        <w:t xml:space="preserve">pieces of euro </w:t>
      </w:r>
      <w:r w:rsidR="00541CBA" w:rsidRPr="006955CE">
        <w:rPr>
          <w:noProof/>
        </w:rPr>
        <w:t xml:space="preserve">coins from stocks of </w:t>
      </w:r>
      <w:r w:rsidR="00AA07B4">
        <w:rPr>
          <w:noProof/>
        </w:rPr>
        <w:t>two</w:t>
      </w:r>
      <w:r w:rsidR="00AA07B4" w:rsidRPr="006955CE">
        <w:rPr>
          <w:noProof/>
        </w:rPr>
        <w:t xml:space="preserve"> </w:t>
      </w:r>
      <w:r w:rsidR="00541CBA" w:rsidRPr="006955CE">
        <w:rPr>
          <w:noProof/>
        </w:rPr>
        <w:t>euro area countries</w:t>
      </w:r>
      <w:r w:rsidR="00AA07B4">
        <w:rPr>
          <w:noProof/>
        </w:rPr>
        <w:t xml:space="preserve"> and borrowed from another euro area country 45 million pieces of euro coins that will be returned in 2023.</w:t>
      </w:r>
      <w:r w:rsidR="001D09A7" w:rsidRPr="006955CE">
        <w:rPr>
          <w:noProof/>
        </w:rPr>
        <w:t xml:space="preserve"> </w:t>
      </w:r>
      <w:r w:rsidR="006B49D4">
        <w:rPr>
          <w:noProof/>
        </w:rPr>
        <w:t>Finally, the Croatian National Bank borrowed m</w:t>
      </w:r>
      <w:r w:rsidR="00677205" w:rsidRPr="006955CE">
        <w:rPr>
          <w:noProof/>
        </w:rPr>
        <w:t>ore than 346</w:t>
      </w:r>
      <w:r w:rsidR="001D09A7" w:rsidRPr="006955CE">
        <w:rPr>
          <w:noProof/>
          <w:color w:val="000000"/>
        </w:rPr>
        <w:t xml:space="preserve"> million </w:t>
      </w:r>
      <w:r w:rsidR="006077AC">
        <w:rPr>
          <w:noProof/>
          <w:color w:val="000000"/>
        </w:rPr>
        <w:t xml:space="preserve">pieces of </w:t>
      </w:r>
      <w:r w:rsidR="001D09A7" w:rsidRPr="006955CE">
        <w:rPr>
          <w:noProof/>
          <w:color w:val="000000"/>
        </w:rPr>
        <w:t xml:space="preserve">banknotes of various denominations from the </w:t>
      </w:r>
      <w:r w:rsidR="00DE61C3" w:rsidRPr="006955CE">
        <w:rPr>
          <w:noProof/>
          <w:color w:val="000000"/>
        </w:rPr>
        <w:t>National Bank of Austria.</w:t>
      </w:r>
    </w:p>
    <w:bookmarkEnd w:id="2"/>
    <w:p w14:paraId="6EF13B43" w14:textId="754BF642" w:rsidR="00E43FB3" w:rsidRPr="006955CE" w:rsidRDefault="00CA66A4" w:rsidP="001D09A7">
      <w:pPr>
        <w:rPr>
          <w:noProof/>
          <w:lang w:val="en-US"/>
        </w:rPr>
      </w:pPr>
      <w:r>
        <w:rPr>
          <w:noProof/>
          <w:lang w:val="en-US"/>
        </w:rPr>
        <w:t xml:space="preserve">On 1 </w:t>
      </w:r>
      <w:r w:rsidR="006B49D4">
        <w:rPr>
          <w:noProof/>
          <w:lang w:val="en-US"/>
        </w:rPr>
        <w:t>October 2022, the Croatian National  Bank started to provide financial institutions</w:t>
      </w:r>
      <w:r w:rsidR="006E6B29">
        <w:rPr>
          <w:noProof/>
          <w:lang w:val="en-US"/>
        </w:rPr>
        <w:t xml:space="preserve">, i.e. </w:t>
      </w:r>
      <w:r w:rsidR="006B49D4">
        <w:rPr>
          <w:noProof/>
          <w:lang w:val="en-US"/>
        </w:rPr>
        <w:t xml:space="preserve"> </w:t>
      </w:r>
      <w:r w:rsidR="00FB73B0">
        <w:rPr>
          <w:noProof/>
          <w:lang w:val="en-US"/>
        </w:rPr>
        <w:t xml:space="preserve">783 branches of </w:t>
      </w:r>
      <w:r w:rsidR="006B49D4">
        <w:rPr>
          <w:noProof/>
          <w:lang w:val="en-US"/>
        </w:rPr>
        <w:t>commercial bank</w:t>
      </w:r>
      <w:r>
        <w:rPr>
          <w:noProof/>
          <w:lang w:val="en-US"/>
        </w:rPr>
        <w:t>s</w:t>
      </w:r>
      <w:r w:rsidR="006B49D4">
        <w:rPr>
          <w:noProof/>
          <w:lang w:val="en-US"/>
        </w:rPr>
        <w:t xml:space="preserve">, </w:t>
      </w:r>
      <w:r w:rsidR="00FB73B0" w:rsidRPr="003955F3">
        <w:rPr>
          <w:noProof/>
          <w:lang w:val="en-US"/>
        </w:rPr>
        <w:t>1</w:t>
      </w:r>
      <w:r w:rsidR="00162DC7">
        <w:rPr>
          <w:noProof/>
          <w:lang w:val="en-US"/>
        </w:rPr>
        <w:t>,</w:t>
      </w:r>
      <w:r w:rsidR="00FB73B0" w:rsidRPr="003955F3">
        <w:rPr>
          <w:noProof/>
          <w:lang w:val="en-US"/>
        </w:rPr>
        <w:t>016</w:t>
      </w:r>
      <w:r w:rsidR="00FB73B0">
        <w:rPr>
          <w:noProof/>
          <w:lang w:val="en-US"/>
        </w:rPr>
        <w:t xml:space="preserve"> </w:t>
      </w:r>
      <w:r w:rsidR="006B49D4">
        <w:rPr>
          <w:noProof/>
          <w:lang w:val="en-US"/>
        </w:rPr>
        <w:t xml:space="preserve">Croatian post offices and </w:t>
      </w:r>
      <w:r w:rsidR="00FB73B0">
        <w:rPr>
          <w:noProof/>
          <w:lang w:val="en-US"/>
        </w:rPr>
        <w:t>169</w:t>
      </w:r>
      <w:r w:rsidR="006B49D4">
        <w:rPr>
          <w:noProof/>
          <w:lang w:val="en-US"/>
        </w:rPr>
        <w:t xml:space="preserve"> branches of the Financial Agenc</w:t>
      </w:r>
      <w:r w:rsidR="006E6B29">
        <w:rPr>
          <w:noProof/>
          <w:lang w:val="en-US"/>
        </w:rPr>
        <w:t>y (</w:t>
      </w:r>
      <w:r w:rsidR="006B49D4">
        <w:rPr>
          <w:noProof/>
          <w:lang w:val="en-US"/>
        </w:rPr>
        <w:t>FINA)</w:t>
      </w:r>
      <w:r w:rsidR="008F6159">
        <w:rPr>
          <w:noProof/>
          <w:lang w:val="en-US"/>
        </w:rPr>
        <w:t>,</w:t>
      </w:r>
      <w:r w:rsidR="006B49D4">
        <w:rPr>
          <w:noProof/>
          <w:lang w:val="en-US"/>
        </w:rPr>
        <w:t xml:space="preserve"> with euro cash</w:t>
      </w:r>
      <w:r>
        <w:rPr>
          <w:noProof/>
          <w:lang w:val="en-US"/>
        </w:rPr>
        <w:t xml:space="preserve"> (front-loading)</w:t>
      </w:r>
      <w:r w:rsidR="006B49D4">
        <w:rPr>
          <w:noProof/>
          <w:lang w:val="en-US"/>
        </w:rPr>
        <w:t>.</w:t>
      </w:r>
      <w:r w:rsidR="003270C3">
        <w:rPr>
          <w:noProof/>
          <w:lang w:val="en-US"/>
        </w:rPr>
        <w:t xml:space="preserve"> Given the security risks related to </w:t>
      </w:r>
      <w:r>
        <w:rPr>
          <w:noProof/>
          <w:lang w:val="en-US"/>
        </w:rPr>
        <w:t>the frequenc</w:t>
      </w:r>
      <w:r w:rsidR="008F6159">
        <w:rPr>
          <w:noProof/>
          <w:lang w:val="en-US"/>
        </w:rPr>
        <w:t>y</w:t>
      </w:r>
      <w:r>
        <w:rPr>
          <w:noProof/>
          <w:lang w:val="en-US"/>
        </w:rPr>
        <w:t xml:space="preserve"> and </w:t>
      </w:r>
      <w:r w:rsidR="003270C3">
        <w:rPr>
          <w:noProof/>
          <w:lang w:val="en-US"/>
        </w:rPr>
        <w:t>high volume of euro cash transportation (</w:t>
      </w:r>
      <w:r w:rsidR="003270C3" w:rsidRPr="00AF3AD0">
        <w:rPr>
          <w:noProof/>
          <w:lang w:val="en-US"/>
        </w:rPr>
        <w:t xml:space="preserve">around </w:t>
      </w:r>
      <w:r w:rsidR="00F62112" w:rsidRPr="002927C4">
        <w:rPr>
          <w:noProof/>
          <w:lang w:val="en-US"/>
        </w:rPr>
        <w:t>7</w:t>
      </w:r>
      <w:r w:rsidR="003270C3" w:rsidRPr="002927C4">
        <w:rPr>
          <w:noProof/>
          <w:lang w:val="en-US"/>
        </w:rPr>
        <w:t>00</w:t>
      </w:r>
      <w:r w:rsidR="003270C3" w:rsidRPr="00AF3AD0">
        <w:rPr>
          <w:noProof/>
          <w:lang w:val="en-US"/>
        </w:rPr>
        <w:t xml:space="preserve"> transports</w:t>
      </w:r>
      <w:r w:rsidR="003270C3">
        <w:rPr>
          <w:noProof/>
          <w:lang w:val="en-US"/>
        </w:rPr>
        <w:t xml:space="preserve"> compared to 60 in</w:t>
      </w:r>
      <w:r w:rsidR="005026C3">
        <w:rPr>
          <w:noProof/>
          <w:lang w:val="en-US"/>
        </w:rPr>
        <w:t xml:space="preserve"> a normal period</w:t>
      </w:r>
      <w:r w:rsidR="003270C3">
        <w:rPr>
          <w:noProof/>
          <w:lang w:val="en-US"/>
        </w:rPr>
        <w:t>)</w:t>
      </w:r>
      <w:r w:rsidR="00E43FB3" w:rsidRPr="006955CE">
        <w:rPr>
          <w:noProof/>
          <w:lang w:val="en-US"/>
        </w:rPr>
        <w:t xml:space="preserve">, </w:t>
      </w:r>
      <w:r w:rsidR="007B3F5C">
        <w:rPr>
          <w:noProof/>
          <w:lang w:val="en-US"/>
        </w:rPr>
        <w:t>the Croati</w:t>
      </w:r>
      <w:r w:rsidR="008F6159">
        <w:rPr>
          <w:noProof/>
          <w:lang w:val="en-US"/>
        </w:rPr>
        <w:t>a</w:t>
      </w:r>
      <w:r w:rsidR="007B3F5C">
        <w:rPr>
          <w:noProof/>
          <w:lang w:val="en-US"/>
        </w:rPr>
        <w:t xml:space="preserve">n National Bank </w:t>
      </w:r>
      <w:r w:rsidR="003270C3">
        <w:rPr>
          <w:noProof/>
        </w:rPr>
        <w:t>organi</w:t>
      </w:r>
      <w:r w:rsidR="00761E66">
        <w:rPr>
          <w:noProof/>
        </w:rPr>
        <w:t>s</w:t>
      </w:r>
      <w:r w:rsidR="003270C3">
        <w:rPr>
          <w:noProof/>
        </w:rPr>
        <w:t xml:space="preserve">ed </w:t>
      </w:r>
      <w:r w:rsidR="006E6B29">
        <w:rPr>
          <w:noProof/>
        </w:rPr>
        <w:t xml:space="preserve">the </w:t>
      </w:r>
      <w:r w:rsidR="003270C3">
        <w:rPr>
          <w:noProof/>
        </w:rPr>
        <w:t>transportation</w:t>
      </w:r>
      <w:r w:rsidR="005026C3">
        <w:rPr>
          <w:noProof/>
        </w:rPr>
        <w:t xml:space="preserve"> of cash</w:t>
      </w:r>
      <w:r w:rsidR="003270C3">
        <w:rPr>
          <w:noProof/>
        </w:rPr>
        <w:t xml:space="preserve"> </w:t>
      </w:r>
      <w:r w:rsidR="007B3F5C">
        <w:rPr>
          <w:noProof/>
        </w:rPr>
        <w:t>by regular means (own lorries and vehicles from</w:t>
      </w:r>
      <w:r w:rsidR="00503200">
        <w:rPr>
          <w:noProof/>
        </w:rPr>
        <w:t xml:space="preserve"> </w:t>
      </w:r>
      <w:r w:rsidR="007B3F5C">
        <w:rPr>
          <w:noProof/>
        </w:rPr>
        <w:t>cash-in</w:t>
      </w:r>
      <w:r w:rsidR="00503200">
        <w:rPr>
          <w:noProof/>
        </w:rPr>
        <w:t>-</w:t>
      </w:r>
      <w:r w:rsidR="007B3F5C">
        <w:rPr>
          <w:noProof/>
        </w:rPr>
        <w:t xml:space="preserve">transit companies) and in addition </w:t>
      </w:r>
      <w:r w:rsidR="00386DB3">
        <w:rPr>
          <w:noProof/>
        </w:rPr>
        <w:t xml:space="preserve">for the coins </w:t>
      </w:r>
      <w:r w:rsidR="007B3F5C">
        <w:rPr>
          <w:noProof/>
        </w:rPr>
        <w:t>through transp</w:t>
      </w:r>
      <w:r w:rsidR="00326AF2">
        <w:rPr>
          <w:noProof/>
        </w:rPr>
        <w:t>o</w:t>
      </w:r>
      <w:r w:rsidR="007B3F5C">
        <w:rPr>
          <w:noProof/>
        </w:rPr>
        <w:t xml:space="preserve">rtation </w:t>
      </w:r>
      <w:r w:rsidR="003270C3">
        <w:rPr>
          <w:noProof/>
        </w:rPr>
        <w:t xml:space="preserve">by </w:t>
      </w:r>
      <w:r w:rsidR="00E43FB3" w:rsidRPr="006955CE">
        <w:rPr>
          <w:noProof/>
        </w:rPr>
        <w:t xml:space="preserve">trucks </w:t>
      </w:r>
      <w:r w:rsidR="00750EDE">
        <w:rPr>
          <w:noProof/>
        </w:rPr>
        <w:t xml:space="preserve">rented </w:t>
      </w:r>
      <w:r w:rsidR="00E43FB3" w:rsidRPr="006955CE">
        <w:rPr>
          <w:noProof/>
        </w:rPr>
        <w:t xml:space="preserve">from the </w:t>
      </w:r>
      <w:r w:rsidR="006E6B29">
        <w:rPr>
          <w:noProof/>
        </w:rPr>
        <w:t>Ministry of Defense.</w:t>
      </w:r>
      <w:r w:rsidR="00B303EB" w:rsidRPr="00B303EB">
        <w:rPr>
          <w:noProof/>
        </w:rPr>
        <w:t xml:space="preserve"> </w:t>
      </w:r>
      <w:r w:rsidR="00503200">
        <w:rPr>
          <w:noProof/>
        </w:rPr>
        <w:t>By</w:t>
      </w:r>
      <w:r w:rsidR="00503200" w:rsidRPr="006955CE">
        <w:rPr>
          <w:noProof/>
        </w:rPr>
        <w:t xml:space="preserve"> </w:t>
      </w:r>
      <w:r w:rsidR="00B303EB" w:rsidRPr="006955CE">
        <w:rPr>
          <w:noProof/>
        </w:rPr>
        <w:t>31 December</w:t>
      </w:r>
      <w:r w:rsidR="00B303EB">
        <w:rPr>
          <w:noProof/>
        </w:rPr>
        <w:t xml:space="preserve"> 2022</w:t>
      </w:r>
      <w:r w:rsidR="00B303EB" w:rsidRPr="006955CE">
        <w:rPr>
          <w:noProof/>
        </w:rPr>
        <w:t xml:space="preserve">, euro banknotes </w:t>
      </w:r>
      <w:r w:rsidR="00B303EB">
        <w:rPr>
          <w:noProof/>
        </w:rPr>
        <w:t xml:space="preserve">worth </w:t>
      </w:r>
      <w:r w:rsidR="00B303EB" w:rsidRPr="006955CE">
        <w:rPr>
          <w:noProof/>
        </w:rPr>
        <w:t>EUR 1</w:t>
      </w:r>
      <w:r w:rsidR="00503200">
        <w:rPr>
          <w:noProof/>
        </w:rPr>
        <w:t>.</w:t>
      </w:r>
      <w:r w:rsidR="00B303EB" w:rsidRPr="006955CE">
        <w:rPr>
          <w:noProof/>
        </w:rPr>
        <w:t xml:space="preserve">14 billion </w:t>
      </w:r>
      <w:r w:rsidR="00B303EB">
        <w:rPr>
          <w:noProof/>
        </w:rPr>
        <w:t xml:space="preserve">and euro coins worth EUR 160 million </w:t>
      </w:r>
      <w:r w:rsidR="008D7DE6">
        <w:rPr>
          <w:noProof/>
        </w:rPr>
        <w:t xml:space="preserve">had been </w:t>
      </w:r>
      <w:r w:rsidR="00B303EB" w:rsidRPr="006955CE">
        <w:rPr>
          <w:noProof/>
        </w:rPr>
        <w:t>frontloaded</w:t>
      </w:r>
      <w:r w:rsidR="00B303EB">
        <w:rPr>
          <w:noProof/>
        </w:rPr>
        <w:t>.</w:t>
      </w:r>
    </w:p>
    <w:p w14:paraId="377B5BCC" w14:textId="5BD806E2" w:rsidR="00E43FB3" w:rsidRPr="006955CE" w:rsidRDefault="009554A8" w:rsidP="00E43FB3">
      <w:pPr>
        <w:rPr>
          <w:noProof/>
          <w:lang w:val="en-US"/>
        </w:rPr>
      </w:pPr>
      <w:r>
        <w:rPr>
          <w:noProof/>
          <w:lang w:val="en-US"/>
        </w:rPr>
        <w:t xml:space="preserve">Financial institutions </w:t>
      </w:r>
      <w:r w:rsidRPr="006955CE">
        <w:rPr>
          <w:noProof/>
          <w:lang w:val="en-US"/>
        </w:rPr>
        <w:t xml:space="preserve">started </w:t>
      </w:r>
      <w:r>
        <w:rPr>
          <w:noProof/>
          <w:lang w:val="en-US"/>
        </w:rPr>
        <w:t xml:space="preserve">to provide their corporate customers with euro banknotes and coins (‘sub-frontloading’) </w:t>
      </w:r>
      <w:r w:rsidR="001D09A7" w:rsidRPr="006955CE">
        <w:rPr>
          <w:noProof/>
          <w:lang w:val="en-US"/>
        </w:rPr>
        <w:t xml:space="preserve">on </w:t>
      </w:r>
      <w:r w:rsidR="001D09A7" w:rsidRPr="00265F07">
        <w:rPr>
          <w:noProof/>
          <w:lang w:val="en-US"/>
        </w:rPr>
        <w:t xml:space="preserve">1 </w:t>
      </w:r>
      <w:r w:rsidR="0039535F" w:rsidRPr="00265F07">
        <w:rPr>
          <w:noProof/>
          <w:lang w:val="en-US"/>
        </w:rPr>
        <w:t>October</w:t>
      </w:r>
      <w:r w:rsidR="0039535F" w:rsidRPr="006955CE">
        <w:rPr>
          <w:noProof/>
          <w:lang w:val="en-US"/>
        </w:rPr>
        <w:t xml:space="preserve"> 2022</w:t>
      </w:r>
      <w:r w:rsidR="001D09A7" w:rsidRPr="006955CE">
        <w:rPr>
          <w:noProof/>
          <w:lang w:val="en-US"/>
        </w:rPr>
        <w:t xml:space="preserve">, </w:t>
      </w:r>
      <w:r w:rsidR="00E14145" w:rsidRPr="006955CE">
        <w:rPr>
          <w:noProof/>
          <w:lang w:val="en-US"/>
        </w:rPr>
        <w:t xml:space="preserve">whilst </w:t>
      </w:r>
      <w:r w:rsidR="001D09A7" w:rsidRPr="006955CE">
        <w:rPr>
          <w:noProof/>
          <w:lang w:val="en-US"/>
        </w:rPr>
        <w:t>smaller corporate clients using simpli</w:t>
      </w:r>
      <w:r>
        <w:rPr>
          <w:noProof/>
          <w:lang w:val="en-US"/>
        </w:rPr>
        <w:softHyphen/>
      </w:r>
      <w:r w:rsidR="001D09A7" w:rsidRPr="006955CE">
        <w:rPr>
          <w:noProof/>
          <w:lang w:val="en-US"/>
        </w:rPr>
        <w:t xml:space="preserve">fied sub-frontloading </w:t>
      </w:r>
      <w:r w:rsidR="0070774E">
        <w:rPr>
          <w:noProof/>
          <w:lang w:val="en-US"/>
        </w:rPr>
        <w:t xml:space="preserve">received </w:t>
      </w:r>
      <w:r w:rsidR="001D09A7" w:rsidRPr="006955CE">
        <w:rPr>
          <w:noProof/>
          <w:lang w:val="en-US"/>
        </w:rPr>
        <w:t>deliver</w:t>
      </w:r>
      <w:r w:rsidR="0070774E">
        <w:rPr>
          <w:noProof/>
          <w:lang w:val="en-US"/>
        </w:rPr>
        <w:t>ies of</w:t>
      </w:r>
      <w:r w:rsidR="001D09A7" w:rsidRPr="006955CE">
        <w:rPr>
          <w:noProof/>
          <w:lang w:val="en-US"/>
        </w:rPr>
        <w:t xml:space="preserve"> euro cash </w:t>
      </w:r>
      <w:r w:rsidR="00E43FB3" w:rsidRPr="006955CE">
        <w:rPr>
          <w:noProof/>
          <w:lang w:val="en-US"/>
        </w:rPr>
        <w:t xml:space="preserve">in </w:t>
      </w:r>
      <w:r w:rsidR="001D09A7" w:rsidRPr="006955CE">
        <w:rPr>
          <w:noProof/>
          <w:lang w:val="en-US"/>
        </w:rPr>
        <w:t xml:space="preserve">December </w:t>
      </w:r>
      <w:r w:rsidR="001B3A91" w:rsidRPr="006955CE">
        <w:rPr>
          <w:noProof/>
          <w:lang w:val="en-US"/>
        </w:rPr>
        <w:t>2022</w:t>
      </w:r>
      <w:r w:rsidR="001D09A7" w:rsidRPr="006955CE">
        <w:rPr>
          <w:noProof/>
          <w:lang w:val="en-US"/>
        </w:rPr>
        <w:t xml:space="preserve">. </w:t>
      </w:r>
    </w:p>
    <w:p w14:paraId="127D6EAA" w14:textId="101FC026" w:rsidR="00B303EB" w:rsidRDefault="00B303EB" w:rsidP="001D09A7">
      <w:pPr>
        <w:rPr>
          <w:noProof/>
        </w:rPr>
      </w:pPr>
      <w:r>
        <w:rPr>
          <w:noProof/>
          <w:lang w:val="en-US"/>
        </w:rPr>
        <w:t xml:space="preserve">On 31 December 2022, financial institutions </w:t>
      </w:r>
      <w:r w:rsidR="0070774E">
        <w:rPr>
          <w:noProof/>
          <w:lang w:val="en-US"/>
        </w:rPr>
        <w:t>sub-</w:t>
      </w:r>
      <w:r>
        <w:rPr>
          <w:noProof/>
          <w:lang w:val="en-US"/>
        </w:rPr>
        <w:t xml:space="preserve">frontloaded euro banknotes worth </w:t>
      </w:r>
      <w:r w:rsidR="00E43FB3" w:rsidRPr="006955CE">
        <w:rPr>
          <w:noProof/>
        </w:rPr>
        <w:t xml:space="preserve">EUR 76 million </w:t>
      </w:r>
      <w:r>
        <w:rPr>
          <w:noProof/>
        </w:rPr>
        <w:t xml:space="preserve">to their clients. </w:t>
      </w:r>
      <w:r w:rsidR="00E43FB3" w:rsidRPr="006955CE">
        <w:rPr>
          <w:noProof/>
        </w:rPr>
        <w:t xml:space="preserve">By the same date, euro coins </w:t>
      </w:r>
      <w:r>
        <w:rPr>
          <w:noProof/>
        </w:rPr>
        <w:t>with a value of</w:t>
      </w:r>
      <w:r w:rsidR="00E43FB3" w:rsidRPr="006955CE">
        <w:rPr>
          <w:noProof/>
        </w:rPr>
        <w:t xml:space="preserve"> EUR </w:t>
      </w:r>
      <w:r w:rsidR="00265F07">
        <w:rPr>
          <w:noProof/>
        </w:rPr>
        <w:t>44</w:t>
      </w:r>
      <w:r w:rsidR="00E43FB3" w:rsidRPr="006955CE">
        <w:rPr>
          <w:noProof/>
        </w:rPr>
        <w:t> million were sub-frontloaded</w:t>
      </w:r>
      <w:r>
        <w:rPr>
          <w:noProof/>
        </w:rPr>
        <w:t xml:space="preserve"> to clients.</w:t>
      </w:r>
    </w:p>
    <w:p w14:paraId="710B2328" w14:textId="4A878D0E" w:rsidR="00E43FB3" w:rsidRDefault="000C2784" w:rsidP="001D09A7">
      <w:pPr>
        <w:rPr>
          <w:noProof/>
        </w:rPr>
      </w:pPr>
      <w:r>
        <w:rPr>
          <w:noProof/>
        </w:rPr>
        <w:t>On</w:t>
      </w:r>
      <w:r w:rsidR="008E5F84">
        <w:rPr>
          <w:noProof/>
        </w:rPr>
        <w:t xml:space="preserve"> 31 December 2022 t</w:t>
      </w:r>
      <w:r w:rsidR="00E43FB3" w:rsidRPr="006955CE">
        <w:rPr>
          <w:noProof/>
        </w:rPr>
        <w:t xml:space="preserve">he level of sub-frontloading </w:t>
      </w:r>
      <w:r w:rsidR="008E5F84">
        <w:rPr>
          <w:noProof/>
        </w:rPr>
        <w:t xml:space="preserve">was </w:t>
      </w:r>
      <w:r w:rsidR="00E43FB3" w:rsidRPr="006955CE">
        <w:rPr>
          <w:noProof/>
        </w:rPr>
        <w:t xml:space="preserve">only 8% of the total frontloading </w:t>
      </w:r>
      <w:r w:rsidR="006077AC">
        <w:rPr>
          <w:noProof/>
        </w:rPr>
        <w:t xml:space="preserve"> </w:t>
      </w:r>
      <w:r w:rsidR="00E43FB3" w:rsidRPr="006955CE">
        <w:rPr>
          <w:noProof/>
        </w:rPr>
        <w:t>value</w:t>
      </w:r>
      <w:r w:rsidR="008E5F84">
        <w:rPr>
          <w:noProof/>
        </w:rPr>
        <w:t xml:space="preserve">. This </w:t>
      </w:r>
      <w:r w:rsidR="00E43FB3" w:rsidRPr="006955CE">
        <w:rPr>
          <w:noProof/>
        </w:rPr>
        <w:t xml:space="preserve">led to some queues at banks’ </w:t>
      </w:r>
      <w:r w:rsidR="00FB73B0">
        <w:rPr>
          <w:noProof/>
        </w:rPr>
        <w:t>counter</w:t>
      </w:r>
      <w:r w:rsidR="00E43FB3" w:rsidRPr="006955CE">
        <w:rPr>
          <w:noProof/>
        </w:rPr>
        <w:t xml:space="preserve">s in the first days of January 2023 when </w:t>
      </w:r>
      <w:r w:rsidR="008E5F84">
        <w:rPr>
          <w:noProof/>
        </w:rPr>
        <w:t>many</w:t>
      </w:r>
      <w:r w:rsidR="0000258F">
        <w:rPr>
          <w:noProof/>
        </w:rPr>
        <w:t>,</w:t>
      </w:r>
      <w:r>
        <w:rPr>
          <w:noProof/>
        </w:rPr>
        <w:t xml:space="preserve"> mostly smaller</w:t>
      </w:r>
      <w:r w:rsidR="0000258F">
        <w:rPr>
          <w:noProof/>
        </w:rPr>
        <w:t>,</w:t>
      </w:r>
      <w:r w:rsidR="008E5F84">
        <w:rPr>
          <w:noProof/>
        </w:rPr>
        <w:t xml:space="preserve"> </w:t>
      </w:r>
      <w:r w:rsidR="00E43FB3" w:rsidRPr="006955CE">
        <w:rPr>
          <w:noProof/>
        </w:rPr>
        <w:t xml:space="preserve">retailers and businesses </w:t>
      </w:r>
      <w:r w:rsidR="008E5F84">
        <w:rPr>
          <w:noProof/>
        </w:rPr>
        <w:t xml:space="preserve">started to </w:t>
      </w:r>
      <w:r w:rsidR="00E43FB3" w:rsidRPr="006955CE">
        <w:rPr>
          <w:noProof/>
        </w:rPr>
        <w:t>withdr</w:t>
      </w:r>
      <w:r w:rsidR="00326AF2">
        <w:rPr>
          <w:noProof/>
        </w:rPr>
        <w:t>a</w:t>
      </w:r>
      <w:r w:rsidR="00E43FB3" w:rsidRPr="006955CE">
        <w:rPr>
          <w:noProof/>
        </w:rPr>
        <w:t xml:space="preserve">w euro cash. </w:t>
      </w:r>
      <w:r w:rsidR="002E5D73">
        <w:rPr>
          <w:noProof/>
        </w:rPr>
        <w:t xml:space="preserve">Acording to </w:t>
      </w:r>
      <w:r w:rsidR="0000258F">
        <w:rPr>
          <w:noProof/>
        </w:rPr>
        <w:t xml:space="preserve">the </w:t>
      </w:r>
      <w:r w:rsidR="002E5D73">
        <w:rPr>
          <w:noProof/>
        </w:rPr>
        <w:t>Croatian authorities t</w:t>
      </w:r>
      <w:r w:rsidR="0066779E">
        <w:rPr>
          <w:noProof/>
        </w:rPr>
        <w:t xml:space="preserve">he reason for </w:t>
      </w:r>
      <w:r w:rsidR="0000258F">
        <w:rPr>
          <w:noProof/>
        </w:rPr>
        <w:t xml:space="preserve">the </w:t>
      </w:r>
      <w:r w:rsidR="008E5F84">
        <w:rPr>
          <w:noProof/>
        </w:rPr>
        <w:t xml:space="preserve">late sub-frontloading </w:t>
      </w:r>
      <w:r w:rsidR="00DD12EE">
        <w:rPr>
          <w:noProof/>
        </w:rPr>
        <w:t xml:space="preserve">of these retailers and businesses </w:t>
      </w:r>
      <w:r>
        <w:rPr>
          <w:noProof/>
        </w:rPr>
        <w:t xml:space="preserve">was likely to be </w:t>
      </w:r>
      <w:r w:rsidR="00DD12EE">
        <w:rPr>
          <w:noProof/>
        </w:rPr>
        <w:t xml:space="preserve">the </w:t>
      </w:r>
      <w:r w:rsidR="00761E66">
        <w:rPr>
          <w:noProof/>
        </w:rPr>
        <w:t>reluctance to</w:t>
      </w:r>
      <w:r w:rsidR="00413139">
        <w:rPr>
          <w:noProof/>
        </w:rPr>
        <w:t xml:space="preserve"> provid</w:t>
      </w:r>
      <w:r w:rsidR="00761E66">
        <w:rPr>
          <w:noProof/>
        </w:rPr>
        <w:t>e</w:t>
      </w:r>
      <w:r w:rsidR="00413139">
        <w:rPr>
          <w:noProof/>
        </w:rPr>
        <w:t xml:space="preserve"> </w:t>
      </w:r>
      <w:r w:rsidR="00DD12EE">
        <w:rPr>
          <w:noProof/>
        </w:rPr>
        <w:t xml:space="preserve">collateral </w:t>
      </w:r>
      <w:r w:rsidR="00413139">
        <w:rPr>
          <w:noProof/>
        </w:rPr>
        <w:t xml:space="preserve">to the banks </w:t>
      </w:r>
      <w:r w:rsidR="00DD12EE">
        <w:rPr>
          <w:noProof/>
        </w:rPr>
        <w:t xml:space="preserve">in the last quarter of the year 2022 to finance the purchase of euro banknotes and coins </w:t>
      </w:r>
      <w:r>
        <w:rPr>
          <w:noProof/>
        </w:rPr>
        <w:t>in sufficient quantities.</w:t>
      </w:r>
      <w:r w:rsidR="00326AF2">
        <w:rPr>
          <w:noProof/>
        </w:rPr>
        <w:t xml:space="preserve"> </w:t>
      </w:r>
      <w:r>
        <w:rPr>
          <w:noProof/>
        </w:rPr>
        <w:t xml:space="preserve">However, </w:t>
      </w:r>
      <w:r w:rsidR="0000258F">
        <w:rPr>
          <w:noProof/>
        </w:rPr>
        <w:t xml:space="preserve">apart from some </w:t>
      </w:r>
      <w:r w:rsidR="002E5D73">
        <w:rPr>
          <w:noProof/>
        </w:rPr>
        <w:t>longer queues in the beginning of January</w:t>
      </w:r>
      <w:r w:rsidR="0000258F">
        <w:rPr>
          <w:noProof/>
        </w:rPr>
        <w:t>,</w:t>
      </w:r>
      <w:r w:rsidR="002E5D73">
        <w:rPr>
          <w:noProof/>
        </w:rPr>
        <w:t xml:space="preserve"> </w:t>
      </w:r>
      <w:r>
        <w:rPr>
          <w:noProof/>
        </w:rPr>
        <w:t>no inciden</w:t>
      </w:r>
      <w:r w:rsidR="0000258F">
        <w:rPr>
          <w:noProof/>
        </w:rPr>
        <w:t>ts</w:t>
      </w:r>
      <w:r>
        <w:rPr>
          <w:noProof/>
        </w:rPr>
        <w:t xml:space="preserve"> were reported where businesses, retailers or the public had problems withdraw</w:t>
      </w:r>
      <w:r w:rsidR="0000258F">
        <w:rPr>
          <w:noProof/>
        </w:rPr>
        <w:t>ing</w:t>
      </w:r>
      <w:r>
        <w:rPr>
          <w:noProof/>
        </w:rPr>
        <w:t xml:space="preserve"> euro cash</w:t>
      </w:r>
      <w:r w:rsidR="00ED4BED">
        <w:rPr>
          <w:noProof/>
        </w:rPr>
        <w:t>.</w:t>
      </w:r>
    </w:p>
    <w:p w14:paraId="5350A699" w14:textId="77777777" w:rsidR="00177077" w:rsidRDefault="00FB73B0" w:rsidP="00FB73B0">
      <w:pPr>
        <w:rPr>
          <w:noProof/>
          <w:lang w:val="en-US"/>
        </w:rPr>
      </w:pPr>
      <w:r>
        <w:rPr>
          <w:noProof/>
        </w:rPr>
        <w:t>The sale of starter kits for citizens was satisf</w:t>
      </w:r>
      <w:r w:rsidR="0070774E">
        <w:rPr>
          <w:noProof/>
        </w:rPr>
        <w:t>actory</w:t>
      </w:r>
      <w:r>
        <w:rPr>
          <w:noProof/>
        </w:rPr>
        <w:t xml:space="preserve"> (</w:t>
      </w:r>
      <w:r w:rsidRPr="003955F3">
        <w:rPr>
          <w:noProof/>
        </w:rPr>
        <w:t>877</w:t>
      </w:r>
      <w:r w:rsidR="00907021" w:rsidRPr="003955F3">
        <w:rPr>
          <w:noProof/>
        </w:rPr>
        <w:t>,</w:t>
      </w:r>
      <w:r w:rsidRPr="003955F3">
        <w:rPr>
          <w:noProof/>
        </w:rPr>
        <w:t>952</w:t>
      </w:r>
      <w:r>
        <w:rPr>
          <w:noProof/>
        </w:rPr>
        <w:t xml:space="preserve"> kits</w:t>
      </w:r>
      <w:r w:rsidR="00177077">
        <w:rPr>
          <w:noProof/>
        </w:rPr>
        <w:t xml:space="preserve"> </w:t>
      </w:r>
      <w:r w:rsidR="005838AB">
        <w:rPr>
          <w:noProof/>
        </w:rPr>
        <w:t xml:space="preserve">were </w:t>
      </w:r>
      <w:r w:rsidR="00907021">
        <w:rPr>
          <w:noProof/>
        </w:rPr>
        <w:t xml:space="preserve">sold </w:t>
      </w:r>
      <w:r w:rsidR="005838AB">
        <w:rPr>
          <w:noProof/>
        </w:rPr>
        <w:t xml:space="preserve">by </w:t>
      </w:r>
      <w:r>
        <w:rPr>
          <w:noProof/>
        </w:rPr>
        <w:t>31 December)</w:t>
      </w:r>
      <w:r w:rsidR="00907021">
        <w:rPr>
          <w:noProof/>
        </w:rPr>
        <w:t>,</w:t>
      </w:r>
      <w:r>
        <w:rPr>
          <w:noProof/>
        </w:rPr>
        <w:t xml:space="preserve"> taking into account </w:t>
      </w:r>
      <w:r w:rsidR="005838AB">
        <w:rPr>
          <w:noProof/>
        </w:rPr>
        <w:t xml:space="preserve">the fact </w:t>
      </w:r>
      <w:r>
        <w:rPr>
          <w:noProof/>
          <w:lang w:val="en-US"/>
        </w:rPr>
        <w:t>that a</w:t>
      </w:r>
      <w:r w:rsidRPr="006955CE">
        <w:rPr>
          <w:noProof/>
          <w:lang w:val="en-US"/>
        </w:rPr>
        <w:t>ccording to a Commission survey of December 2022</w:t>
      </w:r>
      <w:r w:rsidRPr="006955CE">
        <w:rPr>
          <w:rStyle w:val="FootnoteReference"/>
          <w:noProof/>
          <w:lang w:val="en-US"/>
        </w:rPr>
        <w:footnoteReference w:id="5"/>
      </w:r>
      <w:r w:rsidRPr="006955CE">
        <w:rPr>
          <w:noProof/>
          <w:lang w:val="en-US"/>
        </w:rPr>
        <w:t>, a large proportion of Croat</w:t>
      </w:r>
      <w:r w:rsidR="00A438C2">
        <w:rPr>
          <w:noProof/>
          <w:lang w:val="en-US"/>
        </w:rPr>
        <w:t>ian</w:t>
      </w:r>
      <w:r w:rsidRPr="006955CE">
        <w:rPr>
          <w:noProof/>
          <w:lang w:val="en-US"/>
        </w:rPr>
        <w:t>s already possessed euro cash before the changeover: 68% h</w:t>
      </w:r>
      <w:r w:rsidR="005838AB">
        <w:rPr>
          <w:noProof/>
          <w:lang w:val="en-US"/>
        </w:rPr>
        <w:t>eld</w:t>
      </w:r>
      <w:r w:rsidRPr="006955CE">
        <w:rPr>
          <w:noProof/>
          <w:lang w:val="en-US"/>
        </w:rPr>
        <w:t xml:space="preserve"> euro banknotes (35% from a trip abroad, 37% from an exchange in a bank in Croatia) and 57% h</w:t>
      </w:r>
      <w:r w:rsidR="005838AB">
        <w:rPr>
          <w:noProof/>
          <w:lang w:val="en-US"/>
        </w:rPr>
        <w:t>eld</w:t>
      </w:r>
      <w:r w:rsidR="00907021">
        <w:rPr>
          <w:noProof/>
          <w:lang w:val="en-US"/>
        </w:rPr>
        <w:t xml:space="preserve"> </w:t>
      </w:r>
      <w:r w:rsidRPr="006955CE">
        <w:rPr>
          <w:noProof/>
          <w:lang w:val="en-US"/>
        </w:rPr>
        <w:t>euro coins (52% from a trip abroad and 43% from a starter kit).</w:t>
      </w:r>
      <w:r>
        <w:rPr>
          <w:noProof/>
          <w:lang w:val="en-US"/>
        </w:rPr>
        <w:t xml:space="preserve"> </w:t>
      </w:r>
    </w:p>
    <w:p w14:paraId="5814192B" w14:textId="77777777" w:rsidR="001D09A7" w:rsidRPr="00CA52F2" w:rsidRDefault="005838AB" w:rsidP="001D09A7">
      <w:pPr>
        <w:rPr>
          <w:noProof/>
          <w:lang w:val="en-US"/>
        </w:rPr>
      </w:pPr>
      <w:r>
        <w:rPr>
          <w:noProof/>
          <w:lang w:val="en-US"/>
        </w:rPr>
        <w:t>In contrast</w:t>
      </w:r>
      <w:r w:rsidR="00FB73B0">
        <w:rPr>
          <w:noProof/>
          <w:lang w:val="en-US"/>
        </w:rPr>
        <w:t xml:space="preserve">, the </w:t>
      </w:r>
      <w:r>
        <w:rPr>
          <w:noProof/>
          <w:lang w:val="en-US"/>
        </w:rPr>
        <w:t xml:space="preserve">demand </w:t>
      </w:r>
      <w:r w:rsidR="00177077">
        <w:rPr>
          <w:noProof/>
          <w:lang w:val="en-US"/>
        </w:rPr>
        <w:t xml:space="preserve">for </w:t>
      </w:r>
      <w:r w:rsidR="00FB73B0">
        <w:rPr>
          <w:noProof/>
          <w:lang w:val="en-US"/>
        </w:rPr>
        <w:t xml:space="preserve">retailer </w:t>
      </w:r>
      <w:r>
        <w:rPr>
          <w:noProof/>
          <w:lang w:val="en-US"/>
        </w:rPr>
        <w:t xml:space="preserve">starter </w:t>
      </w:r>
      <w:r w:rsidR="00FB73B0">
        <w:rPr>
          <w:noProof/>
          <w:lang w:val="en-US"/>
        </w:rPr>
        <w:t xml:space="preserve">kits was </w:t>
      </w:r>
      <w:r>
        <w:rPr>
          <w:noProof/>
          <w:lang w:val="en-US"/>
        </w:rPr>
        <w:t xml:space="preserve">more </w:t>
      </w:r>
      <w:r w:rsidR="00FB73B0">
        <w:rPr>
          <w:noProof/>
          <w:lang w:val="en-US"/>
        </w:rPr>
        <w:t>re</w:t>
      </w:r>
      <w:r>
        <w:rPr>
          <w:noProof/>
          <w:lang w:val="en-US"/>
        </w:rPr>
        <w:t>s</w:t>
      </w:r>
      <w:r w:rsidR="00FB73B0">
        <w:rPr>
          <w:noProof/>
          <w:lang w:val="en-US"/>
        </w:rPr>
        <w:t>t</w:t>
      </w:r>
      <w:r>
        <w:rPr>
          <w:noProof/>
          <w:lang w:val="en-US"/>
        </w:rPr>
        <w:t>r</w:t>
      </w:r>
      <w:r w:rsidR="00FB73B0">
        <w:rPr>
          <w:noProof/>
          <w:lang w:val="en-US"/>
        </w:rPr>
        <w:t>ained</w:t>
      </w:r>
      <w:r w:rsidR="00177077">
        <w:rPr>
          <w:noProof/>
          <w:lang w:val="en-US"/>
        </w:rPr>
        <w:t xml:space="preserve">. </w:t>
      </w:r>
      <w:r>
        <w:rPr>
          <w:noProof/>
          <w:lang w:val="en-US"/>
        </w:rPr>
        <w:t xml:space="preserve">Although </w:t>
      </w:r>
      <w:r w:rsidR="003B6471" w:rsidRPr="003955F3">
        <w:rPr>
          <w:noProof/>
          <w:lang w:val="en-US"/>
        </w:rPr>
        <w:t>150</w:t>
      </w:r>
      <w:r w:rsidR="00047F13" w:rsidRPr="003955F3">
        <w:rPr>
          <w:noProof/>
          <w:lang w:val="en-US"/>
        </w:rPr>
        <w:t>,</w:t>
      </w:r>
      <w:r w:rsidR="003B6471" w:rsidRPr="003955F3">
        <w:rPr>
          <w:noProof/>
          <w:lang w:val="en-US"/>
        </w:rPr>
        <w:t>000</w:t>
      </w:r>
      <w:r w:rsidR="003B6471">
        <w:rPr>
          <w:noProof/>
          <w:lang w:val="en-US"/>
        </w:rPr>
        <w:t xml:space="preserve"> kits were produced</w:t>
      </w:r>
      <w:r>
        <w:rPr>
          <w:noProof/>
          <w:lang w:val="en-US"/>
        </w:rPr>
        <w:t>,</w:t>
      </w:r>
      <w:r w:rsidR="003B6471">
        <w:rPr>
          <w:noProof/>
          <w:lang w:val="en-US"/>
        </w:rPr>
        <w:t xml:space="preserve"> of which </w:t>
      </w:r>
      <w:r w:rsidR="003B6471" w:rsidRPr="003955F3">
        <w:rPr>
          <w:noProof/>
          <w:lang w:val="en-US"/>
        </w:rPr>
        <w:t>125</w:t>
      </w:r>
      <w:r w:rsidR="00047F13" w:rsidRPr="003955F3">
        <w:rPr>
          <w:noProof/>
          <w:lang w:val="en-US"/>
        </w:rPr>
        <w:t>,</w:t>
      </w:r>
      <w:r w:rsidR="003B6471" w:rsidRPr="003955F3">
        <w:rPr>
          <w:noProof/>
          <w:lang w:val="en-US"/>
        </w:rPr>
        <w:t>000</w:t>
      </w:r>
      <w:r w:rsidR="003B6471">
        <w:rPr>
          <w:noProof/>
          <w:lang w:val="en-US"/>
        </w:rPr>
        <w:t xml:space="preserve"> were frontloaded to financial institutions, only </w:t>
      </w:r>
      <w:r w:rsidR="003B6471" w:rsidRPr="003955F3">
        <w:rPr>
          <w:noProof/>
          <w:lang w:val="en-US"/>
        </w:rPr>
        <w:t>37</w:t>
      </w:r>
      <w:r w:rsidR="00047F13" w:rsidRPr="003955F3">
        <w:rPr>
          <w:noProof/>
          <w:lang w:val="en-US"/>
        </w:rPr>
        <w:t>,</w:t>
      </w:r>
      <w:r w:rsidR="003B6471" w:rsidRPr="003955F3">
        <w:rPr>
          <w:noProof/>
          <w:lang w:val="en-US"/>
        </w:rPr>
        <w:t>925</w:t>
      </w:r>
      <w:r w:rsidR="003B6471">
        <w:rPr>
          <w:noProof/>
          <w:lang w:val="en-US"/>
        </w:rPr>
        <w:t xml:space="preserve"> kits</w:t>
      </w:r>
      <w:r>
        <w:rPr>
          <w:noProof/>
          <w:lang w:val="en-US"/>
        </w:rPr>
        <w:t xml:space="preserve"> were finally sold to retailers</w:t>
      </w:r>
      <w:r w:rsidR="003B6471">
        <w:rPr>
          <w:noProof/>
          <w:lang w:val="en-US"/>
        </w:rPr>
        <w:t xml:space="preserve">. </w:t>
      </w:r>
      <w:r w:rsidR="00177077">
        <w:rPr>
          <w:noProof/>
          <w:lang w:val="en-US"/>
        </w:rPr>
        <w:t>There may be several rea</w:t>
      </w:r>
      <w:r w:rsidR="007B3F5C">
        <w:rPr>
          <w:noProof/>
          <w:lang w:val="en-US"/>
        </w:rPr>
        <w:t>s</w:t>
      </w:r>
      <w:r w:rsidR="00177077">
        <w:rPr>
          <w:noProof/>
          <w:lang w:val="en-US"/>
        </w:rPr>
        <w:t>ons for th</w:t>
      </w:r>
      <w:r>
        <w:rPr>
          <w:noProof/>
          <w:lang w:val="en-US"/>
        </w:rPr>
        <w:t>is</w:t>
      </w:r>
      <w:r w:rsidR="00177077">
        <w:rPr>
          <w:noProof/>
          <w:lang w:val="en-US"/>
        </w:rPr>
        <w:t xml:space="preserve"> low demand</w:t>
      </w:r>
      <w:r w:rsidR="00FD160C">
        <w:rPr>
          <w:noProof/>
          <w:lang w:val="en-US"/>
        </w:rPr>
        <w:t xml:space="preserve"> according to the Croatian authorities</w:t>
      </w:r>
      <w:r w:rsidR="00177077">
        <w:rPr>
          <w:noProof/>
          <w:lang w:val="en-US"/>
        </w:rPr>
        <w:t xml:space="preserve">. </w:t>
      </w:r>
      <w:r w:rsidR="00B869F8" w:rsidRPr="00177077">
        <w:rPr>
          <w:noProof/>
          <w:szCs w:val="22"/>
        </w:rPr>
        <w:t xml:space="preserve">First, </w:t>
      </w:r>
      <w:r w:rsidR="007B3F5C">
        <w:rPr>
          <w:noProof/>
          <w:szCs w:val="22"/>
        </w:rPr>
        <w:t xml:space="preserve">some </w:t>
      </w:r>
      <w:r w:rsidR="00B869F8" w:rsidRPr="00177077">
        <w:rPr>
          <w:noProof/>
          <w:szCs w:val="22"/>
        </w:rPr>
        <w:t>business</w:t>
      </w:r>
      <w:r w:rsidR="007B3F5C">
        <w:rPr>
          <w:noProof/>
          <w:szCs w:val="22"/>
        </w:rPr>
        <w:t>es</w:t>
      </w:r>
      <w:r w:rsidR="00B869F8" w:rsidRPr="00177077">
        <w:rPr>
          <w:noProof/>
          <w:szCs w:val="22"/>
        </w:rPr>
        <w:t xml:space="preserve"> used other channels for sub-frontloading</w:t>
      </w:r>
      <w:r w:rsidR="00326AF2">
        <w:rPr>
          <w:noProof/>
          <w:szCs w:val="22"/>
        </w:rPr>
        <w:t>,</w:t>
      </w:r>
      <w:r w:rsidR="00B869F8" w:rsidRPr="00177077">
        <w:rPr>
          <w:noProof/>
          <w:szCs w:val="22"/>
        </w:rPr>
        <w:t xml:space="preserve"> which satisfied their needs </w:t>
      </w:r>
      <w:r w:rsidR="00FD160C">
        <w:rPr>
          <w:noProof/>
          <w:szCs w:val="22"/>
        </w:rPr>
        <w:t xml:space="preserve">by </w:t>
      </w:r>
      <w:r w:rsidR="00B869F8" w:rsidRPr="00177077">
        <w:rPr>
          <w:noProof/>
          <w:szCs w:val="22"/>
        </w:rPr>
        <w:t>supply</w:t>
      </w:r>
      <w:r w:rsidR="00FD160C">
        <w:rPr>
          <w:noProof/>
          <w:szCs w:val="22"/>
        </w:rPr>
        <w:t>ing</w:t>
      </w:r>
      <w:r w:rsidR="00B869F8" w:rsidRPr="00177077">
        <w:rPr>
          <w:noProof/>
          <w:szCs w:val="22"/>
        </w:rPr>
        <w:t xml:space="preserve"> both euro banknotes and coins at the same time. Furthermore, </w:t>
      </w:r>
      <w:r w:rsidR="007B3F5C">
        <w:rPr>
          <w:noProof/>
          <w:szCs w:val="22"/>
        </w:rPr>
        <w:t>several</w:t>
      </w:r>
      <w:r w:rsidR="00B869F8" w:rsidRPr="00177077">
        <w:rPr>
          <w:noProof/>
          <w:color w:val="8496B0"/>
        </w:rPr>
        <w:t xml:space="preserve"> </w:t>
      </w:r>
      <w:r w:rsidR="007B3F5C">
        <w:rPr>
          <w:noProof/>
        </w:rPr>
        <w:t>smaller r</w:t>
      </w:r>
      <w:r w:rsidR="00177077">
        <w:rPr>
          <w:noProof/>
        </w:rPr>
        <w:t xml:space="preserve">etailers </w:t>
      </w:r>
      <w:r w:rsidR="007B3F5C">
        <w:rPr>
          <w:noProof/>
        </w:rPr>
        <w:t>could not purchase</w:t>
      </w:r>
      <w:r w:rsidR="00B869F8" w:rsidRPr="00177077">
        <w:rPr>
          <w:noProof/>
        </w:rPr>
        <w:t xml:space="preserve"> retailer kits due </w:t>
      </w:r>
      <w:r w:rsidR="00B869F8" w:rsidRPr="007B05C7">
        <w:rPr>
          <w:noProof/>
        </w:rPr>
        <w:t>to insufficient liquidity at the end of the year</w:t>
      </w:r>
      <w:r w:rsidR="00B869F8" w:rsidRPr="00177077">
        <w:rPr>
          <w:noProof/>
        </w:rPr>
        <w:t>, and others did not have enough space in their safes to store kuna and euros separately.</w:t>
      </w:r>
      <w:r w:rsidR="00B869F8" w:rsidRPr="00177077">
        <w:rPr>
          <w:noProof/>
          <w:szCs w:val="22"/>
        </w:rPr>
        <w:t xml:space="preserve"> In addition, the retailer kits </w:t>
      </w:r>
      <w:r w:rsidR="00B869F8" w:rsidRPr="00177077">
        <w:rPr>
          <w:noProof/>
        </w:rPr>
        <w:t xml:space="preserve">contained only euro coins but not euro banknotes </w:t>
      </w:r>
      <w:r w:rsidR="007B3F5C">
        <w:rPr>
          <w:noProof/>
        </w:rPr>
        <w:t>though retailers preferred to have both euro banknotes and coins in one go</w:t>
      </w:r>
      <w:r w:rsidR="00B869F8" w:rsidRPr="00177077">
        <w:rPr>
          <w:noProof/>
        </w:rPr>
        <w:t xml:space="preserve">. </w:t>
      </w:r>
      <w:r w:rsidR="007B3F5C">
        <w:rPr>
          <w:noProof/>
        </w:rPr>
        <w:t>Finally</w:t>
      </w:r>
      <w:r w:rsidR="00B869F8" w:rsidRPr="00177077">
        <w:rPr>
          <w:noProof/>
        </w:rPr>
        <w:t xml:space="preserve">, many business entities </w:t>
      </w:r>
      <w:r w:rsidR="00047F13">
        <w:rPr>
          <w:noProof/>
        </w:rPr>
        <w:t>prioritised electronic payments</w:t>
      </w:r>
      <w:r w:rsidR="00B869F8" w:rsidRPr="00177077">
        <w:rPr>
          <w:noProof/>
        </w:rPr>
        <w:t xml:space="preserve"> and some of them closed their shops at the beginning of January 2023</w:t>
      </w:r>
      <w:r w:rsidR="00D36732" w:rsidRPr="00177077">
        <w:rPr>
          <w:noProof/>
        </w:rPr>
        <w:t xml:space="preserve"> </w:t>
      </w:r>
      <w:r w:rsidR="00B869F8" w:rsidRPr="00177077">
        <w:rPr>
          <w:noProof/>
        </w:rPr>
        <w:t xml:space="preserve">for holidays. </w:t>
      </w:r>
      <w:r w:rsidR="00B869F8" w:rsidRPr="00B869F8">
        <w:rPr>
          <w:noProof/>
        </w:rPr>
        <w:t xml:space="preserve"> </w:t>
      </w:r>
    </w:p>
    <w:p w14:paraId="16165B71" w14:textId="1F09A685" w:rsidR="00137F62" w:rsidRDefault="002E5D73" w:rsidP="001D09A7">
      <w:pPr>
        <w:rPr>
          <w:noProof/>
          <w:lang w:val="en-US"/>
        </w:rPr>
      </w:pPr>
      <w:r>
        <w:rPr>
          <w:noProof/>
          <w:lang w:val="en-US"/>
        </w:rPr>
        <w:t>Like for any euro changeover,</w:t>
      </w:r>
      <w:r w:rsidR="001D09A7" w:rsidRPr="006955CE">
        <w:rPr>
          <w:noProof/>
          <w:lang w:val="en-US"/>
        </w:rPr>
        <w:t xml:space="preserve"> commercial banks</w:t>
      </w:r>
      <w:r w:rsidR="000A1AEF">
        <w:rPr>
          <w:noProof/>
          <w:lang w:val="en-US"/>
        </w:rPr>
        <w:t>, FINA</w:t>
      </w:r>
      <w:r w:rsidR="001D09A7" w:rsidRPr="006955CE">
        <w:rPr>
          <w:noProof/>
          <w:lang w:val="en-US"/>
        </w:rPr>
        <w:t xml:space="preserve"> and post offices had to handle high amounts of cash </w:t>
      </w:r>
      <w:r>
        <w:rPr>
          <w:noProof/>
          <w:lang w:val="en-US"/>
        </w:rPr>
        <w:t xml:space="preserve">at the turn of the year </w:t>
      </w:r>
      <w:r w:rsidR="005E6BF3">
        <w:rPr>
          <w:noProof/>
          <w:lang w:val="en-US"/>
        </w:rPr>
        <w:t xml:space="preserve">due to sub-frontloading of retailers and businesses, the sale of starter kits and crediting of returned kuna cash. </w:t>
      </w:r>
      <w:r w:rsidR="00137F62">
        <w:rPr>
          <w:noProof/>
          <w:lang w:val="en-US"/>
        </w:rPr>
        <w:t>C</w:t>
      </w:r>
      <w:r w:rsidR="00F0537B" w:rsidRPr="00F0537B">
        <w:rPr>
          <w:noProof/>
          <w:szCs w:val="22"/>
        </w:rPr>
        <w:t>ommercial banks reinforced their staff during the changeover and also opened dedicated additional counters</w:t>
      </w:r>
      <w:r w:rsidR="00F0537B">
        <w:rPr>
          <w:noProof/>
          <w:color w:val="8496B0"/>
          <w:szCs w:val="22"/>
        </w:rPr>
        <w:t xml:space="preserve"> </w:t>
      </w:r>
      <w:r w:rsidR="001D09A7">
        <w:rPr>
          <w:noProof/>
          <w:lang w:val="en-US"/>
        </w:rPr>
        <w:t xml:space="preserve">to facilitate </w:t>
      </w:r>
      <w:r w:rsidR="001D09A7" w:rsidRPr="00CA52F2">
        <w:rPr>
          <w:noProof/>
          <w:lang w:val="en-US"/>
        </w:rPr>
        <w:t>cash operations</w:t>
      </w:r>
      <w:r w:rsidR="006955CE">
        <w:rPr>
          <w:noProof/>
          <w:lang w:val="en-US"/>
        </w:rPr>
        <w:t>.</w:t>
      </w:r>
      <w:r w:rsidR="001D09A7" w:rsidRPr="00CA52F2">
        <w:rPr>
          <w:noProof/>
          <w:lang w:val="en-US"/>
        </w:rPr>
        <w:t xml:space="preserve"> </w:t>
      </w:r>
      <w:r w:rsidR="00F0537B" w:rsidRPr="006955CE">
        <w:rPr>
          <w:noProof/>
          <w:lang w:val="en-US"/>
        </w:rPr>
        <w:t xml:space="preserve">Thanks to </w:t>
      </w:r>
      <w:r w:rsidR="00F0537B" w:rsidRPr="006955CE">
        <w:rPr>
          <w:noProof/>
          <w:szCs w:val="22"/>
        </w:rPr>
        <w:t>to the increased number of counters, there was no need for extend</w:t>
      </w:r>
      <w:r w:rsidR="00047F13">
        <w:rPr>
          <w:noProof/>
          <w:szCs w:val="22"/>
        </w:rPr>
        <w:t>ed</w:t>
      </w:r>
      <w:r w:rsidR="00F0537B" w:rsidRPr="006955CE">
        <w:rPr>
          <w:noProof/>
          <w:szCs w:val="22"/>
        </w:rPr>
        <w:t xml:space="preserve"> opening </w:t>
      </w:r>
      <w:r w:rsidR="00D36732" w:rsidRPr="006955CE">
        <w:rPr>
          <w:noProof/>
          <w:szCs w:val="22"/>
        </w:rPr>
        <w:t>h</w:t>
      </w:r>
      <w:r w:rsidR="00F0537B" w:rsidRPr="006955CE">
        <w:rPr>
          <w:noProof/>
          <w:szCs w:val="22"/>
        </w:rPr>
        <w:t xml:space="preserve">ours. </w:t>
      </w:r>
      <w:r w:rsidR="005F3BF6" w:rsidRPr="006955CE">
        <w:rPr>
          <w:noProof/>
          <w:szCs w:val="22"/>
        </w:rPr>
        <w:t>Most bank employees were not allowed to take vacation</w:t>
      </w:r>
      <w:r w:rsidR="00F0537B" w:rsidRPr="006955CE">
        <w:rPr>
          <w:noProof/>
          <w:szCs w:val="22"/>
        </w:rPr>
        <w:t xml:space="preserve"> between November 2022 and January 2023</w:t>
      </w:r>
      <w:r w:rsidR="00047F13">
        <w:rPr>
          <w:noProof/>
          <w:szCs w:val="22"/>
        </w:rPr>
        <w:t>.</w:t>
      </w:r>
      <w:r w:rsidR="00137F62">
        <w:rPr>
          <w:noProof/>
          <w:color w:val="8496B0"/>
          <w:szCs w:val="22"/>
        </w:rPr>
        <w:t xml:space="preserve"> </w:t>
      </w:r>
      <w:r w:rsidR="00137F62">
        <w:rPr>
          <w:noProof/>
        </w:rPr>
        <w:t>Finally, e</w:t>
      </w:r>
      <w:r w:rsidR="00494002">
        <w:rPr>
          <w:noProof/>
        </w:rPr>
        <w:t xml:space="preserve">ach bank conducted trainings for </w:t>
      </w:r>
      <w:r w:rsidR="005838AB">
        <w:rPr>
          <w:noProof/>
        </w:rPr>
        <w:t xml:space="preserve">their </w:t>
      </w:r>
      <w:r w:rsidR="00494002">
        <w:rPr>
          <w:noProof/>
        </w:rPr>
        <w:t xml:space="preserve">employees to work with the euro and more </w:t>
      </w:r>
      <w:r w:rsidR="00494002" w:rsidRPr="002927C4">
        <w:rPr>
          <w:noProof/>
        </w:rPr>
        <w:t xml:space="preserve">than </w:t>
      </w:r>
      <w:r w:rsidR="00880E90" w:rsidRPr="002927C4">
        <w:rPr>
          <w:noProof/>
        </w:rPr>
        <w:t>6</w:t>
      </w:r>
      <w:r w:rsidR="00494002" w:rsidRPr="002927C4">
        <w:rPr>
          <w:noProof/>
        </w:rPr>
        <w:t>,</w:t>
      </w:r>
      <w:r w:rsidR="00880E90" w:rsidRPr="002927C4">
        <w:rPr>
          <w:noProof/>
        </w:rPr>
        <w:t>713</w:t>
      </w:r>
      <w:r w:rsidR="00880E90" w:rsidRPr="00787D59">
        <w:rPr>
          <w:noProof/>
        </w:rPr>
        <w:t xml:space="preserve"> </w:t>
      </w:r>
      <w:r w:rsidR="00494002" w:rsidRPr="00787D59">
        <w:rPr>
          <w:noProof/>
        </w:rPr>
        <w:t>bank</w:t>
      </w:r>
      <w:r w:rsidR="00494002">
        <w:rPr>
          <w:noProof/>
        </w:rPr>
        <w:t xml:space="preserve"> staff completed the changeover training on the HNB’s e-learning platform for working with the euro</w:t>
      </w:r>
      <w:r w:rsidR="00494002" w:rsidRPr="006955CE">
        <w:rPr>
          <w:noProof/>
        </w:rPr>
        <w:t>.</w:t>
      </w:r>
      <w:r w:rsidR="00494002" w:rsidRPr="006955CE">
        <w:rPr>
          <w:noProof/>
          <w:lang w:val="en-US"/>
        </w:rPr>
        <w:t xml:space="preserve"> By 31 December 2022, </w:t>
      </w:r>
      <w:r w:rsidR="00494002" w:rsidRPr="006955CE">
        <w:rPr>
          <w:bCs/>
          <w:noProof/>
          <w:lang w:val="en-US"/>
        </w:rPr>
        <w:t>all employees</w:t>
      </w:r>
      <w:r w:rsidR="00494002" w:rsidRPr="006955CE">
        <w:rPr>
          <w:noProof/>
          <w:lang w:val="en-US"/>
        </w:rPr>
        <w:t xml:space="preserve"> who work with cash from all </w:t>
      </w:r>
      <w:r w:rsidR="000A6BB9" w:rsidRPr="006955CE">
        <w:rPr>
          <w:noProof/>
          <w:lang w:val="en-US"/>
        </w:rPr>
        <w:t>financial institutions</w:t>
      </w:r>
      <w:r w:rsidR="00494002" w:rsidRPr="006955CE">
        <w:rPr>
          <w:noProof/>
          <w:lang w:val="en-US"/>
        </w:rPr>
        <w:t xml:space="preserve"> </w:t>
      </w:r>
      <w:r w:rsidR="005838AB">
        <w:rPr>
          <w:noProof/>
          <w:lang w:val="en-US"/>
        </w:rPr>
        <w:t xml:space="preserve">had </w:t>
      </w:r>
      <w:r w:rsidR="00494002" w:rsidRPr="006955CE">
        <w:rPr>
          <w:noProof/>
          <w:lang w:val="en-US"/>
        </w:rPr>
        <w:t>acquire</w:t>
      </w:r>
      <w:r w:rsidR="000A6BB9" w:rsidRPr="006955CE">
        <w:rPr>
          <w:noProof/>
          <w:lang w:val="en-US"/>
        </w:rPr>
        <w:t>d training</w:t>
      </w:r>
      <w:r w:rsidR="00494002" w:rsidRPr="006955CE">
        <w:rPr>
          <w:noProof/>
          <w:lang w:val="en-US"/>
        </w:rPr>
        <w:t xml:space="preserve"> certificate</w:t>
      </w:r>
      <w:r w:rsidR="000A6BB9" w:rsidRPr="006955CE">
        <w:rPr>
          <w:noProof/>
          <w:lang w:val="en-US"/>
        </w:rPr>
        <w:t>s</w:t>
      </w:r>
      <w:r w:rsidR="00494002" w:rsidRPr="006955CE">
        <w:rPr>
          <w:noProof/>
          <w:lang w:val="en-US"/>
        </w:rPr>
        <w:t>.</w:t>
      </w:r>
    </w:p>
    <w:p w14:paraId="72BEC933" w14:textId="77777777" w:rsidR="00461F21" w:rsidRPr="00137F62" w:rsidRDefault="00461F21" w:rsidP="001D09A7">
      <w:pPr>
        <w:rPr>
          <w:noProof/>
          <w:lang w:val="en-US"/>
        </w:rPr>
      </w:pPr>
    </w:p>
    <w:p w14:paraId="1C39B0DA" w14:textId="77777777" w:rsidR="001D09A7" w:rsidRPr="006955CE" w:rsidRDefault="001D09A7" w:rsidP="001D09A7">
      <w:pPr>
        <w:pStyle w:val="Heading2"/>
        <w:numPr>
          <w:ilvl w:val="0"/>
          <w:numId w:val="0"/>
        </w:numPr>
        <w:ind w:left="850" w:hanging="850"/>
        <w:rPr>
          <w:noProof/>
        </w:rPr>
      </w:pPr>
      <w:r w:rsidRPr="006955CE">
        <w:rPr>
          <w:noProof/>
        </w:rPr>
        <w:t>2.2.</w:t>
      </w:r>
      <w:r w:rsidRPr="006955CE">
        <w:rPr>
          <w:noProof/>
        </w:rPr>
        <w:tab/>
        <w:t>The dual circulation period</w:t>
      </w:r>
    </w:p>
    <w:p w14:paraId="6C425078" w14:textId="77777777" w:rsidR="001D09A7" w:rsidRDefault="001D09A7" w:rsidP="001D09A7">
      <w:pPr>
        <w:rPr>
          <w:noProof/>
          <w:lang w:val="en-US"/>
        </w:rPr>
      </w:pPr>
      <w:r w:rsidRPr="006955CE">
        <w:rPr>
          <w:noProof/>
          <w:lang w:val="en-US"/>
        </w:rPr>
        <w:t xml:space="preserve">The two-week dual circulation period during which the euro and the </w:t>
      </w:r>
      <w:r w:rsidR="00AE04C1" w:rsidRPr="006955CE">
        <w:rPr>
          <w:noProof/>
          <w:lang w:val="en-US"/>
        </w:rPr>
        <w:t>Croatian kuna</w:t>
      </w:r>
      <w:r w:rsidRPr="006955CE">
        <w:rPr>
          <w:noProof/>
          <w:lang w:val="en-US"/>
        </w:rPr>
        <w:t xml:space="preserve"> were circulating in parallel expired on </w:t>
      </w:r>
      <w:r w:rsidR="00AE04C1" w:rsidRPr="006955CE">
        <w:rPr>
          <w:noProof/>
          <w:lang w:val="en-US"/>
        </w:rPr>
        <w:t>1</w:t>
      </w:r>
      <w:r w:rsidR="00047F13">
        <w:rPr>
          <w:noProof/>
          <w:lang w:val="en-US"/>
        </w:rPr>
        <w:t>4</w:t>
      </w:r>
      <w:r w:rsidR="00AE04C1" w:rsidRPr="006955CE">
        <w:rPr>
          <w:noProof/>
          <w:lang w:val="en-US"/>
        </w:rPr>
        <w:t xml:space="preserve"> January 2023</w:t>
      </w:r>
      <w:r w:rsidRPr="006955CE">
        <w:rPr>
          <w:noProof/>
          <w:lang w:val="en-US"/>
        </w:rPr>
        <w:t>.</w:t>
      </w:r>
      <w:r>
        <w:rPr>
          <w:noProof/>
          <w:lang w:val="en-US"/>
        </w:rPr>
        <w:t xml:space="preserve"> </w:t>
      </w:r>
    </w:p>
    <w:p w14:paraId="4715EB0D" w14:textId="77777777" w:rsidR="00E9332D" w:rsidRDefault="006405D8" w:rsidP="001D09A7">
      <w:pPr>
        <w:rPr>
          <w:bCs/>
          <w:noProof/>
          <w:lang w:val="en-US"/>
        </w:rPr>
      </w:pPr>
      <w:r>
        <w:rPr>
          <w:noProof/>
          <w:lang w:val="en-US"/>
        </w:rPr>
        <w:t>Most a</w:t>
      </w:r>
      <w:r w:rsidR="001D09A7" w:rsidRPr="00CA52F2">
        <w:rPr>
          <w:noProof/>
          <w:lang w:val="en-US"/>
        </w:rPr>
        <w:t>utomat</w:t>
      </w:r>
      <w:r w:rsidR="005838AB">
        <w:rPr>
          <w:noProof/>
          <w:lang w:val="en-US"/>
        </w:rPr>
        <w:t>ed</w:t>
      </w:r>
      <w:r w:rsidR="001D09A7" w:rsidRPr="00CA52F2">
        <w:rPr>
          <w:noProof/>
          <w:lang w:val="en-US"/>
        </w:rPr>
        <w:t xml:space="preserve"> teller machines (ATMs) were </w:t>
      </w:r>
      <w:r>
        <w:rPr>
          <w:noProof/>
          <w:lang w:val="en-US"/>
        </w:rPr>
        <w:t xml:space="preserve">ready and </w:t>
      </w:r>
      <w:r w:rsidR="001D09A7" w:rsidRPr="00CA52F2">
        <w:rPr>
          <w:noProof/>
          <w:lang w:val="en-US"/>
        </w:rPr>
        <w:t xml:space="preserve">available for </w:t>
      </w:r>
      <w:r>
        <w:rPr>
          <w:noProof/>
          <w:lang w:val="en-US"/>
        </w:rPr>
        <w:t xml:space="preserve">the </w:t>
      </w:r>
      <w:r w:rsidR="001D09A7" w:rsidRPr="00CA52F2">
        <w:rPr>
          <w:noProof/>
          <w:lang w:val="en-US"/>
        </w:rPr>
        <w:t xml:space="preserve">withdrawal of euro </w:t>
      </w:r>
      <w:r>
        <w:rPr>
          <w:noProof/>
          <w:lang w:val="en-US"/>
        </w:rPr>
        <w:t xml:space="preserve">banknotes </w:t>
      </w:r>
      <w:r w:rsidR="001D09A7" w:rsidRPr="00CA52F2">
        <w:rPr>
          <w:noProof/>
          <w:lang w:val="en-US"/>
        </w:rPr>
        <w:t xml:space="preserve">on 1 </w:t>
      </w:r>
      <w:r w:rsidR="001D09A7" w:rsidRPr="006955CE">
        <w:rPr>
          <w:noProof/>
          <w:lang w:val="en-US"/>
        </w:rPr>
        <w:t xml:space="preserve">January </w:t>
      </w:r>
      <w:r w:rsidR="00AE04C1" w:rsidRPr="006955CE">
        <w:rPr>
          <w:noProof/>
          <w:lang w:val="en-US"/>
        </w:rPr>
        <w:t>2023</w:t>
      </w:r>
      <w:r w:rsidR="001D09A7" w:rsidRPr="006955CE">
        <w:rPr>
          <w:noProof/>
          <w:lang w:val="en-US"/>
        </w:rPr>
        <w:t>.</w:t>
      </w:r>
      <w:r w:rsidR="0031251C">
        <w:rPr>
          <w:noProof/>
          <w:lang w:val="en-US"/>
        </w:rPr>
        <w:t xml:space="preserve"> </w:t>
      </w:r>
      <w:r>
        <w:rPr>
          <w:noProof/>
          <w:lang w:val="en-US"/>
        </w:rPr>
        <w:t xml:space="preserve">In late </w:t>
      </w:r>
      <w:r w:rsidR="0031251C">
        <w:rPr>
          <w:noProof/>
          <w:lang w:val="en-US"/>
        </w:rPr>
        <w:t>December 2022,</w:t>
      </w:r>
      <w:r w:rsidR="001D09A7" w:rsidRPr="006955CE">
        <w:rPr>
          <w:noProof/>
          <w:lang w:val="en-US"/>
        </w:rPr>
        <w:t xml:space="preserve"> </w:t>
      </w:r>
      <w:r w:rsidR="0031251C">
        <w:rPr>
          <w:noProof/>
          <w:lang w:val="en-US"/>
        </w:rPr>
        <w:t xml:space="preserve">ATMs were loaded with </w:t>
      </w:r>
      <w:r>
        <w:rPr>
          <w:noProof/>
          <w:lang w:val="en-US"/>
        </w:rPr>
        <w:t xml:space="preserve">EUR </w:t>
      </w:r>
      <w:r w:rsidR="0031251C">
        <w:rPr>
          <w:noProof/>
          <w:lang w:val="en-US"/>
        </w:rPr>
        <w:t xml:space="preserve">10 and 20 and sometimes also with </w:t>
      </w:r>
      <w:r>
        <w:rPr>
          <w:noProof/>
          <w:lang w:val="en-US"/>
        </w:rPr>
        <w:t xml:space="preserve">EUR </w:t>
      </w:r>
      <w:r w:rsidR="0031251C">
        <w:rPr>
          <w:noProof/>
          <w:lang w:val="en-US"/>
        </w:rPr>
        <w:t>50 banknotes, ready for withdrawal as of 1 January.</w:t>
      </w:r>
      <w:r w:rsidR="001D09A7" w:rsidRPr="006955CE">
        <w:rPr>
          <w:noProof/>
          <w:lang w:val="en-US"/>
        </w:rPr>
        <w:t xml:space="preserve"> </w:t>
      </w:r>
      <w:r w:rsidR="0006253B" w:rsidRPr="006955CE">
        <w:rPr>
          <w:noProof/>
          <w:lang w:val="en-US"/>
        </w:rPr>
        <w:t>70% of</w:t>
      </w:r>
      <w:r w:rsidR="001D09A7" w:rsidRPr="006955CE">
        <w:rPr>
          <w:noProof/>
          <w:lang w:val="en-US"/>
        </w:rPr>
        <w:t xml:space="preserve"> </w:t>
      </w:r>
      <w:r w:rsidR="00D60CE6">
        <w:rPr>
          <w:noProof/>
          <w:lang w:val="en-US"/>
        </w:rPr>
        <w:t xml:space="preserve">all Croatian </w:t>
      </w:r>
      <w:r w:rsidR="001D09A7" w:rsidRPr="006955CE">
        <w:rPr>
          <w:noProof/>
          <w:lang w:val="en-US"/>
        </w:rPr>
        <w:t>ATMs</w:t>
      </w:r>
      <w:r w:rsidR="00D60CE6">
        <w:rPr>
          <w:noProof/>
          <w:lang w:val="en-US"/>
        </w:rPr>
        <w:t xml:space="preserve"> (</w:t>
      </w:r>
      <w:r w:rsidR="0031251C">
        <w:rPr>
          <w:noProof/>
          <w:lang w:val="en-US"/>
        </w:rPr>
        <w:t xml:space="preserve">i.e. </w:t>
      </w:r>
      <w:r w:rsidR="0031251C" w:rsidRPr="003955F3">
        <w:rPr>
          <w:noProof/>
          <w:lang w:val="en-US"/>
        </w:rPr>
        <w:t>2</w:t>
      </w:r>
      <w:r w:rsidR="00047F13" w:rsidRPr="003955F3">
        <w:rPr>
          <w:noProof/>
          <w:lang w:val="en-US"/>
        </w:rPr>
        <w:t>,</w:t>
      </w:r>
      <w:r w:rsidR="0031251C" w:rsidRPr="003955F3">
        <w:rPr>
          <w:noProof/>
          <w:lang w:val="en-US"/>
        </w:rPr>
        <w:t>800</w:t>
      </w:r>
      <w:r w:rsidR="0031251C">
        <w:rPr>
          <w:noProof/>
          <w:lang w:val="en-US"/>
        </w:rPr>
        <w:t xml:space="preserve"> out of around </w:t>
      </w:r>
      <w:r w:rsidR="00D60CE6" w:rsidRPr="003955F3">
        <w:rPr>
          <w:noProof/>
          <w:lang w:val="en-US"/>
        </w:rPr>
        <w:t>4</w:t>
      </w:r>
      <w:r w:rsidR="00047F13" w:rsidRPr="003955F3">
        <w:rPr>
          <w:noProof/>
          <w:lang w:val="en-US"/>
        </w:rPr>
        <w:t>,</w:t>
      </w:r>
      <w:r w:rsidR="00D60CE6" w:rsidRPr="003955F3">
        <w:rPr>
          <w:noProof/>
          <w:lang w:val="en-US"/>
        </w:rPr>
        <w:t>000</w:t>
      </w:r>
      <w:r w:rsidR="00D60CE6">
        <w:rPr>
          <w:noProof/>
          <w:lang w:val="en-US"/>
        </w:rPr>
        <w:t>)</w:t>
      </w:r>
      <w:r w:rsidR="001D09A7" w:rsidRPr="006955CE">
        <w:rPr>
          <w:noProof/>
          <w:lang w:val="en-US"/>
        </w:rPr>
        <w:t xml:space="preserve"> were </w:t>
      </w:r>
      <w:r w:rsidR="005026C3">
        <w:rPr>
          <w:noProof/>
          <w:lang w:val="en-US"/>
        </w:rPr>
        <w:t>issuing euro banknotes</w:t>
      </w:r>
      <w:r w:rsidR="001D09A7" w:rsidRPr="006955CE">
        <w:rPr>
          <w:noProof/>
          <w:lang w:val="en-US"/>
        </w:rPr>
        <w:t xml:space="preserve"> immediately </w:t>
      </w:r>
      <w:r w:rsidR="005F5D72" w:rsidRPr="006955CE">
        <w:rPr>
          <w:noProof/>
          <w:lang w:val="en-US"/>
        </w:rPr>
        <w:t>on 1 January</w:t>
      </w:r>
      <w:r w:rsidR="00D60CE6">
        <w:rPr>
          <w:noProof/>
          <w:lang w:val="en-US"/>
        </w:rPr>
        <w:t xml:space="preserve">, </w:t>
      </w:r>
      <w:r>
        <w:rPr>
          <w:noProof/>
          <w:lang w:val="en-US"/>
        </w:rPr>
        <w:t xml:space="preserve">rising to </w:t>
      </w:r>
      <w:r w:rsidR="00D60CE6">
        <w:rPr>
          <w:noProof/>
          <w:lang w:val="en-US"/>
        </w:rPr>
        <w:t xml:space="preserve">86% </w:t>
      </w:r>
      <w:r w:rsidR="0031251C">
        <w:rPr>
          <w:noProof/>
          <w:lang w:val="en-US"/>
        </w:rPr>
        <w:t xml:space="preserve">coverage </w:t>
      </w:r>
      <w:r w:rsidR="00D60CE6">
        <w:rPr>
          <w:noProof/>
          <w:lang w:val="en-US"/>
        </w:rPr>
        <w:t>one week later. All ATMs have been issuing euro banknotes since</w:t>
      </w:r>
      <w:r w:rsidR="0031251C">
        <w:rPr>
          <w:noProof/>
          <w:lang w:val="en-US"/>
        </w:rPr>
        <w:t xml:space="preserve"> </w:t>
      </w:r>
      <w:r w:rsidR="00F328AD" w:rsidRPr="006955CE">
        <w:rPr>
          <w:bCs/>
          <w:noProof/>
          <w:lang w:val="en-US"/>
        </w:rPr>
        <w:t>14 January 2023</w:t>
      </w:r>
      <w:r w:rsidR="0031251C">
        <w:rPr>
          <w:bCs/>
          <w:noProof/>
          <w:lang w:val="en-US"/>
        </w:rPr>
        <w:t xml:space="preserve"> and are functioning normally</w:t>
      </w:r>
      <w:r w:rsidR="00F328AD" w:rsidRPr="006955CE">
        <w:rPr>
          <w:bCs/>
          <w:noProof/>
          <w:lang w:val="en-US"/>
        </w:rPr>
        <w:t>.</w:t>
      </w:r>
    </w:p>
    <w:p w14:paraId="2EE73B73" w14:textId="77777777" w:rsidR="005F5D72" w:rsidRDefault="006405D8" w:rsidP="001D09A7">
      <w:pPr>
        <w:rPr>
          <w:bCs/>
          <w:noProof/>
          <w:lang w:val="en-US"/>
        </w:rPr>
      </w:pPr>
      <w:r>
        <w:rPr>
          <w:noProof/>
          <w:lang w:val="en-US"/>
        </w:rPr>
        <w:t xml:space="preserve">By the </w:t>
      </w:r>
      <w:r w:rsidR="00E9332D">
        <w:rPr>
          <w:noProof/>
          <w:lang w:val="en-US"/>
        </w:rPr>
        <w:t xml:space="preserve">end of </w:t>
      </w:r>
      <w:r>
        <w:rPr>
          <w:noProof/>
          <w:lang w:val="en-US"/>
        </w:rPr>
        <w:t xml:space="preserve">the </w:t>
      </w:r>
      <w:r w:rsidR="00E9332D">
        <w:rPr>
          <w:noProof/>
          <w:lang w:val="en-US"/>
        </w:rPr>
        <w:t>dual circulation period</w:t>
      </w:r>
      <w:r w:rsidR="00E9332D" w:rsidRPr="001A5FD3">
        <w:rPr>
          <w:noProof/>
          <w:lang w:val="en-US"/>
        </w:rPr>
        <w:t>,</w:t>
      </w:r>
      <w:r w:rsidR="00E9332D">
        <w:rPr>
          <w:noProof/>
          <w:lang w:val="en-US"/>
        </w:rPr>
        <w:t xml:space="preserve"> </w:t>
      </w:r>
      <w:r w:rsidR="00E9332D" w:rsidRPr="00AB7CD6">
        <w:rPr>
          <w:noProof/>
          <w:lang w:val="en-US"/>
        </w:rPr>
        <w:t>EUR</w:t>
      </w:r>
      <w:r w:rsidR="00DB3C9B" w:rsidRPr="00DB3C9B">
        <w:rPr>
          <w:noProof/>
          <w:lang w:val="en-US"/>
        </w:rPr>
        <w:t xml:space="preserve"> 361</w:t>
      </w:r>
      <w:r w:rsidR="00E9332D" w:rsidRPr="00DB3C9B">
        <w:rPr>
          <w:noProof/>
          <w:lang w:val="en-US"/>
        </w:rPr>
        <w:t xml:space="preserve"> </w:t>
      </w:r>
      <w:r w:rsidR="00E9332D" w:rsidRPr="001A5FD3">
        <w:rPr>
          <w:noProof/>
          <w:lang w:val="en-US"/>
        </w:rPr>
        <w:t>million</w:t>
      </w:r>
      <w:r w:rsidR="00E9332D">
        <w:rPr>
          <w:noProof/>
          <w:lang w:val="en-US"/>
        </w:rPr>
        <w:t xml:space="preserve"> </w:t>
      </w:r>
      <w:r>
        <w:rPr>
          <w:noProof/>
          <w:lang w:val="en-US"/>
        </w:rPr>
        <w:t xml:space="preserve">had been </w:t>
      </w:r>
      <w:r w:rsidR="00E9332D">
        <w:rPr>
          <w:noProof/>
          <w:lang w:val="en-US"/>
        </w:rPr>
        <w:t>withdrawn at ATMs</w:t>
      </w:r>
      <w:r w:rsidR="00DB3C9B">
        <w:rPr>
          <w:noProof/>
          <w:lang w:val="en-US"/>
        </w:rPr>
        <w:t xml:space="preserve">. This is EUR 15 million less than the value of kuna banknotes withdrawn from ATMs during the same period in the previous year. The decrease is likely due to the promotion </w:t>
      </w:r>
      <w:r w:rsidR="00007C0D">
        <w:rPr>
          <w:noProof/>
          <w:lang w:val="en-US"/>
        </w:rPr>
        <w:t xml:space="preserve">of </w:t>
      </w:r>
      <w:r w:rsidR="00DB3C9B">
        <w:rPr>
          <w:noProof/>
          <w:lang w:val="en-US"/>
        </w:rPr>
        <w:t xml:space="preserve">electronic payment </w:t>
      </w:r>
      <w:r w:rsidR="00007C0D">
        <w:rPr>
          <w:noProof/>
          <w:lang w:val="en-US"/>
        </w:rPr>
        <w:t xml:space="preserve">methods by retailers </w:t>
      </w:r>
      <w:r w:rsidR="00DB3C9B">
        <w:rPr>
          <w:noProof/>
          <w:lang w:val="en-US"/>
        </w:rPr>
        <w:t>during the changeover period</w:t>
      </w:r>
      <w:r w:rsidR="00007C0D">
        <w:rPr>
          <w:noProof/>
          <w:lang w:val="en-US"/>
        </w:rPr>
        <w:t>.</w:t>
      </w:r>
    </w:p>
    <w:p w14:paraId="77E06990" w14:textId="3C81CA84" w:rsidR="001D09A7" w:rsidRDefault="00F328AD" w:rsidP="001D09A7">
      <w:pPr>
        <w:rPr>
          <w:bCs/>
          <w:noProof/>
          <w:lang w:val="en-US"/>
        </w:rPr>
      </w:pPr>
      <w:r w:rsidRPr="006955CE">
        <w:rPr>
          <w:noProof/>
          <w:color w:val="000000"/>
        </w:rPr>
        <w:t>All p</w:t>
      </w:r>
      <w:r w:rsidR="001D09A7" w:rsidRPr="006955CE">
        <w:rPr>
          <w:noProof/>
          <w:color w:val="000000"/>
        </w:rPr>
        <w:t xml:space="preserve">oint-of-sale (POS) terminals switched instantaneously to </w:t>
      </w:r>
      <w:r w:rsidR="00007C0D">
        <w:rPr>
          <w:noProof/>
          <w:color w:val="000000"/>
        </w:rPr>
        <w:t xml:space="preserve">the </w:t>
      </w:r>
      <w:r w:rsidR="001D09A7" w:rsidRPr="006955CE">
        <w:rPr>
          <w:noProof/>
          <w:color w:val="000000"/>
        </w:rPr>
        <w:t xml:space="preserve">euro on 1 January </w:t>
      </w:r>
      <w:r w:rsidR="0006253B" w:rsidRPr="006955CE">
        <w:rPr>
          <w:noProof/>
          <w:color w:val="000000"/>
        </w:rPr>
        <w:t>2023</w:t>
      </w:r>
      <w:r w:rsidR="001D09A7" w:rsidRPr="00AC29D6">
        <w:rPr>
          <w:noProof/>
          <w:color w:val="000000"/>
        </w:rPr>
        <w:t>.</w:t>
      </w:r>
      <w:r w:rsidR="001D09A7">
        <w:rPr>
          <w:noProof/>
        </w:rPr>
        <w:t xml:space="preserve"> </w:t>
      </w:r>
      <w:r w:rsidR="001D09A7" w:rsidRPr="001A5FD3">
        <w:rPr>
          <w:noProof/>
        </w:rPr>
        <w:t>During</w:t>
      </w:r>
      <w:r w:rsidR="001D09A7" w:rsidRPr="001A5FD3">
        <w:rPr>
          <w:noProof/>
          <w:spacing w:val="1"/>
        </w:rPr>
        <w:t xml:space="preserve"> </w:t>
      </w:r>
      <w:r w:rsidR="001D09A7" w:rsidRPr="001A5FD3">
        <w:rPr>
          <w:noProof/>
        </w:rPr>
        <w:t>the</w:t>
      </w:r>
      <w:r w:rsidR="001D09A7" w:rsidRPr="001A5FD3">
        <w:rPr>
          <w:noProof/>
          <w:spacing w:val="1"/>
        </w:rPr>
        <w:t xml:space="preserve"> </w:t>
      </w:r>
      <w:r w:rsidR="001D09A7" w:rsidRPr="001A5FD3">
        <w:rPr>
          <w:noProof/>
        </w:rPr>
        <w:t>dual</w:t>
      </w:r>
      <w:r w:rsidR="001D09A7" w:rsidRPr="001A5FD3">
        <w:rPr>
          <w:noProof/>
          <w:spacing w:val="1"/>
        </w:rPr>
        <w:t xml:space="preserve"> </w:t>
      </w:r>
      <w:r w:rsidR="001D09A7" w:rsidRPr="001A5FD3">
        <w:rPr>
          <w:noProof/>
        </w:rPr>
        <w:t>circulation period,</w:t>
      </w:r>
      <w:r w:rsidR="001D09A7" w:rsidRPr="001A5FD3">
        <w:rPr>
          <w:noProof/>
          <w:spacing w:val="23"/>
        </w:rPr>
        <w:t xml:space="preserve"> </w:t>
      </w:r>
      <w:r w:rsidR="001D09A7" w:rsidRPr="00B025C0">
        <w:rPr>
          <w:noProof/>
          <w:spacing w:val="-1"/>
        </w:rPr>
        <w:t>p</w:t>
      </w:r>
      <w:r w:rsidR="001D09A7" w:rsidRPr="00B025C0">
        <w:rPr>
          <w:noProof/>
        </w:rPr>
        <w:t>a</w:t>
      </w:r>
      <w:r w:rsidR="001D09A7" w:rsidRPr="00B025C0">
        <w:rPr>
          <w:noProof/>
          <w:spacing w:val="-1"/>
        </w:rPr>
        <w:t>y</w:t>
      </w:r>
      <w:r w:rsidR="001D09A7" w:rsidRPr="00B025C0">
        <w:rPr>
          <w:noProof/>
          <w:spacing w:val="-2"/>
        </w:rPr>
        <w:t>m</w:t>
      </w:r>
      <w:r w:rsidR="001D09A7" w:rsidRPr="00B025C0">
        <w:rPr>
          <w:noProof/>
        </w:rPr>
        <w:t>ent</w:t>
      </w:r>
      <w:r w:rsidR="001D09A7" w:rsidRPr="00B025C0">
        <w:rPr>
          <w:noProof/>
          <w:spacing w:val="23"/>
        </w:rPr>
        <w:t xml:space="preserve"> </w:t>
      </w:r>
      <w:r w:rsidR="001D09A7" w:rsidRPr="00B025C0">
        <w:rPr>
          <w:noProof/>
        </w:rPr>
        <w:t>cards</w:t>
      </w:r>
      <w:r w:rsidR="001D09A7" w:rsidRPr="00B025C0">
        <w:rPr>
          <w:noProof/>
          <w:spacing w:val="23"/>
        </w:rPr>
        <w:t xml:space="preserve"> were </w:t>
      </w:r>
      <w:r w:rsidR="001D09A7" w:rsidRPr="00B025C0">
        <w:rPr>
          <w:noProof/>
          <w:spacing w:val="-1"/>
        </w:rPr>
        <w:t>u</w:t>
      </w:r>
      <w:r w:rsidR="001D09A7" w:rsidRPr="00B025C0">
        <w:rPr>
          <w:noProof/>
        </w:rPr>
        <w:t>sed</w:t>
      </w:r>
      <w:r w:rsidR="001D09A7" w:rsidRPr="00B025C0">
        <w:rPr>
          <w:noProof/>
          <w:spacing w:val="23"/>
        </w:rPr>
        <w:t xml:space="preserve"> </w:t>
      </w:r>
      <w:r w:rsidR="001D09A7" w:rsidRPr="00B025C0">
        <w:rPr>
          <w:noProof/>
        </w:rPr>
        <w:t>in</w:t>
      </w:r>
      <w:r w:rsidR="001D09A7" w:rsidRPr="00B025C0">
        <w:rPr>
          <w:noProof/>
          <w:spacing w:val="21"/>
        </w:rPr>
        <w:t xml:space="preserve"> </w:t>
      </w:r>
      <w:r w:rsidR="00B025C0" w:rsidRPr="003955F3">
        <w:rPr>
          <w:noProof/>
          <w:spacing w:val="21"/>
        </w:rPr>
        <w:t>1</w:t>
      </w:r>
      <w:r w:rsidR="001D09A7" w:rsidRPr="003955F3">
        <w:rPr>
          <w:noProof/>
        </w:rPr>
        <w:t>6</w:t>
      </w:r>
      <w:r w:rsidR="00247220">
        <w:rPr>
          <w:noProof/>
        </w:rPr>
        <w:t>.</w:t>
      </w:r>
      <w:r w:rsidR="003955F3" w:rsidRPr="003955F3">
        <w:rPr>
          <w:noProof/>
        </w:rPr>
        <w:t>8</w:t>
      </w:r>
      <w:r w:rsidR="001D09A7" w:rsidRPr="00B025C0">
        <w:rPr>
          <w:noProof/>
          <w:spacing w:val="23"/>
        </w:rPr>
        <w:t xml:space="preserve"> </w:t>
      </w:r>
      <w:r w:rsidR="001D09A7" w:rsidRPr="00B025C0">
        <w:rPr>
          <w:noProof/>
          <w:spacing w:val="-2"/>
        </w:rPr>
        <w:t>m</w:t>
      </w:r>
      <w:r w:rsidR="001D09A7" w:rsidRPr="00B025C0">
        <w:rPr>
          <w:noProof/>
        </w:rPr>
        <w:t>illion</w:t>
      </w:r>
      <w:r w:rsidR="001D09A7" w:rsidRPr="00B025C0">
        <w:rPr>
          <w:noProof/>
          <w:spacing w:val="23"/>
        </w:rPr>
        <w:t xml:space="preserve"> </w:t>
      </w:r>
      <w:r w:rsidR="001D09A7" w:rsidRPr="00B025C0">
        <w:rPr>
          <w:noProof/>
        </w:rPr>
        <w:t>tra</w:t>
      </w:r>
      <w:r w:rsidR="001D09A7" w:rsidRPr="00B025C0">
        <w:rPr>
          <w:noProof/>
          <w:spacing w:val="-1"/>
        </w:rPr>
        <w:t>n</w:t>
      </w:r>
      <w:r w:rsidR="001D09A7" w:rsidRPr="00B025C0">
        <w:rPr>
          <w:noProof/>
        </w:rPr>
        <w:t>sactions</w:t>
      </w:r>
      <w:r w:rsidR="001D09A7" w:rsidRPr="00B025C0">
        <w:rPr>
          <w:noProof/>
          <w:spacing w:val="23"/>
        </w:rPr>
        <w:t xml:space="preserve"> </w:t>
      </w:r>
      <w:r w:rsidR="001D09A7" w:rsidRPr="00B025C0">
        <w:rPr>
          <w:noProof/>
        </w:rPr>
        <w:t>with</w:t>
      </w:r>
      <w:r w:rsidR="001D09A7" w:rsidRPr="00B025C0">
        <w:rPr>
          <w:noProof/>
          <w:spacing w:val="22"/>
        </w:rPr>
        <w:t xml:space="preserve"> </w:t>
      </w:r>
      <w:r w:rsidR="001D09A7" w:rsidRPr="00B025C0">
        <w:rPr>
          <w:noProof/>
        </w:rPr>
        <w:t>a</w:t>
      </w:r>
      <w:r w:rsidR="001D09A7" w:rsidRPr="00B025C0">
        <w:rPr>
          <w:noProof/>
          <w:spacing w:val="23"/>
        </w:rPr>
        <w:t xml:space="preserve"> </w:t>
      </w:r>
      <w:r w:rsidR="001D09A7" w:rsidRPr="00B025C0">
        <w:rPr>
          <w:noProof/>
        </w:rPr>
        <w:t>t</w:t>
      </w:r>
      <w:r w:rsidR="001D09A7" w:rsidRPr="00B025C0">
        <w:rPr>
          <w:noProof/>
          <w:spacing w:val="-1"/>
        </w:rPr>
        <w:t>o</w:t>
      </w:r>
      <w:r w:rsidR="001D09A7" w:rsidRPr="00B025C0">
        <w:rPr>
          <w:noProof/>
        </w:rPr>
        <w:t>tal</w:t>
      </w:r>
      <w:r w:rsidR="001D09A7" w:rsidRPr="00B025C0">
        <w:rPr>
          <w:noProof/>
          <w:spacing w:val="23"/>
        </w:rPr>
        <w:t xml:space="preserve"> </w:t>
      </w:r>
      <w:r w:rsidR="001D09A7" w:rsidRPr="00B025C0">
        <w:rPr>
          <w:noProof/>
        </w:rPr>
        <w:t>value</w:t>
      </w:r>
      <w:r w:rsidR="001D09A7" w:rsidRPr="00B025C0">
        <w:rPr>
          <w:noProof/>
          <w:spacing w:val="23"/>
        </w:rPr>
        <w:t xml:space="preserve"> </w:t>
      </w:r>
      <w:r w:rsidR="001D09A7" w:rsidRPr="00B025C0">
        <w:rPr>
          <w:noProof/>
        </w:rPr>
        <w:t>of</w:t>
      </w:r>
      <w:r w:rsidR="001D09A7" w:rsidRPr="00B025C0">
        <w:rPr>
          <w:noProof/>
          <w:spacing w:val="23"/>
        </w:rPr>
        <w:t xml:space="preserve"> </w:t>
      </w:r>
      <w:r w:rsidR="001D09A7" w:rsidRPr="00B025C0">
        <w:rPr>
          <w:noProof/>
        </w:rPr>
        <w:t xml:space="preserve">EUR </w:t>
      </w:r>
      <w:r w:rsidR="00B025C0" w:rsidRPr="003955F3">
        <w:rPr>
          <w:noProof/>
        </w:rPr>
        <w:t>415</w:t>
      </w:r>
      <w:r w:rsidR="00247220">
        <w:rPr>
          <w:noProof/>
        </w:rPr>
        <w:t>.</w:t>
      </w:r>
      <w:r w:rsidR="003955F3" w:rsidRPr="003955F3">
        <w:rPr>
          <w:noProof/>
        </w:rPr>
        <w:t>8</w:t>
      </w:r>
      <w:r w:rsidR="00B67417" w:rsidRPr="00B025C0">
        <w:rPr>
          <w:noProof/>
          <w:spacing w:val="8"/>
        </w:rPr>
        <w:t xml:space="preserve"> </w:t>
      </w:r>
      <w:r w:rsidR="001D09A7" w:rsidRPr="00B025C0">
        <w:rPr>
          <w:noProof/>
          <w:spacing w:val="-2"/>
        </w:rPr>
        <w:t>m</w:t>
      </w:r>
      <w:r w:rsidR="001D09A7" w:rsidRPr="00B025C0">
        <w:rPr>
          <w:noProof/>
        </w:rPr>
        <w:t>illion.</w:t>
      </w:r>
      <w:r w:rsidR="001D09A7" w:rsidRPr="00B025C0">
        <w:rPr>
          <w:noProof/>
          <w:spacing w:val="6"/>
        </w:rPr>
        <w:t xml:space="preserve"> </w:t>
      </w:r>
      <w:r w:rsidR="001D09A7" w:rsidRPr="00B025C0">
        <w:rPr>
          <w:noProof/>
        </w:rPr>
        <w:t>Co</w:t>
      </w:r>
      <w:r w:rsidR="001D09A7" w:rsidRPr="00B025C0">
        <w:rPr>
          <w:noProof/>
          <w:spacing w:val="-2"/>
        </w:rPr>
        <w:t>m</w:t>
      </w:r>
      <w:r w:rsidR="001D09A7" w:rsidRPr="00B025C0">
        <w:rPr>
          <w:noProof/>
        </w:rPr>
        <w:t>pared</w:t>
      </w:r>
      <w:r w:rsidR="001D09A7" w:rsidRPr="00B025C0">
        <w:rPr>
          <w:noProof/>
          <w:spacing w:val="8"/>
        </w:rPr>
        <w:t xml:space="preserve"> </w:t>
      </w:r>
      <w:r w:rsidR="001D09A7" w:rsidRPr="00B025C0">
        <w:rPr>
          <w:noProof/>
        </w:rPr>
        <w:t>to</w:t>
      </w:r>
      <w:r w:rsidR="001D09A7" w:rsidRPr="00B025C0">
        <w:rPr>
          <w:noProof/>
          <w:spacing w:val="8"/>
        </w:rPr>
        <w:t xml:space="preserve"> the same period in </w:t>
      </w:r>
      <w:r w:rsidR="001D09A7" w:rsidRPr="00B025C0">
        <w:rPr>
          <w:noProof/>
        </w:rPr>
        <w:t>January</w:t>
      </w:r>
      <w:r w:rsidR="001D09A7" w:rsidRPr="00B025C0">
        <w:rPr>
          <w:noProof/>
          <w:spacing w:val="8"/>
        </w:rPr>
        <w:t xml:space="preserve"> </w:t>
      </w:r>
      <w:r w:rsidR="001D09A7" w:rsidRPr="00B025C0">
        <w:rPr>
          <w:noProof/>
          <w:spacing w:val="-1"/>
        </w:rPr>
        <w:t>2</w:t>
      </w:r>
      <w:r w:rsidR="001D09A7" w:rsidRPr="00B025C0">
        <w:rPr>
          <w:noProof/>
        </w:rPr>
        <w:t>0</w:t>
      </w:r>
      <w:r w:rsidR="00AE04C1" w:rsidRPr="00B025C0">
        <w:rPr>
          <w:noProof/>
        </w:rPr>
        <w:t>22</w:t>
      </w:r>
      <w:r w:rsidR="001D09A7" w:rsidRPr="00B025C0">
        <w:rPr>
          <w:noProof/>
        </w:rPr>
        <w:t>,</w:t>
      </w:r>
      <w:r w:rsidR="001D09A7" w:rsidRPr="00B025C0">
        <w:rPr>
          <w:noProof/>
          <w:spacing w:val="8"/>
        </w:rPr>
        <w:t xml:space="preserve"> </w:t>
      </w:r>
      <w:r w:rsidR="001D09A7" w:rsidRPr="00B025C0">
        <w:rPr>
          <w:noProof/>
        </w:rPr>
        <w:t>use</w:t>
      </w:r>
      <w:r w:rsidR="001D09A7" w:rsidRPr="00B025C0">
        <w:rPr>
          <w:noProof/>
          <w:spacing w:val="8"/>
        </w:rPr>
        <w:t xml:space="preserve"> </w:t>
      </w:r>
      <w:r w:rsidR="001D09A7" w:rsidRPr="00B025C0">
        <w:rPr>
          <w:noProof/>
        </w:rPr>
        <w:t>of</w:t>
      </w:r>
      <w:r w:rsidR="001D09A7" w:rsidRPr="00B025C0">
        <w:rPr>
          <w:noProof/>
          <w:spacing w:val="8"/>
        </w:rPr>
        <w:t xml:space="preserve"> </w:t>
      </w:r>
      <w:r w:rsidR="001D09A7" w:rsidRPr="00B025C0">
        <w:rPr>
          <w:noProof/>
        </w:rPr>
        <w:t>electronic</w:t>
      </w:r>
      <w:r w:rsidR="001D09A7" w:rsidRPr="00B025C0">
        <w:rPr>
          <w:noProof/>
          <w:spacing w:val="7"/>
        </w:rPr>
        <w:t xml:space="preserve"> </w:t>
      </w:r>
      <w:r w:rsidR="001D09A7" w:rsidRPr="00B025C0">
        <w:rPr>
          <w:noProof/>
          <w:spacing w:val="-1"/>
        </w:rPr>
        <w:t>p</w:t>
      </w:r>
      <w:r w:rsidR="001D09A7" w:rsidRPr="00B025C0">
        <w:rPr>
          <w:noProof/>
        </w:rPr>
        <w:t>ay</w:t>
      </w:r>
      <w:r w:rsidR="001D09A7" w:rsidRPr="00B025C0">
        <w:rPr>
          <w:noProof/>
          <w:spacing w:val="-2"/>
        </w:rPr>
        <w:t>m</w:t>
      </w:r>
      <w:r w:rsidR="001D09A7" w:rsidRPr="00B025C0">
        <w:rPr>
          <w:noProof/>
        </w:rPr>
        <w:t>ents</w:t>
      </w:r>
      <w:r w:rsidR="001D09A7" w:rsidRPr="00B025C0">
        <w:rPr>
          <w:noProof/>
          <w:spacing w:val="7"/>
        </w:rPr>
        <w:t xml:space="preserve"> </w:t>
      </w:r>
      <w:r w:rsidR="001C7FBA" w:rsidRPr="00B025C0">
        <w:rPr>
          <w:noProof/>
          <w:spacing w:val="7"/>
        </w:rPr>
        <w:t xml:space="preserve">in </w:t>
      </w:r>
      <w:r w:rsidR="001C7FBA" w:rsidRPr="00B025C0">
        <w:rPr>
          <w:noProof/>
        </w:rPr>
        <w:t xml:space="preserve">January 2023 </w:t>
      </w:r>
      <w:r w:rsidR="001D09A7" w:rsidRPr="00B025C0">
        <w:rPr>
          <w:noProof/>
        </w:rPr>
        <w:t>increased</w:t>
      </w:r>
      <w:r w:rsidR="00B67417" w:rsidRPr="00B025C0">
        <w:rPr>
          <w:noProof/>
        </w:rPr>
        <w:t xml:space="preserve"> </w:t>
      </w:r>
      <w:r w:rsidR="001C7FBA" w:rsidRPr="00B025C0">
        <w:rPr>
          <w:noProof/>
        </w:rPr>
        <w:t xml:space="preserve">by </w:t>
      </w:r>
      <w:r w:rsidR="00B025C0" w:rsidRPr="003955F3">
        <w:rPr>
          <w:noProof/>
        </w:rPr>
        <w:t>15</w:t>
      </w:r>
      <w:r w:rsidR="00247220">
        <w:rPr>
          <w:noProof/>
        </w:rPr>
        <w:t>.</w:t>
      </w:r>
      <w:r w:rsidR="003955F3" w:rsidRPr="003955F3">
        <w:rPr>
          <w:noProof/>
        </w:rPr>
        <w:t>3</w:t>
      </w:r>
      <w:r w:rsidR="00B025C0" w:rsidRPr="00B025C0">
        <w:rPr>
          <w:noProof/>
        </w:rPr>
        <w:t>%.</w:t>
      </w:r>
    </w:p>
    <w:p w14:paraId="773EC1C1" w14:textId="77777777" w:rsidR="001D09A7" w:rsidRDefault="001D09A7" w:rsidP="001D09A7">
      <w:pPr>
        <w:rPr>
          <w:noProof/>
          <w:lang w:val="en-US"/>
        </w:rPr>
      </w:pPr>
      <w:r w:rsidRPr="006955CE">
        <w:rPr>
          <w:noProof/>
        </w:rPr>
        <w:t xml:space="preserve">Due to careful preparations, </w:t>
      </w:r>
      <w:r w:rsidR="0031251C">
        <w:rPr>
          <w:noProof/>
        </w:rPr>
        <w:t xml:space="preserve">financial institutions, </w:t>
      </w:r>
      <w:r w:rsidRPr="006955CE">
        <w:rPr>
          <w:noProof/>
        </w:rPr>
        <w:t xml:space="preserve">post offices </w:t>
      </w:r>
      <w:r w:rsidR="0031251C">
        <w:rPr>
          <w:noProof/>
        </w:rPr>
        <w:t xml:space="preserve">and FINA </w:t>
      </w:r>
      <w:r w:rsidRPr="006955CE">
        <w:rPr>
          <w:noProof/>
        </w:rPr>
        <w:t xml:space="preserve">coped well with the extra workload during the dual circulation period. </w:t>
      </w:r>
      <w:r w:rsidR="005F3BF6" w:rsidRPr="006955CE">
        <w:rPr>
          <w:noProof/>
          <w:szCs w:val="22"/>
        </w:rPr>
        <w:t>Banks provided</w:t>
      </w:r>
      <w:r w:rsidR="00F328AD" w:rsidRPr="006955CE">
        <w:rPr>
          <w:noProof/>
          <w:szCs w:val="22"/>
        </w:rPr>
        <w:t xml:space="preserve"> additional banknote counters </w:t>
      </w:r>
      <w:r w:rsidR="0031251C" w:rsidRPr="006955CE">
        <w:rPr>
          <w:noProof/>
          <w:szCs w:val="22"/>
        </w:rPr>
        <w:t xml:space="preserve">for cash services </w:t>
      </w:r>
      <w:r w:rsidR="00F328AD" w:rsidRPr="006955CE">
        <w:rPr>
          <w:noProof/>
          <w:szCs w:val="22"/>
        </w:rPr>
        <w:t>in most of th</w:t>
      </w:r>
      <w:r w:rsidR="005F3BF6" w:rsidRPr="006955CE">
        <w:rPr>
          <w:noProof/>
          <w:szCs w:val="22"/>
        </w:rPr>
        <w:t>eir branches</w:t>
      </w:r>
      <w:r w:rsidR="00F328AD" w:rsidRPr="006955CE">
        <w:rPr>
          <w:noProof/>
          <w:szCs w:val="22"/>
        </w:rPr>
        <w:t xml:space="preserve">, </w:t>
      </w:r>
      <w:r w:rsidR="005F3BF6" w:rsidRPr="006955CE">
        <w:rPr>
          <w:noProof/>
          <w:szCs w:val="22"/>
        </w:rPr>
        <w:t>and</w:t>
      </w:r>
      <w:r w:rsidR="00F328AD" w:rsidRPr="006955CE">
        <w:rPr>
          <w:noProof/>
          <w:szCs w:val="22"/>
        </w:rPr>
        <w:t xml:space="preserve"> in the largest and busiest branches</w:t>
      </w:r>
      <w:r w:rsidR="005F3BF6" w:rsidRPr="006955CE">
        <w:rPr>
          <w:noProof/>
          <w:szCs w:val="22"/>
        </w:rPr>
        <w:t xml:space="preserve"> kuna coin deposit machines were installed.</w:t>
      </w:r>
      <w:r w:rsidR="00F328AD" w:rsidRPr="006955CE">
        <w:rPr>
          <w:noProof/>
          <w:szCs w:val="22"/>
        </w:rPr>
        <w:t xml:space="preserve"> </w:t>
      </w:r>
    </w:p>
    <w:p w14:paraId="3D9C0079" w14:textId="5A0640C0" w:rsidR="001D09A7" w:rsidRDefault="001D09A7" w:rsidP="001D09A7">
      <w:pPr>
        <w:rPr>
          <w:noProof/>
          <w:lang w:val="en-US"/>
        </w:rPr>
      </w:pPr>
      <w:r w:rsidRPr="006955CE">
        <w:rPr>
          <w:noProof/>
          <w:lang w:val="en-US"/>
        </w:rPr>
        <w:t xml:space="preserve">The channels providing exchange from </w:t>
      </w:r>
      <w:r w:rsidR="00AE04C1" w:rsidRPr="006955CE">
        <w:rPr>
          <w:noProof/>
          <w:lang w:val="en-US"/>
        </w:rPr>
        <w:t>Croatian kuna</w:t>
      </w:r>
      <w:r w:rsidRPr="006955CE">
        <w:rPr>
          <w:noProof/>
          <w:lang w:val="en-US"/>
        </w:rPr>
        <w:t xml:space="preserve"> to </w:t>
      </w:r>
      <w:r w:rsidR="00007C0D">
        <w:rPr>
          <w:noProof/>
          <w:lang w:val="en-US"/>
        </w:rPr>
        <w:t>euro</w:t>
      </w:r>
      <w:r w:rsidRPr="006955CE">
        <w:rPr>
          <w:noProof/>
          <w:lang w:val="en-US"/>
        </w:rPr>
        <w:t xml:space="preserve"> comprised </w:t>
      </w:r>
      <w:r w:rsidR="00D238CA" w:rsidRPr="006955CE">
        <w:rPr>
          <w:noProof/>
          <w:lang w:val="en-US"/>
        </w:rPr>
        <w:t>846</w:t>
      </w:r>
      <w:r w:rsidR="001B075B" w:rsidRPr="006955CE">
        <w:rPr>
          <w:noProof/>
          <w:lang w:val="en-US"/>
        </w:rPr>
        <w:t xml:space="preserve"> </w:t>
      </w:r>
      <w:r w:rsidR="00D238CA" w:rsidRPr="006955CE">
        <w:rPr>
          <w:noProof/>
          <w:lang w:val="en-US"/>
        </w:rPr>
        <w:t>b</w:t>
      </w:r>
      <w:r w:rsidRPr="006955CE">
        <w:rPr>
          <w:noProof/>
          <w:lang w:val="en-US"/>
        </w:rPr>
        <w:t xml:space="preserve">ank branches, </w:t>
      </w:r>
      <w:r w:rsidR="00D238CA" w:rsidRPr="003955F3">
        <w:rPr>
          <w:noProof/>
          <w:lang w:val="en-US"/>
        </w:rPr>
        <w:t>1</w:t>
      </w:r>
      <w:r w:rsidR="00047F13" w:rsidRPr="003955F3">
        <w:rPr>
          <w:noProof/>
          <w:lang w:val="en-US"/>
        </w:rPr>
        <w:t>,</w:t>
      </w:r>
      <w:r w:rsidR="00D238CA" w:rsidRPr="003955F3">
        <w:rPr>
          <w:noProof/>
          <w:lang w:val="en-US"/>
        </w:rPr>
        <w:t>016</w:t>
      </w:r>
      <w:r w:rsidRPr="006955CE">
        <w:rPr>
          <w:noProof/>
          <w:lang w:val="en-US"/>
        </w:rPr>
        <w:t xml:space="preserve"> </w:t>
      </w:r>
      <w:r w:rsidR="006955CE" w:rsidRPr="006955CE">
        <w:rPr>
          <w:noProof/>
          <w:lang w:val="en-US"/>
        </w:rPr>
        <w:t xml:space="preserve">post offices </w:t>
      </w:r>
      <w:r w:rsidR="001B075B" w:rsidRPr="006955CE">
        <w:rPr>
          <w:noProof/>
          <w:lang w:val="en-US"/>
        </w:rPr>
        <w:t xml:space="preserve">and </w:t>
      </w:r>
      <w:r w:rsidR="00D238CA" w:rsidRPr="006955CE">
        <w:rPr>
          <w:noProof/>
          <w:lang w:val="en-US"/>
        </w:rPr>
        <w:t xml:space="preserve">169 </w:t>
      </w:r>
      <w:r w:rsidR="001B075B" w:rsidRPr="006955CE">
        <w:rPr>
          <w:noProof/>
          <w:lang w:val="en-US"/>
        </w:rPr>
        <w:t>FINA</w:t>
      </w:r>
      <w:r w:rsidRPr="006955CE">
        <w:rPr>
          <w:noProof/>
          <w:lang w:val="en-US"/>
        </w:rPr>
        <w:t xml:space="preserve"> </w:t>
      </w:r>
      <w:r w:rsidR="00D238CA" w:rsidRPr="006955CE">
        <w:rPr>
          <w:noProof/>
          <w:lang w:val="en-US"/>
        </w:rPr>
        <w:t xml:space="preserve">branches. </w:t>
      </w:r>
      <w:r w:rsidR="00D238CA" w:rsidRPr="006955CE">
        <w:rPr>
          <w:noProof/>
        </w:rPr>
        <w:t xml:space="preserve">The total value of kuna cash exchanged by </w:t>
      </w:r>
      <w:r w:rsidRPr="006955CE">
        <w:rPr>
          <w:noProof/>
          <w:lang w:val="en-US"/>
        </w:rPr>
        <w:t xml:space="preserve">15 January </w:t>
      </w:r>
      <w:r w:rsidR="00D238CA" w:rsidRPr="006955CE">
        <w:rPr>
          <w:noProof/>
          <w:lang w:val="en-US"/>
        </w:rPr>
        <w:t>2023 was</w:t>
      </w:r>
      <w:r w:rsidRPr="006955CE">
        <w:rPr>
          <w:noProof/>
        </w:rPr>
        <w:t xml:space="preserve"> EUR </w:t>
      </w:r>
      <w:r w:rsidR="00D238CA" w:rsidRPr="006955CE">
        <w:rPr>
          <w:noProof/>
        </w:rPr>
        <w:t>361</w:t>
      </w:r>
      <w:r w:rsidR="00047F13">
        <w:rPr>
          <w:noProof/>
        </w:rPr>
        <w:t>.</w:t>
      </w:r>
      <w:r w:rsidR="00D238CA" w:rsidRPr="006955CE">
        <w:rPr>
          <w:noProof/>
        </w:rPr>
        <w:t>4</w:t>
      </w:r>
      <w:r w:rsidRPr="006955CE">
        <w:rPr>
          <w:noProof/>
        </w:rPr>
        <w:t xml:space="preserve"> million</w:t>
      </w:r>
      <w:r w:rsidR="00D238CA" w:rsidRPr="006955CE">
        <w:rPr>
          <w:noProof/>
        </w:rPr>
        <w:t xml:space="preserve">. </w:t>
      </w:r>
      <w:r w:rsidR="00D238CA" w:rsidRPr="006955CE">
        <w:rPr>
          <w:noProof/>
          <w:szCs w:val="22"/>
        </w:rPr>
        <w:t xml:space="preserve">72% </w:t>
      </w:r>
      <w:r w:rsidR="00007C0D">
        <w:rPr>
          <w:noProof/>
          <w:szCs w:val="22"/>
        </w:rPr>
        <w:t xml:space="preserve">of the value of kuna cash was exchanged at </w:t>
      </w:r>
      <w:r w:rsidR="00D238CA" w:rsidRPr="006955CE">
        <w:rPr>
          <w:noProof/>
          <w:szCs w:val="22"/>
        </w:rPr>
        <w:t xml:space="preserve">bank branches, 15% </w:t>
      </w:r>
      <w:r w:rsidR="00007C0D">
        <w:rPr>
          <w:noProof/>
          <w:szCs w:val="22"/>
        </w:rPr>
        <w:t xml:space="preserve">at </w:t>
      </w:r>
      <w:r w:rsidR="00D238CA" w:rsidRPr="006955CE">
        <w:rPr>
          <w:noProof/>
          <w:szCs w:val="22"/>
        </w:rPr>
        <w:t xml:space="preserve">post offices and 13% </w:t>
      </w:r>
      <w:r w:rsidR="00007C0D">
        <w:rPr>
          <w:noProof/>
          <w:szCs w:val="22"/>
        </w:rPr>
        <w:t xml:space="preserve">at </w:t>
      </w:r>
      <w:r w:rsidR="00D238CA" w:rsidRPr="006955CE">
        <w:rPr>
          <w:noProof/>
          <w:szCs w:val="22"/>
        </w:rPr>
        <w:t>FINA branches.</w:t>
      </w:r>
    </w:p>
    <w:p w14:paraId="24CB096F" w14:textId="77777777" w:rsidR="001D09A7" w:rsidRDefault="001D09A7" w:rsidP="001D09A7">
      <w:pPr>
        <w:rPr>
          <w:noProof/>
          <w:lang w:val="en-US"/>
        </w:rPr>
      </w:pPr>
      <w:r w:rsidRPr="006955CE">
        <w:rPr>
          <w:noProof/>
          <w:lang w:val="en-US"/>
        </w:rPr>
        <w:t xml:space="preserve">According to a Commission survey carried out </w:t>
      </w:r>
      <w:r w:rsidR="00F55B72" w:rsidRPr="006955CE">
        <w:rPr>
          <w:noProof/>
          <w:lang w:val="en-US"/>
        </w:rPr>
        <w:t>between 16 and 19 January 2023</w:t>
      </w:r>
      <w:r w:rsidRPr="006955CE">
        <w:rPr>
          <w:noProof/>
          <w:lang w:val="en-US"/>
        </w:rPr>
        <w:t xml:space="preserve"> in </w:t>
      </w:r>
      <w:r w:rsidR="00AE04C1" w:rsidRPr="006955CE">
        <w:rPr>
          <w:noProof/>
          <w:lang w:val="en-US"/>
        </w:rPr>
        <w:t>Croatia</w:t>
      </w:r>
      <w:r w:rsidRPr="006955CE">
        <w:rPr>
          <w:rStyle w:val="FootnoteReference"/>
          <w:noProof/>
          <w:lang w:val="en-US"/>
        </w:rPr>
        <w:footnoteReference w:id="6"/>
      </w:r>
      <w:r w:rsidRPr="006955CE">
        <w:rPr>
          <w:noProof/>
          <w:lang w:val="en-US"/>
        </w:rPr>
        <w:t xml:space="preserve">, </w:t>
      </w:r>
      <w:r w:rsidR="008F6FCF" w:rsidRPr="006955CE">
        <w:rPr>
          <w:noProof/>
          <w:lang w:val="en-US"/>
        </w:rPr>
        <w:t>8</w:t>
      </w:r>
      <w:r w:rsidRPr="006955CE">
        <w:rPr>
          <w:noProof/>
          <w:lang w:val="en-US"/>
        </w:rPr>
        <w:t>1% of those polled did not experience any problem</w:t>
      </w:r>
      <w:r w:rsidR="00047F13">
        <w:rPr>
          <w:noProof/>
          <w:lang w:val="en-US"/>
        </w:rPr>
        <w:t>s</w:t>
      </w:r>
      <w:r w:rsidRPr="006955CE">
        <w:rPr>
          <w:noProof/>
          <w:lang w:val="en-US"/>
        </w:rPr>
        <w:t xml:space="preserve"> when exchanging </w:t>
      </w:r>
      <w:r w:rsidR="00AE04C1" w:rsidRPr="006955CE">
        <w:rPr>
          <w:noProof/>
          <w:lang w:val="en-US"/>
        </w:rPr>
        <w:t>kuna</w:t>
      </w:r>
      <w:r w:rsidRPr="006955CE">
        <w:rPr>
          <w:noProof/>
          <w:lang w:val="en-US"/>
        </w:rPr>
        <w:t xml:space="preserve"> cash or withdrawing euro cash </w:t>
      </w:r>
      <w:r w:rsidR="00BE6D3A">
        <w:rPr>
          <w:noProof/>
          <w:lang w:val="en-US"/>
        </w:rPr>
        <w:t xml:space="preserve">at </w:t>
      </w:r>
      <w:r w:rsidRPr="006955CE">
        <w:rPr>
          <w:noProof/>
          <w:lang w:val="en-US"/>
        </w:rPr>
        <w:t xml:space="preserve">banks in the first week of January. This </w:t>
      </w:r>
      <w:r w:rsidR="00BE6D3A">
        <w:rPr>
          <w:noProof/>
          <w:lang w:val="en-US"/>
        </w:rPr>
        <w:t xml:space="preserve">figure </w:t>
      </w:r>
      <w:r w:rsidRPr="006955CE">
        <w:rPr>
          <w:noProof/>
          <w:lang w:val="en-US"/>
        </w:rPr>
        <w:t xml:space="preserve">is </w:t>
      </w:r>
      <w:r w:rsidR="00BE6D3A">
        <w:rPr>
          <w:noProof/>
          <w:lang w:val="en-US"/>
        </w:rPr>
        <w:t xml:space="preserve">lower </w:t>
      </w:r>
      <w:r w:rsidRPr="006955CE">
        <w:rPr>
          <w:noProof/>
          <w:lang w:val="en-US"/>
        </w:rPr>
        <w:t xml:space="preserve">than </w:t>
      </w:r>
      <w:r w:rsidR="00BE6D3A">
        <w:rPr>
          <w:noProof/>
          <w:lang w:val="en-US"/>
        </w:rPr>
        <w:t xml:space="preserve">those recorded </w:t>
      </w:r>
      <w:r w:rsidRPr="006955CE">
        <w:rPr>
          <w:noProof/>
          <w:lang w:val="en-US"/>
        </w:rPr>
        <w:t xml:space="preserve">during </w:t>
      </w:r>
      <w:r w:rsidR="0031251C">
        <w:rPr>
          <w:noProof/>
          <w:lang w:val="en-US"/>
        </w:rPr>
        <w:t xml:space="preserve">some </w:t>
      </w:r>
      <w:r w:rsidRPr="006955CE">
        <w:rPr>
          <w:noProof/>
          <w:lang w:val="en-US"/>
        </w:rPr>
        <w:t>previous changeovers</w:t>
      </w:r>
      <w:r w:rsidR="00006227" w:rsidRPr="006955CE">
        <w:rPr>
          <w:noProof/>
          <w:lang w:val="en-US"/>
        </w:rPr>
        <w:t xml:space="preserve">, but </w:t>
      </w:r>
      <w:r w:rsidR="00BE6D3A">
        <w:rPr>
          <w:noProof/>
          <w:lang w:val="en-US"/>
        </w:rPr>
        <w:t xml:space="preserve">is nevertheless </w:t>
      </w:r>
      <w:r w:rsidR="0031251C">
        <w:rPr>
          <w:noProof/>
          <w:lang w:val="en-US"/>
        </w:rPr>
        <w:t>a satisf</w:t>
      </w:r>
      <w:r w:rsidR="00BE6D3A">
        <w:rPr>
          <w:noProof/>
          <w:lang w:val="en-US"/>
        </w:rPr>
        <w:t>actory</w:t>
      </w:r>
      <w:r w:rsidR="0031251C">
        <w:rPr>
          <w:noProof/>
          <w:lang w:val="en-US"/>
        </w:rPr>
        <w:t xml:space="preserve"> result</w:t>
      </w:r>
      <w:r w:rsidRPr="004D421D">
        <w:rPr>
          <w:rStyle w:val="FootnoteReference"/>
          <w:noProof/>
          <w:lang w:val="en-US"/>
        </w:rPr>
        <w:footnoteReference w:id="7"/>
      </w:r>
      <w:r w:rsidR="00006227">
        <w:rPr>
          <w:noProof/>
          <w:lang w:val="en-US"/>
        </w:rPr>
        <w:t>.</w:t>
      </w:r>
    </w:p>
    <w:p w14:paraId="1C35BB3F" w14:textId="77777777" w:rsidR="001D09A7" w:rsidRDefault="00AD412B" w:rsidP="009B2B24">
      <w:pPr>
        <w:rPr>
          <w:noProof/>
        </w:rPr>
      </w:pPr>
      <w:r>
        <w:rPr>
          <w:noProof/>
          <w:lang w:val="en-US"/>
        </w:rPr>
        <w:t>The transition to the e</w:t>
      </w:r>
      <w:r w:rsidR="0031251C">
        <w:rPr>
          <w:noProof/>
          <w:lang w:val="en-US"/>
        </w:rPr>
        <w:t>xclusive use of euro cash in payment transaction</w:t>
      </w:r>
      <w:r w:rsidR="00BE6D3A">
        <w:rPr>
          <w:noProof/>
          <w:lang w:val="en-US"/>
        </w:rPr>
        <w:t>s</w:t>
      </w:r>
      <w:r w:rsidR="0031251C">
        <w:rPr>
          <w:noProof/>
          <w:lang w:val="en-US"/>
        </w:rPr>
        <w:t xml:space="preserve"> </w:t>
      </w:r>
      <w:r>
        <w:rPr>
          <w:noProof/>
          <w:lang w:val="en-US"/>
        </w:rPr>
        <w:t>was fast</w:t>
      </w:r>
      <w:r w:rsidR="0031251C">
        <w:rPr>
          <w:noProof/>
          <w:lang w:val="en-US"/>
        </w:rPr>
        <w:t xml:space="preserve"> and </w:t>
      </w:r>
      <w:r w:rsidR="00BE6D3A">
        <w:rPr>
          <w:noProof/>
          <w:lang w:val="en-US"/>
        </w:rPr>
        <w:t xml:space="preserve">passed </w:t>
      </w:r>
      <w:r w:rsidR="0031251C">
        <w:rPr>
          <w:noProof/>
          <w:lang w:val="en-US"/>
        </w:rPr>
        <w:t xml:space="preserve">without major incidents </w:t>
      </w:r>
      <w:r w:rsidR="009B2B24">
        <w:rPr>
          <w:noProof/>
          <w:lang w:val="en-US"/>
        </w:rPr>
        <w:t>for consumers</w:t>
      </w:r>
      <w:r w:rsidR="0031251C">
        <w:rPr>
          <w:noProof/>
          <w:lang w:val="en-US"/>
        </w:rPr>
        <w:t>.</w:t>
      </w:r>
      <w:r w:rsidR="0031251C" w:rsidRPr="0031251C">
        <w:rPr>
          <w:noProof/>
          <w:lang w:val="en-US"/>
        </w:rPr>
        <w:t xml:space="preserve"> </w:t>
      </w:r>
      <w:r w:rsidR="0031251C" w:rsidRPr="006955CE">
        <w:rPr>
          <w:noProof/>
          <w:lang w:val="en-US"/>
        </w:rPr>
        <w:t>Already on the second day of the changeover (2 January 2023), 29% of the public w</w:t>
      </w:r>
      <w:r w:rsidR="00BE6D3A">
        <w:rPr>
          <w:noProof/>
          <w:lang w:val="en-US"/>
        </w:rPr>
        <w:t>ere</w:t>
      </w:r>
      <w:r w:rsidR="0031251C" w:rsidRPr="006955CE">
        <w:rPr>
          <w:noProof/>
          <w:lang w:val="en-US"/>
        </w:rPr>
        <w:t xml:space="preserve"> </w:t>
      </w:r>
      <w:r w:rsidR="00BE6D3A">
        <w:rPr>
          <w:noProof/>
          <w:lang w:val="en-US"/>
        </w:rPr>
        <w:t>making</w:t>
      </w:r>
      <w:r w:rsidR="00BE6D3A" w:rsidRPr="006955CE">
        <w:rPr>
          <w:noProof/>
          <w:lang w:val="en-US"/>
        </w:rPr>
        <w:t xml:space="preserve"> </w:t>
      </w:r>
      <w:r w:rsidR="0031251C" w:rsidRPr="006955CE">
        <w:rPr>
          <w:noProof/>
          <w:lang w:val="en-US"/>
        </w:rPr>
        <w:t>cash payments with euro cash only.</w:t>
      </w:r>
      <w:r w:rsidR="0031251C" w:rsidRPr="006955CE">
        <w:rPr>
          <w:rStyle w:val="FootnoteReference"/>
          <w:noProof/>
          <w:lang w:val="en-US"/>
        </w:rPr>
        <w:footnoteReference w:id="8"/>
      </w:r>
      <w:r w:rsidR="0031251C" w:rsidRPr="006955CE">
        <w:rPr>
          <w:noProof/>
          <w:lang w:val="en-US"/>
        </w:rPr>
        <w:t xml:space="preserve"> </w:t>
      </w:r>
      <w:r w:rsidR="00BE6D3A">
        <w:rPr>
          <w:noProof/>
          <w:lang w:val="en-US"/>
        </w:rPr>
        <w:t>By</w:t>
      </w:r>
      <w:r w:rsidR="00BE6D3A" w:rsidRPr="006955CE">
        <w:rPr>
          <w:noProof/>
          <w:lang w:val="en-US"/>
        </w:rPr>
        <w:t xml:space="preserve"> </w:t>
      </w:r>
      <w:r w:rsidR="0031251C" w:rsidRPr="006955CE">
        <w:rPr>
          <w:noProof/>
          <w:lang w:val="en-US"/>
        </w:rPr>
        <w:t xml:space="preserve">7 January, 62% of the citizens polled paid in euro cash only. </w:t>
      </w:r>
      <w:r w:rsidR="006E5DD3">
        <w:rPr>
          <w:noProof/>
          <w:lang w:val="en-US"/>
        </w:rPr>
        <w:t>The day before the end</w:t>
      </w:r>
      <w:r w:rsidR="00DD7304">
        <w:rPr>
          <w:noProof/>
          <w:lang w:val="en-US"/>
        </w:rPr>
        <w:t xml:space="preserve"> </w:t>
      </w:r>
      <w:r w:rsidR="009B2B24">
        <w:rPr>
          <w:noProof/>
          <w:lang w:val="en-US"/>
        </w:rPr>
        <w:t>of the dual circulation period</w:t>
      </w:r>
      <w:r w:rsidR="006E5DD3">
        <w:rPr>
          <w:noProof/>
          <w:lang w:val="en-US"/>
        </w:rPr>
        <w:t>, this</w:t>
      </w:r>
      <w:r w:rsidR="009B2B24">
        <w:rPr>
          <w:noProof/>
          <w:lang w:val="en-US"/>
        </w:rPr>
        <w:t xml:space="preserve"> percentage </w:t>
      </w:r>
      <w:r w:rsidR="006E5DD3">
        <w:rPr>
          <w:noProof/>
          <w:lang w:val="en-US"/>
        </w:rPr>
        <w:t>reached</w:t>
      </w:r>
      <w:r w:rsidR="00BE6D3A">
        <w:rPr>
          <w:noProof/>
          <w:lang w:val="en-US"/>
        </w:rPr>
        <w:t xml:space="preserve"> </w:t>
      </w:r>
      <w:r w:rsidR="00DD7304">
        <w:rPr>
          <w:noProof/>
          <w:lang w:val="en-US"/>
        </w:rPr>
        <w:t>99%</w:t>
      </w:r>
      <w:r w:rsidR="00DD7304">
        <w:rPr>
          <w:rStyle w:val="FootnoteReference"/>
          <w:noProof/>
          <w:lang w:val="en-US"/>
        </w:rPr>
        <w:footnoteReference w:id="9"/>
      </w:r>
      <w:r w:rsidR="00DD7304">
        <w:rPr>
          <w:noProof/>
          <w:lang w:val="en-US"/>
        </w:rPr>
        <w:t>.</w:t>
      </w:r>
    </w:p>
    <w:p w14:paraId="545D2425" w14:textId="77777777" w:rsidR="004A7073" w:rsidRDefault="001D09A7" w:rsidP="00461F21">
      <w:pPr>
        <w:rPr>
          <w:noProof/>
          <w:lang w:val="en-US"/>
        </w:rPr>
      </w:pPr>
      <w:r>
        <w:rPr>
          <w:noProof/>
          <w:lang w:val="en-US"/>
        </w:rPr>
        <w:t>Overall, t</w:t>
      </w:r>
      <w:r w:rsidRPr="00E8764A">
        <w:rPr>
          <w:noProof/>
          <w:lang w:val="en-US"/>
        </w:rPr>
        <w:t xml:space="preserve">he retail sector </w:t>
      </w:r>
      <w:r>
        <w:rPr>
          <w:noProof/>
          <w:lang w:val="en-US"/>
        </w:rPr>
        <w:t xml:space="preserve">also coped </w:t>
      </w:r>
      <w:r w:rsidRPr="00E8764A">
        <w:rPr>
          <w:noProof/>
          <w:lang w:val="en-US"/>
        </w:rPr>
        <w:t>well with the challenges of the changeover process and the handling of two currencies at the same time. Retailers were well supplied with euro cash and no major problems with queues were reported.</w:t>
      </w:r>
      <w:r w:rsidRPr="00BD4C40">
        <w:rPr>
          <w:noProof/>
          <w:lang w:val="en-US"/>
        </w:rPr>
        <w:t xml:space="preserve"> </w:t>
      </w:r>
      <w:r w:rsidR="00BE6D3A">
        <w:rPr>
          <w:noProof/>
          <w:lang w:val="en-US"/>
        </w:rPr>
        <w:t>A</w:t>
      </w:r>
      <w:r w:rsidRPr="00BD4C40">
        <w:rPr>
          <w:noProof/>
          <w:lang w:val="en-US"/>
        </w:rPr>
        <w:t xml:space="preserve">lready on </w:t>
      </w:r>
      <w:r w:rsidRPr="006955CE">
        <w:rPr>
          <w:noProof/>
          <w:lang w:val="en-US"/>
        </w:rPr>
        <w:t xml:space="preserve">2 January, </w:t>
      </w:r>
      <w:r w:rsidR="00443DF6" w:rsidRPr="006955CE">
        <w:rPr>
          <w:noProof/>
          <w:lang w:val="en-US"/>
        </w:rPr>
        <w:t>81</w:t>
      </w:r>
      <w:r w:rsidRPr="006955CE">
        <w:rPr>
          <w:noProof/>
          <w:lang w:val="en-US"/>
        </w:rPr>
        <w:t xml:space="preserve">% of </w:t>
      </w:r>
      <w:r w:rsidR="00326AF2">
        <w:rPr>
          <w:noProof/>
          <w:lang w:val="en-US"/>
        </w:rPr>
        <w:t xml:space="preserve">the </w:t>
      </w:r>
      <w:r w:rsidRPr="006955CE">
        <w:rPr>
          <w:noProof/>
          <w:lang w:val="en-US"/>
        </w:rPr>
        <w:t xml:space="preserve">citizens received change in euro only. This share increased to </w:t>
      </w:r>
      <w:r w:rsidR="00443DF6" w:rsidRPr="006955CE">
        <w:rPr>
          <w:noProof/>
          <w:lang w:val="en-US"/>
        </w:rPr>
        <w:t>99 % on 13</w:t>
      </w:r>
      <w:r w:rsidRPr="006955CE">
        <w:rPr>
          <w:noProof/>
          <w:lang w:val="en-US"/>
        </w:rPr>
        <w:t xml:space="preserve"> January.</w:t>
      </w:r>
    </w:p>
    <w:p w14:paraId="14408B7E" w14:textId="77777777" w:rsidR="00461F21" w:rsidRPr="00E8764A" w:rsidRDefault="00461F21" w:rsidP="00461F21">
      <w:pPr>
        <w:rPr>
          <w:noProof/>
          <w:lang w:val="en-US"/>
        </w:rPr>
      </w:pPr>
    </w:p>
    <w:p w14:paraId="0B341168" w14:textId="77777777" w:rsidR="001D09A7" w:rsidRPr="006955CE" w:rsidRDefault="001D09A7" w:rsidP="001D09A7">
      <w:pPr>
        <w:pStyle w:val="Heading2"/>
        <w:numPr>
          <w:ilvl w:val="0"/>
          <w:numId w:val="0"/>
        </w:numPr>
        <w:spacing w:line="260" w:lineRule="exact"/>
        <w:ind w:left="850" w:hanging="850"/>
        <w:rPr>
          <w:noProof/>
        </w:rPr>
      </w:pPr>
      <w:r w:rsidRPr="002762CC">
        <w:rPr>
          <w:noProof/>
        </w:rPr>
        <w:t>2.3.</w:t>
      </w:r>
      <w:r w:rsidRPr="002762CC">
        <w:rPr>
          <w:noProof/>
        </w:rPr>
        <w:tab/>
      </w:r>
      <w:r w:rsidRPr="006955CE">
        <w:rPr>
          <w:noProof/>
        </w:rPr>
        <w:t xml:space="preserve">Withdrawal </w:t>
      </w:r>
      <w:r w:rsidR="00BE6D3A">
        <w:rPr>
          <w:noProof/>
        </w:rPr>
        <w:t xml:space="preserve">from circulation </w:t>
      </w:r>
      <w:r w:rsidRPr="006955CE">
        <w:rPr>
          <w:noProof/>
        </w:rPr>
        <w:t xml:space="preserve">of </w:t>
      </w:r>
      <w:r w:rsidR="00AE04C1" w:rsidRPr="006955CE">
        <w:rPr>
          <w:noProof/>
        </w:rPr>
        <w:t>Croatian kuna banknotes and coins</w:t>
      </w:r>
      <w:r w:rsidR="00C057F0" w:rsidRPr="006955CE">
        <w:rPr>
          <w:noProof/>
        </w:rPr>
        <w:t xml:space="preserve"> </w:t>
      </w:r>
    </w:p>
    <w:p w14:paraId="678C71D6" w14:textId="77777777" w:rsidR="003B6471" w:rsidRDefault="00BE6D3A" w:rsidP="001D09A7">
      <w:pPr>
        <w:spacing w:line="260" w:lineRule="exact"/>
        <w:rPr>
          <w:noProof/>
          <w:spacing w:val="-2"/>
        </w:rPr>
      </w:pPr>
      <w:r>
        <w:rPr>
          <w:noProof/>
          <w:lang w:val="en-US"/>
        </w:rPr>
        <w:t xml:space="preserve">As </w:t>
      </w:r>
      <w:r w:rsidR="004A7073" w:rsidRPr="006955CE">
        <w:rPr>
          <w:noProof/>
          <w:lang w:val="en-US"/>
        </w:rPr>
        <w:t>a cash-intensive economy</w:t>
      </w:r>
      <w:r w:rsidR="00240E73">
        <w:rPr>
          <w:noProof/>
          <w:lang w:val="en-US"/>
        </w:rPr>
        <w:t xml:space="preserve">, </w:t>
      </w:r>
      <w:r w:rsidR="003B6471" w:rsidRPr="006955CE">
        <w:rPr>
          <w:noProof/>
        </w:rPr>
        <w:t xml:space="preserve">the </w:t>
      </w:r>
      <w:r w:rsidR="003B6471" w:rsidRPr="006955CE">
        <w:rPr>
          <w:noProof/>
          <w:lang w:val="en-US"/>
        </w:rPr>
        <w:t xml:space="preserve">withdrawal of kuna cash from circulation </w:t>
      </w:r>
      <w:r>
        <w:rPr>
          <w:noProof/>
          <w:lang w:val="en-US"/>
        </w:rPr>
        <w:t xml:space="preserve">in Croatia </w:t>
      </w:r>
      <w:r w:rsidR="00240E73">
        <w:rPr>
          <w:noProof/>
          <w:lang w:val="en-US"/>
        </w:rPr>
        <w:t>posed</w:t>
      </w:r>
      <w:r w:rsidR="00240E73" w:rsidRPr="006955CE">
        <w:rPr>
          <w:noProof/>
          <w:lang w:val="en-US"/>
        </w:rPr>
        <w:t xml:space="preserve"> </w:t>
      </w:r>
      <w:r w:rsidR="003B6471">
        <w:rPr>
          <w:noProof/>
          <w:lang w:val="en-US"/>
        </w:rPr>
        <w:t xml:space="preserve">a </w:t>
      </w:r>
      <w:r w:rsidR="003B6471" w:rsidRPr="006955CE">
        <w:rPr>
          <w:noProof/>
          <w:lang w:val="en-US"/>
        </w:rPr>
        <w:t>particular challenge</w:t>
      </w:r>
      <w:r w:rsidR="003B6471">
        <w:rPr>
          <w:noProof/>
          <w:spacing w:val="-2"/>
        </w:rPr>
        <w:t xml:space="preserve">. </w:t>
      </w:r>
    </w:p>
    <w:p w14:paraId="11F7FB48" w14:textId="77777777" w:rsidR="004A7073" w:rsidRDefault="003B6471" w:rsidP="001D09A7">
      <w:pPr>
        <w:spacing w:line="260" w:lineRule="exact"/>
        <w:rPr>
          <w:noProof/>
        </w:rPr>
      </w:pPr>
      <w:r w:rsidRPr="006955CE">
        <w:rPr>
          <w:noProof/>
          <w:lang w:val="en-US"/>
        </w:rPr>
        <w:t>The Croatian National Bank expects 500 m</w:t>
      </w:r>
      <w:r>
        <w:rPr>
          <w:noProof/>
          <w:lang w:val="en-US"/>
        </w:rPr>
        <w:t>illion</w:t>
      </w:r>
      <w:r w:rsidRPr="006955CE">
        <w:rPr>
          <w:noProof/>
          <w:lang w:val="en-US"/>
        </w:rPr>
        <w:t xml:space="preserve"> </w:t>
      </w:r>
      <w:r w:rsidR="00240E73">
        <w:rPr>
          <w:noProof/>
          <w:lang w:val="en-US"/>
        </w:rPr>
        <w:t xml:space="preserve">pieces of </w:t>
      </w:r>
      <w:r w:rsidRPr="006955CE">
        <w:rPr>
          <w:noProof/>
          <w:lang w:val="en-US"/>
        </w:rPr>
        <w:t>kuna banknotes and 1.1 b</w:t>
      </w:r>
      <w:r>
        <w:rPr>
          <w:noProof/>
          <w:lang w:val="en-US"/>
        </w:rPr>
        <w:t xml:space="preserve">illion </w:t>
      </w:r>
      <w:r w:rsidR="00240E73">
        <w:rPr>
          <w:noProof/>
          <w:lang w:val="en-US"/>
        </w:rPr>
        <w:t xml:space="preserve">pieces of </w:t>
      </w:r>
      <w:r w:rsidRPr="006955CE">
        <w:rPr>
          <w:noProof/>
          <w:lang w:val="en-US"/>
        </w:rPr>
        <w:t xml:space="preserve">kuna coins in circulation to </w:t>
      </w:r>
      <w:r w:rsidR="00240E73">
        <w:rPr>
          <w:noProof/>
          <w:lang w:val="en-US"/>
        </w:rPr>
        <w:t xml:space="preserve">be </w:t>
      </w:r>
      <w:r w:rsidRPr="006955CE">
        <w:rPr>
          <w:noProof/>
          <w:lang w:val="en-US"/>
        </w:rPr>
        <w:t>return</w:t>
      </w:r>
      <w:r w:rsidR="00240E73">
        <w:rPr>
          <w:noProof/>
          <w:lang w:val="en-US"/>
        </w:rPr>
        <w:t>ed</w:t>
      </w:r>
      <w:r w:rsidR="00BE6D3A">
        <w:rPr>
          <w:noProof/>
          <w:lang w:val="en-US"/>
        </w:rPr>
        <w:t xml:space="preserve"> in due course</w:t>
      </w:r>
      <w:r w:rsidRPr="006955CE">
        <w:rPr>
          <w:noProof/>
          <w:lang w:val="en-US"/>
        </w:rPr>
        <w:t>.</w:t>
      </w:r>
      <w:r>
        <w:rPr>
          <w:noProof/>
          <w:spacing w:val="-2"/>
          <w:lang w:val="en-US"/>
        </w:rPr>
        <w:t xml:space="preserve"> </w:t>
      </w:r>
      <w:r w:rsidR="00240E73">
        <w:rPr>
          <w:noProof/>
          <w:spacing w:val="-2"/>
        </w:rPr>
        <w:t>Taking into account</w:t>
      </w:r>
      <w:r w:rsidR="004A7073" w:rsidRPr="006955CE">
        <w:rPr>
          <w:noProof/>
        </w:rPr>
        <w:t xml:space="preserve"> the high </w:t>
      </w:r>
      <w:r>
        <w:rPr>
          <w:noProof/>
        </w:rPr>
        <w:t xml:space="preserve">volume of kuna banknotes </w:t>
      </w:r>
      <w:r w:rsidR="004A7073" w:rsidRPr="006955CE">
        <w:rPr>
          <w:noProof/>
        </w:rPr>
        <w:t xml:space="preserve">and coins in circulation in 2022, the Croatian National Bank started the gradual withdrawal of kuna cash </w:t>
      </w:r>
      <w:r>
        <w:rPr>
          <w:noProof/>
        </w:rPr>
        <w:t>in early 2022.</w:t>
      </w:r>
    </w:p>
    <w:p w14:paraId="716FB924" w14:textId="77777777" w:rsidR="006C5BC6" w:rsidRPr="00003682" w:rsidRDefault="003B6471" w:rsidP="003B6471">
      <w:pPr>
        <w:spacing w:line="260" w:lineRule="exact"/>
        <w:rPr>
          <w:noProof/>
          <w:szCs w:val="22"/>
        </w:rPr>
      </w:pPr>
      <w:r w:rsidRPr="00003682">
        <w:rPr>
          <w:noProof/>
          <w:szCs w:val="22"/>
        </w:rPr>
        <w:t xml:space="preserve">In order to </w:t>
      </w:r>
      <w:r w:rsidR="00340BFB">
        <w:rPr>
          <w:noProof/>
          <w:szCs w:val="22"/>
        </w:rPr>
        <w:t>incentivize</w:t>
      </w:r>
      <w:r w:rsidR="00F21C68">
        <w:rPr>
          <w:noProof/>
          <w:szCs w:val="22"/>
        </w:rPr>
        <w:t xml:space="preserve"> </w:t>
      </w:r>
      <w:r w:rsidRPr="00003682">
        <w:rPr>
          <w:noProof/>
          <w:szCs w:val="22"/>
        </w:rPr>
        <w:t xml:space="preserve">commercial banks </w:t>
      </w:r>
      <w:r w:rsidR="00F21C68">
        <w:rPr>
          <w:noProof/>
          <w:szCs w:val="22"/>
        </w:rPr>
        <w:t xml:space="preserve">to </w:t>
      </w:r>
      <w:r w:rsidRPr="00003682">
        <w:rPr>
          <w:noProof/>
          <w:szCs w:val="22"/>
        </w:rPr>
        <w:t xml:space="preserve">deposit excess </w:t>
      </w:r>
      <w:r w:rsidR="00F21C68">
        <w:rPr>
          <w:noProof/>
          <w:szCs w:val="22"/>
        </w:rPr>
        <w:t xml:space="preserve">stocks of </w:t>
      </w:r>
      <w:r w:rsidRPr="00003682">
        <w:rPr>
          <w:noProof/>
          <w:szCs w:val="22"/>
        </w:rPr>
        <w:t xml:space="preserve">kuna in cash centres before 1 January 2023, the Croatian National Bank </w:t>
      </w:r>
      <w:r w:rsidR="006C5BC6" w:rsidRPr="00003682">
        <w:rPr>
          <w:noProof/>
          <w:szCs w:val="22"/>
        </w:rPr>
        <w:t>suspended</w:t>
      </w:r>
      <w:r w:rsidRPr="00003682">
        <w:rPr>
          <w:noProof/>
          <w:szCs w:val="22"/>
        </w:rPr>
        <w:t xml:space="preserve"> </w:t>
      </w:r>
      <w:r w:rsidR="006C5BC6" w:rsidRPr="00003682">
        <w:rPr>
          <w:noProof/>
          <w:szCs w:val="22"/>
        </w:rPr>
        <w:t xml:space="preserve">cash depositing </w:t>
      </w:r>
      <w:r w:rsidRPr="00003682">
        <w:rPr>
          <w:noProof/>
          <w:szCs w:val="22"/>
        </w:rPr>
        <w:t xml:space="preserve">fees for </w:t>
      </w:r>
      <w:r w:rsidR="006C5BC6" w:rsidRPr="00003682">
        <w:rPr>
          <w:noProof/>
          <w:szCs w:val="22"/>
        </w:rPr>
        <w:t>commercial</w:t>
      </w:r>
      <w:r w:rsidR="00F21C68">
        <w:rPr>
          <w:noProof/>
          <w:szCs w:val="22"/>
        </w:rPr>
        <w:t xml:space="preserve"> </w:t>
      </w:r>
      <w:r w:rsidRPr="00003682">
        <w:rPr>
          <w:noProof/>
          <w:szCs w:val="22"/>
        </w:rPr>
        <w:t xml:space="preserve">banks </w:t>
      </w:r>
      <w:r w:rsidR="006C5BC6" w:rsidRPr="00003682">
        <w:rPr>
          <w:noProof/>
          <w:szCs w:val="22"/>
        </w:rPr>
        <w:t>as of</w:t>
      </w:r>
      <w:r w:rsidRPr="00003682">
        <w:rPr>
          <w:noProof/>
          <w:szCs w:val="22"/>
        </w:rPr>
        <w:t xml:space="preserve"> November 2022. </w:t>
      </w:r>
      <w:r w:rsidR="006C5BC6" w:rsidRPr="00003682">
        <w:rPr>
          <w:noProof/>
          <w:szCs w:val="22"/>
        </w:rPr>
        <w:t>Through different communication channels and</w:t>
      </w:r>
      <w:r w:rsidR="00F21C68">
        <w:rPr>
          <w:noProof/>
          <w:szCs w:val="22"/>
        </w:rPr>
        <w:t xml:space="preserve"> the</w:t>
      </w:r>
      <w:r w:rsidR="006C5BC6" w:rsidRPr="00003682">
        <w:rPr>
          <w:noProof/>
          <w:szCs w:val="22"/>
        </w:rPr>
        <w:t xml:space="preserve"> media, c</w:t>
      </w:r>
      <w:r w:rsidRPr="00003682">
        <w:rPr>
          <w:noProof/>
          <w:szCs w:val="22"/>
        </w:rPr>
        <w:t xml:space="preserve">ommercial banks and the Croatian Banking Association </w:t>
      </w:r>
      <w:r w:rsidR="006C5BC6" w:rsidRPr="00003682">
        <w:rPr>
          <w:noProof/>
          <w:szCs w:val="22"/>
        </w:rPr>
        <w:t xml:space="preserve">invited their </w:t>
      </w:r>
      <w:r w:rsidRPr="00003682">
        <w:rPr>
          <w:noProof/>
          <w:szCs w:val="22"/>
        </w:rPr>
        <w:t>clients to use non-cash payments</w:t>
      </w:r>
      <w:r w:rsidR="006C5BC6" w:rsidRPr="00003682">
        <w:rPr>
          <w:noProof/>
          <w:szCs w:val="22"/>
        </w:rPr>
        <w:t xml:space="preserve"> where possible</w:t>
      </w:r>
      <w:r w:rsidRPr="00003682">
        <w:rPr>
          <w:noProof/>
          <w:szCs w:val="22"/>
        </w:rPr>
        <w:t xml:space="preserve"> during the dual circulation period. </w:t>
      </w:r>
    </w:p>
    <w:p w14:paraId="661E9EED" w14:textId="77777777" w:rsidR="004F0650" w:rsidRDefault="004F0650" w:rsidP="004F0650">
      <w:pPr>
        <w:spacing w:line="260" w:lineRule="exact"/>
        <w:rPr>
          <w:noProof/>
          <w:lang w:val="en-US"/>
        </w:rPr>
      </w:pPr>
      <w:r w:rsidRPr="006955CE">
        <w:rPr>
          <w:noProof/>
          <w:lang w:val="en-US"/>
        </w:rPr>
        <w:t>By December 2022, the value of kuna in circulation had decreased by 40% compared to January 2022.</w:t>
      </w:r>
    </w:p>
    <w:p w14:paraId="3FC3C5E3" w14:textId="435CE290" w:rsidR="001D09A7" w:rsidRPr="006955CE" w:rsidRDefault="006C5BC6" w:rsidP="001D09A7">
      <w:pPr>
        <w:spacing w:line="260" w:lineRule="exact"/>
        <w:rPr>
          <w:noProof/>
        </w:rPr>
      </w:pPr>
      <w:bookmarkStart w:id="3" w:name="_Hlk129857098"/>
      <w:r>
        <w:rPr>
          <w:noProof/>
          <w:lang w:val="en-US"/>
        </w:rPr>
        <w:t>T</w:t>
      </w:r>
      <w:r w:rsidR="004A7073" w:rsidRPr="006955CE">
        <w:rPr>
          <w:noProof/>
          <w:lang w:val="en-US"/>
        </w:rPr>
        <w:t xml:space="preserve">he withdrawal </w:t>
      </w:r>
      <w:r w:rsidR="00F21C68">
        <w:rPr>
          <w:noProof/>
          <w:lang w:val="en-US"/>
        </w:rPr>
        <w:t xml:space="preserve">of kuna banknotes and coins from circulation </w:t>
      </w:r>
      <w:r w:rsidR="004A7073" w:rsidRPr="006955CE">
        <w:rPr>
          <w:noProof/>
          <w:lang w:val="en-US"/>
        </w:rPr>
        <w:t>started on time and success</w:t>
      </w:r>
      <w:r w:rsidR="00F21C68">
        <w:rPr>
          <w:noProof/>
          <w:lang w:val="en-US"/>
        </w:rPr>
        <w:t>fully</w:t>
      </w:r>
      <w:r w:rsidR="004A7073" w:rsidRPr="006955CE">
        <w:rPr>
          <w:noProof/>
          <w:lang w:val="en-US"/>
        </w:rPr>
        <w:t xml:space="preserve">. </w:t>
      </w:r>
      <w:r w:rsidR="00F21C68">
        <w:rPr>
          <w:noProof/>
          <w:lang w:val="en-US"/>
        </w:rPr>
        <w:t xml:space="preserve">By </w:t>
      </w:r>
      <w:r w:rsidR="004A7073" w:rsidRPr="006955CE">
        <w:rPr>
          <w:noProof/>
          <w:lang w:val="en-US"/>
        </w:rPr>
        <w:t xml:space="preserve">31 January </w:t>
      </w:r>
      <w:r>
        <w:rPr>
          <w:noProof/>
          <w:lang w:val="en-US"/>
        </w:rPr>
        <w:t>2023</w:t>
      </w:r>
      <w:r w:rsidR="00FC6C5B">
        <w:rPr>
          <w:noProof/>
          <w:lang w:val="en-US"/>
        </w:rPr>
        <w:t>,</w:t>
      </w:r>
      <w:r>
        <w:rPr>
          <w:noProof/>
          <w:lang w:val="en-US"/>
        </w:rPr>
        <w:t xml:space="preserve"> </w:t>
      </w:r>
      <w:r w:rsidR="000D6A8E" w:rsidRPr="0001181D">
        <w:rPr>
          <w:noProof/>
          <w:lang w:val="en-US"/>
        </w:rPr>
        <w:t>134</w:t>
      </w:r>
      <w:r w:rsidR="00AF3AD0">
        <w:rPr>
          <w:noProof/>
          <w:lang w:val="en-US"/>
        </w:rPr>
        <w:t>.</w:t>
      </w:r>
      <w:r w:rsidR="000D6A8E" w:rsidRPr="0001181D">
        <w:rPr>
          <w:noProof/>
          <w:lang w:val="en-US"/>
        </w:rPr>
        <w:t>6</w:t>
      </w:r>
      <w:r w:rsidR="00AF3AD0">
        <w:rPr>
          <w:noProof/>
          <w:lang w:val="en-US"/>
        </w:rPr>
        <w:t xml:space="preserve"> </w:t>
      </w:r>
      <w:r w:rsidR="000D6A8E" w:rsidRPr="0001181D">
        <w:rPr>
          <w:noProof/>
          <w:lang w:val="en-US"/>
        </w:rPr>
        <w:t>m</w:t>
      </w:r>
      <w:r w:rsidR="00AF3AD0">
        <w:rPr>
          <w:noProof/>
          <w:lang w:val="en-US"/>
        </w:rPr>
        <w:t>illion</w:t>
      </w:r>
      <w:r w:rsidR="00CB1978">
        <w:rPr>
          <w:noProof/>
          <w:lang w:val="en-US"/>
        </w:rPr>
        <w:t xml:space="preserve"> pieces of</w:t>
      </w:r>
      <w:r w:rsidR="004A7073" w:rsidRPr="006955CE">
        <w:rPr>
          <w:noProof/>
          <w:lang w:val="en-US"/>
        </w:rPr>
        <w:t xml:space="preserve"> kuna banknotes and </w:t>
      </w:r>
      <w:r w:rsidR="000D6A8E">
        <w:rPr>
          <w:noProof/>
          <w:lang w:val="en-US"/>
        </w:rPr>
        <w:t>230</w:t>
      </w:r>
      <w:r w:rsidR="00AF3AD0">
        <w:rPr>
          <w:noProof/>
          <w:lang w:val="en-US"/>
        </w:rPr>
        <w:t xml:space="preserve"> </w:t>
      </w:r>
      <w:r w:rsidR="000D6A8E">
        <w:rPr>
          <w:noProof/>
          <w:lang w:val="en-US"/>
        </w:rPr>
        <w:t>m</w:t>
      </w:r>
      <w:r w:rsidR="00AF3AD0">
        <w:rPr>
          <w:noProof/>
          <w:lang w:val="en-US"/>
        </w:rPr>
        <w:t>illion</w:t>
      </w:r>
      <w:r w:rsidR="004A7073" w:rsidRPr="006955CE">
        <w:rPr>
          <w:noProof/>
          <w:lang w:val="en-US"/>
        </w:rPr>
        <w:t xml:space="preserve"> </w:t>
      </w:r>
      <w:r w:rsidR="00CB1978">
        <w:rPr>
          <w:noProof/>
          <w:lang w:val="en-US"/>
        </w:rPr>
        <w:t xml:space="preserve">pieces of </w:t>
      </w:r>
      <w:r w:rsidR="00240E73">
        <w:rPr>
          <w:noProof/>
          <w:lang w:val="en-US"/>
        </w:rPr>
        <w:t>kuna</w:t>
      </w:r>
      <w:r w:rsidR="00240E73" w:rsidRPr="006955CE">
        <w:rPr>
          <w:noProof/>
          <w:lang w:val="en-US"/>
        </w:rPr>
        <w:t xml:space="preserve"> </w:t>
      </w:r>
      <w:r w:rsidR="004A7073" w:rsidRPr="006955CE">
        <w:rPr>
          <w:noProof/>
          <w:lang w:val="en-US"/>
        </w:rPr>
        <w:t xml:space="preserve">coins </w:t>
      </w:r>
      <w:r w:rsidR="00F21C68">
        <w:rPr>
          <w:noProof/>
          <w:lang w:val="en-US"/>
        </w:rPr>
        <w:t xml:space="preserve">had already been </w:t>
      </w:r>
      <w:r w:rsidR="000F4F16" w:rsidRPr="006955CE">
        <w:rPr>
          <w:noProof/>
          <w:lang w:val="en-US"/>
        </w:rPr>
        <w:t>withdrawn from circu</w:t>
      </w:r>
      <w:r w:rsidR="004A7073" w:rsidRPr="006955CE">
        <w:rPr>
          <w:noProof/>
          <w:lang w:val="en-US"/>
        </w:rPr>
        <w:t>lation</w:t>
      </w:r>
      <w:r w:rsidR="000F4F16" w:rsidRPr="006955CE">
        <w:rPr>
          <w:noProof/>
          <w:lang w:val="en-US"/>
        </w:rPr>
        <w:t>.</w:t>
      </w:r>
    </w:p>
    <w:bookmarkEnd w:id="3"/>
    <w:p w14:paraId="548B5C7F" w14:textId="629FA991" w:rsidR="001E2985" w:rsidRDefault="001E2985" w:rsidP="001D09A7">
      <w:pPr>
        <w:spacing w:line="260" w:lineRule="exact"/>
        <w:rPr>
          <w:noProof/>
        </w:rPr>
      </w:pPr>
      <w:r w:rsidRPr="006955CE">
        <w:rPr>
          <w:noProof/>
        </w:rPr>
        <w:t xml:space="preserve">Kuna banknotes and coins can </w:t>
      </w:r>
      <w:r w:rsidR="004A7073" w:rsidRPr="006955CE">
        <w:rPr>
          <w:noProof/>
        </w:rPr>
        <w:t xml:space="preserve">still </w:t>
      </w:r>
      <w:r w:rsidRPr="006955CE">
        <w:rPr>
          <w:noProof/>
        </w:rPr>
        <w:t>be exchanged until 31 December 2023 at commercial banks, FINA</w:t>
      </w:r>
      <w:r w:rsidR="00387006">
        <w:rPr>
          <w:noProof/>
        </w:rPr>
        <w:t xml:space="preserve"> </w:t>
      </w:r>
      <w:r w:rsidRPr="006955CE">
        <w:rPr>
          <w:noProof/>
        </w:rPr>
        <w:t xml:space="preserve">and post offices free of charge </w:t>
      </w:r>
      <w:r w:rsidR="00F21C68">
        <w:rPr>
          <w:noProof/>
        </w:rPr>
        <w:t xml:space="preserve">(with </w:t>
      </w:r>
      <w:r w:rsidRPr="006955CE">
        <w:rPr>
          <w:noProof/>
        </w:rPr>
        <w:t xml:space="preserve">a maximum of 100 banknotes and 100 coins per </w:t>
      </w:r>
      <w:r w:rsidR="00003682">
        <w:rPr>
          <w:noProof/>
        </w:rPr>
        <w:t>exchange</w:t>
      </w:r>
      <w:r w:rsidR="00F21C68">
        <w:rPr>
          <w:noProof/>
        </w:rPr>
        <w:t>)</w:t>
      </w:r>
      <w:r w:rsidRPr="006955CE">
        <w:rPr>
          <w:noProof/>
        </w:rPr>
        <w:t>. For the exchange of larger numbers of banknotes or coins, commercial banks can charge a fee.</w:t>
      </w:r>
      <w:r w:rsidR="00003682">
        <w:rPr>
          <w:noProof/>
        </w:rPr>
        <w:t xml:space="preserve"> </w:t>
      </w:r>
      <w:r w:rsidR="00C057F0" w:rsidRPr="006955CE">
        <w:rPr>
          <w:noProof/>
        </w:rPr>
        <w:t xml:space="preserve">As of 1 January 2024, kuna banknotes </w:t>
      </w:r>
      <w:r w:rsidR="00C07B78">
        <w:rPr>
          <w:noProof/>
        </w:rPr>
        <w:t xml:space="preserve">and kuna coins </w:t>
      </w:r>
      <w:r w:rsidR="00C057F0" w:rsidRPr="006955CE">
        <w:rPr>
          <w:noProof/>
        </w:rPr>
        <w:t>can only be changed at the Croatian National Bank. The exchange</w:t>
      </w:r>
      <w:r w:rsidR="00003682">
        <w:rPr>
          <w:noProof/>
        </w:rPr>
        <w:t xml:space="preserve"> of banknotes</w:t>
      </w:r>
      <w:r w:rsidR="00C057F0" w:rsidRPr="006955CE">
        <w:rPr>
          <w:noProof/>
        </w:rPr>
        <w:t xml:space="preserve"> is free of charge and unlimited in time</w:t>
      </w:r>
      <w:r w:rsidR="00C07B78">
        <w:rPr>
          <w:noProof/>
        </w:rPr>
        <w:t xml:space="preserve">, but the kuna coins </w:t>
      </w:r>
      <w:r w:rsidR="00F62112">
        <w:rPr>
          <w:noProof/>
        </w:rPr>
        <w:t>can be exchanged until 31 December 2025</w:t>
      </w:r>
      <w:r w:rsidR="00C057F0" w:rsidRPr="006955CE">
        <w:rPr>
          <w:noProof/>
        </w:rPr>
        <w:t>.</w:t>
      </w:r>
    </w:p>
    <w:p w14:paraId="01685579" w14:textId="77777777" w:rsidR="001D09A7" w:rsidRPr="00C309B4" w:rsidRDefault="00C309B4" w:rsidP="001D09A7">
      <w:pPr>
        <w:spacing w:line="260" w:lineRule="exact"/>
        <w:rPr>
          <w:strike/>
          <w:noProof/>
        </w:rPr>
      </w:pPr>
      <w:r w:rsidRPr="006955CE">
        <w:rPr>
          <w:noProof/>
          <w:szCs w:val="22"/>
        </w:rPr>
        <w:t xml:space="preserve">The Croatian National Bank </w:t>
      </w:r>
      <w:r w:rsidR="00FD160C">
        <w:rPr>
          <w:noProof/>
          <w:szCs w:val="22"/>
        </w:rPr>
        <w:t xml:space="preserve">will </w:t>
      </w:r>
      <w:r w:rsidRPr="006955CE">
        <w:rPr>
          <w:noProof/>
          <w:szCs w:val="22"/>
        </w:rPr>
        <w:t xml:space="preserve">keep </w:t>
      </w:r>
      <w:r w:rsidR="004F0650">
        <w:rPr>
          <w:noProof/>
          <w:szCs w:val="22"/>
        </w:rPr>
        <w:t xml:space="preserve">returned </w:t>
      </w:r>
      <w:r w:rsidRPr="006955CE">
        <w:rPr>
          <w:noProof/>
          <w:szCs w:val="22"/>
        </w:rPr>
        <w:t>kuna coins</w:t>
      </w:r>
      <w:r w:rsidR="004F0650">
        <w:rPr>
          <w:noProof/>
          <w:szCs w:val="22"/>
        </w:rPr>
        <w:t xml:space="preserve"> in vaults and start demonetisation </w:t>
      </w:r>
      <w:r w:rsidR="00FD160C">
        <w:rPr>
          <w:noProof/>
          <w:szCs w:val="22"/>
        </w:rPr>
        <w:t xml:space="preserve">only </w:t>
      </w:r>
      <w:r w:rsidR="00EF6B6C">
        <w:rPr>
          <w:noProof/>
          <w:szCs w:val="22"/>
        </w:rPr>
        <w:t>on</w:t>
      </w:r>
      <w:r w:rsidR="004F0650">
        <w:rPr>
          <w:noProof/>
          <w:szCs w:val="22"/>
        </w:rPr>
        <w:t xml:space="preserve"> 1 January 2026, i.e. after the period for submission of kuna coins for </w:t>
      </w:r>
      <w:r w:rsidRPr="006955CE">
        <w:rPr>
          <w:noProof/>
          <w:szCs w:val="22"/>
        </w:rPr>
        <w:t xml:space="preserve">exchange </w:t>
      </w:r>
      <w:r w:rsidR="004F0650">
        <w:rPr>
          <w:noProof/>
          <w:szCs w:val="22"/>
        </w:rPr>
        <w:t>has ended.</w:t>
      </w:r>
      <w:r w:rsidR="00C50E62">
        <w:rPr>
          <w:noProof/>
          <w:szCs w:val="22"/>
        </w:rPr>
        <w:t xml:space="preserve"> Th</w:t>
      </w:r>
      <w:r w:rsidR="00FD160C">
        <w:rPr>
          <w:noProof/>
          <w:szCs w:val="22"/>
        </w:rPr>
        <w:t>is</w:t>
      </w:r>
      <w:r w:rsidR="00C50E62">
        <w:rPr>
          <w:noProof/>
          <w:szCs w:val="22"/>
        </w:rPr>
        <w:t xml:space="preserve"> </w:t>
      </w:r>
      <w:r w:rsidR="00FD160C">
        <w:rPr>
          <w:noProof/>
          <w:szCs w:val="22"/>
        </w:rPr>
        <w:t>means</w:t>
      </w:r>
      <w:r w:rsidR="00CB664A">
        <w:rPr>
          <w:noProof/>
          <w:szCs w:val="22"/>
        </w:rPr>
        <w:t xml:space="preserve"> that </w:t>
      </w:r>
      <w:r w:rsidR="00C50E62">
        <w:rPr>
          <w:noProof/>
          <w:szCs w:val="22"/>
        </w:rPr>
        <w:t xml:space="preserve">no costly mechanical demonetisation (such as punching) of the kuna coins </w:t>
      </w:r>
      <w:r w:rsidR="00FD160C">
        <w:rPr>
          <w:noProof/>
          <w:szCs w:val="22"/>
        </w:rPr>
        <w:t>will be</w:t>
      </w:r>
      <w:r w:rsidR="00C50E62">
        <w:rPr>
          <w:noProof/>
          <w:szCs w:val="22"/>
        </w:rPr>
        <w:t xml:space="preserve"> necessary</w:t>
      </w:r>
      <w:r w:rsidR="00FC6C5B">
        <w:rPr>
          <w:noProof/>
          <w:szCs w:val="22"/>
        </w:rPr>
        <w:t>,</w:t>
      </w:r>
      <w:r w:rsidR="00CB664A">
        <w:rPr>
          <w:noProof/>
          <w:szCs w:val="22"/>
        </w:rPr>
        <w:t xml:space="preserve"> as the coins cannot be exchanged anymore</w:t>
      </w:r>
      <w:r w:rsidR="00C50E62">
        <w:rPr>
          <w:noProof/>
          <w:szCs w:val="22"/>
        </w:rPr>
        <w:t>.</w:t>
      </w:r>
      <w:r w:rsidR="00CB664A">
        <w:rPr>
          <w:noProof/>
          <w:szCs w:val="22"/>
        </w:rPr>
        <w:t xml:space="preserve"> The coins will be sold as scrap metal or for melting to interested buyers.</w:t>
      </w:r>
      <w:r w:rsidR="00C50E62">
        <w:rPr>
          <w:noProof/>
          <w:szCs w:val="22"/>
        </w:rPr>
        <w:t xml:space="preserve"> </w:t>
      </w:r>
      <w:r w:rsidR="00EF6B6C">
        <w:rPr>
          <w:noProof/>
          <w:szCs w:val="22"/>
        </w:rPr>
        <w:t>In the meantime, demonetisation of returned kuna banknotes has started.</w:t>
      </w:r>
    </w:p>
    <w:p w14:paraId="1AA3B490" w14:textId="67F12C7B" w:rsidR="001D09A7" w:rsidRPr="006955CE" w:rsidRDefault="004C4374" w:rsidP="004C4374">
      <w:pPr>
        <w:pStyle w:val="ManualHeading1"/>
        <w:rPr>
          <w:noProof/>
        </w:rPr>
      </w:pPr>
      <w:r w:rsidRPr="004C4374">
        <w:t>3.</w:t>
      </w:r>
      <w:r w:rsidRPr="004C4374">
        <w:tab/>
      </w:r>
      <w:r w:rsidR="001D09A7" w:rsidRPr="006955CE">
        <w:rPr>
          <w:noProof/>
        </w:rPr>
        <w:t xml:space="preserve">Preventing abusive price practices </w:t>
      </w:r>
    </w:p>
    <w:p w14:paraId="1552B53C" w14:textId="77777777" w:rsidR="001D09A7" w:rsidRPr="00FC6C5B" w:rsidRDefault="0020221F" w:rsidP="00FC6C5B">
      <w:pPr>
        <w:spacing w:line="260" w:lineRule="exact"/>
        <w:rPr>
          <w:noProof/>
          <w:szCs w:val="22"/>
        </w:rPr>
      </w:pPr>
      <w:r w:rsidRPr="00FC6C5B">
        <w:rPr>
          <w:noProof/>
          <w:szCs w:val="22"/>
        </w:rPr>
        <w:t xml:space="preserve">The possible impact </w:t>
      </w:r>
      <w:r w:rsidR="00FD160C">
        <w:rPr>
          <w:noProof/>
          <w:szCs w:val="22"/>
        </w:rPr>
        <w:t xml:space="preserve">of </w:t>
      </w:r>
      <w:r w:rsidR="00247F24" w:rsidRPr="00FC6C5B">
        <w:rPr>
          <w:noProof/>
          <w:szCs w:val="22"/>
        </w:rPr>
        <w:t xml:space="preserve">the changeover to the euro </w:t>
      </w:r>
      <w:r w:rsidRPr="00FC6C5B">
        <w:rPr>
          <w:noProof/>
          <w:szCs w:val="22"/>
        </w:rPr>
        <w:t xml:space="preserve">on prices </w:t>
      </w:r>
      <w:r w:rsidR="00247F24" w:rsidRPr="00FC6C5B">
        <w:rPr>
          <w:noProof/>
          <w:szCs w:val="22"/>
        </w:rPr>
        <w:t xml:space="preserve">in Croatia is a natural and understandable </w:t>
      </w:r>
      <w:r w:rsidR="00FD160C">
        <w:rPr>
          <w:noProof/>
          <w:szCs w:val="22"/>
        </w:rPr>
        <w:t xml:space="preserve">public </w:t>
      </w:r>
      <w:r w:rsidR="00247F24" w:rsidRPr="00FC6C5B">
        <w:rPr>
          <w:noProof/>
          <w:szCs w:val="22"/>
        </w:rPr>
        <w:t xml:space="preserve">concern </w:t>
      </w:r>
      <w:r w:rsidR="00FD160C">
        <w:rPr>
          <w:noProof/>
          <w:szCs w:val="22"/>
        </w:rPr>
        <w:t>as with</w:t>
      </w:r>
      <w:r w:rsidR="00247F24" w:rsidRPr="00FC6C5B">
        <w:rPr>
          <w:noProof/>
          <w:szCs w:val="22"/>
        </w:rPr>
        <w:t xml:space="preserve"> any</w:t>
      </w:r>
      <w:r w:rsidRPr="00FC6C5B">
        <w:rPr>
          <w:noProof/>
          <w:szCs w:val="22"/>
        </w:rPr>
        <w:t xml:space="preserve"> changeover to the euro. </w:t>
      </w:r>
      <w:r w:rsidR="00FD160C">
        <w:rPr>
          <w:noProof/>
          <w:szCs w:val="22"/>
        </w:rPr>
        <w:t xml:space="preserve">As this was </w:t>
      </w:r>
      <w:r w:rsidR="00874CA0" w:rsidRPr="0001181D">
        <w:rPr>
          <w:noProof/>
          <w:szCs w:val="22"/>
        </w:rPr>
        <w:t xml:space="preserve">the first changeover to the euro to occur in a high inflation environment, this </w:t>
      </w:r>
      <w:r w:rsidR="0053243C" w:rsidRPr="0001181D">
        <w:rPr>
          <w:noProof/>
          <w:szCs w:val="22"/>
        </w:rPr>
        <w:t xml:space="preserve">concern was particularly acute and challenging </w:t>
      </w:r>
      <w:r w:rsidR="00FD160C">
        <w:rPr>
          <w:noProof/>
          <w:szCs w:val="22"/>
        </w:rPr>
        <w:t xml:space="preserve">for Croatia </w:t>
      </w:r>
      <w:r w:rsidR="0053243C" w:rsidRPr="0001181D">
        <w:rPr>
          <w:noProof/>
          <w:szCs w:val="22"/>
        </w:rPr>
        <w:t>to address.</w:t>
      </w:r>
      <w:r w:rsidR="0053243C" w:rsidRPr="00FC6C5B">
        <w:rPr>
          <w:noProof/>
          <w:szCs w:val="22"/>
        </w:rPr>
        <w:t xml:space="preserve"> </w:t>
      </w:r>
      <w:r w:rsidR="001D09A7" w:rsidRPr="00FC6C5B">
        <w:rPr>
          <w:noProof/>
          <w:szCs w:val="22"/>
        </w:rPr>
        <w:t>It</w:t>
      </w:r>
      <w:r w:rsidR="00247F24" w:rsidRPr="00FC6C5B">
        <w:rPr>
          <w:noProof/>
          <w:szCs w:val="22"/>
        </w:rPr>
        <w:t xml:space="preserve"> was</w:t>
      </w:r>
      <w:r w:rsidR="001D09A7" w:rsidRPr="00FC6C5B">
        <w:rPr>
          <w:noProof/>
          <w:szCs w:val="22"/>
        </w:rPr>
        <w:t xml:space="preserve">, therefore, </w:t>
      </w:r>
      <w:r w:rsidR="00247F24" w:rsidRPr="00FC6C5B">
        <w:rPr>
          <w:noProof/>
          <w:szCs w:val="22"/>
        </w:rPr>
        <w:t xml:space="preserve">pivotal for a transparent and fair changeover </w:t>
      </w:r>
      <w:r w:rsidR="001D09A7" w:rsidRPr="00FC6C5B">
        <w:rPr>
          <w:noProof/>
          <w:szCs w:val="22"/>
        </w:rPr>
        <w:t xml:space="preserve">that the </w:t>
      </w:r>
      <w:r w:rsidR="00F110FC" w:rsidRPr="00FC6C5B">
        <w:rPr>
          <w:noProof/>
          <w:szCs w:val="22"/>
        </w:rPr>
        <w:t>Croatian</w:t>
      </w:r>
      <w:r w:rsidR="001D09A7" w:rsidRPr="00FC6C5B">
        <w:rPr>
          <w:noProof/>
          <w:szCs w:val="22"/>
        </w:rPr>
        <w:t xml:space="preserve"> authorities t</w:t>
      </w:r>
      <w:r w:rsidR="00247F24" w:rsidRPr="00FC6C5B">
        <w:rPr>
          <w:noProof/>
          <w:szCs w:val="22"/>
        </w:rPr>
        <w:t>ook</w:t>
      </w:r>
      <w:r w:rsidR="001D09A7" w:rsidRPr="00FC6C5B">
        <w:rPr>
          <w:noProof/>
          <w:szCs w:val="22"/>
        </w:rPr>
        <w:t xml:space="preserve"> </w:t>
      </w:r>
      <w:r w:rsidR="00355AA5" w:rsidRPr="00FC6C5B">
        <w:rPr>
          <w:noProof/>
          <w:szCs w:val="22"/>
        </w:rPr>
        <w:t>all</w:t>
      </w:r>
      <w:r w:rsidR="001D09A7" w:rsidRPr="00FC6C5B">
        <w:rPr>
          <w:noProof/>
          <w:szCs w:val="22"/>
        </w:rPr>
        <w:t xml:space="preserve"> necessary steps to prevent abusive practices.</w:t>
      </w:r>
    </w:p>
    <w:p w14:paraId="20FF7143" w14:textId="5F4DFCC0" w:rsidR="001D09A7" w:rsidRPr="006955CE" w:rsidRDefault="00C64D48" w:rsidP="001D09A7">
      <w:pPr>
        <w:rPr>
          <w:noProof/>
        </w:rPr>
      </w:pPr>
      <w:r>
        <w:rPr>
          <w:noProof/>
        </w:rPr>
        <w:t xml:space="preserve">The </w:t>
      </w:r>
      <w:r w:rsidR="00AA07B4">
        <w:rPr>
          <w:noProof/>
        </w:rPr>
        <w:t xml:space="preserve">obligatory </w:t>
      </w:r>
      <w:r>
        <w:rPr>
          <w:noProof/>
        </w:rPr>
        <w:t>dual display of prices (in kuna and euro) started on</w:t>
      </w:r>
      <w:r w:rsidR="001D09A7" w:rsidRPr="006955CE">
        <w:rPr>
          <w:noProof/>
        </w:rPr>
        <w:t xml:space="preserve"> </w:t>
      </w:r>
      <w:r w:rsidR="00A33044" w:rsidRPr="006955CE">
        <w:rPr>
          <w:noProof/>
        </w:rPr>
        <w:t>5 September</w:t>
      </w:r>
      <w:r w:rsidR="001D09A7" w:rsidRPr="006955CE">
        <w:rPr>
          <w:noProof/>
        </w:rPr>
        <w:t xml:space="preserve"> </w:t>
      </w:r>
      <w:r w:rsidR="00E90CAF" w:rsidRPr="006955CE">
        <w:rPr>
          <w:noProof/>
        </w:rPr>
        <w:t>2022</w:t>
      </w:r>
      <w:r w:rsidR="00A33044" w:rsidRPr="006955CE">
        <w:rPr>
          <w:noProof/>
        </w:rPr>
        <w:t xml:space="preserve"> </w:t>
      </w:r>
      <w:r>
        <w:rPr>
          <w:noProof/>
        </w:rPr>
        <w:t>and will end on 31 December 2023.</w:t>
      </w:r>
      <w:r w:rsidR="001D09A7" w:rsidRPr="006955CE">
        <w:rPr>
          <w:noProof/>
        </w:rPr>
        <w:t xml:space="preserve"> </w:t>
      </w:r>
      <w:r w:rsidR="00402954">
        <w:rPr>
          <w:noProof/>
        </w:rPr>
        <w:t>S</w:t>
      </w:r>
      <w:r w:rsidR="00E40590">
        <w:rPr>
          <w:noProof/>
        </w:rPr>
        <w:t>ince</w:t>
      </w:r>
      <w:r w:rsidR="00402954">
        <w:rPr>
          <w:noProof/>
        </w:rPr>
        <w:t xml:space="preserve"> </w:t>
      </w:r>
      <w:r w:rsidR="006B52D7">
        <w:rPr>
          <w:noProof/>
        </w:rPr>
        <w:t>September</w:t>
      </w:r>
      <w:r w:rsidR="00402954">
        <w:rPr>
          <w:noProof/>
        </w:rPr>
        <w:t xml:space="preserve"> 2022, the </w:t>
      </w:r>
      <w:r w:rsidR="00E65930" w:rsidRPr="006955CE">
        <w:rPr>
          <w:noProof/>
        </w:rPr>
        <w:t xml:space="preserve">Croatian authorities </w:t>
      </w:r>
      <w:r w:rsidR="00E40590">
        <w:rPr>
          <w:noProof/>
        </w:rPr>
        <w:t xml:space="preserve">have been </w:t>
      </w:r>
      <w:r w:rsidR="00B016E3">
        <w:rPr>
          <w:noProof/>
        </w:rPr>
        <w:t xml:space="preserve">constantly </w:t>
      </w:r>
      <w:r w:rsidR="00E65930" w:rsidRPr="006955CE">
        <w:rPr>
          <w:noProof/>
        </w:rPr>
        <w:t>monito</w:t>
      </w:r>
      <w:r>
        <w:rPr>
          <w:noProof/>
        </w:rPr>
        <w:t>r</w:t>
      </w:r>
      <w:r w:rsidR="00B016E3">
        <w:rPr>
          <w:noProof/>
        </w:rPr>
        <w:t>ing</w:t>
      </w:r>
      <w:r w:rsidR="00E65930" w:rsidRPr="006955CE">
        <w:rPr>
          <w:noProof/>
        </w:rPr>
        <w:t xml:space="preserve"> </w:t>
      </w:r>
      <w:r w:rsidR="00402954">
        <w:rPr>
          <w:noProof/>
        </w:rPr>
        <w:t xml:space="preserve">the </w:t>
      </w:r>
      <w:r w:rsidR="001D09A7" w:rsidRPr="006955CE">
        <w:rPr>
          <w:noProof/>
        </w:rPr>
        <w:t>prices</w:t>
      </w:r>
      <w:r>
        <w:rPr>
          <w:noProof/>
        </w:rPr>
        <w:t xml:space="preserve"> of</w:t>
      </w:r>
      <w:r w:rsidR="001D09A7" w:rsidRPr="006955CE">
        <w:rPr>
          <w:noProof/>
        </w:rPr>
        <w:t xml:space="preserve"> </w:t>
      </w:r>
      <w:r w:rsidR="00F110FC" w:rsidRPr="006955CE">
        <w:rPr>
          <w:noProof/>
        </w:rPr>
        <w:t>103</w:t>
      </w:r>
      <w:r w:rsidR="001D09A7" w:rsidRPr="006955CE">
        <w:rPr>
          <w:noProof/>
        </w:rPr>
        <w:t xml:space="preserve"> </w:t>
      </w:r>
      <w:r w:rsidR="007C02F6" w:rsidRPr="006955CE">
        <w:rPr>
          <w:noProof/>
        </w:rPr>
        <w:t xml:space="preserve">pre-defined </w:t>
      </w:r>
      <w:r w:rsidR="00B016E3">
        <w:rPr>
          <w:noProof/>
        </w:rPr>
        <w:t xml:space="preserve">and </w:t>
      </w:r>
      <w:r w:rsidR="001D09A7" w:rsidRPr="006955CE">
        <w:rPr>
          <w:noProof/>
        </w:rPr>
        <w:t>frequently p</w:t>
      </w:r>
      <w:r w:rsidR="001D09A7" w:rsidRPr="006955CE">
        <w:rPr>
          <w:noProof/>
          <w:spacing w:val="1"/>
        </w:rPr>
        <w:t>u</w:t>
      </w:r>
      <w:r w:rsidR="001D09A7" w:rsidRPr="006955CE">
        <w:rPr>
          <w:noProof/>
        </w:rPr>
        <w:t>rchased</w:t>
      </w:r>
      <w:r w:rsidR="001D09A7" w:rsidRPr="006955CE">
        <w:rPr>
          <w:noProof/>
          <w:spacing w:val="1"/>
        </w:rPr>
        <w:t xml:space="preserve"> </w:t>
      </w:r>
      <w:r w:rsidR="00B016E3">
        <w:rPr>
          <w:noProof/>
          <w:spacing w:val="1"/>
        </w:rPr>
        <w:t xml:space="preserve">consumer </w:t>
      </w:r>
      <w:r w:rsidR="001D09A7" w:rsidRPr="006955CE">
        <w:rPr>
          <w:noProof/>
        </w:rPr>
        <w:t>products</w:t>
      </w:r>
      <w:r w:rsidR="001D09A7" w:rsidRPr="006955CE">
        <w:rPr>
          <w:noProof/>
          <w:spacing w:val="1"/>
        </w:rPr>
        <w:t xml:space="preserve"> </w:t>
      </w:r>
      <w:r w:rsidR="001D09A7" w:rsidRPr="006955CE">
        <w:rPr>
          <w:noProof/>
        </w:rPr>
        <w:t>and</w:t>
      </w:r>
      <w:r w:rsidR="001D09A7" w:rsidRPr="006955CE">
        <w:rPr>
          <w:noProof/>
          <w:spacing w:val="1"/>
        </w:rPr>
        <w:t xml:space="preserve"> </w:t>
      </w:r>
      <w:r w:rsidR="001D09A7" w:rsidRPr="006955CE">
        <w:rPr>
          <w:noProof/>
        </w:rPr>
        <w:t>services</w:t>
      </w:r>
      <w:r w:rsidR="00CB206A" w:rsidRPr="006955CE">
        <w:rPr>
          <w:noProof/>
        </w:rPr>
        <w:t xml:space="preserve"> in</w:t>
      </w:r>
      <w:r w:rsidR="001D09A7" w:rsidRPr="006955CE">
        <w:rPr>
          <w:noProof/>
          <w:spacing w:val="1"/>
        </w:rPr>
        <w:t xml:space="preserve"> </w:t>
      </w:r>
      <w:r w:rsidR="006B52D7">
        <w:rPr>
          <w:noProof/>
          <w:spacing w:val="1"/>
        </w:rPr>
        <w:t xml:space="preserve">9 </w:t>
      </w:r>
      <w:r w:rsidR="00F110FC" w:rsidRPr="006955CE">
        <w:rPr>
          <w:noProof/>
        </w:rPr>
        <w:t>Croatia</w:t>
      </w:r>
      <w:r w:rsidR="006B52D7">
        <w:rPr>
          <w:noProof/>
        </w:rPr>
        <w:t>n cities</w:t>
      </w:r>
      <w:r w:rsidR="001D09A7" w:rsidRPr="006955CE">
        <w:rPr>
          <w:noProof/>
        </w:rPr>
        <w:t xml:space="preserve">. </w:t>
      </w:r>
    </w:p>
    <w:p w14:paraId="02A8EADA" w14:textId="77777777" w:rsidR="00A87458" w:rsidRPr="006955CE" w:rsidRDefault="0059033D" w:rsidP="0059033D">
      <w:pPr>
        <w:rPr>
          <w:noProof/>
        </w:rPr>
      </w:pPr>
      <w:r w:rsidRPr="006955CE">
        <w:rPr>
          <w:noProof/>
        </w:rPr>
        <w:t>The "</w:t>
      </w:r>
      <w:r w:rsidR="00B70E89" w:rsidRPr="006955CE">
        <w:rPr>
          <w:noProof/>
          <w:color w:val="000000"/>
        </w:rPr>
        <w:t>Business Code of Ethics for the introduction of the e</w:t>
      </w:r>
      <w:r w:rsidRPr="006955CE">
        <w:rPr>
          <w:noProof/>
          <w:color w:val="000000"/>
        </w:rPr>
        <w:t>uro</w:t>
      </w:r>
      <w:r w:rsidRPr="006955CE">
        <w:rPr>
          <w:noProof/>
        </w:rPr>
        <w:t xml:space="preserve">" was launched on </w:t>
      </w:r>
      <w:r w:rsidR="00CB206A" w:rsidRPr="006955CE">
        <w:rPr>
          <w:noProof/>
        </w:rPr>
        <w:t>16 August 2022</w:t>
      </w:r>
      <w:r w:rsidR="006B52D7">
        <w:rPr>
          <w:noProof/>
        </w:rPr>
        <w:t>. It</w:t>
      </w:r>
      <w:r w:rsidRPr="006955CE">
        <w:rPr>
          <w:noProof/>
        </w:rPr>
        <w:t xml:space="preserve"> </w:t>
      </w:r>
      <w:r w:rsidR="00A87458" w:rsidRPr="006955CE">
        <w:rPr>
          <w:noProof/>
        </w:rPr>
        <w:t xml:space="preserve">sets out the principles for ethical conduct with a view to creating a safe environment for consumers during a reliable and transparent introduction of the euro. It aims to ensure stability of prices for goods and services by helping businesses to correctly recalculate and display prices, without unjustified increases. Its seven principles </w:t>
      </w:r>
      <w:r w:rsidR="009279E3">
        <w:rPr>
          <w:noProof/>
        </w:rPr>
        <w:t xml:space="preserve">also </w:t>
      </w:r>
      <w:r w:rsidR="00A87458" w:rsidRPr="006955CE">
        <w:rPr>
          <w:noProof/>
        </w:rPr>
        <w:t xml:space="preserve">include important elements of the practical preparations such as the correct conversion of prices and other monetary values, the displaying of a fixed conversion rate, and the information and training of employees on the procedure for the introduction of the euro. </w:t>
      </w:r>
    </w:p>
    <w:p w14:paraId="25465E50" w14:textId="77777777" w:rsidR="00A87458" w:rsidRDefault="00A87458" w:rsidP="0059033D">
      <w:pPr>
        <w:rPr>
          <w:noProof/>
          <w:spacing w:val="17"/>
        </w:rPr>
      </w:pPr>
      <w:r w:rsidRPr="006955CE">
        <w:rPr>
          <w:noProof/>
        </w:rPr>
        <w:t>The Code invites</w:t>
      </w:r>
      <w:r w:rsidR="0059033D" w:rsidRPr="006955CE">
        <w:rPr>
          <w:noProof/>
        </w:rPr>
        <w:t xml:space="preserve"> businesses to com</w:t>
      </w:r>
      <w:r w:rsidR="0059033D" w:rsidRPr="006955CE">
        <w:rPr>
          <w:noProof/>
          <w:spacing w:val="-2"/>
        </w:rPr>
        <w:t>m</w:t>
      </w:r>
      <w:r w:rsidR="0059033D" w:rsidRPr="006955CE">
        <w:rPr>
          <w:noProof/>
        </w:rPr>
        <w:t xml:space="preserve">it not to </w:t>
      </w:r>
      <w:r w:rsidR="0059033D" w:rsidRPr="006955CE">
        <w:rPr>
          <w:noProof/>
          <w:spacing w:val="-2"/>
        </w:rPr>
        <w:t>m</w:t>
      </w:r>
      <w:r w:rsidR="0059033D" w:rsidRPr="006955CE">
        <w:rPr>
          <w:noProof/>
          <w:spacing w:val="1"/>
        </w:rPr>
        <w:t>i</w:t>
      </w:r>
      <w:r w:rsidR="0059033D" w:rsidRPr="006955CE">
        <w:rPr>
          <w:noProof/>
        </w:rPr>
        <w:t>suse the change</w:t>
      </w:r>
      <w:r w:rsidR="0059033D" w:rsidRPr="006955CE">
        <w:rPr>
          <w:noProof/>
          <w:spacing w:val="-1"/>
        </w:rPr>
        <w:t>o</w:t>
      </w:r>
      <w:r w:rsidR="0059033D" w:rsidRPr="006955CE">
        <w:rPr>
          <w:noProof/>
        </w:rPr>
        <w:t xml:space="preserve">ver </w:t>
      </w:r>
      <w:r w:rsidR="0059033D" w:rsidRPr="006955CE">
        <w:rPr>
          <w:noProof/>
          <w:spacing w:val="-1"/>
        </w:rPr>
        <w:t>f</w:t>
      </w:r>
      <w:r w:rsidR="0059033D" w:rsidRPr="006955CE">
        <w:rPr>
          <w:noProof/>
        </w:rPr>
        <w:t>or t</w:t>
      </w:r>
      <w:r w:rsidR="0059033D" w:rsidRPr="006955CE">
        <w:rPr>
          <w:noProof/>
          <w:spacing w:val="-1"/>
        </w:rPr>
        <w:t>h</w:t>
      </w:r>
      <w:r w:rsidR="0059033D" w:rsidRPr="006955CE">
        <w:rPr>
          <w:noProof/>
        </w:rPr>
        <w:t>eir own profit, respect the changeover rules and provide</w:t>
      </w:r>
      <w:r w:rsidR="0059033D" w:rsidRPr="006955CE">
        <w:rPr>
          <w:noProof/>
          <w:spacing w:val="2"/>
        </w:rPr>
        <w:t xml:space="preserve"> </w:t>
      </w:r>
      <w:r w:rsidR="0059033D" w:rsidRPr="006955CE">
        <w:rPr>
          <w:noProof/>
        </w:rPr>
        <w:t>the</w:t>
      </w:r>
      <w:r w:rsidR="0059033D" w:rsidRPr="006955CE">
        <w:rPr>
          <w:noProof/>
          <w:spacing w:val="2"/>
        </w:rPr>
        <w:t xml:space="preserve"> </w:t>
      </w:r>
      <w:r w:rsidR="0059033D" w:rsidRPr="006955CE">
        <w:rPr>
          <w:noProof/>
        </w:rPr>
        <w:t>necessary</w:t>
      </w:r>
      <w:r w:rsidR="0059033D" w:rsidRPr="006955CE">
        <w:rPr>
          <w:noProof/>
          <w:spacing w:val="2"/>
        </w:rPr>
        <w:t xml:space="preserve"> </w:t>
      </w:r>
      <w:r w:rsidR="0059033D" w:rsidRPr="006955CE">
        <w:rPr>
          <w:noProof/>
        </w:rPr>
        <w:t>a</w:t>
      </w:r>
      <w:r w:rsidR="0059033D" w:rsidRPr="006955CE">
        <w:rPr>
          <w:noProof/>
          <w:spacing w:val="-1"/>
        </w:rPr>
        <w:t>s</w:t>
      </w:r>
      <w:r w:rsidR="0059033D" w:rsidRPr="006955CE">
        <w:rPr>
          <w:noProof/>
        </w:rPr>
        <w:t>sista</w:t>
      </w:r>
      <w:r w:rsidR="0059033D" w:rsidRPr="006955CE">
        <w:rPr>
          <w:noProof/>
          <w:spacing w:val="-1"/>
        </w:rPr>
        <w:t>n</w:t>
      </w:r>
      <w:r w:rsidR="0059033D" w:rsidRPr="006955CE">
        <w:rPr>
          <w:noProof/>
        </w:rPr>
        <w:t>ce</w:t>
      </w:r>
      <w:r w:rsidR="0059033D" w:rsidRPr="006955CE">
        <w:rPr>
          <w:noProof/>
          <w:spacing w:val="2"/>
        </w:rPr>
        <w:t xml:space="preserve"> </w:t>
      </w:r>
      <w:r w:rsidR="0059033D" w:rsidRPr="006955CE">
        <w:rPr>
          <w:noProof/>
        </w:rPr>
        <w:t>to</w:t>
      </w:r>
      <w:r w:rsidR="0059033D" w:rsidRPr="006955CE">
        <w:rPr>
          <w:noProof/>
          <w:spacing w:val="2"/>
        </w:rPr>
        <w:t xml:space="preserve"> </w:t>
      </w:r>
      <w:r w:rsidR="0059033D" w:rsidRPr="006955CE">
        <w:rPr>
          <w:noProof/>
        </w:rPr>
        <w:t>their</w:t>
      </w:r>
      <w:r w:rsidR="0059033D" w:rsidRPr="006955CE">
        <w:rPr>
          <w:noProof/>
          <w:spacing w:val="2"/>
        </w:rPr>
        <w:t xml:space="preserve"> </w:t>
      </w:r>
      <w:r w:rsidR="0059033D" w:rsidRPr="006955CE">
        <w:rPr>
          <w:noProof/>
        </w:rPr>
        <w:t>clients.</w:t>
      </w:r>
      <w:r w:rsidR="0059033D" w:rsidRPr="006955CE">
        <w:rPr>
          <w:noProof/>
          <w:spacing w:val="-3"/>
        </w:rPr>
        <w:t xml:space="preserve"> </w:t>
      </w:r>
      <w:r w:rsidR="0059033D" w:rsidRPr="006955CE">
        <w:rPr>
          <w:noProof/>
        </w:rPr>
        <w:t>It</w:t>
      </w:r>
      <w:r w:rsidR="0059033D" w:rsidRPr="006955CE">
        <w:rPr>
          <w:noProof/>
          <w:spacing w:val="2"/>
        </w:rPr>
        <w:t xml:space="preserve"> </w:t>
      </w:r>
      <w:r w:rsidR="0059033D" w:rsidRPr="006955CE">
        <w:rPr>
          <w:noProof/>
          <w:spacing w:val="-1"/>
        </w:rPr>
        <w:t>f</w:t>
      </w:r>
      <w:r w:rsidR="0059033D" w:rsidRPr="006955CE">
        <w:rPr>
          <w:noProof/>
        </w:rPr>
        <w:t>ollows</w:t>
      </w:r>
      <w:r w:rsidR="0059033D" w:rsidRPr="006955CE">
        <w:rPr>
          <w:noProof/>
          <w:spacing w:val="2"/>
        </w:rPr>
        <w:t xml:space="preserve"> </w:t>
      </w:r>
      <w:r w:rsidR="0059033D" w:rsidRPr="006955CE">
        <w:rPr>
          <w:noProof/>
        </w:rPr>
        <w:t>t</w:t>
      </w:r>
      <w:r w:rsidR="0059033D" w:rsidRPr="006955CE">
        <w:rPr>
          <w:noProof/>
          <w:spacing w:val="-1"/>
        </w:rPr>
        <w:t>h</w:t>
      </w:r>
      <w:r w:rsidR="0059033D" w:rsidRPr="006955CE">
        <w:rPr>
          <w:noProof/>
        </w:rPr>
        <w:t>e</w:t>
      </w:r>
      <w:r w:rsidR="0059033D" w:rsidRPr="006955CE">
        <w:rPr>
          <w:noProof/>
          <w:spacing w:val="2"/>
        </w:rPr>
        <w:t xml:space="preserve"> </w:t>
      </w:r>
      <w:r w:rsidR="0059033D" w:rsidRPr="006955CE">
        <w:rPr>
          <w:noProof/>
        </w:rPr>
        <w:t>li</w:t>
      </w:r>
      <w:r w:rsidR="0059033D" w:rsidRPr="006955CE">
        <w:rPr>
          <w:noProof/>
          <w:spacing w:val="-1"/>
        </w:rPr>
        <w:t>n</w:t>
      </w:r>
      <w:r w:rsidR="0059033D" w:rsidRPr="006955CE">
        <w:rPr>
          <w:noProof/>
        </w:rPr>
        <w:t>es</w:t>
      </w:r>
      <w:r w:rsidR="0059033D" w:rsidRPr="006955CE">
        <w:rPr>
          <w:noProof/>
          <w:spacing w:val="2"/>
        </w:rPr>
        <w:t xml:space="preserve"> </w:t>
      </w:r>
      <w:r w:rsidR="0059033D" w:rsidRPr="006955CE">
        <w:rPr>
          <w:noProof/>
        </w:rPr>
        <w:t>of</w:t>
      </w:r>
      <w:r w:rsidR="0059033D" w:rsidRPr="006955CE">
        <w:rPr>
          <w:noProof/>
          <w:spacing w:val="1"/>
        </w:rPr>
        <w:t xml:space="preserve"> </w:t>
      </w:r>
      <w:r w:rsidR="0059033D" w:rsidRPr="006955CE">
        <w:rPr>
          <w:noProof/>
        </w:rPr>
        <w:t>t</w:t>
      </w:r>
      <w:r w:rsidR="0059033D" w:rsidRPr="006955CE">
        <w:rPr>
          <w:noProof/>
          <w:spacing w:val="-1"/>
        </w:rPr>
        <w:t>h</w:t>
      </w:r>
      <w:r w:rsidR="0059033D" w:rsidRPr="006955CE">
        <w:rPr>
          <w:noProof/>
        </w:rPr>
        <w:t>e</w:t>
      </w:r>
      <w:r w:rsidR="0059033D" w:rsidRPr="006955CE">
        <w:rPr>
          <w:noProof/>
          <w:spacing w:val="2"/>
        </w:rPr>
        <w:t xml:space="preserve"> </w:t>
      </w:r>
      <w:r w:rsidR="0059033D" w:rsidRPr="006955CE">
        <w:rPr>
          <w:noProof/>
        </w:rPr>
        <w:t>voluntary</w:t>
      </w:r>
      <w:r w:rsidR="0059033D" w:rsidRPr="006955CE">
        <w:rPr>
          <w:noProof/>
          <w:spacing w:val="2"/>
        </w:rPr>
        <w:t xml:space="preserve"> </w:t>
      </w:r>
      <w:r w:rsidR="0059033D" w:rsidRPr="006955CE">
        <w:rPr>
          <w:noProof/>
        </w:rPr>
        <w:t>initiati</w:t>
      </w:r>
      <w:r w:rsidR="0059033D" w:rsidRPr="006955CE">
        <w:rPr>
          <w:noProof/>
          <w:spacing w:val="-1"/>
        </w:rPr>
        <w:t>v</w:t>
      </w:r>
      <w:r w:rsidR="0059033D" w:rsidRPr="006955CE">
        <w:rPr>
          <w:noProof/>
        </w:rPr>
        <w:t>es e</w:t>
      </w:r>
      <w:r w:rsidR="0059033D" w:rsidRPr="006955CE">
        <w:rPr>
          <w:noProof/>
          <w:spacing w:val="-2"/>
        </w:rPr>
        <w:t>m</w:t>
      </w:r>
      <w:r w:rsidR="0059033D" w:rsidRPr="006955CE">
        <w:rPr>
          <w:noProof/>
        </w:rPr>
        <w:t>ployed</w:t>
      </w:r>
      <w:r w:rsidR="0059033D" w:rsidRPr="006955CE">
        <w:rPr>
          <w:noProof/>
          <w:spacing w:val="2"/>
        </w:rPr>
        <w:t xml:space="preserve"> </w:t>
      </w:r>
      <w:r w:rsidR="0059033D" w:rsidRPr="006955CE">
        <w:rPr>
          <w:noProof/>
        </w:rPr>
        <w:t>successfully</w:t>
      </w:r>
      <w:r w:rsidR="0059033D" w:rsidRPr="006955CE">
        <w:rPr>
          <w:noProof/>
          <w:spacing w:val="2"/>
        </w:rPr>
        <w:t xml:space="preserve"> </w:t>
      </w:r>
      <w:r w:rsidR="0059033D" w:rsidRPr="006955CE">
        <w:rPr>
          <w:noProof/>
        </w:rPr>
        <w:t>in</w:t>
      </w:r>
      <w:r w:rsidR="0059033D" w:rsidRPr="006955CE">
        <w:rPr>
          <w:noProof/>
          <w:spacing w:val="2"/>
        </w:rPr>
        <w:t xml:space="preserve"> </w:t>
      </w:r>
      <w:r w:rsidR="0059033D" w:rsidRPr="006955CE">
        <w:rPr>
          <w:noProof/>
        </w:rPr>
        <w:t>prev</w:t>
      </w:r>
      <w:r w:rsidR="0059033D" w:rsidRPr="006955CE">
        <w:rPr>
          <w:noProof/>
          <w:spacing w:val="-1"/>
        </w:rPr>
        <w:t>i</w:t>
      </w:r>
      <w:r w:rsidR="0059033D" w:rsidRPr="006955CE">
        <w:rPr>
          <w:noProof/>
        </w:rPr>
        <w:t>ous</w:t>
      </w:r>
      <w:r w:rsidR="0059033D" w:rsidRPr="006955CE">
        <w:rPr>
          <w:noProof/>
          <w:spacing w:val="2"/>
        </w:rPr>
        <w:t xml:space="preserve"> </w:t>
      </w:r>
      <w:r w:rsidR="0059033D" w:rsidRPr="006955CE">
        <w:rPr>
          <w:noProof/>
        </w:rPr>
        <w:t>changeovers.</w:t>
      </w:r>
      <w:r w:rsidR="0059033D" w:rsidRPr="006955CE">
        <w:rPr>
          <w:noProof/>
          <w:spacing w:val="2"/>
        </w:rPr>
        <w:t xml:space="preserve"> </w:t>
      </w:r>
      <w:r w:rsidRPr="006955CE">
        <w:rPr>
          <w:noProof/>
        </w:rPr>
        <w:t>Businesses that join the initiative acquire the right to display the Code’s visual identification label – a logo and a slogan at the points of sale, at the places of supply of services and websites, and during marketing and promotional activities such as printed leaflets and catalogues, online advertising and social media marketing, mobile applications and other media. The label signals to consumers that prices are correctly calculated and that business entities are reliable. Where the principles have not been complied with, the right to display the label will be revoked.</w:t>
      </w:r>
      <w:r w:rsidR="0059033D">
        <w:rPr>
          <w:noProof/>
          <w:spacing w:val="17"/>
        </w:rPr>
        <w:t xml:space="preserve"> </w:t>
      </w:r>
    </w:p>
    <w:p w14:paraId="179CEC3C" w14:textId="4A49EB03" w:rsidR="007D724F" w:rsidRPr="007D724F" w:rsidRDefault="00771ECE" w:rsidP="007D724F">
      <w:pPr>
        <w:rPr>
          <w:noProof/>
          <w:highlight w:val="yellow"/>
        </w:rPr>
      </w:pPr>
      <w:r>
        <w:rPr>
          <w:noProof/>
          <w:color w:val="000000"/>
        </w:rPr>
        <w:t xml:space="preserve">By the </w:t>
      </w:r>
      <w:r w:rsidR="00CB206A" w:rsidRPr="006955CE">
        <w:rPr>
          <w:noProof/>
          <w:color w:val="000000"/>
        </w:rPr>
        <w:t>end of 2022</w:t>
      </w:r>
      <w:r w:rsidR="0059033D" w:rsidRPr="006955CE">
        <w:rPr>
          <w:noProof/>
          <w:color w:val="000000"/>
        </w:rPr>
        <w:t xml:space="preserve">, more than </w:t>
      </w:r>
      <w:r w:rsidR="00CB206A" w:rsidRPr="006955CE">
        <w:rPr>
          <w:noProof/>
          <w:color w:val="000000"/>
        </w:rPr>
        <w:t>900 companies</w:t>
      </w:r>
      <w:r w:rsidR="0059033D" w:rsidRPr="006955CE">
        <w:rPr>
          <w:noProof/>
          <w:color w:val="000000"/>
        </w:rPr>
        <w:t xml:space="preserve"> </w:t>
      </w:r>
      <w:r w:rsidR="00FC6C5B">
        <w:rPr>
          <w:noProof/>
          <w:color w:val="000000"/>
        </w:rPr>
        <w:t>that</w:t>
      </w:r>
      <w:r w:rsidR="00FC6C5B" w:rsidRPr="006955CE">
        <w:rPr>
          <w:noProof/>
          <w:color w:val="000000"/>
        </w:rPr>
        <w:t xml:space="preserve"> </w:t>
      </w:r>
      <w:r w:rsidR="0059033D" w:rsidRPr="006955CE">
        <w:rPr>
          <w:noProof/>
          <w:color w:val="000000"/>
        </w:rPr>
        <w:t>sell goods or services to consumers</w:t>
      </w:r>
      <w:r w:rsidR="001C2F15" w:rsidRPr="006955CE">
        <w:rPr>
          <w:noProof/>
          <w:color w:val="000000"/>
        </w:rPr>
        <w:t xml:space="preserve"> </w:t>
      </w:r>
      <w:r w:rsidR="0059033D" w:rsidRPr="006955CE">
        <w:rPr>
          <w:noProof/>
          <w:color w:val="000000"/>
        </w:rPr>
        <w:t>ha</w:t>
      </w:r>
      <w:r w:rsidR="00965FF3">
        <w:rPr>
          <w:noProof/>
          <w:color w:val="000000"/>
        </w:rPr>
        <w:t>d</w:t>
      </w:r>
      <w:r w:rsidR="0059033D" w:rsidRPr="006955CE">
        <w:rPr>
          <w:noProof/>
          <w:color w:val="000000"/>
        </w:rPr>
        <w:t xml:space="preserve"> </w:t>
      </w:r>
      <w:r>
        <w:rPr>
          <w:noProof/>
          <w:color w:val="000000"/>
        </w:rPr>
        <w:t>subscri</w:t>
      </w:r>
      <w:r w:rsidR="00965FF3">
        <w:rPr>
          <w:noProof/>
          <w:color w:val="000000"/>
        </w:rPr>
        <w:t>b</w:t>
      </w:r>
      <w:r>
        <w:rPr>
          <w:noProof/>
          <w:color w:val="000000"/>
        </w:rPr>
        <w:t>ed to</w:t>
      </w:r>
      <w:r w:rsidR="0059033D" w:rsidRPr="006955CE">
        <w:rPr>
          <w:noProof/>
          <w:color w:val="000000"/>
        </w:rPr>
        <w:t xml:space="preserve"> the </w:t>
      </w:r>
      <w:r>
        <w:rPr>
          <w:noProof/>
          <w:color w:val="000000"/>
        </w:rPr>
        <w:t xml:space="preserve">Business </w:t>
      </w:r>
      <w:r w:rsidR="00CB206A" w:rsidRPr="006955CE">
        <w:rPr>
          <w:noProof/>
          <w:color w:val="000000"/>
        </w:rPr>
        <w:t>Code of Ethics</w:t>
      </w:r>
      <w:r w:rsidR="008442D4">
        <w:rPr>
          <w:noProof/>
          <w:color w:val="000000"/>
        </w:rPr>
        <w:t xml:space="preserve">. </w:t>
      </w:r>
      <w:r w:rsidR="00DE6481" w:rsidRPr="006955CE">
        <w:rPr>
          <w:noProof/>
          <w:color w:val="000000"/>
        </w:rPr>
        <w:t>By</w:t>
      </w:r>
      <w:r w:rsidR="00E40590">
        <w:rPr>
          <w:noProof/>
          <w:color w:val="000000"/>
        </w:rPr>
        <w:t xml:space="preserve"> the</w:t>
      </w:r>
      <w:r w:rsidR="00DE6481" w:rsidRPr="006955CE">
        <w:rPr>
          <w:noProof/>
          <w:color w:val="000000"/>
        </w:rPr>
        <w:t xml:space="preserve"> </w:t>
      </w:r>
      <w:r w:rsidR="00355AA5">
        <w:rPr>
          <w:noProof/>
          <w:color w:val="000000"/>
        </w:rPr>
        <w:t xml:space="preserve">end of </w:t>
      </w:r>
      <w:r w:rsidR="00DE6481" w:rsidRPr="006955CE">
        <w:rPr>
          <w:noProof/>
          <w:color w:val="000000"/>
        </w:rPr>
        <w:t xml:space="preserve">February 2023 </w:t>
      </w:r>
      <w:r w:rsidR="00DE6481" w:rsidRPr="0001181D">
        <w:rPr>
          <w:noProof/>
          <w:color w:val="000000"/>
        </w:rPr>
        <w:t>1</w:t>
      </w:r>
      <w:r w:rsidR="006B52D7" w:rsidRPr="0001181D">
        <w:rPr>
          <w:noProof/>
          <w:color w:val="000000"/>
        </w:rPr>
        <w:t>,</w:t>
      </w:r>
      <w:r w:rsidR="00DE6481" w:rsidRPr="0001181D">
        <w:rPr>
          <w:noProof/>
          <w:color w:val="000000"/>
        </w:rPr>
        <w:t>046</w:t>
      </w:r>
      <w:r w:rsidR="00DE6481" w:rsidRPr="006955CE">
        <w:rPr>
          <w:noProof/>
          <w:color w:val="000000"/>
        </w:rPr>
        <w:t xml:space="preserve"> busines</w:t>
      </w:r>
      <w:r>
        <w:rPr>
          <w:noProof/>
          <w:color w:val="000000"/>
        </w:rPr>
        <w:t xml:space="preserve">ses had joined the Code, which </w:t>
      </w:r>
      <w:r w:rsidR="00965FF3">
        <w:rPr>
          <w:noProof/>
          <w:color w:val="000000"/>
        </w:rPr>
        <w:t xml:space="preserve">is equivalent to </w:t>
      </w:r>
      <w:r w:rsidR="00355AA5" w:rsidRPr="0001181D">
        <w:rPr>
          <w:noProof/>
          <w:color w:val="000000"/>
        </w:rPr>
        <w:t>83</w:t>
      </w:r>
      <w:r w:rsidR="00247220">
        <w:rPr>
          <w:noProof/>
          <w:color w:val="000000"/>
        </w:rPr>
        <w:t>.</w:t>
      </w:r>
      <w:r w:rsidR="00355AA5" w:rsidRPr="0001181D">
        <w:rPr>
          <w:noProof/>
          <w:color w:val="000000"/>
        </w:rPr>
        <w:t>5</w:t>
      </w:r>
      <w:r>
        <w:rPr>
          <w:noProof/>
          <w:color w:val="000000"/>
        </w:rPr>
        <w:t xml:space="preserve">% of all </w:t>
      </w:r>
      <w:r w:rsidR="00355AA5">
        <w:rPr>
          <w:noProof/>
          <w:color w:val="000000"/>
        </w:rPr>
        <w:t xml:space="preserve">retailers and large groceries </w:t>
      </w:r>
      <w:r>
        <w:rPr>
          <w:noProof/>
          <w:color w:val="000000"/>
        </w:rPr>
        <w:t>registered in Croatia selling goods and services to consumers</w:t>
      </w:r>
      <w:r w:rsidR="00DE6481">
        <w:rPr>
          <w:noProof/>
          <w:color w:val="000000"/>
        </w:rPr>
        <w:t>.</w:t>
      </w:r>
      <w:r w:rsidR="0059033D">
        <w:rPr>
          <w:noProof/>
          <w:color w:val="000000"/>
        </w:rPr>
        <w:t xml:space="preserve"> </w:t>
      </w:r>
      <w:r w:rsidR="00C1681A">
        <w:rPr>
          <w:noProof/>
          <w:color w:val="000000"/>
        </w:rPr>
        <w:t>According to the Croatian authorities, 100% of commercial banks, insurance companies and other financial institute</w:t>
      </w:r>
      <w:r w:rsidR="00FC6C5B">
        <w:rPr>
          <w:noProof/>
          <w:color w:val="000000"/>
        </w:rPr>
        <w:t>s</w:t>
      </w:r>
      <w:r w:rsidR="00C1681A">
        <w:rPr>
          <w:noProof/>
          <w:color w:val="000000"/>
        </w:rPr>
        <w:t xml:space="preserve"> have subscribed to the Code. Against this background, m</w:t>
      </w:r>
      <w:r w:rsidR="00355AA5">
        <w:rPr>
          <w:noProof/>
          <w:color w:val="000000"/>
        </w:rPr>
        <w:t>ore than 15</w:t>
      </w:r>
      <w:r w:rsidR="00A114B5">
        <w:rPr>
          <w:noProof/>
          <w:color w:val="000000"/>
        </w:rPr>
        <w:t>,</w:t>
      </w:r>
      <w:r w:rsidR="00355AA5">
        <w:rPr>
          <w:noProof/>
          <w:color w:val="000000"/>
        </w:rPr>
        <w:t xml:space="preserve">000 stickers marking the adherence to the Code were distributed </w:t>
      </w:r>
      <w:r w:rsidR="00FC6C5B">
        <w:rPr>
          <w:noProof/>
          <w:color w:val="000000"/>
        </w:rPr>
        <w:t xml:space="preserve">at </w:t>
      </w:r>
      <w:r w:rsidR="00C1681A">
        <w:rPr>
          <w:noProof/>
          <w:color w:val="000000"/>
        </w:rPr>
        <w:t xml:space="preserve">the points of sales of </w:t>
      </w:r>
      <w:r w:rsidR="00355AA5">
        <w:rPr>
          <w:noProof/>
          <w:color w:val="000000"/>
        </w:rPr>
        <w:t xml:space="preserve">all entities (mother company, subsidiaries and branches) which have signed </w:t>
      </w:r>
      <w:r w:rsidR="00C1681A">
        <w:rPr>
          <w:noProof/>
          <w:color w:val="000000"/>
        </w:rPr>
        <w:t xml:space="preserve">up for </w:t>
      </w:r>
      <w:r w:rsidR="00355AA5">
        <w:rPr>
          <w:noProof/>
          <w:color w:val="000000"/>
        </w:rPr>
        <w:t>the Code.</w:t>
      </w:r>
    </w:p>
    <w:p w14:paraId="7A1F7F5D" w14:textId="77777777" w:rsidR="001D09A7" w:rsidRPr="00FC6C5B" w:rsidRDefault="001B3B67" w:rsidP="00FC6C5B">
      <w:pPr>
        <w:shd w:val="clear" w:color="auto" w:fill="FFFFFF"/>
        <w:rPr>
          <w:noProof/>
        </w:rPr>
      </w:pPr>
      <w:r>
        <w:rPr>
          <w:noProof/>
        </w:rPr>
        <w:t>Based on the Croatian Act on euro introduction and the Consumer Protection Act, t</w:t>
      </w:r>
      <w:r w:rsidR="00E65930" w:rsidRPr="006955CE">
        <w:rPr>
          <w:noProof/>
        </w:rPr>
        <w:t xml:space="preserve">he Croatian </w:t>
      </w:r>
      <w:r w:rsidR="00F10184">
        <w:rPr>
          <w:noProof/>
        </w:rPr>
        <w:t>authorities are</w:t>
      </w:r>
      <w:r w:rsidR="00E65930" w:rsidRPr="006955CE">
        <w:rPr>
          <w:noProof/>
        </w:rPr>
        <w:t xml:space="preserve"> monitoring the c</w:t>
      </w:r>
      <w:r w:rsidR="001D09A7" w:rsidRPr="006955CE">
        <w:rPr>
          <w:noProof/>
        </w:rPr>
        <w:t>o</w:t>
      </w:r>
      <w:r w:rsidR="001D09A7" w:rsidRPr="00FC6C5B">
        <w:rPr>
          <w:noProof/>
        </w:rPr>
        <w:t>m</w:t>
      </w:r>
      <w:r w:rsidR="001D09A7" w:rsidRPr="006955CE">
        <w:rPr>
          <w:noProof/>
        </w:rPr>
        <w:t>pliance</w:t>
      </w:r>
      <w:r w:rsidR="00177E65" w:rsidRPr="00FC6C5B">
        <w:rPr>
          <w:noProof/>
        </w:rPr>
        <w:t xml:space="preserve"> </w:t>
      </w:r>
      <w:r w:rsidRPr="00FC6C5B">
        <w:rPr>
          <w:noProof/>
        </w:rPr>
        <w:t xml:space="preserve">of businesses, retailers and service providers </w:t>
      </w:r>
      <w:r w:rsidR="001D09A7" w:rsidRPr="006955CE">
        <w:rPr>
          <w:noProof/>
        </w:rPr>
        <w:t>with</w:t>
      </w:r>
      <w:r w:rsidR="001D09A7" w:rsidRPr="00FC6C5B">
        <w:rPr>
          <w:noProof/>
        </w:rPr>
        <w:t xml:space="preserve"> </w:t>
      </w:r>
      <w:r w:rsidR="001D09A7" w:rsidRPr="006955CE">
        <w:rPr>
          <w:noProof/>
        </w:rPr>
        <w:t>the</w:t>
      </w:r>
      <w:r w:rsidR="001D09A7" w:rsidRPr="00FC6C5B">
        <w:rPr>
          <w:noProof/>
        </w:rPr>
        <w:t xml:space="preserve"> </w:t>
      </w:r>
      <w:r w:rsidR="001D09A7" w:rsidRPr="006955CE">
        <w:rPr>
          <w:noProof/>
        </w:rPr>
        <w:t>requir</w:t>
      </w:r>
      <w:r w:rsidR="00436E0A">
        <w:rPr>
          <w:noProof/>
        </w:rPr>
        <w:t>e</w:t>
      </w:r>
      <w:r w:rsidR="001D09A7" w:rsidRPr="00FC6C5B">
        <w:rPr>
          <w:noProof/>
        </w:rPr>
        <w:t>m</w:t>
      </w:r>
      <w:r w:rsidR="001D09A7" w:rsidRPr="006955CE">
        <w:rPr>
          <w:noProof/>
        </w:rPr>
        <w:t>ents</w:t>
      </w:r>
      <w:r w:rsidR="001D09A7" w:rsidRPr="00FC6C5B">
        <w:rPr>
          <w:noProof/>
        </w:rPr>
        <w:t xml:space="preserve"> </w:t>
      </w:r>
      <w:r w:rsidR="001D09A7" w:rsidRPr="006955CE">
        <w:rPr>
          <w:noProof/>
        </w:rPr>
        <w:t>for</w:t>
      </w:r>
      <w:r w:rsidR="001D09A7" w:rsidRPr="00FC6C5B">
        <w:rPr>
          <w:noProof/>
        </w:rPr>
        <w:t xml:space="preserve"> </w:t>
      </w:r>
      <w:r w:rsidR="001D09A7" w:rsidRPr="006955CE">
        <w:rPr>
          <w:noProof/>
        </w:rPr>
        <w:t>price</w:t>
      </w:r>
      <w:r w:rsidR="001D09A7" w:rsidRPr="00FC6C5B">
        <w:rPr>
          <w:noProof/>
        </w:rPr>
        <w:t xml:space="preserve"> </w:t>
      </w:r>
      <w:r w:rsidR="001D09A7" w:rsidRPr="006955CE">
        <w:rPr>
          <w:noProof/>
        </w:rPr>
        <w:t>display</w:t>
      </w:r>
      <w:r w:rsidR="001D09A7" w:rsidRPr="00FC6C5B">
        <w:rPr>
          <w:noProof/>
        </w:rPr>
        <w:t xml:space="preserve"> </w:t>
      </w:r>
      <w:r w:rsidR="001D09A7" w:rsidRPr="006955CE">
        <w:rPr>
          <w:noProof/>
        </w:rPr>
        <w:t>and</w:t>
      </w:r>
      <w:r w:rsidR="001D09A7" w:rsidRPr="00FC6C5B">
        <w:rPr>
          <w:noProof/>
        </w:rPr>
        <w:t xml:space="preserve"> </w:t>
      </w:r>
      <w:r w:rsidR="001D09A7" w:rsidRPr="006955CE">
        <w:rPr>
          <w:noProof/>
        </w:rPr>
        <w:t>conversion</w:t>
      </w:r>
      <w:r w:rsidR="001D09A7" w:rsidRPr="00FC6C5B">
        <w:rPr>
          <w:noProof/>
        </w:rPr>
        <w:t xml:space="preserve"> </w:t>
      </w:r>
      <w:r w:rsidR="00F10184">
        <w:rPr>
          <w:noProof/>
        </w:rPr>
        <w:t>as well as the duty of all economic operators not to increase price</w:t>
      </w:r>
      <w:r w:rsidR="008617A0">
        <w:rPr>
          <w:noProof/>
        </w:rPr>
        <w:t>s</w:t>
      </w:r>
      <w:r w:rsidR="00F10184">
        <w:rPr>
          <w:noProof/>
        </w:rPr>
        <w:t xml:space="preserve"> on unjustified grounds</w:t>
      </w:r>
      <w:r w:rsidR="00682BA5">
        <w:rPr>
          <w:noProof/>
        </w:rPr>
        <w:t>.</w:t>
      </w:r>
    </w:p>
    <w:p w14:paraId="256618DF" w14:textId="2300E4B4" w:rsidR="008062DA" w:rsidRDefault="008062DA" w:rsidP="00822492">
      <w:pPr>
        <w:shd w:val="clear" w:color="auto" w:fill="FFFFFF"/>
        <w:rPr>
          <w:noProof/>
          <w:spacing w:val="12"/>
        </w:rPr>
      </w:pPr>
      <w:r>
        <w:rPr>
          <w:noProof/>
        </w:rPr>
        <w:t>The</w:t>
      </w:r>
      <w:r w:rsidR="001B3B67">
        <w:rPr>
          <w:noProof/>
        </w:rPr>
        <w:t xml:space="preserve"> </w:t>
      </w:r>
      <w:r>
        <w:rPr>
          <w:noProof/>
        </w:rPr>
        <w:t xml:space="preserve">inspectorates carry out inspections at </w:t>
      </w:r>
      <w:r w:rsidR="00E40590">
        <w:rPr>
          <w:noProof/>
        </w:rPr>
        <w:t xml:space="preserve">their </w:t>
      </w:r>
      <w:r>
        <w:rPr>
          <w:noProof/>
        </w:rPr>
        <w:t>own initiative and further to complaints</w:t>
      </w:r>
      <w:r w:rsidR="00200AC2">
        <w:rPr>
          <w:noProof/>
        </w:rPr>
        <w:t xml:space="preserve"> based on both acts</w:t>
      </w:r>
      <w:r>
        <w:rPr>
          <w:noProof/>
        </w:rPr>
        <w:t xml:space="preserve">. Until 28 February 2023, </w:t>
      </w:r>
      <w:r w:rsidR="00AA07B4">
        <w:rPr>
          <w:noProof/>
        </w:rPr>
        <w:t xml:space="preserve">the </w:t>
      </w:r>
      <w:r w:rsidR="00AA07B4" w:rsidRPr="00817F7A">
        <w:rPr>
          <w:noProof/>
        </w:rPr>
        <w:t>market and tourism inspection</w:t>
      </w:r>
      <w:r w:rsidR="00483DC5">
        <w:rPr>
          <w:noProof/>
        </w:rPr>
        <w:t>s</w:t>
      </w:r>
      <w:r w:rsidR="00AA07B4" w:rsidRPr="00817F7A">
        <w:rPr>
          <w:noProof/>
        </w:rPr>
        <w:t xml:space="preserve"> of the State Inspectorate</w:t>
      </w:r>
      <w:r w:rsidR="00AA07B4" w:rsidDel="00AA07B4">
        <w:rPr>
          <w:noProof/>
        </w:rPr>
        <w:t xml:space="preserve"> </w:t>
      </w:r>
      <w:r w:rsidR="00483DC5">
        <w:rPr>
          <w:noProof/>
        </w:rPr>
        <w:t>amounted to</w:t>
      </w:r>
      <w:r w:rsidR="001B3B67">
        <w:rPr>
          <w:noProof/>
        </w:rPr>
        <w:t xml:space="preserve"> </w:t>
      </w:r>
      <w:r w:rsidR="00A965DA" w:rsidRPr="0001181D">
        <w:rPr>
          <w:noProof/>
        </w:rPr>
        <w:t>12,355</w:t>
      </w:r>
      <w:r w:rsidR="00483DC5">
        <w:rPr>
          <w:noProof/>
        </w:rPr>
        <w:t xml:space="preserve">, </w:t>
      </w:r>
      <w:r w:rsidR="001B3B67">
        <w:rPr>
          <w:noProof/>
        </w:rPr>
        <w:t xml:space="preserve">out of which </w:t>
      </w:r>
      <w:r w:rsidR="00200AC2">
        <w:rPr>
          <w:noProof/>
        </w:rPr>
        <w:t>2</w:t>
      </w:r>
      <w:r w:rsidR="00AA07B4">
        <w:rPr>
          <w:noProof/>
        </w:rPr>
        <w:t>0</w:t>
      </w:r>
      <w:r w:rsidR="00A114B5">
        <w:rPr>
          <w:noProof/>
        </w:rPr>
        <w:t>.</w:t>
      </w:r>
      <w:r w:rsidR="00AA07B4">
        <w:rPr>
          <w:noProof/>
        </w:rPr>
        <w:t>3</w:t>
      </w:r>
      <w:r w:rsidR="00200AC2">
        <w:rPr>
          <w:noProof/>
        </w:rPr>
        <w:t xml:space="preserve">% </w:t>
      </w:r>
      <w:r w:rsidR="001B3B67">
        <w:rPr>
          <w:noProof/>
        </w:rPr>
        <w:t>revealed violations</w:t>
      </w:r>
      <w:r w:rsidR="00200AC2">
        <w:rPr>
          <w:noProof/>
        </w:rPr>
        <w:t xml:space="preserve">. In </w:t>
      </w:r>
      <w:r w:rsidR="00200AC2" w:rsidRPr="0001181D">
        <w:rPr>
          <w:noProof/>
        </w:rPr>
        <w:t>11</w:t>
      </w:r>
      <w:r w:rsidR="00247220">
        <w:rPr>
          <w:noProof/>
        </w:rPr>
        <w:t>.</w:t>
      </w:r>
      <w:r w:rsidR="00200AC2" w:rsidRPr="0001181D">
        <w:rPr>
          <w:noProof/>
        </w:rPr>
        <w:t>5</w:t>
      </w:r>
      <w:r w:rsidR="00200AC2">
        <w:rPr>
          <w:noProof/>
        </w:rPr>
        <w:t xml:space="preserve">% of </w:t>
      </w:r>
      <w:r w:rsidR="001C4A4E">
        <w:rPr>
          <w:noProof/>
        </w:rPr>
        <w:t>the</w:t>
      </w:r>
      <w:r w:rsidR="00436E0A">
        <w:rPr>
          <w:noProof/>
        </w:rPr>
        <w:t>se</w:t>
      </w:r>
      <w:r w:rsidR="001C4A4E">
        <w:rPr>
          <w:noProof/>
        </w:rPr>
        <w:t xml:space="preserve"> </w:t>
      </w:r>
      <w:r w:rsidR="00200AC2">
        <w:rPr>
          <w:noProof/>
        </w:rPr>
        <w:t xml:space="preserve">violations, the inspectorates imposed fines for a total </w:t>
      </w:r>
      <w:r w:rsidR="001C4A4E">
        <w:rPr>
          <w:noProof/>
        </w:rPr>
        <w:t xml:space="preserve">amount </w:t>
      </w:r>
      <w:r w:rsidR="00200AC2">
        <w:rPr>
          <w:noProof/>
        </w:rPr>
        <w:t xml:space="preserve">of around </w:t>
      </w:r>
      <w:r w:rsidR="001C4A4E" w:rsidRPr="0001181D">
        <w:rPr>
          <w:noProof/>
        </w:rPr>
        <w:t>538,000</w:t>
      </w:r>
      <w:r w:rsidR="001C4A4E">
        <w:rPr>
          <w:noProof/>
        </w:rPr>
        <w:t xml:space="preserve"> EUR. </w:t>
      </w:r>
      <w:r w:rsidR="00ED73CF">
        <w:rPr>
          <w:noProof/>
        </w:rPr>
        <w:t>Most of</w:t>
      </w:r>
      <w:r w:rsidR="001C4A4E">
        <w:rPr>
          <w:noProof/>
        </w:rPr>
        <w:t xml:space="preserve"> the fines w</w:t>
      </w:r>
      <w:r w:rsidR="00E40590">
        <w:rPr>
          <w:noProof/>
        </w:rPr>
        <w:t>ere</w:t>
      </w:r>
      <w:r w:rsidR="001C4A4E">
        <w:rPr>
          <w:noProof/>
        </w:rPr>
        <w:t xml:space="preserve"> based on breach</w:t>
      </w:r>
      <w:r w:rsidR="00E40590">
        <w:rPr>
          <w:noProof/>
        </w:rPr>
        <w:t>es</w:t>
      </w:r>
      <w:r w:rsidR="001C4A4E">
        <w:rPr>
          <w:noProof/>
        </w:rPr>
        <w:t xml:space="preserve"> of the Consumer Protection Act.</w:t>
      </w:r>
    </w:p>
    <w:p w14:paraId="58D4EB77" w14:textId="77777777" w:rsidR="001D09A7" w:rsidRDefault="00F110FC" w:rsidP="001D09A7">
      <w:pPr>
        <w:rPr>
          <w:noProof/>
        </w:rPr>
      </w:pPr>
      <w:r w:rsidRPr="006955CE">
        <w:rPr>
          <w:noProof/>
          <w:lang w:eastAsia="de-DE"/>
        </w:rPr>
        <w:t>Croat</w:t>
      </w:r>
      <w:r w:rsidR="00AB58B2">
        <w:rPr>
          <w:noProof/>
          <w:lang w:eastAsia="de-DE"/>
        </w:rPr>
        <w:t>ian</w:t>
      </w:r>
      <w:r w:rsidRPr="006955CE">
        <w:rPr>
          <w:noProof/>
          <w:lang w:eastAsia="de-DE"/>
        </w:rPr>
        <w:t>s</w:t>
      </w:r>
      <w:r w:rsidR="001D09A7" w:rsidRPr="006955CE">
        <w:rPr>
          <w:noProof/>
          <w:lang w:eastAsia="de-DE"/>
        </w:rPr>
        <w:t xml:space="preserve"> generally considered the dual display of prices to be a useful tool to facilitate price comparisons and to get used to thinking in their new currency. According to a Commission</w:t>
      </w:r>
      <w:r w:rsidR="001D09A7" w:rsidRPr="006955CE">
        <w:rPr>
          <w:noProof/>
        </w:rPr>
        <w:t xml:space="preserve"> survey</w:t>
      </w:r>
      <w:r w:rsidR="001D09A7" w:rsidRPr="006955CE">
        <w:rPr>
          <w:noProof/>
          <w:spacing w:val="2"/>
        </w:rPr>
        <w:t xml:space="preserve"> </w:t>
      </w:r>
      <w:r w:rsidR="001D09A7" w:rsidRPr="006955CE">
        <w:rPr>
          <w:noProof/>
        </w:rPr>
        <w:t>carried</w:t>
      </w:r>
      <w:r w:rsidR="001D09A7" w:rsidRPr="006955CE">
        <w:rPr>
          <w:noProof/>
          <w:spacing w:val="2"/>
        </w:rPr>
        <w:t xml:space="preserve"> </w:t>
      </w:r>
      <w:r w:rsidR="001D09A7" w:rsidRPr="006955CE">
        <w:rPr>
          <w:noProof/>
        </w:rPr>
        <w:t>out</w:t>
      </w:r>
      <w:r w:rsidR="001D09A7" w:rsidRPr="006955CE">
        <w:rPr>
          <w:noProof/>
          <w:spacing w:val="2"/>
        </w:rPr>
        <w:t xml:space="preserve"> </w:t>
      </w:r>
      <w:r w:rsidR="001D09A7" w:rsidRPr="006955CE">
        <w:rPr>
          <w:noProof/>
        </w:rPr>
        <w:t>in</w:t>
      </w:r>
      <w:r w:rsidR="001D09A7" w:rsidRPr="006955CE">
        <w:rPr>
          <w:noProof/>
          <w:spacing w:val="2"/>
        </w:rPr>
        <w:t xml:space="preserve"> </w:t>
      </w:r>
      <w:r w:rsidR="001D09A7" w:rsidRPr="006955CE">
        <w:rPr>
          <w:noProof/>
        </w:rPr>
        <w:t>January</w:t>
      </w:r>
      <w:r w:rsidR="005F2D7E">
        <w:rPr>
          <w:noProof/>
        </w:rPr>
        <w:t xml:space="preserve"> 2023</w:t>
      </w:r>
      <w:r w:rsidR="001D09A7" w:rsidRPr="006955CE">
        <w:rPr>
          <w:rStyle w:val="FootnoteReference"/>
          <w:noProof/>
        </w:rPr>
        <w:footnoteReference w:id="10"/>
      </w:r>
      <w:r w:rsidR="001D09A7" w:rsidRPr="006955CE">
        <w:rPr>
          <w:noProof/>
        </w:rPr>
        <w:t xml:space="preserve">, over </w:t>
      </w:r>
      <w:r w:rsidR="009F7B5E" w:rsidRPr="006955CE">
        <w:rPr>
          <w:noProof/>
        </w:rPr>
        <w:t>three quarters</w:t>
      </w:r>
      <w:r w:rsidR="001D09A7" w:rsidRPr="006955CE">
        <w:rPr>
          <w:noProof/>
        </w:rPr>
        <w:t xml:space="preserve"> of people in </w:t>
      </w:r>
      <w:r w:rsidRPr="006955CE">
        <w:rPr>
          <w:noProof/>
        </w:rPr>
        <w:t>Croatia</w:t>
      </w:r>
      <w:r w:rsidR="001D09A7" w:rsidRPr="006955CE">
        <w:rPr>
          <w:noProof/>
        </w:rPr>
        <w:t xml:space="preserve"> </w:t>
      </w:r>
      <w:r w:rsidR="0059033D" w:rsidRPr="006955CE">
        <w:rPr>
          <w:noProof/>
        </w:rPr>
        <w:t>(78</w:t>
      </w:r>
      <w:r w:rsidR="001D09A7" w:rsidRPr="006955CE">
        <w:rPr>
          <w:noProof/>
        </w:rPr>
        <w:t>%) said they f</w:t>
      </w:r>
      <w:r w:rsidR="00E40590">
        <w:rPr>
          <w:noProof/>
        </w:rPr>
        <w:t>ou</w:t>
      </w:r>
      <w:r w:rsidR="001D09A7" w:rsidRPr="006955CE">
        <w:rPr>
          <w:noProof/>
        </w:rPr>
        <w:t xml:space="preserve">nd the dual display of prices useful </w:t>
      </w:r>
      <w:r w:rsidR="00E40590">
        <w:rPr>
          <w:noProof/>
        </w:rPr>
        <w:t xml:space="preserve">during </w:t>
      </w:r>
      <w:r w:rsidR="001D09A7" w:rsidRPr="006955CE">
        <w:rPr>
          <w:noProof/>
        </w:rPr>
        <w:t xml:space="preserve">the changeover. </w:t>
      </w:r>
      <w:r w:rsidR="00E40590">
        <w:rPr>
          <w:noProof/>
        </w:rPr>
        <w:t xml:space="preserve">However, </w:t>
      </w:r>
      <w:r w:rsidR="009F7B5E" w:rsidRPr="006955CE">
        <w:rPr>
          <w:noProof/>
        </w:rPr>
        <w:t>60%</w:t>
      </w:r>
      <w:r w:rsidR="001D09A7" w:rsidRPr="006955CE">
        <w:rPr>
          <w:noProof/>
        </w:rPr>
        <w:t xml:space="preserve"> of </w:t>
      </w:r>
      <w:r w:rsidRPr="006955CE">
        <w:rPr>
          <w:noProof/>
        </w:rPr>
        <w:t>Croatian</w:t>
      </w:r>
      <w:r w:rsidR="00E40590">
        <w:rPr>
          <w:noProof/>
        </w:rPr>
        <w:t>s</w:t>
      </w:r>
      <w:r w:rsidR="001D09A7" w:rsidRPr="006955CE">
        <w:rPr>
          <w:noProof/>
        </w:rPr>
        <w:t xml:space="preserve"> </w:t>
      </w:r>
      <w:r w:rsidR="00E40590">
        <w:rPr>
          <w:noProof/>
        </w:rPr>
        <w:t xml:space="preserve">surveyed </w:t>
      </w:r>
      <w:r w:rsidR="009F7B5E" w:rsidRPr="006955CE">
        <w:rPr>
          <w:noProof/>
        </w:rPr>
        <w:t xml:space="preserve">often or very often felt </w:t>
      </w:r>
      <w:r w:rsidR="001D09A7" w:rsidRPr="006955CE">
        <w:rPr>
          <w:noProof/>
        </w:rPr>
        <w:t>that the dual displays of prices were implemented correctly</w:t>
      </w:r>
      <w:r w:rsidR="00AA5FFC">
        <w:rPr>
          <w:noProof/>
        </w:rPr>
        <w:t>, the lowest</w:t>
      </w:r>
      <w:r w:rsidR="001D09A7" w:rsidRPr="006955CE">
        <w:rPr>
          <w:noProof/>
        </w:rPr>
        <w:t xml:space="preserve"> proportion of </w:t>
      </w:r>
      <w:r w:rsidR="00AA5FFC">
        <w:rPr>
          <w:noProof/>
        </w:rPr>
        <w:t xml:space="preserve">all </w:t>
      </w:r>
      <w:r w:rsidR="00436E0A">
        <w:rPr>
          <w:noProof/>
        </w:rPr>
        <w:t>changeovers</w:t>
      </w:r>
      <w:r w:rsidR="009F7B5E" w:rsidRPr="006955CE">
        <w:rPr>
          <w:noProof/>
        </w:rPr>
        <w:t>.</w:t>
      </w:r>
    </w:p>
    <w:p w14:paraId="7B5A26DE" w14:textId="516AF981" w:rsidR="001D09A7" w:rsidRDefault="001D09A7" w:rsidP="001D09A7">
      <w:pPr>
        <w:rPr>
          <w:noProof/>
        </w:rPr>
      </w:pPr>
      <w:r w:rsidRPr="006955CE">
        <w:rPr>
          <w:noProof/>
        </w:rPr>
        <w:t>When asked about price conversions, ne</w:t>
      </w:r>
      <w:r w:rsidR="009F7B5E" w:rsidRPr="006955CE">
        <w:rPr>
          <w:noProof/>
        </w:rPr>
        <w:t>arly half of the respondents (44</w:t>
      </w:r>
      <w:r w:rsidRPr="006955CE">
        <w:rPr>
          <w:noProof/>
        </w:rPr>
        <w:t>%)</w:t>
      </w:r>
      <w:r w:rsidR="009F7B5E" w:rsidRPr="006955CE">
        <w:rPr>
          <w:noProof/>
        </w:rPr>
        <w:t xml:space="preserve"> sa</w:t>
      </w:r>
      <w:r w:rsidR="00E40590">
        <w:rPr>
          <w:noProof/>
        </w:rPr>
        <w:t>id</w:t>
      </w:r>
      <w:r w:rsidR="009F7B5E" w:rsidRPr="006955CE">
        <w:rPr>
          <w:noProof/>
        </w:rPr>
        <w:t xml:space="preserve"> they often or very often fe</w:t>
      </w:r>
      <w:r w:rsidR="00E40590">
        <w:rPr>
          <w:noProof/>
        </w:rPr>
        <w:t>lt</w:t>
      </w:r>
      <w:r w:rsidRPr="006955CE">
        <w:rPr>
          <w:noProof/>
        </w:rPr>
        <w:t xml:space="preserve"> price conversions were correct.</w:t>
      </w:r>
      <w:r w:rsidRPr="006955CE">
        <w:rPr>
          <w:rStyle w:val="FootnoteReference"/>
          <w:noProof/>
        </w:rPr>
        <w:footnoteReference w:id="11"/>
      </w:r>
      <w:r>
        <w:rPr>
          <w:noProof/>
        </w:rPr>
        <w:t xml:space="preserve"> </w:t>
      </w:r>
      <w:r w:rsidRPr="001A5FD3">
        <w:rPr>
          <w:noProof/>
        </w:rPr>
        <w:t xml:space="preserve">This result is </w:t>
      </w:r>
      <w:r w:rsidR="001F3E7B">
        <w:rPr>
          <w:noProof/>
        </w:rPr>
        <w:t>with</w:t>
      </w:r>
      <w:r w:rsidRPr="001A5FD3">
        <w:rPr>
          <w:noProof/>
        </w:rPr>
        <w:t>in the</w:t>
      </w:r>
      <w:r w:rsidRPr="001A5FD3">
        <w:rPr>
          <w:noProof/>
          <w:spacing w:val="-2"/>
        </w:rPr>
        <w:t xml:space="preserve"> </w:t>
      </w:r>
      <w:r w:rsidR="001F3E7B">
        <w:rPr>
          <w:noProof/>
          <w:spacing w:val="-2"/>
        </w:rPr>
        <w:t xml:space="preserve">range of </w:t>
      </w:r>
      <w:r w:rsidRPr="001A5FD3">
        <w:rPr>
          <w:noProof/>
        </w:rPr>
        <w:t xml:space="preserve">results of the </w:t>
      </w:r>
      <w:r w:rsidR="003461A5" w:rsidRPr="001A5FD3">
        <w:rPr>
          <w:noProof/>
        </w:rPr>
        <w:t xml:space="preserve">last euro </w:t>
      </w:r>
      <w:r w:rsidRPr="001A5FD3">
        <w:rPr>
          <w:noProof/>
        </w:rPr>
        <w:t>changeovers</w:t>
      </w:r>
      <w:r w:rsidR="003461A5" w:rsidRPr="001A5FD3">
        <w:rPr>
          <w:noProof/>
        </w:rPr>
        <w:t xml:space="preserve"> (Estonia, Latvia</w:t>
      </w:r>
      <w:r w:rsidR="001F3E7B">
        <w:rPr>
          <w:noProof/>
        </w:rPr>
        <w:t xml:space="preserve"> and</w:t>
      </w:r>
      <w:r w:rsidR="003461A5" w:rsidRPr="001A5FD3">
        <w:rPr>
          <w:noProof/>
        </w:rPr>
        <w:t xml:space="preserve"> Lithuania)</w:t>
      </w:r>
      <w:r w:rsidRPr="001A5FD3">
        <w:rPr>
          <w:noProof/>
        </w:rPr>
        <w:t>.</w:t>
      </w:r>
    </w:p>
    <w:p w14:paraId="4C920F67" w14:textId="77777777" w:rsidR="001D09A7" w:rsidRPr="00A87458" w:rsidRDefault="00A87458" w:rsidP="001D09A7">
      <w:pPr>
        <w:rPr>
          <w:noProof/>
          <w:lang w:eastAsia="de-DE"/>
        </w:rPr>
      </w:pPr>
      <w:r w:rsidRPr="006955CE">
        <w:rPr>
          <w:noProof/>
          <w:lang w:eastAsia="de-DE"/>
        </w:rPr>
        <w:t>Consumers can submit complaints through the website</w:t>
      </w:r>
      <w:r w:rsidRPr="006955CE">
        <w:rPr>
          <w:noProof/>
          <w:lang w:val="hr-HR" w:eastAsia="de-DE"/>
        </w:rPr>
        <w:t xml:space="preserve"> euro.hr</w:t>
      </w:r>
      <w:r w:rsidRPr="006955CE">
        <w:rPr>
          <w:noProof/>
          <w:lang w:eastAsia="de-DE"/>
        </w:rPr>
        <w:t>.</w:t>
      </w:r>
      <w:r>
        <w:rPr>
          <w:noProof/>
          <w:lang w:eastAsia="de-DE"/>
        </w:rPr>
        <w:t xml:space="preserve"> </w:t>
      </w:r>
      <w:r w:rsidR="001D09A7" w:rsidRPr="001A5FD3">
        <w:rPr>
          <w:noProof/>
          <w:lang w:val="en-US" w:eastAsia="de-DE"/>
        </w:rPr>
        <w:t xml:space="preserve">Complaints are followed up within a maximum of 48 hours after the complaint has been lodged. Concerns voiced by citizens </w:t>
      </w:r>
      <w:r w:rsidR="008617A0">
        <w:rPr>
          <w:noProof/>
          <w:lang w:val="en-US" w:eastAsia="de-DE"/>
        </w:rPr>
        <w:t>have been</w:t>
      </w:r>
      <w:r w:rsidR="008617A0" w:rsidRPr="001A5FD3">
        <w:rPr>
          <w:noProof/>
          <w:lang w:val="en-US" w:eastAsia="de-DE"/>
        </w:rPr>
        <w:t xml:space="preserve"> </w:t>
      </w:r>
      <w:r w:rsidR="001D09A7" w:rsidRPr="001A5FD3">
        <w:rPr>
          <w:noProof/>
          <w:lang w:val="en-US" w:eastAsia="de-DE"/>
        </w:rPr>
        <w:t>mainly related to issues such as the display of prices and the application of the rounding rules. All questions and complaints are being handled diligently by the competent authorities.</w:t>
      </w:r>
    </w:p>
    <w:p w14:paraId="1A65CCE5" w14:textId="77777777" w:rsidR="001D09A7" w:rsidRDefault="001D09A7" w:rsidP="001D09A7">
      <w:pPr>
        <w:rPr>
          <w:noProof/>
        </w:rPr>
      </w:pPr>
      <w:r w:rsidRPr="006955CE">
        <w:rPr>
          <w:noProof/>
        </w:rPr>
        <w:t xml:space="preserve">However, the impact of the euro on prices and abusive price settings remains a concern for </w:t>
      </w:r>
      <w:r w:rsidR="00F110FC" w:rsidRPr="006955CE">
        <w:rPr>
          <w:noProof/>
        </w:rPr>
        <w:t xml:space="preserve">Croatian </w:t>
      </w:r>
      <w:r w:rsidRPr="006955CE">
        <w:rPr>
          <w:noProof/>
        </w:rPr>
        <w:t>citizens</w:t>
      </w:r>
      <w:r w:rsidRPr="006955CE">
        <w:rPr>
          <w:noProof/>
          <w:vertAlign w:val="superscript"/>
        </w:rPr>
        <w:footnoteReference w:id="12"/>
      </w:r>
      <w:r w:rsidRPr="006955CE">
        <w:rPr>
          <w:noProof/>
        </w:rPr>
        <w:t>. Therefore, it is recommended to continue supervising the dual display of prices, the correct conversion and rounding rules and the evolution of prices in general for a few extra months.</w:t>
      </w:r>
    </w:p>
    <w:p w14:paraId="4E7224F0" w14:textId="77777777" w:rsidR="001D09A7" w:rsidRPr="00CF7983" w:rsidRDefault="001D09A7" w:rsidP="001D09A7">
      <w:pPr>
        <w:pStyle w:val="ListParagraph"/>
        <w:keepNext/>
        <w:numPr>
          <w:ilvl w:val="0"/>
          <w:numId w:val="7"/>
        </w:numPr>
        <w:spacing w:before="120" w:after="120"/>
        <w:jc w:val="both"/>
        <w:outlineLvl w:val="1"/>
        <w:rPr>
          <w:rFonts w:ascii="Times New Roman" w:hAnsi="Times New Roman"/>
          <w:b/>
          <w:bCs/>
          <w:iCs/>
          <w:noProof/>
          <w:vanish/>
          <w:sz w:val="24"/>
          <w:szCs w:val="28"/>
        </w:rPr>
      </w:pPr>
    </w:p>
    <w:p w14:paraId="0BFFEA6D" w14:textId="77777777" w:rsidR="001D09A7" w:rsidRPr="00CF7983" w:rsidRDefault="001D09A7" w:rsidP="001D09A7">
      <w:pPr>
        <w:pStyle w:val="ListParagraph"/>
        <w:keepNext/>
        <w:numPr>
          <w:ilvl w:val="0"/>
          <w:numId w:val="7"/>
        </w:numPr>
        <w:spacing w:before="120" w:after="120"/>
        <w:jc w:val="both"/>
        <w:outlineLvl w:val="1"/>
        <w:rPr>
          <w:rFonts w:ascii="Times New Roman" w:hAnsi="Times New Roman"/>
          <w:b/>
          <w:bCs/>
          <w:iCs/>
          <w:noProof/>
          <w:vanish/>
          <w:sz w:val="24"/>
          <w:szCs w:val="28"/>
        </w:rPr>
      </w:pPr>
    </w:p>
    <w:p w14:paraId="73D105E7" w14:textId="77777777" w:rsidR="001D09A7" w:rsidRPr="00CF7983" w:rsidRDefault="001D09A7" w:rsidP="001D09A7">
      <w:pPr>
        <w:pStyle w:val="ListParagraph"/>
        <w:keepNext/>
        <w:numPr>
          <w:ilvl w:val="0"/>
          <w:numId w:val="7"/>
        </w:numPr>
        <w:spacing w:before="120" w:after="120"/>
        <w:jc w:val="both"/>
        <w:outlineLvl w:val="1"/>
        <w:rPr>
          <w:rFonts w:ascii="Times New Roman" w:hAnsi="Times New Roman"/>
          <w:b/>
          <w:bCs/>
          <w:iCs/>
          <w:noProof/>
          <w:vanish/>
          <w:sz w:val="24"/>
          <w:szCs w:val="28"/>
        </w:rPr>
      </w:pPr>
    </w:p>
    <w:p w14:paraId="34DC5280" w14:textId="77777777" w:rsidR="001D09A7" w:rsidRPr="00CF7983" w:rsidRDefault="001D09A7" w:rsidP="001D09A7">
      <w:pPr>
        <w:pStyle w:val="ListParagraph"/>
        <w:keepNext/>
        <w:numPr>
          <w:ilvl w:val="0"/>
          <w:numId w:val="7"/>
        </w:numPr>
        <w:spacing w:before="120" w:after="120"/>
        <w:jc w:val="both"/>
        <w:outlineLvl w:val="1"/>
        <w:rPr>
          <w:rFonts w:ascii="Times New Roman" w:hAnsi="Times New Roman"/>
          <w:b/>
          <w:bCs/>
          <w:iCs/>
          <w:noProof/>
          <w:vanish/>
          <w:sz w:val="24"/>
          <w:szCs w:val="28"/>
        </w:rPr>
      </w:pPr>
    </w:p>
    <w:p w14:paraId="0355BB6A" w14:textId="45AF0F77" w:rsidR="001D09A7" w:rsidRDefault="004C4374" w:rsidP="004C4374">
      <w:pPr>
        <w:pStyle w:val="ManualHeading1"/>
        <w:rPr>
          <w:noProof/>
        </w:rPr>
      </w:pPr>
      <w:r w:rsidRPr="004C4374">
        <w:t>4.</w:t>
      </w:r>
      <w:r w:rsidRPr="004C4374">
        <w:tab/>
      </w:r>
      <w:r w:rsidR="001D09A7">
        <w:rPr>
          <w:noProof/>
        </w:rPr>
        <w:t>Price trends and perceptions</w:t>
      </w:r>
    </w:p>
    <w:p w14:paraId="0B038CDB" w14:textId="77777777" w:rsidR="001E2985" w:rsidRPr="006955CE" w:rsidRDefault="001E2985" w:rsidP="001E2985">
      <w:pPr>
        <w:rPr>
          <w:noProof/>
        </w:rPr>
      </w:pPr>
      <w:r w:rsidRPr="006955CE">
        <w:rPr>
          <w:noProof/>
        </w:rPr>
        <w:t>According to a Commission survey</w:t>
      </w:r>
      <w:r w:rsidR="00AF6E13">
        <w:rPr>
          <w:noProof/>
        </w:rPr>
        <w:t xml:space="preserve"> conducted in January 2023</w:t>
      </w:r>
      <w:r w:rsidRPr="006955CE">
        <w:rPr>
          <w:rStyle w:val="FootnoteReference"/>
          <w:noProof/>
        </w:rPr>
        <w:footnoteReference w:id="13"/>
      </w:r>
      <w:r w:rsidRPr="006955CE">
        <w:rPr>
          <w:noProof/>
        </w:rPr>
        <w:t>, the majority of Croat</w:t>
      </w:r>
      <w:r w:rsidR="00D92453">
        <w:rPr>
          <w:noProof/>
        </w:rPr>
        <w:t>ian</w:t>
      </w:r>
      <w:r w:rsidRPr="006955CE">
        <w:rPr>
          <w:noProof/>
        </w:rPr>
        <w:t>s (62%) think that the euro will increase inflation in their country (compared to 57% of Latvians and 58% of Lithuanians, just after their respective changeovers). A quarter of respondents (25%) believed that joining the euro area would help Croatia to maintain price stability. This number was slightly higher in Lithuania (26%), and lower in Latvia (19%).</w:t>
      </w:r>
    </w:p>
    <w:p w14:paraId="223F5BA4" w14:textId="77777777" w:rsidR="00A67797" w:rsidRDefault="00867266" w:rsidP="00A67797">
      <w:pPr>
        <w:rPr>
          <w:noProof/>
        </w:rPr>
      </w:pPr>
      <w:r>
        <w:rPr>
          <w:noProof/>
        </w:rPr>
        <w:t>Past e</w:t>
      </w:r>
      <w:r w:rsidR="00A970AB" w:rsidRPr="006955CE">
        <w:rPr>
          <w:noProof/>
        </w:rPr>
        <w:t xml:space="preserve">uro changeovers </w:t>
      </w:r>
      <w:r>
        <w:rPr>
          <w:noProof/>
        </w:rPr>
        <w:t xml:space="preserve">have </w:t>
      </w:r>
      <w:r w:rsidR="00A970AB" w:rsidRPr="006955CE">
        <w:rPr>
          <w:noProof/>
        </w:rPr>
        <w:t>show</w:t>
      </w:r>
      <w:r>
        <w:rPr>
          <w:noProof/>
        </w:rPr>
        <w:t>n</w:t>
      </w:r>
      <w:r w:rsidR="00A970AB" w:rsidRPr="006955CE">
        <w:rPr>
          <w:noProof/>
        </w:rPr>
        <w:t xml:space="preserve"> that </w:t>
      </w:r>
      <w:r>
        <w:rPr>
          <w:noProof/>
        </w:rPr>
        <w:t xml:space="preserve">proximity businesses and service providers are </w:t>
      </w:r>
      <w:r w:rsidR="005B33A3" w:rsidRPr="006955CE">
        <w:rPr>
          <w:noProof/>
        </w:rPr>
        <w:t xml:space="preserve">the </w:t>
      </w:r>
      <w:r w:rsidR="00A970AB" w:rsidRPr="006955CE">
        <w:rPr>
          <w:noProof/>
        </w:rPr>
        <w:t xml:space="preserve">sectors most prone to abusive </w:t>
      </w:r>
      <w:r>
        <w:rPr>
          <w:noProof/>
        </w:rPr>
        <w:t>price inc</w:t>
      </w:r>
      <w:r w:rsidR="007E5EB0">
        <w:rPr>
          <w:noProof/>
        </w:rPr>
        <w:t>r</w:t>
      </w:r>
      <w:r>
        <w:rPr>
          <w:noProof/>
        </w:rPr>
        <w:t xml:space="preserve">eases </w:t>
      </w:r>
      <w:r w:rsidR="005B33A3" w:rsidRPr="006955CE">
        <w:rPr>
          <w:noProof/>
        </w:rPr>
        <w:t>during</w:t>
      </w:r>
      <w:r>
        <w:rPr>
          <w:noProof/>
        </w:rPr>
        <w:t xml:space="preserve"> the</w:t>
      </w:r>
      <w:r w:rsidR="005B33A3" w:rsidRPr="006955CE">
        <w:rPr>
          <w:noProof/>
        </w:rPr>
        <w:t xml:space="preserve"> </w:t>
      </w:r>
      <w:r w:rsidR="00A970AB" w:rsidRPr="006955CE">
        <w:rPr>
          <w:noProof/>
        </w:rPr>
        <w:t xml:space="preserve">euro </w:t>
      </w:r>
      <w:r w:rsidR="005B33A3" w:rsidRPr="006955CE">
        <w:rPr>
          <w:noProof/>
        </w:rPr>
        <w:t>changeover. While the</w:t>
      </w:r>
      <w:r>
        <w:rPr>
          <w:noProof/>
        </w:rPr>
        <w:t xml:space="preserve">ir goods and services </w:t>
      </w:r>
      <w:r w:rsidR="005B33A3" w:rsidRPr="006955CE">
        <w:rPr>
          <w:noProof/>
        </w:rPr>
        <w:t xml:space="preserve">do not constitute a </w:t>
      </w:r>
      <w:r>
        <w:rPr>
          <w:noProof/>
        </w:rPr>
        <w:t xml:space="preserve">large proportion </w:t>
      </w:r>
      <w:r w:rsidR="005B33A3" w:rsidRPr="006955CE">
        <w:rPr>
          <w:noProof/>
        </w:rPr>
        <w:t xml:space="preserve">of the </w:t>
      </w:r>
      <w:r w:rsidR="006002EE" w:rsidRPr="006955CE">
        <w:rPr>
          <w:noProof/>
        </w:rPr>
        <w:t xml:space="preserve">standardised </w:t>
      </w:r>
      <w:r w:rsidR="005B33A3" w:rsidRPr="006955CE">
        <w:rPr>
          <w:noProof/>
        </w:rPr>
        <w:t xml:space="preserve">consumer basket used to gauge inflation, they </w:t>
      </w:r>
      <w:r w:rsidR="00A970AB" w:rsidRPr="006955CE">
        <w:rPr>
          <w:noProof/>
        </w:rPr>
        <w:t xml:space="preserve">nonetheless </w:t>
      </w:r>
      <w:r w:rsidR="005B33A3" w:rsidRPr="006955CE">
        <w:rPr>
          <w:noProof/>
        </w:rPr>
        <w:t xml:space="preserve">tend to be purchased or consumed </w:t>
      </w:r>
      <w:r w:rsidR="00A970AB" w:rsidRPr="006955CE">
        <w:rPr>
          <w:noProof/>
        </w:rPr>
        <w:t>frequently and very often individually, which gives them high visibility</w:t>
      </w:r>
      <w:r w:rsidR="008C1738">
        <w:rPr>
          <w:noProof/>
        </w:rPr>
        <w:t>. At the same time,</w:t>
      </w:r>
      <w:r w:rsidR="006002EE" w:rsidRPr="006955CE">
        <w:rPr>
          <w:noProof/>
        </w:rPr>
        <w:t xml:space="preserve"> </w:t>
      </w:r>
      <w:r w:rsidR="005533E7">
        <w:rPr>
          <w:noProof/>
        </w:rPr>
        <w:t xml:space="preserve">other </w:t>
      </w:r>
      <w:r w:rsidR="008C1738">
        <w:rPr>
          <w:noProof/>
        </w:rPr>
        <w:t>more favourable developments in</w:t>
      </w:r>
      <w:r w:rsidR="006002EE" w:rsidRPr="006955CE">
        <w:rPr>
          <w:noProof/>
        </w:rPr>
        <w:t xml:space="preserve"> price</w:t>
      </w:r>
      <w:r w:rsidR="008C1738">
        <w:rPr>
          <w:noProof/>
        </w:rPr>
        <w:t>s</w:t>
      </w:r>
      <w:r w:rsidR="006002EE" w:rsidRPr="006955CE">
        <w:rPr>
          <w:noProof/>
        </w:rPr>
        <w:t xml:space="preserve"> of goods </w:t>
      </w:r>
      <w:r>
        <w:rPr>
          <w:noProof/>
        </w:rPr>
        <w:t>purchased less frequently may not be so salient with consumers</w:t>
      </w:r>
      <w:r w:rsidR="006002EE" w:rsidRPr="006955CE">
        <w:rPr>
          <w:noProof/>
        </w:rPr>
        <w:t xml:space="preserve">. </w:t>
      </w:r>
      <w:r w:rsidR="004946E8">
        <w:rPr>
          <w:noProof/>
        </w:rPr>
        <w:t>As a result,</w:t>
      </w:r>
      <w:r w:rsidR="00A970AB" w:rsidRPr="006955CE">
        <w:rPr>
          <w:noProof/>
        </w:rPr>
        <w:t xml:space="preserve"> perceived inflation </w:t>
      </w:r>
      <w:r w:rsidR="004946E8">
        <w:rPr>
          <w:noProof/>
        </w:rPr>
        <w:t>often</w:t>
      </w:r>
      <w:r w:rsidR="004946E8" w:rsidRPr="006955CE">
        <w:rPr>
          <w:noProof/>
        </w:rPr>
        <w:t xml:space="preserve"> </w:t>
      </w:r>
      <w:r w:rsidR="00A970AB" w:rsidRPr="006955CE">
        <w:rPr>
          <w:noProof/>
        </w:rPr>
        <w:t>exceeds actual inflation.</w:t>
      </w:r>
    </w:p>
    <w:p w14:paraId="73AB7140" w14:textId="20A02BDD" w:rsidR="001B2698" w:rsidRDefault="00A67797" w:rsidP="001D09A7">
      <w:pPr>
        <w:rPr>
          <w:noProof/>
        </w:rPr>
      </w:pPr>
      <w:r w:rsidRPr="006955CE">
        <w:rPr>
          <w:noProof/>
        </w:rPr>
        <w:t xml:space="preserve">In the exceptional high-inflation environment of the Croatian euro changeover, it is not easy to distinguish legitimate drivers of inflation from the unwarranted price increases that constitute abusive practices, where merchants </w:t>
      </w:r>
      <w:r>
        <w:rPr>
          <w:noProof/>
        </w:rPr>
        <w:t xml:space="preserve">take unfair advantage of </w:t>
      </w:r>
      <w:r w:rsidRPr="006955CE">
        <w:rPr>
          <w:noProof/>
        </w:rPr>
        <w:t>consumers’ im</w:t>
      </w:r>
      <w:r w:rsidRPr="006955CE">
        <w:rPr>
          <w:noProof/>
        </w:rPr>
        <w:softHyphen/>
        <w:t xml:space="preserve">perfect information. </w:t>
      </w:r>
      <w:r>
        <w:rPr>
          <w:noProof/>
        </w:rPr>
        <w:t>In a period of high inflation, t</w:t>
      </w:r>
      <w:r w:rsidRPr="006955CE">
        <w:rPr>
          <w:noProof/>
        </w:rPr>
        <w:t xml:space="preserve">here may be justified price increases such as those linked to increases in prices of raw materials or renegotiations of </w:t>
      </w:r>
      <w:r>
        <w:rPr>
          <w:noProof/>
        </w:rPr>
        <w:t xml:space="preserve">supplier </w:t>
      </w:r>
      <w:r w:rsidRPr="006955CE">
        <w:rPr>
          <w:noProof/>
        </w:rPr>
        <w:t>cont</w:t>
      </w:r>
      <w:r w:rsidR="0023589C">
        <w:rPr>
          <w:noProof/>
        </w:rPr>
        <w:t>r</w:t>
      </w:r>
      <w:r w:rsidRPr="006955CE">
        <w:rPr>
          <w:noProof/>
        </w:rPr>
        <w:t>acts</w:t>
      </w:r>
      <w:r w:rsidR="008617A0">
        <w:rPr>
          <w:noProof/>
        </w:rPr>
        <w:t>,</w:t>
      </w:r>
      <w:r w:rsidRPr="006955CE">
        <w:rPr>
          <w:noProof/>
        </w:rPr>
        <w:t xml:space="preserve"> </w:t>
      </w:r>
      <w:r>
        <w:rPr>
          <w:noProof/>
        </w:rPr>
        <w:t xml:space="preserve">which typically take place </w:t>
      </w:r>
      <w:r w:rsidRPr="006955CE">
        <w:rPr>
          <w:noProof/>
        </w:rPr>
        <w:t>at year</w:t>
      </w:r>
      <w:r>
        <w:rPr>
          <w:noProof/>
        </w:rPr>
        <w:t>’s end</w:t>
      </w:r>
      <w:r w:rsidRPr="006955CE">
        <w:rPr>
          <w:noProof/>
        </w:rPr>
        <w:t>.</w:t>
      </w:r>
    </w:p>
    <w:p w14:paraId="132499D1" w14:textId="437462CB" w:rsidR="002032E3" w:rsidRPr="00436E0A" w:rsidRDefault="002032E3" w:rsidP="002032E3">
      <w:pPr>
        <w:rPr>
          <w:noProof/>
        </w:rPr>
      </w:pPr>
      <w:r w:rsidRPr="00436E0A">
        <w:rPr>
          <w:rStyle w:val="ui-provider"/>
          <w:noProof/>
        </w:rPr>
        <w:t xml:space="preserve">The impact of unwarranted price increases on aggregate inflation seems to have been relatively small and broadly in line with what was observed in previous changeovers, based on a preliminary assessment of available evidence. </w:t>
      </w:r>
      <w:r w:rsidR="00E3583F">
        <w:rPr>
          <w:rStyle w:val="ui-provider"/>
          <w:noProof/>
        </w:rPr>
        <w:t>A similar finding is observed also by Falagiarda et al. (2023)</w:t>
      </w:r>
      <w:r w:rsidR="00E3583F">
        <w:rPr>
          <w:rStyle w:val="FootnoteReference"/>
          <w:noProof/>
        </w:rPr>
        <w:footnoteReference w:id="14"/>
      </w:r>
      <w:r w:rsidR="00E3583F">
        <w:rPr>
          <w:rStyle w:val="ui-provider"/>
          <w:noProof/>
        </w:rPr>
        <w:t xml:space="preserve">. </w:t>
      </w:r>
      <w:r w:rsidRPr="00436E0A">
        <w:rPr>
          <w:rStyle w:val="ui-provider"/>
          <w:noProof/>
        </w:rPr>
        <w:t>The subcategories of goods and services that were in previous changeovers shown to be most affected by price increases recorded the highest monthly price increases on record</w:t>
      </w:r>
      <w:r w:rsidRPr="00436E0A">
        <w:rPr>
          <w:rStyle w:val="FootnoteReference"/>
          <w:noProof/>
        </w:rPr>
        <w:footnoteReference w:id="15"/>
      </w:r>
      <w:r w:rsidRPr="00436E0A">
        <w:rPr>
          <w:rStyle w:val="ui-provider"/>
          <w:noProof/>
        </w:rPr>
        <w:t xml:space="preserve">. However, given the relatively low weight of the most affected categories and given that the other subcategories were not as affected, the overall monthly growth in the prices of services was contained at 1.2% in January 2023. On aggregate, monthly HICP inflation in January in Croatia was </w:t>
      </w:r>
      <w:r w:rsidR="00EA1A01">
        <w:rPr>
          <w:rStyle w:val="ui-provider"/>
          <w:noProof/>
        </w:rPr>
        <w:t xml:space="preserve">contained at </w:t>
      </w:r>
      <w:r w:rsidRPr="00436E0A">
        <w:rPr>
          <w:rStyle w:val="ui-provider"/>
          <w:noProof/>
        </w:rPr>
        <w:t>0.3%</w:t>
      </w:r>
      <w:r w:rsidR="00EA1A01">
        <w:rPr>
          <w:rStyle w:val="ui-provider"/>
          <w:noProof/>
        </w:rPr>
        <w:t xml:space="preserve">, </w:t>
      </w:r>
      <w:r w:rsidR="00235A9E">
        <w:rPr>
          <w:rStyle w:val="ui-provider"/>
          <w:noProof/>
        </w:rPr>
        <w:t>and again at</w:t>
      </w:r>
      <w:r w:rsidRPr="00436E0A">
        <w:rPr>
          <w:rStyle w:val="ui-provider"/>
          <w:noProof/>
        </w:rPr>
        <w:t xml:space="preserve"> 0.</w:t>
      </w:r>
      <w:r w:rsidR="00235A9E">
        <w:rPr>
          <w:rStyle w:val="ui-provider"/>
          <w:noProof/>
        </w:rPr>
        <w:t>3</w:t>
      </w:r>
      <w:r w:rsidRPr="00436E0A">
        <w:rPr>
          <w:rStyle w:val="ui-provider"/>
          <w:noProof/>
        </w:rPr>
        <w:t xml:space="preserve">% in </w:t>
      </w:r>
      <w:r w:rsidR="00EA1A01">
        <w:rPr>
          <w:rStyle w:val="ui-provider"/>
          <w:noProof/>
        </w:rPr>
        <w:t xml:space="preserve">February. </w:t>
      </w:r>
      <w:r w:rsidRPr="00436E0A">
        <w:rPr>
          <w:rStyle w:val="ui-provider"/>
          <w:noProof/>
        </w:rPr>
        <w:t xml:space="preserve">This suggests that any impact of the unwarranted price increases was likely </w:t>
      </w:r>
      <w:r w:rsidR="00B764BF">
        <w:rPr>
          <w:rStyle w:val="ui-provider"/>
          <w:noProof/>
        </w:rPr>
        <w:t xml:space="preserve">limited to </w:t>
      </w:r>
      <w:r w:rsidRPr="00436E0A">
        <w:rPr>
          <w:rStyle w:val="ui-provider"/>
          <w:noProof/>
        </w:rPr>
        <w:t xml:space="preserve">January. </w:t>
      </w:r>
    </w:p>
    <w:p w14:paraId="7E2D9A40" w14:textId="49912B8C" w:rsidR="002032E3" w:rsidRDefault="002032E3" w:rsidP="002032E3">
      <w:pPr>
        <w:rPr>
          <w:noProof/>
        </w:rPr>
      </w:pPr>
      <w:r w:rsidRPr="00436E0A">
        <w:rPr>
          <w:noProof/>
        </w:rPr>
        <w:t xml:space="preserve">The relatively contained overall impact of the unwarranted price hikes on inflation </w:t>
      </w:r>
      <w:r w:rsidR="00B764BF">
        <w:rPr>
          <w:noProof/>
        </w:rPr>
        <w:t xml:space="preserve">is </w:t>
      </w:r>
      <w:r w:rsidRPr="00436E0A">
        <w:rPr>
          <w:noProof/>
        </w:rPr>
        <w:t xml:space="preserve">in part </w:t>
      </w:r>
      <w:r w:rsidR="00B764BF">
        <w:rPr>
          <w:noProof/>
        </w:rPr>
        <w:t xml:space="preserve">due </w:t>
      </w:r>
      <w:r w:rsidRPr="00436E0A">
        <w:rPr>
          <w:noProof/>
        </w:rPr>
        <w:t>to the swift policy response</w:t>
      </w:r>
      <w:r w:rsidR="001F3E7B">
        <w:rPr>
          <w:noProof/>
        </w:rPr>
        <w:t xml:space="preserve"> of the Croatian authorities</w:t>
      </w:r>
      <w:r w:rsidRPr="00436E0A">
        <w:rPr>
          <w:noProof/>
        </w:rPr>
        <w:t xml:space="preserve">. </w:t>
      </w:r>
      <w:r w:rsidR="001F3E7B">
        <w:rPr>
          <w:noProof/>
        </w:rPr>
        <w:t xml:space="preserve">Indeed, </w:t>
      </w:r>
      <w:r w:rsidRPr="00436E0A">
        <w:rPr>
          <w:noProof/>
        </w:rPr>
        <w:t>inspections resulted in the correction of some inflated prices and acted as a deterrent to further unwarranted price increases.</w:t>
      </w:r>
      <w:r w:rsidRPr="006955CE">
        <w:rPr>
          <w:noProof/>
        </w:rPr>
        <w:t xml:space="preserve"> </w:t>
      </w:r>
    </w:p>
    <w:p w14:paraId="36837359" w14:textId="77777777" w:rsidR="001D09A7" w:rsidRDefault="001D09A7" w:rsidP="001D09A7">
      <w:pPr>
        <w:rPr>
          <w:noProof/>
        </w:rPr>
      </w:pPr>
      <w:r w:rsidRPr="003461A5">
        <w:rPr>
          <w:noProof/>
        </w:rPr>
        <w:t xml:space="preserve">In line with the established practice following euro adoption in other Member States, Eurostat </w:t>
      </w:r>
      <w:r w:rsidR="00D92453">
        <w:rPr>
          <w:noProof/>
        </w:rPr>
        <w:t xml:space="preserve">will </w:t>
      </w:r>
      <w:r w:rsidR="003461A5" w:rsidRPr="003461A5">
        <w:rPr>
          <w:noProof/>
        </w:rPr>
        <w:t xml:space="preserve">assess </w:t>
      </w:r>
      <w:r w:rsidRPr="003461A5">
        <w:rPr>
          <w:noProof/>
        </w:rPr>
        <w:t xml:space="preserve">price developments after the euro changeover in </w:t>
      </w:r>
      <w:r w:rsidR="00F110FC" w:rsidRPr="003461A5">
        <w:rPr>
          <w:noProof/>
        </w:rPr>
        <w:t>Croatia</w:t>
      </w:r>
      <w:r w:rsidR="006A6BEF">
        <w:rPr>
          <w:noProof/>
        </w:rPr>
        <w:t>.</w:t>
      </w:r>
      <w:r w:rsidR="003461A5" w:rsidRPr="003461A5">
        <w:rPr>
          <w:noProof/>
        </w:rPr>
        <w:t xml:space="preserve"> The</w:t>
      </w:r>
      <w:r w:rsidR="003461A5">
        <w:rPr>
          <w:noProof/>
        </w:rPr>
        <w:t xml:space="preserve"> report of Eurostat can be expected </w:t>
      </w:r>
      <w:r w:rsidR="00D92453">
        <w:rPr>
          <w:noProof/>
        </w:rPr>
        <w:t xml:space="preserve">in </w:t>
      </w:r>
      <w:r w:rsidR="003461A5">
        <w:rPr>
          <w:noProof/>
        </w:rPr>
        <w:t>the second half of 2023.</w:t>
      </w:r>
      <w:r w:rsidRPr="00C0547E">
        <w:rPr>
          <w:noProof/>
        </w:rPr>
        <w:t xml:space="preserve"> </w:t>
      </w:r>
    </w:p>
    <w:p w14:paraId="6BECFEF6" w14:textId="67C9D9A2" w:rsidR="001D09A7" w:rsidRDefault="004C4374" w:rsidP="004C4374">
      <w:pPr>
        <w:pStyle w:val="ManualHeading1"/>
        <w:rPr>
          <w:noProof/>
        </w:rPr>
      </w:pPr>
      <w:r w:rsidRPr="004C4374">
        <w:t>5.</w:t>
      </w:r>
      <w:r w:rsidRPr="004C4374">
        <w:tab/>
      </w:r>
      <w:r w:rsidR="001D09A7">
        <w:rPr>
          <w:noProof/>
        </w:rPr>
        <w:t>Communication on the Euro</w:t>
      </w:r>
    </w:p>
    <w:p w14:paraId="7DFE1734" w14:textId="77777777" w:rsidR="006A6BEF" w:rsidRPr="00EA4122" w:rsidRDefault="006A6BEF" w:rsidP="006A6BEF">
      <w:pPr>
        <w:rPr>
          <w:noProof/>
        </w:rPr>
      </w:pPr>
      <w:bookmarkStart w:id="4" w:name="_Hlk129869665"/>
      <w:r w:rsidRPr="00EA4122">
        <w:rPr>
          <w:noProof/>
        </w:rPr>
        <w:t xml:space="preserve">Following the Council Decision of 12 July 2022, the Croatian authorities launched the intensive phase of their official communication campaign, ‘The euro – our money’. The campaign was in line with the national communication strategy whose general objective was to ensure that Croatia’s population is clearly, objectively, accurately, timely and properly informed of the impact and practical changes related to the changeover from </w:t>
      </w:r>
      <w:r w:rsidR="00B85D6B">
        <w:rPr>
          <w:noProof/>
        </w:rPr>
        <w:t xml:space="preserve">the </w:t>
      </w:r>
      <w:r w:rsidRPr="00EA4122">
        <w:rPr>
          <w:noProof/>
        </w:rPr>
        <w:t xml:space="preserve">kuna to </w:t>
      </w:r>
      <w:r w:rsidR="00B85D6B">
        <w:rPr>
          <w:noProof/>
        </w:rPr>
        <w:t xml:space="preserve">the </w:t>
      </w:r>
      <w:r w:rsidRPr="00EA4122">
        <w:rPr>
          <w:noProof/>
        </w:rPr>
        <w:t xml:space="preserve">euro. </w:t>
      </w:r>
    </w:p>
    <w:p w14:paraId="17CD1F34" w14:textId="77777777" w:rsidR="006A6BEF" w:rsidRPr="00EA4122" w:rsidRDefault="006A6BEF" w:rsidP="006A6BEF">
      <w:pPr>
        <w:rPr>
          <w:noProof/>
        </w:rPr>
      </w:pPr>
      <w:r w:rsidRPr="00EA4122">
        <w:rPr>
          <w:noProof/>
        </w:rPr>
        <w:t xml:space="preserve">In the framework of a Partnership Agreement and a subsequent Grant Agreement signed between the Ministry of Finance of Croatia and the European Commission, the communication campaign was co-financed by the Commission as </w:t>
      </w:r>
      <w:r w:rsidR="00B85D6B">
        <w:rPr>
          <w:noProof/>
        </w:rPr>
        <w:t xml:space="preserve">for </w:t>
      </w:r>
      <w:r w:rsidRPr="00EA4122">
        <w:rPr>
          <w:noProof/>
        </w:rPr>
        <w:t xml:space="preserve">previous changeovers (with the Commission financing up to 50% of eligible costs, up to total costs corresponding to 1 euro per resident). </w:t>
      </w:r>
    </w:p>
    <w:p w14:paraId="3332C45D" w14:textId="77777777" w:rsidR="006A6BEF" w:rsidRPr="00EA4122" w:rsidRDefault="006A6BEF" w:rsidP="006A6BEF">
      <w:pPr>
        <w:rPr>
          <w:noProof/>
          <w:lang w:val="en-US"/>
        </w:rPr>
      </w:pPr>
      <w:r w:rsidRPr="00EA4122">
        <w:rPr>
          <w:noProof/>
        </w:rPr>
        <w:t xml:space="preserve">The communication campaign aimed to inform, reassure and engage with citizens on the changeover. It targeted various groups, with a </w:t>
      </w:r>
      <w:r w:rsidRPr="00EA4122">
        <w:rPr>
          <w:noProof/>
          <w:lang w:val="en-US"/>
        </w:rPr>
        <w:t xml:space="preserve">special emphasis on vulnerable and sensitive groups such as language minorities, the elderly, citizens living in remote and sparsely populated areas, as well as blind and partially sighted people. </w:t>
      </w:r>
    </w:p>
    <w:p w14:paraId="3DA3FFA6" w14:textId="77777777" w:rsidR="006A6BEF" w:rsidRPr="00EA4122" w:rsidRDefault="006A6BEF" w:rsidP="006A6BEF">
      <w:pPr>
        <w:rPr>
          <w:noProof/>
        </w:rPr>
      </w:pPr>
      <w:r w:rsidRPr="00EA4122">
        <w:rPr>
          <w:noProof/>
        </w:rPr>
        <w:t xml:space="preserve">The campaign involved a mix of communication tools and activities, including a website (euro.hr), TV and radio spots, billboards, a </w:t>
      </w:r>
      <w:r w:rsidR="00436E0A" w:rsidRPr="00EA4122">
        <w:rPr>
          <w:noProof/>
        </w:rPr>
        <w:t>toll-free</w:t>
      </w:r>
      <w:r w:rsidRPr="00EA4122">
        <w:rPr>
          <w:noProof/>
        </w:rPr>
        <w:t xml:space="preserve"> phone number, promotional materials, a brochure </w:t>
      </w:r>
      <w:r w:rsidRPr="0001181D">
        <w:rPr>
          <w:noProof/>
        </w:rPr>
        <w:t>(1.45</w:t>
      </w:r>
      <w:r w:rsidRPr="00EA4122">
        <w:rPr>
          <w:noProof/>
        </w:rPr>
        <w:t xml:space="preserve"> million copies) distributed to households in cooperation with the Croatian Post, educational material for children, ‘Euro days’ events in different cities and the ‘Euro on wheels’, a travelling euro exhibition with stops in </w:t>
      </w:r>
      <w:r w:rsidRPr="00AF3AD0">
        <w:rPr>
          <w:noProof/>
        </w:rPr>
        <w:t>27</w:t>
      </w:r>
      <w:r w:rsidRPr="00EA4122">
        <w:rPr>
          <w:noProof/>
        </w:rPr>
        <w:t xml:space="preserve"> cities across the country.  </w:t>
      </w:r>
    </w:p>
    <w:p w14:paraId="5793514E" w14:textId="77777777" w:rsidR="006A6BEF" w:rsidRPr="00EA4122" w:rsidRDefault="006A6BEF" w:rsidP="006A6BEF">
      <w:pPr>
        <w:rPr>
          <w:noProof/>
        </w:rPr>
      </w:pPr>
      <w:r w:rsidRPr="00EA4122">
        <w:rPr>
          <w:noProof/>
        </w:rPr>
        <w:t xml:space="preserve">Most activities were performed in cooperation with external contractors, with the completion of six public procurement processes allowing </w:t>
      </w:r>
      <w:r w:rsidR="00B85D6B">
        <w:rPr>
          <w:noProof/>
        </w:rPr>
        <w:t xml:space="preserve">the authorities </w:t>
      </w:r>
      <w:r w:rsidRPr="00EA4122">
        <w:rPr>
          <w:noProof/>
        </w:rPr>
        <w:t xml:space="preserve">to benefit from the services of specialised companies. While the limited time available between the positive convergence report and the changeover posed challenges, the cooperation with contractors was judged satisfactory by the Croatian </w:t>
      </w:r>
      <w:r w:rsidR="00B85D6B">
        <w:rPr>
          <w:noProof/>
        </w:rPr>
        <w:t>authorities</w:t>
      </w:r>
      <w:r w:rsidRPr="00EA4122">
        <w:rPr>
          <w:noProof/>
        </w:rPr>
        <w:t>.</w:t>
      </w:r>
    </w:p>
    <w:p w14:paraId="49A2FA8C" w14:textId="77777777" w:rsidR="006A6BEF" w:rsidRPr="00EA4122" w:rsidRDefault="00436E0A" w:rsidP="006A6BEF">
      <w:pPr>
        <w:rPr>
          <w:noProof/>
        </w:rPr>
      </w:pPr>
      <w:r w:rsidRPr="00EA4122">
        <w:rPr>
          <w:noProof/>
        </w:rPr>
        <w:t>Considering</w:t>
      </w:r>
      <w:r w:rsidR="006A6BEF" w:rsidRPr="00EA4122">
        <w:rPr>
          <w:noProof/>
        </w:rPr>
        <w:t xml:space="preserve"> public concerns about the possible effects of the changeover on prices, a close media monitoring was done, and inspections were undertaken by the Croatian authorities during the changeover to monitor and address abusive price practices. Such government activities, combined with the publication of </w:t>
      </w:r>
      <w:r w:rsidR="00B85D6B">
        <w:rPr>
          <w:noProof/>
        </w:rPr>
        <w:t xml:space="preserve">actual </w:t>
      </w:r>
      <w:r w:rsidR="006A6BEF" w:rsidRPr="00EA4122">
        <w:rPr>
          <w:noProof/>
        </w:rPr>
        <w:t xml:space="preserve">inflation data </w:t>
      </w:r>
      <w:r w:rsidR="00B85D6B">
        <w:rPr>
          <w:noProof/>
        </w:rPr>
        <w:t xml:space="preserve">for the changeover period </w:t>
      </w:r>
      <w:r w:rsidR="006A6BEF" w:rsidRPr="00EA4122">
        <w:rPr>
          <w:noProof/>
        </w:rPr>
        <w:t>on 1 February, alleviated the concerns</w:t>
      </w:r>
      <w:r w:rsidR="00B85D6B">
        <w:rPr>
          <w:noProof/>
        </w:rPr>
        <w:t xml:space="preserve"> in part</w:t>
      </w:r>
      <w:r w:rsidR="006A6BEF" w:rsidRPr="00EA4122">
        <w:rPr>
          <w:noProof/>
        </w:rPr>
        <w:t>, at least judging from the more limited number of press articles reporting cases of changeover related price increase</w:t>
      </w:r>
      <w:r w:rsidR="00B85D6B">
        <w:rPr>
          <w:noProof/>
        </w:rPr>
        <w:t>s</w:t>
      </w:r>
      <w:r w:rsidR="006A6BEF" w:rsidRPr="00EA4122">
        <w:rPr>
          <w:noProof/>
        </w:rPr>
        <w:t>.</w:t>
      </w:r>
    </w:p>
    <w:p w14:paraId="0C72A534" w14:textId="1D63CD51" w:rsidR="00FA13FE" w:rsidRDefault="006A6BEF" w:rsidP="006A6BEF">
      <w:pPr>
        <w:rPr>
          <w:noProof/>
        </w:rPr>
      </w:pPr>
      <w:r w:rsidRPr="00EA4122">
        <w:rPr>
          <w:noProof/>
        </w:rPr>
        <w:t xml:space="preserve">The communication campaign contributed to a smooth changeover to the euro, </w:t>
      </w:r>
      <w:r w:rsidR="00B85D6B">
        <w:rPr>
          <w:noProof/>
        </w:rPr>
        <w:t xml:space="preserve">as </w:t>
      </w:r>
      <w:r w:rsidRPr="00EA4122">
        <w:rPr>
          <w:noProof/>
        </w:rPr>
        <w:t>confirmed by a</w:t>
      </w:r>
      <w:r w:rsidR="00B85D6B">
        <w:rPr>
          <w:noProof/>
        </w:rPr>
        <w:t xml:space="preserve"> Eurobarometer</w:t>
      </w:r>
      <w:r w:rsidRPr="00EA4122">
        <w:rPr>
          <w:noProof/>
        </w:rPr>
        <w:t xml:space="preserve"> survey showing that 88% of citizens felt well-informed o</w:t>
      </w:r>
      <w:r w:rsidR="00B85D6B">
        <w:rPr>
          <w:noProof/>
        </w:rPr>
        <w:t>n</w:t>
      </w:r>
      <w:r w:rsidRPr="00EA4122">
        <w:rPr>
          <w:noProof/>
        </w:rPr>
        <w:t xml:space="preserve"> the introduction of the euro</w:t>
      </w:r>
      <w:r w:rsidR="00B85D6B">
        <w:rPr>
          <w:noProof/>
        </w:rPr>
        <w:t>;</w:t>
      </w:r>
      <w:r w:rsidRPr="00EA4122">
        <w:rPr>
          <w:noProof/>
        </w:rPr>
        <w:t xml:space="preserve"> </w:t>
      </w:r>
      <w:r w:rsidRPr="00EA4122">
        <w:rPr>
          <w:noProof/>
          <w:color w:val="000000"/>
          <w:lang w:val="en-IE" w:eastAsia="en-IE"/>
        </w:rPr>
        <w:t>61% found the process to be smooth and efficient</w:t>
      </w:r>
      <w:r w:rsidR="00B85D6B">
        <w:rPr>
          <w:noProof/>
          <w:color w:val="000000"/>
          <w:lang w:val="en-IE" w:eastAsia="en-IE"/>
        </w:rPr>
        <w:t>;</w:t>
      </w:r>
      <w:r w:rsidRPr="00EA4122">
        <w:rPr>
          <w:noProof/>
          <w:color w:val="000000"/>
          <w:lang w:val="en-IE" w:eastAsia="en-IE"/>
        </w:rPr>
        <w:t xml:space="preserve"> </w:t>
      </w:r>
      <w:r w:rsidR="00B85D6B">
        <w:rPr>
          <w:noProof/>
          <w:color w:val="000000"/>
          <w:lang w:val="en-IE" w:eastAsia="en-IE"/>
        </w:rPr>
        <w:t xml:space="preserve">and </w:t>
      </w:r>
      <w:r w:rsidRPr="00EA4122">
        <w:rPr>
          <w:noProof/>
          <w:color w:val="000000"/>
          <w:lang w:val="en-IE" w:eastAsia="en-IE"/>
        </w:rPr>
        <w:t>81% said that they experienced no problems when exchanging kuna cash into euro or when they withdrew cash from banks in the first week</w:t>
      </w:r>
      <w:r w:rsidRPr="00EA4122">
        <w:rPr>
          <w:rStyle w:val="FootnoteReference"/>
          <w:noProof/>
        </w:rPr>
        <w:footnoteReference w:id="16"/>
      </w:r>
      <w:r w:rsidRPr="00EA4122">
        <w:rPr>
          <w:noProof/>
        </w:rPr>
        <w:t xml:space="preserve">.  Moreover, </w:t>
      </w:r>
      <w:r w:rsidR="00436E0A">
        <w:rPr>
          <w:noProof/>
        </w:rPr>
        <w:t>the Croatian authorities report that</w:t>
      </w:r>
      <w:r w:rsidR="00A157B6">
        <w:rPr>
          <w:noProof/>
        </w:rPr>
        <w:t xml:space="preserve"> </w:t>
      </w:r>
      <w:r w:rsidRPr="00EA4122">
        <w:rPr>
          <w:noProof/>
        </w:rPr>
        <w:t xml:space="preserve">according to the </w:t>
      </w:r>
      <w:r w:rsidR="00A042C1">
        <w:rPr>
          <w:noProof/>
        </w:rPr>
        <w:t xml:space="preserve">third </w:t>
      </w:r>
      <w:r w:rsidR="00851D7D" w:rsidRPr="00EA4122">
        <w:rPr>
          <w:noProof/>
        </w:rPr>
        <w:t>wave</w:t>
      </w:r>
      <w:r w:rsidR="00851D7D">
        <w:rPr>
          <w:noProof/>
        </w:rPr>
        <w:t xml:space="preserve"> </w:t>
      </w:r>
      <w:r w:rsidR="00851D7D" w:rsidRPr="00EA4122">
        <w:rPr>
          <w:noProof/>
        </w:rPr>
        <w:t>of</w:t>
      </w:r>
      <w:r w:rsidRPr="00EA4122">
        <w:rPr>
          <w:noProof/>
        </w:rPr>
        <w:t xml:space="preserve"> </w:t>
      </w:r>
      <w:r w:rsidR="00A042C1">
        <w:rPr>
          <w:noProof/>
        </w:rPr>
        <w:t xml:space="preserve">the </w:t>
      </w:r>
      <w:r w:rsidRPr="00EA4122">
        <w:rPr>
          <w:noProof/>
        </w:rPr>
        <w:t xml:space="preserve">national public opinion polls carried out </w:t>
      </w:r>
      <w:r w:rsidR="00A042C1">
        <w:rPr>
          <w:noProof/>
        </w:rPr>
        <w:t>in February 2023</w:t>
      </w:r>
      <w:r w:rsidRPr="00EA4122">
        <w:rPr>
          <w:noProof/>
        </w:rPr>
        <w:t>, around 6</w:t>
      </w:r>
      <w:r w:rsidR="00A042C1">
        <w:rPr>
          <w:noProof/>
        </w:rPr>
        <w:t>4</w:t>
      </w:r>
      <w:r w:rsidRPr="00EA4122">
        <w:rPr>
          <w:noProof/>
        </w:rPr>
        <w:t xml:space="preserve">% of respondents support the introduction of the euro, while 30% oppose </w:t>
      </w:r>
      <w:r w:rsidR="001271ED">
        <w:rPr>
          <w:noProof/>
        </w:rPr>
        <w:t xml:space="preserve">its </w:t>
      </w:r>
      <w:r w:rsidRPr="00EA4122">
        <w:rPr>
          <w:noProof/>
        </w:rPr>
        <w:t xml:space="preserve">introduction. </w:t>
      </w:r>
      <w:r w:rsidR="00A042C1">
        <w:rPr>
          <w:noProof/>
        </w:rPr>
        <w:t>91% felt well</w:t>
      </w:r>
      <w:r w:rsidR="0013332C">
        <w:rPr>
          <w:noProof/>
        </w:rPr>
        <w:t>-</w:t>
      </w:r>
      <w:r w:rsidR="00A042C1">
        <w:rPr>
          <w:noProof/>
        </w:rPr>
        <w:t xml:space="preserve">informed </w:t>
      </w:r>
      <w:r w:rsidR="0013332C">
        <w:rPr>
          <w:noProof/>
        </w:rPr>
        <w:t>on</w:t>
      </w:r>
      <w:r w:rsidR="00A042C1">
        <w:rPr>
          <w:noProof/>
        </w:rPr>
        <w:t xml:space="preserve"> the introduction of the euro, </w:t>
      </w:r>
      <w:r w:rsidRPr="00EA4122">
        <w:rPr>
          <w:noProof/>
        </w:rPr>
        <w:t>8</w:t>
      </w:r>
      <w:r w:rsidR="00A042C1">
        <w:rPr>
          <w:noProof/>
        </w:rPr>
        <w:t>7</w:t>
      </w:r>
      <w:r w:rsidRPr="00EA4122">
        <w:rPr>
          <w:noProof/>
        </w:rPr>
        <w:t xml:space="preserve">% indicated television as their main source of information against </w:t>
      </w:r>
      <w:r w:rsidR="00A042C1">
        <w:rPr>
          <w:noProof/>
        </w:rPr>
        <w:t>3</w:t>
      </w:r>
      <w:r w:rsidR="006B2253">
        <w:rPr>
          <w:noProof/>
        </w:rPr>
        <w:t>6</w:t>
      </w:r>
      <w:r w:rsidRPr="00EA4122">
        <w:rPr>
          <w:noProof/>
        </w:rPr>
        <w:t>% for radio</w:t>
      </w:r>
      <w:r w:rsidR="0013332C">
        <w:rPr>
          <w:noProof/>
        </w:rPr>
        <w:t xml:space="preserve"> and 38% for social networks</w:t>
      </w:r>
      <w:r w:rsidRPr="00EA4122">
        <w:rPr>
          <w:noProof/>
        </w:rPr>
        <w:t xml:space="preserve">. </w:t>
      </w:r>
    </w:p>
    <w:p w14:paraId="2538754A" w14:textId="77777777" w:rsidR="006A6BEF" w:rsidRPr="00EA4122" w:rsidRDefault="00FA13FE" w:rsidP="006A6BEF">
      <w:pPr>
        <w:rPr>
          <w:noProof/>
        </w:rPr>
      </w:pPr>
      <w:r>
        <w:rPr>
          <w:noProof/>
        </w:rPr>
        <w:t xml:space="preserve">In </w:t>
      </w:r>
      <w:r w:rsidRPr="00EA4122">
        <w:rPr>
          <w:noProof/>
          <w:lang w:val="en-US"/>
        </w:rPr>
        <w:t xml:space="preserve">addition to supporting Croatia’s national communication campaign with advice and financial resources, the Commission implemented </w:t>
      </w:r>
      <w:r>
        <w:rPr>
          <w:noProof/>
          <w:lang w:val="en-US"/>
        </w:rPr>
        <w:t xml:space="preserve">its </w:t>
      </w:r>
      <w:r w:rsidRPr="00EA4122">
        <w:rPr>
          <w:noProof/>
          <w:lang w:val="en-US"/>
        </w:rPr>
        <w:t>own communication activities in the run-up to and during the changeover, in line with what was done for previous</w:t>
      </w:r>
      <w:r>
        <w:rPr>
          <w:noProof/>
          <w:lang w:val="en-US"/>
        </w:rPr>
        <w:t xml:space="preserve"> changeovers.</w:t>
      </w:r>
    </w:p>
    <w:p w14:paraId="01F8509C" w14:textId="75556328" w:rsidR="000863EE" w:rsidRPr="0074528C" w:rsidRDefault="004C4374" w:rsidP="004C4374">
      <w:pPr>
        <w:pStyle w:val="ManualHeading1"/>
        <w:rPr>
          <w:noProof/>
          <w:lang w:val="en-US"/>
        </w:rPr>
      </w:pPr>
      <w:bookmarkStart w:id="5" w:name="_Hlk129869794"/>
      <w:bookmarkEnd w:id="4"/>
      <w:r w:rsidRPr="004C4374">
        <w:t>6.</w:t>
      </w:r>
      <w:r w:rsidRPr="004C4374">
        <w:tab/>
      </w:r>
      <w:r w:rsidR="00CE1728">
        <w:rPr>
          <w:noProof/>
          <w:lang w:val="en-US"/>
        </w:rPr>
        <w:t xml:space="preserve">Conclusions </w:t>
      </w:r>
      <w:r w:rsidR="009C65E1">
        <w:rPr>
          <w:noProof/>
          <w:lang w:val="en-US"/>
        </w:rPr>
        <w:t xml:space="preserve">on </w:t>
      </w:r>
      <w:r w:rsidR="001D7784">
        <w:rPr>
          <w:noProof/>
          <w:lang w:val="en-US"/>
        </w:rPr>
        <w:t xml:space="preserve">the Croatian Euro Changeover </w:t>
      </w:r>
      <w:r w:rsidR="00CE1728">
        <w:rPr>
          <w:noProof/>
          <w:lang w:val="en-US"/>
        </w:rPr>
        <w:t xml:space="preserve">and </w:t>
      </w:r>
      <w:r w:rsidR="00A157B6">
        <w:rPr>
          <w:noProof/>
          <w:lang w:val="en-US"/>
        </w:rPr>
        <w:t>R</w:t>
      </w:r>
      <w:r w:rsidR="000863EE" w:rsidRPr="0074528C">
        <w:rPr>
          <w:noProof/>
          <w:lang w:val="en-US"/>
        </w:rPr>
        <w:t>ecommendations</w:t>
      </w:r>
      <w:r w:rsidR="006104A1">
        <w:rPr>
          <w:noProof/>
          <w:lang w:val="en-US"/>
        </w:rPr>
        <w:t xml:space="preserve"> for </w:t>
      </w:r>
      <w:r w:rsidR="009C65E1">
        <w:rPr>
          <w:noProof/>
          <w:lang w:val="en-US"/>
        </w:rPr>
        <w:t xml:space="preserve"> </w:t>
      </w:r>
      <w:r w:rsidR="006104A1">
        <w:rPr>
          <w:noProof/>
          <w:lang w:val="en-US"/>
        </w:rPr>
        <w:t xml:space="preserve">future </w:t>
      </w:r>
      <w:r w:rsidR="001D7784">
        <w:rPr>
          <w:noProof/>
          <w:lang w:val="en-US"/>
        </w:rPr>
        <w:t>E</w:t>
      </w:r>
      <w:r w:rsidR="006104A1">
        <w:rPr>
          <w:noProof/>
          <w:lang w:val="en-US"/>
        </w:rPr>
        <w:t xml:space="preserve">uro </w:t>
      </w:r>
      <w:r w:rsidR="001D7784">
        <w:rPr>
          <w:noProof/>
          <w:lang w:val="en-US"/>
        </w:rPr>
        <w:t>C</w:t>
      </w:r>
      <w:r w:rsidR="006104A1">
        <w:rPr>
          <w:noProof/>
          <w:lang w:val="en-US"/>
        </w:rPr>
        <w:t>hangeovers</w:t>
      </w:r>
    </w:p>
    <w:bookmarkEnd w:id="5"/>
    <w:p w14:paraId="2E39110B" w14:textId="77777777" w:rsidR="00CE1728" w:rsidRDefault="00CE1728" w:rsidP="00CE1728">
      <w:pPr>
        <w:rPr>
          <w:noProof/>
          <w:lang w:val="en-US"/>
        </w:rPr>
      </w:pPr>
      <w:r w:rsidRPr="00CE1728">
        <w:rPr>
          <w:noProof/>
          <w:lang w:val="en-US"/>
        </w:rPr>
        <w:t>The cash changeover in Croatia was well prepared and organi</w:t>
      </w:r>
      <w:r w:rsidR="007C47EB">
        <w:rPr>
          <w:noProof/>
          <w:lang w:val="en-US"/>
        </w:rPr>
        <w:t>s</w:t>
      </w:r>
      <w:r w:rsidRPr="00CE1728">
        <w:rPr>
          <w:noProof/>
          <w:lang w:val="en-US"/>
        </w:rPr>
        <w:t>ed.</w:t>
      </w:r>
      <w:r>
        <w:rPr>
          <w:noProof/>
          <w:lang w:val="en-US"/>
        </w:rPr>
        <w:t xml:space="preserve"> </w:t>
      </w:r>
      <w:r w:rsidRPr="00CE1728">
        <w:rPr>
          <w:noProof/>
          <w:lang w:val="en-US"/>
        </w:rPr>
        <w:t>Financial institutions, businesses and citizens were adequately supplied with euro cash in advance of the changeover.</w:t>
      </w:r>
    </w:p>
    <w:p w14:paraId="5E4F9875" w14:textId="77777777" w:rsidR="00870E69" w:rsidRDefault="00870E69" w:rsidP="00870E69">
      <w:pPr>
        <w:numPr>
          <w:ilvl w:val="0"/>
          <w:numId w:val="45"/>
        </w:numPr>
        <w:rPr>
          <w:noProof/>
          <w:lang w:val="en-US"/>
        </w:rPr>
      </w:pPr>
      <w:r w:rsidRPr="007C32EC">
        <w:rPr>
          <w:noProof/>
          <w:lang w:val="en-US"/>
        </w:rPr>
        <w:t xml:space="preserve">In future changeovers, euro coins, which are produced by the national mint, should be tested in vending machines used across the euro area as early as possible to </w:t>
      </w:r>
      <w:r w:rsidR="007C47EB">
        <w:rPr>
          <w:noProof/>
          <w:lang w:val="en-US"/>
        </w:rPr>
        <w:t xml:space="preserve">ensure </w:t>
      </w:r>
      <w:r w:rsidRPr="007C32EC">
        <w:rPr>
          <w:noProof/>
          <w:lang w:val="en-US"/>
        </w:rPr>
        <w:t>their fitness for circulation</w:t>
      </w:r>
      <w:r w:rsidRPr="005E5D01">
        <w:rPr>
          <w:noProof/>
          <w:lang w:val="en-US"/>
        </w:rPr>
        <w:t xml:space="preserve"> </w:t>
      </w:r>
      <w:r w:rsidRPr="007C32EC">
        <w:rPr>
          <w:noProof/>
          <w:lang w:val="en-US"/>
        </w:rPr>
        <w:t>upfront</w:t>
      </w:r>
      <w:r>
        <w:rPr>
          <w:noProof/>
          <w:lang w:val="en-US"/>
        </w:rPr>
        <w:t xml:space="preserve"> and </w:t>
      </w:r>
      <w:r w:rsidR="007C47EB">
        <w:rPr>
          <w:noProof/>
          <w:lang w:val="en-US"/>
        </w:rPr>
        <w:t xml:space="preserve">avoid </w:t>
      </w:r>
      <w:r>
        <w:rPr>
          <w:noProof/>
          <w:lang w:val="en-US"/>
        </w:rPr>
        <w:t>potential delays in minting and frontloading of the coins</w:t>
      </w:r>
      <w:r w:rsidRPr="007C32EC">
        <w:rPr>
          <w:noProof/>
          <w:lang w:val="en-US"/>
        </w:rPr>
        <w:t>.</w:t>
      </w:r>
    </w:p>
    <w:p w14:paraId="2E989998" w14:textId="77777777" w:rsidR="00CE1728" w:rsidRDefault="00CE1728" w:rsidP="00CE1728">
      <w:pPr>
        <w:rPr>
          <w:bCs/>
          <w:noProof/>
          <w:lang w:val="en-US"/>
        </w:rPr>
      </w:pPr>
      <w:r w:rsidRPr="00CE1728">
        <w:rPr>
          <w:bCs/>
          <w:noProof/>
          <w:lang w:val="en-US"/>
        </w:rPr>
        <w:t xml:space="preserve">The cash changeover in Croatia went smoothly. ATMs and point of sale-terminals were converted on time. Financial institutions, FINA and post offices coped well with the extra workload during the dual circulation period. Retailers </w:t>
      </w:r>
      <w:r w:rsidR="007C47EB">
        <w:rPr>
          <w:bCs/>
          <w:noProof/>
          <w:lang w:val="en-US"/>
        </w:rPr>
        <w:t xml:space="preserve">coped </w:t>
      </w:r>
      <w:r w:rsidRPr="00CE1728">
        <w:rPr>
          <w:bCs/>
          <w:noProof/>
          <w:lang w:val="en-US"/>
        </w:rPr>
        <w:t>well with the challenges of the changeover process and the handling of two currencies at the same time. They were well supplied with euro cash and pursuant to a Commission survey, already on 2 January 2023, 81% of the citizens polled received change in euro only.</w:t>
      </w:r>
      <w:r w:rsidRPr="00CE1728">
        <w:rPr>
          <w:bCs/>
          <w:noProof/>
          <w:vertAlign w:val="superscript"/>
          <w:lang w:val="en-US"/>
        </w:rPr>
        <w:footnoteReference w:id="17"/>
      </w:r>
    </w:p>
    <w:p w14:paraId="2F4934EF" w14:textId="77777777" w:rsidR="0073602B" w:rsidRDefault="00A157B6" w:rsidP="0073602B">
      <w:pPr>
        <w:rPr>
          <w:noProof/>
          <w:lang w:val="en-US"/>
        </w:rPr>
      </w:pPr>
      <w:r>
        <w:rPr>
          <w:bCs/>
          <w:noProof/>
          <w:lang w:val="en-US"/>
        </w:rPr>
        <w:t>T</w:t>
      </w:r>
      <w:r w:rsidR="005D6650">
        <w:rPr>
          <w:bCs/>
          <w:noProof/>
          <w:lang w:val="en-US"/>
        </w:rPr>
        <w:t xml:space="preserve">he conditions of the Croatian changeover were particularly </w:t>
      </w:r>
      <w:r>
        <w:rPr>
          <w:bCs/>
          <w:noProof/>
          <w:lang w:val="en-US"/>
        </w:rPr>
        <w:t>challenging</w:t>
      </w:r>
      <w:r w:rsidR="005D6650">
        <w:rPr>
          <w:bCs/>
          <w:noProof/>
          <w:lang w:val="en-US"/>
        </w:rPr>
        <w:t xml:space="preserve"> compared to recent changeovers because the changeover took place in a high inflation environment.</w:t>
      </w:r>
      <w:r w:rsidR="0073602B">
        <w:rPr>
          <w:bCs/>
          <w:noProof/>
          <w:lang w:val="en-US"/>
        </w:rPr>
        <w:t xml:space="preserve"> </w:t>
      </w:r>
      <w:r w:rsidR="0073602B" w:rsidRPr="00CE1728">
        <w:rPr>
          <w:noProof/>
          <w:lang w:val="en-US"/>
        </w:rPr>
        <w:t xml:space="preserve">Croatia </w:t>
      </w:r>
      <w:r w:rsidR="0073602B">
        <w:rPr>
          <w:noProof/>
          <w:lang w:val="en-US"/>
        </w:rPr>
        <w:t xml:space="preserve">started the </w:t>
      </w:r>
      <w:r w:rsidR="0073602B" w:rsidRPr="00CE1728">
        <w:rPr>
          <w:noProof/>
          <w:lang w:val="en-US"/>
        </w:rPr>
        <w:t>dual display of prices</w:t>
      </w:r>
      <w:r w:rsidR="0073602B">
        <w:rPr>
          <w:noProof/>
          <w:lang w:val="en-US"/>
        </w:rPr>
        <w:t xml:space="preserve"> in September 2022 and set up a</w:t>
      </w:r>
      <w:r w:rsidR="0073602B" w:rsidRPr="00CE1728">
        <w:rPr>
          <w:noProof/>
          <w:lang w:val="en-US"/>
        </w:rPr>
        <w:t xml:space="preserve"> Business Code of Ethics in line with the recommendations of the Commission</w:t>
      </w:r>
      <w:r w:rsidR="0073602B" w:rsidRPr="00CE1728">
        <w:rPr>
          <w:noProof/>
          <w:vertAlign w:val="superscript"/>
          <w:lang w:val="en-US"/>
        </w:rPr>
        <w:footnoteReference w:id="18"/>
      </w:r>
      <w:r w:rsidR="0073602B">
        <w:rPr>
          <w:noProof/>
          <w:lang w:val="en-US"/>
        </w:rPr>
        <w:t xml:space="preserve"> to which every retailer, business or service provider could subscribe</w:t>
      </w:r>
      <w:r w:rsidR="0073602B" w:rsidRPr="00CE1728">
        <w:rPr>
          <w:noProof/>
          <w:lang w:val="en-US"/>
        </w:rPr>
        <w:t>.</w:t>
      </w:r>
    </w:p>
    <w:p w14:paraId="26809110" w14:textId="77777777" w:rsidR="009C65E1" w:rsidRDefault="0073602B" w:rsidP="00CE1728">
      <w:pPr>
        <w:rPr>
          <w:bCs/>
          <w:noProof/>
          <w:lang w:val="en-US"/>
        </w:rPr>
      </w:pPr>
      <w:r w:rsidRPr="0073602B">
        <w:rPr>
          <w:bCs/>
          <w:noProof/>
          <w:lang w:val="en-US"/>
        </w:rPr>
        <w:t>The Croatian authorities should continue with intensive price inspections to ensure that the prices are correctly indicated, curb unwarranted increases and, where applicable, enforce the duties under the Act on the Introduction of the Euro, Consumer Protection Act and Business Code of Ethics.</w:t>
      </w:r>
    </w:p>
    <w:p w14:paraId="2D49DD4B" w14:textId="7E8C32E3" w:rsidR="009C65E1" w:rsidRPr="008828C7" w:rsidRDefault="009C65E1" w:rsidP="009C65E1">
      <w:pPr>
        <w:numPr>
          <w:ilvl w:val="0"/>
          <w:numId w:val="45"/>
        </w:numPr>
        <w:rPr>
          <w:noProof/>
          <w:lang w:val="en-US"/>
        </w:rPr>
      </w:pPr>
      <w:r>
        <w:rPr>
          <w:noProof/>
          <w:lang w:val="en-US"/>
        </w:rPr>
        <w:t xml:space="preserve">In future changeovers, price monitoring </w:t>
      </w:r>
      <w:r w:rsidR="0073602B">
        <w:rPr>
          <w:noProof/>
          <w:lang w:val="en-US"/>
        </w:rPr>
        <w:t xml:space="preserve">should be </w:t>
      </w:r>
      <w:r w:rsidR="00B340F9">
        <w:rPr>
          <w:noProof/>
          <w:lang w:val="en-US"/>
        </w:rPr>
        <w:t xml:space="preserve">especially intense </w:t>
      </w:r>
      <w:r w:rsidR="0073602B">
        <w:rPr>
          <w:noProof/>
          <w:lang w:val="en-US"/>
        </w:rPr>
        <w:t>in respect of sectors most at risk</w:t>
      </w:r>
      <w:r>
        <w:rPr>
          <w:noProof/>
          <w:lang w:val="en-US"/>
        </w:rPr>
        <w:t xml:space="preserve">, so that unwarranted price increases can be identified swiftly. This would enable to better focus inspections and policy towards offenders, while also reducing the prominence of anecdotal evidence and dispelling unfounded concerns in the public discourse.  </w:t>
      </w:r>
    </w:p>
    <w:p w14:paraId="7DCCDB68" w14:textId="77777777" w:rsidR="009C65E1" w:rsidRDefault="009C65E1" w:rsidP="009C65E1">
      <w:pPr>
        <w:numPr>
          <w:ilvl w:val="0"/>
          <w:numId w:val="45"/>
        </w:numPr>
        <w:rPr>
          <w:noProof/>
          <w:lang w:val="en-US"/>
        </w:rPr>
      </w:pPr>
      <w:r>
        <w:rPr>
          <w:noProof/>
          <w:lang w:val="en-US"/>
        </w:rPr>
        <w:t>In future changeovers, attention should be paid to roll</w:t>
      </w:r>
      <w:r w:rsidR="007C47EB">
        <w:rPr>
          <w:noProof/>
          <w:lang w:val="en-US"/>
        </w:rPr>
        <w:t>ing</w:t>
      </w:r>
      <w:r>
        <w:rPr>
          <w:noProof/>
          <w:lang w:val="en-US"/>
        </w:rPr>
        <w:t xml:space="preserve"> out a Business Code of Ethics or the like as early as possible to reach a maximum of businesses. Smaller and micro enterprises as well as service providers should be encouraged </w:t>
      </w:r>
      <w:r w:rsidR="00A157B6">
        <w:rPr>
          <w:noProof/>
          <w:lang w:val="en-US"/>
        </w:rPr>
        <w:t xml:space="preserve">actively </w:t>
      </w:r>
      <w:r>
        <w:rPr>
          <w:noProof/>
          <w:lang w:val="en-US"/>
        </w:rPr>
        <w:t>to join such a scheme because by experience these businesses are the most reluctant to join.</w:t>
      </w:r>
      <w:r w:rsidR="001D7784">
        <w:rPr>
          <w:noProof/>
          <w:lang w:val="en-US"/>
        </w:rPr>
        <w:t xml:space="preserve"> National authorities should increase the number of price inspectors during the changeover perio</w:t>
      </w:r>
      <w:r w:rsidR="00B42A2C">
        <w:rPr>
          <w:noProof/>
          <w:lang w:val="en-US"/>
        </w:rPr>
        <w:t>d and in the end of the year period in particular</w:t>
      </w:r>
      <w:r w:rsidR="001D7784">
        <w:rPr>
          <w:noProof/>
          <w:lang w:val="en-US"/>
        </w:rPr>
        <w:t>.</w:t>
      </w:r>
    </w:p>
    <w:p w14:paraId="370A194C" w14:textId="7CEBA3D1" w:rsidR="009C65E1" w:rsidRDefault="008828C7" w:rsidP="009C65E1">
      <w:pPr>
        <w:rPr>
          <w:noProof/>
          <w:lang w:val="en-US"/>
        </w:rPr>
      </w:pPr>
      <w:r>
        <w:rPr>
          <w:noProof/>
          <w:lang w:val="en-US"/>
        </w:rPr>
        <w:t>As dual price indication comes with a cost</w:t>
      </w:r>
      <w:r w:rsidR="00ED73CF">
        <w:rPr>
          <w:noProof/>
          <w:lang w:val="en-US"/>
        </w:rPr>
        <w:t xml:space="preserve"> and citizens are </w:t>
      </w:r>
      <w:r w:rsidR="00B2027B">
        <w:rPr>
          <w:noProof/>
          <w:lang w:val="en-US"/>
        </w:rPr>
        <w:t xml:space="preserve">relatively </w:t>
      </w:r>
      <w:r w:rsidR="00ED73CF">
        <w:rPr>
          <w:noProof/>
          <w:lang w:val="en-US"/>
        </w:rPr>
        <w:t xml:space="preserve">quickly acquainted with the single currency, </w:t>
      </w:r>
      <w:r w:rsidR="00B2027B">
        <w:rPr>
          <w:noProof/>
          <w:lang w:val="en-US"/>
        </w:rPr>
        <w:t xml:space="preserve">the </w:t>
      </w:r>
      <w:r w:rsidR="00AA07B4">
        <w:rPr>
          <w:noProof/>
          <w:lang w:val="en-US"/>
        </w:rPr>
        <w:t xml:space="preserve">obligatory </w:t>
      </w:r>
      <w:r>
        <w:rPr>
          <w:noProof/>
          <w:lang w:val="en-US"/>
        </w:rPr>
        <w:t xml:space="preserve">period of dual price indication </w:t>
      </w:r>
      <w:r w:rsidR="00B2027B">
        <w:rPr>
          <w:noProof/>
          <w:lang w:val="en-US"/>
        </w:rPr>
        <w:t xml:space="preserve">could be shortened to one year rather than last until the </w:t>
      </w:r>
      <w:r>
        <w:rPr>
          <w:noProof/>
          <w:lang w:val="en-US"/>
        </w:rPr>
        <w:t>31 December</w:t>
      </w:r>
      <w:r w:rsidR="00AA07B4">
        <w:rPr>
          <w:noProof/>
          <w:lang w:val="en-US"/>
        </w:rPr>
        <w:t xml:space="preserve"> of the year of the changeover</w:t>
      </w:r>
      <w:r w:rsidR="00B2027B">
        <w:rPr>
          <w:noProof/>
          <w:lang w:val="en-US"/>
        </w:rPr>
        <w:t>.</w:t>
      </w:r>
    </w:p>
    <w:p w14:paraId="19793D79" w14:textId="60E0DE29" w:rsidR="008828C7" w:rsidRPr="00870E69" w:rsidRDefault="00B2027B" w:rsidP="009C65E1">
      <w:pPr>
        <w:numPr>
          <w:ilvl w:val="0"/>
          <w:numId w:val="45"/>
        </w:numPr>
        <w:rPr>
          <w:noProof/>
          <w:lang w:val="en-US"/>
        </w:rPr>
      </w:pPr>
      <w:r>
        <w:rPr>
          <w:noProof/>
          <w:lang w:val="en-US"/>
        </w:rPr>
        <w:t>Es</w:t>
      </w:r>
      <w:r w:rsidR="007C47EB">
        <w:rPr>
          <w:noProof/>
          <w:lang w:val="en-US"/>
        </w:rPr>
        <w:t>pecially where</w:t>
      </w:r>
      <w:r w:rsidR="008828C7">
        <w:rPr>
          <w:noProof/>
          <w:lang w:val="en-US"/>
        </w:rPr>
        <w:t xml:space="preserve"> a fair euro </w:t>
      </w:r>
      <w:r w:rsidR="008828C7" w:rsidRPr="0001181D">
        <w:rPr>
          <w:noProof/>
          <w:lang w:val="en-US"/>
        </w:rPr>
        <w:t>introducer</w:t>
      </w:r>
      <w:r w:rsidR="008828C7">
        <w:rPr>
          <w:noProof/>
          <w:lang w:val="en-US"/>
        </w:rPr>
        <w:t xml:space="preserve"> scheme such as the Business Code of Ethics is set up</w:t>
      </w:r>
      <w:r>
        <w:rPr>
          <w:noProof/>
          <w:lang w:val="en-US"/>
        </w:rPr>
        <w:t>,</w:t>
      </w:r>
      <w:r w:rsidR="008828C7">
        <w:rPr>
          <w:noProof/>
          <w:lang w:val="en-US"/>
        </w:rPr>
        <w:t xml:space="preserve"> reaches a maximum of businesses</w:t>
      </w:r>
      <w:r>
        <w:rPr>
          <w:noProof/>
          <w:lang w:val="en-US"/>
        </w:rPr>
        <w:t>,</w:t>
      </w:r>
      <w:r w:rsidR="00483DC5">
        <w:rPr>
          <w:noProof/>
          <w:lang w:val="en-US"/>
        </w:rPr>
        <w:t xml:space="preserve"> and</w:t>
      </w:r>
      <w:r w:rsidR="008828C7">
        <w:rPr>
          <w:noProof/>
          <w:lang w:val="en-US"/>
        </w:rPr>
        <w:t xml:space="preserve"> runs effectively</w:t>
      </w:r>
      <w:r>
        <w:rPr>
          <w:noProof/>
          <w:lang w:val="en-US"/>
        </w:rPr>
        <w:t>, the</w:t>
      </w:r>
      <w:r w:rsidR="008828C7">
        <w:rPr>
          <w:noProof/>
          <w:lang w:val="en-US"/>
        </w:rPr>
        <w:t xml:space="preserve"> dual price indication </w:t>
      </w:r>
      <w:r w:rsidR="00483DC5">
        <w:rPr>
          <w:noProof/>
          <w:lang w:val="en-US"/>
        </w:rPr>
        <w:t xml:space="preserve">would </w:t>
      </w:r>
      <w:r w:rsidR="008828C7">
        <w:rPr>
          <w:noProof/>
          <w:lang w:val="en-US"/>
        </w:rPr>
        <w:t xml:space="preserve">start </w:t>
      </w:r>
      <w:r>
        <w:rPr>
          <w:noProof/>
          <w:lang w:val="en-US"/>
        </w:rPr>
        <w:t xml:space="preserve">as usual </w:t>
      </w:r>
      <w:r w:rsidR="008828C7">
        <w:rPr>
          <w:noProof/>
          <w:lang w:val="en-US"/>
        </w:rPr>
        <w:t>as soon as the conversion rate is known</w:t>
      </w:r>
      <w:r>
        <w:rPr>
          <w:noProof/>
          <w:lang w:val="en-US"/>
        </w:rPr>
        <w:t xml:space="preserve"> and could end after one year.</w:t>
      </w:r>
    </w:p>
    <w:p w14:paraId="5B37FBA9" w14:textId="77777777" w:rsidR="00CE1728" w:rsidRDefault="00CE1728" w:rsidP="00CE1728">
      <w:pPr>
        <w:rPr>
          <w:noProof/>
          <w:lang w:val="en-US"/>
        </w:rPr>
      </w:pPr>
      <w:bookmarkStart w:id="6" w:name="_Hlk129869714"/>
      <w:r w:rsidRPr="00CE1728">
        <w:rPr>
          <w:noProof/>
          <w:lang w:val="en-US"/>
        </w:rPr>
        <w:t>The communication and public awareness campaign contributed to a smooth changeover to the euro in Croatia. 88% of citizens felt well informed of the introduction of the euro, 61% found the process to be smooth and efficient and 81% said that they experienced no problems when exchanging kuna cash into euros or when they withdrew cash from banks in the first week.</w:t>
      </w:r>
      <w:bookmarkEnd w:id="6"/>
    </w:p>
    <w:p w14:paraId="0DBE5EC9" w14:textId="77777777" w:rsidR="00340BFB" w:rsidRDefault="00340BFB" w:rsidP="00340BFB">
      <w:pPr>
        <w:numPr>
          <w:ilvl w:val="0"/>
          <w:numId w:val="45"/>
        </w:numPr>
        <w:rPr>
          <w:noProof/>
          <w:lang w:val="en-US"/>
        </w:rPr>
      </w:pPr>
      <w:r w:rsidRPr="00340BFB">
        <w:rPr>
          <w:noProof/>
          <w:lang w:val="en-US"/>
        </w:rPr>
        <w:t xml:space="preserve">Given the </w:t>
      </w:r>
      <w:r>
        <w:rPr>
          <w:noProof/>
          <w:lang w:val="en-US"/>
        </w:rPr>
        <w:t>relatively short</w:t>
      </w:r>
      <w:r w:rsidRPr="00340BFB">
        <w:rPr>
          <w:noProof/>
          <w:lang w:val="en-US"/>
        </w:rPr>
        <w:t xml:space="preserve"> time between a positive convergence report and the changeover date, Member States </w:t>
      </w:r>
      <w:r>
        <w:rPr>
          <w:noProof/>
          <w:lang w:val="en-US"/>
        </w:rPr>
        <w:t xml:space="preserve">to </w:t>
      </w:r>
      <w:r w:rsidRPr="00340BFB">
        <w:rPr>
          <w:noProof/>
          <w:lang w:val="en-US"/>
        </w:rPr>
        <w:t>change</w:t>
      </w:r>
      <w:r>
        <w:rPr>
          <w:noProof/>
          <w:lang w:val="en-US"/>
        </w:rPr>
        <w:t xml:space="preserve"> </w:t>
      </w:r>
      <w:r w:rsidRPr="00340BFB">
        <w:rPr>
          <w:noProof/>
          <w:lang w:val="en-US"/>
        </w:rPr>
        <w:t xml:space="preserve">over </w:t>
      </w:r>
      <w:r>
        <w:rPr>
          <w:noProof/>
          <w:lang w:val="en-US"/>
        </w:rPr>
        <w:t xml:space="preserve">to the euro </w:t>
      </w:r>
      <w:r w:rsidRPr="00340BFB">
        <w:rPr>
          <w:noProof/>
          <w:lang w:val="en-US"/>
        </w:rPr>
        <w:t xml:space="preserve">should build on Croatia’s experience in procuring their communication </w:t>
      </w:r>
      <w:r>
        <w:rPr>
          <w:noProof/>
          <w:lang w:val="en-US"/>
        </w:rPr>
        <w:t>needs</w:t>
      </w:r>
      <w:r w:rsidRPr="00340BFB">
        <w:rPr>
          <w:noProof/>
          <w:lang w:val="en-US"/>
        </w:rPr>
        <w:t xml:space="preserve"> by dividing the contract in lots</w:t>
      </w:r>
      <w:r>
        <w:rPr>
          <w:noProof/>
          <w:lang w:val="en-US"/>
        </w:rPr>
        <w:t xml:space="preserve"> to</w:t>
      </w:r>
      <w:r w:rsidRPr="00340BFB">
        <w:rPr>
          <w:noProof/>
          <w:lang w:val="en-US"/>
        </w:rPr>
        <w:t xml:space="preserve"> </w:t>
      </w:r>
      <w:r>
        <w:rPr>
          <w:noProof/>
          <w:lang w:val="en-US"/>
        </w:rPr>
        <w:t>cope best with</w:t>
      </w:r>
      <w:r w:rsidRPr="00340BFB">
        <w:rPr>
          <w:noProof/>
          <w:lang w:val="en-US"/>
        </w:rPr>
        <w:t xml:space="preserve"> possible delays and </w:t>
      </w:r>
      <w:r>
        <w:rPr>
          <w:noProof/>
          <w:lang w:val="en-US"/>
        </w:rPr>
        <w:t xml:space="preserve">to </w:t>
      </w:r>
      <w:r w:rsidRPr="00340BFB">
        <w:rPr>
          <w:noProof/>
          <w:lang w:val="en-US"/>
        </w:rPr>
        <w:t>ensur</w:t>
      </w:r>
      <w:r>
        <w:rPr>
          <w:noProof/>
          <w:lang w:val="en-US"/>
        </w:rPr>
        <w:t xml:space="preserve">e </w:t>
      </w:r>
      <w:r w:rsidRPr="00340BFB">
        <w:rPr>
          <w:noProof/>
          <w:lang w:val="en-US"/>
        </w:rPr>
        <w:t xml:space="preserve">contingency.     </w:t>
      </w:r>
    </w:p>
    <w:sectPr w:rsidR="00340BFB" w:rsidSect="003E17C3">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6AE1" w14:textId="77777777" w:rsidR="00DF2568" w:rsidRDefault="00DF2568" w:rsidP="00D0493A">
      <w:pPr>
        <w:spacing w:before="0" w:after="0"/>
      </w:pPr>
      <w:r>
        <w:separator/>
      </w:r>
    </w:p>
  </w:endnote>
  <w:endnote w:type="continuationSeparator" w:id="0">
    <w:p w14:paraId="71575FEB" w14:textId="77777777" w:rsidR="00DF2568" w:rsidRDefault="00DF2568" w:rsidP="00D049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charset w:val="EE"/>
    <w:family w:val="swiss"/>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F1D9" w14:textId="77777777" w:rsidR="00EA42FA" w:rsidRPr="00EA42FA" w:rsidRDefault="00EA42FA" w:rsidP="00EA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10A8" w14:textId="6242D677" w:rsidR="00ED6F77" w:rsidRPr="00EA42FA" w:rsidRDefault="00EA42FA" w:rsidP="00EA42FA">
    <w:pPr>
      <w:pStyle w:val="FooterCoverPage"/>
      <w:rPr>
        <w:rFonts w:ascii="Arial" w:hAnsi="Arial" w:cs="Arial"/>
        <w:b/>
        <w:sz w:val="48"/>
      </w:rPr>
    </w:pPr>
    <w:r w:rsidRPr="00EA42FA">
      <w:rPr>
        <w:rFonts w:ascii="Arial" w:hAnsi="Arial" w:cs="Arial"/>
        <w:b/>
        <w:sz w:val="48"/>
      </w:rPr>
      <w:t>EN</w:t>
    </w:r>
    <w:r w:rsidRPr="00EA42FA">
      <w:rPr>
        <w:rFonts w:ascii="Arial" w:hAnsi="Arial" w:cs="Arial"/>
        <w:b/>
        <w:sz w:val="48"/>
      </w:rPr>
      <w:tab/>
    </w:r>
    <w:r w:rsidRPr="00EA42FA">
      <w:rPr>
        <w:rFonts w:ascii="Arial" w:hAnsi="Arial" w:cs="Arial"/>
        <w:b/>
        <w:sz w:val="48"/>
      </w:rPr>
      <w:tab/>
    </w:r>
    <w:r w:rsidRPr="00EA42FA">
      <w:tab/>
    </w:r>
    <w:r w:rsidRPr="00EA42F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1600" w14:textId="77777777" w:rsidR="00EA42FA" w:rsidRPr="00EA42FA" w:rsidRDefault="00EA42FA" w:rsidP="00EA42F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F49E" w14:textId="77777777" w:rsidR="001E0B0E" w:rsidRDefault="001E0B0E">
    <w:pPr>
      <w:pStyle w:val="Footer"/>
    </w:pPr>
  </w:p>
  <w:p w14:paraId="4311FCB5" w14:textId="77777777" w:rsidR="001E0B0E" w:rsidRDefault="001E0B0E"/>
  <w:p w14:paraId="24188526" w14:textId="77777777" w:rsidR="001E0B0E" w:rsidRDefault="001E0B0E"/>
  <w:p w14:paraId="5BB8B621" w14:textId="77777777" w:rsidR="001E0B0E" w:rsidRDefault="001E0B0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FFA0" w14:textId="361C3949" w:rsidR="001E0B0E" w:rsidRPr="003E17C3" w:rsidRDefault="001E0B0E" w:rsidP="003E17C3">
    <w:pPr>
      <w:pStyle w:val="Footer"/>
      <w:rPr>
        <w:rFonts w:ascii="Arial" w:hAnsi="Arial" w:cs="Arial"/>
        <w:b/>
        <w:sz w:val="48"/>
      </w:rPr>
    </w:pPr>
    <w:r w:rsidRPr="00E30D17">
      <w:rPr>
        <w:rFonts w:ascii="Arial" w:hAnsi="Arial" w:cs="Arial"/>
        <w:b/>
        <w:sz w:val="48"/>
      </w:rPr>
      <w:tab/>
    </w:r>
    <w:r>
      <w:fldChar w:fldCharType="begin"/>
    </w:r>
    <w:r>
      <w:instrText xml:space="preserve"> PAGE  \* MERGEFORMAT </w:instrText>
    </w:r>
    <w:r>
      <w:fldChar w:fldCharType="separate"/>
    </w:r>
    <w:r w:rsidR="00EA42FA">
      <w:rPr>
        <w:noProof/>
      </w:rPr>
      <w:t>2</w:t>
    </w:r>
    <w: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D4F8" w14:textId="77777777" w:rsidR="001E0B0E" w:rsidRPr="00E30D17" w:rsidRDefault="001E0B0E" w:rsidP="00D5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158E" w14:textId="77777777" w:rsidR="00DF2568" w:rsidRDefault="00DF2568" w:rsidP="00D0493A">
      <w:pPr>
        <w:spacing w:before="0" w:after="0"/>
      </w:pPr>
      <w:r>
        <w:separator/>
      </w:r>
    </w:p>
  </w:footnote>
  <w:footnote w:type="continuationSeparator" w:id="0">
    <w:p w14:paraId="426EBA28" w14:textId="77777777" w:rsidR="00DF2568" w:rsidRDefault="00DF2568" w:rsidP="00D0493A">
      <w:pPr>
        <w:spacing w:before="0" w:after="0"/>
      </w:pPr>
      <w:r>
        <w:continuationSeparator/>
      </w:r>
    </w:p>
  </w:footnote>
  <w:footnote w:id="1">
    <w:p w14:paraId="6EEA7CF4" w14:textId="77777777" w:rsidR="001D09A7" w:rsidRPr="006955CE" w:rsidRDefault="001D09A7" w:rsidP="001D09A7">
      <w:pPr>
        <w:pStyle w:val="FootnoteText"/>
        <w:ind w:left="709" w:hanging="709"/>
        <w:rPr>
          <w:spacing w:val="5"/>
        </w:rPr>
      </w:pPr>
      <w:r w:rsidRPr="004815C5">
        <w:rPr>
          <w:rStyle w:val="FootnoteReference"/>
        </w:rPr>
        <w:footnoteRef/>
      </w:r>
      <w:r>
        <w:t xml:space="preserve"> </w:t>
      </w:r>
      <w:r>
        <w:tab/>
      </w:r>
      <w:r>
        <w:tab/>
      </w:r>
      <w:r w:rsidRPr="006955CE">
        <w:t>C</w:t>
      </w:r>
      <w:r w:rsidRPr="006955CE">
        <w:rPr>
          <w:spacing w:val="1"/>
        </w:rPr>
        <w:t>o</w:t>
      </w:r>
      <w:r w:rsidRPr="006955CE">
        <w:rPr>
          <w:spacing w:val="-1"/>
        </w:rPr>
        <w:t>u</w:t>
      </w:r>
      <w:r w:rsidRPr="006955CE">
        <w:rPr>
          <w:spacing w:val="1"/>
        </w:rPr>
        <w:t>n</w:t>
      </w:r>
      <w:r w:rsidRPr="006955CE">
        <w:t>cil</w:t>
      </w:r>
      <w:r w:rsidRPr="006955CE">
        <w:rPr>
          <w:spacing w:val="5"/>
        </w:rPr>
        <w:t xml:space="preserve"> </w:t>
      </w:r>
      <w:r w:rsidRPr="006955CE">
        <w:t>Decis</w:t>
      </w:r>
      <w:r w:rsidRPr="006955CE">
        <w:rPr>
          <w:spacing w:val="-2"/>
        </w:rPr>
        <w:t>i</w:t>
      </w:r>
      <w:r w:rsidRPr="006955CE">
        <w:t>on</w:t>
      </w:r>
      <w:r w:rsidR="004815C5" w:rsidRPr="006955CE">
        <w:t xml:space="preserve"> (EU)</w:t>
      </w:r>
      <w:r w:rsidR="004815C5" w:rsidRPr="006955CE">
        <w:rPr>
          <w:spacing w:val="5"/>
        </w:rPr>
        <w:t xml:space="preserve"> 2022/1211 of 12</w:t>
      </w:r>
      <w:r w:rsidRPr="006955CE">
        <w:rPr>
          <w:spacing w:val="5"/>
        </w:rPr>
        <w:t xml:space="preserve"> July 2</w:t>
      </w:r>
      <w:r w:rsidR="004815C5" w:rsidRPr="006955CE">
        <w:rPr>
          <w:spacing w:val="5"/>
        </w:rPr>
        <w:t>022 on the adoption by Croatia of the euro on 1 January 2023</w:t>
      </w:r>
      <w:r w:rsidRPr="006955CE">
        <w:rPr>
          <w:spacing w:val="5"/>
        </w:rPr>
        <w:t xml:space="preserve"> </w:t>
      </w:r>
      <w:r w:rsidR="004815C5" w:rsidRPr="006955CE">
        <w:t>(OJ L 187, 14.7.2022, p. 31</w:t>
      </w:r>
      <w:r w:rsidRPr="006955CE">
        <w:t>–3</w:t>
      </w:r>
      <w:r w:rsidR="004815C5" w:rsidRPr="006955CE">
        <w:t>4</w:t>
      </w:r>
      <w:r w:rsidRPr="006955CE">
        <w:t>).</w:t>
      </w:r>
    </w:p>
  </w:footnote>
  <w:footnote w:id="2">
    <w:p w14:paraId="34C8943A" w14:textId="77777777" w:rsidR="001D09A7" w:rsidRPr="006955CE" w:rsidRDefault="001D09A7" w:rsidP="00BC7AB7">
      <w:pPr>
        <w:tabs>
          <w:tab w:val="left" w:pos="820"/>
        </w:tabs>
        <w:spacing w:before="0" w:after="0" w:line="220" w:lineRule="exact"/>
        <w:ind w:left="709" w:right="79" w:hanging="709"/>
        <w:rPr>
          <w:sz w:val="20"/>
          <w:szCs w:val="20"/>
        </w:rPr>
      </w:pPr>
      <w:r w:rsidRPr="006955CE">
        <w:rPr>
          <w:rStyle w:val="FootnoteReference"/>
          <w:sz w:val="20"/>
          <w:szCs w:val="20"/>
        </w:rPr>
        <w:footnoteRef/>
      </w:r>
      <w:r w:rsidRPr="006955CE">
        <w:rPr>
          <w:sz w:val="20"/>
          <w:szCs w:val="20"/>
        </w:rPr>
        <w:t xml:space="preserve"> </w:t>
      </w:r>
      <w:r w:rsidRPr="006955CE">
        <w:rPr>
          <w:sz w:val="20"/>
          <w:szCs w:val="20"/>
        </w:rPr>
        <w:tab/>
        <w:t>The</w:t>
      </w:r>
      <w:r w:rsidRPr="006955CE">
        <w:rPr>
          <w:spacing w:val="18"/>
          <w:sz w:val="20"/>
          <w:szCs w:val="20"/>
        </w:rPr>
        <w:t xml:space="preserve"> </w:t>
      </w:r>
      <w:r w:rsidRPr="006955CE">
        <w:rPr>
          <w:sz w:val="20"/>
          <w:szCs w:val="20"/>
        </w:rPr>
        <w:t>first-w</w:t>
      </w:r>
      <w:r w:rsidRPr="006955CE">
        <w:rPr>
          <w:spacing w:val="-1"/>
          <w:sz w:val="20"/>
          <w:szCs w:val="20"/>
        </w:rPr>
        <w:t>a</w:t>
      </w:r>
      <w:r w:rsidRPr="006955CE">
        <w:rPr>
          <w:sz w:val="20"/>
          <w:szCs w:val="20"/>
        </w:rPr>
        <w:t>ve</w:t>
      </w:r>
      <w:r w:rsidRPr="006955CE">
        <w:rPr>
          <w:spacing w:val="18"/>
          <w:sz w:val="20"/>
          <w:szCs w:val="20"/>
        </w:rPr>
        <w:t xml:space="preserve"> </w:t>
      </w:r>
      <w:r w:rsidRPr="006955CE">
        <w:rPr>
          <w:sz w:val="20"/>
          <w:szCs w:val="20"/>
        </w:rPr>
        <w:t>Me</w:t>
      </w:r>
      <w:r w:rsidRPr="006955CE">
        <w:rPr>
          <w:spacing w:val="-2"/>
          <w:sz w:val="20"/>
          <w:szCs w:val="20"/>
        </w:rPr>
        <w:t>m</w:t>
      </w:r>
      <w:r w:rsidRPr="006955CE">
        <w:rPr>
          <w:spacing w:val="1"/>
          <w:sz w:val="20"/>
          <w:szCs w:val="20"/>
        </w:rPr>
        <w:t>b</w:t>
      </w:r>
      <w:r w:rsidRPr="006955CE">
        <w:rPr>
          <w:sz w:val="20"/>
          <w:szCs w:val="20"/>
        </w:rPr>
        <w:t>er</w:t>
      </w:r>
      <w:r w:rsidRPr="006955CE">
        <w:rPr>
          <w:spacing w:val="20"/>
          <w:sz w:val="20"/>
          <w:szCs w:val="20"/>
        </w:rPr>
        <w:t xml:space="preserve"> </w:t>
      </w:r>
      <w:r w:rsidRPr="006955CE">
        <w:rPr>
          <w:sz w:val="20"/>
          <w:szCs w:val="20"/>
        </w:rPr>
        <w:t>States</w:t>
      </w:r>
      <w:r w:rsidRPr="006955CE">
        <w:rPr>
          <w:spacing w:val="20"/>
          <w:sz w:val="20"/>
          <w:szCs w:val="20"/>
        </w:rPr>
        <w:t xml:space="preserve"> </w:t>
      </w:r>
      <w:r w:rsidRPr="006955CE">
        <w:rPr>
          <w:sz w:val="20"/>
          <w:szCs w:val="20"/>
        </w:rPr>
        <w:t>adopted</w:t>
      </w:r>
      <w:r w:rsidRPr="006955CE">
        <w:rPr>
          <w:spacing w:val="20"/>
          <w:sz w:val="20"/>
          <w:szCs w:val="20"/>
        </w:rPr>
        <w:t xml:space="preserve"> </w:t>
      </w:r>
      <w:r w:rsidRPr="006955CE">
        <w:rPr>
          <w:spacing w:val="-2"/>
          <w:sz w:val="20"/>
          <w:szCs w:val="20"/>
        </w:rPr>
        <w:t>t</w:t>
      </w:r>
      <w:r w:rsidRPr="006955CE">
        <w:rPr>
          <w:spacing w:val="1"/>
          <w:sz w:val="20"/>
          <w:szCs w:val="20"/>
        </w:rPr>
        <w:t>h</w:t>
      </w:r>
      <w:r w:rsidRPr="006955CE">
        <w:rPr>
          <w:sz w:val="20"/>
          <w:szCs w:val="20"/>
        </w:rPr>
        <w:t>e</w:t>
      </w:r>
      <w:r w:rsidRPr="006955CE">
        <w:rPr>
          <w:spacing w:val="18"/>
          <w:sz w:val="20"/>
          <w:szCs w:val="20"/>
        </w:rPr>
        <w:t xml:space="preserve"> </w:t>
      </w:r>
      <w:r w:rsidRPr="006955CE">
        <w:rPr>
          <w:sz w:val="20"/>
          <w:szCs w:val="20"/>
        </w:rPr>
        <w:t>euro</w:t>
      </w:r>
      <w:r w:rsidRPr="006955CE">
        <w:rPr>
          <w:spacing w:val="20"/>
          <w:sz w:val="20"/>
          <w:szCs w:val="20"/>
        </w:rPr>
        <w:t xml:space="preserve"> </w:t>
      </w:r>
      <w:r w:rsidRPr="006955CE">
        <w:rPr>
          <w:sz w:val="20"/>
          <w:szCs w:val="20"/>
        </w:rPr>
        <w:t>ac</w:t>
      </w:r>
      <w:r w:rsidRPr="006955CE">
        <w:rPr>
          <w:spacing w:val="-4"/>
          <w:sz w:val="20"/>
          <w:szCs w:val="20"/>
        </w:rPr>
        <w:t>c</w:t>
      </w:r>
      <w:r w:rsidRPr="006955CE">
        <w:rPr>
          <w:spacing w:val="-1"/>
          <w:sz w:val="20"/>
          <w:szCs w:val="20"/>
        </w:rPr>
        <w:t>o</w:t>
      </w:r>
      <w:r w:rsidRPr="006955CE">
        <w:rPr>
          <w:sz w:val="20"/>
          <w:szCs w:val="20"/>
        </w:rPr>
        <w:t>rd</w:t>
      </w:r>
      <w:r w:rsidRPr="006955CE">
        <w:rPr>
          <w:spacing w:val="-2"/>
          <w:sz w:val="20"/>
          <w:szCs w:val="20"/>
        </w:rPr>
        <w:t>i</w:t>
      </w:r>
      <w:r w:rsidRPr="006955CE">
        <w:rPr>
          <w:sz w:val="20"/>
          <w:szCs w:val="20"/>
        </w:rPr>
        <w:t>ng</w:t>
      </w:r>
      <w:r w:rsidRPr="006955CE">
        <w:rPr>
          <w:spacing w:val="19"/>
          <w:sz w:val="20"/>
          <w:szCs w:val="20"/>
        </w:rPr>
        <w:t xml:space="preserve"> </w:t>
      </w:r>
      <w:r w:rsidRPr="006955CE">
        <w:rPr>
          <w:sz w:val="20"/>
          <w:szCs w:val="20"/>
        </w:rPr>
        <w:t>to</w:t>
      </w:r>
      <w:r w:rsidRPr="006955CE">
        <w:rPr>
          <w:spacing w:val="20"/>
          <w:sz w:val="20"/>
          <w:szCs w:val="20"/>
        </w:rPr>
        <w:t xml:space="preserve"> </w:t>
      </w:r>
      <w:r w:rsidRPr="006955CE">
        <w:rPr>
          <w:spacing w:val="-2"/>
          <w:sz w:val="20"/>
          <w:szCs w:val="20"/>
        </w:rPr>
        <w:t>t</w:t>
      </w:r>
      <w:r w:rsidRPr="006955CE">
        <w:rPr>
          <w:spacing w:val="1"/>
          <w:sz w:val="20"/>
          <w:szCs w:val="20"/>
        </w:rPr>
        <w:t>h</w:t>
      </w:r>
      <w:r w:rsidRPr="006955CE">
        <w:rPr>
          <w:sz w:val="20"/>
          <w:szCs w:val="20"/>
        </w:rPr>
        <w:t>e</w:t>
      </w:r>
      <w:r w:rsidRPr="006955CE">
        <w:rPr>
          <w:spacing w:val="20"/>
          <w:sz w:val="20"/>
          <w:szCs w:val="20"/>
        </w:rPr>
        <w:t xml:space="preserve"> </w:t>
      </w:r>
      <w:r w:rsidRPr="006955CE">
        <w:rPr>
          <w:spacing w:val="-1"/>
          <w:sz w:val="20"/>
          <w:szCs w:val="20"/>
        </w:rPr>
        <w:t>'M</w:t>
      </w:r>
      <w:r w:rsidRPr="006955CE">
        <w:rPr>
          <w:sz w:val="20"/>
          <w:szCs w:val="20"/>
        </w:rPr>
        <w:t>adr</w:t>
      </w:r>
      <w:r w:rsidRPr="006955CE">
        <w:rPr>
          <w:spacing w:val="-2"/>
          <w:sz w:val="20"/>
          <w:szCs w:val="20"/>
        </w:rPr>
        <w:t>i</w:t>
      </w:r>
      <w:r w:rsidRPr="006955CE">
        <w:rPr>
          <w:sz w:val="20"/>
          <w:szCs w:val="20"/>
        </w:rPr>
        <w:t>d</w:t>
      </w:r>
      <w:r w:rsidRPr="006955CE">
        <w:rPr>
          <w:spacing w:val="20"/>
          <w:sz w:val="20"/>
          <w:szCs w:val="20"/>
        </w:rPr>
        <w:t xml:space="preserve"> </w:t>
      </w:r>
      <w:r w:rsidRPr="006955CE">
        <w:rPr>
          <w:sz w:val="20"/>
          <w:szCs w:val="20"/>
        </w:rPr>
        <w:t>Sc</w:t>
      </w:r>
      <w:r w:rsidRPr="006955CE">
        <w:rPr>
          <w:spacing w:val="-1"/>
          <w:sz w:val="20"/>
          <w:szCs w:val="20"/>
        </w:rPr>
        <w:t>e</w:t>
      </w:r>
      <w:r w:rsidRPr="006955CE">
        <w:rPr>
          <w:spacing w:val="1"/>
          <w:sz w:val="20"/>
          <w:szCs w:val="20"/>
        </w:rPr>
        <w:t>n</w:t>
      </w:r>
      <w:r w:rsidRPr="006955CE">
        <w:rPr>
          <w:spacing w:val="-1"/>
          <w:sz w:val="20"/>
          <w:szCs w:val="20"/>
        </w:rPr>
        <w:t>a</w:t>
      </w:r>
      <w:r w:rsidRPr="006955CE">
        <w:rPr>
          <w:sz w:val="20"/>
          <w:szCs w:val="20"/>
        </w:rPr>
        <w:t>ri</w:t>
      </w:r>
      <w:r w:rsidRPr="006955CE">
        <w:rPr>
          <w:spacing w:val="1"/>
          <w:sz w:val="20"/>
          <w:szCs w:val="20"/>
        </w:rPr>
        <w:t>o</w:t>
      </w:r>
      <w:r w:rsidRPr="006955CE">
        <w:rPr>
          <w:spacing w:val="-1"/>
          <w:sz w:val="20"/>
          <w:szCs w:val="20"/>
        </w:rPr>
        <w:t>'</w:t>
      </w:r>
      <w:r w:rsidRPr="006955CE">
        <w:rPr>
          <w:sz w:val="20"/>
          <w:szCs w:val="20"/>
        </w:rPr>
        <w:t>,</w:t>
      </w:r>
      <w:r w:rsidRPr="006955CE">
        <w:rPr>
          <w:spacing w:val="20"/>
          <w:sz w:val="20"/>
          <w:szCs w:val="20"/>
        </w:rPr>
        <w:t xml:space="preserve"> </w:t>
      </w:r>
      <w:r w:rsidRPr="006955CE">
        <w:rPr>
          <w:spacing w:val="-1"/>
          <w:sz w:val="20"/>
          <w:szCs w:val="20"/>
        </w:rPr>
        <w:t>w</w:t>
      </w:r>
      <w:r w:rsidRPr="006955CE">
        <w:rPr>
          <w:spacing w:val="1"/>
          <w:sz w:val="20"/>
          <w:szCs w:val="20"/>
        </w:rPr>
        <w:t>h</w:t>
      </w:r>
      <w:r w:rsidRPr="006955CE">
        <w:rPr>
          <w:sz w:val="20"/>
          <w:szCs w:val="20"/>
        </w:rPr>
        <w:t>ich</w:t>
      </w:r>
      <w:r w:rsidRPr="006955CE">
        <w:rPr>
          <w:spacing w:val="19"/>
          <w:sz w:val="20"/>
          <w:szCs w:val="20"/>
        </w:rPr>
        <w:t xml:space="preserve"> </w:t>
      </w:r>
      <w:r w:rsidRPr="006955CE">
        <w:rPr>
          <w:sz w:val="20"/>
          <w:szCs w:val="20"/>
        </w:rPr>
        <w:t>i</w:t>
      </w:r>
      <w:r w:rsidRPr="006955CE">
        <w:rPr>
          <w:spacing w:val="-1"/>
          <w:sz w:val="20"/>
          <w:szCs w:val="20"/>
        </w:rPr>
        <w:t>n</w:t>
      </w:r>
      <w:r w:rsidRPr="006955CE">
        <w:rPr>
          <w:sz w:val="20"/>
          <w:szCs w:val="20"/>
        </w:rPr>
        <w:t>vo</w:t>
      </w:r>
      <w:r w:rsidRPr="006955CE">
        <w:rPr>
          <w:spacing w:val="-2"/>
          <w:sz w:val="20"/>
          <w:szCs w:val="20"/>
        </w:rPr>
        <w:t>l</w:t>
      </w:r>
      <w:r w:rsidRPr="006955CE">
        <w:rPr>
          <w:sz w:val="20"/>
          <w:szCs w:val="20"/>
        </w:rPr>
        <w:t>ved</w:t>
      </w:r>
      <w:r w:rsidRPr="006955CE">
        <w:rPr>
          <w:spacing w:val="18"/>
          <w:sz w:val="20"/>
          <w:szCs w:val="20"/>
        </w:rPr>
        <w:t xml:space="preserve"> </w:t>
      </w:r>
      <w:r w:rsidRPr="006955CE">
        <w:rPr>
          <w:sz w:val="20"/>
          <w:szCs w:val="20"/>
        </w:rPr>
        <w:t>a transitional</w:t>
      </w:r>
      <w:r w:rsidRPr="006955CE">
        <w:rPr>
          <w:spacing w:val="-1"/>
          <w:sz w:val="20"/>
          <w:szCs w:val="20"/>
        </w:rPr>
        <w:t xml:space="preserve"> </w:t>
      </w:r>
      <w:r w:rsidRPr="006955CE">
        <w:rPr>
          <w:sz w:val="20"/>
          <w:szCs w:val="20"/>
        </w:rPr>
        <w:t>p</w:t>
      </w:r>
      <w:r w:rsidRPr="006955CE">
        <w:rPr>
          <w:spacing w:val="-1"/>
          <w:sz w:val="20"/>
          <w:szCs w:val="20"/>
        </w:rPr>
        <w:t>e</w:t>
      </w:r>
      <w:r w:rsidRPr="006955CE">
        <w:rPr>
          <w:sz w:val="20"/>
          <w:szCs w:val="20"/>
        </w:rPr>
        <w:t>riod</w:t>
      </w:r>
      <w:r w:rsidRPr="006955CE">
        <w:rPr>
          <w:spacing w:val="-1"/>
          <w:sz w:val="20"/>
          <w:szCs w:val="20"/>
        </w:rPr>
        <w:t xml:space="preserve"> </w:t>
      </w:r>
      <w:r w:rsidRPr="006955CE">
        <w:rPr>
          <w:sz w:val="20"/>
          <w:szCs w:val="20"/>
        </w:rPr>
        <w:t>of three y</w:t>
      </w:r>
      <w:r w:rsidRPr="006955CE">
        <w:rPr>
          <w:spacing w:val="-1"/>
          <w:sz w:val="20"/>
          <w:szCs w:val="20"/>
        </w:rPr>
        <w:t>e</w:t>
      </w:r>
      <w:r w:rsidRPr="006955CE">
        <w:rPr>
          <w:sz w:val="20"/>
          <w:szCs w:val="20"/>
        </w:rPr>
        <w:t>ars</w:t>
      </w:r>
      <w:r w:rsidRPr="006955CE">
        <w:rPr>
          <w:spacing w:val="-1"/>
          <w:sz w:val="20"/>
          <w:szCs w:val="20"/>
        </w:rPr>
        <w:t xml:space="preserve"> </w:t>
      </w:r>
      <w:r w:rsidRPr="006955CE">
        <w:rPr>
          <w:sz w:val="20"/>
          <w:szCs w:val="20"/>
        </w:rPr>
        <w:t>(one year for Greece).</w:t>
      </w:r>
    </w:p>
  </w:footnote>
  <w:footnote w:id="3">
    <w:p w14:paraId="16A9990B" w14:textId="6384F41D" w:rsidR="001D09A7" w:rsidRPr="00E43BE9" w:rsidRDefault="001D09A7" w:rsidP="00BC7AB7">
      <w:pPr>
        <w:pStyle w:val="FootnoteText"/>
        <w:ind w:left="709" w:hanging="709"/>
      </w:pPr>
      <w:r w:rsidRPr="006955CE">
        <w:rPr>
          <w:rStyle w:val="FootnoteReference"/>
        </w:rPr>
        <w:footnoteRef/>
      </w:r>
      <w:r w:rsidRPr="006955CE">
        <w:t xml:space="preserve"> </w:t>
      </w:r>
      <w:r w:rsidRPr="006955CE">
        <w:tab/>
      </w:r>
      <w:r w:rsidRPr="006955CE">
        <w:tab/>
      </w:r>
      <w:r w:rsidR="004A39EC" w:rsidRPr="006955CE">
        <w:t xml:space="preserve">Lithuania, </w:t>
      </w:r>
      <w:r w:rsidRPr="006955CE">
        <w:t>Latvia, Estonia,</w:t>
      </w:r>
      <w:r w:rsidRPr="006955CE">
        <w:rPr>
          <w:spacing w:val="35"/>
        </w:rPr>
        <w:t xml:space="preserve"> </w:t>
      </w:r>
      <w:r w:rsidRPr="006955CE">
        <w:t>S</w:t>
      </w:r>
      <w:r w:rsidRPr="006955CE">
        <w:rPr>
          <w:spacing w:val="-2"/>
        </w:rPr>
        <w:t>l</w:t>
      </w:r>
      <w:r w:rsidRPr="006955CE">
        <w:t>ov</w:t>
      </w:r>
      <w:r w:rsidRPr="006955CE">
        <w:rPr>
          <w:spacing w:val="-1"/>
        </w:rPr>
        <w:t>a</w:t>
      </w:r>
      <w:r w:rsidRPr="006955CE">
        <w:t>kia</w:t>
      </w:r>
      <w:r w:rsidRPr="006955CE">
        <w:rPr>
          <w:spacing w:val="35"/>
        </w:rPr>
        <w:t xml:space="preserve"> </w:t>
      </w:r>
      <w:r w:rsidRPr="006955CE">
        <w:t>and</w:t>
      </w:r>
      <w:r w:rsidRPr="006955CE">
        <w:rPr>
          <w:spacing w:val="35"/>
        </w:rPr>
        <w:t xml:space="preserve"> </w:t>
      </w:r>
      <w:r w:rsidRPr="006955CE">
        <w:t>S</w:t>
      </w:r>
      <w:r w:rsidRPr="006955CE">
        <w:rPr>
          <w:spacing w:val="-2"/>
        </w:rPr>
        <w:t>l</w:t>
      </w:r>
      <w:r w:rsidRPr="006955CE">
        <w:t>ov</w:t>
      </w:r>
      <w:r w:rsidRPr="006955CE">
        <w:rPr>
          <w:spacing w:val="-1"/>
        </w:rPr>
        <w:t>e</w:t>
      </w:r>
      <w:r w:rsidRPr="006955CE">
        <w:t>nia</w:t>
      </w:r>
      <w:r w:rsidRPr="006955CE">
        <w:rPr>
          <w:spacing w:val="35"/>
        </w:rPr>
        <w:t xml:space="preserve"> </w:t>
      </w:r>
      <w:r w:rsidRPr="006955CE">
        <w:t>also</w:t>
      </w:r>
      <w:r w:rsidRPr="006955CE">
        <w:rPr>
          <w:spacing w:val="35"/>
        </w:rPr>
        <w:t xml:space="preserve"> </w:t>
      </w:r>
      <w:r w:rsidRPr="006955CE">
        <w:t>had</w:t>
      </w:r>
      <w:r w:rsidRPr="006955CE">
        <w:rPr>
          <w:spacing w:val="35"/>
        </w:rPr>
        <w:t xml:space="preserve"> </w:t>
      </w:r>
      <w:r w:rsidRPr="006955CE">
        <w:t>a</w:t>
      </w:r>
      <w:r w:rsidRPr="006955CE">
        <w:rPr>
          <w:spacing w:val="34"/>
        </w:rPr>
        <w:t xml:space="preserve"> </w:t>
      </w:r>
      <w:r w:rsidRPr="006955CE">
        <w:t>two</w:t>
      </w:r>
      <w:r w:rsidRPr="006955CE">
        <w:rPr>
          <w:spacing w:val="-1"/>
        </w:rPr>
        <w:t>-</w:t>
      </w:r>
      <w:r w:rsidRPr="006955CE">
        <w:t>week</w:t>
      </w:r>
      <w:r w:rsidRPr="006955CE">
        <w:rPr>
          <w:spacing w:val="34"/>
        </w:rPr>
        <w:t xml:space="preserve"> </w:t>
      </w:r>
      <w:r w:rsidRPr="006955CE">
        <w:t>d</w:t>
      </w:r>
      <w:r w:rsidRPr="006955CE">
        <w:rPr>
          <w:spacing w:val="-1"/>
        </w:rPr>
        <w:t>u</w:t>
      </w:r>
      <w:r w:rsidRPr="006955CE">
        <w:t>al</w:t>
      </w:r>
      <w:r w:rsidRPr="006955CE">
        <w:rPr>
          <w:spacing w:val="35"/>
        </w:rPr>
        <w:t xml:space="preserve"> </w:t>
      </w:r>
      <w:r w:rsidRPr="006955CE">
        <w:t>circulation</w:t>
      </w:r>
      <w:r w:rsidRPr="006955CE">
        <w:rPr>
          <w:spacing w:val="35"/>
        </w:rPr>
        <w:t xml:space="preserve"> </w:t>
      </w:r>
      <w:r w:rsidRPr="006955CE">
        <w:t>per</w:t>
      </w:r>
      <w:r w:rsidRPr="006955CE">
        <w:rPr>
          <w:spacing w:val="-2"/>
        </w:rPr>
        <w:t>i</w:t>
      </w:r>
      <w:r w:rsidRPr="006955CE">
        <w:t>o</w:t>
      </w:r>
      <w:r w:rsidRPr="006955CE">
        <w:rPr>
          <w:spacing w:val="-1"/>
        </w:rPr>
        <w:t>d</w:t>
      </w:r>
      <w:r w:rsidRPr="006955CE">
        <w:t>,</w:t>
      </w:r>
      <w:r w:rsidRPr="006955CE">
        <w:rPr>
          <w:spacing w:val="35"/>
        </w:rPr>
        <w:t xml:space="preserve"> </w:t>
      </w:r>
      <w:r w:rsidRPr="006955CE">
        <w:t>wh</w:t>
      </w:r>
      <w:r w:rsidRPr="006955CE">
        <w:rPr>
          <w:spacing w:val="-1"/>
        </w:rPr>
        <w:t>e</w:t>
      </w:r>
      <w:r w:rsidRPr="006955CE">
        <w:t>re</w:t>
      </w:r>
      <w:r w:rsidRPr="006955CE">
        <w:rPr>
          <w:spacing w:val="-1"/>
        </w:rPr>
        <w:t>a</w:t>
      </w:r>
      <w:r w:rsidRPr="006955CE">
        <w:t>s</w:t>
      </w:r>
      <w:r w:rsidRPr="006955CE">
        <w:rPr>
          <w:spacing w:val="35"/>
        </w:rPr>
        <w:t xml:space="preserve"> </w:t>
      </w:r>
      <w:r w:rsidRPr="006955CE">
        <w:t>in</w:t>
      </w:r>
      <w:r w:rsidRPr="006955CE">
        <w:rPr>
          <w:spacing w:val="36"/>
        </w:rPr>
        <w:t xml:space="preserve"> </w:t>
      </w:r>
      <w:r w:rsidRPr="006955CE">
        <w:rPr>
          <w:spacing w:val="-1"/>
        </w:rPr>
        <w:t>M</w:t>
      </w:r>
      <w:r w:rsidRPr="006955CE">
        <w:t>alta</w:t>
      </w:r>
      <w:r w:rsidRPr="006955CE">
        <w:rPr>
          <w:spacing w:val="35"/>
        </w:rPr>
        <w:t xml:space="preserve"> </w:t>
      </w:r>
      <w:r w:rsidRPr="006955CE">
        <w:t>and</w:t>
      </w:r>
      <w:r w:rsidRPr="006955CE">
        <w:rPr>
          <w:position w:val="-1"/>
        </w:rPr>
        <w:t xml:space="preserve"> C</w:t>
      </w:r>
      <w:r w:rsidRPr="006955CE">
        <w:rPr>
          <w:spacing w:val="-1"/>
          <w:position w:val="-1"/>
        </w:rPr>
        <w:t>y</w:t>
      </w:r>
      <w:r w:rsidRPr="006955CE">
        <w:rPr>
          <w:position w:val="-1"/>
        </w:rPr>
        <w:t>prus</w:t>
      </w:r>
      <w:r w:rsidRPr="006955CE">
        <w:rPr>
          <w:spacing w:val="-1"/>
          <w:position w:val="-1"/>
        </w:rPr>
        <w:t xml:space="preserve"> </w:t>
      </w:r>
      <w:r w:rsidRPr="006955CE">
        <w:rPr>
          <w:position w:val="-1"/>
        </w:rPr>
        <w:t>it was</w:t>
      </w:r>
      <w:r w:rsidRPr="006955CE">
        <w:rPr>
          <w:spacing w:val="-2"/>
          <w:position w:val="-1"/>
        </w:rPr>
        <w:t xml:space="preserve"> </w:t>
      </w:r>
      <w:r w:rsidRPr="006955CE">
        <w:rPr>
          <w:position w:val="-1"/>
        </w:rPr>
        <w:t>one</w:t>
      </w:r>
      <w:r w:rsidRPr="006955CE">
        <w:rPr>
          <w:spacing w:val="-1"/>
          <w:position w:val="-1"/>
        </w:rPr>
        <w:t xml:space="preserve"> </w:t>
      </w:r>
      <w:r w:rsidRPr="006955CE">
        <w:rPr>
          <w:spacing w:val="-2"/>
          <w:position w:val="-1"/>
        </w:rPr>
        <w:t>m</w:t>
      </w:r>
      <w:r w:rsidRPr="006955CE">
        <w:rPr>
          <w:position w:val="-1"/>
        </w:rPr>
        <w:t>onth.</w:t>
      </w:r>
    </w:p>
  </w:footnote>
  <w:footnote w:id="4">
    <w:p w14:paraId="03610481" w14:textId="77777777" w:rsidR="00B64C99" w:rsidRPr="00E43BE9" w:rsidRDefault="00B64C99" w:rsidP="00B64C99">
      <w:pPr>
        <w:pStyle w:val="FootnoteText"/>
        <w:ind w:left="709" w:hanging="709"/>
      </w:pPr>
      <w:r w:rsidRPr="00195184">
        <w:rPr>
          <w:rStyle w:val="FootnoteReference"/>
        </w:rPr>
        <w:footnoteRef/>
      </w:r>
      <w:r>
        <w:t xml:space="preserve"> </w:t>
      </w:r>
      <w:r>
        <w:tab/>
      </w:r>
      <w:r>
        <w:tab/>
      </w:r>
      <w:r w:rsidRPr="006955CE">
        <w:t>Flash</w:t>
      </w:r>
      <w:r w:rsidRPr="006955CE">
        <w:rPr>
          <w:spacing w:val="1"/>
        </w:rPr>
        <w:t xml:space="preserve"> </w:t>
      </w:r>
      <w:r w:rsidRPr="006955CE">
        <w:rPr>
          <w:spacing w:val="-1"/>
        </w:rPr>
        <w:t>Eu</w:t>
      </w:r>
      <w:r w:rsidRPr="006955CE">
        <w:t>r</w:t>
      </w:r>
      <w:r w:rsidRPr="006955CE">
        <w:rPr>
          <w:spacing w:val="-1"/>
        </w:rPr>
        <w:t>o</w:t>
      </w:r>
      <w:r w:rsidRPr="006955CE">
        <w:t>ba</w:t>
      </w:r>
      <w:r w:rsidRPr="006955CE">
        <w:rPr>
          <w:spacing w:val="-1"/>
        </w:rPr>
        <w:t>rom</w:t>
      </w:r>
      <w:r w:rsidRPr="006955CE">
        <w:t>eter</w:t>
      </w:r>
      <w:r w:rsidRPr="006955CE">
        <w:rPr>
          <w:spacing w:val="1"/>
        </w:rPr>
        <w:t xml:space="preserve"> </w:t>
      </w:r>
      <w:r w:rsidRPr="006955CE">
        <w:t>518,</w:t>
      </w:r>
      <w:r w:rsidRPr="006955CE">
        <w:rPr>
          <w:spacing w:val="-1"/>
        </w:rPr>
        <w:t xml:space="preserve"> </w:t>
      </w:r>
      <w:r w:rsidRPr="006955CE">
        <w:t>fie</w:t>
      </w:r>
      <w:r w:rsidRPr="006955CE">
        <w:rPr>
          <w:spacing w:val="-2"/>
        </w:rPr>
        <w:t>l</w:t>
      </w:r>
      <w:r w:rsidRPr="006955CE">
        <w:t>d</w:t>
      </w:r>
      <w:r w:rsidRPr="006955CE">
        <w:rPr>
          <w:spacing w:val="-1"/>
        </w:rPr>
        <w:t xml:space="preserve"> </w:t>
      </w:r>
      <w:r w:rsidRPr="006955CE">
        <w:t>w</w:t>
      </w:r>
      <w:r w:rsidRPr="006955CE">
        <w:rPr>
          <w:spacing w:val="-1"/>
        </w:rPr>
        <w:t>o</w:t>
      </w:r>
      <w:r w:rsidRPr="006955CE">
        <w:t>rk ca</w:t>
      </w:r>
      <w:r w:rsidRPr="006955CE">
        <w:rPr>
          <w:spacing w:val="-1"/>
        </w:rPr>
        <w:t>r</w:t>
      </w:r>
      <w:r w:rsidRPr="006955CE">
        <w:t>ried</w:t>
      </w:r>
      <w:r w:rsidRPr="006955CE">
        <w:rPr>
          <w:spacing w:val="-1"/>
        </w:rPr>
        <w:t xml:space="preserve"> </w:t>
      </w:r>
      <w:r w:rsidRPr="006955CE">
        <w:t>out</w:t>
      </w:r>
      <w:r w:rsidRPr="006955CE">
        <w:rPr>
          <w:spacing w:val="-1"/>
        </w:rPr>
        <w:t xml:space="preserve"> </w:t>
      </w:r>
      <w:r w:rsidRPr="006955CE">
        <w:rPr>
          <w:lang w:val="en"/>
        </w:rPr>
        <w:t>16 to 19 January 2023</w:t>
      </w:r>
      <w:r w:rsidRPr="006955CE">
        <w:t>,</w:t>
      </w:r>
      <w:r w:rsidRPr="006955CE">
        <w:rPr>
          <w:spacing w:val="1"/>
        </w:rPr>
        <w:t xml:space="preserve"> </w:t>
      </w:r>
      <w:r w:rsidRPr="006955CE">
        <w:rPr>
          <w:spacing w:val="-1"/>
        </w:rPr>
        <w:t>a</w:t>
      </w:r>
      <w:r w:rsidRPr="006955CE">
        <w:rPr>
          <w:spacing w:val="1"/>
        </w:rPr>
        <w:t>v</w:t>
      </w:r>
      <w:r w:rsidRPr="006955CE">
        <w:t>ailable</w:t>
      </w:r>
      <w:r w:rsidRPr="006955CE">
        <w:rPr>
          <w:spacing w:val="1"/>
        </w:rPr>
        <w:t xml:space="preserve"> </w:t>
      </w:r>
      <w:r w:rsidRPr="006955CE">
        <w:t>at:</w:t>
      </w:r>
      <w:hyperlink r:id="rId1" w:history="1">
        <w:r w:rsidR="00641D5A" w:rsidRPr="0013145D">
          <w:rPr>
            <w:rStyle w:val="Hyperlink"/>
          </w:rPr>
          <w:t xml:space="preserve"> </w:t>
        </w:r>
        <w:r w:rsidR="00641D5A" w:rsidRPr="0013145D">
          <w:rPr>
            <w:rStyle w:val="Hyperlink"/>
            <w:spacing w:val="1"/>
          </w:rPr>
          <w:t>http://ec.europa.eu/economy_finance/articles/pdf/fl412_report_final_en.pdf</w:t>
        </w:r>
      </w:hyperlink>
    </w:p>
  </w:footnote>
  <w:footnote w:id="5">
    <w:p w14:paraId="3BF6839C" w14:textId="77777777" w:rsidR="00FB73B0" w:rsidRDefault="00FB73B0" w:rsidP="00FB73B0">
      <w:pPr>
        <w:pStyle w:val="FootnoteText"/>
      </w:pPr>
      <w:r w:rsidRPr="007854CA">
        <w:rPr>
          <w:rStyle w:val="FootnoteReference"/>
        </w:rPr>
        <w:footnoteRef/>
      </w:r>
      <w:r>
        <w:t xml:space="preserve"> </w:t>
      </w:r>
      <w:r>
        <w:tab/>
      </w:r>
      <w:r w:rsidRPr="006955CE">
        <w:t>Flash Eurobarometer 516, carried out in Croatia between 29 and 30 December 2022</w:t>
      </w:r>
      <w:r w:rsidRPr="00DB04AE">
        <w:t xml:space="preserve">, p.3. </w:t>
      </w:r>
      <w:hyperlink r:id="rId2" w:history="1">
        <w:r w:rsidR="00DB04AE" w:rsidRPr="00574073">
          <w:rPr>
            <w:rStyle w:val="Hyperlink"/>
          </w:rPr>
          <w:t>https://economy-finance.ec.europa.eu/euro/eu-countries-and-euro/croatia-and-euro_en</w:t>
        </w:r>
      </w:hyperlink>
    </w:p>
    <w:p w14:paraId="7B23BABB" w14:textId="77777777" w:rsidR="00DB04AE" w:rsidRDefault="00DB04AE" w:rsidP="00FB73B0">
      <w:pPr>
        <w:pStyle w:val="FootnoteText"/>
      </w:pPr>
    </w:p>
  </w:footnote>
  <w:footnote w:id="6">
    <w:p w14:paraId="24BF8794" w14:textId="77777777" w:rsidR="001D09A7" w:rsidRPr="006955CE" w:rsidRDefault="001D09A7" w:rsidP="001D09A7">
      <w:pPr>
        <w:pStyle w:val="FootnoteText"/>
      </w:pPr>
      <w:r w:rsidRPr="00E90CAF">
        <w:rPr>
          <w:rStyle w:val="FootnoteReference"/>
        </w:rPr>
        <w:footnoteRef/>
      </w:r>
      <w:r w:rsidRPr="004D421D">
        <w:t xml:space="preserve"> </w:t>
      </w:r>
      <w:r w:rsidRPr="004D421D">
        <w:tab/>
      </w:r>
      <w:r w:rsidRPr="006955CE">
        <w:t>Flash Eurobarometer</w:t>
      </w:r>
      <w:r w:rsidR="00E90CAF" w:rsidRPr="006955CE">
        <w:t xml:space="preserve"> </w:t>
      </w:r>
      <w:r w:rsidR="00314D21" w:rsidRPr="006955CE">
        <w:t>518</w:t>
      </w:r>
      <w:r w:rsidRPr="006955CE">
        <w:t>, see footnote 4.</w:t>
      </w:r>
    </w:p>
  </w:footnote>
  <w:footnote w:id="7">
    <w:p w14:paraId="62C1051E" w14:textId="77777777" w:rsidR="001D09A7" w:rsidRPr="006955CE" w:rsidRDefault="001D09A7" w:rsidP="001D09A7">
      <w:pPr>
        <w:pStyle w:val="FootnoteText"/>
      </w:pPr>
      <w:r w:rsidRPr="006955CE">
        <w:rPr>
          <w:rStyle w:val="FootnoteReference"/>
        </w:rPr>
        <w:footnoteRef/>
      </w:r>
      <w:r w:rsidRPr="006955CE">
        <w:t xml:space="preserve"> </w:t>
      </w:r>
      <w:r w:rsidRPr="006955CE">
        <w:tab/>
        <w:t>The corresponding figures were 95% in Estonia, 90% in Slovakia, 88% in Cyprus, 85% in Malta and 96% in Slovenia.</w:t>
      </w:r>
    </w:p>
  </w:footnote>
  <w:footnote w:id="8">
    <w:p w14:paraId="21EE2D43" w14:textId="77777777" w:rsidR="0031251C" w:rsidRDefault="0031251C" w:rsidP="0031251C">
      <w:pPr>
        <w:pStyle w:val="FootnoteText"/>
      </w:pPr>
      <w:r w:rsidRPr="006955CE">
        <w:rPr>
          <w:rStyle w:val="FootnoteReference"/>
        </w:rPr>
        <w:footnoteRef/>
      </w:r>
      <w:r w:rsidRPr="006955CE">
        <w:t xml:space="preserve"> </w:t>
      </w:r>
      <w:r w:rsidRPr="006955CE">
        <w:tab/>
        <w:t>Flash Eurobarometer 517, fie</w:t>
      </w:r>
      <w:r w:rsidRPr="006955CE">
        <w:rPr>
          <w:spacing w:val="-2"/>
        </w:rPr>
        <w:t>l</w:t>
      </w:r>
      <w:r w:rsidRPr="006955CE">
        <w:t>d</w:t>
      </w:r>
      <w:r w:rsidRPr="006955CE">
        <w:rPr>
          <w:spacing w:val="-1"/>
        </w:rPr>
        <w:t xml:space="preserve"> </w:t>
      </w:r>
      <w:r w:rsidRPr="006955CE">
        <w:t>w</w:t>
      </w:r>
      <w:r w:rsidRPr="006955CE">
        <w:rPr>
          <w:spacing w:val="-1"/>
        </w:rPr>
        <w:t>o</w:t>
      </w:r>
      <w:r w:rsidRPr="006955CE">
        <w:t>rk ca</w:t>
      </w:r>
      <w:r w:rsidRPr="006955CE">
        <w:rPr>
          <w:spacing w:val="-1"/>
        </w:rPr>
        <w:t>r</w:t>
      </w:r>
      <w:r w:rsidRPr="006955CE">
        <w:t>ried</w:t>
      </w:r>
      <w:r w:rsidRPr="006955CE">
        <w:rPr>
          <w:spacing w:val="-1"/>
        </w:rPr>
        <w:t xml:space="preserve"> </w:t>
      </w:r>
      <w:r w:rsidRPr="006955CE">
        <w:t>out</w:t>
      </w:r>
      <w:r w:rsidRPr="006955CE">
        <w:rPr>
          <w:spacing w:val="-1"/>
        </w:rPr>
        <w:t xml:space="preserve"> </w:t>
      </w:r>
      <w:r w:rsidRPr="006955CE">
        <w:rPr>
          <w:lang w:val="en"/>
        </w:rPr>
        <w:t>2 to 14 January 2023, available at:</w:t>
      </w:r>
      <w:r w:rsidR="00FE16A7" w:rsidRPr="00FE16A7">
        <w:t xml:space="preserve"> </w:t>
      </w:r>
      <w:hyperlink r:id="rId3" w:history="1">
        <w:r w:rsidR="00FE16A7" w:rsidRPr="00574073">
          <w:rPr>
            <w:rStyle w:val="Hyperlink"/>
            <w:lang w:val="en"/>
          </w:rPr>
          <w:t>https://economy-finance.ec.europa.eu/euro/eu-countries-and-euro/croatia-and-euro_en</w:t>
        </w:r>
      </w:hyperlink>
      <w:r w:rsidR="00FE16A7">
        <w:rPr>
          <w:lang w:val="en"/>
        </w:rPr>
        <w:t xml:space="preserve"> </w:t>
      </w:r>
    </w:p>
  </w:footnote>
  <w:footnote w:id="9">
    <w:p w14:paraId="494B2341" w14:textId="77777777" w:rsidR="00DD7304" w:rsidRPr="00DD7304" w:rsidRDefault="00DD7304">
      <w:pPr>
        <w:pStyle w:val="FootnoteText"/>
        <w:rPr>
          <w:lang w:val="en-IE"/>
        </w:rPr>
      </w:pPr>
      <w:r>
        <w:rPr>
          <w:rStyle w:val="FootnoteReference"/>
        </w:rPr>
        <w:footnoteRef/>
      </w:r>
      <w:r>
        <w:t xml:space="preserve"> </w:t>
      </w:r>
      <w:r w:rsidRPr="00DD7304">
        <w:rPr>
          <w:lang w:val="en-IE"/>
        </w:rPr>
        <w:tab/>
        <w:t>Fl</w:t>
      </w:r>
      <w:r>
        <w:rPr>
          <w:lang w:val="en-IE"/>
        </w:rPr>
        <w:t>ash Eurobarometer 517, page 20.</w:t>
      </w:r>
    </w:p>
  </w:footnote>
  <w:footnote w:id="10">
    <w:p w14:paraId="62944C21" w14:textId="77777777" w:rsidR="001D09A7" w:rsidRPr="006955CE" w:rsidRDefault="001D09A7" w:rsidP="001D09A7">
      <w:pPr>
        <w:pStyle w:val="FootnoteText"/>
      </w:pPr>
      <w:r w:rsidRPr="009F7B5E">
        <w:rPr>
          <w:rStyle w:val="FootnoteReference"/>
        </w:rPr>
        <w:footnoteRef/>
      </w:r>
      <w:r w:rsidR="009F7B5E">
        <w:t xml:space="preserve"> </w:t>
      </w:r>
      <w:r w:rsidR="009F7B5E">
        <w:tab/>
      </w:r>
      <w:r w:rsidR="009F7B5E" w:rsidRPr="006955CE">
        <w:t>Flash Eurobarometer 518</w:t>
      </w:r>
      <w:r w:rsidRPr="006955CE">
        <w:t>, see footnote 4.</w:t>
      </w:r>
    </w:p>
  </w:footnote>
  <w:footnote w:id="11">
    <w:p w14:paraId="6E396DD2" w14:textId="77777777" w:rsidR="001D09A7" w:rsidRPr="00393B44" w:rsidRDefault="001D09A7" w:rsidP="001D09A7">
      <w:pPr>
        <w:pStyle w:val="FootnoteText"/>
        <w:rPr>
          <w:highlight w:val="green"/>
        </w:rPr>
      </w:pPr>
      <w:r w:rsidRPr="006955CE">
        <w:rPr>
          <w:rStyle w:val="FootnoteReference"/>
        </w:rPr>
        <w:footnoteRef/>
      </w:r>
      <w:r w:rsidR="00393B44" w:rsidRPr="006955CE">
        <w:t xml:space="preserve"> </w:t>
      </w:r>
      <w:r w:rsidR="00393B44" w:rsidRPr="006955CE">
        <w:tab/>
        <w:t>Flash Eurobarometer 518</w:t>
      </w:r>
      <w:r w:rsidRPr="006955CE">
        <w:t>, see footnote 4.</w:t>
      </w:r>
    </w:p>
  </w:footnote>
  <w:footnote w:id="12">
    <w:p w14:paraId="2C36F758" w14:textId="77777777" w:rsidR="001D09A7" w:rsidRPr="006955CE" w:rsidRDefault="001D09A7" w:rsidP="001D09A7">
      <w:pPr>
        <w:pStyle w:val="FootnoteText"/>
      </w:pPr>
      <w:r w:rsidRPr="00393B44">
        <w:rPr>
          <w:rStyle w:val="FootnoteReference"/>
        </w:rPr>
        <w:footnoteRef/>
      </w:r>
      <w:r w:rsidR="00393B44" w:rsidRPr="00393B44">
        <w:t xml:space="preserve"> </w:t>
      </w:r>
      <w:r w:rsidR="00393B44" w:rsidRPr="00393B44">
        <w:tab/>
      </w:r>
      <w:r w:rsidR="00393B44" w:rsidRPr="006955CE">
        <w:t>Flash Eurobarometer 518</w:t>
      </w:r>
      <w:r w:rsidRPr="006955CE">
        <w:t>, see footnote 4.</w:t>
      </w:r>
    </w:p>
  </w:footnote>
  <w:footnote w:id="13">
    <w:p w14:paraId="53BBADBB" w14:textId="77777777" w:rsidR="001E2985" w:rsidRDefault="001E2985" w:rsidP="001E2985">
      <w:pPr>
        <w:pStyle w:val="FootnoteText"/>
      </w:pPr>
      <w:r w:rsidRPr="006955CE">
        <w:rPr>
          <w:rStyle w:val="FootnoteReference"/>
        </w:rPr>
        <w:footnoteRef/>
      </w:r>
      <w:r w:rsidRPr="006955CE">
        <w:t xml:space="preserve"> </w:t>
      </w:r>
      <w:r w:rsidRPr="006955CE">
        <w:tab/>
        <w:t>Flash Eurobarometer 518, see footnote 4.</w:t>
      </w:r>
    </w:p>
  </w:footnote>
  <w:footnote w:id="14">
    <w:p w14:paraId="62FECCB4" w14:textId="4B1CEAC8" w:rsidR="00E3583F" w:rsidRPr="009E427B" w:rsidRDefault="00E3583F" w:rsidP="00E3583F">
      <w:pPr>
        <w:pStyle w:val="FootnoteText"/>
        <w:rPr>
          <w:lang w:val="hr-HR"/>
        </w:rPr>
      </w:pPr>
      <w:r>
        <w:rPr>
          <w:rStyle w:val="FootnoteReference"/>
        </w:rPr>
        <w:footnoteRef/>
      </w:r>
      <w:r w:rsidR="00ED73CF">
        <w:rPr>
          <w:lang w:val="en-IE"/>
        </w:rPr>
        <w:tab/>
      </w:r>
      <w:r w:rsidRPr="009E427B">
        <w:rPr>
          <w:lang w:val="en-IE"/>
        </w:rPr>
        <w:t>Falagiarda, M., Gartner, C., Mužić I., Pufnik, A. (2023),</w:t>
      </w:r>
      <w:r>
        <w:rPr>
          <w:lang w:val="en-IE"/>
        </w:rPr>
        <w:t xml:space="preserve"> "Has the</w:t>
      </w:r>
      <w:r w:rsidRPr="00E3583F">
        <w:t xml:space="preserve"> euro changeover really caused extra inflation in Croatia?</w:t>
      </w:r>
      <w:r>
        <w:t>”,</w:t>
      </w:r>
      <w:r w:rsidRPr="00E3583F">
        <w:t xml:space="preserve"> </w:t>
      </w:r>
      <w:r w:rsidRPr="00E3583F">
        <w:rPr>
          <w:lang w:val="hr-HR"/>
        </w:rPr>
        <w:t xml:space="preserve">SUERF Policy </w:t>
      </w:r>
      <w:r w:rsidR="000B54FA">
        <w:rPr>
          <w:lang w:val="hr-HR"/>
        </w:rPr>
        <w:t>Brief</w:t>
      </w:r>
      <w:r w:rsidRPr="00E3583F">
        <w:rPr>
          <w:lang w:val="hr-HR"/>
        </w:rPr>
        <w:t>, No</w:t>
      </w:r>
      <w:r w:rsidR="000B54FA">
        <w:rPr>
          <w:lang w:val="hr-HR"/>
        </w:rPr>
        <w:t>.</w:t>
      </w:r>
      <w:r w:rsidRPr="00E3583F">
        <w:rPr>
          <w:lang w:val="hr-HR"/>
        </w:rPr>
        <w:t xml:space="preserve"> </w:t>
      </w:r>
      <w:r w:rsidR="000B54FA">
        <w:rPr>
          <w:lang w:val="hr-HR"/>
        </w:rPr>
        <w:t>571</w:t>
      </w:r>
      <w:r>
        <w:rPr>
          <w:lang w:val="en-IE"/>
        </w:rPr>
        <w:t>,</w:t>
      </w:r>
      <w:r w:rsidRPr="00E3583F">
        <w:rPr>
          <w:lang w:val="hr-HR"/>
        </w:rPr>
        <w:t xml:space="preserve"> </w:t>
      </w:r>
      <w:r>
        <w:rPr>
          <w:lang w:val="hr-HR"/>
        </w:rPr>
        <w:t xml:space="preserve">April </w:t>
      </w:r>
      <w:r w:rsidRPr="00E3583F">
        <w:rPr>
          <w:lang w:val="hr-HR"/>
        </w:rPr>
        <w:t>202</w:t>
      </w:r>
      <w:r>
        <w:rPr>
          <w:lang w:val="hr-HR"/>
        </w:rPr>
        <w:t>3</w:t>
      </w:r>
    </w:p>
  </w:footnote>
  <w:footnote w:id="15">
    <w:p w14:paraId="6204B2B4" w14:textId="4A605298" w:rsidR="002032E3" w:rsidRPr="00436E0A" w:rsidRDefault="002032E3" w:rsidP="002032E3">
      <w:pPr>
        <w:pStyle w:val="FootnoteText"/>
        <w:rPr>
          <w:lang w:val="en-IE"/>
        </w:rPr>
      </w:pPr>
      <w:r>
        <w:rPr>
          <w:rStyle w:val="FootnoteReference"/>
        </w:rPr>
        <w:footnoteRef/>
      </w:r>
      <w:r w:rsidR="00CE1728">
        <w:tab/>
      </w:r>
      <w:r>
        <w:t xml:space="preserve">Prices grew by </w:t>
      </w:r>
      <w:r>
        <w:rPr>
          <w:rStyle w:val="ui-provider"/>
        </w:rPr>
        <w:t xml:space="preserve">3.6% in domestic and household services, 3.4% in restaurants, cafés and the like, 2.9% in hairdressing salons and 2% in recreational and sporting services. </w:t>
      </w:r>
      <w:r>
        <w:t>HICP growth rates for January can be calculated as of 1999 in Croatia.</w:t>
      </w:r>
    </w:p>
  </w:footnote>
  <w:footnote w:id="16">
    <w:p w14:paraId="1D664D32" w14:textId="7C8D628F" w:rsidR="006A6BEF" w:rsidRPr="00F65FFF" w:rsidRDefault="006A6BEF" w:rsidP="006A6BEF">
      <w:pPr>
        <w:pStyle w:val="FootnoteText"/>
        <w:rPr>
          <w:lang w:val="en-IE"/>
        </w:rPr>
      </w:pPr>
      <w:r>
        <w:rPr>
          <w:rStyle w:val="FootnoteReference"/>
        </w:rPr>
        <w:footnoteRef/>
      </w:r>
      <w:r w:rsidR="0066779E">
        <w:rPr>
          <w:lang w:val="en-IE"/>
        </w:rPr>
        <w:t xml:space="preserve"> </w:t>
      </w:r>
      <w:r w:rsidR="00B2027B">
        <w:rPr>
          <w:lang w:val="en-IE"/>
        </w:rPr>
        <w:tab/>
      </w:r>
      <w:r w:rsidR="0066779E">
        <w:rPr>
          <w:lang w:val="en-IE"/>
        </w:rPr>
        <w:t xml:space="preserve">Flash Eurobarometer 518, </w:t>
      </w:r>
      <w:r>
        <w:rPr>
          <w:lang w:val="en-IE"/>
        </w:rPr>
        <w:t>Croatia after euro changeover, 26 January 2023</w:t>
      </w:r>
      <w:r w:rsidR="0066779E">
        <w:rPr>
          <w:lang w:val="en-IE"/>
        </w:rPr>
        <w:t>.</w:t>
      </w:r>
    </w:p>
  </w:footnote>
  <w:footnote w:id="17">
    <w:p w14:paraId="78AC270A" w14:textId="77777777" w:rsidR="00CE1728" w:rsidRDefault="00CE1728" w:rsidP="00CE1728">
      <w:pPr>
        <w:pStyle w:val="FootnoteText"/>
      </w:pPr>
      <w:r w:rsidRPr="00E90CAF">
        <w:rPr>
          <w:rStyle w:val="FootnoteReference"/>
        </w:rPr>
        <w:footnoteRef/>
      </w:r>
      <w:r w:rsidR="001D7784">
        <w:tab/>
      </w:r>
      <w:r w:rsidRPr="006955CE">
        <w:t>Flash Eurobarometer 517, see footnote 8.</w:t>
      </w:r>
    </w:p>
  </w:footnote>
  <w:footnote w:id="18">
    <w:p w14:paraId="7F62AD74" w14:textId="77777777" w:rsidR="0073602B" w:rsidRPr="006955CE" w:rsidRDefault="0073602B" w:rsidP="0073602B">
      <w:pPr>
        <w:pStyle w:val="FootnoteText"/>
      </w:pPr>
      <w:r w:rsidRPr="006955CE">
        <w:rPr>
          <w:rStyle w:val="FootnoteReference"/>
        </w:rPr>
        <w:footnoteRef/>
      </w:r>
      <w:r w:rsidRPr="006955CE">
        <w:t xml:space="preserve"> </w:t>
      </w:r>
      <w:r w:rsidRPr="006955CE">
        <w:tab/>
        <w:t>Commission Recommendation of 10 January 2008 on measures to facilitate future changeovers to the</w:t>
      </w:r>
    </w:p>
    <w:p w14:paraId="07A5410B" w14:textId="77777777" w:rsidR="0073602B" w:rsidRPr="006955CE" w:rsidRDefault="0073602B" w:rsidP="0073602B">
      <w:pPr>
        <w:pStyle w:val="FootnoteText"/>
        <w:ind w:firstLine="0"/>
      </w:pPr>
      <w:r w:rsidRPr="006955CE">
        <w:t>euro (OJ L 23, 26.1.2008, p. 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E443" w14:textId="77777777" w:rsidR="00EA42FA" w:rsidRPr="00EA42FA" w:rsidRDefault="00EA42FA" w:rsidP="00EA4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1A49" w14:textId="77777777" w:rsidR="00EA42FA" w:rsidRPr="00EA42FA" w:rsidRDefault="00EA42FA" w:rsidP="00EA42F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3432" w14:textId="77777777" w:rsidR="00EA42FA" w:rsidRPr="00EA42FA" w:rsidRDefault="00EA42FA" w:rsidP="00EA42F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8A40" w14:textId="77777777" w:rsidR="001E0B0E" w:rsidRDefault="001E0B0E">
    <w:pPr>
      <w:pStyle w:val="Header"/>
    </w:pPr>
  </w:p>
  <w:p w14:paraId="4260A226" w14:textId="77777777" w:rsidR="001E0B0E" w:rsidRDefault="001E0B0E"/>
  <w:p w14:paraId="10397109" w14:textId="77777777" w:rsidR="001E0B0E" w:rsidRDefault="001E0B0E"/>
  <w:p w14:paraId="06B228F6" w14:textId="77777777" w:rsidR="001E0B0E" w:rsidRDefault="001E0B0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BEA4" w14:textId="77777777" w:rsidR="001E0B0E" w:rsidRDefault="001E0B0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68BD" w14:textId="77777777" w:rsidR="001E0B0E" w:rsidRDefault="001E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4D0"/>
    <w:multiLevelType w:val="hybridMultilevel"/>
    <w:tmpl w:val="4AAC34CE"/>
    <w:lvl w:ilvl="0" w:tplc="2DE03874">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095E0741"/>
    <w:multiLevelType w:val="hybridMultilevel"/>
    <w:tmpl w:val="2D9C3C3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EA6484"/>
    <w:multiLevelType w:val="hybridMultilevel"/>
    <w:tmpl w:val="C1DC9CFE"/>
    <w:lvl w:ilvl="0" w:tplc="5766593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42713452"/>
    <w:multiLevelType w:val="singleLevel"/>
    <w:tmpl w:val="3B8CC7EA"/>
    <w:lvl w:ilvl="0">
      <w:start w:val="1"/>
      <w:numFmt w:val="bullet"/>
      <w:lvlRestart w:val="0"/>
      <w:lvlText w:val="–"/>
      <w:lvlJc w:val="left"/>
      <w:pPr>
        <w:tabs>
          <w:tab w:val="num" w:pos="1417"/>
        </w:tabs>
        <w:ind w:left="1417" w:hanging="567"/>
      </w:pPr>
    </w:lvl>
  </w:abstractNum>
  <w:abstractNum w:abstractNumId="8"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 w15:restartNumberingAfterBreak="0">
    <w:nsid w:val="525E1CA4"/>
    <w:multiLevelType w:val="multilevel"/>
    <w:tmpl w:val="5642AC6E"/>
    <w:lvl w:ilvl="0">
      <w:start w:val="41"/>
      <w:numFmt w:val="decimal"/>
      <w:lvlText w:val="%1."/>
      <w:lvlJc w:val="left"/>
      <w:pPr>
        <w:ind w:left="1353" w:hanging="360"/>
      </w:pPr>
      <w:rPr>
        <w:rFonts w:cs="Times New Roman" w:hint="default"/>
        <w:b w:val="0"/>
      </w:rPr>
    </w:lvl>
    <w:lvl w:ilvl="1">
      <w:start w:val="1"/>
      <w:numFmt w:val="decimal"/>
      <w:lvlText w:val="%1.%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56CB74B4"/>
    <w:multiLevelType w:val="multilevel"/>
    <w:tmpl w:val="1A38245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6"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7" w15:restartNumberingAfterBreak="0">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8" w15:restartNumberingAfterBreak="0">
    <w:nsid w:val="6DB503E3"/>
    <w:multiLevelType w:val="hybridMultilevel"/>
    <w:tmpl w:val="8FAC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C26F71"/>
    <w:multiLevelType w:val="multilevel"/>
    <w:tmpl w:val="37A4F9D6"/>
    <w:lvl w:ilvl="0">
      <w:start w:val="1"/>
      <w:numFmt w:val="decimal"/>
      <w:lvlRestart w:val="0"/>
      <w:lvlText w:val="%1."/>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0"/>
  </w:num>
  <w:num w:numId="2">
    <w:abstractNumId w:val="3"/>
  </w:num>
  <w:num w:numId="3">
    <w:abstractNumId w:val="14"/>
  </w:num>
  <w:num w:numId="4">
    <w:abstractNumId w:val="13"/>
  </w:num>
  <w:num w:numId="5">
    <w:abstractNumId w:val="8"/>
  </w:num>
  <w:num w:numId="6">
    <w:abstractNumId w:val="16"/>
  </w:num>
  <w:num w:numId="7">
    <w:abstractNumId w:val="20"/>
  </w:num>
  <w:num w:numId="8">
    <w:abstractNumId w:val="20"/>
  </w:num>
  <w:num w:numId="9">
    <w:abstractNumId w:val="20"/>
  </w:num>
  <w:num w:numId="10">
    <w:abstractNumId w:val="20"/>
  </w:num>
  <w:num w:numId="11">
    <w:abstractNumId w:val="19"/>
  </w:num>
  <w:num w:numId="12">
    <w:abstractNumId w:val="19"/>
  </w:num>
  <w:num w:numId="13">
    <w:abstractNumId w:val="19"/>
  </w:num>
  <w:num w:numId="14">
    <w:abstractNumId w:val="19"/>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5"/>
  </w:num>
  <w:num w:numId="25">
    <w:abstractNumId w:val="4"/>
  </w:num>
  <w:num w:numId="26">
    <w:abstractNumId w:val="15"/>
  </w:num>
  <w:num w:numId="27">
    <w:abstractNumId w:val="6"/>
  </w:num>
  <w:num w:numId="28">
    <w:abstractNumId w:val="11"/>
  </w:num>
  <w:num w:numId="29">
    <w:abstractNumId w:val="12"/>
  </w:num>
  <w:num w:numId="30">
    <w:abstractNumId w:val="20"/>
  </w:num>
  <w:num w:numId="31">
    <w:abstractNumId w:val="7"/>
  </w:num>
  <w:num w:numId="32">
    <w:abstractNumId w:val="1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18"/>
  </w:num>
  <w:num w:numId="42">
    <w:abstractNumId w:val="0"/>
  </w:num>
  <w:num w:numId="43">
    <w:abstractNumId w:val="9"/>
  </w:num>
  <w:num w:numId="44">
    <w:abstractNumId w:val="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C7A4123-CBA2-44E0-ACA0-53EEF4F7883D"/>
    <w:docVar w:name="LW_COVERPAGE_TYPE" w:val="1"/>
    <w:docVar w:name="LW_CROSSREFERENCE" w:val="&lt;UNUSED&gt;"/>
    <w:docVar w:name="LW_DocType" w:val="NORMAL"/>
    <w:docVar w:name="LW_EMISSION" w:val="30.6.2023"/>
    <w:docVar w:name="LW_EMISSION_ISODATE" w:val="2023-06-30"/>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 THE EUROPEAN PARLIAMENT, THE COUNCIL, THE EUROPEAN CENTRAL BANK, THE EUROPEAN ECONOMIC AND SOCIAL COMMITTEE AND THE COMMITTEE OF THE REGIONS _x000d__x000d__x000b__x000d__x000d__x000b_The introduction of the euro in Croatia"/>
    <w:docVar w:name="LW_TYPE.DOC.CP" w:val="REPORT FROM THE COMMISSION"/>
    <w:docVar w:name="LwApiVersions" w:val="LW4CoDe 1.23.2.0; LW 8.0, Build 20211117"/>
  </w:docVars>
  <w:rsids>
    <w:rsidRoot w:val="005643CD"/>
    <w:rsid w:val="00001FCB"/>
    <w:rsid w:val="0000258F"/>
    <w:rsid w:val="00003682"/>
    <w:rsid w:val="00006227"/>
    <w:rsid w:val="0000628E"/>
    <w:rsid w:val="00007C0D"/>
    <w:rsid w:val="0001181D"/>
    <w:rsid w:val="0001305B"/>
    <w:rsid w:val="00014ED0"/>
    <w:rsid w:val="00016368"/>
    <w:rsid w:val="0003043C"/>
    <w:rsid w:val="00030664"/>
    <w:rsid w:val="00030806"/>
    <w:rsid w:val="0003262B"/>
    <w:rsid w:val="000404ED"/>
    <w:rsid w:val="0004157D"/>
    <w:rsid w:val="000432DD"/>
    <w:rsid w:val="00043644"/>
    <w:rsid w:val="00044C6B"/>
    <w:rsid w:val="00047F13"/>
    <w:rsid w:val="00051AD2"/>
    <w:rsid w:val="00053CBC"/>
    <w:rsid w:val="0005459A"/>
    <w:rsid w:val="00055B3B"/>
    <w:rsid w:val="00056FFA"/>
    <w:rsid w:val="0006253B"/>
    <w:rsid w:val="00062A4D"/>
    <w:rsid w:val="00063443"/>
    <w:rsid w:val="0006766D"/>
    <w:rsid w:val="0007057D"/>
    <w:rsid w:val="00071C47"/>
    <w:rsid w:val="000764EB"/>
    <w:rsid w:val="0008039F"/>
    <w:rsid w:val="00081136"/>
    <w:rsid w:val="00081453"/>
    <w:rsid w:val="0008334B"/>
    <w:rsid w:val="00086188"/>
    <w:rsid w:val="000863EE"/>
    <w:rsid w:val="000866B0"/>
    <w:rsid w:val="000878B4"/>
    <w:rsid w:val="00087920"/>
    <w:rsid w:val="0009097B"/>
    <w:rsid w:val="00090B85"/>
    <w:rsid w:val="00090D37"/>
    <w:rsid w:val="00091799"/>
    <w:rsid w:val="00091A25"/>
    <w:rsid w:val="00094173"/>
    <w:rsid w:val="00097228"/>
    <w:rsid w:val="000A1068"/>
    <w:rsid w:val="000A1AEF"/>
    <w:rsid w:val="000A395B"/>
    <w:rsid w:val="000A3B64"/>
    <w:rsid w:val="000A3EAB"/>
    <w:rsid w:val="000A49EB"/>
    <w:rsid w:val="000A6BB9"/>
    <w:rsid w:val="000A6CBF"/>
    <w:rsid w:val="000B067E"/>
    <w:rsid w:val="000B1171"/>
    <w:rsid w:val="000B482A"/>
    <w:rsid w:val="000B54FA"/>
    <w:rsid w:val="000B740B"/>
    <w:rsid w:val="000B7DF9"/>
    <w:rsid w:val="000C0C7C"/>
    <w:rsid w:val="000C2784"/>
    <w:rsid w:val="000D2290"/>
    <w:rsid w:val="000D2E06"/>
    <w:rsid w:val="000D2FC1"/>
    <w:rsid w:val="000D6A8E"/>
    <w:rsid w:val="000D7AFD"/>
    <w:rsid w:val="000E13B3"/>
    <w:rsid w:val="000F0C1B"/>
    <w:rsid w:val="000F1144"/>
    <w:rsid w:val="000F1EBA"/>
    <w:rsid w:val="000F2E66"/>
    <w:rsid w:val="000F4F16"/>
    <w:rsid w:val="000F5347"/>
    <w:rsid w:val="000F790B"/>
    <w:rsid w:val="0010349B"/>
    <w:rsid w:val="0010350B"/>
    <w:rsid w:val="0010521B"/>
    <w:rsid w:val="00105C08"/>
    <w:rsid w:val="00110800"/>
    <w:rsid w:val="00112550"/>
    <w:rsid w:val="00116427"/>
    <w:rsid w:val="00122721"/>
    <w:rsid w:val="001244F6"/>
    <w:rsid w:val="001271ED"/>
    <w:rsid w:val="0013332C"/>
    <w:rsid w:val="00137F62"/>
    <w:rsid w:val="001457E9"/>
    <w:rsid w:val="00147CFE"/>
    <w:rsid w:val="001518FB"/>
    <w:rsid w:val="00154F4D"/>
    <w:rsid w:val="001568F2"/>
    <w:rsid w:val="001573AA"/>
    <w:rsid w:val="00160119"/>
    <w:rsid w:val="00162DC7"/>
    <w:rsid w:val="001644A7"/>
    <w:rsid w:val="0016596E"/>
    <w:rsid w:val="00165B9C"/>
    <w:rsid w:val="00167C78"/>
    <w:rsid w:val="00174860"/>
    <w:rsid w:val="00177077"/>
    <w:rsid w:val="00177E65"/>
    <w:rsid w:val="00183046"/>
    <w:rsid w:val="0018529B"/>
    <w:rsid w:val="00186999"/>
    <w:rsid w:val="00192163"/>
    <w:rsid w:val="00192F38"/>
    <w:rsid w:val="00195184"/>
    <w:rsid w:val="001A00CC"/>
    <w:rsid w:val="001A30A0"/>
    <w:rsid w:val="001A5ECB"/>
    <w:rsid w:val="001A5FD3"/>
    <w:rsid w:val="001A620B"/>
    <w:rsid w:val="001A6333"/>
    <w:rsid w:val="001A7D3A"/>
    <w:rsid w:val="001B075B"/>
    <w:rsid w:val="001B2698"/>
    <w:rsid w:val="001B3A12"/>
    <w:rsid w:val="001B3A91"/>
    <w:rsid w:val="001B3B67"/>
    <w:rsid w:val="001B4DFD"/>
    <w:rsid w:val="001B5DDC"/>
    <w:rsid w:val="001C088A"/>
    <w:rsid w:val="001C0C88"/>
    <w:rsid w:val="001C18D6"/>
    <w:rsid w:val="001C2F15"/>
    <w:rsid w:val="001C4A4E"/>
    <w:rsid w:val="001C59F1"/>
    <w:rsid w:val="001C6195"/>
    <w:rsid w:val="001C771B"/>
    <w:rsid w:val="001C7FBA"/>
    <w:rsid w:val="001D09A7"/>
    <w:rsid w:val="001D14E0"/>
    <w:rsid w:val="001D1556"/>
    <w:rsid w:val="001D2340"/>
    <w:rsid w:val="001D705D"/>
    <w:rsid w:val="001D70F8"/>
    <w:rsid w:val="001D7784"/>
    <w:rsid w:val="001E0B0E"/>
    <w:rsid w:val="001E185D"/>
    <w:rsid w:val="001E2985"/>
    <w:rsid w:val="001E2C8C"/>
    <w:rsid w:val="001E3FAD"/>
    <w:rsid w:val="001E6073"/>
    <w:rsid w:val="001F3E7B"/>
    <w:rsid w:val="00200AC2"/>
    <w:rsid w:val="0020221F"/>
    <w:rsid w:val="002032E3"/>
    <w:rsid w:val="0020440D"/>
    <w:rsid w:val="002108CA"/>
    <w:rsid w:val="002201E2"/>
    <w:rsid w:val="00220628"/>
    <w:rsid w:val="00220BAA"/>
    <w:rsid w:val="00222004"/>
    <w:rsid w:val="00223ADB"/>
    <w:rsid w:val="002251D6"/>
    <w:rsid w:val="00226EFE"/>
    <w:rsid w:val="00230675"/>
    <w:rsid w:val="00235842"/>
    <w:rsid w:val="0023589C"/>
    <w:rsid w:val="00235A9E"/>
    <w:rsid w:val="00235FB7"/>
    <w:rsid w:val="00237967"/>
    <w:rsid w:val="00237FC0"/>
    <w:rsid w:val="00240E73"/>
    <w:rsid w:val="0024171E"/>
    <w:rsid w:val="00242CFE"/>
    <w:rsid w:val="00247220"/>
    <w:rsid w:val="00247F24"/>
    <w:rsid w:val="00251734"/>
    <w:rsid w:val="00252D22"/>
    <w:rsid w:val="00257248"/>
    <w:rsid w:val="00265F07"/>
    <w:rsid w:val="002705B9"/>
    <w:rsid w:val="00270819"/>
    <w:rsid w:val="00272813"/>
    <w:rsid w:val="00273739"/>
    <w:rsid w:val="00273B3B"/>
    <w:rsid w:val="002756FD"/>
    <w:rsid w:val="002762CC"/>
    <w:rsid w:val="002805CC"/>
    <w:rsid w:val="002927C4"/>
    <w:rsid w:val="00293DB1"/>
    <w:rsid w:val="00294E9D"/>
    <w:rsid w:val="00295820"/>
    <w:rsid w:val="002A6ED4"/>
    <w:rsid w:val="002A721E"/>
    <w:rsid w:val="002B0713"/>
    <w:rsid w:val="002B38C2"/>
    <w:rsid w:val="002B5863"/>
    <w:rsid w:val="002B65F1"/>
    <w:rsid w:val="002B7496"/>
    <w:rsid w:val="002C260E"/>
    <w:rsid w:val="002C3549"/>
    <w:rsid w:val="002C42FD"/>
    <w:rsid w:val="002C444B"/>
    <w:rsid w:val="002C5899"/>
    <w:rsid w:val="002C6A84"/>
    <w:rsid w:val="002D3316"/>
    <w:rsid w:val="002D3D80"/>
    <w:rsid w:val="002D56A7"/>
    <w:rsid w:val="002D77AD"/>
    <w:rsid w:val="002E0225"/>
    <w:rsid w:val="002E0A35"/>
    <w:rsid w:val="002E13DC"/>
    <w:rsid w:val="002E23F1"/>
    <w:rsid w:val="002E30AC"/>
    <w:rsid w:val="002E5D73"/>
    <w:rsid w:val="002F0FA7"/>
    <w:rsid w:val="002F61EA"/>
    <w:rsid w:val="002F62BE"/>
    <w:rsid w:val="00303989"/>
    <w:rsid w:val="0030537E"/>
    <w:rsid w:val="00306618"/>
    <w:rsid w:val="00307EE1"/>
    <w:rsid w:val="00310B68"/>
    <w:rsid w:val="0031224F"/>
    <w:rsid w:val="0031251C"/>
    <w:rsid w:val="00314D21"/>
    <w:rsid w:val="00325FA5"/>
    <w:rsid w:val="00326AF2"/>
    <w:rsid w:val="00326D1E"/>
    <w:rsid w:val="003270C3"/>
    <w:rsid w:val="003307AB"/>
    <w:rsid w:val="00331A05"/>
    <w:rsid w:val="00334C73"/>
    <w:rsid w:val="003354EC"/>
    <w:rsid w:val="00335899"/>
    <w:rsid w:val="003367AC"/>
    <w:rsid w:val="00337C00"/>
    <w:rsid w:val="00340BFB"/>
    <w:rsid w:val="00341FAE"/>
    <w:rsid w:val="0034205E"/>
    <w:rsid w:val="00345B36"/>
    <w:rsid w:val="003461A5"/>
    <w:rsid w:val="00346E2C"/>
    <w:rsid w:val="00350727"/>
    <w:rsid w:val="003525F6"/>
    <w:rsid w:val="00352EBD"/>
    <w:rsid w:val="00353CBD"/>
    <w:rsid w:val="00355AA5"/>
    <w:rsid w:val="00356E2D"/>
    <w:rsid w:val="00356F8B"/>
    <w:rsid w:val="00357223"/>
    <w:rsid w:val="00357456"/>
    <w:rsid w:val="00361598"/>
    <w:rsid w:val="00370FF6"/>
    <w:rsid w:val="00371C57"/>
    <w:rsid w:val="00372ED1"/>
    <w:rsid w:val="003761CE"/>
    <w:rsid w:val="00384433"/>
    <w:rsid w:val="003860CA"/>
    <w:rsid w:val="00386DB3"/>
    <w:rsid w:val="00387006"/>
    <w:rsid w:val="00393B44"/>
    <w:rsid w:val="0039535F"/>
    <w:rsid w:val="003955F3"/>
    <w:rsid w:val="003A05AB"/>
    <w:rsid w:val="003A0BC0"/>
    <w:rsid w:val="003A1033"/>
    <w:rsid w:val="003A38F5"/>
    <w:rsid w:val="003A44C7"/>
    <w:rsid w:val="003A66C7"/>
    <w:rsid w:val="003A7A2A"/>
    <w:rsid w:val="003A7E44"/>
    <w:rsid w:val="003B05F7"/>
    <w:rsid w:val="003B1B19"/>
    <w:rsid w:val="003B6471"/>
    <w:rsid w:val="003C5305"/>
    <w:rsid w:val="003C7C26"/>
    <w:rsid w:val="003D0685"/>
    <w:rsid w:val="003D18B6"/>
    <w:rsid w:val="003D1C75"/>
    <w:rsid w:val="003D2730"/>
    <w:rsid w:val="003D3AB9"/>
    <w:rsid w:val="003D5757"/>
    <w:rsid w:val="003D6482"/>
    <w:rsid w:val="003E17C3"/>
    <w:rsid w:val="003E20A7"/>
    <w:rsid w:val="003E3E56"/>
    <w:rsid w:val="003F4D30"/>
    <w:rsid w:val="003F5386"/>
    <w:rsid w:val="004004A9"/>
    <w:rsid w:val="004014CA"/>
    <w:rsid w:val="004024F3"/>
    <w:rsid w:val="0040294F"/>
    <w:rsid w:val="00402954"/>
    <w:rsid w:val="0040317E"/>
    <w:rsid w:val="00406B37"/>
    <w:rsid w:val="00406EC8"/>
    <w:rsid w:val="004075AE"/>
    <w:rsid w:val="00413139"/>
    <w:rsid w:val="004178A5"/>
    <w:rsid w:val="00425BB2"/>
    <w:rsid w:val="00427846"/>
    <w:rsid w:val="004302BC"/>
    <w:rsid w:val="00434765"/>
    <w:rsid w:val="00435715"/>
    <w:rsid w:val="00436052"/>
    <w:rsid w:val="00436E0A"/>
    <w:rsid w:val="00443DF6"/>
    <w:rsid w:val="00444370"/>
    <w:rsid w:val="004448B2"/>
    <w:rsid w:val="00445705"/>
    <w:rsid w:val="00451D4C"/>
    <w:rsid w:val="00452BEF"/>
    <w:rsid w:val="00457C04"/>
    <w:rsid w:val="00461F21"/>
    <w:rsid w:val="0046554A"/>
    <w:rsid w:val="00465C8B"/>
    <w:rsid w:val="0047504F"/>
    <w:rsid w:val="00476CE1"/>
    <w:rsid w:val="0048009C"/>
    <w:rsid w:val="004806A6"/>
    <w:rsid w:val="004815C5"/>
    <w:rsid w:val="00483DC5"/>
    <w:rsid w:val="00483F38"/>
    <w:rsid w:val="00486FFD"/>
    <w:rsid w:val="00494002"/>
    <w:rsid w:val="004946E8"/>
    <w:rsid w:val="00494DD8"/>
    <w:rsid w:val="0049571B"/>
    <w:rsid w:val="004A08BB"/>
    <w:rsid w:val="004A2BBE"/>
    <w:rsid w:val="004A39EC"/>
    <w:rsid w:val="004A563E"/>
    <w:rsid w:val="004A7073"/>
    <w:rsid w:val="004B0D7E"/>
    <w:rsid w:val="004B1799"/>
    <w:rsid w:val="004B1A26"/>
    <w:rsid w:val="004B4BA3"/>
    <w:rsid w:val="004C187E"/>
    <w:rsid w:val="004C4374"/>
    <w:rsid w:val="004C5758"/>
    <w:rsid w:val="004D421D"/>
    <w:rsid w:val="004D4972"/>
    <w:rsid w:val="004D5255"/>
    <w:rsid w:val="004D7078"/>
    <w:rsid w:val="004D7F0F"/>
    <w:rsid w:val="004E04BA"/>
    <w:rsid w:val="004E137A"/>
    <w:rsid w:val="004E3673"/>
    <w:rsid w:val="004E7B76"/>
    <w:rsid w:val="004F0650"/>
    <w:rsid w:val="004F1B69"/>
    <w:rsid w:val="004F5568"/>
    <w:rsid w:val="0050009E"/>
    <w:rsid w:val="005026C3"/>
    <w:rsid w:val="00503200"/>
    <w:rsid w:val="0050364E"/>
    <w:rsid w:val="005045C6"/>
    <w:rsid w:val="00511FB1"/>
    <w:rsid w:val="0051248C"/>
    <w:rsid w:val="00512808"/>
    <w:rsid w:val="005133D0"/>
    <w:rsid w:val="005142CE"/>
    <w:rsid w:val="005144E3"/>
    <w:rsid w:val="00515492"/>
    <w:rsid w:val="0051688F"/>
    <w:rsid w:val="00517158"/>
    <w:rsid w:val="005175AF"/>
    <w:rsid w:val="00520912"/>
    <w:rsid w:val="00523E11"/>
    <w:rsid w:val="005300EA"/>
    <w:rsid w:val="0053243C"/>
    <w:rsid w:val="005334C6"/>
    <w:rsid w:val="00535F16"/>
    <w:rsid w:val="00541CBA"/>
    <w:rsid w:val="0054269D"/>
    <w:rsid w:val="00542E44"/>
    <w:rsid w:val="005442C7"/>
    <w:rsid w:val="00545D37"/>
    <w:rsid w:val="00547012"/>
    <w:rsid w:val="00551018"/>
    <w:rsid w:val="005533E7"/>
    <w:rsid w:val="00553F6D"/>
    <w:rsid w:val="00560672"/>
    <w:rsid w:val="0056319B"/>
    <w:rsid w:val="005643CD"/>
    <w:rsid w:val="00566121"/>
    <w:rsid w:val="005730C5"/>
    <w:rsid w:val="00581E70"/>
    <w:rsid w:val="0058284B"/>
    <w:rsid w:val="005838AB"/>
    <w:rsid w:val="00585C83"/>
    <w:rsid w:val="0059033D"/>
    <w:rsid w:val="00592F60"/>
    <w:rsid w:val="005958B7"/>
    <w:rsid w:val="00595D13"/>
    <w:rsid w:val="005A02A8"/>
    <w:rsid w:val="005A0361"/>
    <w:rsid w:val="005A20F4"/>
    <w:rsid w:val="005A6B12"/>
    <w:rsid w:val="005A6EF8"/>
    <w:rsid w:val="005B04D2"/>
    <w:rsid w:val="005B155B"/>
    <w:rsid w:val="005B33A3"/>
    <w:rsid w:val="005B472D"/>
    <w:rsid w:val="005B5D96"/>
    <w:rsid w:val="005B7619"/>
    <w:rsid w:val="005C17B2"/>
    <w:rsid w:val="005D2BF2"/>
    <w:rsid w:val="005D2DA8"/>
    <w:rsid w:val="005D2E88"/>
    <w:rsid w:val="005D6650"/>
    <w:rsid w:val="005E55AE"/>
    <w:rsid w:val="005E5D01"/>
    <w:rsid w:val="005E6BF3"/>
    <w:rsid w:val="005E6FFF"/>
    <w:rsid w:val="005F2CE1"/>
    <w:rsid w:val="005F2D7E"/>
    <w:rsid w:val="005F3BF6"/>
    <w:rsid w:val="005F500A"/>
    <w:rsid w:val="005F5D72"/>
    <w:rsid w:val="005F684D"/>
    <w:rsid w:val="006002EE"/>
    <w:rsid w:val="006004C9"/>
    <w:rsid w:val="0060275D"/>
    <w:rsid w:val="00603AAA"/>
    <w:rsid w:val="00606AE9"/>
    <w:rsid w:val="00606FB3"/>
    <w:rsid w:val="006077AC"/>
    <w:rsid w:val="00607D77"/>
    <w:rsid w:val="006104A1"/>
    <w:rsid w:val="00610794"/>
    <w:rsid w:val="00614866"/>
    <w:rsid w:val="00621CFB"/>
    <w:rsid w:val="00626850"/>
    <w:rsid w:val="00627B58"/>
    <w:rsid w:val="0063399A"/>
    <w:rsid w:val="006350FC"/>
    <w:rsid w:val="006405D8"/>
    <w:rsid w:val="006416B9"/>
    <w:rsid w:val="00641D5A"/>
    <w:rsid w:val="00656874"/>
    <w:rsid w:val="00656937"/>
    <w:rsid w:val="00663F10"/>
    <w:rsid w:val="00664127"/>
    <w:rsid w:val="00664181"/>
    <w:rsid w:val="0066523D"/>
    <w:rsid w:val="00666596"/>
    <w:rsid w:val="006665D3"/>
    <w:rsid w:val="00666F24"/>
    <w:rsid w:val="00667193"/>
    <w:rsid w:val="0066779E"/>
    <w:rsid w:val="006722F9"/>
    <w:rsid w:val="00673981"/>
    <w:rsid w:val="0067442F"/>
    <w:rsid w:val="00677205"/>
    <w:rsid w:val="006808F0"/>
    <w:rsid w:val="00682BA5"/>
    <w:rsid w:val="0068354B"/>
    <w:rsid w:val="006955CE"/>
    <w:rsid w:val="006A2A0B"/>
    <w:rsid w:val="006A3304"/>
    <w:rsid w:val="006A3964"/>
    <w:rsid w:val="006A673C"/>
    <w:rsid w:val="006A6BEF"/>
    <w:rsid w:val="006A7FE1"/>
    <w:rsid w:val="006B065A"/>
    <w:rsid w:val="006B1AE5"/>
    <w:rsid w:val="006B2253"/>
    <w:rsid w:val="006B3077"/>
    <w:rsid w:val="006B3B03"/>
    <w:rsid w:val="006B49D4"/>
    <w:rsid w:val="006B52D7"/>
    <w:rsid w:val="006C4B01"/>
    <w:rsid w:val="006C5BC6"/>
    <w:rsid w:val="006C7915"/>
    <w:rsid w:val="006D13D3"/>
    <w:rsid w:val="006D2A07"/>
    <w:rsid w:val="006E0499"/>
    <w:rsid w:val="006E16E7"/>
    <w:rsid w:val="006E46C8"/>
    <w:rsid w:val="006E5DD3"/>
    <w:rsid w:val="006E6B29"/>
    <w:rsid w:val="006F25A5"/>
    <w:rsid w:val="006F64EB"/>
    <w:rsid w:val="006F7AC9"/>
    <w:rsid w:val="0070152C"/>
    <w:rsid w:val="00702E5D"/>
    <w:rsid w:val="00702E8D"/>
    <w:rsid w:val="00704198"/>
    <w:rsid w:val="007072FA"/>
    <w:rsid w:val="0070774E"/>
    <w:rsid w:val="00713EF6"/>
    <w:rsid w:val="00714B0B"/>
    <w:rsid w:val="0071663D"/>
    <w:rsid w:val="00716D00"/>
    <w:rsid w:val="00716DD5"/>
    <w:rsid w:val="007255D0"/>
    <w:rsid w:val="00730879"/>
    <w:rsid w:val="007330D7"/>
    <w:rsid w:val="0073602B"/>
    <w:rsid w:val="0074381D"/>
    <w:rsid w:val="007450A8"/>
    <w:rsid w:val="0074528C"/>
    <w:rsid w:val="007507A0"/>
    <w:rsid w:val="00750EDE"/>
    <w:rsid w:val="00751CD7"/>
    <w:rsid w:val="0075714B"/>
    <w:rsid w:val="00761AFA"/>
    <w:rsid w:val="00761E66"/>
    <w:rsid w:val="00762073"/>
    <w:rsid w:val="00770890"/>
    <w:rsid w:val="00771ECE"/>
    <w:rsid w:val="00773EBA"/>
    <w:rsid w:val="00782AD1"/>
    <w:rsid w:val="0078508B"/>
    <w:rsid w:val="007854CA"/>
    <w:rsid w:val="00786A65"/>
    <w:rsid w:val="00787D59"/>
    <w:rsid w:val="00791F21"/>
    <w:rsid w:val="00795CDF"/>
    <w:rsid w:val="007A3165"/>
    <w:rsid w:val="007A47F6"/>
    <w:rsid w:val="007A66CC"/>
    <w:rsid w:val="007A6F39"/>
    <w:rsid w:val="007B05C7"/>
    <w:rsid w:val="007B2549"/>
    <w:rsid w:val="007B3F5C"/>
    <w:rsid w:val="007C02F6"/>
    <w:rsid w:val="007C32EC"/>
    <w:rsid w:val="007C47EB"/>
    <w:rsid w:val="007D1D35"/>
    <w:rsid w:val="007D3ED6"/>
    <w:rsid w:val="007D724F"/>
    <w:rsid w:val="007E227F"/>
    <w:rsid w:val="007E33B7"/>
    <w:rsid w:val="007E5DA6"/>
    <w:rsid w:val="007E5EB0"/>
    <w:rsid w:val="007E7125"/>
    <w:rsid w:val="007E773D"/>
    <w:rsid w:val="007F3E52"/>
    <w:rsid w:val="00800FE2"/>
    <w:rsid w:val="00803201"/>
    <w:rsid w:val="0080540F"/>
    <w:rsid w:val="00805548"/>
    <w:rsid w:val="008062DA"/>
    <w:rsid w:val="008105E4"/>
    <w:rsid w:val="00814271"/>
    <w:rsid w:val="0081726A"/>
    <w:rsid w:val="00817F7A"/>
    <w:rsid w:val="00821210"/>
    <w:rsid w:val="00822492"/>
    <w:rsid w:val="008242DC"/>
    <w:rsid w:val="008245F3"/>
    <w:rsid w:val="00827734"/>
    <w:rsid w:val="008308FB"/>
    <w:rsid w:val="00830F77"/>
    <w:rsid w:val="0083226F"/>
    <w:rsid w:val="008356F3"/>
    <w:rsid w:val="008367DB"/>
    <w:rsid w:val="008404AF"/>
    <w:rsid w:val="00840E71"/>
    <w:rsid w:val="008413DB"/>
    <w:rsid w:val="008442D4"/>
    <w:rsid w:val="00845A26"/>
    <w:rsid w:val="008464A9"/>
    <w:rsid w:val="0085158D"/>
    <w:rsid w:val="00851D7D"/>
    <w:rsid w:val="00852C36"/>
    <w:rsid w:val="008539C6"/>
    <w:rsid w:val="0085488A"/>
    <w:rsid w:val="008617A0"/>
    <w:rsid w:val="008637BD"/>
    <w:rsid w:val="00864397"/>
    <w:rsid w:val="00867266"/>
    <w:rsid w:val="008678D3"/>
    <w:rsid w:val="00870E69"/>
    <w:rsid w:val="008727F3"/>
    <w:rsid w:val="00874CA0"/>
    <w:rsid w:val="00876146"/>
    <w:rsid w:val="0087716B"/>
    <w:rsid w:val="00880E90"/>
    <w:rsid w:val="008828C7"/>
    <w:rsid w:val="0088377E"/>
    <w:rsid w:val="00884326"/>
    <w:rsid w:val="008901BB"/>
    <w:rsid w:val="008933BB"/>
    <w:rsid w:val="00894F19"/>
    <w:rsid w:val="008A61FB"/>
    <w:rsid w:val="008A709F"/>
    <w:rsid w:val="008B32CE"/>
    <w:rsid w:val="008B4320"/>
    <w:rsid w:val="008B61D8"/>
    <w:rsid w:val="008B727F"/>
    <w:rsid w:val="008C1738"/>
    <w:rsid w:val="008D1939"/>
    <w:rsid w:val="008D382F"/>
    <w:rsid w:val="008D4EE1"/>
    <w:rsid w:val="008D7DE6"/>
    <w:rsid w:val="008E4866"/>
    <w:rsid w:val="008E5F84"/>
    <w:rsid w:val="008F14DE"/>
    <w:rsid w:val="008F1EB0"/>
    <w:rsid w:val="008F32CE"/>
    <w:rsid w:val="008F6159"/>
    <w:rsid w:val="008F6FCF"/>
    <w:rsid w:val="00901A55"/>
    <w:rsid w:val="0090303F"/>
    <w:rsid w:val="00903CA1"/>
    <w:rsid w:val="00907021"/>
    <w:rsid w:val="00913841"/>
    <w:rsid w:val="00915104"/>
    <w:rsid w:val="0091548F"/>
    <w:rsid w:val="0091783D"/>
    <w:rsid w:val="00920AA1"/>
    <w:rsid w:val="00922574"/>
    <w:rsid w:val="009266AC"/>
    <w:rsid w:val="009279E3"/>
    <w:rsid w:val="0093093C"/>
    <w:rsid w:val="00932941"/>
    <w:rsid w:val="0093336F"/>
    <w:rsid w:val="00936D42"/>
    <w:rsid w:val="0094759D"/>
    <w:rsid w:val="0095084F"/>
    <w:rsid w:val="00953BF9"/>
    <w:rsid w:val="00954098"/>
    <w:rsid w:val="00955043"/>
    <w:rsid w:val="009554A8"/>
    <w:rsid w:val="00955CF4"/>
    <w:rsid w:val="009560AB"/>
    <w:rsid w:val="0096016B"/>
    <w:rsid w:val="00965FF3"/>
    <w:rsid w:val="0096613B"/>
    <w:rsid w:val="00971A57"/>
    <w:rsid w:val="00973A30"/>
    <w:rsid w:val="0097700D"/>
    <w:rsid w:val="00977F41"/>
    <w:rsid w:val="00985388"/>
    <w:rsid w:val="00987E7F"/>
    <w:rsid w:val="00991F5A"/>
    <w:rsid w:val="00993ADA"/>
    <w:rsid w:val="00993CCD"/>
    <w:rsid w:val="00994480"/>
    <w:rsid w:val="00994950"/>
    <w:rsid w:val="00996472"/>
    <w:rsid w:val="0099717A"/>
    <w:rsid w:val="0099738D"/>
    <w:rsid w:val="009A0A85"/>
    <w:rsid w:val="009A20C7"/>
    <w:rsid w:val="009A3B89"/>
    <w:rsid w:val="009A5019"/>
    <w:rsid w:val="009A795B"/>
    <w:rsid w:val="009B2B24"/>
    <w:rsid w:val="009B5878"/>
    <w:rsid w:val="009B6646"/>
    <w:rsid w:val="009B7BAC"/>
    <w:rsid w:val="009C5942"/>
    <w:rsid w:val="009C65E1"/>
    <w:rsid w:val="009D6755"/>
    <w:rsid w:val="009D778A"/>
    <w:rsid w:val="009E0CA1"/>
    <w:rsid w:val="009E0E3D"/>
    <w:rsid w:val="009E15F2"/>
    <w:rsid w:val="009E3D9A"/>
    <w:rsid w:val="009E427B"/>
    <w:rsid w:val="009E5061"/>
    <w:rsid w:val="009E7BF9"/>
    <w:rsid w:val="009F2D88"/>
    <w:rsid w:val="009F6808"/>
    <w:rsid w:val="009F7B5E"/>
    <w:rsid w:val="00A00F71"/>
    <w:rsid w:val="00A03353"/>
    <w:rsid w:val="00A042C1"/>
    <w:rsid w:val="00A05F55"/>
    <w:rsid w:val="00A07B66"/>
    <w:rsid w:val="00A114B5"/>
    <w:rsid w:val="00A12B05"/>
    <w:rsid w:val="00A147B4"/>
    <w:rsid w:val="00A157B6"/>
    <w:rsid w:val="00A15890"/>
    <w:rsid w:val="00A30C61"/>
    <w:rsid w:val="00A3289C"/>
    <w:rsid w:val="00A32F59"/>
    <w:rsid w:val="00A33044"/>
    <w:rsid w:val="00A337B0"/>
    <w:rsid w:val="00A353F4"/>
    <w:rsid w:val="00A438C2"/>
    <w:rsid w:val="00A5109C"/>
    <w:rsid w:val="00A512A3"/>
    <w:rsid w:val="00A51AFA"/>
    <w:rsid w:val="00A52781"/>
    <w:rsid w:val="00A52DB5"/>
    <w:rsid w:val="00A60655"/>
    <w:rsid w:val="00A6319D"/>
    <w:rsid w:val="00A6353B"/>
    <w:rsid w:val="00A67797"/>
    <w:rsid w:val="00A67E2F"/>
    <w:rsid w:val="00A741A9"/>
    <w:rsid w:val="00A7614B"/>
    <w:rsid w:val="00A773E8"/>
    <w:rsid w:val="00A81A6C"/>
    <w:rsid w:val="00A859BA"/>
    <w:rsid w:val="00A863B8"/>
    <w:rsid w:val="00A87458"/>
    <w:rsid w:val="00A91D6D"/>
    <w:rsid w:val="00A95C28"/>
    <w:rsid w:val="00A965DA"/>
    <w:rsid w:val="00A970AB"/>
    <w:rsid w:val="00A97F30"/>
    <w:rsid w:val="00AA023D"/>
    <w:rsid w:val="00AA07B4"/>
    <w:rsid w:val="00AA239D"/>
    <w:rsid w:val="00AA2449"/>
    <w:rsid w:val="00AA2B3B"/>
    <w:rsid w:val="00AA2D49"/>
    <w:rsid w:val="00AA5FFC"/>
    <w:rsid w:val="00AB161F"/>
    <w:rsid w:val="00AB4DCD"/>
    <w:rsid w:val="00AB5335"/>
    <w:rsid w:val="00AB58B2"/>
    <w:rsid w:val="00AB7CD6"/>
    <w:rsid w:val="00AC29D6"/>
    <w:rsid w:val="00AC746C"/>
    <w:rsid w:val="00AD18AE"/>
    <w:rsid w:val="00AD1925"/>
    <w:rsid w:val="00AD23D0"/>
    <w:rsid w:val="00AD3490"/>
    <w:rsid w:val="00AD412B"/>
    <w:rsid w:val="00AD71F2"/>
    <w:rsid w:val="00AD7378"/>
    <w:rsid w:val="00AE04C1"/>
    <w:rsid w:val="00AE3759"/>
    <w:rsid w:val="00AE443E"/>
    <w:rsid w:val="00AE4536"/>
    <w:rsid w:val="00AF23CD"/>
    <w:rsid w:val="00AF34FC"/>
    <w:rsid w:val="00AF3AD0"/>
    <w:rsid w:val="00AF4F86"/>
    <w:rsid w:val="00AF6983"/>
    <w:rsid w:val="00AF6E13"/>
    <w:rsid w:val="00B004AC"/>
    <w:rsid w:val="00B016E3"/>
    <w:rsid w:val="00B0256D"/>
    <w:rsid w:val="00B025C0"/>
    <w:rsid w:val="00B0508A"/>
    <w:rsid w:val="00B1178B"/>
    <w:rsid w:val="00B178D4"/>
    <w:rsid w:val="00B2027B"/>
    <w:rsid w:val="00B20D97"/>
    <w:rsid w:val="00B25357"/>
    <w:rsid w:val="00B25603"/>
    <w:rsid w:val="00B27C95"/>
    <w:rsid w:val="00B30157"/>
    <w:rsid w:val="00B303EB"/>
    <w:rsid w:val="00B32D2A"/>
    <w:rsid w:val="00B340F9"/>
    <w:rsid w:val="00B37F00"/>
    <w:rsid w:val="00B42A2C"/>
    <w:rsid w:val="00B5275D"/>
    <w:rsid w:val="00B57010"/>
    <w:rsid w:val="00B6428F"/>
    <w:rsid w:val="00B64A27"/>
    <w:rsid w:val="00B64C99"/>
    <w:rsid w:val="00B67417"/>
    <w:rsid w:val="00B70E02"/>
    <w:rsid w:val="00B70E89"/>
    <w:rsid w:val="00B724F9"/>
    <w:rsid w:val="00B764BF"/>
    <w:rsid w:val="00B77215"/>
    <w:rsid w:val="00B81566"/>
    <w:rsid w:val="00B82159"/>
    <w:rsid w:val="00B85599"/>
    <w:rsid w:val="00B85D6B"/>
    <w:rsid w:val="00B869C6"/>
    <w:rsid w:val="00B869F8"/>
    <w:rsid w:val="00B87178"/>
    <w:rsid w:val="00B921E6"/>
    <w:rsid w:val="00B93D03"/>
    <w:rsid w:val="00B956ED"/>
    <w:rsid w:val="00B9624B"/>
    <w:rsid w:val="00B97C43"/>
    <w:rsid w:val="00BA5633"/>
    <w:rsid w:val="00BA59C1"/>
    <w:rsid w:val="00BC0AA3"/>
    <w:rsid w:val="00BC3AB5"/>
    <w:rsid w:val="00BC7AB7"/>
    <w:rsid w:val="00BC7D65"/>
    <w:rsid w:val="00BD4C40"/>
    <w:rsid w:val="00BE18E3"/>
    <w:rsid w:val="00BE6D3A"/>
    <w:rsid w:val="00BF0EA3"/>
    <w:rsid w:val="00BF4D0D"/>
    <w:rsid w:val="00C0150F"/>
    <w:rsid w:val="00C04CF4"/>
    <w:rsid w:val="00C0547E"/>
    <w:rsid w:val="00C057F0"/>
    <w:rsid w:val="00C06FE9"/>
    <w:rsid w:val="00C07B78"/>
    <w:rsid w:val="00C07E2B"/>
    <w:rsid w:val="00C1681A"/>
    <w:rsid w:val="00C2211D"/>
    <w:rsid w:val="00C2219E"/>
    <w:rsid w:val="00C23842"/>
    <w:rsid w:val="00C24E12"/>
    <w:rsid w:val="00C24F27"/>
    <w:rsid w:val="00C309B4"/>
    <w:rsid w:val="00C32539"/>
    <w:rsid w:val="00C35E6E"/>
    <w:rsid w:val="00C40F7B"/>
    <w:rsid w:val="00C43252"/>
    <w:rsid w:val="00C43324"/>
    <w:rsid w:val="00C43D4B"/>
    <w:rsid w:val="00C450E2"/>
    <w:rsid w:val="00C47C24"/>
    <w:rsid w:val="00C50E62"/>
    <w:rsid w:val="00C533FD"/>
    <w:rsid w:val="00C56CBC"/>
    <w:rsid w:val="00C60C60"/>
    <w:rsid w:val="00C61807"/>
    <w:rsid w:val="00C622CA"/>
    <w:rsid w:val="00C64D48"/>
    <w:rsid w:val="00C75325"/>
    <w:rsid w:val="00C77FBB"/>
    <w:rsid w:val="00C82D72"/>
    <w:rsid w:val="00C86D4E"/>
    <w:rsid w:val="00C86FD4"/>
    <w:rsid w:val="00C90721"/>
    <w:rsid w:val="00C927A5"/>
    <w:rsid w:val="00C92DC4"/>
    <w:rsid w:val="00C93615"/>
    <w:rsid w:val="00C974B8"/>
    <w:rsid w:val="00CA236F"/>
    <w:rsid w:val="00CA43B8"/>
    <w:rsid w:val="00CA4B40"/>
    <w:rsid w:val="00CA52F2"/>
    <w:rsid w:val="00CA66A4"/>
    <w:rsid w:val="00CB1978"/>
    <w:rsid w:val="00CB206A"/>
    <w:rsid w:val="00CB2E8B"/>
    <w:rsid w:val="00CB62D6"/>
    <w:rsid w:val="00CB664A"/>
    <w:rsid w:val="00CB6FAB"/>
    <w:rsid w:val="00CC201F"/>
    <w:rsid w:val="00CC430A"/>
    <w:rsid w:val="00CC50F2"/>
    <w:rsid w:val="00CC69A8"/>
    <w:rsid w:val="00CC7BFE"/>
    <w:rsid w:val="00CD0637"/>
    <w:rsid w:val="00CD0643"/>
    <w:rsid w:val="00CD1606"/>
    <w:rsid w:val="00CD3212"/>
    <w:rsid w:val="00CE1728"/>
    <w:rsid w:val="00CE18C1"/>
    <w:rsid w:val="00CE30B8"/>
    <w:rsid w:val="00CE6869"/>
    <w:rsid w:val="00CF19D9"/>
    <w:rsid w:val="00CF2E07"/>
    <w:rsid w:val="00CF5995"/>
    <w:rsid w:val="00CF7983"/>
    <w:rsid w:val="00D014F7"/>
    <w:rsid w:val="00D02DCD"/>
    <w:rsid w:val="00D0493A"/>
    <w:rsid w:val="00D04BB0"/>
    <w:rsid w:val="00D058C7"/>
    <w:rsid w:val="00D238CA"/>
    <w:rsid w:val="00D30F47"/>
    <w:rsid w:val="00D33131"/>
    <w:rsid w:val="00D357F6"/>
    <w:rsid w:val="00D36732"/>
    <w:rsid w:val="00D4200E"/>
    <w:rsid w:val="00D42F04"/>
    <w:rsid w:val="00D4750B"/>
    <w:rsid w:val="00D56E1A"/>
    <w:rsid w:val="00D60CE6"/>
    <w:rsid w:val="00D61A9D"/>
    <w:rsid w:val="00D626B0"/>
    <w:rsid w:val="00D63B2D"/>
    <w:rsid w:val="00D67B8A"/>
    <w:rsid w:val="00D67C1E"/>
    <w:rsid w:val="00D844DB"/>
    <w:rsid w:val="00D856B6"/>
    <w:rsid w:val="00D91D38"/>
    <w:rsid w:val="00D92453"/>
    <w:rsid w:val="00D92511"/>
    <w:rsid w:val="00D96B6D"/>
    <w:rsid w:val="00DA1703"/>
    <w:rsid w:val="00DA251F"/>
    <w:rsid w:val="00DA32FB"/>
    <w:rsid w:val="00DA4374"/>
    <w:rsid w:val="00DA6A1A"/>
    <w:rsid w:val="00DA7E58"/>
    <w:rsid w:val="00DB03EB"/>
    <w:rsid w:val="00DB04AE"/>
    <w:rsid w:val="00DB1B55"/>
    <w:rsid w:val="00DB3811"/>
    <w:rsid w:val="00DB3C9B"/>
    <w:rsid w:val="00DB45D2"/>
    <w:rsid w:val="00DB6854"/>
    <w:rsid w:val="00DB6DAA"/>
    <w:rsid w:val="00DC1E16"/>
    <w:rsid w:val="00DC223B"/>
    <w:rsid w:val="00DC2887"/>
    <w:rsid w:val="00DC2FFD"/>
    <w:rsid w:val="00DC5A02"/>
    <w:rsid w:val="00DC74A3"/>
    <w:rsid w:val="00DC7871"/>
    <w:rsid w:val="00DD0A72"/>
    <w:rsid w:val="00DD12EE"/>
    <w:rsid w:val="00DD1527"/>
    <w:rsid w:val="00DD67AA"/>
    <w:rsid w:val="00DD7304"/>
    <w:rsid w:val="00DE138B"/>
    <w:rsid w:val="00DE4A82"/>
    <w:rsid w:val="00DE5ECD"/>
    <w:rsid w:val="00DE61C3"/>
    <w:rsid w:val="00DE61E3"/>
    <w:rsid w:val="00DE6481"/>
    <w:rsid w:val="00DE73A9"/>
    <w:rsid w:val="00DE7AF9"/>
    <w:rsid w:val="00DE7D33"/>
    <w:rsid w:val="00DF17A9"/>
    <w:rsid w:val="00DF21A2"/>
    <w:rsid w:val="00DF2568"/>
    <w:rsid w:val="00DF3E7E"/>
    <w:rsid w:val="00DF45E1"/>
    <w:rsid w:val="00DF7A41"/>
    <w:rsid w:val="00E025AB"/>
    <w:rsid w:val="00E04538"/>
    <w:rsid w:val="00E1409F"/>
    <w:rsid w:val="00E14145"/>
    <w:rsid w:val="00E14592"/>
    <w:rsid w:val="00E20ECD"/>
    <w:rsid w:val="00E22F83"/>
    <w:rsid w:val="00E23C25"/>
    <w:rsid w:val="00E2553F"/>
    <w:rsid w:val="00E326AF"/>
    <w:rsid w:val="00E3583F"/>
    <w:rsid w:val="00E40590"/>
    <w:rsid w:val="00E43BE9"/>
    <w:rsid w:val="00E43E8E"/>
    <w:rsid w:val="00E43FB3"/>
    <w:rsid w:val="00E4484F"/>
    <w:rsid w:val="00E534EF"/>
    <w:rsid w:val="00E54C53"/>
    <w:rsid w:val="00E54CB5"/>
    <w:rsid w:val="00E56FE2"/>
    <w:rsid w:val="00E609AD"/>
    <w:rsid w:val="00E60EA0"/>
    <w:rsid w:val="00E6224D"/>
    <w:rsid w:val="00E63DFD"/>
    <w:rsid w:val="00E65930"/>
    <w:rsid w:val="00E661FA"/>
    <w:rsid w:val="00E7143D"/>
    <w:rsid w:val="00E7283C"/>
    <w:rsid w:val="00E8258A"/>
    <w:rsid w:val="00E833E0"/>
    <w:rsid w:val="00E83B5C"/>
    <w:rsid w:val="00E84709"/>
    <w:rsid w:val="00E86D18"/>
    <w:rsid w:val="00E8764A"/>
    <w:rsid w:val="00E90CAF"/>
    <w:rsid w:val="00E913BF"/>
    <w:rsid w:val="00E91DAB"/>
    <w:rsid w:val="00E9332D"/>
    <w:rsid w:val="00E94987"/>
    <w:rsid w:val="00E94B82"/>
    <w:rsid w:val="00EA1A01"/>
    <w:rsid w:val="00EA42FA"/>
    <w:rsid w:val="00EA5D33"/>
    <w:rsid w:val="00EA6AD2"/>
    <w:rsid w:val="00EA6DE7"/>
    <w:rsid w:val="00EB4A2E"/>
    <w:rsid w:val="00EB7187"/>
    <w:rsid w:val="00EB7F93"/>
    <w:rsid w:val="00EC34FF"/>
    <w:rsid w:val="00EC5F02"/>
    <w:rsid w:val="00ED27A3"/>
    <w:rsid w:val="00ED4BED"/>
    <w:rsid w:val="00ED6B05"/>
    <w:rsid w:val="00ED6F77"/>
    <w:rsid w:val="00ED73CF"/>
    <w:rsid w:val="00EE0020"/>
    <w:rsid w:val="00EE0693"/>
    <w:rsid w:val="00EE24B5"/>
    <w:rsid w:val="00EE26FD"/>
    <w:rsid w:val="00EE2CBF"/>
    <w:rsid w:val="00EE3B51"/>
    <w:rsid w:val="00EE4046"/>
    <w:rsid w:val="00EE4349"/>
    <w:rsid w:val="00EE4980"/>
    <w:rsid w:val="00EE5808"/>
    <w:rsid w:val="00EE745A"/>
    <w:rsid w:val="00EE7813"/>
    <w:rsid w:val="00EE7BCA"/>
    <w:rsid w:val="00EF277B"/>
    <w:rsid w:val="00EF6128"/>
    <w:rsid w:val="00EF6B6C"/>
    <w:rsid w:val="00F0402C"/>
    <w:rsid w:val="00F0537B"/>
    <w:rsid w:val="00F10184"/>
    <w:rsid w:val="00F110FC"/>
    <w:rsid w:val="00F1139F"/>
    <w:rsid w:val="00F11CA4"/>
    <w:rsid w:val="00F15EC9"/>
    <w:rsid w:val="00F17209"/>
    <w:rsid w:val="00F17A77"/>
    <w:rsid w:val="00F21C68"/>
    <w:rsid w:val="00F22741"/>
    <w:rsid w:val="00F23229"/>
    <w:rsid w:val="00F25CC5"/>
    <w:rsid w:val="00F25E96"/>
    <w:rsid w:val="00F30B20"/>
    <w:rsid w:val="00F328AD"/>
    <w:rsid w:val="00F35826"/>
    <w:rsid w:val="00F419E3"/>
    <w:rsid w:val="00F42638"/>
    <w:rsid w:val="00F44395"/>
    <w:rsid w:val="00F445F5"/>
    <w:rsid w:val="00F44E7E"/>
    <w:rsid w:val="00F46DD3"/>
    <w:rsid w:val="00F47FC9"/>
    <w:rsid w:val="00F52BCB"/>
    <w:rsid w:val="00F54AAC"/>
    <w:rsid w:val="00F55B72"/>
    <w:rsid w:val="00F5656D"/>
    <w:rsid w:val="00F57AC7"/>
    <w:rsid w:val="00F61594"/>
    <w:rsid w:val="00F62112"/>
    <w:rsid w:val="00F62F35"/>
    <w:rsid w:val="00F63E04"/>
    <w:rsid w:val="00F734C3"/>
    <w:rsid w:val="00F77FF3"/>
    <w:rsid w:val="00F902D1"/>
    <w:rsid w:val="00F94992"/>
    <w:rsid w:val="00FA112A"/>
    <w:rsid w:val="00FA137B"/>
    <w:rsid w:val="00FA13FE"/>
    <w:rsid w:val="00FA6D97"/>
    <w:rsid w:val="00FB01BE"/>
    <w:rsid w:val="00FB020D"/>
    <w:rsid w:val="00FB134A"/>
    <w:rsid w:val="00FB48EB"/>
    <w:rsid w:val="00FB6C92"/>
    <w:rsid w:val="00FB73B0"/>
    <w:rsid w:val="00FC2804"/>
    <w:rsid w:val="00FC4038"/>
    <w:rsid w:val="00FC62C1"/>
    <w:rsid w:val="00FC6C5B"/>
    <w:rsid w:val="00FC7572"/>
    <w:rsid w:val="00FD09D9"/>
    <w:rsid w:val="00FD0E08"/>
    <w:rsid w:val="00FD160C"/>
    <w:rsid w:val="00FD39FB"/>
    <w:rsid w:val="00FE0EE1"/>
    <w:rsid w:val="00FE16A7"/>
    <w:rsid w:val="00FE2B83"/>
    <w:rsid w:val="00FE395D"/>
    <w:rsid w:val="00FE3F30"/>
    <w:rsid w:val="00FE7F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A5DA0"/>
  <w15:chartTrackingRefBased/>
  <w15:docId w15:val="{164FF6A2-E851-424C-BAF7-BB2CCA46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D"/>
    <w:pPr>
      <w:spacing w:before="120" w:after="120"/>
      <w:jc w:val="both"/>
    </w:pPr>
    <w:rPr>
      <w:sz w:val="24"/>
      <w:szCs w:val="24"/>
      <w:lang w:val="en-GB" w:eastAsia="en-US"/>
    </w:rPr>
  </w:style>
  <w:style w:type="paragraph" w:styleId="Heading1">
    <w:name w:val="heading 1"/>
    <w:basedOn w:val="Normal"/>
    <w:next w:val="Normal"/>
    <w:link w:val="Heading1Char"/>
    <w:qFormat/>
    <w:rsid w:val="00226EFE"/>
    <w:pPr>
      <w:keepNext/>
      <w:numPr>
        <w:numId w:val="44"/>
      </w:numPr>
      <w:spacing w:before="360"/>
      <w:ind w:hanging="720"/>
      <w:outlineLvl w:val="0"/>
    </w:pPr>
    <w:rPr>
      <w:b/>
      <w:bCs/>
      <w:smallCaps/>
      <w:noProof/>
      <w:szCs w:val="32"/>
    </w:rPr>
  </w:style>
  <w:style w:type="paragraph" w:styleId="Heading2">
    <w:name w:val="heading 2"/>
    <w:basedOn w:val="Normal"/>
    <w:next w:val="Normal"/>
    <w:link w:val="Heading2Char"/>
    <w:qFormat/>
    <w:rsid w:val="005643CD"/>
    <w:pPr>
      <w:keepNext/>
      <w:numPr>
        <w:ilvl w:val="1"/>
        <w:numId w:val="10"/>
      </w:numPr>
      <w:outlineLvl w:val="1"/>
    </w:pPr>
    <w:rPr>
      <w:b/>
      <w:bCs/>
      <w:iCs/>
      <w:szCs w:val="28"/>
    </w:rPr>
  </w:style>
  <w:style w:type="paragraph" w:styleId="Heading3">
    <w:name w:val="heading 3"/>
    <w:basedOn w:val="Normal"/>
    <w:next w:val="Normal"/>
    <w:link w:val="Heading3Char"/>
    <w:qFormat/>
    <w:rsid w:val="005643CD"/>
    <w:pPr>
      <w:keepNext/>
      <w:numPr>
        <w:ilvl w:val="2"/>
        <w:numId w:val="10"/>
      </w:numPr>
      <w:outlineLvl w:val="2"/>
    </w:pPr>
    <w:rPr>
      <w:bCs/>
      <w:i/>
      <w:szCs w:val="26"/>
    </w:rPr>
  </w:style>
  <w:style w:type="paragraph" w:styleId="Heading4">
    <w:name w:val="heading 4"/>
    <w:basedOn w:val="Normal"/>
    <w:next w:val="Normal"/>
    <w:link w:val="Heading4Char"/>
    <w:qFormat/>
    <w:rsid w:val="005643CD"/>
    <w:pPr>
      <w:keepNext/>
      <w:numPr>
        <w:ilvl w:val="3"/>
        <w:numId w:val="10"/>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unhideWhenUsed/>
    <w:rsid w:val="00CC430A"/>
    <w:pPr>
      <w:tabs>
        <w:tab w:val="center" w:pos="4535"/>
        <w:tab w:val="right" w:pos="9071"/>
        <w:tab w:val="right" w:pos="9921"/>
      </w:tabs>
      <w:spacing w:before="360" w:after="0"/>
      <w:ind w:left="-850" w:right="-850"/>
      <w:jc w:val="left"/>
    </w:pPr>
    <w:rPr>
      <w:rFonts w:eastAsia="Calibri"/>
      <w:szCs w:val="22"/>
    </w:rPr>
  </w:style>
  <w:style w:type="paragraph" w:customStyle="1" w:styleId="FooterLandscape">
    <w:name w:val="FooterLandscape"/>
    <w:basedOn w:val="Normal"/>
    <w:rsid w:val="00CC430A"/>
    <w:pPr>
      <w:tabs>
        <w:tab w:val="center" w:pos="7285"/>
        <w:tab w:val="center" w:pos="10913"/>
        <w:tab w:val="right" w:pos="15137"/>
      </w:tabs>
      <w:spacing w:before="360" w:after="0"/>
      <w:ind w:left="-567" w:right="-567"/>
      <w:jc w:val="left"/>
    </w:pPr>
    <w:rPr>
      <w:rFonts w:eastAsia="Calibri"/>
      <w:szCs w:val="22"/>
    </w:rPr>
  </w:style>
  <w:style w:type="character" w:styleId="FootnoteReference">
    <w:name w:val="footnote reference"/>
    <w:aliases w:val="BVI fnr,Footnote symbol,Footnote Reference Superscript,Voetnootverwijzing,Footnote reference number,Times 10 Point,Exposant 3 Point,Ref,de nota al pie,note TESI,SUPERS,EN Footnote Reference,(Footnote Reference),Footnote"/>
    <w:uiPriority w:val="99"/>
    <w:rsid w:val="005643CD"/>
    <w:rPr>
      <w:shd w:val="clear" w:color="auto" w:fill="auto"/>
      <w:vertAlign w:val="superscript"/>
    </w:rPr>
  </w:style>
  <w:style w:type="paragraph" w:styleId="FootnoteText">
    <w:name w:val="footnote text"/>
    <w:basedOn w:val="Normal"/>
    <w:link w:val="FootnoteTextChar"/>
    <w:uiPriority w:val="99"/>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unhideWhenUsed/>
    <w:rsid w:val="00CC430A"/>
    <w:pPr>
      <w:tabs>
        <w:tab w:val="center" w:pos="4535"/>
        <w:tab w:val="right" w:pos="9071"/>
      </w:tabs>
      <w:spacing w:before="0"/>
    </w:pPr>
    <w:rPr>
      <w:rFonts w:eastAsia="Calibri"/>
      <w:szCs w:val="22"/>
    </w:rPr>
  </w:style>
  <w:style w:type="paragraph" w:customStyle="1" w:styleId="HeaderLandscape">
    <w:name w:val="HeaderLandscape"/>
    <w:basedOn w:val="Normal"/>
    <w:rsid w:val="00CC430A"/>
    <w:pPr>
      <w:tabs>
        <w:tab w:val="center" w:pos="7285"/>
        <w:tab w:val="right" w:pos="14003"/>
      </w:tabs>
      <w:spacing w:before="0"/>
    </w:pPr>
    <w:rPr>
      <w:rFonts w:eastAsia="Calibri"/>
      <w:szCs w:val="22"/>
    </w:r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IntrtEEE"/>
    <w:rsid w:val="00CC430A"/>
    <w:pPr>
      <w:spacing w:before="360" w:after="360"/>
      <w:jc w:val="center"/>
    </w:pPr>
    <w:rPr>
      <w:rFonts w:eastAsia="Calibri"/>
      <w:b/>
      <w:szCs w:val="22"/>
    </w:rPr>
  </w:style>
  <w:style w:type="paragraph" w:customStyle="1" w:styleId="TitreobjetPagedecouverture">
    <w:name w:val="Titre objet (Page de couverture)"/>
    <w:basedOn w:val="Titreobjet"/>
    <w:next w:val="IntrtEEEPagedecouverture"/>
    <w:rsid w:val="00CC430A"/>
  </w:style>
  <w:style w:type="paragraph" w:styleId="TOC1">
    <w:name w:val="toc 1"/>
    <w:basedOn w:val="Normal"/>
    <w:next w:val="Normal"/>
    <w:semiHidden/>
    <w:rsid w:val="005643CD"/>
    <w:pPr>
      <w:tabs>
        <w:tab w:val="right" w:leader="dot" w:pos="9071"/>
      </w:tabs>
      <w:spacing w:before="60"/>
      <w:ind w:left="850" w:hanging="850"/>
      <w:jc w:val="left"/>
    </w:pPr>
  </w:style>
  <w:style w:type="paragraph" w:styleId="TOC2">
    <w:name w:val="toc 2"/>
    <w:basedOn w:val="Normal"/>
    <w:next w:val="Normal"/>
    <w:semiHidden/>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paragraph" w:customStyle="1" w:styleId="Prliminairetitre">
    <w:name w:val="Préliminaire titre"/>
    <w:basedOn w:val="Normal"/>
    <w:next w:val="Normal"/>
    <w:rsid w:val="00D0493A"/>
    <w:pPr>
      <w:spacing w:before="360" w:after="360"/>
      <w:jc w:val="center"/>
    </w:pPr>
    <w:rPr>
      <w:b/>
      <w:lang w:eastAsia="de-DE"/>
    </w:rPr>
  </w:style>
  <w:style w:type="paragraph" w:customStyle="1" w:styleId="Prliminairetype">
    <w:name w:val="Préliminaire type"/>
    <w:basedOn w:val="Normal"/>
    <w:next w:val="Normal"/>
    <w:link w:val="PrliminairetypeChar"/>
    <w:rsid w:val="00D0493A"/>
    <w:pPr>
      <w:spacing w:before="360" w:after="0"/>
      <w:jc w:val="center"/>
    </w:pPr>
    <w:rPr>
      <w:b/>
      <w:lang w:eastAsia="de-DE"/>
    </w:rPr>
  </w:style>
  <w:style w:type="paragraph" w:customStyle="1" w:styleId="Rfrenceinstitutionelle">
    <w:name w:val="Référence institutionelle"/>
    <w:basedOn w:val="Normal"/>
    <w:next w:val="Statut"/>
    <w:rsid w:val="00D0493A"/>
    <w:pPr>
      <w:spacing w:before="0" w:after="240"/>
      <w:ind w:left="5103"/>
      <w:jc w:val="left"/>
    </w:pPr>
    <w:rPr>
      <w:lang w:eastAsia="de-DE"/>
    </w:rPr>
  </w:style>
  <w:style w:type="character" w:customStyle="1" w:styleId="FootnoteTextChar">
    <w:name w:val="Footnote Text Char"/>
    <w:link w:val="FootnoteText"/>
    <w:uiPriority w:val="99"/>
    <w:rsid w:val="00D0493A"/>
    <w:rPr>
      <w:lang w:val="en-GB" w:eastAsia="en-US"/>
    </w:rPr>
  </w:style>
  <w:style w:type="paragraph" w:customStyle="1" w:styleId="FooterCoverPage">
    <w:name w:val="Footer Cover Page"/>
    <w:basedOn w:val="Normal"/>
    <w:link w:val="FooterCoverPageChar"/>
    <w:rsid w:val="00D0493A"/>
    <w:pPr>
      <w:tabs>
        <w:tab w:val="center" w:pos="4535"/>
        <w:tab w:val="right" w:pos="9071"/>
        <w:tab w:val="right" w:pos="9921"/>
      </w:tabs>
      <w:spacing w:before="360" w:after="0"/>
      <w:ind w:left="-850" w:right="-850"/>
      <w:jc w:val="left"/>
    </w:pPr>
  </w:style>
  <w:style w:type="character" w:customStyle="1" w:styleId="PrliminairetypeChar">
    <w:name w:val="Préliminaire type Char"/>
    <w:link w:val="Prliminairetype"/>
    <w:rsid w:val="00D0493A"/>
    <w:rPr>
      <w:b/>
      <w:sz w:val="24"/>
      <w:szCs w:val="24"/>
      <w:shd w:val="clear" w:color="auto" w:fill="auto"/>
      <w:lang w:val="en-GB" w:eastAsia="de-DE"/>
    </w:rPr>
  </w:style>
  <w:style w:type="character" w:customStyle="1" w:styleId="FooterCoverPageChar">
    <w:name w:val="Footer Cover Page Char"/>
    <w:link w:val="FooterCoverPage"/>
    <w:rsid w:val="00D0493A"/>
    <w:rPr>
      <w:sz w:val="24"/>
      <w:szCs w:val="24"/>
      <w:lang w:val="en-GB" w:eastAsia="en-US"/>
    </w:rPr>
  </w:style>
  <w:style w:type="paragraph" w:customStyle="1" w:styleId="HeaderCoverPage">
    <w:name w:val="Header Cover Page"/>
    <w:basedOn w:val="Normal"/>
    <w:link w:val="HeaderCoverPageChar"/>
    <w:rsid w:val="00D0493A"/>
    <w:pPr>
      <w:tabs>
        <w:tab w:val="center" w:pos="4535"/>
        <w:tab w:val="right" w:pos="9071"/>
      </w:tabs>
      <w:spacing w:before="0"/>
    </w:pPr>
  </w:style>
  <w:style w:type="character" w:customStyle="1" w:styleId="HeaderCoverPageChar">
    <w:name w:val="Header Cover Page Char"/>
    <w:link w:val="HeaderCoverPage"/>
    <w:rsid w:val="00D0493A"/>
    <w:rPr>
      <w:sz w:val="24"/>
      <w:szCs w:val="24"/>
      <w:lang w:val="en-GB" w:eastAsia="en-US"/>
    </w:rPr>
  </w:style>
  <w:style w:type="paragraph" w:styleId="BalloonText">
    <w:name w:val="Balloon Text"/>
    <w:basedOn w:val="Normal"/>
    <w:link w:val="BalloonTextChar"/>
    <w:rsid w:val="0030537E"/>
    <w:pPr>
      <w:spacing w:before="0" w:after="0"/>
    </w:pPr>
    <w:rPr>
      <w:rFonts w:ascii="Tahoma" w:hAnsi="Tahoma" w:cs="Tahoma"/>
      <w:sz w:val="16"/>
      <w:szCs w:val="16"/>
    </w:rPr>
  </w:style>
  <w:style w:type="character" w:customStyle="1" w:styleId="BalloonTextChar">
    <w:name w:val="Balloon Text Char"/>
    <w:link w:val="BalloonText"/>
    <w:rsid w:val="0030537E"/>
    <w:rPr>
      <w:rFonts w:ascii="Tahoma" w:hAnsi="Tahoma" w:cs="Tahoma"/>
      <w:sz w:val="16"/>
      <w:szCs w:val="16"/>
      <w:shd w:val="clear" w:color="auto" w:fill="auto"/>
      <w:lang w:eastAsia="en-US"/>
    </w:rPr>
  </w:style>
  <w:style w:type="paragraph" w:customStyle="1" w:styleId="astandard3420chapeau">
    <w:name w:val="a_standard__34__20_chapeau"/>
    <w:basedOn w:val="Normal"/>
    <w:rsid w:val="00CC50F2"/>
    <w:pPr>
      <w:spacing w:before="600" w:after="240"/>
    </w:pPr>
    <w:rPr>
      <w:b/>
      <w:bCs/>
      <w:i/>
      <w:iCs/>
      <w:lang w:eastAsia="en-GB"/>
    </w:rPr>
  </w:style>
  <w:style w:type="paragraph" w:styleId="NormalWeb">
    <w:name w:val="Normal (Web)"/>
    <w:basedOn w:val="Normal"/>
    <w:uiPriority w:val="99"/>
    <w:unhideWhenUsed/>
    <w:rsid w:val="00CC50F2"/>
    <w:pPr>
      <w:spacing w:before="100" w:beforeAutospacing="1" w:after="100" w:afterAutospacing="1"/>
      <w:jc w:val="left"/>
    </w:pPr>
    <w:rPr>
      <w:lang w:eastAsia="en-GB"/>
    </w:rPr>
  </w:style>
  <w:style w:type="character" w:styleId="CommentReference">
    <w:name w:val="annotation reference"/>
    <w:uiPriority w:val="99"/>
    <w:rsid w:val="009E3D9A"/>
    <w:rPr>
      <w:sz w:val="16"/>
      <w:szCs w:val="16"/>
      <w:shd w:val="clear" w:color="auto" w:fill="auto"/>
    </w:rPr>
  </w:style>
  <w:style w:type="paragraph" w:styleId="CommentText">
    <w:name w:val="annotation text"/>
    <w:basedOn w:val="Normal"/>
    <w:link w:val="CommentTextChar"/>
    <w:uiPriority w:val="99"/>
    <w:rsid w:val="009E3D9A"/>
    <w:rPr>
      <w:sz w:val="20"/>
      <w:szCs w:val="20"/>
    </w:rPr>
  </w:style>
  <w:style w:type="character" w:customStyle="1" w:styleId="CommentTextChar">
    <w:name w:val="Comment Text Char"/>
    <w:link w:val="CommentText"/>
    <w:uiPriority w:val="99"/>
    <w:rsid w:val="009E3D9A"/>
    <w:rPr>
      <w:shd w:val="clear" w:color="auto" w:fill="auto"/>
      <w:lang w:eastAsia="en-US"/>
    </w:rPr>
  </w:style>
  <w:style w:type="paragraph" w:styleId="CommentSubject">
    <w:name w:val="annotation subject"/>
    <w:basedOn w:val="CommentText"/>
    <w:next w:val="CommentText"/>
    <w:link w:val="CommentSubjectChar"/>
    <w:rsid w:val="009E3D9A"/>
    <w:rPr>
      <w:b/>
      <w:bCs/>
    </w:rPr>
  </w:style>
  <w:style w:type="character" w:customStyle="1" w:styleId="CommentSubjectChar">
    <w:name w:val="Comment Subject Char"/>
    <w:link w:val="CommentSubject"/>
    <w:rsid w:val="009E3D9A"/>
    <w:rPr>
      <w:b/>
      <w:bCs/>
      <w:shd w:val="clear" w:color="auto" w:fill="auto"/>
      <w:lang w:eastAsia="en-US"/>
    </w:rPr>
  </w:style>
  <w:style w:type="paragraph" w:styleId="ListBullet">
    <w:name w:val="List Bullet"/>
    <w:basedOn w:val="Normal"/>
    <w:rsid w:val="00044C6B"/>
    <w:pPr>
      <w:numPr>
        <w:numId w:val="32"/>
      </w:numPr>
    </w:pPr>
    <w:rPr>
      <w:lang w:eastAsia="de-DE"/>
    </w:rPr>
  </w:style>
  <w:style w:type="paragraph" w:styleId="ListParagraph">
    <w:name w:val="List Paragraph"/>
    <w:basedOn w:val="Normal"/>
    <w:uiPriority w:val="34"/>
    <w:qFormat/>
    <w:rsid w:val="00FB01BE"/>
    <w:pPr>
      <w:spacing w:before="0" w:after="0"/>
      <w:ind w:left="720"/>
      <w:jc w:val="left"/>
    </w:pPr>
    <w:rPr>
      <w:rFonts w:ascii="Calibri" w:hAnsi="Calibri"/>
      <w:sz w:val="22"/>
      <w:szCs w:val="22"/>
    </w:rPr>
  </w:style>
  <w:style w:type="paragraph" w:styleId="PlainText">
    <w:name w:val="Plain Text"/>
    <w:basedOn w:val="Normal"/>
    <w:link w:val="PlainTextChar"/>
    <w:uiPriority w:val="99"/>
    <w:unhideWhenUsed/>
    <w:rsid w:val="000C0C7C"/>
    <w:pPr>
      <w:spacing w:before="0" w:after="0"/>
      <w:jc w:val="left"/>
    </w:pPr>
    <w:rPr>
      <w:rFonts w:ascii="Calibri" w:eastAsia="Calibri" w:hAnsi="Calibri"/>
      <w:sz w:val="22"/>
      <w:szCs w:val="21"/>
    </w:rPr>
  </w:style>
  <w:style w:type="character" w:customStyle="1" w:styleId="PlainTextChar">
    <w:name w:val="Plain Text Char"/>
    <w:link w:val="PlainText"/>
    <w:uiPriority w:val="99"/>
    <w:rsid w:val="000C0C7C"/>
    <w:rPr>
      <w:rFonts w:ascii="Calibri" w:eastAsia="Calibri" w:hAnsi="Calibri"/>
      <w:sz w:val="22"/>
      <w:szCs w:val="21"/>
      <w:shd w:val="clear" w:color="auto" w:fill="auto"/>
      <w:lang w:eastAsia="en-US"/>
    </w:rPr>
  </w:style>
  <w:style w:type="character" w:styleId="Strong">
    <w:name w:val="Strong"/>
    <w:uiPriority w:val="22"/>
    <w:qFormat/>
    <w:rsid w:val="00056FFA"/>
    <w:rPr>
      <w:b/>
      <w:bCs/>
      <w:shd w:val="clear" w:color="auto" w:fill="auto"/>
    </w:rPr>
  </w:style>
  <w:style w:type="paragraph" w:customStyle="1" w:styleId="Default">
    <w:name w:val="Default"/>
    <w:rsid w:val="00AD18AE"/>
    <w:pPr>
      <w:autoSpaceDE w:val="0"/>
      <w:autoSpaceDN w:val="0"/>
      <w:adjustRightInd w:val="0"/>
    </w:pPr>
    <w:rPr>
      <w:rFonts w:ascii="EUAlbertina" w:hAnsi="EUAlbertina" w:cs="EUAlbertina"/>
      <w:color w:val="000000"/>
      <w:sz w:val="24"/>
      <w:szCs w:val="24"/>
      <w:lang w:val="en-GB" w:eastAsia="en-GB"/>
    </w:rPr>
  </w:style>
  <w:style w:type="character" w:customStyle="1" w:styleId="Heading2Char">
    <w:name w:val="Heading 2 Char"/>
    <w:link w:val="Heading2"/>
    <w:rsid w:val="0074381D"/>
    <w:rPr>
      <w:b/>
      <w:bCs/>
      <w:iCs/>
      <w:sz w:val="24"/>
      <w:szCs w:val="28"/>
      <w:lang w:eastAsia="en-US"/>
    </w:rPr>
  </w:style>
  <w:style w:type="paragraph" w:customStyle="1" w:styleId="centerleadin">
    <w:name w:val="center_leadin"/>
    <w:basedOn w:val="Normal"/>
    <w:rsid w:val="00476CE1"/>
    <w:pPr>
      <w:spacing w:before="0" w:after="0"/>
      <w:jc w:val="left"/>
    </w:pPr>
    <w:rPr>
      <w:rFonts w:eastAsia="Calibri"/>
      <w:sz w:val="17"/>
      <w:szCs w:val="17"/>
      <w:lang w:eastAsia="en-GB"/>
    </w:rPr>
  </w:style>
  <w:style w:type="character" w:styleId="Hyperlink">
    <w:name w:val="Hyperlink"/>
    <w:rsid w:val="00B869C6"/>
    <w:rPr>
      <w:color w:val="0000FF"/>
      <w:u w:val="single"/>
      <w:shd w:val="clear" w:color="auto" w:fill="auto"/>
    </w:rPr>
  </w:style>
  <w:style w:type="table" w:styleId="TableGrid">
    <w:name w:val="Table Grid"/>
    <w:basedOn w:val="TableNormal"/>
    <w:rsid w:val="00CA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D09A7"/>
    <w:rPr>
      <w:b/>
      <w:bCs/>
      <w:smallCaps/>
      <w:noProof/>
      <w:sz w:val="24"/>
      <w:szCs w:val="32"/>
      <w:lang w:eastAsia="en-US"/>
    </w:rPr>
  </w:style>
  <w:style w:type="character" w:customStyle="1" w:styleId="Heading3Char">
    <w:name w:val="Heading 3 Char"/>
    <w:link w:val="Heading3"/>
    <w:rsid w:val="001D09A7"/>
    <w:rPr>
      <w:bCs/>
      <w:i/>
      <w:sz w:val="24"/>
      <w:szCs w:val="26"/>
      <w:lang w:eastAsia="en-US"/>
    </w:rPr>
  </w:style>
  <w:style w:type="character" w:customStyle="1" w:styleId="Heading4Char">
    <w:name w:val="Heading 4 Char"/>
    <w:link w:val="Heading4"/>
    <w:rsid w:val="001D09A7"/>
    <w:rPr>
      <w:bCs/>
      <w:sz w:val="24"/>
      <w:szCs w:val="28"/>
      <w:lang w:eastAsia="en-US"/>
    </w:rPr>
  </w:style>
  <w:style w:type="character" w:customStyle="1" w:styleId="FooterChar">
    <w:name w:val="Footer Char"/>
    <w:link w:val="Footer"/>
    <w:uiPriority w:val="99"/>
    <w:rsid w:val="00CC430A"/>
    <w:rPr>
      <w:rFonts w:eastAsia="Calibri"/>
      <w:sz w:val="24"/>
      <w:szCs w:val="22"/>
      <w:lang w:eastAsia="en-US"/>
    </w:rPr>
  </w:style>
  <w:style w:type="character" w:customStyle="1" w:styleId="HeaderChar">
    <w:name w:val="Header Char"/>
    <w:link w:val="Header"/>
    <w:uiPriority w:val="99"/>
    <w:rsid w:val="00CC430A"/>
    <w:rPr>
      <w:rFonts w:eastAsia="Calibri"/>
      <w:sz w:val="24"/>
      <w:szCs w:val="22"/>
      <w:lang w:eastAsia="en-US"/>
    </w:rPr>
  </w:style>
  <w:style w:type="character" w:styleId="FollowedHyperlink">
    <w:name w:val="FollowedHyperlink"/>
    <w:uiPriority w:val="99"/>
    <w:unhideWhenUsed/>
    <w:rsid w:val="001D09A7"/>
    <w:rPr>
      <w:color w:val="800080"/>
      <w:u w:val="single"/>
      <w:shd w:val="clear" w:color="auto" w:fill="auto"/>
    </w:rPr>
  </w:style>
  <w:style w:type="paragraph" w:customStyle="1" w:styleId="Declassification">
    <w:name w:val="Declassification"/>
    <w:basedOn w:val="Normal"/>
    <w:next w:val="Normal"/>
    <w:rsid w:val="00CC430A"/>
    <w:pPr>
      <w:spacing w:before="0" w:after="0"/>
    </w:pPr>
    <w:rPr>
      <w:rFonts w:eastAsia="Calibri"/>
      <w:szCs w:val="22"/>
    </w:rPr>
  </w:style>
  <w:style w:type="paragraph" w:customStyle="1" w:styleId="HeaderSensitivity">
    <w:name w:val="Header Sensitivity"/>
    <w:basedOn w:val="Normal"/>
    <w:rsid w:val="00CC430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430A"/>
    <w:pPr>
      <w:spacing w:before="0"/>
      <w:jc w:val="right"/>
    </w:pPr>
    <w:rPr>
      <w:sz w:val="28"/>
    </w:rPr>
  </w:style>
  <w:style w:type="paragraph" w:customStyle="1" w:styleId="FooterSensitivity">
    <w:name w:val="Footer Sensitivity"/>
    <w:basedOn w:val="Normal"/>
    <w:rsid w:val="00CC430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rsid w:val="00CC430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eastAsia="Calibri"/>
      <w:szCs w:val="22"/>
    </w:rPr>
  </w:style>
  <w:style w:type="paragraph" w:customStyle="1" w:styleId="SecurityMarking">
    <w:name w:val="SecurityMarking"/>
    <w:basedOn w:val="Normal"/>
    <w:rsid w:val="00CC430A"/>
    <w:pPr>
      <w:spacing w:before="0" w:after="0" w:line="276" w:lineRule="auto"/>
      <w:ind w:left="5103"/>
      <w:jc w:val="left"/>
    </w:pPr>
    <w:rPr>
      <w:rFonts w:eastAsia="Calibri"/>
      <w:sz w:val="28"/>
      <w:szCs w:val="22"/>
    </w:rPr>
  </w:style>
  <w:style w:type="paragraph" w:customStyle="1" w:styleId="DateMarking">
    <w:name w:val="DateMarking"/>
    <w:basedOn w:val="Normal"/>
    <w:rsid w:val="00CC430A"/>
    <w:pPr>
      <w:spacing w:before="0" w:after="0" w:line="276" w:lineRule="auto"/>
      <w:ind w:left="5103"/>
      <w:jc w:val="left"/>
    </w:pPr>
    <w:rPr>
      <w:rFonts w:eastAsia="Calibri"/>
      <w:i/>
      <w:sz w:val="28"/>
      <w:szCs w:val="22"/>
    </w:rPr>
  </w:style>
  <w:style w:type="paragraph" w:customStyle="1" w:styleId="ReleasableTo">
    <w:name w:val="ReleasableTo"/>
    <w:basedOn w:val="Normal"/>
    <w:rsid w:val="00CC430A"/>
    <w:pPr>
      <w:spacing w:before="0" w:after="0" w:line="276" w:lineRule="auto"/>
      <w:ind w:left="5103"/>
      <w:jc w:val="left"/>
    </w:pPr>
    <w:rPr>
      <w:rFonts w:eastAsia="Calibri"/>
      <w:i/>
      <w:sz w:val="28"/>
      <w:szCs w:val="22"/>
    </w:rPr>
  </w:style>
  <w:style w:type="paragraph" w:styleId="Revision">
    <w:name w:val="Revision"/>
    <w:hidden/>
    <w:uiPriority w:val="99"/>
    <w:semiHidden/>
    <w:rsid w:val="00DA6A1A"/>
    <w:rPr>
      <w:sz w:val="24"/>
      <w:szCs w:val="24"/>
      <w:lang w:val="en-GB" w:eastAsia="en-US"/>
    </w:rPr>
  </w:style>
  <w:style w:type="character" w:customStyle="1" w:styleId="ui-provider">
    <w:name w:val="ui-provider"/>
    <w:rsid w:val="008F1EB0"/>
  </w:style>
  <w:style w:type="character" w:customStyle="1" w:styleId="Nerijeenospominjanje1">
    <w:name w:val="Neriješeno spominjanje1"/>
    <w:uiPriority w:val="99"/>
    <w:semiHidden/>
    <w:unhideWhenUsed/>
    <w:rsid w:val="00FE1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3158">
      <w:bodyDiv w:val="1"/>
      <w:marLeft w:val="0"/>
      <w:marRight w:val="0"/>
      <w:marTop w:val="0"/>
      <w:marBottom w:val="0"/>
      <w:divBdr>
        <w:top w:val="none" w:sz="0" w:space="0" w:color="auto"/>
        <w:left w:val="none" w:sz="0" w:space="0" w:color="auto"/>
        <w:bottom w:val="none" w:sz="0" w:space="0" w:color="auto"/>
        <w:right w:val="none" w:sz="0" w:space="0" w:color="auto"/>
      </w:divBdr>
      <w:divsChild>
        <w:div w:id="1238973377">
          <w:marLeft w:val="0"/>
          <w:marRight w:val="0"/>
          <w:marTop w:val="0"/>
          <w:marBottom w:val="0"/>
          <w:divBdr>
            <w:top w:val="none" w:sz="0" w:space="0" w:color="auto"/>
            <w:left w:val="none" w:sz="0" w:space="0" w:color="auto"/>
            <w:bottom w:val="none" w:sz="0" w:space="0" w:color="auto"/>
            <w:right w:val="none" w:sz="0" w:space="0" w:color="auto"/>
          </w:divBdr>
          <w:divsChild>
            <w:div w:id="297882145">
              <w:marLeft w:val="0"/>
              <w:marRight w:val="0"/>
              <w:marTop w:val="0"/>
              <w:marBottom w:val="0"/>
              <w:divBdr>
                <w:top w:val="none" w:sz="0" w:space="0" w:color="auto"/>
                <w:left w:val="none" w:sz="0" w:space="0" w:color="auto"/>
                <w:bottom w:val="none" w:sz="0" w:space="0" w:color="auto"/>
                <w:right w:val="none" w:sz="0" w:space="0" w:color="auto"/>
              </w:divBdr>
              <w:divsChild>
                <w:div w:id="803617426">
                  <w:marLeft w:val="0"/>
                  <w:marRight w:val="0"/>
                  <w:marTop w:val="0"/>
                  <w:marBottom w:val="0"/>
                  <w:divBdr>
                    <w:top w:val="none" w:sz="0" w:space="0" w:color="auto"/>
                    <w:left w:val="none" w:sz="0" w:space="0" w:color="auto"/>
                    <w:bottom w:val="none" w:sz="0" w:space="0" w:color="auto"/>
                    <w:right w:val="none" w:sz="0" w:space="0" w:color="auto"/>
                  </w:divBdr>
                  <w:divsChild>
                    <w:div w:id="613899188">
                      <w:marLeft w:val="0"/>
                      <w:marRight w:val="0"/>
                      <w:marTop w:val="0"/>
                      <w:marBottom w:val="0"/>
                      <w:divBdr>
                        <w:top w:val="none" w:sz="0" w:space="0" w:color="auto"/>
                        <w:left w:val="none" w:sz="0" w:space="0" w:color="auto"/>
                        <w:bottom w:val="none" w:sz="0" w:space="0" w:color="auto"/>
                        <w:right w:val="none" w:sz="0" w:space="0" w:color="auto"/>
                      </w:divBdr>
                      <w:divsChild>
                        <w:div w:id="1320690147">
                          <w:marLeft w:val="0"/>
                          <w:marRight w:val="0"/>
                          <w:marTop w:val="0"/>
                          <w:marBottom w:val="0"/>
                          <w:divBdr>
                            <w:top w:val="none" w:sz="0" w:space="0" w:color="auto"/>
                            <w:left w:val="none" w:sz="0" w:space="0" w:color="auto"/>
                            <w:bottom w:val="none" w:sz="0" w:space="0" w:color="auto"/>
                            <w:right w:val="none" w:sz="0" w:space="0" w:color="auto"/>
                          </w:divBdr>
                          <w:divsChild>
                            <w:div w:id="428935291">
                              <w:marLeft w:val="0"/>
                              <w:marRight w:val="0"/>
                              <w:marTop w:val="0"/>
                              <w:marBottom w:val="0"/>
                              <w:divBdr>
                                <w:top w:val="none" w:sz="0" w:space="0" w:color="auto"/>
                                <w:left w:val="none" w:sz="0" w:space="0" w:color="auto"/>
                                <w:bottom w:val="none" w:sz="0" w:space="0" w:color="auto"/>
                                <w:right w:val="none" w:sz="0" w:space="0" w:color="auto"/>
                              </w:divBdr>
                              <w:divsChild>
                                <w:div w:id="18685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17642">
      <w:bodyDiv w:val="1"/>
      <w:marLeft w:val="0"/>
      <w:marRight w:val="0"/>
      <w:marTop w:val="0"/>
      <w:marBottom w:val="0"/>
      <w:divBdr>
        <w:top w:val="none" w:sz="0" w:space="0" w:color="auto"/>
        <w:left w:val="none" w:sz="0" w:space="0" w:color="auto"/>
        <w:bottom w:val="none" w:sz="0" w:space="0" w:color="auto"/>
        <w:right w:val="none" w:sz="0" w:space="0" w:color="auto"/>
      </w:divBdr>
    </w:div>
    <w:div w:id="385182072">
      <w:bodyDiv w:val="1"/>
      <w:marLeft w:val="0"/>
      <w:marRight w:val="0"/>
      <w:marTop w:val="0"/>
      <w:marBottom w:val="0"/>
      <w:divBdr>
        <w:top w:val="none" w:sz="0" w:space="0" w:color="auto"/>
        <w:left w:val="none" w:sz="0" w:space="0" w:color="auto"/>
        <w:bottom w:val="none" w:sz="0" w:space="0" w:color="auto"/>
        <w:right w:val="none" w:sz="0" w:space="0" w:color="auto"/>
      </w:divBdr>
    </w:div>
    <w:div w:id="490677799">
      <w:bodyDiv w:val="1"/>
      <w:marLeft w:val="0"/>
      <w:marRight w:val="0"/>
      <w:marTop w:val="0"/>
      <w:marBottom w:val="0"/>
      <w:divBdr>
        <w:top w:val="none" w:sz="0" w:space="0" w:color="auto"/>
        <w:left w:val="none" w:sz="0" w:space="0" w:color="auto"/>
        <w:bottom w:val="none" w:sz="0" w:space="0" w:color="auto"/>
        <w:right w:val="none" w:sz="0" w:space="0" w:color="auto"/>
      </w:divBdr>
    </w:div>
    <w:div w:id="600380732">
      <w:bodyDiv w:val="1"/>
      <w:marLeft w:val="0"/>
      <w:marRight w:val="0"/>
      <w:marTop w:val="0"/>
      <w:marBottom w:val="0"/>
      <w:divBdr>
        <w:top w:val="none" w:sz="0" w:space="0" w:color="auto"/>
        <w:left w:val="none" w:sz="0" w:space="0" w:color="auto"/>
        <w:bottom w:val="none" w:sz="0" w:space="0" w:color="auto"/>
        <w:right w:val="none" w:sz="0" w:space="0" w:color="auto"/>
      </w:divBdr>
    </w:div>
    <w:div w:id="618725964">
      <w:bodyDiv w:val="1"/>
      <w:marLeft w:val="0"/>
      <w:marRight w:val="0"/>
      <w:marTop w:val="0"/>
      <w:marBottom w:val="0"/>
      <w:divBdr>
        <w:top w:val="none" w:sz="0" w:space="0" w:color="auto"/>
        <w:left w:val="none" w:sz="0" w:space="0" w:color="auto"/>
        <w:bottom w:val="none" w:sz="0" w:space="0" w:color="auto"/>
        <w:right w:val="none" w:sz="0" w:space="0" w:color="auto"/>
      </w:divBdr>
    </w:div>
    <w:div w:id="780730420">
      <w:bodyDiv w:val="1"/>
      <w:marLeft w:val="0"/>
      <w:marRight w:val="0"/>
      <w:marTop w:val="0"/>
      <w:marBottom w:val="0"/>
      <w:divBdr>
        <w:top w:val="none" w:sz="0" w:space="0" w:color="auto"/>
        <w:left w:val="none" w:sz="0" w:space="0" w:color="auto"/>
        <w:bottom w:val="none" w:sz="0" w:space="0" w:color="auto"/>
        <w:right w:val="none" w:sz="0" w:space="0" w:color="auto"/>
      </w:divBdr>
    </w:div>
    <w:div w:id="929436582">
      <w:bodyDiv w:val="1"/>
      <w:marLeft w:val="0"/>
      <w:marRight w:val="0"/>
      <w:marTop w:val="0"/>
      <w:marBottom w:val="0"/>
      <w:divBdr>
        <w:top w:val="none" w:sz="0" w:space="0" w:color="auto"/>
        <w:left w:val="none" w:sz="0" w:space="0" w:color="auto"/>
        <w:bottom w:val="none" w:sz="0" w:space="0" w:color="auto"/>
        <w:right w:val="none" w:sz="0" w:space="0" w:color="auto"/>
      </w:divBdr>
    </w:div>
    <w:div w:id="974875029">
      <w:bodyDiv w:val="1"/>
      <w:marLeft w:val="0"/>
      <w:marRight w:val="0"/>
      <w:marTop w:val="0"/>
      <w:marBottom w:val="0"/>
      <w:divBdr>
        <w:top w:val="none" w:sz="0" w:space="0" w:color="auto"/>
        <w:left w:val="none" w:sz="0" w:space="0" w:color="auto"/>
        <w:bottom w:val="none" w:sz="0" w:space="0" w:color="auto"/>
        <w:right w:val="none" w:sz="0" w:space="0" w:color="auto"/>
      </w:divBdr>
      <w:divsChild>
        <w:div w:id="221254252">
          <w:marLeft w:val="0"/>
          <w:marRight w:val="0"/>
          <w:marTop w:val="0"/>
          <w:marBottom w:val="0"/>
          <w:divBdr>
            <w:top w:val="none" w:sz="0" w:space="0" w:color="auto"/>
            <w:left w:val="single" w:sz="12" w:space="0" w:color="003399"/>
            <w:bottom w:val="none" w:sz="0" w:space="0" w:color="auto"/>
            <w:right w:val="single" w:sz="12" w:space="0" w:color="003399"/>
          </w:divBdr>
          <w:divsChild>
            <w:div w:id="1791194884">
              <w:marLeft w:val="0"/>
              <w:marRight w:val="0"/>
              <w:marTop w:val="0"/>
              <w:marBottom w:val="0"/>
              <w:divBdr>
                <w:top w:val="single" w:sz="12" w:space="0" w:color="C2D5E5"/>
                <w:left w:val="none" w:sz="0" w:space="0" w:color="auto"/>
                <w:bottom w:val="none" w:sz="0" w:space="0" w:color="auto"/>
                <w:right w:val="none" w:sz="0" w:space="0" w:color="auto"/>
              </w:divBdr>
              <w:divsChild>
                <w:div w:id="1527788347">
                  <w:marLeft w:val="0"/>
                  <w:marRight w:val="0"/>
                  <w:marTop w:val="0"/>
                  <w:marBottom w:val="0"/>
                  <w:divBdr>
                    <w:top w:val="none" w:sz="0" w:space="0" w:color="auto"/>
                    <w:left w:val="none" w:sz="0" w:space="0" w:color="auto"/>
                    <w:bottom w:val="none" w:sz="0" w:space="0" w:color="auto"/>
                    <w:right w:val="none" w:sz="0" w:space="0" w:color="auto"/>
                  </w:divBdr>
                  <w:divsChild>
                    <w:div w:id="133763285">
                      <w:marLeft w:val="75"/>
                      <w:marRight w:val="75"/>
                      <w:marTop w:val="75"/>
                      <w:marBottom w:val="75"/>
                      <w:divBdr>
                        <w:top w:val="none" w:sz="0" w:space="0" w:color="auto"/>
                        <w:left w:val="none" w:sz="0" w:space="0" w:color="auto"/>
                        <w:bottom w:val="none" w:sz="0" w:space="0" w:color="auto"/>
                        <w:right w:val="none" w:sz="0" w:space="0" w:color="auto"/>
                      </w:divBdr>
                      <w:divsChild>
                        <w:div w:id="1725517506">
                          <w:marLeft w:val="0"/>
                          <w:marRight w:val="0"/>
                          <w:marTop w:val="0"/>
                          <w:marBottom w:val="0"/>
                          <w:divBdr>
                            <w:top w:val="none" w:sz="0" w:space="0" w:color="auto"/>
                            <w:left w:val="none" w:sz="0" w:space="0" w:color="auto"/>
                            <w:bottom w:val="none" w:sz="0" w:space="0" w:color="auto"/>
                            <w:right w:val="none" w:sz="0" w:space="0" w:color="auto"/>
                          </w:divBdr>
                          <w:divsChild>
                            <w:div w:id="1720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19951">
      <w:bodyDiv w:val="1"/>
      <w:marLeft w:val="0"/>
      <w:marRight w:val="0"/>
      <w:marTop w:val="0"/>
      <w:marBottom w:val="0"/>
      <w:divBdr>
        <w:top w:val="none" w:sz="0" w:space="0" w:color="auto"/>
        <w:left w:val="none" w:sz="0" w:space="0" w:color="auto"/>
        <w:bottom w:val="none" w:sz="0" w:space="0" w:color="auto"/>
        <w:right w:val="none" w:sz="0" w:space="0" w:color="auto"/>
      </w:divBdr>
    </w:div>
    <w:div w:id="1262569318">
      <w:bodyDiv w:val="1"/>
      <w:marLeft w:val="0"/>
      <w:marRight w:val="0"/>
      <w:marTop w:val="0"/>
      <w:marBottom w:val="0"/>
      <w:divBdr>
        <w:top w:val="none" w:sz="0" w:space="0" w:color="auto"/>
        <w:left w:val="none" w:sz="0" w:space="0" w:color="auto"/>
        <w:bottom w:val="none" w:sz="0" w:space="0" w:color="auto"/>
        <w:right w:val="none" w:sz="0" w:space="0" w:color="auto"/>
      </w:divBdr>
    </w:div>
    <w:div w:id="1664049408">
      <w:bodyDiv w:val="1"/>
      <w:marLeft w:val="0"/>
      <w:marRight w:val="0"/>
      <w:marTop w:val="0"/>
      <w:marBottom w:val="0"/>
      <w:divBdr>
        <w:top w:val="none" w:sz="0" w:space="0" w:color="auto"/>
        <w:left w:val="none" w:sz="0" w:space="0" w:color="auto"/>
        <w:bottom w:val="none" w:sz="0" w:space="0" w:color="auto"/>
        <w:right w:val="none" w:sz="0" w:space="0" w:color="auto"/>
      </w:divBdr>
    </w:div>
    <w:div w:id="1710447112">
      <w:bodyDiv w:val="1"/>
      <w:marLeft w:val="0"/>
      <w:marRight w:val="0"/>
      <w:marTop w:val="0"/>
      <w:marBottom w:val="0"/>
      <w:divBdr>
        <w:top w:val="none" w:sz="0" w:space="0" w:color="auto"/>
        <w:left w:val="none" w:sz="0" w:space="0" w:color="auto"/>
        <w:bottom w:val="none" w:sz="0" w:space="0" w:color="auto"/>
        <w:right w:val="none" w:sz="0" w:space="0" w:color="auto"/>
      </w:divBdr>
    </w:div>
    <w:div w:id="1729257453">
      <w:bodyDiv w:val="1"/>
      <w:marLeft w:val="0"/>
      <w:marRight w:val="0"/>
      <w:marTop w:val="0"/>
      <w:marBottom w:val="0"/>
      <w:divBdr>
        <w:top w:val="none" w:sz="0" w:space="0" w:color="auto"/>
        <w:left w:val="none" w:sz="0" w:space="0" w:color="auto"/>
        <w:bottom w:val="none" w:sz="0" w:space="0" w:color="auto"/>
        <w:right w:val="none" w:sz="0" w:space="0" w:color="auto"/>
      </w:divBdr>
    </w:div>
    <w:div w:id="20629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onomy-finance.ec.europa.eu/euro/eu-countries-and-euro/croatia-and-euro_en" TargetMode="External"/><Relationship Id="rId2" Type="http://schemas.openxmlformats.org/officeDocument/2006/relationships/hyperlink" Target="https://economy-finance.ec.europa.eu/euro/eu-countries-and-euro/croatia-and-euro_en" TargetMode="External"/><Relationship Id="rId1" Type="http://schemas.openxmlformats.org/officeDocument/2006/relationships/hyperlink" Target="%20http://ec.europa.eu/economy_finance/articles/pdf/fl412_report_final_en.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6" ma:contentTypeDescription="Create a new document." ma:contentTypeScope="" ma:versionID="b2d6a2777aba4b963b966a82f64ac488">
  <xsd:schema xmlns:xsd="http://www.w3.org/2001/XMLSchema" xmlns:xs="http://www.w3.org/2001/XMLSchema" xmlns:p="http://schemas.microsoft.com/office/2006/metadata/properties" xmlns:ns2="122f29e7-6632-4cfe-826d-d0aa7d34b0a3" xmlns:ns3="0963436b-35f1-4197-85e1-d8d1686f5aa4" targetNamespace="http://schemas.microsoft.com/office/2006/metadata/properties" ma:root="true" ma:fieldsID="b7917f30f66dfb63db497f86f3431eaa" ns2:_="" ns3:_="">
    <xsd:import namespace="122f29e7-6632-4cfe-826d-d0aa7d34b0a3"/>
    <xsd:import namespace="0963436b-35f1-4197-85e1-d8d1686f5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436b-35f1-4197-85e1-d8d1686f5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5CB6-C372-4CC6-A9B5-4A10EE0C4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452E2-910F-4F84-BFF1-ECE6201A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0963436b-35f1-4197-85e1-d8d1686f5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F816F-C734-4916-84CA-3E1B3842CCCC}">
  <ds:schemaRefs>
    <ds:schemaRef ds:uri="http://schemas.microsoft.com/sharepoint/v3/contenttype/forms"/>
  </ds:schemaRefs>
</ds:datastoreItem>
</file>

<file path=customXml/itemProps4.xml><?xml version="1.0" encoding="utf-8"?>
<ds:datastoreItem xmlns:ds="http://schemas.openxmlformats.org/officeDocument/2006/customXml" ds:itemID="{4BABECD1-6ED8-4AB6-A280-69454ADE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4954</Words>
  <Characters>26361</Characters>
  <Application>Microsoft Office Word</Application>
  <DocSecurity>0</DocSecurity>
  <Lines>393</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31217</CharactersWithSpaces>
  <SharedDoc>false</SharedDoc>
  <HLinks>
    <vt:vector size="18" baseType="variant">
      <vt:variant>
        <vt:i4>2424897</vt:i4>
      </vt:variant>
      <vt:variant>
        <vt:i4>6</vt:i4>
      </vt:variant>
      <vt:variant>
        <vt:i4>0</vt:i4>
      </vt:variant>
      <vt:variant>
        <vt:i4>5</vt:i4>
      </vt:variant>
      <vt:variant>
        <vt:lpwstr>https://economy-finance.ec.europa.eu/euro/eu-countries-and-euro/croatia-and-euro_en</vt:lpwstr>
      </vt:variant>
      <vt:variant>
        <vt:lpwstr/>
      </vt:variant>
      <vt:variant>
        <vt:i4>2424897</vt:i4>
      </vt:variant>
      <vt:variant>
        <vt:i4>3</vt:i4>
      </vt:variant>
      <vt:variant>
        <vt:i4>0</vt:i4>
      </vt:variant>
      <vt:variant>
        <vt:i4>5</vt:i4>
      </vt:variant>
      <vt:variant>
        <vt:lpwstr>https://economy-finance.ec.europa.eu/euro/eu-countries-and-euro/croatia-and-euro_en</vt:lpwstr>
      </vt:variant>
      <vt:variant>
        <vt:lpwstr/>
      </vt:variant>
      <vt:variant>
        <vt:i4>5767177</vt:i4>
      </vt:variant>
      <vt:variant>
        <vt:i4>0</vt:i4>
      </vt:variant>
      <vt:variant>
        <vt:i4>0</vt:i4>
      </vt:variant>
      <vt:variant>
        <vt:i4>5</vt:i4>
      </vt:variant>
      <vt:variant>
        <vt:lpwstr>http://ec.europa.eu/economy_finance/articles/pdf/fl412_report_final_en.pdf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EC CoDe</cp:lastModifiedBy>
  <cp:revision>32</cp:revision>
  <cp:lastPrinted>2023-03-16T09:44:00Z</cp:lastPrinted>
  <dcterms:created xsi:type="dcterms:W3CDTF">2023-05-08T14:15:00Z</dcterms:created>
  <dcterms:modified xsi:type="dcterms:W3CDTF">2023-06-30T07:29:00Z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PTemplateID">
    <vt:lpwstr>CP-003</vt:lpwstr>
  </property>
  <property fmtid="{D5CDD505-2E9C-101B-9397-08002B2CF9AE}" pid="8" name="MSIP_Label_6bd9ddd1-4d20-43f6-abfa-fc3c07406f94_Enabled">
    <vt:lpwstr>true</vt:lpwstr>
  </property>
  <property fmtid="{D5CDD505-2E9C-101B-9397-08002B2CF9AE}" pid="9" name="MSIP_Label_6bd9ddd1-4d20-43f6-abfa-fc3c07406f94_SetDate">
    <vt:lpwstr>2023-01-30T09:58:35Z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d30530c2-c087-438a-b4e0-2c5a713f2889</vt:lpwstr>
  </property>
  <property fmtid="{D5CDD505-2E9C-101B-9397-08002B2CF9AE}" pid="14" name="MSIP_Label_6bd9ddd1-4d20-43f6-abfa-fc3c07406f94_ContentBits">
    <vt:lpwstr>0</vt:lpwstr>
  </property>
</Properties>
</file>