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D27A3" w14:textId="783AEC11" w:rsidR="005B04D2" w:rsidRDefault="00070B2E" w:rsidP="00070B2E">
      <w:pPr>
        <w:pStyle w:val="Pagedecouverture"/>
        <w:rPr>
          <w:noProof/>
        </w:rPr>
      </w:pPr>
      <w:bookmarkStart w:id="0" w:name="LW_BM_COVERPAGE"/>
      <w:r>
        <w:rPr>
          <w:noProof/>
        </w:rPr>
        <w:pict w14:anchorId="7576E5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AAF281FE-2373-43A6-B124-78130D3DB2C9" style="width:455.25pt;height:351.75pt">
            <v:imagedata r:id="rId11" o:title=""/>
          </v:shape>
        </w:pict>
      </w:r>
    </w:p>
    <w:bookmarkEnd w:id="0"/>
    <w:p w14:paraId="48267AD2" w14:textId="77777777" w:rsidR="005B04D2" w:rsidRDefault="005B04D2" w:rsidP="005B04D2">
      <w:pPr>
        <w:rPr>
          <w:noProof/>
        </w:rPr>
        <w:sectPr w:rsidR="005B04D2" w:rsidSect="00070B2E">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1"/>
          <w:cols w:space="720"/>
          <w:docGrid w:linePitch="360"/>
        </w:sectPr>
      </w:pPr>
    </w:p>
    <w:p w14:paraId="0742A5A1" w14:textId="77777777" w:rsidR="00C533FD" w:rsidRPr="00C533FD" w:rsidRDefault="00C533FD" w:rsidP="003E17C3">
      <w:pPr>
        <w:pStyle w:val="ManualHeading1"/>
        <w:ind w:left="0" w:firstLine="0"/>
        <w:jc w:val="center"/>
        <w:rPr>
          <w:noProof/>
        </w:rPr>
      </w:pPr>
      <w:bookmarkStart w:id="1" w:name="_GoBack"/>
      <w:bookmarkEnd w:id="1"/>
      <w:r>
        <w:rPr>
          <w:noProof/>
        </w:rPr>
        <w:lastRenderedPageBreak/>
        <w:t>KOMISJONI ARUANNE</w:t>
      </w:r>
    </w:p>
    <w:p w14:paraId="22D8D513" w14:textId="7C40D662" w:rsidR="00E22F83" w:rsidRDefault="00C533FD" w:rsidP="005026C3">
      <w:pPr>
        <w:pStyle w:val="ManualHeading1"/>
        <w:tabs>
          <w:tab w:val="clear" w:pos="850"/>
        </w:tabs>
        <w:jc w:val="center"/>
        <w:rPr>
          <w:noProof/>
        </w:rPr>
      </w:pPr>
      <w:r>
        <w:rPr>
          <w:noProof/>
        </w:rPr>
        <w:t>EUROOPA PARLAMENDILE, NÕUKOGULE, EUROOPA KESKPANGALE,</w:t>
      </w:r>
      <w:r w:rsidR="000C68CC">
        <w:rPr>
          <w:noProof/>
        </w:rPr>
        <w:t xml:space="preserve"> EU</w:t>
      </w:r>
      <w:r>
        <w:rPr>
          <w:noProof/>
        </w:rPr>
        <w:t>ROOPA MAJANDUS- JA SOTSIAALKOMITEELE NING REGIOONIDE KOMITEELE</w:t>
      </w:r>
    </w:p>
    <w:p w14:paraId="73730D98" w14:textId="7C2C2E29" w:rsidR="00C533FD" w:rsidRDefault="005026C3" w:rsidP="00E22F83">
      <w:pPr>
        <w:pStyle w:val="ManualHeading1"/>
        <w:spacing w:before="120"/>
        <w:jc w:val="center"/>
        <w:rPr>
          <w:smallCaps w:val="0"/>
          <w:noProof/>
        </w:rPr>
      </w:pPr>
      <w:r>
        <w:rPr>
          <w:smallCaps w:val="0"/>
          <w:noProof/>
        </w:rPr>
        <w:t xml:space="preserve"> Euro kasutuselevõtt Horvaatias</w:t>
      </w:r>
    </w:p>
    <w:p w14:paraId="1ED98EBC" w14:textId="77777777" w:rsidR="009E427B" w:rsidRDefault="009E427B" w:rsidP="009E427B">
      <w:pPr>
        <w:pBdr>
          <w:top w:val="single" w:sz="4" w:space="0" w:color="auto"/>
          <w:left w:val="single" w:sz="4" w:space="4" w:color="auto"/>
          <w:bottom w:val="single" w:sz="4" w:space="1" w:color="auto"/>
          <w:right w:val="single" w:sz="4" w:space="4" w:color="auto"/>
        </w:pBdr>
        <w:jc w:val="center"/>
        <w:rPr>
          <w:b/>
          <w:bCs/>
          <w:i/>
          <w:iCs/>
          <w:noProof/>
        </w:rPr>
      </w:pPr>
    </w:p>
    <w:p w14:paraId="1B458390" w14:textId="77777777" w:rsidR="009E427B" w:rsidRPr="004E2EC6" w:rsidRDefault="009E427B" w:rsidP="009E427B">
      <w:pPr>
        <w:pBdr>
          <w:top w:val="single" w:sz="4" w:space="0" w:color="auto"/>
          <w:left w:val="single" w:sz="4" w:space="4" w:color="auto"/>
          <w:bottom w:val="single" w:sz="4" w:space="1" w:color="auto"/>
          <w:right w:val="single" w:sz="4" w:space="4" w:color="auto"/>
        </w:pBdr>
        <w:jc w:val="center"/>
        <w:rPr>
          <w:b/>
          <w:bCs/>
          <w:i/>
          <w:iCs/>
          <w:noProof/>
        </w:rPr>
      </w:pPr>
      <w:r>
        <w:rPr>
          <w:b/>
          <w:i/>
          <w:noProof/>
        </w:rPr>
        <w:t>Kokkuvõte</w:t>
      </w:r>
    </w:p>
    <w:p w14:paraId="54D4FDCF" w14:textId="07DA52C8" w:rsidR="009E427B" w:rsidRDefault="009E427B" w:rsidP="009E427B">
      <w:pPr>
        <w:pBdr>
          <w:top w:val="single" w:sz="4" w:space="0" w:color="auto"/>
          <w:left w:val="single" w:sz="4" w:space="4" w:color="auto"/>
          <w:bottom w:val="single" w:sz="4" w:space="1" w:color="auto"/>
          <w:right w:val="single" w:sz="4" w:space="4" w:color="auto"/>
        </w:pBdr>
        <w:rPr>
          <w:noProof/>
        </w:rPr>
      </w:pPr>
      <w:r>
        <w:rPr>
          <w:noProof/>
        </w:rPr>
        <w:t>1. jaanuaril 2023 sai Horvaatiast ELi 20. liikmesriik, mis võttis kasutusele euro. 61 % Horvaatia elanikest pidas üleminekut sujuvaks ja tõhusaks. 88 % leidis, et neid on ühisrahast hästi teavitatud. ELi kaasrahastatud sihtotstarbelise teavituskampaania toetusel anti kodanikele, ettevõtjatele ja haldusasutustele euro kasutuselevõtu praktiliste aspektide kohta õigeaegset, sihipärast ja kokkuvõtlikku teavet.</w:t>
      </w:r>
    </w:p>
    <w:p w14:paraId="0A19C784" w14:textId="31D7FE81" w:rsidR="009E427B" w:rsidRDefault="009E427B" w:rsidP="009E427B">
      <w:pPr>
        <w:pBdr>
          <w:top w:val="single" w:sz="4" w:space="0" w:color="auto"/>
          <w:left w:val="single" w:sz="4" w:space="4" w:color="auto"/>
          <w:bottom w:val="single" w:sz="4" w:space="1" w:color="auto"/>
          <w:right w:val="single" w:sz="4" w:space="4" w:color="auto"/>
        </w:pBdr>
        <w:rPr>
          <w:noProof/>
        </w:rPr>
      </w:pPr>
      <w:r>
        <w:rPr>
          <w:noProof/>
        </w:rPr>
        <w:t>Sularahavahetuse ettevalmistused kulgesid kavakohaselt. Horvaatia keskpank varustas äriühingutest kliendid euro sularahaga kolm kuud enne vahetuse toimumist. Üldsusele anti välja piisav arv euromüntide stardikomplekte. Ettevõtjad võisid finantsasutustelt euro sularaha aegsasti ette tellida.</w:t>
      </w:r>
    </w:p>
    <w:p w14:paraId="1A07DA36" w14:textId="58222EC7" w:rsidR="009E427B" w:rsidRDefault="009E427B" w:rsidP="009E427B">
      <w:pPr>
        <w:pBdr>
          <w:top w:val="single" w:sz="4" w:space="0" w:color="auto"/>
          <w:left w:val="single" w:sz="4" w:space="4" w:color="auto"/>
          <w:bottom w:val="single" w:sz="4" w:space="1" w:color="auto"/>
          <w:right w:val="single" w:sz="4" w:space="4" w:color="auto"/>
        </w:pBdr>
        <w:rPr>
          <w:noProof/>
        </w:rPr>
      </w:pPr>
      <w:r>
        <w:rPr>
          <w:noProof/>
        </w:rPr>
        <w:t>Kuna ja euro sularaha kahenädalane paralleelkäibe periood kulges tõrgeteta. 1. jaanuaril väljastas juba 70 % kõigist sularahaautomaatidest euro pangatähti ja 15. jaanuaril 2023 sai euro pangatähti välja võtta mis tahes sularahaautomaadist üle riigi. Kommertspankades saab kuna sularaha vahetada kuni 2023. aasta lõpuni. Pärast seda saab kuna münte kuni 2025. aasta lõpuni ja kuna pangatähti tähtajatult vahetada Horvaatia keskpangas.</w:t>
      </w:r>
    </w:p>
    <w:p w14:paraId="3A4B197E" w14:textId="60C260CB" w:rsidR="009E427B" w:rsidRDefault="009E427B" w:rsidP="009E427B">
      <w:pPr>
        <w:pBdr>
          <w:top w:val="single" w:sz="4" w:space="0" w:color="auto"/>
          <w:left w:val="single" w:sz="4" w:space="4" w:color="auto"/>
          <w:bottom w:val="single" w:sz="4" w:space="1" w:color="auto"/>
          <w:right w:val="single" w:sz="4" w:space="4" w:color="auto"/>
        </w:pBdr>
        <w:rPr>
          <w:noProof/>
        </w:rPr>
      </w:pPr>
      <w:r>
        <w:rPr>
          <w:noProof/>
        </w:rPr>
        <w:t>Üle 80 % kõigist Horvaatia jaemüüjatest, supermarketitest ja toidukauplustest ühines enne üleminekut eetikakoodeksiga. Vabatahtliku eetikakoodeksi eesmärk on aidata kõigil sellega ühinenud ettevõtjatel hindasid õigesti ümber arvestada ja esitada (eurodes ja kunades), ilma et toimuks põhjendamatut hinnatõusu, ning tagada nõnda kaupade ja teenuste hindade stabiilsus. See on Horvaatia turujärelevalveasutuste jaoks oluline lisavahend, mis aitab teha hinnakontrolli ja võimaluse korral karistada rikkumiste toimepanijaid.</w:t>
      </w:r>
    </w:p>
    <w:p w14:paraId="6E1DC260" w14:textId="3EADCE3E" w:rsidR="009E427B" w:rsidRDefault="00F25E96" w:rsidP="009E427B">
      <w:pPr>
        <w:pBdr>
          <w:top w:val="single" w:sz="4" w:space="0" w:color="auto"/>
          <w:left w:val="single" w:sz="4" w:space="4" w:color="auto"/>
          <w:bottom w:val="single" w:sz="4" w:space="1" w:color="auto"/>
          <w:right w:val="single" w:sz="4" w:space="4" w:color="auto"/>
        </w:pBdr>
        <w:rPr>
          <w:rStyle w:val="ui-provider"/>
          <w:noProof/>
        </w:rPr>
      </w:pPr>
      <w:r>
        <w:rPr>
          <w:noProof/>
        </w:rPr>
        <w:t>Nii nagu euro kasutuselevõtu puhul mis tahes muus riigis, tundis üldsus loomulikku ja mõistetavat muret mõju pärast, mida euro kasutuselevõtt võib hindadele Horvaatias avaldada. Horvaatias oli kõnealune probleem eriti aktuaalne ja keeruline, sest see oli esimene kord, kui euro kasutuselevõtt toimus kiire inflatsiooni tingimustes. Seetõttu oli läbipaistva ja õiglase ülemineku jaoks otsustava tähtsusega, et Horvaatia ametiasutused astusid kõik vajalikud sammud kuritarvituste vältimiseks. Kättesaadavate tõendite esialgse hindamise põhjal näib, et põhjendamatu hinnatõusu mõju koguinflatsioonile oli suhteliselt väike ja üldiselt kooskõlas varasemate üleminekutega.</w:t>
      </w:r>
      <w:r>
        <w:rPr>
          <w:rStyle w:val="ui-provider"/>
          <w:noProof/>
        </w:rPr>
        <w:t xml:space="preserve"> Aruandes esitatakse muu hulgas tulevasteks üleminekuteks soovitused selle kohta, kuidas tõhustada hinnaseiret ja kuidas rakendada ülemineku ettevalmistuste varases etapis ettevõtjate käitumisjuhendit.</w:t>
      </w:r>
    </w:p>
    <w:p w14:paraId="06B6C148" w14:textId="77777777" w:rsidR="009E427B" w:rsidRDefault="009E427B" w:rsidP="009E427B">
      <w:pPr>
        <w:pBdr>
          <w:top w:val="single" w:sz="4" w:space="0" w:color="auto"/>
          <w:left w:val="single" w:sz="4" w:space="4" w:color="auto"/>
          <w:bottom w:val="single" w:sz="4" w:space="1" w:color="auto"/>
          <w:right w:val="single" w:sz="4" w:space="4" w:color="auto"/>
        </w:pBdr>
        <w:rPr>
          <w:rStyle w:val="ui-provider"/>
          <w:noProof/>
        </w:rPr>
      </w:pPr>
    </w:p>
    <w:p w14:paraId="2C21A9EB" w14:textId="77777777" w:rsidR="009E427B" w:rsidRPr="00FF6A73" w:rsidRDefault="009E427B" w:rsidP="009E427B">
      <w:pPr>
        <w:rPr>
          <w:noProof/>
          <w:lang w:val="en-US"/>
        </w:rPr>
      </w:pPr>
    </w:p>
    <w:p w14:paraId="45F3E177" w14:textId="77777777" w:rsidR="009E427B" w:rsidRPr="009E427B" w:rsidRDefault="009E427B" w:rsidP="009E427B">
      <w:pPr>
        <w:rPr>
          <w:noProof/>
          <w:lang w:val="en-US"/>
        </w:rPr>
      </w:pPr>
    </w:p>
    <w:p w14:paraId="1FDD7C4D" w14:textId="4C87461F" w:rsidR="001D09A7" w:rsidRDefault="001D4F0F" w:rsidP="001D4F0F">
      <w:pPr>
        <w:pStyle w:val="ManualHeading1"/>
        <w:rPr>
          <w:noProof/>
        </w:rPr>
      </w:pPr>
      <w:r w:rsidRPr="001D4F0F">
        <w:t>1.</w:t>
      </w:r>
      <w:r w:rsidRPr="001D4F0F">
        <w:tab/>
      </w:r>
      <w:r w:rsidR="001D09A7">
        <w:rPr>
          <w:noProof/>
        </w:rPr>
        <w:t>Sissejuhatus</w:t>
      </w:r>
    </w:p>
    <w:p w14:paraId="0EF66806" w14:textId="77777777" w:rsidR="005026C3" w:rsidRDefault="001D09A7" w:rsidP="001D09A7">
      <w:pPr>
        <w:rPr>
          <w:noProof/>
        </w:rPr>
      </w:pPr>
      <w:r>
        <w:rPr>
          <w:noProof/>
        </w:rPr>
        <w:t>Nõukogu otsustas 12. juulil 2022, et Horvaatia täidab euro kasutuselevõtuks vajalikke tingimusi ja et tema suhtes seoses euroalas osalemisega kehtestatud erand tühistatakse alates 1. jaanuarist 2023</w:t>
      </w:r>
      <w:r>
        <w:rPr>
          <w:noProof/>
          <w:vertAlign w:val="superscript"/>
          <w:lang w:val="en-US"/>
        </w:rPr>
        <w:footnoteReference w:id="1"/>
      </w:r>
      <w:r>
        <w:rPr>
          <w:noProof/>
        </w:rPr>
        <w:t>.</w:t>
      </w:r>
    </w:p>
    <w:p w14:paraId="1E015DB0" w14:textId="77777777" w:rsidR="001D09A7" w:rsidRPr="006955CE" w:rsidRDefault="005026C3" w:rsidP="001D09A7">
      <w:pPr>
        <w:rPr>
          <w:noProof/>
        </w:rPr>
      </w:pPr>
      <w:r>
        <w:rPr>
          <w:noProof/>
        </w:rPr>
        <w:t>Horvaatiast on saanud 20. riik, kus on euro kasutusele võetud. Horvaatia järgis kõigi nende liikmesriikide tava, kes võtsid euro kasutusele pärast esimest üleminekulainet (1999.–2002. aastal), ja rakendas nn järsu ülemineku stsenaariumi, st europangatähed ja -mündid muutusid euro kasutuselevõtu päeval seaduslikuks maksevahendiks</w:t>
      </w:r>
      <w:r>
        <w:rPr>
          <w:noProof/>
          <w:vertAlign w:val="superscript"/>
          <w:lang w:val="en-US"/>
        </w:rPr>
        <w:footnoteReference w:id="2"/>
      </w:r>
      <w:r>
        <w:rPr>
          <w:noProof/>
        </w:rPr>
        <w:t>. Kahenädalane paralleelkäibe periood, mille jooksul olid paralleelselt käibel nii euro kui ka Horvaatia kuna pangatähed ja mündid, võimaldas kuna sularaha vähehaaval ringlusest kõrvaldada. See edukas üleminek näitas taas, et kui üleminek on korralikult ette valmistatud, on lühike paralleelkäibe periood piisav</w:t>
      </w:r>
      <w:r>
        <w:rPr>
          <w:noProof/>
          <w:vertAlign w:val="superscript"/>
          <w:lang w:val="en-US"/>
        </w:rPr>
        <w:footnoteReference w:id="3"/>
      </w:r>
      <w:r>
        <w:rPr>
          <w:noProof/>
        </w:rPr>
        <w:t>.</w:t>
      </w:r>
    </w:p>
    <w:p w14:paraId="3573E28F" w14:textId="77777777" w:rsidR="001D09A7" w:rsidRDefault="00ED6F77" w:rsidP="001D09A7">
      <w:pPr>
        <w:rPr>
          <w:noProof/>
        </w:rPr>
      </w:pPr>
      <w:r>
        <w:rPr>
          <w:noProof/>
        </w:rPr>
        <w:t>Käesolevas aruandes käsitletakse tagasivaatavalt üleminekuprotsessi kõige olulisemaid aspekte, eeskätt sularahavahetuse ettevalmistamist, paralleelkäibe perioodi, kuritarvitusliku hinnakujunduse vältimiseks ja inflatsiooniga seotud mureküsimuste lahendamiseks võetud meetmeid, hinnasuundumusi ja hinnataju ning euroteemalist teavitustööd. Vajaduse korral esitatakse aruandes ka komisjoni soovitused edasiste meetmete kohta, mida Horvaatia ametiasutused võiksid võtta, ning tehakse järeldused, mis võivad olla kasulikud tulevaste üleminekute jaoks.</w:t>
      </w:r>
    </w:p>
    <w:p w14:paraId="39C75593" w14:textId="32CBB90F" w:rsidR="001D09A7" w:rsidRDefault="001D4F0F" w:rsidP="001D4F0F">
      <w:pPr>
        <w:pStyle w:val="ManualHeading1"/>
        <w:rPr>
          <w:noProof/>
        </w:rPr>
      </w:pPr>
      <w:r w:rsidRPr="001D4F0F">
        <w:t>2.</w:t>
      </w:r>
      <w:r w:rsidRPr="001D4F0F">
        <w:tab/>
      </w:r>
      <w:r w:rsidR="001D09A7">
        <w:rPr>
          <w:noProof/>
        </w:rPr>
        <w:t>Ülemineku praktilised aspektid</w:t>
      </w:r>
    </w:p>
    <w:p w14:paraId="2F2AC923" w14:textId="77777777" w:rsidR="00B64C99" w:rsidRPr="00235842" w:rsidRDefault="00B64C99" w:rsidP="00B64C99">
      <w:pPr>
        <w:rPr>
          <w:noProof/>
        </w:rPr>
      </w:pPr>
      <w:r>
        <w:rPr>
          <w:noProof/>
        </w:rPr>
        <w:t>Enamik Horvaatia elanikke (61 %) pidas üleminekut sujuvaks ja tõhusaks ning 88 % elanikkonnast leidis, et neid on euro kasutuselevõtust hästi teavitatud</w:t>
      </w:r>
      <w:r>
        <w:rPr>
          <w:noProof/>
          <w:vertAlign w:val="superscript"/>
          <w:lang w:val="en-US"/>
        </w:rPr>
        <w:footnoteReference w:id="4"/>
      </w:r>
      <w:r>
        <w:rPr>
          <w:noProof/>
        </w:rPr>
        <w:t>. Seda arvesse võttes käsitletakse üksikasjalikumalt euro kasutuselevõtu kolme praktilist aspekti: sularahavahetuse ettevalmistamine, kuna ja euro sularaha paralleelkäibe periood ning kuna sularaha ringlusest kõrvaldamine.</w:t>
      </w:r>
    </w:p>
    <w:p w14:paraId="17730A4D" w14:textId="77777777" w:rsidR="001D09A7" w:rsidRDefault="001D09A7" w:rsidP="001D09A7">
      <w:pPr>
        <w:pStyle w:val="Heading2"/>
        <w:numPr>
          <w:ilvl w:val="0"/>
          <w:numId w:val="0"/>
        </w:numPr>
        <w:ind w:left="850" w:hanging="850"/>
        <w:rPr>
          <w:noProof/>
        </w:rPr>
      </w:pPr>
      <w:r>
        <w:rPr>
          <w:noProof/>
        </w:rPr>
        <w:t>2.1.</w:t>
      </w:r>
      <w:r>
        <w:rPr>
          <w:noProof/>
        </w:rPr>
        <w:tab/>
        <w:t>Sularahavahetuse ettevalmistamine</w:t>
      </w:r>
    </w:p>
    <w:p w14:paraId="335EE37F" w14:textId="77777777" w:rsidR="001D09A7" w:rsidRDefault="001D09A7" w:rsidP="00CD0643">
      <w:pPr>
        <w:rPr>
          <w:noProof/>
        </w:rPr>
      </w:pPr>
      <w:r>
        <w:rPr>
          <w:noProof/>
        </w:rPr>
        <w:t>Sularahavahetus on ühisraha kasutuselevõtu nähtavaim aspekt, sest sellesse on kaasatud kõik finantsasutused, ettevõtjad ja kodanikud. Selle protsessi sujuv ja tõhus teostamine eeldab piisavas koguses euro sularaha jagamist kõigile asjaosalistele ning seda, et pangad ja ettevõtjad on suureks täiendavaks töökoormuseks hästi valmistunud.</w:t>
      </w:r>
    </w:p>
    <w:p w14:paraId="5A4A4977" w14:textId="6CF20209" w:rsidR="001D09A7" w:rsidRPr="006B49D4" w:rsidRDefault="008678D3" w:rsidP="001D09A7">
      <w:pPr>
        <w:rPr>
          <w:noProof/>
          <w:color w:val="000000"/>
        </w:rPr>
      </w:pPr>
      <w:bookmarkStart w:id="2" w:name="_Hlk129857203"/>
      <w:r>
        <w:rPr>
          <w:noProof/>
        </w:rPr>
        <w:t>Ülemineku ettevalmistamiseks vermis Horvaatia rahapaja 2022. aastal 405 miljonit euromünti.</w:t>
      </w:r>
      <w:r>
        <w:rPr>
          <w:noProof/>
          <w:color w:val="000000"/>
        </w:rPr>
        <w:t xml:space="preserve"> Euroalal kasutatavate müügiautomaatide praktilist toimimiskontrolli näidismüntidega alustati suhteliselt hilja, kuid see ei osutanud ühelegi probleemile. </w:t>
      </w:r>
      <w:r>
        <w:rPr>
          <w:noProof/>
        </w:rPr>
        <w:t>39,6 miljonit münti kasutati selleks, et koostada kodanikele mõeldud stardikomplektid, mis koosnesid 33 euromündist väärtusega 13,28 eurot ja sisaldasid kõiki Horvaatia euromüntide nimiväärtusi. Peale selle koostas rahapaja ettevõtjatele mõeldud kaubanduslikud stardikomplektid, mis koosnesid 525 euromündist väärtusega 145,50 eurot ja sisaldasid kõiki nimiväärtusi. Lisaks ostis Horvaatia keskpank kahe euroala riigi varudest 182 miljonit euromünti ja laenas veel ühelt euroala riigilt 45 miljonit euromünti, mis tagastatakse 2023. aastal. Austria keskpangalt laenas Horvaatia keskpank üle 346 miljoni eri nimiväärtusega pangatähe.</w:t>
      </w:r>
    </w:p>
    <w:bookmarkEnd w:id="2"/>
    <w:p w14:paraId="6EF13B43" w14:textId="754BF642" w:rsidR="00E43FB3" w:rsidRPr="006955CE" w:rsidRDefault="00CA66A4" w:rsidP="001D09A7">
      <w:pPr>
        <w:rPr>
          <w:noProof/>
        </w:rPr>
      </w:pPr>
      <w:r>
        <w:rPr>
          <w:noProof/>
        </w:rPr>
        <w:t>1. oktoobril 2022 hakkas Horvaatia keskpank jaotama euro sularaha finantsasutustele, st 783 kommertspangafiliaalile, 1 016 Horvaatia postkontorile ja 169 finantsagentuuri (FINA) harukontorile (eeljaotus). Horvaatia keskpank korraldas sularaha veo tavapäraste transpordivahenditega (enda veoautod ja sularahaveoettevõtjate sõidukid) ning lisaks müntide veo kaitseministeeriumilt renditud veoautodega, võttes arvesse turvariske, mis on seotud euro sularaha veo sageduse ja mahuga (ligikaudu 700 vedu võrreldes 60 veoga tavaperioodil). 31. detsembriks 2022 oli eeljaotatud 1,14 miljardi euro väärtuses europangatähti ja 160 miljoni euro väärtuses euromünte.</w:t>
      </w:r>
    </w:p>
    <w:p w14:paraId="377B5BCC" w14:textId="1C082E6E" w:rsidR="00E43FB3" w:rsidRPr="006955CE" w:rsidRDefault="009554A8" w:rsidP="00E43FB3">
      <w:pPr>
        <w:rPr>
          <w:noProof/>
        </w:rPr>
      </w:pPr>
      <w:r>
        <w:rPr>
          <w:noProof/>
        </w:rPr>
        <w:t>Finantsasutused hakkasid oma äriühingutest klientidele europangatähti ja -münte jaotama (täiendav eeljaotus) 1. oktoobril 2022, kuid lihtsustatud täiendavat eeljaotust kasutanud väiksemad äriühingutest kliendid said euro sularaha kätte 2022. aasta detsembris.</w:t>
      </w:r>
    </w:p>
    <w:p w14:paraId="127D6EAA" w14:textId="101FC026" w:rsidR="00B303EB" w:rsidRDefault="00B303EB" w:rsidP="001D09A7">
      <w:pPr>
        <w:rPr>
          <w:noProof/>
        </w:rPr>
      </w:pPr>
      <w:r>
        <w:rPr>
          <w:noProof/>
        </w:rPr>
        <w:t>31. detsembriks 2022 olid finantsasutused täiendavalt eeljaotanud oma klientidele 76 miljoni euro väärtuses europangatähti. Samaks kuupäevaks oli klientidele täiendavalt eeljaotatud 44 miljoni euro väärtuses euromünte.</w:t>
      </w:r>
    </w:p>
    <w:p w14:paraId="710B2328" w14:textId="4A878D0E" w:rsidR="00E43FB3" w:rsidRDefault="000C2784" w:rsidP="001D09A7">
      <w:pPr>
        <w:rPr>
          <w:noProof/>
        </w:rPr>
      </w:pPr>
      <w:r>
        <w:rPr>
          <w:noProof/>
        </w:rPr>
        <w:t>31. detsembri 2022. aasta seisuga oli täiendavalt eeljaotatud ainult 8 % eeljaotuse koguväärtusest. See põhjustas pankades järjekordade tekkimist 2023. aasta jaanuari esimestel päevadel, kui paljud, peamiselt väiksemad jaemüüjad ja ettevõtjad hakkasid euro sularaha välja võtma. Horvaatia ametiasutuste sõnul oli nende jaemüüjate ja ettevõtjate puhul hilise täiendava eeljaotuse põhjuseks tõenäoliselt soovimatus anda pankadele 2022. aasta viimases kvartalis tagatisi, et rahastada piisavas koguses europangatähtede ja -müntide ostmist. Peale pikemate järjekordade jaanuari alguses ei teatatud ühestki vahejuhtumist, kus ettevõtjatel, jaemüüjatel või üldsusel oleks olnud euro sularaha väljavõtmisega probleeme.</w:t>
      </w:r>
    </w:p>
    <w:p w14:paraId="5350A699" w14:textId="00E9EDE8" w:rsidR="00177077" w:rsidRDefault="00FB73B0" w:rsidP="00FB73B0">
      <w:pPr>
        <w:rPr>
          <w:noProof/>
        </w:rPr>
      </w:pPr>
      <w:r>
        <w:rPr>
          <w:noProof/>
        </w:rPr>
        <w:t>Stardikomplektide müük kodanikele kulges rahuldavalt (31. detsembriks müüdi 877 952 komplekti), võttes arvesse asjaolu, et komisjoni 2022. aasta detsembri uuringu</w:t>
      </w:r>
      <w:r>
        <w:rPr>
          <w:rStyle w:val="FootnoteReference"/>
          <w:noProof/>
          <w:lang w:val="en-US"/>
        </w:rPr>
        <w:footnoteReference w:id="5"/>
      </w:r>
      <w:r>
        <w:rPr>
          <w:noProof/>
        </w:rPr>
        <w:t xml:space="preserve"> kohaselt oli suurel osal Horvaatia elanikest juba enne üleminekut euro sularaha: 68 %-l Horvaatia elanikest oli europangatähti (35 % pärines välisreisidelt, 37 % oli Horvaatias pangas vahetatud) ja 57 %-l oli euromünte (52 % pärines välisreisidelt ja 43 % stardikomplektidest).</w:t>
      </w:r>
    </w:p>
    <w:p w14:paraId="5814192B" w14:textId="3E3CFEF6" w:rsidR="001D09A7" w:rsidRPr="00CA52F2" w:rsidRDefault="005838AB" w:rsidP="001D09A7">
      <w:pPr>
        <w:rPr>
          <w:noProof/>
        </w:rPr>
      </w:pPr>
      <w:r>
        <w:rPr>
          <w:noProof/>
        </w:rPr>
        <w:t>Nõudlus jaemüüjatele mõeldud stardikomplektide järele oli seevastu piiratum. Kuigi koostati 150 000 komplekti, millest 125 000 eeljaotati finantsasutustele, müüdi jaemüüjatele lõpuks ainult 37 925 komplekti. Horvaatia ametiasutuste sõnul võib sellel madalal nõudlusel olla mitu põhjust. Esiteks kasutasid mõned ettevõtjad täiendavaks eeljaotuseks muid kanaleid, mis täitsid nende vajaduse saada üheaegselt nii europangatähti kui ka -münte. Samuti ei saanud mitu väiksemat jaemüüjat osta aasta lõpus jaemüüjatele mõeldud komplekte ebapiisava likviidsuse tõttu ning teistel ei olnud seifis kunade ja eurode eraldi hoidmiseks piisavalt ruumi. Lisaks sisaldasid jaemüüjatele mõeldud komplektid ainult euromünte, kuid mitte europangatähti, kuigi jaemüüjad eelistasid korraga saada nii europangatähti kui ka -münte. Paljud ettevõtjad pidasid esmatähtsaks elektroonilisi makseid ja mõned neist sulgesid 2023. aasta jaanuari alguses pühadeks oma kauplused.</w:t>
      </w:r>
    </w:p>
    <w:p w14:paraId="16165B71" w14:textId="1F09A685" w:rsidR="00137F62" w:rsidRDefault="002E5D73" w:rsidP="001D09A7">
      <w:pPr>
        <w:rPr>
          <w:noProof/>
        </w:rPr>
      </w:pPr>
      <w:r>
        <w:rPr>
          <w:noProof/>
        </w:rPr>
        <w:t>Nii nagu euro kasutuselevõtu puhul mis tahes muus riigis, pidid kommertspangad, FINA ja postkontorid jaemüüjate ja ettevõtjate täiendava eeljaotuse, stardikomplektide müügi ja tagastatud kuna sularaha krediteerimise tõttu käitlema aastavahetusel suuri sularahakoguseid. Kommertspangad suurendasid ülemineku ajal oma töötajate arvu ja avasid sularahatehingute hõlbustamiseks ka spetsiaalsed lisakassad. Tänu kassade arvu suurenemisele ei olnud vaja lahtiolekuaega pikendada. Enamikku pangatöötajaid ei lubatud ajavahemikus 2022. aasta novembrist kuni 2023. aasta jaanuarini puhkusele minna.</w:t>
      </w:r>
      <w:r>
        <w:rPr>
          <w:noProof/>
          <w:color w:val="8496B0"/>
        </w:rPr>
        <w:t xml:space="preserve"> </w:t>
      </w:r>
      <w:r>
        <w:rPr>
          <w:noProof/>
        </w:rPr>
        <w:t>Kõik pangad korraldasid oma töötajatele eurodega töötamiseks koolitusi ning enam kui 6 713 pangatöötajat läbis eurodega töötamiseks HNB e-õppe platvormil üleminekukoolituse. 31. detsembriks 2022 olid koolitustunnistuse saanud kõigi finantsasutuste kõik sularahaga tegelevad töötajad.</w:t>
      </w:r>
    </w:p>
    <w:p w14:paraId="72BEC933" w14:textId="77777777" w:rsidR="00461F21" w:rsidRPr="00137F62" w:rsidRDefault="00461F21" w:rsidP="001D09A7">
      <w:pPr>
        <w:rPr>
          <w:noProof/>
          <w:lang w:val="en-US"/>
        </w:rPr>
      </w:pPr>
    </w:p>
    <w:p w14:paraId="1C39B0DA" w14:textId="77777777" w:rsidR="001D09A7" w:rsidRPr="006955CE" w:rsidRDefault="001D09A7" w:rsidP="001D09A7">
      <w:pPr>
        <w:pStyle w:val="Heading2"/>
        <w:numPr>
          <w:ilvl w:val="0"/>
          <w:numId w:val="0"/>
        </w:numPr>
        <w:ind w:left="850" w:hanging="850"/>
        <w:rPr>
          <w:noProof/>
        </w:rPr>
      </w:pPr>
      <w:r>
        <w:rPr>
          <w:noProof/>
        </w:rPr>
        <w:t>2.2.</w:t>
      </w:r>
      <w:r>
        <w:rPr>
          <w:noProof/>
        </w:rPr>
        <w:tab/>
        <w:t>Paralleelkäibe periood</w:t>
      </w:r>
    </w:p>
    <w:p w14:paraId="6C425078" w14:textId="29589CBF" w:rsidR="001D09A7" w:rsidRDefault="001D09A7" w:rsidP="001D09A7">
      <w:pPr>
        <w:rPr>
          <w:noProof/>
        </w:rPr>
      </w:pPr>
      <w:r>
        <w:rPr>
          <w:noProof/>
        </w:rPr>
        <w:t>Kahenädalane paralleelkäibe periood, mille jooksul olid euro ja Horvaatia kuna paralleelselt käibel, lõppes 14. jaanuaril 2023.</w:t>
      </w:r>
    </w:p>
    <w:p w14:paraId="4715EB0D" w14:textId="77777777" w:rsidR="00E9332D" w:rsidRDefault="006405D8" w:rsidP="001D09A7">
      <w:pPr>
        <w:rPr>
          <w:bCs/>
          <w:noProof/>
        </w:rPr>
      </w:pPr>
      <w:r>
        <w:rPr>
          <w:noProof/>
        </w:rPr>
        <w:t>Enamik sularahaautomaate oli 1. jaanuaril 2023 europangatähtede väljavõtmiseks valmis. Sularahaautomaadid täideti 2022. aasta detsembri lõpus 10- ja 20-euroste ning mõnikord ka 50-euroste pangatähtedega, mis olid alates 1. jaanuarist väljavõtmiseks valmis. Kohe 1. jaanuaril väljastas europangatähti 70 % kõigist Horvaatia sularahaautomaatidest (st 2 800 automaati umbes 4 000st) ning nädala pärast suurenes see määr 86 %ni. Alates 14. jaanuarist 2023 väljastavad kõik sularahaautomaadid europangatähti ja toimivad nõuetekohaselt.</w:t>
      </w:r>
    </w:p>
    <w:p w14:paraId="2EE73B73" w14:textId="77777777" w:rsidR="005F5D72" w:rsidRDefault="006405D8" w:rsidP="001D09A7">
      <w:pPr>
        <w:rPr>
          <w:bCs/>
          <w:noProof/>
        </w:rPr>
      </w:pPr>
      <w:r>
        <w:rPr>
          <w:noProof/>
        </w:rPr>
        <w:t>Paralleelkäibe perioodi lõpuks oli sularahaautomaatidest välja võetud 361 miljonit eurot. See on sularahaautomaatidest eelmise aasta samal perioodil väljavõetud kuna pangatähtede väärtusega võrreldes 15 miljoni euro võrra vähem. Vähenemine on tõenäoliselt tingitud sellest, et jaemüüjad propageerisid üleminekuperioodil elektroonilisi makseviise.</w:t>
      </w:r>
    </w:p>
    <w:p w14:paraId="77E06990" w14:textId="3C81CA84" w:rsidR="001D09A7" w:rsidRDefault="00F328AD" w:rsidP="001D09A7">
      <w:pPr>
        <w:rPr>
          <w:bCs/>
          <w:noProof/>
        </w:rPr>
      </w:pPr>
      <w:r>
        <w:rPr>
          <w:noProof/>
          <w:color w:val="000000"/>
        </w:rPr>
        <w:t>Kõik müügikohtade terminalid läksid kohe 1. jaanuaril 2023 eurole üle.</w:t>
      </w:r>
      <w:r>
        <w:rPr>
          <w:noProof/>
        </w:rPr>
        <w:t xml:space="preserve"> Paralleelkäibe perioodil kasutati maksekaarte 16,8 miljoni tehingu tegemiseks koguväärtusega 415,8 miljonit eurot. 2023. aasta jaanuaris suurenes elektrooniliste maksete kasutamine 2022. aasta jaanuari sama ajavahemikuga võrreldes 15,3 %.</w:t>
      </w:r>
    </w:p>
    <w:p w14:paraId="773EC1C1" w14:textId="47821F75" w:rsidR="001D09A7" w:rsidRDefault="001D09A7" w:rsidP="001D09A7">
      <w:pPr>
        <w:rPr>
          <w:noProof/>
        </w:rPr>
      </w:pPr>
      <w:r>
        <w:rPr>
          <w:noProof/>
        </w:rPr>
        <w:t>Tänu hoolikatele ettevalmistustele tulid finantsasutused, postkontorid ja FINA paralleelkäibe perioodil täiendava töökoormusega hästi toime. Pangad avasid enamikus oma filiaalides sularahateenuste jaoks lisakassad ning kõige suuremates ja hõivatumates filiaalides paigaldati kuna müntide vastuvõtu automaadid.</w:t>
      </w:r>
    </w:p>
    <w:p w14:paraId="3D9C0079" w14:textId="5A0640C0" w:rsidR="001D09A7" w:rsidRDefault="001D09A7" w:rsidP="001D09A7">
      <w:pPr>
        <w:rPr>
          <w:noProof/>
        </w:rPr>
      </w:pPr>
      <w:r>
        <w:rPr>
          <w:noProof/>
        </w:rPr>
        <w:t>Horvaatia kunasid sai eurode vastu vahetada 846 pangafiliaalis, 1 016 postkontoris ja 169 FINA harukontoris. 15. jaanuariks 2023 oli kuna sularaha vahetatud koguväärtuses 361,4 miljonit eurot. 72 % kuna sularaha väärtusest vahetati pangafiliaalides, 15 % postkontorites ja 13 % FINA harukontorites.</w:t>
      </w:r>
    </w:p>
    <w:p w14:paraId="24CB096F" w14:textId="77777777" w:rsidR="001D09A7" w:rsidRDefault="001D09A7" w:rsidP="001D09A7">
      <w:pPr>
        <w:rPr>
          <w:noProof/>
        </w:rPr>
      </w:pPr>
      <w:r>
        <w:rPr>
          <w:noProof/>
        </w:rPr>
        <w:t>Vastavalt komisjoni uuringule, mis tehti Horvaatias 16.–19. jaanuaril 2023,</w:t>
      </w:r>
      <w:r>
        <w:rPr>
          <w:rStyle w:val="FootnoteReference"/>
          <w:noProof/>
          <w:lang w:val="en-US"/>
        </w:rPr>
        <w:footnoteReference w:id="6"/>
      </w:r>
      <w:r>
        <w:rPr>
          <w:noProof/>
        </w:rPr>
        <w:t xml:space="preserve"> ei esinenud 81 %-l küsitletutest jaanuari esimesel nädalal kuna sularaha vahetamisel või pankadest euro sularaha väljavõtmisel mingeid probleeme. See näitaja on väiksem kui mõne varasema ülemineku ajal, kuid tulemus on siiski rahuldav</w:t>
      </w:r>
      <w:r>
        <w:rPr>
          <w:rStyle w:val="FootnoteReference"/>
          <w:noProof/>
          <w:lang w:val="en-US"/>
        </w:rPr>
        <w:footnoteReference w:id="7"/>
      </w:r>
      <w:r>
        <w:rPr>
          <w:noProof/>
        </w:rPr>
        <w:t>.</w:t>
      </w:r>
    </w:p>
    <w:p w14:paraId="1C35BB3F" w14:textId="77777777" w:rsidR="001D09A7" w:rsidRDefault="00AD412B" w:rsidP="009B2B24">
      <w:pPr>
        <w:rPr>
          <w:noProof/>
        </w:rPr>
      </w:pPr>
      <w:r>
        <w:rPr>
          <w:noProof/>
        </w:rPr>
        <w:t>Üleminek eranditult euro sularaha kasutamisele maksetehingutes oli kiire ja toimus tarbijate jaoks ilma suuremate vahejuhtumiteta. Juba euro kasutuselevõtu teisel päeval (2. jaanuar 2023) tegi 29 % üldsusest sularahamakseid ainult euro sularahaga</w:t>
      </w:r>
      <w:r>
        <w:rPr>
          <w:rStyle w:val="FootnoteReference"/>
          <w:noProof/>
          <w:lang w:val="en-US"/>
        </w:rPr>
        <w:footnoteReference w:id="8"/>
      </w:r>
      <w:r>
        <w:rPr>
          <w:noProof/>
        </w:rPr>
        <w:t>. 7. jaanuariks maksis ainult euro sularahas 62 % küsitletud kodanikest. Päev enne paralleelkäibe perioodi lõppu oli see näitaja 99 %</w:t>
      </w:r>
      <w:r>
        <w:rPr>
          <w:rStyle w:val="FootnoteReference"/>
          <w:noProof/>
          <w:lang w:val="en-US"/>
        </w:rPr>
        <w:footnoteReference w:id="9"/>
      </w:r>
      <w:r>
        <w:rPr>
          <w:noProof/>
        </w:rPr>
        <w:t>.</w:t>
      </w:r>
    </w:p>
    <w:p w14:paraId="545D2425" w14:textId="77777777" w:rsidR="004A7073" w:rsidRDefault="001D09A7" w:rsidP="00461F21">
      <w:pPr>
        <w:rPr>
          <w:noProof/>
        </w:rPr>
      </w:pPr>
      <w:r>
        <w:rPr>
          <w:noProof/>
        </w:rPr>
        <w:t>Jaemüügisektor sai üleminekuprotsessi probleemidega ja kahe vääringu samaaegse käitlemisega üldiselt samuti hästi hakkama. Jaemüüjad olid euro sularahaga hästi varustatud ja suuri probleeme järjekordadega ei olnud. Juba 2. jaanuaril sai vahetusraha ainult eurodes 81 % küsitletud kodanikest. 13. jaanuaril suurenes see osakaal 99 %ni.</w:t>
      </w:r>
    </w:p>
    <w:p w14:paraId="14408B7E" w14:textId="77777777" w:rsidR="00461F21" w:rsidRPr="00E8764A" w:rsidRDefault="00461F21" w:rsidP="00461F21">
      <w:pPr>
        <w:rPr>
          <w:noProof/>
          <w:lang w:val="en-US"/>
        </w:rPr>
      </w:pPr>
    </w:p>
    <w:p w14:paraId="0B341168" w14:textId="77777777" w:rsidR="001D09A7" w:rsidRPr="006955CE" w:rsidRDefault="001D09A7" w:rsidP="001D09A7">
      <w:pPr>
        <w:pStyle w:val="Heading2"/>
        <w:numPr>
          <w:ilvl w:val="0"/>
          <w:numId w:val="0"/>
        </w:numPr>
        <w:spacing w:line="260" w:lineRule="exact"/>
        <w:ind w:left="850" w:hanging="850"/>
        <w:rPr>
          <w:noProof/>
        </w:rPr>
      </w:pPr>
      <w:r>
        <w:rPr>
          <w:noProof/>
        </w:rPr>
        <w:t>2.3.</w:t>
      </w:r>
      <w:r>
        <w:rPr>
          <w:noProof/>
        </w:rPr>
        <w:tab/>
        <w:t xml:space="preserve">Horvaatia kuna pangatähtede ja müntide ringlusest kõrvaldamine </w:t>
      </w:r>
    </w:p>
    <w:p w14:paraId="678C71D6" w14:textId="65FDA933" w:rsidR="003B6471" w:rsidRDefault="00BE6D3A" w:rsidP="001D09A7">
      <w:pPr>
        <w:spacing w:line="260" w:lineRule="exact"/>
        <w:rPr>
          <w:noProof/>
          <w:spacing w:val="-2"/>
        </w:rPr>
      </w:pPr>
      <w:r>
        <w:rPr>
          <w:noProof/>
        </w:rPr>
        <w:t>Horvaatia näol oli tegemist sularahamahuka majandusega ja seetõttu kujutas kuna sularaha ringlusest kõrvaldamine endast erilist väljakutset.</w:t>
      </w:r>
    </w:p>
    <w:p w14:paraId="11F7FB48" w14:textId="77777777" w:rsidR="004A7073" w:rsidRDefault="003B6471" w:rsidP="001D09A7">
      <w:pPr>
        <w:spacing w:line="260" w:lineRule="exact"/>
        <w:rPr>
          <w:noProof/>
        </w:rPr>
      </w:pPr>
      <w:r>
        <w:rPr>
          <w:noProof/>
        </w:rPr>
        <w:t>Horvaatia keskpank eeldab, et ringluses olevad 500 miljonit kuna pangatähte ja 1,1 miljardit kuna münti tagastatakse ajapikku. Võttes arvesse, et 2022. aastal oli ringluses suur hulk kuna pangatähti ja münte, hakkas Horvaatia keskpank 2022. aasta alguses kuna sularaha vähehaaval ringlusest kõrvaldama.</w:t>
      </w:r>
    </w:p>
    <w:p w14:paraId="716FB924" w14:textId="4F50FC04" w:rsidR="006C5BC6" w:rsidRPr="00003682" w:rsidRDefault="003B6471" w:rsidP="003B6471">
      <w:pPr>
        <w:spacing w:line="260" w:lineRule="exact"/>
        <w:rPr>
          <w:noProof/>
          <w:szCs w:val="22"/>
        </w:rPr>
      </w:pPr>
      <w:r>
        <w:rPr>
          <w:noProof/>
        </w:rPr>
        <w:t>Selleks et motiveerida kommertspanku hoiustama enne 1. jaanuari 2023 kuna üleliigseid varusid sularahakeskustes, peatas Horvaatia keskpank alates 2022. aasta novembrist kommertspankade sularaha hoiustamise tasud. Kommertspangad ja Horvaatia pangandusliit kutsusid erinevate teavituskanalite ja meedia kaudu oma kliente üles kasutama paralleelkäibe perioodil võimaluse korral mittesularahalisi makseid.</w:t>
      </w:r>
    </w:p>
    <w:p w14:paraId="661E9EED" w14:textId="77777777" w:rsidR="004F0650" w:rsidRDefault="004F0650" w:rsidP="004F0650">
      <w:pPr>
        <w:spacing w:line="260" w:lineRule="exact"/>
        <w:rPr>
          <w:noProof/>
        </w:rPr>
      </w:pPr>
      <w:r>
        <w:rPr>
          <w:noProof/>
        </w:rPr>
        <w:t>2022. aasta detsembriks oli ringluses olevate kunade väärtus vähenenud 2022. aasta jaanuariga võrreldes 40 %.</w:t>
      </w:r>
    </w:p>
    <w:p w14:paraId="3FC3C5E3" w14:textId="435CE290" w:rsidR="001D09A7" w:rsidRPr="006955CE" w:rsidRDefault="006C5BC6" w:rsidP="001D09A7">
      <w:pPr>
        <w:spacing w:line="260" w:lineRule="exact"/>
        <w:rPr>
          <w:noProof/>
        </w:rPr>
      </w:pPr>
      <w:bookmarkStart w:id="3" w:name="_Hlk129857098"/>
      <w:r>
        <w:rPr>
          <w:noProof/>
        </w:rPr>
        <w:t>Horvaatia kuna pangatähtede ja müntide ringlusest kõrvaldamist alustati õigel ajal ja edukalt. 31. jaanuariks 2023 oli ringlusest kõrvaldatud juba 134,6 miljonit kuna pangatähte ja 230 miljonit kuna münti.</w:t>
      </w:r>
    </w:p>
    <w:bookmarkEnd w:id="3"/>
    <w:p w14:paraId="548B5C7F" w14:textId="629FA991" w:rsidR="001E2985" w:rsidRDefault="001E2985" w:rsidP="001D09A7">
      <w:pPr>
        <w:spacing w:line="260" w:lineRule="exact"/>
        <w:rPr>
          <w:noProof/>
        </w:rPr>
      </w:pPr>
      <w:r>
        <w:rPr>
          <w:noProof/>
        </w:rPr>
        <w:t>Horvaatia kuna pangatähti ja münte saab kuni 31. detsembrini 2023 tasuta vahetada kommertspankades, FINAs ja postkontorites (kuni 100 pangatähte ja 100 münti vahetuse kohta). Suurema arvu pangatähtede või müntide vahetamise eest võivad kommertspangad tasu nõuda. Alates 1. jaanuarist 2024 saab kuna pangatähti ja münte vahetada ainult Horvaatia keskpangas. Pangatähti saab vahetada tasuta ja tähtajatult, kuid kuna münte saab vahetada kuni 31. detsembrini 2025.</w:t>
      </w:r>
    </w:p>
    <w:p w14:paraId="01685579" w14:textId="77777777" w:rsidR="001D09A7" w:rsidRPr="00C309B4" w:rsidRDefault="00C309B4" w:rsidP="001D09A7">
      <w:pPr>
        <w:spacing w:line="260" w:lineRule="exact"/>
        <w:rPr>
          <w:strike/>
          <w:noProof/>
        </w:rPr>
      </w:pPr>
      <w:r>
        <w:rPr>
          <w:noProof/>
        </w:rPr>
        <w:t>Horvaatia keskpank hoiab tagastatud kuna münte varahoidlas ja alustab demonetiseerimist alles 1. jaanuaril 2026, st pärast kuna müntide vahetamise tähtaja lõppu. See tähendab, et kulukat müntide mehaanilise demonetiseerimise viisi (näiteks mulgustamist) ei ole vaja kasutada, sest münte ei ole enam võimalik vahetada. Mündid müüakse huvitatud ostjatele vanametallina või sulatamiseks. Vahepeal on alustatud tagastatud kuna pangatähtede demonetiseerimist.</w:t>
      </w:r>
    </w:p>
    <w:p w14:paraId="1AA3B490" w14:textId="5896F898" w:rsidR="001D09A7" w:rsidRPr="006955CE" w:rsidRDefault="001D4F0F" w:rsidP="001D4F0F">
      <w:pPr>
        <w:pStyle w:val="ManualHeading1"/>
        <w:rPr>
          <w:noProof/>
        </w:rPr>
      </w:pPr>
      <w:r w:rsidRPr="001D4F0F">
        <w:t>3.</w:t>
      </w:r>
      <w:r w:rsidRPr="001D4F0F">
        <w:tab/>
      </w:r>
      <w:r w:rsidR="001D09A7">
        <w:rPr>
          <w:noProof/>
        </w:rPr>
        <w:t xml:space="preserve">Kuritarvitusliku hinnakujunduse vältimine </w:t>
      </w:r>
    </w:p>
    <w:p w14:paraId="1552B53C" w14:textId="77777777" w:rsidR="001D09A7" w:rsidRPr="00FC6C5B" w:rsidRDefault="0020221F" w:rsidP="00FC6C5B">
      <w:pPr>
        <w:spacing w:line="260" w:lineRule="exact"/>
        <w:rPr>
          <w:noProof/>
          <w:szCs w:val="22"/>
        </w:rPr>
      </w:pPr>
      <w:r>
        <w:rPr>
          <w:noProof/>
        </w:rPr>
        <w:t>Nii nagu euro kasutuselevõtu puhul mis tahes muus riigis, tundis üldsus loomulikku ja mõistetavat muret mõju pärast, mida euro kasutuselevõtt võib hindadele Horvaatias avaldada. Horvaatias oli kõnealune probleem eriti aktuaalne ja keeruline, sest see oli esimene kord, kui euro kasutuselevõtt toimus kiire inflatsiooni tingimustes. Seetõttu oli läbipaistva ja õiglase ülemineku jaoks otsustava tähtsusega, et Horvaatia ametiasutused astusid kõik vajalikud sammud kuritarvituste vältimiseks.</w:t>
      </w:r>
    </w:p>
    <w:p w14:paraId="20FF7143" w14:textId="70E11445" w:rsidR="001D09A7" w:rsidRPr="006955CE" w:rsidRDefault="00C64D48" w:rsidP="001D09A7">
      <w:pPr>
        <w:rPr>
          <w:noProof/>
        </w:rPr>
      </w:pPr>
      <w:r>
        <w:rPr>
          <w:noProof/>
        </w:rPr>
        <w:t>Alates 5. septembrist 2022 muutus kohustuslikuks hindade esitamine kahes vääringus (st kunades ja eurodes) ja seda tuleb teha kuni 31. detsembrini 2023. Alates 2022. aasta septembrist on Horvaatia ametiasutused pidevalt jälginud 103 eelnevalt kindlaks määratud ja sageli ostetava tarbekauba ja teenuse hindu üheksas Horvaatia linnas.</w:t>
      </w:r>
    </w:p>
    <w:p w14:paraId="02A8EADA" w14:textId="05D38DB6" w:rsidR="00A87458" w:rsidRPr="006955CE" w:rsidRDefault="0059033D" w:rsidP="0059033D">
      <w:pPr>
        <w:rPr>
          <w:noProof/>
        </w:rPr>
      </w:pPr>
      <w:r>
        <w:rPr>
          <w:noProof/>
        </w:rPr>
        <w:t>16. augustil 2022 võeti kasutusele „Ettevõtjate eetikakoodeks euro kasutuselevõtuks“. Selles on esitatud eetilise käitumise põhimõtted, et luua tarbijatele euro usaldusväärse ja läbipaistva kasutuselevõtu ajal turvaline keskkond. Eetikakoodeksi eesmärk on aidata ettevõtjatel hinnad õigesti ümber arvestada ja esitada, ilma et toimuks põhjendamatut hinnatõusu, ning tagada nõnda kaupade ja teenuste hindade stabiilsus. Selle seitsme põhimõtte hulgas on ka praktiliste ettevalmistuste olulisi elemente, nagu hindade ja muude rahaliste väärtuste täpne ümberarvestamine, fikseeritud ümberarvestuskursi esitamine ning töötajate teavitamine euro kasutuselevõtu korrast ja nende koolitamine selles valdkonnas.</w:t>
      </w:r>
    </w:p>
    <w:p w14:paraId="25465E50" w14:textId="1FF02F4C" w:rsidR="00A87458" w:rsidRDefault="00A87458" w:rsidP="0059033D">
      <w:pPr>
        <w:rPr>
          <w:noProof/>
          <w:spacing w:val="17"/>
        </w:rPr>
      </w:pPr>
      <w:r>
        <w:rPr>
          <w:noProof/>
        </w:rPr>
        <w:t>Eetikakoodeksis kutsutakse ettevõtjaid üles mitte kuritarvitama üleminekut kasumi saamiseks, järgima ülemineku eeskirju ja osutama oma klientidele vajalikku abi. See on sarnane varasemate üleminekute puhul edukalt rakendatud vabatahtlike algatustega. Algatusega ühinevad ettevõtjad saavad õiguse esitada müügikohtades, teenuste pakkumise kohtades ja veebisaitidel ning turundus- ja müügiedendustegevuse raames, näiteks trükitud voldikutes ja kataloogides, internetireklaamis ja sotsiaalmeedia turundusmaterjalides, mobiilirakendustes ja muudes meediakanalites, eetikakoodeksis kavandatud visuaalset identifitseerimismärgist, mis koosneb logost ja tunnuslausest. See märgis annab tarbijatele märku, et hinnad on õigesti arvutatud ja et ettevõtted on usaldusväärsed. Märgise esitamise õigus tühistatakse, kui põhimõtteid ei ole järgitud.</w:t>
      </w:r>
    </w:p>
    <w:p w14:paraId="179CEC3C" w14:textId="4A49EB03" w:rsidR="007D724F" w:rsidRPr="007D724F" w:rsidRDefault="00771ECE" w:rsidP="007D724F">
      <w:pPr>
        <w:rPr>
          <w:noProof/>
          <w:highlight w:val="yellow"/>
        </w:rPr>
      </w:pPr>
      <w:r>
        <w:rPr>
          <w:noProof/>
          <w:color w:val="000000"/>
        </w:rPr>
        <w:t>2022. aasta lõpuks oli ettevõtjate eetikakoodeksiga ühinenud üle 900 ettevõtja, kes müüvad tarbijatele kaupu või osutavad teenuseid. 2023. aasta veebruari lõpuks oli eetikakoodeksiga ühinenud 1 046 ettevõtjat, st 83,5 % kõigist Horvaatias registreeritud jaemüüjatest ja suurtest toidukauplustest, kes müüvad tarbijatele kaupu ja osutavad teenuseid. Horvaatia ametiasutuste väitel on kõik kommertspangad, kindlustusseltsid ja muud finantsasutused eetikakoodeksiga ühinenud. Seda arvesse võttes jagati kõigi eetikakoodeksiga ühinenud üksuste (emaettevõte, tütarettevõtjad ja filiaalid) müügikohtades rohkem kui 15 000 kleebist, mis tähistasid eetikakoodeksi järgimist.</w:t>
      </w:r>
    </w:p>
    <w:p w14:paraId="7A1F7F5D" w14:textId="77777777" w:rsidR="001D09A7" w:rsidRPr="00FC6C5B" w:rsidRDefault="001B3B67" w:rsidP="00FC6C5B">
      <w:pPr>
        <w:shd w:val="clear" w:color="auto" w:fill="FFFFFF"/>
        <w:rPr>
          <w:noProof/>
        </w:rPr>
      </w:pPr>
      <w:r>
        <w:rPr>
          <w:noProof/>
        </w:rPr>
        <w:t>Horvaatia euro kasutuselevõttu käsitleva seaduse ja tarbijakaitseseaduse alusel jälgivad Horvaatia ametiasutused, et ettevõtjad, jaemüüjad ja teenuseosutajad järgiksid hindade esitamise ja ümberarvestamise nõudeid ning kõigi ettevõtjate kohustust mitte tõsta põhjendamatult hindu.</w:t>
      </w:r>
    </w:p>
    <w:p w14:paraId="256618DF" w14:textId="2300E4B4" w:rsidR="008062DA" w:rsidRDefault="008062DA" w:rsidP="00822492">
      <w:pPr>
        <w:shd w:val="clear" w:color="auto" w:fill="FFFFFF"/>
        <w:rPr>
          <w:noProof/>
          <w:spacing w:val="12"/>
        </w:rPr>
      </w:pPr>
      <w:r>
        <w:rPr>
          <w:noProof/>
        </w:rPr>
        <w:t>Inspektsioonid teevad kontrolle nii omal algatusel kui ka nende kahe õigusakti kohaselt esitatud kaebuste alusel. 28. veebruariks 2023 oli riiklik inspektsioon teinud kokku 12 355 turu- ja turismikontrolli, millest 20,3 % juhul avastati rikkumisi. Neist rikkumistest 11,5 % puhul määrasid inspektsioonid trahvi ja trahvide kogusumma oli ligikaudu 538 000 eurot. Enamik trahve põhines tarbijakaitseseaduse rikkumisel.</w:t>
      </w:r>
    </w:p>
    <w:p w14:paraId="58D4EB77" w14:textId="77777777" w:rsidR="001D09A7" w:rsidRDefault="00F110FC" w:rsidP="001D09A7">
      <w:pPr>
        <w:rPr>
          <w:noProof/>
        </w:rPr>
      </w:pPr>
      <w:r>
        <w:rPr>
          <w:noProof/>
        </w:rPr>
        <w:t>Üldiselt leidsid Horvaatia elanikud, et hindade esitamine kahes vääringus on kasulik, sest see lihtsustab hinnavõrdlust ja aitab harjuda mõtlema uues vääringus. 2023. aasta jaanuaris tehtud komisjoni uuringu</w:t>
      </w:r>
      <w:r>
        <w:rPr>
          <w:rStyle w:val="FootnoteReference"/>
          <w:noProof/>
        </w:rPr>
        <w:footnoteReference w:id="10"/>
      </w:r>
      <w:r>
        <w:rPr>
          <w:noProof/>
        </w:rPr>
        <w:t xml:space="preserve"> kohaselt ütles üle kolmveerandi Horvaatia inimestest (78 %), et hindade esitamine kahes vääringus on ülemineku ajal kasulik. Ent neid küsitletud Horvaatia elanikke, kes leidsid sageli või väga sageli, et hinnad esitati kahes vääringus õigesti, oli 60 %, mis on kõigi üleminekute arvestuses väikseim osakaal.</w:t>
      </w:r>
    </w:p>
    <w:p w14:paraId="7B5A26DE" w14:textId="516AF981" w:rsidR="001D09A7" w:rsidRDefault="001D09A7" w:rsidP="001D09A7">
      <w:pPr>
        <w:rPr>
          <w:noProof/>
        </w:rPr>
      </w:pPr>
      <w:r>
        <w:rPr>
          <w:noProof/>
        </w:rPr>
        <w:t>Hindade ümberarvestamist käsitleva küsimuse peale märkisid peaaegu pooled vastanutest (44 %), et nad leidsid sageli või väga sageli, et hindade ümberarvestamine oli täpne</w:t>
      </w:r>
      <w:r>
        <w:rPr>
          <w:rStyle w:val="FootnoteReference"/>
          <w:noProof/>
        </w:rPr>
        <w:footnoteReference w:id="11"/>
      </w:r>
      <w:r>
        <w:rPr>
          <w:noProof/>
        </w:rPr>
        <w:t>. See tulemus jääb euro kasutuselevõtu viimaste juhtude (Eesti, Läti ja Leedu) tulemuste piiresse.</w:t>
      </w:r>
    </w:p>
    <w:p w14:paraId="4C920F67" w14:textId="77777777" w:rsidR="001D09A7" w:rsidRPr="00A87458" w:rsidRDefault="00A87458" w:rsidP="001D09A7">
      <w:pPr>
        <w:rPr>
          <w:noProof/>
        </w:rPr>
      </w:pPr>
      <w:r>
        <w:rPr>
          <w:noProof/>
        </w:rPr>
        <w:t>Tarbijad saavad esitada kaebusi veebisaidi euro.hr kaudu. Kaebusi käsitletakse hiljemalt 48 tunni jooksul pärast nende esitamist. Kodanikud on väljendatud muret peamiselt sellistes küsimustes nagu hindade esitamine ja ümardamiseeskirjade rakendamine. Pädevad asutused käsitlevad hoolsalt kõiki küsimusi ja kaebusi.</w:t>
      </w:r>
    </w:p>
    <w:p w14:paraId="34DC5280" w14:textId="7648F996" w:rsidR="001D09A7" w:rsidRPr="00AC7582" w:rsidRDefault="001D09A7" w:rsidP="00AC7582">
      <w:pPr>
        <w:rPr>
          <w:noProof/>
        </w:rPr>
      </w:pPr>
      <w:r>
        <w:rPr>
          <w:noProof/>
        </w:rPr>
        <w:t>Euro mõju hindadele ja kuritarvituslik hinnakujundus valmistab Horvaatia kodanikele siiski jätkuvalt muret</w:t>
      </w:r>
      <w:r>
        <w:rPr>
          <w:noProof/>
          <w:vertAlign w:val="superscript"/>
        </w:rPr>
        <w:footnoteReference w:id="12"/>
      </w:r>
      <w:r>
        <w:rPr>
          <w:noProof/>
        </w:rPr>
        <w:t>. Seepärast soovitatakse jätkata jooksul hindade kahes vääringus esitamise, õigete ümberarvestus- ja ümardamiseeskirjade rakendamise ning hindade üldise muutumise järelevalvet veel mõne kuu jooksul.</w:t>
      </w:r>
    </w:p>
    <w:p w14:paraId="0355BB6A" w14:textId="6EE4BF97" w:rsidR="001D09A7" w:rsidRDefault="001D4F0F" w:rsidP="001D4F0F">
      <w:pPr>
        <w:pStyle w:val="ManualHeading1"/>
        <w:rPr>
          <w:noProof/>
        </w:rPr>
      </w:pPr>
      <w:r w:rsidRPr="001D4F0F">
        <w:t>4.</w:t>
      </w:r>
      <w:r w:rsidRPr="001D4F0F">
        <w:tab/>
      </w:r>
      <w:r w:rsidR="001D09A7">
        <w:rPr>
          <w:noProof/>
        </w:rPr>
        <w:t>Hinnasuundumused ja hinnataju</w:t>
      </w:r>
    </w:p>
    <w:p w14:paraId="0B038CDB" w14:textId="77777777" w:rsidR="001E2985" w:rsidRPr="006955CE" w:rsidRDefault="001E2985" w:rsidP="001E2985">
      <w:pPr>
        <w:rPr>
          <w:noProof/>
        </w:rPr>
      </w:pPr>
      <w:r>
        <w:rPr>
          <w:noProof/>
        </w:rPr>
        <w:t>2023. aasta jaanuaris tehtud komisjoni uuringu</w:t>
      </w:r>
      <w:r>
        <w:rPr>
          <w:rStyle w:val="FootnoteReference"/>
          <w:noProof/>
        </w:rPr>
        <w:footnoteReference w:id="13"/>
      </w:r>
      <w:r>
        <w:rPr>
          <w:noProof/>
        </w:rPr>
        <w:t xml:space="preserve"> kohaselt leiab enamik Horvaatia elanikke (62 %), et euro kiirendab riigis inflatsiooni (sama vastuse andsid 57 % lätlastest ja 58 % leedulastest vahetult pärast euro kasutuselevõttu nende riigis). Veerand vastanutest (25 %) leidis, et euroalaga ühinemine aitaks Horvaatial säilitada hindade stabiilsust. See näitaja oli veidi kõrgem Leedus (26 %) ja madalam Lätis (19 %).</w:t>
      </w:r>
    </w:p>
    <w:p w14:paraId="223F5BA4" w14:textId="77777777" w:rsidR="00A67797" w:rsidRDefault="00867266" w:rsidP="00A67797">
      <w:pPr>
        <w:rPr>
          <w:noProof/>
        </w:rPr>
      </w:pPr>
      <w:r>
        <w:rPr>
          <w:noProof/>
        </w:rPr>
        <w:t>Euro kasutuselevõtu varasemad juhud on näidanud, et euro kasutuselevõtu ajal esineb kuritarvituslikku hinnatõusu kõige sagedamini kohalike ettevõtjate ja teenuseosutajate sektoris. Kuigi nende kaupade ja teenuste osakaal inflatsiooni mõõtmiseks kasutatavas standardses tarbijate ostukorvis ei ole suur, ostetakse või tarbitakse neid siiski tihti ja väga sageli eraldi, mis annab neile suure nähtavuse. Harvemini ostetavate kaupade hindade soodsamad muutused ei pruugi samal ajal olla tarbijate jaoks nii olulised. Selle tulemusena ületab tajutav inflatsioon sageli tegelikku inflatsiooni.</w:t>
      </w:r>
    </w:p>
    <w:p w14:paraId="73AB7140" w14:textId="20A02BDD" w:rsidR="001B2698" w:rsidRDefault="00A67797" w:rsidP="001D09A7">
      <w:pPr>
        <w:rPr>
          <w:noProof/>
        </w:rPr>
      </w:pPr>
      <w:r>
        <w:rPr>
          <w:noProof/>
        </w:rPr>
        <w:t>Kuna euro kasutuselevõtt Horvaatias toimus erakordselt kiire inflatsiooni tingimustes, ei ole lihtne eristada õiguspäraseid inflatsioonitegureid põhjendamatutest hinnatõusudest, mis kujutavad endast kuritarvitusi, mille puhul kauplejad kasutavad ebaausalt ära tarbijate puudulikke teadmisi. Kiire inflatsiooni perioodil võib esineda põhjendatud hinnatõus, näiteks hinnatõus, mis on seotud toorainehindade tõusuga või tarnijalepingute üle peetavate uute läbirääkimistega, mis tavaliselt toimuvad aasta lõpus.</w:t>
      </w:r>
    </w:p>
    <w:p w14:paraId="132499D1" w14:textId="5C534894" w:rsidR="002032E3" w:rsidRPr="00436E0A" w:rsidRDefault="002032E3" w:rsidP="002032E3">
      <w:pPr>
        <w:rPr>
          <w:noProof/>
        </w:rPr>
      </w:pPr>
      <w:r>
        <w:rPr>
          <w:rStyle w:val="ui-provider"/>
          <w:noProof/>
        </w:rPr>
        <w:t>Kättesaadavate tõendite esialgse hindamise põhjal näib, et põhjendamatu hinnatõusu mõju koguinflatsioonile oli suhteliselt väike ja üldiselt kooskõlas varasemate üleminekutega. Sarnasele järeldusele on jõudnud ka Falagiarda jt (2023)</w:t>
      </w:r>
      <w:r>
        <w:rPr>
          <w:rStyle w:val="FootnoteReference"/>
          <w:noProof/>
        </w:rPr>
        <w:footnoteReference w:id="14"/>
      </w:r>
      <w:r>
        <w:rPr>
          <w:rStyle w:val="ui-provider"/>
          <w:noProof/>
        </w:rPr>
        <w:t>. Suurimad igakuised hinnatõusud toimusid nendes kaupade ja teenuste alamkategooriates, mis olid ka varasemate üleminekute ajal kõige enam hinnatõusust mõjutatud</w:t>
      </w:r>
      <w:r>
        <w:rPr>
          <w:rStyle w:val="FootnoteReference"/>
          <w:noProof/>
        </w:rPr>
        <w:footnoteReference w:id="15"/>
      </w:r>
      <w:r>
        <w:rPr>
          <w:rStyle w:val="ui-provider"/>
          <w:noProof/>
        </w:rPr>
        <w:t>. Võttes aga arvesse kõige enam mõjutatud kategooriate suhteliselt väikest osakaalu ja seda, et teistes alamkategooriates oli mõju väiksem, oli teenuste hindade igakuine kogukasv 2023. aasta jaanuaris 1,2 %. Kokkuvõttes oli Horvaatias kuu THHI inflatsioon jaanuaris 0,3 % ja veebruaris taas 0,3 %. See viitab sellele, et põhjendamatu hinnatõusu mõju piirdus tõenäoliselt jaanuariga.</w:t>
      </w:r>
    </w:p>
    <w:p w14:paraId="7E2D9A40" w14:textId="02144B08" w:rsidR="002032E3" w:rsidRDefault="002032E3" w:rsidP="002032E3">
      <w:pPr>
        <w:rPr>
          <w:noProof/>
        </w:rPr>
      </w:pPr>
      <w:r>
        <w:rPr>
          <w:noProof/>
        </w:rPr>
        <w:t>Põhjendamatu hinnatõusu suhteliselt piiratud kogumõju inflatsioonile on osaliselt tingitud Horvaatia ametiasutuste kiirest poliitilisest reageerimisest. Kontrollide tulemusel korrigeeriti mõningaid ülepaisutatud hindu ja takistati seega edasist põhjendamatut hinnatõusu.</w:t>
      </w:r>
    </w:p>
    <w:p w14:paraId="36837359" w14:textId="5F8F2FA5" w:rsidR="001D09A7" w:rsidRDefault="001D09A7" w:rsidP="001D09A7">
      <w:pPr>
        <w:rPr>
          <w:noProof/>
        </w:rPr>
      </w:pPr>
      <w:r>
        <w:rPr>
          <w:noProof/>
        </w:rPr>
        <w:t>Nagu sai tavaks juba teistes liikmesriikides pärast euro kasutuselevõttu, hindab Eurostat hindade arengut Horvaatias pärast euro kasutuselevõttu. Eurostati aruanne avaldatakse eeldatavasti 2023. aasta teisel poolel.</w:t>
      </w:r>
    </w:p>
    <w:p w14:paraId="6BECFEF6" w14:textId="156215A3" w:rsidR="001D09A7" w:rsidRDefault="001D4F0F" w:rsidP="001D4F0F">
      <w:pPr>
        <w:pStyle w:val="ManualHeading1"/>
        <w:rPr>
          <w:noProof/>
        </w:rPr>
      </w:pPr>
      <w:r w:rsidRPr="001D4F0F">
        <w:t>5.</w:t>
      </w:r>
      <w:r w:rsidRPr="001D4F0F">
        <w:tab/>
      </w:r>
      <w:r w:rsidR="001D09A7">
        <w:rPr>
          <w:noProof/>
        </w:rPr>
        <w:t>Euroteemaline teavitustöö</w:t>
      </w:r>
    </w:p>
    <w:p w14:paraId="7DFE1734" w14:textId="1323C090" w:rsidR="006A6BEF" w:rsidRPr="00EA4122" w:rsidRDefault="006A6BEF" w:rsidP="006A6BEF">
      <w:pPr>
        <w:rPr>
          <w:noProof/>
        </w:rPr>
      </w:pPr>
      <w:bookmarkStart w:id="4" w:name="_Hlk129869665"/>
      <w:r>
        <w:rPr>
          <w:noProof/>
        </w:rPr>
        <w:t>Pärast nõukogu 12. juuli 2022. aasta otsust käivitasid Horvaatia ametiasutused oma ametliku teavituskampaania „Euro – meie raha“ intensiivse etapi. Kampaania oli kooskõlas riikliku teavitusstrateegiaga, mille üldeesmärk oli tagada, et Horvaatia elanikkonda teavitatakse selgelt, objektiivselt, täpselt, õigeaegselt ja nõuetekohaselt kunalt eurole ülemineku mõjust ja sellega seotud praktilistest muutustest.</w:t>
      </w:r>
    </w:p>
    <w:p w14:paraId="17CD1F34" w14:textId="5D9F02D7" w:rsidR="006A6BEF" w:rsidRPr="00EA4122" w:rsidRDefault="006A6BEF" w:rsidP="006A6BEF">
      <w:pPr>
        <w:rPr>
          <w:noProof/>
        </w:rPr>
      </w:pPr>
      <w:r>
        <w:rPr>
          <w:noProof/>
        </w:rPr>
        <w:t>Nii nagu varasemate üleminekute puhul, kaasrahastas komisjon Horvaatia rahandusministeeriumi ja Euroopa Komisjoni vahel sõlmitud partnerluslepingu ja sellele järgnenud toetuslepingu raames teavituskampaaniat (komisjon rahastas kuni 50 % abikõlblikest kuludest kuni kogukuludeni, mis vastavad 1 eurole elaniku kohta).</w:t>
      </w:r>
    </w:p>
    <w:p w14:paraId="3332C45D" w14:textId="47409166" w:rsidR="006A6BEF" w:rsidRPr="00EA4122" w:rsidRDefault="006A6BEF" w:rsidP="006A6BEF">
      <w:pPr>
        <w:rPr>
          <w:noProof/>
        </w:rPr>
      </w:pPr>
      <w:r>
        <w:rPr>
          <w:noProof/>
        </w:rPr>
        <w:t>Teavituskampaania eesmärk oli kodanikke üleminekust teavitada ning neid rahustada ja nendega suhelda. See oli suunatud erinevatele rühmadele, kusjuures erilist tähelepanu pöörati sellistele haavatavatele ja tundlikele rühmadele nagu vähemuskeelte kõnelejad, eakad, äärepoolsetes ja hõredalt asustatud piirkondades elavad kodanikud, samuti pimedad ja vaegnägijad.</w:t>
      </w:r>
    </w:p>
    <w:p w14:paraId="3DA3FFA6" w14:textId="46445A14" w:rsidR="006A6BEF" w:rsidRPr="00EA4122" w:rsidRDefault="006A6BEF" w:rsidP="006A6BEF">
      <w:pPr>
        <w:rPr>
          <w:noProof/>
        </w:rPr>
      </w:pPr>
      <w:r>
        <w:rPr>
          <w:noProof/>
        </w:rPr>
        <w:t>Kampaania hõlmas mitmesuguseid teavitusvahendeid ja -tegevusi, sealhulgas veebisaiti (euro.hr), tele- ja raadioklippe, reklaamtahvleid, tasuta telefoninumbrit, reklaammaterjale, koostöös Horvaatia postiametiga kodumajapidamistele jagatud brošüüri (1,45 miljonit eksemplari), lastele mõeldud õppematerjale, europäevade üritusi eri linnades ja rändnäitust „Euro ratastel“, mis peatus 27 linnas üle kogu riigi.</w:t>
      </w:r>
    </w:p>
    <w:p w14:paraId="5793514E" w14:textId="77777777" w:rsidR="006A6BEF" w:rsidRPr="00EA4122" w:rsidRDefault="006A6BEF" w:rsidP="006A6BEF">
      <w:pPr>
        <w:rPr>
          <w:noProof/>
        </w:rPr>
      </w:pPr>
      <w:r>
        <w:rPr>
          <w:noProof/>
        </w:rPr>
        <w:t>Enamik tegevusi viidi läbi koostöös väliste töövõtjatega, sest korraldatud kuus riigihankemenetlust võimaldasid ametiasutustel kasutada spetsialiseerunud ettevõtete teenuseid. Horvaatia ametiasutused pidasid koostööd töövõtjatega rahuldavaks, kuigi positiivse lähenemisaruande ja ülemineku vahele jäänud piiratud aeg tekitas probleeme.</w:t>
      </w:r>
    </w:p>
    <w:p w14:paraId="49A2FA8C" w14:textId="77777777" w:rsidR="006A6BEF" w:rsidRPr="00EA4122" w:rsidRDefault="00436E0A" w:rsidP="006A6BEF">
      <w:pPr>
        <w:rPr>
          <w:noProof/>
        </w:rPr>
      </w:pPr>
      <w:r>
        <w:rPr>
          <w:noProof/>
        </w:rPr>
        <w:t>Võttes arvesse üldsuse muret seoses ülemineku võimaliku mõjuga hindadele, tehti hoolikalt meediaseiret ja Horvaatia ametiasutused viisid ülemineku ajal läbi kontrolle, et jälgida kuritarvituslikku hinnakujundust ja sellega tegeleda. Selline valitsuse tegevus koos tegelike inflatsiooniandmete avaldamisega üleminekuperioodi kohta 1. veebruaril leevendas osaliselt muret, otsustades vähemalt selle järgi, et euro kasutuselevõtuga seotud hinnatõusu juhtumeid käsitlevaid ajaleheartikleid oli vähem.</w:t>
      </w:r>
    </w:p>
    <w:p w14:paraId="0C72A534" w14:textId="383CEA97" w:rsidR="00FA13FE" w:rsidRDefault="006A6BEF" w:rsidP="006A6BEF">
      <w:pPr>
        <w:rPr>
          <w:noProof/>
        </w:rPr>
      </w:pPr>
      <w:r>
        <w:rPr>
          <w:noProof/>
        </w:rPr>
        <w:t xml:space="preserve">Teavituskampaania edendas euro sujuvat kasutuselevõttu, mida kinnitas ka Eurobaromeetri uuring, mille kohaselt oli 88 % kodanikest euro kasutuselevõtust hästi teavitatud, </w:t>
      </w:r>
      <w:r>
        <w:rPr>
          <w:noProof/>
          <w:color w:val="000000"/>
        </w:rPr>
        <w:t xml:space="preserve">61 % pidas protsessi sujuvaks ja tõhusaks </w:t>
      </w:r>
      <w:r>
        <w:rPr>
          <w:noProof/>
        </w:rPr>
        <w:t>ning 81 % ütles, et neil ei esinenud esimesel nädalal kuna sularaha eurodeks vahetamisega või pangast sularaha väljavõtmisega probleeme</w:t>
      </w:r>
      <w:r>
        <w:rPr>
          <w:rStyle w:val="FootnoteReference"/>
          <w:noProof/>
        </w:rPr>
        <w:footnoteReference w:id="16"/>
      </w:r>
      <w:r>
        <w:rPr>
          <w:noProof/>
        </w:rPr>
        <w:t>. Lisaks teatasid Horvaatia ametiasutused, et 2023. aasta veebruaris korraldatud riiklike avaliku arvamuse küsitluste kolmanda laine kohaselt toetab euro kasutuselevõttu ligikaudu 64 % vastanutest, kuid 30 % on euro kasutuselevõtu vastu. 91 % leidis, et neid on euro kasutuselevõtust hästi teavitatud, ning 87 % nimetas oma peamise teabeallikana televisiooni, 36 % raadiot ja 38 % sotsiaalvõrgustikke.</w:t>
      </w:r>
    </w:p>
    <w:p w14:paraId="2538754A" w14:textId="77777777" w:rsidR="006A6BEF" w:rsidRPr="00EA4122" w:rsidRDefault="00FA13FE" w:rsidP="006A6BEF">
      <w:pPr>
        <w:rPr>
          <w:noProof/>
        </w:rPr>
      </w:pPr>
      <w:r>
        <w:rPr>
          <w:noProof/>
        </w:rPr>
        <w:t>Lisaks Horvaatia riikliku teavituskampaania toetamisele nõuannete ja rahaliste vahenditega rakendas komisjon ülemineku eel ja selle ajal ka oma teavitusmeetmeid, nagu ta oli teinud ka varasemate üleminekute puhul.</w:t>
      </w:r>
    </w:p>
    <w:p w14:paraId="01F8509C" w14:textId="26E0B3E5" w:rsidR="000863EE" w:rsidRPr="0074528C" w:rsidRDefault="001D4F0F" w:rsidP="001D4F0F">
      <w:pPr>
        <w:pStyle w:val="ManualHeading1"/>
        <w:rPr>
          <w:noProof/>
        </w:rPr>
      </w:pPr>
      <w:bookmarkStart w:id="5" w:name="_Hlk129869794"/>
      <w:bookmarkEnd w:id="4"/>
      <w:r w:rsidRPr="001D4F0F">
        <w:t>6.</w:t>
      </w:r>
      <w:r w:rsidRPr="001D4F0F">
        <w:tab/>
      </w:r>
      <w:r w:rsidR="00CE1728">
        <w:rPr>
          <w:noProof/>
        </w:rPr>
        <w:t>Järeldused euro kasutuselevõtu kohta Horvaatias ja soovitused tulevasteks euro kasutuselevõttudeks</w:t>
      </w:r>
    </w:p>
    <w:bookmarkEnd w:id="5"/>
    <w:p w14:paraId="2E39110B" w14:textId="77777777" w:rsidR="00CE1728" w:rsidRDefault="00CE1728" w:rsidP="00CE1728">
      <w:pPr>
        <w:rPr>
          <w:noProof/>
        </w:rPr>
      </w:pPr>
      <w:r>
        <w:rPr>
          <w:noProof/>
        </w:rPr>
        <w:t>Sularahavahetus oli Horvaatias hästi ette valmistatud ja korraldatud. Enne üleminekut varustati finantsasutused, ettevõtjad ja kodanikud piisavalt euro sularahaga.</w:t>
      </w:r>
    </w:p>
    <w:p w14:paraId="5E4F9875" w14:textId="77777777" w:rsidR="00870E69" w:rsidRDefault="00870E69" w:rsidP="00870E69">
      <w:pPr>
        <w:numPr>
          <w:ilvl w:val="0"/>
          <w:numId w:val="45"/>
        </w:numPr>
        <w:rPr>
          <w:noProof/>
        </w:rPr>
      </w:pPr>
      <w:r>
        <w:rPr>
          <w:noProof/>
        </w:rPr>
        <w:t>Tulevaste üleminekute korral tuleks riigi rahapaja vermitavaid euromünte võimalikult varakult testida müügiautomaatides kogu euroalal, et tagada nende sobivus kohe ringlusse laskmisel ning vältida võimalikke viivitusi müntide vermimisel ja eeljaotusel.</w:t>
      </w:r>
    </w:p>
    <w:p w14:paraId="2E989998" w14:textId="77777777" w:rsidR="00CE1728" w:rsidRDefault="00CE1728" w:rsidP="00CE1728">
      <w:pPr>
        <w:rPr>
          <w:bCs/>
          <w:noProof/>
        </w:rPr>
      </w:pPr>
      <w:r>
        <w:rPr>
          <w:noProof/>
        </w:rPr>
        <w:t>Sularahavahetus kulges Horvaatias sujuvalt. Sularahaautomaadid ja müügikohad viidi õigel ajal eurole üle. Finantsasutused, FINA ja postkontorid tulid paralleelkäibe perioodil täiendava töökoormusega hästi toime. Jaemüüjad sai üleminekuprotsessi probleemidega ja kahe vääringu samaaegse käitlemisega hästi hakkama. Nad olid euro sularahaga hästi varustatud ja komisjoni uuringu kohaselt sai juba 2023. aasta 2. jaanuaril 81 % küsitletud kodanikest vahetusraha ainult eurodes</w:t>
      </w:r>
      <w:r>
        <w:rPr>
          <w:bCs/>
          <w:noProof/>
          <w:vertAlign w:val="superscript"/>
          <w:lang w:val="en-US"/>
        </w:rPr>
        <w:footnoteReference w:id="17"/>
      </w:r>
      <w:r>
        <w:rPr>
          <w:noProof/>
        </w:rPr>
        <w:t>.</w:t>
      </w:r>
    </w:p>
    <w:p w14:paraId="2F4934EF" w14:textId="77777777" w:rsidR="0073602B" w:rsidRDefault="00A157B6" w:rsidP="0073602B">
      <w:pPr>
        <w:rPr>
          <w:noProof/>
        </w:rPr>
      </w:pPr>
      <w:r>
        <w:rPr>
          <w:noProof/>
        </w:rPr>
        <w:t>Horvaatia ülemineku tingimused olid viimaste üleminekutega võrreldes eriti keerulised, sest see toimus kiire inflatsiooni tingimustes. Horvaatia alustas hindade esitamist kahes vääringus 2022. aasta septembris ja võttis kooskõlas komisjoni soovitustega</w:t>
      </w:r>
      <w:r>
        <w:rPr>
          <w:noProof/>
          <w:vertAlign w:val="superscript"/>
          <w:lang w:val="en-US"/>
        </w:rPr>
        <w:footnoteReference w:id="18"/>
      </w:r>
      <w:r>
        <w:rPr>
          <w:noProof/>
        </w:rPr>
        <w:t xml:space="preserve"> kasutusele eetikakoodeksi, millega iga jaemüüja, ettevõtja või teenuseosutaja võis ühineda.</w:t>
      </w:r>
    </w:p>
    <w:p w14:paraId="26809110" w14:textId="77777777" w:rsidR="009C65E1" w:rsidRDefault="0073602B" w:rsidP="00CE1728">
      <w:pPr>
        <w:rPr>
          <w:bCs/>
          <w:noProof/>
        </w:rPr>
      </w:pPr>
      <w:r>
        <w:rPr>
          <w:noProof/>
        </w:rPr>
        <w:t>Horvaatia ametiasutused peaksid jätkama tõhusate hinnakontrollide tegemist, et tagada hindade nõuetekohane esitamine, piirata põhjendamatut hinnatõusu ning vajaduse korral tagada euro kasutuselevõttu käsitlevast seadusest, tarbijakaitseseadusest ja ettevõtjate eetikakoodeksist tulenevate kohustuste täitmine.</w:t>
      </w:r>
    </w:p>
    <w:p w14:paraId="2D49DD4B" w14:textId="27685C29" w:rsidR="009C65E1" w:rsidRPr="008828C7" w:rsidRDefault="009C65E1" w:rsidP="009C65E1">
      <w:pPr>
        <w:numPr>
          <w:ilvl w:val="0"/>
          <w:numId w:val="45"/>
        </w:numPr>
        <w:rPr>
          <w:noProof/>
        </w:rPr>
      </w:pPr>
      <w:r>
        <w:rPr>
          <w:noProof/>
        </w:rPr>
        <w:t>Tulevaste üleminekute käigus tuleks kõige suuremas ohus olevates sektorites teha eriti tõhusat hinnaseiret, et põhjendamatud hinnatõusud kiiresti kindlaks teha. See võimaldaks kontrolle ja poliitikat paremini õigusrikkujatele suunata ning vähendada samal ajal üksikutel vahejuhtumitel rajanevate tõendite tähtsust ja hajutada üldsuse põhjendamatuid muresid.</w:t>
      </w:r>
    </w:p>
    <w:p w14:paraId="7DCCDB68" w14:textId="77777777" w:rsidR="009C65E1" w:rsidRDefault="009C65E1" w:rsidP="009C65E1">
      <w:pPr>
        <w:numPr>
          <w:ilvl w:val="0"/>
          <w:numId w:val="45"/>
        </w:numPr>
        <w:rPr>
          <w:noProof/>
        </w:rPr>
      </w:pPr>
      <w:r>
        <w:rPr>
          <w:noProof/>
        </w:rPr>
        <w:t>Tulevaste üleminekute puhul tuleks tähelepanu pöörata ettevõtjate eetikakoodeksi või muu sarnase dokumendi võimalikult varajasele kasutuselevõtule, et jõuda võimalikult paljude ettevõtjateni. Väikesi ja mikroettevõtjaid ning teenuseosutajaid tuleks aktiivselt julgustada sellise kavaga ühinema, sest kogemuste põhjal on need ettevõtjad kõige tõrksamad ühinema. Riigi ametiasutused peaksid suurendama üleminekuperioodil ja eelkõige aasta lõpus hinnainspektorite arvu.</w:t>
      </w:r>
    </w:p>
    <w:p w14:paraId="370A194C" w14:textId="7CEBA3D1" w:rsidR="009C65E1" w:rsidRDefault="008828C7" w:rsidP="009C65E1">
      <w:pPr>
        <w:rPr>
          <w:noProof/>
        </w:rPr>
      </w:pPr>
      <w:r>
        <w:rPr>
          <w:noProof/>
        </w:rPr>
        <w:t>Kuna hindade esitamine kahes vääringus põhjustab kulusid ja kodanikud harjuvad ühisrahaga suhteliselt kiiresti, võiks kahe hinna esitamise kohustuslikku perioodi lühendada ühe aastani, selle asemel et lasta sel kesta üleminekuaasta 31. detsembrini.</w:t>
      </w:r>
    </w:p>
    <w:p w14:paraId="19793D79" w14:textId="60E0DE29" w:rsidR="008828C7" w:rsidRPr="00870E69" w:rsidRDefault="00B2027B" w:rsidP="009C65E1">
      <w:pPr>
        <w:numPr>
          <w:ilvl w:val="0"/>
          <w:numId w:val="45"/>
        </w:numPr>
        <w:rPr>
          <w:noProof/>
        </w:rPr>
      </w:pPr>
      <w:r>
        <w:rPr>
          <w:noProof/>
        </w:rPr>
        <w:t>Eriti juhul, kui seatakse sisse õiglane euro kasutuselevõtu süsteem, nagu eetikakoodeks, mis jõuab võimalikult paljude ettevõtjateni ja toimib tõhusalt, algaks kahe hinna esitamine kohe, kui ümberarvestuskurss on teada, ja see võiks lõppeda ühe aasta pärast.</w:t>
      </w:r>
    </w:p>
    <w:p w14:paraId="5B37FBA9" w14:textId="77777777" w:rsidR="00CE1728" w:rsidRDefault="00CE1728" w:rsidP="00CE1728">
      <w:pPr>
        <w:rPr>
          <w:noProof/>
        </w:rPr>
      </w:pPr>
      <w:bookmarkStart w:id="6" w:name="_Hlk129869714"/>
      <w:r>
        <w:rPr>
          <w:noProof/>
        </w:rPr>
        <w:t>Euro sujuvale kasutuselevõtule aitas Horvaatias kaasa teavitamise ja üldsuse teadlikkuse suurendamise kampaania. 88 % kodanikest leidis, et neid on euro kasutuselevõtust hästi teavitatud, 61 % pidas protsessi sujuvaks ja tõhusaks ning 81 % ütles, et neil ei olnud esimesel nädalal kuna sularaha eurodeks vahetamisega või pangast sularaha väljavõtmisega probleeme.</w:t>
      </w:r>
      <w:bookmarkEnd w:id="6"/>
    </w:p>
    <w:p w14:paraId="0DBE5EC9" w14:textId="52DF6F6C" w:rsidR="00340BFB" w:rsidRDefault="00340BFB" w:rsidP="00340BFB">
      <w:pPr>
        <w:numPr>
          <w:ilvl w:val="0"/>
          <w:numId w:val="45"/>
        </w:numPr>
        <w:rPr>
          <w:noProof/>
        </w:rPr>
      </w:pPr>
      <w:r>
        <w:rPr>
          <w:noProof/>
        </w:rPr>
        <w:t>Võttes arvesse suhteliselt lühikest aega positiivse lähenemisaruande ja üleminekukuupäeva vahel, peaksid liikmesriigid, kes on eurole üle minemas, tuginema Horvaatia kogemustele ja jagama teavitusvajaduste täitmise hankelepingu osadeks, et tulla parimal viisil toime võimalike viivitustega ja olla valmis erandolukordadeks.</w:t>
      </w:r>
    </w:p>
    <w:sectPr w:rsidR="00340BFB" w:rsidSect="003E17C3">
      <w:headerReference w:type="even" r:id="rId18"/>
      <w:headerReference w:type="default" r:id="rId19"/>
      <w:footerReference w:type="even" r:id="rId20"/>
      <w:footerReference w:type="default" r:id="rId21"/>
      <w:headerReference w:type="first" r:id="rId22"/>
      <w:footerReference w:type="first" r:id="rId23"/>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B6AE1" w14:textId="77777777" w:rsidR="00DF2568" w:rsidRDefault="00DF2568" w:rsidP="00D0493A">
      <w:pPr>
        <w:spacing w:before="0" w:after="0"/>
      </w:pPr>
      <w:r>
        <w:separator/>
      </w:r>
    </w:p>
  </w:endnote>
  <w:endnote w:type="continuationSeparator" w:id="0">
    <w:p w14:paraId="71575FEB" w14:textId="77777777" w:rsidR="00DF2568" w:rsidRDefault="00DF2568" w:rsidP="00D0493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libri"/>
    <w:charset w:val="EE"/>
    <w:family w:val="swiss"/>
    <w:pitch w:val="default"/>
    <w:sig w:usb0="00000005" w:usb1="00000000" w:usb2="00000000" w:usb3="00000000" w:csb0="00000002"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953B3" w14:textId="37D9F5D4" w:rsidR="000C68CC" w:rsidRPr="00070B2E" w:rsidRDefault="000C68CC" w:rsidP="00070B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B3BC4" w14:textId="69631D40" w:rsidR="000C68CC" w:rsidRPr="00070B2E" w:rsidRDefault="00070B2E" w:rsidP="00070B2E">
    <w:pPr>
      <w:pStyle w:val="FooterCoverPage"/>
      <w:rPr>
        <w:rFonts w:ascii="Arial" w:hAnsi="Arial" w:cs="Arial"/>
        <w:b/>
        <w:sz w:val="48"/>
      </w:rPr>
    </w:pPr>
    <w:r w:rsidRPr="00070B2E">
      <w:rPr>
        <w:rFonts w:ascii="Arial" w:hAnsi="Arial" w:cs="Arial"/>
        <w:b/>
        <w:sz w:val="48"/>
      </w:rPr>
      <w:t>ET</w:t>
    </w:r>
    <w:r w:rsidRPr="00070B2E">
      <w:rPr>
        <w:rFonts w:ascii="Arial" w:hAnsi="Arial" w:cs="Arial"/>
        <w:b/>
        <w:sz w:val="48"/>
      </w:rPr>
      <w:tab/>
    </w:r>
    <w:r w:rsidRPr="00070B2E">
      <w:rPr>
        <w:rFonts w:ascii="Arial" w:hAnsi="Arial" w:cs="Arial"/>
        <w:b/>
        <w:sz w:val="48"/>
      </w:rPr>
      <w:tab/>
    </w:r>
    <w:r w:rsidRPr="00070B2E">
      <w:tab/>
    </w:r>
    <w:r w:rsidRPr="00070B2E">
      <w:rPr>
        <w:rFonts w:ascii="Arial" w:hAnsi="Arial" w:cs="Arial"/>
        <w:b/>
        <w:sz w:val="48"/>
      </w:rPr>
      <w:t>ET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E8B06" w14:textId="77777777" w:rsidR="00070B2E" w:rsidRPr="00070B2E" w:rsidRDefault="00070B2E" w:rsidP="00070B2E">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1F49E" w14:textId="77777777" w:rsidR="001E0B0E" w:rsidRDefault="001E0B0E">
    <w:pPr>
      <w:pStyle w:val="Footer"/>
    </w:pPr>
  </w:p>
  <w:p w14:paraId="4311FCB5" w14:textId="77777777" w:rsidR="001E0B0E" w:rsidRDefault="001E0B0E"/>
  <w:p w14:paraId="24188526" w14:textId="77777777" w:rsidR="001E0B0E" w:rsidRDefault="001E0B0E"/>
  <w:p w14:paraId="5BB8B621" w14:textId="77777777" w:rsidR="001E0B0E" w:rsidRDefault="001E0B0E"/>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9FFA0" w14:textId="58DFDDC5" w:rsidR="001E0B0E" w:rsidRPr="003E17C3" w:rsidRDefault="001E0B0E" w:rsidP="003E17C3">
    <w:pPr>
      <w:pStyle w:val="Footer"/>
      <w:rPr>
        <w:rFonts w:ascii="Arial" w:hAnsi="Arial" w:cs="Arial"/>
        <w:b/>
        <w:sz w:val="48"/>
      </w:rPr>
    </w:pPr>
    <w:r>
      <w:tab/>
    </w:r>
    <w:r>
      <w:fldChar w:fldCharType="begin"/>
    </w:r>
    <w:r>
      <w:instrText xml:space="preserve"> PAGE  \* MERGEFORMAT </w:instrText>
    </w:r>
    <w:r>
      <w:fldChar w:fldCharType="separate"/>
    </w:r>
    <w:r w:rsidR="00070B2E">
      <w:rPr>
        <w:noProof/>
      </w:rPr>
      <w:t>2</w:t>
    </w:r>
    <w:r>
      <w:fldChar w:fldCharType="end"/>
    </w:r>
    <w: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5D4F8" w14:textId="77777777" w:rsidR="001E0B0E" w:rsidRPr="00E30D17" w:rsidRDefault="001E0B0E" w:rsidP="00D56E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6158E" w14:textId="77777777" w:rsidR="00DF2568" w:rsidRDefault="00DF2568" w:rsidP="00D0493A">
      <w:pPr>
        <w:spacing w:before="0" w:after="0"/>
      </w:pPr>
      <w:r>
        <w:separator/>
      </w:r>
    </w:p>
  </w:footnote>
  <w:footnote w:type="continuationSeparator" w:id="0">
    <w:p w14:paraId="426EBA28" w14:textId="77777777" w:rsidR="00DF2568" w:rsidRDefault="00DF2568" w:rsidP="00D0493A">
      <w:pPr>
        <w:spacing w:before="0" w:after="0"/>
      </w:pPr>
      <w:r>
        <w:continuationSeparator/>
      </w:r>
    </w:p>
  </w:footnote>
  <w:footnote w:id="1">
    <w:p w14:paraId="6EEA7CF4" w14:textId="77777777" w:rsidR="001D09A7" w:rsidRPr="006955CE" w:rsidRDefault="001D09A7" w:rsidP="001D09A7">
      <w:pPr>
        <w:pStyle w:val="FootnoteText"/>
        <w:ind w:left="709" w:hanging="709"/>
        <w:rPr>
          <w:spacing w:val="5"/>
        </w:rPr>
      </w:pPr>
      <w:r>
        <w:rPr>
          <w:rStyle w:val="FootnoteReference"/>
        </w:rPr>
        <w:footnoteRef/>
      </w:r>
      <w:r>
        <w:t xml:space="preserve"> </w:t>
      </w:r>
      <w:r>
        <w:tab/>
      </w:r>
      <w:r>
        <w:tab/>
        <w:t>Nõukogu 12. juuli 2022. aasta otsus (EL) 2022/1211, mis käsitleb euro kasutuselevõttu Horvaatias 1. jaanuaril 2023 (ELT L 187, 14.7.2022, lk 31–34).</w:t>
      </w:r>
    </w:p>
  </w:footnote>
  <w:footnote w:id="2">
    <w:p w14:paraId="34C8943A" w14:textId="77777777" w:rsidR="001D09A7" w:rsidRPr="006955CE" w:rsidRDefault="001D09A7" w:rsidP="00BC7AB7">
      <w:pPr>
        <w:tabs>
          <w:tab w:val="left" w:pos="820"/>
        </w:tabs>
        <w:spacing w:before="0" w:after="0" w:line="220" w:lineRule="exact"/>
        <w:ind w:left="709" w:right="79" w:hanging="709"/>
        <w:rPr>
          <w:sz w:val="20"/>
          <w:szCs w:val="20"/>
        </w:rPr>
      </w:pPr>
      <w:r>
        <w:rPr>
          <w:rStyle w:val="FootnoteReference"/>
          <w:sz w:val="20"/>
          <w:szCs w:val="20"/>
        </w:rPr>
        <w:footnoteRef/>
      </w:r>
      <w:r>
        <w:rPr>
          <w:sz w:val="20"/>
        </w:rPr>
        <w:t xml:space="preserve"> </w:t>
      </w:r>
      <w:r>
        <w:tab/>
      </w:r>
      <w:r>
        <w:rPr>
          <w:sz w:val="20"/>
        </w:rPr>
        <w:t>Esimese lainega euro kasutusele võtnud liikmesriigid rakendasid nn Madridi stsenaariumi, mille kohaselt kestis üleminekuperiood kolm aastat (Kreekas üks aasta).</w:t>
      </w:r>
    </w:p>
  </w:footnote>
  <w:footnote w:id="3">
    <w:p w14:paraId="16A9990B" w14:textId="6384F41D" w:rsidR="001D09A7" w:rsidRPr="00E43BE9" w:rsidRDefault="001D09A7" w:rsidP="00BC7AB7">
      <w:pPr>
        <w:pStyle w:val="FootnoteText"/>
        <w:ind w:left="709" w:hanging="709"/>
      </w:pPr>
      <w:r>
        <w:rPr>
          <w:rStyle w:val="FootnoteReference"/>
        </w:rPr>
        <w:footnoteRef/>
      </w:r>
      <w:r>
        <w:t xml:space="preserve"> </w:t>
      </w:r>
      <w:r>
        <w:tab/>
      </w:r>
      <w:r>
        <w:tab/>
        <w:t>Leedus, Lätis, Eestis, Slovakkias ja Sloveenias rakendati samuti kahenädalast paralleelkäibe perioodi, kuid Maltal ja Küprosel oli see ühe kuu pikkune.</w:t>
      </w:r>
    </w:p>
  </w:footnote>
  <w:footnote w:id="4">
    <w:p w14:paraId="03610481" w14:textId="77777777" w:rsidR="00B64C99" w:rsidRPr="00E43BE9" w:rsidRDefault="00B64C99" w:rsidP="00B64C99">
      <w:pPr>
        <w:pStyle w:val="FootnoteText"/>
        <w:ind w:left="709" w:hanging="709"/>
      </w:pPr>
      <w:r>
        <w:rPr>
          <w:rStyle w:val="FootnoteReference"/>
        </w:rPr>
        <w:footnoteRef/>
      </w:r>
      <w:r>
        <w:t xml:space="preserve"> </w:t>
      </w:r>
      <w:r>
        <w:tab/>
      </w:r>
      <w:r>
        <w:tab/>
        <w:t>Eurobaromeetri kiiruuring nr 518, 16.–19. jaanuaril 2023 tehtud kohapealne uuring, kättesaadav aadressil</w:t>
      </w:r>
      <w:hyperlink r:id="rId1" w:history="1">
        <w:r>
          <w:rPr>
            <w:rStyle w:val="Hyperlink"/>
          </w:rPr>
          <w:t xml:space="preserve"> http://ec.europa.eu/economy_finance/articles/pdf/fl412_report_final_en.pdf</w:t>
        </w:r>
      </w:hyperlink>
      <w:r>
        <w:t>.</w:t>
      </w:r>
    </w:p>
  </w:footnote>
  <w:footnote w:id="5">
    <w:p w14:paraId="3BF6839C" w14:textId="77777777" w:rsidR="00FB73B0" w:rsidRDefault="00FB73B0" w:rsidP="00FB73B0">
      <w:pPr>
        <w:pStyle w:val="FootnoteText"/>
      </w:pPr>
      <w:r>
        <w:rPr>
          <w:rStyle w:val="FootnoteReference"/>
        </w:rPr>
        <w:footnoteRef/>
      </w:r>
      <w:r>
        <w:t xml:space="preserve"> </w:t>
      </w:r>
      <w:r>
        <w:tab/>
        <w:t xml:space="preserve">Eurobaromeetri kiiruuring nr 516, mis viidi Horvaatias läbi 29.–30. detsembril 2022, lk 3, </w:t>
      </w:r>
      <w:hyperlink r:id="rId2" w:history="1">
        <w:r>
          <w:rPr>
            <w:rStyle w:val="Hyperlink"/>
          </w:rPr>
          <w:t>https://economy-finance.ec.europa.eu/euro/eu-countries-and-euro/croatia-and-euro_et</w:t>
        </w:r>
      </w:hyperlink>
      <w:r>
        <w:t>.</w:t>
      </w:r>
    </w:p>
    <w:p w14:paraId="7B23BABB" w14:textId="77777777" w:rsidR="00DB04AE" w:rsidRDefault="00DB04AE" w:rsidP="00FB73B0">
      <w:pPr>
        <w:pStyle w:val="FootnoteText"/>
      </w:pPr>
    </w:p>
  </w:footnote>
  <w:footnote w:id="6">
    <w:p w14:paraId="24BF8794" w14:textId="77777777" w:rsidR="001D09A7" w:rsidRPr="006955CE" w:rsidRDefault="001D09A7" w:rsidP="001D09A7">
      <w:pPr>
        <w:pStyle w:val="FootnoteText"/>
      </w:pPr>
      <w:r>
        <w:rPr>
          <w:rStyle w:val="FootnoteReference"/>
        </w:rPr>
        <w:footnoteRef/>
      </w:r>
      <w:r>
        <w:t xml:space="preserve"> </w:t>
      </w:r>
      <w:r>
        <w:tab/>
        <w:t>Eurobaromeetri kiiruuring nr 518, vt joonealune märkus 4.</w:t>
      </w:r>
    </w:p>
  </w:footnote>
  <w:footnote w:id="7">
    <w:p w14:paraId="62C1051E" w14:textId="77777777" w:rsidR="001D09A7" w:rsidRPr="006955CE" w:rsidRDefault="001D09A7" w:rsidP="001D09A7">
      <w:pPr>
        <w:pStyle w:val="FootnoteText"/>
      </w:pPr>
      <w:r>
        <w:rPr>
          <w:rStyle w:val="FootnoteReference"/>
        </w:rPr>
        <w:footnoteRef/>
      </w:r>
      <w:r>
        <w:t xml:space="preserve"> </w:t>
      </w:r>
      <w:r>
        <w:tab/>
        <w:t>Eestis oli vastav näitaja 95 %, Slovakkias 90 %, Küprosel 88 %, Maltal 85 % ja Sloveenias 96 %.</w:t>
      </w:r>
    </w:p>
  </w:footnote>
  <w:footnote w:id="8">
    <w:p w14:paraId="21EE2D43" w14:textId="77777777" w:rsidR="0031251C" w:rsidRDefault="0031251C" w:rsidP="0031251C">
      <w:pPr>
        <w:pStyle w:val="FootnoteText"/>
      </w:pPr>
      <w:r>
        <w:rPr>
          <w:rStyle w:val="FootnoteReference"/>
        </w:rPr>
        <w:footnoteRef/>
      </w:r>
      <w:r>
        <w:t xml:space="preserve"> </w:t>
      </w:r>
      <w:r>
        <w:tab/>
        <w:t xml:space="preserve">Eurobaromeetri kiiruuring nr 517, 2.–14. jaanuaril 2023 tehtud kohapealne uuring, kättesaadav aadressil </w:t>
      </w:r>
      <w:hyperlink r:id="rId3" w:history="1">
        <w:r>
          <w:rPr>
            <w:rStyle w:val="Hyperlink"/>
          </w:rPr>
          <w:t>https://economy-finance.ec.europa.eu/euro/eu-countries-and-euro/croatia-and-euro_et</w:t>
        </w:r>
      </w:hyperlink>
      <w:r>
        <w:t xml:space="preserve">. </w:t>
      </w:r>
    </w:p>
  </w:footnote>
  <w:footnote w:id="9">
    <w:p w14:paraId="494B2341" w14:textId="77777777" w:rsidR="00DD7304" w:rsidRPr="00DD7304" w:rsidRDefault="00DD7304">
      <w:pPr>
        <w:pStyle w:val="FootnoteText"/>
      </w:pPr>
      <w:r>
        <w:rPr>
          <w:rStyle w:val="FootnoteReference"/>
        </w:rPr>
        <w:footnoteRef/>
      </w:r>
      <w:r>
        <w:t xml:space="preserve"> </w:t>
      </w:r>
      <w:r>
        <w:tab/>
        <w:t>Eurobaromeetri kiiruuring nr 517, lk 20.</w:t>
      </w:r>
    </w:p>
  </w:footnote>
  <w:footnote w:id="10">
    <w:p w14:paraId="62944C21" w14:textId="77777777" w:rsidR="001D09A7" w:rsidRPr="006955CE" w:rsidRDefault="001D09A7" w:rsidP="001D09A7">
      <w:pPr>
        <w:pStyle w:val="FootnoteText"/>
      </w:pPr>
      <w:r>
        <w:rPr>
          <w:rStyle w:val="FootnoteReference"/>
        </w:rPr>
        <w:footnoteRef/>
      </w:r>
      <w:r>
        <w:t xml:space="preserve"> </w:t>
      </w:r>
      <w:r>
        <w:tab/>
        <w:t>Eurobaromeetri kiiruuring nr 518, vt joonealune märkus 4.</w:t>
      </w:r>
    </w:p>
  </w:footnote>
  <w:footnote w:id="11">
    <w:p w14:paraId="6E396DD2" w14:textId="77777777" w:rsidR="001D09A7" w:rsidRPr="00393B44" w:rsidRDefault="001D09A7" w:rsidP="001D09A7">
      <w:pPr>
        <w:pStyle w:val="FootnoteText"/>
        <w:rPr>
          <w:highlight w:val="green"/>
        </w:rPr>
      </w:pPr>
      <w:r>
        <w:rPr>
          <w:rStyle w:val="FootnoteReference"/>
        </w:rPr>
        <w:footnoteRef/>
      </w:r>
      <w:r>
        <w:t xml:space="preserve"> </w:t>
      </w:r>
      <w:r>
        <w:tab/>
        <w:t>Eurobaromeetri kiiruuring nr 518, vt joonealune märkus 4.</w:t>
      </w:r>
    </w:p>
  </w:footnote>
  <w:footnote w:id="12">
    <w:p w14:paraId="2C36F758" w14:textId="77777777" w:rsidR="001D09A7" w:rsidRPr="006955CE" w:rsidRDefault="001D09A7" w:rsidP="001D09A7">
      <w:pPr>
        <w:pStyle w:val="FootnoteText"/>
      </w:pPr>
      <w:r>
        <w:rPr>
          <w:rStyle w:val="FootnoteReference"/>
        </w:rPr>
        <w:footnoteRef/>
      </w:r>
      <w:r>
        <w:t xml:space="preserve"> </w:t>
      </w:r>
      <w:r>
        <w:tab/>
        <w:t>Eurobaromeetri kiiruuring nr 518, vt joonealune märkus 4.</w:t>
      </w:r>
    </w:p>
  </w:footnote>
  <w:footnote w:id="13">
    <w:p w14:paraId="53BBADBB" w14:textId="77777777" w:rsidR="001E2985" w:rsidRDefault="001E2985" w:rsidP="001E2985">
      <w:pPr>
        <w:pStyle w:val="FootnoteText"/>
      </w:pPr>
      <w:r>
        <w:rPr>
          <w:rStyle w:val="FootnoteReference"/>
        </w:rPr>
        <w:footnoteRef/>
      </w:r>
      <w:r>
        <w:t xml:space="preserve"> </w:t>
      </w:r>
      <w:r>
        <w:tab/>
        <w:t>Eurobaromeetri kiiruuring nr 518, vt joonealune märkus 4.</w:t>
      </w:r>
    </w:p>
  </w:footnote>
  <w:footnote w:id="14">
    <w:p w14:paraId="62FECCB4" w14:textId="4B1CEAC8" w:rsidR="00E3583F" w:rsidRPr="009E427B" w:rsidRDefault="00E3583F" w:rsidP="00E3583F">
      <w:pPr>
        <w:pStyle w:val="FootnoteText"/>
      </w:pPr>
      <w:r>
        <w:rPr>
          <w:rStyle w:val="FootnoteReference"/>
        </w:rPr>
        <w:footnoteRef/>
      </w:r>
      <w:r>
        <w:tab/>
        <w:t xml:space="preserve">Falagiarda, M., Gartner, C., Mužić, I., Pufnik, A. (2023), „Has the euro changeover really caused extra inflation in Croatia?“, </w:t>
      </w:r>
      <w:r>
        <w:rPr>
          <w:i/>
        </w:rPr>
        <w:t>SUERF Policy Brief</w:t>
      </w:r>
      <w:r>
        <w:t>, nr 571, aprill 2023.</w:t>
      </w:r>
    </w:p>
  </w:footnote>
  <w:footnote w:id="15">
    <w:p w14:paraId="6204B2B4" w14:textId="4A605298" w:rsidR="002032E3" w:rsidRPr="00436E0A" w:rsidRDefault="002032E3" w:rsidP="002032E3">
      <w:pPr>
        <w:pStyle w:val="FootnoteText"/>
      </w:pPr>
      <w:r>
        <w:rPr>
          <w:rStyle w:val="FootnoteReference"/>
        </w:rPr>
        <w:footnoteRef/>
      </w:r>
      <w:r>
        <w:tab/>
        <w:t>Hinnad tõusid järgmiselt: kodu- ja majapidamisteenused 3,6 %, restoranid, kohvikud jms 3,4 %, juuksurisalongid 2,9 % ning vabaaja- ja sporditeenused 2 %.</w:t>
      </w:r>
      <w:r>
        <w:rPr>
          <w:rStyle w:val="ui-provider"/>
        </w:rPr>
        <w:t xml:space="preserve"> </w:t>
      </w:r>
      <w:r>
        <w:t>Jaanuari THHI inflatsiooni kasvumäärasid saab Horvaatias arvutada alates 1999. aastast.</w:t>
      </w:r>
    </w:p>
  </w:footnote>
  <w:footnote w:id="16">
    <w:p w14:paraId="1D664D32" w14:textId="7C8D628F" w:rsidR="006A6BEF" w:rsidRPr="00F65FFF" w:rsidRDefault="006A6BEF" w:rsidP="006A6BEF">
      <w:pPr>
        <w:pStyle w:val="FootnoteText"/>
      </w:pPr>
      <w:r>
        <w:rPr>
          <w:rStyle w:val="FootnoteReference"/>
        </w:rPr>
        <w:footnoteRef/>
      </w:r>
      <w:r>
        <w:t xml:space="preserve"> </w:t>
      </w:r>
      <w:r>
        <w:tab/>
        <w:t>Eurobaromeetri kiiruuring nr 518 „Horvaatia pärast euro kasutuselevõttu“, 26. jaanuar 2023.</w:t>
      </w:r>
    </w:p>
  </w:footnote>
  <w:footnote w:id="17">
    <w:p w14:paraId="78AC270A" w14:textId="77777777" w:rsidR="00CE1728" w:rsidRDefault="00CE1728" w:rsidP="00CE1728">
      <w:pPr>
        <w:pStyle w:val="FootnoteText"/>
      </w:pPr>
      <w:r>
        <w:rPr>
          <w:rStyle w:val="FootnoteReference"/>
        </w:rPr>
        <w:footnoteRef/>
      </w:r>
      <w:r>
        <w:t xml:space="preserve"> </w:t>
      </w:r>
      <w:r>
        <w:tab/>
        <w:t>Eurobaromeetri kiiruuring nr 517, vt joonealune märkus 8.</w:t>
      </w:r>
    </w:p>
  </w:footnote>
  <w:footnote w:id="18">
    <w:p w14:paraId="7F62AD74" w14:textId="77777777" w:rsidR="0073602B" w:rsidRPr="006955CE" w:rsidRDefault="0073602B" w:rsidP="0073602B">
      <w:pPr>
        <w:pStyle w:val="FootnoteText"/>
      </w:pPr>
      <w:r>
        <w:rPr>
          <w:rStyle w:val="FootnoteReference"/>
        </w:rPr>
        <w:footnoteRef/>
      </w:r>
      <w:r>
        <w:t xml:space="preserve"> </w:t>
      </w:r>
      <w:r>
        <w:tab/>
        <w:t>Komisjoni 10. jaanuari 2008. aasta soovitus eurole üleminekut hõlbustavate meetmete kohta</w:t>
      </w:r>
    </w:p>
    <w:p w14:paraId="07A5410B" w14:textId="77777777" w:rsidR="0073602B" w:rsidRPr="006955CE" w:rsidRDefault="0073602B" w:rsidP="0073602B">
      <w:pPr>
        <w:pStyle w:val="FootnoteText"/>
        <w:ind w:firstLine="0"/>
      </w:pPr>
      <w:r>
        <w:t>(ELT L 23, 26.1.2008, lk 30).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749FD" w14:textId="77777777" w:rsidR="00070B2E" w:rsidRPr="00070B2E" w:rsidRDefault="00070B2E" w:rsidP="00070B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AF43F" w14:textId="77777777" w:rsidR="00070B2E" w:rsidRPr="00070B2E" w:rsidRDefault="00070B2E" w:rsidP="00070B2E">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F1694" w14:textId="77777777" w:rsidR="00070B2E" w:rsidRPr="00070B2E" w:rsidRDefault="00070B2E" w:rsidP="00070B2E">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C8A40" w14:textId="77777777" w:rsidR="001E0B0E" w:rsidRDefault="001E0B0E">
    <w:pPr>
      <w:pStyle w:val="Header"/>
    </w:pPr>
  </w:p>
  <w:p w14:paraId="4260A226" w14:textId="77777777" w:rsidR="001E0B0E" w:rsidRDefault="001E0B0E"/>
  <w:p w14:paraId="10397109" w14:textId="77777777" w:rsidR="001E0B0E" w:rsidRDefault="001E0B0E"/>
  <w:p w14:paraId="06B228F6" w14:textId="77777777" w:rsidR="001E0B0E" w:rsidRDefault="001E0B0E"/>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3BEA4" w14:textId="77777777" w:rsidR="001E0B0E" w:rsidRDefault="001E0B0E"/>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668BD" w14:textId="77777777" w:rsidR="001E0B0E" w:rsidRDefault="001E0B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714D0"/>
    <w:multiLevelType w:val="hybridMultilevel"/>
    <w:tmpl w:val="4AAC34CE"/>
    <w:lvl w:ilvl="0" w:tplc="2DE03874">
      <w:start w:val="1"/>
      <w:numFmt w:val="decimal"/>
      <w:lvlText w:val="(%1)"/>
      <w:lvlJc w:val="left"/>
      <w:pPr>
        <w:ind w:left="1080" w:hanging="360"/>
      </w:pPr>
      <w:rPr>
        <w:rFonts w:cs="Times New Roman"/>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1" w15:restartNumberingAfterBreak="0">
    <w:nsid w:val="095E0741"/>
    <w:multiLevelType w:val="hybridMultilevel"/>
    <w:tmpl w:val="2D9C3C38"/>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5EA6484"/>
    <w:multiLevelType w:val="hybridMultilevel"/>
    <w:tmpl w:val="C1DC9CFE"/>
    <w:lvl w:ilvl="0" w:tplc="5766593E">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F76E7A"/>
    <w:multiLevelType w:val="singleLevel"/>
    <w:tmpl w:val="C74C5A32"/>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4" w15:restartNumberingAfterBreak="0">
    <w:nsid w:val="3A5459E8"/>
    <w:multiLevelType w:val="singleLevel"/>
    <w:tmpl w:val="2188C922"/>
    <w:name w:val="Tiret 1"/>
    <w:lvl w:ilvl="0">
      <w:start w:val="1"/>
      <w:numFmt w:val="bullet"/>
      <w:lvlRestart w:val="0"/>
      <w:pStyle w:val="Tiret1"/>
      <w:lvlText w:val="–"/>
      <w:lvlJc w:val="left"/>
      <w:pPr>
        <w:tabs>
          <w:tab w:val="num" w:pos="1417"/>
        </w:tabs>
        <w:ind w:left="1417" w:hanging="567"/>
      </w:pPr>
    </w:lvl>
  </w:abstractNum>
  <w:abstractNum w:abstractNumId="5" w15:restartNumberingAfterBreak="0">
    <w:nsid w:val="3BA736C9"/>
    <w:multiLevelType w:val="singleLevel"/>
    <w:tmpl w:val="F00A6C0C"/>
    <w:name w:val="Tiret 0"/>
    <w:lvl w:ilvl="0">
      <w:start w:val="1"/>
      <w:numFmt w:val="bullet"/>
      <w:lvlRestart w:val="0"/>
      <w:pStyle w:val="Tiret0"/>
      <w:lvlText w:val="–"/>
      <w:lvlJc w:val="left"/>
      <w:pPr>
        <w:tabs>
          <w:tab w:val="num" w:pos="850"/>
        </w:tabs>
        <w:ind w:left="850" w:hanging="850"/>
      </w:pPr>
    </w:lvl>
  </w:abstractNum>
  <w:abstractNum w:abstractNumId="6" w15:restartNumberingAfterBreak="0">
    <w:nsid w:val="3C90278F"/>
    <w:multiLevelType w:val="singleLevel"/>
    <w:tmpl w:val="0FE08974"/>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42713452"/>
    <w:multiLevelType w:val="singleLevel"/>
    <w:tmpl w:val="3B8CC7EA"/>
    <w:lvl w:ilvl="0">
      <w:start w:val="1"/>
      <w:numFmt w:val="bullet"/>
      <w:lvlRestart w:val="0"/>
      <w:lvlText w:val="–"/>
      <w:lvlJc w:val="left"/>
      <w:pPr>
        <w:tabs>
          <w:tab w:val="num" w:pos="1417"/>
        </w:tabs>
        <w:ind w:left="1417" w:hanging="567"/>
      </w:pPr>
    </w:lvl>
  </w:abstractNum>
  <w:abstractNum w:abstractNumId="8" w15:restartNumberingAfterBreak="0">
    <w:nsid w:val="48842C30"/>
    <w:multiLevelType w:val="singleLevel"/>
    <w:tmpl w:val="4FA60B9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9" w15:restartNumberingAfterBreak="0">
    <w:nsid w:val="525E1CA4"/>
    <w:multiLevelType w:val="multilevel"/>
    <w:tmpl w:val="5642AC6E"/>
    <w:lvl w:ilvl="0">
      <w:start w:val="41"/>
      <w:numFmt w:val="decimal"/>
      <w:lvlText w:val="%1."/>
      <w:lvlJc w:val="left"/>
      <w:pPr>
        <w:ind w:left="1353" w:hanging="360"/>
      </w:pPr>
      <w:rPr>
        <w:rFonts w:cs="Times New Roman" w:hint="default"/>
        <w:b w:val="0"/>
      </w:rPr>
    </w:lvl>
    <w:lvl w:ilvl="1">
      <w:start w:val="1"/>
      <w:numFmt w:val="decimal"/>
      <w:lvlText w:val="%1.%2."/>
      <w:lvlJc w:val="left"/>
      <w:pPr>
        <w:ind w:left="114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54593082"/>
    <w:multiLevelType w:val="singleLevel"/>
    <w:tmpl w:val="EDE069AC"/>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1" w15:restartNumberingAfterBreak="0">
    <w:nsid w:val="568864DC"/>
    <w:multiLevelType w:val="singleLevel"/>
    <w:tmpl w:val="485EBDAC"/>
    <w:name w:val="Tiret 4"/>
    <w:lvl w:ilvl="0">
      <w:start w:val="1"/>
      <w:numFmt w:val="bullet"/>
      <w:lvlRestart w:val="0"/>
      <w:pStyle w:val="Tiret4"/>
      <w:lvlText w:val="–"/>
      <w:lvlJc w:val="left"/>
      <w:pPr>
        <w:tabs>
          <w:tab w:val="num" w:pos="3118"/>
        </w:tabs>
        <w:ind w:left="3118" w:hanging="567"/>
      </w:pPr>
    </w:lvl>
  </w:abstractNum>
  <w:abstractNum w:abstractNumId="12" w15:restartNumberingAfterBreak="0">
    <w:nsid w:val="56CB74B4"/>
    <w:multiLevelType w:val="multilevel"/>
    <w:tmpl w:val="1A38245E"/>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5F342530"/>
    <w:multiLevelType w:val="singleLevel"/>
    <w:tmpl w:val="D5444702"/>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15:restartNumberingAfterBreak="0">
    <w:nsid w:val="5F9C40AA"/>
    <w:multiLevelType w:val="singleLevel"/>
    <w:tmpl w:val="B89CB5A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62970F71"/>
    <w:multiLevelType w:val="singleLevel"/>
    <w:tmpl w:val="5AFA8C72"/>
    <w:name w:val="Tiret 2"/>
    <w:lvl w:ilvl="0">
      <w:start w:val="1"/>
      <w:numFmt w:val="bullet"/>
      <w:lvlRestart w:val="0"/>
      <w:pStyle w:val="Tiret2"/>
      <w:lvlText w:val="–"/>
      <w:lvlJc w:val="left"/>
      <w:pPr>
        <w:tabs>
          <w:tab w:val="num" w:pos="1984"/>
        </w:tabs>
        <w:ind w:left="1984" w:hanging="567"/>
      </w:pPr>
    </w:lvl>
  </w:abstractNum>
  <w:abstractNum w:abstractNumId="16" w15:restartNumberingAfterBreak="0">
    <w:nsid w:val="69995580"/>
    <w:multiLevelType w:val="singleLevel"/>
    <w:tmpl w:val="75CC7CBA"/>
    <w:name w:val="Considérant"/>
    <w:lvl w:ilvl="0">
      <w:start w:val="1"/>
      <w:numFmt w:val="decimal"/>
      <w:lvlRestart w:val="0"/>
      <w:pStyle w:val="Considrant"/>
      <w:lvlText w:val="(%1)"/>
      <w:lvlJc w:val="left"/>
      <w:pPr>
        <w:tabs>
          <w:tab w:val="num" w:pos="709"/>
        </w:tabs>
        <w:ind w:left="709" w:hanging="709"/>
      </w:pPr>
    </w:lvl>
  </w:abstractNum>
  <w:abstractNum w:abstractNumId="17" w15:restartNumberingAfterBreak="0">
    <w:nsid w:val="6D2B5511"/>
    <w:multiLevelType w:val="singleLevel"/>
    <w:tmpl w:val="74A09970"/>
    <w:name w:val="List Bullet"/>
    <w:lvl w:ilvl="0">
      <w:start w:val="1"/>
      <w:numFmt w:val="bullet"/>
      <w:lvlRestart w:val="0"/>
      <w:pStyle w:val="ListBullet"/>
      <w:lvlText w:val=""/>
      <w:lvlJc w:val="left"/>
      <w:pPr>
        <w:tabs>
          <w:tab w:val="num" w:pos="283"/>
        </w:tabs>
        <w:ind w:left="283" w:hanging="283"/>
      </w:pPr>
      <w:rPr>
        <w:rFonts w:ascii="Symbol" w:hAnsi="Symbol" w:hint="default"/>
      </w:rPr>
    </w:lvl>
  </w:abstractNum>
  <w:abstractNum w:abstractNumId="18" w15:restartNumberingAfterBreak="0">
    <w:nsid w:val="6DB503E3"/>
    <w:multiLevelType w:val="hybridMultilevel"/>
    <w:tmpl w:val="8FAC53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5C26F71"/>
    <w:multiLevelType w:val="multilevel"/>
    <w:tmpl w:val="37A4F9D6"/>
    <w:lvl w:ilvl="0">
      <w:start w:val="1"/>
      <w:numFmt w:val="decimal"/>
      <w:lvlRestart w:val="0"/>
      <w:lvlText w:val="%1."/>
      <w:lvlJc w:val="left"/>
      <w:pPr>
        <w:tabs>
          <w:tab w:val="num" w:pos="850"/>
        </w:tabs>
        <w:ind w:left="850" w:hanging="85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num w:numId="1">
    <w:abstractNumId w:val="10"/>
  </w:num>
  <w:num w:numId="2">
    <w:abstractNumId w:val="3"/>
  </w:num>
  <w:num w:numId="3">
    <w:abstractNumId w:val="14"/>
  </w:num>
  <w:num w:numId="4">
    <w:abstractNumId w:val="13"/>
  </w:num>
  <w:num w:numId="5">
    <w:abstractNumId w:val="8"/>
  </w:num>
  <w:num w:numId="6">
    <w:abstractNumId w:val="16"/>
  </w:num>
  <w:num w:numId="7">
    <w:abstractNumId w:val="20"/>
  </w:num>
  <w:num w:numId="8">
    <w:abstractNumId w:val="20"/>
  </w:num>
  <w:num w:numId="9">
    <w:abstractNumId w:val="20"/>
  </w:num>
  <w:num w:numId="10">
    <w:abstractNumId w:val="20"/>
  </w:num>
  <w:num w:numId="11">
    <w:abstractNumId w:val="19"/>
  </w:num>
  <w:num w:numId="12">
    <w:abstractNumId w:val="19"/>
  </w:num>
  <w:num w:numId="13">
    <w:abstractNumId w:val="19"/>
  </w:num>
  <w:num w:numId="14">
    <w:abstractNumId w:val="19"/>
  </w:num>
  <w:num w:numId="15">
    <w:abstractNumId w:val="21"/>
  </w:num>
  <w:num w:numId="16">
    <w:abstractNumId w:val="21"/>
  </w:num>
  <w:num w:numId="17">
    <w:abstractNumId w:val="21"/>
  </w:num>
  <w:num w:numId="18">
    <w:abstractNumId w:val="21"/>
  </w:num>
  <w:num w:numId="19">
    <w:abstractNumId w:val="21"/>
  </w:num>
  <w:num w:numId="20">
    <w:abstractNumId w:val="21"/>
  </w:num>
  <w:num w:numId="21">
    <w:abstractNumId w:val="21"/>
  </w:num>
  <w:num w:numId="22">
    <w:abstractNumId w:val="21"/>
  </w:num>
  <w:num w:numId="23">
    <w:abstractNumId w:val="21"/>
  </w:num>
  <w:num w:numId="24">
    <w:abstractNumId w:val="5"/>
  </w:num>
  <w:num w:numId="25">
    <w:abstractNumId w:val="4"/>
  </w:num>
  <w:num w:numId="26">
    <w:abstractNumId w:val="15"/>
  </w:num>
  <w:num w:numId="27">
    <w:abstractNumId w:val="6"/>
  </w:num>
  <w:num w:numId="28">
    <w:abstractNumId w:val="11"/>
  </w:num>
  <w:num w:numId="29">
    <w:abstractNumId w:val="12"/>
  </w:num>
  <w:num w:numId="30">
    <w:abstractNumId w:val="20"/>
  </w:num>
  <w:num w:numId="31">
    <w:abstractNumId w:val="7"/>
  </w:num>
  <w:num w:numId="32">
    <w:abstractNumId w:val="17"/>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20"/>
  </w:num>
  <w:num w:numId="36">
    <w:abstractNumId w:val="20"/>
  </w:num>
  <w:num w:numId="37">
    <w:abstractNumId w:val="20"/>
  </w:num>
  <w:num w:numId="38">
    <w:abstractNumId w:val="20"/>
  </w:num>
  <w:num w:numId="39">
    <w:abstractNumId w:val="20"/>
  </w:num>
  <w:num w:numId="40">
    <w:abstractNumId w:val="20"/>
  </w:num>
  <w:num w:numId="41">
    <w:abstractNumId w:val="18"/>
  </w:num>
  <w:num w:numId="42">
    <w:abstractNumId w:val="0"/>
  </w:num>
  <w:num w:numId="43">
    <w:abstractNumId w:val="9"/>
  </w:num>
  <w:num w:numId="44">
    <w:abstractNumId w:val="2"/>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AAF281FE-2373-43A6-B124-78130D3DB2C9"/>
    <w:docVar w:name="LW_COVERPAGE_TYPE" w:val="1"/>
    <w:docVar w:name="LW_CROSSREFERENCE" w:val="&lt;UNUSED&gt;"/>
    <w:docVar w:name="LW_DocType" w:val="NORMAL"/>
    <w:docVar w:name="LW_EMISSION" w:val="30.6.2023"/>
    <w:docVar w:name="LW_EMISSION_ISODATE" w:val="2023-06-30"/>
    <w:docVar w:name="LW_EMISSION_LOCATION" w:val="BRX"/>
    <w:docVar w:name="LW_EMISSION_PREFIX" w:val="Brüssel,"/>
    <w:docVar w:name="LW_EMISSION_SUFFIX" w:val=" "/>
    <w:docVar w:name="LW_ID_DOCTYPE_NONLW" w:val="CP-003"/>
    <w:docVar w:name="LW_LANGUE" w:val="ET"/>
    <w:docVar w:name="LW_LEVEL_OF_SENSITIVITY" w:val="Standard treatment"/>
    <w:docVar w:name="LW_NOM.INST" w:val="EUROOPA KOMISJON"/>
    <w:docVar w:name="LW_NOM.INST_JOINTDOC" w:val="&lt;EMPTY&gt;"/>
    <w:docVar w:name="LW_PART_NBR" w:val="1"/>
    <w:docVar w:name="LW_PART_NBR_TOTAL" w:val="1"/>
    <w:docVar w:name="LW_REF.INST.NEW" w:val="COM"/>
    <w:docVar w:name="LW_REF.INST.NEW_ADOPTED" w:val="final"/>
    <w:docVar w:name="LW_REF.INST.NEW_TEXT" w:val="(2023) 341"/>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EUROOPA PARLAMENDILE, NÕUKOGULE, EUROOPA KESKPANGALE, EUROOPA MAJANDUS- JA SOTSIAALKOMITEELE NING REGIOONIDE KOMITEELE_x000d__x000b__x000d__x000b_Euro kasutuselevõtt Horvaatias"/>
    <w:docVar w:name="LW_TYPE.DOC.CP" w:val="KOMISJONI ARUANNE"/>
    <w:docVar w:name="LwApiVersions" w:val="LW4CoDe 1.23.2.0; LW 8.0, Build 20211117"/>
  </w:docVars>
  <w:rsids>
    <w:rsidRoot w:val="005643CD"/>
    <w:rsid w:val="00001FCB"/>
    <w:rsid w:val="0000258F"/>
    <w:rsid w:val="00003682"/>
    <w:rsid w:val="00006227"/>
    <w:rsid w:val="0000628E"/>
    <w:rsid w:val="00007C0D"/>
    <w:rsid w:val="0001181D"/>
    <w:rsid w:val="0001305B"/>
    <w:rsid w:val="00014ED0"/>
    <w:rsid w:val="00016368"/>
    <w:rsid w:val="0003043C"/>
    <w:rsid w:val="00030664"/>
    <w:rsid w:val="00030806"/>
    <w:rsid w:val="0003262B"/>
    <w:rsid w:val="000404ED"/>
    <w:rsid w:val="0004157D"/>
    <w:rsid w:val="0004199B"/>
    <w:rsid w:val="000432DD"/>
    <w:rsid w:val="00043644"/>
    <w:rsid w:val="00044C6B"/>
    <w:rsid w:val="00047F13"/>
    <w:rsid w:val="00051AD2"/>
    <w:rsid w:val="00053CBC"/>
    <w:rsid w:val="0005459A"/>
    <w:rsid w:val="00055B3B"/>
    <w:rsid w:val="00056FFA"/>
    <w:rsid w:val="0006253B"/>
    <w:rsid w:val="00062A4D"/>
    <w:rsid w:val="00063443"/>
    <w:rsid w:val="0006766D"/>
    <w:rsid w:val="0007057D"/>
    <w:rsid w:val="00070B2E"/>
    <w:rsid w:val="00071C47"/>
    <w:rsid w:val="000764EB"/>
    <w:rsid w:val="0008039F"/>
    <w:rsid w:val="00081136"/>
    <w:rsid w:val="00081453"/>
    <w:rsid w:val="0008334B"/>
    <w:rsid w:val="00086188"/>
    <w:rsid w:val="000863EE"/>
    <w:rsid w:val="000866B0"/>
    <w:rsid w:val="000878B4"/>
    <w:rsid w:val="00087920"/>
    <w:rsid w:val="0009097B"/>
    <w:rsid w:val="00090B85"/>
    <w:rsid w:val="00090D37"/>
    <w:rsid w:val="00091799"/>
    <w:rsid w:val="00091A25"/>
    <w:rsid w:val="00094173"/>
    <w:rsid w:val="00097228"/>
    <w:rsid w:val="000A1068"/>
    <w:rsid w:val="000A1AEF"/>
    <w:rsid w:val="000A395B"/>
    <w:rsid w:val="000A3B64"/>
    <w:rsid w:val="000A3EAB"/>
    <w:rsid w:val="000A49EB"/>
    <w:rsid w:val="000A6BB9"/>
    <w:rsid w:val="000A6CBF"/>
    <w:rsid w:val="000B067E"/>
    <w:rsid w:val="000B1171"/>
    <w:rsid w:val="000B482A"/>
    <w:rsid w:val="000B54FA"/>
    <w:rsid w:val="000B740B"/>
    <w:rsid w:val="000B7DF9"/>
    <w:rsid w:val="000C0C7C"/>
    <w:rsid w:val="000C2784"/>
    <w:rsid w:val="000C68CC"/>
    <w:rsid w:val="000D2290"/>
    <w:rsid w:val="000D2E06"/>
    <w:rsid w:val="000D2FC1"/>
    <w:rsid w:val="000D6A8E"/>
    <w:rsid w:val="000D7AFD"/>
    <w:rsid w:val="000E13B3"/>
    <w:rsid w:val="000F0C1B"/>
    <w:rsid w:val="000F1144"/>
    <w:rsid w:val="000F1EBA"/>
    <w:rsid w:val="000F2E66"/>
    <w:rsid w:val="000F4F16"/>
    <w:rsid w:val="000F5347"/>
    <w:rsid w:val="000F790B"/>
    <w:rsid w:val="0010349B"/>
    <w:rsid w:val="0010350B"/>
    <w:rsid w:val="0010521B"/>
    <w:rsid w:val="00105C08"/>
    <w:rsid w:val="00110800"/>
    <w:rsid w:val="00112550"/>
    <w:rsid w:val="00116427"/>
    <w:rsid w:val="00122721"/>
    <w:rsid w:val="001244F6"/>
    <w:rsid w:val="001271ED"/>
    <w:rsid w:val="0013332C"/>
    <w:rsid w:val="00137F62"/>
    <w:rsid w:val="001457E9"/>
    <w:rsid w:val="00147CFE"/>
    <w:rsid w:val="001518FB"/>
    <w:rsid w:val="00154F4D"/>
    <w:rsid w:val="001568F2"/>
    <w:rsid w:val="001573AA"/>
    <w:rsid w:val="00160119"/>
    <w:rsid w:val="00162DC7"/>
    <w:rsid w:val="001644A7"/>
    <w:rsid w:val="0016596E"/>
    <w:rsid w:val="00165B9C"/>
    <w:rsid w:val="00167C78"/>
    <w:rsid w:val="00171231"/>
    <w:rsid w:val="00174860"/>
    <w:rsid w:val="00177077"/>
    <w:rsid w:val="00177E65"/>
    <w:rsid w:val="00183046"/>
    <w:rsid w:val="0018529B"/>
    <w:rsid w:val="00186999"/>
    <w:rsid w:val="00192163"/>
    <w:rsid w:val="00192F38"/>
    <w:rsid w:val="00195184"/>
    <w:rsid w:val="001A00CC"/>
    <w:rsid w:val="001A30A0"/>
    <w:rsid w:val="001A5ECB"/>
    <w:rsid w:val="001A5FD3"/>
    <w:rsid w:val="001A620B"/>
    <w:rsid w:val="001A6333"/>
    <w:rsid w:val="001A7D3A"/>
    <w:rsid w:val="001B075B"/>
    <w:rsid w:val="001B2698"/>
    <w:rsid w:val="001B3A12"/>
    <w:rsid w:val="001B3A91"/>
    <w:rsid w:val="001B3B67"/>
    <w:rsid w:val="001B4DFD"/>
    <w:rsid w:val="001B5DDC"/>
    <w:rsid w:val="001C088A"/>
    <w:rsid w:val="001C0C88"/>
    <w:rsid w:val="001C18D6"/>
    <w:rsid w:val="001C2F15"/>
    <w:rsid w:val="001C4A4E"/>
    <w:rsid w:val="001C59F1"/>
    <w:rsid w:val="001C6195"/>
    <w:rsid w:val="001C771B"/>
    <w:rsid w:val="001C7FBA"/>
    <w:rsid w:val="001D09A7"/>
    <w:rsid w:val="001D14E0"/>
    <w:rsid w:val="001D1556"/>
    <w:rsid w:val="001D2340"/>
    <w:rsid w:val="001D4F0F"/>
    <w:rsid w:val="001D705D"/>
    <w:rsid w:val="001D70F8"/>
    <w:rsid w:val="001D7784"/>
    <w:rsid w:val="001E0B0E"/>
    <w:rsid w:val="001E185D"/>
    <w:rsid w:val="001E2985"/>
    <w:rsid w:val="001E2C8C"/>
    <w:rsid w:val="001E3FAD"/>
    <w:rsid w:val="001E6073"/>
    <w:rsid w:val="001F3E7B"/>
    <w:rsid w:val="00200AC2"/>
    <w:rsid w:val="0020221F"/>
    <w:rsid w:val="002032E3"/>
    <w:rsid w:val="0020440D"/>
    <w:rsid w:val="002108CA"/>
    <w:rsid w:val="002201E2"/>
    <w:rsid w:val="00220628"/>
    <w:rsid w:val="00220BAA"/>
    <w:rsid w:val="00222004"/>
    <w:rsid w:val="00223ADB"/>
    <w:rsid w:val="002251D6"/>
    <w:rsid w:val="00226EFE"/>
    <w:rsid w:val="00230675"/>
    <w:rsid w:val="00235842"/>
    <w:rsid w:val="0023589C"/>
    <w:rsid w:val="00235A9E"/>
    <w:rsid w:val="00235FB7"/>
    <w:rsid w:val="00237967"/>
    <w:rsid w:val="00237FC0"/>
    <w:rsid w:val="00240E73"/>
    <w:rsid w:val="0024171E"/>
    <w:rsid w:val="00242CFE"/>
    <w:rsid w:val="00247220"/>
    <w:rsid w:val="00247F24"/>
    <w:rsid w:val="00251734"/>
    <w:rsid w:val="00252D22"/>
    <w:rsid w:val="00265F07"/>
    <w:rsid w:val="002705B9"/>
    <w:rsid w:val="00270819"/>
    <w:rsid w:val="00272813"/>
    <w:rsid w:val="00273739"/>
    <w:rsid w:val="00273B3B"/>
    <w:rsid w:val="002756FD"/>
    <w:rsid w:val="002762CC"/>
    <w:rsid w:val="002805CC"/>
    <w:rsid w:val="002927C4"/>
    <w:rsid w:val="00293DB1"/>
    <w:rsid w:val="00294E9D"/>
    <w:rsid w:val="00295820"/>
    <w:rsid w:val="002A6ED4"/>
    <w:rsid w:val="002A721E"/>
    <w:rsid w:val="002B0713"/>
    <w:rsid w:val="002B38C2"/>
    <w:rsid w:val="002B5863"/>
    <w:rsid w:val="002B65F1"/>
    <w:rsid w:val="002B7496"/>
    <w:rsid w:val="002C260E"/>
    <w:rsid w:val="002C3549"/>
    <w:rsid w:val="002C42FD"/>
    <w:rsid w:val="002C444B"/>
    <w:rsid w:val="002C5899"/>
    <w:rsid w:val="002C6A84"/>
    <w:rsid w:val="002D3316"/>
    <w:rsid w:val="002D3D80"/>
    <w:rsid w:val="002D56A7"/>
    <w:rsid w:val="002D77AD"/>
    <w:rsid w:val="002E0225"/>
    <w:rsid w:val="002E0A35"/>
    <w:rsid w:val="002E13DC"/>
    <w:rsid w:val="002E23F1"/>
    <w:rsid w:val="002E30AC"/>
    <w:rsid w:val="002E5D73"/>
    <w:rsid w:val="002F0FA7"/>
    <w:rsid w:val="002F61EA"/>
    <w:rsid w:val="002F62BE"/>
    <w:rsid w:val="00303989"/>
    <w:rsid w:val="0030537E"/>
    <w:rsid w:val="00306618"/>
    <w:rsid w:val="00307EE1"/>
    <w:rsid w:val="00310B68"/>
    <w:rsid w:val="0031224F"/>
    <w:rsid w:val="0031251C"/>
    <w:rsid w:val="00314D21"/>
    <w:rsid w:val="00325FA5"/>
    <w:rsid w:val="00326AF2"/>
    <w:rsid w:val="00326D1E"/>
    <w:rsid w:val="003270C3"/>
    <w:rsid w:val="003307AB"/>
    <w:rsid w:val="00331A05"/>
    <w:rsid w:val="00334C73"/>
    <w:rsid w:val="003354EC"/>
    <w:rsid w:val="00335899"/>
    <w:rsid w:val="003367AC"/>
    <w:rsid w:val="00337C00"/>
    <w:rsid w:val="00340BFB"/>
    <w:rsid w:val="00341FAE"/>
    <w:rsid w:val="0034205E"/>
    <w:rsid w:val="00345B36"/>
    <w:rsid w:val="003461A5"/>
    <w:rsid w:val="00346E2C"/>
    <w:rsid w:val="00350727"/>
    <w:rsid w:val="003525F6"/>
    <w:rsid w:val="00352EBD"/>
    <w:rsid w:val="00353CBD"/>
    <w:rsid w:val="00355AA5"/>
    <w:rsid w:val="00356E2D"/>
    <w:rsid w:val="00356F8B"/>
    <w:rsid w:val="00357223"/>
    <w:rsid w:val="00357456"/>
    <w:rsid w:val="00361598"/>
    <w:rsid w:val="00370FF6"/>
    <w:rsid w:val="00371C57"/>
    <w:rsid w:val="00372ED1"/>
    <w:rsid w:val="003761CE"/>
    <w:rsid w:val="00384433"/>
    <w:rsid w:val="003860CA"/>
    <w:rsid w:val="003860F6"/>
    <w:rsid w:val="00386DB3"/>
    <w:rsid w:val="00387006"/>
    <w:rsid w:val="00393B44"/>
    <w:rsid w:val="0039535F"/>
    <w:rsid w:val="003955F3"/>
    <w:rsid w:val="003A05AB"/>
    <w:rsid w:val="003A0BC0"/>
    <w:rsid w:val="003A1033"/>
    <w:rsid w:val="003A38F5"/>
    <w:rsid w:val="003A44C7"/>
    <w:rsid w:val="003A66C7"/>
    <w:rsid w:val="003A7A2A"/>
    <w:rsid w:val="003A7E44"/>
    <w:rsid w:val="003B05F7"/>
    <w:rsid w:val="003B1B19"/>
    <w:rsid w:val="003B6471"/>
    <w:rsid w:val="003C5305"/>
    <w:rsid w:val="003C7C26"/>
    <w:rsid w:val="003D0685"/>
    <w:rsid w:val="003D18B6"/>
    <w:rsid w:val="003D1C75"/>
    <w:rsid w:val="003D2730"/>
    <w:rsid w:val="003D3AB9"/>
    <w:rsid w:val="003D5757"/>
    <w:rsid w:val="003D6482"/>
    <w:rsid w:val="003E17C3"/>
    <w:rsid w:val="003E20A7"/>
    <w:rsid w:val="003E3E56"/>
    <w:rsid w:val="003F4D30"/>
    <w:rsid w:val="003F5386"/>
    <w:rsid w:val="004004A9"/>
    <w:rsid w:val="004014CA"/>
    <w:rsid w:val="004024F3"/>
    <w:rsid w:val="0040294F"/>
    <w:rsid w:val="00402954"/>
    <w:rsid w:val="0040317E"/>
    <w:rsid w:val="00406B37"/>
    <w:rsid w:val="00406EC8"/>
    <w:rsid w:val="004075AE"/>
    <w:rsid w:val="00413139"/>
    <w:rsid w:val="004178A5"/>
    <w:rsid w:val="00425BB2"/>
    <w:rsid w:val="00427846"/>
    <w:rsid w:val="004302BC"/>
    <w:rsid w:val="00434765"/>
    <w:rsid w:val="00435715"/>
    <w:rsid w:val="00436052"/>
    <w:rsid w:val="00436E0A"/>
    <w:rsid w:val="00443DF6"/>
    <w:rsid w:val="00444370"/>
    <w:rsid w:val="004448B2"/>
    <w:rsid w:val="00445705"/>
    <w:rsid w:val="00451D4C"/>
    <w:rsid w:val="00452BEF"/>
    <w:rsid w:val="00457C04"/>
    <w:rsid w:val="00461F21"/>
    <w:rsid w:val="0046554A"/>
    <w:rsid w:val="00465C8B"/>
    <w:rsid w:val="0047504F"/>
    <w:rsid w:val="00476CE1"/>
    <w:rsid w:val="0048009C"/>
    <w:rsid w:val="004806A6"/>
    <w:rsid w:val="004815C5"/>
    <w:rsid w:val="00483DC5"/>
    <w:rsid w:val="00483F38"/>
    <w:rsid w:val="00486FFD"/>
    <w:rsid w:val="00494002"/>
    <w:rsid w:val="004946E8"/>
    <w:rsid w:val="00494DD8"/>
    <w:rsid w:val="0049571B"/>
    <w:rsid w:val="004A2BBE"/>
    <w:rsid w:val="004A39EC"/>
    <w:rsid w:val="004A563E"/>
    <w:rsid w:val="004A7073"/>
    <w:rsid w:val="004B0D7E"/>
    <w:rsid w:val="004B1799"/>
    <w:rsid w:val="004B1A26"/>
    <w:rsid w:val="004B4BA3"/>
    <w:rsid w:val="004C187E"/>
    <w:rsid w:val="004C5758"/>
    <w:rsid w:val="004D421D"/>
    <w:rsid w:val="004D4972"/>
    <w:rsid w:val="004D5255"/>
    <w:rsid w:val="004D7078"/>
    <w:rsid w:val="004D7F0F"/>
    <w:rsid w:val="004E04BA"/>
    <w:rsid w:val="004E137A"/>
    <w:rsid w:val="004E3673"/>
    <w:rsid w:val="004E7B76"/>
    <w:rsid w:val="004F0650"/>
    <w:rsid w:val="004F1B69"/>
    <w:rsid w:val="004F5568"/>
    <w:rsid w:val="0050009E"/>
    <w:rsid w:val="005026C3"/>
    <w:rsid w:val="00503200"/>
    <w:rsid w:val="0050364E"/>
    <w:rsid w:val="005045C6"/>
    <w:rsid w:val="00511FB1"/>
    <w:rsid w:val="0051248C"/>
    <w:rsid w:val="00512808"/>
    <w:rsid w:val="005133D0"/>
    <w:rsid w:val="005142CE"/>
    <w:rsid w:val="005144E3"/>
    <w:rsid w:val="00515492"/>
    <w:rsid w:val="0051688F"/>
    <w:rsid w:val="00517158"/>
    <w:rsid w:val="005175AF"/>
    <w:rsid w:val="00520912"/>
    <w:rsid w:val="00523E11"/>
    <w:rsid w:val="005300EA"/>
    <w:rsid w:val="0053243C"/>
    <w:rsid w:val="005334C6"/>
    <w:rsid w:val="00535F16"/>
    <w:rsid w:val="00541CBA"/>
    <w:rsid w:val="0054269D"/>
    <w:rsid w:val="00542E44"/>
    <w:rsid w:val="005442C7"/>
    <w:rsid w:val="00545D37"/>
    <w:rsid w:val="00547012"/>
    <w:rsid w:val="00551018"/>
    <w:rsid w:val="005533E7"/>
    <w:rsid w:val="00553F6D"/>
    <w:rsid w:val="00560672"/>
    <w:rsid w:val="0056319B"/>
    <w:rsid w:val="005643CD"/>
    <w:rsid w:val="00566121"/>
    <w:rsid w:val="005730C5"/>
    <w:rsid w:val="00581E70"/>
    <w:rsid w:val="0058284B"/>
    <w:rsid w:val="005838AB"/>
    <w:rsid w:val="00585C83"/>
    <w:rsid w:val="0059033D"/>
    <w:rsid w:val="00592F60"/>
    <w:rsid w:val="005958B7"/>
    <w:rsid w:val="00595D13"/>
    <w:rsid w:val="005A02A8"/>
    <w:rsid w:val="005A0361"/>
    <w:rsid w:val="005A20F4"/>
    <w:rsid w:val="005A6B12"/>
    <w:rsid w:val="005A6EF8"/>
    <w:rsid w:val="005B04D2"/>
    <w:rsid w:val="005B155B"/>
    <w:rsid w:val="005B33A3"/>
    <w:rsid w:val="005B472D"/>
    <w:rsid w:val="005B5D96"/>
    <w:rsid w:val="005B7619"/>
    <w:rsid w:val="005C17B2"/>
    <w:rsid w:val="005C6269"/>
    <w:rsid w:val="005D2BF2"/>
    <w:rsid w:val="005D2DA8"/>
    <w:rsid w:val="005D2E88"/>
    <w:rsid w:val="005D6650"/>
    <w:rsid w:val="005E55AE"/>
    <w:rsid w:val="005E5D01"/>
    <w:rsid w:val="005E6BF3"/>
    <w:rsid w:val="005E6FFF"/>
    <w:rsid w:val="005F2CE1"/>
    <w:rsid w:val="005F2D7E"/>
    <w:rsid w:val="005F3BF6"/>
    <w:rsid w:val="005F500A"/>
    <w:rsid w:val="005F5D72"/>
    <w:rsid w:val="005F684D"/>
    <w:rsid w:val="006002EE"/>
    <w:rsid w:val="006004C9"/>
    <w:rsid w:val="0060275D"/>
    <w:rsid w:val="00603AAA"/>
    <w:rsid w:val="00606AE9"/>
    <w:rsid w:val="00606FB3"/>
    <w:rsid w:val="006077AC"/>
    <w:rsid w:val="00607D77"/>
    <w:rsid w:val="006104A1"/>
    <w:rsid w:val="00610794"/>
    <w:rsid w:val="00614866"/>
    <w:rsid w:val="00621CFB"/>
    <w:rsid w:val="00626850"/>
    <w:rsid w:val="00627B58"/>
    <w:rsid w:val="0063399A"/>
    <w:rsid w:val="006350FC"/>
    <w:rsid w:val="00636F5A"/>
    <w:rsid w:val="006405D8"/>
    <w:rsid w:val="006416B9"/>
    <w:rsid w:val="00641D5A"/>
    <w:rsid w:val="00656874"/>
    <w:rsid w:val="00656937"/>
    <w:rsid w:val="00663F10"/>
    <w:rsid w:val="00664127"/>
    <w:rsid w:val="00664181"/>
    <w:rsid w:val="0066523D"/>
    <w:rsid w:val="006665D3"/>
    <w:rsid w:val="00666F24"/>
    <w:rsid w:val="00667193"/>
    <w:rsid w:val="0066779E"/>
    <w:rsid w:val="006722F9"/>
    <w:rsid w:val="00673981"/>
    <w:rsid w:val="0067442F"/>
    <w:rsid w:val="00677205"/>
    <w:rsid w:val="006808F0"/>
    <w:rsid w:val="00682BA5"/>
    <w:rsid w:val="0068354B"/>
    <w:rsid w:val="006955CE"/>
    <w:rsid w:val="006A2A0B"/>
    <w:rsid w:val="006A3304"/>
    <w:rsid w:val="006A3964"/>
    <w:rsid w:val="006A673C"/>
    <w:rsid w:val="006A6BEF"/>
    <w:rsid w:val="006A7FE1"/>
    <w:rsid w:val="006B065A"/>
    <w:rsid w:val="006B1AE5"/>
    <w:rsid w:val="006B2253"/>
    <w:rsid w:val="006B3077"/>
    <w:rsid w:val="006B3B03"/>
    <w:rsid w:val="006B49D4"/>
    <w:rsid w:val="006B52D7"/>
    <w:rsid w:val="006C4B01"/>
    <w:rsid w:val="006C5BC6"/>
    <w:rsid w:val="006C7915"/>
    <w:rsid w:val="006D13D3"/>
    <w:rsid w:val="006D2A07"/>
    <w:rsid w:val="006E0499"/>
    <w:rsid w:val="006E16E7"/>
    <w:rsid w:val="006E46C8"/>
    <w:rsid w:val="006E5DD3"/>
    <w:rsid w:val="006E6B29"/>
    <w:rsid w:val="006F25A5"/>
    <w:rsid w:val="006F64EB"/>
    <w:rsid w:val="006F7AC9"/>
    <w:rsid w:val="0070152C"/>
    <w:rsid w:val="00702E5D"/>
    <w:rsid w:val="00702E8D"/>
    <w:rsid w:val="00704198"/>
    <w:rsid w:val="007072FA"/>
    <w:rsid w:val="0070774E"/>
    <w:rsid w:val="00713EF6"/>
    <w:rsid w:val="00714B0B"/>
    <w:rsid w:val="0071663D"/>
    <w:rsid w:val="00716D00"/>
    <w:rsid w:val="00716DD5"/>
    <w:rsid w:val="007255D0"/>
    <w:rsid w:val="00730879"/>
    <w:rsid w:val="007330D7"/>
    <w:rsid w:val="0073602B"/>
    <w:rsid w:val="0074381D"/>
    <w:rsid w:val="007450A8"/>
    <w:rsid w:val="0074528C"/>
    <w:rsid w:val="007507A0"/>
    <w:rsid w:val="00750EDE"/>
    <w:rsid w:val="00751CD7"/>
    <w:rsid w:val="0075714B"/>
    <w:rsid w:val="00761AFA"/>
    <w:rsid w:val="00761E66"/>
    <w:rsid w:val="00762073"/>
    <w:rsid w:val="007670FF"/>
    <w:rsid w:val="00770890"/>
    <w:rsid w:val="00771ECE"/>
    <w:rsid w:val="00773EBA"/>
    <w:rsid w:val="00782AD1"/>
    <w:rsid w:val="0078508B"/>
    <w:rsid w:val="007854CA"/>
    <w:rsid w:val="00786A65"/>
    <w:rsid w:val="00787D59"/>
    <w:rsid w:val="00791F21"/>
    <w:rsid w:val="00795CDF"/>
    <w:rsid w:val="007A3165"/>
    <w:rsid w:val="007A47F6"/>
    <w:rsid w:val="007A66CC"/>
    <w:rsid w:val="007A6F39"/>
    <w:rsid w:val="007B05C7"/>
    <w:rsid w:val="007B2549"/>
    <w:rsid w:val="007B3F5C"/>
    <w:rsid w:val="007C02F6"/>
    <w:rsid w:val="007C32EC"/>
    <w:rsid w:val="007C47EB"/>
    <w:rsid w:val="007D1D35"/>
    <w:rsid w:val="007D3ED6"/>
    <w:rsid w:val="007D724F"/>
    <w:rsid w:val="007E227F"/>
    <w:rsid w:val="007E33B7"/>
    <w:rsid w:val="007E5DA6"/>
    <w:rsid w:val="007E5EB0"/>
    <w:rsid w:val="007E7125"/>
    <w:rsid w:val="007E773D"/>
    <w:rsid w:val="007F3E52"/>
    <w:rsid w:val="00800FE2"/>
    <w:rsid w:val="00803201"/>
    <w:rsid w:val="0080540F"/>
    <w:rsid w:val="00805548"/>
    <w:rsid w:val="008062DA"/>
    <w:rsid w:val="008105E4"/>
    <w:rsid w:val="00814271"/>
    <w:rsid w:val="0081726A"/>
    <w:rsid w:val="00817F7A"/>
    <w:rsid w:val="00821210"/>
    <w:rsid w:val="00822492"/>
    <w:rsid w:val="008242DC"/>
    <w:rsid w:val="008245F3"/>
    <w:rsid w:val="00827734"/>
    <w:rsid w:val="008308FB"/>
    <w:rsid w:val="00830F77"/>
    <w:rsid w:val="0083226F"/>
    <w:rsid w:val="008356F3"/>
    <w:rsid w:val="008367DB"/>
    <w:rsid w:val="008404AF"/>
    <w:rsid w:val="00840E71"/>
    <w:rsid w:val="008413DB"/>
    <w:rsid w:val="008442D4"/>
    <w:rsid w:val="00845A26"/>
    <w:rsid w:val="0085158D"/>
    <w:rsid w:val="00851D7D"/>
    <w:rsid w:val="00852C36"/>
    <w:rsid w:val="008539C6"/>
    <w:rsid w:val="0085488A"/>
    <w:rsid w:val="008617A0"/>
    <w:rsid w:val="008637BD"/>
    <w:rsid w:val="00864397"/>
    <w:rsid w:val="00867266"/>
    <w:rsid w:val="008678D3"/>
    <w:rsid w:val="00870E69"/>
    <w:rsid w:val="008727F3"/>
    <w:rsid w:val="00874CA0"/>
    <w:rsid w:val="00876146"/>
    <w:rsid w:val="0087716B"/>
    <w:rsid w:val="00880E90"/>
    <w:rsid w:val="008828C7"/>
    <w:rsid w:val="0088377E"/>
    <w:rsid w:val="00884326"/>
    <w:rsid w:val="008901BB"/>
    <w:rsid w:val="008933BB"/>
    <w:rsid w:val="00894F19"/>
    <w:rsid w:val="008A61FB"/>
    <w:rsid w:val="008A709F"/>
    <w:rsid w:val="008B32CE"/>
    <w:rsid w:val="008B4320"/>
    <w:rsid w:val="008B61D8"/>
    <w:rsid w:val="008B727F"/>
    <w:rsid w:val="008C1738"/>
    <w:rsid w:val="008D1939"/>
    <w:rsid w:val="008D382F"/>
    <w:rsid w:val="008D4EE1"/>
    <w:rsid w:val="008D7DE6"/>
    <w:rsid w:val="008E4866"/>
    <w:rsid w:val="008E5F84"/>
    <w:rsid w:val="008F14DE"/>
    <w:rsid w:val="008F1EB0"/>
    <w:rsid w:val="008F32CE"/>
    <w:rsid w:val="008F6159"/>
    <w:rsid w:val="008F6FCF"/>
    <w:rsid w:val="00901A55"/>
    <w:rsid w:val="0090303F"/>
    <w:rsid w:val="00903CA1"/>
    <w:rsid w:val="00907021"/>
    <w:rsid w:val="00913841"/>
    <w:rsid w:val="00915104"/>
    <w:rsid w:val="0091548F"/>
    <w:rsid w:val="0091783D"/>
    <w:rsid w:val="00920AA1"/>
    <w:rsid w:val="00922574"/>
    <w:rsid w:val="009266AC"/>
    <w:rsid w:val="009279E3"/>
    <w:rsid w:val="0093093C"/>
    <w:rsid w:val="00932941"/>
    <w:rsid w:val="0093336F"/>
    <w:rsid w:val="00936D42"/>
    <w:rsid w:val="0094759D"/>
    <w:rsid w:val="0095084F"/>
    <w:rsid w:val="00953BF9"/>
    <w:rsid w:val="00954098"/>
    <w:rsid w:val="00955043"/>
    <w:rsid w:val="009554A8"/>
    <w:rsid w:val="00955CF4"/>
    <w:rsid w:val="009560AB"/>
    <w:rsid w:val="0096016B"/>
    <w:rsid w:val="00965FF3"/>
    <w:rsid w:val="0096613B"/>
    <w:rsid w:val="00971A57"/>
    <w:rsid w:val="00973A30"/>
    <w:rsid w:val="0097700D"/>
    <w:rsid w:val="00977F41"/>
    <w:rsid w:val="00985388"/>
    <w:rsid w:val="00987E7F"/>
    <w:rsid w:val="00991F5A"/>
    <w:rsid w:val="00993ADA"/>
    <w:rsid w:val="00993CCD"/>
    <w:rsid w:val="00994480"/>
    <w:rsid w:val="00994950"/>
    <w:rsid w:val="00996472"/>
    <w:rsid w:val="0099717A"/>
    <w:rsid w:val="0099738D"/>
    <w:rsid w:val="009A0A85"/>
    <w:rsid w:val="009A20C7"/>
    <w:rsid w:val="009A3B89"/>
    <w:rsid w:val="009A5019"/>
    <w:rsid w:val="009A795B"/>
    <w:rsid w:val="009B2B24"/>
    <w:rsid w:val="009B5878"/>
    <w:rsid w:val="009B6646"/>
    <w:rsid w:val="009B7BAC"/>
    <w:rsid w:val="009C5942"/>
    <w:rsid w:val="009C65E1"/>
    <w:rsid w:val="009D6755"/>
    <w:rsid w:val="009D778A"/>
    <w:rsid w:val="009E0CA1"/>
    <w:rsid w:val="009E0E3D"/>
    <w:rsid w:val="009E15F2"/>
    <w:rsid w:val="009E3D9A"/>
    <w:rsid w:val="009E427B"/>
    <w:rsid w:val="009E5061"/>
    <w:rsid w:val="009E7BF9"/>
    <w:rsid w:val="009F2D88"/>
    <w:rsid w:val="009F6808"/>
    <w:rsid w:val="009F7B5E"/>
    <w:rsid w:val="00A00F71"/>
    <w:rsid w:val="00A03353"/>
    <w:rsid w:val="00A042C1"/>
    <w:rsid w:val="00A05F55"/>
    <w:rsid w:val="00A07B66"/>
    <w:rsid w:val="00A114B5"/>
    <w:rsid w:val="00A147B4"/>
    <w:rsid w:val="00A157B6"/>
    <w:rsid w:val="00A15890"/>
    <w:rsid w:val="00A30C61"/>
    <w:rsid w:val="00A3289C"/>
    <w:rsid w:val="00A32F59"/>
    <w:rsid w:val="00A33044"/>
    <w:rsid w:val="00A337B0"/>
    <w:rsid w:val="00A353F4"/>
    <w:rsid w:val="00A438C2"/>
    <w:rsid w:val="00A5109C"/>
    <w:rsid w:val="00A512A3"/>
    <w:rsid w:val="00A51AFA"/>
    <w:rsid w:val="00A52781"/>
    <w:rsid w:val="00A52DB5"/>
    <w:rsid w:val="00A60655"/>
    <w:rsid w:val="00A6319D"/>
    <w:rsid w:val="00A6353B"/>
    <w:rsid w:val="00A67797"/>
    <w:rsid w:val="00A67E2F"/>
    <w:rsid w:val="00A741A9"/>
    <w:rsid w:val="00A7614B"/>
    <w:rsid w:val="00A773E8"/>
    <w:rsid w:val="00A81A6C"/>
    <w:rsid w:val="00A859BA"/>
    <w:rsid w:val="00A863B8"/>
    <w:rsid w:val="00A87458"/>
    <w:rsid w:val="00A95C28"/>
    <w:rsid w:val="00A965DA"/>
    <w:rsid w:val="00A970AB"/>
    <w:rsid w:val="00A97F30"/>
    <w:rsid w:val="00AA023D"/>
    <w:rsid w:val="00AA07B4"/>
    <w:rsid w:val="00AA239D"/>
    <w:rsid w:val="00AA2449"/>
    <w:rsid w:val="00AA2B3B"/>
    <w:rsid w:val="00AA2D49"/>
    <w:rsid w:val="00AA5FFC"/>
    <w:rsid w:val="00AB161F"/>
    <w:rsid w:val="00AB4DCD"/>
    <w:rsid w:val="00AB5335"/>
    <w:rsid w:val="00AB58B2"/>
    <w:rsid w:val="00AB7CD6"/>
    <w:rsid w:val="00AC29D6"/>
    <w:rsid w:val="00AC33D1"/>
    <w:rsid w:val="00AC746C"/>
    <w:rsid w:val="00AC7582"/>
    <w:rsid w:val="00AD18AE"/>
    <w:rsid w:val="00AD1925"/>
    <w:rsid w:val="00AD23D0"/>
    <w:rsid w:val="00AD3490"/>
    <w:rsid w:val="00AD412B"/>
    <w:rsid w:val="00AD71F2"/>
    <w:rsid w:val="00AD7378"/>
    <w:rsid w:val="00AE04C1"/>
    <w:rsid w:val="00AE3759"/>
    <w:rsid w:val="00AE443E"/>
    <w:rsid w:val="00AE4536"/>
    <w:rsid w:val="00AF34FC"/>
    <w:rsid w:val="00AF3AD0"/>
    <w:rsid w:val="00AF4F86"/>
    <w:rsid w:val="00AF6983"/>
    <w:rsid w:val="00AF6E13"/>
    <w:rsid w:val="00B000D6"/>
    <w:rsid w:val="00B004AC"/>
    <w:rsid w:val="00B016E3"/>
    <w:rsid w:val="00B0256D"/>
    <w:rsid w:val="00B025C0"/>
    <w:rsid w:val="00B1178B"/>
    <w:rsid w:val="00B178D4"/>
    <w:rsid w:val="00B2027B"/>
    <w:rsid w:val="00B20D97"/>
    <w:rsid w:val="00B25357"/>
    <w:rsid w:val="00B25603"/>
    <w:rsid w:val="00B27C95"/>
    <w:rsid w:val="00B30157"/>
    <w:rsid w:val="00B303EB"/>
    <w:rsid w:val="00B32D2A"/>
    <w:rsid w:val="00B340F9"/>
    <w:rsid w:val="00B37F00"/>
    <w:rsid w:val="00B42A2C"/>
    <w:rsid w:val="00B5275D"/>
    <w:rsid w:val="00B57010"/>
    <w:rsid w:val="00B6428F"/>
    <w:rsid w:val="00B64C99"/>
    <w:rsid w:val="00B67417"/>
    <w:rsid w:val="00B70E02"/>
    <w:rsid w:val="00B70E89"/>
    <w:rsid w:val="00B724F9"/>
    <w:rsid w:val="00B764BF"/>
    <w:rsid w:val="00B77215"/>
    <w:rsid w:val="00B81566"/>
    <w:rsid w:val="00B82159"/>
    <w:rsid w:val="00B85599"/>
    <w:rsid w:val="00B85D6B"/>
    <w:rsid w:val="00B869C6"/>
    <w:rsid w:val="00B869F8"/>
    <w:rsid w:val="00B87178"/>
    <w:rsid w:val="00B921E6"/>
    <w:rsid w:val="00B93D03"/>
    <w:rsid w:val="00B956ED"/>
    <w:rsid w:val="00B9624B"/>
    <w:rsid w:val="00B97C43"/>
    <w:rsid w:val="00BA5633"/>
    <w:rsid w:val="00BA59C1"/>
    <w:rsid w:val="00BC0AA3"/>
    <w:rsid w:val="00BC3AB5"/>
    <w:rsid w:val="00BC7AB7"/>
    <w:rsid w:val="00BC7D65"/>
    <w:rsid w:val="00BD4C40"/>
    <w:rsid w:val="00BE18E3"/>
    <w:rsid w:val="00BE6D3A"/>
    <w:rsid w:val="00BF0EA3"/>
    <w:rsid w:val="00BF4D0D"/>
    <w:rsid w:val="00C0150F"/>
    <w:rsid w:val="00C04CF4"/>
    <w:rsid w:val="00C0547E"/>
    <w:rsid w:val="00C057F0"/>
    <w:rsid w:val="00C06FE9"/>
    <w:rsid w:val="00C07B78"/>
    <w:rsid w:val="00C07E2B"/>
    <w:rsid w:val="00C1681A"/>
    <w:rsid w:val="00C2211D"/>
    <w:rsid w:val="00C2219E"/>
    <w:rsid w:val="00C23842"/>
    <w:rsid w:val="00C24E12"/>
    <w:rsid w:val="00C24F27"/>
    <w:rsid w:val="00C309B4"/>
    <w:rsid w:val="00C32539"/>
    <w:rsid w:val="00C35E6E"/>
    <w:rsid w:val="00C3608A"/>
    <w:rsid w:val="00C40F7B"/>
    <w:rsid w:val="00C43252"/>
    <w:rsid w:val="00C43324"/>
    <w:rsid w:val="00C43D4B"/>
    <w:rsid w:val="00C450E2"/>
    <w:rsid w:val="00C47C24"/>
    <w:rsid w:val="00C50E62"/>
    <w:rsid w:val="00C533FD"/>
    <w:rsid w:val="00C56CBC"/>
    <w:rsid w:val="00C60C60"/>
    <w:rsid w:val="00C61807"/>
    <w:rsid w:val="00C622CA"/>
    <w:rsid w:val="00C64D48"/>
    <w:rsid w:val="00C75325"/>
    <w:rsid w:val="00C77FBB"/>
    <w:rsid w:val="00C82D72"/>
    <w:rsid w:val="00C86D4E"/>
    <w:rsid w:val="00C86FD4"/>
    <w:rsid w:val="00C90721"/>
    <w:rsid w:val="00C927A5"/>
    <w:rsid w:val="00C92DC4"/>
    <w:rsid w:val="00C93615"/>
    <w:rsid w:val="00C974B8"/>
    <w:rsid w:val="00CA236F"/>
    <w:rsid w:val="00CA43B8"/>
    <w:rsid w:val="00CA4B40"/>
    <w:rsid w:val="00CA52F2"/>
    <w:rsid w:val="00CA66A4"/>
    <w:rsid w:val="00CB1978"/>
    <w:rsid w:val="00CB206A"/>
    <w:rsid w:val="00CB2E8B"/>
    <w:rsid w:val="00CB62D6"/>
    <w:rsid w:val="00CB664A"/>
    <w:rsid w:val="00CB6FAB"/>
    <w:rsid w:val="00CC201F"/>
    <w:rsid w:val="00CC430A"/>
    <w:rsid w:val="00CC50F2"/>
    <w:rsid w:val="00CC69A8"/>
    <w:rsid w:val="00CC7BFE"/>
    <w:rsid w:val="00CD0637"/>
    <w:rsid w:val="00CD0643"/>
    <w:rsid w:val="00CD1606"/>
    <w:rsid w:val="00CD3212"/>
    <w:rsid w:val="00CE1728"/>
    <w:rsid w:val="00CE18C1"/>
    <w:rsid w:val="00CE6869"/>
    <w:rsid w:val="00CF19D9"/>
    <w:rsid w:val="00CF2E07"/>
    <w:rsid w:val="00CF5995"/>
    <w:rsid w:val="00CF7983"/>
    <w:rsid w:val="00D014F7"/>
    <w:rsid w:val="00D02DCD"/>
    <w:rsid w:val="00D0493A"/>
    <w:rsid w:val="00D04BB0"/>
    <w:rsid w:val="00D058C7"/>
    <w:rsid w:val="00D238CA"/>
    <w:rsid w:val="00D30F47"/>
    <w:rsid w:val="00D33131"/>
    <w:rsid w:val="00D357F6"/>
    <w:rsid w:val="00D36732"/>
    <w:rsid w:val="00D4200E"/>
    <w:rsid w:val="00D42F04"/>
    <w:rsid w:val="00D4750B"/>
    <w:rsid w:val="00D56E1A"/>
    <w:rsid w:val="00D60CE6"/>
    <w:rsid w:val="00D61A9D"/>
    <w:rsid w:val="00D626B0"/>
    <w:rsid w:val="00D63B2D"/>
    <w:rsid w:val="00D67B8A"/>
    <w:rsid w:val="00D67C1E"/>
    <w:rsid w:val="00D7435C"/>
    <w:rsid w:val="00D844DB"/>
    <w:rsid w:val="00D856B6"/>
    <w:rsid w:val="00D91D38"/>
    <w:rsid w:val="00D92453"/>
    <w:rsid w:val="00D92511"/>
    <w:rsid w:val="00D96B6D"/>
    <w:rsid w:val="00DA1703"/>
    <w:rsid w:val="00DA251F"/>
    <w:rsid w:val="00DA32FB"/>
    <w:rsid w:val="00DA4374"/>
    <w:rsid w:val="00DA6A1A"/>
    <w:rsid w:val="00DA7E58"/>
    <w:rsid w:val="00DB03EB"/>
    <w:rsid w:val="00DB04AE"/>
    <w:rsid w:val="00DB1B55"/>
    <w:rsid w:val="00DB3811"/>
    <w:rsid w:val="00DB3C9B"/>
    <w:rsid w:val="00DB45D2"/>
    <w:rsid w:val="00DB6854"/>
    <w:rsid w:val="00DB6DAA"/>
    <w:rsid w:val="00DC1E16"/>
    <w:rsid w:val="00DC223B"/>
    <w:rsid w:val="00DC2887"/>
    <w:rsid w:val="00DC2FFD"/>
    <w:rsid w:val="00DC5A02"/>
    <w:rsid w:val="00DC74A3"/>
    <w:rsid w:val="00DC7871"/>
    <w:rsid w:val="00DD0A72"/>
    <w:rsid w:val="00DD12EE"/>
    <w:rsid w:val="00DD1527"/>
    <w:rsid w:val="00DD67AA"/>
    <w:rsid w:val="00DD7304"/>
    <w:rsid w:val="00DE138B"/>
    <w:rsid w:val="00DE4A82"/>
    <w:rsid w:val="00DE5141"/>
    <w:rsid w:val="00DE5ECD"/>
    <w:rsid w:val="00DE61C3"/>
    <w:rsid w:val="00DE61E3"/>
    <w:rsid w:val="00DE6481"/>
    <w:rsid w:val="00DE73A9"/>
    <w:rsid w:val="00DE7AF9"/>
    <w:rsid w:val="00DE7D33"/>
    <w:rsid w:val="00DF17A9"/>
    <w:rsid w:val="00DF21A2"/>
    <w:rsid w:val="00DF2568"/>
    <w:rsid w:val="00DF3E7E"/>
    <w:rsid w:val="00DF45E1"/>
    <w:rsid w:val="00DF7A41"/>
    <w:rsid w:val="00E04538"/>
    <w:rsid w:val="00E1409F"/>
    <w:rsid w:val="00E14145"/>
    <w:rsid w:val="00E14592"/>
    <w:rsid w:val="00E20ECD"/>
    <w:rsid w:val="00E22F83"/>
    <w:rsid w:val="00E23C25"/>
    <w:rsid w:val="00E2553F"/>
    <w:rsid w:val="00E326AF"/>
    <w:rsid w:val="00E3583F"/>
    <w:rsid w:val="00E40590"/>
    <w:rsid w:val="00E43BE9"/>
    <w:rsid w:val="00E43E8E"/>
    <w:rsid w:val="00E43FB3"/>
    <w:rsid w:val="00E4484F"/>
    <w:rsid w:val="00E534EF"/>
    <w:rsid w:val="00E54C53"/>
    <w:rsid w:val="00E54CB5"/>
    <w:rsid w:val="00E56FE2"/>
    <w:rsid w:val="00E609AD"/>
    <w:rsid w:val="00E60EA0"/>
    <w:rsid w:val="00E6224D"/>
    <w:rsid w:val="00E63DFD"/>
    <w:rsid w:val="00E65930"/>
    <w:rsid w:val="00E661FA"/>
    <w:rsid w:val="00E7143D"/>
    <w:rsid w:val="00E7283C"/>
    <w:rsid w:val="00E8258A"/>
    <w:rsid w:val="00E833E0"/>
    <w:rsid w:val="00E83B5C"/>
    <w:rsid w:val="00E84709"/>
    <w:rsid w:val="00E86D18"/>
    <w:rsid w:val="00E8764A"/>
    <w:rsid w:val="00E90CAF"/>
    <w:rsid w:val="00E913BF"/>
    <w:rsid w:val="00E91DAB"/>
    <w:rsid w:val="00E9332D"/>
    <w:rsid w:val="00E94987"/>
    <w:rsid w:val="00E94B82"/>
    <w:rsid w:val="00EA1A01"/>
    <w:rsid w:val="00EA5D33"/>
    <w:rsid w:val="00EA6AD2"/>
    <w:rsid w:val="00EA6DE7"/>
    <w:rsid w:val="00EB4A2E"/>
    <w:rsid w:val="00EB7187"/>
    <w:rsid w:val="00EB7F93"/>
    <w:rsid w:val="00EC34FF"/>
    <w:rsid w:val="00EC5F02"/>
    <w:rsid w:val="00ED27A3"/>
    <w:rsid w:val="00ED4BED"/>
    <w:rsid w:val="00ED6B05"/>
    <w:rsid w:val="00ED6F77"/>
    <w:rsid w:val="00ED73CF"/>
    <w:rsid w:val="00EE0020"/>
    <w:rsid w:val="00EE0693"/>
    <w:rsid w:val="00EE24B5"/>
    <w:rsid w:val="00EE26FD"/>
    <w:rsid w:val="00EE2CBF"/>
    <w:rsid w:val="00EE3B51"/>
    <w:rsid w:val="00EE4046"/>
    <w:rsid w:val="00EE4349"/>
    <w:rsid w:val="00EE4980"/>
    <w:rsid w:val="00EE5808"/>
    <w:rsid w:val="00EE745A"/>
    <w:rsid w:val="00EE7813"/>
    <w:rsid w:val="00EE7BCA"/>
    <w:rsid w:val="00EF277B"/>
    <w:rsid w:val="00EF6128"/>
    <w:rsid w:val="00EF6B6C"/>
    <w:rsid w:val="00F0402C"/>
    <w:rsid w:val="00F0537B"/>
    <w:rsid w:val="00F10184"/>
    <w:rsid w:val="00F110FC"/>
    <w:rsid w:val="00F1139F"/>
    <w:rsid w:val="00F11CA4"/>
    <w:rsid w:val="00F15EC9"/>
    <w:rsid w:val="00F17209"/>
    <w:rsid w:val="00F17A77"/>
    <w:rsid w:val="00F21C68"/>
    <w:rsid w:val="00F22741"/>
    <w:rsid w:val="00F23229"/>
    <w:rsid w:val="00F25CC5"/>
    <w:rsid w:val="00F25E96"/>
    <w:rsid w:val="00F30B20"/>
    <w:rsid w:val="00F328AD"/>
    <w:rsid w:val="00F35826"/>
    <w:rsid w:val="00F419E3"/>
    <w:rsid w:val="00F42638"/>
    <w:rsid w:val="00F44395"/>
    <w:rsid w:val="00F445F5"/>
    <w:rsid w:val="00F44E7E"/>
    <w:rsid w:val="00F46DD3"/>
    <w:rsid w:val="00F47FC9"/>
    <w:rsid w:val="00F52BCB"/>
    <w:rsid w:val="00F54AAC"/>
    <w:rsid w:val="00F55B72"/>
    <w:rsid w:val="00F5656D"/>
    <w:rsid w:val="00F57AC7"/>
    <w:rsid w:val="00F61594"/>
    <w:rsid w:val="00F62112"/>
    <w:rsid w:val="00F62F35"/>
    <w:rsid w:val="00F63E04"/>
    <w:rsid w:val="00F734C3"/>
    <w:rsid w:val="00F77FF3"/>
    <w:rsid w:val="00F902D1"/>
    <w:rsid w:val="00F94992"/>
    <w:rsid w:val="00FA112A"/>
    <w:rsid w:val="00FA137B"/>
    <w:rsid w:val="00FA13FE"/>
    <w:rsid w:val="00FA6D97"/>
    <w:rsid w:val="00FB01BE"/>
    <w:rsid w:val="00FB020D"/>
    <w:rsid w:val="00FB134A"/>
    <w:rsid w:val="00FB48EB"/>
    <w:rsid w:val="00FB6C92"/>
    <w:rsid w:val="00FB73B0"/>
    <w:rsid w:val="00FC2804"/>
    <w:rsid w:val="00FC4038"/>
    <w:rsid w:val="00FC62C1"/>
    <w:rsid w:val="00FC6C5B"/>
    <w:rsid w:val="00FC7572"/>
    <w:rsid w:val="00FD09D9"/>
    <w:rsid w:val="00FD0E08"/>
    <w:rsid w:val="00FD160C"/>
    <w:rsid w:val="00FD39FB"/>
    <w:rsid w:val="00FD5BEA"/>
    <w:rsid w:val="00FE0EE1"/>
    <w:rsid w:val="00FE16A7"/>
    <w:rsid w:val="00FE2B83"/>
    <w:rsid w:val="00FE395D"/>
    <w:rsid w:val="00FE3F30"/>
    <w:rsid w:val="00FE7F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53A5DA0"/>
  <w15:chartTrackingRefBased/>
  <w15:docId w15:val="{164FF6A2-E851-424C-BAF7-BB2CCA46A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3CD"/>
    <w:pPr>
      <w:spacing w:before="120" w:after="120"/>
      <w:jc w:val="both"/>
    </w:pPr>
    <w:rPr>
      <w:sz w:val="24"/>
      <w:szCs w:val="24"/>
      <w:lang w:eastAsia="en-US"/>
    </w:rPr>
  </w:style>
  <w:style w:type="paragraph" w:styleId="Heading1">
    <w:name w:val="heading 1"/>
    <w:basedOn w:val="Normal"/>
    <w:next w:val="Normal"/>
    <w:link w:val="Heading1Char"/>
    <w:qFormat/>
    <w:rsid w:val="00226EFE"/>
    <w:pPr>
      <w:keepNext/>
      <w:numPr>
        <w:numId w:val="44"/>
      </w:numPr>
      <w:spacing w:before="360"/>
      <w:ind w:hanging="720"/>
      <w:outlineLvl w:val="0"/>
    </w:pPr>
    <w:rPr>
      <w:b/>
      <w:bCs/>
      <w:smallCaps/>
      <w:noProof/>
      <w:szCs w:val="32"/>
    </w:rPr>
  </w:style>
  <w:style w:type="paragraph" w:styleId="Heading2">
    <w:name w:val="heading 2"/>
    <w:basedOn w:val="Normal"/>
    <w:next w:val="Normal"/>
    <w:link w:val="Heading2Char"/>
    <w:qFormat/>
    <w:rsid w:val="005643CD"/>
    <w:pPr>
      <w:keepNext/>
      <w:numPr>
        <w:ilvl w:val="1"/>
        <w:numId w:val="10"/>
      </w:numPr>
      <w:outlineLvl w:val="1"/>
    </w:pPr>
    <w:rPr>
      <w:b/>
      <w:bCs/>
      <w:iCs/>
      <w:szCs w:val="28"/>
    </w:rPr>
  </w:style>
  <w:style w:type="paragraph" w:styleId="Heading3">
    <w:name w:val="heading 3"/>
    <w:basedOn w:val="Normal"/>
    <w:next w:val="Normal"/>
    <w:link w:val="Heading3Char"/>
    <w:qFormat/>
    <w:rsid w:val="005643CD"/>
    <w:pPr>
      <w:keepNext/>
      <w:numPr>
        <w:ilvl w:val="2"/>
        <w:numId w:val="10"/>
      </w:numPr>
      <w:outlineLvl w:val="2"/>
    </w:pPr>
    <w:rPr>
      <w:bCs/>
      <w:i/>
      <w:szCs w:val="26"/>
    </w:rPr>
  </w:style>
  <w:style w:type="paragraph" w:styleId="Heading4">
    <w:name w:val="heading 4"/>
    <w:basedOn w:val="Normal"/>
    <w:next w:val="Normal"/>
    <w:link w:val="Heading4Char"/>
    <w:qFormat/>
    <w:rsid w:val="005643CD"/>
    <w:pPr>
      <w:keepNext/>
      <w:numPr>
        <w:ilvl w:val="3"/>
        <w:numId w:val="10"/>
      </w:numPr>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ompagnant">
    <w:name w:val="Accompagnant"/>
    <w:basedOn w:val="Normal"/>
    <w:next w:val="Normal"/>
    <w:rsid w:val="005643CD"/>
    <w:pPr>
      <w:spacing w:before="0" w:after="240"/>
      <w:jc w:val="center"/>
    </w:pPr>
    <w:rPr>
      <w:b/>
      <w:i/>
    </w:rPr>
  </w:style>
  <w:style w:type="paragraph" w:customStyle="1" w:styleId="AccompagnantPagedecouverture">
    <w:name w:val="Accompagnant (Page de couverture)"/>
    <w:basedOn w:val="Accompagnant"/>
    <w:next w:val="Normal"/>
    <w:rsid w:val="005643CD"/>
  </w:style>
  <w:style w:type="character" w:customStyle="1" w:styleId="Added">
    <w:name w:val="Added"/>
    <w:rsid w:val="005643CD"/>
    <w:rPr>
      <w:b/>
      <w:u w:val="single"/>
      <w:shd w:val="clear" w:color="auto" w:fill="auto"/>
    </w:rPr>
  </w:style>
  <w:style w:type="paragraph" w:customStyle="1" w:styleId="Address">
    <w:name w:val="Address"/>
    <w:basedOn w:val="Normal"/>
    <w:next w:val="Normal"/>
    <w:rsid w:val="005643CD"/>
    <w:pPr>
      <w:keepLines/>
      <w:spacing w:line="360" w:lineRule="auto"/>
      <w:ind w:left="3402"/>
      <w:jc w:val="left"/>
    </w:pPr>
  </w:style>
  <w:style w:type="paragraph" w:customStyle="1" w:styleId="Annexetitre">
    <w:name w:val="Annexe titre"/>
    <w:basedOn w:val="Normal"/>
    <w:next w:val="Normal"/>
    <w:rsid w:val="005643CD"/>
    <w:pPr>
      <w:jc w:val="center"/>
    </w:pPr>
    <w:rPr>
      <w:b/>
      <w:u w:val="single"/>
    </w:rPr>
  </w:style>
  <w:style w:type="paragraph" w:customStyle="1" w:styleId="Annexetitreexpos">
    <w:name w:val="Annexe titre (exposé)"/>
    <w:basedOn w:val="Normal"/>
    <w:next w:val="Normal"/>
    <w:rsid w:val="005643CD"/>
    <w:pPr>
      <w:jc w:val="center"/>
    </w:pPr>
    <w:rPr>
      <w:b/>
      <w:u w:val="single"/>
    </w:rPr>
  </w:style>
  <w:style w:type="paragraph" w:customStyle="1" w:styleId="Annexetitrefichefinancire">
    <w:name w:val="Annexe titre (fiche financière)"/>
    <w:basedOn w:val="Normal"/>
    <w:next w:val="Normal"/>
    <w:rsid w:val="005643CD"/>
    <w:pPr>
      <w:jc w:val="center"/>
    </w:pPr>
    <w:rPr>
      <w:b/>
      <w:u w:val="single"/>
    </w:rPr>
  </w:style>
  <w:style w:type="paragraph" w:customStyle="1" w:styleId="Applicationdirecte">
    <w:name w:val="Application directe"/>
    <w:basedOn w:val="Normal"/>
    <w:next w:val="Normal"/>
    <w:rsid w:val="005643CD"/>
    <w:pPr>
      <w:spacing w:before="480"/>
    </w:pPr>
  </w:style>
  <w:style w:type="paragraph" w:customStyle="1" w:styleId="Avertissementtitre">
    <w:name w:val="Avertissement titre"/>
    <w:basedOn w:val="Normal"/>
    <w:next w:val="Normal"/>
    <w:rsid w:val="005643CD"/>
    <w:pPr>
      <w:keepNext/>
      <w:spacing w:before="480"/>
    </w:pPr>
    <w:rPr>
      <w:u w:val="single"/>
    </w:rPr>
  </w:style>
  <w:style w:type="paragraph" w:customStyle="1" w:styleId="Bullet0">
    <w:name w:val="Bullet 0"/>
    <w:basedOn w:val="Normal"/>
    <w:rsid w:val="005643CD"/>
    <w:pPr>
      <w:numPr>
        <w:numId w:val="1"/>
      </w:numPr>
    </w:pPr>
  </w:style>
  <w:style w:type="paragraph" w:customStyle="1" w:styleId="Bullet1">
    <w:name w:val="Bullet 1"/>
    <w:basedOn w:val="Normal"/>
    <w:rsid w:val="005643CD"/>
    <w:pPr>
      <w:numPr>
        <w:numId w:val="2"/>
      </w:numPr>
    </w:pPr>
  </w:style>
  <w:style w:type="paragraph" w:customStyle="1" w:styleId="Bullet2">
    <w:name w:val="Bullet 2"/>
    <w:basedOn w:val="Normal"/>
    <w:rsid w:val="005643CD"/>
    <w:pPr>
      <w:numPr>
        <w:numId w:val="3"/>
      </w:numPr>
    </w:pPr>
  </w:style>
  <w:style w:type="paragraph" w:customStyle="1" w:styleId="Bullet3">
    <w:name w:val="Bullet 3"/>
    <w:basedOn w:val="Normal"/>
    <w:rsid w:val="005643CD"/>
    <w:pPr>
      <w:numPr>
        <w:numId w:val="4"/>
      </w:numPr>
    </w:pPr>
  </w:style>
  <w:style w:type="paragraph" w:customStyle="1" w:styleId="Bullet4">
    <w:name w:val="Bullet 4"/>
    <w:basedOn w:val="Normal"/>
    <w:rsid w:val="005643CD"/>
    <w:pPr>
      <w:numPr>
        <w:numId w:val="5"/>
      </w:numPr>
    </w:pPr>
  </w:style>
  <w:style w:type="paragraph" w:customStyle="1" w:styleId="ChapterTitle">
    <w:name w:val="ChapterTitle"/>
    <w:basedOn w:val="Normal"/>
    <w:next w:val="Normal"/>
    <w:rsid w:val="005643CD"/>
    <w:pPr>
      <w:keepNext/>
      <w:spacing w:after="360"/>
      <w:jc w:val="center"/>
    </w:pPr>
    <w:rPr>
      <w:b/>
      <w:sz w:val="32"/>
    </w:rPr>
  </w:style>
  <w:style w:type="paragraph" w:customStyle="1" w:styleId="Confidence">
    <w:name w:val="Confidence"/>
    <w:basedOn w:val="Normal"/>
    <w:next w:val="Normal"/>
    <w:rsid w:val="005643CD"/>
    <w:pPr>
      <w:spacing w:before="360"/>
      <w:jc w:val="center"/>
    </w:pPr>
  </w:style>
  <w:style w:type="paragraph" w:customStyle="1" w:styleId="Confidentialit">
    <w:name w:val="Confidentialité"/>
    <w:basedOn w:val="Normal"/>
    <w:next w:val="Normal"/>
    <w:rsid w:val="005643CD"/>
    <w:pPr>
      <w:spacing w:before="240" w:after="240"/>
      <w:ind w:left="5103"/>
    </w:pPr>
    <w:rPr>
      <w:u w:val="single"/>
    </w:rPr>
  </w:style>
  <w:style w:type="paragraph" w:customStyle="1" w:styleId="Considrant">
    <w:name w:val="Considérant"/>
    <w:basedOn w:val="Normal"/>
    <w:rsid w:val="005643CD"/>
    <w:pPr>
      <w:numPr>
        <w:numId w:val="6"/>
      </w:numPr>
    </w:pPr>
  </w:style>
  <w:style w:type="paragraph" w:customStyle="1" w:styleId="Corrigendum">
    <w:name w:val="Corrigendum"/>
    <w:basedOn w:val="Normal"/>
    <w:next w:val="Normal"/>
    <w:rsid w:val="005643CD"/>
    <w:pPr>
      <w:spacing w:before="0" w:after="240"/>
      <w:jc w:val="left"/>
    </w:pPr>
  </w:style>
  <w:style w:type="paragraph" w:customStyle="1" w:styleId="Datedadoption">
    <w:name w:val="Date d'adoption"/>
    <w:basedOn w:val="Normal"/>
    <w:next w:val="Normal"/>
    <w:rsid w:val="005643CD"/>
    <w:pPr>
      <w:spacing w:before="360" w:after="0"/>
      <w:jc w:val="center"/>
    </w:pPr>
    <w:rPr>
      <w:b/>
    </w:rPr>
  </w:style>
  <w:style w:type="paragraph" w:customStyle="1" w:styleId="DatedadoptionPagedecouverture">
    <w:name w:val="Date d'adoption (Page de couverture)"/>
    <w:basedOn w:val="Datedadoption"/>
    <w:next w:val="Normal"/>
    <w:rsid w:val="005643CD"/>
  </w:style>
  <w:style w:type="character" w:customStyle="1" w:styleId="Deleted">
    <w:name w:val="Deleted"/>
    <w:rsid w:val="005643CD"/>
    <w:rPr>
      <w:strike/>
      <w:shd w:val="clear" w:color="auto" w:fill="auto"/>
    </w:rPr>
  </w:style>
  <w:style w:type="paragraph" w:customStyle="1" w:styleId="Emission">
    <w:name w:val="Emission"/>
    <w:basedOn w:val="Normal"/>
    <w:next w:val="Normal"/>
    <w:rsid w:val="005643CD"/>
    <w:pPr>
      <w:spacing w:before="0" w:after="0"/>
      <w:ind w:left="5103"/>
      <w:jc w:val="left"/>
    </w:pPr>
  </w:style>
  <w:style w:type="paragraph" w:customStyle="1" w:styleId="Exposdesmotifstitre">
    <w:name w:val="Exposé des motifs titre"/>
    <w:basedOn w:val="Normal"/>
    <w:next w:val="Normal"/>
    <w:rsid w:val="005643CD"/>
    <w:pPr>
      <w:jc w:val="center"/>
    </w:pPr>
    <w:rPr>
      <w:b/>
      <w:u w:val="single"/>
    </w:rPr>
  </w:style>
  <w:style w:type="paragraph" w:customStyle="1" w:styleId="Fait">
    <w:name w:val="Fait à"/>
    <w:basedOn w:val="Normal"/>
    <w:next w:val="Normal"/>
    <w:rsid w:val="005643CD"/>
    <w:pPr>
      <w:keepNext/>
      <w:spacing w:after="0"/>
    </w:pPr>
  </w:style>
  <w:style w:type="paragraph" w:customStyle="1" w:styleId="Fichefinanciretitre">
    <w:name w:val="Fiche financière titre"/>
    <w:basedOn w:val="Normal"/>
    <w:next w:val="Normal"/>
    <w:rsid w:val="005643CD"/>
    <w:pPr>
      <w:jc w:val="center"/>
    </w:pPr>
    <w:rPr>
      <w:b/>
      <w:u w:val="single"/>
    </w:rPr>
  </w:style>
  <w:style w:type="paragraph" w:styleId="Footer">
    <w:name w:val="footer"/>
    <w:basedOn w:val="Normal"/>
    <w:link w:val="FooterChar"/>
    <w:uiPriority w:val="99"/>
    <w:unhideWhenUsed/>
    <w:rsid w:val="00CC430A"/>
    <w:pPr>
      <w:tabs>
        <w:tab w:val="center" w:pos="4535"/>
        <w:tab w:val="right" w:pos="9071"/>
        <w:tab w:val="right" w:pos="9921"/>
      </w:tabs>
      <w:spacing w:before="360" w:after="0"/>
      <w:ind w:left="-850" w:right="-850"/>
      <w:jc w:val="left"/>
    </w:pPr>
    <w:rPr>
      <w:rFonts w:eastAsia="Calibri"/>
      <w:szCs w:val="22"/>
    </w:rPr>
  </w:style>
  <w:style w:type="paragraph" w:customStyle="1" w:styleId="FooterLandscape">
    <w:name w:val="FooterLandscape"/>
    <w:basedOn w:val="Normal"/>
    <w:rsid w:val="00CC430A"/>
    <w:pPr>
      <w:tabs>
        <w:tab w:val="center" w:pos="7285"/>
        <w:tab w:val="center" w:pos="10913"/>
        <w:tab w:val="right" w:pos="15137"/>
      </w:tabs>
      <w:spacing w:before="360" w:after="0"/>
      <w:ind w:left="-567" w:right="-567"/>
      <w:jc w:val="left"/>
    </w:pPr>
    <w:rPr>
      <w:rFonts w:eastAsia="Calibri"/>
      <w:szCs w:val="22"/>
    </w:rPr>
  </w:style>
  <w:style w:type="character" w:styleId="FootnoteReference">
    <w:name w:val="footnote reference"/>
    <w:aliases w:val="BVI fnr,Footnote symbol,Footnote Reference Superscript,Voetnootverwijzing,Footnote reference number,Times 10 Point,Exposant 3 Point,Ref,de nota al pie,note TESI,SUPERS,EN Footnote Reference,(Footnote Reference),Footnote"/>
    <w:uiPriority w:val="99"/>
    <w:rsid w:val="005643CD"/>
    <w:rPr>
      <w:shd w:val="clear" w:color="auto" w:fill="auto"/>
      <w:vertAlign w:val="superscript"/>
    </w:rPr>
  </w:style>
  <w:style w:type="paragraph" w:styleId="FootnoteText">
    <w:name w:val="footnote text"/>
    <w:basedOn w:val="Normal"/>
    <w:link w:val="FootnoteTextChar"/>
    <w:uiPriority w:val="99"/>
    <w:rsid w:val="005643CD"/>
    <w:pPr>
      <w:spacing w:before="0" w:after="0"/>
      <w:ind w:left="720" w:hanging="720"/>
    </w:pPr>
    <w:rPr>
      <w:sz w:val="20"/>
      <w:szCs w:val="20"/>
    </w:rPr>
  </w:style>
  <w:style w:type="paragraph" w:customStyle="1" w:styleId="Formuledadoption">
    <w:name w:val="Formule d'adoption"/>
    <w:basedOn w:val="Normal"/>
    <w:next w:val="Normal"/>
    <w:rsid w:val="005643CD"/>
    <w:pPr>
      <w:keepNext/>
    </w:pPr>
  </w:style>
  <w:style w:type="paragraph" w:styleId="Header">
    <w:name w:val="header"/>
    <w:basedOn w:val="Normal"/>
    <w:link w:val="HeaderChar"/>
    <w:uiPriority w:val="99"/>
    <w:unhideWhenUsed/>
    <w:rsid w:val="00CC430A"/>
    <w:pPr>
      <w:tabs>
        <w:tab w:val="center" w:pos="4535"/>
        <w:tab w:val="right" w:pos="9071"/>
      </w:tabs>
      <w:spacing w:before="0"/>
    </w:pPr>
    <w:rPr>
      <w:rFonts w:eastAsia="Calibri"/>
      <w:szCs w:val="22"/>
    </w:rPr>
  </w:style>
  <w:style w:type="paragraph" w:customStyle="1" w:styleId="HeaderLandscape">
    <w:name w:val="HeaderLandscape"/>
    <w:basedOn w:val="Normal"/>
    <w:rsid w:val="00CC430A"/>
    <w:pPr>
      <w:tabs>
        <w:tab w:val="center" w:pos="7285"/>
        <w:tab w:val="right" w:pos="14003"/>
      </w:tabs>
      <w:spacing w:before="0"/>
    </w:pPr>
    <w:rPr>
      <w:rFonts w:eastAsia="Calibri"/>
      <w:szCs w:val="22"/>
    </w:rPr>
  </w:style>
  <w:style w:type="paragraph" w:customStyle="1" w:styleId="Institutionquiagit">
    <w:name w:val="Institution qui agit"/>
    <w:basedOn w:val="Normal"/>
    <w:next w:val="Normal"/>
    <w:rsid w:val="005643CD"/>
    <w:pPr>
      <w:keepNext/>
      <w:spacing w:before="600"/>
    </w:pPr>
  </w:style>
  <w:style w:type="paragraph" w:customStyle="1" w:styleId="Institutionquisigne">
    <w:name w:val="Institution qui signe"/>
    <w:basedOn w:val="Normal"/>
    <w:next w:val="Normal"/>
    <w:rsid w:val="005643CD"/>
    <w:pPr>
      <w:keepNext/>
      <w:tabs>
        <w:tab w:val="left" w:pos="4252"/>
      </w:tabs>
      <w:spacing w:before="720" w:after="0"/>
    </w:pPr>
    <w:rPr>
      <w:i/>
    </w:rPr>
  </w:style>
  <w:style w:type="paragraph" w:customStyle="1" w:styleId="Languesfaisantfoi">
    <w:name w:val="Langues faisant foi"/>
    <w:basedOn w:val="Normal"/>
    <w:next w:val="Normal"/>
    <w:rsid w:val="005643CD"/>
    <w:pPr>
      <w:spacing w:before="360" w:after="0"/>
      <w:jc w:val="center"/>
    </w:pPr>
  </w:style>
  <w:style w:type="paragraph" w:customStyle="1" w:styleId="IntrtEEE">
    <w:name w:val="Intérêt EEE"/>
    <w:basedOn w:val="Languesfaisantfoi"/>
    <w:next w:val="Normal"/>
    <w:rsid w:val="005643CD"/>
    <w:pPr>
      <w:spacing w:after="240"/>
    </w:pPr>
  </w:style>
  <w:style w:type="paragraph" w:customStyle="1" w:styleId="IntrtEEEPagedecouverture">
    <w:name w:val="Intérêt EEE (Page de couverture)"/>
    <w:basedOn w:val="IntrtEEE"/>
    <w:next w:val="Normal"/>
    <w:rsid w:val="005643CD"/>
  </w:style>
  <w:style w:type="paragraph" w:customStyle="1" w:styleId="Langue">
    <w:name w:val="Langue"/>
    <w:basedOn w:val="Normal"/>
    <w:next w:val="Normal"/>
    <w:rsid w:val="005643CD"/>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ormal"/>
    <w:next w:val="Normal"/>
    <w:rsid w:val="005643CD"/>
    <w:pPr>
      <w:spacing w:before="360" w:after="0"/>
      <w:jc w:val="center"/>
    </w:pPr>
  </w:style>
  <w:style w:type="paragraph" w:customStyle="1" w:styleId="ManualConsidrant">
    <w:name w:val="Manual Considérant"/>
    <w:basedOn w:val="Normal"/>
    <w:rsid w:val="005643CD"/>
    <w:pPr>
      <w:ind w:left="709" w:hanging="709"/>
    </w:pPr>
  </w:style>
  <w:style w:type="paragraph" w:customStyle="1" w:styleId="ManualHeading1">
    <w:name w:val="Manual Heading 1"/>
    <w:basedOn w:val="Normal"/>
    <w:next w:val="Normal"/>
    <w:rsid w:val="005643CD"/>
    <w:pPr>
      <w:keepNext/>
      <w:tabs>
        <w:tab w:val="left" w:pos="850"/>
      </w:tabs>
      <w:spacing w:before="360"/>
      <w:ind w:left="850" w:hanging="850"/>
      <w:outlineLvl w:val="0"/>
    </w:pPr>
    <w:rPr>
      <w:b/>
      <w:smallCaps/>
    </w:rPr>
  </w:style>
  <w:style w:type="paragraph" w:customStyle="1" w:styleId="ManualHeading2">
    <w:name w:val="Manual Heading 2"/>
    <w:basedOn w:val="Normal"/>
    <w:next w:val="Normal"/>
    <w:rsid w:val="005643CD"/>
    <w:pPr>
      <w:keepNext/>
      <w:tabs>
        <w:tab w:val="left" w:pos="850"/>
      </w:tabs>
      <w:ind w:left="850" w:hanging="850"/>
      <w:outlineLvl w:val="1"/>
    </w:pPr>
    <w:rPr>
      <w:b/>
    </w:rPr>
  </w:style>
  <w:style w:type="paragraph" w:customStyle="1" w:styleId="ManualHeading3">
    <w:name w:val="Manual Heading 3"/>
    <w:basedOn w:val="Normal"/>
    <w:next w:val="Normal"/>
    <w:rsid w:val="005643CD"/>
    <w:pPr>
      <w:keepNext/>
      <w:tabs>
        <w:tab w:val="left" w:pos="850"/>
      </w:tabs>
      <w:ind w:left="850" w:hanging="850"/>
      <w:outlineLvl w:val="2"/>
    </w:pPr>
    <w:rPr>
      <w:i/>
    </w:rPr>
  </w:style>
  <w:style w:type="paragraph" w:customStyle="1" w:styleId="ManualHeading4">
    <w:name w:val="Manual Heading 4"/>
    <w:basedOn w:val="Normal"/>
    <w:next w:val="Normal"/>
    <w:rsid w:val="005643CD"/>
    <w:pPr>
      <w:keepNext/>
      <w:tabs>
        <w:tab w:val="left" w:pos="850"/>
      </w:tabs>
      <w:ind w:left="850" w:hanging="850"/>
      <w:outlineLvl w:val="3"/>
    </w:pPr>
  </w:style>
  <w:style w:type="paragraph" w:customStyle="1" w:styleId="ManualNumPar1">
    <w:name w:val="Manual NumPar 1"/>
    <w:basedOn w:val="Normal"/>
    <w:next w:val="Normal"/>
    <w:rsid w:val="005643CD"/>
    <w:pPr>
      <w:ind w:left="850" w:hanging="850"/>
    </w:pPr>
  </w:style>
  <w:style w:type="paragraph" w:customStyle="1" w:styleId="ManualNumPar2">
    <w:name w:val="Manual NumPar 2"/>
    <w:basedOn w:val="Normal"/>
    <w:next w:val="Normal"/>
    <w:rsid w:val="005643CD"/>
    <w:pPr>
      <w:ind w:left="850" w:hanging="850"/>
    </w:pPr>
  </w:style>
  <w:style w:type="paragraph" w:customStyle="1" w:styleId="ManualNumPar3">
    <w:name w:val="Manual NumPar 3"/>
    <w:basedOn w:val="Normal"/>
    <w:next w:val="Normal"/>
    <w:rsid w:val="005643CD"/>
    <w:pPr>
      <w:ind w:left="850" w:hanging="850"/>
    </w:pPr>
  </w:style>
  <w:style w:type="paragraph" w:customStyle="1" w:styleId="ManualNumPar4">
    <w:name w:val="Manual NumPar 4"/>
    <w:basedOn w:val="Normal"/>
    <w:next w:val="Normal"/>
    <w:rsid w:val="005643CD"/>
    <w:pPr>
      <w:ind w:left="850" w:hanging="850"/>
    </w:pPr>
  </w:style>
  <w:style w:type="character" w:customStyle="1" w:styleId="Marker">
    <w:name w:val="Marker"/>
    <w:rsid w:val="005643CD"/>
    <w:rPr>
      <w:color w:val="0000FF"/>
      <w:shd w:val="clear" w:color="auto" w:fill="auto"/>
    </w:rPr>
  </w:style>
  <w:style w:type="character" w:customStyle="1" w:styleId="Marker1">
    <w:name w:val="Marker1"/>
    <w:rsid w:val="005643CD"/>
    <w:rPr>
      <w:color w:val="008000"/>
      <w:shd w:val="clear" w:color="auto" w:fill="auto"/>
    </w:rPr>
  </w:style>
  <w:style w:type="character" w:customStyle="1" w:styleId="Marker2">
    <w:name w:val="Marker2"/>
    <w:rsid w:val="005643CD"/>
    <w:rPr>
      <w:color w:val="FF0000"/>
      <w:shd w:val="clear" w:color="auto" w:fill="auto"/>
    </w:rPr>
  </w:style>
  <w:style w:type="paragraph" w:customStyle="1" w:styleId="Nomdelinstitution">
    <w:name w:val="Nom de l'institution"/>
    <w:basedOn w:val="Normal"/>
    <w:next w:val="Emission"/>
    <w:rsid w:val="005643CD"/>
    <w:pPr>
      <w:spacing w:before="0" w:after="0"/>
      <w:jc w:val="left"/>
    </w:pPr>
    <w:rPr>
      <w:rFonts w:ascii="Arial" w:hAnsi="Arial" w:cs="Arial"/>
    </w:rPr>
  </w:style>
  <w:style w:type="paragraph" w:customStyle="1" w:styleId="NormalCentered">
    <w:name w:val="Normal Centered"/>
    <w:basedOn w:val="Normal"/>
    <w:rsid w:val="005643CD"/>
    <w:pPr>
      <w:jc w:val="center"/>
    </w:pPr>
  </w:style>
  <w:style w:type="paragraph" w:customStyle="1" w:styleId="NormalLeft">
    <w:name w:val="Normal Left"/>
    <w:basedOn w:val="Normal"/>
    <w:rsid w:val="005643CD"/>
    <w:pPr>
      <w:jc w:val="left"/>
    </w:pPr>
  </w:style>
  <w:style w:type="paragraph" w:customStyle="1" w:styleId="NormalRight">
    <w:name w:val="Normal Right"/>
    <w:basedOn w:val="Normal"/>
    <w:rsid w:val="005643CD"/>
    <w:pPr>
      <w:jc w:val="right"/>
    </w:pPr>
  </w:style>
  <w:style w:type="paragraph" w:customStyle="1" w:styleId="NumPar1">
    <w:name w:val="NumPar 1"/>
    <w:basedOn w:val="Normal"/>
    <w:next w:val="Normal"/>
    <w:rsid w:val="005643CD"/>
    <w:pPr>
      <w:numPr>
        <w:numId w:val="14"/>
      </w:numPr>
    </w:pPr>
  </w:style>
  <w:style w:type="paragraph" w:customStyle="1" w:styleId="NumPar2">
    <w:name w:val="NumPar 2"/>
    <w:basedOn w:val="Normal"/>
    <w:next w:val="Normal"/>
    <w:rsid w:val="005643CD"/>
    <w:pPr>
      <w:numPr>
        <w:ilvl w:val="1"/>
        <w:numId w:val="14"/>
      </w:numPr>
    </w:pPr>
  </w:style>
  <w:style w:type="paragraph" w:customStyle="1" w:styleId="NumPar3">
    <w:name w:val="NumPar 3"/>
    <w:basedOn w:val="Normal"/>
    <w:next w:val="Normal"/>
    <w:rsid w:val="005643CD"/>
    <w:pPr>
      <w:numPr>
        <w:ilvl w:val="2"/>
        <w:numId w:val="14"/>
      </w:numPr>
    </w:pPr>
  </w:style>
  <w:style w:type="paragraph" w:customStyle="1" w:styleId="NumPar4">
    <w:name w:val="NumPar 4"/>
    <w:basedOn w:val="Normal"/>
    <w:next w:val="Normal"/>
    <w:rsid w:val="005643CD"/>
    <w:pPr>
      <w:numPr>
        <w:ilvl w:val="3"/>
        <w:numId w:val="14"/>
      </w:numPr>
    </w:pPr>
  </w:style>
  <w:style w:type="paragraph" w:customStyle="1" w:styleId="Objetacteprincipal">
    <w:name w:val="Objet acte principal"/>
    <w:basedOn w:val="Normal"/>
    <w:next w:val="Normal"/>
    <w:rsid w:val="005643CD"/>
    <w:pPr>
      <w:spacing w:before="0" w:after="360"/>
      <w:jc w:val="center"/>
    </w:pPr>
    <w:rPr>
      <w:b/>
    </w:rPr>
  </w:style>
  <w:style w:type="paragraph" w:customStyle="1" w:styleId="ObjetacteprincipalPagedecouverture">
    <w:name w:val="Objet acte principal (Page de couverture)"/>
    <w:basedOn w:val="Objetacteprincipal"/>
    <w:next w:val="Normal"/>
    <w:rsid w:val="005643CD"/>
  </w:style>
  <w:style w:type="paragraph" w:customStyle="1" w:styleId="Objetexterne">
    <w:name w:val="Objet externe"/>
    <w:basedOn w:val="Normal"/>
    <w:next w:val="Normal"/>
    <w:rsid w:val="005643CD"/>
    <w:rPr>
      <w:i/>
      <w:caps/>
    </w:rPr>
  </w:style>
  <w:style w:type="paragraph" w:customStyle="1" w:styleId="Pagedecouverture">
    <w:name w:val="Page de couverture"/>
    <w:basedOn w:val="Normal"/>
    <w:next w:val="Normal"/>
    <w:rsid w:val="005643CD"/>
  </w:style>
  <w:style w:type="paragraph" w:customStyle="1" w:styleId="PartTitle">
    <w:name w:val="PartTitle"/>
    <w:basedOn w:val="Normal"/>
    <w:next w:val="ChapterTitle"/>
    <w:rsid w:val="005643CD"/>
    <w:pPr>
      <w:keepNext/>
      <w:pageBreakBefore/>
      <w:spacing w:after="360"/>
      <w:jc w:val="center"/>
    </w:pPr>
    <w:rPr>
      <w:b/>
      <w:sz w:val="36"/>
    </w:rPr>
  </w:style>
  <w:style w:type="paragraph" w:customStyle="1" w:styleId="Personnequisigne">
    <w:name w:val="Personne qui signe"/>
    <w:basedOn w:val="Normal"/>
    <w:next w:val="Institutionquisigne"/>
    <w:rsid w:val="005643CD"/>
    <w:pPr>
      <w:tabs>
        <w:tab w:val="left" w:pos="4252"/>
      </w:tabs>
      <w:spacing w:before="0" w:after="0"/>
      <w:jc w:val="left"/>
    </w:pPr>
    <w:rPr>
      <w:i/>
    </w:rPr>
  </w:style>
  <w:style w:type="paragraph" w:customStyle="1" w:styleId="Point0">
    <w:name w:val="Point 0"/>
    <w:basedOn w:val="Normal"/>
    <w:rsid w:val="005643CD"/>
    <w:pPr>
      <w:ind w:left="850" w:hanging="850"/>
    </w:pPr>
  </w:style>
  <w:style w:type="paragraph" w:customStyle="1" w:styleId="Point0letter">
    <w:name w:val="Point 0 (letter)"/>
    <w:basedOn w:val="Normal"/>
    <w:rsid w:val="005643CD"/>
    <w:pPr>
      <w:numPr>
        <w:ilvl w:val="1"/>
        <w:numId w:val="23"/>
      </w:numPr>
    </w:pPr>
  </w:style>
  <w:style w:type="paragraph" w:customStyle="1" w:styleId="Point0number">
    <w:name w:val="Point 0 (number)"/>
    <w:basedOn w:val="Normal"/>
    <w:rsid w:val="005643CD"/>
    <w:pPr>
      <w:numPr>
        <w:numId w:val="23"/>
      </w:numPr>
    </w:pPr>
  </w:style>
  <w:style w:type="paragraph" w:customStyle="1" w:styleId="Point1">
    <w:name w:val="Point 1"/>
    <w:basedOn w:val="Normal"/>
    <w:rsid w:val="005643CD"/>
    <w:pPr>
      <w:ind w:left="1417" w:hanging="567"/>
    </w:pPr>
  </w:style>
  <w:style w:type="paragraph" w:customStyle="1" w:styleId="Point1letter">
    <w:name w:val="Point 1 (letter)"/>
    <w:basedOn w:val="Normal"/>
    <w:rsid w:val="005643CD"/>
    <w:pPr>
      <w:numPr>
        <w:ilvl w:val="3"/>
        <w:numId w:val="23"/>
      </w:numPr>
    </w:pPr>
  </w:style>
  <w:style w:type="paragraph" w:customStyle="1" w:styleId="Point1number">
    <w:name w:val="Point 1 (number)"/>
    <w:basedOn w:val="Normal"/>
    <w:rsid w:val="005643CD"/>
    <w:pPr>
      <w:numPr>
        <w:ilvl w:val="2"/>
        <w:numId w:val="23"/>
      </w:numPr>
    </w:pPr>
  </w:style>
  <w:style w:type="paragraph" w:customStyle="1" w:styleId="Point2">
    <w:name w:val="Point 2"/>
    <w:basedOn w:val="Normal"/>
    <w:rsid w:val="005643CD"/>
    <w:pPr>
      <w:ind w:left="1984" w:hanging="567"/>
    </w:pPr>
  </w:style>
  <w:style w:type="paragraph" w:customStyle="1" w:styleId="Point2letter">
    <w:name w:val="Point 2 (letter)"/>
    <w:basedOn w:val="Normal"/>
    <w:rsid w:val="005643CD"/>
    <w:pPr>
      <w:numPr>
        <w:ilvl w:val="5"/>
        <w:numId w:val="23"/>
      </w:numPr>
    </w:pPr>
  </w:style>
  <w:style w:type="paragraph" w:customStyle="1" w:styleId="Point2number">
    <w:name w:val="Point 2 (number)"/>
    <w:basedOn w:val="Normal"/>
    <w:rsid w:val="005643CD"/>
    <w:pPr>
      <w:numPr>
        <w:ilvl w:val="4"/>
        <w:numId w:val="23"/>
      </w:numPr>
    </w:pPr>
  </w:style>
  <w:style w:type="paragraph" w:customStyle="1" w:styleId="Point3">
    <w:name w:val="Point 3"/>
    <w:basedOn w:val="Normal"/>
    <w:rsid w:val="005643CD"/>
    <w:pPr>
      <w:ind w:left="2551" w:hanging="567"/>
    </w:pPr>
  </w:style>
  <w:style w:type="paragraph" w:customStyle="1" w:styleId="Point3letter">
    <w:name w:val="Point 3 (letter)"/>
    <w:basedOn w:val="Normal"/>
    <w:rsid w:val="005643CD"/>
    <w:pPr>
      <w:numPr>
        <w:ilvl w:val="7"/>
        <w:numId w:val="23"/>
      </w:numPr>
    </w:pPr>
  </w:style>
  <w:style w:type="paragraph" w:customStyle="1" w:styleId="Point3number">
    <w:name w:val="Point 3 (number)"/>
    <w:basedOn w:val="Normal"/>
    <w:rsid w:val="005643CD"/>
    <w:pPr>
      <w:numPr>
        <w:ilvl w:val="6"/>
        <w:numId w:val="23"/>
      </w:numPr>
    </w:pPr>
  </w:style>
  <w:style w:type="paragraph" w:customStyle="1" w:styleId="Point4">
    <w:name w:val="Point 4"/>
    <w:basedOn w:val="Normal"/>
    <w:rsid w:val="005643CD"/>
    <w:pPr>
      <w:ind w:left="3118" w:hanging="567"/>
    </w:pPr>
  </w:style>
  <w:style w:type="paragraph" w:customStyle="1" w:styleId="Point4letter">
    <w:name w:val="Point 4 (letter)"/>
    <w:basedOn w:val="Normal"/>
    <w:rsid w:val="005643CD"/>
    <w:pPr>
      <w:numPr>
        <w:ilvl w:val="8"/>
        <w:numId w:val="23"/>
      </w:numPr>
    </w:pPr>
  </w:style>
  <w:style w:type="paragraph" w:customStyle="1" w:styleId="PointDouble0">
    <w:name w:val="PointDouble 0"/>
    <w:basedOn w:val="Normal"/>
    <w:rsid w:val="005643CD"/>
    <w:pPr>
      <w:tabs>
        <w:tab w:val="left" w:pos="850"/>
      </w:tabs>
      <w:ind w:left="1417" w:hanging="1417"/>
    </w:pPr>
  </w:style>
  <w:style w:type="paragraph" w:customStyle="1" w:styleId="PointDouble1">
    <w:name w:val="PointDouble 1"/>
    <w:basedOn w:val="Normal"/>
    <w:rsid w:val="005643CD"/>
    <w:pPr>
      <w:tabs>
        <w:tab w:val="left" w:pos="1417"/>
      </w:tabs>
      <w:ind w:left="1984" w:hanging="1134"/>
    </w:pPr>
  </w:style>
  <w:style w:type="paragraph" w:customStyle="1" w:styleId="PointDouble2">
    <w:name w:val="PointDouble 2"/>
    <w:basedOn w:val="Normal"/>
    <w:rsid w:val="005643CD"/>
    <w:pPr>
      <w:tabs>
        <w:tab w:val="left" w:pos="1984"/>
      </w:tabs>
      <w:ind w:left="2551" w:hanging="1134"/>
    </w:pPr>
  </w:style>
  <w:style w:type="paragraph" w:customStyle="1" w:styleId="PointDouble3">
    <w:name w:val="PointDouble 3"/>
    <w:basedOn w:val="Normal"/>
    <w:rsid w:val="005643CD"/>
    <w:pPr>
      <w:tabs>
        <w:tab w:val="left" w:pos="2551"/>
      </w:tabs>
      <w:ind w:left="3118" w:hanging="1134"/>
    </w:pPr>
  </w:style>
  <w:style w:type="paragraph" w:customStyle="1" w:styleId="PointDouble4">
    <w:name w:val="PointDouble 4"/>
    <w:basedOn w:val="Normal"/>
    <w:rsid w:val="005643CD"/>
    <w:pPr>
      <w:tabs>
        <w:tab w:val="left" w:pos="3118"/>
      </w:tabs>
      <w:ind w:left="3685" w:hanging="1134"/>
    </w:pPr>
  </w:style>
  <w:style w:type="paragraph" w:customStyle="1" w:styleId="PointTriple0">
    <w:name w:val="PointTriple 0"/>
    <w:basedOn w:val="Normal"/>
    <w:rsid w:val="005643CD"/>
    <w:pPr>
      <w:tabs>
        <w:tab w:val="left" w:pos="850"/>
        <w:tab w:val="left" w:pos="1417"/>
      </w:tabs>
      <w:ind w:left="1984" w:hanging="1984"/>
    </w:pPr>
  </w:style>
  <w:style w:type="paragraph" w:customStyle="1" w:styleId="PointTriple1">
    <w:name w:val="PointTriple 1"/>
    <w:basedOn w:val="Normal"/>
    <w:rsid w:val="005643CD"/>
    <w:pPr>
      <w:tabs>
        <w:tab w:val="left" w:pos="1417"/>
        <w:tab w:val="left" w:pos="1984"/>
      </w:tabs>
      <w:ind w:left="2551" w:hanging="1701"/>
    </w:pPr>
  </w:style>
  <w:style w:type="paragraph" w:customStyle="1" w:styleId="PointTriple2">
    <w:name w:val="PointTriple 2"/>
    <w:basedOn w:val="Normal"/>
    <w:rsid w:val="005643CD"/>
    <w:pPr>
      <w:tabs>
        <w:tab w:val="left" w:pos="1984"/>
        <w:tab w:val="left" w:pos="2551"/>
      </w:tabs>
      <w:ind w:left="3118" w:hanging="1701"/>
    </w:pPr>
  </w:style>
  <w:style w:type="paragraph" w:customStyle="1" w:styleId="PointTriple3">
    <w:name w:val="PointTriple 3"/>
    <w:basedOn w:val="Normal"/>
    <w:rsid w:val="005643CD"/>
    <w:pPr>
      <w:tabs>
        <w:tab w:val="left" w:pos="2551"/>
        <w:tab w:val="left" w:pos="3118"/>
      </w:tabs>
      <w:ind w:left="3685" w:hanging="1701"/>
    </w:pPr>
  </w:style>
  <w:style w:type="paragraph" w:customStyle="1" w:styleId="PointTriple4">
    <w:name w:val="PointTriple 4"/>
    <w:basedOn w:val="Normal"/>
    <w:rsid w:val="005643CD"/>
    <w:pPr>
      <w:tabs>
        <w:tab w:val="left" w:pos="3118"/>
        <w:tab w:val="left" w:pos="3685"/>
      </w:tabs>
      <w:ind w:left="4252" w:hanging="1701"/>
    </w:pPr>
  </w:style>
  <w:style w:type="paragraph" w:customStyle="1" w:styleId="QuotedNumPar">
    <w:name w:val="Quoted NumPar"/>
    <w:basedOn w:val="Normal"/>
    <w:rsid w:val="005643CD"/>
    <w:pPr>
      <w:ind w:left="1417" w:hanging="567"/>
    </w:pPr>
  </w:style>
  <w:style w:type="paragraph" w:customStyle="1" w:styleId="QuotedText">
    <w:name w:val="Quoted Text"/>
    <w:basedOn w:val="Normal"/>
    <w:rsid w:val="005643CD"/>
    <w:pPr>
      <w:ind w:left="1417"/>
    </w:pPr>
  </w:style>
  <w:style w:type="paragraph" w:customStyle="1" w:styleId="Rfrencecroise">
    <w:name w:val="Référence croisée"/>
    <w:basedOn w:val="Normal"/>
    <w:rsid w:val="005643CD"/>
    <w:pPr>
      <w:spacing w:before="0" w:after="0"/>
      <w:jc w:val="center"/>
    </w:pPr>
  </w:style>
  <w:style w:type="paragraph" w:customStyle="1" w:styleId="Rfrenceinstitutionnelle">
    <w:name w:val="Référence institutionnelle"/>
    <w:basedOn w:val="Normal"/>
    <w:next w:val="Confidentialit"/>
    <w:rsid w:val="005643CD"/>
    <w:pPr>
      <w:spacing w:before="0" w:after="240"/>
      <w:ind w:left="5103"/>
      <w:jc w:val="left"/>
    </w:pPr>
  </w:style>
  <w:style w:type="paragraph" w:customStyle="1" w:styleId="Rfrenceinterinstitutionnelle">
    <w:name w:val="Référence interinstitutionnelle"/>
    <w:basedOn w:val="Normal"/>
    <w:next w:val="Normal"/>
    <w:rsid w:val="005643CD"/>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rsid w:val="005643CD"/>
  </w:style>
  <w:style w:type="paragraph" w:customStyle="1" w:styleId="Rfrenceinterne">
    <w:name w:val="Référence interne"/>
    <w:basedOn w:val="Normal"/>
    <w:next w:val="Rfrenceinterinstitutionnelle"/>
    <w:rsid w:val="005643CD"/>
    <w:pPr>
      <w:spacing w:before="0" w:after="0"/>
      <w:ind w:left="5103"/>
      <w:jc w:val="left"/>
    </w:pPr>
  </w:style>
  <w:style w:type="paragraph" w:customStyle="1" w:styleId="SectionTitle">
    <w:name w:val="SectionTitle"/>
    <w:basedOn w:val="Normal"/>
    <w:next w:val="Heading1"/>
    <w:rsid w:val="005643CD"/>
    <w:pPr>
      <w:keepNext/>
      <w:spacing w:after="360"/>
      <w:jc w:val="center"/>
    </w:pPr>
    <w:rPr>
      <w:b/>
      <w:smallCaps/>
      <w:sz w:val="28"/>
    </w:rPr>
  </w:style>
  <w:style w:type="paragraph" w:customStyle="1" w:styleId="Sous-titreobjet">
    <w:name w:val="Sous-titre objet"/>
    <w:basedOn w:val="Normal"/>
    <w:rsid w:val="005643CD"/>
    <w:pPr>
      <w:spacing w:before="0" w:after="0"/>
      <w:jc w:val="center"/>
    </w:pPr>
    <w:rPr>
      <w:b/>
    </w:rPr>
  </w:style>
  <w:style w:type="paragraph" w:customStyle="1" w:styleId="Sous-titreobjetPagedecouverture">
    <w:name w:val="Sous-titre objet (Page de couverture)"/>
    <w:basedOn w:val="Sous-titreobjet"/>
    <w:rsid w:val="005643CD"/>
  </w:style>
  <w:style w:type="paragraph" w:customStyle="1" w:styleId="Statut">
    <w:name w:val="Statut"/>
    <w:basedOn w:val="Normal"/>
    <w:next w:val="Normal"/>
    <w:rsid w:val="005643CD"/>
    <w:pPr>
      <w:spacing w:before="360" w:after="0"/>
      <w:jc w:val="center"/>
    </w:pPr>
  </w:style>
  <w:style w:type="paragraph" w:customStyle="1" w:styleId="StatutPagedecouverture">
    <w:name w:val="Statut (Page de couverture)"/>
    <w:basedOn w:val="Statut"/>
    <w:next w:val="Normal"/>
    <w:rsid w:val="005643CD"/>
  </w:style>
  <w:style w:type="paragraph" w:customStyle="1" w:styleId="Supertitre">
    <w:name w:val="Supertitre"/>
    <w:basedOn w:val="Normal"/>
    <w:next w:val="Normal"/>
    <w:rsid w:val="005643CD"/>
    <w:pPr>
      <w:spacing w:before="0" w:after="600"/>
      <w:jc w:val="center"/>
    </w:pPr>
    <w:rPr>
      <w:b/>
    </w:rPr>
  </w:style>
  <w:style w:type="paragraph" w:customStyle="1" w:styleId="TableTitle">
    <w:name w:val="Table Title"/>
    <w:basedOn w:val="Normal"/>
    <w:next w:val="Normal"/>
    <w:rsid w:val="005643CD"/>
    <w:pPr>
      <w:jc w:val="center"/>
    </w:pPr>
    <w:rPr>
      <w:b/>
    </w:rPr>
  </w:style>
  <w:style w:type="paragraph" w:customStyle="1" w:styleId="Text1">
    <w:name w:val="Text 1"/>
    <w:basedOn w:val="Normal"/>
    <w:rsid w:val="005643CD"/>
    <w:pPr>
      <w:ind w:left="850"/>
    </w:pPr>
  </w:style>
  <w:style w:type="paragraph" w:customStyle="1" w:styleId="Text2">
    <w:name w:val="Text 2"/>
    <w:basedOn w:val="Normal"/>
    <w:rsid w:val="005643CD"/>
    <w:pPr>
      <w:ind w:left="1417"/>
    </w:pPr>
  </w:style>
  <w:style w:type="paragraph" w:customStyle="1" w:styleId="Text3">
    <w:name w:val="Text 3"/>
    <w:basedOn w:val="Normal"/>
    <w:rsid w:val="005643CD"/>
    <w:pPr>
      <w:ind w:left="1984"/>
    </w:pPr>
  </w:style>
  <w:style w:type="paragraph" w:customStyle="1" w:styleId="Text4">
    <w:name w:val="Text 4"/>
    <w:basedOn w:val="Normal"/>
    <w:rsid w:val="005643CD"/>
    <w:pPr>
      <w:ind w:left="2551"/>
    </w:pPr>
  </w:style>
  <w:style w:type="paragraph" w:customStyle="1" w:styleId="Tiret0">
    <w:name w:val="Tiret 0"/>
    <w:basedOn w:val="Point0"/>
    <w:rsid w:val="005643CD"/>
    <w:pPr>
      <w:numPr>
        <w:numId w:val="24"/>
      </w:numPr>
    </w:pPr>
  </w:style>
  <w:style w:type="paragraph" w:customStyle="1" w:styleId="Tiret1">
    <w:name w:val="Tiret 1"/>
    <w:basedOn w:val="Point1"/>
    <w:rsid w:val="005643CD"/>
    <w:pPr>
      <w:numPr>
        <w:numId w:val="25"/>
      </w:numPr>
    </w:pPr>
  </w:style>
  <w:style w:type="paragraph" w:customStyle="1" w:styleId="Tiret2">
    <w:name w:val="Tiret 2"/>
    <w:basedOn w:val="Point2"/>
    <w:rsid w:val="005643CD"/>
    <w:pPr>
      <w:numPr>
        <w:numId w:val="26"/>
      </w:numPr>
    </w:pPr>
  </w:style>
  <w:style w:type="paragraph" w:customStyle="1" w:styleId="Tiret3">
    <w:name w:val="Tiret 3"/>
    <w:basedOn w:val="Point3"/>
    <w:rsid w:val="005643CD"/>
    <w:pPr>
      <w:numPr>
        <w:numId w:val="27"/>
      </w:numPr>
    </w:pPr>
  </w:style>
  <w:style w:type="paragraph" w:customStyle="1" w:styleId="Tiret4">
    <w:name w:val="Tiret 4"/>
    <w:basedOn w:val="Point4"/>
    <w:rsid w:val="005643CD"/>
    <w:pPr>
      <w:numPr>
        <w:numId w:val="28"/>
      </w:numPr>
    </w:pPr>
  </w:style>
  <w:style w:type="paragraph" w:customStyle="1" w:styleId="Titrearticle">
    <w:name w:val="Titre article"/>
    <w:basedOn w:val="Normal"/>
    <w:next w:val="Normal"/>
    <w:rsid w:val="005643CD"/>
    <w:pPr>
      <w:keepNext/>
      <w:spacing w:before="360"/>
      <w:jc w:val="center"/>
    </w:pPr>
    <w:rPr>
      <w:i/>
    </w:rPr>
  </w:style>
  <w:style w:type="paragraph" w:customStyle="1" w:styleId="Titreobjet">
    <w:name w:val="Titre objet"/>
    <w:basedOn w:val="Normal"/>
    <w:next w:val="IntrtEEE"/>
    <w:rsid w:val="00CC430A"/>
    <w:pPr>
      <w:spacing w:before="360" w:after="360"/>
      <w:jc w:val="center"/>
    </w:pPr>
    <w:rPr>
      <w:rFonts w:eastAsia="Calibri"/>
      <w:b/>
      <w:szCs w:val="22"/>
    </w:rPr>
  </w:style>
  <w:style w:type="paragraph" w:customStyle="1" w:styleId="TitreobjetPagedecouverture">
    <w:name w:val="Titre objet (Page de couverture)"/>
    <w:basedOn w:val="Titreobjet"/>
    <w:next w:val="IntrtEEEPagedecouverture"/>
    <w:rsid w:val="00CC430A"/>
  </w:style>
  <w:style w:type="paragraph" w:styleId="TOC1">
    <w:name w:val="toc 1"/>
    <w:basedOn w:val="Normal"/>
    <w:next w:val="Normal"/>
    <w:semiHidden/>
    <w:rsid w:val="005643CD"/>
    <w:pPr>
      <w:tabs>
        <w:tab w:val="right" w:leader="dot" w:pos="9071"/>
      </w:tabs>
      <w:spacing w:before="60"/>
      <w:ind w:left="850" w:hanging="850"/>
      <w:jc w:val="left"/>
    </w:pPr>
  </w:style>
  <w:style w:type="paragraph" w:styleId="TOC2">
    <w:name w:val="toc 2"/>
    <w:basedOn w:val="Normal"/>
    <w:next w:val="Normal"/>
    <w:semiHidden/>
    <w:rsid w:val="005643CD"/>
    <w:pPr>
      <w:tabs>
        <w:tab w:val="right" w:leader="dot" w:pos="9071"/>
      </w:tabs>
      <w:spacing w:before="60"/>
      <w:ind w:left="850" w:hanging="850"/>
      <w:jc w:val="left"/>
    </w:pPr>
  </w:style>
  <w:style w:type="paragraph" w:styleId="TOC3">
    <w:name w:val="toc 3"/>
    <w:basedOn w:val="Normal"/>
    <w:next w:val="Normal"/>
    <w:semiHidden/>
    <w:rsid w:val="005643CD"/>
    <w:pPr>
      <w:tabs>
        <w:tab w:val="right" w:leader="dot" w:pos="9071"/>
      </w:tabs>
      <w:spacing w:before="60"/>
      <w:ind w:left="850" w:hanging="850"/>
      <w:jc w:val="left"/>
    </w:pPr>
  </w:style>
  <w:style w:type="paragraph" w:styleId="TOC4">
    <w:name w:val="toc 4"/>
    <w:basedOn w:val="Normal"/>
    <w:next w:val="Normal"/>
    <w:semiHidden/>
    <w:rsid w:val="005643CD"/>
    <w:pPr>
      <w:tabs>
        <w:tab w:val="right" w:leader="dot" w:pos="9071"/>
      </w:tabs>
      <w:spacing w:before="60"/>
      <w:ind w:left="850" w:hanging="850"/>
      <w:jc w:val="left"/>
    </w:pPr>
  </w:style>
  <w:style w:type="paragraph" w:styleId="TOC5">
    <w:name w:val="toc 5"/>
    <w:basedOn w:val="Normal"/>
    <w:next w:val="Normal"/>
    <w:semiHidden/>
    <w:rsid w:val="005643CD"/>
    <w:pPr>
      <w:tabs>
        <w:tab w:val="right" w:leader="dot" w:pos="9071"/>
      </w:tabs>
      <w:spacing w:before="300"/>
      <w:jc w:val="left"/>
    </w:pPr>
  </w:style>
  <w:style w:type="paragraph" w:styleId="TOC6">
    <w:name w:val="toc 6"/>
    <w:basedOn w:val="Normal"/>
    <w:next w:val="Normal"/>
    <w:semiHidden/>
    <w:rsid w:val="005643CD"/>
    <w:pPr>
      <w:tabs>
        <w:tab w:val="right" w:leader="dot" w:pos="9071"/>
      </w:tabs>
      <w:spacing w:before="240"/>
      <w:jc w:val="left"/>
    </w:pPr>
  </w:style>
  <w:style w:type="paragraph" w:styleId="TOC7">
    <w:name w:val="toc 7"/>
    <w:basedOn w:val="Normal"/>
    <w:next w:val="Normal"/>
    <w:semiHidden/>
    <w:rsid w:val="005643CD"/>
    <w:pPr>
      <w:tabs>
        <w:tab w:val="right" w:leader="dot" w:pos="9071"/>
      </w:tabs>
      <w:spacing w:before="180"/>
      <w:jc w:val="left"/>
    </w:pPr>
  </w:style>
  <w:style w:type="paragraph" w:styleId="TOC8">
    <w:name w:val="toc 8"/>
    <w:basedOn w:val="Normal"/>
    <w:next w:val="Normal"/>
    <w:semiHidden/>
    <w:rsid w:val="005643CD"/>
    <w:pPr>
      <w:tabs>
        <w:tab w:val="right" w:leader="dot" w:pos="9071"/>
      </w:tabs>
      <w:jc w:val="left"/>
    </w:pPr>
  </w:style>
  <w:style w:type="paragraph" w:styleId="TOC9">
    <w:name w:val="toc 9"/>
    <w:basedOn w:val="Normal"/>
    <w:next w:val="Normal"/>
    <w:semiHidden/>
    <w:rsid w:val="005643CD"/>
    <w:pPr>
      <w:tabs>
        <w:tab w:val="right" w:leader="dot" w:pos="9071"/>
      </w:tabs>
    </w:pPr>
  </w:style>
  <w:style w:type="paragraph" w:styleId="TOCHeading">
    <w:name w:val="TOC Heading"/>
    <w:basedOn w:val="Normal"/>
    <w:next w:val="Normal"/>
    <w:qFormat/>
    <w:rsid w:val="005643CD"/>
    <w:pPr>
      <w:spacing w:after="240"/>
      <w:jc w:val="center"/>
    </w:pPr>
    <w:rPr>
      <w:b/>
      <w:sz w:val="28"/>
    </w:rPr>
  </w:style>
  <w:style w:type="paragraph" w:customStyle="1" w:styleId="Typeacteprincipal">
    <w:name w:val="Type acte principal"/>
    <w:basedOn w:val="Normal"/>
    <w:next w:val="Objetacteprincipal"/>
    <w:rsid w:val="005643CD"/>
    <w:pPr>
      <w:spacing w:before="0" w:after="240"/>
      <w:jc w:val="center"/>
    </w:pPr>
    <w:rPr>
      <w:b/>
    </w:rPr>
  </w:style>
  <w:style w:type="paragraph" w:customStyle="1" w:styleId="TypeacteprincipalPagedecouverture">
    <w:name w:val="Type acte principal (Page de couverture)"/>
    <w:basedOn w:val="Typeacteprincipal"/>
    <w:next w:val="ObjetacteprincipalPagedecouverture"/>
    <w:rsid w:val="005643CD"/>
  </w:style>
  <w:style w:type="paragraph" w:customStyle="1" w:styleId="Typedudocument">
    <w:name w:val="Type du document"/>
    <w:basedOn w:val="Normal"/>
    <w:next w:val="Titreobjet"/>
    <w:rsid w:val="005643CD"/>
    <w:pPr>
      <w:spacing w:before="360" w:after="0"/>
      <w:jc w:val="center"/>
    </w:pPr>
    <w:rPr>
      <w:b/>
    </w:rPr>
  </w:style>
  <w:style w:type="paragraph" w:customStyle="1" w:styleId="TypedudocumentPagedecouverture">
    <w:name w:val="Type du document (Page de couverture)"/>
    <w:basedOn w:val="Typedudocument"/>
    <w:next w:val="TitreobjetPagedecouverture"/>
    <w:rsid w:val="005643CD"/>
  </w:style>
  <w:style w:type="paragraph" w:customStyle="1" w:styleId="Volume">
    <w:name w:val="Volume"/>
    <w:basedOn w:val="Normal"/>
    <w:next w:val="Confidentialit"/>
    <w:rsid w:val="005643CD"/>
    <w:pPr>
      <w:spacing w:before="0" w:after="240"/>
      <w:ind w:left="5103"/>
      <w:jc w:val="left"/>
    </w:pPr>
  </w:style>
  <w:style w:type="paragraph" w:customStyle="1" w:styleId="Prliminairetitre">
    <w:name w:val="Préliminaire titre"/>
    <w:basedOn w:val="Normal"/>
    <w:next w:val="Normal"/>
    <w:rsid w:val="00D0493A"/>
    <w:pPr>
      <w:spacing w:before="360" w:after="360"/>
      <w:jc w:val="center"/>
    </w:pPr>
    <w:rPr>
      <w:b/>
      <w:lang w:eastAsia="de-DE"/>
    </w:rPr>
  </w:style>
  <w:style w:type="paragraph" w:customStyle="1" w:styleId="Prliminairetype">
    <w:name w:val="Préliminaire type"/>
    <w:basedOn w:val="Normal"/>
    <w:next w:val="Normal"/>
    <w:link w:val="PrliminairetypeChar"/>
    <w:rsid w:val="00D0493A"/>
    <w:pPr>
      <w:spacing w:before="360" w:after="0"/>
      <w:jc w:val="center"/>
    </w:pPr>
    <w:rPr>
      <w:b/>
      <w:lang w:eastAsia="de-DE"/>
    </w:rPr>
  </w:style>
  <w:style w:type="paragraph" w:customStyle="1" w:styleId="Rfrenceinstitutionelle">
    <w:name w:val="Référence institutionelle"/>
    <w:basedOn w:val="Normal"/>
    <w:next w:val="Statut"/>
    <w:rsid w:val="00D0493A"/>
    <w:pPr>
      <w:spacing w:before="0" w:after="240"/>
      <w:ind w:left="5103"/>
      <w:jc w:val="left"/>
    </w:pPr>
    <w:rPr>
      <w:lang w:eastAsia="de-DE"/>
    </w:rPr>
  </w:style>
  <w:style w:type="character" w:customStyle="1" w:styleId="FootnoteTextChar">
    <w:name w:val="Footnote Text Char"/>
    <w:link w:val="FootnoteText"/>
    <w:uiPriority w:val="99"/>
    <w:rsid w:val="00D0493A"/>
    <w:rPr>
      <w:lang w:val="et-EE" w:eastAsia="en-US"/>
    </w:rPr>
  </w:style>
  <w:style w:type="paragraph" w:customStyle="1" w:styleId="FooterCoverPage">
    <w:name w:val="Footer Cover Page"/>
    <w:basedOn w:val="Normal"/>
    <w:link w:val="FooterCoverPageChar"/>
    <w:rsid w:val="00D0493A"/>
    <w:pPr>
      <w:tabs>
        <w:tab w:val="center" w:pos="4535"/>
        <w:tab w:val="right" w:pos="9071"/>
        <w:tab w:val="right" w:pos="9921"/>
      </w:tabs>
      <w:spacing w:before="360" w:after="0"/>
      <w:ind w:left="-850" w:right="-850"/>
      <w:jc w:val="left"/>
    </w:pPr>
  </w:style>
  <w:style w:type="character" w:customStyle="1" w:styleId="PrliminairetypeChar">
    <w:name w:val="Préliminaire type Char"/>
    <w:link w:val="Prliminairetype"/>
    <w:rsid w:val="00D0493A"/>
    <w:rPr>
      <w:b/>
      <w:sz w:val="24"/>
      <w:szCs w:val="24"/>
      <w:shd w:val="clear" w:color="auto" w:fill="auto"/>
      <w:lang w:val="et-EE" w:eastAsia="de-DE"/>
    </w:rPr>
  </w:style>
  <w:style w:type="character" w:customStyle="1" w:styleId="FooterCoverPageChar">
    <w:name w:val="Footer Cover Page Char"/>
    <w:link w:val="FooterCoverPage"/>
    <w:rsid w:val="00D0493A"/>
    <w:rPr>
      <w:sz w:val="24"/>
      <w:szCs w:val="24"/>
      <w:lang w:eastAsia="en-US"/>
    </w:rPr>
  </w:style>
  <w:style w:type="paragraph" w:customStyle="1" w:styleId="HeaderCoverPage">
    <w:name w:val="Header Cover Page"/>
    <w:basedOn w:val="Normal"/>
    <w:link w:val="HeaderCoverPageChar"/>
    <w:rsid w:val="00D0493A"/>
    <w:pPr>
      <w:tabs>
        <w:tab w:val="center" w:pos="4535"/>
        <w:tab w:val="right" w:pos="9071"/>
      </w:tabs>
      <w:spacing w:before="0"/>
    </w:pPr>
  </w:style>
  <w:style w:type="character" w:customStyle="1" w:styleId="HeaderCoverPageChar">
    <w:name w:val="Header Cover Page Char"/>
    <w:link w:val="HeaderCoverPage"/>
    <w:rsid w:val="00D0493A"/>
    <w:rPr>
      <w:sz w:val="24"/>
      <w:szCs w:val="24"/>
      <w:lang w:eastAsia="en-US"/>
    </w:rPr>
  </w:style>
  <w:style w:type="paragraph" w:styleId="BalloonText">
    <w:name w:val="Balloon Text"/>
    <w:basedOn w:val="Normal"/>
    <w:link w:val="BalloonTextChar"/>
    <w:rsid w:val="0030537E"/>
    <w:pPr>
      <w:spacing w:before="0" w:after="0"/>
    </w:pPr>
    <w:rPr>
      <w:rFonts w:ascii="Tahoma" w:hAnsi="Tahoma" w:cs="Tahoma"/>
      <w:sz w:val="16"/>
      <w:szCs w:val="16"/>
    </w:rPr>
  </w:style>
  <w:style w:type="character" w:customStyle="1" w:styleId="BalloonTextChar">
    <w:name w:val="Balloon Text Char"/>
    <w:link w:val="BalloonText"/>
    <w:rsid w:val="0030537E"/>
    <w:rPr>
      <w:rFonts w:ascii="Tahoma" w:hAnsi="Tahoma" w:cs="Tahoma"/>
      <w:sz w:val="16"/>
      <w:szCs w:val="16"/>
      <w:shd w:val="clear" w:color="auto" w:fill="auto"/>
      <w:lang w:eastAsia="en-US"/>
    </w:rPr>
  </w:style>
  <w:style w:type="paragraph" w:customStyle="1" w:styleId="astandard3420chapeau">
    <w:name w:val="a_standard__34__20_chapeau"/>
    <w:basedOn w:val="Normal"/>
    <w:rsid w:val="00CC50F2"/>
    <w:pPr>
      <w:spacing w:before="600" w:after="240"/>
    </w:pPr>
    <w:rPr>
      <w:b/>
      <w:bCs/>
      <w:i/>
      <w:iCs/>
      <w:lang w:eastAsia="en-GB"/>
    </w:rPr>
  </w:style>
  <w:style w:type="paragraph" w:styleId="NormalWeb">
    <w:name w:val="Normal (Web)"/>
    <w:basedOn w:val="Normal"/>
    <w:uiPriority w:val="99"/>
    <w:unhideWhenUsed/>
    <w:rsid w:val="00CC50F2"/>
    <w:pPr>
      <w:spacing w:before="100" w:beforeAutospacing="1" w:after="100" w:afterAutospacing="1"/>
      <w:jc w:val="left"/>
    </w:pPr>
    <w:rPr>
      <w:lang w:eastAsia="en-GB"/>
    </w:rPr>
  </w:style>
  <w:style w:type="character" w:styleId="CommentReference">
    <w:name w:val="annotation reference"/>
    <w:uiPriority w:val="99"/>
    <w:rsid w:val="009E3D9A"/>
    <w:rPr>
      <w:sz w:val="16"/>
      <w:szCs w:val="16"/>
      <w:shd w:val="clear" w:color="auto" w:fill="auto"/>
    </w:rPr>
  </w:style>
  <w:style w:type="paragraph" w:styleId="CommentText">
    <w:name w:val="annotation text"/>
    <w:basedOn w:val="Normal"/>
    <w:link w:val="CommentTextChar"/>
    <w:uiPriority w:val="99"/>
    <w:rsid w:val="009E3D9A"/>
    <w:rPr>
      <w:sz w:val="20"/>
      <w:szCs w:val="20"/>
    </w:rPr>
  </w:style>
  <w:style w:type="character" w:customStyle="1" w:styleId="CommentTextChar">
    <w:name w:val="Comment Text Char"/>
    <w:link w:val="CommentText"/>
    <w:uiPriority w:val="99"/>
    <w:rsid w:val="009E3D9A"/>
    <w:rPr>
      <w:shd w:val="clear" w:color="auto" w:fill="auto"/>
      <w:lang w:eastAsia="en-US"/>
    </w:rPr>
  </w:style>
  <w:style w:type="paragraph" w:styleId="CommentSubject">
    <w:name w:val="annotation subject"/>
    <w:basedOn w:val="CommentText"/>
    <w:next w:val="CommentText"/>
    <w:link w:val="CommentSubjectChar"/>
    <w:rsid w:val="009E3D9A"/>
    <w:rPr>
      <w:b/>
      <w:bCs/>
    </w:rPr>
  </w:style>
  <w:style w:type="character" w:customStyle="1" w:styleId="CommentSubjectChar">
    <w:name w:val="Comment Subject Char"/>
    <w:link w:val="CommentSubject"/>
    <w:rsid w:val="009E3D9A"/>
    <w:rPr>
      <w:b/>
      <w:bCs/>
      <w:shd w:val="clear" w:color="auto" w:fill="auto"/>
      <w:lang w:eastAsia="en-US"/>
    </w:rPr>
  </w:style>
  <w:style w:type="paragraph" w:styleId="ListBullet">
    <w:name w:val="List Bullet"/>
    <w:basedOn w:val="Normal"/>
    <w:rsid w:val="00044C6B"/>
    <w:pPr>
      <w:numPr>
        <w:numId w:val="32"/>
      </w:numPr>
    </w:pPr>
    <w:rPr>
      <w:lang w:eastAsia="de-DE"/>
    </w:rPr>
  </w:style>
  <w:style w:type="paragraph" w:styleId="ListParagraph">
    <w:name w:val="List Paragraph"/>
    <w:basedOn w:val="Normal"/>
    <w:uiPriority w:val="34"/>
    <w:qFormat/>
    <w:rsid w:val="00FB01BE"/>
    <w:pPr>
      <w:spacing w:before="0" w:after="0"/>
      <w:ind w:left="720"/>
      <w:jc w:val="left"/>
    </w:pPr>
    <w:rPr>
      <w:rFonts w:ascii="Calibri" w:hAnsi="Calibri"/>
      <w:sz w:val="22"/>
      <w:szCs w:val="22"/>
    </w:rPr>
  </w:style>
  <w:style w:type="paragraph" w:styleId="PlainText">
    <w:name w:val="Plain Text"/>
    <w:basedOn w:val="Normal"/>
    <w:link w:val="PlainTextChar"/>
    <w:uiPriority w:val="99"/>
    <w:unhideWhenUsed/>
    <w:rsid w:val="000C0C7C"/>
    <w:pPr>
      <w:spacing w:before="0" w:after="0"/>
      <w:jc w:val="left"/>
    </w:pPr>
    <w:rPr>
      <w:rFonts w:ascii="Calibri" w:eastAsia="Calibri" w:hAnsi="Calibri"/>
      <w:sz w:val="22"/>
      <w:szCs w:val="21"/>
    </w:rPr>
  </w:style>
  <w:style w:type="character" w:customStyle="1" w:styleId="PlainTextChar">
    <w:name w:val="Plain Text Char"/>
    <w:link w:val="PlainText"/>
    <w:uiPriority w:val="99"/>
    <w:rsid w:val="000C0C7C"/>
    <w:rPr>
      <w:rFonts w:ascii="Calibri" w:eastAsia="Calibri" w:hAnsi="Calibri"/>
      <w:sz w:val="22"/>
      <w:szCs w:val="21"/>
      <w:shd w:val="clear" w:color="auto" w:fill="auto"/>
      <w:lang w:eastAsia="en-US"/>
    </w:rPr>
  </w:style>
  <w:style w:type="character" w:styleId="Strong">
    <w:name w:val="Strong"/>
    <w:uiPriority w:val="22"/>
    <w:qFormat/>
    <w:rsid w:val="00056FFA"/>
    <w:rPr>
      <w:b/>
      <w:bCs/>
      <w:shd w:val="clear" w:color="auto" w:fill="auto"/>
    </w:rPr>
  </w:style>
  <w:style w:type="paragraph" w:customStyle="1" w:styleId="Default">
    <w:name w:val="Default"/>
    <w:rsid w:val="00AD18AE"/>
    <w:pPr>
      <w:autoSpaceDE w:val="0"/>
      <w:autoSpaceDN w:val="0"/>
      <w:adjustRightInd w:val="0"/>
    </w:pPr>
    <w:rPr>
      <w:rFonts w:ascii="EUAlbertina" w:hAnsi="EUAlbertina" w:cs="EUAlbertina"/>
      <w:color w:val="000000"/>
      <w:sz w:val="24"/>
      <w:szCs w:val="24"/>
      <w:lang w:eastAsia="en-GB"/>
    </w:rPr>
  </w:style>
  <w:style w:type="character" w:customStyle="1" w:styleId="Heading2Char">
    <w:name w:val="Heading 2 Char"/>
    <w:link w:val="Heading2"/>
    <w:rsid w:val="0074381D"/>
    <w:rPr>
      <w:b/>
      <w:bCs/>
      <w:iCs/>
      <w:sz w:val="24"/>
      <w:szCs w:val="28"/>
      <w:lang w:eastAsia="en-US"/>
    </w:rPr>
  </w:style>
  <w:style w:type="paragraph" w:customStyle="1" w:styleId="centerleadin">
    <w:name w:val="center_leadin"/>
    <w:basedOn w:val="Normal"/>
    <w:rsid w:val="00476CE1"/>
    <w:pPr>
      <w:spacing w:before="0" w:after="0"/>
      <w:jc w:val="left"/>
    </w:pPr>
    <w:rPr>
      <w:rFonts w:eastAsia="Calibri"/>
      <w:sz w:val="17"/>
      <w:szCs w:val="17"/>
      <w:lang w:eastAsia="en-GB"/>
    </w:rPr>
  </w:style>
  <w:style w:type="character" w:styleId="Hyperlink">
    <w:name w:val="Hyperlink"/>
    <w:rsid w:val="00B869C6"/>
    <w:rPr>
      <w:color w:val="0000FF"/>
      <w:u w:val="single"/>
      <w:shd w:val="clear" w:color="auto" w:fill="auto"/>
    </w:rPr>
  </w:style>
  <w:style w:type="table" w:styleId="TableGrid">
    <w:name w:val="Table Grid"/>
    <w:basedOn w:val="TableNormal"/>
    <w:rsid w:val="00CA52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D09A7"/>
    <w:rPr>
      <w:b/>
      <w:bCs/>
      <w:smallCaps/>
      <w:noProof/>
      <w:sz w:val="24"/>
      <w:szCs w:val="32"/>
      <w:lang w:eastAsia="en-US"/>
    </w:rPr>
  </w:style>
  <w:style w:type="character" w:customStyle="1" w:styleId="Heading3Char">
    <w:name w:val="Heading 3 Char"/>
    <w:link w:val="Heading3"/>
    <w:rsid w:val="001D09A7"/>
    <w:rPr>
      <w:bCs/>
      <w:i/>
      <w:sz w:val="24"/>
      <w:szCs w:val="26"/>
      <w:lang w:eastAsia="en-US"/>
    </w:rPr>
  </w:style>
  <w:style w:type="character" w:customStyle="1" w:styleId="Heading4Char">
    <w:name w:val="Heading 4 Char"/>
    <w:link w:val="Heading4"/>
    <w:rsid w:val="001D09A7"/>
    <w:rPr>
      <w:bCs/>
      <w:sz w:val="24"/>
      <w:szCs w:val="28"/>
      <w:lang w:eastAsia="en-US"/>
    </w:rPr>
  </w:style>
  <w:style w:type="character" w:customStyle="1" w:styleId="FooterChar">
    <w:name w:val="Footer Char"/>
    <w:link w:val="Footer"/>
    <w:uiPriority w:val="99"/>
    <w:rsid w:val="00CC430A"/>
    <w:rPr>
      <w:rFonts w:eastAsia="Calibri"/>
      <w:sz w:val="24"/>
      <w:szCs w:val="22"/>
      <w:lang w:eastAsia="en-US"/>
    </w:rPr>
  </w:style>
  <w:style w:type="character" w:customStyle="1" w:styleId="HeaderChar">
    <w:name w:val="Header Char"/>
    <w:link w:val="Header"/>
    <w:uiPriority w:val="99"/>
    <w:rsid w:val="00CC430A"/>
    <w:rPr>
      <w:rFonts w:eastAsia="Calibri"/>
      <w:sz w:val="24"/>
      <w:szCs w:val="22"/>
      <w:lang w:eastAsia="en-US"/>
    </w:rPr>
  </w:style>
  <w:style w:type="character" w:styleId="FollowedHyperlink">
    <w:name w:val="FollowedHyperlink"/>
    <w:uiPriority w:val="99"/>
    <w:unhideWhenUsed/>
    <w:rsid w:val="001D09A7"/>
    <w:rPr>
      <w:color w:val="800080"/>
      <w:u w:val="single"/>
      <w:shd w:val="clear" w:color="auto" w:fill="auto"/>
    </w:rPr>
  </w:style>
  <w:style w:type="paragraph" w:customStyle="1" w:styleId="Declassification">
    <w:name w:val="Declassification"/>
    <w:basedOn w:val="Normal"/>
    <w:next w:val="Normal"/>
    <w:rsid w:val="00CC430A"/>
    <w:pPr>
      <w:spacing w:before="0" w:after="0"/>
    </w:pPr>
    <w:rPr>
      <w:rFonts w:eastAsia="Calibri"/>
      <w:szCs w:val="22"/>
    </w:rPr>
  </w:style>
  <w:style w:type="paragraph" w:customStyle="1" w:styleId="HeaderSensitivity">
    <w:name w:val="Header Sensitivity"/>
    <w:basedOn w:val="Normal"/>
    <w:rsid w:val="00CC430A"/>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CC430A"/>
    <w:pPr>
      <w:spacing w:before="0"/>
      <w:jc w:val="right"/>
    </w:pPr>
    <w:rPr>
      <w:sz w:val="28"/>
    </w:rPr>
  </w:style>
  <w:style w:type="paragraph" w:customStyle="1" w:styleId="FooterSensitivity">
    <w:name w:val="Footer Sensitivity"/>
    <w:basedOn w:val="Normal"/>
    <w:rsid w:val="00CC430A"/>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Disclaimer">
    <w:name w:val="Disclaimer"/>
    <w:basedOn w:val="Normal"/>
    <w:rsid w:val="00CC430A"/>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rPr>
      <w:rFonts w:eastAsia="Calibri"/>
      <w:szCs w:val="22"/>
    </w:rPr>
  </w:style>
  <w:style w:type="paragraph" w:customStyle="1" w:styleId="SecurityMarking">
    <w:name w:val="SecurityMarking"/>
    <w:basedOn w:val="Normal"/>
    <w:rsid w:val="00CC430A"/>
    <w:pPr>
      <w:spacing w:before="0" w:after="0" w:line="276" w:lineRule="auto"/>
      <w:ind w:left="5103"/>
      <w:jc w:val="left"/>
    </w:pPr>
    <w:rPr>
      <w:rFonts w:eastAsia="Calibri"/>
      <w:sz w:val="28"/>
      <w:szCs w:val="22"/>
    </w:rPr>
  </w:style>
  <w:style w:type="paragraph" w:customStyle="1" w:styleId="DateMarking">
    <w:name w:val="DateMarking"/>
    <w:basedOn w:val="Normal"/>
    <w:rsid w:val="00CC430A"/>
    <w:pPr>
      <w:spacing w:before="0" w:after="0" w:line="276" w:lineRule="auto"/>
      <w:ind w:left="5103"/>
      <w:jc w:val="left"/>
    </w:pPr>
    <w:rPr>
      <w:rFonts w:eastAsia="Calibri"/>
      <w:i/>
      <w:sz w:val="28"/>
      <w:szCs w:val="22"/>
    </w:rPr>
  </w:style>
  <w:style w:type="paragraph" w:customStyle="1" w:styleId="ReleasableTo">
    <w:name w:val="ReleasableTo"/>
    <w:basedOn w:val="Normal"/>
    <w:rsid w:val="00CC430A"/>
    <w:pPr>
      <w:spacing w:before="0" w:after="0" w:line="276" w:lineRule="auto"/>
      <w:ind w:left="5103"/>
      <w:jc w:val="left"/>
    </w:pPr>
    <w:rPr>
      <w:rFonts w:eastAsia="Calibri"/>
      <w:i/>
      <w:sz w:val="28"/>
      <w:szCs w:val="22"/>
    </w:rPr>
  </w:style>
  <w:style w:type="paragraph" w:styleId="Revision">
    <w:name w:val="Revision"/>
    <w:hidden/>
    <w:uiPriority w:val="99"/>
    <w:semiHidden/>
    <w:rsid w:val="00DA6A1A"/>
    <w:rPr>
      <w:sz w:val="24"/>
      <w:szCs w:val="24"/>
      <w:lang w:eastAsia="en-US"/>
    </w:rPr>
  </w:style>
  <w:style w:type="character" w:customStyle="1" w:styleId="ui-provider">
    <w:name w:val="ui-provider"/>
    <w:rsid w:val="008F1EB0"/>
  </w:style>
  <w:style w:type="character" w:customStyle="1" w:styleId="Nerijeenospominjanje1">
    <w:name w:val="Neriješeno spominjanje1"/>
    <w:uiPriority w:val="99"/>
    <w:semiHidden/>
    <w:unhideWhenUsed/>
    <w:rsid w:val="00FE16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03158">
      <w:bodyDiv w:val="1"/>
      <w:marLeft w:val="0"/>
      <w:marRight w:val="0"/>
      <w:marTop w:val="0"/>
      <w:marBottom w:val="0"/>
      <w:divBdr>
        <w:top w:val="none" w:sz="0" w:space="0" w:color="auto"/>
        <w:left w:val="none" w:sz="0" w:space="0" w:color="auto"/>
        <w:bottom w:val="none" w:sz="0" w:space="0" w:color="auto"/>
        <w:right w:val="none" w:sz="0" w:space="0" w:color="auto"/>
      </w:divBdr>
      <w:divsChild>
        <w:div w:id="1238973377">
          <w:marLeft w:val="0"/>
          <w:marRight w:val="0"/>
          <w:marTop w:val="0"/>
          <w:marBottom w:val="0"/>
          <w:divBdr>
            <w:top w:val="none" w:sz="0" w:space="0" w:color="auto"/>
            <w:left w:val="none" w:sz="0" w:space="0" w:color="auto"/>
            <w:bottom w:val="none" w:sz="0" w:space="0" w:color="auto"/>
            <w:right w:val="none" w:sz="0" w:space="0" w:color="auto"/>
          </w:divBdr>
          <w:divsChild>
            <w:div w:id="297882145">
              <w:marLeft w:val="0"/>
              <w:marRight w:val="0"/>
              <w:marTop w:val="0"/>
              <w:marBottom w:val="0"/>
              <w:divBdr>
                <w:top w:val="none" w:sz="0" w:space="0" w:color="auto"/>
                <w:left w:val="none" w:sz="0" w:space="0" w:color="auto"/>
                <w:bottom w:val="none" w:sz="0" w:space="0" w:color="auto"/>
                <w:right w:val="none" w:sz="0" w:space="0" w:color="auto"/>
              </w:divBdr>
              <w:divsChild>
                <w:div w:id="803617426">
                  <w:marLeft w:val="0"/>
                  <w:marRight w:val="0"/>
                  <w:marTop w:val="0"/>
                  <w:marBottom w:val="0"/>
                  <w:divBdr>
                    <w:top w:val="none" w:sz="0" w:space="0" w:color="auto"/>
                    <w:left w:val="none" w:sz="0" w:space="0" w:color="auto"/>
                    <w:bottom w:val="none" w:sz="0" w:space="0" w:color="auto"/>
                    <w:right w:val="none" w:sz="0" w:space="0" w:color="auto"/>
                  </w:divBdr>
                  <w:divsChild>
                    <w:div w:id="613899188">
                      <w:marLeft w:val="0"/>
                      <w:marRight w:val="0"/>
                      <w:marTop w:val="0"/>
                      <w:marBottom w:val="0"/>
                      <w:divBdr>
                        <w:top w:val="none" w:sz="0" w:space="0" w:color="auto"/>
                        <w:left w:val="none" w:sz="0" w:space="0" w:color="auto"/>
                        <w:bottom w:val="none" w:sz="0" w:space="0" w:color="auto"/>
                        <w:right w:val="none" w:sz="0" w:space="0" w:color="auto"/>
                      </w:divBdr>
                      <w:divsChild>
                        <w:div w:id="1320690147">
                          <w:marLeft w:val="0"/>
                          <w:marRight w:val="0"/>
                          <w:marTop w:val="0"/>
                          <w:marBottom w:val="0"/>
                          <w:divBdr>
                            <w:top w:val="none" w:sz="0" w:space="0" w:color="auto"/>
                            <w:left w:val="none" w:sz="0" w:space="0" w:color="auto"/>
                            <w:bottom w:val="none" w:sz="0" w:space="0" w:color="auto"/>
                            <w:right w:val="none" w:sz="0" w:space="0" w:color="auto"/>
                          </w:divBdr>
                          <w:divsChild>
                            <w:div w:id="428935291">
                              <w:marLeft w:val="0"/>
                              <w:marRight w:val="0"/>
                              <w:marTop w:val="0"/>
                              <w:marBottom w:val="0"/>
                              <w:divBdr>
                                <w:top w:val="none" w:sz="0" w:space="0" w:color="auto"/>
                                <w:left w:val="none" w:sz="0" w:space="0" w:color="auto"/>
                                <w:bottom w:val="none" w:sz="0" w:space="0" w:color="auto"/>
                                <w:right w:val="none" w:sz="0" w:space="0" w:color="auto"/>
                              </w:divBdr>
                              <w:divsChild>
                                <w:div w:id="186859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717642">
      <w:bodyDiv w:val="1"/>
      <w:marLeft w:val="0"/>
      <w:marRight w:val="0"/>
      <w:marTop w:val="0"/>
      <w:marBottom w:val="0"/>
      <w:divBdr>
        <w:top w:val="none" w:sz="0" w:space="0" w:color="auto"/>
        <w:left w:val="none" w:sz="0" w:space="0" w:color="auto"/>
        <w:bottom w:val="none" w:sz="0" w:space="0" w:color="auto"/>
        <w:right w:val="none" w:sz="0" w:space="0" w:color="auto"/>
      </w:divBdr>
    </w:div>
    <w:div w:id="385182072">
      <w:bodyDiv w:val="1"/>
      <w:marLeft w:val="0"/>
      <w:marRight w:val="0"/>
      <w:marTop w:val="0"/>
      <w:marBottom w:val="0"/>
      <w:divBdr>
        <w:top w:val="none" w:sz="0" w:space="0" w:color="auto"/>
        <w:left w:val="none" w:sz="0" w:space="0" w:color="auto"/>
        <w:bottom w:val="none" w:sz="0" w:space="0" w:color="auto"/>
        <w:right w:val="none" w:sz="0" w:space="0" w:color="auto"/>
      </w:divBdr>
    </w:div>
    <w:div w:id="490677799">
      <w:bodyDiv w:val="1"/>
      <w:marLeft w:val="0"/>
      <w:marRight w:val="0"/>
      <w:marTop w:val="0"/>
      <w:marBottom w:val="0"/>
      <w:divBdr>
        <w:top w:val="none" w:sz="0" w:space="0" w:color="auto"/>
        <w:left w:val="none" w:sz="0" w:space="0" w:color="auto"/>
        <w:bottom w:val="none" w:sz="0" w:space="0" w:color="auto"/>
        <w:right w:val="none" w:sz="0" w:space="0" w:color="auto"/>
      </w:divBdr>
    </w:div>
    <w:div w:id="600380732">
      <w:bodyDiv w:val="1"/>
      <w:marLeft w:val="0"/>
      <w:marRight w:val="0"/>
      <w:marTop w:val="0"/>
      <w:marBottom w:val="0"/>
      <w:divBdr>
        <w:top w:val="none" w:sz="0" w:space="0" w:color="auto"/>
        <w:left w:val="none" w:sz="0" w:space="0" w:color="auto"/>
        <w:bottom w:val="none" w:sz="0" w:space="0" w:color="auto"/>
        <w:right w:val="none" w:sz="0" w:space="0" w:color="auto"/>
      </w:divBdr>
    </w:div>
    <w:div w:id="618725964">
      <w:bodyDiv w:val="1"/>
      <w:marLeft w:val="0"/>
      <w:marRight w:val="0"/>
      <w:marTop w:val="0"/>
      <w:marBottom w:val="0"/>
      <w:divBdr>
        <w:top w:val="none" w:sz="0" w:space="0" w:color="auto"/>
        <w:left w:val="none" w:sz="0" w:space="0" w:color="auto"/>
        <w:bottom w:val="none" w:sz="0" w:space="0" w:color="auto"/>
        <w:right w:val="none" w:sz="0" w:space="0" w:color="auto"/>
      </w:divBdr>
    </w:div>
    <w:div w:id="780730420">
      <w:bodyDiv w:val="1"/>
      <w:marLeft w:val="0"/>
      <w:marRight w:val="0"/>
      <w:marTop w:val="0"/>
      <w:marBottom w:val="0"/>
      <w:divBdr>
        <w:top w:val="none" w:sz="0" w:space="0" w:color="auto"/>
        <w:left w:val="none" w:sz="0" w:space="0" w:color="auto"/>
        <w:bottom w:val="none" w:sz="0" w:space="0" w:color="auto"/>
        <w:right w:val="none" w:sz="0" w:space="0" w:color="auto"/>
      </w:divBdr>
    </w:div>
    <w:div w:id="929436582">
      <w:bodyDiv w:val="1"/>
      <w:marLeft w:val="0"/>
      <w:marRight w:val="0"/>
      <w:marTop w:val="0"/>
      <w:marBottom w:val="0"/>
      <w:divBdr>
        <w:top w:val="none" w:sz="0" w:space="0" w:color="auto"/>
        <w:left w:val="none" w:sz="0" w:space="0" w:color="auto"/>
        <w:bottom w:val="none" w:sz="0" w:space="0" w:color="auto"/>
        <w:right w:val="none" w:sz="0" w:space="0" w:color="auto"/>
      </w:divBdr>
    </w:div>
    <w:div w:id="974875029">
      <w:bodyDiv w:val="1"/>
      <w:marLeft w:val="0"/>
      <w:marRight w:val="0"/>
      <w:marTop w:val="0"/>
      <w:marBottom w:val="0"/>
      <w:divBdr>
        <w:top w:val="none" w:sz="0" w:space="0" w:color="auto"/>
        <w:left w:val="none" w:sz="0" w:space="0" w:color="auto"/>
        <w:bottom w:val="none" w:sz="0" w:space="0" w:color="auto"/>
        <w:right w:val="none" w:sz="0" w:space="0" w:color="auto"/>
      </w:divBdr>
      <w:divsChild>
        <w:div w:id="221254252">
          <w:marLeft w:val="0"/>
          <w:marRight w:val="0"/>
          <w:marTop w:val="0"/>
          <w:marBottom w:val="0"/>
          <w:divBdr>
            <w:top w:val="none" w:sz="0" w:space="0" w:color="auto"/>
            <w:left w:val="single" w:sz="12" w:space="0" w:color="003399"/>
            <w:bottom w:val="none" w:sz="0" w:space="0" w:color="auto"/>
            <w:right w:val="single" w:sz="12" w:space="0" w:color="003399"/>
          </w:divBdr>
          <w:divsChild>
            <w:div w:id="1791194884">
              <w:marLeft w:val="0"/>
              <w:marRight w:val="0"/>
              <w:marTop w:val="0"/>
              <w:marBottom w:val="0"/>
              <w:divBdr>
                <w:top w:val="single" w:sz="12" w:space="0" w:color="C2D5E5"/>
                <w:left w:val="none" w:sz="0" w:space="0" w:color="auto"/>
                <w:bottom w:val="none" w:sz="0" w:space="0" w:color="auto"/>
                <w:right w:val="none" w:sz="0" w:space="0" w:color="auto"/>
              </w:divBdr>
              <w:divsChild>
                <w:div w:id="1527788347">
                  <w:marLeft w:val="0"/>
                  <w:marRight w:val="0"/>
                  <w:marTop w:val="0"/>
                  <w:marBottom w:val="0"/>
                  <w:divBdr>
                    <w:top w:val="none" w:sz="0" w:space="0" w:color="auto"/>
                    <w:left w:val="none" w:sz="0" w:space="0" w:color="auto"/>
                    <w:bottom w:val="none" w:sz="0" w:space="0" w:color="auto"/>
                    <w:right w:val="none" w:sz="0" w:space="0" w:color="auto"/>
                  </w:divBdr>
                  <w:divsChild>
                    <w:div w:id="133763285">
                      <w:marLeft w:val="75"/>
                      <w:marRight w:val="75"/>
                      <w:marTop w:val="75"/>
                      <w:marBottom w:val="75"/>
                      <w:divBdr>
                        <w:top w:val="none" w:sz="0" w:space="0" w:color="auto"/>
                        <w:left w:val="none" w:sz="0" w:space="0" w:color="auto"/>
                        <w:bottom w:val="none" w:sz="0" w:space="0" w:color="auto"/>
                        <w:right w:val="none" w:sz="0" w:space="0" w:color="auto"/>
                      </w:divBdr>
                      <w:divsChild>
                        <w:div w:id="1725517506">
                          <w:marLeft w:val="0"/>
                          <w:marRight w:val="0"/>
                          <w:marTop w:val="0"/>
                          <w:marBottom w:val="0"/>
                          <w:divBdr>
                            <w:top w:val="none" w:sz="0" w:space="0" w:color="auto"/>
                            <w:left w:val="none" w:sz="0" w:space="0" w:color="auto"/>
                            <w:bottom w:val="none" w:sz="0" w:space="0" w:color="auto"/>
                            <w:right w:val="none" w:sz="0" w:space="0" w:color="auto"/>
                          </w:divBdr>
                          <w:divsChild>
                            <w:div w:id="172097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319951">
      <w:bodyDiv w:val="1"/>
      <w:marLeft w:val="0"/>
      <w:marRight w:val="0"/>
      <w:marTop w:val="0"/>
      <w:marBottom w:val="0"/>
      <w:divBdr>
        <w:top w:val="none" w:sz="0" w:space="0" w:color="auto"/>
        <w:left w:val="none" w:sz="0" w:space="0" w:color="auto"/>
        <w:bottom w:val="none" w:sz="0" w:space="0" w:color="auto"/>
        <w:right w:val="none" w:sz="0" w:space="0" w:color="auto"/>
      </w:divBdr>
    </w:div>
    <w:div w:id="1262569318">
      <w:bodyDiv w:val="1"/>
      <w:marLeft w:val="0"/>
      <w:marRight w:val="0"/>
      <w:marTop w:val="0"/>
      <w:marBottom w:val="0"/>
      <w:divBdr>
        <w:top w:val="none" w:sz="0" w:space="0" w:color="auto"/>
        <w:left w:val="none" w:sz="0" w:space="0" w:color="auto"/>
        <w:bottom w:val="none" w:sz="0" w:space="0" w:color="auto"/>
        <w:right w:val="none" w:sz="0" w:space="0" w:color="auto"/>
      </w:divBdr>
    </w:div>
    <w:div w:id="1664049408">
      <w:bodyDiv w:val="1"/>
      <w:marLeft w:val="0"/>
      <w:marRight w:val="0"/>
      <w:marTop w:val="0"/>
      <w:marBottom w:val="0"/>
      <w:divBdr>
        <w:top w:val="none" w:sz="0" w:space="0" w:color="auto"/>
        <w:left w:val="none" w:sz="0" w:space="0" w:color="auto"/>
        <w:bottom w:val="none" w:sz="0" w:space="0" w:color="auto"/>
        <w:right w:val="none" w:sz="0" w:space="0" w:color="auto"/>
      </w:divBdr>
    </w:div>
    <w:div w:id="1710447112">
      <w:bodyDiv w:val="1"/>
      <w:marLeft w:val="0"/>
      <w:marRight w:val="0"/>
      <w:marTop w:val="0"/>
      <w:marBottom w:val="0"/>
      <w:divBdr>
        <w:top w:val="none" w:sz="0" w:space="0" w:color="auto"/>
        <w:left w:val="none" w:sz="0" w:space="0" w:color="auto"/>
        <w:bottom w:val="none" w:sz="0" w:space="0" w:color="auto"/>
        <w:right w:val="none" w:sz="0" w:space="0" w:color="auto"/>
      </w:divBdr>
    </w:div>
    <w:div w:id="1729257453">
      <w:bodyDiv w:val="1"/>
      <w:marLeft w:val="0"/>
      <w:marRight w:val="0"/>
      <w:marTop w:val="0"/>
      <w:marBottom w:val="0"/>
      <w:divBdr>
        <w:top w:val="none" w:sz="0" w:space="0" w:color="auto"/>
        <w:left w:val="none" w:sz="0" w:space="0" w:color="auto"/>
        <w:bottom w:val="none" w:sz="0" w:space="0" w:color="auto"/>
        <w:right w:val="none" w:sz="0" w:space="0" w:color="auto"/>
      </w:divBdr>
    </w:div>
    <w:div w:id="206297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s://economy-finance.ec.europa.eu/euro/eu-countries-and-euro/croatia-and-euro_et" TargetMode="External"/><Relationship Id="rId2" Type="http://schemas.openxmlformats.org/officeDocument/2006/relationships/hyperlink" Target="https://economy-finance.ec.europa.eu/euro/eu-countries-and-euro/croatia-and-euro_et" TargetMode="External"/><Relationship Id="rId1" Type="http://schemas.openxmlformats.org/officeDocument/2006/relationships/hyperlink" Target="%20http://ec.europa.eu/economy_finance/articles/pdf/fl412_report_final_en.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1987089B2DDC4EA3C5EEDA50AEC7B2" ma:contentTypeVersion="6" ma:contentTypeDescription="Create a new document." ma:contentTypeScope="" ma:versionID="b2d6a2777aba4b963b966a82f64ac488">
  <xsd:schema xmlns:xsd="http://www.w3.org/2001/XMLSchema" xmlns:xs="http://www.w3.org/2001/XMLSchema" xmlns:p="http://schemas.microsoft.com/office/2006/metadata/properties" xmlns:ns2="122f29e7-6632-4cfe-826d-d0aa7d34b0a3" xmlns:ns3="0963436b-35f1-4197-85e1-d8d1686f5aa4" targetNamespace="http://schemas.microsoft.com/office/2006/metadata/properties" ma:root="true" ma:fieldsID="b7917f30f66dfb63db497f86f3431eaa" ns2:_="" ns3:_="">
    <xsd:import namespace="122f29e7-6632-4cfe-826d-d0aa7d34b0a3"/>
    <xsd:import namespace="0963436b-35f1-4197-85e1-d8d1686f5a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f29e7-6632-4cfe-826d-d0aa7d34b0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63436b-35f1-4197-85e1-d8d1686f5a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75CB6-C372-4CC6-A9B5-4A10EE0C49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AF816F-C734-4916-84CA-3E1B3842CCCC}">
  <ds:schemaRefs>
    <ds:schemaRef ds:uri="http://schemas.microsoft.com/sharepoint/v3/contenttype/forms"/>
  </ds:schemaRefs>
</ds:datastoreItem>
</file>

<file path=customXml/itemProps3.xml><?xml version="1.0" encoding="utf-8"?>
<ds:datastoreItem xmlns:ds="http://schemas.openxmlformats.org/officeDocument/2006/customXml" ds:itemID="{F58452E2-910F-4F84-BFF1-ECE6201A3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2f29e7-6632-4cfe-826d-d0aa7d34b0a3"/>
    <ds:schemaRef ds:uri="0963436b-35f1-4197-85e1-d8d1686f5a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2C032C-455F-4481-8591-BFF4875B2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3613</Words>
  <Characters>26415</Characters>
  <Application>Microsoft Office Word</Application>
  <DocSecurity>0</DocSecurity>
  <Lines>382</Lines>
  <Paragraphs>94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Manager/>
  <Company/>
  <LinksUpToDate>false</LinksUpToDate>
  <CharactersWithSpaces>29934</CharactersWithSpaces>
  <SharedDoc>false</SharedDoc>
  <HLinks>
    <vt:vector size="18" baseType="variant">
      <vt:variant>
        <vt:i4>2424897</vt:i4>
      </vt:variant>
      <vt:variant>
        <vt:i4>6</vt:i4>
      </vt:variant>
      <vt:variant>
        <vt:i4>0</vt:i4>
      </vt:variant>
      <vt:variant>
        <vt:i4>5</vt:i4>
      </vt:variant>
      <vt:variant>
        <vt:lpwstr>https://economy-finance.ec.europa.eu/euro/eu-countries-and-euro/croatia-and-euro_en</vt:lpwstr>
      </vt:variant>
      <vt:variant>
        <vt:lpwstr/>
      </vt:variant>
      <vt:variant>
        <vt:i4>2424897</vt:i4>
      </vt:variant>
      <vt:variant>
        <vt:i4>3</vt:i4>
      </vt:variant>
      <vt:variant>
        <vt:i4>0</vt:i4>
      </vt:variant>
      <vt:variant>
        <vt:i4>5</vt:i4>
      </vt:variant>
      <vt:variant>
        <vt:lpwstr>https://economy-finance.ec.europa.eu/euro/eu-countries-and-euro/croatia-and-euro_en</vt:lpwstr>
      </vt:variant>
      <vt:variant>
        <vt:lpwstr/>
      </vt:variant>
      <vt:variant>
        <vt:i4>5767177</vt:i4>
      </vt:variant>
      <vt:variant>
        <vt:i4>0</vt:i4>
      </vt:variant>
      <vt:variant>
        <vt:i4>0</vt:i4>
      </vt:variant>
      <vt:variant>
        <vt:i4>5</vt:i4>
      </vt:variant>
      <vt:variant>
        <vt:lpwstr>http://ec.europa.eu/economy_finance/articles/pdf/fl412_report_final_en.pdf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EC CoDe</cp:lastModifiedBy>
  <cp:revision>35</cp:revision>
  <cp:lastPrinted>2023-03-16T09:44:00Z</cp:lastPrinted>
  <dcterms:created xsi:type="dcterms:W3CDTF">2023-05-08T14:15:00Z</dcterms:created>
  <dcterms:modified xsi:type="dcterms:W3CDTF">2023-06-30T07:27:00Z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9.0, Build 20230317</vt:lpwstr>
  </property>
  <property fmtid="{D5CDD505-2E9C-101B-9397-08002B2CF9AE}" pid="7" name="CPTemplateID">
    <vt:lpwstr>CP-003</vt:lpwstr>
  </property>
  <property fmtid="{D5CDD505-2E9C-101B-9397-08002B2CF9AE}" pid="8" name="MSIP_Label_6bd9ddd1-4d20-43f6-abfa-fc3c07406f94_Enabled">
    <vt:lpwstr>true</vt:lpwstr>
  </property>
  <property fmtid="{D5CDD505-2E9C-101B-9397-08002B2CF9AE}" pid="9" name="MSIP_Label_6bd9ddd1-4d20-43f6-abfa-fc3c07406f94_SetDate">
    <vt:lpwstr>2023-01-30T09:58:35Z</vt:lpwstr>
  </property>
  <property fmtid="{D5CDD505-2E9C-101B-9397-08002B2CF9AE}" pid="10" name="MSIP_Label_6bd9ddd1-4d20-43f6-abfa-fc3c07406f94_Method">
    <vt:lpwstr>Standard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d30530c2-c087-438a-b4e0-2c5a713f2889</vt:lpwstr>
  </property>
  <property fmtid="{D5CDD505-2E9C-101B-9397-08002B2CF9AE}" pid="14" name="MSIP_Label_6bd9ddd1-4d20-43f6-abfa-fc3c07406f94_ContentBits">
    <vt:lpwstr>0</vt:lpwstr>
  </property>
</Properties>
</file>