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3DDBE" w14:textId="696A8624" w:rsidR="001511F7" w:rsidRPr="00BE254E" w:rsidRDefault="00387CCB" w:rsidP="00387CCB">
      <w:pPr>
        <w:pStyle w:val="Pagedecouverture"/>
        <w:rPr>
          <w:noProof/>
        </w:rPr>
      </w:pPr>
      <w:r>
        <w:rPr>
          <w:noProof/>
        </w:rPr>
        <w:pict w14:anchorId="403E1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4C97BC54-D580-491C-8F16-BE8128825188" style="width:455.25pt;height:414pt">
            <v:imagedata r:id="rId7" o:title=""/>
          </v:shape>
        </w:pict>
      </w:r>
    </w:p>
    <w:p w14:paraId="771EA035" w14:textId="77777777" w:rsidR="001511F7" w:rsidRPr="00BE254E" w:rsidRDefault="001511F7" w:rsidP="001511F7">
      <w:pPr>
        <w:rPr>
          <w:noProof/>
        </w:rPr>
        <w:sectPr w:rsidR="001511F7" w:rsidRPr="00BE254E" w:rsidSect="00387CCB">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6CF4F774" w14:textId="77777777" w:rsidR="001511F7" w:rsidRPr="00BE254E" w:rsidRDefault="001511F7" w:rsidP="001511F7">
      <w:pPr>
        <w:pStyle w:val="Annexetitre"/>
        <w:rPr>
          <w:noProof/>
        </w:rPr>
      </w:pPr>
      <w:bookmarkStart w:id="0" w:name="_GoBack"/>
      <w:bookmarkEnd w:id="0"/>
      <w:r w:rsidRPr="00BE254E">
        <w:rPr>
          <w:noProof/>
        </w:rPr>
        <w:lastRenderedPageBreak/>
        <w:t>LIITE I</w:t>
      </w:r>
    </w:p>
    <w:p w14:paraId="0CC6140E" w14:textId="77777777" w:rsidR="001511F7" w:rsidRPr="00BE254E" w:rsidRDefault="001511F7" w:rsidP="001511F7">
      <w:pPr>
        <w:pStyle w:val="NormalCentered"/>
        <w:jc w:val="left"/>
        <w:rPr>
          <w:noProof/>
        </w:rPr>
      </w:pPr>
      <w:r w:rsidRPr="00BE254E">
        <w:rPr>
          <w:b/>
          <w:noProof/>
          <w:u w:val="single"/>
        </w:rPr>
        <w:t>18 artiklan 2 kohdan mukainen selitys Euroopan unionin toimivallasta asioissa, jotka kuuluvat Yhdistyneiden kansakuntien yleiskokouksen New Yorkissa 7 päivänä joulukuuta 2022 hyväksymän alusten pakkomyyntiä koskevan Pekingin yleissopimuksen soveltamisalaan ja joiden osalta jäsenvaltiot ovat siirtäneet toimivallan Euroopan unionille</w:t>
      </w:r>
    </w:p>
    <w:p w14:paraId="25FC1AC1" w14:textId="77777777" w:rsidR="001511F7" w:rsidRPr="00BE254E" w:rsidRDefault="001511F7" w:rsidP="001511F7">
      <w:pPr>
        <w:pStyle w:val="ManualNumPar1"/>
        <w:rPr>
          <w:noProof/>
        </w:rPr>
      </w:pPr>
      <w:r w:rsidRPr="00BE254E">
        <w:rPr>
          <w:noProof/>
        </w:rPr>
        <w:t>1.</w:t>
      </w:r>
      <w:r w:rsidRPr="00BE254E">
        <w:rPr>
          <w:noProof/>
        </w:rPr>
        <w:tab/>
        <w:t>Alusten pakkomyyntiä koskevan Pekingin yleissopimuksen 18 artiklan 1 kohdassa määrätään, että itsenäisten valtioiden perustama alueellinen taloudellisen yhdentymisen järjestö, jolla on toimivaltaa tietyissä tämän yleissopimuksen soveltamisalaan kuuluvissa asioissa, voi allekirjoittaa yleissopimuksen sillä edellytyksellä, että se antaa 18 artiklan 2 kohdassa tarkoitetun selityksen. Euroopan unioni on päättänyt allekirjoittaa alusten pakkomyyntiä koskevan Pekingin yleissopimuksen, ja se antaa sen vuoksi kyseisen selityksen.</w:t>
      </w:r>
    </w:p>
    <w:p w14:paraId="539B2465" w14:textId="77777777" w:rsidR="001511F7" w:rsidRPr="00BE254E" w:rsidRDefault="001511F7" w:rsidP="001511F7">
      <w:pPr>
        <w:pStyle w:val="ManualNumPar1"/>
        <w:rPr>
          <w:noProof/>
        </w:rPr>
      </w:pPr>
      <w:r w:rsidRPr="00BE254E">
        <w:rPr>
          <w:noProof/>
        </w:rPr>
        <w:t>2.</w:t>
      </w:r>
      <w:r w:rsidRPr="00BE254E">
        <w:rPr>
          <w:noProof/>
        </w:rPr>
        <w:tab/>
        <w:t>Euroopan unionin nykyiset jäsenvaltiot ovat Belgian kuningaskunta, Bulgarian tasavalta, Tšekin tasavalta, Tanskan kuningaskunta, Saksan liittotasavalta, Viron tasavalta, [Irlanti], Helleenien tasavalta, Espanjan kuningaskunta, Ranskan tasavalta, Kroatian tasavalta, Italian tasavalta, Kyproksen tasavalta, Latvian tasavalta, Liettuan tasavalta, Luxemburgin suurherttuakunta, Unkari, Maltan tasavalta, Alankomaiden kuningaskunta, Itävallan tasavalta, Puolan tasavalta, Portugalin tasavalta, Romania, Slovenian tasavalta, Slovakian tasavalta, Suomen tasavalta ja Ruotsin kuningaskunta.</w:t>
      </w:r>
    </w:p>
    <w:p w14:paraId="01D01F12" w14:textId="77777777" w:rsidR="001511F7" w:rsidRPr="00BE254E" w:rsidRDefault="001511F7" w:rsidP="001511F7">
      <w:pPr>
        <w:pStyle w:val="ManualNumPar1"/>
        <w:rPr>
          <w:noProof/>
        </w:rPr>
      </w:pPr>
      <w:r w:rsidRPr="00BE254E">
        <w:rPr>
          <w:noProof/>
        </w:rPr>
        <w:t>3.</w:t>
      </w:r>
      <w:r w:rsidRPr="00BE254E">
        <w:rPr>
          <w:noProof/>
        </w:rPr>
        <w:tab/>
        <w:t>Euroopan unionista tehtyyn sopimukseen ja Euroopan unionin toiminnasta tehtyyn sopimukseen liitetyssä, Tanskan asemasta tehdyssä pöytäkirjassa N:o 22 olevien 1 ja 2 artiklan mukaisesti unionin päätös allekirjoittaa alusten pakkomyyntiä koskeva Pekingin yleissopimus ei kuitenkaan sido Tanskan kuningaskuntaa.</w:t>
      </w:r>
    </w:p>
    <w:p w14:paraId="2844A9FE" w14:textId="77777777" w:rsidR="001511F7" w:rsidRPr="00BE254E" w:rsidRDefault="001511F7" w:rsidP="001511F7">
      <w:pPr>
        <w:pStyle w:val="ManualNumPar1"/>
        <w:rPr>
          <w:noProof/>
        </w:rPr>
      </w:pPr>
      <w:r w:rsidRPr="00BE254E">
        <w:rPr>
          <w:noProof/>
        </w:rPr>
        <w:t>4.</w:t>
      </w:r>
      <w:r w:rsidRPr="00BE254E">
        <w:rPr>
          <w:noProof/>
        </w:rPr>
        <w:tab/>
        <w:t>Tätä selitystä ei sovelleta niihin jäsenvaltioiden alueisiin, joihin ei sovelleta Euroopan unionin toiminnasta tehtyä sopimusta, eikä se rajoita asianomaisten jäsenvaltioiden mahdollisia toimia tai kannanottoja alusten pakkomyyntiä koskevan Pekingin yleissopimuksen nojalla kyseisten alueiden puolesta ja niiden etujen suojelemiseksi.</w:t>
      </w:r>
    </w:p>
    <w:p w14:paraId="6D3A2E72" w14:textId="77777777" w:rsidR="001511F7" w:rsidRPr="00BE254E" w:rsidRDefault="001511F7" w:rsidP="001511F7">
      <w:pPr>
        <w:pStyle w:val="ManualNumPar1"/>
        <w:rPr>
          <w:noProof/>
        </w:rPr>
      </w:pPr>
      <w:r w:rsidRPr="00BE254E">
        <w:rPr>
          <w:noProof/>
        </w:rPr>
        <w:t>5.</w:t>
      </w:r>
      <w:r w:rsidRPr="00BE254E">
        <w:rPr>
          <w:noProof/>
        </w:rPr>
        <w:tab/>
        <w:t>Alusten pakkomyyntiä koskevan Pekingin yleissopimuksen soveltamisalaan kuuluvissa asioissa Euroopan unionilla on yksinomainen toimivalta tiettyjen yleissopimuksen määräysten osalta. Se on erityisesti antanut säännöt, jotka koskevat tuomioistuimen toimivaltaa sekä tuomioiden tunnustamista ja täytäntöönpanoa</w:t>
      </w:r>
      <w:r w:rsidRPr="00BE254E">
        <w:rPr>
          <w:rStyle w:val="FootnoteReference"/>
          <w:noProof/>
        </w:rPr>
        <w:footnoteReference w:id="1"/>
      </w:r>
      <w:r w:rsidRPr="00BE254E">
        <w:rPr>
          <w:noProof/>
        </w:rPr>
        <w:t xml:space="preserve"> (erityisesti alusten pakkomyyntiä koskevan Pekingin yleissopimuksen 9 artikla ”</w:t>
      </w:r>
      <w:r w:rsidRPr="00BE254E">
        <w:rPr>
          <w:i/>
          <w:noProof/>
        </w:rPr>
        <w:t>Toimivalta estää ja keskeyttää pakkomyynti</w:t>
      </w:r>
      <w:r w:rsidRPr="00BE254E">
        <w:rPr>
          <w:noProof/>
        </w:rPr>
        <w:t>”) sekä oikeudenkäynti- ja muiden kuin oikeudenkäyntiin liittyvien asiakirjojen tiedoksiantoa jäsenvaltioissa siviili- tai kauppaoikeudellisissa asioissa</w:t>
      </w:r>
      <w:r w:rsidRPr="00BE254E">
        <w:rPr>
          <w:rStyle w:val="FootnoteReference"/>
          <w:noProof/>
        </w:rPr>
        <w:footnoteReference w:id="2"/>
      </w:r>
      <w:r w:rsidRPr="00BE254E">
        <w:rPr>
          <w:noProof/>
        </w:rPr>
        <w:t xml:space="preserve"> (erityisesti alusten pakkomyyntiä koskevan Pekingin yleissopimuksen 4 artikla ”</w:t>
      </w:r>
      <w:r w:rsidRPr="00BE254E">
        <w:rPr>
          <w:i/>
          <w:noProof/>
        </w:rPr>
        <w:t>Ilmoitus pakkomyynnistä</w:t>
      </w:r>
      <w:r w:rsidRPr="00BE254E">
        <w:rPr>
          <w:noProof/>
        </w:rPr>
        <w:t>”).</w:t>
      </w:r>
    </w:p>
    <w:p w14:paraId="6C14AC98" w14:textId="77777777" w:rsidR="001511F7" w:rsidRPr="00BE254E" w:rsidRDefault="001511F7" w:rsidP="001511F7">
      <w:pPr>
        <w:pStyle w:val="ManualNumPar1"/>
        <w:rPr>
          <w:noProof/>
        </w:rPr>
      </w:pPr>
      <w:r w:rsidRPr="00BE254E">
        <w:rPr>
          <w:noProof/>
        </w:rPr>
        <w:t>6.</w:t>
      </w:r>
      <w:r w:rsidRPr="00BE254E">
        <w:rPr>
          <w:noProof/>
        </w:rPr>
        <w:tab/>
        <w:t xml:space="preserve">Euroopan unionista tehtyyn sopimukseen ja Euroopan unionin toiminnasta tehtyyn sopimukseen perustuva Euroopan unionin toimivalta kehittyy sen ominaisluonteen vuoksi jatkuvasti. Toimivaltaiset toimielimet voivat perussopimusten puitteissa tehdä </w:t>
      </w:r>
      <w:r w:rsidRPr="00BE254E">
        <w:rPr>
          <w:noProof/>
        </w:rPr>
        <w:lastRenderedPageBreak/>
        <w:t>päätöksiä, jotka määrittävät Euroopan unionin toimivallan laajuuden. Euroopan unioni pidättää sen vuoksi oikeuden muuttaa tätä selitystä vastaavasti, ilman että tämä kuitenkaan on edellytyksenä alusten pakkomyyntiä koskevan Pekingin yleissopimuksen soveltamisalaan kuuluviin asioihin liittyvän Euroopan unionin toimivallan käyttämiselle.</w:t>
      </w:r>
    </w:p>
    <w:p w14:paraId="702E33AF" w14:textId="77777777" w:rsidR="00905D22" w:rsidRPr="00BE254E" w:rsidRDefault="00905D22" w:rsidP="001511F7">
      <w:pPr>
        <w:rPr>
          <w:noProof/>
        </w:rPr>
      </w:pPr>
    </w:p>
    <w:sectPr w:rsidR="00905D22" w:rsidRPr="00BE254E" w:rsidSect="00387CCB">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9327A" w14:textId="77777777" w:rsidR="001511F7" w:rsidRDefault="001511F7" w:rsidP="001511F7">
      <w:pPr>
        <w:spacing w:before="0" w:after="0"/>
      </w:pPr>
      <w:r>
        <w:separator/>
      </w:r>
    </w:p>
  </w:endnote>
  <w:endnote w:type="continuationSeparator" w:id="0">
    <w:p w14:paraId="6880374B" w14:textId="77777777" w:rsidR="001511F7" w:rsidRDefault="001511F7" w:rsidP="001511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C6D1" w14:textId="7608B455" w:rsidR="001511F7" w:rsidRPr="00387CCB" w:rsidRDefault="001511F7" w:rsidP="0038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5988" w14:textId="42145B0B" w:rsidR="001511F7" w:rsidRPr="00387CCB" w:rsidRDefault="00387CCB" w:rsidP="00387CCB">
    <w:pPr>
      <w:pStyle w:val="Footer"/>
      <w:rPr>
        <w:rFonts w:ascii="Arial" w:hAnsi="Arial" w:cs="Arial"/>
        <w:b/>
        <w:sz w:val="48"/>
      </w:rPr>
    </w:pPr>
    <w:r w:rsidRPr="00387CCB">
      <w:rPr>
        <w:rFonts w:ascii="Arial" w:hAnsi="Arial" w:cs="Arial"/>
        <w:b/>
        <w:sz w:val="48"/>
      </w:rPr>
      <w:t>FI</w:t>
    </w:r>
    <w:r w:rsidRPr="00387CCB">
      <w:rPr>
        <w:rFonts w:ascii="Arial" w:hAnsi="Arial" w:cs="Arial"/>
        <w:b/>
        <w:sz w:val="48"/>
      </w:rPr>
      <w:tab/>
    </w:r>
    <w:r w:rsidRPr="00387CCB">
      <w:rPr>
        <w:rFonts w:ascii="Arial" w:hAnsi="Arial" w:cs="Arial"/>
        <w:b/>
        <w:sz w:val="48"/>
      </w:rPr>
      <w:tab/>
    </w:r>
    <w:r w:rsidRPr="00387CCB">
      <w:tab/>
    </w:r>
    <w:r w:rsidRPr="00387CCB">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0877" w14:textId="77777777" w:rsidR="00387CCB" w:rsidRPr="00387CCB" w:rsidRDefault="00387CCB" w:rsidP="00387C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B971" w14:textId="138E4A2B" w:rsidR="00387CCB" w:rsidRPr="00387CCB" w:rsidRDefault="00387CCB" w:rsidP="00387CCB">
    <w:pPr>
      <w:pStyle w:val="Footer"/>
      <w:rPr>
        <w:rFonts w:ascii="Arial" w:hAnsi="Arial" w:cs="Arial"/>
        <w:b/>
        <w:sz w:val="48"/>
      </w:rPr>
    </w:pPr>
    <w:r w:rsidRPr="00387CCB">
      <w:rPr>
        <w:rFonts w:ascii="Arial" w:hAnsi="Arial" w:cs="Arial"/>
        <w:b/>
        <w:sz w:val="48"/>
      </w:rPr>
      <w:t>FI</w:t>
    </w:r>
    <w:r w:rsidRPr="00387CC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87CCB">
      <w:tab/>
    </w:r>
    <w:r w:rsidRPr="00387CCB">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A420" w14:textId="77777777" w:rsidR="00387CCB" w:rsidRPr="00387CCB" w:rsidRDefault="00387CCB" w:rsidP="0038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46BE5" w14:textId="77777777" w:rsidR="001511F7" w:rsidRDefault="001511F7" w:rsidP="001511F7">
      <w:pPr>
        <w:spacing w:before="0" w:after="0"/>
      </w:pPr>
      <w:r>
        <w:separator/>
      </w:r>
    </w:p>
  </w:footnote>
  <w:footnote w:type="continuationSeparator" w:id="0">
    <w:p w14:paraId="1725F536" w14:textId="77777777" w:rsidR="001511F7" w:rsidRDefault="001511F7" w:rsidP="001511F7">
      <w:pPr>
        <w:spacing w:before="0" w:after="0"/>
      </w:pPr>
      <w:r>
        <w:continuationSeparator/>
      </w:r>
    </w:p>
  </w:footnote>
  <w:footnote w:id="1">
    <w:p w14:paraId="49C1A3D9" w14:textId="77777777" w:rsidR="001511F7" w:rsidRDefault="001511F7" w:rsidP="001511F7">
      <w:pPr>
        <w:pStyle w:val="FootnoteText"/>
      </w:pPr>
      <w:r>
        <w:rPr>
          <w:rStyle w:val="FootnoteReference"/>
        </w:rPr>
        <w:footnoteRef/>
      </w:r>
      <w:r>
        <w:tab/>
        <w:t xml:space="preserve">Euroopan parlamentin ja neuvoston asetus (EU) N:o 1215/2012, annettu 12 päivänä joulukuuta 2012, tuomioistuimen toimivallasta sekä tuomioiden tunnustamisesta ja täytäntöönpanosta siviili- ja kauppaoikeuden alalla (EUVL L 351, 20.12.2012, s. 1–32). </w:t>
      </w:r>
    </w:p>
  </w:footnote>
  <w:footnote w:id="2">
    <w:p w14:paraId="24B78C88" w14:textId="77777777" w:rsidR="001511F7" w:rsidRDefault="001511F7" w:rsidP="001511F7">
      <w:pPr>
        <w:pStyle w:val="FootnoteText"/>
      </w:pPr>
      <w:r>
        <w:rPr>
          <w:rStyle w:val="FootnoteReference"/>
        </w:rPr>
        <w:footnoteRef/>
      </w:r>
      <w:r>
        <w:tab/>
        <w:t>Euroopan parlamentin ja neuvoston asetus (EU) 2020/1784, annettu 25 päivänä marraskuuta 2020, oikeudenkäynti- ja muiden kuin oikeudenkäyntiin liittyvien asiakirjojen tiedoksiannosta jäsenvaltioissa siviili- tai kauppaoikeudellisissa asioissa (EUVL L 405, 2.12.2020, s. 40–78).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4B595" w14:textId="77777777" w:rsidR="00387CCB" w:rsidRPr="00387CCB" w:rsidRDefault="00387CCB" w:rsidP="00387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96E9A" w14:textId="77777777" w:rsidR="00387CCB" w:rsidRPr="00387CCB" w:rsidRDefault="00387CCB" w:rsidP="00387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FC93B" w14:textId="77777777" w:rsidR="00387CCB" w:rsidRPr="00387CCB" w:rsidRDefault="00387CCB" w:rsidP="0038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4AC4E2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52A5AB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D00D4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6288C5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D320E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AB8720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8A82A9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BE2D98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30 08:42: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asiakirjaan"/>
    <w:docVar w:name="LW_ACCOMPAGNANT.CP" w:val="asiakirjaan"/>
    <w:docVar w:name="LW_ANNEX_NBR_FIRST" w:val="1"/>
    <w:docVar w:name="LW_ANNEX_NBR_LAST" w:val="1"/>
    <w:docVar w:name="LW_ANNEX_UNIQUE" w:val="0"/>
    <w:docVar w:name="LW_CORRIGENDUM" w:val="&lt;UNUSED&gt;"/>
    <w:docVar w:name="LW_COVERPAGE_EXISTS" w:val="True"/>
    <w:docVar w:name="LW_COVERPAGE_GUID" w:val="4C97BC54-D580-491C-8F16-BE8128825188"/>
    <w:docVar w:name="LW_COVERPAGE_TYPE" w:val="1"/>
    <w:docVar w:name="LW_CROSSREFERENCE" w:val="&lt;UNUSED&gt;"/>
    <w:docVar w:name="LW_DocType" w:val="ANNEX"/>
    <w:docVar w:name="LW_EMISSION" w:val="30.6.2023"/>
    <w:docVar w:name="LW_EMISSION_ISODATE" w:val="2023-06-30"/>
    <w:docVar w:name="LW_EMISSION_LOCATION" w:val="BRX"/>
    <w:docVar w:name="LW_EMISSION_PREFIX" w:val="Bryssel "/>
    <w:docVar w:name="LW_EMISSION_SUFFIX" w:val=" "/>
    <w:docVar w:name="LW_ID_DOCSTRUCTURE" w:val="COM/ANNEX"/>
    <w:docVar w:name="LW_ID_DOCTYPE" w:val="SG-017"/>
    <w:docVar w:name="LW_LANGUE" w:val="FI"/>
    <w:docVar w:name="LW_LEVEL_OF_SENSITIVITY" w:val="Standard treatment"/>
    <w:docVar w:name="LW_NOM.INST" w:val="EUROOPAN KOMISSIO"/>
    <w:docVar w:name="LW_NOM.INST_JOINTDOC" w:val="&lt;EMPTY&gt;"/>
    <w:docVar w:name="LW_OBJETACTEPRINCIPAL" w:val="Yhdistyneiden kansakuntien yleiskokouksen New Yorkissa 7 päivänä joulukuuta 2022 hyväksymän alusten pakkomyynnin kansainvälisistä vaikutuksista tehdyn Yhdistyneiden kansakuntien yleissopimuksen allekirjoittamisesta Euroopan unionin puolesta"/>
    <w:docVar w:name="LW_OBJETACTEPRINCIPAL.CP" w:val="Yhdistyneiden kansakuntien yleiskokouksen New Yorkissa 7 päivänä joulukuuta 2022 hyväksymän alusten pakkomyynnin kansainvälisistä vaikutuksista tehdyn Yhdistyneiden kansakuntien yleissopimuksen allekirjoittamisesta Euroopan unionin puolesta"/>
    <w:docVar w:name="LW_PART_NBR" w:val="1"/>
    <w:docVar w:name="LW_PART_NBR_TOTAL" w:val="1"/>
    <w:docVar w:name="LW_REF.INST.NEW" w:val="COM"/>
    <w:docVar w:name="LW_REF.INST.NEW_ADOPTED" w:val="final"/>
    <w:docVar w:name="LW_REF.INST.NEW_TEXT" w:val="(2023) 3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LIITE"/>
    <w:docVar w:name="LW_TYPE.DOC.CP" w:val="LIITE"/>
    <w:docVar w:name="LW_TYPEACTEPRINCIPAL" w:val="Ehdotus NEUVOSTON PÄÄTÖKSEKSI"/>
    <w:docVar w:name="LW_TYPEACTEPRINCIPAL.CP" w:val="Ehdotus NEUVOSTON PÄÄTÖKSEKSI"/>
    <w:docVar w:name="LwApiVersions" w:val="LW4CoDe 1.23.2.0; LW 8.0, Build 20211117"/>
  </w:docVars>
  <w:rsids>
    <w:rsidRoot w:val="001511F7"/>
    <w:rsid w:val="000D0D84"/>
    <w:rsid w:val="0014650D"/>
    <w:rsid w:val="001511F7"/>
    <w:rsid w:val="00165C4F"/>
    <w:rsid w:val="001760AC"/>
    <w:rsid w:val="001A6E8C"/>
    <w:rsid w:val="001F343E"/>
    <w:rsid w:val="00265B7C"/>
    <w:rsid w:val="002D10C3"/>
    <w:rsid w:val="002E124F"/>
    <w:rsid w:val="00387CCB"/>
    <w:rsid w:val="003C4001"/>
    <w:rsid w:val="003D3E20"/>
    <w:rsid w:val="00492EB7"/>
    <w:rsid w:val="005B4FEC"/>
    <w:rsid w:val="00626E37"/>
    <w:rsid w:val="006A6BCB"/>
    <w:rsid w:val="006C6656"/>
    <w:rsid w:val="00760CBA"/>
    <w:rsid w:val="00777A25"/>
    <w:rsid w:val="008D6398"/>
    <w:rsid w:val="00905D22"/>
    <w:rsid w:val="009A7E11"/>
    <w:rsid w:val="009C4D3C"/>
    <w:rsid w:val="00A6243B"/>
    <w:rsid w:val="00A71F6D"/>
    <w:rsid w:val="00B46490"/>
    <w:rsid w:val="00BA4F3C"/>
    <w:rsid w:val="00BB30BC"/>
    <w:rsid w:val="00BE254E"/>
    <w:rsid w:val="00C27FAE"/>
    <w:rsid w:val="00C953CA"/>
    <w:rsid w:val="00D328C4"/>
    <w:rsid w:val="00D33986"/>
    <w:rsid w:val="00D61284"/>
    <w:rsid w:val="00DC2B41"/>
    <w:rsid w:val="00E137AC"/>
    <w:rsid w:val="00EA2692"/>
    <w:rsid w:val="00ED3CB8"/>
    <w:rsid w:val="00F7024E"/>
    <w:rsid w:val="00F8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74F39"/>
  <w15:docId w15:val="{DCC54138-0C1E-471E-BD85-2F377276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ED3CB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D3CB8"/>
    <w:pPr>
      <w:spacing w:after="0"/>
    </w:pPr>
  </w:style>
  <w:style w:type="paragraph" w:styleId="ListBullet">
    <w:name w:val="List Bullet"/>
    <w:basedOn w:val="Normal"/>
    <w:uiPriority w:val="99"/>
    <w:semiHidden/>
    <w:unhideWhenUsed/>
    <w:rsid w:val="00ED3CB8"/>
    <w:pPr>
      <w:numPr>
        <w:numId w:val="1"/>
      </w:numPr>
      <w:contextualSpacing/>
    </w:pPr>
  </w:style>
  <w:style w:type="paragraph" w:styleId="ListBullet2">
    <w:name w:val="List Bullet 2"/>
    <w:basedOn w:val="Normal"/>
    <w:uiPriority w:val="99"/>
    <w:semiHidden/>
    <w:unhideWhenUsed/>
    <w:rsid w:val="00ED3CB8"/>
    <w:pPr>
      <w:numPr>
        <w:numId w:val="2"/>
      </w:numPr>
      <w:contextualSpacing/>
    </w:pPr>
  </w:style>
  <w:style w:type="paragraph" w:styleId="ListBullet3">
    <w:name w:val="List Bullet 3"/>
    <w:basedOn w:val="Normal"/>
    <w:uiPriority w:val="99"/>
    <w:semiHidden/>
    <w:unhideWhenUsed/>
    <w:rsid w:val="00ED3CB8"/>
    <w:pPr>
      <w:numPr>
        <w:numId w:val="3"/>
      </w:numPr>
      <w:contextualSpacing/>
    </w:pPr>
  </w:style>
  <w:style w:type="paragraph" w:styleId="ListBullet4">
    <w:name w:val="List Bullet 4"/>
    <w:basedOn w:val="Normal"/>
    <w:uiPriority w:val="99"/>
    <w:semiHidden/>
    <w:unhideWhenUsed/>
    <w:rsid w:val="00ED3CB8"/>
    <w:pPr>
      <w:numPr>
        <w:numId w:val="4"/>
      </w:numPr>
      <w:contextualSpacing/>
    </w:pPr>
  </w:style>
  <w:style w:type="paragraph" w:styleId="ListNumber">
    <w:name w:val="List Number"/>
    <w:basedOn w:val="Normal"/>
    <w:uiPriority w:val="99"/>
    <w:semiHidden/>
    <w:unhideWhenUsed/>
    <w:rsid w:val="00ED3CB8"/>
    <w:pPr>
      <w:numPr>
        <w:numId w:val="5"/>
      </w:numPr>
      <w:contextualSpacing/>
    </w:pPr>
  </w:style>
  <w:style w:type="paragraph" w:styleId="ListNumber2">
    <w:name w:val="List Number 2"/>
    <w:basedOn w:val="Normal"/>
    <w:uiPriority w:val="99"/>
    <w:semiHidden/>
    <w:unhideWhenUsed/>
    <w:rsid w:val="00ED3CB8"/>
    <w:pPr>
      <w:numPr>
        <w:numId w:val="6"/>
      </w:numPr>
      <w:contextualSpacing/>
    </w:pPr>
  </w:style>
  <w:style w:type="paragraph" w:styleId="ListNumber3">
    <w:name w:val="List Number 3"/>
    <w:basedOn w:val="Normal"/>
    <w:uiPriority w:val="99"/>
    <w:semiHidden/>
    <w:unhideWhenUsed/>
    <w:rsid w:val="00ED3CB8"/>
    <w:pPr>
      <w:numPr>
        <w:numId w:val="7"/>
      </w:numPr>
      <w:contextualSpacing/>
    </w:pPr>
  </w:style>
  <w:style w:type="paragraph" w:styleId="ListNumber4">
    <w:name w:val="List Number 4"/>
    <w:basedOn w:val="Normal"/>
    <w:uiPriority w:val="99"/>
    <w:semiHidden/>
    <w:unhideWhenUsed/>
    <w:rsid w:val="00ED3CB8"/>
    <w:pPr>
      <w:numPr>
        <w:numId w:val="8"/>
      </w:numPr>
      <w:contextualSpacing/>
    </w:pPr>
  </w:style>
  <w:style w:type="character" w:styleId="CommentReference">
    <w:name w:val="annotation reference"/>
    <w:basedOn w:val="DefaultParagraphFont"/>
    <w:uiPriority w:val="99"/>
    <w:semiHidden/>
    <w:unhideWhenUsed/>
    <w:rsid w:val="00C27FAE"/>
    <w:rPr>
      <w:sz w:val="16"/>
      <w:szCs w:val="16"/>
    </w:rPr>
  </w:style>
  <w:style w:type="paragraph" w:styleId="CommentText">
    <w:name w:val="annotation text"/>
    <w:basedOn w:val="Normal"/>
    <w:link w:val="CommentTextChar"/>
    <w:uiPriority w:val="99"/>
    <w:semiHidden/>
    <w:unhideWhenUsed/>
    <w:rsid w:val="00C27FAE"/>
    <w:rPr>
      <w:sz w:val="20"/>
      <w:szCs w:val="20"/>
    </w:rPr>
  </w:style>
  <w:style w:type="character" w:customStyle="1" w:styleId="CommentTextChar">
    <w:name w:val="Comment Text Char"/>
    <w:basedOn w:val="DefaultParagraphFont"/>
    <w:link w:val="CommentText"/>
    <w:uiPriority w:val="99"/>
    <w:semiHidden/>
    <w:rsid w:val="00C27FAE"/>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C27FAE"/>
    <w:rPr>
      <w:b/>
      <w:bCs/>
    </w:rPr>
  </w:style>
  <w:style w:type="character" w:customStyle="1" w:styleId="CommentSubjectChar">
    <w:name w:val="Comment Subject Char"/>
    <w:basedOn w:val="CommentTextChar"/>
    <w:link w:val="CommentSubject"/>
    <w:uiPriority w:val="99"/>
    <w:semiHidden/>
    <w:rsid w:val="00C27FAE"/>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rsid w:val="00C27FA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FAE"/>
    <w:rPr>
      <w:rFonts w:ascii="Segoe UI" w:hAnsi="Segoe UI" w:cs="Segoe UI"/>
      <w:sz w:val="18"/>
      <w:szCs w:val="18"/>
      <w:lang w:val="fi-FI"/>
    </w:rPr>
  </w:style>
  <w:style w:type="character" w:styleId="Hyperlink">
    <w:name w:val="Hyperlink"/>
    <w:basedOn w:val="DefaultParagraphFont"/>
    <w:uiPriority w:val="99"/>
    <w:unhideWhenUsed/>
    <w:rsid w:val="00C27FAE"/>
    <w:rPr>
      <w:color w:val="0000FF" w:themeColor="hyperlink"/>
      <w:u w:val="single"/>
    </w:rPr>
  </w:style>
  <w:style w:type="paragraph" w:styleId="Header">
    <w:name w:val="header"/>
    <w:basedOn w:val="Normal"/>
    <w:link w:val="HeaderChar"/>
    <w:uiPriority w:val="99"/>
    <w:unhideWhenUsed/>
    <w:rsid w:val="00387CCB"/>
    <w:pPr>
      <w:tabs>
        <w:tab w:val="center" w:pos="4535"/>
        <w:tab w:val="right" w:pos="9071"/>
      </w:tabs>
      <w:spacing w:before="0"/>
    </w:pPr>
  </w:style>
  <w:style w:type="character" w:customStyle="1" w:styleId="HeaderChar">
    <w:name w:val="Header Char"/>
    <w:basedOn w:val="DefaultParagraphFont"/>
    <w:link w:val="Header"/>
    <w:uiPriority w:val="99"/>
    <w:rsid w:val="00387CCB"/>
    <w:rPr>
      <w:rFonts w:ascii="Times New Roman" w:hAnsi="Times New Roman" w:cs="Times New Roman"/>
      <w:sz w:val="24"/>
      <w:lang w:val="fi-FI"/>
    </w:rPr>
  </w:style>
  <w:style w:type="paragraph" w:styleId="Footer">
    <w:name w:val="footer"/>
    <w:basedOn w:val="Normal"/>
    <w:link w:val="FooterChar"/>
    <w:uiPriority w:val="99"/>
    <w:unhideWhenUsed/>
    <w:rsid w:val="00387CC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87CCB"/>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87CCB"/>
    <w:pPr>
      <w:tabs>
        <w:tab w:val="center" w:pos="7285"/>
        <w:tab w:val="right" w:pos="14003"/>
      </w:tabs>
      <w:spacing w:before="0"/>
    </w:pPr>
  </w:style>
  <w:style w:type="paragraph" w:customStyle="1" w:styleId="FooterLandscape">
    <w:name w:val="FooterLandscape"/>
    <w:basedOn w:val="Normal"/>
    <w:rsid w:val="00387CC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87CC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87CCB"/>
    <w:pPr>
      <w:spacing w:before="0"/>
      <w:jc w:val="right"/>
    </w:pPr>
    <w:rPr>
      <w:sz w:val="28"/>
    </w:rPr>
  </w:style>
  <w:style w:type="paragraph" w:customStyle="1" w:styleId="FooterSensitivity">
    <w:name w:val="Footer Sensitivity"/>
    <w:basedOn w:val="Normal"/>
    <w:rsid w:val="00387CC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9</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MAZAN Ilona (JUST)</dc:creator>
  <cp:keywords/>
  <dc:description/>
  <cp:lastModifiedBy>EC CoDe</cp:lastModifiedBy>
  <cp:revision>21</cp:revision>
  <dcterms:created xsi:type="dcterms:W3CDTF">2023-06-20T08:13:00Z</dcterms:created>
  <dcterms:modified xsi:type="dcterms:W3CDTF">2023-06-30T06:42:00Z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2023-06-20T08:10:18Z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634e30a1-7738-410b-ba6c-f55f892f01e6</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