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70032" w14:textId="0DFD9407" w:rsidR="004E5476" w:rsidRPr="009C340A" w:rsidRDefault="00C65C35" w:rsidP="00C65C35">
      <w:pPr>
        <w:pStyle w:val="Pagedecouverture"/>
        <w:rPr>
          <w:noProof/>
        </w:rPr>
      </w:pPr>
      <w:r>
        <w:rPr>
          <w:noProof/>
        </w:rPr>
        <w:pict w14:anchorId="07B1F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4D8590D-3179-45BB-A0F1-180BA0BF06C4" style="width:455.25pt;height:414pt">
            <v:imagedata r:id="rId8" o:title=""/>
          </v:shape>
        </w:pict>
      </w:r>
    </w:p>
    <w:p w14:paraId="440F60EB" w14:textId="77777777" w:rsidR="004E5476" w:rsidRPr="009C340A" w:rsidRDefault="004E5476" w:rsidP="004E5476">
      <w:pPr>
        <w:rPr>
          <w:noProof/>
        </w:rPr>
        <w:sectPr w:rsidR="004E5476" w:rsidRPr="009C340A" w:rsidSect="00C65C35">
          <w:footerReference w:type="default" r:id="rId9"/>
          <w:pgSz w:w="11907" w:h="16839"/>
          <w:pgMar w:top="1134" w:right="1417" w:bottom="1134" w:left="1417" w:header="709" w:footer="709" w:gutter="0"/>
          <w:pgNumType w:start="0"/>
          <w:cols w:space="720"/>
          <w:docGrid w:linePitch="360"/>
        </w:sectPr>
      </w:pPr>
    </w:p>
    <w:p w14:paraId="1D0600A6" w14:textId="77777777" w:rsidR="004E5476" w:rsidRPr="009C340A" w:rsidRDefault="004E5476" w:rsidP="0050536B">
      <w:pPr>
        <w:pStyle w:val="Exposdesmotifstitre"/>
        <w:rPr>
          <w:noProof/>
        </w:rPr>
      </w:pPr>
      <w:bookmarkStart w:id="0" w:name="_GoBack"/>
      <w:bookmarkEnd w:id="0"/>
      <w:r w:rsidRPr="009C340A">
        <w:rPr>
          <w:noProof/>
        </w:rPr>
        <w:lastRenderedPageBreak/>
        <w:t>MOTIVERING</w:t>
      </w:r>
    </w:p>
    <w:p w14:paraId="0A539BA7" w14:textId="77777777" w:rsidR="004E5476" w:rsidRPr="009C340A" w:rsidRDefault="004E5476" w:rsidP="0050536B">
      <w:pPr>
        <w:pStyle w:val="ManualHeading1"/>
        <w:rPr>
          <w:noProof/>
        </w:rPr>
      </w:pPr>
      <w:r w:rsidRPr="009C340A">
        <w:rPr>
          <w:noProof/>
        </w:rPr>
        <w:t>1.</w:t>
      </w:r>
      <w:r w:rsidRPr="009C340A">
        <w:rPr>
          <w:noProof/>
        </w:rPr>
        <w:tab/>
        <w:t>BAKGRUND TILL FÖRSLAGET</w:t>
      </w:r>
    </w:p>
    <w:p w14:paraId="448703C0" w14:textId="77777777" w:rsidR="004E5476" w:rsidRPr="009C340A" w:rsidRDefault="004E5476" w:rsidP="0050536B">
      <w:pPr>
        <w:pStyle w:val="ManualHeading2"/>
        <w:rPr>
          <w:noProof/>
        </w:rPr>
      </w:pPr>
      <w:r w:rsidRPr="009C340A">
        <w:rPr>
          <w:noProof/>
          <w:u w:color="000000"/>
          <w:bdr w:val="nil"/>
        </w:rPr>
        <w:t>•</w:t>
      </w:r>
      <w:r w:rsidRPr="009C340A">
        <w:rPr>
          <w:noProof/>
        </w:rPr>
        <w:tab/>
        <w:t>Motiv och syfte med förslaget</w:t>
      </w:r>
    </w:p>
    <w:p w14:paraId="0AA7AB6E" w14:textId="77777777" w:rsidR="00925B15" w:rsidRPr="009C340A" w:rsidRDefault="00925B15" w:rsidP="003A5521">
      <w:pPr>
        <w:rPr>
          <w:rStyle w:val="eop"/>
          <w:noProof/>
        </w:rPr>
      </w:pPr>
      <w:r w:rsidRPr="009C340A">
        <w:rPr>
          <w:rStyle w:val="normaltextrun"/>
          <w:noProof/>
        </w:rPr>
        <w:t>I linje med kommissionens mål om ”en ekonomi som fungerar för människor” och dess arbetsprogram för 2023, eftersträvar kommissionen en rättslig ram för icke-professionella investeringar som ger konsumenterna tillräcklig egenmakt, uppmuntrar till bättre och rättvisare marknadsresultat och därigenom skapar de förutsättningar som krävs för att icke-professionella investerare i ökad utsträckning ska kunna delta på kapitalmarknaderna. </w:t>
      </w:r>
      <w:r w:rsidRPr="009C340A">
        <w:rPr>
          <w:rStyle w:val="eop"/>
          <w:noProof/>
        </w:rPr>
        <w:t xml:space="preserve"> </w:t>
      </w:r>
    </w:p>
    <w:p w14:paraId="5D6843CC" w14:textId="77777777" w:rsidR="00925B15" w:rsidRPr="009C340A" w:rsidRDefault="00925B15" w:rsidP="003A5521">
      <w:pPr>
        <w:rPr>
          <w:rStyle w:val="eop"/>
          <w:noProof/>
        </w:rPr>
      </w:pPr>
      <w:r w:rsidRPr="009C340A">
        <w:rPr>
          <w:rStyle w:val="normaltextrun"/>
          <w:noProof/>
        </w:rPr>
        <w:t xml:space="preserve">I den </w:t>
      </w:r>
      <w:hyperlink r:id="rId10" w:tgtFrame="_blank" w:history="1">
        <w:r w:rsidRPr="009C340A">
          <w:rPr>
            <w:rStyle w:val="normaltextrun"/>
            <w:noProof/>
            <w:color w:val="0000FF"/>
            <w:u w:val="single"/>
          </w:rPr>
          <w:t>nya handlingspl</w:t>
        </w:r>
        <w:bookmarkStart w:id="1" w:name="_Hlt134437563"/>
        <w:bookmarkStart w:id="2" w:name="_Hlt134437564"/>
        <w:r w:rsidRPr="009C340A">
          <w:rPr>
            <w:rStyle w:val="normaltextrun"/>
            <w:noProof/>
            <w:color w:val="0000FF"/>
            <w:u w:val="single"/>
          </w:rPr>
          <w:t>a</w:t>
        </w:r>
        <w:bookmarkEnd w:id="1"/>
        <w:bookmarkEnd w:id="2"/>
        <w:r w:rsidRPr="009C340A">
          <w:rPr>
            <w:rStyle w:val="normaltextrun"/>
            <w:noProof/>
            <w:color w:val="0000FF"/>
            <w:u w:val="single"/>
          </w:rPr>
          <w:t>nen för kapitalmarknadsunionen</w:t>
        </w:r>
      </w:hyperlink>
      <w:r w:rsidRPr="009C340A">
        <w:rPr>
          <w:rStyle w:val="normaltextrun"/>
          <w:noProof/>
        </w:rPr>
        <w:t xml:space="preserve"> från september 2020, tillkännagav Europeiska kommissionen sin avsikt att lägga fram en strategi för icke-professionella investeringar i Europa i syfte att se till att icke-professionella investerare fullt ut kan dra nytta av kapitalmarknaderna och att olika rättsliga instrument innehåller samstämmiga regler. </w:t>
      </w:r>
      <w:r w:rsidRPr="009C340A">
        <w:rPr>
          <w:rStyle w:val="eop"/>
          <w:noProof/>
        </w:rPr>
        <w:t xml:space="preserve"> </w:t>
      </w:r>
    </w:p>
    <w:p w14:paraId="03FDC2BA" w14:textId="77777777" w:rsidR="00925B15" w:rsidRPr="009C340A" w:rsidRDefault="00925B15" w:rsidP="003A5521">
      <w:pPr>
        <w:rPr>
          <w:noProof/>
        </w:rPr>
      </w:pPr>
      <w:r w:rsidRPr="009C340A">
        <w:rPr>
          <w:rStyle w:val="eop"/>
          <w:noProof/>
        </w:rPr>
        <w:t xml:space="preserve">Ett av kapitalmarknadsunionens centrala mål är att konsumenterna fullt ut ska kunna dra nytta av de investeringsmöjligheter som kapitalmarknaderna erbjuder. Även om icke-professionella investerares deltagande på kapitalmarknaderna varierar kraftigt mellan medlemsstaterna, vilket återspeglar deras olika historiska och socioekonomiska förhållanden, bör icke-professionella investerare kunna uppnå bättre investeringsresultat på EU:s kapitalmarknader än vad som för närvarande är fallet.   </w:t>
      </w:r>
    </w:p>
    <w:p w14:paraId="39241657" w14:textId="77777777" w:rsidR="00925B15" w:rsidRPr="009C340A" w:rsidRDefault="00925B15" w:rsidP="003A5521">
      <w:pPr>
        <w:rPr>
          <w:noProof/>
        </w:rPr>
      </w:pPr>
      <w:r w:rsidRPr="009C340A">
        <w:rPr>
          <w:rStyle w:val="normaltextrun"/>
          <w:noProof/>
        </w:rPr>
        <w:t>Medlagstiftarna är överens om detta:</w:t>
      </w:r>
      <w:r w:rsidRPr="009C340A">
        <w:rPr>
          <w:rStyle w:val="eop"/>
          <w:noProof/>
        </w:rPr>
        <w:t xml:space="preserve"> </w:t>
      </w:r>
    </w:p>
    <w:p w14:paraId="3879C6FF" w14:textId="77777777" w:rsidR="00925B15" w:rsidRPr="009C340A" w:rsidRDefault="00925B15" w:rsidP="003A5521">
      <w:pPr>
        <w:rPr>
          <w:rStyle w:val="normaltextrun"/>
          <w:noProof/>
        </w:rPr>
      </w:pPr>
      <w:r w:rsidRPr="009C340A">
        <w:rPr>
          <w:rStyle w:val="normaltextrun"/>
          <w:noProof/>
        </w:rPr>
        <w:t xml:space="preserve">I </w:t>
      </w:r>
      <w:hyperlink r:id="rId11" w:tgtFrame="_blank" w:history="1">
        <w:r w:rsidRPr="009C340A">
          <w:rPr>
            <w:rStyle w:val="normaltextrun"/>
            <w:noProof/>
            <w:color w:val="0000FF"/>
            <w:u w:val="single"/>
          </w:rPr>
          <w:t>rådets slut</w:t>
        </w:r>
        <w:bookmarkStart w:id="3" w:name="_Hlt134434061"/>
        <w:bookmarkStart w:id="4" w:name="_Hlt134434062"/>
        <w:r w:rsidRPr="009C340A">
          <w:rPr>
            <w:rStyle w:val="normaltextrun"/>
            <w:noProof/>
            <w:color w:val="0000FF"/>
            <w:u w:val="single"/>
          </w:rPr>
          <w:t>satse</w:t>
        </w:r>
        <w:bookmarkEnd w:id="3"/>
        <w:bookmarkEnd w:id="4"/>
        <w:r w:rsidRPr="009C340A">
          <w:rPr>
            <w:rStyle w:val="normaltextrun"/>
            <w:noProof/>
            <w:color w:val="0000FF"/>
            <w:u w:val="single"/>
          </w:rPr>
          <w:t>r om kommissionens handlingsplan för kapitalmarknadsunionen</w:t>
        </w:r>
      </w:hyperlink>
      <w:r w:rsidRPr="009C340A">
        <w:rPr>
          <w:rStyle w:val="normaltextrun"/>
          <w:noProof/>
        </w:rPr>
        <w:t xml:space="preserve"> av den 3 december 2020 uppmanades kommissionen att inleda genomförandet av de delar av handlingsplanen som syftar till att främja investeringsverksamheten, framför allt icke-professionella investerares investeringsverksamhet inom EU, samtidigt som en hög nivå av konsumentskydd och investerarskydd säkerställs. </w:t>
      </w:r>
      <w:r w:rsidRPr="009C340A">
        <w:rPr>
          <w:rStyle w:val="eop"/>
          <w:noProof/>
        </w:rPr>
        <w:t xml:space="preserve"> </w:t>
      </w:r>
    </w:p>
    <w:p w14:paraId="32D3F1BD" w14:textId="77777777" w:rsidR="00925B15" w:rsidRPr="009C340A" w:rsidRDefault="00925B15" w:rsidP="003A5521">
      <w:pPr>
        <w:rPr>
          <w:noProof/>
        </w:rPr>
      </w:pPr>
      <w:r w:rsidRPr="009C340A">
        <w:rPr>
          <w:rStyle w:val="normaltextrun"/>
          <w:noProof/>
        </w:rPr>
        <w:t xml:space="preserve">Den 8 oktober 2020 antog Europaparlamentet en </w:t>
      </w:r>
      <w:hyperlink r:id="rId12" w:tgtFrame="_blank" w:history="1">
        <w:r w:rsidRPr="009C340A">
          <w:rPr>
            <w:rStyle w:val="Hyperlink"/>
            <w:noProof/>
          </w:rPr>
          <w:t>reso</w:t>
        </w:r>
        <w:bookmarkStart w:id="5" w:name="_Hlt134434194"/>
        <w:bookmarkStart w:id="6" w:name="_Hlt134434195"/>
        <w:r w:rsidRPr="009C340A">
          <w:rPr>
            <w:rStyle w:val="Hyperlink"/>
            <w:noProof/>
          </w:rPr>
          <w:t>l</w:t>
        </w:r>
        <w:bookmarkEnd w:id="5"/>
        <w:bookmarkEnd w:id="6"/>
        <w:r w:rsidRPr="009C340A">
          <w:rPr>
            <w:rStyle w:val="Hyperlink"/>
            <w:noProof/>
          </w:rPr>
          <w:t>ution om den fortsatta utvecklingen av kapitalm</w:t>
        </w:r>
        <w:bookmarkStart w:id="7" w:name="_Hlt134438426"/>
        <w:bookmarkStart w:id="8" w:name="_Hlt134438427"/>
        <w:r w:rsidRPr="009C340A">
          <w:rPr>
            <w:rStyle w:val="Hyperlink"/>
            <w:noProof/>
          </w:rPr>
          <w:t>a</w:t>
        </w:r>
        <w:bookmarkStart w:id="9" w:name="_Hlt134438142"/>
        <w:bookmarkStart w:id="10" w:name="_Hlt134438143"/>
        <w:bookmarkEnd w:id="7"/>
        <w:bookmarkEnd w:id="8"/>
        <w:r w:rsidRPr="009C340A">
          <w:rPr>
            <w:rStyle w:val="Hyperlink"/>
            <w:noProof/>
          </w:rPr>
          <w:t>r</w:t>
        </w:r>
        <w:bookmarkEnd w:id="9"/>
        <w:bookmarkEnd w:id="10"/>
        <w:r w:rsidRPr="009C340A">
          <w:rPr>
            <w:rStyle w:val="Hyperlink"/>
            <w:noProof/>
          </w:rPr>
          <w:t>knadsunionen</w:t>
        </w:r>
      </w:hyperlink>
      <w:r w:rsidRPr="009C340A">
        <w:rPr>
          <w:rStyle w:val="normaltextrun"/>
          <w:noProof/>
        </w:rPr>
        <w:t xml:space="preserve"> som till stor del var positiv till åtgärder för att öka de icke-professionella investerarnas deltagande på kapitalmarknaderna. I resolutionen betonas att ett ökat deltagande av icke-professionella investerare är beroende av en förändring i investeringskulturen och att en sådan förändring först kommer att ske när icke-professionella investerare övertygas om att investeringar på kapitalmarknaderna är önskvärda då man omfattas av risker som är godtagbara och tydligt avgränsade.</w:t>
      </w:r>
      <w:r w:rsidRPr="009C340A">
        <w:rPr>
          <w:rStyle w:val="eop"/>
          <w:noProof/>
        </w:rPr>
        <w:t xml:space="preserve"> </w:t>
      </w:r>
    </w:p>
    <w:p w14:paraId="07EDB5FB" w14:textId="1A0A5DD5" w:rsidR="00925B15" w:rsidRPr="009C340A" w:rsidRDefault="00925B15" w:rsidP="00925B15">
      <w:pPr>
        <w:spacing w:before="0" w:after="240"/>
        <w:rPr>
          <w:noProof/>
        </w:rPr>
      </w:pPr>
      <w:r w:rsidRPr="009C340A">
        <w:rPr>
          <w:noProof/>
        </w:rPr>
        <w:t xml:space="preserve">Genom detta förslag ändras Europaparlamentets och rådets förordning (EU) nr 1286/2014 av den 26 november 2014 om faktablad för paketerade och försäkringsbaserade investeringsprodukter för icke-professionella investerare (Priip-produkter). Den 1 januari 2018 trädde förordningen om Priip-produkter och kommissionens delegerade förordning (EU) 2017/653 i kraft, vilket har bidragit till att förbättra och standardisera informationen till icke-professionella investerare. Därmed har det blivit lättare för investerare att förstå de viktigaste egenskaperna hos ett brett utbud av investeringsprodukter och att jämföra olika produkter, även produkter av olika typ (t.ex. försäkringsbaserade investeringsprodukter, investeringsfonder eller strukturerade insättningar). I januari 2023 började förordningen om Priip-produkter att gälla för investeringsfonder som omfattas av direktiv 2009/65/EG om företag för kollektiva investeringar i överlåtbara värdepapper (fondföretagsdirektivet), eftersom det tidigare undantaget hade upphört att gälla. Detta har ytterligare ökat samstämmigheten hos informationen om olika investeringsprodukter för icke-professionella investerare. </w:t>
      </w:r>
    </w:p>
    <w:p w14:paraId="456B1B40" w14:textId="77777777" w:rsidR="00925B15" w:rsidRPr="009C340A" w:rsidRDefault="305E4525" w:rsidP="21983C37">
      <w:pPr>
        <w:spacing w:before="0" w:after="240"/>
        <w:rPr>
          <w:noProof/>
        </w:rPr>
      </w:pPr>
      <w:r w:rsidRPr="009C340A">
        <w:rPr>
          <w:noProof/>
        </w:rPr>
        <w:t xml:space="preserve">Detta förslag till riktade ändringar av den rättsliga ramen för Priip-produkter ingår i EU:s strategi för icke-professionella investerare, i linje med åtgärd 8 i handlingsplanen för kapitalmarknadsunionen från september 2020. Avsikten med EU:s strategi för icke-professionella investerare är att förbättra informationen till investerare och därmed deras förmåga att fatta välinformerade investeringsbeslut. Syftet med detta förslag är därför att anpassa informationen till den digitala miljön och till utvecklingen av de icke-professionella investerarnas behov, samt att ge ytterligare klarhet om Priip-produkternas omfattning vad gäller företagsobligationer med make-whole-klausuler och omedelbart utgående livränta. Detta initiativ ingår inte i programmet om lagstiftningens ändamålsenlighet och resultat (Refit-programmet). </w:t>
      </w:r>
    </w:p>
    <w:p w14:paraId="39014183"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t>Förenlighet med befintliga bestämmelser inom området</w:t>
      </w:r>
    </w:p>
    <w:p w14:paraId="003B2193" w14:textId="77777777" w:rsidR="00925B15" w:rsidRPr="009C340A" w:rsidRDefault="00925B15" w:rsidP="00925B15">
      <w:pPr>
        <w:spacing w:before="0" w:after="240"/>
        <w:rPr>
          <w:noProof/>
        </w:rPr>
      </w:pPr>
      <w:r w:rsidRPr="009C340A">
        <w:rPr>
          <w:noProof/>
        </w:rPr>
        <w:t xml:space="preserve">Detta initiativ bygger på och förbättrar de befintliga regler som styr hur utvecklare och distributörer av investeringsprodukter tillhandahåller faktablad för Priip-produkter till icke-professionella investerare. Det innebär riktade ändringar av ramen, medan de viktigaste bestämmelserna förblir oförändrade. </w:t>
      </w:r>
    </w:p>
    <w:p w14:paraId="7783B5DA" w14:textId="1ABE82D5" w:rsidR="00A17E58" w:rsidRPr="009C340A" w:rsidRDefault="00F807DF" w:rsidP="00B71073">
      <w:pPr>
        <w:spacing w:before="0" w:after="240"/>
        <w:rPr>
          <w:noProof/>
        </w:rPr>
      </w:pPr>
      <w:r w:rsidRPr="009C340A">
        <w:rPr>
          <w:noProof/>
        </w:rPr>
        <w:t xml:space="preserve">Detta förslag och samlingsdirektivet (COM(2023) 279) utgör ett paket och tillsammans förstärker de varandra och skyddet för icke-professionella investerare. Genom samlingsdirektivet ändras de EU-direktiv som styr i) tillhandahållande av investeringstjänster (Mifid-direktivet), ii) tillhandahållande av försäkrings- eller återförsäkringsdistributionstjänster till tredje man (IDD-direktivet), iii) upptagande och utövande av försäkringsverksamhet inom EU (Solvens II), iv) samordning av lagar och andra författningar som avser företag för kollektiva investeringar i överlåtbara värdepapper (fondföretag) och v) förvaltare av alternativa investeringsfonder (direktivet om AIF-förvaltare). </w:t>
      </w:r>
    </w:p>
    <w:p w14:paraId="12E467E8" w14:textId="77777777" w:rsidR="00BB38AD" w:rsidRPr="009C340A" w:rsidRDefault="06DBFD7F" w:rsidP="00B71073">
      <w:pPr>
        <w:spacing w:before="0" w:after="240"/>
        <w:rPr>
          <w:noProof/>
        </w:rPr>
      </w:pPr>
      <w:r w:rsidRPr="009C340A">
        <w:rPr>
          <w:noProof/>
        </w:rPr>
        <w:t xml:space="preserve">När det gäller information till icke-professionella investerare kommer samlingsdirektivet framför allt att förbättra samstämmigheten mellan den information som ges om olika rättsliga instrument samt öka icke-professionella investerares insyn, bland annat i kostnaderna, under hela deras investeringsresa och investeringarnas livscykel. Genom de riktade ändringarna av Mifid II-paketet och IDD-direktivet skulle kostnaderna för investeringsprodukter komma att presenteras i ett standardiserat och lättförståeligt format innan en transaktion genomförs. Dessa åtgärder skulle också stärka företagens skyldigheter att lämna en årlig rapport till kunderna och informera dem i efterhand om de kostnader som de faktiskt har betalat, men även om resultatutvecklingen för deras portfölj. </w:t>
      </w:r>
    </w:p>
    <w:p w14:paraId="5F72ECF2" w14:textId="77777777" w:rsidR="00C2040E" w:rsidRPr="009C340A" w:rsidRDefault="00925B15" w:rsidP="00B71073">
      <w:pPr>
        <w:spacing w:before="0" w:after="240"/>
        <w:rPr>
          <w:noProof/>
        </w:rPr>
      </w:pPr>
      <w:r w:rsidRPr="009C340A">
        <w:rPr>
          <w:noProof/>
        </w:rPr>
        <w:t>De produktinformationsåtgärder som föreslås i denna förordning kompletterar även följande åtgärder i samlingsdirektivet, som är avsedda att avhjälpa brister inom olika delar av icke-professionella investerares verksamhet:</w:t>
      </w:r>
    </w:p>
    <w:p w14:paraId="56F8EC8F" w14:textId="77777777" w:rsidR="00C2040E" w:rsidRPr="009C340A" w:rsidRDefault="00755463" w:rsidP="00755463">
      <w:pPr>
        <w:pStyle w:val="Point0"/>
        <w:rPr>
          <w:noProof/>
        </w:rPr>
      </w:pPr>
      <w:r w:rsidRPr="009C340A">
        <w:rPr>
          <w:rFonts w:ascii="Wingdings" w:hAnsi="Wingdings"/>
          <w:noProof/>
        </w:rPr>
        <w:t></w:t>
      </w:r>
      <w:r w:rsidRPr="009C340A">
        <w:rPr>
          <w:noProof/>
        </w:rPr>
        <w:tab/>
        <w:t>Nya regler som syftar till att skydda icke-professionella investerare mot vilseledande marknadsföringsmaterial och marknadsföringspraxis som betonar fördelarna och bagatelliserar de potentiella riskerna.</w:t>
      </w:r>
    </w:p>
    <w:p w14:paraId="26981254" w14:textId="77777777" w:rsidR="00C335E2" w:rsidRPr="009C340A" w:rsidRDefault="00755463" w:rsidP="00755463">
      <w:pPr>
        <w:pStyle w:val="Point0"/>
        <w:rPr>
          <w:noProof/>
        </w:rPr>
      </w:pPr>
      <w:r w:rsidRPr="009C340A">
        <w:rPr>
          <w:rFonts w:ascii="Wingdings" w:hAnsi="Wingdings"/>
          <w:noProof/>
        </w:rPr>
        <w:t></w:t>
      </w:r>
      <w:r w:rsidRPr="009C340A">
        <w:rPr>
          <w:noProof/>
        </w:rPr>
        <w:tab/>
        <w:t xml:space="preserve">Regler som förbjuder incitament i samband med tjänster som endast omfattar utförande och motverkar partiskhet i rådgivningsprocessen, genom att stärka principen om bästa intresse och införa nya kriterier för bedömning av om företag ”agerar i kundens bästa intresse” samt förbättra insynen. </w:t>
      </w:r>
    </w:p>
    <w:p w14:paraId="3303D4F7" w14:textId="77777777" w:rsidR="00C2040E" w:rsidRPr="009C340A" w:rsidRDefault="00755463" w:rsidP="00755463">
      <w:pPr>
        <w:pStyle w:val="Point0"/>
        <w:rPr>
          <w:noProof/>
        </w:rPr>
      </w:pPr>
      <w:r w:rsidRPr="009C340A">
        <w:rPr>
          <w:rFonts w:ascii="Wingdings" w:hAnsi="Wingdings"/>
          <w:noProof/>
        </w:rPr>
        <w:t></w:t>
      </w:r>
      <w:r w:rsidRPr="009C340A">
        <w:rPr>
          <w:noProof/>
        </w:rPr>
        <w:tab/>
        <w:t>Åtgärder som ändrar reglerna för produkttillsyn och -styrning för att säkerställa att inga onödiga kostnader debiteras och att produkterna ger icke-professionella investerare valuta för pengarna.</w:t>
      </w:r>
    </w:p>
    <w:p w14:paraId="350DE744" w14:textId="77777777" w:rsidR="005633BC" w:rsidRPr="009C340A" w:rsidRDefault="00755463" w:rsidP="00755463">
      <w:pPr>
        <w:pStyle w:val="Point0"/>
        <w:rPr>
          <w:noProof/>
        </w:rPr>
      </w:pPr>
      <w:r w:rsidRPr="009C340A">
        <w:rPr>
          <w:rFonts w:ascii="Wingdings" w:hAnsi="Wingdings"/>
          <w:noProof/>
        </w:rPr>
        <w:t></w:t>
      </w:r>
      <w:r w:rsidRPr="009C340A">
        <w:rPr>
          <w:noProof/>
        </w:rPr>
        <w:tab/>
        <w:t xml:space="preserve">Ytterligare åtgärder som avser finanskunskap, kategorisering av investerare, samt bättre lämplighets- och ändamålsenlighetsbedömningar, åtgärder för att förbättra de finansiella rådgivarnas yrkeskvalifikationer och åtgärder för att förbättra tillsynskontrollen av efterlevnaden. </w:t>
      </w:r>
    </w:p>
    <w:p w14:paraId="716DE5E1" w14:textId="77777777" w:rsidR="00925B15" w:rsidRPr="009C340A" w:rsidRDefault="00925B15" w:rsidP="00B71073">
      <w:pPr>
        <w:spacing w:before="0" w:after="240"/>
        <w:rPr>
          <w:noProof/>
        </w:rPr>
      </w:pPr>
      <w:r w:rsidRPr="009C340A">
        <w:rPr>
          <w:noProof/>
        </w:rPr>
        <w:t xml:space="preserve"> De åtgärder som ingår i strategin för icke-professionella investerare är därför förenliga med de riktade ändringarna av faktabladen för Priip-produkter. </w:t>
      </w:r>
    </w:p>
    <w:p w14:paraId="2018E233" w14:textId="758F0511" w:rsidR="00925B15" w:rsidRPr="009C340A" w:rsidRDefault="00925B15" w:rsidP="00925B15">
      <w:pPr>
        <w:spacing w:before="0" w:after="240"/>
        <w:rPr>
          <w:noProof/>
        </w:rPr>
      </w:pPr>
      <w:r w:rsidRPr="009C340A">
        <w:rPr>
          <w:noProof/>
        </w:rPr>
        <w:t>Detta förslag är förenligt med EU:s befintliga politik för hållbar finansiering. Införandet av ett nytt särskilt avsnitt om hållbarhet i faktabladen för Priip-produkter kompletterar ramen för upplysningar om hållbar finansiering. Avsnittet bygger på uppgifter som redan offentliggjorts enligt förordningen om upplysningar om hållbar finansiering (EU) 2019/2088 (</w:t>
      </w:r>
      <w:r w:rsidRPr="009C340A">
        <w:rPr>
          <w:i/>
          <w:iCs/>
          <w:noProof/>
        </w:rPr>
        <w:t>förordningen om hållbarhetsupplysningar</w:t>
      </w:r>
      <w:r w:rsidRPr="009C340A">
        <w:rPr>
          <w:noProof/>
        </w:rPr>
        <w:t xml:space="preserve">) och taxonomiförordningen (EU) 2020/852 för att undvika dubbelarbete och onödiga kostnader för finanssektorn. Ramen för Priip-produkter kommer att anpassas till eventuella framtida ändringar av förordningen om hållbarhetsupplysningar och av EU-taxonomin. För att möjliggöra detta föreslås att de europeiska tillsynsmyndigheterna specificerar hur de valda indikatorerna för de tekniska tillsynsstandarderna ska beräknas och presenteras. Detta är särskilt viktigt eftersom kommissionens avdelningar har inlett en omfattande bedömning av genomförandet av förordningen om hållbarhetsupplysningar. </w:t>
      </w:r>
    </w:p>
    <w:p w14:paraId="75AA82EF" w14:textId="77777777" w:rsidR="00925B15" w:rsidRPr="009C340A" w:rsidRDefault="00925B15" w:rsidP="00925B15">
      <w:pPr>
        <w:spacing w:before="0" w:after="240"/>
        <w:rPr>
          <w:noProof/>
        </w:rPr>
      </w:pPr>
      <w:r w:rsidRPr="009C340A">
        <w:rPr>
          <w:noProof/>
        </w:rPr>
        <w:t xml:space="preserve">Kommissionen anser att de föreslagna riktade ändringarna är samstämmiga med och kompletterar inkluderandet av faktablad för Priip-produkter i tillämpningsområdet för förordningen om en gemensam europeisk kontaktpunkt. I avvaktan på resultatet av förhandlingarna om kommissionens förslag skulle den gemensamma europeiska kontaktpunkten publicera innehållet i faktabladen för Priip-produkter på en gemensam plattform och kräva att de från och med slutet av 2027 tillhandahålls i ett format som uppgifter kan extraheras från. Beroende på vilka genomförandeåtgärder som antas genom genomförandeakter kan informationen komma att göras maskinläsbar. Medan den gemensamma europeiska kontaktpunkten kommer att förbättra tillgången till och den digitala användningen av informationen i faktabladen för Priip-produkter, genom att kräva att faktabladen lämnas in i ett format som uppgifter kan extraheras från, kommer de riktade ändringar som föreslås nu att göra informationen mer läsarvänlig. Den gemensamma europeiska kontaktpunkten förväntas i första hand gynna icke-professionella investerare genom att öka tillgången till onlineverktyg för jämförelse av många olika investeringsprodukter (genom att göra det lättare för tredje parter att utveckla sådana verktyg). Icke-professionella investerare och deras rådgivare kommer dock fortfarande att behöva läsa innehållet i faktabladet, antingen på papper eller i elektroniskt format, särskilt när de bedömer egenskaperna hos en viss investeringsprodukt. Parallellt med att informationen görs tillgänglig via den gemensamma europeiska kontaktpunkten är det därför lämpligt att göra dokumentet mer användarvänligt. De ändringar som införs i denna förordning syftar också till att göra den digitala presentationen av basfakta om investeringsprodukter mer samstämmig, enligt exemplet med ett liknande dokument som infördes genom förordning (EU) 2019/1238 om en paneuropeisk privat pensionsprodukt (PEPP-produkt). </w:t>
      </w:r>
    </w:p>
    <w:p w14:paraId="296E04CF" w14:textId="77777777" w:rsidR="00925B15" w:rsidRPr="009C340A" w:rsidRDefault="004E5476" w:rsidP="003A5521">
      <w:pPr>
        <w:pStyle w:val="ManualHeading2"/>
        <w:rPr>
          <w:noProof/>
        </w:rPr>
      </w:pPr>
      <w:r w:rsidRPr="009C340A">
        <w:rPr>
          <w:noProof/>
          <w:u w:color="000000"/>
          <w:bdr w:val="nil"/>
        </w:rPr>
        <w:t>•</w:t>
      </w:r>
      <w:r w:rsidRPr="009C340A">
        <w:rPr>
          <w:noProof/>
        </w:rPr>
        <w:tab/>
        <w:t>Förenlighet med unionens politik inom andra områden</w:t>
      </w:r>
    </w:p>
    <w:p w14:paraId="7CBB47F2" w14:textId="77777777" w:rsidR="00355F5A" w:rsidRPr="009C340A" w:rsidRDefault="00355F5A" w:rsidP="00355F5A">
      <w:pPr>
        <w:pBdr>
          <w:top w:val="nil"/>
          <w:left w:val="nil"/>
          <w:bottom w:val="nil"/>
          <w:right w:val="nil"/>
          <w:between w:val="nil"/>
          <w:bar w:val="nil"/>
        </w:pBdr>
        <w:spacing w:before="0" w:after="240"/>
        <w:rPr>
          <w:noProof/>
        </w:rPr>
      </w:pPr>
      <w:r w:rsidRPr="009C340A">
        <w:rPr>
          <w:noProof/>
        </w:rPr>
        <w:t xml:space="preserve">Detta förslag är förenligt med EU:s övergripande strategier och prioriteringar, bland annat den europeiska gröna given, EU:s digitala strategi och kapitalmarknadsunionen. Det bidrar till kapitalmarknadsunionens mål genom att öka samstämmigheten i den information som är tillgänglig för icke-professionella investerare. Genom att den relevanta hållbarhetsinformationen blir mer synlig kommer den att hjälpa icke-professionella investerare att hitta investeringsprodukter som motsvarar deras hållbarhetspreferenser. Detta skulle i sin tur bidra till att integrera hållbarhet i finanssektorn och därmed till att uppnå målen i den europeiska gröna given. Detta förslag är dessutom förenligt med kommissionens prioritering om ett Europa rustat för den digitala tidsåldern. </w:t>
      </w:r>
    </w:p>
    <w:p w14:paraId="37C40B72" w14:textId="77777777" w:rsidR="004E5476" w:rsidRPr="009C340A" w:rsidRDefault="004E5476" w:rsidP="0050536B">
      <w:pPr>
        <w:pStyle w:val="ManualHeading1"/>
        <w:rPr>
          <w:noProof/>
        </w:rPr>
      </w:pPr>
      <w:r w:rsidRPr="009C340A">
        <w:rPr>
          <w:noProof/>
        </w:rPr>
        <w:t>2.</w:t>
      </w:r>
      <w:r w:rsidRPr="009C340A">
        <w:rPr>
          <w:noProof/>
        </w:rPr>
        <w:tab/>
        <w:t>RÄTTSLIG GRUND, SUBSIDIARITETSPRINCIPEN OCH PROPORTIONALITETSPRINCIPEN</w:t>
      </w:r>
    </w:p>
    <w:p w14:paraId="76F7EA0E"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Rättslig grund</w:t>
      </w:r>
    </w:p>
    <w:p w14:paraId="1FDB0C88" w14:textId="77777777" w:rsidR="00925B15" w:rsidRPr="009C340A" w:rsidRDefault="00925B15" w:rsidP="00925B15">
      <w:pPr>
        <w:autoSpaceDE w:val="0"/>
        <w:autoSpaceDN w:val="0"/>
        <w:spacing w:after="0"/>
        <w:rPr>
          <w:noProof/>
        </w:rPr>
      </w:pPr>
      <w:r w:rsidRPr="009C340A">
        <w:rPr>
          <w:noProof/>
        </w:rPr>
        <w:t xml:space="preserve">Förordningen om Priip-produkter grundar sig på artikel 114 i EUF-fördraget, eftersom den fastställer gemensamma regler för faktablad för paketerade och försäkringsbaserade investeringsprodukter för icke-professionella investerare. Med tanke på att i detta initiativ ytterligare politiska åtgärder föreslås för att säkerställa att dessa mål uppnås, bör det berörda lagstiftningsförslaget antas på samma rättsliga grund. </w:t>
      </w:r>
    </w:p>
    <w:p w14:paraId="317C712F"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 xml:space="preserve">Subsidiaritetsprincipen (för icke-exklusiv befogenhet) </w:t>
      </w:r>
    </w:p>
    <w:p w14:paraId="0E0EDF42" w14:textId="77777777" w:rsidR="00925B15" w:rsidRPr="009C340A" w:rsidRDefault="00925B15" w:rsidP="00925B15">
      <w:pPr>
        <w:spacing w:before="0" w:after="240"/>
        <w:rPr>
          <w:noProof/>
        </w:rPr>
      </w:pPr>
      <w:r w:rsidRPr="009C340A">
        <w:rPr>
          <w:noProof/>
        </w:rPr>
        <w:t xml:space="preserve">Förslaget är förenligt med subsidiaritetsprincipen i artikel 5 i fördraget om Europeiska unionen (EU-fördraget). Enligt den principen bör åtgärder endast vidtas på EU-nivå om medlemsstaterna inte på egen hand kan uppnå de syften som eftersträvas. För att undvika hinder för distributionen av investeringsfonder i EU måste produktinformationen harmoniseras så att produkter från olika marknader kan jämföras. Enhetlighet och rättssäkerhet kan säkerställas bättre genom åtgärder på EU-nivå. Detta gäller både den befintliga förordningen om Priip-produkter och de ändringar av den som föreslås här. </w:t>
      </w:r>
    </w:p>
    <w:p w14:paraId="6B97AFE1"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Proportionalitetsprincipen</w:t>
      </w:r>
    </w:p>
    <w:p w14:paraId="354340D4" w14:textId="77777777" w:rsidR="00925B15" w:rsidRPr="009C340A" w:rsidRDefault="00925B15" w:rsidP="00925B15">
      <w:pPr>
        <w:spacing w:before="0" w:after="240"/>
        <w:rPr>
          <w:noProof/>
        </w:rPr>
      </w:pPr>
      <w:r w:rsidRPr="009C340A">
        <w:rPr>
          <w:noProof/>
        </w:rPr>
        <w:t xml:space="preserve">Förslaget är förenligt med proportionalitetsprincipen i artikel 5 i EU-fördraget. De föreslagna åtgärderna är nödvändiga för att uppnå målen om insyn i sådana investeringsprodukter som erbjuds icke-professionella investerare, särskilt insyn i deras hållbarhetsegenskaper, och för att förbättra tillgången till relaterad information på digital väg utan att införa onödiga administrativa bördor. Andra delar av detta förslag är nödvändiga för att ge tillräcklig klarhet angående rättsläget och insyn i kostnaderna för vissa produkter som omfattas av förordningen om Priip-produkter. Åtgärdernas proportionalitet bedömdes i avsnitt 3 i den konsekvensbedömningsrapport som åtföljer strategin för icke-professionella investerare och slutsatsen drogs att åtgärderna är proportionerliga. </w:t>
      </w:r>
    </w:p>
    <w:p w14:paraId="701AC2AE"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Val av instrument</w:t>
      </w:r>
    </w:p>
    <w:p w14:paraId="4DAB79DB" w14:textId="77777777" w:rsidR="00925B15" w:rsidRPr="009C340A" w:rsidRDefault="000C04B4" w:rsidP="00925B15">
      <w:pPr>
        <w:spacing w:before="0" w:after="240"/>
        <w:rPr>
          <w:noProof/>
        </w:rPr>
      </w:pPr>
      <w:r w:rsidRPr="009C340A">
        <w:rPr>
          <w:noProof/>
        </w:rPr>
        <w:t xml:space="preserve">Det befintliga rättsliga instrumentet är en förordning och den kan därför bara ändras genom en förordning. En förordning är fortfarande det lämpligaste rättsliga instrumentet, med tanke på behovet av att säkerställa att den information som görs tillgänglig för icke-professionella investerare är konsekvent och samstämmig på EU-nivå. </w:t>
      </w:r>
    </w:p>
    <w:p w14:paraId="466EAF15" w14:textId="77777777" w:rsidR="004E5476" w:rsidRPr="009C340A" w:rsidRDefault="004E5476" w:rsidP="0050536B">
      <w:pPr>
        <w:pStyle w:val="ManualHeading1"/>
        <w:rPr>
          <w:noProof/>
        </w:rPr>
      </w:pPr>
      <w:r w:rsidRPr="009C340A">
        <w:rPr>
          <w:noProof/>
        </w:rPr>
        <w:t>3.</w:t>
      </w:r>
      <w:r w:rsidRPr="009C340A">
        <w:rPr>
          <w:noProof/>
        </w:rPr>
        <w:tab/>
        <w:t>RESULTAT AV EFTERHANDSUTVÄRDERINGAR, SAMRÅD MED BERÖRDA PARTER OCH KONSEKVENSBEDÖMNINGAR</w:t>
      </w:r>
    </w:p>
    <w:p w14:paraId="1F3FA162"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Efterhandsutvärderingar/kontroller av ändamålsenligheten med befintlig lagstiftning</w:t>
      </w:r>
    </w:p>
    <w:p w14:paraId="671EDD87" w14:textId="77777777" w:rsidR="00220047" w:rsidRPr="009C340A" w:rsidRDefault="00220047" w:rsidP="00220047">
      <w:pPr>
        <w:spacing w:before="0" w:after="240"/>
        <w:rPr>
          <w:noProof/>
        </w:rPr>
      </w:pPr>
      <w:r w:rsidRPr="009C340A">
        <w:rPr>
          <w:noProof/>
        </w:rPr>
        <w:t xml:space="preserve">I bilagan till den åtföljande konsekvensbedömningen ingår en utvärdering av de aspekter av den rättsliga ramen som specifikt rör skydd av icke-professionella investerare, inklusive ramen för Priip-produkter. </w:t>
      </w:r>
    </w:p>
    <w:p w14:paraId="26257556" w14:textId="77777777" w:rsidR="00220047" w:rsidRPr="009C340A" w:rsidRDefault="00220047" w:rsidP="00220047">
      <w:pPr>
        <w:spacing w:before="0" w:after="240"/>
        <w:rPr>
          <w:noProof/>
        </w:rPr>
      </w:pPr>
      <w:r w:rsidRPr="009C340A">
        <w:rPr>
          <w:noProof/>
        </w:rPr>
        <w:t>Av utvärderingen framgick att den övergripande ramen för produktinformation, även vad gäller Priip-produkter, i stort sett har varit ändamålsenlig, särskilt när det gäller att tillhandahålla jämförbar information till icke-professionella investerare som de kan använda i sitt beslutsfattande. Vissa brister konstaterades dock när det gäller faktabladens läsbarhet och användarvänlighet. Kostnadsinformationen är inte heller alltid tydlig. De befintliga informationskraven är mycket effektiva (kostnadseffektiva) och de har i stort sett uppnått sitt mål, nämligen att öka skyddet för icke-professionella investerare till begränsade kostnader. Detta förslag ger större klarhet angående rättsläget vad gäller Priip-produkters omfattning och tar itu med de utmaningar som konstaterades i utvärderingen (dvs. huruvida företagsobligationer med make-whole-klausuler och omedelbart utgående livränta ingår i Priip-produkternas tillämpningsområde). Kraven på format, läsbarhet, klarhet, korthet, språkanvändning och omfattande täckning anses vara samstämmiga mellan de olika rättsakterna. Vissa specifika frågor behandlas i förslaget till samlingsdirektiv som syftar till att bättre anpassa reglerna i Mifid- och IDD-direktiven till Priip-produkter. Relevansen hos den information som erbjuds icke-professionella investerare i faktabladen för Priip-produkter skulle kunna förbättras, särskilt med tanke på att större tonvikt bör läggas på den digitala miljön och hållbarheten.</w:t>
      </w:r>
    </w:p>
    <w:p w14:paraId="0613304C"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Samråd med berörda parter</w:t>
      </w:r>
    </w:p>
    <w:p w14:paraId="29309519" w14:textId="77777777" w:rsidR="00220047" w:rsidRPr="009C340A" w:rsidRDefault="00DA350D" w:rsidP="00220047">
      <w:pPr>
        <w:spacing w:after="240"/>
        <w:rPr>
          <w:noProof/>
        </w:rPr>
      </w:pPr>
      <w:r w:rsidRPr="009C340A">
        <w:rPr>
          <w:noProof/>
        </w:rPr>
        <w:t xml:space="preserve">Kommissionen genomförde ett offentligt samråd mellan den 11 maj 2021 och den 3 augusti 2021 och samlade in synpunkter som bidrog till utformningen av detta förslag. Genom samrådet inhämtades synpunkter från ett brett urval av berörda parter om olika aspekter av icke-professionella investeringar, bland annat om hur faktabladen för Priip-produkter fungerar och skulle kunna förbättras. Sammanlagt svarade 186 uppgiftslämnare på detta samråd. </w:t>
      </w:r>
    </w:p>
    <w:p w14:paraId="47D4B07B" w14:textId="77777777" w:rsidR="00220047" w:rsidRPr="009C340A" w:rsidRDefault="00220047" w:rsidP="00220047">
      <w:pPr>
        <w:spacing w:before="0" w:after="240"/>
        <w:rPr>
          <w:noProof/>
        </w:rPr>
      </w:pPr>
      <w:r w:rsidRPr="009C340A">
        <w:rPr>
          <w:noProof/>
        </w:rPr>
        <w:t>De flesta höll med om att det informationsunderlag som lämnas före ingående av avtal i största möjliga mån bör möjliggöra en tydlig jämförelse mellan olika investeringsprodukter. Uppgiftslämnarna var oeniga vad gällde frågan om faktabladen för Priip-produkter hade förbättrat icke-professionella investerares förståelse av investeringsprodukter för icke-professionella investerare och deras förmåga att jämföra olika sådana investeringsprodukter, både inom och mellan olika produkttyper.</w:t>
      </w:r>
    </w:p>
    <w:p w14:paraId="458334B4" w14:textId="77777777" w:rsidR="00220047" w:rsidRPr="009C340A" w:rsidRDefault="00220047" w:rsidP="00220047">
      <w:pPr>
        <w:spacing w:before="0" w:after="240"/>
        <w:rPr>
          <w:noProof/>
        </w:rPr>
      </w:pPr>
      <w:r w:rsidRPr="009C340A">
        <w:rPr>
          <w:noProof/>
        </w:rPr>
        <w:t xml:space="preserve">Närmare hälften av uppgiftslämnarna ansåg att den mängd information som tillhandahålls i faktabladen om Priip-produkter är tillräcklig, medan andra menade att faktabladen antingen innehåller för mycket eller för lite information. Synpunkterna varierade beroende på typ av information och berörda parter, men hållbarhetsrelaterad information framstod som ett område där mer information var önskvärd. När det gäller faktabladens längd fanns det övergripande stöd för den nuvarande maximala längden på tre sidor, med vissa skillnader mellan olika grupper av berörda parter. Det rådde bred enighet om att faktabladen för Priip-produkter innehåller lite för mycket information, och de flesta uppgiftslämnarna förespråkade en förenkling. En tydlig majoritet motsatte sig mer regelbundna uppdateringar av faktabladen för Priip-produkter. Slutligen ansåg nästan hälften av uppgiftslämnarna att icke-professionella investerare enkelt kunde hitta och få tillgång till faktablad om Priip-produkter. </w:t>
      </w:r>
    </w:p>
    <w:p w14:paraId="5589A4F2"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Insamling och användning av sakkunnigutlåtanden</w:t>
      </w:r>
    </w:p>
    <w:p w14:paraId="1C89C3AA" w14:textId="77777777" w:rsidR="00220047" w:rsidRPr="009C340A" w:rsidRDefault="00220047" w:rsidP="00220047">
      <w:pPr>
        <w:spacing w:before="0" w:after="240"/>
        <w:rPr>
          <w:noProof/>
        </w:rPr>
      </w:pPr>
      <w:r w:rsidRPr="009C340A">
        <w:rPr>
          <w:noProof/>
        </w:rPr>
        <w:t xml:space="preserve">Rekommendationerna om Priip-produkter från den gemensamma kommittén för de europeiska tillsynsmyndigheterna var inriktade på att göra dem mer konsumentvänliga. De europeiska tillsynsmyndigheterna rekommenderade riktade ändringar av förordningen om Priip-produkter i samband med översynen av ramen för Priip-produkter. </w:t>
      </w:r>
    </w:p>
    <w:p w14:paraId="6C240BE0" w14:textId="77777777" w:rsidR="00220047" w:rsidRPr="009C340A" w:rsidRDefault="00220047" w:rsidP="00220047">
      <w:pPr>
        <w:spacing w:before="0" w:after="240"/>
        <w:rPr>
          <w:noProof/>
        </w:rPr>
      </w:pPr>
      <w:r w:rsidRPr="009C340A">
        <w:rPr>
          <w:noProof/>
        </w:rPr>
        <w:t>Gemensamma kommittén rekommenderade framför allt i) att faktabladen presenteras på ett bättre och mer flexibelt sätt i digitala medier, ii) att den miljömässiga, sociala och styrningsrelaterade (</w:t>
      </w:r>
      <w:r w:rsidRPr="009C340A">
        <w:rPr>
          <w:rStyle w:val="normaltextrun"/>
          <w:noProof/>
        </w:rPr>
        <w:t>”</w:t>
      </w:r>
      <w:r w:rsidRPr="009C340A">
        <w:rPr>
          <w:noProof/>
        </w:rPr>
        <w:t>ESG</w:t>
      </w:r>
      <w:r w:rsidRPr="009C340A">
        <w:rPr>
          <w:rStyle w:val="normaltextrun"/>
          <w:noProof/>
        </w:rPr>
        <w:t>”</w:t>
      </w:r>
      <w:r w:rsidRPr="009C340A">
        <w:rPr>
          <w:noProof/>
        </w:rPr>
        <w:t>) informationen görs mer synlig i faktabladet genom att presenteras i ett separat avsnitt, iii) att mer specifik kostnadsinformation ges om försäkringsprodukter som erbjuder en rad alternativa investeringar, iv) att mer flexibilitet blir möjlig i faktabladet, så att bland annat olika typer av resultatinformation tillåts för olika produkttyper, v) att faktabladen anpassas mer till specifika produkttyper och vi) att tillämpningsområdet för förordningen om Priip-produkter förtydligas och anpassas något för att klargöra att vissa företagsobligationer är undantagna.</w:t>
      </w:r>
    </w:p>
    <w:p w14:paraId="3DE87647" w14:textId="77777777" w:rsidR="00220047" w:rsidRPr="009C340A" w:rsidRDefault="00220047" w:rsidP="00220047">
      <w:pPr>
        <w:spacing w:before="0" w:after="240"/>
        <w:rPr>
          <w:noProof/>
        </w:rPr>
      </w:pPr>
      <w:r w:rsidRPr="009C340A">
        <w:rPr>
          <w:noProof/>
        </w:rPr>
        <w:t xml:space="preserve">I bilaga 2 till den åtföljande konsekvensbedömningen förtecknas ytterligare källor som beaktades vid utarbetandet av detta förslag, inklusive riktade samråd med berörda parter och utåtriktad verksamhet. Kommissionen förlitade sig också på omfattande forskningslitteratur, som det hänvisas till i konsekvensbedömningen, i synnerhet en särskilt beställd studie utförd av ett konsortium av konsulter under ledning av Kantar med titeln </w:t>
      </w:r>
      <w:r w:rsidRPr="009C340A">
        <w:rPr>
          <w:i/>
          <w:iCs/>
          <w:noProof/>
        </w:rPr>
        <w:t>Disclosure, inducements, and suitability rules for retail investors study</w:t>
      </w:r>
      <w:r w:rsidRPr="009C340A">
        <w:rPr>
          <w:noProof/>
        </w:rPr>
        <w:t xml:space="preserve"> som offentliggjordes 2022.</w:t>
      </w:r>
    </w:p>
    <w:p w14:paraId="1A0E5CD5" w14:textId="77777777" w:rsidR="004E5476" w:rsidRPr="009C340A" w:rsidRDefault="00220047" w:rsidP="00220047">
      <w:pPr>
        <w:spacing w:before="0" w:after="240"/>
        <w:rPr>
          <w:noProof/>
        </w:rPr>
      </w:pPr>
      <w:r w:rsidRPr="009C340A">
        <w:rPr>
          <w:noProof/>
        </w:rPr>
        <w:t>I ett tidigare skede av utarbetandet av förslaget kunde kommissionen även dra nytta av råden från högnivåforumet om kapitalmarknadsunionen, som rekommenderade att informationskraven i ramen för Priip-produkter ses över vid en lämplig tidpunkt. Kommissionen mottog även synpunkter från medlemsstaternas expertgrupp för finansiella tjänster till privatpersoner och mindre företag samt från användargruppen för finansiella tjänster.</w:t>
      </w:r>
    </w:p>
    <w:p w14:paraId="340C2575"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Konsekvensbedömning</w:t>
      </w:r>
    </w:p>
    <w:p w14:paraId="5105B752" w14:textId="6BDA3F12" w:rsidR="00220047" w:rsidRPr="009C340A" w:rsidRDefault="00014FFA" w:rsidP="00220047">
      <w:pPr>
        <w:spacing w:before="0" w:after="240"/>
        <w:rPr>
          <w:noProof/>
        </w:rPr>
      </w:pPr>
      <w:r w:rsidRPr="009C340A">
        <w:rPr>
          <w:noProof/>
        </w:rPr>
        <w:t>Detta förslag bygger på konsekvensbedömningen av strategin för icke-professionella investerare (SWD(2023) 278–279). Konsekvensbedömningen lämnades till nämnden för lagstiftningskontroll den 14 december 2022 och fick ett positivt yttrande den 20 januari 2023 (SEC(2023) 330 RSB). Den ändrades därefter för att återspegla samrådet med nämnden för lagstiftningskontroll.</w:t>
      </w:r>
    </w:p>
    <w:p w14:paraId="63569902" w14:textId="77777777" w:rsidR="00220047" w:rsidRPr="009C340A" w:rsidRDefault="00220047" w:rsidP="00220047">
      <w:pPr>
        <w:spacing w:before="0" w:after="240"/>
        <w:rPr>
          <w:noProof/>
        </w:rPr>
      </w:pPr>
      <w:r w:rsidRPr="009C340A">
        <w:rPr>
          <w:noProof/>
        </w:rPr>
        <w:t>I konsekvensbedömningen undersöks två problem. För det första saknar icke-professionella investerare relevant, jämförbar och lättbegriplig information om investeringsprodukter och de påverkas ofta på ett olämpligt sätt av marknadsföringsmaterial. För det andra finns det i utvecklingen och distributionen av investeringsprodukter stora brister vad gäller incitamentsbetalningar och i vilken utsträckning produkterna är utformade på ett kostnadseffektivt sätt som ger den icke-professionella investeraren valuta för pengarna. Dessa problem får betydande konsekvenser och leder bland annat till otillräckligt skydd och orättvis behandling av investerare, minskad avkastning på investeringar och förmåga att ackumulera kapital samt till en negativ inverkan på icke-professionella investerares förtroende och marknadsintegration.</w:t>
      </w:r>
    </w:p>
    <w:p w14:paraId="0C38C1DD" w14:textId="77777777" w:rsidR="00220047" w:rsidRPr="009C340A" w:rsidRDefault="00220047" w:rsidP="00220047">
      <w:pPr>
        <w:spacing w:before="0" w:after="240"/>
        <w:rPr>
          <w:noProof/>
        </w:rPr>
      </w:pPr>
      <w:r w:rsidRPr="009C340A">
        <w:rPr>
          <w:noProof/>
        </w:rPr>
        <w:t>De riktade ändringarna av faktabladet för Priip-produkter är en del av de föreslagna lösningarna på det första problemet och dess drivkraft (informationen till investerare är inte alltid användbar eller relevant för deras beslutsprocess och inte tillräckligt anpassad till den digitala miljön). De ingår i alternativ 2 – Riktade ändringar av informationskraven för att göra dem mer relevanta för icke-professionella investerare samt riktade ändringar av informationskraven i Mifid- och IDD-direktiven för att göra informationen mer relevant för icke-professionella investerare (ingår i det åtföljande samlingsdirektivet). Ytterligare ett alternativ som övervägdes var alternativ 3 – Riktade ändringar för att åtgärda bristfällig information i marknadsföringsmaterial. Alternativen 2 och 3 kompletterar varandra och utgör en förbättring jämfört med status quo till en rimlig kostnad. Det rekommenderade alternativet är därför en kombination av dessa två alternativ.</w:t>
      </w:r>
    </w:p>
    <w:p w14:paraId="7871F07B" w14:textId="77777777" w:rsidR="00220047" w:rsidRPr="009C340A" w:rsidRDefault="00220047" w:rsidP="00220047">
      <w:pPr>
        <w:spacing w:before="0" w:after="240"/>
        <w:rPr>
          <w:noProof/>
        </w:rPr>
      </w:pPr>
      <w:r w:rsidRPr="009C340A">
        <w:rPr>
          <w:noProof/>
        </w:rPr>
        <w:t xml:space="preserve">I konsekvensbedömningen dras slutsatsen att presentationen av faktabladet för Priip-produkter skulle kunna förbättras genom användning av datalager och en sammanfattande resultattavla, vilket skulle göra det lättare för icke-professionella investerare att förstå de viktigaste egenskaperna hos den investeringsprodukt de överväger att köpa (t.ex. dess kostnader och risknivå) och hjälpa dem att välja en produkt som motsvarar deras behov. Införandet av ett nytt hållbarhetsavsnitt skulle säkerställa att icke-professionella kunder lätt kan hitta och jämföra grundläggande information om hållbarhetsegenskaperna hos de produkter de överväger att köpa. </w:t>
      </w:r>
    </w:p>
    <w:p w14:paraId="46239D8A"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Lagstiftningens ändamålsenlighet och förenkling</w:t>
      </w:r>
    </w:p>
    <w:p w14:paraId="5F5F7E8A" w14:textId="77777777" w:rsidR="00220047" w:rsidRPr="009C340A" w:rsidRDefault="00220047" w:rsidP="00220047">
      <w:pPr>
        <w:spacing w:before="0" w:after="240"/>
        <w:rPr>
          <w:noProof/>
        </w:rPr>
      </w:pPr>
      <w:r w:rsidRPr="009C340A">
        <w:rPr>
          <w:noProof/>
        </w:rPr>
        <w:t xml:space="preserve">Även om möjligheterna att förenkla lagstiftningen och minska bördan har övervägts under arbetet med detta förslag är dess huvudsakliga syfte, och syftet med den bredare strategin för icke-professionella investerare, konsumentskydd. Alla förenklingsåtgärder eller åtgärder för att minska bördan måste därför beaktas ur konsumentskyddsperspektiv. Utvärderingen visade att det inte finns något betydande utrymme att förenkla och minska bördan och vidare att en förenkling av faktabladen för Priip-produkter inte nödvändigtvis skulle göra investeringsprodukter mer begripliga. Dessutom konstaterades att de totala kostnaderna för informationen i faktabladen för Priip-produkter var relativt låga, särskilt jämfört med det stora antalet kunder och omfattningen av de förvaltade tillgångarna.  Inga betydande konsekvenser förväntas för små och medelstora företag och förslaget är förenligt med den s.k. digitala kontrollen, eftersom det uppmuntrar till ökad användning av faktablad för Priip-produkter i elektroniskt format. </w:t>
      </w:r>
    </w:p>
    <w:p w14:paraId="6D8651F1"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Grundläggande rättigheter</w:t>
      </w:r>
    </w:p>
    <w:p w14:paraId="55027446" w14:textId="2EB29897" w:rsidR="00220047" w:rsidRPr="009C340A" w:rsidRDefault="00220047" w:rsidP="00220047">
      <w:pPr>
        <w:spacing w:before="0" w:after="240"/>
        <w:rPr>
          <w:noProof/>
        </w:rPr>
      </w:pPr>
      <w:r w:rsidRPr="009C340A">
        <w:rPr>
          <w:noProof/>
        </w:rPr>
        <w:t xml:space="preserve">Förslaget iakttar de principer som fastställs i Europeiska unionens stadga om de grundläggande rättigheterna, i synnerhet principen om en hög nivå i fråga om konsumentskydd för alla EU-medborgare (artikel 38). Konsumenter, i detta fall icke-professionella investerare, behöver relevant, jämförbar och lättbegriplig information om investeringsprodukter för att kunna fatta välinformerade beslut. Genom detta förslag moderniseras faktabladen för Priip-produkter så att informationen presenteras på ett mer användarvänligt sätt för icke-professionella investerare, inklusive personer med funktionsnedsättning, vilket ökar sannolikheten för att den blir läst och förstås korrekt. </w:t>
      </w:r>
    </w:p>
    <w:p w14:paraId="5A3386A8" w14:textId="77777777" w:rsidR="004E5476" w:rsidRPr="009C340A" w:rsidRDefault="004E5476" w:rsidP="0050536B">
      <w:pPr>
        <w:pStyle w:val="ManualHeading1"/>
        <w:rPr>
          <w:noProof/>
        </w:rPr>
      </w:pPr>
      <w:r w:rsidRPr="009C340A">
        <w:rPr>
          <w:noProof/>
        </w:rPr>
        <w:t>4.</w:t>
      </w:r>
      <w:r w:rsidRPr="009C340A">
        <w:rPr>
          <w:noProof/>
        </w:rPr>
        <w:tab/>
        <w:t>BUDGETKONSEKVENSER</w:t>
      </w:r>
    </w:p>
    <w:p w14:paraId="05C1C416" w14:textId="77777777" w:rsidR="00220047" w:rsidRPr="009C340A" w:rsidRDefault="00220047" w:rsidP="00220047">
      <w:pPr>
        <w:spacing w:before="0" w:after="240"/>
        <w:rPr>
          <w:noProof/>
        </w:rPr>
      </w:pPr>
      <w:r w:rsidRPr="009C340A">
        <w:rPr>
          <w:noProof/>
        </w:rPr>
        <w:t xml:space="preserve">Initiativet påverkar inte EU:s budget. Övervakningen av de nya reglerna bör hanteras av de nationella behöriga myndigheterna inom ramen för deras befintliga mandat och dess tillämpningsområde ändras inte genom detta förslag.  </w:t>
      </w:r>
    </w:p>
    <w:p w14:paraId="758C266D" w14:textId="77777777" w:rsidR="004E5476" w:rsidRPr="009C340A" w:rsidRDefault="004E5476" w:rsidP="0050536B">
      <w:pPr>
        <w:pStyle w:val="ManualHeading1"/>
        <w:rPr>
          <w:noProof/>
        </w:rPr>
      </w:pPr>
      <w:r w:rsidRPr="009C340A">
        <w:rPr>
          <w:noProof/>
        </w:rPr>
        <w:t>5.</w:t>
      </w:r>
      <w:r w:rsidRPr="009C340A">
        <w:rPr>
          <w:noProof/>
        </w:rPr>
        <w:tab/>
        <w:t>ÖVRIGA INSLAG</w:t>
      </w:r>
    </w:p>
    <w:p w14:paraId="1CAB2AC5"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Genomförandeplaner samt åtgärder för övervakning, utvärdering och rapportering</w:t>
      </w:r>
    </w:p>
    <w:p w14:paraId="6D94951D" w14:textId="77777777" w:rsidR="00220047" w:rsidRPr="009C340A" w:rsidRDefault="00220047" w:rsidP="00220047">
      <w:pPr>
        <w:spacing w:before="0" w:after="240"/>
        <w:rPr>
          <w:noProof/>
        </w:rPr>
      </w:pPr>
      <w:r w:rsidRPr="009C340A">
        <w:rPr>
          <w:noProof/>
        </w:rPr>
        <w:t xml:space="preserve">När den föreslagna förordningen har antagits kommer kommissionen övervaka i vilken utsträckning den uppnår de mål som anges i den konsekvensbedömning som åtföljer strategin för icke-professionella investerare. Därför avser kommissionen att ge Europeiska värdepappers- och marknadsmyndigheten (Esma) och Europeiska försäkrings- och tjänstepensionsmyndigheten (Eiopa) i uppdrag att övervaka hur ändamålsenligt det är att visa informationen i ett digitalt format, införa ett nytt hållbarhetsavsnitt och nya regler för produkter som erbjuder en rad alternativa investeringar. För att bedöma kvaliteten på den tillgängliga informationen planerar kommissionen också att övervaka utvecklingen av antalet klagomål som lämnas in i samband med Esmas och Eiopas marknadsövervakning. I ett lämpligt skede, när tillräckligt med praktisk erfarenhet gjorts och uppgifter samlats in, bland annat om tillämpningen av den nyligen ändrade delegerade förordningen om Priip-produkter, planerar kommissionen att utvärdera den roll som faktabladen spelar för att investerare ska kunna fatta välinformerade investeringsbeslut och skulle kunna överväga eventuella ytterligare ändringar av den bredare ramen för Priip-produkter. </w:t>
      </w:r>
    </w:p>
    <w:p w14:paraId="782979A9" w14:textId="77777777" w:rsidR="004E5476" w:rsidRPr="009C340A" w:rsidRDefault="004E5476" w:rsidP="0050536B">
      <w:pPr>
        <w:pStyle w:val="ManualHeading2"/>
        <w:rPr>
          <w:noProof/>
          <w:u w:color="000000"/>
          <w:bdr w:val="nil"/>
        </w:rPr>
      </w:pPr>
      <w:r w:rsidRPr="009C340A">
        <w:rPr>
          <w:noProof/>
          <w:u w:color="000000"/>
          <w:bdr w:val="nil"/>
        </w:rPr>
        <w:t>•</w:t>
      </w:r>
      <w:r w:rsidRPr="009C340A">
        <w:rPr>
          <w:noProof/>
        </w:rPr>
        <w:tab/>
      </w:r>
      <w:r w:rsidRPr="009C340A">
        <w:rPr>
          <w:noProof/>
          <w:u w:color="000000"/>
          <w:bdr w:val="nil"/>
        </w:rPr>
        <w:t>Ingående redogörelse för de specifika bestämmelserna i förslaget</w:t>
      </w:r>
    </w:p>
    <w:p w14:paraId="6A2D399C" w14:textId="77777777" w:rsidR="00220047" w:rsidRPr="009C340A" w:rsidRDefault="00220047" w:rsidP="00220047">
      <w:pPr>
        <w:spacing w:before="0" w:after="240"/>
        <w:rPr>
          <w:noProof/>
        </w:rPr>
      </w:pPr>
      <w:r w:rsidRPr="009C340A">
        <w:rPr>
          <w:noProof/>
        </w:rPr>
        <w:t>Genom artikel 1.1 a uppdateras de rättsliga hänvisningarna till den befintliga lagstiftningen (för närvarande förordning 2017/1129 – prospektförordningen) för de typer av värdepapper som inte kräver faktablad om Priip-produkter.</w:t>
      </w:r>
    </w:p>
    <w:p w14:paraId="64080131" w14:textId="77777777" w:rsidR="00220047" w:rsidRPr="009C340A" w:rsidRDefault="00220047" w:rsidP="00220047">
      <w:pPr>
        <w:spacing w:before="0" w:after="240"/>
        <w:rPr>
          <w:noProof/>
        </w:rPr>
      </w:pPr>
      <w:r w:rsidRPr="009C340A">
        <w:rPr>
          <w:noProof/>
        </w:rPr>
        <w:t>Genom artikel 1.1 b utesluts sådana investeringsprodukter som är avsedda för icke-professionella investerare och ger omedelbart utgående livränta utan inlösenperiod ur tillämpningsområdet för förordningen om Priip-produkter.</w:t>
      </w:r>
    </w:p>
    <w:p w14:paraId="2222A7BE" w14:textId="77777777" w:rsidR="00220047" w:rsidRPr="009C340A" w:rsidRDefault="00220047" w:rsidP="00220047">
      <w:pPr>
        <w:spacing w:before="0" w:after="240"/>
        <w:rPr>
          <w:noProof/>
        </w:rPr>
      </w:pPr>
      <w:r w:rsidRPr="009C340A">
        <w:rPr>
          <w:noProof/>
        </w:rPr>
        <w:t>Genom artikel 1.2 uppdateras hänvisningarna till förordning 2017/1129 (prospektförordningen) för att säkerställa att båda förordningarna är tillämpliga på de relevanta produkterna.</w:t>
      </w:r>
    </w:p>
    <w:p w14:paraId="2689EFED" w14:textId="77777777" w:rsidR="00220047" w:rsidRPr="009C340A" w:rsidRDefault="00220047" w:rsidP="2FF5C493">
      <w:pPr>
        <w:spacing w:before="0" w:after="240"/>
        <w:rPr>
          <w:noProof/>
        </w:rPr>
      </w:pPr>
      <w:r w:rsidRPr="009C340A">
        <w:rPr>
          <w:noProof/>
        </w:rPr>
        <w:t>Genom artikel 1.3 a klargörs att vissa typer av företagsobligationer med make-whole-klausuler inte omfattas av tillämpningsområdet för förordningen om Priip-produkter, förutsatt att de löses in till verkligt värde.</w:t>
      </w:r>
    </w:p>
    <w:p w14:paraId="14C63104" w14:textId="77777777" w:rsidR="00220047" w:rsidRPr="009C340A" w:rsidRDefault="00220047" w:rsidP="00220047">
      <w:pPr>
        <w:spacing w:before="0" w:after="240"/>
        <w:rPr>
          <w:noProof/>
        </w:rPr>
      </w:pPr>
      <w:r w:rsidRPr="009C340A">
        <w:rPr>
          <w:noProof/>
        </w:rPr>
        <w:t>Genom artikel 1.3 b införs en definition av elektroniskt format.</w:t>
      </w:r>
    </w:p>
    <w:p w14:paraId="125318BC" w14:textId="77777777" w:rsidR="00220047" w:rsidRPr="009C340A" w:rsidRDefault="00220047" w:rsidP="00220047">
      <w:pPr>
        <w:spacing w:before="0" w:after="240"/>
        <w:rPr>
          <w:noProof/>
        </w:rPr>
      </w:pPr>
      <w:r w:rsidRPr="009C340A">
        <w:rPr>
          <w:noProof/>
        </w:rPr>
        <w:t>Genom artikel 1.4 ändras reglerna för redovisning av kostnader för produkter som erbjuder en rad alternativa investeringar och anges de villkor som måste uppfyllas för att informationen till icke-professionella investerare ska anses vara transparent och underlätta valet mellan olika investeringsmöjligheter.</w:t>
      </w:r>
    </w:p>
    <w:p w14:paraId="18E89334" w14:textId="77777777" w:rsidR="00220047" w:rsidRPr="009C340A" w:rsidRDefault="00220047" w:rsidP="00220047">
      <w:pPr>
        <w:spacing w:before="0" w:after="240"/>
        <w:rPr>
          <w:noProof/>
        </w:rPr>
      </w:pPr>
      <w:r w:rsidRPr="009C340A">
        <w:rPr>
          <w:noProof/>
        </w:rPr>
        <w:t xml:space="preserve">Genom artikel 1.5 a införs ett nytt avsnitt i faktabladen för Priip-produkter med titeln </w:t>
      </w:r>
      <w:r w:rsidRPr="009C340A">
        <w:rPr>
          <w:i/>
          <w:iCs/>
          <w:noProof/>
        </w:rPr>
        <w:t>Produkten i korthet</w:t>
      </w:r>
      <w:r w:rsidRPr="009C340A">
        <w:rPr>
          <w:noProof/>
        </w:rPr>
        <w:t xml:space="preserve"> där information om en investeringsprodukttyps kostnader och risknivå, rekommenderade innehavstid och eventuellt tillgängliga försäkringsförmåner sammanfattas och betonas. </w:t>
      </w:r>
    </w:p>
    <w:p w14:paraId="2D64007E" w14:textId="77777777" w:rsidR="00220047" w:rsidRPr="009C340A" w:rsidRDefault="00220047" w:rsidP="00220047">
      <w:pPr>
        <w:spacing w:before="0" w:after="240"/>
        <w:rPr>
          <w:noProof/>
        </w:rPr>
      </w:pPr>
      <w:r w:rsidRPr="009C340A">
        <w:rPr>
          <w:noProof/>
        </w:rPr>
        <w:t xml:space="preserve">Genom artikel 1.5 b tas varningen om att produkten kan vara svår att förstå bort, eftersom den inte har varit tillräckligt effektiv när det gäller att avhålla icke-professionella investerare från att köpa särskilt komplexa produkter och kanske även oavsiktligt har avskräckt dem från att köpa mindre komplexa investeringsprodukter.  </w:t>
      </w:r>
    </w:p>
    <w:p w14:paraId="7073AA00" w14:textId="77777777" w:rsidR="00220047" w:rsidRPr="009C340A" w:rsidRDefault="00220047" w:rsidP="00220047">
      <w:pPr>
        <w:spacing w:before="0" w:after="240"/>
        <w:rPr>
          <w:noProof/>
        </w:rPr>
      </w:pPr>
      <w:r w:rsidRPr="009C340A">
        <w:rPr>
          <w:noProof/>
        </w:rPr>
        <w:t>Genom artikel 1.5 c tas hänvisningen till de miljömässiga och sociala mål som investeringsprodukten eftersträvar bort, eftersom den ersätts av ett nytt särskilt hållbarhetsavsnitt i faktabladet för Priip-produkter.</w:t>
      </w:r>
    </w:p>
    <w:p w14:paraId="204DC61A" w14:textId="77777777" w:rsidR="00220047" w:rsidRPr="009C340A" w:rsidRDefault="00220047" w:rsidP="00220047">
      <w:pPr>
        <w:spacing w:before="0" w:after="240"/>
        <w:rPr>
          <w:noProof/>
        </w:rPr>
      </w:pPr>
      <w:r w:rsidRPr="009C340A">
        <w:rPr>
          <w:noProof/>
        </w:rPr>
        <w:t xml:space="preserve">Genom artikel 1.5 d införs ett nytt avsnitt i faktabladen för Priip-produkter med titeln </w:t>
      </w:r>
      <w:r w:rsidRPr="009C340A">
        <w:rPr>
          <w:i/>
          <w:iCs/>
          <w:noProof/>
        </w:rPr>
        <w:t>Hur miljömässigt hållbar är produkten?</w:t>
      </w:r>
      <w:r w:rsidRPr="009C340A">
        <w:rPr>
          <w:noProof/>
        </w:rPr>
        <w:t xml:space="preserve"> (hållbarhetsavsnitt) som är avsett att ge icke-professionella investerare harmoniserade basfakta om relevanta investeringsprodukters hållbarhetsprofil, med användning av befintlig produktinformation. </w:t>
      </w:r>
    </w:p>
    <w:p w14:paraId="62B58FE9" w14:textId="77777777" w:rsidR="00220047" w:rsidRPr="009C340A" w:rsidRDefault="00220047" w:rsidP="00220047">
      <w:pPr>
        <w:spacing w:before="0" w:after="240"/>
        <w:rPr>
          <w:noProof/>
        </w:rPr>
      </w:pPr>
      <w:r w:rsidRPr="009C340A">
        <w:rPr>
          <w:noProof/>
        </w:rPr>
        <w:t>Genom artikel 1.5 e stryks kommissionens befogenhet att anta delegerade akter till följd av att hänvisningen till miljömässiga och sociala mål ersätts med hållbarhetsavsnittet. Det nya hållbarhetsavsnittet bör specificeras genom tekniska tillsynsstandarder, för vilka befogenheten redan finns.</w:t>
      </w:r>
    </w:p>
    <w:p w14:paraId="6A5ECDE3" w14:textId="77777777" w:rsidR="00220047" w:rsidRPr="009C340A" w:rsidRDefault="00220047" w:rsidP="00220047">
      <w:pPr>
        <w:spacing w:before="0" w:after="240"/>
        <w:rPr>
          <w:noProof/>
        </w:rPr>
      </w:pPr>
      <w:r w:rsidRPr="009C340A">
        <w:rPr>
          <w:noProof/>
        </w:rPr>
        <w:t xml:space="preserve">Genom artikel 1.5 f ändras tidpunkten för överlämning av tillämpliga förslag till tekniska tillsynsstandarder till kommissionen. </w:t>
      </w:r>
    </w:p>
    <w:p w14:paraId="520D5B0D" w14:textId="77777777" w:rsidR="00220047" w:rsidRPr="009C340A" w:rsidRDefault="00220047" w:rsidP="00220047">
      <w:pPr>
        <w:spacing w:before="0" w:after="240"/>
        <w:rPr>
          <w:noProof/>
        </w:rPr>
      </w:pPr>
      <w:r w:rsidRPr="009C340A">
        <w:rPr>
          <w:noProof/>
        </w:rPr>
        <w:t xml:space="preserve">Genom artikel 1.6 läggs ett villkor till om att de europeiska tillsynsmyndigheterna ska överväga situationer där inga faktablad för Priip-produkter längre görs tillgängliga och vidare ändras tidpunkten för överlämning av tillämpliga förslag till tekniska tillsynsstandarder till kommissionen. Genom artikeln delegeras också befogenhet till kommissionen att anta relaterade tekniska tillsynsstandarder. </w:t>
      </w:r>
    </w:p>
    <w:p w14:paraId="656AD68A" w14:textId="77777777" w:rsidR="00220047" w:rsidRPr="009C340A" w:rsidRDefault="00220047" w:rsidP="00220047">
      <w:pPr>
        <w:spacing w:before="0" w:after="240"/>
        <w:rPr>
          <w:noProof/>
        </w:rPr>
      </w:pPr>
      <w:r w:rsidRPr="009C340A">
        <w:rPr>
          <w:noProof/>
        </w:rPr>
        <w:t>Genom artikel 1.7 moderniseras och förenklas bestämmelserna om hur faktabladen om Priip-produkter bör göras tillgängliga. I artikeln fastställs att faktablad för Priip-produkter helst bör tillhandahållas i elektroniskt format, samtidigt som det klargörs att kunden har rätt att få ett kostnadsfritt pappersexemplar av faktabladet. Vidare uppdateras bestämmelserna om hur faktabladen om Priip-produkter bör göras tillgängliga i elektroniskt format, på grundval av etablerad praxis inom ramen för Mifid- och IDD-direktiven. Dessutom specificeras villkoren för användning av datalager och personalisering för att ge större klarhet angående rättsläget vad gäller möjligheterna att presentera faktabladen för Priip-produkter digitalt. De europeiska tillsynsmyndigheterna får i uppdrag att utarbeta förslag till tekniska tillsynsstandarder som specificerar villkoren för den digitala presentationen samt för hur informationen görs tillgänglig för synskadade läsare.</w:t>
      </w:r>
    </w:p>
    <w:p w14:paraId="4EB55DA6" w14:textId="77777777" w:rsidR="00220047" w:rsidRPr="009C340A" w:rsidRDefault="00220047" w:rsidP="00220047">
      <w:pPr>
        <w:spacing w:before="0" w:after="240"/>
        <w:rPr>
          <w:noProof/>
        </w:rPr>
      </w:pPr>
      <w:r w:rsidRPr="009C340A">
        <w:rPr>
          <w:noProof/>
        </w:rPr>
        <w:t xml:space="preserve">I artikel 2 föreskrivs att ikraftträdande och tillämpning bör ske den tjugonde dagen efter offentliggörandet och att tillämpningsdagen ska vara 18 månader därefter, för att ge tillräckligt med tid att utarbeta tekniska tillsynsstandarder. </w:t>
      </w:r>
    </w:p>
    <w:p w14:paraId="1ED68A44" w14:textId="77777777" w:rsidR="004E5476" w:rsidRPr="009C340A" w:rsidRDefault="004E5476" w:rsidP="0050536B">
      <w:pPr>
        <w:rPr>
          <w:noProof/>
        </w:rPr>
        <w:sectPr w:rsidR="004E5476" w:rsidRPr="009C340A" w:rsidSect="00C65C35">
          <w:footerReference w:type="default" r:id="rId13"/>
          <w:footerReference w:type="first" r:id="rId14"/>
          <w:pgSz w:w="11907" w:h="16839"/>
          <w:pgMar w:top="1134" w:right="1417" w:bottom="1134" w:left="1417" w:header="709" w:footer="709" w:gutter="0"/>
          <w:cols w:space="708"/>
          <w:docGrid w:linePitch="360"/>
        </w:sectPr>
      </w:pPr>
    </w:p>
    <w:p w14:paraId="278307D4" w14:textId="0A577483" w:rsidR="005C7F13" w:rsidRPr="009C340A" w:rsidRDefault="00DA6779" w:rsidP="00DA6779">
      <w:pPr>
        <w:pStyle w:val="Rfrenceinterinstitutionnelle"/>
        <w:rPr>
          <w:noProof/>
        </w:rPr>
      </w:pPr>
      <w:r w:rsidRPr="00DA6779">
        <w:t>2023/0166 (COD)</w:t>
      </w:r>
    </w:p>
    <w:p w14:paraId="68D02189" w14:textId="5740A8EB" w:rsidR="004E5476" w:rsidRPr="009C340A" w:rsidRDefault="00902A0C" w:rsidP="00902A0C">
      <w:pPr>
        <w:pStyle w:val="Statut"/>
        <w:rPr>
          <w:noProof/>
        </w:rPr>
      </w:pPr>
      <w:bookmarkStart w:id="11" w:name="_Hlk135116452"/>
      <w:r w:rsidRPr="00902A0C">
        <w:rPr>
          <w:noProof/>
        </w:rPr>
        <w:t>Förslag till</w:t>
      </w:r>
    </w:p>
    <w:p w14:paraId="13A37697" w14:textId="36DF5BA1" w:rsidR="004E5476" w:rsidRPr="009C340A" w:rsidRDefault="00902A0C" w:rsidP="00902A0C">
      <w:pPr>
        <w:pStyle w:val="Typedudocument"/>
        <w:rPr>
          <w:noProof/>
        </w:rPr>
      </w:pPr>
      <w:r w:rsidRPr="00902A0C">
        <w:rPr>
          <w:noProof/>
        </w:rPr>
        <w:t>EUROPAPARLAMENTETS OCH RÅDETS FÖRORDNING</w:t>
      </w:r>
    </w:p>
    <w:p w14:paraId="01092EF7" w14:textId="5DDC14AC" w:rsidR="004E5476" w:rsidRPr="009C340A" w:rsidRDefault="00902A0C" w:rsidP="00902A0C">
      <w:pPr>
        <w:pStyle w:val="Titreobjet"/>
        <w:rPr>
          <w:noProof/>
        </w:rPr>
      </w:pPr>
      <w:r w:rsidRPr="00902A0C">
        <w:rPr>
          <w:noProof/>
        </w:rPr>
        <w:t xml:space="preserve">om ändring av förordning (EG) nr 1286/2014 vad gäller moderniseringen av faktabladet  </w:t>
      </w:r>
      <w:r w:rsidRPr="00902A0C">
        <w:rPr>
          <w:noProof/>
        </w:rPr>
        <w:br/>
      </w:r>
    </w:p>
    <w:bookmarkEnd w:id="11"/>
    <w:p w14:paraId="585B5E5F" w14:textId="506D87EA" w:rsidR="004E5476" w:rsidRPr="009C340A" w:rsidRDefault="00902A0C" w:rsidP="00902A0C">
      <w:pPr>
        <w:pStyle w:val="IntrtEEE"/>
        <w:rPr>
          <w:noProof/>
        </w:rPr>
      </w:pPr>
      <w:r w:rsidRPr="00902A0C">
        <w:rPr>
          <w:noProof/>
        </w:rPr>
        <w:t>(Text av betydelse för EES)</w:t>
      </w:r>
    </w:p>
    <w:p w14:paraId="44403589" w14:textId="77777777" w:rsidR="004E5476" w:rsidRPr="009C340A" w:rsidRDefault="004E5476" w:rsidP="0050536B">
      <w:pPr>
        <w:pStyle w:val="Institutionquiagit"/>
        <w:rPr>
          <w:noProof/>
        </w:rPr>
      </w:pPr>
      <w:r w:rsidRPr="009C340A">
        <w:rPr>
          <w:noProof/>
        </w:rPr>
        <w:t>EUROPAPARLAMENTET OCH EUROPEISKA UNIONENS RÅD HAR ANTAGIT DENNA FÖRORDNING</w:t>
      </w:r>
    </w:p>
    <w:p w14:paraId="6E529199" w14:textId="77777777" w:rsidR="00163BB1" w:rsidRPr="009C340A" w:rsidRDefault="00163BB1" w:rsidP="00163BB1">
      <w:pPr>
        <w:rPr>
          <w:noProof/>
        </w:rPr>
      </w:pPr>
      <w:r w:rsidRPr="009C340A">
        <w:rPr>
          <w:noProof/>
        </w:rPr>
        <w:t>med beaktande av fördraget om Europeiska unionens funktionssätt, särskilt artikel 114,</w:t>
      </w:r>
    </w:p>
    <w:p w14:paraId="70A889B3" w14:textId="77777777" w:rsidR="004E5476" w:rsidRPr="009C340A" w:rsidRDefault="004E5476" w:rsidP="0050536B">
      <w:pPr>
        <w:rPr>
          <w:noProof/>
        </w:rPr>
      </w:pPr>
      <w:r w:rsidRPr="009C340A">
        <w:rPr>
          <w:noProof/>
        </w:rPr>
        <w:t>med beaktande av Europeiska kommissionens förslag,</w:t>
      </w:r>
    </w:p>
    <w:p w14:paraId="0CB78042" w14:textId="77777777" w:rsidR="004E5476" w:rsidRPr="009C340A" w:rsidRDefault="004E5476" w:rsidP="0050536B">
      <w:pPr>
        <w:rPr>
          <w:noProof/>
        </w:rPr>
      </w:pPr>
      <w:r w:rsidRPr="009C340A">
        <w:rPr>
          <w:noProof/>
        </w:rPr>
        <w:t>efter översändande av utkastet till lagstiftningsakt till de nationella parlamenten,</w:t>
      </w:r>
    </w:p>
    <w:p w14:paraId="76C00A90" w14:textId="77777777" w:rsidR="004E5476" w:rsidRPr="009C340A" w:rsidRDefault="004E5476" w:rsidP="0050536B">
      <w:pPr>
        <w:rPr>
          <w:noProof/>
        </w:rPr>
      </w:pPr>
      <w:r w:rsidRPr="009C340A">
        <w:rPr>
          <w:noProof/>
        </w:rPr>
        <w:t>i enlighet med det ordinarie lagstiftningsförfarandet, och</w:t>
      </w:r>
    </w:p>
    <w:p w14:paraId="4062250F" w14:textId="77777777" w:rsidR="004E5476" w:rsidRPr="009C340A" w:rsidRDefault="004E5476" w:rsidP="0050536B">
      <w:pPr>
        <w:rPr>
          <w:noProof/>
        </w:rPr>
      </w:pPr>
      <w:r w:rsidRPr="009C340A">
        <w:rPr>
          <w:noProof/>
        </w:rPr>
        <w:t>av följande skäl:</w:t>
      </w:r>
    </w:p>
    <w:p w14:paraId="103475E9" w14:textId="66FA4FAD" w:rsidR="00DD4418" w:rsidRPr="009C340A" w:rsidRDefault="00185A65" w:rsidP="00185A65">
      <w:pPr>
        <w:pStyle w:val="ManualConsidrant"/>
        <w:rPr>
          <w:noProof/>
        </w:rPr>
      </w:pPr>
      <w:r w:rsidRPr="00185A65">
        <w:t>(1)</w:t>
      </w:r>
      <w:r w:rsidRPr="00185A65">
        <w:tab/>
      </w:r>
      <w:r w:rsidR="4634BA7A" w:rsidRPr="009C340A">
        <w:rPr>
          <w:noProof/>
        </w:rPr>
        <w:t>Ett av kapitalmarknadsunionens centrala mål är att konsumenterna fullt ut ska kunna dra nytta av de investeringsmöjligheter som kapitalmarknaderna erbjuder. För att kunna göra det behöver konsumenterna stöd av ett regelverk som gör det möjligt för dem att fatta investeringsbeslut som motsvarar deras behov och mål och ger dem ett tillräckligt skydd på den inre marknaden. EU:s strategi för icke-professionella investerare omfattar ett åtgärdspaket som är avsett att avhjälpa de konstaterade bristerna, bland annat vad gäller den information som icke-professionella investerare har tillgång till.</w:t>
      </w:r>
    </w:p>
    <w:p w14:paraId="479C2DBB" w14:textId="4CF826EE" w:rsidR="00785F32" w:rsidRPr="009C340A" w:rsidRDefault="00185A65" w:rsidP="00185A65">
      <w:pPr>
        <w:pStyle w:val="ManualConsidrant"/>
        <w:rPr>
          <w:noProof/>
        </w:rPr>
      </w:pPr>
      <w:r w:rsidRPr="00185A65">
        <w:t>(2)</w:t>
      </w:r>
      <w:r w:rsidRPr="00185A65">
        <w:tab/>
      </w:r>
      <w:r w:rsidR="49DC1589" w:rsidRPr="009C340A">
        <w:rPr>
          <w:noProof/>
        </w:rPr>
        <w:t xml:space="preserve">I artikel 4 led 1 i förordning (EU) nr 1286/2014 definieras paketerade investeringsprodukter för icke-professionella investerare som investeringar där, oberoende av investeringens rättsliga form, det belopp som ska betalas tillbaka till den icke-professionella investeraren är föremål för fluktuation på grund av exponering mot referensvärden eller avkastningen på en eller flera tillgångar som inte köps direkt av den icke-professionella investeraren. Produktutvecklarens möjlighet att lösa in investeringen i förtid genom att utlösa en make-whole-klausul bör inte i sig betraktas som en sådan fluktuation. Detta faktum bör ingå i definitionen av en Priip-produkt. </w:t>
      </w:r>
    </w:p>
    <w:p w14:paraId="4D9340B7" w14:textId="48144717" w:rsidR="00785F32" w:rsidRPr="009C340A" w:rsidRDefault="00185A65" w:rsidP="00185A65">
      <w:pPr>
        <w:pStyle w:val="ManualConsidrant"/>
        <w:rPr>
          <w:noProof/>
        </w:rPr>
      </w:pPr>
      <w:r w:rsidRPr="00185A65">
        <w:t>(3)</w:t>
      </w:r>
      <w:r w:rsidRPr="00185A65">
        <w:tab/>
      </w:r>
      <w:r w:rsidR="366E8695" w:rsidRPr="009C340A">
        <w:rPr>
          <w:noProof/>
        </w:rPr>
        <w:t>Om</w:t>
      </w:r>
      <w:r w:rsidR="366E8695" w:rsidRPr="009C340A">
        <w:rPr>
          <w:noProof/>
          <w:color w:val="333333"/>
        </w:rPr>
        <w:t xml:space="preserve"> Priip-produkter erbjuder den icke-professionella investeraren en rad alternativa investeringar</w:t>
      </w:r>
      <w:r w:rsidR="366E8695" w:rsidRPr="009C340A">
        <w:rPr>
          <w:noProof/>
        </w:rPr>
        <w:t>, kan informationen om dessa olika alternativ finnas i olika dokument. Det gör det svårt för icke-professionella investerare som är intresserade av att köpa sådana Priip-produkter att ta reda på de totala kostnaderna för dessa produkter. Därför måste icke-professionella investerare förses med verktyg, inklusive simuleringsverktyg, så att de får tillgång till och kan jämföra de totala kostnaderna för sådana Priip-produkter innan de väljer ett visst investeringsalternativ. Närmare bestämmelser om användningen av dessa verktyg bör säkerställa att de totala kostnaderna för dessa produkter synliggörs bättre, samtidigt som en viss flexibilitet medges vid användning av simuleringsverktyg.</w:t>
      </w:r>
    </w:p>
    <w:p w14:paraId="252687E5" w14:textId="17EF080B" w:rsidR="00785F32" w:rsidRPr="009C340A" w:rsidRDefault="00185A65" w:rsidP="00185A65">
      <w:pPr>
        <w:pStyle w:val="ManualConsidrant"/>
        <w:rPr>
          <w:noProof/>
        </w:rPr>
      </w:pPr>
      <w:r w:rsidRPr="00185A65">
        <w:t>(4)</w:t>
      </w:r>
      <w:r w:rsidRPr="00185A65">
        <w:tab/>
      </w:r>
      <w:r w:rsidR="620F20C5" w:rsidRPr="009C340A">
        <w:rPr>
          <w:noProof/>
        </w:rPr>
        <w:t xml:space="preserve">Icke-professionella investerare söker allt oftare information om investeringsprodukters, inklusive Priip-produkters, hållbarhetsprestanda. Genom den senaste tidens unionslagstiftningsakter har flera informationsskyldigheter införts som skulle kunna utnyttjas för att informera icke-professionella investerare, särskilt Europaparlamentets och rådets förordning (EU) 2019/2088 och Europaparlamentets och rådets förordning (EU) 2020/852. Informationen är emellertid inte alltid tillräckligt synlig för icke-professionella investerare. Därför bör viss information om Priip-produkters hållbarhetsprofil läggas till i faktabladet. För att undvika ytterligare rapporteringskostnader bör denna ESG-information hämtas från de upplysningar som produktutvecklare lämnar enligt förordning (EU) 2019/2088 och förordning (EU) 2020/852. </w:t>
      </w:r>
    </w:p>
    <w:p w14:paraId="523826BF" w14:textId="30506993" w:rsidR="00785F32" w:rsidRPr="009C340A" w:rsidRDefault="00185A65" w:rsidP="00185A65">
      <w:pPr>
        <w:pStyle w:val="ManualConsidrant"/>
        <w:rPr>
          <w:noProof/>
        </w:rPr>
      </w:pPr>
      <w:r w:rsidRPr="00185A65">
        <w:t>(5)</w:t>
      </w:r>
      <w:r w:rsidRPr="00185A65">
        <w:tab/>
      </w:r>
      <w:r w:rsidR="620F20C5" w:rsidRPr="009C340A">
        <w:rPr>
          <w:noProof/>
        </w:rPr>
        <w:t xml:space="preserve">Den ökade digitaliseringen gör det möjligt att presentera Priip-produkternas huvudegenskaper på ett mer attraktivt sätt. Förordning (EU) nr 1286/2014 är dock inte tillräckligt flexibel för att basfakta i faktabladen för Priip-produkter ska kunna visas för investerare med digitala medel, t.ex. med användning av datalager och på ett personaliserat sätt som skulle minska den visuella överbelastningen för icke-professionella investerare och underlätta för dem att förstå den berörda Priip-produkten. Därför bör mer flexibilitet i användningen av elektroniska format införas, så att investerare kan dra nytta av alla fördelar med digitalt tillgängliga faktablad, såsom att de kan anpassa det belopp de vill investera eller innehavstiden i enlighet med sina önskemål. En sådan anpassning innebär inte att leverantören av Priip-produkter bedömer den potentiella icke-professionella investerarens personliga egenskaper. Det tresidiga faktabladet bör alltid upprättas i enlighet med artikel 8 och finnas tillgängligt på </w:t>
      </w:r>
      <w:r w:rsidR="007F211A" w:rsidRPr="009C340A">
        <w:rPr>
          <w:noProof/>
        </w:rPr>
        <w:t>produktutvecklarens</w:t>
      </w:r>
      <w:r w:rsidR="620F20C5" w:rsidRPr="009C340A">
        <w:rPr>
          <w:noProof/>
        </w:rPr>
        <w:t xml:space="preserve"> webbplats. De basfakta som faktabladet innehåller skulle dock kunna tillhandahållas icke-professionella investerare på ett flexibelt och personaliserat sätt, så länge de icke-professionella investerarna informeras om att de kan ladda ned det fullständiga faktabladet. </w:t>
      </w:r>
    </w:p>
    <w:p w14:paraId="4F333CF6" w14:textId="39C40714" w:rsidR="00785F32" w:rsidRPr="009C340A" w:rsidRDefault="00185A65" w:rsidP="00185A65">
      <w:pPr>
        <w:pStyle w:val="ManualConsidrant"/>
        <w:rPr>
          <w:noProof/>
        </w:rPr>
      </w:pPr>
      <w:r w:rsidRPr="00185A65">
        <w:t>(6)</w:t>
      </w:r>
      <w:r w:rsidRPr="00185A65">
        <w:tab/>
      </w:r>
      <w:r w:rsidR="25C194E5" w:rsidRPr="009C340A">
        <w:rPr>
          <w:noProof/>
        </w:rPr>
        <w:t xml:space="preserve">Europeiska värdepappers- och marknadsmyndigheten, Europeiska bankmyndigheten och Europeiska försäkrings- och tjänstepensionsmyndigheten bör utarbeta förslag till tekniska tillsynsstandarder om innehållet i resultattavlorna och principerna för användning av datalager och digitala alternativ vid användning av ett elektroniskt format. Kommissionen bör anta dessa förslag till tekniska tillsynsstandarder, eller ändra dem, genom delegerade akter enligt artikel 290 i EUF-fördraget och i enlighet med artiklarna 10–14 i Europaparlamentets och rådets förordning (EU) nr 1093/2010, förordning (EU) nr 1094/2010 och förordning (EU) nr 1095/2010. </w:t>
      </w:r>
    </w:p>
    <w:p w14:paraId="7BB67F75" w14:textId="10CA3E48" w:rsidR="00106655" w:rsidRPr="009C340A" w:rsidRDefault="00185A65" w:rsidP="00185A65">
      <w:pPr>
        <w:pStyle w:val="ManualConsidrant"/>
        <w:rPr>
          <w:rFonts w:eastAsiaTheme="minorEastAsia"/>
          <w:noProof/>
        </w:rPr>
      </w:pPr>
      <w:r w:rsidRPr="00185A65">
        <w:t>(7)</w:t>
      </w:r>
      <w:r w:rsidRPr="00185A65">
        <w:tab/>
      </w:r>
      <w:r w:rsidR="4406F20D" w:rsidRPr="009C340A">
        <w:rPr>
          <w:noProof/>
        </w:rPr>
        <w:t>För att säkerställa att icke-professionella investerare alltid fattar välgrundade investeringsbeslut bör faktabladen hållas uppdaterade. I förslag till tekniska tillsynsstandarder bör de villkor anges på vilka faktablad bör ändras och åtskillnad göras mellan Priip-produkter som fortfarande görs tillgängliga för icke-professionella investerare och Priip-produkter som inte längre görs tillgängliga. Att ett faktablad uppdateras bör inte påverka det faktum att produktutvecklare bör se till att faktabladet förblir förenligt med informationsunderlaget i det faktablad som den icke-professionella investeraren fick innan avtalet ingicks.</w:t>
      </w:r>
    </w:p>
    <w:p w14:paraId="2344A065" w14:textId="0ECAAFE3" w:rsidR="007634A2" w:rsidRPr="009C340A" w:rsidRDefault="00185A65" w:rsidP="00185A65">
      <w:pPr>
        <w:pStyle w:val="ManualConsidrant"/>
        <w:rPr>
          <w:rFonts w:eastAsiaTheme="minorEastAsia"/>
          <w:noProof/>
        </w:rPr>
      </w:pPr>
      <w:r w:rsidRPr="00185A65">
        <w:t>(8)</w:t>
      </w:r>
      <w:r w:rsidRPr="00185A65">
        <w:tab/>
      </w:r>
      <w:r w:rsidR="007634A2" w:rsidRPr="009C340A">
        <w:rPr>
          <w:noProof/>
        </w:rPr>
        <w:t>Förordning (EU) nr 1286/2014 bör därför ändras i enlighet med detta.</w:t>
      </w:r>
    </w:p>
    <w:p w14:paraId="1ACA03F5" w14:textId="194BDF85" w:rsidR="00106655" w:rsidRPr="009C340A" w:rsidRDefault="00185A65" w:rsidP="00185A65">
      <w:pPr>
        <w:pStyle w:val="ManualConsidrant"/>
        <w:rPr>
          <w:noProof/>
        </w:rPr>
      </w:pPr>
      <w:r w:rsidRPr="00185A65">
        <w:t>(9)</w:t>
      </w:r>
      <w:r w:rsidRPr="00185A65">
        <w:tab/>
      </w:r>
      <w:r w:rsidR="0A3FB79E" w:rsidRPr="009C340A">
        <w:rPr>
          <w:noProof/>
        </w:rPr>
        <w:t>Tillräckligt med tid måste avsättas för att de europeiska tillsynsmyndigheterna ska kunna utarbeta förslag till specifikationer för centrala delar av de ändrade reglerna och för att Priip-produktutvecklare ska kunna bekanta sig med dessa specifikationer. Dagen för tillämpning av denna förordning bör därför skjutas upp.</w:t>
      </w:r>
    </w:p>
    <w:p w14:paraId="5306897F" w14:textId="77777777" w:rsidR="004E5476" w:rsidRPr="009C340A" w:rsidRDefault="004E5476" w:rsidP="0050536B">
      <w:pPr>
        <w:pStyle w:val="Formuledadoption"/>
        <w:rPr>
          <w:noProof/>
        </w:rPr>
      </w:pPr>
      <w:r w:rsidRPr="009C340A">
        <w:rPr>
          <w:noProof/>
        </w:rPr>
        <w:t>HÄRIGENOM FÖRESKRIVS FÖLJANDE.</w:t>
      </w:r>
    </w:p>
    <w:p w14:paraId="3CD5AF85" w14:textId="77777777" w:rsidR="004E5476" w:rsidRPr="009C340A" w:rsidRDefault="004E5476" w:rsidP="00266E13">
      <w:pPr>
        <w:pStyle w:val="Titrearticle"/>
        <w:spacing w:before="0" w:after="0"/>
        <w:rPr>
          <w:noProof/>
        </w:rPr>
      </w:pPr>
      <w:r w:rsidRPr="009C340A">
        <w:rPr>
          <w:noProof/>
        </w:rPr>
        <w:t>Artikel 1</w:t>
      </w:r>
    </w:p>
    <w:p w14:paraId="6CBB47BF" w14:textId="77777777" w:rsidR="007B112D" w:rsidRPr="009C340A" w:rsidRDefault="007B112D" w:rsidP="00D80377">
      <w:pPr>
        <w:pStyle w:val="Titrearticle"/>
        <w:rPr>
          <w:noProof/>
        </w:rPr>
      </w:pPr>
      <w:r w:rsidRPr="009C340A">
        <w:rPr>
          <w:noProof/>
        </w:rPr>
        <w:t>Ändringar av förordning (EU) nr 1286/2014</w:t>
      </w:r>
    </w:p>
    <w:p w14:paraId="67BC60B2" w14:textId="77777777" w:rsidR="00785F32" w:rsidRPr="009C340A" w:rsidRDefault="00785F32" w:rsidP="00785F32">
      <w:pPr>
        <w:rPr>
          <w:noProof/>
        </w:rPr>
      </w:pPr>
      <w:r w:rsidRPr="009C340A">
        <w:rPr>
          <w:noProof/>
        </w:rPr>
        <w:t>Förordning (EU) 1286/2014 ska ändras på följande sätt:</w:t>
      </w:r>
    </w:p>
    <w:p w14:paraId="40D685AC" w14:textId="7834B68B" w:rsidR="00E86BA4" w:rsidRPr="009C340A" w:rsidRDefault="00185A65" w:rsidP="00185A65">
      <w:pPr>
        <w:pStyle w:val="Point0"/>
        <w:rPr>
          <w:noProof/>
        </w:rPr>
      </w:pPr>
      <w:r w:rsidRPr="00185A65">
        <w:t>(1)</w:t>
      </w:r>
      <w:r w:rsidRPr="00185A65">
        <w:tab/>
      </w:r>
      <w:r w:rsidR="00E86BA4" w:rsidRPr="009C340A">
        <w:rPr>
          <w:noProof/>
        </w:rPr>
        <w:t>I artikel 2 ska punkt 2 ändras på följande sätt:</w:t>
      </w:r>
    </w:p>
    <w:p w14:paraId="00D2FEBD" w14:textId="09AE2100" w:rsidR="00CE0E59" w:rsidRPr="009C340A" w:rsidRDefault="00185A65" w:rsidP="00185A65">
      <w:pPr>
        <w:pStyle w:val="Point1"/>
        <w:rPr>
          <w:noProof/>
        </w:rPr>
      </w:pPr>
      <w:r w:rsidRPr="00185A65">
        <w:t>(a)</w:t>
      </w:r>
      <w:r w:rsidRPr="00185A65">
        <w:tab/>
      </w:r>
      <w:r w:rsidR="00CE0E59" w:rsidRPr="009C340A">
        <w:rPr>
          <w:noProof/>
        </w:rPr>
        <w:t xml:space="preserve">Led d ska ersättas med följande: </w:t>
      </w:r>
    </w:p>
    <w:p w14:paraId="398357AD" w14:textId="6CA86401" w:rsidR="00CE0E59" w:rsidRPr="009C340A" w:rsidRDefault="4140C8A5" w:rsidP="00A928C9">
      <w:pPr>
        <w:pStyle w:val="Text1"/>
        <w:rPr>
          <w:noProof/>
        </w:rPr>
      </w:pPr>
      <w:r w:rsidRPr="009C340A">
        <w:rPr>
          <w:noProof/>
        </w:rPr>
        <w:t>”d) Värdepapper som avses i artikel 1.2 b–e och g i Europaparlamentets och rådets förordning (EU) 2017/1129</w:t>
      </w:r>
      <w:r w:rsidRPr="009C340A">
        <w:rPr>
          <w:noProof/>
          <w:vertAlign w:val="superscript"/>
        </w:rPr>
        <w:t>*</w:t>
      </w:r>
      <w:r w:rsidRPr="009C340A">
        <w:rPr>
          <w:noProof/>
        </w:rPr>
        <w:t>.”</w:t>
      </w:r>
    </w:p>
    <w:p w14:paraId="7EC75878" w14:textId="360F72A6" w:rsidR="0E6DCF0E" w:rsidRPr="009C340A" w:rsidRDefault="00185A65" w:rsidP="00185A65">
      <w:pPr>
        <w:pStyle w:val="Point1"/>
        <w:rPr>
          <w:noProof/>
        </w:rPr>
      </w:pPr>
      <w:r w:rsidRPr="00185A65">
        <w:t>(b)</w:t>
      </w:r>
      <w:r w:rsidRPr="00185A65">
        <w:tab/>
      </w:r>
      <w:r w:rsidR="007634A2" w:rsidRPr="009C340A">
        <w:rPr>
          <w:noProof/>
        </w:rPr>
        <w:t xml:space="preserve">Följande led ska läggas till som led h:  </w:t>
      </w:r>
    </w:p>
    <w:p w14:paraId="4099E9FB" w14:textId="77777777" w:rsidR="7ACDA14B" w:rsidRPr="009C340A" w:rsidRDefault="29D290DA" w:rsidP="00A928C9">
      <w:pPr>
        <w:pStyle w:val="Text1"/>
        <w:rPr>
          <w:noProof/>
        </w:rPr>
      </w:pPr>
      <w:r w:rsidRPr="009C340A">
        <w:rPr>
          <w:noProof/>
        </w:rPr>
        <w:t xml:space="preserve">”Pensionsprodukter, bland annat sådana som ger omedelbart utgående livränta utan inlösenperiod, som enligt nationell rätt har som främsta syfte att ge investeraren en inkomst vid pensionering och som berättigar investeraren till vissa förmåner.” </w:t>
      </w:r>
    </w:p>
    <w:p w14:paraId="6BB21BB8" w14:textId="77777777" w:rsidR="007634A2" w:rsidRPr="009C340A" w:rsidRDefault="007634A2" w:rsidP="007634A2">
      <w:pPr>
        <w:pStyle w:val="Text1"/>
        <w:pBdr>
          <w:bottom w:val="single" w:sz="12" w:space="1" w:color="auto"/>
        </w:pBdr>
        <w:rPr>
          <w:noProof/>
        </w:rPr>
      </w:pPr>
    </w:p>
    <w:p w14:paraId="2ADE645F" w14:textId="77777777" w:rsidR="007634A2" w:rsidRPr="009C340A" w:rsidRDefault="007634A2" w:rsidP="007634A2">
      <w:pPr>
        <w:pStyle w:val="Text1"/>
        <w:rPr>
          <w:noProof/>
        </w:rPr>
      </w:pPr>
      <w:r w:rsidRPr="009C340A">
        <w:rPr>
          <w:noProof/>
          <w:vertAlign w:val="superscript"/>
        </w:rPr>
        <w:t>*</w:t>
      </w:r>
      <w:r w:rsidRPr="009C340A">
        <w:rPr>
          <w:noProof/>
        </w:rPr>
        <w:tab/>
        <w:t xml:space="preserve">Europaparlamentets och rådets förordning (EU) 2017/1129 av den 14 juni 2017 om prospekt som ska offentliggöras när värdepapper erbjuds till allmänheten eller tas upp till handel på en reglerad marknad, och om upphävande av direktiv 2003/71/EG (EUT L 168, 30.6.2017, s. 12).  </w:t>
      </w:r>
    </w:p>
    <w:p w14:paraId="30BD542C" w14:textId="364FFFA7" w:rsidR="00CE0E59" w:rsidRPr="009C340A" w:rsidRDefault="00185A65" w:rsidP="00185A65">
      <w:pPr>
        <w:pStyle w:val="Point0"/>
        <w:rPr>
          <w:noProof/>
        </w:rPr>
      </w:pPr>
      <w:r w:rsidRPr="00185A65">
        <w:t>(2)</w:t>
      </w:r>
      <w:r w:rsidRPr="00185A65">
        <w:tab/>
      </w:r>
      <w:r w:rsidR="007634A2" w:rsidRPr="009C340A">
        <w:rPr>
          <w:noProof/>
        </w:rPr>
        <w:t>I artikel 3 ska punkt 1 ersättas med följande:</w:t>
      </w:r>
    </w:p>
    <w:p w14:paraId="6A52F6A5" w14:textId="77777777" w:rsidR="00CE0E59" w:rsidRPr="009C340A" w:rsidRDefault="006904A7" w:rsidP="00CE0E59">
      <w:pPr>
        <w:pStyle w:val="Text1"/>
        <w:rPr>
          <w:noProof/>
          <w:color w:val="000000" w:themeColor="text1"/>
        </w:rPr>
      </w:pPr>
      <w:r w:rsidRPr="009C340A">
        <w:rPr>
          <w:noProof/>
        </w:rPr>
        <w:t>”1. Om de Priip-produktutvecklare som omfattas av denna förordning även omfattas av förordning (EU) 2017/1129, ska både denna förordning och förordning (EU) 2017/1129 vara tillämpliga.”</w:t>
      </w:r>
    </w:p>
    <w:p w14:paraId="0BCD0FE8" w14:textId="4BB693C6" w:rsidR="0091324D" w:rsidRPr="009C340A" w:rsidRDefault="00185A65" w:rsidP="00185A65">
      <w:pPr>
        <w:pStyle w:val="Point0"/>
        <w:rPr>
          <w:noProof/>
        </w:rPr>
      </w:pPr>
      <w:r w:rsidRPr="00185A65">
        <w:t>(3)</w:t>
      </w:r>
      <w:r w:rsidRPr="00185A65">
        <w:tab/>
      </w:r>
      <w:r w:rsidR="0091324D" w:rsidRPr="009C340A">
        <w:rPr>
          <w:noProof/>
        </w:rPr>
        <w:t>Artikel 4 ska ändras på följande sätt:</w:t>
      </w:r>
    </w:p>
    <w:p w14:paraId="03C02606" w14:textId="72FC14CB" w:rsidR="00D80377" w:rsidRPr="009C340A" w:rsidRDefault="00185A65" w:rsidP="00185A65">
      <w:pPr>
        <w:pStyle w:val="Point1"/>
        <w:rPr>
          <w:noProof/>
        </w:rPr>
      </w:pPr>
      <w:r w:rsidRPr="00185A65">
        <w:t>(a)</w:t>
      </w:r>
      <w:r w:rsidRPr="00185A65">
        <w:tab/>
      </w:r>
      <w:r w:rsidR="007634A2" w:rsidRPr="009C340A">
        <w:rPr>
          <w:noProof/>
        </w:rPr>
        <w:t xml:space="preserve"> I punkt 1 ska följande text läggas till efter sista meningen: </w:t>
      </w:r>
    </w:p>
    <w:p w14:paraId="7D7F5D50" w14:textId="77777777" w:rsidR="007634A2" w:rsidRPr="009C340A" w:rsidRDefault="52AF24A0" w:rsidP="00C813A8">
      <w:pPr>
        <w:ind w:left="720"/>
        <w:rPr>
          <w:noProof/>
        </w:rPr>
      </w:pPr>
      <w:r w:rsidRPr="009C340A">
        <w:rPr>
          <w:noProof/>
        </w:rPr>
        <w:t xml:space="preserve">”, utom om den fluktuationen enbart beror på att det ingår en make-whole-klausul enligt definitionen i artikel 4.1.44a i direktiv 2014/65/EU.” </w:t>
      </w:r>
    </w:p>
    <w:p w14:paraId="1A2BBB8D" w14:textId="7B1BC25B" w:rsidR="007634A2" w:rsidRPr="009C340A" w:rsidRDefault="00185A65" w:rsidP="00185A65">
      <w:pPr>
        <w:pStyle w:val="Point1"/>
        <w:rPr>
          <w:noProof/>
        </w:rPr>
      </w:pPr>
      <w:r w:rsidRPr="00185A65">
        <w:t>(b)</w:t>
      </w:r>
      <w:r w:rsidRPr="00185A65">
        <w:tab/>
      </w:r>
      <w:r w:rsidR="007634A2" w:rsidRPr="009C340A">
        <w:rPr>
          <w:noProof/>
        </w:rPr>
        <w:t>Följande punkt ska införas som punkt 7a:</w:t>
      </w:r>
    </w:p>
    <w:p w14:paraId="1AC6E2DF" w14:textId="77777777" w:rsidR="0091324D" w:rsidRPr="009C340A" w:rsidRDefault="007634A2" w:rsidP="001C0DD7">
      <w:pPr>
        <w:pStyle w:val="Text1"/>
        <w:rPr>
          <w:noProof/>
        </w:rPr>
      </w:pPr>
      <w:r w:rsidRPr="009C340A">
        <w:rPr>
          <w:noProof/>
        </w:rPr>
        <w:t xml:space="preserve">”7a. </w:t>
      </w:r>
      <w:r w:rsidRPr="009C340A">
        <w:rPr>
          <w:i/>
          <w:iCs/>
          <w:noProof/>
        </w:rPr>
        <w:t>elektroniskt format</w:t>
      </w:r>
      <w:r w:rsidRPr="009C340A">
        <w:rPr>
          <w:noProof/>
        </w:rPr>
        <w:t>: annat varaktigt medium än papper.”</w:t>
      </w:r>
    </w:p>
    <w:p w14:paraId="5AFA45E6" w14:textId="3C3C948D" w:rsidR="00CE0E59" w:rsidRPr="009C340A" w:rsidRDefault="00185A65" w:rsidP="00185A65">
      <w:pPr>
        <w:pStyle w:val="Point0"/>
        <w:rPr>
          <w:noProof/>
        </w:rPr>
      </w:pPr>
      <w:bookmarkStart w:id="12" w:name="_Hlk132813345"/>
      <w:r w:rsidRPr="00185A65">
        <w:t>(4)</w:t>
      </w:r>
      <w:r w:rsidRPr="00185A65">
        <w:tab/>
      </w:r>
      <w:r w:rsidR="007634A2" w:rsidRPr="009C340A">
        <w:rPr>
          <w:noProof/>
        </w:rPr>
        <w:t>I artikel 6 ska punkt 3 ersättas med följande</w:t>
      </w:r>
      <w:bookmarkEnd w:id="12"/>
      <w:r w:rsidR="007634A2" w:rsidRPr="009C340A">
        <w:rPr>
          <w:noProof/>
        </w:rPr>
        <w:t>:</w:t>
      </w:r>
    </w:p>
    <w:p w14:paraId="4E586DEF" w14:textId="77777777" w:rsidR="00CE0E59" w:rsidRPr="009C340A" w:rsidRDefault="00A42BEB" w:rsidP="00CE0E59">
      <w:pPr>
        <w:pStyle w:val="Text1"/>
        <w:rPr>
          <w:noProof/>
        </w:rPr>
      </w:pPr>
      <w:r w:rsidRPr="009C340A">
        <w:rPr>
          <w:noProof/>
        </w:rPr>
        <w:t>”3. Genom undantag från punkt 2 i denna artikel, om en Priip-produkt erbjuder den icke-professionella investeraren en rad alternativa investeringar, så att det inte är möjligt att tillhandahålla all information som avses i artikel 8.3 för varje investeringsalternativ i ett enda fristående, kortfattat dokument, ska faktabladet innehålla en generisk beskrivning av de underliggande investeringsalternativen samt ange de andra kostnader som Priip-produkten medför utöver kostnaderna för investeringsalternativet, under förutsättning att</w:t>
      </w:r>
    </w:p>
    <w:p w14:paraId="317E3A73" w14:textId="16E3CD02" w:rsidR="00CE0E59" w:rsidRPr="009C340A" w:rsidRDefault="00185A65" w:rsidP="00185A65">
      <w:pPr>
        <w:pStyle w:val="Point1"/>
        <w:rPr>
          <w:noProof/>
        </w:rPr>
      </w:pPr>
      <w:r w:rsidRPr="00185A65">
        <w:t>(a)</w:t>
      </w:r>
      <w:r w:rsidRPr="00185A65">
        <w:tab/>
      </w:r>
      <w:r w:rsidR="00CE0E59" w:rsidRPr="009C340A">
        <w:rPr>
          <w:noProof/>
        </w:rPr>
        <w:t>Priip-produktutvecklare förser investerare med verktyg som är anpassade till icke-professionella investerare och underlättar en analys och jämförelse av de olika investeringsalternativen, bland annat vad gäller kostnader,</w:t>
      </w:r>
    </w:p>
    <w:p w14:paraId="52951256" w14:textId="063413AF" w:rsidR="000667DC" w:rsidRPr="009C340A" w:rsidRDefault="00185A65" w:rsidP="00185A65">
      <w:pPr>
        <w:pStyle w:val="Point1"/>
        <w:rPr>
          <w:noProof/>
        </w:rPr>
      </w:pPr>
      <w:r w:rsidRPr="00185A65">
        <w:t>(b)</w:t>
      </w:r>
      <w:r w:rsidRPr="00185A65">
        <w:tab/>
      </w:r>
      <w:r w:rsidR="000667DC" w:rsidRPr="009C340A">
        <w:rPr>
          <w:noProof/>
        </w:rPr>
        <w:t>icke-professionella investerare enkelt har tillgång till informationsunderlag före ingående av avtal rörande de investeringsprodukter som stöder de underliggande investeringsalternativen,</w:t>
      </w:r>
    </w:p>
    <w:p w14:paraId="3BED4ECD" w14:textId="03E513C5" w:rsidR="000667DC" w:rsidRPr="009C340A" w:rsidRDefault="00185A65" w:rsidP="00185A65">
      <w:pPr>
        <w:pStyle w:val="Point1"/>
        <w:rPr>
          <w:noProof/>
        </w:rPr>
      </w:pPr>
      <w:r w:rsidRPr="00185A65">
        <w:t>(c)</w:t>
      </w:r>
      <w:r w:rsidRPr="00185A65">
        <w:tab/>
      </w:r>
      <w:r w:rsidR="003A2A9A" w:rsidRPr="009C340A">
        <w:rPr>
          <w:noProof/>
        </w:rPr>
        <w:t>Priip-produktutvecklare, på icke-professionella investerares begäran och i god tid innan dessa investerare binds av något avtal eller erbjudande om att investera i ett visst investeringsalternativ, informerar dem om Priip-produktens totala kostnader med det investeringsalternativet.”</w:t>
      </w:r>
    </w:p>
    <w:p w14:paraId="19F4D4FC" w14:textId="1011548B" w:rsidR="003A2A9A" w:rsidRPr="009C340A" w:rsidRDefault="00185A65" w:rsidP="00185A65">
      <w:pPr>
        <w:pStyle w:val="Point0"/>
        <w:rPr>
          <w:noProof/>
        </w:rPr>
      </w:pPr>
      <w:r w:rsidRPr="00185A65">
        <w:t>(5)</w:t>
      </w:r>
      <w:r w:rsidRPr="00185A65">
        <w:tab/>
      </w:r>
      <w:r w:rsidR="003A2A9A" w:rsidRPr="009C340A">
        <w:rPr>
          <w:noProof/>
        </w:rPr>
        <w:t>Artikel 8 ska ändras på följande sätt:</w:t>
      </w:r>
    </w:p>
    <w:p w14:paraId="609B7819" w14:textId="7D6E6B25" w:rsidR="003A2A9A" w:rsidRPr="009C340A" w:rsidRDefault="00185A65" w:rsidP="00185A65">
      <w:pPr>
        <w:pStyle w:val="Point1"/>
        <w:rPr>
          <w:noProof/>
        </w:rPr>
      </w:pPr>
      <w:r w:rsidRPr="00185A65">
        <w:t>(a)</w:t>
      </w:r>
      <w:r w:rsidRPr="00185A65">
        <w:tab/>
      </w:r>
      <w:r w:rsidR="003A2A9A" w:rsidRPr="009C340A">
        <w:rPr>
          <w:noProof/>
        </w:rPr>
        <w:t>I punkt 3 ska led aa läggas till:</w:t>
      </w:r>
    </w:p>
    <w:p w14:paraId="475B4BE5" w14:textId="31CE28C7" w:rsidR="00D80377" w:rsidRPr="009C340A" w:rsidRDefault="00A53B3C" w:rsidP="00A53B3C">
      <w:pPr>
        <w:pStyle w:val="Text1"/>
        <w:ind w:left="1417"/>
        <w:rPr>
          <w:noProof/>
          <w:shd w:val="clear" w:color="auto" w:fill="FFFFFF"/>
        </w:rPr>
      </w:pPr>
      <w:r w:rsidRPr="009C340A">
        <w:rPr>
          <w:noProof/>
        </w:rPr>
        <w:t xml:space="preserve">”aa) </w:t>
      </w:r>
      <w:r w:rsidRPr="009C340A">
        <w:rPr>
          <w:noProof/>
          <w:shd w:val="clear" w:color="auto" w:fill="FFFFFF"/>
        </w:rPr>
        <w:t xml:space="preserve">I ett avsnitt med titeln </w:t>
      </w:r>
      <w:r w:rsidRPr="009C340A">
        <w:rPr>
          <w:i/>
          <w:iCs/>
          <w:noProof/>
          <w:shd w:val="clear" w:color="auto" w:fill="FFFFFF"/>
        </w:rPr>
        <w:t>Produkten i korthet</w:t>
      </w:r>
      <w:r w:rsidRPr="009C340A">
        <w:rPr>
          <w:noProof/>
          <w:shd w:val="clear" w:color="auto" w:fill="FFFFFF"/>
        </w:rPr>
        <w:t>: en resultattavla med en sammanfattning av samtliga följande uppgifter:</w:t>
      </w:r>
    </w:p>
    <w:p w14:paraId="147B70DA" w14:textId="77777777" w:rsidR="00D80377" w:rsidRPr="009C340A" w:rsidRDefault="00A53B3C" w:rsidP="00A53B3C">
      <w:pPr>
        <w:pStyle w:val="Point2"/>
        <w:ind w:firstLine="0"/>
        <w:rPr>
          <w:noProof/>
        </w:rPr>
      </w:pPr>
      <w:r w:rsidRPr="009C340A">
        <w:rPr>
          <w:noProof/>
        </w:rPr>
        <w:t>i) Typen av Priip-produkt enligt led c i.</w:t>
      </w:r>
    </w:p>
    <w:p w14:paraId="5EA51ACF" w14:textId="77777777" w:rsidR="00FF6AFD" w:rsidRPr="009C340A" w:rsidRDefault="00A53B3C" w:rsidP="00A53B3C">
      <w:pPr>
        <w:pStyle w:val="Point2"/>
        <w:ind w:firstLine="0"/>
        <w:rPr>
          <w:noProof/>
        </w:rPr>
      </w:pPr>
      <w:r w:rsidRPr="009C340A">
        <w:rPr>
          <w:noProof/>
        </w:rPr>
        <w:t>ii) Den sammanfattande riskindikatorn enligt led d i.</w:t>
      </w:r>
    </w:p>
    <w:p w14:paraId="7F025934" w14:textId="77777777" w:rsidR="00FF6AFD" w:rsidRPr="009C340A" w:rsidRDefault="00A53B3C" w:rsidP="00A53B3C">
      <w:pPr>
        <w:pStyle w:val="Point2"/>
        <w:ind w:firstLine="0"/>
        <w:rPr>
          <w:noProof/>
        </w:rPr>
      </w:pPr>
      <w:r w:rsidRPr="009C340A">
        <w:rPr>
          <w:noProof/>
        </w:rPr>
        <w:t>iii) De totala kostnaderna för Priip-produkten.</w:t>
      </w:r>
    </w:p>
    <w:p w14:paraId="18251036" w14:textId="77777777" w:rsidR="00FF6AFD" w:rsidRPr="009C340A" w:rsidRDefault="00A53B3C" w:rsidP="00A53B3C">
      <w:pPr>
        <w:pStyle w:val="Point2"/>
        <w:ind w:firstLine="0"/>
        <w:rPr>
          <w:noProof/>
        </w:rPr>
      </w:pPr>
      <w:r w:rsidRPr="009C340A">
        <w:rPr>
          <w:noProof/>
        </w:rPr>
        <w:t>iv) Den rekommenderade innehavstiden enligt led g ii.</w:t>
      </w:r>
    </w:p>
    <w:p w14:paraId="60EBA5E2" w14:textId="4CFF3AE0" w:rsidR="00FF6AFD" w:rsidRPr="009C340A" w:rsidRDefault="00A53B3C" w:rsidP="00A53B3C">
      <w:pPr>
        <w:pStyle w:val="Point2"/>
        <w:ind w:firstLine="0"/>
        <w:rPr>
          <w:noProof/>
        </w:rPr>
      </w:pPr>
      <w:r w:rsidRPr="009C340A">
        <w:rPr>
          <w:noProof/>
        </w:rPr>
        <w:t>v) Huruvida Priip-produkten erbjuder försäkringsförmåner enligt led c iv.”</w:t>
      </w:r>
    </w:p>
    <w:p w14:paraId="4B47A6C4" w14:textId="28C735F9" w:rsidR="003A2A9A" w:rsidRPr="009C340A" w:rsidRDefault="00185A65" w:rsidP="00185A65">
      <w:pPr>
        <w:pStyle w:val="Point1"/>
        <w:rPr>
          <w:noProof/>
        </w:rPr>
      </w:pPr>
      <w:r w:rsidRPr="00185A65">
        <w:t>(b)</w:t>
      </w:r>
      <w:r w:rsidRPr="00185A65">
        <w:tab/>
      </w:r>
      <w:r w:rsidR="003A2A9A" w:rsidRPr="009C340A">
        <w:rPr>
          <w:noProof/>
        </w:rPr>
        <w:t>I punkt 3 ska led b utgå.</w:t>
      </w:r>
    </w:p>
    <w:p w14:paraId="16D59AFA" w14:textId="374D3A6D" w:rsidR="003A2A9A" w:rsidRPr="009C340A" w:rsidRDefault="00185A65" w:rsidP="00185A65">
      <w:pPr>
        <w:pStyle w:val="Point1"/>
        <w:rPr>
          <w:noProof/>
        </w:rPr>
      </w:pPr>
      <w:r w:rsidRPr="00185A65">
        <w:t>(c)</w:t>
      </w:r>
      <w:r w:rsidRPr="00185A65">
        <w:tab/>
      </w:r>
      <w:r w:rsidR="003A2A9A" w:rsidRPr="009C340A">
        <w:rPr>
          <w:noProof/>
        </w:rPr>
        <w:t>I punkt 3 ska led c ii ersättas med följande:</w:t>
      </w:r>
    </w:p>
    <w:p w14:paraId="1BA72045" w14:textId="77777777" w:rsidR="003A2A9A" w:rsidRPr="009C340A" w:rsidRDefault="2AEC8F91" w:rsidP="00B96C98">
      <w:pPr>
        <w:pStyle w:val="Text2"/>
        <w:rPr>
          <w:noProof/>
          <w:shd w:val="clear" w:color="auto" w:fill="FFFFFF"/>
        </w:rPr>
      </w:pPr>
      <w:r w:rsidRPr="009C340A">
        <w:rPr>
          <w:noProof/>
        </w:rPr>
        <w:t xml:space="preserve">”ii) </w:t>
      </w:r>
      <w:r w:rsidRPr="009C340A">
        <w:rPr>
          <w:noProof/>
          <w:shd w:val="clear" w:color="auto" w:fill="FFFFFF"/>
        </w:rPr>
        <w:t>Priip-produktens finansiella syften och hur de ska uppnås, särskilt huruvida syftena ska uppnås genom direkt eller indirekt exponering mot underliggande investeringstillgångar, tillsammans med samtliga följande uppgifter:</w:t>
      </w:r>
    </w:p>
    <w:p w14:paraId="758DBA6D" w14:textId="179E847C" w:rsidR="00BF249A" w:rsidRPr="009C340A" w:rsidRDefault="00185A65" w:rsidP="00185A65">
      <w:pPr>
        <w:pStyle w:val="Point2"/>
        <w:rPr>
          <w:noProof/>
        </w:rPr>
      </w:pPr>
      <w:r w:rsidRPr="00185A65">
        <w:t>(1)</w:t>
      </w:r>
      <w:r w:rsidRPr="00185A65">
        <w:tab/>
      </w:r>
      <w:r w:rsidR="00BF249A" w:rsidRPr="009C340A">
        <w:rPr>
          <w:noProof/>
        </w:rPr>
        <w:t>En beskrivning av de underliggande instrumenten eller referensvärdena.</w:t>
      </w:r>
    </w:p>
    <w:p w14:paraId="5935CCC0" w14:textId="3E211E91" w:rsidR="00BF249A" w:rsidRPr="009C340A" w:rsidRDefault="00185A65" w:rsidP="00185A65">
      <w:pPr>
        <w:pStyle w:val="Point2"/>
        <w:rPr>
          <w:noProof/>
        </w:rPr>
      </w:pPr>
      <w:r w:rsidRPr="00185A65">
        <w:t>(2)</w:t>
      </w:r>
      <w:r w:rsidRPr="00185A65">
        <w:tab/>
      </w:r>
      <w:r w:rsidR="00BF249A" w:rsidRPr="009C340A">
        <w:rPr>
          <w:noProof/>
        </w:rPr>
        <w:t>En specificering av de marknader där Priip-produkten investerar.</w:t>
      </w:r>
    </w:p>
    <w:p w14:paraId="7FFCC3FA" w14:textId="04DA19EC" w:rsidR="00BF249A" w:rsidRPr="009C340A" w:rsidRDefault="00185A65" w:rsidP="00185A65">
      <w:pPr>
        <w:pStyle w:val="Point2"/>
        <w:rPr>
          <w:noProof/>
        </w:rPr>
      </w:pPr>
      <w:r w:rsidRPr="00185A65">
        <w:t>(3)</w:t>
      </w:r>
      <w:r w:rsidRPr="00185A65">
        <w:tab/>
      </w:r>
      <w:r w:rsidR="00BF249A" w:rsidRPr="009C340A">
        <w:rPr>
          <w:noProof/>
        </w:rPr>
        <w:t>Information om hur avkastningen fastställs.”</w:t>
      </w:r>
    </w:p>
    <w:p w14:paraId="1EF7530C" w14:textId="35792DAD" w:rsidR="4B6F26CB" w:rsidRPr="009C340A" w:rsidRDefault="00185A65" w:rsidP="00185A65">
      <w:pPr>
        <w:pStyle w:val="Point1"/>
        <w:rPr>
          <w:noProof/>
        </w:rPr>
      </w:pPr>
      <w:r w:rsidRPr="00185A65">
        <w:t>(d)</w:t>
      </w:r>
      <w:r w:rsidRPr="00185A65">
        <w:tab/>
      </w:r>
      <w:r w:rsidR="4B6F26CB" w:rsidRPr="009C340A">
        <w:rPr>
          <w:noProof/>
        </w:rPr>
        <w:t>Följande led ska införas som led ga:</w:t>
      </w:r>
    </w:p>
    <w:p w14:paraId="1139A557" w14:textId="07D0CFBC" w:rsidR="4B6F26CB" w:rsidRPr="009C340A" w:rsidRDefault="4B6F26CB" w:rsidP="00B96C98">
      <w:pPr>
        <w:pStyle w:val="Text2"/>
        <w:rPr>
          <w:noProof/>
        </w:rPr>
      </w:pPr>
      <w:r w:rsidRPr="009C340A">
        <w:rPr>
          <w:noProof/>
        </w:rPr>
        <w:t>”ga)</w:t>
      </w:r>
      <w:r w:rsidRPr="009C340A">
        <w:rPr>
          <w:noProof/>
        </w:rPr>
        <w:tab/>
        <w:t xml:space="preserve">För Priip-produkter för vilka finansmarknadsaktörer ska lämna upplysningar innan avtal ingås enligt Europaparlamentets och rådets förordning (EU) 2019/2088** och kommissionens delegerade förordning 2022/1288***, i ett avsnitt med titeln </w:t>
      </w:r>
      <w:r w:rsidRPr="009C340A">
        <w:rPr>
          <w:i/>
          <w:iCs/>
          <w:noProof/>
        </w:rPr>
        <w:t>Hur miljömässigt hållbar är produkten?</w:t>
      </w:r>
      <w:r w:rsidRPr="009C340A">
        <w:rPr>
          <w:noProof/>
        </w:rPr>
        <w:t>: följande uppgifter:</w:t>
      </w:r>
    </w:p>
    <w:p w14:paraId="6B88B400" w14:textId="70BE0296" w:rsidR="4B6F26CB" w:rsidRPr="009C340A" w:rsidRDefault="004E68B6" w:rsidP="0053769D">
      <w:pPr>
        <w:pStyle w:val="Text2"/>
        <w:rPr>
          <w:noProof/>
        </w:rPr>
      </w:pPr>
      <w:r w:rsidRPr="009C340A">
        <w:rPr>
          <w:noProof/>
        </w:rPr>
        <w:t>i) Den minsta andel av investeringen i Priip-produkten som är kopplad till ekonomiska verksamheter som anses vara miljömässigt hållbara i enlighet med artiklarna 5 och 6 i Europaparlamentets och rådets förordning (EU) 2020/852****.</w:t>
      </w:r>
    </w:p>
    <w:p w14:paraId="766E4315" w14:textId="033E201B" w:rsidR="0088410C" w:rsidRPr="009C340A" w:rsidRDefault="004E68B6" w:rsidP="0053769D">
      <w:pPr>
        <w:pStyle w:val="Text2"/>
        <w:rPr>
          <w:noProof/>
        </w:rPr>
      </w:pPr>
      <w:r w:rsidRPr="009C340A">
        <w:rPr>
          <w:noProof/>
        </w:rPr>
        <w:t>ii) Priip-produktens förväntade växthusgasintensitet enligt delegerad förordning 2022/1288.”</w:t>
      </w:r>
    </w:p>
    <w:p w14:paraId="7F1069CC" w14:textId="446017AD" w:rsidR="009C649E" w:rsidRPr="009C340A" w:rsidRDefault="00185A65" w:rsidP="00185A65">
      <w:pPr>
        <w:pStyle w:val="Point1"/>
        <w:rPr>
          <w:noProof/>
        </w:rPr>
      </w:pPr>
      <w:r w:rsidRPr="00185A65">
        <w:t>(e)</w:t>
      </w:r>
      <w:r w:rsidRPr="00185A65">
        <w:tab/>
      </w:r>
      <w:r w:rsidR="009C649E" w:rsidRPr="009C340A">
        <w:rPr>
          <w:noProof/>
        </w:rPr>
        <w:t>Punkt 4 ska utgå.</w:t>
      </w:r>
    </w:p>
    <w:p w14:paraId="33B7A9FA" w14:textId="740A25FC" w:rsidR="009C649E" w:rsidRPr="009C340A" w:rsidRDefault="00185A65" w:rsidP="00185A65">
      <w:pPr>
        <w:pStyle w:val="Point1"/>
        <w:rPr>
          <w:noProof/>
        </w:rPr>
      </w:pPr>
      <w:r w:rsidRPr="00185A65">
        <w:t>(f)</w:t>
      </w:r>
      <w:r w:rsidRPr="00185A65">
        <w:tab/>
      </w:r>
      <w:r w:rsidR="009C649E" w:rsidRPr="009C340A">
        <w:rPr>
          <w:noProof/>
        </w:rPr>
        <w:t>I punkt 5 ska tredje stycket ersättas med följande:</w:t>
      </w:r>
    </w:p>
    <w:p w14:paraId="2800A0D5" w14:textId="77777777" w:rsidR="004E68B6" w:rsidRPr="009C340A" w:rsidRDefault="009C649E" w:rsidP="00AC1D32">
      <w:pPr>
        <w:pStyle w:val="Text2"/>
        <w:rPr>
          <w:noProof/>
        </w:rPr>
      </w:pPr>
      <w:r w:rsidRPr="009C340A">
        <w:rPr>
          <w:noProof/>
        </w:rPr>
        <w:t>”De europeiska tillsynsmyndigheterna ska överlämna dessa förslag till tekniska tillsynsstandarder till kommissionen senast den [Publikationsbyrån: ange datum = ett år efter denna ändringsförordnings ikraftträdande].”</w:t>
      </w:r>
    </w:p>
    <w:p w14:paraId="3B26CA05" w14:textId="77777777" w:rsidR="00AC1D32" w:rsidRPr="009C340A" w:rsidRDefault="00AC1D32" w:rsidP="00AC1D32">
      <w:pPr>
        <w:pStyle w:val="Text2"/>
        <w:rPr>
          <w:noProof/>
        </w:rPr>
      </w:pPr>
      <w:r w:rsidRPr="009C340A">
        <w:rPr>
          <w:noProof/>
        </w:rPr>
        <w:t>_______________</w:t>
      </w:r>
    </w:p>
    <w:p w14:paraId="5A20F5F6" w14:textId="77777777" w:rsidR="004E68B6" w:rsidRPr="009C340A" w:rsidRDefault="004E68B6" w:rsidP="004E68B6">
      <w:pPr>
        <w:pStyle w:val="Text2"/>
        <w:rPr>
          <w:noProof/>
        </w:rPr>
      </w:pPr>
      <w:r w:rsidRPr="009C340A">
        <w:rPr>
          <w:noProof/>
          <w:vertAlign w:val="superscript"/>
        </w:rPr>
        <w:t xml:space="preserve">** </w:t>
      </w:r>
      <w:r w:rsidRPr="009C340A">
        <w:rPr>
          <w:noProof/>
        </w:rPr>
        <w:t>Europaparlamentets och rådets förordning (EU) 2019/2088 av den 27 november 2019 om hållbarhetsrelaterade upplysningar som ska lämnas inom den finansiella tjänstesektorn (EUT L 317, 9.12.2019, s. 1).</w:t>
      </w:r>
    </w:p>
    <w:p w14:paraId="3D88B788" w14:textId="77777777" w:rsidR="004E68B6" w:rsidRPr="009C340A" w:rsidRDefault="004E68B6" w:rsidP="004E68B6">
      <w:pPr>
        <w:pStyle w:val="Text2"/>
        <w:rPr>
          <w:noProof/>
        </w:rPr>
      </w:pPr>
      <w:r w:rsidRPr="009C340A">
        <w:rPr>
          <w:noProof/>
          <w:vertAlign w:val="superscript"/>
        </w:rPr>
        <w:t xml:space="preserve">*** </w:t>
      </w:r>
      <w:r w:rsidRPr="009C340A">
        <w:rPr>
          <w:noProof/>
        </w:rPr>
        <w:t>Kommissionens delegerade förordning (EU) 2022/1288 av den 6 april 2022 om komplettering av Europaparlamentets och rådets förordning (EU) 2019/2088 vad gäller tekniska standarder för tillsyn som specificerar innehållet i och presentationen av information med avseende på principen om att inte orsaka betydande skada, och som specificerar innehållet i, metoderna för och presentationen av information med avseende på hållbarhetsindikatorer och negativa konsekvenser för hållbar utveckling, samt innehållet i och presentationen av information med avseende på främjande av miljörelaterade eller sociala egenskaper och mål för hållbar investering i upplysningar som lämnas innan avtal ingås, på webbplatser och i regelbundna rapporter (EUT L 196, 25.7.2022, s. 1).</w:t>
      </w:r>
    </w:p>
    <w:p w14:paraId="40F5BC17" w14:textId="77777777" w:rsidR="004E68B6" w:rsidRPr="009C340A" w:rsidRDefault="004E68B6" w:rsidP="00AC1D32">
      <w:pPr>
        <w:pStyle w:val="Text2"/>
        <w:rPr>
          <w:noProof/>
        </w:rPr>
      </w:pPr>
      <w:r w:rsidRPr="009C340A">
        <w:rPr>
          <w:noProof/>
          <w:vertAlign w:val="superscript"/>
        </w:rPr>
        <w:t>****</w:t>
      </w:r>
      <w:r w:rsidRPr="009C340A">
        <w:rPr>
          <w:noProof/>
        </w:rPr>
        <w:t>Europaparlamentets och rådets förordning (EU) 2020/852 av den 18 juni 2020 om inrättande av en ram för att underlätta hållbara investeringar och om ändring av förordning (EU) 2019/2088 (EUT L 198, 22.6.2020, s. 13).”</w:t>
      </w:r>
    </w:p>
    <w:p w14:paraId="2E3D9679" w14:textId="41D719EB" w:rsidR="009C649E" w:rsidRPr="009C340A" w:rsidRDefault="00185A65" w:rsidP="00185A65">
      <w:pPr>
        <w:pStyle w:val="Point0"/>
        <w:rPr>
          <w:noProof/>
        </w:rPr>
      </w:pPr>
      <w:r w:rsidRPr="00185A65">
        <w:t>(6)</w:t>
      </w:r>
      <w:r w:rsidRPr="00185A65">
        <w:tab/>
      </w:r>
      <w:r w:rsidR="009C649E" w:rsidRPr="009C340A">
        <w:rPr>
          <w:noProof/>
        </w:rPr>
        <w:t>I artikel 10 ska punkt 2 ändras på följande sätt:</w:t>
      </w:r>
    </w:p>
    <w:p w14:paraId="0BC26AD0" w14:textId="15D25A18" w:rsidR="007A5A5D" w:rsidRPr="009C340A" w:rsidRDefault="00185A65" w:rsidP="00185A65">
      <w:pPr>
        <w:pStyle w:val="Point1"/>
        <w:rPr>
          <w:noProof/>
        </w:rPr>
      </w:pPr>
      <w:r w:rsidRPr="00185A65">
        <w:t>(a)</w:t>
      </w:r>
      <w:r w:rsidRPr="00185A65">
        <w:tab/>
      </w:r>
      <w:r w:rsidR="00BF249A" w:rsidRPr="009C340A">
        <w:rPr>
          <w:noProof/>
        </w:rPr>
        <w:t>Led b ska ersättas med följande:</w:t>
      </w:r>
    </w:p>
    <w:p w14:paraId="3C8872A6" w14:textId="77777777" w:rsidR="007A5A5D" w:rsidRPr="009C340A" w:rsidRDefault="00BF249A" w:rsidP="007A5A5D">
      <w:pPr>
        <w:pStyle w:val="Text1"/>
        <w:rPr>
          <w:noProof/>
        </w:rPr>
      </w:pPr>
      <w:r w:rsidRPr="009C340A">
        <w:rPr>
          <w:noProof/>
        </w:rPr>
        <w:t>”b) De villkor på vilka faktabladet måste ändras, med åtskillnad mellan Priip-produkter som fortfarande görs tillgängliga för icke-professionella investerare och Priip-produkter som inte längre görs tillgängliga.”</w:t>
      </w:r>
    </w:p>
    <w:p w14:paraId="59A30FE9" w14:textId="4274CC67" w:rsidR="007A5A5D" w:rsidRPr="009C340A" w:rsidRDefault="00185A65" w:rsidP="00185A65">
      <w:pPr>
        <w:pStyle w:val="Point1"/>
        <w:rPr>
          <w:noProof/>
        </w:rPr>
      </w:pPr>
      <w:r w:rsidRPr="00185A65">
        <w:t>(b)</w:t>
      </w:r>
      <w:r w:rsidRPr="00185A65">
        <w:tab/>
      </w:r>
      <w:r w:rsidR="00BF249A" w:rsidRPr="009C340A">
        <w:rPr>
          <w:noProof/>
        </w:rPr>
        <w:t xml:space="preserve">Andra och tredje styckena ska ersättas med följande:  </w:t>
      </w:r>
    </w:p>
    <w:p w14:paraId="5FA65408" w14:textId="77777777" w:rsidR="007A5A5D" w:rsidRPr="009C340A" w:rsidRDefault="007A5A5D" w:rsidP="007A5A5D">
      <w:pPr>
        <w:pStyle w:val="Text1"/>
        <w:rPr>
          <w:noProof/>
        </w:rPr>
      </w:pPr>
      <w:r w:rsidRPr="009C340A">
        <w:rPr>
          <w:noProof/>
        </w:rPr>
        <w:t>”De europeiska tillsynsmyndigheterna ska beakta situationer där en Priip-produkt inte längre görs tillgänglig för icke-professionella investerare. De europeiska tillsynsmyndigheterna ska överlämna dessa förslag till tekniska tillsynsstandarder till kommissionen senast den [Publikationsbyrån: ange datum = ett år efter denna ändringsförordnings ikraftträdande].</w:t>
      </w:r>
    </w:p>
    <w:p w14:paraId="0AF29073" w14:textId="4BB9AFB2" w:rsidR="007A5A5D" w:rsidRPr="009C340A" w:rsidRDefault="007A5A5D" w:rsidP="007A5A5D">
      <w:pPr>
        <w:pStyle w:val="Text1"/>
        <w:rPr>
          <w:noProof/>
        </w:rPr>
      </w:pPr>
      <w:r w:rsidRPr="009C340A">
        <w:rPr>
          <w:noProof/>
        </w:rPr>
        <w:t>Kommissionen ska ges befogenhet att anta de tekniska tillsynsstandarder som avses i första stycket i enlighet med artiklarna 10–14 i förordning (EU) nr 1093/2010, förordning (EU) nr 1094/2010 och förordning (EU) nr 1095/2010.”</w:t>
      </w:r>
    </w:p>
    <w:p w14:paraId="169C4194" w14:textId="54E3CE79" w:rsidR="00B96C98" w:rsidRPr="009C340A" w:rsidRDefault="00185A65" w:rsidP="00185A65">
      <w:pPr>
        <w:pStyle w:val="Point0"/>
        <w:rPr>
          <w:noProof/>
        </w:rPr>
      </w:pPr>
      <w:r w:rsidRPr="00185A65">
        <w:t>(7)</w:t>
      </w:r>
      <w:r w:rsidRPr="00185A65">
        <w:tab/>
      </w:r>
      <w:r w:rsidR="007A5A5D" w:rsidRPr="009C340A">
        <w:rPr>
          <w:noProof/>
        </w:rPr>
        <w:t>Artikel 14 ska ersättas med följande:</w:t>
      </w:r>
    </w:p>
    <w:p w14:paraId="038C8E48" w14:textId="77777777" w:rsidR="00AC1D32" w:rsidRPr="009C340A" w:rsidRDefault="00AC1D32" w:rsidP="0053769D">
      <w:pPr>
        <w:jc w:val="center"/>
        <w:rPr>
          <w:noProof/>
        </w:rPr>
      </w:pPr>
      <w:r w:rsidRPr="009C340A">
        <w:rPr>
          <w:noProof/>
        </w:rPr>
        <w:t>”Artikel 14</w:t>
      </w:r>
    </w:p>
    <w:p w14:paraId="423B0685" w14:textId="0959CB95" w:rsidR="00BF249A" w:rsidRPr="009C340A" w:rsidRDefault="00185A65" w:rsidP="00185A65">
      <w:pPr>
        <w:pStyle w:val="Point1"/>
        <w:rPr>
          <w:noProof/>
        </w:rPr>
      </w:pPr>
      <w:r w:rsidRPr="00185A65">
        <w:t>(1)</w:t>
      </w:r>
      <w:r w:rsidRPr="00185A65">
        <w:tab/>
      </w:r>
      <w:r w:rsidR="00AC1D32" w:rsidRPr="009C340A">
        <w:rPr>
          <w:noProof/>
        </w:rPr>
        <w:t xml:space="preserve"> Den person som ger råd om eller säljer en Priip-produkt ska tillhandahålla faktabladet till icke-professionella investerare kostnadsfritt. Informationen ska tillhandahållas i elektroniskt format, såvida inte den icke-professionella investeraren har begärt att få ett pappersexemplar av faktabladet. Den person som ger råd om eller säljer en Priip-produkt ska upplysa icke-professionella investerare om deras rätt att få ett kostnadsfritt pappersexemplar av faktabladet.</w:t>
      </w:r>
    </w:p>
    <w:p w14:paraId="6D75F627" w14:textId="1F7FEAA7" w:rsidR="00BF249A" w:rsidRPr="009C340A" w:rsidRDefault="00185A65" w:rsidP="00185A65">
      <w:pPr>
        <w:pStyle w:val="Point1"/>
        <w:rPr>
          <w:noProof/>
        </w:rPr>
      </w:pPr>
      <w:r w:rsidRPr="00185A65">
        <w:t>(2)</w:t>
      </w:r>
      <w:r w:rsidRPr="00185A65">
        <w:tab/>
      </w:r>
      <w:r w:rsidR="00AC1D32" w:rsidRPr="009C340A">
        <w:rPr>
          <w:noProof/>
        </w:rPr>
        <w:t xml:space="preserve"> Faktabladet i elektroniskt format kan tillhandahållas med hjälp av ett interaktivt verktyg som gör det möjligt för den icke-professionella investeraren att ta fram personaliserade basfakta på grundval av informationen i faktabladet eller den information som ligger till grund för det. Verktyget ska uppfylla följande villkor:</w:t>
      </w:r>
    </w:p>
    <w:p w14:paraId="61712E34" w14:textId="7593FB5C" w:rsidR="002070C3" w:rsidRPr="009C340A" w:rsidRDefault="00A53B3C" w:rsidP="00A53B3C">
      <w:pPr>
        <w:ind w:left="2137"/>
        <w:rPr>
          <w:noProof/>
        </w:rPr>
      </w:pPr>
      <w:r w:rsidRPr="009C340A">
        <w:rPr>
          <w:noProof/>
        </w:rPr>
        <w:t>a) Det interaktiva verktyget eller dess användning ska inte förändra förståelsen av faktabladet.</w:t>
      </w:r>
    </w:p>
    <w:p w14:paraId="4E065A6E" w14:textId="491EF627" w:rsidR="002070C3" w:rsidRPr="009C340A" w:rsidRDefault="00A53B3C" w:rsidP="00A53B3C">
      <w:pPr>
        <w:ind w:left="2137"/>
        <w:rPr>
          <w:noProof/>
        </w:rPr>
      </w:pPr>
      <w:r w:rsidRPr="009C340A">
        <w:rPr>
          <w:noProof/>
        </w:rPr>
        <w:t>b) All basfakta ska visas.</w:t>
      </w:r>
    </w:p>
    <w:p w14:paraId="64C80A1F" w14:textId="43D60837" w:rsidR="002070C3" w:rsidRPr="009C340A" w:rsidRDefault="00A53B3C" w:rsidP="00A53B3C">
      <w:pPr>
        <w:ind w:left="2137"/>
        <w:rPr>
          <w:noProof/>
        </w:rPr>
      </w:pPr>
      <w:r w:rsidRPr="009C340A">
        <w:rPr>
          <w:noProof/>
        </w:rPr>
        <w:t>c) Faktabladet ska vara lättåtkomligt via en länk intill det interaktiva verktyget och länken ska åtföljas av följande meddelande: ’Du rekommenderas att ladda ned och spara faktabladet.’</w:t>
      </w:r>
    </w:p>
    <w:p w14:paraId="69393122" w14:textId="0505FBDA" w:rsidR="002070C3" w:rsidRPr="009C340A" w:rsidRDefault="00A53B3C" w:rsidP="00A53B3C">
      <w:pPr>
        <w:ind w:left="2137"/>
        <w:rPr>
          <w:noProof/>
        </w:rPr>
      </w:pPr>
      <w:r w:rsidRPr="009C340A">
        <w:rPr>
          <w:noProof/>
        </w:rPr>
        <w:t>d) Det interaktiva verktyget ska göra det möjligt för investerare att simulera de kostnader som uppkommer under den rekommenderade innehavstiden.”</w:t>
      </w:r>
    </w:p>
    <w:p w14:paraId="521ED871" w14:textId="2270AFF5" w:rsidR="002070C3" w:rsidRPr="009C340A" w:rsidRDefault="002070C3" w:rsidP="002070C3">
      <w:pPr>
        <w:pStyle w:val="Text2"/>
        <w:rPr>
          <w:noProof/>
        </w:rPr>
      </w:pPr>
      <w:r w:rsidRPr="009C340A">
        <w:rPr>
          <w:noProof/>
        </w:rPr>
        <w:t>Om ett faktablad tillhandahålls i enlighet med första stycket får dess format avvika från det som anges om faktabladens format i artikel 8.</w:t>
      </w:r>
    </w:p>
    <w:p w14:paraId="046240E5" w14:textId="3F2C3F29" w:rsidR="00BF249A" w:rsidRPr="009C340A" w:rsidRDefault="00185A65" w:rsidP="00185A65">
      <w:pPr>
        <w:pStyle w:val="Point1"/>
        <w:rPr>
          <w:noProof/>
        </w:rPr>
      </w:pPr>
      <w:r w:rsidRPr="00185A65">
        <w:t>(3)</w:t>
      </w:r>
      <w:r w:rsidRPr="00185A65">
        <w:tab/>
      </w:r>
      <w:r w:rsidR="000E778B" w:rsidRPr="009C340A">
        <w:rPr>
          <w:noProof/>
        </w:rPr>
        <w:t>De europeiska tillsynsmyndigheterna ska utarbeta förslag till tekniska tillsynsstandarder som anger hur informationen får personaliseras i enlighet med punkt 2 första stycket samt villkoren för anpassning av informationens format i enlighet med punkt 2 andra stycket.</w:t>
      </w:r>
    </w:p>
    <w:p w14:paraId="48603C80" w14:textId="77777777" w:rsidR="000E778B" w:rsidRPr="009C340A" w:rsidRDefault="000E778B" w:rsidP="000E778B">
      <w:pPr>
        <w:pStyle w:val="Text2"/>
        <w:rPr>
          <w:noProof/>
        </w:rPr>
      </w:pPr>
      <w:r w:rsidRPr="009C340A">
        <w:rPr>
          <w:noProof/>
        </w:rPr>
        <w:t>Utöver det som anges i första stycket ska de tekniska tillsynsstandarderna omfatta villkoren för att personalisera informationen i faktabladen på följande sätt:</w:t>
      </w:r>
    </w:p>
    <w:p w14:paraId="2EFDD3E4" w14:textId="4E11DB91" w:rsidR="001915B2" w:rsidRPr="009C340A" w:rsidRDefault="00A822C2" w:rsidP="0096497D">
      <w:pPr>
        <w:pStyle w:val="Point2"/>
        <w:rPr>
          <w:noProof/>
        </w:rPr>
      </w:pPr>
      <w:r w:rsidRPr="009C340A">
        <w:rPr>
          <w:noProof/>
        </w:rPr>
        <w:t>a)</w:t>
      </w:r>
      <w:r w:rsidRPr="009C340A">
        <w:rPr>
          <w:noProof/>
        </w:rPr>
        <w:tab/>
        <w:t>Villkoren för att personalisera informationen så att investerare kan simulera kostnader under en annan innehavstid än den rekommenderade innehavstiden.</w:t>
      </w:r>
    </w:p>
    <w:p w14:paraId="5AB6A00D" w14:textId="1E212AB6" w:rsidR="006904A7" w:rsidRPr="009C340A" w:rsidRDefault="00A822C2" w:rsidP="0096497D">
      <w:pPr>
        <w:pStyle w:val="Point2"/>
        <w:rPr>
          <w:noProof/>
        </w:rPr>
      </w:pPr>
      <w:r w:rsidRPr="009C340A">
        <w:rPr>
          <w:noProof/>
        </w:rPr>
        <w:t>b)</w:t>
      </w:r>
      <w:r w:rsidRPr="009C340A">
        <w:rPr>
          <w:noProof/>
        </w:rPr>
        <w:tab/>
        <w:t>Villkoren för att personalisera informationen så att investerare kan jämföra olika Priip-produkter.</w:t>
      </w:r>
    </w:p>
    <w:p w14:paraId="2B2704D7" w14:textId="79704435" w:rsidR="006904A7" w:rsidRPr="009C340A" w:rsidRDefault="00A822C2" w:rsidP="0096497D">
      <w:pPr>
        <w:pStyle w:val="Point2"/>
        <w:rPr>
          <w:noProof/>
        </w:rPr>
      </w:pPr>
      <w:r w:rsidRPr="009C340A">
        <w:rPr>
          <w:noProof/>
        </w:rPr>
        <w:t>c)</w:t>
      </w:r>
      <w:r w:rsidRPr="009C340A">
        <w:rPr>
          <w:noProof/>
        </w:rPr>
        <w:tab/>
        <w:t>Villkoren för att personalisera informationen så att den blir tillgänglig för personer med funktionsnedsättning.</w:t>
      </w:r>
    </w:p>
    <w:p w14:paraId="12F17816" w14:textId="20F05652" w:rsidR="000E778B" w:rsidRPr="009C340A" w:rsidRDefault="00185A65" w:rsidP="00185A65">
      <w:pPr>
        <w:pStyle w:val="Point1"/>
        <w:rPr>
          <w:noProof/>
          <w:u w:val="single"/>
        </w:rPr>
      </w:pPr>
      <w:r w:rsidRPr="00185A65">
        <w:t>(4)</w:t>
      </w:r>
      <w:r w:rsidRPr="00185A65">
        <w:tab/>
      </w:r>
      <w:r w:rsidR="000E778B" w:rsidRPr="009C340A">
        <w:rPr>
          <w:noProof/>
        </w:rPr>
        <w:t>Faktabladet får presenteras med olika datalager. I sådana fall ska den resultattavla som avses i artikel 8.3 aa visas i det första datalagret.</w:t>
      </w:r>
    </w:p>
    <w:p w14:paraId="54989E83" w14:textId="17C5F90E" w:rsidR="001915B2" w:rsidRPr="009C340A" w:rsidRDefault="00185A65" w:rsidP="00185A65">
      <w:pPr>
        <w:pStyle w:val="Point1"/>
        <w:rPr>
          <w:noProof/>
          <w:u w:val="single"/>
        </w:rPr>
      </w:pPr>
      <w:r w:rsidRPr="00185A65">
        <w:t>(5)</w:t>
      </w:r>
      <w:r w:rsidRPr="00185A65">
        <w:tab/>
      </w:r>
      <w:r w:rsidR="000E778B" w:rsidRPr="009C340A">
        <w:rPr>
          <w:noProof/>
        </w:rPr>
        <w:t>Den icke-professionella investeraren ska underrättas elektroniskt eller skriftligen om webbadressen och om var på webbplatsen faktabladet finns tillgängligt.</w:t>
      </w:r>
    </w:p>
    <w:p w14:paraId="7E05DC1B" w14:textId="22CFC504" w:rsidR="000E778B" w:rsidRPr="009C340A" w:rsidRDefault="00185A65" w:rsidP="00185A65">
      <w:pPr>
        <w:pStyle w:val="Point1"/>
        <w:rPr>
          <w:noProof/>
          <w:u w:val="single"/>
        </w:rPr>
      </w:pPr>
      <w:r w:rsidRPr="00185A65">
        <w:t>(6)</w:t>
      </w:r>
      <w:r w:rsidRPr="00185A65">
        <w:tab/>
      </w:r>
      <w:r w:rsidR="000E778B" w:rsidRPr="009C340A">
        <w:rPr>
          <w:noProof/>
        </w:rPr>
        <w:t>Faktabladet ska förbli tillgängligt på den webbplats som tillhör den person som ger råd om eller säljer Priip-produkter och kunna laddas ned och sparas på ett hållbart medium så länge som den icke-professionella investeraren kan behöva ta del av det. Om Priip-produktutvecklaren har ändrat faktabladet i enlighet med artikel 10 ska Priip-produktutvecklaren göra tidigare versioner tillgängliga på den icke-professionella investerarens begäran.”</w:t>
      </w:r>
    </w:p>
    <w:p w14:paraId="41D9F3D1" w14:textId="77777777" w:rsidR="00266E13" w:rsidRPr="009C340A" w:rsidRDefault="004E5476" w:rsidP="00D80377">
      <w:pPr>
        <w:pStyle w:val="Titrearticle"/>
        <w:rPr>
          <w:noProof/>
        </w:rPr>
      </w:pPr>
      <w:r w:rsidRPr="009C340A">
        <w:rPr>
          <w:noProof/>
        </w:rPr>
        <w:t xml:space="preserve">Artikel 2 </w:t>
      </w:r>
    </w:p>
    <w:p w14:paraId="616B6414" w14:textId="77777777" w:rsidR="004E5476" w:rsidRPr="009C340A" w:rsidRDefault="007E1BF4" w:rsidP="00D80377">
      <w:pPr>
        <w:pStyle w:val="Titrearticle"/>
        <w:rPr>
          <w:noProof/>
        </w:rPr>
      </w:pPr>
      <w:r w:rsidRPr="009C340A">
        <w:rPr>
          <w:noProof/>
        </w:rPr>
        <w:t>Ikraftträdande och tillämpning</w:t>
      </w:r>
    </w:p>
    <w:p w14:paraId="6FEB3438" w14:textId="02FC20B9" w:rsidR="004E5476" w:rsidRPr="009C340A" w:rsidRDefault="004E5476" w:rsidP="0050536B">
      <w:pPr>
        <w:rPr>
          <w:noProof/>
        </w:rPr>
      </w:pPr>
      <w:r w:rsidRPr="009C340A">
        <w:rPr>
          <w:noProof/>
        </w:rPr>
        <w:t xml:space="preserve">Denna förordning träder i kraft den tjugonde dagen efter det att den har offentliggjorts i </w:t>
      </w:r>
      <w:r w:rsidRPr="009C340A">
        <w:rPr>
          <w:i/>
          <w:noProof/>
        </w:rPr>
        <w:t>Europeiska unionens officiella tidning</w:t>
      </w:r>
      <w:r w:rsidRPr="009C340A">
        <w:rPr>
          <w:noProof/>
        </w:rPr>
        <w:t>. Den ska tillämpas från och med den [PO: för in datum 18 månader efter det att denna ändringsförordning träder i kraft].</w:t>
      </w:r>
    </w:p>
    <w:p w14:paraId="2D3F4A32" w14:textId="77777777" w:rsidR="004E5476" w:rsidRPr="009C340A" w:rsidRDefault="004E5476" w:rsidP="0050536B">
      <w:pPr>
        <w:pStyle w:val="Applicationdirecte"/>
        <w:rPr>
          <w:noProof/>
        </w:rPr>
      </w:pPr>
      <w:r w:rsidRPr="009C340A">
        <w:rPr>
          <w:noProof/>
        </w:rPr>
        <w:t>Denna förordning är till alla delar bindande och direkt tillämplig i alla medlemsstater.</w:t>
      </w:r>
    </w:p>
    <w:p w14:paraId="700E31C2" w14:textId="25B9692F" w:rsidR="004E5476" w:rsidRPr="009C340A" w:rsidRDefault="00321677" w:rsidP="00B63658">
      <w:pPr>
        <w:pStyle w:val="Fait"/>
        <w:rPr>
          <w:noProof/>
        </w:rPr>
      </w:pPr>
      <w:r w:rsidRPr="00321677">
        <w:t>Utfärdad i Bryssel den</w:t>
      </w:r>
    </w:p>
    <w:p w14:paraId="6B97D842" w14:textId="77777777" w:rsidR="004E5476" w:rsidRPr="009C340A" w:rsidRDefault="004E5476" w:rsidP="00B63658">
      <w:pPr>
        <w:pStyle w:val="Institutionquisigne"/>
        <w:rPr>
          <w:noProof/>
        </w:rPr>
      </w:pPr>
      <w:r w:rsidRPr="009C340A">
        <w:rPr>
          <w:noProof/>
        </w:rPr>
        <w:t>På Europaparlamentets vägnar</w:t>
      </w:r>
      <w:r w:rsidRPr="009C340A">
        <w:rPr>
          <w:noProof/>
        </w:rPr>
        <w:tab/>
        <w:t>På rådets vägnar</w:t>
      </w:r>
    </w:p>
    <w:p w14:paraId="3B5054B0" w14:textId="77777777" w:rsidR="004E5476" w:rsidRPr="009C340A" w:rsidRDefault="004E5476" w:rsidP="004E5476">
      <w:pPr>
        <w:pStyle w:val="Personnequisigne"/>
        <w:rPr>
          <w:noProof/>
        </w:rPr>
      </w:pPr>
      <w:r w:rsidRPr="009C340A">
        <w:rPr>
          <w:noProof/>
        </w:rPr>
        <w:t>Ordförande</w:t>
      </w:r>
      <w:r w:rsidRPr="009C340A">
        <w:rPr>
          <w:noProof/>
        </w:rPr>
        <w:tab/>
        <w:t>Ordförande</w:t>
      </w:r>
    </w:p>
    <w:sectPr w:rsidR="004E5476" w:rsidRPr="009C340A" w:rsidSect="00C65C3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00BBF" w14:textId="77777777" w:rsidR="00394CE6" w:rsidRDefault="00394CE6" w:rsidP="004E5476">
      <w:pPr>
        <w:spacing w:before="0" w:after="0"/>
      </w:pPr>
      <w:r>
        <w:separator/>
      </w:r>
    </w:p>
  </w:endnote>
  <w:endnote w:type="continuationSeparator" w:id="0">
    <w:p w14:paraId="06127406" w14:textId="77777777" w:rsidR="00394CE6" w:rsidRDefault="00394CE6" w:rsidP="004E5476">
      <w:pPr>
        <w:spacing w:before="0" w:after="0"/>
      </w:pPr>
      <w:r>
        <w:continuationSeparator/>
      </w:r>
    </w:p>
  </w:endnote>
  <w:endnote w:type="continuationNotice" w:id="1">
    <w:p w14:paraId="639A4B74" w14:textId="77777777" w:rsidR="00394CE6" w:rsidRDefault="00394C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F854" w14:textId="0B4F6FEE" w:rsidR="000D63DC" w:rsidRPr="00C65C35" w:rsidRDefault="00C65C35" w:rsidP="00C65C35">
    <w:pPr>
      <w:pStyle w:val="Footer"/>
      <w:rPr>
        <w:rFonts w:ascii="Arial" w:hAnsi="Arial" w:cs="Arial"/>
        <w:b/>
        <w:sz w:val="48"/>
      </w:rPr>
    </w:pPr>
    <w:r w:rsidRPr="00C65C35">
      <w:rPr>
        <w:rFonts w:ascii="Arial" w:hAnsi="Arial" w:cs="Arial"/>
        <w:b/>
        <w:sz w:val="48"/>
      </w:rPr>
      <w:t>SV</w:t>
    </w:r>
    <w:r w:rsidRPr="00C65C35">
      <w:rPr>
        <w:rFonts w:ascii="Arial" w:hAnsi="Arial" w:cs="Arial"/>
        <w:b/>
        <w:sz w:val="48"/>
      </w:rPr>
      <w:tab/>
    </w:r>
    <w:r w:rsidRPr="00C65C35">
      <w:rPr>
        <w:rFonts w:ascii="Arial" w:hAnsi="Arial" w:cs="Arial"/>
        <w:b/>
        <w:sz w:val="48"/>
      </w:rPr>
      <w:tab/>
    </w:r>
    <w:r w:rsidRPr="00C65C35">
      <w:tab/>
    </w:r>
    <w:r w:rsidRPr="00C65C3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F20B" w14:textId="7362F94E" w:rsidR="00C65C35" w:rsidRPr="00C65C35" w:rsidRDefault="00C65C35" w:rsidP="00C65C35">
    <w:pPr>
      <w:pStyle w:val="Footer"/>
      <w:rPr>
        <w:rFonts w:ascii="Arial" w:hAnsi="Arial" w:cs="Arial"/>
        <w:b/>
        <w:sz w:val="48"/>
      </w:rPr>
    </w:pPr>
    <w:r w:rsidRPr="00C65C35">
      <w:rPr>
        <w:rFonts w:ascii="Arial" w:hAnsi="Arial" w:cs="Arial"/>
        <w:b/>
        <w:sz w:val="48"/>
      </w:rPr>
      <w:t>SV</w:t>
    </w:r>
    <w:r w:rsidRPr="00C65C35">
      <w:rPr>
        <w:rFonts w:ascii="Arial" w:hAnsi="Arial" w:cs="Arial"/>
        <w:b/>
        <w:sz w:val="48"/>
      </w:rPr>
      <w:tab/>
    </w:r>
    <w:r>
      <w:fldChar w:fldCharType="begin"/>
    </w:r>
    <w:r>
      <w:instrText xml:space="preserve"> PAGE  \* MERGEFORMAT </w:instrText>
    </w:r>
    <w:r>
      <w:fldChar w:fldCharType="separate"/>
    </w:r>
    <w:r w:rsidR="00B63658">
      <w:rPr>
        <w:noProof/>
      </w:rPr>
      <w:t>16</w:t>
    </w:r>
    <w:r>
      <w:fldChar w:fldCharType="end"/>
    </w:r>
    <w:r>
      <w:tab/>
    </w:r>
    <w:r w:rsidRPr="00C65C35">
      <w:tab/>
    </w:r>
    <w:r w:rsidRPr="00C65C3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96BF" w14:textId="77777777" w:rsidR="00C65C35" w:rsidRPr="00C65C35" w:rsidRDefault="00C65C35" w:rsidP="00C65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BF90D" w14:textId="77777777" w:rsidR="00394CE6" w:rsidRDefault="00394CE6" w:rsidP="004E5476">
      <w:pPr>
        <w:spacing w:before="0" w:after="0"/>
      </w:pPr>
      <w:r>
        <w:separator/>
      </w:r>
    </w:p>
  </w:footnote>
  <w:footnote w:type="continuationSeparator" w:id="0">
    <w:p w14:paraId="36389C64" w14:textId="77777777" w:rsidR="00394CE6" w:rsidRDefault="00394CE6" w:rsidP="004E5476">
      <w:pPr>
        <w:spacing w:before="0" w:after="0"/>
      </w:pPr>
      <w:r>
        <w:continuationSeparator/>
      </w:r>
    </w:p>
  </w:footnote>
  <w:footnote w:type="continuationNotice" w:id="1">
    <w:p w14:paraId="54C3DDA0" w14:textId="77777777" w:rsidR="00394CE6" w:rsidRDefault="00394CE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F0285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26CC03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4D0E97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5709AE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3 00:08:4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4D8590D-3179-45BB-A0F1-180BA0BF06C4"/>
    <w:docVar w:name="LW_COVERPAGE_TYPE" w:val="1"/>
    <w:docVar w:name="LW_CROSSREFERENCE" w:val="{SWD(2023) 278-279}_x000a_{SEC(2023) 330}"/>
    <w:docVar w:name="LW_DocType" w:val="COM"/>
    <w:docVar w:name="LW_EMISSION" w:val="24.5.2023"/>
    <w:docVar w:name="LW_EMISSION_ISODATE" w:val="2023-05-24"/>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166"/>
    <w:docVar w:name="LW_REF.II.NEW.CP_YEAR" w:val="2023"/>
    <w:docVar w:name="LW_REF.INST.NEW" w:val="COM"/>
    <w:docVar w:name="LW_REF.INST.NEW_ADOPTED" w:val="final"/>
    <w:docVar w:name="LW_REF.INST.NEW_TEXT" w:val="(2023) 2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G) nr 1286/2014 vad gäller moderniseringen av faktabladet  _x000b_"/>
    <w:docVar w:name="LW_TYPE.DOC.CP" w:val="EUROPAPARLAMENTETS OCH RÅDETS FÖRORDNING"/>
    <w:docVar w:name="LwApiVersions" w:val="LW4CoDe 1.23.2.0; LW 8.0, Build 20211117"/>
  </w:docVars>
  <w:rsids>
    <w:rsidRoot w:val="004E5476"/>
    <w:rsid w:val="0000088E"/>
    <w:rsid w:val="0000427B"/>
    <w:rsid w:val="000149CE"/>
    <w:rsid w:val="00014FFA"/>
    <w:rsid w:val="00015955"/>
    <w:rsid w:val="00022BE7"/>
    <w:rsid w:val="00022F8F"/>
    <w:rsid w:val="00023921"/>
    <w:rsid w:val="00025ED5"/>
    <w:rsid w:val="000265A9"/>
    <w:rsid w:val="0002662F"/>
    <w:rsid w:val="00027666"/>
    <w:rsid w:val="00031128"/>
    <w:rsid w:val="00040374"/>
    <w:rsid w:val="000433D8"/>
    <w:rsid w:val="0004780A"/>
    <w:rsid w:val="00050005"/>
    <w:rsid w:val="00051395"/>
    <w:rsid w:val="0005576E"/>
    <w:rsid w:val="00057CF9"/>
    <w:rsid w:val="0006150A"/>
    <w:rsid w:val="00061E82"/>
    <w:rsid w:val="00063E3B"/>
    <w:rsid w:val="00064461"/>
    <w:rsid w:val="0006478F"/>
    <w:rsid w:val="000649CB"/>
    <w:rsid w:val="000667DC"/>
    <w:rsid w:val="00066C23"/>
    <w:rsid w:val="0006787E"/>
    <w:rsid w:val="000730ED"/>
    <w:rsid w:val="00073BAD"/>
    <w:rsid w:val="00077EA9"/>
    <w:rsid w:val="000864AF"/>
    <w:rsid w:val="0009452C"/>
    <w:rsid w:val="00095958"/>
    <w:rsid w:val="00095F76"/>
    <w:rsid w:val="00096C90"/>
    <w:rsid w:val="00096F28"/>
    <w:rsid w:val="000A00D5"/>
    <w:rsid w:val="000A1AA2"/>
    <w:rsid w:val="000A7E49"/>
    <w:rsid w:val="000B3B42"/>
    <w:rsid w:val="000B5258"/>
    <w:rsid w:val="000B6329"/>
    <w:rsid w:val="000B7DE7"/>
    <w:rsid w:val="000C04B4"/>
    <w:rsid w:val="000C208E"/>
    <w:rsid w:val="000D0460"/>
    <w:rsid w:val="000D1CD7"/>
    <w:rsid w:val="000D485E"/>
    <w:rsid w:val="000D63DC"/>
    <w:rsid w:val="000E1E8D"/>
    <w:rsid w:val="000E29C9"/>
    <w:rsid w:val="000E5E5F"/>
    <w:rsid w:val="000E778B"/>
    <w:rsid w:val="000E7ECF"/>
    <w:rsid w:val="000F0A19"/>
    <w:rsid w:val="00101ED2"/>
    <w:rsid w:val="00106333"/>
    <w:rsid w:val="001065F5"/>
    <w:rsid w:val="00106655"/>
    <w:rsid w:val="00113704"/>
    <w:rsid w:val="00116B8C"/>
    <w:rsid w:val="00120D92"/>
    <w:rsid w:val="001238EF"/>
    <w:rsid w:val="00124484"/>
    <w:rsid w:val="00124573"/>
    <w:rsid w:val="00124603"/>
    <w:rsid w:val="0012547E"/>
    <w:rsid w:val="0012778D"/>
    <w:rsid w:val="00127B09"/>
    <w:rsid w:val="0013308B"/>
    <w:rsid w:val="00137B0E"/>
    <w:rsid w:val="001418B4"/>
    <w:rsid w:val="00143A29"/>
    <w:rsid w:val="00145D6C"/>
    <w:rsid w:val="00147174"/>
    <w:rsid w:val="0015347A"/>
    <w:rsid w:val="00163BB1"/>
    <w:rsid w:val="00164BDA"/>
    <w:rsid w:val="001652D4"/>
    <w:rsid w:val="001653AC"/>
    <w:rsid w:val="001654C4"/>
    <w:rsid w:val="00165823"/>
    <w:rsid w:val="00166C56"/>
    <w:rsid w:val="00171341"/>
    <w:rsid w:val="001717C3"/>
    <w:rsid w:val="00173EEC"/>
    <w:rsid w:val="0017411E"/>
    <w:rsid w:val="0017475C"/>
    <w:rsid w:val="00176183"/>
    <w:rsid w:val="00181484"/>
    <w:rsid w:val="001815BC"/>
    <w:rsid w:val="0018373A"/>
    <w:rsid w:val="00183890"/>
    <w:rsid w:val="00185A65"/>
    <w:rsid w:val="00190F0B"/>
    <w:rsid w:val="001915B2"/>
    <w:rsid w:val="00192AA3"/>
    <w:rsid w:val="00193E6E"/>
    <w:rsid w:val="0019575F"/>
    <w:rsid w:val="00197613"/>
    <w:rsid w:val="001A0A92"/>
    <w:rsid w:val="001A1FB4"/>
    <w:rsid w:val="001A2FB6"/>
    <w:rsid w:val="001A51DB"/>
    <w:rsid w:val="001A52DF"/>
    <w:rsid w:val="001A5D6F"/>
    <w:rsid w:val="001A6378"/>
    <w:rsid w:val="001B251F"/>
    <w:rsid w:val="001B5BB6"/>
    <w:rsid w:val="001B670F"/>
    <w:rsid w:val="001B7B2B"/>
    <w:rsid w:val="001C0BE7"/>
    <w:rsid w:val="001C0DD7"/>
    <w:rsid w:val="001C2F05"/>
    <w:rsid w:val="001C3F27"/>
    <w:rsid w:val="001D393E"/>
    <w:rsid w:val="001E24F8"/>
    <w:rsid w:val="001F0640"/>
    <w:rsid w:val="001F16F3"/>
    <w:rsid w:val="001F1E4D"/>
    <w:rsid w:val="001F59B8"/>
    <w:rsid w:val="001F6248"/>
    <w:rsid w:val="001F63DB"/>
    <w:rsid w:val="0020108F"/>
    <w:rsid w:val="002070C3"/>
    <w:rsid w:val="00213573"/>
    <w:rsid w:val="00216016"/>
    <w:rsid w:val="00217BDD"/>
    <w:rsid w:val="00220047"/>
    <w:rsid w:val="00220427"/>
    <w:rsid w:val="00222586"/>
    <w:rsid w:val="00224B77"/>
    <w:rsid w:val="00233DC7"/>
    <w:rsid w:val="00234284"/>
    <w:rsid w:val="00236EA3"/>
    <w:rsid w:val="00240EBB"/>
    <w:rsid w:val="00245197"/>
    <w:rsid w:val="00245436"/>
    <w:rsid w:val="00245C9B"/>
    <w:rsid w:val="00247779"/>
    <w:rsid w:val="002546A1"/>
    <w:rsid w:val="00255945"/>
    <w:rsid w:val="00260B44"/>
    <w:rsid w:val="002635E6"/>
    <w:rsid w:val="0026646B"/>
    <w:rsid w:val="00266E13"/>
    <w:rsid w:val="0027096A"/>
    <w:rsid w:val="002752FA"/>
    <w:rsid w:val="00282B13"/>
    <w:rsid w:val="00284376"/>
    <w:rsid w:val="002843BC"/>
    <w:rsid w:val="00285BEE"/>
    <w:rsid w:val="00286F8E"/>
    <w:rsid w:val="002871A4"/>
    <w:rsid w:val="00290204"/>
    <w:rsid w:val="002907E6"/>
    <w:rsid w:val="00291A41"/>
    <w:rsid w:val="0029533F"/>
    <w:rsid w:val="002A0CC5"/>
    <w:rsid w:val="002A3C90"/>
    <w:rsid w:val="002A48FE"/>
    <w:rsid w:val="002A5ABA"/>
    <w:rsid w:val="002A6D1C"/>
    <w:rsid w:val="002B30AF"/>
    <w:rsid w:val="002B783D"/>
    <w:rsid w:val="002C0774"/>
    <w:rsid w:val="002C1397"/>
    <w:rsid w:val="002C1550"/>
    <w:rsid w:val="002C241D"/>
    <w:rsid w:val="002C29C2"/>
    <w:rsid w:val="002C2C8F"/>
    <w:rsid w:val="002C3EEB"/>
    <w:rsid w:val="002D5842"/>
    <w:rsid w:val="002E1324"/>
    <w:rsid w:val="002E39C6"/>
    <w:rsid w:val="002E4AB1"/>
    <w:rsid w:val="002E6EA2"/>
    <w:rsid w:val="002F1B2D"/>
    <w:rsid w:val="003008F7"/>
    <w:rsid w:val="00305241"/>
    <w:rsid w:val="00307D1C"/>
    <w:rsid w:val="00314584"/>
    <w:rsid w:val="00315E7C"/>
    <w:rsid w:val="00316E55"/>
    <w:rsid w:val="00321677"/>
    <w:rsid w:val="0033081E"/>
    <w:rsid w:val="00331C42"/>
    <w:rsid w:val="0033344A"/>
    <w:rsid w:val="00336AEC"/>
    <w:rsid w:val="00336BC3"/>
    <w:rsid w:val="00336D02"/>
    <w:rsid w:val="003435C1"/>
    <w:rsid w:val="0035286D"/>
    <w:rsid w:val="003529F6"/>
    <w:rsid w:val="00353609"/>
    <w:rsid w:val="00354243"/>
    <w:rsid w:val="00354A8D"/>
    <w:rsid w:val="0035580C"/>
    <w:rsid w:val="00355F5A"/>
    <w:rsid w:val="00357984"/>
    <w:rsid w:val="003655E2"/>
    <w:rsid w:val="00370DFF"/>
    <w:rsid w:val="0037557F"/>
    <w:rsid w:val="00376703"/>
    <w:rsid w:val="0038107B"/>
    <w:rsid w:val="00382AAE"/>
    <w:rsid w:val="00384220"/>
    <w:rsid w:val="003856CB"/>
    <w:rsid w:val="00385F38"/>
    <w:rsid w:val="00387715"/>
    <w:rsid w:val="003925B4"/>
    <w:rsid w:val="00394CE6"/>
    <w:rsid w:val="003A2A9A"/>
    <w:rsid w:val="003A5469"/>
    <w:rsid w:val="003A5521"/>
    <w:rsid w:val="003A5BF5"/>
    <w:rsid w:val="003B185C"/>
    <w:rsid w:val="003B23AF"/>
    <w:rsid w:val="003B2F08"/>
    <w:rsid w:val="003B35AA"/>
    <w:rsid w:val="003B4ED8"/>
    <w:rsid w:val="003B6A73"/>
    <w:rsid w:val="003C1024"/>
    <w:rsid w:val="003C3942"/>
    <w:rsid w:val="003C3973"/>
    <w:rsid w:val="003C622A"/>
    <w:rsid w:val="003C7016"/>
    <w:rsid w:val="003C7703"/>
    <w:rsid w:val="003D138C"/>
    <w:rsid w:val="003D340D"/>
    <w:rsid w:val="003D5AF8"/>
    <w:rsid w:val="003D6AC7"/>
    <w:rsid w:val="003E54EB"/>
    <w:rsid w:val="003E5E3D"/>
    <w:rsid w:val="003E7AE1"/>
    <w:rsid w:val="003F0375"/>
    <w:rsid w:val="003F0444"/>
    <w:rsid w:val="003F226A"/>
    <w:rsid w:val="003F2470"/>
    <w:rsid w:val="003F5EE9"/>
    <w:rsid w:val="0040060F"/>
    <w:rsid w:val="00402CDF"/>
    <w:rsid w:val="00402F0A"/>
    <w:rsid w:val="00405C9B"/>
    <w:rsid w:val="004061FB"/>
    <w:rsid w:val="00415C4A"/>
    <w:rsid w:val="00416872"/>
    <w:rsid w:val="004170F7"/>
    <w:rsid w:val="00417FBF"/>
    <w:rsid w:val="00420CA4"/>
    <w:rsid w:val="004231F7"/>
    <w:rsid w:val="00425006"/>
    <w:rsid w:val="00425054"/>
    <w:rsid w:val="004250B3"/>
    <w:rsid w:val="0042648E"/>
    <w:rsid w:val="0042687C"/>
    <w:rsid w:val="0042790C"/>
    <w:rsid w:val="00431413"/>
    <w:rsid w:val="00432CEA"/>
    <w:rsid w:val="00434277"/>
    <w:rsid w:val="00434C0C"/>
    <w:rsid w:val="00436207"/>
    <w:rsid w:val="00436E2C"/>
    <w:rsid w:val="004440CD"/>
    <w:rsid w:val="00444769"/>
    <w:rsid w:val="00445AE2"/>
    <w:rsid w:val="004473FC"/>
    <w:rsid w:val="00450FD3"/>
    <w:rsid w:val="004603C5"/>
    <w:rsid w:val="00460DB7"/>
    <w:rsid w:val="004629BB"/>
    <w:rsid w:val="00464B76"/>
    <w:rsid w:val="00464EE2"/>
    <w:rsid w:val="0046560C"/>
    <w:rsid w:val="00466231"/>
    <w:rsid w:val="00475439"/>
    <w:rsid w:val="004757F4"/>
    <w:rsid w:val="00476971"/>
    <w:rsid w:val="0047756F"/>
    <w:rsid w:val="00482186"/>
    <w:rsid w:val="00484019"/>
    <w:rsid w:val="0048645A"/>
    <w:rsid w:val="004866CF"/>
    <w:rsid w:val="004907B1"/>
    <w:rsid w:val="004907D5"/>
    <w:rsid w:val="004936D2"/>
    <w:rsid w:val="00497041"/>
    <w:rsid w:val="004A1A5A"/>
    <w:rsid w:val="004A4EAB"/>
    <w:rsid w:val="004A6A68"/>
    <w:rsid w:val="004A74F0"/>
    <w:rsid w:val="004B36EF"/>
    <w:rsid w:val="004B594E"/>
    <w:rsid w:val="004B6806"/>
    <w:rsid w:val="004B6C28"/>
    <w:rsid w:val="004C02D4"/>
    <w:rsid w:val="004C056A"/>
    <w:rsid w:val="004C2199"/>
    <w:rsid w:val="004C524B"/>
    <w:rsid w:val="004D3807"/>
    <w:rsid w:val="004D3CA6"/>
    <w:rsid w:val="004D6940"/>
    <w:rsid w:val="004D6FE4"/>
    <w:rsid w:val="004D7237"/>
    <w:rsid w:val="004E03B6"/>
    <w:rsid w:val="004E0F51"/>
    <w:rsid w:val="004E2D16"/>
    <w:rsid w:val="004E435F"/>
    <w:rsid w:val="004E43D3"/>
    <w:rsid w:val="004E4601"/>
    <w:rsid w:val="004E5476"/>
    <w:rsid w:val="004E68B6"/>
    <w:rsid w:val="004F0C34"/>
    <w:rsid w:val="004F1DCC"/>
    <w:rsid w:val="0050247A"/>
    <w:rsid w:val="005031FB"/>
    <w:rsid w:val="0050536B"/>
    <w:rsid w:val="00505747"/>
    <w:rsid w:val="0051035C"/>
    <w:rsid w:val="005110F5"/>
    <w:rsid w:val="00512575"/>
    <w:rsid w:val="00514561"/>
    <w:rsid w:val="00514EDF"/>
    <w:rsid w:val="00520E4D"/>
    <w:rsid w:val="00523DE7"/>
    <w:rsid w:val="00524BF5"/>
    <w:rsid w:val="0052576C"/>
    <w:rsid w:val="00527911"/>
    <w:rsid w:val="0053156E"/>
    <w:rsid w:val="00534261"/>
    <w:rsid w:val="005361AC"/>
    <w:rsid w:val="0053642A"/>
    <w:rsid w:val="00536E40"/>
    <w:rsid w:val="0053769D"/>
    <w:rsid w:val="00540714"/>
    <w:rsid w:val="00544947"/>
    <w:rsid w:val="00547CC7"/>
    <w:rsid w:val="00551BA2"/>
    <w:rsid w:val="005557D2"/>
    <w:rsid w:val="00557CA8"/>
    <w:rsid w:val="005633BC"/>
    <w:rsid w:val="00563CCF"/>
    <w:rsid w:val="00571A58"/>
    <w:rsid w:val="00572CC1"/>
    <w:rsid w:val="005773B3"/>
    <w:rsid w:val="005804AC"/>
    <w:rsid w:val="0058237B"/>
    <w:rsid w:val="0058258C"/>
    <w:rsid w:val="00583032"/>
    <w:rsid w:val="00583A37"/>
    <w:rsid w:val="00585335"/>
    <w:rsid w:val="00585A55"/>
    <w:rsid w:val="005B1EB6"/>
    <w:rsid w:val="005B2DB8"/>
    <w:rsid w:val="005B3ADB"/>
    <w:rsid w:val="005B78B1"/>
    <w:rsid w:val="005C0337"/>
    <w:rsid w:val="005C090A"/>
    <w:rsid w:val="005C1221"/>
    <w:rsid w:val="005C1AB8"/>
    <w:rsid w:val="005C5AC3"/>
    <w:rsid w:val="005C7F13"/>
    <w:rsid w:val="005D2558"/>
    <w:rsid w:val="005D3A60"/>
    <w:rsid w:val="005D7759"/>
    <w:rsid w:val="005E19CD"/>
    <w:rsid w:val="005E261C"/>
    <w:rsid w:val="005E342F"/>
    <w:rsid w:val="005E35CF"/>
    <w:rsid w:val="005E5C98"/>
    <w:rsid w:val="005E6638"/>
    <w:rsid w:val="005E70F1"/>
    <w:rsid w:val="005E7852"/>
    <w:rsid w:val="005F060B"/>
    <w:rsid w:val="005F1E17"/>
    <w:rsid w:val="005F20FE"/>
    <w:rsid w:val="00600E5C"/>
    <w:rsid w:val="00610DCD"/>
    <w:rsid w:val="006124B0"/>
    <w:rsid w:val="00623B28"/>
    <w:rsid w:val="0062622F"/>
    <w:rsid w:val="006269D7"/>
    <w:rsid w:val="00635FBC"/>
    <w:rsid w:val="00640A3B"/>
    <w:rsid w:val="0064370A"/>
    <w:rsid w:val="006503C0"/>
    <w:rsid w:val="00653203"/>
    <w:rsid w:val="006541DD"/>
    <w:rsid w:val="00655911"/>
    <w:rsid w:val="00662D4F"/>
    <w:rsid w:val="00662D5E"/>
    <w:rsid w:val="00663045"/>
    <w:rsid w:val="006714F1"/>
    <w:rsid w:val="006903E1"/>
    <w:rsid w:val="006904A7"/>
    <w:rsid w:val="0069125E"/>
    <w:rsid w:val="00695FF9"/>
    <w:rsid w:val="00696939"/>
    <w:rsid w:val="006A1795"/>
    <w:rsid w:val="006A3705"/>
    <w:rsid w:val="006A5FF6"/>
    <w:rsid w:val="006B0546"/>
    <w:rsid w:val="006B0F3C"/>
    <w:rsid w:val="006B4305"/>
    <w:rsid w:val="006B4EE0"/>
    <w:rsid w:val="006B62DE"/>
    <w:rsid w:val="006B6D81"/>
    <w:rsid w:val="006C4198"/>
    <w:rsid w:val="006C458D"/>
    <w:rsid w:val="006C5540"/>
    <w:rsid w:val="006C6CB8"/>
    <w:rsid w:val="006C7C62"/>
    <w:rsid w:val="006C7E22"/>
    <w:rsid w:val="006D05A0"/>
    <w:rsid w:val="006D275F"/>
    <w:rsid w:val="006D29CE"/>
    <w:rsid w:val="006D3E74"/>
    <w:rsid w:val="006D587C"/>
    <w:rsid w:val="006E01FA"/>
    <w:rsid w:val="006E2700"/>
    <w:rsid w:val="006E4DC7"/>
    <w:rsid w:val="006E6701"/>
    <w:rsid w:val="006E6D46"/>
    <w:rsid w:val="006F1521"/>
    <w:rsid w:val="006F2418"/>
    <w:rsid w:val="006F2E66"/>
    <w:rsid w:val="006F5CC1"/>
    <w:rsid w:val="00701518"/>
    <w:rsid w:val="00702471"/>
    <w:rsid w:val="00702971"/>
    <w:rsid w:val="00703478"/>
    <w:rsid w:val="00710AE5"/>
    <w:rsid w:val="00713019"/>
    <w:rsid w:val="007133C0"/>
    <w:rsid w:val="00716630"/>
    <w:rsid w:val="00716727"/>
    <w:rsid w:val="00720B6B"/>
    <w:rsid w:val="00723564"/>
    <w:rsid w:val="00724E41"/>
    <w:rsid w:val="0072761E"/>
    <w:rsid w:val="007335A5"/>
    <w:rsid w:val="00734701"/>
    <w:rsid w:val="00735FBF"/>
    <w:rsid w:val="0074098D"/>
    <w:rsid w:val="00742CA1"/>
    <w:rsid w:val="00750B18"/>
    <w:rsid w:val="00753C5E"/>
    <w:rsid w:val="00755463"/>
    <w:rsid w:val="007571AA"/>
    <w:rsid w:val="007634A2"/>
    <w:rsid w:val="007640C5"/>
    <w:rsid w:val="00764455"/>
    <w:rsid w:val="00764BDA"/>
    <w:rsid w:val="00767D8E"/>
    <w:rsid w:val="0077014A"/>
    <w:rsid w:val="0077161E"/>
    <w:rsid w:val="00773331"/>
    <w:rsid w:val="00774326"/>
    <w:rsid w:val="00777157"/>
    <w:rsid w:val="0077754C"/>
    <w:rsid w:val="007802D9"/>
    <w:rsid w:val="007813F1"/>
    <w:rsid w:val="007815FB"/>
    <w:rsid w:val="007818C5"/>
    <w:rsid w:val="00782938"/>
    <w:rsid w:val="007838F2"/>
    <w:rsid w:val="00784527"/>
    <w:rsid w:val="00785F32"/>
    <w:rsid w:val="007870CE"/>
    <w:rsid w:val="00791B9D"/>
    <w:rsid w:val="00792F0B"/>
    <w:rsid w:val="007932EF"/>
    <w:rsid w:val="007A0526"/>
    <w:rsid w:val="007A0CAF"/>
    <w:rsid w:val="007A1AE0"/>
    <w:rsid w:val="007A482E"/>
    <w:rsid w:val="007A48E3"/>
    <w:rsid w:val="007A5A5D"/>
    <w:rsid w:val="007B112D"/>
    <w:rsid w:val="007B28C5"/>
    <w:rsid w:val="007B30D2"/>
    <w:rsid w:val="007B31B1"/>
    <w:rsid w:val="007B5982"/>
    <w:rsid w:val="007B6549"/>
    <w:rsid w:val="007C0827"/>
    <w:rsid w:val="007C18B4"/>
    <w:rsid w:val="007C1E56"/>
    <w:rsid w:val="007C2F54"/>
    <w:rsid w:val="007C32D8"/>
    <w:rsid w:val="007C5A63"/>
    <w:rsid w:val="007D2035"/>
    <w:rsid w:val="007D6006"/>
    <w:rsid w:val="007D6BAE"/>
    <w:rsid w:val="007D7ABC"/>
    <w:rsid w:val="007E05B0"/>
    <w:rsid w:val="007E1BF4"/>
    <w:rsid w:val="007E27C6"/>
    <w:rsid w:val="007E3AF2"/>
    <w:rsid w:val="007E733E"/>
    <w:rsid w:val="007E7B9B"/>
    <w:rsid w:val="007F211A"/>
    <w:rsid w:val="007F4243"/>
    <w:rsid w:val="008002AD"/>
    <w:rsid w:val="008058B6"/>
    <w:rsid w:val="0081041A"/>
    <w:rsid w:val="008157F7"/>
    <w:rsid w:val="00817EFA"/>
    <w:rsid w:val="00820066"/>
    <w:rsid w:val="00823D93"/>
    <w:rsid w:val="00823F73"/>
    <w:rsid w:val="00824A7F"/>
    <w:rsid w:val="008254EF"/>
    <w:rsid w:val="00827BAA"/>
    <w:rsid w:val="00830B03"/>
    <w:rsid w:val="00830F69"/>
    <w:rsid w:val="00832167"/>
    <w:rsid w:val="00832E5A"/>
    <w:rsid w:val="008354EA"/>
    <w:rsid w:val="00844FA8"/>
    <w:rsid w:val="0084567F"/>
    <w:rsid w:val="00845A60"/>
    <w:rsid w:val="00851FBD"/>
    <w:rsid w:val="008520BB"/>
    <w:rsid w:val="008536D6"/>
    <w:rsid w:val="00853A04"/>
    <w:rsid w:val="008551B4"/>
    <w:rsid w:val="00856AFE"/>
    <w:rsid w:val="0085777E"/>
    <w:rsid w:val="00860D85"/>
    <w:rsid w:val="00861430"/>
    <w:rsid w:val="00864044"/>
    <w:rsid w:val="008669A1"/>
    <w:rsid w:val="0087012D"/>
    <w:rsid w:val="00871A05"/>
    <w:rsid w:val="008734D2"/>
    <w:rsid w:val="00874D22"/>
    <w:rsid w:val="008810D5"/>
    <w:rsid w:val="0088410C"/>
    <w:rsid w:val="00884946"/>
    <w:rsid w:val="008870DF"/>
    <w:rsid w:val="00890686"/>
    <w:rsid w:val="00891703"/>
    <w:rsid w:val="00891BC4"/>
    <w:rsid w:val="0089281E"/>
    <w:rsid w:val="00893DA5"/>
    <w:rsid w:val="008947AD"/>
    <w:rsid w:val="00895498"/>
    <w:rsid w:val="008A1297"/>
    <w:rsid w:val="008A24A8"/>
    <w:rsid w:val="008A2914"/>
    <w:rsid w:val="008A56E9"/>
    <w:rsid w:val="008B1977"/>
    <w:rsid w:val="008B26B9"/>
    <w:rsid w:val="008B3E9D"/>
    <w:rsid w:val="008B44D0"/>
    <w:rsid w:val="008B45E9"/>
    <w:rsid w:val="008C0CBF"/>
    <w:rsid w:val="008C3760"/>
    <w:rsid w:val="008C6AF3"/>
    <w:rsid w:val="008D0489"/>
    <w:rsid w:val="008D07FE"/>
    <w:rsid w:val="008D1417"/>
    <w:rsid w:val="008D38D0"/>
    <w:rsid w:val="008D7A7A"/>
    <w:rsid w:val="008E0354"/>
    <w:rsid w:val="008E0FCD"/>
    <w:rsid w:val="008E10A2"/>
    <w:rsid w:val="008E4770"/>
    <w:rsid w:val="008E4D8E"/>
    <w:rsid w:val="008F05F8"/>
    <w:rsid w:val="008F229C"/>
    <w:rsid w:val="008F6CAA"/>
    <w:rsid w:val="00902A0C"/>
    <w:rsid w:val="009031CD"/>
    <w:rsid w:val="0091324D"/>
    <w:rsid w:val="00924869"/>
    <w:rsid w:val="00925B15"/>
    <w:rsid w:val="0092792F"/>
    <w:rsid w:val="0093028E"/>
    <w:rsid w:val="009302D4"/>
    <w:rsid w:val="00930E01"/>
    <w:rsid w:val="00931013"/>
    <w:rsid w:val="0093201F"/>
    <w:rsid w:val="00933348"/>
    <w:rsid w:val="009410A1"/>
    <w:rsid w:val="0094118E"/>
    <w:rsid w:val="00941FEC"/>
    <w:rsid w:val="00945A31"/>
    <w:rsid w:val="009512BF"/>
    <w:rsid w:val="00953126"/>
    <w:rsid w:val="00955290"/>
    <w:rsid w:val="00956CA6"/>
    <w:rsid w:val="00957C9F"/>
    <w:rsid w:val="00961BA7"/>
    <w:rsid w:val="009622FA"/>
    <w:rsid w:val="00963D84"/>
    <w:rsid w:val="0096497D"/>
    <w:rsid w:val="0097190A"/>
    <w:rsid w:val="0097663D"/>
    <w:rsid w:val="009777DB"/>
    <w:rsid w:val="00977A14"/>
    <w:rsid w:val="009816E7"/>
    <w:rsid w:val="00981D4D"/>
    <w:rsid w:val="00984868"/>
    <w:rsid w:val="009855B8"/>
    <w:rsid w:val="0098640C"/>
    <w:rsid w:val="0099056A"/>
    <w:rsid w:val="009B0C39"/>
    <w:rsid w:val="009B5184"/>
    <w:rsid w:val="009C0313"/>
    <w:rsid w:val="009C1BE0"/>
    <w:rsid w:val="009C2C10"/>
    <w:rsid w:val="009C340A"/>
    <w:rsid w:val="009C6225"/>
    <w:rsid w:val="009C649E"/>
    <w:rsid w:val="009C795F"/>
    <w:rsid w:val="009D0139"/>
    <w:rsid w:val="009D3601"/>
    <w:rsid w:val="009F171A"/>
    <w:rsid w:val="009F25B6"/>
    <w:rsid w:val="009F308D"/>
    <w:rsid w:val="009F7FF4"/>
    <w:rsid w:val="00A00974"/>
    <w:rsid w:val="00A02D33"/>
    <w:rsid w:val="00A040D4"/>
    <w:rsid w:val="00A12502"/>
    <w:rsid w:val="00A1303E"/>
    <w:rsid w:val="00A1564D"/>
    <w:rsid w:val="00A16C90"/>
    <w:rsid w:val="00A17E58"/>
    <w:rsid w:val="00A24F80"/>
    <w:rsid w:val="00A30080"/>
    <w:rsid w:val="00A31FDC"/>
    <w:rsid w:val="00A41A16"/>
    <w:rsid w:val="00A42A72"/>
    <w:rsid w:val="00A42B82"/>
    <w:rsid w:val="00A42BEB"/>
    <w:rsid w:val="00A42FAE"/>
    <w:rsid w:val="00A46038"/>
    <w:rsid w:val="00A53B3C"/>
    <w:rsid w:val="00A549C2"/>
    <w:rsid w:val="00A554CE"/>
    <w:rsid w:val="00A55793"/>
    <w:rsid w:val="00A57B3B"/>
    <w:rsid w:val="00A61BE8"/>
    <w:rsid w:val="00A635DE"/>
    <w:rsid w:val="00A7562B"/>
    <w:rsid w:val="00A822C2"/>
    <w:rsid w:val="00A85C6D"/>
    <w:rsid w:val="00A867EB"/>
    <w:rsid w:val="00A923B3"/>
    <w:rsid w:val="00A924A5"/>
    <w:rsid w:val="00A928C9"/>
    <w:rsid w:val="00A933B4"/>
    <w:rsid w:val="00A93836"/>
    <w:rsid w:val="00A95672"/>
    <w:rsid w:val="00AA0861"/>
    <w:rsid w:val="00AA0B0D"/>
    <w:rsid w:val="00AA0B48"/>
    <w:rsid w:val="00AA0C70"/>
    <w:rsid w:val="00AA12A8"/>
    <w:rsid w:val="00AA1496"/>
    <w:rsid w:val="00AA3E5D"/>
    <w:rsid w:val="00AA657F"/>
    <w:rsid w:val="00AA774A"/>
    <w:rsid w:val="00AB0A48"/>
    <w:rsid w:val="00AB2E7B"/>
    <w:rsid w:val="00AC06B3"/>
    <w:rsid w:val="00AC1D32"/>
    <w:rsid w:val="00AC2FE1"/>
    <w:rsid w:val="00AC60D8"/>
    <w:rsid w:val="00AD11FC"/>
    <w:rsid w:val="00AD33C7"/>
    <w:rsid w:val="00AD3F70"/>
    <w:rsid w:val="00AD5E7F"/>
    <w:rsid w:val="00AE3894"/>
    <w:rsid w:val="00AE5F8E"/>
    <w:rsid w:val="00AE6ADC"/>
    <w:rsid w:val="00AE7E13"/>
    <w:rsid w:val="00AF3287"/>
    <w:rsid w:val="00AF3C50"/>
    <w:rsid w:val="00B00348"/>
    <w:rsid w:val="00B01B5E"/>
    <w:rsid w:val="00B0227D"/>
    <w:rsid w:val="00B02725"/>
    <w:rsid w:val="00B06931"/>
    <w:rsid w:val="00B13398"/>
    <w:rsid w:val="00B14284"/>
    <w:rsid w:val="00B15D6B"/>
    <w:rsid w:val="00B16480"/>
    <w:rsid w:val="00B1712A"/>
    <w:rsid w:val="00B23399"/>
    <w:rsid w:val="00B233A8"/>
    <w:rsid w:val="00B24017"/>
    <w:rsid w:val="00B27E6F"/>
    <w:rsid w:val="00B30705"/>
    <w:rsid w:val="00B31662"/>
    <w:rsid w:val="00B3187F"/>
    <w:rsid w:val="00B35712"/>
    <w:rsid w:val="00B35E9E"/>
    <w:rsid w:val="00B4245F"/>
    <w:rsid w:val="00B4331A"/>
    <w:rsid w:val="00B451EB"/>
    <w:rsid w:val="00B454B0"/>
    <w:rsid w:val="00B46791"/>
    <w:rsid w:val="00B4784E"/>
    <w:rsid w:val="00B503DC"/>
    <w:rsid w:val="00B551D9"/>
    <w:rsid w:val="00B5602D"/>
    <w:rsid w:val="00B60A9C"/>
    <w:rsid w:val="00B6349C"/>
    <w:rsid w:val="00B63658"/>
    <w:rsid w:val="00B64632"/>
    <w:rsid w:val="00B663A6"/>
    <w:rsid w:val="00B71073"/>
    <w:rsid w:val="00B7167B"/>
    <w:rsid w:val="00B73E17"/>
    <w:rsid w:val="00B771D7"/>
    <w:rsid w:val="00B772DA"/>
    <w:rsid w:val="00B85C15"/>
    <w:rsid w:val="00B90EAA"/>
    <w:rsid w:val="00B91BC2"/>
    <w:rsid w:val="00B92155"/>
    <w:rsid w:val="00B92168"/>
    <w:rsid w:val="00B93E15"/>
    <w:rsid w:val="00B942DC"/>
    <w:rsid w:val="00B96C98"/>
    <w:rsid w:val="00BA0FA9"/>
    <w:rsid w:val="00BA3C6A"/>
    <w:rsid w:val="00BA3D9B"/>
    <w:rsid w:val="00BA4343"/>
    <w:rsid w:val="00BA49B4"/>
    <w:rsid w:val="00BA4D8F"/>
    <w:rsid w:val="00BB15E9"/>
    <w:rsid w:val="00BB1804"/>
    <w:rsid w:val="00BB2390"/>
    <w:rsid w:val="00BB2C3D"/>
    <w:rsid w:val="00BB38AD"/>
    <w:rsid w:val="00BB538F"/>
    <w:rsid w:val="00BB58CB"/>
    <w:rsid w:val="00BC16B2"/>
    <w:rsid w:val="00BC3D3D"/>
    <w:rsid w:val="00BC6DD2"/>
    <w:rsid w:val="00BD0CED"/>
    <w:rsid w:val="00BD3FE8"/>
    <w:rsid w:val="00BD42D8"/>
    <w:rsid w:val="00BD67E2"/>
    <w:rsid w:val="00BD7189"/>
    <w:rsid w:val="00BD7BA7"/>
    <w:rsid w:val="00BE32DE"/>
    <w:rsid w:val="00BF249A"/>
    <w:rsid w:val="00BF4F37"/>
    <w:rsid w:val="00BF51F5"/>
    <w:rsid w:val="00BF5A6F"/>
    <w:rsid w:val="00BF5FB1"/>
    <w:rsid w:val="00C04A44"/>
    <w:rsid w:val="00C04C80"/>
    <w:rsid w:val="00C051F6"/>
    <w:rsid w:val="00C06ADC"/>
    <w:rsid w:val="00C12301"/>
    <w:rsid w:val="00C202A0"/>
    <w:rsid w:val="00C2040E"/>
    <w:rsid w:val="00C21D97"/>
    <w:rsid w:val="00C24835"/>
    <w:rsid w:val="00C310A6"/>
    <w:rsid w:val="00C335E2"/>
    <w:rsid w:val="00C359D5"/>
    <w:rsid w:val="00C405BB"/>
    <w:rsid w:val="00C412FE"/>
    <w:rsid w:val="00C50E7D"/>
    <w:rsid w:val="00C51560"/>
    <w:rsid w:val="00C5548E"/>
    <w:rsid w:val="00C55618"/>
    <w:rsid w:val="00C56D1C"/>
    <w:rsid w:val="00C61366"/>
    <w:rsid w:val="00C65C35"/>
    <w:rsid w:val="00C65EF8"/>
    <w:rsid w:val="00C7198B"/>
    <w:rsid w:val="00C73A1A"/>
    <w:rsid w:val="00C75354"/>
    <w:rsid w:val="00C76B96"/>
    <w:rsid w:val="00C77007"/>
    <w:rsid w:val="00C807B9"/>
    <w:rsid w:val="00C813A8"/>
    <w:rsid w:val="00C8407F"/>
    <w:rsid w:val="00C84755"/>
    <w:rsid w:val="00C8536B"/>
    <w:rsid w:val="00C86249"/>
    <w:rsid w:val="00C87394"/>
    <w:rsid w:val="00C9435D"/>
    <w:rsid w:val="00C955AC"/>
    <w:rsid w:val="00CA0223"/>
    <w:rsid w:val="00CA22E4"/>
    <w:rsid w:val="00CA2375"/>
    <w:rsid w:val="00CB24A5"/>
    <w:rsid w:val="00CB4146"/>
    <w:rsid w:val="00CB5EC8"/>
    <w:rsid w:val="00CB5F24"/>
    <w:rsid w:val="00CB6AE1"/>
    <w:rsid w:val="00CC15FE"/>
    <w:rsid w:val="00CC2E98"/>
    <w:rsid w:val="00CC329E"/>
    <w:rsid w:val="00CC644D"/>
    <w:rsid w:val="00CC6973"/>
    <w:rsid w:val="00CCC33F"/>
    <w:rsid w:val="00CD1593"/>
    <w:rsid w:val="00CD233C"/>
    <w:rsid w:val="00CD539F"/>
    <w:rsid w:val="00CD5BCE"/>
    <w:rsid w:val="00CE0E59"/>
    <w:rsid w:val="00CE1988"/>
    <w:rsid w:val="00CE38A6"/>
    <w:rsid w:val="00CE5B3F"/>
    <w:rsid w:val="00CE5FAA"/>
    <w:rsid w:val="00CF021E"/>
    <w:rsid w:val="00CF0AE2"/>
    <w:rsid w:val="00CF21AF"/>
    <w:rsid w:val="00CF2D58"/>
    <w:rsid w:val="00CF32AB"/>
    <w:rsid w:val="00CF3A8F"/>
    <w:rsid w:val="00CF49AE"/>
    <w:rsid w:val="00CF7119"/>
    <w:rsid w:val="00D00B90"/>
    <w:rsid w:val="00D072F9"/>
    <w:rsid w:val="00D07886"/>
    <w:rsid w:val="00D20381"/>
    <w:rsid w:val="00D20684"/>
    <w:rsid w:val="00D20DB7"/>
    <w:rsid w:val="00D23297"/>
    <w:rsid w:val="00D262E0"/>
    <w:rsid w:val="00D26A1C"/>
    <w:rsid w:val="00D3387F"/>
    <w:rsid w:val="00D34595"/>
    <w:rsid w:val="00D361A7"/>
    <w:rsid w:val="00D378AF"/>
    <w:rsid w:val="00D4149B"/>
    <w:rsid w:val="00D4169A"/>
    <w:rsid w:val="00D4317B"/>
    <w:rsid w:val="00D43B43"/>
    <w:rsid w:val="00D5252F"/>
    <w:rsid w:val="00D537FC"/>
    <w:rsid w:val="00D55EF6"/>
    <w:rsid w:val="00D568CF"/>
    <w:rsid w:val="00D57185"/>
    <w:rsid w:val="00D6153D"/>
    <w:rsid w:val="00D71072"/>
    <w:rsid w:val="00D717B2"/>
    <w:rsid w:val="00D73426"/>
    <w:rsid w:val="00D7740F"/>
    <w:rsid w:val="00D779C4"/>
    <w:rsid w:val="00D80377"/>
    <w:rsid w:val="00D81BFF"/>
    <w:rsid w:val="00D83226"/>
    <w:rsid w:val="00D8523C"/>
    <w:rsid w:val="00D85C97"/>
    <w:rsid w:val="00D91621"/>
    <w:rsid w:val="00D94E64"/>
    <w:rsid w:val="00D969CA"/>
    <w:rsid w:val="00D96B8F"/>
    <w:rsid w:val="00D97092"/>
    <w:rsid w:val="00DA350D"/>
    <w:rsid w:val="00DA6645"/>
    <w:rsid w:val="00DA6779"/>
    <w:rsid w:val="00DB1B2A"/>
    <w:rsid w:val="00DB5C1A"/>
    <w:rsid w:val="00DB70EB"/>
    <w:rsid w:val="00DB76C3"/>
    <w:rsid w:val="00DB7E6D"/>
    <w:rsid w:val="00DC4772"/>
    <w:rsid w:val="00DC66ED"/>
    <w:rsid w:val="00DD3B34"/>
    <w:rsid w:val="00DD3D6D"/>
    <w:rsid w:val="00DD4418"/>
    <w:rsid w:val="00DD4DD8"/>
    <w:rsid w:val="00DE2F2C"/>
    <w:rsid w:val="00DE35DA"/>
    <w:rsid w:val="00E00AB1"/>
    <w:rsid w:val="00E05EA0"/>
    <w:rsid w:val="00E06643"/>
    <w:rsid w:val="00E10E4B"/>
    <w:rsid w:val="00E11EBF"/>
    <w:rsid w:val="00E164BC"/>
    <w:rsid w:val="00E16AD6"/>
    <w:rsid w:val="00E17234"/>
    <w:rsid w:val="00E1723C"/>
    <w:rsid w:val="00E2028C"/>
    <w:rsid w:val="00E206AC"/>
    <w:rsid w:val="00E22E40"/>
    <w:rsid w:val="00E26F99"/>
    <w:rsid w:val="00E34864"/>
    <w:rsid w:val="00E3FB0E"/>
    <w:rsid w:val="00E40B2A"/>
    <w:rsid w:val="00E422CE"/>
    <w:rsid w:val="00E44602"/>
    <w:rsid w:val="00E54AEB"/>
    <w:rsid w:val="00E5591F"/>
    <w:rsid w:val="00E5674D"/>
    <w:rsid w:val="00E56C13"/>
    <w:rsid w:val="00E56D7B"/>
    <w:rsid w:val="00E57534"/>
    <w:rsid w:val="00E60C22"/>
    <w:rsid w:val="00E62034"/>
    <w:rsid w:val="00E65BBD"/>
    <w:rsid w:val="00E65CB7"/>
    <w:rsid w:val="00E6613F"/>
    <w:rsid w:val="00E661A3"/>
    <w:rsid w:val="00E67A43"/>
    <w:rsid w:val="00E729CE"/>
    <w:rsid w:val="00E7343E"/>
    <w:rsid w:val="00E74F4A"/>
    <w:rsid w:val="00E77EDD"/>
    <w:rsid w:val="00E82223"/>
    <w:rsid w:val="00E854DE"/>
    <w:rsid w:val="00E86BA4"/>
    <w:rsid w:val="00E91D91"/>
    <w:rsid w:val="00E92A6D"/>
    <w:rsid w:val="00E93D84"/>
    <w:rsid w:val="00E96A0D"/>
    <w:rsid w:val="00EA260A"/>
    <w:rsid w:val="00EA54A7"/>
    <w:rsid w:val="00EB3925"/>
    <w:rsid w:val="00EB4406"/>
    <w:rsid w:val="00EB712F"/>
    <w:rsid w:val="00EC0586"/>
    <w:rsid w:val="00EC2217"/>
    <w:rsid w:val="00EC5883"/>
    <w:rsid w:val="00EC5932"/>
    <w:rsid w:val="00EC6A35"/>
    <w:rsid w:val="00ED2E19"/>
    <w:rsid w:val="00EE4DAA"/>
    <w:rsid w:val="00EE57B9"/>
    <w:rsid w:val="00EE6436"/>
    <w:rsid w:val="00EE7401"/>
    <w:rsid w:val="00EF02F6"/>
    <w:rsid w:val="00EF39C5"/>
    <w:rsid w:val="00EF3FF2"/>
    <w:rsid w:val="00EF421D"/>
    <w:rsid w:val="00EF488F"/>
    <w:rsid w:val="00EF6977"/>
    <w:rsid w:val="00EF6DC8"/>
    <w:rsid w:val="00EF7F81"/>
    <w:rsid w:val="00F022A1"/>
    <w:rsid w:val="00F07774"/>
    <w:rsid w:val="00F10C98"/>
    <w:rsid w:val="00F10D9B"/>
    <w:rsid w:val="00F11FC9"/>
    <w:rsid w:val="00F1348F"/>
    <w:rsid w:val="00F13EEE"/>
    <w:rsid w:val="00F17104"/>
    <w:rsid w:val="00F20834"/>
    <w:rsid w:val="00F257C7"/>
    <w:rsid w:val="00F25B03"/>
    <w:rsid w:val="00F26587"/>
    <w:rsid w:val="00F30739"/>
    <w:rsid w:val="00F320E5"/>
    <w:rsid w:val="00F35B3D"/>
    <w:rsid w:val="00F41E22"/>
    <w:rsid w:val="00F43AED"/>
    <w:rsid w:val="00F45A48"/>
    <w:rsid w:val="00F45D30"/>
    <w:rsid w:val="00F53AD5"/>
    <w:rsid w:val="00F53B46"/>
    <w:rsid w:val="00F53FB3"/>
    <w:rsid w:val="00F54E28"/>
    <w:rsid w:val="00F57090"/>
    <w:rsid w:val="00F57DB4"/>
    <w:rsid w:val="00F64935"/>
    <w:rsid w:val="00F64EE6"/>
    <w:rsid w:val="00F673AF"/>
    <w:rsid w:val="00F67446"/>
    <w:rsid w:val="00F77B51"/>
    <w:rsid w:val="00F803D9"/>
    <w:rsid w:val="00F807DF"/>
    <w:rsid w:val="00F86159"/>
    <w:rsid w:val="00F87E68"/>
    <w:rsid w:val="00F917CA"/>
    <w:rsid w:val="00FA138B"/>
    <w:rsid w:val="00FA1E6B"/>
    <w:rsid w:val="00FA2586"/>
    <w:rsid w:val="00FA28EF"/>
    <w:rsid w:val="00FA76CB"/>
    <w:rsid w:val="00FB2EAE"/>
    <w:rsid w:val="00FB30D3"/>
    <w:rsid w:val="00FB3181"/>
    <w:rsid w:val="00FB3CD9"/>
    <w:rsid w:val="00FB520A"/>
    <w:rsid w:val="00FB640B"/>
    <w:rsid w:val="00FC10DB"/>
    <w:rsid w:val="00FC1445"/>
    <w:rsid w:val="00FC1826"/>
    <w:rsid w:val="00FC38F8"/>
    <w:rsid w:val="00FC3E4F"/>
    <w:rsid w:val="00FC580D"/>
    <w:rsid w:val="00FC585E"/>
    <w:rsid w:val="00FC618F"/>
    <w:rsid w:val="00FD32D6"/>
    <w:rsid w:val="00FD37F1"/>
    <w:rsid w:val="00FE0B3B"/>
    <w:rsid w:val="00FE0F34"/>
    <w:rsid w:val="00FE30EF"/>
    <w:rsid w:val="00FE4128"/>
    <w:rsid w:val="00FE57F0"/>
    <w:rsid w:val="00FE59FD"/>
    <w:rsid w:val="00FF137C"/>
    <w:rsid w:val="00FF6AFD"/>
    <w:rsid w:val="00FF6E10"/>
    <w:rsid w:val="010256C1"/>
    <w:rsid w:val="0129C98E"/>
    <w:rsid w:val="014A08D8"/>
    <w:rsid w:val="0154B7EA"/>
    <w:rsid w:val="016FE33D"/>
    <w:rsid w:val="01B93C29"/>
    <w:rsid w:val="01FC8A28"/>
    <w:rsid w:val="02002E47"/>
    <w:rsid w:val="02134897"/>
    <w:rsid w:val="023C3B3D"/>
    <w:rsid w:val="024F3973"/>
    <w:rsid w:val="02A1EAAF"/>
    <w:rsid w:val="02BA1A0A"/>
    <w:rsid w:val="02C2B30B"/>
    <w:rsid w:val="02E296E5"/>
    <w:rsid w:val="0318077F"/>
    <w:rsid w:val="03261563"/>
    <w:rsid w:val="035E72E0"/>
    <w:rsid w:val="0378A139"/>
    <w:rsid w:val="0405BFC0"/>
    <w:rsid w:val="04105D1B"/>
    <w:rsid w:val="042E68DC"/>
    <w:rsid w:val="042F6BF9"/>
    <w:rsid w:val="045B4AC8"/>
    <w:rsid w:val="0494D3EF"/>
    <w:rsid w:val="0499C185"/>
    <w:rsid w:val="04A91A76"/>
    <w:rsid w:val="04CF0B59"/>
    <w:rsid w:val="05787FD8"/>
    <w:rsid w:val="058DE980"/>
    <w:rsid w:val="058E2B99"/>
    <w:rsid w:val="05923D65"/>
    <w:rsid w:val="05C92882"/>
    <w:rsid w:val="05CCCD86"/>
    <w:rsid w:val="06D765FE"/>
    <w:rsid w:val="06DBFD7F"/>
    <w:rsid w:val="07161987"/>
    <w:rsid w:val="071A4416"/>
    <w:rsid w:val="07477378"/>
    <w:rsid w:val="07630311"/>
    <w:rsid w:val="07846106"/>
    <w:rsid w:val="079A68A0"/>
    <w:rsid w:val="07AD0479"/>
    <w:rsid w:val="0803B206"/>
    <w:rsid w:val="083F2F28"/>
    <w:rsid w:val="08708610"/>
    <w:rsid w:val="088AE18F"/>
    <w:rsid w:val="08BDB2C6"/>
    <w:rsid w:val="08CCA26A"/>
    <w:rsid w:val="091DEEDC"/>
    <w:rsid w:val="09679D33"/>
    <w:rsid w:val="09AA47CB"/>
    <w:rsid w:val="0A3FB79E"/>
    <w:rsid w:val="0AB03488"/>
    <w:rsid w:val="0ABC03EE"/>
    <w:rsid w:val="0ABE9B30"/>
    <w:rsid w:val="0AF9E00E"/>
    <w:rsid w:val="0B071AF8"/>
    <w:rsid w:val="0B403610"/>
    <w:rsid w:val="0B5B4E0C"/>
    <w:rsid w:val="0BAD1B80"/>
    <w:rsid w:val="0BBEF14F"/>
    <w:rsid w:val="0BE3DA03"/>
    <w:rsid w:val="0BFD0FCE"/>
    <w:rsid w:val="0C1EB3C8"/>
    <w:rsid w:val="0C311891"/>
    <w:rsid w:val="0C4EE780"/>
    <w:rsid w:val="0C8B3ECD"/>
    <w:rsid w:val="0CB2E0A5"/>
    <w:rsid w:val="0CE76278"/>
    <w:rsid w:val="0CF7620D"/>
    <w:rsid w:val="0D5B5BD6"/>
    <w:rsid w:val="0D89B86B"/>
    <w:rsid w:val="0D9D4F4A"/>
    <w:rsid w:val="0DC22301"/>
    <w:rsid w:val="0E11210F"/>
    <w:rsid w:val="0E309511"/>
    <w:rsid w:val="0E6DCF0E"/>
    <w:rsid w:val="0EBD3E66"/>
    <w:rsid w:val="0EC074F2"/>
    <w:rsid w:val="0EC32844"/>
    <w:rsid w:val="0ED42E2E"/>
    <w:rsid w:val="0ED855B2"/>
    <w:rsid w:val="0F11A38C"/>
    <w:rsid w:val="0F391FAB"/>
    <w:rsid w:val="0F6942D7"/>
    <w:rsid w:val="0FA3F8C2"/>
    <w:rsid w:val="0FC7A1ED"/>
    <w:rsid w:val="0FDF1879"/>
    <w:rsid w:val="0FE66817"/>
    <w:rsid w:val="100BCCBB"/>
    <w:rsid w:val="102FBDD2"/>
    <w:rsid w:val="10C629B5"/>
    <w:rsid w:val="10C69B5F"/>
    <w:rsid w:val="10FEF0C2"/>
    <w:rsid w:val="11281C1A"/>
    <w:rsid w:val="113CC55E"/>
    <w:rsid w:val="11737C58"/>
    <w:rsid w:val="119E14E4"/>
    <w:rsid w:val="11ACEDE8"/>
    <w:rsid w:val="11CC9DB3"/>
    <w:rsid w:val="120A29C2"/>
    <w:rsid w:val="1270B85D"/>
    <w:rsid w:val="128BD070"/>
    <w:rsid w:val="12B8722B"/>
    <w:rsid w:val="12FFA14B"/>
    <w:rsid w:val="13033D20"/>
    <w:rsid w:val="137AD92A"/>
    <w:rsid w:val="13AF126D"/>
    <w:rsid w:val="13D03FF7"/>
    <w:rsid w:val="142FA211"/>
    <w:rsid w:val="14BDC627"/>
    <w:rsid w:val="1506B009"/>
    <w:rsid w:val="1562BD8C"/>
    <w:rsid w:val="15C79DA1"/>
    <w:rsid w:val="165D48A6"/>
    <w:rsid w:val="16D10E2F"/>
    <w:rsid w:val="17120D67"/>
    <w:rsid w:val="178A95FD"/>
    <w:rsid w:val="178CDF58"/>
    <w:rsid w:val="17F5AA5B"/>
    <w:rsid w:val="181ADC87"/>
    <w:rsid w:val="183E291F"/>
    <w:rsid w:val="186F429C"/>
    <w:rsid w:val="189E7171"/>
    <w:rsid w:val="18C30B3F"/>
    <w:rsid w:val="18C5EF45"/>
    <w:rsid w:val="18D098F7"/>
    <w:rsid w:val="1923644E"/>
    <w:rsid w:val="19285945"/>
    <w:rsid w:val="192E1AAF"/>
    <w:rsid w:val="19620EB9"/>
    <w:rsid w:val="1986B37A"/>
    <w:rsid w:val="19E791A1"/>
    <w:rsid w:val="19EA8A48"/>
    <w:rsid w:val="19F7EEEC"/>
    <w:rsid w:val="1A3BB7B8"/>
    <w:rsid w:val="1B006853"/>
    <w:rsid w:val="1B6D976C"/>
    <w:rsid w:val="1C07A241"/>
    <w:rsid w:val="1C278C96"/>
    <w:rsid w:val="1C3E1CAB"/>
    <w:rsid w:val="1C5C9A7F"/>
    <w:rsid w:val="1C6B2178"/>
    <w:rsid w:val="1CBEF161"/>
    <w:rsid w:val="1CCF82BC"/>
    <w:rsid w:val="1CF23D49"/>
    <w:rsid w:val="1D32A269"/>
    <w:rsid w:val="1D3D18B2"/>
    <w:rsid w:val="1D6E6BC5"/>
    <w:rsid w:val="1D7FC36C"/>
    <w:rsid w:val="1D90566D"/>
    <w:rsid w:val="1DB22E3C"/>
    <w:rsid w:val="1DCA8839"/>
    <w:rsid w:val="1DD4946C"/>
    <w:rsid w:val="1E05E235"/>
    <w:rsid w:val="1E08D344"/>
    <w:rsid w:val="1E616ED1"/>
    <w:rsid w:val="1E6FEDF6"/>
    <w:rsid w:val="1E8C69B3"/>
    <w:rsid w:val="1EB73C26"/>
    <w:rsid w:val="1ED12D96"/>
    <w:rsid w:val="1F3BC85B"/>
    <w:rsid w:val="1F6D86C5"/>
    <w:rsid w:val="1F778F75"/>
    <w:rsid w:val="1F86B770"/>
    <w:rsid w:val="1FB75C81"/>
    <w:rsid w:val="1FDA93F1"/>
    <w:rsid w:val="203CFF0E"/>
    <w:rsid w:val="20AA3843"/>
    <w:rsid w:val="20CB788D"/>
    <w:rsid w:val="20F02EC9"/>
    <w:rsid w:val="21983C37"/>
    <w:rsid w:val="21CAA872"/>
    <w:rsid w:val="21DC0436"/>
    <w:rsid w:val="21E647E1"/>
    <w:rsid w:val="220BFBB9"/>
    <w:rsid w:val="22A34F31"/>
    <w:rsid w:val="22D59727"/>
    <w:rsid w:val="2327577F"/>
    <w:rsid w:val="23617ECD"/>
    <w:rsid w:val="2368F440"/>
    <w:rsid w:val="2378C39B"/>
    <w:rsid w:val="23A44B2D"/>
    <w:rsid w:val="23C139AD"/>
    <w:rsid w:val="23E95836"/>
    <w:rsid w:val="23EE2FAB"/>
    <w:rsid w:val="242B2BDF"/>
    <w:rsid w:val="244E2BCD"/>
    <w:rsid w:val="2451229C"/>
    <w:rsid w:val="2471BC2C"/>
    <w:rsid w:val="2545D854"/>
    <w:rsid w:val="255B9A88"/>
    <w:rsid w:val="2561D301"/>
    <w:rsid w:val="2583C20A"/>
    <w:rsid w:val="25A41547"/>
    <w:rsid w:val="25A7EB36"/>
    <w:rsid w:val="25C194E5"/>
    <w:rsid w:val="264CF892"/>
    <w:rsid w:val="265AFDFC"/>
    <w:rsid w:val="26999108"/>
    <w:rsid w:val="26CB1717"/>
    <w:rsid w:val="26D7AEF6"/>
    <w:rsid w:val="26E20132"/>
    <w:rsid w:val="27556C56"/>
    <w:rsid w:val="275B67C0"/>
    <w:rsid w:val="2781437C"/>
    <w:rsid w:val="282713D5"/>
    <w:rsid w:val="282CE480"/>
    <w:rsid w:val="285D70DA"/>
    <w:rsid w:val="287E9BDC"/>
    <w:rsid w:val="28849F45"/>
    <w:rsid w:val="28910F9C"/>
    <w:rsid w:val="289D3043"/>
    <w:rsid w:val="28A2F456"/>
    <w:rsid w:val="28CD078F"/>
    <w:rsid w:val="2928D459"/>
    <w:rsid w:val="295E5624"/>
    <w:rsid w:val="2964C126"/>
    <w:rsid w:val="29D290DA"/>
    <w:rsid w:val="2A0AF8BA"/>
    <w:rsid w:val="2A45C350"/>
    <w:rsid w:val="2A66EB10"/>
    <w:rsid w:val="2AEC8F91"/>
    <w:rsid w:val="2B06B984"/>
    <w:rsid w:val="2B83F773"/>
    <w:rsid w:val="2BC06BE9"/>
    <w:rsid w:val="2BCEE6DB"/>
    <w:rsid w:val="2BFC4E2E"/>
    <w:rsid w:val="2C3E20E1"/>
    <w:rsid w:val="2C74CFF8"/>
    <w:rsid w:val="2CC9FAB3"/>
    <w:rsid w:val="2CDD73DA"/>
    <w:rsid w:val="2D01794D"/>
    <w:rsid w:val="2D0CD3C0"/>
    <w:rsid w:val="2D144753"/>
    <w:rsid w:val="2DF643A5"/>
    <w:rsid w:val="2E6E7E1D"/>
    <w:rsid w:val="2E93AEDE"/>
    <w:rsid w:val="2E9A96CE"/>
    <w:rsid w:val="2EEE28ED"/>
    <w:rsid w:val="2EFAA51C"/>
    <w:rsid w:val="2F318C3F"/>
    <w:rsid w:val="2F4FF33E"/>
    <w:rsid w:val="2F546AAE"/>
    <w:rsid w:val="2F756118"/>
    <w:rsid w:val="2FE8E543"/>
    <w:rsid w:val="2FF5C493"/>
    <w:rsid w:val="2FF89CA6"/>
    <w:rsid w:val="302D976F"/>
    <w:rsid w:val="304D3AE4"/>
    <w:rsid w:val="305E4525"/>
    <w:rsid w:val="30DD2CED"/>
    <w:rsid w:val="315679B7"/>
    <w:rsid w:val="3175F930"/>
    <w:rsid w:val="31B629DE"/>
    <w:rsid w:val="322F7F5C"/>
    <w:rsid w:val="3262E6C6"/>
    <w:rsid w:val="32BDBAA3"/>
    <w:rsid w:val="334FCAAE"/>
    <w:rsid w:val="3380163A"/>
    <w:rsid w:val="33A478C4"/>
    <w:rsid w:val="345A2B48"/>
    <w:rsid w:val="34906648"/>
    <w:rsid w:val="3503905B"/>
    <w:rsid w:val="3531B648"/>
    <w:rsid w:val="354F62CC"/>
    <w:rsid w:val="355C81EC"/>
    <w:rsid w:val="3572A622"/>
    <w:rsid w:val="3598C787"/>
    <w:rsid w:val="35C11270"/>
    <w:rsid w:val="35EE4237"/>
    <w:rsid w:val="361476E9"/>
    <w:rsid w:val="36197E92"/>
    <w:rsid w:val="36229AB6"/>
    <w:rsid w:val="365329FC"/>
    <w:rsid w:val="366E8695"/>
    <w:rsid w:val="3677692D"/>
    <w:rsid w:val="367BE5EE"/>
    <w:rsid w:val="368D0159"/>
    <w:rsid w:val="36A92F11"/>
    <w:rsid w:val="36CB9024"/>
    <w:rsid w:val="36F75C72"/>
    <w:rsid w:val="374ACB59"/>
    <w:rsid w:val="375EA233"/>
    <w:rsid w:val="377B078C"/>
    <w:rsid w:val="3788104D"/>
    <w:rsid w:val="37EEA019"/>
    <w:rsid w:val="383D63DB"/>
    <w:rsid w:val="38A60FF7"/>
    <w:rsid w:val="38A96237"/>
    <w:rsid w:val="390DA483"/>
    <w:rsid w:val="3925AE50"/>
    <w:rsid w:val="3947DCA7"/>
    <w:rsid w:val="398D8CFF"/>
    <w:rsid w:val="39E1026F"/>
    <w:rsid w:val="39F7AECE"/>
    <w:rsid w:val="3A33875C"/>
    <w:rsid w:val="3A5C08BB"/>
    <w:rsid w:val="3A62CE5D"/>
    <w:rsid w:val="3AA16ACD"/>
    <w:rsid w:val="3B2C92AA"/>
    <w:rsid w:val="3B599AF5"/>
    <w:rsid w:val="3B836276"/>
    <w:rsid w:val="3B85D249"/>
    <w:rsid w:val="3BA6A5A3"/>
    <w:rsid w:val="3BCE91CC"/>
    <w:rsid w:val="3C03540E"/>
    <w:rsid w:val="3C293111"/>
    <w:rsid w:val="3C3D064B"/>
    <w:rsid w:val="3C701F58"/>
    <w:rsid w:val="3C8BBFF0"/>
    <w:rsid w:val="3D3274E1"/>
    <w:rsid w:val="3D5384F9"/>
    <w:rsid w:val="3DA86035"/>
    <w:rsid w:val="3DDA5EA8"/>
    <w:rsid w:val="3DDCD1C0"/>
    <w:rsid w:val="3E1C4E00"/>
    <w:rsid w:val="3E656C4E"/>
    <w:rsid w:val="3E82E4E4"/>
    <w:rsid w:val="3EA67D89"/>
    <w:rsid w:val="3ED4025F"/>
    <w:rsid w:val="3EF6C25D"/>
    <w:rsid w:val="3F03ED2D"/>
    <w:rsid w:val="3F0D8236"/>
    <w:rsid w:val="3F1D545B"/>
    <w:rsid w:val="3F35D81F"/>
    <w:rsid w:val="3F5405EE"/>
    <w:rsid w:val="3F8DBB84"/>
    <w:rsid w:val="405273DE"/>
    <w:rsid w:val="40598696"/>
    <w:rsid w:val="40D64A66"/>
    <w:rsid w:val="4140C8A5"/>
    <w:rsid w:val="416CC6FC"/>
    <w:rsid w:val="4172F49D"/>
    <w:rsid w:val="41D414B6"/>
    <w:rsid w:val="426D7703"/>
    <w:rsid w:val="4280C80D"/>
    <w:rsid w:val="429AA756"/>
    <w:rsid w:val="43D10366"/>
    <w:rsid w:val="43DB200C"/>
    <w:rsid w:val="4406F20D"/>
    <w:rsid w:val="440E8965"/>
    <w:rsid w:val="443B28D0"/>
    <w:rsid w:val="446E8DCD"/>
    <w:rsid w:val="44EDED99"/>
    <w:rsid w:val="44EF7F6F"/>
    <w:rsid w:val="450C9E70"/>
    <w:rsid w:val="450CEC8F"/>
    <w:rsid w:val="45224F97"/>
    <w:rsid w:val="455C29FC"/>
    <w:rsid w:val="45DA3FB0"/>
    <w:rsid w:val="45F12E36"/>
    <w:rsid w:val="4601C6BA"/>
    <w:rsid w:val="460DD256"/>
    <w:rsid w:val="461C2765"/>
    <w:rsid w:val="4634BA7A"/>
    <w:rsid w:val="4698116E"/>
    <w:rsid w:val="46A6E75A"/>
    <w:rsid w:val="46A70E2D"/>
    <w:rsid w:val="46BA0390"/>
    <w:rsid w:val="47A2DEC7"/>
    <w:rsid w:val="47BEE6ED"/>
    <w:rsid w:val="47C7BE25"/>
    <w:rsid w:val="47EFFC1D"/>
    <w:rsid w:val="4802DFE7"/>
    <w:rsid w:val="4804EB10"/>
    <w:rsid w:val="4819827A"/>
    <w:rsid w:val="482220B8"/>
    <w:rsid w:val="48335EA6"/>
    <w:rsid w:val="484B20D9"/>
    <w:rsid w:val="48780E71"/>
    <w:rsid w:val="48B50346"/>
    <w:rsid w:val="48C1515A"/>
    <w:rsid w:val="49345819"/>
    <w:rsid w:val="49411E8F"/>
    <w:rsid w:val="496F9AA2"/>
    <w:rsid w:val="49DC1589"/>
    <w:rsid w:val="4A1499B5"/>
    <w:rsid w:val="4A2671AC"/>
    <w:rsid w:val="4AF5E5CB"/>
    <w:rsid w:val="4B08607B"/>
    <w:rsid w:val="4B37E3D2"/>
    <w:rsid w:val="4B49E653"/>
    <w:rsid w:val="4B5B3842"/>
    <w:rsid w:val="4B6F26CB"/>
    <w:rsid w:val="4BBD1C55"/>
    <w:rsid w:val="4BFCEC7C"/>
    <w:rsid w:val="4C0D99D6"/>
    <w:rsid w:val="4C4572C0"/>
    <w:rsid w:val="4C561912"/>
    <w:rsid w:val="4C6F5F73"/>
    <w:rsid w:val="4C91F480"/>
    <w:rsid w:val="4CEBA10E"/>
    <w:rsid w:val="4CFF7D07"/>
    <w:rsid w:val="4DC8DB28"/>
    <w:rsid w:val="4DDA7FD6"/>
    <w:rsid w:val="4E637A2A"/>
    <w:rsid w:val="4E9FB33A"/>
    <w:rsid w:val="4ED91488"/>
    <w:rsid w:val="4F1B3DE3"/>
    <w:rsid w:val="4F388FFC"/>
    <w:rsid w:val="4F591195"/>
    <w:rsid w:val="4F5A5673"/>
    <w:rsid w:val="4F60F5F2"/>
    <w:rsid w:val="4F64F9D0"/>
    <w:rsid w:val="4FA19E06"/>
    <w:rsid w:val="4FC39423"/>
    <w:rsid w:val="4FC71C12"/>
    <w:rsid w:val="4FCBC3DF"/>
    <w:rsid w:val="4FF5358C"/>
    <w:rsid w:val="506C88AA"/>
    <w:rsid w:val="50C4D347"/>
    <w:rsid w:val="50CFB4E5"/>
    <w:rsid w:val="50E79896"/>
    <w:rsid w:val="51536DFC"/>
    <w:rsid w:val="5193826A"/>
    <w:rsid w:val="519BB121"/>
    <w:rsid w:val="51D42C6C"/>
    <w:rsid w:val="529B180F"/>
    <w:rsid w:val="52AF24A0"/>
    <w:rsid w:val="52BB4B70"/>
    <w:rsid w:val="52EA1445"/>
    <w:rsid w:val="53A3F503"/>
    <w:rsid w:val="53B61AA6"/>
    <w:rsid w:val="53D0F41D"/>
    <w:rsid w:val="53E39B4D"/>
    <w:rsid w:val="54268E6B"/>
    <w:rsid w:val="54A12E2B"/>
    <w:rsid w:val="54A58D69"/>
    <w:rsid w:val="54E43861"/>
    <w:rsid w:val="5502D1C2"/>
    <w:rsid w:val="555EC762"/>
    <w:rsid w:val="556247BF"/>
    <w:rsid w:val="55D71B4C"/>
    <w:rsid w:val="55D795B2"/>
    <w:rsid w:val="562C8DF2"/>
    <w:rsid w:val="5649A144"/>
    <w:rsid w:val="565AB2E9"/>
    <w:rsid w:val="56611EE9"/>
    <w:rsid w:val="5691E591"/>
    <w:rsid w:val="56EDBB68"/>
    <w:rsid w:val="5761FDF4"/>
    <w:rsid w:val="57670F78"/>
    <w:rsid w:val="5805C5BC"/>
    <w:rsid w:val="58294023"/>
    <w:rsid w:val="5836E786"/>
    <w:rsid w:val="585B3BF3"/>
    <w:rsid w:val="5870636C"/>
    <w:rsid w:val="58C3BECD"/>
    <w:rsid w:val="58F277AA"/>
    <w:rsid w:val="58FDC27F"/>
    <w:rsid w:val="591B332E"/>
    <w:rsid w:val="5921865E"/>
    <w:rsid w:val="59221F44"/>
    <w:rsid w:val="597B1A5A"/>
    <w:rsid w:val="59B7ECDE"/>
    <w:rsid w:val="5A255C2A"/>
    <w:rsid w:val="5A26CFB7"/>
    <w:rsid w:val="5A994D3B"/>
    <w:rsid w:val="5B15D90D"/>
    <w:rsid w:val="5B6A4A32"/>
    <w:rsid w:val="5B892E3B"/>
    <w:rsid w:val="5BD234A9"/>
    <w:rsid w:val="5C422A12"/>
    <w:rsid w:val="5C67BBAE"/>
    <w:rsid w:val="5C79BEFB"/>
    <w:rsid w:val="5CB00683"/>
    <w:rsid w:val="5CC888E8"/>
    <w:rsid w:val="5D31D0EE"/>
    <w:rsid w:val="5D61A125"/>
    <w:rsid w:val="5D673050"/>
    <w:rsid w:val="5D83ECB0"/>
    <w:rsid w:val="5DCDB6C6"/>
    <w:rsid w:val="5E4EC461"/>
    <w:rsid w:val="5E5C9FE3"/>
    <w:rsid w:val="5F07B9C3"/>
    <w:rsid w:val="5F2566DB"/>
    <w:rsid w:val="5F3CF7C5"/>
    <w:rsid w:val="5F440567"/>
    <w:rsid w:val="5FFD2B36"/>
    <w:rsid w:val="60100739"/>
    <w:rsid w:val="6044D8C2"/>
    <w:rsid w:val="60908D4C"/>
    <w:rsid w:val="60C2CAD3"/>
    <w:rsid w:val="60E5BE45"/>
    <w:rsid w:val="6115AB0B"/>
    <w:rsid w:val="613E6F08"/>
    <w:rsid w:val="6175E646"/>
    <w:rsid w:val="61B553A4"/>
    <w:rsid w:val="61BEA983"/>
    <w:rsid w:val="61CBC93C"/>
    <w:rsid w:val="61E24147"/>
    <w:rsid w:val="61EF04A3"/>
    <w:rsid w:val="620A61AC"/>
    <w:rsid w:val="620BEF4E"/>
    <w:rsid w:val="620F20C5"/>
    <w:rsid w:val="62145208"/>
    <w:rsid w:val="62A6C9E1"/>
    <w:rsid w:val="62CAFF4C"/>
    <w:rsid w:val="62D34E26"/>
    <w:rsid w:val="6377E8FB"/>
    <w:rsid w:val="638DF09F"/>
    <w:rsid w:val="63F28FDF"/>
    <w:rsid w:val="640DEF46"/>
    <w:rsid w:val="642C08B1"/>
    <w:rsid w:val="645159BC"/>
    <w:rsid w:val="6554761A"/>
    <w:rsid w:val="65AC1AB4"/>
    <w:rsid w:val="65BA2BD7"/>
    <w:rsid w:val="65DF73FD"/>
    <w:rsid w:val="6618BA91"/>
    <w:rsid w:val="669E9E57"/>
    <w:rsid w:val="66AFBFAA"/>
    <w:rsid w:val="6703DF32"/>
    <w:rsid w:val="670FDBB2"/>
    <w:rsid w:val="678817C2"/>
    <w:rsid w:val="67920EDB"/>
    <w:rsid w:val="67AC1BE9"/>
    <w:rsid w:val="67ADC5F3"/>
    <w:rsid w:val="67F47BAA"/>
    <w:rsid w:val="6812FFFD"/>
    <w:rsid w:val="68736146"/>
    <w:rsid w:val="6894A42D"/>
    <w:rsid w:val="68EA7F32"/>
    <w:rsid w:val="68F642EA"/>
    <w:rsid w:val="69421908"/>
    <w:rsid w:val="6A29EB0E"/>
    <w:rsid w:val="6A72378C"/>
    <w:rsid w:val="6AB8A69C"/>
    <w:rsid w:val="6AF4E6B7"/>
    <w:rsid w:val="6B04C4BD"/>
    <w:rsid w:val="6B63526C"/>
    <w:rsid w:val="6B6CC305"/>
    <w:rsid w:val="6B73A0E2"/>
    <w:rsid w:val="6BBEAC65"/>
    <w:rsid w:val="6BC6157E"/>
    <w:rsid w:val="6BFF5716"/>
    <w:rsid w:val="6C05C0AB"/>
    <w:rsid w:val="6C22933B"/>
    <w:rsid w:val="6C95151F"/>
    <w:rsid w:val="6D095F6E"/>
    <w:rsid w:val="6D3FE8A5"/>
    <w:rsid w:val="6DA46003"/>
    <w:rsid w:val="6DC476F4"/>
    <w:rsid w:val="6E243892"/>
    <w:rsid w:val="6E8A057E"/>
    <w:rsid w:val="6E9CBAB6"/>
    <w:rsid w:val="6EDB5043"/>
    <w:rsid w:val="6F0BFC81"/>
    <w:rsid w:val="6F60248F"/>
    <w:rsid w:val="6FC87466"/>
    <w:rsid w:val="6FE30196"/>
    <w:rsid w:val="6FEAE7AB"/>
    <w:rsid w:val="6FEC10CF"/>
    <w:rsid w:val="70054C07"/>
    <w:rsid w:val="700F1531"/>
    <w:rsid w:val="700FD62C"/>
    <w:rsid w:val="701F6085"/>
    <w:rsid w:val="703A84A9"/>
    <w:rsid w:val="70676942"/>
    <w:rsid w:val="708FBFD9"/>
    <w:rsid w:val="7099724E"/>
    <w:rsid w:val="709986A1"/>
    <w:rsid w:val="709D62CA"/>
    <w:rsid w:val="710B72DD"/>
    <w:rsid w:val="71399A97"/>
    <w:rsid w:val="7164B666"/>
    <w:rsid w:val="716E74E2"/>
    <w:rsid w:val="71D1A9BE"/>
    <w:rsid w:val="71D9CFCC"/>
    <w:rsid w:val="71DE46DD"/>
    <w:rsid w:val="72C111EC"/>
    <w:rsid w:val="72F6F4E2"/>
    <w:rsid w:val="730DF5AA"/>
    <w:rsid w:val="7390F55C"/>
    <w:rsid w:val="73A4FEC2"/>
    <w:rsid w:val="73D85BB3"/>
    <w:rsid w:val="73FA6C88"/>
    <w:rsid w:val="745386BC"/>
    <w:rsid w:val="74B77054"/>
    <w:rsid w:val="74E06EDB"/>
    <w:rsid w:val="74F2D017"/>
    <w:rsid w:val="75307082"/>
    <w:rsid w:val="75327EC1"/>
    <w:rsid w:val="75B37D33"/>
    <w:rsid w:val="760D06EF"/>
    <w:rsid w:val="76109029"/>
    <w:rsid w:val="7621C9EA"/>
    <w:rsid w:val="762CC7CE"/>
    <w:rsid w:val="7655B031"/>
    <w:rsid w:val="767E8E6A"/>
    <w:rsid w:val="768E5A49"/>
    <w:rsid w:val="771B4F6F"/>
    <w:rsid w:val="771F6369"/>
    <w:rsid w:val="77634FA0"/>
    <w:rsid w:val="7780DAEC"/>
    <w:rsid w:val="77B4FC34"/>
    <w:rsid w:val="77BA1800"/>
    <w:rsid w:val="78160F89"/>
    <w:rsid w:val="788C6DF6"/>
    <w:rsid w:val="78CB1B56"/>
    <w:rsid w:val="7939B89B"/>
    <w:rsid w:val="79632EB5"/>
    <w:rsid w:val="7984FE63"/>
    <w:rsid w:val="79A0E02F"/>
    <w:rsid w:val="79A34B1A"/>
    <w:rsid w:val="79E47658"/>
    <w:rsid w:val="7ACDA14B"/>
    <w:rsid w:val="7B685731"/>
    <w:rsid w:val="7BC38978"/>
    <w:rsid w:val="7BD69D8C"/>
    <w:rsid w:val="7C6CE69B"/>
    <w:rsid w:val="7C70C1E5"/>
    <w:rsid w:val="7D069B97"/>
    <w:rsid w:val="7D208A08"/>
    <w:rsid w:val="7D605A1F"/>
    <w:rsid w:val="7D65DB06"/>
    <w:rsid w:val="7DB0947B"/>
    <w:rsid w:val="7DF03851"/>
    <w:rsid w:val="7E087ACD"/>
    <w:rsid w:val="7E11B119"/>
    <w:rsid w:val="7E3DC0E3"/>
    <w:rsid w:val="7E450923"/>
    <w:rsid w:val="7E4BD349"/>
    <w:rsid w:val="7E50BEEC"/>
    <w:rsid w:val="7ECE5DB1"/>
    <w:rsid w:val="7F4BD6F2"/>
    <w:rsid w:val="7F4F7D80"/>
    <w:rsid w:val="7F7356AA"/>
    <w:rsid w:val="7FC3C7C1"/>
    <w:rsid w:val="7FD495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0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63BB1"/>
    <w:pPr>
      <w:numPr>
        <w:numId w:val="1"/>
      </w:numPr>
      <w:contextualSpacing/>
    </w:pPr>
  </w:style>
  <w:style w:type="paragraph" w:styleId="ListBullet2">
    <w:name w:val="List Bullet 2"/>
    <w:basedOn w:val="Normal"/>
    <w:uiPriority w:val="99"/>
    <w:semiHidden/>
    <w:unhideWhenUsed/>
    <w:rsid w:val="00163BB1"/>
    <w:pPr>
      <w:numPr>
        <w:numId w:val="2"/>
      </w:numPr>
      <w:contextualSpacing/>
    </w:pPr>
  </w:style>
  <w:style w:type="paragraph" w:styleId="ListBullet3">
    <w:name w:val="List Bullet 3"/>
    <w:basedOn w:val="Normal"/>
    <w:uiPriority w:val="99"/>
    <w:semiHidden/>
    <w:unhideWhenUsed/>
    <w:rsid w:val="00163BB1"/>
    <w:pPr>
      <w:numPr>
        <w:numId w:val="3"/>
      </w:numPr>
      <w:contextualSpacing/>
    </w:pPr>
  </w:style>
  <w:style w:type="paragraph" w:styleId="ListBullet4">
    <w:name w:val="List Bullet 4"/>
    <w:basedOn w:val="Normal"/>
    <w:uiPriority w:val="99"/>
    <w:semiHidden/>
    <w:unhideWhenUsed/>
    <w:rsid w:val="00163BB1"/>
    <w:pPr>
      <w:numPr>
        <w:numId w:val="4"/>
      </w:numPr>
      <w:contextualSpacing/>
    </w:pPr>
  </w:style>
  <w:style w:type="character" w:styleId="Hyperlink">
    <w:name w:val="Hyperlink"/>
    <w:rsid w:val="00785F32"/>
    <w:rPr>
      <w:color w:val="0000FF"/>
      <w:u w:val="single"/>
      <w:shd w:val="clear" w:color="auto" w:fill="auto"/>
    </w:rPr>
  </w:style>
  <w:style w:type="character" w:customStyle="1" w:styleId="ListParagraphChar">
    <w:name w:val="List Paragraph Char"/>
    <w:basedOn w:val="DefaultParagraphFont"/>
    <w:link w:val="ListParagraph"/>
    <w:uiPriority w:val="34"/>
    <w:locked/>
    <w:rsid w:val="001915B2"/>
    <w:rPr>
      <w:rFonts w:ascii="Times New Roman" w:hAnsi="Times New Roman" w:cs="Times New Roman"/>
      <w:sz w:val="24"/>
    </w:rPr>
  </w:style>
  <w:style w:type="paragraph" w:styleId="ListParagraph">
    <w:name w:val="List Paragraph"/>
    <w:basedOn w:val="Normal"/>
    <w:link w:val="ListParagraphChar"/>
    <w:uiPriority w:val="34"/>
    <w:qFormat/>
    <w:rsid w:val="001915B2"/>
    <w:pPr>
      <w:ind w:left="720"/>
      <w:contextualSpacing/>
    </w:pPr>
  </w:style>
  <w:style w:type="character" w:styleId="CommentReference">
    <w:name w:val="annotation reference"/>
    <w:basedOn w:val="DefaultParagraphFont"/>
    <w:uiPriority w:val="99"/>
    <w:semiHidden/>
    <w:unhideWhenUsed/>
    <w:rsid w:val="00C51560"/>
    <w:rPr>
      <w:sz w:val="16"/>
    </w:rPr>
  </w:style>
  <w:style w:type="paragraph" w:styleId="CommentText">
    <w:name w:val="annotation text"/>
    <w:basedOn w:val="Normal"/>
    <w:link w:val="CommentTextChar"/>
    <w:uiPriority w:val="99"/>
    <w:unhideWhenUsed/>
    <w:rsid w:val="00C51560"/>
    <w:rPr>
      <w:sz w:val="20"/>
    </w:rPr>
  </w:style>
  <w:style w:type="character" w:customStyle="1" w:styleId="CommentTextChar">
    <w:name w:val="Comment Text Char"/>
    <w:basedOn w:val="DefaultParagraphFont"/>
    <w:link w:val="CommentText"/>
    <w:uiPriority w:val="99"/>
    <w:rsid w:val="00C51560"/>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C51560"/>
    <w:rPr>
      <w:b/>
    </w:rPr>
  </w:style>
  <w:style w:type="character" w:customStyle="1" w:styleId="CommentSubjectChar">
    <w:name w:val="Comment Subject Char"/>
    <w:basedOn w:val="CommentTextChar"/>
    <w:link w:val="CommentSubject"/>
    <w:uiPriority w:val="99"/>
    <w:semiHidden/>
    <w:rsid w:val="00C51560"/>
    <w:rPr>
      <w:rFonts w:ascii="Times New Roman" w:hAnsi="Times New Roman" w:cs="Times New Roman"/>
      <w:b/>
      <w:sz w:val="20"/>
    </w:rPr>
  </w:style>
  <w:style w:type="paragraph" w:styleId="Revision">
    <w:name w:val="Revision"/>
    <w:hidden/>
    <w:uiPriority w:val="99"/>
    <w:semiHidden/>
    <w:rsid w:val="00C51560"/>
    <w:pPr>
      <w:spacing w:after="0" w:line="240" w:lineRule="auto"/>
    </w:pPr>
    <w:rPr>
      <w:rFonts w:ascii="Times New Roman" w:hAnsi="Times New Roman" w:cs="Times New Roman"/>
      <w:sz w:val="24"/>
    </w:rPr>
  </w:style>
  <w:style w:type="paragraph" w:customStyle="1" w:styleId="paragraph">
    <w:name w:val="paragraph"/>
    <w:basedOn w:val="Normal"/>
    <w:rsid w:val="00925B15"/>
    <w:pPr>
      <w:spacing w:before="100" w:beforeAutospacing="1" w:after="100" w:afterAutospacing="1"/>
      <w:jc w:val="left"/>
    </w:pPr>
  </w:style>
  <w:style w:type="character" w:customStyle="1" w:styleId="normaltextrun">
    <w:name w:val="normaltextrun"/>
    <w:basedOn w:val="DefaultParagraphFont"/>
    <w:rsid w:val="00925B15"/>
  </w:style>
  <w:style w:type="character" w:customStyle="1" w:styleId="eop">
    <w:name w:val="eop"/>
    <w:basedOn w:val="DefaultParagraphFont"/>
    <w:rsid w:val="00925B15"/>
  </w:style>
  <w:style w:type="character" w:customStyle="1" w:styleId="superscript">
    <w:name w:val="superscript"/>
    <w:basedOn w:val="DefaultParagraphFont"/>
    <w:rsid w:val="00925B15"/>
  </w:style>
  <w:style w:type="paragraph" w:styleId="BalloonText">
    <w:name w:val="Balloon Text"/>
    <w:basedOn w:val="Normal"/>
    <w:link w:val="BalloonTextChar"/>
    <w:uiPriority w:val="99"/>
    <w:semiHidden/>
    <w:unhideWhenUsed/>
    <w:rsid w:val="002C241D"/>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C241D"/>
    <w:rPr>
      <w:rFonts w:ascii="Segoe UI" w:hAnsi="Segoe UI" w:cs="Segoe UI"/>
      <w:sz w:val="18"/>
    </w:rPr>
  </w:style>
  <w:style w:type="paragraph" w:customStyle="1" w:styleId="Default">
    <w:name w:val="Default"/>
    <w:rsid w:val="00D57185"/>
    <w:pPr>
      <w:autoSpaceDE w:val="0"/>
      <w:autoSpaceDN w:val="0"/>
      <w:adjustRightInd w:val="0"/>
      <w:spacing w:after="0" w:line="240" w:lineRule="auto"/>
    </w:pPr>
    <w:rPr>
      <w:rFonts w:ascii="EUAlbertina" w:hAnsi="EUAlbertina" w:cs="EUAlbertina"/>
      <w:sz w:val="24"/>
    </w:rPr>
  </w:style>
  <w:style w:type="paragraph" w:customStyle="1" w:styleId="CM1">
    <w:name w:val="CM1"/>
    <w:basedOn w:val="Default"/>
    <w:next w:val="Default"/>
    <w:uiPriority w:val="99"/>
    <w:rsid w:val="00D57185"/>
    <w:rPr>
      <w:rFonts w:cstheme="minorBidi"/>
    </w:rPr>
  </w:style>
  <w:style w:type="paragraph" w:customStyle="1" w:styleId="CM3">
    <w:name w:val="CM3"/>
    <w:basedOn w:val="Default"/>
    <w:next w:val="Default"/>
    <w:uiPriority w:val="99"/>
    <w:rsid w:val="00D57185"/>
    <w:rPr>
      <w:rFonts w:cstheme="minorBidi"/>
    </w:rPr>
  </w:style>
  <w:style w:type="character" w:customStyle="1" w:styleId="UnresolvedMention1">
    <w:name w:val="Unresolved Mention1"/>
    <w:basedOn w:val="DefaultParagraphFont"/>
    <w:uiPriority w:val="99"/>
    <w:unhideWhenUsed/>
    <w:rsid w:val="00061E82"/>
    <w:rPr>
      <w:color w:val="605E5C"/>
      <w:shd w:val="clear" w:color="auto" w:fill="E1DFDD"/>
    </w:rPr>
  </w:style>
  <w:style w:type="character" w:styleId="FollowedHyperlink">
    <w:name w:val="FollowedHyperlink"/>
    <w:basedOn w:val="DefaultParagraphFont"/>
    <w:uiPriority w:val="99"/>
    <w:semiHidden/>
    <w:unhideWhenUsed/>
    <w:rsid w:val="00064461"/>
    <w:rPr>
      <w:color w:val="800080" w:themeColor="followedHyperlink"/>
      <w:u w:val="single"/>
    </w:rPr>
  </w:style>
  <w:style w:type="character" w:customStyle="1" w:styleId="Mention1">
    <w:name w:val="Mention1"/>
    <w:basedOn w:val="DefaultParagraphFont"/>
    <w:uiPriority w:val="99"/>
    <w:unhideWhenUsed/>
    <w:rsid w:val="001A52DF"/>
    <w:rPr>
      <w:color w:val="2B579A"/>
      <w:shd w:val="clear" w:color="auto" w:fill="E1DFDD"/>
    </w:rPr>
  </w:style>
  <w:style w:type="paragraph" w:styleId="Header">
    <w:name w:val="header"/>
    <w:basedOn w:val="Normal"/>
    <w:link w:val="HeaderChar"/>
    <w:uiPriority w:val="99"/>
    <w:unhideWhenUsed/>
    <w:rsid w:val="00C65C35"/>
    <w:pPr>
      <w:tabs>
        <w:tab w:val="center" w:pos="4535"/>
        <w:tab w:val="right" w:pos="9071"/>
      </w:tabs>
      <w:spacing w:before="0"/>
    </w:pPr>
  </w:style>
  <w:style w:type="character" w:customStyle="1" w:styleId="HeaderChar">
    <w:name w:val="Header Char"/>
    <w:basedOn w:val="DefaultParagraphFont"/>
    <w:link w:val="Header"/>
    <w:uiPriority w:val="99"/>
    <w:rsid w:val="00C65C35"/>
    <w:rPr>
      <w:rFonts w:ascii="Times New Roman" w:hAnsi="Times New Roman" w:cs="Times New Roman"/>
      <w:sz w:val="24"/>
      <w:lang w:val="sv-SE"/>
    </w:rPr>
  </w:style>
  <w:style w:type="paragraph" w:styleId="Footer">
    <w:name w:val="footer"/>
    <w:basedOn w:val="Normal"/>
    <w:link w:val="FooterChar"/>
    <w:uiPriority w:val="99"/>
    <w:unhideWhenUsed/>
    <w:rsid w:val="00C65C3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65C35"/>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65C35"/>
    <w:pPr>
      <w:tabs>
        <w:tab w:val="center" w:pos="7285"/>
        <w:tab w:val="right" w:pos="14003"/>
      </w:tabs>
      <w:spacing w:before="0"/>
    </w:pPr>
  </w:style>
  <w:style w:type="paragraph" w:customStyle="1" w:styleId="FooterLandscape">
    <w:name w:val="FooterLandscape"/>
    <w:basedOn w:val="Normal"/>
    <w:rsid w:val="00C65C3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65C3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65C35"/>
    <w:pPr>
      <w:spacing w:before="0"/>
      <w:jc w:val="right"/>
    </w:pPr>
    <w:rPr>
      <w:sz w:val="28"/>
    </w:rPr>
  </w:style>
  <w:style w:type="paragraph" w:customStyle="1" w:styleId="FooterSensitivity">
    <w:name w:val="Footer Sensitivity"/>
    <w:basedOn w:val="Normal"/>
    <w:rsid w:val="00C65C3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615">
      <w:bodyDiv w:val="1"/>
      <w:marLeft w:val="0"/>
      <w:marRight w:val="0"/>
      <w:marTop w:val="0"/>
      <w:marBottom w:val="0"/>
      <w:divBdr>
        <w:top w:val="none" w:sz="0" w:space="0" w:color="auto"/>
        <w:left w:val="none" w:sz="0" w:space="0" w:color="auto"/>
        <w:bottom w:val="none" w:sz="0" w:space="0" w:color="auto"/>
        <w:right w:val="none" w:sz="0" w:space="0" w:color="auto"/>
      </w:divBdr>
    </w:div>
    <w:div w:id="45378532">
      <w:bodyDiv w:val="1"/>
      <w:marLeft w:val="0"/>
      <w:marRight w:val="0"/>
      <w:marTop w:val="0"/>
      <w:marBottom w:val="0"/>
      <w:divBdr>
        <w:top w:val="none" w:sz="0" w:space="0" w:color="auto"/>
        <w:left w:val="none" w:sz="0" w:space="0" w:color="auto"/>
        <w:bottom w:val="none" w:sz="0" w:space="0" w:color="auto"/>
        <w:right w:val="none" w:sz="0" w:space="0" w:color="auto"/>
      </w:divBdr>
    </w:div>
    <w:div w:id="88428351">
      <w:bodyDiv w:val="1"/>
      <w:marLeft w:val="0"/>
      <w:marRight w:val="0"/>
      <w:marTop w:val="0"/>
      <w:marBottom w:val="0"/>
      <w:divBdr>
        <w:top w:val="none" w:sz="0" w:space="0" w:color="auto"/>
        <w:left w:val="none" w:sz="0" w:space="0" w:color="auto"/>
        <w:bottom w:val="none" w:sz="0" w:space="0" w:color="auto"/>
        <w:right w:val="none" w:sz="0" w:space="0" w:color="auto"/>
      </w:divBdr>
    </w:div>
    <w:div w:id="105932954">
      <w:bodyDiv w:val="1"/>
      <w:marLeft w:val="0"/>
      <w:marRight w:val="0"/>
      <w:marTop w:val="0"/>
      <w:marBottom w:val="0"/>
      <w:divBdr>
        <w:top w:val="none" w:sz="0" w:space="0" w:color="auto"/>
        <w:left w:val="none" w:sz="0" w:space="0" w:color="auto"/>
        <w:bottom w:val="none" w:sz="0" w:space="0" w:color="auto"/>
        <w:right w:val="none" w:sz="0" w:space="0" w:color="auto"/>
      </w:divBdr>
    </w:div>
    <w:div w:id="209540824">
      <w:bodyDiv w:val="1"/>
      <w:marLeft w:val="0"/>
      <w:marRight w:val="0"/>
      <w:marTop w:val="0"/>
      <w:marBottom w:val="0"/>
      <w:divBdr>
        <w:top w:val="none" w:sz="0" w:space="0" w:color="auto"/>
        <w:left w:val="none" w:sz="0" w:space="0" w:color="auto"/>
        <w:bottom w:val="none" w:sz="0" w:space="0" w:color="auto"/>
        <w:right w:val="none" w:sz="0" w:space="0" w:color="auto"/>
      </w:divBdr>
    </w:div>
    <w:div w:id="302925948">
      <w:bodyDiv w:val="1"/>
      <w:marLeft w:val="0"/>
      <w:marRight w:val="0"/>
      <w:marTop w:val="0"/>
      <w:marBottom w:val="0"/>
      <w:divBdr>
        <w:top w:val="none" w:sz="0" w:space="0" w:color="auto"/>
        <w:left w:val="none" w:sz="0" w:space="0" w:color="auto"/>
        <w:bottom w:val="none" w:sz="0" w:space="0" w:color="auto"/>
        <w:right w:val="none" w:sz="0" w:space="0" w:color="auto"/>
      </w:divBdr>
    </w:div>
    <w:div w:id="320161854">
      <w:bodyDiv w:val="1"/>
      <w:marLeft w:val="0"/>
      <w:marRight w:val="0"/>
      <w:marTop w:val="0"/>
      <w:marBottom w:val="0"/>
      <w:divBdr>
        <w:top w:val="none" w:sz="0" w:space="0" w:color="auto"/>
        <w:left w:val="none" w:sz="0" w:space="0" w:color="auto"/>
        <w:bottom w:val="none" w:sz="0" w:space="0" w:color="auto"/>
        <w:right w:val="none" w:sz="0" w:space="0" w:color="auto"/>
      </w:divBdr>
    </w:div>
    <w:div w:id="322779881">
      <w:bodyDiv w:val="1"/>
      <w:marLeft w:val="0"/>
      <w:marRight w:val="0"/>
      <w:marTop w:val="0"/>
      <w:marBottom w:val="0"/>
      <w:divBdr>
        <w:top w:val="none" w:sz="0" w:space="0" w:color="auto"/>
        <w:left w:val="none" w:sz="0" w:space="0" w:color="auto"/>
        <w:bottom w:val="none" w:sz="0" w:space="0" w:color="auto"/>
        <w:right w:val="none" w:sz="0" w:space="0" w:color="auto"/>
      </w:divBdr>
    </w:div>
    <w:div w:id="336159420">
      <w:bodyDiv w:val="1"/>
      <w:marLeft w:val="0"/>
      <w:marRight w:val="0"/>
      <w:marTop w:val="0"/>
      <w:marBottom w:val="0"/>
      <w:divBdr>
        <w:top w:val="none" w:sz="0" w:space="0" w:color="auto"/>
        <w:left w:val="none" w:sz="0" w:space="0" w:color="auto"/>
        <w:bottom w:val="none" w:sz="0" w:space="0" w:color="auto"/>
        <w:right w:val="none" w:sz="0" w:space="0" w:color="auto"/>
      </w:divBdr>
    </w:div>
    <w:div w:id="359547930">
      <w:bodyDiv w:val="1"/>
      <w:marLeft w:val="0"/>
      <w:marRight w:val="0"/>
      <w:marTop w:val="0"/>
      <w:marBottom w:val="0"/>
      <w:divBdr>
        <w:top w:val="none" w:sz="0" w:space="0" w:color="auto"/>
        <w:left w:val="none" w:sz="0" w:space="0" w:color="auto"/>
        <w:bottom w:val="none" w:sz="0" w:space="0" w:color="auto"/>
        <w:right w:val="none" w:sz="0" w:space="0" w:color="auto"/>
      </w:divBdr>
    </w:div>
    <w:div w:id="480124590">
      <w:bodyDiv w:val="1"/>
      <w:marLeft w:val="0"/>
      <w:marRight w:val="0"/>
      <w:marTop w:val="0"/>
      <w:marBottom w:val="0"/>
      <w:divBdr>
        <w:top w:val="none" w:sz="0" w:space="0" w:color="auto"/>
        <w:left w:val="none" w:sz="0" w:space="0" w:color="auto"/>
        <w:bottom w:val="none" w:sz="0" w:space="0" w:color="auto"/>
        <w:right w:val="none" w:sz="0" w:space="0" w:color="auto"/>
      </w:divBdr>
    </w:div>
    <w:div w:id="544760690">
      <w:bodyDiv w:val="1"/>
      <w:marLeft w:val="0"/>
      <w:marRight w:val="0"/>
      <w:marTop w:val="0"/>
      <w:marBottom w:val="0"/>
      <w:divBdr>
        <w:top w:val="none" w:sz="0" w:space="0" w:color="auto"/>
        <w:left w:val="none" w:sz="0" w:space="0" w:color="auto"/>
        <w:bottom w:val="none" w:sz="0" w:space="0" w:color="auto"/>
        <w:right w:val="none" w:sz="0" w:space="0" w:color="auto"/>
      </w:divBdr>
    </w:div>
    <w:div w:id="589696861">
      <w:bodyDiv w:val="1"/>
      <w:marLeft w:val="0"/>
      <w:marRight w:val="0"/>
      <w:marTop w:val="0"/>
      <w:marBottom w:val="0"/>
      <w:divBdr>
        <w:top w:val="none" w:sz="0" w:space="0" w:color="auto"/>
        <w:left w:val="none" w:sz="0" w:space="0" w:color="auto"/>
        <w:bottom w:val="none" w:sz="0" w:space="0" w:color="auto"/>
        <w:right w:val="none" w:sz="0" w:space="0" w:color="auto"/>
      </w:divBdr>
    </w:div>
    <w:div w:id="597061617">
      <w:bodyDiv w:val="1"/>
      <w:marLeft w:val="0"/>
      <w:marRight w:val="0"/>
      <w:marTop w:val="0"/>
      <w:marBottom w:val="0"/>
      <w:divBdr>
        <w:top w:val="none" w:sz="0" w:space="0" w:color="auto"/>
        <w:left w:val="none" w:sz="0" w:space="0" w:color="auto"/>
        <w:bottom w:val="none" w:sz="0" w:space="0" w:color="auto"/>
        <w:right w:val="none" w:sz="0" w:space="0" w:color="auto"/>
      </w:divBdr>
    </w:div>
    <w:div w:id="662244224">
      <w:bodyDiv w:val="1"/>
      <w:marLeft w:val="0"/>
      <w:marRight w:val="0"/>
      <w:marTop w:val="0"/>
      <w:marBottom w:val="0"/>
      <w:divBdr>
        <w:top w:val="none" w:sz="0" w:space="0" w:color="auto"/>
        <w:left w:val="none" w:sz="0" w:space="0" w:color="auto"/>
        <w:bottom w:val="none" w:sz="0" w:space="0" w:color="auto"/>
        <w:right w:val="none" w:sz="0" w:space="0" w:color="auto"/>
      </w:divBdr>
    </w:div>
    <w:div w:id="775633991">
      <w:bodyDiv w:val="1"/>
      <w:marLeft w:val="0"/>
      <w:marRight w:val="0"/>
      <w:marTop w:val="0"/>
      <w:marBottom w:val="0"/>
      <w:divBdr>
        <w:top w:val="none" w:sz="0" w:space="0" w:color="auto"/>
        <w:left w:val="none" w:sz="0" w:space="0" w:color="auto"/>
        <w:bottom w:val="none" w:sz="0" w:space="0" w:color="auto"/>
        <w:right w:val="none" w:sz="0" w:space="0" w:color="auto"/>
      </w:divBdr>
    </w:div>
    <w:div w:id="805391992">
      <w:bodyDiv w:val="1"/>
      <w:marLeft w:val="0"/>
      <w:marRight w:val="0"/>
      <w:marTop w:val="0"/>
      <w:marBottom w:val="0"/>
      <w:divBdr>
        <w:top w:val="none" w:sz="0" w:space="0" w:color="auto"/>
        <w:left w:val="none" w:sz="0" w:space="0" w:color="auto"/>
        <w:bottom w:val="none" w:sz="0" w:space="0" w:color="auto"/>
        <w:right w:val="none" w:sz="0" w:space="0" w:color="auto"/>
      </w:divBdr>
    </w:div>
    <w:div w:id="822042320">
      <w:bodyDiv w:val="1"/>
      <w:marLeft w:val="0"/>
      <w:marRight w:val="0"/>
      <w:marTop w:val="0"/>
      <w:marBottom w:val="0"/>
      <w:divBdr>
        <w:top w:val="none" w:sz="0" w:space="0" w:color="auto"/>
        <w:left w:val="none" w:sz="0" w:space="0" w:color="auto"/>
        <w:bottom w:val="none" w:sz="0" w:space="0" w:color="auto"/>
        <w:right w:val="none" w:sz="0" w:space="0" w:color="auto"/>
      </w:divBdr>
    </w:div>
    <w:div w:id="858541709">
      <w:bodyDiv w:val="1"/>
      <w:marLeft w:val="0"/>
      <w:marRight w:val="0"/>
      <w:marTop w:val="0"/>
      <w:marBottom w:val="0"/>
      <w:divBdr>
        <w:top w:val="none" w:sz="0" w:space="0" w:color="auto"/>
        <w:left w:val="none" w:sz="0" w:space="0" w:color="auto"/>
        <w:bottom w:val="none" w:sz="0" w:space="0" w:color="auto"/>
        <w:right w:val="none" w:sz="0" w:space="0" w:color="auto"/>
      </w:divBdr>
    </w:div>
    <w:div w:id="889531732">
      <w:bodyDiv w:val="1"/>
      <w:marLeft w:val="0"/>
      <w:marRight w:val="0"/>
      <w:marTop w:val="0"/>
      <w:marBottom w:val="0"/>
      <w:divBdr>
        <w:top w:val="none" w:sz="0" w:space="0" w:color="auto"/>
        <w:left w:val="none" w:sz="0" w:space="0" w:color="auto"/>
        <w:bottom w:val="none" w:sz="0" w:space="0" w:color="auto"/>
        <w:right w:val="none" w:sz="0" w:space="0" w:color="auto"/>
      </w:divBdr>
    </w:div>
    <w:div w:id="1038628823">
      <w:bodyDiv w:val="1"/>
      <w:marLeft w:val="0"/>
      <w:marRight w:val="0"/>
      <w:marTop w:val="0"/>
      <w:marBottom w:val="0"/>
      <w:divBdr>
        <w:top w:val="none" w:sz="0" w:space="0" w:color="auto"/>
        <w:left w:val="none" w:sz="0" w:space="0" w:color="auto"/>
        <w:bottom w:val="none" w:sz="0" w:space="0" w:color="auto"/>
        <w:right w:val="none" w:sz="0" w:space="0" w:color="auto"/>
      </w:divBdr>
    </w:div>
    <w:div w:id="1204907560">
      <w:bodyDiv w:val="1"/>
      <w:marLeft w:val="0"/>
      <w:marRight w:val="0"/>
      <w:marTop w:val="0"/>
      <w:marBottom w:val="0"/>
      <w:divBdr>
        <w:top w:val="none" w:sz="0" w:space="0" w:color="auto"/>
        <w:left w:val="none" w:sz="0" w:space="0" w:color="auto"/>
        <w:bottom w:val="none" w:sz="0" w:space="0" w:color="auto"/>
        <w:right w:val="none" w:sz="0" w:space="0" w:color="auto"/>
      </w:divBdr>
    </w:div>
    <w:div w:id="1391002795">
      <w:bodyDiv w:val="1"/>
      <w:marLeft w:val="0"/>
      <w:marRight w:val="0"/>
      <w:marTop w:val="0"/>
      <w:marBottom w:val="0"/>
      <w:divBdr>
        <w:top w:val="none" w:sz="0" w:space="0" w:color="auto"/>
        <w:left w:val="none" w:sz="0" w:space="0" w:color="auto"/>
        <w:bottom w:val="none" w:sz="0" w:space="0" w:color="auto"/>
        <w:right w:val="none" w:sz="0" w:space="0" w:color="auto"/>
      </w:divBdr>
    </w:div>
    <w:div w:id="1406100247">
      <w:bodyDiv w:val="1"/>
      <w:marLeft w:val="0"/>
      <w:marRight w:val="0"/>
      <w:marTop w:val="0"/>
      <w:marBottom w:val="0"/>
      <w:divBdr>
        <w:top w:val="none" w:sz="0" w:space="0" w:color="auto"/>
        <w:left w:val="none" w:sz="0" w:space="0" w:color="auto"/>
        <w:bottom w:val="none" w:sz="0" w:space="0" w:color="auto"/>
        <w:right w:val="none" w:sz="0" w:space="0" w:color="auto"/>
      </w:divBdr>
    </w:div>
    <w:div w:id="1503929826">
      <w:bodyDiv w:val="1"/>
      <w:marLeft w:val="0"/>
      <w:marRight w:val="0"/>
      <w:marTop w:val="0"/>
      <w:marBottom w:val="0"/>
      <w:divBdr>
        <w:top w:val="none" w:sz="0" w:space="0" w:color="auto"/>
        <w:left w:val="none" w:sz="0" w:space="0" w:color="auto"/>
        <w:bottom w:val="none" w:sz="0" w:space="0" w:color="auto"/>
        <w:right w:val="none" w:sz="0" w:space="0" w:color="auto"/>
      </w:divBdr>
    </w:div>
    <w:div w:id="1505852226">
      <w:bodyDiv w:val="1"/>
      <w:marLeft w:val="0"/>
      <w:marRight w:val="0"/>
      <w:marTop w:val="0"/>
      <w:marBottom w:val="0"/>
      <w:divBdr>
        <w:top w:val="none" w:sz="0" w:space="0" w:color="auto"/>
        <w:left w:val="none" w:sz="0" w:space="0" w:color="auto"/>
        <w:bottom w:val="none" w:sz="0" w:space="0" w:color="auto"/>
        <w:right w:val="none" w:sz="0" w:space="0" w:color="auto"/>
      </w:divBdr>
    </w:div>
    <w:div w:id="1558542546">
      <w:bodyDiv w:val="1"/>
      <w:marLeft w:val="0"/>
      <w:marRight w:val="0"/>
      <w:marTop w:val="0"/>
      <w:marBottom w:val="0"/>
      <w:divBdr>
        <w:top w:val="none" w:sz="0" w:space="0" w:color="auto"/>
        <w:left w:val="none" w:sz="0" w:space="0" w:color="auto"/>
        <w:bottom w:val="none" w:sz="0" w:space="0" w:color="auto"/>
        <w:right w:val="none" w:sz="0" w:space="0" w:color="auto"/>
      </w:divBdr>
    </w:div>
    <w:div w:id="1580795696">
      <w:bodyDiv w:val="1"/>
      <w:marLeft w:val="0"/>
      <w:marRight w:val="0"/>
      <w:marTop w:val="0"/>
      <w:marBottom w:val="0"/>
      <w:divBdr>
        <w:top w:val="none" w:sz="0" w:space="0" w:color="auto"/>
        <w:left w:val="none" w:sz="0" w:space="0" w:color="auto"/>
        <w:bottom w:val="none" w:sz="0" w:space="0" w:color="auto"/>
        <w:right w:val="none" w:sz="0" w:space="0" w:color="auto"/>
      </w:divBdr>
    </w:div>
    <w:div w:id="1630167494">
      <w:bodyDiv w:val="1"/>
      <w:marLeft w:val="0"/>
      <w:marRight w:val="0"/>
      <w:marTop w:val="0"/>
      <w:marBottom w:val="0"/>
      <w:divBdr>
        <w:top w:val="none" w:sz="0" w:space="0" w:color="auto"/>
        <w:left w:val="none" w:sz="0" w:space="0" w:color="auto"/>
        <w:bottom w:val="none" w:sz="0" w:space="0" w:color="auto"/>
        <w:right w:val="none" w:sz="0" w:space="0" w:color="auto"/>
      </w:divBdr>
    </w:div>
    <w:div w:id="1651905796">
      <w:bodyDiv w:val="1"/>
      <w:marLeft w:val="0"/>
      <w:marRight w:val="0"/>
      <w:marTop w:val="0"/>
      <w:marBottom w:val="0"/>
      <w:divBdr>
        <w:top w:val="none" w:sz="0" w:space="0" w:color="auto"/>
        <w:left w:val="none" w:sz="0" w:space="0" w:color="auto"/>
        <w:bottom w:val="none" w:sz="0" w:space="0" w:color="auto"/>
        <w:right w:val="none" w:sz="0" w:space="0" w:color="auto"/>
      </w:divBdr>
    </w:div>
    <w:div w:id="1721780014">
      <w:bodyDiv w:val="1"/>
      <w:marLeft w:val="0"/>
      <w:marRight w:val="0"/>
      <w:marTop w:val="0"/>
      <w:marBottom w:val="0"/>
      <w:divBdr>
        <w:top w:val="none" w:sz="0" w:space="0" w:color="auto"/>
        <w:left w:val="none" w:sz="0" w:space="0" w:color="auto"/>
        <w:bottom w:val="none" w:sz="0" w:space="0" w:color="auto"/>
        <w:right w:val="none" w:sz="0" w:space="0" w:color="auto"/>
      </w:divBdr>
    </w:div>
    <w:div w:id="1768384485">
      <w:bodyDiv w:val="1"/>
      <w:marLeft w:val="0"/>
      <w:marRight w:val="0"/>
      <w:marTop w:val="0"/>
      <w:marBottom w:val="0"/>
      <w:divBdr>
        <w:top w:val="none" w:sz="0" w:space="0" w:color="auto"/>
        <w:left w:val="none" w:sz="0" w:space="0" w:color="auto"/>
        <w:bottom w:val="none" w:sz="0" w:space="0" w:color="auto"/>
        <w:right w:val="none" w:sz="0" w:space="0" w:color="auto"/>
      </w:divBdr>
    </w:div>
    <w:div w:id="2036493396">
      <w:bodyDiv w:val="1"/>
      <w:marLeft w:val="0"/>
      <w:marRight w:val="0"/>
      <w:marTop w:val="0"/>
      <w:marBottom w:val="0"/>
      <w:divBdr>
        <w:top w:val="none" w:sz="0" w:space="0" w:color="auto"/>
        <w:left w:val="none" w:sz="0" w:space="0" w:color="auto"/>
        <w:bottom w:val="none" w:sz="0" w:space="0" w:color="auto"/>
        <w:right w:val="none" w:sz="0" w:space="0" w:color="auto"/>
      </w:divBdr>
    </w:div>
    <w:div w:id="21306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parl.europa.eu/doceo/document/TA-9-2020-0266_SV.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onsilium.europa.eu/doc/document/ST-12898-2020-REV-1/sv/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info/business-economy-euro/growth-and-investment/capital-markets-union/capital-markets-union-2020-action-plan_e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2BF9-5AAC-49CB-B17F-A1308DD6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6117</Words>
  <Characters>41295</Characters>
  <Application>Microsoft Office Word</Application>
  <DocSecurity>0</DocSecurity>
  <Lines>655</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2023-06-21T12:10:00Z</dcterms:created>
  <dcterms:modified xsi:type="dcterms:W3CDTF">2023-07-02T22:08:00Z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2023-06-30T17:01:43Z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223446d7-5e6f-476b-b283-fecdbe3daa7e</vt:lpwstr>
  </property>
  <property fmtid="{D5CDD505-2E9C-101B-9397-08002B2CF9AE}" pid="11" name="MSIP_Label_6bd9ddd1-4d20-43f6-abfa-fc3c07406f94_ContentBits">
    <vt:lpwstr>0</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