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70032" w14:textId="1472153D" w:rsidR="004E5476" w:rsidRPr="00546DE5" w:rsidRDefault="00A71044" w:rsidP="00A71044">
      <w:pPr>
        <w:pStyle w:val="Pagedecouverture"/>
        <w:rPr>
          <w:noProof/>
        </w:rPr>
      </w:pPr>
      <w:r>
        <w:rPr>
          <w:noProof/>
        </w:rPr>
        <w:pict w14:anchorId="362BA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399DB6A2-E3BA-44D6-B677-7539C2FB0955" style="width:455.25pt;height:426pt">
            <v:imagedata r:id="rId11" o:title=""/>
          </v:shape>
        </w:pict>
      </w:r>
    </w:p>
    <w:p w14:paraId="440F60EB" w14:textId="77777777" w:rsidR="004E5476" w:rsidRPr="00546DE5" w:rsidRDefault="004E5476" w:rsidP="004E5476">
      <w:pPr>
        <w:rPr>
          <w:noProof/>
        </w:rPr>
        <w:sectPr w:rsidR="004E5476" w:rsidRPr="00546DE5" w:rsidSect="00A71044">
          <w:footerReference w:type="default" r:id="rId12"/>
          <w:pgSz w:w="11907" w:h="16839"/>
          <w:pgMar w:top="1134" w:right="1417" w:bottom="1134" w:left="1417" w:header="709" w:footer="709" w:gutter="0"/>
          <w:pgNumType w:start="0"/>
          <w:cols w:space="720"/>
          <w:docGrid w:linePitch="360"/>
        </w:sectPr>
      </w:pPr>
    </w:p>
    <w:p w14:paraId="1D0600A6" w14:textId="77777777" w:rsidR="004E5476" w:rsidRPr="00546DE5" w:rsidRDefault="004E5476" w:rsidP="0050536B">
      <w:pPr>
        <w:pStyle w:val="Exposdesmotifstitre"/>
        <w:rPr>
          <w:noProof/>
        </w:rPr>
      </w:pPr>
      <w:bookmarkStart w:id="0" w:name="_GoBack"/>
      <w:bookmarkEnd w:id="0"/>
      <w:r w:rsidRPr="00546DE5">
        <w:rPr>
          <w:noProof/>
        </w:rPr>
        <w:lastRenderedPageBreak/>
        <w:t>ОБЯСНИТЕЛЕН МЕМОРАНДУМ</w:t>
      </w:r>
    </w:p>
    <w:p w14:paraId="0A539BA7" w14:textId="77777777" w:rsidR="004E5476" w:rsidRPr="00546DE5" w:rsidRDefault="004E5476" w:rsidP="0050536B">
      <w:pPr>
        <w:pStyle w:val="ManualHeading1"/>
        <w:rPr>
          <w:noProof/>
        </w:rPr>
      </w:pPr>
      <w:r w:rsidRPr="00546DE5">
        <w:rPr>
          <w:noProof/>
        </w:rPr>
        <w:t>1.</w:t>
      </w:r>
      <w:r w:rsidRPr="00546DE5">
        <w:rPr>
          <w:noProof/>
        </w:rPr>
        <w:tab/>
        <w:t>КОНТЕКСТ НА ПРЕДЛОЖЕНИЕТО</w:t>
      </w:r>
    </w:p>
    <w:p w14:paraId="448703C0" w14:textId="77777777" w:rsidR="004E5476" w:rsidRPr="00546DE5" w:rsidRDefault="004E5476" w:rsidP="0050536B">
      <w:pPr>
        <w:pStyle w:val="ManualHeading2"/>
        <w:rPr>
          <w:rFonts w:eastAsia="Arial Unicode MS"/>
          <w:noProof/>
        </w:rPr>
      </w:pPr>
      <w:r w:rsidRPr="00546DE5">
        <w:rPr>
          <w:noProof/>
          <w:color w:val="000000"/>
          <w:u w:color="000000"/>
          <w:bdr w:val="nil"/>
        </w:rPr>
        <w:t>•</w:t>
      </w:r>
      <w:r w:rsidRPr="00546DE5">
        <w:rPr>
          <w:noProof/>
        </w:rPr>
        <w:tab/>
        <w:t>Основания и цели на предложението</w:t>
      </w:r>
    </w:p>
    <w:p w14:paraId="0AA7AB6E" w14:textId="77777777" w:rsidR="00925B15" w:rsidRPr="00546DE5" w:rsidRDefault="00925B15" w:rsidP="003A5521">
      <w:pPr>
        <w:rPr>
          <w:rStyle w:val="eop"/>
          <w:noProof/>
        </w:rPr>
      </w:pPr>
      <w:r w:rsidRPr="00546DE5">
        <w:rPr>
          <w:rStyle w:val="normaltextrun"/>
          <w:noProof/>
        </w:rPr>
        <w:t>В съответствие с целта на Комисията за „икономика в интерес на хората“ и както е обявено в работната програма за 2023 г., Комисията се стреми да гарантира, че чрез правната уредба на инвестициите на дребно се овластяват в достатъчна степен потребителите, насърчават се по-добри и по-справедливи пазарни резултати и в крайна сметка се създават необходимите условия да се увеличи участието на инвеститорите на дребно на капиталовите пазари. </w:t>
      </w:r>
      <w:r w:rsidRPr="00546DE5">
        <w:rPr>
          <w:rStyle w:val="eop"/>
          <w:noProof/>
        </w:rPr>
        <w:t xml:space="preserve"> </w:t>
      </w:r>
    </w:p>
    <w:p w14:paraId="5D6843CC" w14:textId="77777777" w:rsidR="00925B15" w:rsidRPr="00546DE5" w:rsidRDefault="00925B15" w:rsidP="003A5521">
      <w:pPr>
        <w:rPr>
          <w:rStyle w:val="eop"/>
          <w:noProof/>
        </w:rPr>
      </w:pPr>
      <w:r w:rsidRPr="00546DE5">
        <w:rPr>
          <w:rStyle w:val="normaltextrun"/>
          <w:noProof/>
        </w:rPr>
        <w:t xml:space="preserve">В своя </w:t>
      </w:r>
      <w:hyperlink r:id="rId13" w:tgtFrame="_blank" w:history="1">
        <w:r w:rsidRPr="00546DE5">
          <w:rPr>
            <w:rStyle w:val="normaltextrun"/>
            <w:noProof/>
            <w:color w:val="0000FF"/>
            <w:u w:val="single"/>
          </w:rPr>
          <w:t>нов план за действие на Съюза за съюз на капит</w:t>
        </w:r>
        <w:bookmarkStart w:id="1" w:name="_Hlt134437563"/>
        <w:bookmarkStart w:id="2" w:name="_Hlt134437564"/>
        <w:r w:rsidRPr="00546DE5">
          <w:rPr>
            <w:rStyle w:val="normaltextrun"/>
            <w:noProof/>
            <w:color w:val="0000FF"/>
            <w:u w:val="single"/>
          </w:rPr>
          <w:t>а</w:t>
        </w:r>
        <w:bookmarkEnd w:id="1"/>
        <w:bookmarkEnd w:id="2"/>
        <w:r w:rsidRPr="00546DE5">
          <w:rPr>
            <w:rStyle w:val="normaltextrun"/>
            <w:noProof/>
            <w:color w:val="0000FF"/>
            <w:u w:val="single"/>
          </w:rPr>
          <w:t>ловите пазари</w:t>
        </w:r>
        <w:r w:rsidRPr="00546DE5">
          <w:rPr>
            <w:rStyle w:val="FootnoteReference"/>
            <w:noProof/>
            <w:color w:val="0000FF"/>
            <w:u w:val="single"/>
          </w:rPr>
          <w:footnoteReference w:id="2"/>
        </w:r>
      </w:hyperlink>
      <w:r w:rsidRPr="00546DE5">
        <w:rPr>
          <w:rStyle w:val="normaltextrun"/>
          <w:noProof/>
        </w:rPr>
        <w:t xml:space="preserve"> от септември 2020 г. Европейската комисия обяви намерението си да представи стратегия за инвестициите на дребно в Европа, чиято цел е да се позволи на всички инвеститори на дребно да се възползват в пълна степен от капиталовите пазари и да бъдат подкрепени с предписания, които са съгласувани в различните правни инструменти. </w:t>
      </w:r>
      <w:r w:rsidRPr="00546DE5">
        <w:rPr>
          <w:rStyle w:val="eop"/>
          <w:noProof/>
        </w:rPr>
        <w:t xml:space="preserve"> </w:t>
      </w:r>
    </w:p>
    <w:p w14:paraId="03FDC2BA" w14:textId="77777777" w:rsidR="00925B15" w:rsidRPr="00546DE5" w:rsidRDefault="00925B15" w:rsidP="003A5521">
      <w:pPr>
        <w:rPr>
          <w:noProof/>
        </w:rPr>
      </w:pPr>
      <w:r w:rsidRPr="00546DE5">
        <w:rPr>
          <w:rStyle w:val="eop"/>
          <w:noProof/>
        </w:rPr>
        <w:t xml:space="preserve">Основната цел на Съюза на капиталовите пазари (СКП) е да се гарантира, че потребителите могат да се възползват изцяло от инвестиционните възможности, предлагани от капиталовите пазари. Въпреки че участието на инвеститорите на дребно на капиталовите пазари варира в широки граници в различните държави членки, отразявайки различните исторически и социално-икономически условия, инвеститорите на дребно следва да могат да постигат по-добри инвестиционни резултати, отколкото в момента, когато участват на капиталовите пазари на ЕС.   </w:t>
      </w:r>
    </w:p>
    <w:p w14:paraId="39241657" w14:textId="77777777" w:rsidR="00925B15" w:rsidRPr="00546DE5" w:rsidRDefault="00925B15" w:rsidP="003A5521">
      <w:pPr>
        <w:rPr>
          <w:noProof/>
        </w:rPr>
      </w:pPr>
      <w:r w:rsidRPr="00546DE5">
        <w:rPr>
          <w:rStyle w:val="normaltextrun"/>
          <w:noProof/>
        </w:rPr>
        <w:t>Тази цел се споделя и от съзаконодателите:</w:t>
      </w:r>
      <w:r w:rsidRPr="00546DE5">
        <w:rPr>
          <w:rStyle w:val="eop"/>
          <w:noProof/>
        </w:rPr>
        <w:t xml:space="preserve"> </w:t>
      </w:r>
    </w:p>
    <w:p w14:paraId="3879C6FF" w14:textId="77777777" w:rsidR="00925B15" w:rsidRPr="00546DE5" w:rsidRDefault="00925B15" w:rsidP="003A5521">
      <w:pPr>
        <w:rPr>
          <w:rStyle w:val="normaltextrun"/>
          <w:noProof/>
        </w:rPr>
      </w:pPr>
      <w:r w:rsidRPr="00546DE5">
        <w:rPr>
          <w:rStyle w:val="normaltextrun"/>
          <w:noProof/>
        </w:rPr>
        <w:t xml:space="preserve">На 3 декември 2020 г., в </w:t>
      </w:r>
      <w:hyperlink r:id="rId14" w:tgtFrame="_blank" w:history="1">
        <w:r w:rsidRPr="00546DE5">
          <w:rPr>
            <w:rStyle w:val="normaltextrun"/>
            <w:noProof/>
            <w:color w:val="0000FF"/>
            <w:u w:val="single"/>
          </w:rPr>
          <w:t>Заключе</w:t>
        </w:r>
        <w:bookmarkStart w:id="3" w:name="_Hlt134434061"/>
        <w:bookmarkStart w:id="4" w:name="_Hlt134434062"/>
        <w:r w:rsidRPr="00546DE5">
          <w:rPr>
            <w:rStyle w:val="normaltextrun"/>
            <w:noProof/>
            <w:color w:val="0000FF"/>
            <w:u w:val="single"/>
          </w:rPr>
          <w:t>н</w:t>
        </w:r>
        <w:bookmarkEnd w:id="3"/>
        <w:bookmarkEnd w:id="4"/>
        <w:r w:rsidRPr="00546DE5">
          <w:rPr>
            <w:rStyle w:val="normaltextrun"/>
            <w:noProof/>
            <w:color w:val="0000FF"/>
            <w:u w:val="single"/>
          </w:rPr>
          <w:t>ието на Съвета относно Плана за действие на Комисията в областта на СКП</w:t>
        </w:r>
        <w:r w:rsidRPr="00546DE5">
          <w:rPr>
            <w:rStyle w:val="FootnoteReference"/>
            <w:noProof/>
          </w:rPr>
          <w:footnoteReference w:id="3"/>
        </w:r>
      </w:hyperlink>
      <w:r w:rsidRPr="00546DE5">
        <w:rPr>
          <w:rStyle w:val="normaltextrun"/>
          <w:noProof/>
        </w:rPr>
        <w:t>, Съветът призова Комисията да започне изпълнението на частите от плана за действие, които имат за цел стимулиране на инвестиционната дейност, по-специално от страна на инвеститорите на дребно в рамките на ЕС, като същевременно се гарантира високо равнище на защита на потребителите и инвеститорите. </w:t>
      </w:r>
      <w:r w:rsidRPr="00546DE5">
        <w:rPr>
          <w:rStyle w:val="eop"/>
          <w:noProof/>
        </w:rPr>
        <w:t xml:space="preserve"> </w:t>
      </w:r>
    </w:p>
    <w:p w14:paraId="32D3F1BD" w14:textId="77777777" w:rsidR="00925B15" w:rsidRPr="00546DE5" w:rsidRDefault="00925B15" w:rsidP="003A5521">
      <w:pPr>
        <w:rPr>
          <w:noProof/>
        </w:rPr>
      </w:pPr>
      <w:r w:rsidRPr="00546DE5">
        <w:rPr>
          <w:rStyle w:val="normaltextrun"/>
          <w:noProof/>
        </w:rPr>
        <w:t xml:space="preserve">На 8 октомври 2020 г. Европейският парламент прие </w:t>
      </w:r>
      <w:hyperlink r:id="rId15" w:tgtFrame="_blank" w:history="1">
        <w:r w:rsidRPr="00546DE5">
          <w:rPr>
            <w:rStyle w:val="Hyperlink"/>
            <w:noProof/>
          </w:rPr>
          <w:t>резо</w:t>
        </w:r>
        <w:bookmarkStart w:id="5" w:name="_Hlt134434194"/>
        <w:bookmarkStart w:id="6" w:name="_Hlt134434195"/>
        <w:r w:rsidRPr="00546DE5">
          <w:rPr>
            <w:rStyle w:val="Hyperlink"/>
            <w:noProof/>
          </w:rPr>
          <w:t>л</w:t>
        </w:r>
        <w:bookmarkEnd w:id="5"/>
        <w:bookmarkEnd w:id="6"/>
        <w:r w:rsidRPr="00546DE5">
          <w:rPr>
            <w:rStyle w:val="Hyperlink"/>
            <w:noProof/>
          </w:rPr>
          <w:t>юция относно допълнителното развитие на съюза на капиталовите п</w:t>
        </w:r>
        <w:bookmarkStart w:id="7" w:name="_Hlt134438426"/>
        <w:bookmarkStart w:id="8" w:name="_Hlt134438427"/>
        <w:r w:rsidRPr="00546DE5">
          <w:rPr>
            <w:rStyle w:val="Hyperlink"/>
            <w:noProof/>
          </w:rPr>
          <w:t>а</w:t>
        </w:r>
        <w:bookmarkStart w:id="9" w:name="_Hlt134438142"/>
        <w:bookmarkStart w:id="10" w:name="_Hlt134438143"/>
        <w:bookmarkEnd w:id="7"/>
        <w:bookmarkEnd w:id="8"/>
        <w:r w:rsidRPr="00546DE5">
          <w:rPr>
            <w:rStyle w:val="Hyperlink"/>
            <w:noProof/>
          </w:rPr>
          <w:t>з</w:t>
        </w:r>
        <w:bookmarkEnd w:id="9"/>
        <w:bookmarkEnd w:id="10"/>
        <w:r w:rsidRPr="00546DE5">
          <w:rPr>
            <w:rStyle w:val="Hyperlink"/>
            <w:noProof/>
          </w:rPr>
          <w:t>ари</w:t>
        </w:r>
        <w:r w:rsidRPr="00546DE5">
          <w:rPr>
            <w:rStyle w:val="FootnoteReference"/>
            <w:noProof/>
          </w:rPr>
          <w:footnoteReference w:id="4"/>
        </w:r>
      </w:hyperlink>
      <w:r w:rsidRPr="00546DE5">
        <w:rPr>
          <w:rStyle w:val="normaltextrun"/>
          <w:noProof/>
        </w:rPr>
        <w:t>, която до голяма степен подкрепя мерките за увеличаване на участието на инвеститорите на дребно на капиталовите пазари. В резолюцията се подчертава, че засиленото участие на инвеститорите на дребно зависи от промяната в инвестиционната култура и че такава промяна може да настъпи само когато инвеститорите на дребно се убедят, че инвестициите в капиталовите пазари са желателни и че рисковете от такива инвестиции са приемливи и ясно определени.</w:t>
      </w:r>
      <w:r w:rsidRPr="00546DE5">
        <w:rPr>
          <w:rStyle w:val="eop"/>
          <w:noProof/>
        </w:rPr>
        <w:t xml:space="preserve"> </w:t>
      </w:r>
    </w:p>
    <w:p w14:paraId="07EDB5FB" w14:textId="1A0A5DD5" w:rsidR="00925B15" w:rsidRPr="00546DE5" w:rsidRDefault="00925B15" w:rsidP="00925B15">
      <w:pPr>
        <w:spacing w:before="0" w:after="240"/>
        <w:rPr>
          <w:noProof/>
        </w:rPr>
      </w:pPr>
      <w:r w:rsidRPr="00546DE5">
        <w:rPr>
          <w:noProof/>
        </w:rPr>
        <w:t xml:space="preserve">С настоящото предложение се изменя Регламент (ЕС) № 1286/2014 на Европейския парламент и на Съвета от 26 ноември 2014 г. относно основните информационни документи за пакети с инвестиционни продукти на дребно и основаващи се на застраховане инвестиционни продукти (ПИПДОЗИП) Влизането в сила на Регламента за ПИПДОЗИП и на Делегиран регламент (ЕС) 2017/653 на Комисията на 1 януари 2018 г. спомогна за подобряване и стандартизиране на информацията, предоставяна на инвеститорите на дребно. Това улеснява инвеститорите да разберат основните характеристики на цялата гама от инвестиционни продукти и да сравняват различни продукти, включително продукти от различен тип (като основаващи се на застраховане инвестиционни продукти, инвестиционни фондове или структурирани депозити). От януари 2023 г. ПИПДОЗИП започнаха да се прилагат за инвестиционни фондове, попадащи в обхвата на Директива 2009/65/ЕО относно предприятията за колективно инвестиране в прехвърлими ценни книжа (ПКИПЦК) (директивата за ПКИПЦК), тъй като предишното освобождаване престана да се прилага. Това допълнително увеличи съгласуваността на оповестяванията за всички инвестиционни продукти на дребно. </w:t>
      </w:r>
    </w:p>
    <w:p w14:paraId="456B1B40" w14:textId="77777777" w:rsidR="00925B15" w:rsidRPr="00546DE5" w:rsidRDefault="305E4525" w:rsidP="21983C37">
      <w:pPr>
        <w:spacing w:before="0" w:after="240"/>
        <w:rPr>
          <w:noProof/>
        </w:rPr>
      </w:pPr>
      <w:r w:rsidRPr="00546DE5">
        <w:rPr>
          <w:noProof/>
        </w:rPr>
        <w:t xml:space="preserve">Настоящото предложение за целеви изменения на правната уредба на ПИПДОЗИП е включено в стратегията на ЕС за инвестициите на дребно в съответствие с действие 8 от Плана за действие за СКП от септември 2020 г. Що се отнася до оповестяването, стратегията на ЕС за инвестициите на дребно има за цел да подобри информацията за инвеститорите и тяхната способност да вземат добре информирани инвестиционни решения. За тази цел настоящото предложение има за цел да адаптира оповестяванията към цифровата среда и към променящите се потребности на инвеститорите на дребно, както и да предостави допълнителна яснота относно обхвата на ПИПДОЗИП по отношение на корпоративните облигации с клаузи „make-whole“ и незабавните анюитети. Настоящата инициатива не е част от Програмата за пригодност и резултатност на регулаторната рамка (REFIT). </w:t>
      </w:r>
    </w:p>
    <w:p w14:paraId="39014183" w14:textId="77777777" w:rsidR="004E5476" w:rsidRPr="00546DE5" w:rsidRDefault="004E5476" w:rsidP="0050536B">
      <w:pPr>
        <w:pStyle w:val="ManualHeading2"/>
        <w:rPr>
          <w:rFonts w:eastAsia="Arial Unicode MS"/>
          <w:noProof/>
          <w:color w:val="000000"/>
          <w:u w:color="000000"/>
          <w:bdr w:val="nil"/>
        </w:rPr>
      </w:pPr>
      <w:r w:rsidRPr="00546DE5">
        <w:rPr>
          <w:noProof/>
          <w:color w:val="000000"/>
          <w:u w:color="000000"/>
          <w:bdr w:val="nil"/>
        </w:rPr>
        <w:t>•</w:t>
      </w:r>
      <w:r w:rsidRPr="00546DE5">
        <w:rPr>
          <w:noProof/>
        </w:rPr>
        <w:tab/>
        <w:t>Съгласуваност с действащите разпоредби в тази област на политиката</w:t>
      </w:r>
    </w:p>
    <w:p w14:paraId="003B2193" w14:textId="77777777" w:rsidR="00925B15" w:rsidRPr="00546DE5" w:rsidRDefault="00925B15" w:rsidP="00925B15">
      <w:pPr>
        <w:spacing w:before="0" w:after="240"/>
        <w:rPr>
          <w:rFonts w:eastAsia="Arial Unicode MS"/>
          <w:noProof/>
          <w:szCs w:val="24"/>
        </w:rPr>
      </w:pPr>
      <w:r w:rsidRPr="00546DE5">
        <w:rPr>
          <w:noProof/>
        </w:rPr>
        <w:t xml:space="preserve">Настоящата инициатива доразвива и усъвършенства съществуващите правила, които уреждат предоставянето на основни информационни документи за ПИПДОЗИП (ОИД за ПИПДОЗИП) на инвеститорите на дребно от създателите и разпространителите на инвестиционни продукти. Тя включва целеви промени в тази уредба, като основните разпоредби остават непроменени. </w:t>
      </w:r>
    </w:p>
    <w:p w14:paraId="7783B5DA" w14:textId="1ABE82D5" w:rsidR="00A17E58" w:rsidRPr="00546DE5" w:rsidRDefault="00F807DF" w:rsidP="00B71073">
      <w:pPr>
        <w:spacing w:before="0" w:after="240"/>
        <w:rPr>
          <w:noProof/>
          <w:szCs w:val="24"/>
        </w:rPr>
      </w:pPr>
      <w:r w:rsidRPr="00546DE5">
        <w:rPr>
          <w:noProof/>
        </w:rPr>
        <w:t>Заедно с директивата „Омнибус“ (COM(2023) 279) настоящото предложение оформя пакет за засилване на защитата на инвеститорите на дребно, като двете предложения взаимно се подсилват. С директивата „Омнибус“ се правят изменения в директивите на ЕС, които регламентират: i) предоставянето на инвестиционни услуги (ДПФИ</w:t>
      </w:r>
      <w:r w:rsidRPr="00546DE5">
        <w:rPr>
          <w:rStyle w:val="FootnoteReference"/>
          <w:noProof/>
          <w:szCs w:val="24"/>
        </w:rPr>
        <w:footnoteReference w:id="5"/>
      </w:r>
      <w:r w:rsidRPr="00546DE5">
        <w:rPr>
          <w:noProof/>
        </w:rPr>
        <w:t>); ii) предоставянето на услуги за разпространението на застрахователни или презастрахователни услуги на трети страни (Директивата за разпространение на застрахователни продукти (ДРЗП)</w:t>
      </w:r>
      <w:r w:rsidRPr="00546DE5">
        <w:rPr>
          <w:rStyle w:val="FootnoteReference"/>
          <w:noProof/>
          <w:szCs w:val="24"/>
        </w:rPr>
        <w:footnoteReference w:id="6"/>
      </w:r>
      <w:r w:rsidRPr="00546DE5">
        <w:rPr>
          <w:noProof/>
        </w:rPr>
        <w:t>); iii) започването и упражняването на застрахователна дейност в рамките на ЕС (Платежоспособност II</w:t>
      </w:r>
      <w:r w:rsidRPr="00546DE5">
        <w:rPr>
          <w:rStyle w:val="FootnoteReference"/>
          <w:noProof/>
          <w:szCs w:val="24"/>
        </w:rPr>
        <w:footnoteReference w:id="7"/>
      </w:r>
      <w:r w:rsidRPr="00546DE5">
        <w:rPr>
          <w:noProof/>
        </w:rPr>
        <w:t>); iv)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w:t>
      </w:r>
      <w:r w:rsidRPr="00546DE5">
        <w:rPr>
          <w:rStyle w:val="FootnoteReference"/>
          <w:noProof/>
          <w:szCs w:val="24"/>
        </w:rPr>
        <w:footnoteReference w:id="8"/>
      </w:r>
      <w:r w:rsidRPr="00546DE5">
        <w:rPr>
          <w:noProof/>
        </w:rPr>
        <w:t>); и v) лицата, управляващи алтернативни инвестиционни фондове (ЛУАИФ</w:t>
      </w:r>
      <w:r w:rsidRPr="00546DE5">
        <w:rPr>
          <w:rStyle w:val="FootnoteReference"/>
          <w:noProof/>
          <w:szCs w:val="24"/>
        </w:rPr>
        <w:footnoteReference w:id="9"/>
      </w:r>
      <w:r w:rsidRPr="00546DE5">
        <w:rPr>
          <w:noProof/>
        </w:rPr>
        <w:t xml:space="preserve">). </w:t>
      </w:r>
    </w:p>
    <w:p w14:paraId="12E467E8" w14:textId="77777777" w:rsidR="00BB38AD" w:rsidRPr="00546DE5" w:rsidRDefault="06DBFD7F" w:rsidP="00B71073">
      <w:pPr>
        <w:spacing w:before="0" w:after="240"/>
        <w:rPr>
          <w:noProof/>
        </w:rPr>
      </w:pPr>
      <w:r w:rsidRPr="00546DE5">
        <w:rPr>
          <w:noProof/>
        </w:rPr>
        <w:t xml:space="preserve">Що се отнася до оповестяването на информация за инвеститорите на дребно, директивата „Омнибус“ ще подобри по-специално съгласуваността на оповестяването на информация в различните правни инструменти и ще насърчи по-голяма прозрачност за инвеститорите на дребно по време на целия им инвестиционен път и жизнения цикъл на инвестициите, включително по отношение на разходите. Целевите изменения на уредбите на ДПФИ II и ДРЗП ще гарантират, че разходите за инвестиционни продукти се представят в стандартизиран и лесен за разбиране формат преди извършването на всяка трансакция. Тези мерки също така ще засилят задълженията на инвестиционните посредници да предоставят на клиентите годишна справка, като ги информират ex-post за действително платените разходи, но също и за резултатите на техния портфейл. </w:t>
      </w:r>
    </w:p>
    <w:p w14:paraId="5F72ECF2" w14:textId="77777777" w:rsidR="00C2040E" w:rsidRPr="00546DE5" w:rsidRDefault="00925B15" w:rsidP="00B71073">
      <w:pPr>
        <w:spacing w:before="0" w:after="240"/>
        <w:rPr>
          <w:noProof/>
          <w:szCs w:val="24"/>
        </w:rPr>
      </w:pPr>
      <w:r w:rsidRPr="00546DE5">
        <w:rPr>
          <w:noProof/>
        </w:rPr>
        <w:t>Мерките за оповестяване на информация за продуктите, предложени в настоящия регламент, допълват и други мерки в директивата „Омнибус“, с които се преодоляват недостатъци в различни части от инвестиционния път на инвеститорите на дребно:</w:t>
      </w:r>
    </w:p>
    <w:p w14:paraId="56F8EC8F" w14:textId="77777777" w:rsidR="00C2040E" w:rsidRPr="00546DE5" w:rsidRDefault="00755463" w:rsidP="00755463">
      <w:pPr>
        <w:pStyle w:val="Point0"/>
        <w:rPr>
          <w:noProof/>
        </w:rPr>
      </w:pPr>
      <w:r w:rsidRPr="00546DE5">
        <w:rPr>
          <w:rFonts w:ascii="Wingdings" w:hAnsi="Wingdings"/>
          <w:noProof/>
        </w:rPr>
        <w:t></w:t>
      </w:r>
      <w:r w:rsidRPr="00546DE5">
        <w:rPr>
          <w:noProof/>
        </w:rPr>
        <w:tab/>
        <w:t>нови правила, насочени към защита на инвеститорите на дребно от подвеждащи маркетингови съобщения и практики, които подчертават ползите, но омаловажават потенциалните рискове;</w:t>
      </w:r>
    </w:p>
    <w:p w14:paraId="26981254" w14:textId="77777777" w:rsidR="00C335E2" w:rsidRPr="00546DE5" w:rsidRDefault="00755463" w:rsidP="00755463">
      <w:pPr>
        <w:pStyle w:val="Point0"/>
        <w:rPr>
          <w:noProof/>
        </w:rPr>
      </w:pPr>
      <w:r w:rsidRPr="00546DE5">
        <w:rPr>
          <w:rFonts w:ascii="Wingdings" w:hAnsi="Wingdings"/>
          <w:noProof/>
        </w:rPr>
        <w:t></w:t>
      </w:r>
      <w:r w:rsidRPr="00546DE5">
        <w:rPr>
          <w:noProof/>
        </w:rPr>
        <w:tab/>
        <w:t xml:space="preserve">правила за забрана на стимулите в случаите, когато става въпрос само за изпълнение, и за справяне с предубежденията в процеса на предоставяне на съвети чрез укрепване на принципа за най-добрия интерес и въвеждане на нови критерии за „действие в най-добрия интерес на клиента“, както и за подобряване на прозрачността; </w:t>
      </w:r>
    </w:p>
    <w:p w14:paraId="3303D4F7" w14:textId="77777777" w:rsidR="00C2040E" w:rsidRPr="00546DE5" w:rsidRDefault="00755463" w:rsidP="00755463">
      <w:pPr>
        <w:pStyle w:val="Point0"/>
        <w:rPr>
          <w:noProof/>
        </w:rPr>
      </w:pPr>
      <w:r w:rsidRPr="00546DE5">
        <w:rPr>
          <w:rFonts w:ascii="Wingdings" w:hAnsi="Wingdings"/>
          <w:noProof/>
        </w:rPr>
        <w:t></w:t>
      </w:r>
      <w:r w:rsidRPr="00546DE5">
        <w:rPr>
          <w:noProof/>
        </w:rPr>
        <w:tab/>
        <w:t>мерки за изменение на правилата за надзор и управление на продуктите, с цел да се гарантира, че не се начисляват неоправдани разходи и че продуктите осигуряват на инвеститорите на дребно оптимално съотношение качество/цена;</w:t>
      </w:r>
    </w:p>
    <w:p w14:paraId="350DE744" w14:textId="77777777" w:rsidR="005633BC" w:rsidRPr="00546DE5" w:rsidRDefault="00755463" w:rsidP="00755463">
      <w:pPr>
        <w:pStyle w:val="Point0"/>
        <w:rPr>
          <w:noProof/>
        </w:rPr>
      </w:pPr>
      <w:r w:rsidRPr="00546DE5">
        <w:rPr>
          <w:rFonts w:ascii="Wingdings" w:hAnsi="Wingdings"/>
          <w:noProof/>
        </w:rPr>
        <w:t></w:t>
      </w:r>
      <w:r w:rsidRPr="00546DE5">
        <w:rPr>
          <w:noProof/>
        </w:rPr>
        <w:tab/>
        <w:t xml:space="preserve">и допълнителни мерки за финансова грамотност, категоризация на инвеститорите, усъвършенствани оценки за пригодност и целесъобразност, мерки за повишаване на професионалната квалификация на финансовите консултанти и мерки за засилване на надзорното правоприлагане. </w:t>
      </w:r>
    </w:p>
    <w:p w14:paraId="716DE5E1" w14:textId="77777777" w:rsidR="00925B15" w:rsidRPr="00546DE5" w:rsidRDefault="00925B15" w:rsidP="00B71073">
      <w:pPr>
        <w:spacing w:before="0" w:after="240"/>
        <w:rPr>
          <w:noProof/>
          <w:szCs w:val="24"/>
        </w:rPr>
      </w:pPr>
      <w:r w:rsidRPr="00546DE5">
        <w:rPr>
          <w:noProof/>
        </w:rPr>
        <w:t xml:space="preserve"> Поради това мерките, включени в стратегията за инвестициите на дребно, са в съответствие с целевите промени в основните информационни документи (ОИД) за пакети с инвестиционни продукти на дребно и основаващи се на застраховане инвестиционни продукти (ПИПДОЗИП). </w:t>
      </w:r>
    </w:p>
    <w:p w14:paraId="2018E233" w14:textId="758F0511" w:rsidR="00925B15" w:rsidRPr="00546DE5" w:rsidRDefault="00925B15" w:rsidP="00925B15">
      <w:pPr>
        <w:spacing w:before="0" w:after="240"/>
        <w:rPr>
          <w:rFonts w:eastAsia="Arial Unicode MS"/>
          <w:noProof/>
        </w:rPr>
      </w:pPr>
      <w:r w:rsidRPr="00546DE5">
        <w:rPr>
          <w:noProof/>
        </w:rPr>
        <w:t xml:space="preserve">Настоящото предложение е в съответствие със съществуващите политики на ЕС за финансиране за устойчиво развитие. Въвеждането на нов специален раздел в основния информационен документ за ПИПДОЗИП, посветен на устойчивостта, допълва уредбата за оповестяване на информация за финансирането за устойчиво развитие. Той се основава на данните, които вече се оповестяват съгласно Регламента относно оповестяването на информация за финансирането за устойчиво развитие (Регламент (ЕС) 2019/2088 — РОИФУР) и Регламента за таксономията (Регламент (ЕС) 2020/852), за да се избегнат дублиране и ненужни разходи за финансовия сектор. Уредбата за ПИПДОЗИП ще бъде съобразена с потенциалните бъдещи промени в РОИФУР и таксономията на ЕС. За да се позволи това, с настоящото предложение се оставя на европейските надзорни органи (ЕНО) разработването на спецификациите за изчисляване и представянето на избраните показатели за регулаторни технически стандарти. Това е важно, тъй като службите на Комисията започнаха цялостна оценка на изпълнението на РОИФУР. </w:t>
      </w:r>
    </w:p>
    <w:p w14:paraId="75AA82EF" w14:textId="77777777" w:rsidR="00925B15" w:rsidRPr="00546DE5" w:rsidRDefault="00925B15" w:rsidP="00925B15">
      <w:pPr>
        <w:spacing w:before="0" w:after="240"/>
        <w:rPr>
          <w:rFonts w:eastAsia="Arial Unicode MS"/>
          <w:noProof/>
        </w:rPr>
      </w:pPr>
      <w:r w:rsidRPr="00546DE5">
        <w:rPr>
          <w:noProof/>
        </w:rPr>
        <w:t>Предложените целеви промени се смятат за съгласувани и допълващи се с включването на ОИД за ПИПДОЗИП в обхвата на Регламента за европейската единна точка за достъп (ЕЕТД). В очакване на резултата от преговорите по предложението на Комисията</w:t>
      </w:r>
      <w:r w:rsidRPr="00546DE5">
        <w:rPr>
          <w:rStyle w:val="FootnoteReference"/>
          <w:noProof/>
        </w:rPr>
        <w:footnoteReference w:id="10"/>
      </w:r>
      <w:r w:rsidRPr="00546DE5">
        <w:rPr>
          <w:noProof/>
        </w:rPr>
        <w:t xml:space="preserve">, чрез ЕЕТД съдържанието на ОИД за ПИПДОЗИП ще стане достъпно на единна платформа и ще се изисква от края на 2027 г. те да се предоставят във формат, позволяващ извличане на данни. В зависимост от мерките за изпълнение, приети чрез актове за изпълнение, тази информация може да стане машинно четима. Макар че ЕЕТД ще подобри достъпа до и цифровото използване на информацията, съдържаща се в ОИД за ПИПДОЗИП, поради изискването тя да се подава в ЕЕТД във формат, позволяващ извличане на данни, предложените сега целеви промени биха направили тази информация по-удобна за четене. Очаква се ЕЕТД да бъде от полза за инвеститорите на дребно главно чрез увеличаване на достъпа до онлайн инструменти за сравняване на много различни инвестиционни продукти (като се улесни разработването на такива инструменти от трети страни). Инвеститорите на дребно и техните консултанти обаче ще трябва да се запознаят със съдържанието на ОИД, независимо дали на хартиен носител, или в електронен формат, особено когато оценяват характеристиките на конкретен инвестиционен продукт. Ето защо, успоредно с предоставянето на тази информация в ЕЕТД, е целесъобразно документът да бъде направен по-удобен за ползване. Промените, въведени с настоящия регламент, имат за цел също така да се постигне по-голяма съгласуваност на цифровото представяне на основната информация за инвестиционните продукти по примера на подобен документ, въведен с Регламент (ЕС) 2019/1238 относно паневропейския персонален пенсионен продукт (ПЕПП). </w:t>
      </w:r>
    </w:p>
    <w:p w14:paraId="296E04CF" w14:textId="77777777" w:rsidR="00925B15" w:rsidRPr="00546DE5" w:rsidRDefault="004E5476" w:rsidP="003A5521">
      <w:pPr>
        <w:pStyle w:val="ManualHeading2"/>
        <w:rPr>
          <w:rFonts w:eastAsia="Arial Unicode MS"/>
          <w:noProof/>
        </w:rPr>
      </w:pPr>
      <w:r w:rsidRPr="00546DE5">
        <w:rPr>
          <w:noProof/>
          <w:color w:val="000000"/>
          <w:u w:color="000000"/>
          <w:bdr w:val="nil"/>
        </w:rPr>
        <w:t>•</w:t>
      </w:r>
      <w:r w:rsidRPr="00546DE5">
        <w:rPr>
          <w:noProof/>
        </w:rPr>
        <w:tab/>
        <w:t>Съгласуваност с други политики на Съюза</w:t>
      </w:r>
    </w:p>
    <w:p w14:paraId="7CBB47F2" w14:textId="77777777" w:rsidR="00355F5A" w:rsidRPr="00546DE5" w:rsidRDefault="00355F5A" w:rsidP="00355F5A">
      <w:pPr>
        <w:pBdr>
          <w:top w:val="nil"/>
          <w:left w:val="nil"/>
          <w:bottom w:val="nil"/>
          <w:right w:val="nil"/>
          <w:between w:val="nil"/>
          <w:bar w:val="nil"/>
        </w:pBdr>
        <w:spacing w:before="0" w:after="240"/>
        <w:rPr>
          <w:rFonts w:eastAsia="Arial Unicode MS"/>
          <w:noProof/>
        </w:rPr>
      </w:pPr>
      <w:r w:rsidRPr="00546DE5">
        <w:rPr>
          <w:noProof/>
        </w:rPr>
        <w:t xml:space="preserve">Настоящото предложение е в съответствие с по-широките стратегии и приоритети на ЕС, включително Европейския зелен пакт, стратегията на ЕС в областта на цифровите технологии и съюза на капиталовите пазари. То допринася да се постигнат целите на съюза на капиталовите пазари, като повишава съгласуваността на информацията, достъпна за инвеститорите на дребно. Като се прави по-видима съответната информация за устойчивостта, ще се помогне на инвеститорите на дребно да намерят инвестиционни продукти, отговарящи на техните предпочитания за устойчивост. Това от своя страна ще допринесе за интегрирането на устойчивото развитие във финансовия сектор и по този начин ще спомогне за постигането на целите на Европейския зелен пакт. Освен това настоящото предложение е в съответствие с приоритета на Комисията Европа да се подготви за цифровата ера. </w:t>
      </w:r>
    </w:p>
    <w:p w14:paraId="37C40B72" w14:textId="77777777" w:rsidR="004E5476" w:rsidRPr="00546DE5" w:rsidRDefault="004E5476" w:rsidP="0050536B">
      <w:pPr>
        <w:pStyle w:val="ManualHeading1"/>
        <w:rPr>
          <w:noProof/>
        </w:rPr>
      </w:pPr>
      <w:r w:rsidRPr="00546DE5">
        <w:rPr>
          <w:noProof/>
        </w:rPr>
        <w:t>2.</w:t>
      </w:r>
      <w:r w:rsidRPr="00546DE5">
        <w:rPr>
          <w:noProof/>
        </w:rPr>
        <w:tab/>
        <w:t>ПРАВНО ОСНОВАНИЕ, СУБСИДИАРНОСТ И ПРОПОРЦИОНАЛНОСТ</w:t>
      </w:r>
    </w:p>
    <w:p w14:paraId="76F7EA0E" w14:textId="77777777" w:rsidR="004E5476" w:rsidRPr="00546DE5" w:rsidRDefault="004E5476" w:rsidP="0050536B">
      <w:pPr>
        <w:pStyle w:val="ManualHeading2"/>
        <w:rPr>
          <w:rFonts w:eastAsia="Arial Unicode MS"/>
          <w:noProof/>
          <w:u w:color="000000"/>
          <w:bdr w:val="nil"/>
        </w:rPr>
      </w:pPr>
      <w:r w:rsidRPr="00546DE5">
        <w:rPr>
          <w:noProof/>
          <w:color w:val="000000"/>
          <w:u w:color="000000"/>
          <w:bdr w:val="nil"/>
        </w:rPr>
        <w:t>•</w:t>
      </w:r>
      <w:r w:rsidRPr="00546DE5">
        <w:rPr>
          <w:noProof/>
        </w:rPr>
        <w:tab/>
      </w:r>
      <w:r w:rsidRPr="00546DE5">
        <w:rPr>
          <w:noProof/>
          <w:u w:color="000000"/>
          <w:bdr w:val="nil"/>
        </w:rPr>
        <w:t>Правно основание</w:t>
      </w:r>
    </w:p>
    <w:p w14:paraId="1FDB0C88" w14:textId="77777777" w:rsidR="00925B15" w:rsidRPr="00546DE5" w:rsidRDefault="00925B15" w:rsidP="00925B15">
      <w:pPr>
        <w:autoSpaceDE w:val="0"/>
        <w:autoSpaceDN w:val="0"/>
        <w:spacing w:after="0"/>
        <w:rPr>
          <w:noProof/>
          <w:szCs w:val="24"/>
        </w:rPr>
      </w:pPr>
      <w:r w:rsidRPr="00546DE5">
        <w:rPr>
          <w:noProof/>
        </w:rPr>
        <w:t xml:space="preserve">Правното основание за Регламента за ПИПДОЗИП е член 114 от ДФЕС, тъй като с него се установяват общи правила за основните информационни документи за пакетите с инвестиционни продукти на дребно и основаващи се на застраховане инвестиционни продукти. С настоящата инициатива се предлагат допълнителни мерки на политиките с оглед постигането на тези цели, поради което съответното законодателно предложение ще бъде прието на същото правно основание. </w:t>
      </w:r>
    </w:p>
    <w:p w14:paraId="317C712F" w14:textId="77777777" w:rsidR="004E5476" w:rsidRPr="00546DE5" w:rsidRDefault="004E5476" w:rsidP="0050536B">
      <w:pPr>
        <w:pStyle w:val="ManualHeading2"/>
        <w:rPr>
          <w:rFonts w:eastAsia="Arial Unicode MS"/>
          <w:noProof/>
          <w:u w:color="000000"/>
          <w:bdr w:val="nil"/>
        </w:rPr>
      </w:pPr>
      <w:r w:rsidRPr="00546DE5">
        <w:rPr>
          <w:noProof/>
          <w:color w:val="000000"/>
          <w:u w:color="000000"/>
          <w:bdr w:val="nil"/>
        </w:rPr>
        <w:t>•</w:t>
      </w:r>
      <w:r w:rsidRPr="00546DE5">
        <w:rPr>
          <w:noProof/>
        </w:rPr>
        <w:tab/>
      </w:r>
      <w:r w:rsidRPr="00546DE5">
        <w:rPr>
          <w:noProof/>
          <w:u w:color="000000"/>
          <w:bdr w:val="nil"/>
        </w:rPr>
        <w:t xml:space="preserve">Субсидиарност (при неизключителна компетентност) </w:t>
      </w:r>
    </w:p>
    <w:p w14:paraId="0E0EDF42" w14:textId="77777777" w:rsidR="00925B15" w:rsidRPr="00546DE5" w:rsidRDefault="00925B15" w:rsidP="00925B15">
      <w:pPr>
        <w:spacing w:before="0" w:after="240"/>
        <w:rPr>
          <w:rFonts w:eastAsia="Arial Unicode MS"/>
          <w:noProof/>
        </w:rPr>
      </w:pPr>
      <w:r w:rsidRPr="00546DE5">
        <w:rPr>
          <w:noProof/>
        </w:rPr>
        <w:t xml:space="preserve">Настоящото предложение е съобразено с принципа на субсидиарност, установен в член 5 от Договора за Европейския съюз (ДЕС). Съгласно този принцип действия на равнището на Съюза следва да се предприемат само ако поставените цели не могат да бъдат постигнати индивидуално от държавите членки. За да се избегнат пречките пред разпространението на инвестиционни фондове в целия ЕС, информацията за продуктите трябва да бъде хармонизирана, за да може да се сравняват продукти, произхождащи от различни пазари. Еднообразието и правната сигурност могат да бъдат по-добре осигурени чрез действия на равнището на ЕС. Това се отнася както за съществуващия Регламент за ПИПДОЗИП, така и за предложените тук изменения. </w:t>
      </w:r>
    </w:p>
    <w:p w14:paraId="6B97AFE1" w14:textId="77777777" w:rsidR="004E5476" w:rsidRPr="00546DE5" w:rsidRDefault="004E5476" w:rsidP="0050536B">
      <w:pPr>
        <w:pStyle w:val="ManualHeading2"/>
        <w:rPr>
          <w:rFonts w:eastAsia="Arial Unicode MS"/>
          <w:noProof/>
          <w:u w:color="000000"/>
          <w:bdr w:val="nil"/>
        </w:rPr>
      </w:pPr>
      <w:r w:rsidRPr="00546DE5">
        <w:rPr>
          <w:noProof/>
          <w:color w:val="000000"/>
          <w:u w:color="000000"/>
          <w:bdr w:val="nil"/>
        </w:rPr>
        <w:t>•</w:t>
      </w:r>
      <w:r w:rsidRPr="00546DE5">
        <w:rPr>
          <w:noProof/>
        </w:rPr>
        <w:tab/>
      </w:r>
      <w:r w:rsidRPr="00546DE5">
        <w:rPr>
          <w:noProof/>
          <w:u w:color="000000"/>
          <w:bdr w:val="nil"/>
        </w:rPr>
        <w:t>Пропорционалност</w:t>
      </w:r>
    </w:p>
    <w:p w14:paraId="354340D4" w14:textId="77777777" w:rsidR="00925B15" w:rsidRPr="00546DE5" w:rsidRDefault="00925B15" w:rsidP="00925B15">
      <w:pPr>
        <w:spacing w:before="0" w:after="240"/>
        <w:rPr>
          <w:noProof/>
        </w:rPr>
      </w:pPr>
      <w:r w:rsidRPr="00546DE5">
        <w:rPr>
          <w:noProof/>
        </w:rPr>
        <w:t xml:space="preserve">Настоящото предложение е съобразено с принципа на пропорционалност, установен в член 5 от ДЕС. Предложените мерки са необходими за постигане на целите за прозрачност на инвестиционните продукти за инвеститорите на дребно, особено по отношение на техните характеристики за устойчивост, и за улесняване на достъпа до свързаните с тях оповестявания чрез цифрови средства, без да се въвеждат ненужни административни тежести. Други части от настоящото предложение са необходими, за да се осигурят достатъчна правна яснота и прозрачност по отношение на разходите по някои продукти в приложното поле на Регламента за ПИПДОЗИП. Пропорционалността на мерките беше оценена в раздел 3 от доклада за оценка на въздействието, придружаващ стратегията за инвестициите на дребно, със заключението, че те са пропорционални. </w:t>
      </w:r>
    </w:p>
    <w:p w14:paraId="701AC2AE" w14:textId="77777777" w:rsidR="004E5476" w:rsidRPr="00546DE5" w:rsidRDefault="004E5476" w:rsidP="0050536B">
      <w:pPr>
        <w:pStyle w:val="ManualHeading2"/>
        <w:rPr>
          <w:rFonts w:eastAsia="Arial Unicode MS"/>
          <w:noProof/>
          <w:u w:color="000000"/>
          <w:bdr w:val="nil"/>
        </w:rPr>
      </w:pPr>
      <w:r w:rsidRPr="00546DE5">
        <w:rPr>
          <w:noProof/>
          <w:color w:val="000000"/>
          <w:u w:color="000000"/>
          <w:bdr w:val="nil"/>
        </w:rPr>
        <w:t>•</w:t>
      </w:r>
      <w:r w:rsidRPr="00546DE5">
        <w:rPr>
          <w:noProof/>
        </w:rPr>
        <w:tab/>
      </w:r>
      <w:r w:rsidRPr="00546DE5">
        <w:rPr>
          <w:noProof/>
          <w:u w:color="000000"/>
          <w:bdr w:val="nil"/>
        </w:rPr>
        <w:t>Избор на инструмент</w:t>
      </w:r>
    </w:p>
    <w:p w14:paraId="4DAB79DB" w14:textId="77777777" w:rsidR="00925B15" w:rsidRPr="00546DE5" w:rsidRDefault="000C04B4" w:rsidP="00925B15">
      <w:pPr>
        <w:spacing w:before="0" w:after="240"/>
        <w:rPr>
          <w:noProof/>
        </w:rPr>
      </w:pPr>
      <w:r w:rsidRPr="00546DE5">
        <w:rPr>
          <w:noProof/>
        </w:rPr>
        <w:t xml:space="preserve">Тъй като съществуващият правен инструмент е регламент, за неговото изменение е необходим регламент. Регламентът продължава да бъде най-подходящият правен инструмент, като се има предвид необходимостта да се осигури последователност и съгласуваност на информацията, достъпна за инвеститорите на дребно на равнището на ЕС. </w:t>
      </w:r>
    </w:p>
    <w:p w14:paraId="466EAF15" w14:textId="77777777" w:rsidR="004E5476" w:rsidRPr="00546DE5" w:rsidRDefault="004E5476" w:rsidP="0050536B">
      <w:pPr>
        <w:pStyle w:val="ManualHeading1"/>
        <w:rPr>
          <w:noProof/>
        </w:rPr>
      </w:pPr>
      <w:r w:rsidRPr="00546DE5">
        <w:rPr>
          <w:noProof/>
        </w:rPr>
        <w:t>3.</w:t>
      </w:r>
      <w:r w:rsidRPr="00546DE5">
        <w:rPr>
          <w:noProof/>
        </w:rPr>
        <w:tab/>
        <w:t>РЕЗУЛТАТИ ОТ ПОСЛЕДВАЩИТЕ ОЦЕНКИ, КОНСУЛТАЦИИТЕ СЪС ЗАИНТЕРЕСОВАНИТЕ СТРАНИ И ОЦЕНКИТЕ НА ВЪЗДЕЙСТВИЕТО</w:t>
      </w:r>
    </w:p>
    <w:p w14:paraId="1F3FA162" w14:textId="77777777" w:rsidR="004E5476" w:rsidRPr="00546DE5" w:rsidRDefault="004E5476" w:rsidP="0050536B">
      <w:pPr>
        <w:pStyle w:val="ManualHeading2"/>
        <w:rPr>
          <w:rFonts w:eastAsia="Arial Unicode MS"/>
          <w:noProof/>
          <w:u w:color="000000"/>
          <w:bdr w:val="nil"/>
        </w:rPr>
      </w:pPr>
      <w:r w:rsidRPr="00546DE5">
        <w:rPr>
          <w:noProof/>
          <w:color w:val="000000"/>
          <w:u w:color="000000"/>
          <w:bdr w:val="nil"/>
        </w:rPr>
        <w:t>•</w:t>
      </w:r>
      <w:r w:rsidRPr="00546DE5">
        <w:rPr>
          <w:noProof/>
        </w:rPr>
        <w:tab/>
      </w:r>
      <w:r w:rsidRPr="00546DE5">
        <w:rPr>
          <w:noProof/>
          <w:u w:color="000000"/>
          <w:bdr w:val="nil"/>
        </w:rPr>
        <w:t>Последващи оценки/проверки за пригодност на действащото законодателство</w:t>
      </w:r>
    </w:p>
    <w:p w14:paraId="671EDD87" w14:textId="77777777" w:rsidR="00220047" w:rsidRPr="00546DE5" w:rsidRDefault="00220047" w:rsidP="00220047">
      <w:pPr>
        <w:spacing w:before="0" w:after="240"/>
        <w:rPr>
          <w:noProof/>
        </w:rPr>
      </w:pPr>
      <w:r w:rsidRPr="00546DE5">
        <w:rPr>
          <w:noProof/>
        </w:rPr>
        <w:t xml:space="preserve">Приложението към придружаващата оценка на въздействието съдържа оценка на аспектите на правната уредба, конкретно свързани със защитата на инвеститорите на дребно, включително уредбата за ПИПДОЗИП. </w:t>
      </w:r>
    </w:p>
    <w:p w14:paraId="26257556" w14:textId="77777777" w:rsidR="00220047" w:rsidRPr="00546DE5" w:rsidRDefault="00220047" w:rsidP="00220047">
      <w:pPr>
        <w:spacing w:before="0" w:after="240"/>
        <w:rPr>
          <w:rFonts w:eastAsia="Arial Unicode MS"/>
          <w:noProof/>
        </w:rPr>
      </w:pPr>
      <w:r w:rsidRPr="00546DE5">
        <w:rPr>
          <w:noProof/>
        </w:rPr>
        <w:t>В оценката се стига до заключението, че цялостната уредба за оповестяване на информация, включително ПИПДОЗИП, е била като цяло ефективна, особено по отношение на предоставянето на информация за инвеститорите на дребно, която е сравнима и полезна за вземането на решения. Въпреки това бяха установени някои недостатъци по отношение на четимостта и удобството за потребителите при представянето на информационните документи. Информацията за разходите също невинаги е ясна. Ефикасността (ефективността на разходите) на съществуващите изисквания за оповестяване е висока, като целта за повишаване на защитата на инвеститорите на дребно като цяло е постигната при ограничени разходи. С настоящото предложение се осигурява по-голяма правна яснота относно обхвата на ПИПДОЗИП, като се преодоляват предизвикателствата, посочени в оценката (т.е. дали корпоративните облигации с клаузи „make-whole“ и незабавните анюитети са включени в обхвата на ПИПДОЗИП). Изискванията относно формата, четимостта, яснотата, краткостта, езиковата употреба и изчерпателния обхват се смятат за съгласувани между различните законодателни актове. Някои конкретни въпроси са разгледани в предложената директива „Омнибус“, с която се цели постигане на по-добро съответствие на правилата на ДПФИ и ДРЗП с ПИПДОЗИП. Уместността на информацията, предоставяна на инвеститорите на дребно в основните информационни документи за ПИПДОЗИП, може да бъде подобрена, по-специално предвид необходимостта да се постави по-голям акцент върху цифровата среда и устойчивостта.</w:t>
      </w:r>
    </w:p>
    <w:p w14:paraId="0613304C" w14:textId="77777777" w:rsidR="004E5476" w:rsidRPr="00546DE5" w:rsidRDefault="004E5476" w:rsidP="0050536B">
      <w:pPr>
        <w:pStyle w:val="ManualHeading2"/>
        <w:rPr>
          <w:rFonts w:eastAsia="Arial Unicode MS"/>
          <w:noProof/>
          <w:u w:color="000000"/>
          <w:bdr w:val="nil"/>
        </w:rPr>
      </w:pPr>
      <w:r w:rsidRPr="00546DE5">
        <w:rPr>
          <w:noProof/>
          <w:color w:val="000000"/>
          <w:u w:color="000000"/>
          <w:bdr w:val="nil"/>
        </w:rPr>
        <w:t>•</w:t>
      </w:r>
      <w:r w:rsidRPr="00546DE5">
        <w:rPr>
          <w:noProof/>
        </w:rPr>
        <w:tab/>
      </w:r>
      <w:r w:rsidRPr="00546DE5">
        <w:rPr>
          <w:noProof/>
          <w:u w:color="000000"/>
          <w:bdr w:val="nil"/>
        </w:rPr>
        <w:t>Консултации със заинтересованите страни</w:t>
      </w:r>
    </w:p>
    <w:p w14:paraId="29309519" w14:textId="77777777" w:rsidR="00220047" w:rsidRPr="00546DE5" w:rsidRDefault="00DA350D" w:rsidP="00220047">
      <w:pPr>
        <w:spacing w:after="240"/>
        <w:rPr>
          <w:noProof/>
        </w:rPr>
      </w:pPr>
      <w:r w:rsidRPr="00546DE5">
        <w:rPr>
          <w:noProof/>
        </w:rPr>
        <w:t xml:space="preserve">С цел да подпомогне изготвянето на настоящото предложение, Комисията събра обратна информация чрез обществена консултация, която се проведе между 11 май 2021 г. и 3 август 2021 г. В рамките на консултацията бяха потърсени мненията на широк кръг от заинтересовани страни относно различни аспекти на инвестициите на дребно, включително относно функционирането и възможните подобрения на ОИД за ПИПДОЗИП. Общо 186 респонденти отговориха на тази консултация. </w:t>
      </w:r>
    </w:p>
    <w:p w14:paraId="47D4B07B" w14:textId="77777777" w:rsidR="00220047" w:rsidRPr="00546DE5" w:rsidRDefault="00220047" w:rsidP="00220047">
      <w:pPr>
        <w:spacing w:before="0" w:after="240"/>
        <w:rPr>
          <w:rFonts w:eastAsia="Arial Unicode MS"/>
          <w:noProof/>
          <w:szCs w:val="24"/>
        </w:rPr>
      </w:pPr>
      <w:r w:rsidRPr="00546DE5">
        <w:rPr>
          <w:noProof/>
        </w:rPr>
        <w:t>Мнозинството от респондентите се съгласиха, че оповестяването на преддоговорна информация следва да позволява, доколкото е възможно, ясно сравнение между различните инвестиционни продукти. Мненията бяха разделени по въпроса дали ОИД за ПИПДОЗИП е подобрил нивото на разбиране на инвеститорите на дребно за инвестиционните продукти на дребно и способността им да сравняват различни инвестиционни продукти на дребно, както в рамките на един вид продукти, така и между различни видове продукти.</w:t>
      </w:r>
    </w:p>
    <w:p w14:paraId="458334B4" w14:textId="77777777" w:rsidR="00220047" w:rsidRPr="00546DE5" w:rsidRDefault="00220047" w:rsidP="00220047">
      <w:pPr>
        <w:spacing w:before="0" w:after="240"/>
        <w:rPr>
          <w:rFonts w:eastAsia="Arial Unicode MS"/>
          <w:noProof/>
          <w:szCs w:val="24"/>
        </w:rPr>
      </w:pPr>
      <w:r w:rsidRPr="00546DE5">
        <w:rPr>
          <w:noProof/>
        </w:rPr>
        <w:t xml:space="preserve">Почти половината от респондентите смятат, че обемът на информацията, предоставена в ОИД за ПИПДОЗИП, е достатъчен, а други посочват, че тя е или твърде много, или твърде малко. Мненията се различават в зависимост от вида на информацията и заинтересованите страни, но информацията, свързана с устойчивостта, се откроява като област, в която е желателно да се предоставя повече информация. Що се отнася до обема на ОИД за ПИПДОЗИП, като цяло бе подкрепена сегашната максимална дължина от три страници, с известни различия между групите заинтересовани страни. Налице е общо съгласие, че ОИД за ПИПДОЗИП е донякъде претоварен с информация и повечето респонденти подкрепят опростяването му. Голямо мнозинство беше против по-честото актуализиране на ОИД за ПИПДОЗИП. И накрая, почти половината от респондентите смятат, че инвеститорите на дребно могат лесно да намерят и да получат достъп до ОИД за ПИПДОЗИП. </w:t>
      </w:r>
    </w:p>
    <w:p w14:paraId="5589A4F2" w14:textId="77777777" w:rsidR="004E5476" w:rsidRPr="00546DE5" w:rsidRDefault="004E5476" w:rsidP="0050536B">
      <w:pPr>
        <w:pStyle w:val="ManualHeading2"/>
        <w:rPr>
          <w:rFonts w:eastAsia="Arial Unicode MS"/>
          <w:noProof/>
          <w:u w:color="000000"/>
          <w:bdr w:val="nil"/>
        </w:rPr>
      </w:pPr>
      <w:r w:rsidRPr="00546DE5">
        <w:rPr>
          <w:noProof/>
          <w:color w:val="000000"/>
          <w:u w:color="000000"/>
          <w:bdr w:val="nil"/>
        </w:rPr>
        <w:t>•</w:t>
      </w:r>
      <w:r w:rsidRPr="00546DE5">
        <w:rPr>
          <w:noProof/>
        </w:rPr>
        <w:tab/>
      </w:r>
      <w:r w:rsidRPr="00546DE5">
        <w:rPr>
          <w:noProof/>
          <w:u w:color="000000"/>
          <w:bdr w:val="nil"/>
        </w:rPr>
        <w:t>Събиране и използване на експертни становища</w:t>
      </w:r>
    </w:p>
    <w:p w14:paraId="1C89C3AA" w14:textId="77777777" w:rsidR="00220047" w:rsidRPr="00546DE5" w:rsidRDefault="00220047" w:rsidP="00220047">
      <w:pPr>
        <w:spacing w:before="0" w:after="240"/>
        <w:rPr>
          <w:rFonts w:eastAsia="Arial Unicode MS"/>
          <w:noProof/>
          <w:szCs w:val="24"/>
        </w:rPr>
      </w:pPr>
      <w:r w:rsidRPr="00546DE5">
        <w:rPr>
          <w:noProof/>
        </w:rPr>
        <w:t xml:space="preserve">Препоръките на Съвместния комитет на европейските надзорни органи (ЕНО) относно ПИПДОЗИП бяха насочени към това да се направи ОИД по-удобен за потребителите. ЕНО препоръчаха целеви промени в Регламента за ПИПДОЗИП като част от прегледа на уредбата за ПИПДОЗИП. </w:t>
      </w:r>
    </w:p>
    <w:p w14:paraId="6C240BE0" w14:textId="77777777" w:rsidR="00220047" w:rsidRPr="00546DE5" w:rsidRDefault="00220047" w:rsidP="00220047">
      <w:pPr>
        <w:spacing w:before="0" w:after="240"/>
        <w:rPr>
          <w:rFonts w:eastAsia="Arial Unicode MS"/>
          <w:noProof/>
          <w:szCs w:val="24"/>
        </w:rPr>
      </w:pPr>
      <w:r w:rsidRPr="00546DE5">
        <w:rPr>
          <w:noProof/>
        </w:rPr>
        <w:t>По-специално Съвместният комитет препоръча: i) подобряване на представянето на ОИД на цифрови носители и осигуряване на по-голяма гъвкавост при цифровото им представяне; ii) даване на възможност за по-видимо представяне на екологична, социална и управленска (</w:t>
      </w:r>
      <w:r w:rsidRPr="00546DE5">
        <w:rPr>
          <w:rStyle w:val="normaltextrun"/>
          <w:noProof/>
        </w:rPr>
        <w:t>„</w:t>
      </w:r>
      <w:r w:rsidRPr="00546DE5">
        <w:rPr>
          <w:noProof/>
        </w:rPr>
        <w:t>ЕСУ</w:t>
      </w:r>
      <w:r w:rsidRPr="00546DE5">
        <w:rPr>
          <w:rStyle w:val="normaltextrun"/>
          <w:noProof/>
        </w:rPr>
        <w:t>“</w:t>
      </w:r>
      <w:r w:rsidRPr="00546DE5">
        <w:rPr>
          <w:noProof/>
        </w:rPr>
        <w:t>) информация в ОИД чрез отделен раздел; iii) предоставяне на по-конкретна информация за разходите по мултивариантни застрахователни продукти; iv) включване на по-голяма гъвкавост в ОИД, включително чрез допускане на различни видове информация за резултатите в зависимост от вида на продукта; v) изготвяне на ОИД, които да са по-подходящи за конкретни видове продукти; и vi) изясняване и коригиране на продуктовия обхват на Регламента за ПИПДОЗИП, като се изясни, че някои корпоративни облигации са изключени.</w:t>
      </w:r>
    </w:p>
    <w:p w14:paraId="3DE87647" w14:textId="77777777" w:rsidR="00220047" w:rsidRPr="00546DE5" w:rsidRDefault="00220047" w:rsidP="00220047">
      <w:pPr>
        <w:spacing w:before="0" w:after="240"/>
        <w:rPr>
          <w:rFonts w:eastAsia="Arial Unicode MS"/>
          <w:noProof/>
        </w:rPr>
      </w:pPr>
      <w:r w:rsidRPr="00546DE5">
        <w:rPr>
          <w:noProof/>
        </w:rPr>
        <w:t>В приложение 2 към придружаващата оценка на въздействието са изброени допълнителни източници, взети предвид при изготвянето на настоящото предложение, включително целеви консултации със заинтересованите страни и информационни дейности. Комисията се опира и на обширна научна литература, която е посочена в оценката на въздействието, по-конкретно на специално поръчано проучване, извършено от консорциум от консултанти, ръководен от Kantar, озаглавено „Проучване на правилата за оповестяване, стимулиране и пригодност за инвеститорите на дребно“, публикувано през 2022 г.</w:t>
      </w:r>
      <w:r w:rsidRPr="00546DE5">
        <w:rPr>
          <w:rStyle w:val="FootnoteReference"/>
          <w:noProof/>
        </w:rPr>
        <w:footnoteReference w:id="11"/>
      </w:r>
    </w:p>
    <w:p w14:paraId="1A0E5CD5" w14:textId="77777777" w:rsidR="004E5476" w:rsidRPr="00546DE5" w:rsidRDefault="00220047" w:rsidP="00220047">
      <w:pPr>
        <w:spacing w:before="0" w:after="240"/>
        <w:rPr>
          <w:rFonts w:eastAsia="Arial Unicode MS"/>
          <w:noProof/>
          <w:szCs w:val="24"/>
        </w:rPr>
      </w:pPr>
      <w:r w:rsidRPr="00546DE5">
        <w:rPr>
          <w:noProof/>
        </w:rPr>
        <w:t>На по-ранен етап при изготвянето на настоящото предложение бяха използвани и съветите на Форума на високо равнище на СКП (CMU HLF), който препоръча в подходящ момент да се преразгледа оповестяването на информация съгласно уредбата за ПИПДОЗИП. Своя принос дадоха също така Правителствената експертна група по финансови услуги на дребно (GEGRFS) и Групата на потребителите на финансови услуги (FUSG)</w:t>
      </w:r>
      <w:r w:rsidRPr="00546DE5">
        <w:rPr>
          <w:rStyle w:val="FootnoteReference"/>
          <w:noProof/>
        </w:rPr>
        <w:footnoteReference w:id="12"/>
      </w:r>
      <w:r w:rsidRPr="00546DE5">
        <w:rPr>
          <w:noProof/>
        </w:rPr>
        <w:t>.</w:t>
      </w:r>
    </w:p>
    <w:p w14:paraId="340C2575" w14:textId="77777777" w:rsidR="004E5476" w:rsidRPr="00546DE5" w:rsidRDefault="004E5476" w:rsidP="0050536B">
      <w:pPr>
        <w:pStyle w:val="ManualHeading2"/>
        <w:rPr>
          <w:rFonts w:eastAsia="Arial Unicode MS"/>
          <w:noProof/>
          <w:u w:color="000000"/>
          <w:bdr w:val="nil"/>
        </w:rPr>
      </w:pPr>
      <w:r w:rsidRPr="00546DE5">
        <w:rPr>
          <w:noProof/>
          <w:color w:val="000000"/>
          <w:u w:color="000000"/>
          <w:bdr w:val="nil"/>
        </w:rPr>
        <w:t>•</w:t>
      </w:r>
      <w:r w:rsidRPr="00546DE5">
        <w:rPr>
          <w:noProof/>
        </w:rPr>
        <w:tab/>
      </w:r>
      <w:r w:rsidRPr="00546DE5">
        <w:rPr>
          <w:noProof/>
          <w:u w:color="000000"/>
          <w:bdr w:val="nil"/>
        </w:rPr>
        <w:t>Оценка на въздействието</w:t>
      </w:r>
    </w:p>
    <w:p w14:paraId="5105B752" w14:textId="6BDA3F12" w:rsidR="00220047" w:rsidRPr="00546DE5" w:rsidRDefault="00014FFA" w:rsidP="00220047">
      <w:pPr>
        <w:spacing w:before="0" w:after="240"/>
        <w:rPr>
          <w:noProof/>
        </w:rPr>
      </w:pPr>
      <w:r w:rsidRPr="00546DE5">
        <w:rPr>
          <w:noProof/>
        </w:rPr>
        <w:t>Настоящото предложение е основано на оценката на въздействието на стратегията за инвестициите на дребно (SWD(2023) 278—279). Оценката на въздействието бе представена на Комитета за регулаторен контрол (КРК) на 14 декември 2022 г., който даде положително становище на 20 януари 2023 г. (SEC(2023) 330 RSB). Впоследствие тя беше изменена, за да се отрази консултацията с КРК.</w:t>
      </w:r>
    </w:p>
    <w:p w14:paraId="63569902" w14:textId="77777777" w:rsidR="00220047" w:rsidRPr="00546DE5" w:rsidRDefault="00220047" w:rsidP="00220047">
      <w:pPr>
        <w:spacing w:before="0" w:after="240"/>
        <w:rPr>
          <w:noProof/>
        </w:rPr>
      </w:pPr>
      <w:r w:rsidRPr="00546DE5">
        <w:rPr>
          <w:noProof/>
        </w:rPr>
        <w:t>В оценката на въздействието са разгледани два проблема. Първо, инвеститорите на дребно не разполагат с подходяща, съпоставима и лесно разбираема информация за инвестиционните продукти и често се влияят по неподходящ начин от маркетинговите съобщения. Второ, в процеса на създаване и разпространяване на инвестиционни продукти има сериозни недостатъци, свързани с изплащането на стимули и със степента, в която разработването на продуктите отразява ефективността на разходите и стойността за инвеститора на дребно. Тези проблеми имат значителни последствия, включващи недостатъчна защита и несправедливо третиране на инвеститорите, намалена възвръщаемост на инвестициите и възможност за натрупване на капитал, както и отрицателно въздействие върху доверието на инвеститорите на дребно и пазарната интеграция.</w:t>
      </w:r>
    </w:p>
    <w:p w14:paraId="0C38C1DD" w14:textId="77777777" w:rsidR="00220047" w:rsidRPr="00546DE5" w:rsidRDefault="00220047" w:rsidP="00220047">
      <w:pPr>
        <w:spacing w:before="0" w:after="240"/>
        <w:rPr>
          <w:noProof/>
        </w:rPr>
      </w:pPr>
      <w:r w:rsidRPr="00546DE5">
        <w:rPr>
          <w:noProof/>
        </w:rPr>
        <w:t>Целевите промени в ОИД за ПИПДОЗИП са част от предложените решения за справяне с първия проблем и факторите, които го обуславят (</w:t>
      </w:r>
      <w:r w:rsidRPr="00546DE5">
        <w:rPr>
          <w:rStyle w:val="normaltextrun"/>
          <w:noProof/>
        </w:rPr>
        <w:t>„</w:t>
      </w:r>
      <w:r w:rsidRPr="00546DE5">
        <w:rPr>
          <w:noProof/>
        </w:rPr>
        <w:t xml:space="preserve">информацията, предоставяна на инвеститорите, невинаги е полезна или от значение за техния процес на вземане на решения и не е достатъчно адаптирана към цифровата среда“). Те са включени във вариант 2 — </w:t>
      </w:r>
      <w:r w:rsidRPr="00546DE5">
        <w:rPr>
          <w:rStyle w:val="normaltextrun"/>
          <w:noProof/>
        </w:rPr>
        <w:t>„</w:t>
      </w:r>
      <w:r w:rsidRPr="00546DE5">
        <w:rPr>
          <w:noProof/>
        </w:rPr>
        <w:t xml:space="preserve">целеви промени на правилата за оповестяване, за да се подобри тяхното значение за инвеститорите на дребно“, заедно с целеви изменения на правилата за оповестяване съгласно ДПФИ и ДРЗП, насочени към подобряване на значението на оповестяванията за инвеститорите на дребно (включени в съпътстващата директива „Омнибус“). Беше разгледан допълнителен вариант на политика в рамките на вариант 3 — </w:t>
      </w:r>
      <w:r w:rsidRPr="00546DE5">
        <w:rPr>
          <w:rStyle w:val="normaltextrun"/>
          <w:noProof/>
        </w:rPr>
        <w:t>„</w:t>
      </w:r>
      <w:r w:rsidRPr="00546DE5">
        <w:rPr>
          <w:noProof/>
        </w:rPr>
        <w:t>целеви промени за преодоляване на информационните пропуски, свързани с маркетинговите съобщения“. Варианти 2 и 3 се допълват и представляват подобрение на разумна цена в сравнение със съществуващото положение. Поради това в предпочитания вариант е включена комбинация от двата варианта.</w:t>
      </w:r>
    </w:p>
    <w:p w14:paraId="7871F07B" w14:textId="77777777" w:rsidR="00220047" w:rsidRPr="00546DE5" w:rsidRDefault="00220047" w:rsidP="00220047">
      <w:pPr>
        <w:spacing w:before="0" w:after="240"/>
        <w:rPr>
          <w:noProof/>
        </w:rPr>
      </w:pPr>
      <w:r w:rsidRPr="00546DE5">
        <w:rPr>
          <w:noProof/>
        </w:rPr>
        <w:t xml:space="preserve">В оценката на въздействието се стига до заключението, че подобряването на представянето на ОИД за ПИПДОЗИП чрез използване на разслояване и разработването на обобщаващо информационно табло ще улеснят инвеститорите на дребно да разберат основните характеристики на инвестиционния продукт, който разглеждат (например разходите и степента на риска, свързани с него), и ще им помогнат да изберат продукт, който отговаря на техните потребности. Въвеждането на нов раздел за устойчивостта ще гарантира, че непрофесионалните клиенти могат ясно да определят и лесно да сравняват основната информация за характеристиките на устойчивост на продуктите, които смятат да закупят. </w:t>
      </w:r>
    </w:p>
    <w:p w14:paraId="46239D8A" w14:textId="77777777" w:rsidR="004E5476" w:rsidRPr="00546DE5" w:rsidRDefault="004E5476" w:rsidP="0050536B">
      <w:pPr>
        <w:pStyle w:val="ManualHeading2"/>
        <w:rPr>
          <w:rFonts w:eastAsia="Arial Unicode MS"/>
          <w:noProof/>
          <w:u w:color="000000"/>
          <w:bdr w:val="nil"/>
        </w:rPr>
      </w:pPr>
      <w:r w:rsidRPr="00546DE5">
        <w:rPr>
          <w:noProof/>
          <w:u w:color="000000"/>
          <w:bdr w:val="nil"/>
        </w:rPr>
        <w:t>•</w:t>
      </w:r>
      <w:r w:rsidRPr="00546DE5">
        <w:rPr>
          <w:noProof/>
        </w:rPr>
        <w:tab/>
      </w:r>
      <w:r w:rsidRPr="00546DE5">
        <w:rPr>
          <w:noProof/>
          <w:u w:color="000000"/>
          <w:bdr w:val="nil"/>
        </w:rPr>
        <w:t>Пригодност и опростяване на нормативната уредба</w:t>
      </w:r>
    </w:p>
    <w:p w14:paraId="5F5F7E8A" w14:textId="77777777" w:rsidR="00220047" w:rsidRPr="00546DE5" w:rsidRDefault="00220047" w:rsidP="00220047">
      <w:pPr>
        <w:spacing w:before="0" w:after="240"/>
        <w:rPr>
          <w:rFonts w:eastAsia="Arial Unicode MS"/>
          <w:noProof/>
        </w:rPr>
      </w:pPr>
      <w:r w:rsidRPr="00546DE5">
        <w:rPr>
          <w:noProof/>
        </w:rPr>
        <w:t xml:space="preserve">Въпреки че при изготвянето на настоящото предложение беше разгледан потенциалът за опростяване и намаляване на тежестта, неговата основна цел, както и тази на по-широката стратегия за инвестициите на дребно, е защитата на потребителите. Следователно всички мерки за опростяване или намаляване на тежестта трябва да се разглеждат от гледна точка на тази цел. При оценката не бяха установени значителни възможности за опростяване и намаляване на тежестта и беше прието, че опростяването на основните информационни документи за ПИПДОЗИП няма непременно да направи инвестиционните продукти по-разбираеми. Освен това беше установено, че общите разходи за оповестяване на информация за продуктите в ПИПДОЗИП са сравнително ниски, особено в сравнение с големия брой клиенти и с мащаба на управляваните активи.  Не се очаква значително въздействие върху МСП и предложението е в съответствие с „цифровата проверка“, тъй като насърчава по-широкото използване на ПИПДОЗИП в електронен формат. </w:t>
      </w:r>
    </w:p>
    <w:p w14:paraId="6D8651F1" w14:textId="77777777" w:rsidR="004E5476" w:rsidRPr="00546DE5" w:rsidRDefault="004E5476" w:rsidP="0050536B">
      <w:pPr>
        <w:pStyle w:val="ManualHeading2"/>
        <w:rPr>
          <w:rFonts w:eastAsia="Arial Unicode MS"/>
          <w:noProof/>
          <w:u w:color="000000"/>
          <w:bdr w:val="nil"/>
        </w:rPr>
      </w:pPr>
      <w:r w:rsidRPr="00546DE5">
        <w:rPr>
          <w:noProof/>
          <w:u w:color="000000"/>
          <w:bdr w:val="nil"/>
        </w:rPr>
        <w:t>•</w:t>
      </w:r>
      <w:r w:rsidRPr="00546DE5">
        <w:rPr>
          <w:noProof/>
        </w:rPr>
        <w:tab/>
      </w:r>
      <w:r w:rsidRPr="00546DE5">
        <w:rPr>
          <w:noProof/>
          <w:u w:color="000000"/>
          <w:bdr w:val="nil"/>
        </w:rPr>
        <w:t>Основни права</w:t>
      </w:r>
    </w:p>
    <w:p w14:paraId="55027446" w14:textId="2EB29897" w:rsidR="00220047" w:rsidRPr="00546DE5" w:rsidRDefault="00220047" w:rsidP="00220047">
      <w:pPr>
        <w:spacing w:before="0" w:after="240"/>
        <w:rPr>
          <w:rFonts w:eastAsia="Arial Unicode MS"/>
          <w:noProof/>
          <w:szCs w:val="24"/>
        </w:rPr>
      </w:pPr>
      <w:r w:rsidRPr="00546DE5">
        <w:rPr>
          <w:noProof/>
        </w:rPr>
        <w:t xml:space="preserve">Предложението е съобразено и зачита принципите, изложени в Хартата на основните права на Европейския съюз, по-специално принципа за осигуряване на високо равнище на защита на потребителите за всички граждани на ЕС (член 38). Потребителите, в този случай инвеститорите на дребно, се нуждаят от подходяща, сравнима и лесно разбираема информация за инвестиционните продукти, за да могат да вземат добре информирани решения. С настоящото предложение се модернизират ОИД за ПИПДОЗИП, за да се направи представянето на информацията по-удобно за инвеститорите на дребно, включително за хората с увреждания, като по този начин се увеличава вероятността тя да бъде прочетена и правилно разбрана. </w:t>
      </w:r>
    </w:p>
    <w:p w14:paraId="5A3386A8" w14:textId="77777777" w:rsidR="004E5476" w:rsidRPr="00546DE5" w:rsidRDefault="004E5476" w:rsidP="0050536B">
      <w:pPr>
        <w:pStyle w:val="ManualHeading1"/>
        <w:rPr>
          <w:noProof/>
        </w:rPr>
      </w:pPr>
      <w:r w:rsidRPr="00546DE5">
        <w:rPr>
          <w:noProof/>
        </w:rPr>
        <w:t>4.</w:t>
      </w:r>
      <w:r w:rsidRPr="00546DE5">
        <w:rPr>
          <w:noProof/>
        </w:rPr>
        <w:tab/>
        <w:t>ОТРАЖЕНИЕ ВЪРХУ БЮДЖЕТА</w:t>
      </w:r>
    </w:p>
    <w:p w14:paraId="05C1C416" w14:textId="77777777" w:rsidR="00220047" w:rsidRPr="00546DE5" w:rsidRDefault="00220047" w:rsidP="00220047">
      <w:pPr>
        <w:spacing w:before="0" w:after="240"/>
        <w:rPr>
          <w:rFonts w:eastAsia="Arial Unicode MS"/>
          <w:noProof/>
          <w:szCs w:val="24"/>
        </w:rPr>
      </w:pPr>
      <w:r w:rsidRPr="00546DE5">
        <w:rPr>
          <w:noProof/>
        </w:rPr>
        <w:t xml:space="preserve">Инициативата няма отражение върху бюджета на ЕС. Надзорът върху новите правила ще се осъществява от националните компетентни органи в рамките на техните съществуващи правомощия и неговият обхват не се променя с настоящото предложение.  </w:t>
      </w:r>
    </w:p>
    <w:p w14:paraId="758C266D" w14:textId="77777777" w:rsidR="004E5476" w:rsidRPr="00546DE5" w:rsidRDefault="004E5476" w:rsidP="0050536B">
      <w:pPr>
        <w:pStyle w:val="ManualHeading1"/>
        <w:rPr>
          <w:noProof/>
        </w:rPr>
      </w:pPr>
      <w:r w:rsidRPr="00546DE5">
        <w:rPr>
          <w:noProof/>
        </w:rPr>
        <w:t>5.</w:t>
      </w:r>
      <w:r w:rsidRPr="00546DE5">
        <w:rPr>
          <w:noProof/>
        </w:rPr>
        <w:tab/>
        <w:t>ДРУГИ ЕЛЕМЕНТИ</w:t>
      </w:r>
    </w:p>
    <w:p w14:paraId="1CAB2AC5" w14:textId="77777777" w:rsidR="004E5476" w:rsidRPr="00546DE5" w:rsidRDefault="004E5476" w:rsidP="0050536B">
      <w:pPr>
        <w:pStyle w:val="ManualHeading2"/>
        <w:rPr>
          <w:rFonts w:eastAsia="Arial Unicode MS"/>
          <w:noProof/>
          <w:u w:color="000000"/>
          <w:bdr w:val="nil"/>
        </w:rPr>
      </w:pPr>
      <w:r w:rsidRPr="00546DE5">
        <w:rPr>
          <w:noProof/>
          <w:u w:color="000000"/>
          <w:bdr w:val="nil"/>
        </w:rPr>
        <w:t>•</w:t>
      </w:r>
      <w:r w:rsidRPr="00546DE5">
        <w:rPr>
          <w:noProof/>
        </w:rPr>
        <w:tab/>
      </w:r>
      <w:r w:rsidRPr="00546DE5">
        <w:rPr>
          <w:noProof/>
          <w:u w:color="000000"/>
          <w:bdr w:val="nil"/>
        </w:rPr>
        <w:t>Планове за изпълнение и механизми за наблюдение, оценка и докладване</w:t>
      </w:r>
    </w:p>
    <w:p w14:paraId="6D94951D" w14:textId="77777777" w:rsidR="00220047" w:rsidRPr="00546DE5" w:rsidRDefault="00220047" w:rsidP="00220047">
      <w:pPr>
        <w:spacing w:before="0" w:after="240"/>
        <w:rPr>
          <w:rFonts w:eastAsia="Arial Unicode MS"/>
          <w:noProof/>
          <w:szCs w:val="24"/>
        </w:rPr>
      </w:pPr>
      <w:r w:rsidRPr="00546DE5">
        <w:rPr>
          <w:noProof/>
        </w:rPr>
        <w:t>Комисията ще следи как предложеният регламент, след като бъде приет, постига целите, посочени в оценката на въздействието, придружаваща стратегията за инвестициите на дребно. За тази цел тя възнамерява да възложи на Европейския орган за ценни книжа и пазари (ЕОЦКП) и на Европейския орган за застраховане и професионално пенсионно осигуряване (ЕОЗППО) да наблюдават ефективността на представянето на информация в цифров формат, на въвеждането на нов раздел за устойчивост и на нови правила за мултивариантните продукти (МВП). Комисията също така планира да наблюдава тенденциите в броя на жалбите, подадени по линия на наблюдението на пазара от ЕОЦКП и ЕОЗППО, за да оцени качеството на наличната информация. На подходящ етап, позволяващ събирането на достатъчно практически опит и данни, включително при прилагането на наскоро изменения делегиран регламент за ПИПДОЗИП</w:t>
      </w:r>
      <w:r w:rsidRPr="00546DE5">
        <w:rPr>
          <w:rStyle w:val="FootnoteReference"/>
          <w:noProof/>
        </w:rPr>
        <w:footnoteReference w:id="13"/>
      </w:r>
      <w:r w:rsidRPr="00546DE5">
        <w:rPr>
          <w:noProof/>
        </w:rPr>
        <w:t xml:space="preserve">, Комисията планира да оцени ролята на документите за оповестяване като инструмент, който дава възможност на инвеститорите да вземат добре информирани инвестиционни решения, и би могла да обмисли евентуални допълнителни изменения на по-широката уредба за ПИПДОЗИП. </w:t>
      </w:r>
    </w:p>
    <w:p w14:paraId="782979A9" w14:textId="77777777" w:rsidR="004E5476" w:rsidRPr="00546DE5" w:rsidRDefault="004E5476" w:rsidP="0050536B">
      <w:pPr>
        <w:pStyle w:val="ManualHeading2"/>
        <w:rPr>
          <w:rFonts w:eastAsia="Arial Unicode MS"/>
          <w:noProof/>
          <w:u w:color="000000"/>
          <w:bdr w:val="nil"/>
        </w:rPr>
      </w:pPr>
      <w:r w:rsidRPr="00546DE5">
        <w:rPr>
          <w:noProof/>
          <w:u w:color="000000"/>
          <w:bdr w:val="nil"/>
        </w:rPr>
        <w:t>•</w:t>
      </w:r>
      <w:r w:rsidRPr="00546DE5">
        <w:rPr>
          <w:noProof/>
        </w:rPr>
        <w:tab/>
      </w:r>
      <w:r w:rsidRPr="00546DE5">
        <w:rPr>
          <w:noProof/>
          <w:u w:color="000000"/>
          <w:bdr w:val="nil"/>
        </w:rPr>
        <w:t>Подробно разяснение на отделните разпоредби на предложението</w:t>
      </w:r>
    </w:p>
    <w:p w14:paraId="6A2D399C" w14:textId="77777777" w:rsidR="00220047" w:rsidRPr="00546DE5" w:rsidRDefault="00220047" w:rsidP="00220047">
      <w:pPr>
        <w:spacing w:before="0" w:after="240"/>
        <w:rPr>
          <w:rFonts w:eastAsia="Arial Unicode MS"/>
          <w:noProof/>
          <w:szCs w:val="24"/>
        </w:rPr>
      </w:pPr>
      <w:r w:rsidRPr="00546DE5">
        <w:rPr>
          <w:noProof/>
        </w:rPr>
        <w:t>С член 1, параграф 1, буква а) се актуализират правните препратки към съществуващото законодателство (понастоящем Регламент 2017/1129 — „Регламента за проспектите“) за видовете ценни книжа, за които не се изисква изготвянето на ОИД за ПИПДОЗИП.</w:t>
      </w:r>
    </w:p>
    <w:p w14:paraId="64080131" w14:textId="77777777" w:rsidR="00220047" w:rsidRPr="00546DE5" w:rsidRDefault="00220047" w:rsidP="00220047">
      <w:pPr>
        <w:spacing w:before="0" w:after="240"/>
        <w:rPr>
          <w:rFonts w:eastAsia="Arial Unicode MS"/>
          <w:noProof/>
          <w:szCs w:val="24"/>
        </w:rPr>
      </w:pPr>
      <w:r w:rsidRPr="00546DE5">
        <w:rPr>
          <w:noProof/>
        </w:rPr>
        <w:t>С член 1, параграф 1, буква б) от приложното поле на регламента за ПИПДОЗИП се изключват продуктите на дребно, предоставящи незабавни анюитети без фаза на обратно изкупуване.</w:t>
      </w:r>
    </w:p>
    <w:p w14:paraId="2222A7BE" w14:textId="77777777" w:rsidR="00220047" w:rsidRPr="00546DE5" w:rsidRDefault="00220047" w:rsidP="00220047">
      <w:pPr>
        <w:spacing w:before="0" w:after="240"/>
        <w:rPr>
          <w:rFonts w:eastAsia="Arial Unicode MS"/>
          <w:noProof/>
          <w:szCs w:val="24"/>
        </w:rPr>
      </w:pPr>
      <w:r w:rsidRPr="00546DE5">
        <w:rPr>
          <w:noProof/>
        </w:rPr>
        <w:t>С член 1, параграф 2 се актуализират препратките към Регламент 2017/1129 (Регламента за проспектите), за да се гарантира, че и двата регламента се прилагат за съответните продукти.</w:t>
      </w:r>
    </w:p>
    <w:p w14:paraId="2689EFED" w14:textId="77777777" w:rsidR="00220047" w:rsidRPr="00546DE5" w:rsidRDefault="00220047" w:rsidP="2FF5C493">
      <w:pPr>
        <w:spacing w:before="0" w:after="240"/>
        <w:rPr>
          <w:rFonts w:eastAsia="Arial Unicode MS"/>
          <w:noProof/>
        </w:rPr>
      </w:pPr>
      <w:r w:rsidRPr="00546DE5">
        <w:rPr>
          <w:noProof/>
        </w:rPr>
        <w:t>С член 1, параграф 3, буква а) се пояснява, че някои видове корпоративни облигации с клаузи „make-whole“ са извън обхвата на Регламента за ПИПДОЗИП, при условие че те се погасяват по справедлива стойност.</w:t>
      </w:r>
    </w:p>
    <w:p w14:paraId="14C63104" w14:textId="77777777" w:rsidR="00220047" w:rsidRPr="00546DE5" w:rsidRDefault="00220047" w:rsidP="00220047">
      <w:pPr>
        <w:spacing w:before="0" w:after="240"/>
        <w:rPr>
          <w:rFonts w:eastAsia="Arial Unicode MS"/>
          <w:noProof/>
          <w:szCs w:val="24"/>
        </w:rPr>
      </w:pPr>
      <w:r w:rsidRPr="00546DE5">
        <w:rPr>
          <w:noProof/>
        </w:rPr>
        <w:t>С член 1, параграф 3, буква б) се въвежда определение за „електронен формат“.</w:t>
      </w:r>
    </w:p>
    <w:p w14:paraId="125318BC" w14:textId="77777777" w:rsidR="00220047" w:rsidRPr="00546DE5" w:rsidRDefault="00220047" w:rsidP="00220047">
      <w:pPr>
        <w:spacing w:before="0" w:after="240"/>
        <w:rPr>
          <w:rFonts w:eastAsia="Arial Unicode MS"/>
          <w:noProof/>
          <w:szCs w:val="24"/>
        </w:rPr>
      </w:pPr>
      <w:r w:rsidRPr="00546DE5">
        <w:rPr>
          <w:noProof/>
        </w:rPr>
        <w:t>С член 1, параграф 4 се изменят правилата за представяне на разходите по мултивариантни продукти (МВП), като се уточняват условията, които трябва да бъдат изпълнени, за да се предостави прозрачна информация на инвеститорите на дребно и да се улесни изборът между различни инвестиционни варианти.</w:t>
      </w:r>
    </w:p>
    <w:p w14:paraId="18E89334" w14:textId="77777777" w:rsidR="00220047" w:rsidRPr="00546DE5" w:rsidRDefault="00220047" w:rsidP="00220047">
      <w:pPr>
        <w:spacing w:before="0" w:after="240"/>
        <w:rPr>
          <w:rFonts w:eastAsia="Arial Unicode MS"/>
          <w:noProof/>
          <w:szCs w:val="24"/>
        </w:rPr>
      </w:pPr>
      <w:r w:rsidRPr="00546DE5">
        <w:rPr>
          <w:noProof/>
        </w:rPr>
        <w:t xml:space="preserve">С член 1, параграф 5, буква а) се въвежда нов раздел в ОИД за ПИПДОЗИП, озаглавен „Кратко описание на продукта“, за да се обобщи и подчертае информацията за даден вид инвестиционен продукт, разходите по него и нивото на риск, препоръчителния период на държане и наличието на застрахователно обезщетение. </w:t>
      </w:r>
    </w:p>
    <w:p w14:paraId="2D64007E" w14:textId="77777777" w:rsidR="00220047" w:rsidRPr="00546DE5" w:rsidRDefault="00220047" w:rsidP="00220047">
      <w:pPr>
        <w:spacing w:before="0" w:after="240"/>
        <w:rPr>
          <w:rFonts w:eastAsia="Arial Unicode MS"/>
          <w:noProof/>
          <w:szCs w:val="24"/>
        </w:rPr>
      </w:pPr>
      <w:r w:rsidRPr="00546DE5">
        <w:rPr>
          <w:noProof/>
        </w:rPr>
        <w:t xml:space="preserve">С член 1, параграф 5, буква б) се премахва „предупреждението за разбиране“, тъй като то не е било достатъчно ефективно при предупреждаването на инвеститорите на дребно срещу особено сложни продукти и също така е възможно непреднамерено да ги е отказвало да купуват по-малко сложни инвестиционни продукти.  </w:t>
      </w:r>
    </w:p>
    <w:p w14:paraId="7073AA00" w14:textId="77777777" w:rsidR="00220047" w:rsidRPr="00546DE5" w:rsidRDefault="00220047" w:rsidP="00220047">
      <w:pPr>
        <w:spacing w:before="0" w:after="240"/>
        <w:rPr>
          <w:rFonts w:eastAsia="Arial Unicode MS"/>
          <w:noProof/>
          <w:szCs w:val="24"/>
        </w:rPr>
      </w:pPr>
      <w:r w:rsidRPr="00546DE5">
        <w:rPr>
          <w:noProof/>
        </w:rPr>
        <w:t>С член 1, параграф 5, буква в) се премахва посочването на екологичните и социалните цели, които се преследват с инвестиционния продукт, като се заменя с нов специализиран раздел за устойчивост в основния информационен документ за ПИПДОЗИП.</w:t>
      </w:r>
    </w:p>
    <w:p w14:paraId="204DC61A" w14:textId="77777777" w:rsidR="00220047" w:rsidRPr="00546DE5" w:rsidRDefault="00220047" w:rsidP="00220047">
      <w:pPr>
        <w:spacing w:before="0" w:after="240"/>
        <w:rPr>
          <w:rFonts w:eastAsia="Arial Unicode MS"/>
          <w:noProof/>
          <w:szCs w:val="24"/>
        </w:rPr>
      </w:pPr>
      <w:r w:rsidRPr="00546DE5">
        <w:rPr>
          <w:noProof/>
        </w:rPr>
        <w:t xml:space="preserve">С член 1, параграф 5, буква г) в ОИД за ПИПДОЗИП се въвежда нов раздел, озаглавен „Колко екологично устойчив е този продукт?“ („раздел за устойчивост“), за да се предостави на инвеститорите на дребно хармонизиран набор от основна информация за профила на устойчивост на съответните инвестиционни продукти, като се доразвиват съществуващите оповестявания за продуктите. </w:t>
      </w:r>
    </w:p>
    <w:p w14:paraId="62B58FE9" w14:textId="77777777" w:rsidR="00220047" w:rsidRPr="00546DE5" w:rsidRDefault="00220047" w:rsidP="00220047">
      <w:pPr>
        <w:spacing w:before="0" w:after="240"/>
        <w:rPr>
          <w:rFonts w:eastAsia="Arial Unicode MS"/>
          <w:noProof/>
        </w:rPr>
      </w:pPr>
      <w:r w:rsidRPr="00546DE5">
        <w:rPr>
          <w:noProof/>
        </w:rPr>
        <w:t>С член 1, параграф 5, буква д) се заличава правомощието на Комисията да приема делегирани актове след замяната на посочването на екологичните и социалните цели с раздела за устойчивост. Новият раздел за устойчивост ще бъде определен чрез регулаторни технически стандарти, за които вече съществува правомощие.</w:t>
      </w:r>
    </w:p>
    <w:p w14:paraId="6A5ECDE3" w14:textId="77777777" w:rsidR="00220047" w:rsidRPr="00546DE5" w:rsidRDefault="00220047" w:rsidP="00220047">
      <w:pPr>
        <w:spacing w:before="0" w:after="240"/>
        <w:rPr>
          <w:rFonts w:eastAsia="Arial Unicode MS"/>
          <w:noProof/>
          <w:szCs w:val="24"/>
        </w:rPr>
      </w:pPr>
      <w:r w:rsidRPr="00546DE5">
        <w:rPr>
          <w:noProof/>
        </w:rPr>
        <w:t xml:space="preserve">С член 1, параграф 5, буква е) се изменя срокът за представяне на Комисията на приложимите проекти на регулаторни технически стандарти. </w:t>
      </w:r>
    </w:p>
    <w:p w14:paraId="520D5B0D" w14:textId="77777777" w:rsidR="00220047" w:rsidRPr="00546DE5" w:rsidRDefault="00220047" w:rsidP="00220047">
      <w:pPr>
        <w:spacing w:before="0" w:after="240"/>
        <w:rPr>
          <w:rFonts w:eastAsia="Arial Unicode MS"/>
          <w:noProof/>
          <w:szCs w:val="24"/>
        </w:rPr>
      </w:pPr>
      <w:r w:rsidRPr="00546DE5">
        <w:rPr>
          <w:noProof/>
        </w:rPr>
        <w:t xml:space="preserve">С член 1, параграф 6 се добавя условие ЕНО да разгледат ситуациите, при които вече не се предоставят ОИД за ПИПДОЗИП, и се изменя срокът за представяне на Комисията на приложимите проекти на регулаторни технически стандарти. С него също така се делегира правомощие на Комисията да приема съответните регулаторни технически стандарти. </w:t>
      </w:r>
    </w:p>
    <w:p w14:paraId="656AD68A" w14:textId="77777777" w:rsidR="00220047" w:rsidRPr="00546DE5" w:rsidRDefault="00220047" w:rsidP="00220047">
      <w:pPr>
        <w:spacing w:before="0" w:after="240"/>
        <w:rPr>
          <w:rFonts w:eastAsia="Arial Unicode MS"/>
          <w:noProof/>
        </w:rPr>
      </w:pPr>
      <w:r w:rsidRPr="00546DE5">
        <w:rPr>
          <w:noProof/>
        </w:rPr>
        <w:t>С член 1, параграф 7 се модернизират и опростяват разпоредбите относно предоставянето на ОИД за ПИПДОЗИП. С него се установява по-силно предпочитание за предоставяне на ОИД в електронен формат, като същевременно се пояснява, че клиентът може да поиска безплатно версия на ОИД за ПИПДОЗИП на хартиен носител. Актуализират се разпоредбите, с които се предоставя достъп до ОИД за ПИПДОЗИП в електронен формат, като се използват установените практики от уредбите по ДПФИ и ДРЗП. Освен това се уточняват условията за използване на разслояване и персонализиране, за да се осигури по-голяма правна яснота относно възможностите за използване на цифрово представяне на ОИД за ПИПДОЗИП. С разпоредбата се възлага на ЕНО да разработят проекти на регулаторни технически стандарти, в които да се определят условията за такова представяне, както и функционалностите, които да направят информацията достъпна за читатели с увредено зрение.</w:t>
      </w:r>
    </w:p>
    <w:p w14:paraId="4EB55DA6" w14:textId="77777777" w:rsidR="00220047" w:rsidRPr="00546DE5" w:rsidRDefault="00220047" w:rsidP="00220047">
      <w:pPr>
        <w:spacing w:before="0" w:after="240"/>
        <w:rPr>
          <w:noProof/>
        </w:rPr>
      </w:pPr>
      <w:r w:rsidRPr="00546DE5">
        <w:rPr>
          <w:noProof/>
        </w:rPr>
        <w:t xml:space="preserve">С член 2 се предвижда влизането в сила и прилагането да стане на двадесетия ден след публикуването и се определя дата на прилагане 18 месеца след това, за да се осигури достатъчно време за разработване на регулаторни технически стандарти. </w:t>
      </w:r>
    </w:p>
    <w:p w14:paraId="1ED68A44" w14:textId="77777777" w:rsidR="004E5476" w:rsidRPr="00546DE5" w:rsidRDefault="004E5476" w:rsidP="0050536B">
      <w:pPr>
        <w:rPr>
          <w:noProof/>
        </w:rPr>
        <w:sectPr w:rsidR="004E5476" w:rsidRPr="00546DE5" w:rsidSect="00A71044">
          <w:footerReference w:type="default" r:id="rId16"/>
          <w:footerReference w:type="first" r:id="rId17"/>
          <w:pgSz w:w="11907" w:h="16839"/>
          <w:pgMar w:top="1134" w:right="1417" w:bottom="1134" w:left="1417" w:header="709" w:footer="709" w:gutter="0"/>
          <w:cols w:space="708"/>
          <w:docGrid w:linePitch="360"/>
        </w:sectPr>
      </w:pPr>
    </w:p>
    <w:p w14:paraId="278307D4" w14:textId="2F7C2FB5" w:rsidR="005C7F13" w:rsidRPr="00546DE5" w:rsidRDefault="00D14A2C" w:rsidP="00D14A2C">
      <w:pPr>
        <w:pStyle w:val="Rfrenceinterinstitutionnelle"/>
        <w:rPr>
          <w:noProof/>
        </w:rPr>
      </w:pPr>
      <w:r w:rsidRPr="00D14A2C">
        <w:t>2023/0166 (COD)</w:t>
      </w:r>
    </w:p>
    <w:p w14:paraId="68D02189" w14:textId="4E6D505D" w:rsidR="004E5476" w:rsidRPr="00546DE5" w:rsidRDefault="00546DE5" w:rsidP="00546DE5">
      <w:pPr>
        <w:pStyle w:val="Statut"/>
        <w:rPr>
          <w:noProof/>
        </w:rPr>
      </w:pPr>
      <w:bookmarkStart w:id="11" w:name="_Hlk135116452"/>
      <w:r w:rsidRPr="00546DE5">
        <w:rPr>
          <w:noProof/>
        </w:rPr>
        <w:t>Предложение за</w:t>
      </w:r>
    </w:p>
    <w:p w14:paraId="13A37697" w14:textId="6518469D" w:rsidR="004E5476" w:rsidRPr="00546DE5" w:rsidRDefault="00546DE5" w:rsidP="00546DE5">
      <w:pPr>
        <w:pStyle w:val="Typedudocument"/>
        <w:rPr>
          <w:noProof/>
        </w:rPr>
      </w:pPr>
      <w:r w:rsidRPr="00546DE5">
        <w:rPr>
          <w:noProof/>
        </w:rPr>
        <w:t>РЕГЛАМЕНТ НА ЕВРОПЕЙСКИЯ ПАРЛАМЕНТ И НА СЪВЕТА</w:t>
      </w:r>
    </w:p>
    <w:p w14:paraId="01092EF7" w14:textId="23FF7ECC" w:rsidR="004E5476" w:rsidRPr="00546DE5" w:rsidRDefault="00546DE5" w:rsidP="00546DE5">
      <w:pPr>
        <w:pStyle w:val="Titreobjet"/>
        <w:rPr>
          <w:noProof/>
        </w:rPr>
      </w:pPr>
      <w:r w:rsidRPr="00546DE5">
        <w:rPr>
          <w:noProof/>
        </w:rPr>
        <w:t xml:space="preserve">за изменение на Регламент (ЕС) № 1286/2014 по отношение на модернизирането на основния информационен документ  </w:t>
      </w:r>
      <w:r w:rsidRPr="00546DE5">
        <w:rPr>
          <w:noProof/>
        </w:rPr>
        <w:br/>
      </w:r>
    </w:p>
    <w:bookmarkEnd w:id="11"/>
    <w:p w14:paraId="585B5E5F" w14:textId="4BAAEBCF" w:rsidR="004E5476" w:rsidRPr="00546DE5" w:rsidRDefault="00546DE5" w:rsidP="00546DE5">
      <w:pPr>
        <w:pStyle w:val="IntrtEEE"/>
        <w:rPr>
          <w:noProof/>
        </w:rPr>
      </w:pPr>
      <w:r w:rsidRPr="00546DE5">
        <w:rPr>
          <w:noProof/>
        </w:rPr>
        <w:t>(текст от значение за ЕИП)</w:t>
      </w:r>
    </w:p>
    <w:p w14:paraId="44403589" w14:textId="77777777" w:rsidR="004E5476" w:rsidRPr="00546DE5" w:rsidRDefault="004E5476" w:rsidP="0050536B">
      <w:pPr>
        <w:pStyle w:val="Institutionquiagit"/>
        <w:rPr>
          <w:noProof/>
        </w:rPr>
      </w:pPr>
      <w:r w:rsidRPr="00546DE5">
        <w:rPr>
          <w:noProof/>
        </w:rPr>
        <w:t>ЕВРОПЕЙСКИЯТ ПАРЛАМЕНТ И СЪВЕТЪТ НА ЕВРОПЕЙСКИЯ СЪЮЗ,</w:t>
      </w:r>
    </w:p>
    <w:p w14:paraId="6E529199" w14:textId="77777777" w:rsidR="00163BB1" w:rsidRPr="00546DE5" w:rsidRDefault="00163BB1" w:rsidP="00163BB1">
      <w:pPr>
        <w:rPr>
          <w:noProof/>
          <w:szCs w:val="24"/>
        </w:rPr>
      </w:pPr>
      <w:r w:rsidRPr="00546DE5">
        <w:rPr>
          <w:noProof/>
        </w:rPr>
        <w:t>като взеха предвид Договора за функционирането на Европейския съюз, и по-специално член 114 от него,</w:t>
      </w:r>
    </w:p>
    <w:p w14:paraId="70A889B3" w14:textId="77777777" w:rsidR="004E5476" w:rsidRPr="00546DE5" w:rsidRDefault="004E5476" w:rsidP="0050536B">
      <w:pPr>
        <w:rPr>
          <w:noProof/>
        </w:rPr>
      </w:pPr>
      <w:r w:rsidRPr="00546DE5">
        <w:rPr>
          <w:noProof/>
        </w:rPr>
        <w:t>като взеха предвид предложението на Европейската комисия,</w:t>
      </w:r>
    </w:p>
    <w:p w14:paraId="0CB78042" w14:textId="77777777" w:rsidR="004E5476" w:rsidRPr="00546DE5" w:rsidRDefault="004E5476" w:rsidP="0050536B">
      <w:pPr>
        <w:rPr>
          <w:noProof/>
        </w:rPr>
      </w:pPr>
      <w:r w:rsidRPr="00546DE5">
        <w:rPr>
          <w:noProof/>
        </w:rPr>
        <w:t>след предаване на проекта на законодателния акт на националните парламенти,</w:t>
      </w:r>
    </w:p>
    <w:p w14:paraId="76C00A90" w14:textId="77777777" w:rsidR="004E5476" w:rsidRPr="00546DE5" w:rsidRDefault="004E5476" w:rsidP="0050536B">
      <w:pPr>
        <w:rPr>
          <w:noProof/>
        </w:rPr>
      </w:pPr>
      <w:r w:rsidRPr="00546DE5">
        <w:rPr>
          <w:noProof/>
        </w:rPr>
        <w:t>в съответствие с обикновената законодателна процедура,</w:t>
      </w:r>
    </w:p>
    <w:p w14:paraId="4062250F" w14:textId="77777777" w:rsidR="004E5476" w:rsidRPr="00546DE5" w:rsidRDefault="004E5476" w:rsidP="0050536B">
      <w:pPr>
        <w:rPr>
          <w:noProof/>
        </w:rPr>
      </w:pPr>
      <w:r w:rsidRPr="00546DE5">
        <w:rPr>
          <w:noProof/>
        </w:rPr>
        <w:t>като имат предвид, че:</w:t>
      </w:r>
    </w:p>
    <w:p w14:paraId="103475E9" w14:textId="61F94A2B" w:rsidR="00DD4418" w:rsidRPr="00546DE5" w:rsidRDefault="00713738" w:rsidP="00713738">
      <w:pPr>
        <w:pStyle w:val="ManualConsidrant"/>
        <w:rPr>
          <w:noProof/>
        </w:rPr>
      </w:pPr>
      <w:r w:rsidRPr="00713738">
        <w:t>(1)</w:t>
      </w:r>
      <w:r w:rsidRPr="00713738">
        <w:tab/>
      </w:r>
      <w:r w:rsidR="4634BA7A" w:rsidRPr="00546DE5">
        <w:rPr>
          <w:noProof/>
        </w:rPr>
        <w:t>Основна цел на Съюза на капиталовите пазари (СКП) е да се гарантира, че потребителите могат да се възползват изцяло от инвестиционните възможности, предлагани от капиталовите пазари. За да могат да направят това, потребителите трябва да бъдат подкрепяни от нормативна уредба, която им дава възможност да вземат инвестиционни решения, отговарящи на техните потребности и цели, и ги защитава адекватно на единния пазар. Пакетът от мерки съгласно стратегията на ЕС за инвестициите на дребно има за цел да отстрани установените недостатъци, включително тези в областта на информацията, достъпна за инвеститорите на дребно.</w:t>
      </w:r>
    </w:p>
    <w:p w14:paraId="479C2DBB" w14:textId="4E31A7A5" w:rsidR="00785F32" w:rsidRPr="00546DE5" w:rsidRDefault="00713738" w:rsidP="00713738">
      <w:pPr>
        <w:pStyle w:val="ManualConsidrant"/>
        <w:rPr>
          <w:rFonts w:eastAsia="Times New Roman"/>
          <w:noProof/>
        </w:rPr>
      </w:pPr>
      <w:r w:rsidRPr="00713738">
        <w:t>(2)</w:t>
      </w:r>
      <w:r w:rsidRPr="00713738">
        <w:tab/>
      </w:r>
      <w:r w:rsidR="49DC1589" w:rsidRPr="00546DE5">
        <w:rPr>
          <w:noProof/>
        </w:rPr>
        <w:t xml:space="preserve">В член 4, точка 1 от Регламент (ЕС) № 1286/2014 пакетите с инвестиционни продукти на дребно или „ПИПД“ се определят като инвестиции, при които, независимо от правната форма на инвестицията, платимата на инвеститора на дребно сума подлежи на колебания поради експозиция към референтните стойности или към резултатите на един или повече активи, които не са пряко закупени от инвеститора на дребно. Възможността създателят да изкупи обратно инвестицията предсрочно чрез задействане на клауза „make-whole“ не следва да се смята за такова колебание. Този факт следва да бъде отразен в определението за ПИПД. </w:t>
      </w:r>
    </w:p>
    <w:p w14:paraId="4D9340B7" w14:textId="3DB46FCC" w:rsidR="00785F32" w:rsidRPr="00546DE5" w:rsidRDefault="00713738" w:rsidP="00713738">
      <w:pPr>
        <w:pStyle w:val="ManualConsidrant"/>
        <w:rPr>
          <w:noProof/>
          <w:szCs w:val="24"/>
        </w:rPr>
      </w:pPr>
      <w:r w:rsidRPr="00713738">
        <w:t>(3)</w:t>
      </w:r>
      <w:r w:rsidRPr="00713738">
        <w:tab/>
      </w:r>
      <w:r w:rsidR="366E8695" w:rsidRPr="00546DE5">
        <w:rPr>
          <w:noProof/>
        </w:rPr>
        <w:t>В случай че</w:t>
      </w:r>
      <w:r w:rsidR="366E8695" w:rsidRPr="00546DE5">
        <w:rPr>
          <w:noProof/>
          <w:color w:val="333333"/>
        </w:rPr>
        <w:t xml:space="preserve"> ПИПДОЗИП предлагат на инвеститора на дребно редица възможности за инвестиции</w:t>
      </w:r>
      <w:r w:rsidR="366E8695" w:rsidRPr="00546DE5">
        <w:rPr>
          <w:noProof/>
        </w:rPr>
        <w:t>, информацията за тези различни възможности може да се съдържа в различни документи. Това затруднява инвеститорите на дребно, които се интересуват от закупуването на такива ПИПДОЗИП, да определят общите разходи за ПИПДОЗИП. Поради това е необходимо на инвеститорите на дребно да се предоставят инструменти, включително инструменти за симулация, за достъп и сравняване на общите разходи на такива ПИПДОЗИП, преди да изберат един конкретен инвестиционен вариант. По-подробните правила за използване на тези инструменти следва да осигуряват по-добра видимост на общите разходи по тези продукти, като същевременно позволяват известна степен на гъвкавост при използването на инструментите за симулация.</w:t>
      </w:r>
    </w:p>
    <w:p w14:paraId="252687E5" w14:textId="5313E7E7" w:rsidR="00785F32" w:rsidRPr="00546DE5" w:rsidRDefault="00713738" w:rsidP="00713738">
      <w:pPr>
        <w:pStyle w:val="ManualConsidrant"/>
        <w:rPr>
          <w:noProof/>
          <w:szCs w:val="24"/>
        </w:rPr>
      </w:pPr>
      <w:r w:rsidRPr="00713738">
        <w:t>(4)</w:t>
      </w:r>
      <w:r w:rsidRPr="00713738">
        <w:tab/>
      </w:r>
      <w:r w:rsidR="620F20C5" w:rsidRPr="00546DE5">
        <w:rPr>
          <w:noProof/>
        </w:rPr>
        <w:t>Инвеститорите на дребно все по-често търсят информация за резултатите по отношение на устойчивостта на инвестиционните продукти, включително на ПИПДОЗИП. С неотдавнашни законодателни актове на Съюза бяха въведени няколко задължения за оповестяване, които биха могли да се използват за информиране на инвеститорите на дребно, включително Регламент (ЕС) 2019/2088 на Европейския парламент и на Съвета</w:t>
      </w:r>
      <w:r w:rsidR="620F20C5" w:rsidRPr="00546DE5">
        <w:rPr>
          <w:rStyle w:val="FootnoteReference"/>
          <w:noProof/>
        </w:rPr>
        <w:footnoteReference w:id="14"/>
      </w:r>
      <w:r w:rsidR="620F20C5" w:rsidRPr="00546DE5">
        <w:rPr>
          <w:noProof/>
        </w:rPr>
        <w:t xml:space="preserve"> и Регламент (ЕС) 2020/852 на Европейския парламент и на Съвета</w:t>
      </w:r>
      <w:r w:rsidR="620F20C5" w:rsidRPr="00546DE5">
        <w:rPr>
          <w:rStyle w:val="FootnoteReference"/>
          <w:noProof/>
        </w:rPr>
        <w:footnoteReference w:id="15"/>
      </w:r>
      <w:r w:rsidR="620F20C5" w:rsidRPr="00546DE5">
        <w:rPr>
          <w:noProof/>
        </w:rPr>
        <w:t xml:space="preserve">. Такива оповестявания обаче може да не са достатъчно видими за инвеститорите на дребно. Поради това е необходимо в основния информационен документ да се добави определена информация за профила на устойчивост на ПИПДОЗИП. За да се избегнат допълнителни разходи за отчитане, тази ЕСУ информация следва да се вземе от оповестяванията, предоставяни от създателите на продукти съгласно Регламент (ЕС) 2019/2088 и Регламент (ЕС) 2020/852. </w:t>
      </w:r>
    </w:p>
    <w:p w14:paraId="523826BF" w14:textId="21519D7F" w:rsidR="00785F32" w:rsidRPr="00546DE5" w:rsidRDefault="00713738" w:rsidP="00713738">
      <w:pPr>
        <w:pStyle w:val="ManualConsidrant"/>
        <w:rPr>
          <w:noProof/>
        </w:rPr>
      </w:pPr>
      <w:r w:rsidRPr="00713738">
        <w:t>(5)</w:t>
      </w:r>
      <w:r w:rsidRPr="00713738">
        <w:tab/>
      </w:r>
      <w:r w:rsidR="620F20C5" w:rsidRPr="00546DE5">
        <w:rPr>
          <w:noProof/>
        </w:rPr>
        <w:t xml:space="preserve">Засилената цифровизация предоставя възможности основните характеристики на ПИПДОЗИП да се представят по по-привлекателен начин. Регламент (ЕС) № 1286/2014 обаче не предоставя достатъчна гъвкавост за използването на цифрови средства за представяне на основна информация на инвеститорите, като например представяне на информацията от основните информационни документи за ПИПДОЗИП по многослоен и персонализиран начин, което би намалило визуалното претоварване на инвеститорите на дребно и би улеснило разбирането им за съответния ПИПДОЗИП. Поради това е необходимо да се въведе по-голяма гъвкавост при използването на електронния формат, така че инвеститорите да могат да се възползват напълно от потенциала, който предлага предоставянето на основния информационен документ в електронен формат, включително като персонализират сумата, която желаят да инвестират, или периода на държане, в съответствие със своите предпочитания. Това персонализиране не предполага оценка от страна на доставчика на ПИПДОЗИП на индивидуалните характеристики на потенциалния инвеститор на дребно. Основният информационен документ от три страници винаги трябва да бъде изготвен в съответствие с член 8 и да бъде достъпен на уебсайта на създателя. Съдържащата се в него основна информация обаче може да бъде предоставена на инвеститорите на дребно по гъвкав и персонализиран начин, стига инвеститорите на дребно да бъдат информирани, че могат да изтеглят пълния основен информационен документ. </w:t>
      </w:r>
    </w:p>
    <w:p w14:paraId="4F333CF6" w14:textId="22834743" w:rsidR="00785F32" w:rsidRPr="00546DE5" w:rsidRDefault="00713738" w:rsidP="00713738">
      <w:pPr>
        <w:pStyle w:val="ManualConsidrant"/>
        <w:rPr>
          <w:noProof/>
        </w:rPr>
      </w:pPr>
      <w:r w:rsidRPr="00713738">
        <w:t>(6)</w:t>
      </w:r>
      <w:r w:rsidRPr="00713738">
        <w:tab/>
      </w:r>
      <w:r w:rsidR="25C194E5" w:rsidRPr="00546DE5">
        <w:rPr>
          <w:noProof/>
        </w:rPr>
        <w:t>Европейският орган за ценни книжа и пазари, Европейският банков орган и Европейският орган за застраховане и професионално пенсионно осигуряване (наричани по-нататък „ЕНО“) следва да разработят проекти на регулаторни технически стандарти по отношение на съдържанието на информационните табла и принципите за използване на разслояване и двоични опции, като използват електронен формат. Комисията следва да приеме тези проекти на регулаторни технически стандарти или да ги измени допълнително чрез делегирани актове съгласно член 290 от ДФЕС и в съответствие с членове 10—14 от регламенти (ЕС) № 1093/2010</w:t>
      </w:r>
      <w:r w:rsidR="25C194E5" w:rsidRPr="00546DE5">
        <w:rPr>
          <w:rStyle w:val="FootnoteReference"/>
          <w:noProof/>
        </w:rPr>
        <w:footnoteReference w:id="16"/>
      </w:r>
      <w:r w:rsidR="25C194E5" w:rsidRPr="00546DE5">
        <w:rPr>
          <w:noProof/>
        </w:rPr>
        <w:t>, (ЕС) № 1094/2010</w:t>
      </w:r>
      <w:r w:rsidR="25C194E5" w:rsidRPr="00546DE5">
        <w:rPr>
          <w:rStyle w:val="FootnoteReference"/>
          <w:noProof/>
        </w:rPr>
        <w:footnoteReference w:id="17"/>
      </w:r>
      <w:r w:rsidR="25C194E5" w:rsidRPr="00546DE5">
        <w:rPr>
          <w:noProof/>
        </w:rPr>
        <w:t xml:space="preserve"> и Регламент (ЕС) № 1095/2010 на Европейския парламент и на Съвета</w:t>
      </w:r>
      <w:r w:rsidR="25C194E5" w:rsidRPr="00546DE5">
        <w:rPr>
          <w:rStyle w:val="FootnoteReference"/>
          <w:noProof/>
        </w:rPr>
        <w:footnoteReference w:id="18"/>
      </w:r>
      <w:r w:rsidR="25C194E5" w:rsidRPr="00546DE5">
        <w:rPr>
          <w:noProof/>
        </w:rPr>
        <w:t xml:space="preserve">. </w:t>
      </w:r>
    </w:p>
    <w:p w14:paraId="7BB67F75" w14:textId="7BC07CDE" w:rsidR="00106655" w:rsidRPr="00546DE5" w:rsidRDefault="00713738" w:rsidP="00713738">
      <w:pPr>
        <w:pStyle w:val="ManualConsidrant"/>
        <w:rPr>
          <w:rFonts w:eastAsiaTheme="minorEastAsia"/>
          <w:noProof/>
          <w:szCs w:val="24"/>
        </w:rPr>
      </w:pPr>
      <w:r w:rsidRPr="00713738">
        <w:t>(7)</w:t>
      </w:r>
      <w:r w:rsidRPr="00713738">
        <w:tab/>
      </w:r>
      <w:r w:rsidR="4406F20D" w:rsidRPr="00546DE5">
        <w:rPr>
          <w:noProof/>
        </w:rPr>
        <w:t>За да се гарантира, че инвеститорите на дребно във всички случаи вземат информирано инвестиционно решение, основният информационен документ трябва да се актуализира. В проектите на регулаторни технически стандарти следва да се уточнят условията, при които следва да бъде преразгледан основният информационен документ, като се прави разграничение между ПИПДОЗИП, които все още се предоставят, и ПИПДОЗИП, които вече не се предоставят на инвеститорите на дребно. Поддържането на актуализиран основен информационен документ не следва да засяга факта, че създателите следва да се съобразяват с преддоговорната информация, съдържаща се в основния информационен документ, предоставен на инвеститорите на дребно преди тяхната инвестиция.</w:t>
      </w:r>
    </w:p>
    <w:p w14:paraId="2344A065" w14:textId="65940CEB" w:rsidR="007634A2" w:rsidRPr="00546DE5" w:rsidRDefault="00713738" w:rsidP="00713738">
      <w:pPr>
        <w:pStyle w:val="ManualConsidrant"/>
        <w:rPr>
          <w:rFonts w:eastAsiaTheme="minorEastAsia"/>
          <w:noProof/>
          <w:szCs w:val="24"/>
        </w:rPr>
      </w:pPr>
      <w:r w:rsidRPr="00713738">
        <w:t>(8)</w:t>
      </w:r>
      <w:r w:rsidRPr="00713738">
        <w:tab/>
      </w:r>
      <w:r w:rsidR="007634A2" w:rsidRPr="00546DE5">
        <w:rPr>
          <w:noProof/>
        </w:rPr>
        <w:t>Поради това Регламент (ЕС) № 1286/2014 следва да бъде съответно изменен.</w:t>
      </w:r>
    </w:p>
    <w:p w14:paraId="1ACA03F5" w14:textId="19296F00" w:rsidR="00106655" w:rsidRPr="00546DE5" w:rsidRDefault="00713738" w:rsidP="00713738">
      <w:pPr>
        <w:pStyle w:val="ManualConsidrant"/>
        <w:rPr>
          <w:noProof/>
        </w:rPr>
      </w:pPr>
      <w:r w:rsidRPr="00713738">
        <w:t>(9)</w:t>
      </w:r>
      <w:r w:rsidRPr="00713738">
        <w:tab/>
      </w:r>
      <w:r w:rsidR="0A3FB79E" w:rsidRPr="00546DE5">
        <w:rPr>
          <w:noProof/>
        </w:rPr>
        <w:t>Необходимо е да се осигури достатъчно време на европейските надзорни органи за изготвяне на спецификации за основните елементи на изменените правила и на създателите на ПИПДОЗИП да се запознаят с тези спецификации. Поради това началната дата на прилагане на настоящия регламент следва да бъде отложена,</w:t>
      </w:r>
    </w:p>
    <w:p w14:paraId="5306897F" w14:textId="77777777" w:rsidR="004E5476" w:rsidRPr="00546DE5" w:rsidRDefault="004E5476" w:rsidP="0050536B">
      <w:pPr>
        <w:pStyle w:val="Formuledadoption"/>
        <w:rPr>
          <w:noProof/>
        </w:rPr>
      </w:pPr>
      <w:r w:rsidRPr="00546DE5">
        <w:rPr>
          <w:noProof/>
        </w:rPr>
        <w:t>ПРИЕХА НАСТОЯЩИЯ РЕГЛАМЕНТ:</w:t>
      </w:r>
    </w:p>
    <w:p w14:paraId="3CD5AF85" w14:textId="77777777" w:rsidR="004E5476" w:rsidRPr="00546DE5" w:rsidRDefault="004E5476" w:rsidP="00266E13">
      <w:pPr>
        <w:pStyle w:val="Titrearticle"/>
        <w:spacing w:before="0" w:after="0"/>
        <w:rPr>
          <w:noProof/>
        </w:rPr>
      </w:pPr>
      <w:r w:rsidRPr="00546DE5">
        <w:rPr>
          <w:noProof/>
        </w:rPr>
        <w:t>Член 1</w:t>
      </w:r>
    </w:p>
    <w:p w14:paraId="6CBB47BF" w14:textId="77777777" w:rsidR="007B112D" w:rsidRPr="00546DE5" w:rsidRDefault="007B112D" w:rsidP="00D80377">
      <w:pPr>
        <w:pStyle w:val="Titrearticle"/>
        <w:rPr>
          <w:noProof/>
        </w:rPr>
      </w:pPr>
      <w:r w:rsidRPr="00546DE5">
        <w:rPr>
          <w:noProof/>
        </w:rPr>
        <w:t>Изменения на Регламент (ЕС) № 1286/2014</w:t>
      </w:r>
    </w:p>
    <w:p w14:paraId="67BC60B2" w14:textId="77777777" w:rsidR="00785F32" w:rsidRPr="00546DE5" w:rsidRDefault="00785F32" w:rsidP="00785F32">
      <w:pPr>
        <w:rPr>
          <w:noProof/>
        </w:rPr>
      </w:pPr>
      <w:r w:rsidRPr="00546DE5">
        <w:rPr>
          <w:noProof/>
        </w:rPr>
        <w:t>Регламент (ЕС) № 1286/2014 се изменя, както следва:</w:t>
      </w:r>
    </w:p>
    <w:p w14:paraId="40D685AC" w14:textId="47E40D86" w:rsidR="00E86BA4" w:rsidRPr="00546DE5" w:rsidRDefault="008E3CDA" w:rsidP="008E3CDA">
      <w:pPr>
        <w:pStyle w:val="Point0"/>
        <w:rPr>
          <w:noProof/>
        </w:rPr>
      </w:pPr>
      <w:r>
        <w:rPr>
          <w:noProof/>
        </w:rPr>
        <w:t>1)</w:t>
      </w:r>
      <w:r>
        <w:rPr>
          <w:noProof/>
        </w:rPr>
        <w:tab/>
      </w:r>
      <w:r w:rsidR="00E86BA4" w:rsidRPr="00546DE5">
        <w:rPr>
          <w:noProof/>
        </w:rPr>
        <w:t>член 2, параграф 2 се изменя, както следва:</w:t>
      </w:r>
    </w:p>
    <w:p w14:paraId="00D2FEBD" w14:textId="56811E24" w:rsidR="00CE0E59" w:rsidRPr="00546DE5" w:rsidRDefault="008E3CDA" w:rsidP="008E3CDA">
      <w:pPr>
        <w:pStyle w:val="Point1"/>
        <w:rPr>
          <w:noProof/>
        </w:rPr>
      </w:pPr>
      <w:r>
        <w:rPr>
          <w:noProof/>
        </w:rPr>
        <w:t>а)</w:t>
      </w:r>
      <w:r>
        <w:rPr>
          <w:noProof/>
        </w:rPr>
        <w:tab/>
      </w:r>
      <w:r w:rsidR="00CE0E59" w:rsidRPr="00546DE5">
        <w:rPr>
          <w:noProof/>
        </w:rPr>
        <w:t xml:space="preserve">буква г) се заменя със следното: </w:t>
      </w:r>
    </w:p>
    <w:p w14:paraId="398357AD" w14:textId="6CA86401" w:rsidR="00CE0E59" w:rsidRPr="00546DE5" w:rsidRDefault="4140C8A5" w:rsidP="00A928C9">
      <w:pPr>
        <w:pStyle w:val="Text1"/>
        <w:rPr>
          <w:noProof/>
        </w:rPr>
      </w:pPr>
      <w:r w:rsidRPr="00546DE5">
        <w:rPr>
          <w:noProof/>
        </w:rPr>
        <w:t>„г) ценни книжа, посочени в член 1, параграф 2, букви б)—д) и буква ж) от Регламент (ЕС) 2017/1129 на Европейския парламент и на Съвета</w:t>
      </w:r>
      <w:r w:rsidRPr="00546DE5">
        <w:rPr>
          <w:noProof/>
          <w:vertAlign w:val="superscript"/>
        </w:rPr>
        <w:t>*</w:t>
      </w:r>
      <w:r w:rsidRPr="00546DE5">
        <w:rPr>
          <w:noProof/>
        </w:rPr>
        <w:t>;“;</w:t>
      </w:r>
    </w:p>
    <w:p w14:paraId="7EC75878" w14:textId="75167119" w:rsidR="0E6DCF0E" w:rsidRPr="00546DE5" w:rsidRDefault="008E3CDA" w:rsidP="008E3CDA">
      <w:pPr>
        <w:pStyle w:val="Point1"/>
        <w:rPr>
          <w:noProof/>
        </w:rPr>
      </w:pPr>
      <w:r>
        <w:rPr>
          <w:noProof/>
        </w:rPr>
        <w:t>б)</w:t>
      </w:r>
      <w:r>
        <w:rPr>
          <w:noProof/>
        </w:rPr>
        <w:tab/>
      </w:r>
      <w:r w:rsidR="007634A2" w:rsidRPr="00546DE5">
        <w:rPr>
          <w:noProof/>
        </w:rPr>
        <w:t xml:space="preserve">добавя се следната буква з):  </w:t>
      </w:r>
    </w:p>
    <w:p w14:paraId="4099E9FB" w14:textId="77777777" w:rsidR="7ACDA14B" w:rsidRPr="00546DE5" w:rsidRDefault="29D290DA" w:rsidP="00A928C9">
      <w:pPr>
        <w:pStyle w:val="Text1"/>
        <w:rPr>
          <w:noProof/>
        </w:rPr>
      </w:pPr>
      <w:r w:rsidRPr="00546DE5">
        <w:rPr>
          <w:noProof/>
        </w:rPr>
        <w:t xml:space="preserve">„з) пенсионни продукти, включително незабавни анюитети без фаза на обратно изкупуване, основната цел на които, съгласно националното законодателство, е да осигурят на инвеститора доходи след пенсиониране и които му дават правото на определени осигурителни плащания.“; </w:t>
      </w:r>
    </w:p>
    <w:p w14:paraId="6BB21BB8" w14:textId="77777777" w:rsidR="007634A2" w:rsidRPr="00546DE5" w:rsidRDefault="007634A2" w:rsidP="007634A2">
      <w:pPr>
        <w:pStyle w:val="Text1"/>
        <w:pBdr>
          <w:bottom w:val="single" w:sz="12" w:space="1" w:color="auto"/>
        </w:pBdr>
        <w:rPr>
          <w:noProof/>
        </w:rPr>
      </w:pPr>
    </w:p>
    <w:p w14:paraId="2ADE645F" w14:textId="77777777" w:rsidR="007634A2" w:rsidRPr="00546DE5" w:rsidRDefault="007634A2" w:rsidP="007634A2">
      <w:pPr>
        <w:pStyle w:val="Text1"/>
        <w:rPr>
          <w:noProof/>
        </w:rPr>
      </w:pPr>
      <w:r w:rsidRPr="00546DE5">
        <w:rPr>
          <w:noProof/>
          <w:vertAlign w:val="superscript"/>
        </w:rPr>
        <w:t>*</w:t>
      </w:r>
      <w:r w:rsidRPr="00546DE5">
        <w:rPr>
          <w:noProof/>
        </w:rPr>
        <w:tab/>
        <w:t xml:space="preserve">Регламент (ЕС) 2017/1129 на Европейския парламент и на Съвета от 14 юни 2017 г. 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2003/71/ЕО (ОВ L 168, 30.6.2017 г., стр. 12).;  </w:t>
      </w:r>
    </w:p>
    <w:p w14:paraId="30BD542C" w14:textId="275E6C9C" w:rsidR="00CE0E59" w:rsidRPr="00546DE5" w:rsidRDefault="008E3CDA" w:rsidP="008E3CDA">
      <w:pPr>
        <w:pStyle w:val="Point0"/>
        <w:rPr>
          <w:noProof/>
        </w:rPr>
      </w:pPr>
      <w:r>
        <w:rPr>
          <w:noProof/>
        </w:rPr>
        <w:t>2)</w:t>
      </w:r>
      <w:r>
        <w:rPr>
          <w:noProof/>
        </w:rPr>
        <w:tab/>
      </w:r>
      <w:r w:rsidR="007634A2" w:rsidRPr="00546DE5">
        <w:rPr>
          <w:noProof/>
        </w:rPr>
        <w:t>в член 3 параграф 1 се заменя със следното:</w:t>
      </w:r>
    </w:p>
    <w:p w14:paraId="6A52F6A5" w14:textId="77777777" w:rsidR="00CE0E59" w:rsidRPr="00546DE5" w:rsidRDefault="006904A7" w:rsidP="00CE0E59">
      <w:pPr>
        <w:pStyle w:val="Text1"/>
        <w:rPr>
          <w:noProof/>
          <w:color w:val="000000" w:themeColor="text1"/>
        </w:rPr>
      </w:pPr>
      <w:r w:rsidRPr="00546DE5">
        <w:rPr>
          <w:noProof/>
        </w:rPr>
        <w:t>„1. Ако създателите на ПИПДОЗИП, попадащи в обхвата на настоящия регламент, попадат в обхвата и на Регламент (ЕС) 2017/1129, се прилагат както настоящият регламент, така и Регламент (ЕС) 2017/1129.“;</w:t>
      </w:r>
    </w:p>
    <w:p w14:paraId="0BCD0FE8" w14:textId="4D2BC634" w:rsidR="0091324D" w:rsidRPr="00546DE5" w:rsidRDefault="008E3CDA" w:rsidP="008E3CDA">
      <w:pPr>
        <w:pStyle w:val="Point0"/>
        <w:rPr>
          <w:rFonts w:eastAsia="Times New Roman"/>
          <w:noProof/>
          <w:szCs w:val="24"/>
        </w:rPr>
      </w:pPr>
      <w:r>
        <w:rPr>
          <w:noProof/>
        </w:rPr>
        <w:t>3)</w:t>
      </w:r>
      <w:r>
        <w:rPr>
          <w:noProof/>
        </w:rPr>
        <w:tab/>
      </w:r>
      <w:r w:rsidR="0091324D" w:rsidRPr="00546DE5">
        <w:rPr>
          <w:noProof/>
        </w:rPr>
        <w:t>член 4 се изменя, както следва:</w:t>
      </w:r>
    </w:p>
    <w:p w14:paraId="03C02606" w14:textId="7A53F148" w:rsidR="00D80377" w:rsidRPr="00546DE5" w:rsidRDefault="008E3CDA" w:rsidP="008E3CDA">
      <w:pPr>
        <w:pStyle w:val="Point1"/>
        <w:rPr>
          <w:noProof/>
        </w:rPr>
      </w:pPr>
      <w:r>
        <w:rPr>
          <w:noProof/>
        </w:rPr>
        <w:t>а)</w:t>
      </w:r>
      <w:r>
        <w:rPr>
          <w:noProof/>
        </w:rPr>
        <w:tab/>
      </w:r>
      <w:r w:rsidR="007634A2" w:rsidRPr="00546DE5">
        <w:rPr>
          <w:noProof/>
        </w:rPr>
        <w:t xml:space="preserve"> в точка 1 след последното изречение се добавя следният текст: </w:t>
      </w:r>
    </w:p>
    <w:p w14:paraId="7D7F5D50" w14:textId="77777777" w:rsidR="007634A2" w:rsidRPr="00546DE5" w:rsidRDefault="52AF24A0" w:rsidP="00C813A8">
      <w:pPr>
        <w:ind w:left="720"/>
        <w:rPr>
          <w:noProof/>
        </w:rPr>
      </w:pPr>
      <w:r w:rsidRPr="00546DE5">
        <w:rPr>
          <w:noProof/>
        </w:rPr>
        <w:t xml:space="preserve">„, освен ако тези колебания се дължат единствено на включването на клауза „make-whole“ в съответствие с определението в член 4, параграф 1, точка 44а от Директива 2014/65/ЕС;“; </w:t>
      </w:r>
    </w:p>
    <w:p w14:paraId="1A2BBB8D" w14:textId="083FF83A" w:rsidR="007634A2" w:rsidRPr="00546DE5" w:rsidRDefault="008E3CDA" w:rsidP="008E3CDA">
      <w:pPr>
        <w:pStyle w:val="Point1"/>
        <w:rPr>
          <w:noProof/>
        </w:rPr>
      </w:pPr>
      <w:r>
        <w:rPr>
          <w:noProof/>
        </w:rPr>
        <w:t>б)</w:t>
      </w:r>
      <w:r>
        <w:rPr>
          <w:noProof/>
        </w:rPr>
        <w:tab/>
      </w:r>
      <w:r w:rsidR="007634A2" w:rsidRPr="00546DE5">
        <w:rPr>
          <w:noProof/>
        </w:rPr>
        <w:t>вмъква се следната точка 7a:</w:t>
      </w:r>
    </w:p>
    <w:p w14:paraId="1AC6E2DF" w14:textId="77777777" w:rsidR="0091324D" w:rsidRPr="00546DE5" w:rsidRDefault="007634A2" w:rsidP="001C0DD7">
      <w:pPr>
        <w:pStyle w:val="Text1"/>
        <w:rPr>
          <w:noProof/>
        </w:rPr>
      </w:pPr>
      <w:r w:rsidRPr="00546DE5">
        <w:rPr>
          <w:noProof/>
        </w:rPr>
        <w:t>„7a) „електронен формат“ означава всеки траен носител, който не е хартиен;“;</w:t>
      </w:r>
    </w:p>
    <w:p w14:paraId="5AFA45E6" w14:textId="3C37CCF6" w:rsidR="00CE0E59" w:rsidRPr="00546DE5" w:rsidRDefault="008E3CDA" w:rsidP="008E3CDA">
      <w:pPr>
        <w:pStyle w:val="Point0"/>
        <w:rPr>
          <w:noProof/>
        </w:rPr>
      </w:pPr>
      <w:bookmarkStart w:id="12" w:name="_Hlk132813345"/>
      <w:r>
        <w:rPr>
          <w:noProof/>
        </w:rPr>
        <w:t>4)</w:t>
      </w:r>
      <w:r>
        <w:rPr>
          <w:noProof/>
        </w:rPr>
        <w:tab/>
      </w:r>
      <w:r w:rsidR="007634A2" w:rsidRPr="00546DE5">
        <w:rPr>
          <w:noProof/>
        </w:rPr>
        <w:t>в член 6 параграф 3 се заменя със следното</w:t>
      </w:r>
      <w:bookmarkEnd w:id="12"/>
      <w:r w:rsidR="007634A2" w:rsidRPr="00546DE5">
        <w:rPr>
          <w:noProof/>
        </w:rPr>
        <w:t>:</w:t>
      </w:r>
    </w:p>
    <w:p w14:paraId="4E586DEF" w14:textId="77777777" w:rsidR="00CE0E59" w:rsidRPr="00546DE5" w:rsidRDefault="00A42BEB" w:rsidP="00CE0E59">
      <w:pPr>
        <w:pStyle w:val="Text1"/>
        <w:rPr>
          <w:noProof/>
        </w:rPr>
      </w:pPr>
      <w:r w:rsidRPr="00546DE5">
        <w:rPr>
          <w:noProof/>
        </w:rPr>
        <w:t>„3. Чрез дерогация от параграф 2, когато ПИПДОЗИП предлага на инвеститора на дребно набор от инвестиционни варианти, така че цялата информация, изисквана съгласно член 8, параграф 3, по отношение на всеки инвестиционен вариант не може да бъде предоставена в един-единствен, кратък и самостоятелен документ, основният информационен документ съдържа общо описание на базисните инвестиционни варианти, както и разходите за ПИПДОЗИП, различни от разходите за инвестиционния вариант, при условие че:</w:t>
      </w:r>
    </w:p>
    <w:p w14:paraId="317E3A73" w14:textId="5A8F50A9" w:rsidR="00CE0E59" w:rsidRPr="00546DE5" w:rsidRDefault="008E3CDA" w:rsidP="008E3CDA">
      <w:pPr>
        <w:pStyle w:val="Point1"/>
        <w:rPr>
          <w:noProof/>
        </w:rPr>
      </w:pPr>
      <w:r>
        <w:rPr>
          <w:noProof/>
        </w:rPr>
        <w:t>а)</w:t>
      </w:r>
      <w:r>
        <w:rPr>
          <w:noProof/>
        </w:rPr>
        <w:tab/>
      </w:r>
      <w:r w:rsidR="00CE0E59" w:rsidRPr="00546DE5">
        <w:rPr>
          <w:noProof/>
        </w:rPr>
        <w:t>създателите на ПИПДОЗИП предоставят на инвеститорите инструменти, адаптирани за инвеститори на дребно, които улесняват проучването и сравняването на различните инвестиционни варианти, включително по отношение на разходите;</w:t>
      </w:r>
    </w:p>
    <w:p w14:paraId="52951256" w14:textId="6E56FC88" w:rsidR="000667DC" w:rsidRPr="00546DE5" w:rsidRDefault="008E3CDA" w:rsidP="008E3CDA">
      <w:pPr>
        <w:pStyle w:val="Point1"/>
        <w:rPr>
          <w:noProof/>
        </w:rPr>
      </w:pPr>
      <w:r>
        <w:rPr>
          <w:noProof/>
        </w:rPr>
        <w:t>б)</w:t>
      </w:r>
      <w:r>
        <w:rPr>
          <w:noProof/>
        </w:rPr>
        <w:tab/>
      </w:r>
      <w:r w:rsidR="000667DC" w:rsidRPr="00546DE5">
        <w:rPr>
          <w:noProof/>
        </w:rPr>
        <w:t>инвеститорите на дребно имат лесен достъп до документацията с преддоговорна информация, свързана с инвестиционните продукти в основата на базисните инвестиционни варианти;</w:t>
      </w:r>
    </w:p>
    <w:p w14:paraId="3BED4ECD" w14:textId="2E663717" w:rsidR="000667DC" w:rsidRPr="00546DE5" w:rsidRDefault="008E3CDA" w:rsidP="008E3CDA">
      <w:pPr>
        <w:pStyle w:val="Point1"/>
        <w:rPr>
          <w:noProof/>
        </w:rPr>
      </w:pPr>
      <w:r>
        <w:rPr>
          <w:noProof/>
        </w:rPr>
        <w:t>в)</w:t>
      </w:r>
      <w:r>
        <w:rPr>
          <w:noProof/>
        </w:rPr>
        <w:tab/>
      </w:r>
      <w:r w:rsidR="003A2A9A" w:rsidRPr="00546DE5">
        <w:rPr>
          <w:noProof/>
        </w:rPr>
        <w:t>създателите на ПИПДОЗИП предоставят на инвеститорите, при поискване от тяхна страна и своевременно, преди инвеститорите на дребно да бъдат обвързани с какъвто и да е договор или предложение за инвестиране в даден инвестиционен вариант, пълните разходи за ПИПДОЗИП, свързани с този инвестиционен вариант.“;</w:t>
      </w:r>
    </w:p>
    <w:p w14:paraId="19F4D4FC" w14:textId="0677391A" w:rsidR="003A2A9A" w:rsidRPr="00546DE5" w:rsidRDefault="008E3CDA" w:rsidP="008E3CDA">
      <w:pPr>
        <w:pStyle w:val="Point0"/>
        <w:rPr>
          <w:rFonts w:eastAsia="Times New Roman"/>
          <w:noProof/>
          <w:szCs w:val="24"/>
        </w:rPr>
      </w:pPr>
      <w:r>
        <w:rPr>
          <w:noProof/>
        </w:rPr>
        <w:t>5)</w:t>
      </w:r>
      <w:r>
        <w:rPr>
          <w:noProof/>
        </w:rPr>
        <w:tab/>
      </w:r>
      <w:r w:rsidR="003A2A9A" w:rsidRPr="00546DE5">
        <w:rPr>
          <w:noProof/>
        </w:rPr>
        <w:t>член 8 се изменя, както следва:</w:t>
      </w:r>
    </w:p>
    <w:p w14:paraId="609B7819" w14:textId="47FF9FEC" w:rsidR="003A2A9A" w:rsidRPr="00546DE5" w:rsidRDefault="008E3CDA" w:rsidP="008E3CDA">
      <w:pPr>
        <w:pStyle w:val="Point1"/>
        <w:rPr>
          <w:noProof/>
        </w:rPr>
      </w:pPr>
      <w:r>
        <w:rPr>
          <w:noProof/>
        </w:rPr>
        <w:t>а)</w:t>
      </w:r>
      <w:r>
        <w:rPr>
          <w:noProof/>
        </w:rPr>
        <w:tab/>
      </w:r>
      <w:r w:rsidR="003A2A9A" w:rsidRPr="00546DE5">
        <w:rPr>
          <w:noProof/>
        </w:rPr>
        <w:t>в параграф 3 се добавя буква аа):</w:t>
      </w:r>
    </w:p>
    <w:p w14:paraId="475B4BE5" w14:textId="31CE28C7" w:rsidR="00D80377" w:rsidRPr="00546DE5" w:rsidRDefault="00A53B3C" w:rsidP="00A53B3C">
      <w:pPr>
        <w:pStyle w:val="Text1"/>
        <w:ind w:left="1417"/>
        <w:rPr>
          <w:noProof/>
          <w:shd w:val="clear" w:color="auto" w:fill="FFFFFF"/>
        </w:rPr>
      </w:pPr>
      <w:r w:rsidRPr="00546DE5">
        <w:rPr>
          <w:noProof/>
        </w:rPr>
        <w:t xml:space="preserve">„аа) </w:t>
      </w:r>
      <w:r w:rsidRPr="00546DE5">
        <w:rPr>
          <w:noProof/>
          <w:shd w:val="clear" w:color="auto" w:fill="FFFFFF"/>
        </w:rPr>
        <w:t>в раздел, озаглавен „Кратко описание на продукта“, информационно табло с обобщена информация за всичко посочено по-долу:</w:t>
      </w:r>
    </w:p>
    <w:p w14:paraId="147B70DA" w14:textId="77777777" w:rsidR="00D80377" w:rsidRPr="00546DE5" w:rsidRDefault="00A53B3C" w:rsidP="00A53B3C">
      <w:pPr>
        <w:pStyle w:val="Point2"/>
        <w:ind w:firstLine="0"/>
        <w:rPr>
          <w:noProof/>
        </w:rPr>
      </w:pPr>
      <w:r w:rsidRPr="00546DE5">
        <w:rPr>
          <w:noProof/>
        </w:rPr>
        <w:t>i) вида на ПИПДОЗИП, както е посочено в буква в), подточка i);</w:t>
      </w:r>
    </w:p>
    <w:p w14:paraId="5EA51ACF" w14:textId="77777777" w:rsidR="00FF6AFD" w:rsidRPr="00546DE5" w:rsidRDefault="00A53B3C" w:rsidP="00A53B3C">
      <w:pPr>
        <w:pStyle w:val="Point2"/>
        <w:ind w:firstLine="0"/>
        <w:rPr>
          <w:noProof/>
        </w:rPr>
      </w:pPr>
      <w:r w:rsidRPr="00546DE5">
        <w:rPr>
          <w:noProof/>
        </w:rPr>
        <w:t>ii) обобщаващия показател за риска, посочен в буква г), подточка i);</w:t>
      </w:r>
    </w:p>
    <w:p w14:paraId="7F025934" w14:textId="77777777" w:rsidR="00FF6AFD" w:rsidRPr="00546DE5" w:rsidRDefault="00A53B3C" w:rsidP="00A53B3C">
      <w:pPr>
        <w:pStyle w:val="Point2"/>
        <w:ind w:firstLine="0"/>
        <w:rPr>
          <w:noProof/>
        </w:rPr>
      </w:pPr>
      <w:r w:rsidRPr="00546DE5">
        <w:rPr>
          <w:noProof/>
        </w:rPr>
        <w:t>iii) общите разходи за ПИПДОЗИП;</w:t>
      </w:r>
    </w:p>
    <w:p w14:paraId="18251036" w14:textId="77777777" w:rsidR="00FF6AFD" w:rsidRPr="00546DE5" w:rsidRDefault="00A53B3C" w:rsidP="00A53B3C">
      <w:pPr>
        <w:pStyle w:val="Point2"/>
        <w:ind w:firstLine="0"/>
        <w:rPr>
          <w:noProof/>
        </w:rPr>
      </w:pPr>
      <w:r w:rsidRPr="00546DE5">
        <w:rPr>
          <w:noProof/>
        </w:rPr>
        <w:t>iv) препоръчителния период на държане, посочен в буква ж), подточка ii);</w:t>
      </w:r>
    </w:p>
    <w:p w14:paraId="60EBA5E2" w14:textId="4CFF3AE0" w:rsidR="00FF6AFD" w:rsidRPr="00546DE5" w:rsidRDefault="00A53B3C" w:rsidP="00A53B3C">
      <w:pPr>
        <w:pStyle w:val="Point2"/>
        <w:ind w:firstLine="0"/>
        <w:rPr>
          <w:noProof/>
        </w:rPr>
      </w:pPr>
      <w:r w:rsidRPr="00546DE5">
        <w:rPr>
          <w:noProof/>
        </w:rPr>
        <w:t>v) това дали ПИПДОЗИП предлага застрахователните обезщетения, посочени в буква в), подточка iv);“;</w:t>
      </w:r>
    </w:p>
    <w:p w14:paraId="4B47A6C4" w14:textId="4BCCAE4A" w:rsidR="003A2A9A" w:rsidRPr="00546DE5" w:rsidRDefault="008E3CDA" w:rsidP="008E3CDA">
      <w:pPr>
        <w:pStyle w:val="Point1"/>
        <w:rPr>
          <w:noProof/>
        </w:rPr>
      </w:pPr>
      <w:r>
        <w:rPr>
          <w:noProof/>
        </w:rPr>
        <w:t>б)</w:t>
      </w:r>
      <w:r>
        <w:rPr>
          <w:noProof/>
        </w:rPr>
        <w:tab/>
      </w:r>
      <w:r w:rsidR="003A2A9A" w:rsidRPr="00546DE5">
        <w:rPr>
          <w:noProof/>
        </w:rPr>
        <w:t>в параграф 3 буква б) се заличава;</w:t>
      </w:r>
    </w:p>
    <w:p w14:paraId="16D59AFA" w14:textId="084876B5" w:rsidR="003A2A9A" w:rsidRPr="00546DE5" w:rsidRDefault="008E3CDA" w:rsidP="008E3CDA">
      <w:pPr>
        <w:pStyle w:val="Point1"/>
        <w:rPr>
          <w:noProof/>
        </w:rPr>
      </w:pPr>
      <w:r>
        <w:rPr>
          <w:noProof/>
        </w:rPr>
        <w:t>в)</w:t>
      </w:r>
      <w:r>
        <w:rPr>
          <w:noProof/>
        </w:rPr>
        <w:tab/>
      </w:r>
      <w:r w:rsidR="003A2A9A" w:rsidRPr="00546DE5">
        <w:rPr>
          <w:noProof/>
        </w:rPr>
        <w:t>в параграф 3, буква в) подточка ii) се заменя със следното:</w:t>
      </w:r>
    </w:p>
    <w:p w14:paraId="1BA72045" w14:textId="77777777" w:rsidR="003A2A9A" w:rsidRPr="00546DE5" w:rsidRDefault="2AEC8F91" w:rsidP="00B96C98">
      <w:pPr>
        <w:pStyle w:val="Text2"/>
        <w:rPr>
          <w:noProof/>
          <w:shd w:val="clear" w:color="auto" w:fill="FFFFFF"/>
        </w:rPr>
      </w:pPr>
      <w:r w:rsidRPr="00546DE5">
        <w:rPr>
          <w:noProof/>
        </w:rPr>
        <w:t>„ii) </w:t>
      </w:r>
      <w:r w:rsidRPr="00546DE5">
        <w:rPr>
          <w:noProof/>
          <w:shd w:val="clear" w:color="auto" w:fill="FFFFFF"/>
        </w:rPr>
        <w:t>финансовите цели на ПИПДОЗИП и средствата за постигане на тези цели, и по-специално дали тези цели ще бъдат постигнати чрез пряка или непряка експозиция към базисните инвестиционни активи, включително цялата посочена по-долу информация:</w:t>
      </w:r>
    </w:p>
    <w:p w14:paraId="758DBA6D" w14:textId="5B4FD084" w:rsidR="00BF249A" w:rsidRPr="00546DE5" w:rsidRDefault="008E3CDA" w:rsidP="008E3CDA">
      <w:pPr>
        <w:pStyle w:val="Point2"/>
        <w:rPr>
          <w:noProof/>
        </w:rPr>
      </w:pPr>
      <w:r>
        <w:rPr>
          <w:noProof/>
        </w:rPr>
        <w:t>1)</w:t>
      </w:r>
      <w:r>
        <w:rPr>
          <w:noProof/>
        </w:rPr>
        <w:tab/>
      </w:r>
      <w:r w:rsidR="00BF249A" w:rsidRPr="00546DE5">
        <w:rPr>
          <w:noProof/>
        </w:rPr>
        <w:t>описание на базисните инструменти или референтните стойности;</w:t>
      </w:r>
    </w:p>
    <w:p w14:paraId="5935CCC0" w14:textId="1BFE7033" w:rsidR="00BF249A" w:rsidRPr="00546DE5" w:rsidRDefault="008E3CDA" w:rsidP="008E3CDA">
      <w:pPr>
        <w:pStyle w:val="Point2"/>
        <w:rPr>
          <w:noProof/>
        </w:rPr>
      </w:pPr>
      <w:r>
        <w:rPr>
          <w:noProof/>
        </w:rPr>
        <w:t>2)</w:t>
      </w:r>
      <w:r>
        <w:rPr>
          <w:noProof/>
        </w:rPr>
        <w:tab/>
      </w:r>
      <w:r w:rsidR="00BF249A" w:rsidRPr="00546DE5">
        <w:rPr>
          <w:noProof/>
        </w:rPr>
        <w:t>посочване на пазарите, в които инвестира ПИПДОЗИП;</w:t>
      </w:r>
    </w:p>
    <w:p w14:paraId="7FFCC3FA" w14:textId="4EA0FFC5" w:rsidR="00BF249A" w:rsidRPr="00546DE5" w:rsidRDefault="008E3CDA" w:rsidP="008E3CDA">
      <w:pPr>
        <w:pStyle w:val="Point2"/>
        <w:rPr>
          <w:noProof/>
        </w:rPr>
      </w:pPr>
      <w:r>
        <w:rPr>
          <w:noProof/>
        </w:rPr>
        <w:t>3)</w:t>
      </w:r>
      <w:r>
        <w:rPr>
          <w:noProof/>
        </w:rPr>
        <w:tab/>
      </w:r>
      <w:r w:rsidR="00BF249A" w:rsidRPr="00546DE5">
        <w:rPr>
          <w:noProof/>
        </w:rPr>
        <w:t>информация за начина за определяне на възвръщаемостта;“;</w:t>
      </w:r>
    </w:p>
    <w:p w14:paraId="1EF7530C" w14:textId="28C1122D" w:rsidR="4B6F26CB" w:rsidRPr="00546DE5" w:rsidRDefault="008E3CDA" w:rsidP="008E3CDA">
      <w:pPr>
        <w:pStyle w:val="Point1"/>
        <w:rPr>
          <w:noProof/>
        </w:rPr>
      </w:pPr>
      <w:r>
        <w:rPr>
          <w:noProof/>
        </w:rPr>
        <w:t>г)</w:t>
      </w:r>
      <w:r>
        <w:rPr>
          <w:noProof/>
        </w:rPr>
        <w:tab/>
      </w:r>
      <w:r w:rsidR="4B6F26CB" w:rsidRPr="00546DE5">
        <w:rPr>
          <w:noProof/>
        </w:rPr>
        <w:t>вмъква се следната буква жа):</w:t>
      </w:r>
    </w:p>
    <w:p w14:paraId="1139A557" w14:textId="07D0CFBC" w:rsidR="4B6F26CB" w:rsidRPr="00546DE5" w:rsidRDefault="4B6F26CB" w:rsidP="00B96C98">
      <w:pPr>
        <w:pStyle w:val="Text2"/>
        <w:rPr>
          <w:noProof/>
        </w:rPr>
      </w:pPr>
      <w:r w:rsidRPr="00546DE5">
        <w:rPr>
          <w:noProof/>
        </w:rPr>
        <w:t>„жа)</w:t>
      </w:r>
      <w:r w:rsidRPr="00546DE5">
        <w:rPr>
          <w:noProof/>
        </w:rPr>
        <w:tab/>
        <w:t>за ПИПДОЗИП, за които участниците на финансовите пазари трябва да оповестяват преддоговорна информация в съответствие с Регламент (ЕС) 2019/2088 на Европейския парламент и на Съвета** и Делегиран регламент 2022/1288 на Комисията***, в раздел, озаглавен „Колко екологично устойчив е този продукт?“, следната информация:</w:t>
      </w:r>
    </w:p>
    <w:p w14:paraId="6B88B400" w14:textId="70BE0296" w:rsidR="4B6F26CB" w:rsidRPr="00546DE5" w:rsidRDefault="004E68B6" w:rsidP="0053769D">
      <w:pPr>
        <w:pStyle w:val="Text2"/>
        <w:rPr>
          <w:noProof/>
        </w:rPr>
      </w:pPr>
      <w:r w:rsidRPr="00546DE5">
        <w:rPr>
          <w:noProof/>
        </w:rPr>
        <w:t>i) минималния дял на инвестициите в ПИПДОЗИП, които са свързани с икономически дейности, квалифицирани като екологично устойчиви в съответствие с членове 5 и 6 от Регламент (ЕС) 2020/852 на Европейския парламент и на Съвета****;</w:t>
      </w:r>
    </w:p>
    <w:p w14:paraId="766E4315" w14:textId="033E201B" w:rsidR="0088410C" w:rsidRPr="00546DE5" w:rsidRDefault="004E68B6" w:rsidP="0053769D">
      <w:pPr>
        <w:pStyle w:val="Text2"/>
        <w:rPr>
          <w:noProof/>
        </w:rPr>
      </w:pPr>
      <w:r w:rsidRPr="00546DE5">
        <w:rPr>
          <w:noProof/>
        </w:rPr>
        <w:t>ii) очаквания интензитет на емисиите на парникови газове, свързани с ПИПДОЗИП, в съответствие с Делегиран регламент 2022/1288;“;</w:t>
      </w:r>
    </w:p>
    <w:p w14:paraId="7F1069CC" w14:textId="1D6EFAB1" w:rsidR="009C649E" w:rsidRPr="00546DE5" w:rsidRDefault="008E3CDA" w:rsidP="008E3CDA">
      <w:pPr>
        <w:pStyle w:val="Point1"/>
        <w:rPr>
          <w:noProof/>
        </w:rPr>
      </w:pPr>
      <w:r>
        <w:rPr>
          <w:noProof/>
        </w:rPr>
        <w:t>д)</w:t>
      </w:r>
      <w:r>
        <w:rPr>
          <w:noProof/>
        </w:rPr>
        <w:tab/>
      </w:r>
      <w:r w:rsidR="009C649E" w:rsidRPr="00546DE5">
        <w:rPr>
          <w:noProof/>
        </w:rPr>
        <w:t>параграф 4 се заличава;</w:t>
      </w:r>
    </w:p>
    <w:p w14:paraId="33B7A9FA" w14:textId="0BE6516A" w:rsidR="009C649E" w:rsidRPr="00546DE5" w:rsidRDefault="008E3CDA" w:rsidP="008E3CDA">
      <w:pPr>
        <w:pStyle w:val="Point1"/>
        <w:rPr>
          <w:noProof/>
        </w:rPr>
      </w:pPr>
      <w:r>
        <w:rPr>
          <w:noProof/>
        </w:rPr>
        <w:t>е)</w:t>
      </w:r>
      <w:r>
        <w:rPr>
          <w:noProof/>
        </w:rPr>
        <w:tab/>
      </w:r>
      <w:r w:rsidR="009C649E" w:rsidRPr="00546DE5">
        <w:rPr>
          <w:noProof/>
        </w:rPr>
        <w:t>в параграф 5 трета алинея се заменя със следното:</w:t>
      </w:r>
    </w:p>
    <w:p w14:paraId="2800A0D5" w14:textId="77777777" w:rsidR="004E68B6" w:rsidRPr="00546DE5" w:rsidRDefault="009C649E" w:rsidP="00AC1D32">
      <w:pPr>
        <w:pStyle w:val="Text2"/>
        <w:rPr>
          <w:noProof/>
        </w:rPr>
      </w:pPr>
      <w:r w:rsidRPr="00546DE5">
        <w:rPr>
          <w:noProof/>
        </w:rPr>
        <w:t>„ЕНО представят на Комисията тези проекти на регулаторни технически стандарти в срок до [до Службата за публикации: моля, въведете датата = една година след датата на влизане в сила на настоящия регламент за изменение].“;</w:t>
      </w:r>
    </w:p>
    <w:p w14:paraId="3B26CA05" w14:textId="77777777" w:rsidR="00AC1D32" w:rsidRPr="00546DE5" w:rsidRDefault="00AC1D32" w:rsidP="00AC1D32">
      <w:pPr>
        <w:pStyle w:val="Text2"/>
        <w:rPr>
          <w:noProof/>
        </w:rPr>
      </w:pPr>
      <w:r w:rsidRPr="00546DE5">
        <w:rPr>
          <w:noProof/>
        </w:rPr>
        <w:t>_______________</w:t>
      </w:r>
    </w:p>
    <w:p w14:paraId="5A20F5F6" w14:textId="77777777" w:rsidR="004E68B6" w:rsidRPr="00546DE5" w:rsidRDefault="004E68B6" w:rsidP="004E68B6">
      <w:pPr>
        <w:pStyle w:val="Text2"/>
        <w:rPr>
          <w:noProof/>
        </w:rPr>
      </w:pPr>
      <w:r w:rsidRPr="00546DE5">
        <w:rPr>
          <w:noProof/>
          <w:vertAlign w:val="superscript"/>
        </w:rPr>
        <w:t xml:space="preserve">** </w:t>
      </w:r>
      <w:r w:rsidRPr="00546DE5">
        <w:rPr>
          <w:noProof/>
        </w:rPr>
        <w:t>Регламент (ЕС) 2019/2088 на Европейския парламент и на Съвета от 27 ноември 2019 г. относно оповестяването на информация във връзка с устойчивостта в сектора на финансовите услуги (ОВ L 317, 9.12.2019 г., стр. 1).</w:t>
      </w:r>
    </w:p>
    <w:p w14:paraId="3D88B788" w14:textId="77777777" w:rsidR="004E68B6" w:rsidRPr="00546DE5" w:rsidRDefault="004E68B6" w:rsidP="004E68B6">
      <w:pPr>
        <w:pStyle w:val="Text2"/>
        <w:rPr>
          <w:noProof/>
        </w:rPr>
      </w:pPr>
      <w:r w:rsidRPr="00546DE5">
        <w:rPr>
          <w:noProof/>
          <w:vertAlign w:val="superscript"/>
        </w:rPr>
        <w:t xml:space="preserve">*** </w:t>
      </w:r>
      <w:r w:rsidRPr="00546DE5">
        <w:rPr>
          <w:noProof/>
        </w:rPr>
        <w:t>Делегиран регламент (ЕС) 2022/1288 на Комисията от 6 април 2022 г. за допълнение на Регламент (ЕС) 2019/2088 на Европейския парламент и на Съвета по отношение на регулаторните технически стандарти, с които се определят подробно съдържанието и начинът на представяне на информацията във връзка с принципа за ненанасяне на значителни вреди и се определят съдържанието, методиките и представянето на информация във връзка с показателите за устойчивост и неблагоприятните въздействия върху устойчивостта, както и съдържанието и представянето на информация във връзка с рекламирането на екологични или социални характеристики и целите за устойчиви инвестиции в преддоговорни документи, уебсайтове и периодични доклади (ОВ L 196, 25.7.2022 г., стр. 1).</w:t>
      </w:r>
    </w:p>
    <w:p w14:paraId="40F5BC17" w14:textId="77777777" w:rsidR="004E68B6" w:rsidRPr="00546DE5" w:rsidRDefault="004E68B6" w:rsidP="00AC1D32">
      <w:pPr>
        <w:pStyle w:val="Text2"/>
        <w:rPr>
          <w:noProof/>
        </w:rPr>
      </w:pPr>
      <w:r w:rsidRPr="00546DE5">
        <w:rPr>
          <w:noProof/>
          <w:vertAlign w:val="superscript"/>
        </w:rPr>
        <w:t>****</w:t>
      </w:r>
      <w:r w:rsidRPr="00546DE5">
        <w:rPr>
          <w:noProof/>
        </w:rPr>
        <w:t>Регламент (ЕС) 2020/852 на Европейския парламент и на Съвета от 18 юни 2020 г. за създаване на рамка за улесняване на устойчивите инвестиции и за изменение на Регламент (ЕС) 2019/2088 (ОВ L 198, 22.6.2020 г., стp. 13).“;</w:t>
      </w:r>
    </w:p>
    <w:p w14:paraId="2E3D9679" w14:textId="6A220781" w:rsidR="009C649E" w:rsidRPr="00546DE5" w:rsidRDefault="008E3CDA" w:rsidP="008E3CDA">
      <w:pPr>
        <w:pStyle w:val="Point0"/>
        <w:rPr>
          <w:noProof/>
        </w:rPr>
      </w:pPr>
      <w:r>
        <w:rPr>
          <w:noProof/>
        </w:rPr>
        <w:t>6)</w:t>
      </w:r>
      <w:r>
        <w:rPr>
          <w:noProof/>
        </w:rPr>
        <w:tab/>
      </w:r>
      <w:r w:rsidR="009C649E" w:rsidRPr="00546DE5">
        <w:rPr>
          <w:noProof/>
        </w:rPr>
        <w:t>член 10, параграф 2 се изменя, както следва:</w:t>
      </w:r>
    </w:p>
    <w:p w14:paraId="0BC26AD0" w14:textId="61E7772E" w:rsidR="007A5A5D" w:rsidRPr="00546DE5" w:rsidRDefault="008E3CDA" w:rsidP="008E3CDA">
      <w:pPr>
        <w:pStyle w:val="Point1"/>
        <w:rPr>
          <w:noProof/>
        </w:rPr>
      </w:pPr>
      <w:r>
        <w:rPr>
          <w:noProof/>
        </w:rPr>
        <w:t>а)</w:t>
      </w:r>
      <w:r>
        <w:rPr>
          <w:noProof/>
        </w:rPr>
        <w:tab/>
      </w:r>
      <w:r w:rsidR="00BF249A" w:rsidRPr="00546DE5">
        <w:rPr>
          <w:noProof/>
        </w:rPr>
        <w:t>буква б) се заменя със следното:</w:t>
      </w:r>
    </w:p>
    <w:p w14:paraId="3C8872A6" w14:textId="77777777" w:rsidR="007A5A5D" w:rsidRPr="00546DE5" w:rsidRDefault="00BF249A" w:rsidP="007A5A5D">
      <w:pPr>
        <w:pStyle w:val="Text1"/>
        <w:rPr>
          <w:noProof/>
        </w:rPr>
      </w:pPr>
      <w:r w:rsidRPr="00546DE5">
        <w:rPr>
          <w:noProof/>
        </w:rPr>
        <w:t>„б) условията, при които трябва да бъде преразгледан основният информационен документ, като се прави разграничение между ПИПДОЗИП, които все още се предоставят, и ПИПДОЗИП, които вече не се предоставят на инвеститорите на дребно;“;</w:t>
      </w:r>
    </w:p>
    <w:p w14:paraId="59A30FE9" w14:textId="3FC9E25B" w:rsidR="007A5A5D" w:rsidRPr="00546DE5" w:rsidRDefault="008E3CDA" w:rsidP="008E3CDA">
      <w:pPr>
        <w:pStyle w:val="Point1"/>
        <w:rPr>
          <w:noProof/>
        </w:rPr>
      </w:pPr>
      <w:r>
        <w:rPr>
          <w:noProof/>
        </w:rPr>
        <w:t>б)</w:t>
      </w:r>
      <w:r>
        <w:rPr>
          <w:noProof/>
        </w:rPr>
        <w:tab/>
      </w:r>
      <w:r w:rsidR="00BF249A" w:rsidRPr="00546DE5">
        <w:rPr>
          <w:noProof/>
        </w:rPr>
        <w:t xml:space="preserve">втора и трета алинея се заменят със следното:  </w:t>
      </w:r>
    </w:p>
    <w:p w14:paraId="5FA65408" w14:textId="77777777" w:rsidR="007A5A5D" w:rsidRPr="00546DE5" w:rsidRDefault="007A5A5D" w:rsidP="007A5A5D">
      <w:pPr>
        <w:pStyle w:val="Text1"/>
        <w:rPr>
          <w:noProof/>
        </w:rPr>
      </w:pPr>
      <w:r w:rsidRPr="00546DE5">
        <w:rPr>
          <w:noProof/>
        </w:rPr>
        <w:t>„ЕНО вземат пред вид ситуациите, при които даден ПИПДОЗИП вече не се предоставя на инвеститорите на дребно. ЕНО представят на Комисията тези проекти на регулаторни технически стандарти в срок до [до Службата за публикации: моля, въведете датата = една година след датата на влизане в сила на настоящия регламент за изменение].</w:t>
      </w:r>
    </w:p>
    <w:p w14:paraId="0AF29073" w14:textId="4BB9AFB2" w:rsidR="007A5A5D" w:rsidRPr="00546DE5" w:rsidRDefault="007A5A5D" w:rsidP="007A5A5D">
      <w:pPr>
        <w:pStyle w:val="Text1"/>
        <w:rPr>
          <w:noProof/>
        </w:rPr>
      </w:pPr>
      <w:r w:rsidRPr="00546DE5">
        <w:rPr>
          <w:noProof/>
        </w:rPr>
        <w:t>На Комисията се делегира правомощието да приеме регулаторните технически стандарти по първа алинея в съответствие с членове 10—14 от Регламент (ЕС) № 1093/2010, от Регламент (ЕС) № 1094/2010 и от Регламент (ЕС) № 1095/2010.“;</w:t>
      </w:r>
    </w:p>
    <w:p w14:paraId="169C4194" w14:textId="2055E293" w:rsidR="00B96C98" w:rsidRPr="00546DE5" w:rsidRDefault="008E3CDA" w:rsidP="008E3CDA">
      <w:pPr>
        <w:pStyle w:val="Point0"/>
        <w:rPr>
          <w:noProof/>
        </w:rPr>
      </w:pPr>
      <w:r>
        <w:rPr>
          <w:noProof/>
        </w:rPr>
        <w:t>7)</w:t>
      </w:r>
      <w:r>
        <w:rPr>
          <w:noProof/>
        </w:rPr>
        <w:tab/>
      </w:r>
      <w:r w:rsidR="007A5A5D" w:rsidRPr="00546DE5">
        <w:rPr>
          <w:noProof/>
        </w:rPr>
        <w:t>член 14 се заменя със следното:</w:t>
      </w:r>
    </w:p>
    <w:p w14:paraId="038C8E48" w14:textId="77777777" w:rsidR="00AC1D32" w:rsidRPr="00546DE5" w:rsidRDefault="00AC1D32" w:rsidP="0053769D">
      <w:pPr>
        <w:jc w:val="center"/>
        <w:rPr>
          <w:noProof/>
        </w:rPr>
      </w:pPr>
      <w:r w:rsidRPr="00546DE5">
        <w:rPr>
          <w:noProof/>
        </w:rPr>
        <w:t>„Член 14</w:t>
      </w:r>
    </w:p>
    <w:p w14:paraId="423B0685" w14:textId="576CFEFC" w:rsidR="00BF249A" w:rsidRPr="00546DE5" w:rsidRDefault="008E3CDA" w:rsidP="008E3CDA">
      <w:pPr>
        <w:pStyle w:val="Point1"/>
        <w:rPr>
          <w:noProof/>
        </w:rPr>
      </w:pPr>
      <w:r>
        <w:rPr>
          <w:noProof/>
        </w:rPr>
        <w:t>1)</w:t>
      </w:r>
      <w:r>
        <w:rPr>
          <w:noProof/>
        </w:rPr>
        <w:tab/>
      </w:r>
      <w:r w:rsidR="00AC1D32" w:rsidRPr="00546DE5">
        <w:rPr>
          <w:noProof/>
        </w:rPr>
        <w:t xml:space="preserve"> Лицето, което консултира относно ПИПДОЗИП или продава ПИПДОЗИП, предоставя безплатно основния информационен документ на инвеститорите на дребно. Информацията се предоставя в електронен формат, освен ако инвеститорът на дребно е поискал да получи основния информационен документ на хартиен носител. Лицето, което консултира относно ПИПДОЗИП или продава ПИПДОЗИП, информира инвеститорите на дребно за тяхното право да получат безплатно основния информационен документ на хартиен носител.</w:t>
      </w:r>
    </w:p>
    <w:p w14:paraId="6D75F627" w14:textId="15C14F0C" w:rsidR="00BF249A" w:rsidRPr="00546DE5" w:rsidRDefault="008E3CDA" w:rsidP="008E3CDA">
      <w:pPr>
        <w:pStyle w:val="Point1"/>
        <w:rPr>
          <w:noProof/>
        </w:rPr>
      </w:pPr>
      <w:r>
        <w:rPr>
          <w:noProof/>
        </w:rPr>
        <w:t>2)</w:t>
      </w:r>
      <w:r>
        <w:rPr>
          <w:noProof/>
        </w:rPr>
        <w:tab/>
      </w:r>
      <w:r w:rsidR="00AC1D32" w:rsidRPr="00546DE5">
        <w:rPr>
          <w:noProof/>
        </w:rPr>
        <w:t xml:space="preserve"> Електронният формат на основния информационен документ може да бъде осигурен чрез интерактивен инструмент, който позволява на инвеститора на дребно да генерира персонализирана основна информация на база на информацията в основния информационен документ или информацията, на която той се основава. Този инструмент трябва да отговаря на следните условия:</w:t>
      </w:r>
    </w:p>
    <w:p w14:paraId="61712E34" w14:textId="7593FB5C" w:rsidR="002070C3" w:rsidRPr="00546DE5" w:rsidRDefault="00A53B3C" w:rsidP="00A53B3C">
      <w:pPr>
        <w:ind w:left="2137"/>
        <w:rPr>
          <w:noProof/>
        </w:rPr>
      </w:pPr>
      <w:r w:rsidRPr="00546DE5">
        <w:rPr>
          <w:noProof/>
        </w:rPr>
        <w:t>а) интерактивният инструмент или използването му не трябва да променя разбирането на основния информационен документ;</w:t>
      </w:r>
    </w:p>
    <w:p w14:paraId="4E065A6E" w14:textId="491EF627" w:rsidR="002070C3" w:rsidRPr="00546DE5" w:rsidRDefault="00A53B3C" w:rsidP="00A53B3C">
      <w:pPr>
        <w:ind w:left="2137"/>
        <w:rPr>
          <w:noProof/>
        </w:rPr>
      </w:pPr>
      <w:r w:rsidRPr="00546DE5">
        <w:rPr>
          <w:noProof/>
        </w:rPr>
        <w:t>б) трябва да бъде представена цялата основна информация;</w:t>
      </w:r>
    </w:p>
    <w:p w14:paraId="64C80A1F" w14:textId="43D60837" w:rsidR="002070C3" w:rsidRPr="00546DE5" w:rsidRDefault="00A53B3C" w:rsidP="00A53B3C">
      <w:pPr>
        <w:ind w:left="2137"/>
        <w:rPr>
          <w:noProof/>
        </w:rPr>
      </w:pPr>
      <w:r w:rsidRPr="00546DE5">
        <w:rPr>
          <w:noProof/>
        </w:rPr>
        <w:t>в) основният информационен документ трябва да е лесно достъпен чрез електронна препратка, разположена непосредствено до интерактивния инструмент, като препратката трябва да е придружена от следното съобщение: „Препоръчва се основният информационен документ да бъде изтеглен и съхранен“;</w:t>
      </w:r>
    </w:p>
    <w:p w14:paraId="69393122" w14:textId="0505FBDA" w:rsidR="002070C3" w:rsidRPr="00546DE5" w:rsidRDefault="00A53B3C" w:rsidP="00A53B3C">
      <w:pPr>
        <w:ind w:left="2137"/>
        <w:rPr>
          <w:noProof/>
        </w:rPr>
      </w:pPr>
      <w:r w:rsidRPr="00546DE5">
        <w:rPr>
          <w:noProof/>
        </w:rPr>
        <w:t>г) интерактивният инструмент трябва да дава възможност на инвеститорите да симулират разходите през препоръчителния период на държане.</w:t>
      </w:r>
    </w:p>
    <w:p w14:paraId="521ED871" w14:textId="2270AFF5" w:rsidR="002070C3" w:rsidRPr="00546DE5" w:rsidRDefault="002070C3" w:rsidP="002070C3">
      <w:pPr>
        <w:pStyle w:val="Text2"/>
        <w:rPr>
          <w:noProof/>
        </w:rPr>
      </w:pPr>
      <w:r w:rsidRPr="00546DE5">
        <w:rPr>
          <w:noProof/>
        </w:rPr>
        <w:t>Когато основният информационен документ се предоставя в съответствие с първа алинея, неговият формат може да бъде адаптиран в сравнение с представянето на основния информационен документ, посочено в член 8.</w:t>
      </w:r>
    </w:p>
    <w:p w14:paraId="046240E5" w14:textId="73FD80C9" w:rsidR="00BF249A" w:rsidRPr="00546DE5" w:rsidRDefault="008E3CDA" w:rsidP="008E3CDA">
      <w:pPr>
        <w:pStyle w:val="Point1"/>
        <w:rPr>
          <w:noProof/>
        </w:rPr>
      </w:pPr>
      <w:r>
        <w:rPr>
          <w:noProof/>
        </w:rPr>
        <w:t>3)</w:t>
      </w:r>
      <w:r>
        <w:rPr>
          <w:noProof/>
        </w:rPr>
        <w:tab/>
      </w:r>
      <w:r w:rsidR="000E778B" w:rsidRPr="00546DE5">
        <w:rPr>
          <w:noProof/>
        </w:rPr>
        <w:t>ЕНО разработват проекти на регулаторни технически стандарти, определящи условията за персонализиране на информацията, както е посочено в параграф 2, първа алинея, и условията за адаптиране на форматирането на информацията, както е посочено в параграф 2, втора алинея.</w:t>
      </w:r>
    </w:p>
    <w:p w14:paraId="48603C80" w14:textId="77777777" w:rsidR="000E778B" w:rsidRPr="00546DE5" w:rsidRDefault="000E778B" w:rsidP="000E778B">
      <w:pPr>
        <w:pStyle w:val="Text2"/>
        <w:rPr>
          <w:noProof/>
        </w:rPr>
      </w:pPr>
      <w:r w:rsidRPr="00546DE5">
        <w:rPr>
          <w:noProof/>
        </w:rPr>
        <w:t>В допълнение към условията, посочени в първа алинея, регулаторните технически стандарти включват условията за персонализиране на основната информация за инвеститорите по следните начини:</w:t>
      </w:r>
    </w:p>
    <w:p w14:paraId="2EFDD3E4" w14:textId="4E11DB91" w:rsidR="001915B2" w:rsidRPr="00546DE5" w:rsidRDefault="00A822C2" w:rsidP="0096497D">
      <w:pPr>
        <w:pStyle w:val="Point2"/>
        <w:rPr>
          <w:noProof/>
        </w:rPr>
      </w:pPr>
      <w:r w:rsidRPr="00546DE5">
        <w:rPr>
          <w:noProof/>
        </w:rPr>
        <w:t>а)</w:t>
      </w:r>
      <w:r w:rsidRPr="00546DE5">
        <w:rPr>
          <w:noProof/>
        </w:rPr>
        <w:tab/>
        <w:t>условията за персонализиране на информацията, за да се даде възможност на инвеститорите да симулират разходи за период на държане, който е различен от препоръчителния период на държане;</w:t>
      </w:r>
    </w:p>
    <w:p w14:paraId="5AB6A00D" w14:textId="1E212AB6" w:rsidR="006904A7" w:rsidRPr="00546DE5" w:rsidRDefault="00A822C2" w:rsidP="0096497D">
      <w:pPr>
        <w:pStyle w:val="Point2"/>
        <w:rPr>
          <w:noProof/>
        </w:rPr>
      </w:pPr>
      <w:r w:rsidRPr="00546DE5">
        <w:rPr>
          <w:noProof/>
        </w:rPr>
        <w:t>б)</w:t>
      </w:r>
      <w:r w:rsidRPr="00546DE5">
        <w:rPr>
          <w:noProof/>
        </w:rPr>
        <w:tab/>
        <w:t>условията за персонализиране на информацията, за да се даде възможност на инвеститорите да сравняват различни ПИПДОЗИП;</w:t>
      </w:r>
    </w:p>
    <w:p w14:paraId="2B2704D7" w14:textId="79704435" w:rsidR="006904A7" w:rsidRPr="00546DE5" w:rsidRDefault="00A822C2" w:rsidP="0096497D">
      <w:pPr>
        <w:pStyle w:val="Point2"/>
        <w:rPr>
          <w:noProof/>
        </w:rPr>
      </w:pPr>
      <w:r w:rsidRPr="00546DE5">
        <w:rPr>
          <w:noProof/>
        </w:rPr>
        <w:t>в)</w:t>
      </w:r>
      <w:r w:rsidRPr="00546DE5">
        <w:rPr>
          <w:noProof/>
        </w:rPr>
        <w:tab/>
        <w:t>условията за персонализиране на информацията, за да бъде тя достъпна за лица с увреждания.</w:t>
      </w:r>
    </w:p>
    <w:p w14:paraId="12F17816" w14:textId="63264E39" w:rsidR="000E778B" w:rsidRPr="00546DE5" w:rsidRDefault="008E3CDA" w:rsidP="008E3CDA">
      <w:pPr>
        <w:pStyle w:val="Point1"/>
        <w:rPr>
          <w:noProof/>
          <w:u w:val="single"/>
        </w:rPr>
      </w:pPr>
      <w:r>
        <w:rPr>
          <w:noProof/>
        </w:rPr>
        <w:t>4)</w:t>
      </w:r>
      <w:r>
        <w:rPr>
          <w:noProof/>
        </w:rPr>
        <w:tab/>
      </w:r>
      <w:r w:rsidR="000E778B" w:rsidRPr="00546DE5">
        <w:rPr>
          <w:noProof/>
        </w:rPr>
        <w:t>Основният информационен документ може да бъде представен в многослоен формат. В този случай информационното табло, посочено в член 8, параграф 3, буква аа), се намира в първия слой.</w:t>
      </w:r>
    </w:p>
    <w:p w14:paraId="54989E83" w14:textId="29A42DE2" w:rsidR="001915B2" w:rsidRPr="00546DE5" w:rsidRDefault="008E3CDA" w:rsidP="008E3CDA">
      <w:pPr>
        <w:pStyle w:val="Point1"/>
        <w:rPr>
          <w:noProof/>
          <w:u w:val="single"/>
        </w:rPr>
      </w:pPr>
      <w:r>
        <w:rPr>
          <w:noProof/>
        </w:rPr>
        <w:t>5)</w:t>
      </w:r>
      <w:r>
        <w:rPr>
          <w:noProof/>
        </w:rPr>
        <w:tab/>
      </w:r>
      <w:r w:rsidR="000E778B" w:rsidRPr="00546DE5">
        <w:rPr>
          <w:noProof/>
        </w:rPr>
        <w:t>Инвеститорът на дребно се уведомява по електронен път или в писмен вид за адреса на уебсайта и мястото на уебсайта, където може да бъде получен достъп до основния информационен документ.</w:t>
      </w:r>
    </w:p>
    <w:p w14:paraId="7E05DC1B" w14:textId="24EF7EF6" w:rsidR="000E778B" w:rsidRPr="00546DE5" w:rsidRDefault="008E3CDA" w:rsidP="008E3CDA">
      <w:pPr>
        <w:pStyle w:val="Point1"/>
        <w:rPr>
          <w:noProof/>
          <w:u w:val="single"/>
        </w:rPr>
      </w:pPr>
      <w:r>
        <w:rPr>
          <w:noProof/>
        </w:rPr>
        <w:t>6)</w:t>
      </w:r>
      <w:r>
        <w:rPr>
          <w:noProof/>
        </w:rPr>
        <w:tab/>
      </w:r>
      <w:r w:rsidR="000E778B" w:rsidRPr="00546DE5">
        <w:rPr>
          <w:noProof/>
        </w:rPr>
        <w:t>Основният информационен документ остава достъпен на уебсайта на лицето, което консултира относно ПИПДОЗИП или продава ПИПДОЗИП, и запазва възможността да бъде изтеглен и съхранен на траен носител за период от време, за който инвеститорът на дребно може да има нужда от справки с него. Когато създателят на ПИПДОЗИП е преразгледал основния информационен документ, както е посочено в член 10, създателят на ПИПДОЗИП предоставя на инвеститорите на дребно при поискване предишните версии.“.</w:t>
      </w:r>
    </w:p>
    <w:p w14:paraId="41D9F3D1" w14:textId="77777777" w:rsidR="00266E13" w:rsidRPr="00546DE5" w:rsidRDefault="004E5476" w:rsidP="00D80377">
      <w:pPr>
        <w:pStyle w:val="Titrearticle"/>
        <w:rPr>
          <w:noProof/>
        </w:rPr>
      </w:pPr>
      <w:r w:rsidRPr="00546DE5">
        <w:rPr>
          <w:noProof/>
        </w:rPr>
        <w:t xml:space="preserve">Член 2 </w:t>
      </w:r>
    </w:p>
    <w:p w14:paraId="616B6414" w14:textId="77777777" w:rsidR="004E5476" w:rsidRPr="00546DE5" w:rsidRDefault="007E1BF4" w:rsidP="00D80377">
      <w:pPr>
        <w:pStyle w:val="Titrearticle"/>
        <w:rPr>
          <w:noProof/>
        </w:rPr>
      </w:pPr>
      <w:r w:rsidRPr="00546DE5">
        <w:rPr>
          <w:noProof/>
        </w:rPr>
        <w:t>Влизане в сила и прилагане</w:t>
      </w:r>
    </w:p>
    <w:p w14:paraId="6FEB3438" w14:textId="02FC20B9" w:rsidR="004E5476" w:rsidRPr="00546DE5" w:rsidRDefault="004E5476" w:rsidP="0050536B">
      <w:pPr>
        <w:rPr>
          <w:noProof/>
        </w:rPr>
      </w:pPr>
      <w:r w:rsidRPr="00546DE5">
        <w:rPr>
          <w:noProof/>
        </w:rPr>
        <w:t xml:space="preserve">Настоящият регламент влиза в сила на двадесетия ден след деня на публикуването му в </w:t>
      </w:r>
      <w:r w:rsidRPr="00546DE5">
        <w:rPr>
          <w:i/>
          <w:noProof/>
        </w:rPr>
        <w:t>Официален вестник на Европейския съюз</w:t>
      </w:r>
      <w:r w:rsidRPr="00546DE5">
        <w:rPr>
          <w:noProof/>
        </w:rPr>
        <w:t>. Той се прилага от [до Службата за публикации: моля, въведете датата = 18 месеца след датата на влизане в сила на настоящия регламент за изменение].</w:t>
      </w:r>
    </w:p>
    <w:p w14:paraId="2D3F4A32" w14:textId="77777777" w:rsidR="004E5476" w:rsidRPr="00546DE5" w:rsidRDefault="004E5476" w:rsidP="0050536B">
      <w:pPr>
        <w:pStyle w:val="Applicationdirecte"/>
        <w:rPr>
          <w:noProof/>
        </w:rPr>
      </w:pPr>
      <w:r w:rsidRPr="00546DE5">
        <w:rPr>
          <w:noProof/>
        </w:rPr>
        <w:t>Настоящият регламент е задължителен в своята цялост и се прилага пряко във всички държави членки.</w:t>
      </w:r>
    </w:p>
    <w:p w14:paraId="700E31C2" w14:textId="0E59A704" w:rsidR="004E5476" w:rsidRPr="00546DE5" w:rsidRDefault="0099015B" w:rsidP="004266F9">
      <w:pPr>
        <w:pStyle w:val="Fait"/>
        <w:rPr>
          <w:noProof/>
        </w:rPr>
      </w:pPr>
      <w:r w:rsidRPr="0099015B">
        <w:t xml:space="preserve">Съставено в Брюксел на </w:t>
      </w:r>
      <w:r w:rsidRPr="0099015B">
        <w:rPr>
          <w:rStyle w:val="Marker"/>
        </w:rPr>
        <w:t>[…]</w:t>
      </w:r>
      <w:r w:rsidRPr="0099015B">
        <w:t xml:space="preserve"> година.</w:t>
      </w:r>
    </w:p>
    <w:p w14:paraId="6B97D842" w14:textId="77777777" w:rsidR="004E5476" w:rsidRPr="00546DE5" w:rsidRDefault="004E5476" w:rsidP="004266F9">
      <w:pPr>
        <w:pStyle w:val="Institutionquisigne"/>
        <w:rPr>
          <w:noProof/>
        </w:rPr>
      </w:pPr>
      <w:r w:rsidRPr="00546DE5">
        <w:rPr>
          <w:noProof/>
        </w:rPr>
        <w:t>За Европейския парламент</w:t>
      </w:r>
      <w:r w:rsidRPr="00546DE5">
        <w:rPr>
          <w:noProof/>
        </w:rPr>
        <w:tab/>
        <w:t>За Съвета</w:t>
      </w:r>
    </w:p>
    <w:p w14:paraId="3B5054B0" w14:textId="77777777" w:rsidR="004E5476" w:rsidRPr="00546DE5" w:rsidRDefault="004E5476" w:rsidP="004E5476">
      <w:pPr>
        <w:pStyle w:val="Personnequisigne"/>
        <w:rPr>
          <w:noProof/>
        </w:rPr>
      </w:pPr>
      <w:r w:rsidRPr="00546DE5">
        <w:rPr>
          <w:noProof/>
        </w:rPr>
        <w:t>Председател</w:t>
      </w:r>
      <w:r w:rsidRPr="00546DE5">
        <w:rPr>
          <w:noProof/>
        </w:rPr>
        <w:tab/>
        <w:t>Председател</w:t>
      </w:r>
    </w:p>
    <w:sectPr w:rsidR="004E5476" w:rsidRPr="00546DE5" w:rsidSect="00A7104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DDE6A" w14:textId="77777777" w:rsidR="00D537FC" w:rsidRDefault="00D537FC" w:rsidP="004E5476">
      <w:pPr>
        <w:spacing w:before="0" w:after="0"/>
      </w:pPr>
      <w:r>
        <w:separator/>
      </w:r>
    </w:p>
  </w:endnote>
  <w:endnote w:type="continuationSeparator" w:id="0">
    <w:p w14:paraId="6BA69DD9" w14:textId="77777777" w:rsidR="00D537FC" w:rsidRDefault="00D537FC" w:rsidP="004E5476">
      <w:pPr>
        <w:spacing w:before="0" w:after="0"/>
      </w:pPr>
      <w:r>
        <w:continuationSeparator/>
      </w:r>
    </w:p>
  </w:endnote>
  <w:endnote w:type="continuationNotice" w:id="1">
    <w:p w14:paraId="637ACA32" w14:textId="77777777" w:rsidR="00D537FC" w:rsidRDefault="00D537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5F854" w14:textId="15633A51" w:rsidR="000D63DC" w:rsidRPr="00A71044" w:rsidRDefault="00A71044" w:rsidP="00A71044">
    <w:pPr>
      <w:pStyle w:val="Footer"/>
      <w:rPr>
        <w:rFonts w:ascii="Arial" w:hAnsi="Arial" w:cs="Arial"/>
        <w:b/>
        <w:sz w:val="48"/>
      </w:rPr>
    </w:pPr>
    <w:r w:rsidRPr="00A71044">
      <w:rPr>
        <w:rFonts w:ascii="Arial" w:hAnsi="Arial" w:cs="Arial"/>
        <w:b/>
        <w:sz w:val="48"/>
      </w:rPr>
      <w:t>BG</w:t>
    </w:r>
    <w:r w:rsidRPr="00A71044">
      <w:rPr>
        <w:rFonts w:ascii="Arial" w:hAnsi="Arial" w:cs="Arial"/>
        <w:b/>
        <w:sz w:val="48"/>
      </w:rPr>
      <w:tab/>
    </w:r>
    <w:r w:rsidRPr="00A71044">
      <w:rPr>
        <w:rFonts w:ascii="Arial" w:hAnsi="Arial" w:cs="Arial"/>
        <w:b/>
        <w:sz w:val="48"/>
      </w:rPr>
      <w:tab/>
    </w:r>
    <w:r w:rsidRPr="00A71044">
      <w:tab/>
    </w:r>
    <w:r w:rsidRPr="00A71044">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88E80" w14:textId="4D780815" w:rsidR="00A71044" w:rsidRPr="00A71044" w:rsidRDefault="00A71044" w:rsidP="00A71044">
    <w:pPr>
      <w:pStyle w:val="Footer"/>
      <w:rPr>
        <w:rFonts w:ascii="Arial" w:hAnsi="Arial" w:cs="Arial"/>
        <w:b/>
        <w:sz w:val="48"/>
      </w:rPr>
    </w:pPr>
    <w:r w:rsidRPr="00A71044">
      <w:rPr>
        <w:rFonts w:ascii="Arial" w:hAnsi="Arial" w:cs="Arial"/>
        <w:b/>
        <w:sz w:val="48"/>
      </w:rPr>
      <w:t>BG</w:t>
    </w:r>
    <w:r w:rsidRPr="00A71044">
      <w:rPr>
        <w:rFonts w:ascii="Arial" w:hAnsi="Arial" w:cs="Arial"/>
        <w:b/>
        <w:sz w:val="48"/>
      </w:rPr>
      <w:tab/>
    </w:r>
    <w:r>
      <w:fldChar w:fldCharType="begin"/>
    </w:r>
    <w:r>
      <w:instrText xml:space="preserve"> PAGE  \* MERGEFORMAT </w:instrText>
    </w:r>
    <w:r>
      <w:fldChar w:fldCharType="separate"/>
    </w:r>
    <w:r w:rsidR="004266F9">
      <w:rPr>
        <w:noProof/>
      </w:rPr>
      <w:t>19</w:t>
    </w:r>
    <w:r>
      <w:fldChar w:fldCharType="end"/>
    </w:r>
    <w:r>
      <w:tab/>
    </w:r>
    <w:r w:rsidRPr="00A71044">
      <w:tab/>
    </w:r>
    <w:r w:rsidRPr="00A71044">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7E03A" w14:textId="77777777" w:rsidR="00A71044" w:rsidRPr="00A71044" w:rsidRDefault="00A71044" w:rsidP="00A71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F9BCD" w14:textId="77777777" w:rsidR="00D537FC" w:rsidRDefault="00D537FC" w:rsidP="004E5476">
      <w:pPr>
        <w:spacing w:before="0" w:after="0"/>
      </w:pPr>
      <w:r>
        <w:separator/>
      </w:r>
    </w:p>
  </w:footnote>
  <w:footnote w:type="continuationSeparator" w:id="0">
    <w:p w14:paraId="040B05F0" w14:textId="77777777" w:rsidR="00D537FC" w:rsidRDefault="00D537FC" w:rsidP="004E5476">
      <w:pPr>
        <w:spacing w:before="0" w:after="0"/>
      </w:pPr>
      <w:r>
        <w:continuationSeparator/>
      </w:r>
    </w:p>
  </w:footnote>
  <w:footnote w:type="continuationNotice" w:id="1">
    <w:p w14:paraId="3EFD9F37" w14:textId="77777777" w:rsidR="00D537FC" w:rsidRDefault="00D537FC">
      <w:pPr>
        <w:spacing w:before="0" w:after="0"/>
      </w:pPr>
    </w:p>
  </w:footnote>
  <w:footnote w:id="2">
    <w:p w14:paraId="3C9D432A" w14:textId="77777777" w:rsidR="00FA2586" w:rsidRPr="000149CE" w:rsidRDefault="00FA2586" w:rsidP="006904A7">
      <w:pPr>
        <w:pStyle w:val="FootnoteText"/>
      </w:pPr>
      <w:r>
        <w:rPr>
          <w:rStyle w:val="FootnoteReference"/>
        </w:rPr>
        <w:footnoteRef/>
      </w:r>
      <w:r>
        <w:tab/>
        <w:t>https://ec.europa.eu/info/business-economy-euro/growth-and-investment/capital-markets-union/capital-markets-union-2020-action-plan_en.</w:t>
      </w:r>
    </w:p>
  </w:footnote>
  <w:footnote w:id="3">
    <w:p w14:paraId="782673B4" w14:textId="77777777" w:rsidR="00864044" w:rsidRPr="00E37059" w:rsidRDefault="00864044" w:rsidP="00864044">
      <w:pPr>
        <w:pStyle w:val="FootnoteText"/>
      </w:pPr>
      <w:r>
        <w:rPr>
          <w:rStyle w:val="FootnoteReference"/>
        </w:rPr>
        <w:footnoteRef/>
      </w:r>
      <w:r>
        <w:tab/>
      </w:r>
      <w:hyperlink r:id="rId1" w:history="1">
        <w:r>
          <w:rPr>
            <w:rStyle w:val="Hyperlink"/>
          </w:rPr>
          <w:t>https://data.consilium.europa.eu/doc/document/ST-12898-2020-REV-1/bg/pdf</w:t>
        </w:r>
      </w:hyperlink>
      <w:r>
        <w:t xml:space="preserve">. </w:t>
      </w:r>
    </w:p>
  </w:footnote>
  <w:footnote w:id="4">
    <w:p w14:paraId="7631AB3C" w14:textId="77777777" w:rsidR="00D81BFF" w:rsidRPr="000149CE" w:rsidRDefault="00D81BFF">
      <w:pPr>
        <w:pStyle w:val="FootnoteText"/>
      </w:pPr>
      <w:r>
        <w:rPr>
          <w:rStyle w:val="FootnoteReference"/>
        </w:rPr>
        <w:footnoteRef/>
      </w:r>
      <w:r>
        <w:tab/>
      </w:r>
      <w:hyperlink r:id="rId2" w:history="1">
        <w:r>
          <w:rPr>
            <w:rStyle w:val="Hyperlink"/>
          </w:rPr>
          <w:t>https://www.europarl.europa.eu/doceo/document/TA-9-2020-0266_BG.html</w:t>
        </w:r>
      </w:hyperlink>
      <w:r>
        <w:t xml:space="preserve">. </w:t>
      </w:r>
    </w:p>
  </w:footnote>
  <w:footnote w:id="5">
    <w:p w14:paraId="6A831DE5" w14:textId="77777777" w:rsidR="001E24F8" w:rsidRDefault="001E24F8" w:rsidP="001E24F8">
      <w:pPr>
        <w:pStyle w:val="FootnoteText"/>
        <w:ind w:left="0" w:firstLine="0"/>
      </w:pPr>
      <w:r>
        <w:rPr>
          <w:rStyle w:val="FootnoteReference"/>
        </w:rPr>
        <w:footnoteRef/>
      </w:r>
      <w:r>
        <w:tab/>
        <w:t>Директива 2014/65/EС на Европейския парламент и на Съвета от 15 май 2014 г. относно пазарите на финансови инструменти и за изменение на Директива 2002/92/EО и на Директива 2011/61/EС.</w:t>
      </w:r>
    </w:p>
  </w:footnote>
  <w:footnote w:id="6">
    <w:p w14:paraId="431ED932" w14:textId="77777777" w:rsidR="00315E7C" w:rsidRDefault="00315E7C" w:rsidP="00315E7C">
      <w:pPr>
        <w:pStyle w:val="FootnoteText"/>
        <w:ind w:left="0" w:firstLine="0"/>
      </w:pPr>
      <w:r>
        <w:rPr>
          <w:rStyle w:val="FootnoteReference"/>
        </w:rPr>
        <w:footnoteRef/>
      </w:r>
      <w:r>
        <w:tab/>
        <w:t>Директива (ЕС) 2016/97 на Европейския парламент и на Съвета от 20 януари 2016 г. относно разпространението на застрахователни продукти (преработен текст).</w:t>
      </w:r>
    </w:p>
  </w:footnote>
  <w:footnote w:id="7">
    <w:p w14:paraId="117F2870" w14:textId="77777777" w:rsidR="00FE4128" w:rsidRDefault="00FE4128" w:rsidP="00FE4128">
      <w:pPr>
        <w:pStyle w:val="FootnoteText"/>
        <w:ind w:left="0" w:firstLine="0"/>
      </w:pPr>
      <w:r>
        <w:rPr>
          <w:rStyle w:val="FootnoteReference"/>
        </w:rPr>
        <w:footnoteRef/>
      </w:r>
      <w:r>
        <w:tab/>
        <w:t>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 (преработка).</w:t>
      </w:r>
    </w:p>
  </w:footnote>
  <w:footnote w:id="8">
    <w:p w14:paraId="563EF8EC" w14:textId="77777777" w:rsidR="00A61BE8" w:rsidRDefault="00A61BE8" w:rsidP="00A61BE8">
      <w:pPr>
        <w:pStyle w:val="FootnoteText"/>
        <w:ind w:left="0" w:firstLine="0"/>
      </w:pPr>
      <w:r>
        <w:rPr>
          <w:rStyle w:val="FootnoteReference"/>
        </w:rPr>
        <w:footnoteRef/>
      </w:r>
      <w:r>
        <w:tab/>
        <w:t>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(преработена версия).</w:t>
      </w:r>
    </w:p>
  </w:footnote>
  <w:footnote w:id="9">
    <w:p w14:paraId="48E06454" w14:textId="77777777" w:rsidR="00F022A1" w:rsidRDefault="00F022A1" w:rsidP="00F022A1">
      <w:pPr>
        <w:pStyle w:val="FootnoteText"/>
        <w:ind w:left="0" w:hanging="11"/>
      </w:pPr>
      <w:r>
        <w:rPr>
          <w:rStyle w:val="FootnoteReference"/>
        </w:rPr>
        <w:footnoteRef/>
      </w:r>
      <w:r>
        <w:tab/>
        <w:t>Директива 2011/61/EС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w:t>
      </w:r>
    </w:p>
  </w:footnote>
  <w:footnote w:id="10">
    <w:p w14:paraId="6375C840" w14:textId="77777777" w:rsidR="00925B15" w:rsidRPr="0000427B" w:rsidRDefault="00925B15" w:rsidP="00925B15">
      <w:pPr>
        <w:pStyle w:val="FootnoteText"/>
      </w:pPr>
      <w:r>
        <w:rPr>
          <w:rStyle w:val="FootnoteReference"/>
        </w:rPr>
        <w:footnoteRef/>
      </w:r>
      <w:r>
        <w:tab/>
        <w:t xml:space="preserve">Предложение COM/2021/723 final, на разположение на адрес: </w:t>
      </w:r>
      <w:hyperlink r:id="rId3" w:history="1">
        <w:r>
          <w:rPr>
            <w:rStyle w:val="Hyperlink"/>
          </w:rPr>
          <w:t>EUR-Lex - 52021PC0723 - EN - EUR-Lex (europa.eu)</w:t>
        </w:r>
      </w:hyperlink>
      <w:r>
        <w:t>.</w:t>
      </w:r>
    </w:p>
  </w:footnote>
  <w:footnote w:id="11">
    <w:p w14:paraId="38902202" w14:textId="77777777" w:rsidR="00220047" w:rsidRPr="0000427B" w:rsidRDefault="00220047" w:rsidP="00220047">
      <w:pPr>
        <w:pStyle w:val="FootnoteText"/>
      </w:pPr>
      <w:r>
        <w:rPr>
          <w:rStyle w:val="FootnoteReference"/>
        </w:rPr>
        <w:footnoteRef/>
      </w:r>
      <w:r>
        <w:tab/>
        <w:t>https://op.europa.eu/en/publication-detail/-/publication/d83364e5-ab55-11ed-b508-01aa75ed71a1/language-en/</w:t>
      </w:r>
    </w:p>
  </w:footnote>
  <w:footnote w:id="12">
    <w:p w14:paraId="0C7569A4" w14:textId="77777777" w:rsidR="00220047" w:rsidRDefault="00220047" w:rsidP="00220047">
      <w:pPr>
        <w:pStyle w:val="FootnoteText"/>
      </w:pPr>
      <w:r>
        <w:rPr>
          <w:rStyle w:val="FootnoteReference"/>
        </w:rPr>
        <w:footnoteRef/>
      </w:r>
      <w:r>
        <w:tab/>
        <w:t>Групата на потребителите на финансови услуги (FUSG) включва експерти, представляващи интересите на потребителите, инвеститорите на дребно или микропредприятията. Тя предоставя консултации на Комисията при подготовката и прилагането на законодателни или политически инициативи, засягащи потребителите на финансови услуги. За повече информация: https://finance.ec.europa.eu/regulation-and-supervision/expert-groups-comitology-and-other-committees/financial-services-user-group-fsug_en.</w:t>
      </w:r>
    </w:p>
  </w:footnote>
  <w:footnote w:id="13">
    <w:p w14:paraId="0F6273ED" w14:textId="77777777" w:rsidR="00220047" w:rsidRDefault="00220047" w:rsidP="006904A7">
      <w:pPr>
        <w:pStyle w:val="FootnoteText"/>
        <w:ind w:left="0" w:right="397" w:firstLine="0"/>
      </w:pPr>
      <w:r>
        <w:rPr>
          <w:rStyle w:val="FootnoteReference"/>
        </w:rPr>
        <w:footnoteRef/>
      </w:r>
      <w:r>
        <w:tab/>
        <w:t xml:space="preserve">Делегираният регламент за изменение на ПИПДОЗИП влезе в сила на 1 януари 2023 г. С него ОИД за ПИПДОЗИП стават напълно приложими за ПКИПЦК и се въвеждат следните промени: i) нови методики за изчисляване на подходящи сценарии за резултатите и преразгледано представяне на сценариите, за да се гарантира, че инвеститорите на дребно получават информация, която би довела до по-подходящи очаквания по отношение на възможната възвръщаемост; ii) преразгледани обобщени показатели за разходите и промени в съдържанието и представянето на информацията относно разходите по ПИПДОЗИП, за да могат инвеститорите на дребно да разберат по-добре различните видове структури на разходите и да се улесни използването на тази информация от физическите лица, които консултират относно ПИПДОЗИП или продават ПИПДОЗИП; iii) изменена методика за изчисляване на трансакционните разходи, за да се преодолеят практическите предизвикателства, възникнали при прилагането на съществуващите правила, и въпроси, свързани с тяхното прилагане по отношение на определени видове инвестиции; и iv) разпоредби относно информацията за резултатите от минали периоди за някои видове ПКИПЦК, АИФ за инвеститори на дребно и основаващи се на застраховане инвестиционни продукти. Консолидираната версия може да бъде намерена на адрес: </w:t>
      </w:r>
      <w:hyperlink r:id="rId4" w:history="1">
        <w:r>
          <w:rPr>
            <w:rStyle w:val="Hyperlink"/>
          </w:rPr>
          <w:t>https://eur-lex.europa.eu/legal-content/BG/TXT/?uri=CELEX%3A02017R0653-20230101</w:t>
        </w:r>
      </w:hyperlink>
      <w:r>
        <w:t xml:space="preserve">. </w:t>
      </w:r>
    </w:p>
  </w:footnote>
  <w:footnote w:id="14">
    <w:p w14:paraId="4F05F92E" w14:textId="77777777" w:rsidR="007634A2" w:rsidRPr="00B65E26" w:rsidRDefault="007634A2" w:rsidP="007634A2">
      <w:pPr>
        <w:pStyle w:val="FootnoteText"/>
        <w:ind w:left="567" w:hanging="567"/>
      </w:pPr>
      <w:r>
        <w:rPr>
          <w:rStyle w:val="FootnoteReference"/>
        </w:rPr>
        <w:footnoteRef/>
      </w:r>
      <w:r>
        <w:tab/>
        <w:t>Регламент (ЕС) 2019/2088 на Европейския парламент и на Съвета от 27 ноември 2019 г. относно оповестяването на информация във връзка с устойчивостта в сектора на финансовите услуги (ОВ L 317, 9.12.2019 г., стр. 1).</w:t>
      </w:r>
    </w:p>
  </w:footnote>
  <w:footnote w:id="15">
    <w:p w14:paraId="33352863" w14:textId="77777777" w:rsidR="007634A2" w:rsidRPr="00B65E26" w:rsidRDefault="007634A2" w:rsidP="007634A2">
      <w:pPr>
        <w:pStyle w:val="FootnoteText"/>
        <w:ind w:left="567" w:hanging="567"/>
      </w:pPr>
      <w:r>
        <w:rPr>
          <w:rStyle w:val="FootnoteReference"/>
        </w:rPr>
        <w:footnoteRef/>
      </w:r>
      <w:r>
        <w:tab/>
        <w:t>Регламент (ЕС) 2020/852 на Европейския парламент и на Съвета от 18 юни 2020 г. за създаване на рамка за улесняване на устойчивите инвестиции и за изменение на Регламент (ЕС) 2019/2088 (ОВ L 198, 22.6.2020 г., стp. 13).</w:t>
      </w:r>
    </w:p>
  </w:footnote>
  <w:footnote w:id="16">
    <w:p w14:paraId="1449B725" w14:textId="77777777" w:rsidR="00165823" w:rsidRPr="00B65E26" w:rsidRDefault="00165823" w:rsidP="00165823">
      <w:pPr>
        <w:pStyle w:val="FootnoteText"/>
        <w:ind w:left="567" w:hanging="567"/>
      </w:pPr>
      <w:r>
        <w:rPr>
          <w:rStyle w:val="FootnoteReference"/>
        </w:rPr>
        <w:footnoteRef/>
      </w:r>
      <w:r>
        <w:tab/>
        <w:t>Регламент (ЕС) № 1093/2010 на Европейския парламент и на Съвета от 24 ноември 2010 г. за създаване на Европейски надзорен орган (Европейски банков орган) и за изменение на Решение № 716/2009/ЕО и за отмяна на Решение 2009/78/ЕО на Комисията (ОВ L 331, 15.12.2010 г., стр. 12).</w:t>
      </w:r>
    </w:p>
  </w:footnote>
  <w:footnote w:id="17">
    <w:p w14:paraId="6B03C5D4" w14:textId="77777777" w:rsidR="00871A05" w:rsidRPr="00B65E26" w:rsidRDefault="00871A05" w:rsidP="00871A05">
      <w:pPr>
        <w:pStyle w:val="FootnoteText"/>
        <w:ind w:left="567" w:hanging="567"/>
      </w:pPr>
      <w:r>
        <w:rPr>
          <w:rStyle w:val="FootnoteReference"/>
        </w:rPr>
        <w:footnoteRef/>
      </w:r>
      <w:r>
        <w:tab/>
        <w:t>Регламент (ЕС) № 1094/2010 на Европейския парламент и на Съвета от 24 ноември 2010 г. за създаване на Европейски надзорен орган (Европейски орган за застраховане и професионално пенсионно осигуряване), за изменение на Решение № 716/2009/ЕО и за отмяна на Решение 2009/79/ЕО на Комисията (OB L 331, 15.12.2010 г., стр. 48).</w:t>
      </w:r>
    </w:p>
  </w:footnote>
  <w:footnote w:id="18">
    <w:p w14:paraId="0AC9497C" w14:textId="77777777" w:rsidR="0089281E" w:rsidRPr="00B65E26" w:rsidRDefault="0089281E" w:rsidP="0089281E">
      <w:pPr>
        <w:pStyle w:val="FootnoteText"/>
        <w:ind w:left="567" w:hanging="567"/>
      </w:pPr>
      <w:r>
        <w:rPr>
          <w:rStyle w:val="FootnoteReference"/>
        </w:rPr>
        <w:footnoteRef/>
      </w:r>
      <w:r>
        <w:tab/>
        <w:t>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(ОВ L 331, 15.12.2010 г., стр. 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EF0285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26CC03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4D0E97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5709AE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 w:numId="22">
    <w:abstractNumId w:val="15"/>
  </w:num>
  <w:num w:numId="23">
    <w:abstractNumId w:val="8"/>
  </w:num>
  <w:num w:numId="24">
    <w:abstractNumId w:val="17"/>
  </w:num>
  <w:num w:numId="25">
    <w:abstractNumId w:val="7"/>
  </w:num>
  <w:num w:numId="26">
    <w:abstractNumId w:val="9"/>
  </w:num>
  <w:num w:numId="27">
    <w:abstractNumId w:val="10"/>
  </w:num>
  <w:num w:numId="28">
    <w:abstractNumId w:val="5"/>
  </w:num>
  <w:num w:numId="29">
    <w:abstractNumId w:val="16"/>
  </w:num>
  <w:num w:numId="30">
    <w:abstractNumId w:val="4"/>
  </w:num>
  <w:num w:numId="31">
    <w:abstractNumId w:val="11"/>
  </w:num>
  <w:num w:numId="32">
    <w:abstractNumId w:val="13"/>
  </w:num>
  <w:num w:numId="33">
    <w:abstractNumId w:val="14"/>
  </w:num>
  <w:num w:numId="34">
    <w:abstractNumId w:val="6"/>
  </w:num>
  <w:num w:numId="35">
    <w:abstractNumId w:val="12"/>
  </w:num>
  <w:num w:numId="3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03 00:08:5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399DB6A2-E3BA-44D6-B677-7539C2FB0955"/>
    <w:docVar w:name="LW_COVERPAGE_TYPE" w:val="1"/>
    <w:docVar w:name="LW_CROSSREFERENCE" w:val="{SWD(2023) 278-279}_x000a_{SEC(2023) 330}"/>
    <w:docVar w:name="LW_DocType" w:val="COM"/>
    <w:docVar w:name="LW_EMISSION" w:val="24.5.2023"/>
    <w:docVar w:name="LW_EMISSION_ISODATE" w:val="2023-05-24"/>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STATUT" w:val="SJ-023"/>
    <w:docVar w:name="LW_INSERT_EXP.MOTIFS.NEW" w:val="1"/>
    <w:docVar w:name="LW_INTERETEEE.CP" w:val="(текст от значение за ЕИП)"/>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66"/>
    <w:docVar w:name="LW_REF.II.NEW.CP_YEAR" w:val="2023"/>
    <w:docVar w:name="LW_REF.INST.NEW" w:val="COM"/>
    <w:docVar w:name="LW_REF.INST.NEW_ADOPTED" w:val="final"/>
    <w:docVar w:name="LW_REF.INST.NEW_TEXT" w:val="(2023) 2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Предложение за"/>
    <w:docVar w:name="LW_SUPERTITRE" w:val="&lt;UNUSED&gt;"/>
    <w:docVar w:name="LW_TITRE.OBJ.CP" w:val="за изменение на Регламент (ЕС) № 1286/2014 по отношение на модернизирането на основния информационен документ  _x000b_"/>
    <w:docVar w:name="LW_TYPE.DOC.CP" w:val="РЕГЛАМЕНТ НА ЕВРОПЕЙСКИЯ ПАРЛАМЕНТ И НА СЪВЕТА"/>
    <w:docVar w:name="LwApiVersions" w:val="LW4CoDe 1.23.2.0; LW 8.0, Build 20211117"/>
  </w:docVars>
  <w:rsids>
    <w:rsidRoot w:val="004E5476"/>
    <w:rsid w:val="0000088E"/>
    <w:rsid w:val="0000427B"/>
    <w:rsid w:val="000149CE"/>
    <w:rsid w:val="00014FFA"/>
    <w:rsid w:val="00015955"/>
    <w:rsid w:val="00022BE7"/>
    <w:rsid w:val="00022F8F"/>
    <w:rsid w:val="00023921"/>
    <w:rsid w:val="00025ED5"/>
    <w:rsid w:val="000265A9"/>
    <w:rsid w:val="0002662F"/>
    <w:rsid w:val="00027666"/>
    <w:rsid w:val="00040374"/>
    <w:rsid w:val="000433D8"/>
    <w:rsid w:val="0004780A"/>
    <w:rsid w:val="00050005"/>
    <w:rsid w:val="00051395"/>
    <w:rsid w:val="0005576E"/>
    <w:rsid w:val="00057CF9"/>
    <w:rsid w:val="0006150A"/>
    <w:rsid w:val="00061E82"/>
    <w:rsid w:val="00063E3B"/>
    <w:rsid w:val="00064461"/>
    <w:rsid w:val="0006478F"/>
    <w:rsid w:val="000649CB"/>
    <w:rsid w:val="000667DC"/>
    <w:rsid w:val="00066C23"/>
    <w:rsid w:val="0006787E"/>
    <w:rsid w:val="000730ED"/>
    <w:rsid w:val="00073BAD"/>
    <w:rsid w:val="00077EA9"/>
    <w:rsid w:val="00083081"/>
    <w:rsid w:val="000864AF"/>
    <w:rsid w:val="00095958"/>
    <w:rsid w:val="00095F76"/>
    <w:rsid w:val="00096C90"/>
    <w:rsid w:val="00096F28"/>
    <w:rsid w:val="000A00D5"/>
    <w:rsid w:val="000A14B4"/>
    <w:rsid w:val="000A1AA2"/>
    <w:rsid w:val="000A7E49"/>
    <w:rsid w:val="000B3B42"/>
    <w:rsid w:val="000B5258"/>
    <w:rsid w:val="000B6329"/>
    <w:rsid w:val="000B7DE7"/>
    <w:rsid w:val="000C04B4"/>
    <w:rsid w:val="000C208E"/>
    <w:rsid w:val="000D1CD7"/>
    <w:rsid w:val="000D44D4"/>
    <w:rsid w:val="000D485E"/>
    <w:rsid w:val="000D63DC"/>
    <w:rsid w:val="000E1E8D"/>
    <w:rsid w:val="000E29C9"/>
    <w:rsid w:val="000E5E5F"/>
    <w:rsid w:val="000E778B"/>
    <w:rsid w:val="000E7ECF"/>
    <w:rsid w:val="00101ED2"/>
    <w:rsid w:val="00106333"/>
    <w:rsid w:val="001065F5"/>
    <w:rsid w:val="00106655"/>
    <w:rsid w:val="00113704"/>
    <w:rsid w:val="00116B8C"/>
    <w:rsid w:val="00120D92"/>
    <w:rsid w:val="001238EF"/>
    <w:rsid w:val="00124484"/>
    <w:rsid w:val="00124573"/>
    <w:rsid w:val="00124603"/>
    <w:rsid w:val="0012547E"/>
    <w:rsid w:val="0012778D"/>
    <w:rsid w:val="00127B09"/>
    <w:rsid w:val="0013308B"/>
    <w:rsid w:val="00137B0E"/>
    <w:rsid w:val="001418B4"/>
    <w:rsid w:val="00143A29"/>
    <w:rsid w:val="00145D6C"/>
    <w:rsid w:val="00147174"/>
    <w:rsid w:val="0015347A"/>
    <w:rsid w:val="00160671"/>
    <w:rsid w:val="00163BB1"/>
    <w:rsid w:val="00164BDA"/>
    <w:rsid w:val="001652D4"/>
    <w:rsid w:val="001653AC"/>
    <w:rsid w:val="001654C4"/>
    <w:rsid w:val="00165823"/>
    <w:rsid w:val="00166C56"/>
    <w:rsid w:val="00171341"/>
    <w:rsid w:val="001717C3"/>
    <w:rsid w:val="0017411E"/>
    <w:rsid w:val="0017475C"/>
    <w:rsid w:val="00176183"/>
    <w:rsid w:val="00181484"/>
    <w:rsid w:val="001815BC"/>
    <w:rsid w:val="0018373A"/>
    <w:rsid w:val="00183890"/>
    <w:rsid w:val="00190F0B"/>
    <w:rsid w:val="001915B2"/>
    <w:rsid w:val="00192AA3"/>
    <w:rsid w:val="00193091"/>
    <w:rsid w:val="00193E6E"/>
    <w:rsid w:val="0019575F"/>
    <w:rsid w:val="00197613"/>
    <w:rsid w:val="001A0A92"/>
    <w:rsid w:val="001A2FB6"/>
    <w:rsid w:val="001A38D9"/>
    <w:rsid w:val="001A4192"/>
    <w:rsid w:val="001A51DB"/>
    <w:rsid w:val="001A52DF"/>
    <w:rsid w:val="001A5D6F"/>
    <w:rsid w:val="001A6378"/>
    <w:rsid w:val="001B5BB6"/>
    <w:rsid w:val="001B670F"/>
    <w:rsid w:val="001B7B2B"/>
    <w:rsid w:val="001C0BE7"/>
    <w:rsid w:val="001C0DD7"/>
    <w:rsid w:val="001C2F05"/>
    <w:rsid w:val="001C3F27"/>
    <w:rsid w:val="001D393E"/>
    <w:rsid w:val="001E24F8"/>
    <w:rsid w:val="001F16F3"/>
    <w:rsid w:val="001F1E4D"/>
    <w:rsid w:val="001F59B8"/>
    <w:rsid w:val="001F6248"/>
    <w:rsid w:val="001F63DB"/>
    <w:rsid w:val="0020108F"/>
    <w:rsid w:val="002070C3"/>
    <w:rsid w:val="00217BDD"/>
    <w:rsid w:val="00220047"/>
    <w:rsid w:val="00220427"/>
    <w:rsid w:val="00222586"/>
    <w:rsid w:val="00224B77"/>
    <w:rsid w:val="00233DC7"/>
    <w:rsid w:val="00234284"/>
    <w:rsid w:val="00236EA3"/>
    <w:rsid w:val="00240EBB"/>
    <w:rsid w:val="00245197"/>
    <w:rsid w:val="00245436"/>
    <w:rsid w:val="00245C9B"/>
    <w:rsid w:val="00247779"/>
    <w:rsid w:val="00252DAC"/>
    <w:rsid w:val="002546A1"/>
    <w:rsid w:val="00255945"/>
    <w:rsid w:val="00260B44"/>
    <w:rsid w:val="002635E6"/>
    <w:rsid w:val="0026646B"/>
    <w:rsid w:val="00266E13"/>
    <w:rsid w:val="0027096A"/>
    <w:rsid w:val="002752FA"/>
    <w:rsid w:val="00282B13"/>
    <w:rsid w:val="00284376"/>
    <w:rsid w:val="002843BC"/>
    <w:rsid w:val="00285BEE"/>
    <w:rsid w:val="00286F8E"/>
    <w:rsid w:val="002871A4"/>
    <w:rsid w:val="00290204"/>
    <w:rsid w:val="002907E6"/>
    <w:rsid w:val="00291A41"/>
    <w:rsid w:val="0029533F"/>
    <w:rsid w:val="002A0CC5"/>
    <w:rsid w:val="002A48FE"/>
    <w:rsid w:val="002A5ABA"/>
    <w:rsid w:val="002A6D1C"/>
    <w:rsid w:val="002B30AF"/>
    <w:rsid w:val="002B783D"/>
    <w:rsid w:val="002C0774"/>
    <w:rsid w:val="002C1397"/>
    <w:rsid w:val="002C1550"/>
    <w:rsid w:val="002C241D"/>
    <w:rsid w:val="002C29C2"/>
    <w:rsid w:val="002C2C8F"/>
    <w:rsid w:val="002C3EEB"/>
    <w:rsid w:val="002D5842"/>
    <w:rsid w:val="002E1324"/>
    <w:rsid w:val="002E39C6"/>
    <w:rsid w:val="002E4AB1"/>
    <w:rsid w:val="002E6EA2"/>
    <w:rsid w:val="002F1B2D"/>
    <w:rsid w:val="003008F7"/>
    <w:rsid w:val="00305241"/>
    <w:rsid w:val="00307D1C"/>
    <w:rsid w:val="003127B2"/>
    <w:rsid w:val="00314584"/>
    <w:rsid w:val="00315E7C"/>
    <w:rsid w:val="0033081E"/>
    <w:rsid w:val="00331C42"/>
    <w:rsid w:val="0033344A"/>
    <w:rsid w:val="00336BC3"/>
    <w:rsid w:val="00336D02"/>
    <w:rsid w:val="003435C1"/>
    <w:rsid w:val="0035286D"/>
    <w:rsid w:val="003529F6"/>
    <w:rsid w:val="00353609"/>
    <w:rsid w:val="00354243"/>
    <w:rsid w:val="00354A8D"/>
    <w:rsid w:val="0035580C"/>
    <w:rsid w:val="00355F5A"/>
    <w:rsid w:val="00357984"/>
    <w:rsid w:val="003655E2"/>
    <w:rsid w:val="00370DFF"/>
    <w:rsid w:val="0037557F"/>
    <w:rsid w:val="00376703"/>
    <w:rsid w:val="0038107B"/>
    <w:rsid w:val="00382AAE"/>
    <w:rsid w:val="003856CB"/>
    <w:rsid w:val="00385F38"/>
    <w:rsid w:val="00387715"/>
    <w:rsid w:val="003925B4"/>
    <w:rsid w:val="003A2A9A"/>
    <w:rsid w:val="003A5469"/>
    <w:rsid w:val="003A5521"/>
    <w:rsid w:val="003A5BF5"/>
    <w:rsid w:val="003B185C"/>
    <w:rsid w:val="003B23AF"/>
    <w:rsid w:val="003B2F08"/>
    <w:rsid w:val="003B35AA"/>
    <w:rsid w:val="003B6A73"/>
    <w:rsid w:val="003C1024"/>
    <w:rsid w:val="003C3942"/>
    <w:rsid w:val="003C3973"/>
    <w:rsid w:val="003C622A"/>
    <w:rsid w:val="003C7016"/>
    <w:rsid w:val="003C7703"/>
    <w:rsid w:val="003D138C"/>
    <w:rsid w:val="003D340D"/>
    <w:rsid w:val="003D5AF8"/>
    <w:rsid w:val="003D6AC7"/>
    <w:rsid w:val="003E54EB"/>
    <w:rsid w:val="003E5E3D"/>
    <w:rsid w:val="003E7AE1"/>
    <w:rsid w:val="003F0375"/>
    <w:rsid w:val="003F0444"/>
    <w:rsid w:val="003F226A"/>
    <w:rsid w:val="003F2470"/>
    <w:rsid w:val="003F5EE9"/>
    <w:rsid w:val="0040060F"/>
    <w:rsid w:val="00402CDF"/>
    <w:rsid w:val="00402F0A"/>
    <w:rsid w:val="00405C9B"/>
    <w:rsid w:val="004061FB"/>
    <w:rsid w:val="00415C4A"/>
    <w:rsid w:val="00416872"/>
    <w:rsid w:val="004170F7"/>
    <w:rsid w:val="00417FBF"/>
    <w:rsid w:val="00420CA4"/>
    <w:rsid w:val="004231F7"/>
    <w:rsid w:val="00425006"/>
    <w:rsid w:val="00425054"/>
    <w:rsid w:val="004250B3"/>
    <w:rsid w:val="0042648E"/>
    <w:rsid w:val="004266F9"/>
    <w:rsid w:val="0042687C"/>
    <w:rsid w:val="0042790C"/>
    <w:rsid w:val="00431413"/>
    <w:rsid w:val="00432CEA"/>
    <w:rsid w:val="00434277"/>
    <w:rsid w:val="00434C0C"/>
    <w:rsid w:val="00436207"/>
    <w:rsid w:val="00436E2C"/>
    <w:rsid w:val="004440CD"/>
    <w:rsid w:val="00444769"/>
    <w:rsid w:val="00445AE2"/>
    <w:rsid w:val="004473FC"/>
    <w:rsid w:val="00450FD3"/>
    <w:rsid w:val="004603C5"/>
    <w:rsid w:val="00460DB7"/>
    <w:rsid w:val="004629BB"/>
    <w:rsid w:val="00464EE2"/>
    <w:rsid w:val="0046560C"/>
    <w:rsid w:val="00466231"/>
    <w:rsid w:val="00475439"/>
    <w:rsid w:val="004757F4"/>
    <w:rsid w:val="00476971"/>
    <w:rsid w:val="0047756F"/>
    <w:rsid w:val="00482186"/>
    <w:rsid w:val="00484019"/>
    <w:rsid w:val="0048645A"/>
    <w:rsid w:val="004866CF"/>
    <w:rsid w:val="004907B1"/>
    <w:rsid w:val="004907D5"/>
    <w:rsid w:val="004936D2"/>
    <w:rsid w:val="00497041"/>
    <w:rsid w:val="004A1A5A"/>
    <w:rsid w:val="004A4EAB"/>
    <w:rsid w:val="004A6A68"/>
    <w:rsid w:val="004A74F0"/>
    <w:rsid w:val="004B36EF"/>
    <w:rsid w:val="004B594E"/>
    <w:rsid w:val="004B6806"/>
    <w:rsid w:val="004B6C28"/>
    <w:rsid w:val="004C02D4"/>
    <w:rsid w:val="004C056A"/>
    <w:rsid w:val="004C2199"/>
    <w:rsid w:val="004C524B"/>
    <w:rsid w:val="004D3807"/>
    <w:rsid w:val="004D6940"/>
    <w:rsid w:val="004D6FE4"/>
    <w:rsid w:val="004D7237"/>
    <w:rsid w:val="004E03B6"/>
    <w:rsid w:val="004E0F51"/>
    <w:rsid w:val="004E435F"/>
    <w:rsid w:val="004E43D3"/>
    <w:rsid w:val="004E4601"/>
    <w:rsid w:val="004E5476"/>
    <w:rsid w:val="004E68B6"/>
    <w:rsid w:val="004F0C34"/>
    <w:rsid w:val="004F1DCC"/>
    <w:rsid w:val="004F55FE"/>
    <w:rsid w:val="0050247A"/>
    <w:rsid w:val="005031FB"/>
    <w:rsid w:val="0050536B"/>
    <w:rsid w:val="00505747"/>
    <w:rsid w:val="0051035C"/>
    <w:rsid w:val="005110F5"/>
    <w:rsid w:val="00512575"/>
    <w:rsid w:val="00514561"/>
    <w:rsid w:val="00514EDF"/>
    <w:rsid w:val="00515231"/>
    <w:rsid w:val="00523DE7"/>
    <w:rsid w:val="00524BF5"/>
    <w:rsid w:val="0052576C"/>
    <w:rsid w:val="00527911"/>
    <w:rsid w:val="0053156E"/>
    <w:rsid w:val="00534261"/>
    <w:rsid w:val="005361AC"/>
    <w:rsid w:val="0053642A"/>
    <w:rsid w:val="00536E40"/>
    <w:rsid w:val="0053769D"/>
    <w:rsid w:val="00540714"/>
    <w:rsid w:val="00544947"/>
    <w:rsid w:val="00546DE5"/>
    <w:rsid w:val="00547CC7"/>
    <w:rsid w:val="00551BA2"/>
    <w:rsid w:val="005557D2"/>
    <w:rsid w:val="00557CA8"/>
    <w:rsid w:val="005633BC"/>
    <w:rsid w:val="00563CCF"/>
    <w:rsid w:val="00571A58"/>
    <w:rsid w:val="00572CC1"/>
    <w:rsid w:val="005773B3"/>
    <w:rsid w:val="005804AC"/>
    <w:rsid w:val="0058237B"/>
    <w:rsid w:val="0058258C"/>
    <w:rsid w:val="00583032"/>
    <w:rsid w:val="00583A37"/>
    <w:rsid w:val="00585335"/>
    <w:rsid w:val="00585A55"/>
    <w:rsid w:val="005A3E64"/>
    <w:rsid w:val="005B1EB6"/>
    <w:rsid w:val="005B2DB8"/>
    <w:rsid w:val="005B3ADB"/>
    <w:rsid w:val="005B78B1"/>
    <w:rsid w:val="005C0337"/>
    <w:rsid w:val="005C090A"/>
    <w:rsid w:val="005C1221"/>
    <w:rsid w:val="005C1243"/>
    <w:rsid w:val="005C1AB8"/>
    <w:rsid w:val="005C5AC3"/>
    <w:rsid w:val="005C7F13"/>
    <w:rsid w:val="005D2558"/>
    <w:rsid w:val="005D3A60"/>
    <w:rsid w:val="005D7759"/>
    <w:rsid w:val="005D7E9C"/>
    <w:rsid w:val="005E19CD"/>
    <w:rsid w:val="005E261C"/>
    <w:rsid w:val="005E342F"/>
    <w:rsid w:val="005E35CF"/>
    <w:rsid w:val="005E5C98"/>
    <w:rsid w:val="005E6638"/>
    <w:rsid w:val="005E70F1"/>
    <w:rsid w:val="005E7852"/>
    <w:rsid w:val="005F060B"/>
    <w:rsid w:val="005F1E17"/>
    <w:rsid w:val="005F20FE"/>
    <w:rsid w:val="00600E5C"/>
    <w:rsid w:val="00610DCD"/>
    <w:rsid w:val="006124B0"/>
    <w:rsid w:val="00623B28"/>
    <w:rsid w:val="0062622F"/>
    <w:rsid w:val="006269D7"/>
    <w:rsid w:val="00635FBC"/>
    <w:rsid w:val="00640A3B"/>
    <w:rsid w:val="0064370A"/>
    <w:rsid w:val="006503C0"/>
    <w:rsid w:val="00653203"/>
    <w:rsid w:val="006541DD"/>
    <w:rsid w:val="00655911"/>
    <w:rsid w:val="00662D4F"/>
    <w:rsid w:val="00662D5E"/>
    <w:rsid w:val="00663045"/>
    <w:rsid w:val="006714F1"/>
    <w:rsid w:val="006903E1"/>
    <w:rsid w:val="006904A7"/>
    <w:rsid w:val="0069125E"/>
    <w:rsid w:val="00695FF9"/>
    <w:rsid w:val="00696939"/>
    <w:rsid w:val="006A1795"/>
    <w:rsid w:val="006A3705"/>
    <w:rsid w:val="006A5FF6"/>
    <w:rsid w:val="006B0546"/>
    <w:rsid w:val="006B0F3C"/>
    <w:rsid w:val="006B4305"/>
    <w:rsid w:val="006B4EE0"/>
    <w:rsid w:val="006B62DE"/>
    <w:rsid w:val="006B6D81"/>
    <w:rsid w:val="006C4198"/>
    <w:rsid w:val="006C458D"/>
    <w:rsid w:val="006C5540"/>
    <w:rsid w:val="006C6CB8"/>
    <w:rsid w:val="006C7C62"/>
    <w:rsid w:val="006C7E22"/>
    <w:rsid w:val="006D05A0"/>
    <w:rsid w:val="006D275F"/>
    <w:rsid w:val="006D29CE"/>
    <w:rsid w:val="006D3E74"/>
    <w:rsid w:val="006D587C"/>
    <w:rsid w:val="006E01FA"/>
    <w:rsid w:val="006E2700"/>
    <w:rsid w:val="006E4DC7"/>
    <w:rsid w:val="006E6701"/>
    <w:rsid w:val="006E6D46"/>
    <w:rsid w:val="006F1521"/>
    <w:rsid w:val="006F2418"/>
    <w:rsid w:val="006F2E66"/>
    <w:rsid w:val="006F5CC1"/>
    <w:rsid w:val="00701518"/>
    <w:rsid w:val="00702471"/>
    <w:rsid w:val="00702971"/>
    <w:rsid w:val="00703478"/>
    <w:rsid w:val="00710AE5"/>
    <w:rsid w:val="00713019"/>
    <w:rsid w:val="007133C0"/>
    <w:rsid w:val="00713738"/>
    <w:rsid w:val="00716630"/>
    <w:rsid w:val="00716727"/>
    <w:rsid w:val="00720B6B"/>
    <w:rsid w:val="00723564"/>
    <w:rsid w:val="00724E41"/>
    <w:rsid w:val="0072761E"/>
    <w:rsid w:val="007335A5"/>
    <w:rsid w:val="00734701"/>
    <w:rsid w:val="00735FBF"/>
    <w:rsid w:val="0074098D"/>
    <w:rsid w:val="00742CA1"/>
    <w:rsid w:val="00750B18"/>
    <w:rsid w:val="00753C5E"/>
    <w:rsid w:val="00755463"/>
    <w:rsid w:val="007571AA"/>
    <w:rsid w:val="007634A2"/>
    <w:rsid w:val="007640C5"/>
    <w:rsid w:val="00764BDA"/>
    <w:rsid w:val="00767D8E"/>
    <w:rsid w:val="0077014A"/>
    <w:rsid w:val="0077161E"/>
    <w:rsid w:val="00773331"/>
    <w:rsid w:val="00774326"/>
    <w:rsid w:val="00777157"/>
    <w:rsid w:val="0077754C"/>
    <w:rsid w:val="007802D9"/>
    <w:rsid w:val="007813F1"/>
    <w:rsid w:val="007815FB"/>
    <w:rsid w:val="007818C5"/>
    <w:rsid w:val="00782938"/>
    <w:rsid w:val="007838F2"/>
    <w:rsid w:val="00784527"/>
    <w:rsid w:val="00785F32"/>
    <w:rsid w:val="007870CE"/>
    <w:rsid w:val="00791B9D"/>
    <w:rsid w:val="00792F0B"/>
    <w:rsid w:val="007932EF"/>
    <w:rsid w:val="007A0526"/>
    <w:rsid w:val="007A0CAF"/>
    <w:rsid w:val="007A1AE0"/>
    <w:rsid w:val="007A482E"/>
    <w:rsid w:val="007A48E3"/>
    <w:rsid w:val="007A5A5D"/>
    <w:rsid w:val="007B0213"/>
    <w:rsid w:val="007B112D"/>
    <w:rsid w:val="007B28C5"/>
    <w:rsid w:val="007B30D2"/>
    <w:rsid w:val="007B31B1"/>
    <w:rsid w:val="007B5982"/>
    <w:rsid w:val="007B6549"/>
    <w:rsid w:val="007C0827"/>
    <w:rsid w:val="007C18B4"/>
    <w:rsid w:val="007C1E56"/>
    <w:rsid w:val="007C2F54"/>
    <w:rsid w:val="007C32D8"/>
    <w:rsid w:val="007C5A63"/>
    <w:rsid w:val="007D2035"/>
    <w:rsid w:val="007D6006"/>
    <w:rsid w:val="007D6BAE"/>
    <w:rsid w:val="007D7ABC"/>
    <w:rsid w:val="007E05B0"/>
    <w:rsid w:val="007E1BF4"/>
    <w:rsid w:val="007E27C6"/>
    <w:rsid w:val="007E3AF2"/>
    <w:rsid w:val="007E733E"/>
    <w:rsid w:val="007E7B9B"/>
    <w:rsid w:val="007F4243"/>
    <w:rsid w:val="008002AD"/>
    <w:rsid w:val="008058B6"/>
    <w:rsid w:val="0081041A"/>
    <w:rsid w:val="008157F7"/>
    <w:rsid w:val="00817EFA"/>
    <w:rsid w:val="00820066"/>
    <w:rsid w:val="00823D93"/>
    <w:rsid w:val="00823F73"/>
    <w:rsid w:val="00824A7F"/>
    <w:rsid w:val="008254EF"/>
    <w:rsid w:val="00827BAA"/>
    <w:rsid w:val="00830B03"/>
    <w:rsid w:val="00830F69"/>
    <w:rsid w:val="00832167"/>
    <w:rsid w:val="00832E5A"/>
    <w:rsid w:val="008354EA"/>
    <w:rsid w:val="00844FA8"/>
    <w:rsid w:val="0084567F"/>
    <w:rsid w:val="00845A60"/>
    <w:rsid w:val="00851FBD"/>
    <w:rsid w:val="008520BB"/>
    <w:rsid w:val="008536D6"/>
    <w:rsid w:val="00853A04"/>
    <w:rsid w:val="008551B4"/>
    <w:rsid w:val="00856AFE"/>
    <w:rsid w:val="0085777E"/>
    <w:rsid w:val="00860D85"/>
    <w:rsid w:val="00861430"/>
    <w:rsid w:val="00864044"/>
    <w:rsid w:val="008669A1"/>
    <w:rsid w:val="0087012D"/>
    <w:rsid w:val="00871A05"/>
    <w:rsid w:val="008734D2"/>
    <w:rsid w:val="00874D22"/>
    <w:rsid w:val="008810D5"/>
    <w:rsid w:val="0088410C"/>
    <w:rsid w:val="00884946"/>
    <w:rsid w:val="008870DF"/>
    <w:rsid w:val="00890686"/>
    <w:rsid w:val="00891703"/>
    <w:rsid w:val="00891BC4"/>
    <w:rsid w:val="0089281E"/>
    <w:rsid w:val="00893DA5"/>
    <w:rsid w:val="00895498"/>
    <w:rsid w:val="008A1297"/>
    <w:rsid w:val="008A24A8"/>
    <w:rsid w:val="008A2914"/>
    <w:rsid w:val="008B1977"/>
    <w:rsid w:val="008B26B9"/>
    <w:rsid w:val="008B3E9D"/>
    <w:rsid w:val="008B44D0"/>
    <w:rsid w:val="008C0CBF"/>
    <w:rsid w:val="008C3760"/>
    <w:rsid w:val="008C6AF3"/>
    <w:rsid w:val="008D0489"/>
    <w:rsid w:val="008D07FE"/>
    <w:rsid w:val="008D1417"/>
    <w:rsid w:val="008D38D0"/>
    <w:rsid w:val="008D7A7A"/>
    <w:rsid w:val="008E0354"/>
    <w:rsid w:val="008E0FCD"/>
    <w:rsid w:val="008E10A2"/>
    <w:rsid w:val="008E3CDA"/>
    <w:rsid w:val="008E4770"/>
    <w:rsid w:val="008E4D8E"/>
    <w:rsid w:val="008F05F8"/>
    <w:rsid w:val="008F229C"/>
    <w:rsid w:val="008F6CAA"/>
    <w:rsid w:val="009031CD"/>
    <w:rsid w:val="0091324D"/>
    <w:rsid w:val="00924869"/>
    <w:rsid w:val="00925B15"/>
    <w:rsid w:val="0092792F"/>
    <w:rsid w:val="0093028E"/>
    <w:rsid w:val="009302D4"/>
    <w:rsid w:val="00930E01"/>
    <w:rsid w:val="00931013"/>
    <w:rsid w:val="0093201F"/>
    <w:rsid w:val="00933348"/>
    <w:rsid w:val="009410A1"/>
    <w:rsid w:val="0094118E"/>
    <w:rsid w:val="00941FEC"/>
    <w:rsid w:val="00945A31"/>
    <w:rsid w:val="009512BF"/>
    <w:rsid w:val="00953126"/>
    <w:rsid w:val="00955290"/>
    <w:rsid w:val="00956CA6"/>
    <w:rsid w:val="0096134E"/>
    <w:rsid w:val="00961BA7"/>
    <w:rsid w:val="009622FA"/>
    <w:rsid w:val="00963D84"/>
    <w:rsid w:val="0096497D"/>
    <w:rsid w:val="0097190A"/>
    <w:rsid w:val="0097663D"/>
    <w:rsid w:val="009777DB"/>
    <w:rsid w:val="00977A14"/>
    <w:rsid w:val="009816E7"/>
    <w:rsid w:val="00981CDB"/>
    <w:rsid w:val="00981D4D"/>
    <w:rsid w:val="00984868"/>
    <w:rsid w:val="009855B8"/>
    <w:rsid w:val="0098640C"/>
    <w:rsid w:val="0099015B"/>
    <w:rsid w:val="0099056A"/>
    <w:rsid w:val="009B0C39"/>
    <w:rsid w:val="009B5184"/>
    <w:rsid w:val="009C0313"/>
    <w:rsid w:val="009C1BE0"/>
    <w:rsid w:val="009C2C10"/>
    <w:rsid w:val="009C3021"/>
    <w:rsid w:val="009C6225"/>
    <w:rsid w:val="009C649E"/>
    <w:rsid w:val="009C795F"/>
    <w:rsid w:val="009D0139"/>
    <w:rsid w:val="009D3601"/>
    <w:rsid w:val="009F171A"/>
    <w:rsid w:val="009F25B6"/>
    <w:rsid w:val="009F308D"/>
    <w:rsid w:val="009F7FF4"/>
    <w:rsid w:val="00A00974"/>
    <w:rsid w:val="00A0106C"/>
    <w:rsid w:val="00A02D33"/>
    <w:rsid w:val="00A040D4"/>
    <w:rsid w:val="00A12502"/>
    <w:rsid w:val="00A1303E"/>
    <w:rsid w:val="00A1564D"/>
    <w:rsid w:val="00A16C90"/>
    <w:rsid w:val="00A17E58"/>
    <w:rsid w:val="00A24F80"/>
    <w:rsid w:val="00A30080"/>
    <w:rsid w:val="00A31FDC"/>
    <w:rsid w:val="00A36A95"/>
    <w:rsid w:val="00A41A16"/>
    <w:rsid w:val="00A42A72"/>
    <w:rsid w:val="00A42B82"/>
    <w:rsid w:val="00A42BEB"/>
    <w:rsid w:val="00A42FAE"/>
    <w:rsid w:val="00A46038"/>
    <w:rsid w:val="00A53B3C"/>
    <w:rsid w:val="00A549C2"/>
    <w:rsid w:val="00A554CE"/>
    <w:rsid w:val="00A55793"/>
    <w:rsid w:val="00A57B3B"/>
    <w:rsid w:val="00A61BE8"/>
    <w:rsid w:val="00A635DE"/>
    <w:rsid w:val="00A71044"/>
    <w:rsid w:val="00A7562B"/>
    <w:rsid w:val="00A822C2"/>
    <w:rsid w:val="00A85C6D"/>
    <w:rsid w:val="00A867EB"/>
    <w:rsid w:val="00A923B3"/>
    <w:rsid w:val="00A924A5"/>
    <w:rsid w:val="00A928C9"/>
    <w:rsid w:val="00A933B4"/>
    <w:rsid w:val="00A93836"/>
    <w:rsid w:val="00A95672"/>
    <w:rsid w:val="00AA0861"/>
    <w:rsid w:val="00AA0B0D"/>
    <w:rsid w:val="00AA0B48"/>
    <w:rsid w:val="00AA0C70"/>
    <w:rsid w:val="00AA1496"/>
    <w:rsid w:val="00AA3E5D"/>
    <w:rsid w:val="00AA657F"/>
    <w:rsid w:val="00AA774A"/>
    <w:rsid w:val="00AB0A48"/>
    <w:rsid w:val="00AB2E7B"/>
    <w:rsid w:val="00AC06B3"/>
    <w:rsid w:val="00AC1D32"/>
    <w:rsid w:val="00AC2FE1"/>
    <w:rsid w:val="00AD11FC"/>
    <w:rsid w:val="00AD33C7"/>
    <w:rsid w:val="00AD3F70"/>
    <w:rsid w:val="00AD40CF"/>
    <w:rsid w:val="00AD5E7F"/>
    <w:rsid w:val="00AE3894"/>
    <w:rsid w:val="00AE5F8E"/>
    <w:rsid w:val="00AE6ADC"/>
    <w:rsid w:val="00AF3287"/>
    <w:rsid w:val="00AF3C50"/>
    <w:rsid w:val="00B00348"/>
    <w:rsid w:val="00B01B5E"/>
    <w:rsid w:val="00B0227D"/>
    <w:rsid w:val="00B06931"/>
    <w:rsid w:val="00B13398"/>
    <w:rsid w:val="00B14284"/>
    <w:rsid w:val="00B15D6B"/>
    <w:rsid w:val="00B16480"/>
    <w:rsid w:val="00B1712A"/>
    <w:rsid w:val="00B23399"/>
    <w:rsid w:val="00B233A8"/>
    <w:rsid w:val="00B24017"/>
    <w:rsid w:val="00B27E6F"/>
    <w:rsid w:val="00B30705"/>
    <w:rsid w:val="00B31662"/>
    <w:rsid w:val="00B3187F"/>
    <w:rsid w:val="00B35E9E"/>
    <w:rsid w:val="00B4245F"/>
    <w:rsid w:val="00B4331A"/>
    <w:rsid w:val="00B451EB"/>
    <w:rsid w:val="00B454B0"/>
    <w:rsid w:val="00B46791"/>
    <w:rsid w:val="00B4784E"/>
    <w:rsid w:val="00B503DC"/>
    <w:rsid w:val="00B551D9"/>
    <w:rsid w:val="00B5602D"/>
    <w:rsid w:val="00B60A9C"/>
    <w:rsid w:val="00B6349C"/>
    <w:rsid w:val="00B64632"/>
    <w:rsid w:val="00B71073"/>
    <w:rsid w:val="00B7167B"/>
    <w:rsid w:val="00B73E17"/>
    <w:rsid w:val="00B771D7"/>
    <w:rsid w:val="00B772DA"/>
    <w:rsid w:val="00B85C15"/>
    <w:rsid w:val="00B90EAA"/>
    <w:rsid w:val="00B91BC2"/>
    <w:rsid w:val="00B92155"/>
    <w:rsid w:val="00B92168"/>
    <w:rsid w:val="00B93E15"/>
    <w:rsid w:val="00B942DC"/>
    <w:rsid w:val="00B96C98"/>
    <w:rsid w:val="00BA0FA9"/>
    <w:rsid w:val="00BA3C6A"/>
    <w:rsid w:val="00BA3D9B"/>
    <w:rsid w:val="00BA4343"/>
    <w:rsid w:val="00BA49B4"/>
    <w:rsid w:val="00BA4D8F"/>
    <w:rsid w:val="00BA6C1B"/>
    <w:rsid w:val="00BB15E9"/>
    <w:rsid w:val="00BB1804"/>
    <w:rsid w:val="00BB2390"/>
    <w:rsid w:val="00BB2C3D"/>
    <w:rsid w:val="00BB2FD8"/>
    <w:rsid w:val="00BB38AD"/>
    <w:rsid w:val="00BB538F"/>
    <w:rsid w:val="00BB58CB"/>
    <w:rsid w:val="00BC16B2"/>
    <w:rsid w:val="00BC3D3D"/>
    <w:rsid w:val="00BC6DD2"/>
    <w:rsid w:val="00BD0CED"/>
    <w:rsid w:val="00BD3FE8"/>
    <w:rsid w:val="00BD42D8"/>
    <w:rsid w:val="00BD67E2"/>
    <w:rsid w:val="00BD7189"/>
    <w:rsid w:val="00BD7BA7"/>
    <w:rsid w:val="00BE32DE"/>
    <w:rsid w:val="00BF249A"/>
    <w:rsid w:val="00BF4F37"/>
    <w:rsid w:val="00BF51F5"/>
    <w:rsid w:val="00BF5A6F"/>
    <w:rsid w:val="00BF5FB1"/>
    <w:rsid w:val="00C00C82"/>
    <w:rsid w:val="00C04A44"/>
    <w:rsid w:val="00C04C80"/>
    <w:rsid w:val="00C051F6"/>
    <w:rsid w:val="00C06ADC"/>
    <w:rsid w:val="00C12301"/>
    <w:rsid w:val="00C16902"/>
    <w:rsid w:val="00C202A0"/>
    <w:rsid w:val="00C2040E"/>
    <w:rsid w:val="00C21D97"/>
    <w:rsid w:val="00C24835"/>
    <w:rsid w:val="00C254DB"/>
    <w:rsid w:val="00C310A6"/>
    <w:rsid w:val="00C335E2"/>
    <w:rsid w:val="00C359D5"/>
    <w:rsid w:val="00C405BB"/>
    <w:rsid w:val="00C412FE"/>
    <w:rsid w:val="00C50E7D"/>
    <w:rsid w:val="00C51560"/>
    <w:rsid w:val="00C5548E"/>
    <w:rsid w:val="00C55618"/>
    <w:rsid w:val="00C56D1C"/>
    <w:rsid w:val="00C61366"/>
    <w:rsid w:val="00C65EF8"/>
    <w:rsid w:val="00C73A1A"/>
    <w:rsid w:val="00C75354"/>
    <w:rsid w:val="00C76B96"/>
    <w:rsid w:val="00C77007"/>
    <w:rsid w:val="00C807B9"/>
    <w:rsid w:val="00C813A8"/>
    <w:rsid w:val="00C8407F"/>
    <w:rsid w:val="00C84755"/>
    <w:rsid w:val="00C8536B"/>
    <w:rsid w:val="00C86249"/>
    <w:rsid w:val="00C8726D"/>
    <w:rsid w:val="00C87394"/>
    <w:rsid w:val="00C9435D"/>
    <w:rsid w:val="00C94DB0"/>
    <w:rsid w:val="00C955AC"/>
    <w:rsid w:val="00CA0223"/>
    <w:rsid w:val="00CA22E4"/>
    <w:rsid w:val="00CA2375"/>
    <w:rsid w:val="00CB24A5"/>
    <w:rsid w:val="00CB4146"/>
    <w:rsid w:val="00CB5EC8"/>
    <w:rsid w:val="00CB5F24"/>
    <w:rsid w:val="00CB6AE1"/>
    <w:rsid w:val="00CC15FE"/>
    <w:rsid w:val="00CC2E98"/>
    <w:rsid w:val="00CC329E"/>
    <w:rsid w:val="00CC644D"/>
    <w:rsid w:val="00CC6973"/>
    <w:rsid w:val="00CCC33F"/>
    <w:rsid w:val="00CD1593"/>
    <w:rsid w:val="00CD233C"/>
    <w:rsid w:val="00CD539F"/>
    <w:rsid w:val="00CD5BCE"/>
    <w:rsid w:val="00CE0E59"/>
    <w:rsid w:val="00CE1988"/>
    <w:rsid w:val="00CE38A6"/>
    <w:rsid w:val="00CE5B3F"/>
    <w:rsid w:val="00CE5FAA"/>
    <w:rsid w:val="00CF021E"/>
    <w:rsid w:val="00CF0AE2"/>
    <w:rsid w:val="00CF21AF"/>
    <w:rsid w:val="00CF2D58"/>
    <w:rsid w:val="00CF32AB"/>
    <w:rsid w:val="00CF3A8F"/>
    <w:rsid w:val="00CF49AE"/>
    <w:rsid w:val="00CF7119"/>
    <w:rsid w:val="00D00B90"/>
    <w:rsid w:val="00D072F9"/>
    <w:rsid w:val="00D07886"/>
    <w:rsid w:val="00D14A2C"/>
    <w:rsid w:val="00D20381"/>
    <w:rsid w:val="00D20684"/>
    <w:rsid w:val="00D20DB7"/>
    <w:rsid w:val="00D23297"/>
    <w:rsid w:val="00D262E0"/>
    <w:rsid w:val="00D26A1C"/>
    <w:rsid w:val="00D3387F"/>
    <w:rsid w:val="00D34595"/>
    <w:rsid w:val="00D361A7"/>
    <w:rsid w:val="00D378AF"/>
    <w:rsid w:val="00D4149B"/>
    <w:rsid w:val="00D4169A"/>
    <w:rsid w:val="00D4317B"/>
    <w:rsid w:val="00D43B43"/>
    <w:rsid w:val="00D5252F"/>
    <w:rsid w:val="00D537FC"/>
    <w:rsid w:val="00D55EF6"/>
    <w:rsid w:val="00D568CF"/>
    <w:rsid w:val="00D57185"/>
    <w:rsid w:val="00D6153D"/>
    <w:rsid w:val="00D71072"/>
    <w:rsid w:val="00D73426"/>
    <w:rsid w:val="00D7740F"/>
    <w:rsid w:val="00D779C4"/>
    <w:rsid w:val="00D80377"/>
    <w:rsid w:val="00D81BFF"/>
    <w:rsid w:val="00D83226"/>
    <w:rsid w:val="00D8523C"/>
    <w:rsid w:val="00D91621"/>
    <w:rsid w:val="00D94E64"/>
    <w:rsid w:val="00D969CA"/>
    <w:rsid w:val="00D96B8F"/>
    <w:rsid w:val="00D97092"/>
    <w:rsid w:val="00DA350D"/>
    <w:rsid w:val="00DA6645"/>
    <w:rsid w:val="00DB1B2A"/>
    <w:rsid w:val="00DB5C1A"/>
    <w:rsid w:val="00DB70EB"/>
    <w:rsid w:val="00DB76C3"/>
    <w:rsid w:val="00DB7E6D"/>
    <w:rsid w:val="00DC4772"/>
    <w:rsid w:val="00DC66ED"/>
    <w:rsid w:val="00DD3B34"/>
    <w:rsid w:val="00DD3D6D"/>
    <w:rsid w:val="00DD4418"/>
    <w:rsid w:val="00DD4DD8"/>
    <w:rsid w:val="00DD5266"/>
    <w:rsid w:val="00DE2F2C"/>
    <w:rsid w:val="00DE35DA"/>
    <w:rsid w:val="00E00AB1"/>
    <w:rsid w:val="00E046BE"/>
    <w:rsid w:val="00E05EA0"/>
    <w:rsid w:val="00E06643"/>
    <w:rsid w:val="00E10E4B"/>
    <w:rsid w:val="00E11EBF"/>
    <w:rsid w:val="00E164BC"/>
    <w:rsid w:val="00E16AD6"/>
    <w:rsid w:val="00E17234"/>
    <w:rsid w:val="00E1723C"/>
    <w:rsid w:val="00E2028C"/>
    <w:rsid w:val="00E206AC"/>
    <w:rsid w:val="00E22E40"/>
    <w:rsid w:val="00E26F99"/>
    <w:rsid w:val="00E34864"/>
    <w:rsid w:val="00E3FB0E"/>
    <w:rsid w:val="00E40B2A"/>
    <w:rsid w:val="00E422CE"/>
    <w:rsid w:val="00E44602"/>
    <w:rsid w:val="00E54AEB"/>
    <w:rsid w:val="00E5591F"/>
    <w:rsid w:val="00E56C13"/>
    <w:rsid w:val="00E56D7B"/>
    <w:rsid w:val="00E57534"/>
    <w:rsid w:val="00E60C22"/>
    <w:rsid w:val="00E62034"/>
    <w:rsid w:val="00E65BBD"/>
    <w:rsid w:val="00E65CB7"/>
    <w:rsid w:val="00E6613F"/>
    <w:rsid w:val="00E661A3"/>
    <w:rsid w:val="00E67A43"/>
    <w:rsid w:val="00E729CE"/>
    <w:rsid w:val="00E7343E"/>
    <w:rsid w:val="00E74F4A"/>
    <w:rsid w:val="00E77EDD"/>
    <w:rsid w:val="00E82223"/>
    <w:rsid w:val="00E854DE"/>
    <w:rsid w:val="00E86BA4"/>
    <w:rsid w:val="00E91D91"/>
    <w:rsid w:val="00E92A6D"/>
    <w:rsid w:val="00E93D84"/>
    <w:rsid w:val="00E96A0D"/>
    <w:rsid w:val="00EA260A"/>
    <w:rsid w:val="00EB4406"/>
    <w:rsid w:val="00EB712F"/>
    <w:rsid w:val="00EC0586"/>
    <w:rsid w:val="00EC2217"/>
    <w:rsid w:val="00EC5883"/>
    <w:rsid w:val="00EC5932"/>
    <w:rsid w:val="00EC6A35"/>
    <w:rsid w:val="00ED2E19"/>
    <w:rsid w:val="00EE4DAA"/>
    <w:rsid w:val="00EE57B9"/>
    <w:rsid w:val="00EE6436"/>
    <w:rsid w:val="00EE7401"/>
    <w:rsid w:val="00EF02F6"/>
    <w:rsid w:val="00EF39C5"/>
    <w:rsid w:val="00EF3FF2"/>
    <w:rsid w:val="00EF421D"/>
    <w:rsid w:val="00EF488F"/>
    <w:rsid w:val="00EF6977"/>
    <w:rsid w:val="00EF6DC8"/>
    <w:rsid w:val="00EF7F81"/>
    <w:rsid w:val="00F022A1"/>
    <w:rsid w:val="00F05CD1"/>
    <w:rsid w:val="00F07774"/>
    <w:rsid w:val="00F10C98"/>
    <w:rsid w:val="00F10D9B"/>
    <w:rsid w:val="00F11FC9"/>
    <w:rsid w:val="00F1348F"/>
    <w:rsid w:val="00F13EEE"/>
    <w:rsid w:val="00F20834"/>
    <w:rsid w:val="00F257C7"/>
    <w:rsid w:val="00F25B03"/>
    <w:rsid w:val="00F26587"/>
    <w:rsid w:val="00F30739"/>
    <w:rsid w:val="00F320E5"/>
    <w:rsid w:val="00F35B3D"/>
    <w:rsid w:val="00F41E22"/>
    <w:rsid w:val="00F43AED"/>
    <w:rsid w:val="00F45A48"/>
    <w:rsid w:val="00F45D30"/>
    <w:rsid w:val="00F53AD5"/>
    <w:rsid w:val="00F53B46"/>
    <w:rsid w:val="00F53FB3"/>
    <w:rsid w:val="00F54E28"/>
    <w:rsid w:val="00F57090"/>
    <w:rsid w:val="00F57DB4"/>
    <w:rsid w:val="00F64935"/>
    <w:rsid w:val="00F64EE6"/>
    <w:rsid w:val="00F673AF"/>
    <w:rsid w:val="00F67446"/>
    <w:rsid w:val="00F77B51"/>
    <w:rsid w:val="00F803D9"/>
    <w:rsid w:val="00F807DF"/>
    <w:rsid w:val="00F86159"/>
    <w:rsid w:val="00F87E68"/>
    <w:rsid w:val="00F917CA"/>
    <w:rsid w:val="00F97269"/>
    <w:rsid w:val="00FA1E6B"/>
    <w:rsid w:val="00FA2586"/>
    <w:rsid w:val="00FA28EF"/>
    <w:rsid w:val="00FA76CB"/>
    <w:rsid w:val="00FB2EAE"/>
    <w:rsid w:val="00FB30D3"/>
    <w:rsid w:val="00FB3181"/>
    <w:rsid w:val="00FB3CD9"/>
    <w:rsid w:val="00FB520A"/>
    <w:rsid w:val="00FC10DB"/>
    <w:rsid w:val="00FC1445"/>
    <w:rsid w:val="00FC1826"/>
    <w:rsid w:val="00FC2E02"/>
    <w:rsid w:val="00FC38F8"/>
    <w:rsid w:val="00FC3E4F"/>
    <w:rsid w:val="00FC580D"/>
    <w:rsid w:val="00FC585E"/>
    <w:rsid w:val="00FC618F"/>
    <w:rsid w:val="00FD32D6"/>
    <w:rsid w:val="00FD37F1"/>
    <w:rsid w:val="00FE0B3B"/>
    <w:rsid w:val="00FE0F34"/>
    <w:rsid w:val="00FE30EF"/>
    <w:rsid w:val="00FE4128"/>
    <w:rsid w:val="00FE57F0"/>
    <w:rsid w:val="00FE59FD"/>
    <w:rsid w:val="00FF137C"/>
    <w:rsid w:val="00FF6AFD"/>
    <w:rsid w:val="00FF6E10"/>
    <w:rsid w:val="010256C1"/>
    <w:rsid w:val="0129C98E"/>
    <w:rsid w:val="014A08D8"/>
    <w:rsid w:val="0154B7EA"/>
    <w:rsid w:val="016FE33D"/>
    <w:rsid w:val="01B93C29"/>
    <w:rsid w:val="01FC8A28"/>
    <w:rsid w:val="02002E47"/>
    <w:rsid w:val="02134897"/>
    <w:rsid w:val="023C3B3D"/>
    <w:rsid w:val="024F3973"/>
    <w:rsid w:val="02A1EAAF"/>
    <w:rsid w:val="02BA1A0A"/>
    <w:rsid w:val="02C2B30B"/>
    <w:rsid w:val="02E296E5"/>
    <w:rsid w:val="0318077F"/>
    <w:rsid w:val="03261563"/>
    <w:rsid w:val="035E72E0"/>
    <w:rsid w:val="0378A139"/>
    <w:rsid w:val="0405BFC0"/>
    <w:rsid w:val="04105D1B"/>
    <w:rsid w:val="042E68DC"/>
    <w:rsid w:val="042F6BF9"/>
    <w:rsid w:val="045B4AC8"/>
    <w:rsid w:val="0494D3EF"/>
    <w:rsid w:val="0499C185"/>
    <w:rsid w:val="04A91A76"/>
    <w:rsid w:val="04CF0B59"/>
    <w:rsid w:val="05787FD8"/>
    <w:rsid w:val="058DE980"/>
    <w:rsid w:val="058E2B99"/>
    <w:rsid w:val="05923D65"/>
    <w:rsid w:val="05C92882"/>
    <w:rsid w:val="05CCCD86"/>
    <w:rsid w:val="06D765FE"/>
    <w:rsid w:val="06DBFD7F"/>
    <w:rsid w:val="07161987"/>
    <w:rsid w:val="071A4416"/>
    <w:rsid w:val="07477378"/>
    <w:rsid w:val="07630311"/>
    <w:rsid w:val="07846106"/>
    <w:rsid w:val="079A68A0"/>
    <w:rsid w:val="07AD0479"/>
    <w:rsid w:val="0803B206"/>
    <w:rsid w:val="083F2F28"/>
    <w:rsid w:val="08708610"/>
    <w:rsid w:val="088AE18F"/>
    <w:rsid w:val="08BDB2C6"/>
    <w:rsid w:val="08CCA26A"/>
    <w:rsid w:val="091DEEDC"/>
    <w:rsid w:val="09679D33"/>
    <w:rsid w:val="09AA47CB"/>
    <w:rsid w:val="0A3FB79E"/>
    <w:rsid w:val="0AB03488"/>
    <w:rsid w:val="0ABC03EE"/>
    <w:rsid w:val="0ABE9B30"/>
    <w:rsid w:val="0AF9E00E"/>
    <w:rsid w:val="0B071AF8"/>
    <w:rsid w:val="0B403610"/>
    <w:rsid w:val="0B5B4E0C"/>
    <w:rsid w:val="0BAD1B80"/>
    <w:rsid w:val="0BBEF14F"/>
    <w:rsid w:val="0BE3DA03"/>
    <w:rsid w:val="0BFD0FCE"/>
    <w:rsid w:val="0C1EB3C8"/>
    <w:rsid w:val="0C311891"/>
    <w:rsid w:val="0C4EE780"/>
    <w:rsid w:val="0C8B3ECD"/>
    <w:rsid w:val="0CB2E0A5"/>
    <w:rsid w:val="0CE76278"/>
    <w:rsid w:val="0CF7620D"/>
    <w:rsid w:val="0D5B5BD6"/>
    <w:rsid w:val="0D89B86B"/>
    <w:rsid w:val="0D9D4F4A"/>
    <w:rsid w:val="0DC22301"/>
    <w:rsid w:val="0E11210F"/>
    <w:rsid w:val="0E309511"/>
    <w:rsid w:val="0E6DCF0E"/>
    <w:rsid w:val="0EBD3E66"/>
    <w:rsid w:val="0EC074F2"/>
    <w:rsid w:val="0EC32844"/>
    <w:rsid w:val="0ED42E2E"/>
    <w:rsid w:val="0ED855B2"/>
    <w:rsid w:val="0F11A38C"/>
    <w:rsid w:val="0F391FAB"/>
    <w:rsid w:val="0F6942D7"/>
    <w:rsid w:val="0FA3F8C2"/>
    <w:rsid w:val="0FC7A1ED"/>
    <w:rsid w:val="0FDF1879"/>
    <w:rsid w:val="0FE66817"/>
    <w:rsid w:val="100BCCBB"/>
    <w:rsid w:val="102FBDD2"/>
    <w:rsid w:val="10C629B5"/>
    <w:rsid w:val="10C69B5F"/>
    <w:rsid w:val="10FEF0C2"/>
    <w:rsid w:val="11281C1A"/>
    <w:rsid w:val="113CC55E"/>
    <w:rsid w:val="11737C58"/>
    <w:rsid w:val="119E14E4"/>
    <w:rsid w:val="11ACEDE8"/>
    <w:rsid w:val="11CC9DB3"/>
    <w:rsid w:val="120A29C2"/>
    <w:rsid w:val="1270B85D"/>
    <w:rsid w:val="128BD070"/>
    <w:rsid w:val="12B8722B"/>
    <w:rsid w:val="12FFA14B"/>
    <w:rsid w:val="13033D20"/>
    <w:rsid w:val="137AD92A"/>
    <w:rsid w:val="13AF126D"/>
    <w:rsid w:val="13D03FF7"/>
    <w:rsid w:val="142FA211"/>
    <w:rsid w:val="14BDC627"/>
    <w:rsid w:val="1506B009"/>
    <w:rsid w:val="1562BD8C"/>
    <w:rsid w:val="15C79DA1"/>
    <w:rsid w:val="165D48A6"/>
    <w:rsid w:val="16D10E2F"/>
    <w:rsid w:val="17120D67"/>
    <w:rsid w:val="178A95FD"/>
    <w:rsid w:val="178CDF58"/>
    <w:rsid w:val="17F5AA5B"/>
    <w:rsid w:val="181ADC87"/>
    <w:rsid w:val="183E291F"/>
    <w:rsid w:val="186F429C"/>
    <w:rsid w:val="189E7171"/>
    <w:rsid w:val="18C30B3F"/>
    <w:rsid w:val="18C5EF45"/>
    <w:rsid w:val="18D098F7"/>
    <w:rsid w:val="1923644E"/>
    <w:rsid w:val="19285945"/>
    <w:rsid w:val="192E1AAF"/>
    <w:rsid w:val="19620EB9"/>
    <w:rsid w:val="1986B37A"/>
    <w:rsid w:val="19E791A1"/>
    <w:rsid w:val="19EA8A48"/>
    <w:rsid w:val="19F7EEEC"/>
    <w:rsid w:val="1A3BB7B8"/>
    <w:rsid w:val="1B006853"/>
    <w:rsid w:val="1B6D976C"/>
    <w:rsid w:val="1C07A241"/>
    <w:rsid w:val="1C278C96"/>
    <w:rsid w:val="1C3E1CAB"/>
    <w:rsid w:val="1C5C9A7F"/>
    <w:rsid w:val="1C6B2178"/>
    <w:rsid w:val="1CBEF161"/>
    <w:rsid w:val="1CCF82BC"/>
    <w:rsid w:val="1CF23D49"/>
    <w:rsid w:val="1D32A269"/>
    <w:rsid w:val="1D3D18B2"/>
    <w:rsid w:val="1D6E6BC5"/>
    <w:rsid w:val="1D7FC36C"/>
    <w:rsid w:val="1D90566D"/>
    <w:rsid w:val="1DB22E3C"/>
    <w:rsid w:val="1DCA8839"/>
    <w:rsid w:val="1DD4946C"/>
    <w:rsid w:val="1E05E235"/>
    <w:rsid w:val="1E08D344"/>
    <w:rsid w:val="1E616ED1"/>
    <w:rsid w:val="1E6FEDF6"/>
    <w:rsid w:val="1E8C69B3"/>
    <w:rsid w:val="1EB73C26"/>
    <w:rsid w:val="1ED12D96"/>
    <w:rsid w:val="1F3BC85B"/>
    <w:rsid w:val="1F6D86C5"/>
    <w:rsid w:val="1F778F75"/>
    <w:rsid w:val="1F86B770"/>
    <w:rsid w:val="1FB75C81"/>
    <w:rsid w:val="1FDA93F1"/>
    <w:rsid w:val="203CFF0E"/>
    <w:rsid w:val="20AA3843"/>
    <w:rsid w:val="20CB788D"/>
    <w:rsid w:val="20F02EC9"/>
    <w:rsid w:val="21983C37"/>
    <w:rsid w:val="21CAA872"/>
    <w:rsid w:val="21DC0436"/>
    <w:rsid w:val="21E647E1"/>
    <w:rsid w:val="220BFBB9"/>
    <w:rsid w:val="22A34F31"/>
    <w:rsid w:val="22D59727"/>
    <w:rsid w:val="2327577F"/>
    <w:rsid w:val="23617ECD"/>
    <w:rsid w:val="2368F440"/>
    <w:rsid w:val="2378C39B"/>
    <w:rsid w:val="23A44B2D"/>
    <w:rsid w:val="23C139AD"/>
    <w:rsid w:val="23E95836"/>
    <w:rsid w:val="23EE2FAB"/>
    <w:rsid w:val="242B2BDF"/>
    <w:rsid w:val="244E2BCD"/>
    <w:rsid w:val="2451229C"/>
    <w:rsid w:val="2471BC2C"/>
    <w:rsid w:val="2545D854"/>
    <w:rsid w:val="255B9A88"/>
    <w:rsid w:val="2561D301"/>
    <w:rsid w:val="2583C20A"/>
    <w:rsid w:val="25A41547"/>
    <w:rsid w:val="25A7EB36"/>
    <w:rsid w:val="25C194E5"/>
    <w:rsid w:val="264CF892"/>
    <w:rsid w:val="265AFDFC"/>
    <w:rsid w:val="26999108"/>
    <w:rsid w:val="26CB1717"/>
    <w:rsid w:val="26D7AEF6"/>
    <w:rsid w:val="26E20132"/>
    <w:rsid w:val="27556C56"/>
    <w:rsid w:val="275B67C0"/>
    <w:rsid w:val="2781437C"/>
    <w:rsid w:val="282713D5"/>
    <w:rsid w:val="282CE480"/>
    <w:rsid w:val="285D70DA"/>
    <w:rsid w:val="287E9BDC"/>
    <w:rsid w:val="28849F45"/>
    <w:rsid w:val="28910F9C"/>
    <w:rsid w:val="289D3043"/>
    <w:rsid w:val="28A2F456"/>
    <w:rsid w:val="28CD078F"/>
    <w:rsid w:val="2928D459"/>
    <w:rsid w:val="295E5624"/>
    <w:rsid w:val="2964C126"/>
    <w:rsid w:val="29D290DA"/>
    <w:rsid w:val="2A0AF8BA"/>
    <w:rsid w:val="2A45C350"/>
    <w:rsid w:val="2A66EB10"/>
    <w:rsid w:val="2AEC8F91"/>
    <w:rsid w:val="2B06B984"/>
    <w:rsid w:val="2B83F773"/>
    <w:rsid w:val="2BC06BE9"/>
    <w:rsid w:val="2BCEE6DB"/>
    <w:rsid w:val="2BFC4E2E"/>
    <w:rsid w:val="2C3E20E1"/>
    <w:rsid w:val="2C74CFF8"/>
    <w:rsid w:val="2CC9FAB3"/>
    <w:rsid w:val="2CDD73DA"/>
    <w:rsid w:val="2D01794D"/>
    <w:rsid w:val="2D0CD3C0"/>
    <w:rsid w:val="2D144753"/>
    <w:rsid w:val="2DF643A5"/>
    <w:rsid w:val="2E6E7E1D"/>
    <w:rsid w:val="2E93AEDE"/>
    <w:rsid w:val="2E9A96CE"/>
    <w:rsid w:val="2EEE28ED"/>
    <w:rsid w:val="2EFAA51C"/>
    <w:rsid w:val="2F318C3F"/>
    <w:rsid w:val="2F4FF33E"/>
    <w:rsid w:val="2F546AAE"/>
    <w:rsid w:val="2F756118"/>
    <w:rsid w:val="2FE8E543"/>
    <w:rsid w:val="2FF5C493"/>
    <w:rsid w:val="2FF89CA6"/>
    <w:rsid w:val="302D976F"/>
    <w:rsid w:val="304D3AE4"/>
    <w:rsid w:val="305E4525"/>
    <w:rsid w:val="30DD2CED"/>
    <w:rsid w:val="315679B7"/>
    <w:rsid w:val="3175F930"/>
    <w:rsid w:val="31B629DE"/>
    <w:rsid w:val="322F7F5C"/>
    <w:rsid w:val="3262E6C6"/>
    <w:rsid w:val="32BDBAA3"/>
    <w:rsid w:val="334FCAAE"/>
    <w:rsid w:val="3380163A"/>
    <w:rsid w:val="33A478C4"/>
    <w:rsid w:val="345A2B48"/>
    <w:rsid w:val="34906648"/>
    <w:rsid w:val="3503905B"/>
    <w:rsid w:val="3531B648"/>
    <w:rsid w:val="354F62CC"/>
    <w:rsid w:val="355C81EC"/>
    <w:rsid w:val="3572A622"/>
    <w:rsid w:val="3598C787"/>
    <w:rsid w:val="35C11270"/>
    <w:rsid w:val="35EE4237"/>
    <w:rsid w:val="361476E9"/>
    <w:rsid w:val="36197E92"/>
    <w:rsid w:val="36229AB6"/>
    <w:rsid w:val="365329FC"/>
    <w:rsid w:val="366E8695"/>
    <w:rsid w:val="3677692D"/>
    <w:rsid w:val="367BE5EE"/>
    <w:rsid w:val="368D0159"/>
    <w:rsid w:val="36A92F11"/>
    <w:rsid w:val="36CB9024"/>
    <w:rsid w:val="36F75C72"/>
    <w:rsid w:val="374ACB59"/>
    <w:rsid w:val="375EA233"/>
    <w:rsid w:val="377B078C"/>
    <w:rsid w:val="3788104D"/>
    <w:rsid w:val="37EEA019"/>
    <w:rsid w:val="383D63DB"/>
    <w:rsid w:val="38A60FF7"/>
    <w:rsid w:val="38A96237"/>
    <w:rsid w:val="390DA483"/>
    <w:rsid w:val="3925AE50"/>
    <w:rsid w:val="3947DCA7"/>
    <w:rsid w:val="398D8CFF"/>
    <w:rsid w:val="39E1026F"/>
    <w:rsid w:val="39F7AECE"/>
    <w:rsid w:val="3A33875C"/>
    <w:rsid w:val="3A5C08BB"/>
    <w:rsid w:val="3A62CE5D"/>
    <w:rsid w:val="3AA16ACD"/>
    <w:rsid w:val="3B2C92AA"/>
    <w:rsid w:val="3B599AF5"/>
    <w:rsid w:val="3B836276"/>
    <w:rsid w:val="3B85D249"/>
    <w:rsid w:val="3BA6A5A3"/>
    <w:rsid w:val="3BCE91CC"/>
    <w:rsid w:val="3C03540E"/>
    <w:rsid w:val="3C293111"/>
    <w:rsid w:val="3C3D064B"/>
    <w:rsid w:val="3C701F58"/>
    <w:rsid w:val="3C8BBFF0"/>
    <w:rsid w:val="3D3274E1"/>
    <w:rsid w:val="3D5384F9"/>
    <w:rsid w:val="3DA86035"/>
    <w:rsid w:val="3DDA5EA8"/>
    <w:rsid w:val="3DDCD1C0"/>
    <w:rsid w:val="3E1C4E00"/>
    <w:rsid w:val="3E656C4E"/>
    <w:rsid w:val="3E82E4E4"/>
    <w:rsid w:val="3EA67D89"/>
    <w:rsid w:val="3ED4025F"/>
    <w:rsid w:val="3EF6C25D"/>
    <w:rsid w:val="3F03ED2D"/>
    <w:rsid w:val="3F0D8236"/>
    <w:rsid w:val="3F1D545B"/>
    <w:rsid w:val="3F35D81F"/>
    <w:rsid w:val="3F5405EE"/>
    <w:rsid w:val="3F8DBB84"/>
    <w:rsid w:val="405273DE"/>
    <w:rsid w:val="40598696"/>
    <w:rsid w:val="40D64A66"/>
    <w:rsid w:val="4140C8A5"/>
    <w:rsid w:val="416CC6FC"/>
    <w:rsid w:val="4172F49D"/>
    <w:rsid w:val="41D414B6"/>
    <w:rsid w:val="426D7703"/>
    <w:rsid w:val="4280C80D"/>
    <w:rsid w:val="429AA756"/>
    <w:rsid w:val="43D10366"/>
    <w:rsid w:val="43DB200C"/>
    <w:rsid w:val="4406F20D"/>
    <w:rsid w:val="440E8965"/>
    <w:rsid w:val="443B28D0"/>
    <w:rsid w:val="446E8DCD"/>
    <w:rsid w:val="44EDED99"/>
    <w:rsid w:val="44EF7F6F"/>
    <w:rsid w:val="450C9E70"/>
    <w:rsid w:val="450CEC8F"/>
    <w:rsid w:val="45224F97"/>
    <w:rsid w:val="455C29FC"/>
    <w:rsid w:val="45DA3FB0"/>
    <w:rsid w:val="45F12E36"/>
    <w:rsid w:val="4601C6BA"/>
    <w:rsid w:val="460DD256"/>
    <w:rsid w:val="461C2765"/>
    <w:rsid w:val="4634BA7A"/>
    <w:rsid w:val="4698116E"/>
    <w:rsid w:val="46A6E75A"/>
    <w:rsid w:val="46A70E2D"/>
    <w:rsid w:val="46BA0390"/>
    <w:rsid w:val="47A2DEC7"/>
    <w:rsid w:val="47BEE6ED"/>
    <w:rsid w:val="47C7BE25"/>
    <w:rsid w:val="47EFFC1D"/>
    <w:rsid w:val="4802DFE7"/>
    <w:rsid w:val="4804EB10"/>
    <w:rsid w:val="4819827A"/>
    <w:rsid w:val="482220B8"/>
    <w:rsid w:val="48335EA6"/>
    <w:rsid w:val="484B20D9"/>
    <w:rsid w:val="48780E71"/>
    <w:rsid w:val="48B50346"/>
    <w:rsid w:val="48C1515A"/>
    <w:rsid w:val="49345819"/>
    <w:rsid w:val="49411E8F"/>
    <w:rsid w:val="496F9AA2"/>
    <w:rsid w:val="49DC1589"/>
    <w:rsid w:val="4A1499B5"/>
    <w:rsid w:val="4A2671AC"/>
    <w:rsid w:val="4AF5E5CB"/>
    <w:rsid w:val="4B08607B"/>
    <w:rsid w:val="4B37E3D2"/>
    <w:rsid w:val="4B49E653"/>
    <w:rsid w:val="4B5B3842"/>
    <w:rsid w:val="4B6F26CB"/>
    <w:rsid w:val="4BBD1C55"/>
    <w:rsid w:val="4BFCEC7C"/>
    <w:rsid w:val="4C0D99D6"/>
    <w:rsid w:val="4C4572C0"/>
    <w:rsid w:val="4C561912"/>
    <w:rsid w:val="4C6F5F73"/>
    <w:rsid w:val="4C91F480"/>
    <w:rsid w:val="4CEBA10E"/>
    <w:rsid w:val="4CFF7D07"/>
    <w:rsid w:val="4DC8DB28"/>
    <w:rsid w:val="4DDA7FD6"/>
    <w:rsid w:val="4E637A2A"/>
    <w:rsid w:val="4E9FB33A"/>
    <w:rsid w:val="4ED91488"/>
    <w:rsid w:val="4F1B3DE3"/>
    <w:rsid w:val="4F388FFC"/>
    <w:rsid w:val="4F591195"/>
    <w:rsid w:val="4F5A5673"/>
    <w:rsid w:val="4F60F5F2"/>
    <w:rsid w:val="4F64F9D0"/>
    <w:rsid w:val="4FA19E06"/>
    <w:rsid w:val="4FC39423"/>
    <w:rsid w:val="4FC71C12"/>
    <w:rsid w:val="4FCBC3DF"/>
    <w:rsid w:val="4FF5358C"/>
    <w:rsid w:val="506C88AA"/>
    <w:rsid w:val="50C4D347"/>
    <w:rsid w:val="50CFB4E5"/>
    <w:rsid w:val="50E79896"/>
    <w:rsid w:val="51536DFC"/>
    <w:rsid w:val="5193826A"/>
    <w:rsid w:val="519BB121"/>
    <w:rsid w:val="51D42C6C"/>
    <w:rsid w:val="529B180F"/>
    <w:rsid w:val="52AF24A0"/>
    <w:rsid w:val="52BB4B70"/>
    <w:rsid w:val="52EA1445"/>
    <w:rsid w:val="53A3F503"/>
    <w:rsid w:val="53B61AA6"/>
    <w:rsid w:val="53D0F41D"/>
    <w:rsid w:val="53E39B4D"/>
    <w:rsid w:val="54268E6B"/>
    <w:rsid w:val="54A12E2B"/>
    <w:rsid w:val="54A58D69"/>
    <w:rsid w:val="54E43861"/>
    <w:rsid w:val="5502D1C2"/>
    <w:rsid w:val="555EC762"/>
    <w:rsid w:val="556247BF"/>
    <w:rsid w:val="55D71B4C"/>
    <w:rsid w:val="55D795B2"/>
    <w:rsid w:val="562C8DF2"/>
    <w:rsid w:val="5649A144"/>
    <w:rsid w:val="565AB2E9"/>
    <w:rsid w:val="56611EE9"/>
    <w:rsid w:val="5691E591"/>
    <w:rsid w:val="56EDBB68"/>
    <w:rsid w:val="5761FDF4"/>
    <w:rsid w:val="57670F78"/>
    <w:rsid w:val="5805C5BC"/>
    <w:rsid w:val="58294023"/>
    <w:rsid w:val="5836E786"/>
    <w:rsid w:val="585B3BF3"/>
    <w:rsid w:val="5870636C"/>
    <w:rsid w:val="58C3BECD"/>
    <w:rsid w:val="58F277AA"/>
    <w:rsid w:val="58FDC27F"/>
    <w:rsid w:val="591B332E"/>
    <w:rsid w:val="5921865E"/>
    <w:rsid w:val="59221F44"/>
    <w:rsid w:val="597B1A5A"/>
    <w:rsid w:val="59B7ECDE"/>
    <w:rsid w:val="5A255C2A"/>
    <w:rsid w:val="5A26CFB7"/>
    <w:rsid w:val="5A994D3B"/>
    <w:rsid w:val="5B15D90D"/>
    <w:rsid w:val="5B6A4A32"/>
    <w:rsid w:val="5B892E3B"/>
    <w:rsid w:val="5BD234A9"/>
    <w:rsid w:val="5C422A12"/>
    <w:rsid w:val="5C67BBAE"/>
    <w:rsid w:val="5C79BEFB"/>
    <w:rsid w:val="5CB00683"/>
    <w:rsid w:val="5CC888E8"/>
    <w:rsid w:val="5D31D0EE"/>
    <w:rsid w:val="5D61A125"/>
    <w:rsid w:val="5D673050"/>
    <w:rsid w:val="5D83ECB0"/>
    <w:rsid w:val="5DCDB6C6"/>
    <w:rsid w:val="5E4EC461"/>
    <w:rsid w:val="5E5C9FE3"/>
    <w:rsid w:val="5F07B9C3"/>
    <w:rsid w:val="5F2566DB"/>
    <w:rsid w:val="5F3CF7C5"/>
    <w:rsid w:val="5F440567"/>
    <w:rsid w:val="5FFD2B36"/>
    <w:rsid w:val="60100739"/>
    <w:rsid w:val="6044D8C2"/>
    <w:rsid w:val="60908D4C"/>
    <w:rsid w:val="60C2CAD3"/>
    <w:rsid w:val="60E5BE45"/>
    <w:rsid w:val="6115AB0B"/>
    <w:rsid w:val="613E6F08"/>
    <w:rsid w:val="6175E646"/>
    <w:rsid w:val="61B553A4"/>
    <w:rsid w:val="61BEA983"/>
    <w:rsid w:val="61CBC93C"/>
    <w:rsid w:val="61E24147"/>
    <w:rsid w:val="61EF04A3"/>
    <w:rsid w:val="620A61AC"/>
    <w:rsid w:val="620BEF4E"/>
    <w:rsid w:val="620F20C5"/>
    <w:rsid w:val="62145208"/>
    <w:rsid w:val="62A6C9E1"/>
    <w:rsid w:val="62CAFF4C"/>
    <w:rsid w:val="62D34E26"/>
    <w:rsid w:val="6377E8FB"/>
    <w:rsid w:val="638DF09F"/>
    <w:rsid w:val="63F28FDF"/>
    <w:rsid w:val="640DEF46"/>
    <w:rsid w:val="642C08B1"/>
    <w:rsid w:val="645159BC"/>
    <w:rsid w:val="6554761A"/>
    <w:rsid w:val="65AC1AB4"/>
    <w:rsid w:val="65BA2BD7"/>
    <w:rsid w:val="65DF73FD"/>
    <w:rsid w:val="6618BA91"/>
    <w:rsid w:val="669E9E57"/>
    <w:rsid w:val="66AFBFAA"/>
    <w:rsid w:val="6703DF32"/>
    <w:rsid w:val="670FDBB2"/>
    <w:rsid w:val="678817C2"/>
    <w:rsid w:val="67920EDB"/>
    <w:rsid w:val="67AC1BE9"/>
    <w:rsid w:val="67ADC5F3"/>
    <w:rsid w:val="67F47BAA"/>
    <w:rsid w:val="6812FFFD"/>
    <w:rsid w:val="68736146"/>
    <w:rsid w:val="6894A42D"/>
    <w:rsid w:val="68EA7F32"/>
    <w:rsid w:val="68F642EA"/>
    <w:rsid w:val="69421908"/>
    <w:rsid w:val="6A29EB0E"/>
    <w:rsid w:val="6A72378C"/>
    <w:rsid w:val="6AB8A69C"/>
    <w:rsid w:val="6AF4E6B7"/>
    <w:rsid w:val="6B04C4BD"/>
    <w:rsid w:val="6B63526C"/>
    <w:rsid w:val="6B6CC305"/>
    <w:rsid w:val="6B73A0E2"/>
    <w:rsid w:val="6BBEAC65"/>
    <w:rsid w:val="6BC6157E"/>
    <w:rsid w:val="6BFF5716"/>
    <w:rsid w:val="6C05C0AB"/>
    <w:rsid w:val="6C22933B"/>
    <w:rsid w:val="6C95151F"/>
    <w:rsid w:val="6D095F6E"/>
    <w:rsid w:val="6D3FE8A5"/>
    <w:rsid w:val="6DA46003"/>
    <w:rsid w:val="6DC476F4"/>
    <w:rsid w:val="6E243892"/>
    <w:rsid w:val="6E8A057E"/>
    <w:rsid w:val="6E9CBAB6"/>
    <w:rsid w:val="6EDB5043"/>
    <w:rsid w:val="6F0BFC81"/>
    <w:rsid w:val="6F60248F"/>
    <w:rsid w:val="6FC87466"/>
    <w:rsid w:val="6FE30196"/>
    <w:rsid w:val="6FEAE7AB"/>
    <w:rsid w:val="6FEC10CF"/>
    <w:rsid w:val="70054C07"/>
    <w:rsid w:val="700F1531"/>
    <w:rsid w:val="700FD62C"/>
    <w:rsid w:val="701F6085"/>
    <w:rsid w:val="703A84A9"/>
    <w:rsid w:val="70676942"/>
    <w:rsid w:val="708FBFD9"/>
    <w:rsid w:val="7099724E"/>
    <w:rsid w:val="709986A1"/>
    <w:rsid w:val="709D62CA"/>
    <w:rsid w:val="710B72DD"/>
    <w:rsid w:val="71399A97"/>
    <w:rsid w:val="7164B666"/>
    <w:rsid w:val="716E74E2"/>
    <w:rsid w:val="71D1A9BE"/>
    <w:rsid w:val="71D9CFCC"/>
    <w:rsid w:val="71DE46DD"/>
    <w:rsid w:val="72C111EC"/>
    <w:rsid w:val="72F6F4E2"/>
    <w:rsid w:val="730DF5AA"/>
    <w:rsid w:val="7390F55C"/>
    <w:rsid w:val="73A4FEC2"/>
    <w:rsid w:val="73D85BB3"/>
    <w:rsid w:val="73FA6C88"/>
    <w:rsid w:val="745386BC"/>
    <w:rsid w:val="74B77054"/>
    <w:rsid w:val="74E06EDB"/>
    <w:rsid w:val="74F2D017"/>
    <w:rsid w:val="75307082"/>
    <w:rsid w:val="75327EC1"/>
    <w:rsid w:val="75B37D33"/>
    <w:rsid w:val="760D06EF"/>
    <w:rsid w:val="76109029"/>
    <w:rsid w:val="7621C9EA"/>
    <w:rsid w:val="762CC7CE"/>
    <w:rsid w:val="7655B031"/>
    <w:rsid w:val="767E8E6A"/>
    <w:rsid w:val="768E5A49"/>
    <w:rsid w:val="771B4F6F"/>
    <w:rsid w:val="771F6369"/>
    <w:rsid w:val="77634FA0"/>
    <w:rsid w:val="7780DAEC"/>
    <w:rsid w:val="77B4FC34"/>
    <w:rsid w:val="77BA1800"/>
    <w:rsid w:val="78160F89"/>
    <w:rsid w:val="788C6DF6"/>
    <w:rsid w:val="78CB1B56"/>
    <w:rsid w:val="7939B89B"/>
    <w:rsid w:val="79632EB5"/>
    <w:rsid w:val="7984FE63"/>
    <w:rsid w:val="79A0E02F"/>
    <w:rsid w:val="79A34B1A"/>
    <w:rsid w:val="79E47658"/>
    <w:rsid w:val="7ACDA14B"/>
    <w:rsid w:val="7B685731"/>
    <w:rsid w:val="7BC38978"/>
    <w:rsid w:val="7BD69D8C"/>
    <w:rsid w:val="7C6CE69B"/>
    <w:rsid w:val="7C70C1E5"/>
    <w:rsid w:val="7D069B97"/>
    <w:rsid w:val="7D208A08"/>
    <w:rsid w:val="7D605A1F"/>
    <w:rsid w:val="7D65DB06"/>
    <w:rsid w:val="7DB0947B"/>
    <w:rsid w:val="7DF03851"/>
    <w:rsid w:val="7E087ACD"/>
    <w:rsid w:val="7E11B119"/>
    <w:rsid w:val="7E3DC0E3"/>
    <w:rsid w:val="7E450923"/>
    <w:rsid w:val="7E4BD349"/>
    <w:rsid w:val="7E50BEEC"/>
    <w:rsid w:val="7ECE5DB1"/>
    <w:rsid w:val="7F4BD6F2"/>
    <w:rsid w:val="7F4F7D80"/>
    <w:rsid w:val="7F7356AA"/>
    <w:rsid w:val="7FC3C7C1"/>
    <w:rsid w:val="7FD495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64050EF"/>
  <w15:docId w15:val="{3EE239E6-E2E4-4DE4-9224-8BD48AFA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163BB1"/>
    <w:pPr>
      <w:numPr>
        <w:numId w:val="1"/>
      </w:numPr>
      <w:contextualSpacing/>
    </w:pPr>
  </w:style>
  <w:style w:type="paragraph" w:styleId="ListBullet2">
    <w:name w:val="List Bullet 2"/>
    <w:basedOn w:val="Normal"/>
    <w:uiPriority w:val="99"/>
    <w:semiHidden/>
    <w:unhideWhenUsed/>
    <w:rsid w:val="00163BB1"/>
    <w:pPr>
      <w:numPr>
        <w:numId w:val="2"/>
      </w:numPr>
      <w:contextualSpacing/>
    </w:pPr>
  </w:style>
  <w:style w:type="paragraph" w:styleId="ListBullet3">
    <w:name w:val="List Bullet 3"/>
    <w:basedOn w:val="Normal"/>
    <w:uiPriority w:val="99"/>
    <w:semiHidden/>
    <w:unhideWhenUsed/>
    <w:rsid w:val="00163BB1"/>
    <w:pPr>
      <w:numPr>
        <w:numId w:val="3"/>
      </w:numPr>
      <w:contextualSpacing/>
    </w:pPr>
  </w:style>
  <w:style w:type="paragraph" w:styleId="ListBullet4">
    <w:name w:val="List Bullet 4"/>
    <w:basedOn w:val="Normal"/>
    <w:uiPriority w:val="99"/>
    <w:semiHidden/>
    <w:unhideWhenUsed/>
    <w:rsid w:val="00163BB1"/>
    <w:pPr>
      <w:numPr>
        <w:numId w:val="4"/>
      </w:numPr>
      <w:contextualSpacing/>
    </w:pPr>
  </w:style>
  <w:style w:type="character" w:styleId="Hyperlink">
    <w:name w:val="Hyperlink"/>
    <w:rsid w:val="00785F32"/>
    <w:rPr>
      <w:color w:val="0000FF"/>
      <w:u w:val="single"/>
      <w:shd w:val="clear" w:color="auto" w:fill="auto"/>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sid w:val="001915B2"/>
    <w:rPr>
      <w:rFonts w:ascii="Times New Roman" w:hAnsi="Times New Roman" w:cs="Times New Roman"/>
      <w:sz w:val="24"/>
      <w:lang w:val="bg-BG"/>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
    <w:basedOn w:val="Normal"/>
    <w:link w:val="ListParagraphChar"/>
    <w:uiPriority w:val="34"/>
    <w:qFormat/>
    <w:rsid w:val="001915B2"/>
    <w:pPr>
      <w:ind w:left="720"/>
      <w:contextualSpacing/>
    </w:pPr>
  </w:style>
  <w:style w:type="character" w:styleId="CommentReference">
    <w:name w:val="annotation reference"/>
    <w:basedOn w:val="DefaultParagraphFont"/>
    <w:uiPriority w:val="99"/>
    <w:semiHidden/>
    <w:unhideWhenUsed/>
    <w:rsid w:val="00C51560"/>
    <w:rPr>
      <w:sz w:val="16"/>
      <w:szCs w:val="16"/>
    </w:rPr>
  </w:style>
  <w:style w:type="paragraph" w:styleId="CommentText">
    <w:name w:val="annotation text"/>
    <w:basedOn w:val="Normal"/>
    <w:link w:val="CommentTextChar"/>
    <w:uiPriority w:val="99"/>
    <w:unhideWhenUsed/>
    <w:rsid w:val="00C51560"/>
    <w:rPr>
      <w:sz w:val="20"/>
      <w:szCs w:val="20"/>
    </w:rPr>
  </w:style>
  <w:style w:type="character" w:customStyle="1" w:styleId="CommentTextChar">
    <w:name w:val="Comment Text Char"/>
    <w:basedOn w:val="DefaultParagraphFont"/>
    <w:link w:val="CommentText"/>
    <w:uiPriority w:val="99"/>
    <w:rsid w:val="00C51560"/>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C51560"/>
    <w:rPr>
      <w:b/>
      <w:bCs/>
    </w:rPr>
  </w:style>
  <w:style w:type="character" w:customStyle="1" w:styleId="CommentSubjectChar">
    <w:name w:val="Comment Subject Char"/>
    <w:basedOn w:val="CommentTextChar"/>
    <w:link w:val="CommentSubject"/>
    <w:uiPriority w:val="99"/>
    <w:semiHidden/>
    <w:rsid w:val="00C51560"/>
    <w:rPr>
      <w:rFonts w:ascii="Times New Roman" w:hAnsi="Times New Roman" w:cs="Times New Roman"/>
      <w:b/>
      <w:bCs/>
      <w:sz w:val="20"/>
      <w:szCs w:val="20"/>
      <w:lang w:val="bg-BG"/>
    </w:rPr>
  </w:style>
  <w:style w:type="paragraph" w:styleId="Revision">
    <w:name w:val="Revision"/>
    <w:hidden/>
    <w:uiPriority w:val="99"/>
    <w:semiHidden/>
    <w:rsid w:val="00C51560"/>
    <w:pPr>
      <w:spacing w:after="0" w:line="240" w:lineRule="auto"/>
    </w:pPr>
    <w:rPr>
      <w:rFonts w:ascii="Times New Roman" w:hAnsi="Times New Roman" w:cs="Times New Roman"/>
      <w:sz w:val="24"/>
    </w:rPr>
  </w:style>
  <w:style w:type="paragraph" w:customStyle="1" w:styleId="paragraph">
    <w:name w:val="paragraph"/>
    <w:basedOn w:val="Normal"/>
    <w:rsid w:val="00925B15"/>
    <w:pPr>
      <w:spacing w:before="100" w:beforeAutospacing="1" w:after="100" w:afterAutospacing="1"/>
      <w:jc w:val="left"/>
    </w:pPr>
    <w:rPr>
      <w:rFonts w:eastAsia="Times New Roman"/>
      <w:szCs w:val="24"/>
      <w:lang w:eastAsia="en-IE"/>
    </w:rPr>
  </w:style>
  <w:style w:type="character" w:customStyle="1" w:styleId="normaltextrun">
    <w:name w:val="normaltextrun"/>
    <w:basedOn w:val="DefaultParagraphFont"/>
    <w:rsid w:val="00925B15"/>
  </w:style>
  <w:style w:type="character" w:customStyle="1" w:styleId="eop">
    <w:name w:val="eop"/>
    <w:basedOn w:val="DefaultParagraphFont"/>
    <w:rsid w:val="00925B15"/>
  </w:style>
  <w:style w:type="character" w:customStyle="1" w:styleId="superscript">
    <w:name w:val="superscript"/>
    <w:basedOn w:val="DefaultParagraphFont"/>
    <w:rsid w:val="00925B15"/>
  </w:style>
  <w:style w:type="paragraph" w:styleId="BalloonText">
    <w:name w:val="Balloon Text"/>
    <w:basedOn w:val="Normal"/>
    <w:link w:val="BalloonTextChar"/>
    <w:uiPriority w:val="99"/>
    <w:semiHidden/>
    <w:unhideWhenUsed/>
    <w:rsid w:val="002C241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41D"/>
    <w:rPr>
      <w:rFonts w:ascii="Segoe UI" w:hAnsi="Segoe UI" w:cs="Segoe UI"/>
      <w:sz w:val="18"/>
      <w:szCs w:val="18"/>
      <w:lang w:val="bg-BG"/>
    </w:rPr>
  </w:style>
  <w:style w:type="paragraph" w:customStyle="1" w:styleId="Default">
    <w:name w:val="Default"/>
    <w:rsid w:val="00D57185"/>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D57185"/>
    <w:rPr>
      <w:rFonts w:cstheme="minorBidi"/>
      <w:color w:val="auto"/>
    </w:rPr>
  </w:style>
  <w:style w:type="paragraph" w:customStyle="1" w:styleId="CM3">
    <w:name w:val="CM3"/>
    <w:basedOn w:val="Default"/>
    <w:next w:val="Default"/>
    <w:uiPriority w:val="99"/>
    <w:rsid w:val="00D57185"/>
    <w:rPr>
      <w:rFonts w:cstheme="minorBidi"/>
      <w:color w:val="auto"/>
    </w:rPr>
  </w:style>
  <w:style w:type="character" w:customStyle="1" w:styleId="UnresolvedMention1">
    <w:name w:val="Unresolved Mention1"/>
    <w:basedOn w:val="DefaultParagraphFont"/>
    <w:uiPriority w:val="99"/>
    <w:unhideWhenUsed/>
    <w:rsid w:val="00061E82"/>
    <w:rPr>
      <w:color w:val="605E5C"/>
      <w:shd w:val="clear" w:color="auto" w:fill="E1DFDD"/>
    </w:rPr>
  </w:style>
  <w:style w:type="character" w:styleId="FollowedHyperlink">
    <w:name w:val="FollowedHyperlink"/>
    <w:basedOn w:val="DefaultParagraphFont"/>
    <w:uiPriority w:val="99"/>
    <w:semiHidden/>
    <w:unhideWhenUsed/>
    <w:rsid w:val="00064461"/>
    <w:rPr>
      <w:color w:val="800080" w:themeColor="followedHyperlink"/>
      <w:u w:val="single"/>
    </w:rPr>
  </w:style>
  <w:style w:type="character" w:customStyle="1" w:styleId="Mention1">
    <w:name w:val="Mention1"/>
    <w:basedOn w:val="DefaultParagraphFont"/>
    <w:uiPriority w:val="99"/>
    <w:unhideWhenUsed/>
    <w:rsid w:val="001A52DF"/>
    <w:rPr>
      <w:color w:val="2B579A"/>
      <w:shd w:val="clear" w:color="auto" w:fill="E1DFDD"/>
    </w:rPr>
  </w:style>
  <w:style w:type="paragraph" w:styleId="Header">
    <w:name w:val="header"/>
    <w:basedOn w:val="Normal"/>
    <w:link w:val="HeaderChar"/>
    <w:uiPriority w:val="99"/>
    <w:unhideWhenUsed/>
    <w:rsid w:val="00A71044"/>
    <w:pPr>
      <w:tabs>
        <w:tab w:val="center" w:pos="4535"/>
        <w:tab w:val="right" w:pos="9071"/>
      </w:tabs>
      <w:spacing w:before="0"/>
    </w:pPr>
  </w:style>
  <w:style w:type="character" w:customStyle="1" w:styleId="HeaderChar">
    <w:name w:val="Header Char"/>
    <w:basedOn w:val="DefaultParagraphFont"/>
    <w:link w:val="Header"/>
    <w:uiPriority w:val="99"/>
    <w:rsid w:val="00A71044"/>
    <w:rPr>
      <w:rFonts w:ascii="Times New Roman" w:hAnsi="Times New Roman" w:cs="Times New Roman"/>
      <w:sz w:val="24"/>
      <w:lang w:val="bg-BG"/>
    </w:rPr>
  </w:style>
  <w:style w:type="paragraph" w:styleId="Footer">
    <w:name w:val="footer"/>
    <w:basedOn w:val="Normal"/>
    <w:link w:val="FooterChar"/>
    <w:uiPriority w:val="99"/>
    <w:unhideWhenUsed/>
    <w:rsid w:val="00A7104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71044"/>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71044"/>
    <w:pPr>
      <w:tabs>
        <w:tab w:val="center" w:pos="7285"/>
        <w:tab w:val="right" w:pos="14003"/>
      </w:tabs>
      <w:spacing w:before="0"/>
    </w:pPr>
  </w:style>
  <w:style w:type="paragraph" w:customStyle="1" w:styleId="FooterLandscape">
    <w:name w:val="FooterLandscape"/>
    <w:basedOn w:val="Normal"/>
    <w:rsid w:val="00A7104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7104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71044"/>
    <w:pPr>
      <w:spacing w:before="0"/>
      <w:jc w:val="right"/>
    </w:pPr>
    <w:rPr>
      <w:sz w:val="28"/>
    </w:rPr>
  </w:style>
  <w:style w:type="paragraph" w:customStyle="1" w:styleId="FooterSensitivity">
    <w:name w:val="Footer Sensitivity"/>
    <w:basedOn w:val="Normal"/>
    <w:rsid w:val="00A7104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5C1243"/>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8615">
      <w:bodyDiv w:val="1"/>
      <w:marLeft w:val="0"/>
      <w:marRight w:val="0"/>
      <w:marTop w:val="0"/>
      <w:marBottom w:val="0"/>
      <w:divBdr>
        <w:top w:val="none" w:sz="0" w:space="0" w:color="auto"/>
        <w:left w:val="none" w:sz="0" w:space="0" w:color="auto"/>
        <w:bottom w:val="none" w:sz="0" w:space="0" w:color="auto"/>
        <w:right w:val="none" w:sz="0" w:space="0" w:color="auto"/>
      </w:divBdr>
    </w:div>
    <w:div w:id="45378532">
      <w:bodyDiv w:val="1"/>
      <w:marLeft w:val="0"/>
      <w:marRight w:val="0"/>
      <w:marTop w:val="0"/>
      <w:marBottom w:val="0"/>
      <w:divBdr>
        <w:top w:val="none" w:sz="0" w:space="0" w:color="auto"/>
        <w:left w:val="none" w:sz="0" w:space="0" w:color="auto"/>
        <w:bottom w:val="none" w:sz="0" w:space="0" w:color="auto"/>
        <w:right w:val="none" w:sz="0" w:space="0" w:color="auto"/>
      </w:divBdr>
    </w:div>
    <w:div w:id="88428351">
      <w:bodyDiv w:val="1"/>
      <w:marLeft w:val="0"/>
      <w:marRight w:val="0"/>
      <w:marTop w:val="0"/>
      <w:marBottom w:val="0"/>
      <w:divBdr>
        <w:top w:val="none" w:sz="0" w:space="0" w:color="auto"/>
        <w:left w:val="none" w:sz="0" w:space="0" w:color="auto"/>
        <w:bottom w:val="none" w:sz="0" w:space="0" w:color="auto"/>
        <w:right w:val="none" w:sz="0" w:space="0" w:color="auto"/>
      </w:divBdr>
    </w:div>
    <w:div w:id="105932954">
      <w:bodyDiv w:val="1"/>
      <w:marLeft w:val="0"/>
      <w:marRight w:val="0"/>
      <w:marTop w:val="0"/>
      <w:marBottom w:val="0"/>
      <w:divBdr>
        <w:top w:val="none" w:sz="0" w:space="0" w:color="auto"/>
        <w:left w:val="none" w:sz="0" w:space="0" w:color="auto"/>
        <w:bottom w:val="none" w:sz="0" w:space="0" w:color="auto"/>
        <w:right w:val="none" w:sz="0" w:space="0" w:color="auto"/>
      </w:divBdr>
    </w:div>
    <w:div w:id="209540824">
      <w:bodyDiv w:val="1"/>
      <w:marLeft w:val="0"/>
      <w:marRight w:val="0"/>
      <w:marTop w:val="0"/>
      <w:marBottom w:val="0"/>
      <w:divBdr>
        <w:top w:val="none" w:sz="0" w:space="0" w:color="auto"/>
        <w:left w:val="none" w:sz="0" w:space="0" w:color="auto"/>
        <w:bottom w:val="none" w:sz="0" w:space="0" w:color="auto"/>
        <w:right w:val="none" w:sz="0" w:space="0" w:color="auto"/>
      </w:divBdr>
    </w:div>
    <w:div w:id="302925948">
      <w:bodyDiv w:val="1"/>
      <w:marLeft w:val="0"/>
      <w:marRight w:val="0"/>
      <w:marTop w:val="0"/>
      <w:marBottom w:val="0"/>
      <w:divBdr>
        <w:top w:val="none" w:sz="0" w:space="0" w:color="auto"/>
        <w:left w:val="none" w:sz="0" w:space="0" w:color="auto"/>
        <w:bottom w:val="none" w:sz="0" w:space="0" w:color="auto"/>
        <w:right w:val="none" w:sz="0" w:space="0" w:color="auto"/>
      </w:divBdr>
    </w:div>
    <w:div w:id="320161854">
      <w:bodyDiv w:val="1"/>
      <w:marLeft w:val="0"/>
      <w:marRight w:val="0"/>
      <w:marTop w:val="0"/>
      <w:marBottom w:val="0"/>
      <w:divBdr>
        <w:top w:val="none" w:sz="0" w:space="0" w:color="auto"/>
        <w:left w:val="none" w:sz="0" w:space="0" w:color="auto"/>
        <w:bottom w:val="none" w:sz="0" w:space="0" w:color="auto"/>
        <w:right w:val="none" w:sz="0" w:space="0" w:color="auto"/>
      </w:divBdr>
    </w:div>
    <w:div w:id="322779881">
      <w:bodyDiv w:val="1"/>
      <w:marLeft w:val="0"/>
      <w:marRight w:val="0"/>
      <w:marTop w:val="0"/>
      <w:marBottom w:val="0"/>
      <w:divBdr>
        <w:top w:val="none" w:sz="0" w:space="0" w:color="auto"/>
        <w:left w:val="none" w:sz="0" w:space="0" w:color="auto"/>
        <w:bottom w:val="none" w:sz="0" w:space="0" w:color="auto"/>
        <w:right w:val="none" w:sz="0" w:space="0" w:color="auto"/>
      </w:divBdr>
    </w:div>
    <w:div w:id="336159420">
      <w:bodyDiv w:val="1"/>
      <w:marLeft w:val="0"/>
      <w:marRight w:val="0"/>
      <w:marTop w:val="0"/>
      <w:marBottom w:val="0"/>
      <w:divBdr>
        <w:top w:val="none" w:sz="0" w:space="0" w:color="auto"/>
        <w:left w:val="none" w:sz="0" w:space="0" w:color="auto"/>
        <w:bottom w:val="none" w:sz="0" w:space="0" w:color="auto"/>
        <w:right w:val="none" w:sz="0" w:space="0" w:color="auto"/>
      </w:divBdr>
    </w:div>
    <w:div w:id="359547930">
      <w:bodyDiv w:val="1"/>
      <w:marLeft w:val="0"/>
      <w:marRight w:val="0"/>
      <w:marTop w:val="0"/>
      <w:marBottom w:val="0"/>
      <w:divBdr>
        <w:top w:val="none" w:sz="0" w:space="0" w:color="auto"/>
        <w:left w:val="none" w:sz="0" w:space="0" w:color="auto"/>
        <w:bottom w:val="none" w:sz="0" w:space="0" w:color="auto"/>
        <w:right w:val="none" w:sz="0" w:space="0" w:color="auto"/>
      </w:divBdr>
    </w:div>
    <w:div w:id="480124590">
      <w:bodyDiv w:val="1"/>
      <w:marLeft w:val="0"/>
      <w:marRight w:val="0"/>
      <w:marTop w:val="0"/>
      <w:marBottom w:val="0"/>
      <w:divBdr>
        <w:top w:val="none" w:sz="0" w:space="0" w:color="auto"/>
        <w:left w:val="none" w:sz="0" w:space="0" w:color="auto"/>
        <w:bottom w:val="none" w:sz="0" w:space="0" w:color="auto"/>
        <w:right w:val="none" w:sz="0" w:space="0" w:color="auto"/>
      </w:divBdr>
    </w:div>
    <w:div w:id="544760690">
      <w:bodyDiv w:val="1"/>
      <w:marLeft w:val="0"/>
      <w:marRight w:val="0"/>
      <w:marTop w:val="0"/>
      <w:marBottom w:val="0"/>
      <w:divBdr>
        <w:top w:val="none" w:sz="0" w:space="0" w:color="auto"/>
        <w:left w:val="none" w:sz="0" w:space="0" w:color="auto"/>
        <w:bottom w:val="none" w:sz="0" w:space="0" w:color="auto"/>
        <w:right w:val="none" w:sz="0" w:space="0" w:color="auto"/>
      </w:divBdr>
    </w:div>
    <w:div w:id="589696861">
      <w:bodyDiv w:val="1"/>
      <w:marLeft w:val="0"/>
      <w:marRight w:val="0"/>
      <w:marTop w:val="0"/>
      <w:marBottom w:val="0"/>
      <w:divBdr>
        <w:top w:val="none" w:sz="0" w:space="0" w:color="auto"/>
        <w:left w:val="none" w:sz="0" w:space="0" w:color="auto"/>
        <w:bottom w:val="none" w:sz="0" w:space="0" w:color="auto"/>
        <w:right w:val="none" w:sz="0" w:space="0" w:color="auto"/>
      </w:divBdr>
    </w:div>
    <w:div w:id="597061617">
      <w:bodyDiv w:val="1"/>
      <w:marLeft w:val="0"/>
      <w:marRight w:val="0"/>
      <w:marTop w:val="0"/>
      <w:marBottom w:val="0"/>
      <w:divBdr>
        <w:top w:val="none" w:sz="0" w:space="0" w:color="auto"/>
        <w:left w:val="none" w:sz="0" w:space="0" w:color="auto"/>
        <w:bottom w:val="none" w:sz="0" w:space="0" w:color="auto"/>
        <w:right w:val="none" w:sz="0" w:space="0" w:color="auto"/>
      </w:divBdr>
    </w:div>
    <w:div w:id="662244224">
      <w:bodyDiv w:val="1"/>
      <w:marLeft w:val="0"/>
      <w:marRight w:val="0"/>
      <w:marTop w:val="0"/>
      <w:marBottom w:val="0"/>
      <w:divBdr>
        <w:top w:val="none" w:sz="0" w:space="0" w:color="auto"/>
        <w:left w:val="none" w:sz="0" w:space="0" w:color="auto"/>
        <w:bottom w:val="none" w:sz="0" w:space="0" w:color="auto"/>
        <w:right w:val="none" w:sz="0" w:space="0" w:color="auto"/>
      </w:divBdr>
    </w:div>
    <w:div w:id="775633991">
      <w:bodyDiv w:val="1"/>
      <w:marLeft w:val="0"/>
      <w:marRight w:val="0"/>
      <w:marTop w:val="0"/>
      <w:marBottom w:val="0"/>
      <w:divBdr>
        <w:top w:val="none" w:sz="0" w:space="0" w:color="auto"/>
        <w:left w:val="none" w:sz="0" w:space="0" w:color="auto"/>
        <w:bottom w:val="none" w:sz="0" w:space="0" w:color="auto"/>
        <w:right w:val="none" w:sz="0" w:space="0" w:color="auto"/>
      </w:divBdr>
    </w:div>
    <w:div w:id="805391992">
      <w:bodyDiv w:val="1"/>
      <w:marLeft w:val="0"/>
      <w:marRight w:val="0"/>
      <w:marTop w:val="0"/>
      <w:marBottom w:val="0"/>
      <w:divBdr>
        <w:top w:val="none" w:sz="0" w:space="0" w:color="auto"/>
        <w:left w:val="none" w:sz="0" w:space="0" w:color="auto"/>
        <w:bottom w:val="none" w:sz="0" w:space="0" w:color="auto"/>
        <w:right w:val="none" w:sz="0" w:space="0" w:color="auto"/>
      </w:divBdr>
    </w:div>
    <w:div w:id="822042320">
      <w:bodyDiv w:val="1"/>
      <w:marLeft w:val="0"/>
      <w:marRight w:val="0"/>
      <w:marTop w:val="0"/>
      <w:marBottom w:val="0"/>
      <w:divBdr>
        <w:top w:val="none" w:sz="0" w:space="0" w:color="auto"/>
        <w:left w:val="none" w:sz="0" w:space="0" w:color="auto"/>
        <w:bottom w:val="none" w:sz="0" w:space="0" w:color="auto"/>
        <w:right w:val="none" w:sz="0" w:space="0" w:color="auto"/>
      </w:divBdr>
    </w:div>
    <w:div w:id="858541709">
      <w:bodyDiv w:val="1"/>
      <w:marLeft w:val="0"/>
      <w:marRight w:val="0"/>
      <w:marTop w:val="0"/>
      <w:marBottom w:val="0"/>
      <w:divBdr>
        <w:top w:val="none" w:sz="0" w:space="0" w:color="auto"/>
        <w:left w:val="none" w:sz="0" w:space="0" w:color="auto"/>
        <w:bottom w:val="none" w:sz="0" w:space="0" w:color="auto"/>
        <w:right w:val="none" w:sz="0" w:space="0" w:color="auto"/>
      </w:divBdr>
    </w:div>
    <w:div w:id="889531732">
      <w:bodyDiv w:val="1"/>
      <w:marLeft w:val="0"/>
      <w:marRight w:val="0"/>
      <w:marTop w:val="0"/>
      <w:marBottom w:val="0"/>
      <w:divBdr>
        <w:top w:val="none" w:sz="0" w:space="0" w:color="auto"/>
        <w:left w:val="none" w:sz="0" w:space="0" w:color="auto"/>
        <w:bottom w:val="none" w:sz="0" w:space="0" w:color="auto"/>
        <w:right w:val="none" w:sz="0" w:space="0" w:color="auto"/>
      </w:divBdr>
    </w:div>
    <w:div w:id="1038628823">
      <w:bodyDiv w:val="1"/>
      <w:marLeft w:val="0"/>
      <w:marRight w:val="0"/>
      <w:marTop w:val="0"/>
      <w:marBottom w:val="0"/>
      <w:divBdr>
        <w:top w:val="none" w:sz="0" w:space="0" w:color="auto"/>
        <w:left w:val="none" w:sz="0" w:space="0" w:color="auto"/>
        <w:bottom w:val="none" w:sz="0" w:space="0" w:color="auto"/>
        <w:right w:val="none" w:sz="0" w:space="0" w:color="auto"/>
      </w:divBdr>
    </w:div>
    <w:div w:id="1204907560">
      <w:bodyDiv w:val="1"/>
      <w:marLeft w:val="0"/>
      <w:marRight w:val="0"/>
      <w:marTop w:val="0"/>
      <w:marBottom w:val="0"/>
      <w:divBdr>
        <w:top w:val="none" w:sz="0" w:space="0" w:color="auto"/>
        <w:left w:val="none" w:sz="0" w:space="0" w:color="auto"/>
        <w:bottom w:val="none" w:sz="0" w:space="0" w:color="auto"/>
        <w:right w:val="none" w:sz="0" w:space="0" w:color="auto"/>
      </w:divBdr>
    </w:div>
    <w:div w:id="1391002795">
      <w:bodyDiv w:val="1"/>
      <w:marLeft w:val="0"/>
      <w:marRight w:val="0"/>
      <w:marTop w:val="0"/>
      <w:marBottom w:val="0"/>
      <w:divBdr>
        <w:top w:val="none" w:sz="0" w:space="0" w:color="auto"/>
        <w:left w:val="none" w:sz="0" w:space="0" w:color="auto"/>
        <w:bottom w:val="none" w:sz="0" w:space="0" w:color="auto"/>
        <w:right w:val="none" w:sz="0" w:space="0" w:color="auto"/>
      </w:divBdr>
    </w:div>
    <w:div w:id="1406100247">
      <w:bodyDiv w:val="1"/>
      <w:marLeft w:val="0"/>
      <w:marRight w:val="0"/>
      <w:marTop w:val="0"/>
      <w:marBottom w:val="0"/>
      <w:divBdr>
        <w:top w:val="none" w:sz="0" w:space="0" w:color="auto"/>
        <w:left w:val="none" w:sz="0" w:space="0" w:color="auto"/>
        <w:bottom w:val="none" w:sz="0" w:space="0" w:color="auto"/>
        <w:right w:val="none" w:sz="0" w:space="0" w:color="auto"/>
      </w:divBdr>
    </w:div>
    <w:div w:id="1503929826">
      <w:bodyDiv w:val="1"/>
      <w:marLeft w:val="0"/>
      <w:marRight w:val="0"/>
      <w:marTop w:val="0"/>
      <w:marBottom w:val="0"/>
      <w:divBdr>
        <w:top w:val="none" w:sz="0" w:space="0" w:color="auto"/>
        <w:left w:val="none" w:sz="0" w:space="0" w:color="auto"/>
        <w:bottom w:val="none" w:sz="0" w:space="0" w:color="auto"/>
        <w:right w:val="none" w:sz="0" w:space="0" w:color="auto"/>
      </w:divBdr>
    </w:div>
    <w:div w:id="1505852226">
      <w:bodyDiv w:val="1"/>
      <w:marLeft w:val="0"/>
      <w:marRight w:val="0"/>
      <w:marTop w:val="0"/>
      <w:marBottom w:val="0"/>
      <w:divBdr>
        <w:top w:val="none" w:sz="0" w:space="0" w:color="auto"/>
        <w:left w:val="none" w:sz="0" w:space="0" w:color="auto"/>
        <w:bottom w:val="none" w:sz="0" w:space="0" w:color="auto"/>
        <w:right w:val="none" w:sz="0" w:space="0" w:color="auto"/>
      </w:divBdr>
    </w:div>
    <w:div w:id="1558542546">
      <w:bodyDiv w:val="1"/>
      <w:marLeft w:val="0"/>
      <w:marRight w:val="0"/>
      <w:marTop w:val="0"/>
      <w:marBottom w:val="0"/>
      <w:divBdr>
        <w:top w:val="none" w:sz="0" w:space="0" w:color="auto"/>
        <w:left w:val="none" w:sz="0" w:space="0" w:color="auto"/>
        <w:bottom w:val="none" w:sz="0" w:space="0" w:color="auto"/>
        <w:right w:val="none" w:sz="0" w:space="0" w:color="auto"/>
      </w:divBdr>
    </w:div>
    <w:div w:id="1580795696">
      <w:bodyDiv w:val="1"/>
      <w:marLeft w:val="0"/>
      <w:marRight w:val="0"/>
      <w:marTop w:val="0"/>
      <w:marBottom w:val="0"/>
      <w:divBdr>
        <w:top w:val="none" w:sz="0" w:space="0" w:color="auto"/>
        <w:left w:val="none" w:sz="0" w:space="0" w:color="auto"/>
        <w:bottom w:val="none" w:sz="0" w:space="0" w:color="auto"/>
        <w:right w:val="none" w:sz="0" w:space="0" w:color="auto"/>
      </w:divBdr>
    </w:div>
    <w:div w:id="1630167494">
      <w:bodyDiv w:val="1"/>
      <w:marLeft w:val="0"/>
      <w:marRight w:val="0"/>
      <w:marTop w:val="0"/>
      <w:marBottom w:val="0"/>
      <w:divBdr>
        <w:top w:val="none" w:sz="0" w:space="0" w:color="auto"/>
        <w:left w:val="none" w:sz="0" w:space="0" w:color="auto"/>
        <w:bottom w:val="none" w:sz="0" w:space="0" w:color="auto"/>
        <w:right w:val="none" w:sz="0" w:space="0" w:color="auto"/>
      </w:divBdr>
    </w:div>
    <w:div w:id="1651905796">
      <w:bodyDiv w:val="1"/>
      <w:marLeft w:val="0"/>
      <w:marRight w:val="0"/>
      <w:marTop w:val="0"/>
      <w:marBottom w:val="0"/>
      <w:divBdr>
        <w:top w:val="none" w:sz="0" w:space="0" w:color="auto"/>
        <w:left w:val="none" w:sz="0" w:space="0" w:color="auto"/>
        <w:bottom w:val="none" w:sz="0" w:space="0" w:color="auto"/>
        <w:right w:val="none" w:sz="0" w:space="0" w:color="auto"/>
      </w:divBdr>
    </w:div>
    <w:div w:id="1721780014">
      <w:bodyDiv w:val="1"/>
      <w:marLeft w:val="0"/>
      <w:marRight w:val="0"/>
      <w:marTop w:val="0"/>
      <w:marBottom w:val="0"/>
      <w:divBdr>
        <w:top w:val="none" w:sz="0" w:space="0" w:color="auto"/>
        <w:left w:val="none" w:sz="0" w:space="0" w:color="auto"/>
        <w:bottom w:val="none" w:sz="0" w:space="0" w:color="auto"/>
        <w:right w:val="none" w:sz="0" w:space="0" w:color="auto"/>
      </w:divBdr>
    </w:div>
    <w:div w:id="1768384485">
      <w:bodyDiv w:val="1"/>
      <w:marLeft w:val="0"/>
      <w:marRight w:val="0"/>
      <w:marTop w:val="0"/>
      <w:marBottom w:val="0"/>
      <w:divBdr>
        <w:top w:val="none" w:sz="0" w:space="0" w:color="auto"/>
        <w:left w:val="none" w:sz="0" w:space="0" w:color="auto"/>
        <w:bottom w:val="none" w:sz="0" w:space="0" w:color="auto"/>
        <w:right w:val="none" w:sz="0" w:space="0" w:color="auto"/>
      </w:divBdr>
    </w:div>
    <w:div w:id="2036493396">
      <w:bodyDiv w:val="1"/>
      <w:marLeft w:val="0"/>
      <w:marRight w:val="0"/>
      <w:marTop w:val="0"/>
      <w:marBottom w:val="0"/>
      <w:divBdr>
        <w:top w:val="none" w:sz="0" w:space="0" w:color="auto"/>
        <w:left w:val="none" w:sz="0" w:space="0" w:color="auto"/>
        <w:bottom w:val="none" w:sz="0" w:space="0" w:color="auto"/>
        <w:right w:val="none" w:sz="0" w:space="0" w:color="auto"/>
      </w:divBdr>
    </w:div>
    <w:div w:id="213066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business-economy-euro/growth-and-investment/capital-markets-union/capital-markets-union-2020-action-plan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europarl.europa.eu/doceo/document/TA-9-2020-0266_BG.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consilium.europa.eu/doc/document/ST-12898-2020-REV-1/bg/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BG/TXT/?uri=CELEX%3A52021PC0723" TargetMode="External"/><Relationship Id="rId2" Type="http://schemas.openxmlformats.org/officeDocument/2006/relationships/hyperlink" Target="https://www.europarl.europa.eu/doceo/document/TA-9-2020-0266_BG.html" TargetMode="External"/><Relationship Id="rId1" Type="http://schemas.openxmlformats.org/officeDocument/2006/relationships/hyperlink" Target="https://data.consilium.europa.eu/doc/document/ST-12898-2020-REV-1/bg/pdf" TargetMode="External"/><Relationship Id="rId4" Type="http://schemas.openxmlformats.org/officeDocument/2006/relationships/hyperlink" Target="https://eur-lex.europa.eu/legal-content/BG/TXT/?uri=CELEX%3A02017R0653-202301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9880A673A464EA51B8C7C854EBE57" ma:contentTypeVersion="8" ma:contentTypeDescription="Create a new document." ma:contentTypeScope="" ma:versionID="bbd92df5c0e2396a6bd5538e5b473e74">
  <xsd:schema xmlns:xsd="http://www.w3.org/2001/XMLSchema" xmlns:xs="http://www.w3.org/2001/XMLSchema" xmlns:p="http://schemas.microsoft.com/office/2006/metadata/properties" xmlns:ns1="http://schemas.microsoft.com/sharepoint/v3" xmlns:ns2="abfe45de-f4a7-4f81-b2e9-de5e4e97e806" xmlns:ns3="6dc132aa-daea-40b2-be8c-ea9ea9ad544b" targetNamespace="http://schemas.microsoft.com/office/2006/metadata/properties" ma:root="true" ma:fieldsID="994e294175bd2789bc460abdba2e5005" ns1:_="" ns2:_="" ns3:_="">
    <xsd:import namespace="http://schemas.microsoft.com/sharepoint/v3"/>
    <xsd:import namespace="abfe45de-f4a7-4f81-b2e9-de5e4e97e806"/>
    <xsd:import namespace="6dc132aa-daea-40b2-be8c-ea9ea9ad54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fe45de-f4a7-4f81-b2e9-de5e4e97e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132aa-daea-40b2-be8c-ea9ea9ad54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31404-8598-41DC-9AC1-A46E33F230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8AE130B-F75A-428C-BBF3-0FCF602325C0}">
  <ds:schemaRefs>
    <ds:schemaRef ds:uri="http://schemas.microsoft.com/sharepoint/v3/contenttype/forms"/>
  </ds:schemaRefs>
</ds:datastoreItem>
</file>

<file path=customXml/itemProps3.xml><?xml version="1.0" encoding="utf-8"?>
<ds:datastoreItem xmlns:ds="http://schemas.openxmlformats.org/officeDocument/2006/customXml" ds:itemID="{F6D022E3-069F-49D1-913B-227555152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fe45de-f4a7-4f81-b2e9-de5e4e97e806"/>
    <ds:schemaRef ds:uri="6dc132aa-daea-40b2-be8c-ea9ea9ad5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C35ED6-30A4-43ED-841C-5FE62551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20</Pages>
  <Words>6960</Words>
  <Characters>41694</Characters>
  <Application>Microsoft Office Word</Application>
  <DocSecurity>0</DocSecurity>
  <Lines>744</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52</cp:revision>
  <dcterms:created xsi:type="dcterms:W3CDTF">2023-05-22T12:02:00Z</dcterms:created>
  <dcterms:modified xsi:type="dcterms:W3CDTF">2023-07-02T22:08:00Z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2023-03-21T14:13:41Z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4ca5f048-69b3-4a01-8515-c771e595f4ad</vt:lpwstr>
  </property>
  <property fmtid="{D5CDD505-2E9C-101B-9397-08002B2CF9AE}" pid="11" name="MSIP_Label_6bd9ddd1-4d20-43f6-abfa-fc3c07406f94_ContentBits">
    <vt:lpwstr>0</vt:lpwstr>
  </property>
  <property fmtid="{D5CDD505-2E9C-101B-9397-08002B2CF9AE}" pid="12" name="Created using">
    <vt:lpwstr>LW 8.1, Build 20230124</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SJ-023</vt:lpwstr>
  </property>
  <property fmtid="{D5CDD505-2E9C-101B-9397-08002B2CF9AE}" pid="17" name="ContentTypeId">
    <vt:lpwstr>0x010100DAB9880A673A464EA51B8C7C854EBE57</vt:lpwstr>
  </property>
  <property fmtid="{D5CDD505-2E9C-101B-9397-08002B2CF9AE}" pid="18" name="DQCStatus">
    <vt:lpwstr>Green (DQC version 03)</vt:lpwstr>
  </property>
</Properties>
</file>