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F916E" w14:textId="1A58A4C9" w:rsidR="005B3330" w:rsidRPr="0032658A" w:rsidRDefault="00767E81" w:rsidP="00767E81">
      <w:pPr>
        <w:pStyle w:val="Pagedecouverture"/>
        <w:rPr>
          <w:noProof/>
        </w:rPr>
      </w:pPr>
      <w:r>
        <w:rPr>
          <w:noProof/>
        </w:rPr>
        <w:pict w14:anchorId="67280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9B40ECC-712F-4FCE-9A58-9228CE0D2E5A" style="width:455.25pt;height:399pt">
            <v:imagedata r:id="rId11" o:title=""/>
          </v:shape>
        </w:pict>
      </w:r>
    </w:p>
    <w:p w14:paraId="0D3B0AE5" w14:textId="77777777" w:rsidR="005B3330" w:rsidRPr="0032658A" w:rsidRDefault="005B3330" w:rsidP="005B3330">
      <w:pPr>
        <w:rPr>
          <w:noProof/>
        </w:rPr>
        <w:sectPr w:rsidR="005B3330" w:rsidRPr="0032658A" w:rsidSect="00767E81">
          <w:footerReference w:type="default" r:id="rId12"/>
          <w:pgSz w:w="11907" w:h="16839"/>
          <w:pgMar w:top="1134" w:right="1417" w:bottom="1134" w:left="1417" w:header="709" w:footer="709" w:gutter="0"/>
          <w:pgNumType w:start="0"/>
          <w:cols w:space="720"/>
          <w:docGrid w:linePitch="360"/>
        </w:sectPr>
      </w:pPr>
    </w:p>
    <w:p w14:paraId="2D1DB62E" w14:textId="77777777" w:rsidR="005B3330" w:rsidRPr="0032658A" w:rsidRDefault="005B3330" w:rsidP="007800DD">
      <w:pPr>
        <w:pStyle w:val="Exposdesmotifstitre"/>
        <w:rPr>
          <w:noProof/>
        </w:rPr>
      </w:pPr>
      <w:bookmarkStart w:id="0" w:name="_GoBack"/>
      <w:bookmarkEnd w:id="0"/>
      <w:r w:rsidRPr="0032658A">
        <w:rPr>
          <w:noProof/>
        </w:rPr>
        <w:lastRenderedPageBreak/>
        <w:t>AIŠKINAMASIS MEMORANDUMAS</w:t>
      </w:r>
    </w:p>
    <w:p w14:paraId="67E2C505" w14:textId="77777777" w:rsidR="005B3330" w:rsidRPr="0032658A" w:rsidRDefault="005B3330" w:rsidP="007800DD">
      <w:pPr>
        <w:pStyle w:val="ManualHeading1"/>
        <w:rPr>
          <w:noProof/>
        </w:rPr>
      </w:pPr>
      <w:r w:rsidRPr="0032658A">
        <w:rPr>
          <w:noProof/>
        </w:rPr>
        <w:t>1.</w:t>
      </w:r>
      <w:r w:rsidRPr="0032658A">
        <w:rPr>
          <w:noProof/>
        </w:rPr>
        <w:tab/>
        <w:t>PASIŪLYMO APLINKYBĖS</w:t>
      </w:r>
    </w:p>
    <w:p w14:paraId="01AD4782" w14:textId="77777777" w:rsidR="005B3330" w:rsidRPr="0032658A" w:rsidRDefault="005B3330" w:rsidP="007800DD">
      <w:pPr>
        <w:pStyle w:val="ManualHeading2"/>
        <w:rPr>
          <w:noProof/>
        </w:rPr>
      </w:pPr>
      <w:r w:rsidRPr="0032658A">
        <w:rPr>
          <w:noProof/>
          <w:u w:color="000000"/>
          <w:bdr w:val="nil"/>
        </w:rPr>
        <w:t>•</w:t>
      </w:r>
      <w:r w:rsidRPr="0032658A">
        <w:rPr>
          <w:noProof/>
        </w:rPr>
        <w:tab/>
        <w:t>Pasiūlymo pagrindimas ir tikslai</w:t>
      </w:r>
    </w:p>
    <w:p w14:paraId="6F9CEEE9" w14:textId="77777777" w:rsidR="00FB1146" w:rsidRPr="0032658A" w:rsidRDefault="00FB1146" w:rsidP="006A1DB1">
      <w:pPr>
        <w:pBdr>
          <w:top w:val="nil"/>
          <w:left w:val="nil"/>
          <w:bottom w:val="nil"/>
          <w:right w:val="nil"/>
          <w:between w:val="nil"/>
          <w:bar w:val="nil"/>
        </w:pBdr>
        <w:spacing w:before="0" w:after="240"/>
        <w:rPr>
          <w:noProof/>
        </w:rPr>
      </w:pPr>
      <w:r w:rsidRPr="0032658A">
        <w:rPr>
          <w:noProof/>
        </w:rPr>
        <w:t>Šis pasiūlymas susijęs su 2009 m. balandžio 23 d. Europos Parlamento ir Tarybos direktyvos 2009/16/EB dėl uosto valstybės kontrolės</w:t>
      </w:r>
      <w:r w:rsidRPr="0032658A">
        <w:rPr>
          <w:rStyle w:val="FootnoteReference"/>
          <w:noProof/>
        </w:rPr>
        <w:footnoteReference w:id="1"/>
      </w:r>
      <w:r w:rsidRPr="0032658A">
        <w:rPr>
          <w:rStyle w:val="FootnoteReference"/>
          <w:noProof/>
        </w:rPr>
        <w:t>.</w:t>
      </w:r>
      <w:r w:rsidRPr="0032658A">
        <w:rPr>
          <w:noProof/>
        </w:rPr>
        <w:t xml:space="preserve"> pakeitimu.</w:t>
      </w:r>
    </w:p>
    <w:p w14:paraId="728652AF" w14:textId="77777777" w:rsidR="00FC38B5" w:rsidRPr="0032658A" w:rsidRDefault="00BC7CD6" w:rsidP="005840B3">
      <w:pPr>
        <w:pBdr>
          <w:top w:val="nil"/>
          <w:left w:val="nil"/>
          <w:bottom w:val="nil"/>
          <w:right w:val="nil"/>
          <w:between w:val="nil"/>
          <w:bar w:val="nil"/>
        </w:pBdr>
        <w:spacing w:before="0" w:after="240"/>
        <w:rPr>
          <w:noProof/>
        </w:rPr>
      </w:pPr>
      <w:r w:rsidRPr="0032658A">
        <w:rPr>
          <w:noProof/>
        </w:rPr>
        <w:t xml:space="preserve">Direktyva 2009/16/EB (toliau – Direktyva) ES lygmeniu reglamentuojami uosto valstybės kontrolės inspektavimai. Uosto valstybės kontrolė (UVK) yra užsienio laivų inspektavimo kitų nei vėliavos valstybė valstybių uostuose, kurį atlieka UVK pareigūnai, sistema, skirta patikrinti, ar laivo kapitono, pareigūnų ir įgulos narių kompetencija, laivo būklė ir jo įranga atitinka tarptautinių konvencijų, o Europos Sąjungoje – taikytinos ES teisės reikalavimus. Todėl UVK yra svarbi užtikrinant laivybos saugą ir apsaugant jūrų aplinką. </w:t>
      </w:r>
    </w:p>
    <w:p w14:paraId="261F0607" w14:textId="77777777" w:rsidR="00FC38B5" w:rsidRPr="0032658A" w:rsidRDefault="00FC38B5" w:rsidP="005840B3">
      <w:pPr>
        <w:pBdr>
          <w:top w:val="nil"/>
          <w:left w:val="nil"/>
          <w:bottom w:val="nil"/>
          <w:right w:val="nil"/>
          <w:between w:val="nil"/>
          <w:bar w:val="nil"/>
        </w:pBdr>
        <w:spacing w:before="0" w:after="240"/>
        <w:rPr>
          <w:noProof/>
        </w:rPr>
      </w:pPr>
      <w:r w:rsidRPr="0032658A">
        <w:rPr>
          <w:noProof/>
        </w:rPr>
        <w:t>Dėl savo istorijos ir tarptautinio pobūdžio jūrų transportas turi specifinę reglamentavimo struktūrą. Tarptautiniu lygmeniu tarptautinė teisinė sistema buvo priimta Tarptautinės jūrų organizacijos</w:t>
      </w:r>
      <w:r w:rsidRPr="0032658A">
        <w:rPr>
          <w:rStyle w:val="FootnoteReference"/>
          <w:noProof/>
        </w:rPr>
        <w:footnoteReference w:id="2"/>
      </w:r>
      <w:r w:rsidRPr="0032658A">
        <w:rPr>
          <w:rStyle w:val="FootnoteReference"/>
          <w:noProof/>
        </w:rPr>
        <w:t xml:space="preserve">  </w:t>
      </w:r>
      <w:r w:rsidRPr="0032658A">
        <w:rPr>
          <w:noProof/>
        </w:rPr>
        <w:t>(IMO) iniciatyva, o darbo ir gyvenimo sąlygas laivuose reglamentuojančias taisykles paskelbė kita JT agentūra – Tarptautinė darbo organizacija (TDO).</w:t>
      </w:r>
    </w:p>
    <w:p w14:paraId="0F36F72A" w14:textId="77777777" w:rsidR="008212D9" w:rsidRPr="0032658A" w:rsidRDefault="00FC38B5" w:rsidP="005840B3">
      <w:pPr>
        <w:spacing w:before="0" w:after="240"/>
        <w:rPr>
          <w:noProof/>
        </w:rPr>
      </w:pPr>
      <w:r w:rsidRPr="0032658A">
        <w:rPr>
          <w:noProof/>
        </w:rPr>
        <w:t xml:space="preserve">Pagrindinė atsakomybė už laivų atitikties IMO ir TDO standartams stebėseną tenka valstybei, kurioje laivas yra registruotas ir kuri yra laivo registravimo valstybė – vėliavos valstybei. Tačiau vėliavos valstybės taisyklės taikomos tik su tos valstybės vėliava plaukiojantiems laivams. Vis dar yra vėliavos valstybių, pasirengusių leisti standartų neatitinkantiems laivams plaukioti su jų vėliava arba nesugebančių tinkamai užtikrinti tarptautinių taisyklių laikymosi. Todėl daugelyje svarbiausių IMO techninių konvencijų yra nuostatų dėl laivų, kurie turi būti inspektuojami, kai atvyksta į užsienio uostus, siekiant užtikrinti, kad laivai atitiktų tarptautinius reikalavimus. </w:t>
      </w:r>
    </w:p>
    <w:p w14:paraId="4AB4B7B6" w14:textId="77777777" w:rsidR="00A31F84" w:rsidRPr="0032658A" w:rsidRDefault="008212D9" w:rsidP="00351037">
      <w:pPr>
        <w:spacing w:before="0" w:after="240"/>
        <w:rPr>
          <w:noProof/>
        </w:rPr>
      </w:pPr>
      <w:r w:rsidRPr="0032658A">
        <w:rPr>
          <w:noProof/>
        </w:rPr>
        <w:t>Kad padidintų veiksmingumą, uosto valstybės, vykdančios UVK inspektavimus, pradėjo sistemingai koordinuoti savo darbą regioniniu lygmeniu. 1982 m. parengtas Paryžiaus susitarimo memorandumas dėl uosto valstybės kontrolės</w:t>
      </w:r>
      <w:r w:rsidRPr="0032658A">
        <w:rPr>
          <w:rStyle w:val="FootnoteReference"/>
          <w:noProof/>
        </w:rPr>
        <w:footnoteReference w:id="3"/>
      </w:r>
      <w:r w:rsidRPr="0032658A">
        <w:rPr>
          <w:noProof/>
        </w:rPr>
        <w:t xml:space="preserve"> (toliau – Paryžiaus SM) yra pirmoji iš devynių tarpvyriausybinių struktūrų visame pasaulyje. Paryžiaus susitarimo memorandumą pasirašė visos 24 Europos ekonominės erdvės (EEE) valstybės narės, turinčios jūrų uostus, taip pat Kanada, Rusijos Federacija</w:t>
      </w:r>
      <w:r w:rsidRPr="0032658A">
        <w:rPr>
          <w:rStyle w:val="FootnoteReference"/>
          <w:noProof/>
        </w:rPr>
        <w:footnoteReference w:id="4"/>
      </w:r>
      <w:r w:rsidRPr="0032658A">
        <w:rPr>
          <w:noProof/>
        </w:rPr>
        <w:t xml:space="preserve"> ir Jungtinė Karalystė. ES nėra narė. </w:t>
      </w:r>
    </w:p>
    <w:p w14:paraId="11F89677" w14:textId="77777777" w:rsidR="008212D9" w:rsidRPr="0032658A" w:rsidRDefault="008212D9" w:rsidP="00351037">
      <w:pPr>
        <w:spacing w:before="0" w:after="240"/>
        <w:rPr>
          <w:noProof/>
        </w:rPr>
      </w:pPr>
      <w:r w:rsidRPr="0032658A">
        <w:rPr>
          <w:noProof/>
        </w:rPr>
        <w:t xml:space="preserve">Į UVK direktyvą įtrauktos Paryžiaus SM procedūros ir priemonės, dėl kurių susitarta 2009 m. Paryžiaus SM ir UVK direktyva grindžiami naštos pasidalijimo ir tikslinių, suderintų inspektavimų koncepcijomis. Komisija, padedama Europos jūrų saugumo agentūros (EMSA), teikia visoms EEE ir Paryžiaus SM valstybėms narėms reikiamą techninę pagalbą, kad jos galėtų nuspręsti, kuriuos laivus inspektuoti, pranešti apie UVK inspektavimų rezultatus ir jais dalytis per THETIS duomenų bazę (kurios prieglobą vykdo EMSA) bei rengti mokymus, kaip atlikti inspektavimus. EEE valstybėms narėms per Sąjungos keitimosi jūrų laivybos informacija sistemą </w:t>
      </w:r>
      <w:r w:rsidRPr="0032658A">
        <w:rPr>
          <w:i/>
          <w:iCs/>
          <w:noProof/>
        </w:rPr>
        <w:t>SafeSeaNet</w:t>
      </w:r>
      <w:r w:rsidRPr="0032658A">
        <w:rPr>
          <w:rStyle w:val="FootnoteReference"/>
          <w:noProof/>
        </w:rPr>
        <w:footnoteReference w:id="5"/>
      </w:r>
      <w:r w:rsidRPr="0032658A">
        <w:rPr>
          <w:noProof/>
        </w:rPr>
        <w:t xml:space="preserve"> taip pat teikiama informacija apie laivus, planuojančius įplaukti į jų uostus, kad jos galėtų planuoti savo inspektavimus. </w:t>
      </w:r>
    </w:p>
    <w:p w14:paraId="08B10270" w14:textId="77777777" w:rsidR="005840B3" w:rsidRPr="0032658A" w:rsidRDefault="0027697F" w:rsidP="00866BB3">
      <w:pPr>
        <w:rPr>
          <w:noProof/>
        </w:rPr>
      </w:pPr>
      <w:r w:rsidRPr="0032658A">
        <w:rPr>
          <w:noProof/>
        </w:rPr>
        <w:t xml:space="preserve">Pagrindiniai UVK direktyvos tikslai: </w:t>
      </w:r>
    </w:p>
    <w:p w14:paraId="09B746CD" w14:textId="77777777" w:rsidR="005840B3" w:rsidRPr="0032658A" w:rsidRDefault="001C5481" w:rsidP="001C5481">
      <w:pPr>
        <w:pStyle w:val="Point1"/>
        <w:rPr>
          <w:noProof/>
        </w:rPr>
      </w:pPr>
      <w:r w:rsidRPr="0032658A">
        <w:rPr>
          <w:noProof/>
        </w:rPr>
        <w:t>i)</w:t>
      </w:r>
      <w:r w:rsidRPr="0032658A">
        <w:rPr>
          <w:noProof/>
        </w:rPr>
        <w:tab/>
        <w:t xml:space="preserve">nuolat gerinti laivybos saugą ir saugumą; </w:t>
      </w:r>
    </w:p>
    <w:p w14:paraId="5723DE38" w14:textId="77777777" w:rsidR="005840B3" w:rsidRPr="0032658A" w:rsidRDefault="001C5481" w:rsidP="001C5481">
      <w:pPr>
        <w:pStyle w:val="Point1"/>
        <w:rPr>
          <w:noProof/>
        </w:rPr>
      </w:pPr>
      <w:r w:rsidRPr="0032658A">
        <w:rPr>
          <w:noProof/>
        </w:rPr>
        <w:t>ii)</w:t>
      </w:r>
      <w:r w:rsidRPr="0032658A">
        <w:rPr>
          <w:noProof/>
        </w:rPr>
        <w:tab/>
        <w:t xml:space="preserve">nuolat gerinti taršos prevenciją ir poveikį aplinkai; </w:t>
      </w:r>
    </w:p>
    <w:p w14:paraId="1610E995" w14:textId="77777777" w:rsidR="005840B3" w:rsidRPr="0032658A" w:rsidRDefault="001C5481" w:rsidP="001C5481">
      <w:pPr>
        <w:pStyle w:val="Point1"/>
        <w:rPr>
          <w:noProof/>
        </w:rPr>
      </w:pPr>
      <w:r w:rsidRPr="0032658A">
        <w:rPr>
          <w:noProof/>
        </w:rPr>
        <w:t>iii)</w:t>
      </w:r>
      <w:r w:rsidRPr="0032658A">
        <w:rPr>
          <w:noProof/>
        </w:rPr>
        <w:tab/>
        <w:t xml:space="preserve">nuolat gerinti gyvenimo ir darbo laive sąlygas; </w:t>
      </w:r>
    </w:p>
    <w:p w14:paraId="21DDA770" w14:textId="77777777" w:rsidR="005840B3" w:rsidRPr="0032658A" w:rsidRDefault="001C5481" w:rsidP="001C5481">
      <w:pPr>
        <w:pStyle w:val="Point1"/>
        <w:rPr>
          <w:noProof/>
        </w:rPr>
      </w:pPr>
      <w:r w:rsidRPr="0032658A">
        <w:rPr>
          <w:noProof/>
        </w:rPr>
        <w:t>iv)</w:t>
      </w:r>
      <w:r w:rsidRPr="0032658A">
        <w:rPr>
          <w:noProof/>
        </w:rPr>
        <w:tab/>
        <w:t xml:space="preserve">vengti konkurencijos iškraipymo. </w:t>
      </w:r>
    </w:p>
    <w:p w14:paraId="4F6D30E7" w14:textId="77777777" w:rsidR="005840B3" w:rsidRPr="0032658A" w:rsidRDefault="0027697F" w:rsidP="005840B3">
      <w:pPr>
        <w:rPr>
          <w:noProof/>
        </w:rPr>
      </w:pPr>
      <w:r w:rsidRPr="0032658A">
        <w:rPr>
          <w:noProof/>
        </w:rPr>
        <w:t xml:space="preserve">Šiuo tikslu pagrindiniai ES UVK režimo elementai yra: </w:t>
      </w:r>
    </w:p>
    <w:p w14:paraId="2AF9F71E" w14:textId="77777777" w:rsidR="005840B3" w:rsidRPr="0032658A" w:rsidRDefault="001C5481" w:rsidP="001C5481">
      <w:pPr>
        <w:pStyle w:val="Point1"/>
        <w:rPr>
          <w:noProof/>
        </w:rPr>
      </w:pPr>
      <w:r w:rsidRPr="0032658A">
        <w:rPr>
          <w:noProof/>
        </w:rPr>
        <w:t>i)</w:t>
      </w:r>
      <w:r w:rsidRPr="0032658A">
        <w:rPr>
          <w:noProof/>
        </w:rPr>
        <w:tab/>
        <w:t xml:space="preserve">laikytis suderinto požiūrio į inspektavimus ir sulaikymus; </w:t>
      </w:r>
    </w:p>
    <w:p w14:paraId="528A14A3" w14:textId="77777777" w:rsidR="005840B3" w:rsidRPr="0032658A" w:rsidRDefault="001C5481" w:rsidP="001C5481">
      <w:pPr>
        <w:pStyle w:val="Point1"/>
        <w:rPr>
          <w:noProof/>
        </w:rPr>
      </w:pPr>
      <w:r w:rsidRPr="0032658A">
        <w:rPr>
          <w:noProof/>
        </w:rPr>
        <w:t>ii)</w:t>
      </w:r>
      <w:r w:rsidRPr="0032658A">
        <w:rPr>
          <w:noProof/>
        </w:rPr>
        <w:tab/>
        <w:t xml:space="preserve">kiekvienai valstybei narei vykdyti metinį įsipareigojimą atlikti inspektavimus; </w:t>
      </w:r>
    </w:p>
    <w:p w14:paraId="164689C8" w14:textId="77777777" w:rsidR="005840B3" w:rsidRPr="0032658A" w:rsidRDefault="001C5481" w:rsidP="001C5481">
      <w:pPr>
        <w:pStyle w:val="Point1"/>
        <w:rPr>
          <w:noProof/>
        </w:rPr>
      </w:pPr>
      <w:r w:rsidRPr="0032658A">
        <w:rPr>
          <w:noProof/>
        </w:rPr>
        <w:t>iii)</w:t>
      </w:r>
      <w:r w:rsidRPr="0032658A">
        <w:rPr>
          <w:noProof/>
        </w:rPr>
        <w:tab/>
        <w:t>atrinkti inspektuotinus laivus pagal kiekvieno atskiro laivo rizikos lygį (LRL) ir</w:t>
      </w:r>
    </w:p>
    <w:p w14:paraId="2B208BF5" w14:textId="77777777" w:rsidR="0027697F" w:rsidRPr="0032658A" w:rsidRDefault="001C5481" w:rsidP="001C5481">
      <w:pPr>
        <w:pStyle w:val="Point1"/>
        <w:rPr>
          <w:noProof/>
        </w:rPr>
      </w:pPr>
      <w:r w:rsidRPr="0032658A">
        <w:rPr>
          <w:noProof/>
        </w:rPr>
        <w:t>iv)</w:t>
      </w:r>
      <w:r w:rsidRPr="0032658A">
        <w:rPr>
          <w:noProof/>
        </w:rPr>
        <w:tab/>
        <w:t>duomenų saugojimas ir dalijimasis informacija (inspektavimo duomenų bazė).</w:t>
      </w:r>
    </w:p>
    <w:p w14:paraId="1AA608BA" w14:textId="77777777" w:rsidR="00A31F84" w:rsidRPr="0032658A" w:rsidRDefault="00D54FCC" w:rsidP="00351037">
      <w:pPr>
        <w:widowControl w:val="0"/>
        <w:spacing w:before="0" w:after="240"/>
        <w:rPr>
          <w:noProof/>
        </w:rPr>
      </w:pPr>
      <w:r w:rsidRPr="0032658A">
        <w:rPr>
          <w:noProof/>
        </w:rPr>
        <w:t>Įsigaliojusi direktyva buvo iš dalies pakeista, siekiant užtikrinti 2006 m. konvencijos dėl darbo jūrų laivyboje vykdymą (MLC, 2006)</w:t>
      </w:r>
      <w:r w:rsidRPr="0032658A">
        <w:rPr>
          <w:rStyle w:val="FootnoteReference"/>
          <w:noProof/>
        </w:rPr>
        <w:footnoteReference w:id="6"/>
      </w:r>
      <w:r w:rsidRPr="0032658A">
        <w:rPr>
          <w:noProof/>
        </w:rPr>
        <w:t>. Be to, ES specialios taisyklės taikomos keltams, kuriais teikiamos reguliariosios paslaugos</w:t>
      </w:r>
      <w:r w:rsidRPr="0032658A">
        <w:rPr>
          <w:rStyle w:val="FootnoteReference"/>
          <w:noProof/>
        </w:rPr>
        <w:footnoteReference w:id="7"/>
      </w:r>
      <w:r w:rsidRPr="0032658A">
        <w:rPr>
          <w:noProof/>
        </w:rPr>
        <w:t>,</w:t>
      </w:r>
      <w:r w:rsidRPr="0032658A">
        <w:rPr>
          <w:rStyle w:val="FootnoteReference"/>
          <w:noProof/>
        </w:rPr>
        <w:footnoteReference w:id="8"/>
      </w:r>
      <w:r w:rsidRPr="0032658A">
        <w:rPr>
          <w:rStyle w:val="FootnoteReference"/>
          <w:noProof/>
        </w:rPr>
        <w:t xml:space="preserve">  </w:t>
      </w:r>
      <w:r w:rsidRPr="0032658A">
        <w:rPr>
          <w:noProof/>
        </w:rPr>
        <w:t>draudimo reikalavimams, laivuose susidarančių atliekų ir krovinių likučių kontrolei</w:t>
      </w:r>
      <w:r w:rsidRPr="0032658A">
        <w:rPr>
          <w:rStyle w:val="FootnoteReference"/>
          <w:noProof/>
        </w:rPr>
        <w:footnoteReference w:id="9"/>
      </w:r>
      <w:r w:rsidRPr="0032658A">
        <w:rPr>
          <w:rStyle w:val="FootnoteReference"/>
          <w:noProof/>
        </w:rPr>
        <w:t>,</w:t>
      </w:r>
      <w:r w:rsidRPr="0032658A">
        <w:rPr>
          <w:noProof/>
        </w:rPr>
        <w:t>, saugiam ir aplinką tausojančiam laivų perdirbimui</w:t>
      </w:r>
      <w:r w:rsidRPr="0032658A">
        <w:rPr>
          <w:rStyle w:val="FootnoteReference"/>
          <w:noProof/>
        </w:rPr>
        <w:footnoteReference w:id="10"/>
      </w:r>
      <w:r w:rsidRPr="0032658A">
        <w:rPr>
          <w:rStyle w:val="FootnoteReference"/>
          <w:noProof/>
        </w:rPr>
        <w:t xml:space="preserve"> </w:t>
      </w:r>
      <w:r w:rsidRPr="0032658A">
        <w:rPr>
          <w:noProof/>
        </w:rPr>
        <w:t xml:space="preserve"> ir išmetamo šiltnamio efektą sukeliančių dujų (ŠESD) kiekio stebėsenai, ataskaitų teikimui ir tikrinimui</w:t>
      </w:r>
      <w:r w:rsidRPr="0032658A">
        <w:rPr>
          <w:rStyle w:val="FootnoteReference"/>
          <w:noProof/>
        </w:rPr>
        <w:footnoteReference w:id="11"/>
      </w:r>
      <w:r w:rsidRPr="0032658A">
        <w:rPr>
          <w:noProof/>
        </w:rPr>
        <w:t>, kai atliekant UVK inspektavimus tikrinama, kaip laikomasi šių taisyklių. Kitų ES teisės aktų, pavyzdžiui, sieros kiekio jūriniame kure kontrolės, atveju UVK taip pat naudojama tikrinant didžiojoje daugumoje ES valstybių narių</w:t>
      </w:r>
      <w:r w:rsidRPr="0032658A">
        <w:rPr>
          <w:rStyle w:val="FootnoteReference"/>
          <w:noProof/>
        </w:rPr>
        <w:footnoteReference w:id="12"/>
      </w:r>
      <w:r w:rsidRPr="0032658A">
        <w:rPr>
          <w:noProof/>
        </w:rPr>
        <w:t>.  Uosto valstybės kontrolė ES iš esmės grindžiama Paryžiaus SM taisyklėmis ir procedūromis, tačiau šios ES nuostatos netaikomos Paryžiaus SM pasirašiusioms šalims, kurios nėra EEE narės.</w:t>
      </w:r>
      <w:r w:rsidRPr="0032658A">
        <w:rPr>
          <w:noProof/>
          <w:vertAlign w:val="superscript"/>
        </w:rPr>
        <w:t xml:space="preserve"> </w:t>
      </w:r>
      <w:r w:rsidRPr="0032658A">
        <w:rPr>
          <w:noProof/>
        </w:rPr>
        <w:t xml:space="preserve"> </w:t>
      </w:r>
    </w:p>
    <w:p w14:paraId="6EA98F6D" w14:textId="77777777" w:rsidR="00AC4262" w:rsidRPr="0032658A" w:rsidRDefault="00D54FCC" w:rsidP="00AC4262">
      <w:pPr>
        <w:widowControl w:val="0"/>
        <w:spacing w:before="0" w:after="240"/>
        <w:rPr>
          <w:noProof/>
        </w:rPr>
      </w:pPr>
      <w:r w:rsidRPr="0032658A">
        <w:rPr>
          <w:noProof/>
        </w:rPr>
        <w:t xml:space="preserve">2018 m. buvo atliktas Direktyvos </w:t>
      </w:r>
      <w:r w:rsidRPr="0032658A">
        <w:rPr>
          <w:i/>
          <w:iCs/>
          <w:noProof/>
        </w:rPr>
        <w:t>ex post</w:t>
      </w:r>
      <w:r w:rsidRPr="0032658A">
        <w:rPr>
          <w:noProof/>
        </w:rPr>
        <w:t xml:space="preserve"> vertinimas ir jūrų teisės aktų tinkamumo patikra (kartu su kitais ES laivybos saugos teisės aktais). Nuo Direktyvos taikymo pradžios Komisija taip pat nuolat ją stebėjo ir nustatė šiuos probleminius klausimus:</w:t>
      </w:r>
    </w:p>
    <w:p w14:paraId="79F029DA" w14:textId="77777777" w:rsidR="00AC4262" w:rsidRPr="0032658A" w:rsidRDefault="001C5481" w:rsidP="001C5481">
      <w:pPr>
        <w:pStyle w:val="Point1"/>
        <w:rPr>
          <w:noProof/>
        </w:rPr>
      </w:pPr>
      <w:r w:rsidRPr="0032658A">
        <w:rPr>
          <w:noProof/>
        </w:rPr>
        <w:t>1)</w:t>
      </w:r>
      <w:r w:rsidRPr="0032658A">
        <w:rPr>
          <w:noProof/>
        </w:rPr>
        <w:tab/>
        <w:t xml:space="preserve">dabartiniai ES reikalavimai nesuderinti su naujomis privalomomis tarptautinėmis taisyklėmis ir naujomis procedūromis, dėl kurių susitarta regioniniu lygmeniu (Tarptautinės jūrų organizacijos (IMO) ir Paryžiaus SM); </w:t>
      </w:r>
    </w:p>
    <w:p w14:paraId="0D8287B6" w14:textId="77777777" w:rsidR="00AC4262" w:rsidRPr="0032658A" w:rsidRDefault="001C5481" w:rsidP="001C5481">
      <w:pPr>
        <w:pStyle w:val="Point1"/>
        <w:rPr>
          <w:noProof/>
        </w:rPr>
      </w:pPr>
      <w:r w:rsidRPr="0032658A">
        <w:rPr>
          <w:noProof/>
        </w:rPr>
        <w:t>2)</w:t>
      </w:r>
      <w:r w:rsidRPr="0032658A">
        <w:rPr>
          <w:noProof/>
        </w:rPr>
        <w:tab/>
        <w:t xml:space="preserve">dabartiniai ES reikalavimai netaikomi žvejybos laivams – tam tikrų tarptautinių konvencijų, taikomų ilgesniems kaip 24 metrų žvejybos laivams, kurių vykdymą galėtų užtikrinti UVK, laikymasis netikrinamas arba tikrinamas nekoordinuotai; </w:t>
      </w:r>
    </w:p>
    <w:p w14:paraId="639CF9CD" w14:textId="77777777" w:rsidR="00AC4262" w:rsidRPr="0032658A" w:rsidRDefault="001C5481" w:rsidP="001C5481">
      <w:pPr>
        <w:pStyle w:val="Point1"/>
        <w:rPr>
          <w:noProof/>
        </w:rPr>
      </w:pPr>
      <w:r w:rsidRPr="0032658A">
        <w:rPr>
          <w:noProof/>
        </w:rPr>
        <w:t>3)</w:t>
      </w:r>
      <w:r w:rsidRPr="0032658A">
        <w:rPr>
          <w:noProof/>
        </w:rPr>
        <w:tab/>
        <w:t xml:space="preserve">UVK inspektavimai ES uostuose pasiskirstę neproporcingai; </w:t>
      </w:r>
    </w:p>
    <w:p w14:paraId="18281F84" w14:textId="77777777" w:rsidR="00AC4262" w:rsidRPr="0032658A" w:rsidRDefault="001C5481" w:rsidP="001C5481">
      <w:pPr>
        <w:pStyle w:val="Point1"/>
        <w:rPr>
          <w:noProof/>
        </w:rPr>
      </w:pPr>
      <w:r w:rsidRPr="0032658A">
        <w:rPr>
          <w:noProof/>
        </w:rPr>
        <w:t>4)</w:t>
      </w:r>
      <w:r w:rsidRPr="0032658A">
        <w:rPr>
          <w:noProof/>
        </w:rPr>
        <w:tab/>
        <w:t xml:space="preserve">dabartinė laivo rizikos lygio struktūra ir inspektuotinų laivų atrankos mechanizmas yra pasenę; </w:t>
      </w:r>
    </w:p>
    <w:p w14:paraId="564DCFF6" w14:textId="77777777" w:rsidR="00AC4262" w:rsidRPr="0032658A" w:rsidRDefault="001C5481" w:rsidP="001C5481">
      <w:pPr>
        <w:pStyle w:val="Point1"/>
        <w:rPr>
          <w:noProof/>
        </w:rPr>
      </w:pPr>
      <w:r w:rsidRPr="0032658A">
        <w:rPr>
          <w:noProof/>
        </w:rPr>
        <w:t>5)</w:t>
      </w:r>
      <w:r w:rsidRPr="0032658A">
        <w:rPr>
          <w:noProof/>
        </w:rPr>
        <w:tab/>
        <w:t xml:space="preserve">sistema pernelyg remiasi apsunkinančia popierinių liudijimų sistema ir </w:t>
      </w:r>
    </w:p>
    <w:p w14:paraId="022FF560" w14:textId="77777777" w:rsidR="00D54FCC" w:rsidRPr="0032658A" w:rsidRDefault="001C5481" w:rsidP="001C5481">
      <w:pPr>
        <w:pStyle w:val="Point1"/>
        <w:rPr>
          <w:noProof/>
        </w:rPr>
      </w:pPr>
      <w:r w:rsidRPr="0032658A">
        <w:rPr>
          <w:noProof/>
        </w:rPr>
        <w:t>6)</w:t>
      </w:r>
      <w:r w:rsidRPr="0032658A">
        <w:rPr>
          <w:noProof/>
        </w:rPr>
        <w:tab/>
        <w:t xml:space="preserve">taikomos netinkamos ir nelanksčios procedūros ir turima nepakankamai UVK išteklių (įgūdžiai, mokymas). </w:t>
      </w:r>
    </w:p>
    <w:p w14:paraId="04E511A9" w14:textId="77777777" w:rsidR="00D54FCC" w:rsidRPr="0032658A" w:rsidRDefault="00D54FCC" w:rsidP="00AC4262">
      <w:pPr>
        <w:widowControl w:val="0"/>
        <w:spacing w:before="0" w:after="240"/>
        <w:rPr>
          <w:noProof/>
        </w:rPr>
      </w:pPr>
      <w:r w:rsidRPr="0032658A">
        <w:rPr>
          <w:noProof/>
        </w:rPr>
        <w:t>Nustatytų problemų esama visoje ES, o jų priežastys yra tos pačios. Jei ES nesiims veiksmų, kyla pavojus, kad valstybės narės dirbs nekoordinuotai ir nesuderintai. Akivaizdu, kad ES naudinga patobulinti Direktyvą siekiant išspręsti nustatytas problemas.</w:t>
      </w:r>
    </w:p>
    <w:p w14:paraId="62E33332" w14:textId="77777777" w:rsidR="001B6F72" w:rsidRPr="0032658A" w:rsidRDefault="00D54FCC" w:rsidP="00FE0482">
      <w:pPr>
        <w:pBdr>
          <w:top w:val="nil"/>
          <w:left w:val="nil"/>
          <w:bottom w:val="nil"/>
          <w:right w:val="nil"/>
          <w:between w:val="nil"/>
          <w:bar w:val="nil"/>
        </w:pBdr>
        <w:spacing w:before="0" w:after="240"/>
        <w:rPr>
          <w:noProof/>
        </w:rPr>
      </w:pPr>
      <w:r w:rsidRPr="0032658A">
        <w:rPr>
          <w:noProof/>
        </w:rPr>
        <w:t>Atsižvelgdama į tai, Komisija parengė pasiūlymą iš dalies pakeisti Direktyvą 2009/16/EB. Konkretūs šio pasiūlymo tikslai:</w:t>
      </w:r>
    </w:p>
    <w:p w14:paraId="412FFBD7" w14:textId="77777777" w:rsidR="00F849F8" w:rsidRPr="0032658A" w:rsidRDefault="00FE0482" w:rsidP="00351037">
      <w:pPr>
        <w:pStyle w:val="Tiret0"/>
        <w:numPr>
          <w:ilvl w:val="0"/>
          <w:numId w:val="7"/>
        </w:numPr>
        <w:rPr>
          <w:noProof/>
        </w:rPr>
      </w:pPr>
      <w:r w:rsidRPr="0032658A">
        <w:rPr>
          <w:noProof/>
        </w:rPr>
        <w:t xml:space="preserve">atnaujinti ES teisės aktus ir juos suderinti su tarptautinėmis taisyklėmis ir procedūromis, nustatytomis IMO / TDO arba Paryžiaus SM; </w:t>
      </w:r>
    </w:p>
    <w:p w14:paraId="68DD4D3B" w14:textId="77777777" w:rsidR="001B6F72" w:rsidRPr="0032658A" w:rsidRDefault="00FE0482" w:rsidP="00FE0482">
      <w:pPr>
        <w:pStyle w:val="Tiret0"/>
        <w:numPr>
          <w:ilvl w:val="0"/>
          <w:numId w:val="7"/>
        </w:numPr>
        <w:rPr>
          <w:noProof/>
        </w:rPr>
      </w:pPr>
      <w:r w:rsidRPr="0032658A">
        <w:rPr>
          <w:noProof/>
        </w:rPr>
        <w:t xml:space="preserve">apsaugoti žvejybos laivus, jų įgulą ir aplinką. Ilgesniems kaip 24 metrų žvejybos laivams uosto valstybės kontrolė netaikoma. Savanoriška šio tipo laivų kontrolės sistema turėtų padidinti šiems laivams taikomų tarptautinių saugos ir aplinkos apsaugos standartų laikymosi lygį; </w:t>
      </w:r>
    </w:p>
    <w:p w14:paraId="0CE8C061" w14:textId="77777777" w:rsidR="00D54FCC" w:rsidRPr="0032658A" w:rsidRDefault="00D54FCC" w:rsidP="00912311">
      <w:pPr>
        <w:pStyle w:val="Tiret0"/>
        <w:rPr>
          <w:noProof/>
        </w:rPr>
      </w:pPr>
      <w:r w:rsidRPr="0032658A">
        <w:rPr>
          <w:noProof/>
        </w:rPr>
        <w:t>užtikrinti didesnį skaitmeninių sprendimų taikymą. Visų pirma pasiūlymu skatinama diegti ir naudoti elektroninius teisės aktais nustatytus liudijimus, susiejant jų naudojimą su laivo rizikos lygiu, pagal kurį nustatomi ir atrenkami inspektuotini laivai;</w:t>
      </w:r>
    </w:p>
    <w:p w14:paraId="58290AF3" w14:textId="77777777" w:rsidR="0041008C" w:rsidRPr="0032658A" w:rsidRDefault="0041008C" w:rsidP="00912311">
      <w:pPr>
        <w:pStyle w:val="Tiret0"/>
        <w:rPr>
          <w:noProof/>
        </w:rPr>
      </w:pPr>
      <w:r w:rsidRPr="0032658A">
        <w:rPr>
          <w:noProof/>
        </w:rPr>
        <w:t xml:space="preserve">užtikrinti veiksmingą ir suderintą požiūrį į UVK inspektavimų atlikimą. Tai apima geresnį inspektuotinų laivų atrinkimą, restruktūrizuojant pasenusius laivo rizikos lygio aspektus ir papildant jį naujomis sudedamosiomis dalimis.  </w:t>
      </w:r>
    </w:p>
    <w:p w14:paraId="3995F195" w14:textId="77777777" w:rsidR="001B6F72" w:rsidRPr="0032658A" w:rsidRDefault="001B6F72" w:rsidP="00FE0482">
      <w:pPr>
        <w:pStyle w:val="NormalLeft"/>
        <w:rPr>
          <w:noProof/>
        </w:rPr>
      </w:pPr>
      <w:r w:rsidRPr="0032658A">
        <w:rPr>
          <w:noProof/>
        </w:rPr>
        <w:t>Siekiant aiškumo ir nuoseklumo, šiuo pasiūlymu taip pat atnaujinamos apibrėžtys ir nuorodos į susijusius ES teisės aktus ir IMO taisykles.</w:t>
      </w:r>
    </w:p>
    <w:p w14:paraId="4861AAC9" w14:textId="77777777" w:rsidR="005B3330" w:rsidRPr="0032658A" w:rsidRDefault="005B3330" w:rsidP="007800DD">
      <w:pPr>
        <w:pStyle w:val="ManualHeading2"/>
        <w:rPr>
          <w:noProof/>
          <w:u w:color="000000"/>
          <w:bdr w:val="nil"/>
        </w:rPr>
      </w:pPr>
      <w:r w:rsidRPr="0032658A">
        <w:rPr>
          <w:noProof/>
          <w:u w:color="000000"/>
          <w:bdr w:val="nil"/>
        </w:rPr>
        <w:t>•</w:t>
      </w:r>
      <w:r w:rsidRPr="0032658A">
        <w:rPr>
          <w:noProof/>
        </w:rPr>
        <w:tab/>
        <w:t>Suderinamumas su toje pačioje politikos srityje galiojančiomis nuostatomis</w:t>
      </w:r>
    </w:p>
    <w:p w14:paraId="65E1A9B3" w14:textId="77777777" w:rsidR="008F410E" w:rsidRPr="0032658A" w:rsidRDefault="001B6F72" w:rsidP="00FE0482">
      <w:pPr>
        <w:pBdr>
          <w:top w:val="nil"/>
          <w:left w:val="nil"/>
          <w:bottom w:val="nil"/>
          <w:right w:val="nil"/>
          <w:between w:val="nil"/>
          <w:bar w:val="nil"/>
        </w:pBdr>
        <w:spacing w:before="0" w:after="240"/>
        <w:rPr>
          <w:noProof/>
        </w:rPr>
      </w:pPr>
      <w:r w:rsidRPr="0032658A">
        <w:rPr>
          <w:noProof/>
        </w:rPr>
        <w:t>Pasiūlymas visiškai atitinka Direktyvą 2009/18/EB</w:t>
      </w:r>
      <w:r w:rsidRPr="0032658A">
        <w:rPr>
          <w:rStyle w:val="FootnoteReference"/>
          <w:noProof/>
        </w:rPr>
        <w:footnoteReference w:id="13"/>
      </w:r>
      <w:r w:rsidRPr="0032658A">
        <w:rPr>
          <w:noProof/>
        </w:rPr>
        <w:t xml:space="preserve"> dėl jūrų laivų avarijų tyrimo ir Direktyvą 2009/21/EB</w:t>
      </w:r>
      <w:r w:rsidRPr="0032658A">
        <w:rPr>
          <w:rStyle w:val="FootnoteReference"/>
          <w:noProof/>
        </w:rPr>
        <w:footnoteReference w:id="14"/>
      </w:r>
      <w:r w:rsidRPr="0032658A">
        <w:rPr>
          <w:noProof/>
        </w:rPr>
        <w:t xml:space="preserve"> dėl vėliavos valstybės reikalavimų. Visos trys šios ES laivybos saugos direktyvos grindžiamos IMO tarptautiniu lygmeniu nustatytomis taisyklėmis ir standartais ir kartu sudaro ES sistemos, kuria užtikrinamas jūrų operacijų ES vandenyse saugumas, pagrindą. </w:t>
      </w:r>
    </w:p>
    <w:p w14:paraId="1D381936" w14:textId="77777777" w:rsidR="005B3330" w:rsidRPr="0032658A" w:rsidRDefault="005B3330" w:rsidP="00FE0482">
      <w:pPr>
        <w:pStyle w:val="ManualHeading2"/>
        <w:rPr>
          <w:noProof/>
        </w:rPr>
      </w:pPr>
      <w:r w:rsidRPr="0032658A">
        <w:rPr>
          <w:noProof/>
          <w:u w:color="000000"/>
          <w:bdr w:val="nil"/>
        </w:rPr>
        <w:t>•</w:t>
      </w:r>
      <w:r w:rsidRPr="0032658A">
        <w:rPr>
          <w:noProof/>
        </w:rPr>
        <w:tab/>
        <w:t>Suderinamumas su kitomis ES politikos sritimis</w:t>
      </w:r>
    </w:p>
    <w:p w14:paraId="0C2BF6A6" w14:textId="77777777" w:rsidR="00BA263E" w:rsidRPr="0032658A" w:rsidRDefault="001B6F72" w:rsidP="00FE0482">
      <w:pPr>
        <w:spacing w:after="240"/>
        <w:rPr>
          <w:noProof/>
        </w:rPr>
      </w:pPr>
      <w:r w:rsidRPr="0032658A">
        <w:rPr>
          <w:noProof/>
        </w:rPr>
        <w:t>Pasiūlymas parengtas pagal Komisijos programą REFIT ir juo prisidedama prie geresnio reglamentavimo darbotvarkės, nes užtikrinama, kad galiojantys teisės aktai būtų paprasti ir aiškūs, jais nebūtų užkraunama nereikalingos naštos ir būtų neatsiliekama nuo politinės, socialinės ir technologinės raidos. Šis pasiūlymas ir susiję pasiūlymai peržiūrėti kitas laivybos saugos direktyvas taip pat yra dalis ES teisės aktų, kuriais reglamentuojama laivybos sauga, įskaitant ES laivų eismo stebėsenos ir informacijos sistemą (</w:t>
      </w:r>
      <w:r w:rsidRPr="0032658A">
        <w:rPr>
          <w:i/>
          <w:iCs/>
          <w:noProof/>
        </w:rPr>
        <w:t>SafeSeaNet</w:t>
      </w:r>
      <w:r w:rsidRPr="0032658A">
        <w:rPr>
          <w:noProof/>
        </w:rPr>
        <w:t>)</w:t>
      </w:r>
      <w:r w:rsidRPr="0032658A">
        <w:rPr>
          <w:rStyle w:val="FootnoteReference"/>
          <w:noProof/>
        </w:rPr>
        <w:footnoteReference w:id="15"/>
      </w:r>
      <w:r w:rsidRPr="0032658A">
        <w:rPr>
          <w:rStyle w:val="FootnoteReference"/>
          <w:noProof/>
        </w:rPr>
        <w:t>,</w:t>
      </w:r>
      <w:r w:rsidRPr="0032658A">
        <w:rPr>
          <w:noProof/>
        </w:rPr>
        <w:t>, EMSA steigimo reglamentą</w:t>
      </w:r>
      <w:r w:rsidRPr="0032658A">
        <w:rPr>
          <w:rStyle w:val="FootnoteReference"/>
          <w:noProof/>
        </w:rPr>
        <w:footnoteReference w:id="16"/>
      </w:r>
      <w:r w:rsidRPr="0032658A">
        <w:rPr>
          <w:noProof/>
        </w:rPr>
        <w:t>, Žvejybos laivų saugos direktyvą</w:t>
      </w:r>
      <w:r w:rsidRPr="0032658A">
        <w:rPr>
          <w:rStyle w:val="FootnoteReference"/>
          <w:noProof/>
        </w:rPr>
        <w:footnoteReference w:id="17"/>
      </w:r>
      <w:r w:rsidRPr="0032658A">
        <w:rPr>
          <w:noProof/>
        </w:rPr>
        <w:t>, ES teisės aktus, susijusius su pripažintomis organizacijomis</w:t>
      </w:r>
      <w:r w:rsidRPr="0032658A">
        <w:rPr>
          <w:rStyle w:val="FootnoteReference"/>
          <w:noProof/>
        </w:rPr>
        <w:footnoteReference w:id="18"/>
      </w:r>
      <w:r w:rsidRPr="0032658A">
        <w:rPr>
          <w:noProof/>
        </w:rPr>
        <w:t>, Jūrų strategijos pagrindų direktyvą</w:t>
      </w:r>
      <w:r w:rsidRPr="0032658A">
        <w:rPr>
          <w:rStyle w:val="FootnoteReference"/>
          <w:noProof/>
        </w:rPr>
        <w:footnoteReference w:id="19"/>
      </w:r>
      <w:r w:rsidRPr="0032658A">
        <w:rPr>
          <w:noProof/>
        </w:rPr>
        <w:t xml:space="preserve"> ir kitus ES aplinkos teisės aktus</w:t>
      </w:r>
      <w:r w:rsidRPr="0032658A">
        <w:rPr>
          <w:rStyle w:val="FootnoteReference"/>
          <w:noProof/>
        </w:rPr>
        <w:footnoteReference w:id="20"/>
      </w:r>
      <w:r w:rsidRPr="0032658A">
        <w:rPr>
          <w:noProof/>
        </w:rPr>
        <w:t xml:space="preserve">, ir jie yra reikšmingai susiję tarpusavyje.  </w:t>
      </w:r>
    </w:p>
    <w:p w14:paraId="0DA20378" w14:textId="77777777" w:rsidR="005B3330" w:rsidRPr="0032658A" w:rsidRDefault="005B3330" w:rsidP="007800DD">
      <w:pPr>
        <w:pStyle w:val="ManualHeading1"/>
        <w:rPr>
          <w:noProof/>
        </w:rPr>
      </w:pPr>
      <w:r w:rsidRPr="0032658A">
        <w:rPr>
          <w:noProof/>
        </w:rPr>
        <w:t>2.</w:t>
      </w:r>
      <w:r w:rsidRPr="0032658A">
        <w:rPr>
          <w:noProof/>
        </w:rPr>
        <w:tab/>
        <w:t>TEISINIS PAGRINDAS, SUBSIDIARUMO IR PROPORCINGUMO PRINCIPAI</w:t>
      </w:r>
    </w:p>
    <w:p w14:paraId="1B6BB8CF" w14:textId="77777777" w:rsidR="005B3330" w:rsidRPr="0032658A" w:rsidRDefault="005B3330" w:rsidP="007800DD">
      <w:pPr>
        <w:pStyle w:val="ManualHeading2"/>
        <w:rPr>
          <w:noProof/>
          <w:u w:color="000000"/>
          <w:bdr w:val="nil"/>
        </w:rPr>
      </w:pPr>
      <w:r w:rsidRPr="0032658A">
        <w:rPr>
          <w:noProof/>
          <w:u w:color="000000"/>
          <w:bdr w:val="nil"/>
        </w:rPr>
        <w:t>•</w:t>
      </w:r>
      <w:r w:rsidRPr="0032658A">
        <w:rPr>
          <w:noProof/>
        </w:rPr>
        <w:tab/>
      </w:r>
      <w:r w:rsidRPr="0032658A">
        <w:rPr>
          <w:noProof/>
          <w:u w:color="000000"/>
          <w:bdr w:val="nil"/>
        </w:rPr>
        <w:t>Teisinis pagrindas</w:t>
      </w:r>
    </w:p>
    <w:p w14:paraId="0E9DA91B" w14:textId="77777777" w:rsidR="005B3330" w:rsidRPr="0032658A" w:rsidRDefault="001B6F72" w:rsidP="00FE0482">
      <w:pPr>
        <w:pBdr>
          <w:top w:val="nil"/>
          <w:left w:val="nil"/>
          <w:bottom w:val="nil"/>
          <w:right w:val="nil"/>
          <w:between w:val="nil"/>
          <w:bar w:val="nil"/>
        </w:pBdr>
        <w:spacing w:before="0" w:after="240"/>
        <w:rPr>
          <w:noProof/>
        </w:rPr>
      </w:pPr>
      <w:r w:rsidRPr="0032658A">
        <w:rPr>
          <w:noProof/>
        </w:rPr>
        <w:t>Pakeitimų direktyvos teisinis pagrindas yra SESV 100 straipsnio 2 dalis, kurioje numatytos transporto saugos gerinimo priemonės ir specialios jūrų transporto nuostatos.</w:t>
      </w:r>
    </w:p>
    <w:p w14:paraId="516D245C" w14:textId="77777777" w:rsidR="005B3330" w:rsidRPr="0032658A" w:rsidRDefault="005B3330" w:rsidP="007800DD">
      <w:pPr>
        <w:pStyle w:val="ManualHeading2"/>
        <w:rPr>
          <w:noProof/>
          <w:u w:color="000000"/>
          <w:bdr w:val="nil"/>
        </w:rPr>
      </w:pPr>
      <w:r w:rsidRPr="0032658A">
        <w:rPr>
          <w:noProof/>
          <w:u w:color="000000"/>
          <w:bdr w:val="nil"/>
        </w:rPr>
        <w:t>•</w:t>
      </w:r>
      <w:r w:rsidRPr="0032658A">
        <w:rPr>
          <w:noProof/>
        </w:rPr>
        <w:tab/>
      </w:r>
      <w:r w:rsidRPr="0032658A">
        <w:rPr>
          <w:noProof/>
          <w:u w:color="000000"/>
          <w:bdr w:val="nil"/>
        </w:rPr>
        <w:t xml:space="preserve">Subsidiarumo principas (neišimtinės kompetencijos atveju) </w:t>
      </w:r>
    </w:p>
    <w:p w14:paraId="6318B60F" w14:textId="77777777" w:rsidR="00BA263E" w:rsidRPr="0032658A" w:rsidRDefault="00700FF2" w:rsidP="00FE0482">
      <w:pPr>
        <w:spacing w:before="0" w:after="240"/>
        <w:rPr>
          <w:noProof/>
          <w:spacing w:val="-4"/>
        </w:rPr>
      </w:pPr>
      <w:r w:rsidRPr="0032658A">
        <w:rPr>
          <w:noProof/>
        </w:rPr>
        <w:t xml:space="preserve">Kadangi tarptautiniai UVK srities dokumentai jūrų transporto sektoriuje priklauso išimtinei ES kompetencijai pagal SESV 3 straipsnio 2 dalį, subsidiarumo principas netaikomas nei tiems dokumentams, nei ES taisyklėms, kuriomis įgyvendinami tie susitarimai. </w:t>
      </w:r>
    </w:p>
    <w:p w14:paraId="460D5915" w14:textId="77777777" w:rsidR="005B3330" w:rsidRPr="0032658A" w:rsidRDefault="005B3330" w:rsidP="007800DD">
      <w:pPr>
        <w:pStyle w:val="ManualHeading2"/>
        <w:rPr>
          <w:noProof/>
          <w:u w:color="000000"/>
          <w:bdr w:val="nil"/>
        </w:rPr>
      </w:pPr>
      <w:r w:rsidRPr="0032658A">
        <w:rPr>
          <w:noProof/>
          <w:u w:color="000000"/>
          <w:bdr w:val="nil"/>
        </w:rPr>
        <w:t>•</w:t>
      </w:r>
      <w:r w:rsidRPr="0032658A">
        <w:rPr>
          <w:noProof/>
        </w:rPr>
        <w:tab/>
      </w:r>
      <w:r w:rsidRPr="0032658A">
        <w:rPr>
          <w:noProof/>
          <w:u w:color="000000"/>
          <w:bdr w:val="nil"/>
        </w:rPr>
        <w:t>Proporcingumo principas</w:t>
      </w:r>
    </w:p>
    <w:p w14:paraId="091F493B" w14:textId="77777777" w:rsidR="001B6F72" w:rsidRPr="0032658A" w:rsidRDefault="001B6F72" w:rsidP="000C6A8C">
      <w:pPr>
        <w:pBdr>
          <w:top w:val="nil"/>
          <w:left w:val="nil"/>
          <w:bottom w:val="nil"/>
          <w:right w:val="nil"/>
          <w:between w:val="nil"/>
          <w:bar w:val="nil"/>
        </w:pBdr>
        <w:spacing w:after="240"/>
        <w:rPr>
          <w:noProof/>
        </w:rPr>
      </w:pPr>
      <w:r w:rsidRPr="0032658A">
        <w:rPr>
          <w:noProof/>
        </w:rPr>
        <w:t xml:space="preserve">Komisija parengė pasiūlymą, kad būtų atsižvelgta į naujausius tarptautinio lygmens pokyčius ir 2018 m. </w:t>
      </w:r>
      <w:r w:rsidRPr="0032658A">
        <w:rPr>
          <w:i/>
          <w:iCs/>
          <w:noProof/>
        </w:rPr>
        <w:t>ex post</w:t>
      </w:r>
      <w:r w:rsidRPr="0032658A">
        <w:rPr>
          <w:noProof/>
        </w:rPr>
        <w:t xml:space="preserve"> vertinimo bei REFIT procedūrų rezultatus.  Komisija taip pat atliko poveikio vertinimą, kad nustatytų ir įvertintų alternatyvias priemones tiems patiems tikslams pasiekti. </w:t>
      </w:r>
    </w:p>
    <w:p w14:paraId="104924AB" w14:textId="77777777" w:rsidR="005B3330" w:rsidRPr="0032658A" w:rsidRDefault="008A5E41" w:rsidP="000C6A8C">
      <w:pPr>
        <w:pBdr>
          <w:top w:val="nil"/>
          <w:left w:val="nil"/>
          <w:bottom w:val="nil"/>
          <w:right w:val="nil"/>
          <w:between w:val="nil"/>
          <w:bar w:val="nil"/>
        </w:pBdr>
        <w:spacing w:after="240"/>
        <w:rPr>
          <w:noProof/>
        </w:rPr>
      </w:pPr>
      <w:r w:rsidRPr="0032658A">
        <w:rPr>
          <w:noProof/>
        </w:rPr>
        <w:t xml:space="preserve">Siūlomo pakeitimo tikslas – pagerinti laivybos saugą visoje ES taikant atnaujintą, nuoseklią ir suderintą UVK inspektavimų sistemą, kad būtų sprendžiama nepakankamai veiksmingos laivybos problema ir taip būtų pagerinta ES vandenyse plaukiojančių laivų sauga ir aplinkosauginis veiksmingumas. Komisija mano, kad tikslinga išplėsti UVK taikymo sritį, kad ji apimtų didesnius žvejybos laivus, nes valstybės narės, pageidaujančios atlikti tokio pobūdžio inspektavimus, juos galės atlikti savanoriškai. Šia priemone turėtų būti pagerinta sauga, aplinkos apsauga bei darbo ir gyvenimo sąlygos žvejybos sektoriuje.  Perėjimas prie skaitmenizacijos ir e. liudijimų naudojimas pareikalaus išlaidų, tačiau jos bus ribotos ir jas kompensuos numatoma nauda, susijusi su didesniu poveikiu saugai ir veiksmingumui. Atsižvelgiant į tarptautinį sektoriaus pobūdį, nėra jokios alternatyvios priemonės šiems rezultatams veiksmingiau ir efektyviau pasiekti. </w:t>
      </w:r>
    </w:p>
    <w:p w14:paraId="61106B7E" w14:textId="77777777" w:rsidR="005B3330" w:rsidRPr="0032658A" w:rsidRDefault="005B3330" w:rsidP="007800DD">
      <w:pPr>
        <w:pStyle w:val="ManualHeading2"/>
        <w:rPr>
          <w:noProof/>
          <w:u w:color="000000"/>
          <w:bdr w:val="nil"/>
        </w:rPr>
      </w:pPr>
      <w:r w:rsidRPr="0032658A">
        <w:rPr>
          <w:noProof/>
          <w:u w:color="000000"/>
          <w:bdr w:val="nil"/>
        </w:rPr>
        <w:t>•</w:t>
      </w:r>
      <w:r w:rsidRPr="0032658A">
        <w:rPr>
          <w:noProof/>
        </w:rPr>
        <w:tab/>
      </w:r>
      <w:r w:rsidRPr="0032658A">
        <w:rPr>
          <w:noProof/>
          <w:u w:color="000000"/>
          <w:bdr w:val="nil"/>
        </w:rPr>
        <w:t>Priemonės pasirinkimas</w:t>
      </w:r>
    </w:p>
    <w:p w14:paraId="4DF8A387" w14:textId="77777777" w:rsidR="001C744B" w:rsidRPr="0032658A" w:rsidRDefault="000615E9" w:rsidP="000C6A8C">
      <w:pPr>
        <w:pStyle w:val="NormalLeft"/>
        <w:jc w:val="both"/>
        <w:rPr>
          <w:noProof/>
        </w:rPr>
      </w:pPr>
      <w:r w:rsidRPr="0032658A">
        <w:rPr>
          <w:noProof/>
        </w:rPr>
        <w:t>Kadangi pasiūlyme reikalaujama tik padaryti keletą Direktyvos 2009/16/EB pakeitimų, tinkamiausia teisinė priemonė yra pakeitimų direktyva.</w:t>
      </w:r>
    </w:p>
    <w:p w14:paraId="56A65B51" w14:textId="77777777" w:rsidR="005B3330" w:rsidRPr="0032658A" w:rsidRDefault="005B3330" w:rsidP="008106DB">
      <w:pPr>
        <w:pStyle w:val="ManualHeading1"/>
        <w:jc w:val="left"/>
        <w:rPr>
          <w:noProof/>
        </w:rPr>
      </w:pPr>
      <w:r w:rsidRPr="0032658A">
        <w:rPr>
          <w:noProof/>
        </w:rPr>
        <w:t>3.</w:t>
      </w:r>
      <w:r w:rsidRPr="0032658A">
        <w:rPr>
          <w:noProof/>
        </w:rPr>
        <w:tab/>
      </w:r>
      <w:r w:rsidRPr="0032658A">
        <w:rPr>
          <w:i/>
          <w:iCs/>
          <w:noProof/>
        </w:rPr>
        <w:t>EX POST</w:t>
      </w:r>
      <w:r w:rsidRPr="0032658A">
        <w:rPr>
          <w:noProof/>
        </w:rPr>
        <w:t xml:space="preserve"> VERTINIMO, KONSULTACIJŲ SU SUINTERESUOTOSIOMIS ŠALIMIS IR POVEIKIO VERTINIMO REZULTATAI</w:t>
      </w:r>
    </w:p>
    <w:p w14:paraId="470A1422" w14:textId="77777777" w:rsidR="005B3330" w:rsidRPr="0032658A" w:rsidRDefault="005B3330" w:rsidP="007800DD">
      <w:pPr>
        <w:pStyle w:val="ManualHeading2"/>
        <w:rPr>
          <w:noProof/>
          <w:u w:color="000000"/>
          <w:bdr w:val="nil"/>
        </w:rPr>
      </w:pPr>
      <w:r w:rsidRPr="0032658A">
        <w:rPr>
          <w:noProof/>
          <w:u w:color="000000"/>
          <w:bdr w:val="nil"/>
        </w:rPr>
        <w:t>•</w:t>
      </w:r>
      <w:r w:rsidRPr="0032658A">
        <w:rPr>
          <w:noProof/>
        </w:rPr>
        <w:tab/>
      </w:r>
      <w:r w:rsidRPr="0032658A">
        <w:rPr>
          <w:noProof/>
          <w:u w:color="000000"/>
          <w:bdr w:val="nil"/>
        </w:rPr>
        <w:t xml:space="preserve">Galiojančių teisės aktų </w:t>
      </w:r>
      <w:r w:rsidRPr="0032658A">
        <w:rPr>
          <w:i/>
          <w:iCs/>
          <w:noProof/>
          <w:u w:color="000000"/>
          <w:bdr w:val="nil"/>
        </w:rPr>
        <w:t>ex post</w:t>
      </w:r>
      <w:r w:rsidRPr="0032658A">
        <w:rPr>
          <w:noProof/>
          <w:u w:color="000000"/>
          <w:bdr w:val="nil"/>
        </w:rPr>
        <w:t xml:space="preserve"> vertinimas / tinkamumo patikrinimas</w:t>
      </w:r>
    </w:p>
    <w:p w14:paraId="68B330CB" w14:textId="77777777" w:rsidR="00B62385" w:rsidRPr="0032658A" w:rsidRDefault="00B62385" w:rsidP="00351037">
      <w:pPr>
        <w:rPr>
          <w:noProof/>
        </w:rPr>
      </w:pPr>
      <w:r w:rsidRPr="0032658A">
        <w:rPr>
          <w:noProof/>
        </w:rPr>
        <w:t xml:space="preserve">2018 m. atliekant REFIT </w:t>
      </w:r>
      <w:r w:rsidRPr="0032658A">
        <w:rPr>
          <w:i/>
          <w:iCs/>
          <w:noProof/>
        </w:rPr>
        <w:t>ex post</w:t>
      </w:r>
      <w:r w:rsidRPr="0032658A">
        <w:rPr>
          <w:noProof/>
        </w:rPr>
        <w:t xml:space="preserve"> vertinimą ir jūrų transporto teisės aktų tinkamumo patikrą padaryta išvada, kad, nors Direktyva tam tikru mastu ribojamas Paryžiaus SM lankstumas, ja sukuriama pridėtinė vertė, nes uosto valstybės kontrolės sistema derinama su teisiniu vykdymo užtikrinimo mechanizmu, kad būtų užtikrintas teisingas ir nuoseklus įgyvendinimas valstybėse narėse. Dėl to atsirado spaudimas siekti geresnių rezultatų ir nuolat tobulėti, taigi geriau paskirstyti išteklius uosto valstybės kontrolei valstybių narių lygmeniu. Atlikus vertinimą padaryta išvada, kad Direktyva padėjo siekti numatytų tikslų gerinti laivybos saugą, saugumą, taršos prevenciją ir užtikrinti geresnes darbo ir gyvenimo laivuose sąlygas. </w:t>
      </w:r>
    </w:p>
    <w:p w14:paraId="3D63D0C9" w14:textId="77777777" w:rsidR="00B62385" w:rsidRPr="0032658A" w:rsidRDefault="00B62385" w:rsidP="00351037">
      <w:pPr>
        <w:rPr>
          <w:noProof/>
        </w:rPr>
      </w:pPr>
      <w:r w:rsidRPr="0032658A">
        <w:rPr>
          <w:noProof/>
        </w:rPr>
        <w:t>EMSA svarbiais būdais rėmė uosto valstybės kontrolės režimą. Daugiau kaip du trečdaliai inspektavimą atliekančių ES ir (arba) EEE valstybių narių, atrinkdamos inspektuotinus laivus, naudojasi tik sistema THETIS. Taip pat nustatyta, kad EMSA vaidmuo tvarkant ir atnaujinant THETIS ir EMSA rengiami inspektorių mokymai, kuriais siekiama suderinti inspektavimus visame Paryžiaus SM regione, yra labai svarbūs.</w:t>
      </w:r>
    </w:p>
    <w:p w14:paraId="394D7E38" w14:textId="77777777" w:rsidR="00B62385" w:rsidRPr="0032658A" w:rsidRDefault="00B62385" w:rsidP="000C6A8C">
      <w:pPr>
        <w:rPr>
          <w:noProof/>
        </w:rPr>
      </w:pPr>
      <w:r w:rsidRPr="0032658A">
        <w:rPr>
          <w:noProof/>
        </w:rPr>
        <w:t>Be to, Komisija ir EMSA nuolat stebėjo Direktyvos įgyvendinimą. Kadangi UVK inspektavimo ataskaitos turi būti įkeltos į THETIS, kai tik užbaigiamas inspektavimas, EMSA turi išsamią visų atliktų inspektavimų apžvalgą beveik tikruoju laiku. EMSA taip pat teikia pagalbos tarnybos paslaugas ir techninę pagalbą valstybėms narėms, kurioms reikia pagalbos, ir rengia vizitus į EEE valstybes nares, kad patikrintų, kaip laikomasi reikalavimų.</w:t>
      </w:r>
    </w:p>
    <w:p w14:paraId="6CF003F5" w14:textId="77777777" w:rsidR="00520463" w:rsidRPr="0032658A" w:rsidRDefault="00520463" w:rsidP="000C6A8C">
      <w:pPr>
        <w:rPr>
          <w:noProof/>
        </w:rPr>
      </w:pPr>
      <w:r w:rsidRPr="0032658A">
        <w:rPr>
          <w:noProof/>
        </w:rPr>
        <w:t>Tačiau atliekant jūrų transporto teisės aktų tinkamumo patikrą ir EMSA horizontaliąją analizę nustatyta keletas UVK režimo sričių, kurias būtų galima patobulinti.</w:t>
      </w:r>
    </w:p>
    <w:p w14:paraId="4ED4B122" w14:textId="77777777" w:rsidR="005B3330" w:rsidRPr="0032658A" w:rsidRDefault="005B3330" w:rsidP="007800DD">
      <w:pPr>
        <w:pStyle w:val="ManualHeading2"/>
        <w:rPr>
          <w:noProof/>
          <w:u w:color="000000"/>
          <w:bdr w:val="nil"/>
        </w:rPr>
      </w:pPr>
      <w:r w:rsidRPr="0032658A">
        <w:rPr>
          <w:noProof/>
          <w:u w:color="000000"/>
          <w:bdr w:val="nil"/>
        </w:rPr>
        <w:t>•</w:t>
      </w:r>
      <w:r w:rsidRPr="0032658A">
        <w:rPr>
          <w:noProof/>
        </w:rPr>
        <w:tab/>
      </w:r>
      <w:r w:rsidRPr="0032658A">
        <w:rPr>
          <w:noProof/>
          <w:u w:color="000000"/>
          <w:bdr w:val="nil"/>
        </w:rPr>
        <w:t>Konsultacijos su suinteresuotosiomis šalimis</w:t>
      </w:r>
    </w:p>
    <w:p w14:paraId="509C4B2E" w14:textId="77777777" w:rsidR="00C04245" w:rsidRPr="0032658A" w:rsidRDefault="00C04245" w:rsidP="00C04245">
      <w:pPr>
        <w:pBdr>
          <w:top w:val="nil"/>
          <w:left w:val="nil"/>
          <w:bottom w:val="nil"/>
          <w:right w:val="nil"/>
          <w:between w:val="nil"/>
          <w:bar w:val="nil"/>
        </w:pBdr>
        <w:spacing w:after="240"/>
        <w:rPr>
          <w:noProof/>
        </w:rPr>
      </w:pPr>
      <w:r w:rsidRPr="0032658A">
        <w:rPr>
          <w:noProof/>
        </w:rPr>
        <w:t>Pagrindinė konsultacijų veikla, be kita ko, buvo:</w:t>
      </w:r>
    </w:p>
    <w:p w14:paraId="16FCF7C9" w14:textId="77777777" w:rsidR="00C04245" w:rsidRPr="0032658A" w:rsidRDefault="00C04245" w:rsidP="00B42332">
      <w:pPr>
        <w:pStyle w:val="Tiret0"/>
        <w:numPr>
          <w:ilvl w:val="0"/>
          <w:numId w:val="18"/>
        </w:numPr>
        <w:rPr>
          <w:noProof/>
        </w:rPr>
      </w:pPr>
      <w:r w:rsidRPr="0032658A">
        <w:rPr>
          <w:noProof/>
        </w:rPr>
        <w:t xml:space="preserve">keturi tiriamieji pokalbiai su ES lygmens pagrindinių suinteresuotųjų šalių atstovais, visų pirma siekiant parengti ir patikslinti bendrą problemos apibrėžtį ir galimas politikos galimybes; </w:t>
      </w:r>
    </w:p>
    <w:p w14:paraId="01BA85DB" w14:textId="77777777" w:rsidR="00C04245" w:rsidRPr="0032658A" w:rsidRDefault="00C04245" w:rsidP="00B42332">
      <w:pPr>
        <w:pStyle w:val="Tiret0"/>
        <w:numPr>
          <w:ilvl w:val="0"/>
          <w:numId w:val="18"/>
        </w:numPr>
        <w:rPr>
          <w:noProof/>
        </w:rPr>
      </w:pPr>
      <w:r w:rsidRPr="0032658A">
        <w:rPr>
          <w:noProof/>
        </w:rPr>
        <w:t>2021 m. rugsėjo 7 d. – 2021 m. spalio 6 d. vykusi tikslinė suinteresuotųjų šalių apklausa, kurią surengė už poveikio vertinimo pagrindžiamąjį tyrimą atsakingas konsultantas. Apklausa buvo išsiųsta pagrindinėms suinteresuotosioms šalims su konkrečiais prašymais pateikti informacijos, visų pirma siekiant pagrįsti galimų politikos priemonių poveikio vertinimą;</w:t>
      </w:r>
    </w:p>
    <w:p w14:paraId="6BADDFFF" w14:textId="77777777" w:rsidR="00C04245" w:rsidRPr="0032658A" w:rsidRDefault="00C04245" w:rsidP="00B42332">
      <w:pPr>
        <w:pStyle w:val="Tiret0"/>
        <w:numPr>
          <w:ilvl w:val="0"/>
          <w:numId w:val="18"/>
        </w:numPr>
        <w:rPr>
          <w:noProof/>
        </w:rPr>
      </w:pPr>
      <w:r w:rsidRPr="0032658A">
        <w:rPr>
          <w:noProof/>
        </w:rPr>
        <w:t>už poveikio vertinimo pagrindžiamąjį tyrimą atsakingas konsultantas 2021 m. liepos 13 d. – rugsėjo 16 d. surengė 22 tikslinius pokalbius su pagrindinėmis suinteresuotosiomis šalimis, kad jos užpildytų konkrečius prašymus pateikti informacijos, visų pirma siekiant pagrįsti galimų politikos priemonių poveikio vertinimą;</w:t>
      </w:r>
    </w:p>
    <w:p w14:paraId="087737BF" w14:textId="77777777" w:rsidR="00C04245" w:rsidRPr="0032658A" w:rsidRDefault="00C04245" w:rsidP="00B42332">
      <w:pPr>
        <w:pStyle w:val="Tiret0"/>
        <w:numPr>
          <w:ilvl w:val="0"/>
          <w:numId w:val="18"/>
        </w:numPr>
        <w:rPr>
          <w:noProof/>
        </w:rPr>
      </w:pPr>
      <w:r w:rsidRPr="0032658A">
        <w:rPr>
          <w:noProof/>
        </w:rPr>
        <w:t xml:space="preserve">papildoma konsultacijų veikla, kurią organizavo Mobilumo ir transporto GD ir už poveikio vertinimo pagrindžiamąjį tyrimą atsakingas konsultantas, siekdami konsultuotis su valstybėmis narėmis ir pagrindinėmis suinteresuotosiomis šalimis, kad jos pateiktų savo nuomonę apie įvairias politikos priemones, taip pat patvirtinti poveikio vertinimo pagrindžiamojo tyrimo naujus ir galutinius rezultatus, susijusius su kiekybiniu poveikio įvertinimu. Ši veikla buvo vykdoma ES jūrų transporto sektoriaus socialinio dialogo komiteto posėdžiuose (2021 m. balandžio 16 d., 2021 m. rugsėjo 23 d. ir 2021 m. gruodžio 16 d.), ES jūrų žuvininkystės sektoriaus socialinio dialogo komiteto posėdžiuose (2021 m. sausio 29 d., 2021 m. kovo 8 d. ir 2021 m. lapkričio 16 d.), ES sektorių socialinio dialogo uostų klausimais komiteto posėdyje (2021 m. lapkričio 19 d.), neformaliame ES ir EEE jūrų transporto direktorių susitikime (2021 m. lapkričio 30 d.), Paryžiaus SM Uosto valstybės kontrolės komiteto virtualiuose ir asmeniniuose posėdžiuose (2021 m. gegužės 17 d. ir 2022 m. gegužės 31 d.) bei ES Jūrų saugumo ir teršimo iš laivų prevencijos komiteto posėdžiuose (2021 m. gegužės 17 d., 2021 m. lapkričio 11 d. ir 2022 m. gegužės 31 d.). </w:t>
      </w:r>
    </w:p>
    <w:p w14:paraId="60A25966" w14:textId="77777777" w:rsidR="00C04245" w:rsidRPr="0032658A" w:rsidRDefault="00C04245" w:rsidP="0007713D">
      <w:pPr>
        <w:pBdr>
          <w:top w:val="nil"/>
          <w:left w:val="nil"/>
          <w:bottom w:val="nil"/>
          <w:right w:val="nil"/>
          <w:between w:val="nil"/>
          <w:bar w:val="nil"/>
        </w:pBdr>
        <w:spacing w:after="240"/>
        <w:rPr>
          <w:noProof/>
        </w:rPr>
      </w:pPr>
      <w:r w:rsidRPr="0032658A">
        <w:rPr>
          <w:noProof/>
        </w:rPr>
        <w:t xml:space="preserve">Iš suinteresuotųjų šalių surinkta informacija buvo labai svarbi, kad Komisija galėtų patobulinti politikos galimybių struktūrą ir įvertinti jų ekonominį, socialinį poveikį ir poveikį aplinkai. Ji leido Komisijai palyginti galimybes ir nustatyti, kuri iš jų galėtų užtikrinti optimalų sąnaudų ir naudos santykį visuomenei ir padėti sukurti veiksmingesnį ir efektyvesnį uosto valstybės kontrolės mechanizmą, pagal kurį būtų geriau orientuojamasi į standartų neatitinkančius laivus. Šių procesų išvadomis buvo papildytas dokumentų tyrimas, atliktas vykdant pagrindžiamąjį tyrimą. </w:t>
      </w:r>
    </w:p>
    <w:p w14:paraId="4F4C950A" w14:textId="77777777" w:rsidR="005B3330" w:rsidRPr="0032658A" w:rsidRDefault="005B3330" w:rsidP="007800DD">
      <w:pPr>
        <w:pStyle w:val="ManualHeading2"/>
        <w:rPr>
          <w:noProof/>
          <w:u w:color="000000"/>
          <w:bdr w:val="nil"/>
        </w:rPr>
      </w:pPr>
      <w:r w:rsidRPr="0032658A">
        <w:rPr>
          <w:noProof/>
          <w:u w:color="000000"/>
          <w:bdr w:val="nil"/>
        </w:rPr>
        <w:t>•</w:t>
      </w:r>
      <w:r w:rsidRPr="0032658A">
        <w:rPr>
          <w:noProof/>
        </w:rPr>
        <w:tab/>
      </w:r>
      <w:r w:rsidRPr="0032658A">
        <w:rPr>
          <w:noProof/>
          <w:u w:color="000000"/>
          <w:bdr w:val="nil"/>
        </w:rPr>
        <w:t>Tiriamųjų duomenų rinkimas ir naudojimas</w:t>
      </w:r>
    </w:p>
    <w:p w14:paraId="47FE8B8E" w14:textId="77777777" w:rsidR="001B6F72" w:rsidRPr="0032658A" w:rsidRDefault="001B6F72" w:rsidP="0007713D">
      <w:pPr>
        <w:pBdr>
          <w:top w:val="nil"/>
          <w:left w:val="nil"/>
          <w:bottom w:val="nil"/>
          <w:right w:val="nil"/>
          <w:between w:val="nil"/>
          <w:bar w:val="nil"/>
        </w:pBdr>
        <w:spacing w:after="240"/>
        <w:rPr>
          <w:noProof/>
        </w:rPr>
      </w:pPr>
      <w:r w:rsidRPr="0032658A">
        <w:rPr>
          <w:noProof/>
        </w:rPr>
        <w:t xml:space="preserve">Ši peržiūra visų pirma grindžiama duomenimis, surinktais atliekant minėtą 2018 m. </w:t>
      </w:r>
      <w:r w:rsidRPr="0032658A">
        <w:rPr>
          <w:i/>
          <w:iCs/>
          <w:noProof/>
        </w:rPr>
        <w:t>ex post</w:t>
      </w:r>
      <w:r w:rsidRPr="0032658A">
        <w:rPr>
          <w:noProof/>
        </w:rPr>
        <w:t xml:space="preserve"> vertinimą ir jūrų transporto teisės aktų tinkamumo patikrą.</w:t>
      </w:r>
    </w:p>
    <w:p w14:paraId="0B3CA825" w14:textId="77777777" w:rsidR="005B3330" w:rsidRPr="0032658A" w:rsidRDefault="00C04245" w:rsidP="0007713D">
      <w:pPr>
        <w:pBdr>
          <w:top w:val="nil"/>
          <w:left w:val="nil"/>
          <w:bottom w:val="nil"/>
          <w:right w:val="nil"/>
          <w:between w:val="nil"/>
          <w:bar w:val="nil"/>
        </w:pBdr>
        <w:spacing w:before="0" w:after="240"/>
        <w:rPr>
          <w:noProof/>
        </w:rPr>
      </w:pPr>
      <w:r w:rsidRPr="0032658A">
        <w:rPr>
          <w:noProof/>
        </w:rPr>
        <w:t xml:space="preserve">Rengiant šį pasiūlymą taip pat reikėjo, kad Komisijos ir EMSA ekspertai prisidėtų prie konkrečių techninių apibrėžčių formulavimo ir aiškių teisės aktų rengimo. </w:t>
      </w:r>
    </w:p>
    <w:p w14:paraId="310B59F3" w14:textId="77777777" w:rsidR="005B3330" w:rsidRPr="0032658A" w:rsidRDefault="005B3330" w:rsidP="007800DD">
      <w:pPr>
        <w:pStyle w:val="ManualHeading2"/>
        <w:rPr>
          <w:noProof/>
          <w:u w:color="000000"/>
          <w:bdr w:val="nil"/>
        </w:rPr>
      </w:pPr>
      <w:r w:rsidRPr="0032658A">
        <w:rPr>
          <w:noProof/>
          <w:u w:color="000000"/>
          <w:bdr w:val="nil"/>
        </w:rPr>
        <w:t>•</w:t>
      </w:r>
      <w:r w:rsidRPr="0032658A">
        <w:rPr>
          <w:noProof/>
        </w:rPr>
        <w:tab/>
      </w:r>
      <w:r w:rsidRPr="0032658A">
        <w:rPr>
          <w:noProof/>
          <w:u w:color="000000"/>
          <w:bdr w:val="nil"/>
        </w:rPr>
        <w:t>Poveikio vertinimas</w:t>
      </w:r>
    </w:p>
    <w:p w14:paraId="1B869632" w14:textId="77777777" w:rsidR="001B6F52" w:rsidRPr="0032658A" w:rsidRDefault="001B6F52" w:rsidP="0007713D">
      <w:pPr>
        <w:pBdr>
          <w:top w:val="nil"/>
          <w:left w:val="nil"/>
          <w:bottom w:val="nil"/>
          <w:right w:val="nil"/>
          <w:between w:val="nil"/>
          <w:bar w:val="nil"/>
        </w:pBdr>
        <w:spacing w:after="240"/>
        <w:rPr>
          <w:noProof/>
        </w:rPr>
      </w:pPr>
      <w:r w:rsidRPr="0032658A">
        <w:rPr>
          <w:noProof/>
        </w:rPr>
        <w:t>Poveikio vertinime išnagrinėtos trys politikos galimybės peržiūrėti Direktyvą remiantis šiais pagrindiniais principais:</w:t>
      </w:r>
    </w:p>
    <w:p w14:paraId="153CCA9E" w14:textId="77777777" w:rsidR="001B6F52" w:rsidRPr="0032658A" w:rsidRDefault="001B6F52" w:rsidP="001C6FE1">
      <w:pPr>
        <w:pBdr>
          <w:top w:val="nil"/>
          <w:left w:val="nil"/>
          <w:bottom w:val="nil"/>
          <w:right w:val="nil"/>
          <w:between w:val="nil"/>
          <w:bar w:val="nil"/>
        </w:pBdr>
        <w:spacing w:after="240"/>
        <w:rPr>
          <w:noProof/>
        </w:rPr>
      </w:pPr>
      <w:r w:rsidRPr="0032658A">
        <w:rPr>
          <w:noProof/>
        </w:rPr>
        <w:t xml:space="preserve">1) poreikiu atnaujinti Direktyvą ir suderinti ją su tarptautiniais dokumentais; </w:t>
      </w:r>
    </w:p>
    <w:p w14:paraId="5835C9B1" w14:textId="77777777" w:rsidR="001C6FE1" w:rsidRPr="0032658A" w:rsidRDefault="001B6F52" w:rsidP="001C6FE1">
      <w:pPr>
        <w:pBdr>
          <w:top w:val="nil"/>
          <w:left w:val="nil"/>
          <w:bottom w:val="nil"/>
          <w:right w:val="nil"/>
          <w:between w:val="nil"/>
          <w:bar w:val="nil"/>
        </w:pBdr>
        <w:spacing w:after="240"/>
        <w:rPr>
          <w:noProof/>
        </w:rPr>
      </w:pPr>
      <w:r w:rsidRPr="0032658A">
        <w:rPr>
          <w:noProof/>
        </w:rPr>
        <w:t xml:space="preserve">2) galimybe spręsti konkrečią žvejybos laivų laivyno problemą nustatant specialų tokių laivų UVK režimą; </w:t>
      </w:r>
    </w:p>
    <w:p w14:paraId="22877148" w14:textId="77777777" w:rsidR="00416AA6" w:rsidRPr="0032658A" w:rsidRDefault="001C6FE1" w:rsidP="001C6FE1">
      <w:pPr>
        <w:pBdr>
          <w:top w:val="nil"/>
          <w:left w:val="nil"/>
          <w:bottom w:val="nil"/>
          <w:right w:val="nil"/>
          <w:between w:val="nil"/>
          <w:bar w:val="nil"/>
        </w:pBdr>
        <w:spacing w:after="240"/>
        <w:rPr>
          <w:noProof/>
        </w:rPr>
      </w:pPr>
      <w:r w:rsidRPr="0032658A">
        <w:rPr>
          <w:noProof/>
        </w:rPr>
        <w:t>3) didesne UVK metodų skaitmenizacija, kad būtų galima geriau pasirengti UVK inspektavimams ir tikslingiau juos atlikti – Direktyva turi būti sudarytos palankesnės sąlygos ir numatytos paskatos naudoti elektroninius teisės aktais nustatytus liudijimus;</w:t>
      </w:r>
    </w:p>
    <w:p w14:paraId="411192CD" w14:textId="77777777" w:rsidR="00A4203C" w:rsidRPr="0032658A" w:rsidRDefault="00416AA6" w:rsidP="001C6FE1">
      <w:pPr>
        <w:pBdr>
          <w:top w:val="nil"/>
          <w:left w:val="nil"/>
          <w:bottom w:val="nil"/>
          <w:right w:val="nil"/>
          <w:between w:val="nil"/>
          <w:bar w:val="nil"/>
        </w:pBdr>
        <w:spacing w:after="240"/>
        <w:rPr>
          <w:noProof/>
        </w:rPr>
      </w:pPr>
      <w:r w:rsidRPr="0032658A">
        <w:rPr>
          <w:noProof/>
        </w:rPr>
        <w:t xml:space="preserve">4) veiksmingu ir suderintu požiūriu į UVK inspektavimus, grindžiamu ankstesne Direktyvos įgyvendinimo patirtimi, ir tikslingesniu laivų inspektavimu. </w:t>
      </w:r>
    </w:p>
    <w:p w14:paraId="5A398C6D" w14:textId="77777777" w:rsidR="001C6FE1" w:rsidRPr="0032658A" w:rsidRDefault="00C04245" w:rsidP="001C6FE1">
      <w:pPr>
        <w:pBdr>
          <w:top w:val="nil"/>
          <w:left w:val="nil"/>
          <w:bottom w:val="nil"/>
          <w:right w:val="nil"/>
          <w:between w:val="nil"/>
          <w:bar w:val="nil"/>
        </w:pBdr>
        <w:spacing w:after="240"/>
        <w:rPr>
          <w:noProof/>
        </w:rPr>
      </w:pPr>
      <w:r w:rsidRPr="0032658A">
        <w:rPr>
          <w:noProof/>
        </w:rPr>
        <w:t xml:space="preserve">Pagal A galimybę siūloma keletas Direktyvos pakeitimų, kad būtų geriau įgyvendinamas laivybos saugos gerinimo ir taršos prevencijos tikslas. Pagal šią galimybę daugiausia dėmesio skiriama tam, kad Direktyva būtų suderinta su tarptautiniais teisiniais dokumentais. Dauguma kitų siūlomų pakeitimų yra su reglamentavimu nesusijusios priemonės – rekomendacijos, gairės ir praktiniai seminarai, kuriuos rengia Komisija ir (arba) EMSA. </w:t>
      </w:r>
    </w:p>
    <w:p w14:paraId="6CCD1626" w14:textId="77777777" w:rsidR="001C6FE1" w:rsidRPr="0032658A" w:rsidRDefault="00C04245" w:rsidP="001C6FE1">
      <w:pPr>
        <w:pBdr>
          <w:top w:val="nil"/>
          <w:left w:val="nil"/>
          <w:bottom w:val="nil"/>
          <w:right w:val="nil"/>
          <w:between w:val="nil"/>
          <w:bar w:val="nil"/>
        </w:pBdr>
        <w:spacing w:after="240"/>
        <w:rPr>
          <w:noProof/>
        </w:rPr>
      </w:pPr>
      <w:r w:rsidRPr="0032658A">
        <w:rPr>
          <w:noProof/>
        </w:rPr>
        <w:t xml:space="preserve">B galimybe užtikrinama pusiausvyra tarp lankstumo suteikimo UVK administracijoms ir suderinimo. Valstybėms narėms, pageidaujančioms atlikti ilgesnių kaip 24 metrų žvejybos laivų inspektavimą, siūloma taikyti savanorišką UVK sistemą, kuri būtų taikoma kartu su dabartine direktyva (bet ne pagal ją). Ji taip pat apima gairių teikimą, EMSA mokymą ir EMSA inspektavimo duomenų bazę, kad būtų galima tikslingai atrinkti laivus ir teikti ataskaitas apie inspektavimus. Ja skatinama naudoti elektroninius liudijimus susiejant juos su laivo rizikos lygiu. </w:t>
      </w:r>
    </w:p>
    <w:p w14:paraId="12D7A6DE" w14:textId="77777777" w:rsidR="00C04245" w:rsidRPr="0032658A" w:rsidRDefault="00C04245" w:rsidP="001C6FE1">
      <w:pPr>
        <w:pBdr>
          <w:top w:val="nil"/>
          <w:left w:val="nil"/>
          <w:bottom w:val="nil"/>
          <w:right w:val="nil"/>
          <w:between w:val="nil"/>
          <w:bar w:val="nil"/>
        </w:pBdr>
        <w:spacing w:after="240"/>
        <w:rPr>
          <w:noProof/>
        </w:rPr>
      </w:pPr>
      <w:r w:rsidRPr="0032658A">
        <w:rPr>
          <w:noProof/>
        </w:rPr>
        <w:t xml:space="preserve">Pasirinkus C galimybę, būtų labiausiai padidinta administracinė našta UVK administracijoms, tačiau taip pat būtų užtikrintas aukščiausias inspektavimų suderinimo lygis.  Į Direktyvą būtų visiškai įtraukta ilgesnių kaip 24 metrų žvejybos laivų UVK, o tai turėtų įtakos šių laivų savininkams ir (arba) operatoriams, taip pat valstybių narių UVK administracijoms. Direktyvoje būtų nustatytas privalomas elektroninių liudijimų naudojimas ir numatyta iki 2035 m. palaipsniui atsisakyti popierinių liudijimų. </w:t>
      </w:r>
    </w:p>
    <w:p w14:paraId="76295E40" w14:textId="77777777" w:rsidR="007A63AC" w:rsidRPr="0032658A" w:rsidRDefault="007A63AC" w:rsidP="00B26FDB">
      <w:pPr>
        <w:pBdr>
          <w:top w:val="nil"/>
          <w:left w:val="nil"/>
          <w:bottom w:val="nil"/>
          <w:right w:val="nil"/>
          <w:between w:val="nil"/>
          <w:bar w:val="nil"/>
        </w:pBdr>
        <w:spacing w:after="240"/>
        <w:rPr>
          <w:noProof/>
        </w:rPr>
      </w:pPr>
      <w:r w:rsidRPr="0032658A">
        <w:rPr>
          <w:noProof/>
        </w:rPr>
        <w:t xml:space="preserve">2022 m. liepos mėn. poveikio vertinimas buvo pateiktas Reglamentavimo patikros valdybai patvirtinti. Valdyba pateikė teigiamą nuomonę su išlygomis. Prie šio pasiūlymo dėl teisėkūros procedūra priimamo akto pridedamame tarnybų darbiniame dokumente atsižvelgiama į Valdybos pateiktas pastabas. </w:t>
      </w:r>
    </w:p>
    <w:p w14:paraId="2C11A1A8" w14:textId="77777777" w:rsidR="001C74FF" w:rsidRPr="0032658A" w:rsidRDefault="001C74FF" w:rsidP="00596E2C">
      <w:pPr>
        <w:pStyle w:val="ListBullet"/>
        <w:rPr>
          <w:noProof/>
        </w:rPr>
      </w:pPr>
      <w:r w:rsidRPr="0032658A">
        <w:rPr>
          <w:noProof/>
          <w:u w:color="000000"/>
          <w:bdr w:val="nil"/>
        </w:rPr>
        <w:t xml:space="preserve">Principo „kiek plius, tiek minus“ taikymas </w:t>
      </w:r>
    </w:p>
    <w:p w14:paraId="3B736CCB" w14:textId="77777777" w:rsidR="001C74FF" w:rsidRPr="0032658A" w:rsidRDefault="001C74FF" w:rsidP="001C74FF">
      <w:pPr>
        <w:pBdr>
          <w:top w:val="nil"/>
          <w:left w:val="nil"/>
          <w:bottom w:val="nil"/>
          <w:right w:val="nil"/>
          <w:between w:val="nil"/>
          <w:bar w:val="nil"/>
        </w:pBdr>
        <w:spacing w:after="240"/>
        <w:rPr>
          <w:noProof/>
        </w:rPr>
      </w:pPr>
      <w:r w:rsidRPr="0032658A">
        <w:rPr>
          <w:noProof/>
        </w:rPr>
        <w:t xml:space="preserve">Įmonėms ar piliečiams nenustatyta jokių papildomų išlaidų (administracinių ar prisitaikymo išlaidų). </w:t>
      </w:r>
    </w:p>
    <w:p w14:paraId="56217B84" w14:textId="77777777" w:rsidR="005B3330" w:rsidRPr="0032658A" w:rsidRDefault="005B3330" w:rsidP="007800DD">
      <w:pPr>
        <w:pStyle w:val="ManualHeading2"/>
        <w:rPr>
          <w:noProof/>
          <w:u w:color="000000"/>
          <w:bdr w:val="nil"/>
        </w:rPr>
      </w:pPr>
      <w:r w:rsidRPr="0032658A">
        <w:rPr>
          <w:noProof/>
          <w:u w:color="000000"/>
          <w:bdr w:val="nil"/>
        </w:rPr>
        <w:t>•</w:t>
      </w:r>
      <w:r w:rsidRPr="0032658A">
        <w:rPr>
          <w:noProof/>
        </w:rPr>
        <w:tab/>
      </w:r>
      <w:r w:rsidRPr="0032658A">
        <w:rPr>
          <w:noProof/>
          <w:u w:color="000000"/>
          <w:bdr w:val="nil"/>
        </w:rPr>
        <w:t>Reglamentavimo tinkamumas ir supaprastinimas (REFIT)</w:t>
      </w:r>
    </w:p>
    <w:p w14:paraId="5D8C53A3" w14:textId="77777777" w:rsidR="00AA3996" w:rsidRPr="0032658A" w:rsidRDefault="00AA3996" w:rsidP="00B26FDB">
      <w:pPr>
        <w:pBdr>
          <w:top w:val="nil"/>
          <w:left w:val="nil"/>
          <w:bottom w:val="nil"/>
          <w:right w:val="nil"/>
          <w:between w:val="nil"/>
          <w:bar w:val="nil"/>
        </w:pBdr>
        <w:spacing w:before="0" w:after="240"/>
        <w:rPr>
          <w:noProof/>
        </w:rPr>
      </w:pPr>
      <w:r w:rsidRPr="0032658A">
        <w:rPr>
          <w:noProof/>
        </w:rPr>
        <w:t xml:space="preserve">Iniciatyva susijusi su Komisijos REFIT programa, nes ja siekiama suderinti ir supaprastinti laivybos saugos teisės aktus, pagerinti saugos lygį (visų pirma didesnio žvejybos laivų laivyno segmento) ir padėti valstybių narių valdžios institucijoms vykdyti savo inspektavimo ir ataskaitų teikimo pareigas.  </w:t>
      </w:r>
    </w:p>
    <w:p w14:paraId="6B718880" w14:textId="77777777" w:rsidR="005B3330" w:rsidRPr="0032658A" w:rsidRDefault="00AA3996" w:rsidP="00B26FDB">
      <w:pPr>
        <w:pBdr>
          <w:top w:val="nil"/>
          <w:left w:val="nil"/>
          <w:bottom w:val="nil"/>
          <w:right w:val="nil"/>
          <w:between w:val="nil"/>
          <w:bar w:val="nil"/>
        </w:pBdr>
        <w:spacing w:before="0" w:after="240"/>
        <w:rPr>
          <w:noProof/>
        </w:rPr>
      </w:pPr>
      <w:r w:rsidRPr="0032658A">
        <w:rPr>
          <w:noProof/>
        </w:rPr>
        <w:t xml:space="preserve">Be to, tinkamiausia politikos galimybė apima supaprastinimo aspektus, nes ja bus patikslintos situacijos ir aplinkybės, kuriomis UVK inspektavimai gali būti neatliekami dėl įprastų veiklos priežasčių arba </w:t>
      </w:r>
      <w:r w:rsidRPr="0032658A">
        <w:rPr>
          <w:i/>
          <w:iCs/>
          <w:noProof/>
        </w:rPr>
        <w:t>force majeure</w:t>
      </w:r>
      <w:r w:rsidRPr="0032658A">
        <w:rPr>
          <w:noProof/>
        </w:rPr>
        <w:t xml:space="preserve"> aplinkybių. Numatoma padidinti suderinimą ir standartizavimą visoje ES, nes EMSA teiks pagalbą nacionalinėms UVK institucijoms, rengdama mokymus, kaip atlikti užsienio žvejybos laivų inspektavimus, ir sukurdama specialią inspektavimo duomenų bazę, kurioje būtų galima nustatyti ir atrinkti inspektuotinus laivus ir registruoti inspektavimo rezultatus bei jais dalintis.  </w:t>
      </w:r>
    </w:p>
    <w:p w14:paraId="7D8E931A" w14:textId="77777777" w:rsidR="005B3330" w:rsidRPr="0032658A" w:rsidRDefault="005B3330" w:rsidP="007800DD">
      <w:pPr>
        <w:pStyle w:val="ManualHeading2"/>
        <w:rPr>
          <w:noProof/>
          <w:u w:color="000000"/>
          <w:bdr w:val="nil"/>
        </w:rPr>
      </w:pPr>
      <w:r w:rsidRPr="0032658A">
        <w:rPr>
          <w:noProof/>
          <w:u w:color="000000"/>
          <w:bdr w:val="nil"/>
        </w:rPr>
        <w:t>•</w:t>
      </w:r>
      <w:r w:rsidRPr="0032658A">
        <w:rPr>
          <w:noProof/>
        </w:rPr>
        <w:tab/>
      </w:r>
      <w:r w:rsidRPr="0032658A">
        <w:rPr>
          <w:noProof/>
          <w:u w:color="000000"/>
          <w:bdr w:val="nil"/>
        </w:rPr>
        <w:t>Pagrindinės teisės</w:t>
      </w:r>
    </w:p>
    <w:p w14:paraId="61AE4F58" w14:textId="77777777" w:rsidR="005B3330" w:rsidRPr="0032658A" w:rsidRDefault="008E4895" w:rsidP="008E4895">
      <w:pPr>
        <w:pBdr>
          <w:top w:val="nil"/>
          <w:left w:val="nil"/>
          <w:bottom w:val="nil"/>
          <w:right w:val="nil"/>
          <w:between w:val="nil"/>
          <w:bar w:val="nil"/>
        </w:pBdr>
        <w:spacing w:before="0" w:after="240"/>
        <w:rPr>
          <w:noProof/>
        </w:rPr>
      </w:pPr>
      <w:r w:rsidRPr="0032658A">
        <w:rPr>
          <w:noProof/>
        </w:rPr>
        <w:t>Šiuo pasiūlymu nedaromas poveikis pagrindinių teisių apsaugai.</w:t>
      </w:r>
    </w:p>
    <w:p w14:paraId="7726C965" w14:textId="77777777" w:rsidR="005B3330" w:rsidRPr="0032658A" w:rsidRDefault="005B3330" w:rsidP="007800DD">
      <w:pPr>
        <w:pStyle w:val="ManualHeading1"/>
        <w:rPr>
          <w:noProof/>
        </w:rPr>
      </w:pPr>
      <w:r w:rsidRPr="0032658A">
        <w:rPr>
          <w:noProof/>
        </w:rPr>
        <w:t>4.</w:t>
      </w:r>
      <w:r w:rsidRPr="0032658A">
        <w:rPr>
          <w:noProof/>
        </w:rPr>
        <w:tab/>
        <w:t>POVEIKIS BIUDŽETUI</w:t>
      </w:r>
    </w:p>
    <w:p w14:paraId="26090D25" w14:textId="77777777" w:rsidR="001E1EB3" w:rsidRPr="0032658A" w:rsidRDefault="008E4895" w:rsidP="001E1EB3">
      <w:pPr>
        <w:pBdr>
          <w:top w:val="nil"/>
          <w:left w:val="nil"/>
          <w:bottom w:val="nil"/>
          <w:right w:val="nil"/>
          <w:between w:val="nil"/>
          <w:bar w:val="nil"/>
        </w:pBdr>
        <w:spacing w:before="0" w:after="240"/>
        <w:rPr>
          <w:noProof/>
        </w:rPr>
      </w:pPr>
      <w:r w:rsidRPr="0032658A">
        <w:rPr>
          <w:noProof/>
        </w:rPr>
        <w:t>Pasiūlyme numatyta, kad 2025–2050 m. laikotarpiu Sąjungos biudžeto grynosios dabartinės išlaidos sudarys 6 479 mln. EUR. Pasiūlymo poveikis biudžetui išsamiau aprašytas prie šio pasiūlymo pridedamoje finansinėje teisės akto pasiūlymo pažymoje. Pasiūlymo poveikis biudžetui jau įtrauktas į Komisijos pasiūlymą dėl Europos Parlamento ir Tarybos reglamento dėl Europos jūrų saugumo agentūros, kuriuo panaikinamas Reglamentas (EB) Nr. 1406/2002.</w:t>
      </w:r>
    </w:p>
    <w:p w14:paraId="444A1C2F" w14:textId="77777777" w:rsidR="005B3330" w:rsidRPr="0032658A" w:rsidRDefault="001E1EB3" w:rsidP="001E1EB3">
      <w:pPr>
        <w:pBdr>
          <w:top w:val="nil"/>
          <w:left w:val="nil"/>
          <w:bottom w:val="nil"/>
          <w:right w:val="nil"/>
          <w:between w:val="nil"/>
          <w:bar w:val="nil"/>
        </w:pBdr>
        <w:spacing w:before="0" w:after="240"/>
        <w:rPr>
          <w:noProof/>
        </w:rPr>
      </w:pPr>
      <w:r w:rsidRPr="0032658A">
        <w:rPr>
          <w:noProof/>
        </w:rPr>
        <w:t>Poveikis biudžetui po dabartinės DFP yra preliminari apžvalga, nedaranti poveikio susitarimui dėl būsimos DFP</w:t>
      </w:r>
    </w:p>
    <w:p w14:paraId="6A280572" w14:textId="77777777" w:rsidR="005B3330" w:rsidRPr="0032658A" w:rsidRDefault="005B3330" w:rsidP="007800DD">
      <w:pPr>
        <w:pStyle w:val="ManualHeading1"/>
        <w:rPr>
          <w:noProof/>
        </w:rPr>
      </w:pPr>
      <w:r w:rsidRPr="0032658A">
        <w:rPr>
          <w:noProof/>
        </w:rPr>
        <w:t>5.</w:t>
      </w:r>
      <w:r w:rsidRPr="0032658A">
        <w:rPr>
          <w:noProof/>
        </w:rPr>
        <w:tab/>
        <w:t>KITI ELEMENTAI</w:t>
      </w:r>
    </w:p>
    <w:p w14:paraId="1C65E678" w14:textId="77777777" w:rsidR="005B3330" w:rsidRPr="0032658A" w:rsidRDefault="005B3330" w:rsidP="00C9215D">
      <w:pPr>
        <w:pStyle w:val="ManualHeading2"/>
        <w:rPr>
          <w:noProof/>
          <w:u w:color="000000"/>
          <w:bdr w:val="nil"/>
        </w:rPr>
      </w:pPr>
      <w:r w:rsidRPr="0032658A">
        <w:rPr>
          <w:noProof/>
          <w:u w:color="000000"/>
          <w:bdr w:val="nil"/>
        </w:rPr>
        <w:t>•</w:t>
      </w:r>
      <w:r w:rsidRPr="0032658A">
        <w:rPr>
          <w:noProof/>
        </w:rPr>
        <w:tab/>
      </w:r>
      <w:r w:rsidRPr="0032658A">
        <w:rPr>
          <w:noProof/>
          <w:u w:color="000000"/>
          <w:bdr w:val="nil"/>
        </w:rPr>
        <w:t>Stebėsenos, vertinimo ir ataskaitų teikimo tvarka</w:t>
      </w:r>
    </w:p>
    <w:p w14:paraId="0C474D55" w14:textId="77777777" w:rsidR="00AA3996" w:rsidRPr="0032658A" w:rsidRDefault="00AA3996" w:rsidP="00C04245">
      <w:pPr>
        <w:pBdr>
          <w:top w:val="nil"/>
          <w:left w:val="nil"/>
          <w:bottom w:val="nil"/>
          <w:right w:val="nil"/>
          <w:between w:val="nil"/>
          <w:bar w:val="nil"/>
        </w:pBdr>
        <w:spacing w:after="240"/>
        <w:rPr>
          <w:noProof/>
        </w:rPr>
      </w:pPr>
      <w:r w:rsidRPr="0032658A">
        <w:rPr>
          <w:noProof/>
        </w:rPr>
        <w:t>Nustatyta tinkama stebėsenos ir ataskaitų teikimo tvarka. Šiame procese svarbų vaidmenį atliks EMSA, nes Agentūra yra atsakinga už jūrų transporto elektroninių duomenų sistemų, visų pirma THETIS laivų atrankos ir inspektavimo ataskaitų duomenų bazės, kūrimą ir veikimą.</w:t>
      </w:r>
    </w:p>
    <w:p w14:paraId="266E7126" w14:textId="77777777" w:rsidR="00285256" w:rsidRPr="0032658A" w:rsidRDefault="00285256" w:rsidP="00151230">
      <w:pPr>
        <w:spacing w:before="0" w:after="240"/>
        <w:rPr>
          <w:noProof/>
        </w:rPr>
      </w:pPr>
      <w:r w:rsidRPr="0032658A">
        <w:rPr>
          <w:noProof/>
        </w:rPr>
        <w:t>Įgyvendinimą galima stebėti Komisijai ir (arba) EMSA vykdant THETIS duomenų bazės stebėseną, siekiant patikrinti, ar tinkamai atrenkami inspektuotini laivai, ar inspektavimai atliekami teisingai ir ar inspektavimo ataskaitos įkeliamos į duomenų bazę. EMSA taip pat rengia apsilankymus valstybėse narėse, kad patikrintų vietoje vykdomas operacijas, nes tai yra EMSA paramos Komisijai dalis</w:t>
      </w:r>
      <w:r w:rsidRPr="0032658A">
        <w:rPr>
          <w:rStyle w:val="FootnoteReference"/>
          <w:noProof/>
        </w:rPr>
        <w:footnoteReference w:id="21"/>
      </w:r>
      <w:r w:rsidRPr="0032658A">
        <w:rPr>
          <w:noProof/>
        </w:rPr>
        <w:t xml:space="preserve">. Valstybės narės turės turėti kokybės valdymo sistemą (KVS), kad patvirtintų, jog jų organizacija, politika, procesai, ištekliai ir dokumentai yra tinkami jų tikslams pasiekti. Tai turės būti sertifikuojama ir vėliau periodiškai audituojama. Valstybės narės turės pasidalyti su Komisija ir (arba) EMSA akredituotos įstaigos atliktų auditų rezultatais, kad nacionalinės uosto valstybės kontrolės institucijos galėtų išsaugoti savo KVS sertifikavimą. </w:t>
      </w:r>
    </w:p>
    <w:p w14:paraId="75F78C47" w14:textId="77777777" w:rsidR="00285256" w:rsidRPr="0032658A" w:rsidRDefault="00285256" w:rsidP="00285256">
      <w:pPr>
        <w:spacing w:before="0" w:after="240"/>
        <w:rPr>
          <w:noProof/>
        </w:rPr>
      </w:pPr>
      <w:r w:rsidRPr="0032658A">
        <w:rPr>
          <w:noProof/>
        </w:rPr>
        <w:t>Atsižvelgiant į tai, kad visas numatytų EMSA įgyvendinimo stebėjimo apsilankymų ciklas turėtų trukti penkerius metus</w:t>
      </w:r>
      <w:r w:rsidRPr="0032658A">
        <w:rPr>
          <w:rStyle w:val="FootnoteReference"/>
          <w:noProof/>
        </w:rPr>
        <w:footnoteReference w:id="22"/>
      </w:r>
      <w:r w:rsidRPr="0032658A">
        <w:rPr>
          <w:noProof/>
        </w:rPr>
        <w:t>, siūloma nustatyti, kad Direktyva bus vertinama kas septynerius metus.</w:t>
      </w:r>
    </w:p>
    <w:p w14:paraId="34CD78F4" w14:textId="77777777" w:rsidR="005B3330" w:rsidRPr="0032658A" w:rsidRDefault="005B3330" w:rsidP="007800DD">
      <w:pPr>
        <w:pStyle w:val="ManualHeading2"/>
        <w:rPr>
          <w:noProof/>
          <w:u w:color="000000"/>
          <w:bdr w:val="nil"/>
        </w:rPr>
      </w:pPr>
      <w:r w:rsidRPr="0032658A">
        <w:rPr>
          <w:noProof/>
          <w:u w:color="000000"/>
          <w:bdr w:val="nil"/>
        </w:rPr>
        <w:t>•</w:t>
      </w:r>
      <w:r w:rsidRPr="0032658A">
        <w:rPr>
          <w:noProof/>
        </w:rPr>
        <w:tab/>
      </w:r>
      <w:r w:rsidRPr="0032658A">
        <w:rPr>
          <w:noProof/>
          <w:u w:color="000000"/>
          <w:bdr w:val="nil"/>
        </w:rPr>
        <w:t>Aiškinamieji dokumentai (direktyvoms)</w:t>
      </w:r>
    </w:p>
    <w:p w14:paraId="49A5F78A" w14:textId="77777777" w:rsidR="005B3330" w:rsidRPr="0032658A" w:rsidRDefault="00285256" w:rsidP="00285256">
      <w:pPr>
        <w:pBdr>
          <w:top w:val="nil"/>
          <w:left w:val="nil"/>
          <w:bottom w:val="nil"/>
          <w:right w:val="nil"/>
          <w:between w:val="nil"/>
          <w:bar w:val="nil"/>
        </w:pBdr>
        <w:spacing w:before="0" w:after="240"/>
        <w:rPr>
          <w:noProof/>
        </w:rPr>
      </w:pPr>
      <w:r w:rsidRPr="0032658A">
        <w:rPr>
          <w:noProof/>
        </w:rPr>
        <w:t>Aiškinamieji dokumentai nereikalingi, nes pasiūlymu siekiama supaprastinti ir patikslinti galiojančią tvarką.</w:t>
      </w:r>
    </w:p>
    <w:p w14:paraId="7F164D3C" w14:textId="77777777" w:rsidR="005B3330" w:rsidRPr="0032658A" w:rsidRDefault="005B3330" w:rsidP="007800DD">
      <w:pPr>
        <w:pStyle w:val="ManualHeading2"/>
        <w:rPr>
          <w:noProof/>
          <w:u w:color="000000"/>
          <w:bdr w:val="nil"/>
        </w:rPr>
      </w:pPr>
      <w:r w:rsidRPr="0032658A">
        <w:rPr>
          <w:noProof/>
          <w:u w:color="000000"/>
          <w:bdr w:val="nil"/>
        </w:rPr>
        <w:t>•</w:t>
      </w:r>
      <w:r w:rsidRPr="0032658A">
        <w:rPr>
          <w:noProof/>
        </w:rPr>
        <w:tab/>
      </w:r>
      <w:r w:rsidRPr="0032658A">
        <w:rPr>
          <w:noProof/>
          <w:u w:color="000000"/>
          <w:bdr w:val="nil"/>
        </w:rPr>
        <w:t>Išsamus konkrečių pasiūlymo nuostatų paaiškinimas</w:t>
      </w:r>
    </w:p>
    <w:p w14:paraId="159DEA6A" w14:textId="77777777" w:rsidR="00F026AE" w:rsidRPr="0032658A" w:rsidRDefault="00F026AE" w:rsidP="00F026AE">
      <w:pPr>
        <w:pStyle w:val="Text1"/>
        <w:ind w:left="0"/>
        <w:rPr>
          <w:noProof/>
        </w:rPr>
      </w:pPr>
      <w:r w:rsidRPr="0032658A">
        <w:rPr>
          <w:noProof/>
        </w:rPr>
        <w:t xml:space="preserve">11 konstatuojamojoje dalyje visos reikalavimus atitinkančios ES valstybės narės (Ispanija, Graikija, Prancūzija, Kroatija, Italija ir Slovėnija) raginamos prisijungti prie Viduržemio jūros susitarimo memorandumo dėl uosto valstybės kontrolės, kad būtų pagerinta uosto valstybės kontrolės inspektavimų, atliekamų Viduržemio jūros baseine, kokybė ir jų būtų atliekama daugiau.   </w:t>
      </w:r>
    </w:p>
    <w:p w14:paraId="6636A279" w14:textId="77777777" w:rsidR="008E4895" w:rsidRPr="0032658A" w:rsidRDefault="008E4895" w:rsidP="00572511">
      <w:pPr>
        <w:pBdr>
          <w:top w:val="nil"/>
          <w:left w:val="nil"/>
          <w:bottom w:val="nil"/>
          <w:right w:val="nil"/>
          <w:between w:val="nil"/>
          <w:bar w:val="nil"/>
        </w:pBdr>
        <w:spacing w:after="240"/>
        <w:rPr>
          <w:b/>
          <w:i/>
          <w:noProof/>
        </w:rPr>
      </w:pPr>
      <w:r w:rsidRPr="0032658A">
        <w:rPr>
          <w:noProof/>
        </w:rPr>
        <w:t>Pakeitimų direktyvos projekto 1 straipsnis sudaro pagrindinę jos dalį ir jame pateikiami daugelio Direktyvos 2009/16/EB nuostatų pakeitimai.</w:t>
      </w:r>
      <w:r w:rsidRPr="0032658A">
        <w:rPr>
          <w:b/>
          <w:i/>
          <w:noProof/>
        </w:rPr>
        <w:t xml:space="preserve"> </w:t>
      </w:r>
    </w:p>
    <w:p w14:paraId="5903DE1D" w14:textId="77777777" w:rsidR="008E4895" w:rsidRPr="0032658A" w:rsidRDefault="008E4895" w:rsidP="00BC2354">
      <w:pPr>
        <w:pBdr>
          <w:top w:val="nil"/>
          <w:left w:val="nil"/>
          <w:bottom w:val="nil"/>
          <w:right w:val="nil"/>
          <w:between w:val="nil"/>
          <w:bar w:val="nil"/>
        </w:pBdr>
        <w:spacing w:after="0"/>
        <w:rPr>
          <w:b/>
          <w:i/>
          <w:noProof/>
        </w:rPr>
      </w:pPr>
      <w:r w:rsidRPr="0032658A">
        <w:rPr>
          <w:b/>
          <w:i/>
          <w:noProof/>
        </w:rPr>
        <w:t xml:space="preserve">Tikslas, apibrėžtis ir taikymo sritis </w:t>
      </w:r>
    </w:p>
    <w:p w14:paraId="046CD66E" w14:textId="77777777" w:rsidR="004B57A2" w:rsidRPr="0032658A" w:rsidRDefault="008E4895" w:rsidP="00513497">
      <w:pPr>
        <w:pBdr>
          <w:top w:val="nil"/>
          <w:left w:val="nil"/>
          <w:bottom w:val="nil"/>
          <w:right w:val="nil"/>
          <w:between w:val="nil"/>
          <w:bar w:val="nil"/>
        </w:pBdr>
        <w:spacing w:after="240"/>
        <w:rPr>
          <w:noProof/>
        </w:rPr>
      </w:pPr>
      <w:r w:rsidRPr="0032658A">
        <w:rPr>
          <w:noProof/>
        </w:rPr>
        <w:t xml:space="preserve">1 punkte iš dalies keičiamas 2 straipsnis, o Direktyvos taikymo sritis iš dalies išplečiama įtraukiant kelias tarptautines konvencijas į uosto valstybės kontrolės inspektavimų taikymo sritį. Tai – Tarptautinė konvencija dėl laivuose naudojamų balastinių vandenų ir nuosėdų tvarkymo ir kontrolės (BWM konvencija) ir Tarptautinė konvencija dėl laivų nuolaužų pašalinimo (Nairobio konvencija), kurios abi galioja ir Paryžiaus SM yra priimtos kaip atitinkami dokumentai. </w:t>
      </w:r>
    </w:p>
    <w:p w14:paraId="5E6AEFE8" w14:textId="77777777" w:rsidR="00BC2354" w:rsidRPr="0032658A" w:rsidRDefault="000C535B" w:rsidP="00D1674B">
      <w:pPr>
        <w:pBdr>
          <w:top w:val="nil"/>
          <w:left w:val="nil"/>
          <w:bottom w:val="nil"/>
          <w:right w:val="nil"/>
          <w:between w:val="nil"/>
          <w:bar w:val="nil"/>
        </w:pBdr>
        <w:spacing w:after="240"/>
        <w:rPr>
          <w:noProof/>
        </w:rPr>
      </w:pPr>
      <w:r w:rsidRPr="0032658A">
        <w:rPr>
          <w:noProof/>
        </w:rPr>
        <w:t xml:space="preserve">2 punkte taikymo sritis iš dalies keičiama taip, kad ilgesnius kaip 24 metrų žvejybos laivus pagal UVK inspektuoti galėtų tos valstybės narės, kurios pageidauja atlikti šiuos inspektavimus. </w:t>
      </w:r>
    </w:p>
    <w:p w14:paraId="47828F17" w14:textId="77777777" w:rsidR="001503E7" w:rsidRPr="0032658A" w:rsidRDefault="00461A76" w:rsidP="00461A76">
      <w:pPr>
        <w:pBdr>
          <w:top w:val="nil"/>
          <w:left w:val="nil"/>
          <w:bottom w:val="nil"/>
          <w:right w:val="nil"/>
          <w:between w:val="nil"/>
          <w:bar w:val="nil"/>
        </w:pBdr>
        <w:spacing w:after="240"/>
        <w:rPr>
          <w:b/>
          <w:i/>
          <w:noProof/>
        </w:rPr>
      </w:pPr>
      <w:r w:rsidRPr="0032658A">
        <w:rPr>
          <w:b/>
          <w:i/>
          <w:noProof/>
        </w:rPr>
        <w:t xml:space="preserve">Įsipareigojimas atlikti inspektavimus  </w:t>
      </w:r>
    </w:p>
    <w:p w14:paraId="76B85033" w14:textId="77777777" w:rsidR="00B96FAE" w:rsidRPr="0032658A" w:rsidRDefault="008E4895" w:rsidP="00513497">
      <w:pPr>
        <w:pBdr>
          <w:top w:val="nil"/>
          <w:left w:val="nil"/>
          <w:bottom w:val="nil"/>
          <w:right w:val="nil"/>
          <w:between w:val="nil"/>
          <w:bar w:val="nil"/>
        </w:pBdr>
        <w:spacing w:after="240"/>
        <w:rPr>
          <w:noProof/>
        </w:rPr>
      </w:pPr>
      <w:r w:rsidRPr="0032658A">
        <w:rPr>
          <w:noProof/>
        </w:rPr>
        <w:t>3 punkte keičiamas įsipareigojimas atlikti inspektavimus (deramos dalies principas) ir tai, kaip valstybės narės jį apskaičiuoja ir vykdo. Šiuo metu įsipareigojimas atlikti inspektavimus grindžiamas trejų metų slankiuoju visų Paryžiaus SM regione atliktų inspektavimų vidurkiu. Tai reiškia, kad tais atvejais, kai valstybės narės inspektuoja gerokai daugiau laivų, nei numatyta jų įsipareigojime atlikti inspektavimus, ilgainiui didėja visų valstybių narių įsipareigojimai atlikti inspektavimus. EMSA apskaičiavo, kad šis padidėjimas sudaro 1–2 proc. per metus. Šia priemone siekiama mažinti šią papildomą ir nereikalingą naštą valstybėms narėms.</w:t>
      </w:r>
    </w:p>
    <w:p w14:paraId="17E9B57B" w14:textId="77777777" w:rsidR="00B014D9" w:rsidRPr="0032658A" w:rsidRDefault="00D758EA" w:rsidP="00513497">
      <w:pPr>
        <w:pBdr>
          <w:top w:val="nil"/>
          <w:left w:val="nil"/>
          <w:bottom w:val="nil"/>
          <w:right w:val="nil"/>
          <w:between w:val="nil"/>
          <w:bar w:val="nil"/>
        </w:pBdr>
        <w:spacing w:after="240"/>
        <w:rPr>
          <w:noProof/>
        </w:rPr>
      </w:pPr>
      <w:r w:rsidRPr="0032658A">
        <w:rPr>
          <w:noProof/>
        </w:rPr>
        <w:t xml:space="preserve">4 ir 5 punktais Direktyva suderinama su Paryžiaus SM pakeitimais, susijusiais su įsipareigojimu atlikti inspektavimus, ir siekiant suteikti daugiau lankstumo dėl neatliktų inspektavimų (dėl veiklos arba </w:t>
      </w:r>
      <w:r w:rsidRPr="0032658A">
        <w:rPr>
          <w:i/>
          <w:iCs/>
          <w:noProof/>
        </w:rPr>
        <w:t>force majeure</w:t>
      </w:r>
      <w:r w:rsidRPr="0032658A">
        <w:rPr>
          <w:noProof/>
        </w:rPr>
        <w:t xml:space="preserve"> priežasčių).  </w:t>
      </w:r>
    </w:p>
    <w:p w14:paraId="7BE3FA62" w14:textId="77777777" w:rsidR="00B014D9" w:rsidRPr="0032658A" w:rsidRDefault="00B014D9" w:rsidP="00C04245">
      <w:pPr>
        <w:pBdr>
          <w:top w:val="nil"/>
          <w:left w:val="nil"/>
          <w:bottom w:val="nil"/>
          <w:right w:val="nil"/>
          <w:between w:val="nil"/>
          <w:bar w:val="nil"/>
        </w:pBdr>
        <w:spacing w:after="240"/>
        <w:rPr>
          <w:noProof/>
        </w:rPr>
      </w:pPr>
      <w:r w:rsidRPr="0032658A">
        <w:rPr>
          <w:noProof/>
        </w:rPr>
        <w:t xml:space="preserve">6 punktu taip pat iš dalies keičiama Direktyva, siekiant suteikti daugiau lankstumo dėl neatliktų inspektavimų ir kad būtų laikomasi įsipareigojimo atlikti inspektavimus.  </w:t>
      </w:r>
    </w:p>
    <w:p w14:paraId="74098579" w14:textId="77777777" w:rsidR="00B71E28" w:rsidRPr="0032658A" w:rsidRDefault="00B71E28" w:rsidP="00B014D9">
      <w:pPr>
        <w:pBdr>
          <w:top w:val="nil"/>
          <w:left w:val="nil"/>
          <w:bottom w:val="nil"/>
          <w:right w:val="nil"/>
          <w:between w:val="nil"/>
          <w:bar w:val="nil"/>
        </w:pBdr>
        <w:spacing w:after="240"/>
        <w:rPr>
          <w:b/>
          <w:i/>
          <w:noProof/>
        </w:rPr>
      </w:pPr>
      <w:r w:rsidRPr="0032658A">
        <w:rPr>
          <w:b/>
          <w:noProof/>
        </w:rPr>
        <w:t>Force majeure</w:t>
      </w:r>
      <w:r w:rsidRPr="0032658A">
        <w:rPr>
          <w:b/>
          <w:i/>
          <w:noProof/>
        </w:rPr>
        <w:t xml:space="preserve"> aplinkybės </w:t>
      </w:r>
    </w:p>
    <w:p w14:paraId="2C52672C" w14:textId="77777777" w:rsidR="003A6E5A" w:rsidRPr="0032658A" w:rsidRDefault="00B014D9" w:rsidP="00C04245">
      <w:pPr>
        <w:pBdr>
          <w:top w:val="nil"/>
          <w:left w:val="nil"/>
          <w:bottom w:val="nil"/>
          <w:right w:val="nil"/>
          <w:between w:val="nil"/>
          <w:bar w:val="nil"/>
        </w:pBdr>
        <w:spacing w:after="240"/>
        <w:rPr>
          <w:noProof/>
        </w:rPr>
      </w:pPr>
      <w:r w:rsidRPr="0032658A">
        <w:rPr>
          <w:noProof/>
        </w:rPr>
        <w:t xml:space="preserve">7 punkte nagrinėjamas UVK režimo lankstumo trūkumo krizių ar nenumatytų įvykių, pavyzdžiui, COVID-19 pandemijos, atvejais klausimas. Siekiant režimą padaryti atsparesnį įtraukiamas naujas 8a straipsnis. Šia priemone valstybėms narėms suteikiama daugiau lankstumo, nes joms leidžiama neatlikti inspektavimų </w:t>
      </w:r>
      <w:r w:rsidRPr="0032658A">
        <w:rPr>
          <w:i/>
          <w:iCs/>
          <w:noProof/>
        </w:rPr>
        <w:t>force majeure</w:t>
      </w:r>
      <w:r w:rsidRPr="0032658A">
        <w:rPr>
          <w:noProof/>
        </w:rPr>
        <w:t xml:space="preserve"> atvejais, su sąlyga, kad neatliktas inspektavimas užregistruojamas, o priežastis, dėl kurios neatliktas inspektavimas, pagrindžiama dokumentais. </w:t>
      </w:r>
    </w:p>
    <w:p w14:paraId="704CD255" w14:textId="77777777" w:rsidR="00B71E28" w:rsidRPr="0032658A" w:rsidRDefault="00B71E28" w:rsidP="003A6E5A">
      <w:pPr>
        <w:pBdr>
          <w:top w:val="nil"/>
          <w:left w:val="nil"/>
          <w:bottom w:val="nil"/>
          <w:right w:val="nil"/>
          <w:between w:val="nil"/>
          <w:bar w:val="nil"/>
        </w:pBdr>
        <w:spacing w:after="240"/>
        <w:rPr>
          <w:b/>
          <w:i/>
          <w:noProof/>
        </w:rPr>
      </w:pPr>
      <w:r w:rsidRPr="0032658A">
        <w:rPr>
          <w:b/>
          <w:i/>
          <w:noProof/>
        </w:rPr>
        <w:t xml:space="preserve">Išankstinis pranešimas apie atvykimą </w:t>
      </w:r>
    </w:p>
    <w:p w14:paraId="4E2DEE6E" w14:textId="77777777" w:rsidR="003A6E5A" w:rsidRPr="0032658A" w:rsidRDefault="003A6E5A" w:rsidP="00513497">
      <w:pPr>
        <w:pBdr>
          <w:top w:val="nil"/>
          <w:left w:val="nil"/>
          <w:bottom w:val="nil"/>
          <w:right w:val="nil"/>
          <w:between w:val="nil"/>
          <w:bar w:val="nil"/>
        </w:pBdr>
        <w:spacing w:after="240"/>
        <w:rPr>
          <w:noProof/>
        </w:rPr>
      </w:pPr>
      <w:r w:rsidRPr="0032658A">
        <w:rPr>
          <w:noProof/>
        </w:rPr>
        <w:t>8 ir 10 punktais Direktyva suderinama su Paryžiaus SM pakeitimais, kuriais panaikinamas 9 straipsnyje ir III priede nustatytas įpareigojimas laivams, kuriuose gali būti atliekamas išplėstinis inspektavimas, per 72 valandas pranešti apie atvykimą – 9 straipsnis ir III priedas išbraukiami. 16 ir 23 punktuose atsižvelgiama į 9 straipsnio ir III priedo išbraukimą.</w:t>
      </w:r>
    </w:p>
    <w:p w14:paraId="5320CCFF" w14:textId="77777777" w:rsidR="00363592" w:rsidRPr="0032658A" w:rsidRDefault="00363592" w:rsidP="00513497">
      <w:pPr>
        <w:pBdr>
          <w:top w:val="nil"/>
          <w:left w:val="nil"/>
          <w:bottom w:val="nil"/>
          <w:right w:val="nil"/>
          <w:between w:val="nil"/>
          <w:bar w:val="nil"/>
        </w:pBdr>
        <w:spacing w:after="240"/>
        <w:rPr>
          <w:b/>
          <w:i/>
          <w:noProof/>
        </w:rPr>
      </w:pPr>
      <w:r w:rsidRPr="0032658A">
        <w:rPr>
          <w:b/>
          <w:i/>
          <w:noProof/>
        </w:rPr>
        <w:t>Aplinkos parametrai</w:t>
      </w:r>
    </w:p>
    <w:p w14:paraId="2C654714" w14:textId="77777777" w:rsidR="00363592" w:rsidRPr="0032658A" w:rsidRDefault="00363592" w:rsidP="00513497">
      <w:pPr>
        <w:pBdr>
          <w:top w:val="nil"/>
          <w:left w:val="nil"/>
          <w:bottom w:val="nil"/>
          <w:right w:val="nil"/>
          <w:between w:val="nil"/>
          <w:bar w:val="nil"/>
        </w:pBdr>
        <w:spacing w:after="240"/>
        <w:rPr>
          <w:noProof/>
        </w:rPr>
      </w:pPr>
      <w:r w:rsidRPr="0032658A">
        <w:rPr>
          <w:noProof/>
        </w:rPr>
        <w:t>9 punkte nustatyti aplinkos parametrai, į kuriuos bus atsižvelgiama nustatant laivo rizikos lygį, pagal kurį atrenkami inspektuotini laivai.</w:t>
      </w:r>
    </w:p>
    <w:p w14:paraId="44648815" w14:textId="77777777" w:rsidR="00B71E28" w:rsidRPr="0032658A" w:rsidRDefault="00B71E28" w:rsidP="003A6E5A">
      <w:pPr>
        <w:pBdr>
          <w:top w:val="nil"/>
          <w:left w:val="nil"/>
          <w:bottom w:val="nil"/>
          <w:right w:val="nil"/>
          <w:between w:val="nil"/>
          <w:bar w:val="nil"/>
        </w:pBdr>
        <w:spacing w:after="240"/>
        <w:rPr>
          <w:b/>
          <w:i/>
          <w:noProof/>
        </w:rPr>
      </w:pPr>
      <w:r w:rsidRPr="0032658A">
        <w:rPr>
          <w:b/>
          <w:i/>
          <w:noProof/>
        </w:rPr>
        <w:t xml:space="preserve">Išplėstiniai inspektavimai </w:t>
      </w:r>
    </w:p>
    <w:p w14:paraId="5FC561D9" w14:textId="77777777" w:rsidR="00B71E28" w:rsidRPr="0032658A" w:rsidRDefault="00B71E28" w:rsidP="00363592">
      <w:pPr>
        <w:pBdr>
          <w:top w:val="nil"/>
          <w:left w:val="nil"/>
          <w:bottom w:val="nil"/>
          <w:right w:val="nil"/>
          <w:between w:val="nil"/>
          <w:bar w:val="nil"/>
        </w:pBdr>
        <w:spacing w:after="240"/>
        <w:rPr>
          <w:noProof/>
        </w:rPr>
      </w:pPr>
      <w:r w:rsidRPr="0032658A">
        <w:rPr>
          <w:noProof/>
        </w:rPr>
        <w:t xml:space="preserve">10 punkte nustatyta, kad išplėstinius inspektavimus dėl jų sudėtingumo turi atlikti daugiau nei vienas uosto valstybės kontrolės pareigūnas. </w:t>
      </w:r>
    </w:p>
    <w:p w14:paraId="3247A1F7" w14:textId="77777777" w:rsidR="00B71E28" w:rsidRPr="0032658A" w:rsidRDefault="00B71E28" w:rsidP="00B71E28">
      <w:pPr>
        <w:pBdr>
          <w:top w:val="nil"/>
          <w:left w:val="nil"/>
          <w:bottom w:val="nil"/>
          <w:right w:val="nil"/>
          <w:between w:val="nil"/>
          <w:bar w:val="nil"/>
        </w:pBdr>
        <w:spacing w:after="240"/>
        <w:rPr>
          <w:b/>
          <w:i/>
          <w:noProof/>
        </w:rPr>
      </w:pPr>
      <w:r w:rsidRPr="0032658A">
        <w:rPr>
          <w:b/>
          <w:i/>
          <w:noProof/>
        </w:rPr>
        <w:t>Draudimas įplaukti</w:t>
      </w:r>
    </w:p>
    <w:p w14:paraId="011D5C4C" w14:textId="77777777" w:rsidR="00FF3B3F" w:rsidRPr="0032658A" w:rsidRDefault="009F16C3" w:rsidP="002B426B">
      <w:pPr>
        <w:pBdr>
          <w:top w:val="nil"/>
          <w:left w:val="nil"/>
          <w:bottom w:val="nil"/>
          <w:right w:val="nil"/>
          <w:between w:val="nil"/>
          <w:bar w:val="nil"/>
        </w:pBdr>
        <w:spacing w:after="240"/>
        <w:rPr>
          <w:noProof/>
        </w:rPr>
      </w:pPr>
      <w:r w:rsidRPr="0032658A">
        <w:rPr>
          <w:noProof/>
        </w:rPr>
        <w:t>12 ir 13 punktais Direktyva iš dalies keičiama siekiant ją suderinti su Paryžiaus SM priimtais pakeitimais, susijusiais su atsisakymo leisti įplaukti (draudimo) procedūra ir galimybe uždrausti laivus, įtrauktus į Paryžiaus SM pilkąjį arba baltąjį sąrašus (draudimas neatsižvelgiant į vėliavą), taip pat su nuostata, susijusia su atsisakymu vykdyti sulaikymo nurodymą arba atveju, kai sulaikytas laivas neplaukia į sutartą remonto įmonę.</w:t>
      </w:r>
    </w:p>
    <w:p w14:paraId="5E6A81BC" w14:textId="77777777" w:rsidR="00CD0993" w:rsidRPr="0032658A" w:rsidRDefault="00CD0993" w:rsidP="00CD0993">
      <w:pPr>
        <w:pBdr>
          <w:top w:val="nil"/>
          <w:left w:val="nil"/>
          <w:bottom w:val="nil"/>
          <w:right w:val="nil"/>
          <w:between w:val="nil"/>
          <w:bar w:val="nil"/>
        </w:pBdr>
        <w:spacing w:after="240"/>
        <w:rPr>
          <w:b/>
          <w:i/>
          <w:noProof/>
        </w:rPr>
      </w:pPr>
      <w:r w:rsidRPr="0032658A">
        <w:rPr>
          <w:b/>
          <w:i/>
          <w:noProof/>
        </w:rPr>
        <w:t>EMSA mokymas</w:t>
      </w:r>
    </w:p>
    <w:p w14:paraId="36FFF6FE" w14:textId="77777777" w:rsidR="00500212" w:rsidRPr="0032658A" w:rsidRDefault="00CD0993" w:rsidP="002B426B">
      <w:pPr>
        <w:pBdr>
          <w:top w:val="nil"/>
          <w:left w:val="nil"/>
          <w:bottom w:val="nil"/>
          <w:right w:val="nil"/>
          <w:between w:val="nil"/>
          <w:bar w:val="nil"/>
        </w:pBdr>
        <w:spacing w:after="240"/>
        <w:rPr>
          <w:noProof/>
        </w:rPr>
      </w:pPr>
      <w:r w:rsidRPr="0032658A">
        <w:rPr>
          <w:noProof/>
        </w:rPr>
        <w:t xml:space="preserve">14 punkte išdėstytos EMSA galimybės rengti mokymus ES valstybėms narėms, kad jos galėtų geriau vykdyti savo pareigas pagal Direktyvą, atsižvelgiant į išplėstą UVK taikymo sritį ir patobulintą mokymo apimtį bei pobūdį. </w:t>
      </w:r>
    </w:p>
    <w:p w14:paraId="14B35095" w14:textId="77777777" w:rsidR="00CD0993" w:rsidRPr="0032658A" w:rsidRDefault="00CD0993" w:rsidP="00513497">
      <w:pPr>
        <w:pBdr>
          <w:top w:val="nil"/>
          <w:left w:val="nil"/>
          <w:bottom w:val="nil"/>
          <w:right w:val="nil"/>
          <w:between w:val="nil"/>
          <w:bar w:val="nil"/>
        </w:pBdr>
        <w:spacing w:after="240"/>
        <w:rPr>
          <w:noProof/>
        </w:rPr>
      </w:pPr>
      <w:r w:rsidRPr="0032658A">
        <w:rPr>
          <w:noProof/>
        </w:rPr>
        <w:t>Tuo remdamasi EMSA (kartu su valstybėmis narėmis ir Paryžiaus SM) parengs naują inspektorių profesinio tobulinimo ir mokymo programą, kurią sudarys i) kompetencijos programa ir ii) profesinio tobulinimo sistema. Įgyvendinusi šiuos aspektus, Agentūra turėtų nustatyti ir pateikti naujus mokymo poreikius, kad būtų galima iš dalies pakeisti inspektorių profesinio tobulinimo ir mokymo planus, programas ir turinį, ypač atsižvelgiant į naujas technologijas ir papildomus įsipareigojimus, susijusius su naujomis IMO konvencijomis.</w:t>
      </w:r>
    </w:p>
    <w:p w14:paraId="3E272398" w14:textId="77777777" w:rsidR="00FF3B3F" w:rsidRPr="0032658A" w:rsidRDefault="00FF3B3F" w:rsidP="00FF3B3F">
      <w:pPr>
        <w:pBdr>
          <w:top w:val="nil"/>
          <w:left w:val="nil"/>
          <w:bottom w:val="nil"/>
          <w:right w:val="nil"/>
          <w:between w:val="nil"/>
          <w:bar w:val="nil"/>
        </w:pBdr>
        <w:spacing w:after="240"/>
        <w:rPr>
          <w:b/>
          <w:i/>
          <w:noProof/>
        </w:rPr>
      </w:pPr>
      <w:r w:rsidRPr="0032658A">
        <w:rPr>
          <w:b/>
          <w:i/>
          <w:noProof/>
        </w:rPr>
        <w:t>Duomenų bazė, dalijimasis informacija ir elektroniniai liudijimai</w:t>
      </w:r>
    </w:p>
    <w:p w14:paraId="7E8D5249" w14:textId="77777777" w:rsidR="00FF3B3F" w:rsidRPr="0032658A" w:rsidRDefault="00FF3B3F" w:rsidP="002B426B">
      <w:pPr>
        <w:pBdr>
          <w:top w:val="nil"/>
          <w:left w:val="nil"/>
          <w:bottom w:val="nil"/>
          <w:right w:val="nil"/>
          <w:between w:val="nil"/>
          <w:bar w:val="nil"/>
        </w:pBdr>
        <w:spacing w:after="240"/>
        <w:rPr>
          <w:noProof/>
        </w:rPr>
      </w:pPr>
      <w:r w:rsidRPr="0032658A">
        <w:rPr>
          <w:noProof/>
        </w:rPr>
        <w:t xml:space="preserve">15 punktu iš dalies keičiama Direktyva, siekiant patikslinti ir nustatyti terminą, per kurį sistemoje </w:t>
      </w:r>
      <w:r w:rsidRPr="0032658A">
        <w:rPr>
          <w:i/>
          <w:iCs/>
          <w:noProof/>
        </w:rPr>
        <w:t>SafeSeaNet</w:t>
      </w:r>
      <w:r w:rsidRPr="0032658A">
        <w:rPr>
          <w:noProof/>
        </w:rPr>
        <w:t xml:space="preserve"> turi būti pateikti pranešimai apie laivo įplaukimą ir išplaukimą. Direktyvos 24 straipsnio 2 dalyje reikalaujama, kad valstybės narės užtikrintų, jog ši informacija „būtų per pagrįstą laiką perduota į inspektavimo duomenų bazę“. Direktyva bus iš dalies pakeista įtraukiant pagrįsto laikotarpio sampratą, kad apie faktinį įplaukimo ir išplaukimo laiką būtų pranešama per tris valandas. Šiame punkte taip pat nustatyta, kad prieš perkeliant inspektavimo ataskaitą į duomenų bazę, visas UVK inspektavimo ataskaitas tvirtina kitas asmuo (kitas uosto valstybės kontrolės inspektorius arba vadovas), kuris nėra inspektavimą atlikęs inspektorius.</w:t>
      </w:r>
    </w:p>
    <w:p w14:paraId="0E9AB315" w14:textId="77777777" w:rsidR="00C74F46" w:rsidRPr="0032658A" w:rsidRDefault="00FF3B3F" w:rsidP="002B426B">
      <w:pPr>
        <w:pBdr>
          <w:top w:val="nil"/>
          <w:left w:val="nil"/>
          <w:bottom w:val="nil"/>
          <w:right w:val="nil"/>
          <w:between w:val="nil"/>
          <w:bar w:val="nil"/>
        </w:pBdr>
        <w:spacing w:after="240"/>
        <w:rPr>
          <w:noProof/>
        </w:rPr>
      </w:pPr>
      <w:r w:rsidRPr="0032658A">
        <w:rPr>
          <w:noProof/>
        </w:rPr>
        <w:t>16 punktu Direktyva iš dalies keičiama įtraukiant naują straipsnį, kuriame numatomas ir skatinamas elektroninių liudijimų naudojimas. Jie būtų rengiami pagal bendrą šabloną ir ES lygmeniu būtų naudojama bendra patvirtinimo priemonė ir saugykla, kurioje elektroninių liudijimų naudojimas būtų susietas su laivo rizikos lygiu. Šia priemone vėliavos valstybės arba jų vardu veikiančios pripažintos organizacijos (PO) bus skatinamos išduoti elektroninius liudijimus (kartu leidžiant juos toliau naudoti vykdant UVK), už šiuos e. liudijimus skiriant punktus (pridedant parametrą prie laivo rizikos lygio), kad juos būtų galima laikyti mažos rizikos laivais, ir todėl jie bus rečiau atrenkami kaip inspektuotini atliekant UVK.</w:t>
      </w:r>
    </w:p>
    <w:p w14:paraId="5FD4EA25" w14:textId="77777777" w:rsidR="00D623B0" w:rsidRPr="0032658A" w:rsidRDefault="00D623B0" w:rsidP="00C74F46">
      <w:pPr>
        <w:pBdr>
          <w:top w:val="nil"/>
          <w:left w:val="nil"/>
          <w:bottom w:val="nil"/>
          <w:right w:val="nil"/>
          <w:between w:val="nil"/>
          <w:bar w:val="nil"/>
        </w:pBdr>
        <w:spacing w:after="240"/>
        <w:rPr>
          <w:b/>
          <w:i/>
          <w:noProof/>
        </w:rPr>
      </w:pPr>
      <w:r w:rsidRPr="0032658A">
        <w:rPr>
          <w:b/>
          <w:i/>
          <w:noProof/>
        </w:rPr>
        <w:t xml:space="preserve">Kokybės valdymo sistema </w:t>
      </w:r>
    </w:p>
    <w:p w14:paraId="06276C28" w14:textId="77777777" w:rsidR="00B014D9" w:rsidRPr="0032658A" w:rsidRDefault="00C74F46" w:rsidP="002B426B">
      <w:pPr>
        <w:pBdr>
          <w:top w:val="nil"/>
          <w:left w:val="nil"/>
          <w:bottom w:val="nil"/>
          <w:right w:val="nil"/>
          <w:between w:val="nil"/>
          <w:bar w:val="nil"/>
        </w:pBdr>
        <w:spacing w:after="240"/>
        <w:rPr>
          <w:noProof/>
        </w:rPr>
      </w:pPr>
      <w:r w:rsidRPr="0032658A">
        <w:rPr>
          <w:noProof/>
        </w:rPr>
        <w:t xml:space="preserve">18 punktu Direktyva iš dalies keičiama, reikalaujant, kad valstybės narės parengtų ir taikytų kokybės valdymo sistemą (KVS), skirtą jų jūrų administracijos vykdomai UVK veiklai. Ji turėtų sudaryti sąlygas administracijoms neatsilikti nuo didėjančio UVK inspektavimo sudėtingumo ir griežtėjančių reikalavimų, kad būtų galima geriau kontroliuoti kokybę ir nurodyti problemas, pavyzdžiui, išteklių paskirstymo klausimus. Ji bus taikoma visoms uosto valstybėms, kurios dar neturi jų UVK operacijoms taikomos išorės sertifikuotos KVS. </w:t>
      </w:r>
    </w:p>
    <w:p w14:paraId="316CDE6C" w14:textId="77777777" w:rsidR="00594529" w:rsidRPr="0032658A" w:rsidRDefault="00594529" w:rsidP="003E5E8F">
      <w:pPr>
        <w:pBdr>
          <w:top w:val="nil"/>
          <w:left w:val="nil"/>
          <w:bottom w:val="nil"/>
          <w:right w:val="nil"/>
          <w:between w:val="nil"/>
          <w:bar w:val="nil"/>
        </w:pBdr>
        <w:spacing w:after="240"/>
        <w:rPr>
          <w:b/>
          <w:i/>
          <w:noProof/>
        </w:rPr>
      </w:pPr>
      <w:r w:rsidRPr="0032658A">
        <w:rPr>
          <w:b/>
          <w:i/>
          <w:noProof/>
        </w:rPr>
        <w:t>Deleguotieji aktai</w:t>
      </w:r>
    </w:p>
    <w:p w14:paraId="389DAF4D" w14:textId="77777777" w:rsidR="00594529" w:rsidRPr="0032658A" w:rsidRDefault="00594529" w:rsidP="002B426B">
      <w:pPr>
        <w:pBdr>
          <w:top w:val="nil"/>
          <w:left w:val="nil"/>
          <w:bottom w:val="nil"/>
          <w:right w:val="nil"/>
          <w:between w:val="nil"/>
          <w:bar w:val="nil"/>
        </w:pBdr>
        <w:spacing w:after="240"/>
        <w:rPr>
          <w:noProof/>
        </w:rPr>
      </w:pPr>
      <w:r w:rsidRPr="0032658A">
        <w:rPr>
          <w:noProof/>
        </w:rPr>
        <w:t>19 punkte nustatyta, kad Komisijai suteikiami įgaliojimai priimti deleguotuosius aktus, kuriais atnaujinamas 2 straipsnio 1 dalyje pateiktas konvencijų sąrašas, jei tokios konvencijos yra priimtos Paryžiaus SM kaip atitinkamas dokumentas, ir iš dalies keičiamas VI priedas siekiant įtraukti ir (arba) atnaujinti Paryžiaus SM priimtų procedūrų ir gairių, susijusių su uosto valstybės kontrole, sąrašą.</w:t>
      </w:r>
    </w:p>
    <w:p w14:paraId="145ADD30" w14:textId="77777777" w:rsidR="00340D1E" w:rsidRPr="0032658A" w:rsidRDefault="00340D1E" w:rsidP="00340D1E">
      <w:pPr>
        <w:pBdr>
          <w:top w:val="nil"/>
          <w:left w:val="nil"/>
          <w:bottom w:val="nil"/>
          <w:right w:val="nil"/>
          <w:between w:val="nil"/>
          <w:bar w:val="nil"/>
        </w:pBdr>
        <w:spacing w:after="240"/>
        <w:rPr>
          <w:b/>
          <w:i/>
          <w:noProof/>
        </w:rPr>
      </w:pPr>
      <w:r w:rsidRPr="0032658A">
        <w:rPr>
          <w:b/>
          <w:i/>
          <w:noProof/>
        </w:rPr>
        <w:t>Įgaliojimai daryti pakeitimus</w:t>
      </w:r>
    </w:p>
    <w:p w14:paraId="7CE44776" w14:textId="77777777" w:rsidR="00340D1E" w:rsidRPr="0032658A" w:rsidRDefault="00340D1E" w:rsidP="00340D1E">
      <w:pPr>
        <w:pBdr>
          <w:top w:val="nil"/>
          <w:left w:val="nil"/>
          <w:bottom w:val="nil"/>
          <w:right w:val="nil"/>
          <w:between w:val="nil"/>
          <w:bar w:val="nil"/>
        </w:pBdr>
        <w:spacing w:after="240"/>
        <w:rPr>
          <w:noProof/>
        </w:rPr>
      </w:pPr>
      <w:r w:rsidRPr="0032658A">
        <w:rPr>
          <w:noProof/>
        </w:rPr>
        <w:t xml:space="preserve">20 punkte nustatyta, kad bet kokiam atitinkamų IMO dokumentų, išvardytų 2 straipsnio 1 dalyje, atnaujinimui taikoma standartinė nekintamumo išlyga. Tai reiškia, kad jei padaroma tarptautinio lygmens pakeitimų, ES priemonės standartai išlaikomi bent jau dabartinio lygio. </w:t>
      </w:r>
    </w:p>
    <w:p w14:paraId="5C966F94" w14:textId="77777777" w:rsidR="00FD2919" w:rsidRPr="0032658A" w:rsidRDefault="00FD2919" w:rsidP="00FD2919">
      <w:pPr>
        <w:pBdr>
          <w:top w:val="nil"/>
          <w:left w:val="nil"/>
          <w:bottom w:val="nil"/>
          <w:right w:val="nil"/>
          <w:between w:val="nil"/>
          <w:bar w:val="nil"/>
        </w:pBdr>
        <w:spacing w:after="240"/>
        <w:rPr>
          <w:b/>
          <w:i/>
          <w:noProof/>
        </w:rPr>
      </w:pPr>
      <w:r w:rsidRPr="0032658A">
        <w:rPr>
          <w:b/>
          <w:i/>
          <w:noProof/>
        </w:rPr>
        <w:t>Įgyvendinimo taisyklės</w:t>
      </w:r>
    </w:p>
    <w:p w14:paraId="12436865" w14:textId="77777777" w:rsidR="00FD2919" w:rsidRPr="0032658A" w:rsidRDefault="00FD2919" w:rsidP="00340D1E">
      <w:pPr>
        <w:pBdr>
          <w:top w:val="nil"/>
          <w:left w:val="nil"/>
          <w:bottom w:val="nil"/>
          <w:right w:val="nil"/>
          <w:between w:val="nil"/>
          <w:bar w:val="nil"/>
        </w:pBdr>
        <w:spacing w:after="240"/>
        <w:rPr>
          <w:noProof/>
        </w:rPr>
      </w:pPr>
      <w:r w:rsidRPr="0032658A">
        <w:rPr>
          <w:noProof/>
        </w:rPr>
        <w:t>21 punkte nustatyta, kad priimdama įgyvendinimo aktus Komisija ypač daug dėmesio skiria Paryžiaus SM vaidmeniui ir ekspertinėms žinioms ir kad tokiuose aktuose atsižvelgiama į ekspertines žinias ir patirtį, susijusias su Sąjungos inspektavimo sistema.</w:t>
      </w:r>
    </w:p>
    <w:p w14:paraId="3F08A62F" w14:textId="77777777" w:rsidR="00802B31" w:rsidRPr="0032658A" w:rsidRDefault="00802B31" w:rsidP="00E7733F">
      <w:pPr>
        <w:pBdr>
          <w:top w:val="nil"/>
          <w:left w:val="nil"/>
          <w:bottom w:val="nil"/>
          <w:right w:val="nil"/>
          <w:between w:val="nil"/>
          <w:bar w:val="nil"/>
        </w:pBdr>
        <w:spacing w:after="240"/>
        <w:rPr>
          <w:b/>
          <w:i/>
          <w:noProof/>
        </w:rPr>
      </w:pPr>
      <w:r w:rsidRPr="0032658A">
        <w:rPr>
          <w:b/>
          <w:i/>
          <w:noProof/>
        </w:rPr>
        <w:t xml:space="preserve">Įgyvendinimo peržiūra </w:t>
      </w:r>
    </w:p>
    <w:p w14:paraId="49DC3B74" w14:textId="77777777" w:rsidR="005B3330" w:rsidRPr="0032658A" w:rsidRDefault="008E4895" w:rsidP="00340D1E">
      <w:pPr>
        <w:pBdr>
          <w:top w:val="nil"/>
          <w:left w:val="nil"/>
          <w:bottom w:val="nil"/>
          <w:right w:val="nil"/>
          <w:between w:val="nil"/>
          <w:bar w:val="nil"/>
        </w:pBdr>
        <w:spacing w:before="0" w:after="240"/>
        <w:rPr>
          <w:noProof/>
        </w:rPr>
      </w:pPr>
      <w:r w:rsidRPr="0032658A">
        <w:rPr>
          <w:noProof/>
        </w:rPr>
        <w:t xml:space="preserve">22 punkte numatyta, kad Komisija parengs iš dalies pakeistos direktyvos įgyvendinimo peržiūrą praėjus 10 metų nuo jos priėmimo. Taip atsižvelgiama į perkėlimui į nacionalinę teisę reikalingą laiką ir į tai, kad EMSA apsilankymų valstybėse narėse peržiūros ciklas paprastai trunka ne mažiau kaip penkerius metus. </w:t>
      </w:r>
    </w:p>
    <w:p w14:paraId="20E1BDF0" w14:textId="77777777" w:rsidR="0049786D" w:rsidRPr="0032658A" w:rsidRDefault="0049786D" w:rsidP="002F0EE3">
      <w:pPr>
        <w:pBdr>
          <w:top w:val="nil"/>
          <w:left w:val="nil"/>
          <w:bottom w:val="nil"/>
          <w:right w:val="nil"/>
          <w:between w:val="nil"/>
          <w:bar w:val="nil"/>
        </w:pBdr>
        <w:spacing w:after="240"/>
        <w:rPr>
          <w:b/>
          <w:i/>
          <w:noProof/>
        </w:rPr>
      </w:pPr>
      <w:r w:rsidRPr="0032658A">
        <w:rPr>
          <w:b/>
          <w:i/>
          <w:noProof/>
        </w:rPr>
        <w:t>Laivo rizikos lygis (LRL). Liudijimai ir dokumentai</w:t>
      </w:r>
    </w:p>
    <w:p w14:paraId="0F407024" w14:textId="77777777" w:rsidR="002F0EE3" w:rsidRPr="0032658A" w:rsidRDefault="0049786D" w:rsidP="00340D1E">
      <w:pPr>
        <w:pBdr>
          <w:top w:val="nil"/>
          <w:left w:val="nil"/>
          <w:bottom w:val="nil"/>
          <w:right w:val="nil"/>
          <w:between w:val="nil"/>
          <w:bar w:val="nil"/>
        </w:pBdr>
        <w:spacing w:before="0" w:after="240"/>
        <w:rPr>
          <w:noProof/>
        </w:rPr>
      </w:pPr>
      <w:r w:rsidRPr="0032658A">
        <w:rPr>
          <w:noProof/>
        </w:rPr>
        <w:t xml:space="preserve">23 ir 24 punktais iš dalies keičiami I ir II priedai, susiję su laivo rizikos lygiu (LRL). LRL iš dalies keičiamas siekiant atsižvelgti į pakeitimus, dėl kurių iš esmės jau susitarta Paryžiaus SM. Jie apima i) svorinius koeficiento punktus, taikomus tam tikrų tipų laivams, ir ii) IMO audito sistemą, kuri nebėra savanoriška sistema ir kuri pakeičiama svoriniu koeficientu, siekiant atsižvelgti į tai, ar vėliavos valstybė yra ratifikavusi tarptautines konvencijas.  </w:t>
      </w:r>
    </w:p>
    <w:p w14:paraId="361AC149" w14:textId="77777777" w:rsidR="0049786D" w:rsidRPr="0032658A" w:rsidRDefault="0084402E" w:rsidP="002B426B">
      <w:pPr>
        <w:pBdr>
          <w:top w:val="nil"/>
          <w:left w:val="nil"/>
          <w:bottom w:val="nil"/>
          <w:right w:val="nil"/>
          <w:between w:val="nil"/>
          <w:bar w:val="nil"/>
        </w:pBdr>
        <w:spacing w:before="0" w:after="240"/>
        <w:rPr>
          <w:noProof/>
        </w:rPr>
      </w:pPr>
      <w:r w:rsidRPr="0032658A">
        <w:rPr>
          <w:noProof/>
        </w:rPr>
        <w:t>Taip pat iš dalies keičiamas krovininių ir keleivinių laivų, kurių bendroji talpa didesnė kaip 5000 tonų (jie laikomi labiausiai teršiančiais laivais), LRL ir šiems laivams LRL bus priskiriamas atsižvelgiant į IMO laivo taršos anglies dioksidu intensyvumo rodiklį. Visų laivų, kuriems gali būti taikoma uosto valstybės kontrolė, svorinis koeficientas koreguojamas taip, kad didesnė svarba būtų teikiama su aplinkosauga susijusiems per ankstesnius Paryžiaus SM regione atliktus UVK inspektavimus nustatytiems to laivo trūkumams (MARPOL konvencija, Balastinių vandenų tvarkymo konvencija ir Tarptautinė konvencijos dėl laivuose naudojamų žalingų apsaugos nuo užsiteršimo sistemų kontrolės). Perkoduoti trūkumai ir sulaikymai yra susiję tik su tarptautinėmis konvencijomis (vadinamaisiais atitinkamais dokumentais), kad peržiūrėtas LRL būtų taikomas ne tik ES valstybėse narėse, bet ir visame Paryžiaus SM regione. Be to, bus įtrauktas parametras, kuriuo laivų, kuriems gali būti taikoma UVK, vėliavos valstybės būtų skatinamos naudoti elektroninius liudijimus.</w:t>
      </w:r>
    </w:p>
    <w:p w14:paraId="3B75EDCE" w14:textId="77777777" w:rsidR="00375395" w:rsidRPr="0032658A" w:rsidRDefault="00375395" w:rsidP="00375395">
      <w:pPr>
        <w:pBdr>
          <w:top w:val="nil"/>
          <w:left w:val="nil"/>
          <w:bottom w:val="nil"/>
          <w:right w:val="nil"/>
          <w:between w:val="nil"/>
          <w:bar w:val="nil"/>
        </w:pBdr>
        <w:spacing w:after="240"/>
        <w:rPr>
          <w:b/>
          <w:i/>
          <w:noProof/>
        </w:rPr>
      </w:pPr>
      <w:r w:rsidRPr="0032658A">
        <w:rPr>
          <w:b/>
          <w:i/>
          <w:noProof/>
        </w:rPr>
        <w:t xml:space="preserve">Liudijimai </w:t>
      </w:r>
    </w:p>
    <w:p w14:paraId="3630BAF9" w14:textId="77777777" w:rsidR="0004052B" w:rsidRPr="0032658A" w:rsidRDefault="0004052B" w:rsidP="00340D1E">
      <w:pPr>
        <w:pBdr>
          <w:top w:val="nil"/>
          <w:left w:val="nil"/>
          <w:bottom w:val="nil"/>
          <w:right w:val="nil"/>
          <w:between w:val="nil"/>
          <w:bar w:val="nil"/>
        </w:pBdr>
        <w:spacing w:before="0" w:after="240"/>
        <w:rPr>
          <w:noProof/>
        </w:rPr>
      </w:pPr>
      <w:r w:rsidRPr="0032658A">
        <w:rPr>
          <w:noProof/>
        </w:rPr>
        <w:t xml:space="preserve">26 punktu atnaujinami IV priede pateikti teisės aktais nustatytų liudijimų ir kitų dokumentų, kurie turi būti tikrinami pagal IMO reikalavimus, dėl kurių susitarta Paryžiaus SM, sąrašai. </w:t>
      </w:r>
    </w:p>
    <w:p w14:paraId="0681B2B6" w14:textId="77777777" w:rsidR="00375395" w:rsidRPr="0032658A" w:rsidRDefault="00375395" w:rsidP="00375395">
      <w:pPr>
        <w:pBdr>
          <w:top w:val="nil"/>
          <w:left w:val="nil"/>
          <w:bottom w:val="nil"/>
          <w:right w:val="nil"/>
          <w:between w:val="nil"/>
          <w:bar w:val="nil"/>
        </w:pBdr>
        <w:spacing w:after="240"/>
        <w:rPr>
          <w:b/>
          <w:i/>
          <w:noProof/>
        </w:rPr>
      </w:pPr>
      <w:r w:rsidRPr="0032658A">
        <w:rPr>
          <w:b/>
          <w:i/>
          <w:noProof/>
        </w:rPr>
        <w:t>Inspektavimų procedūros ir gairės</w:t>
      </w:r>
    </w:p>
    <w:p w14:paraId="38B191D6" w14:textId="77777777" w:rsidR="00375395" w:rsidRPr="0032658A" w:rsidRDefault="00984B33" w:rsidP="002B426B">
      <w:pPr>
        <w:pBdr>
          <w:top w:val="nil"/>
          <w:left w:val="nil"/>
          <w:bottom w:val="nil"/>
          <w:right w:val="nil"/>
          <w:between w:val="nil"/>
          <w:bar w:val="nil"/>
        </w:pBdr>
        <w:spacing w:before="0" w:after="240"/>
        <w:rPr>
          <w:noProof/>
        </w:rPr>
      </w:pPr>
      <w:r w:rsidRPr="0032658A">
        <w:rPr>
          <w:noProof/>
        </w:rPr>
        <w:t>Siekiant užtikrinti atnaujintą ir suderintą uosto valstybės kontrolės sistemą visoje Sąjungoje, 26 punktu atnaujinamas VI priedas, įtraukiant atnaujintas Paryžiaus SM inspektavimo gaires ir nurodymus, kurių reikia laikytis atliekant inspektavimus.</w:t>
      </w:r>
    </w:p>
    <w:p w14:paraId="0F348E8B" w14:textId="77777777" w:rsidR="00984B33" w:rsidRPr="0032658A" w:rsidRDefault="00984B33" w:rsidP="00984B33">
      <w:pPr>
        <w:pBdr>
          <w:top w:val="nil"/>
          <w:left w:val="nil"/>
          <w:bottom w:val="nil"/>
          <w:right w:val="nil"/>
          <w:between w:val="nil"/>
          <w:bar w:val="nil"/>
        </w:pBdr>
        <w:spacing w:after="240"/>
        <w:rPr>
          <w:b/>
          <w:i/>
          <w:noProof/>
        </w:rPr>
      </w:pPr>
      <w:r w:rsidRPr="0032658A">
        <w:rPr>
          <w:b/>
          <w:i/>
          <w:noProof/>
        </w:rPr>
        <w:t>Draudimas įplaukti</w:t>
      </w:r>
    </w:p>
    <w:p w14:paraId="6E4D2F21" w14:textId="77777777" w:rsidR="00984B33" w:rsidRPr="0032658A" w:rsidRDefault="00984B33" w:rsidP="00340D1E">
      <w:pPr>
        <w:spacing w:before="0" w:after="0"/>
        <w:rPr>
          <w:noProof/>
        </w:rPr>
      </w:pPr>
      <w:r w:rsidRPr="0032658A">
        <w:rPr>
          <w:noProof/>
        </w:rPr>
        <w:t xml:space="preserve">28 punktu atnaujinamas VIII priedas, susijęs su 16 straipsnyje nurodytomis atsisakymo leisti įplaukti (draudimo) procedūromis, siekiant jas suderinti su pakeitimais, dėl kurių jau susitarta Paryžiaus SM. </w:t>
      </w:r>
    </w:p>
    <w:p w14:paraId="2215ED84" w14:textId="77777777" w:rsidR="005E66BF" w:rsidRPr="0032658A" w:rsidRDefault="005E66BF" w:rsidP="00984B33">
      <w:pPr>
        <w:spacing w:before="0" w:after="0"/>
        <w:rPr>
          <w:noProof/>
        </w:rPr>
      </w:pPr>
    </w:p>
    <w:p w14:paraId="3E45A36A" w14:textId="77777777" w:rsidR="005E66BF" w:rsidRPr="0032658A" w:rsidRDefault="005E66BF">
      <w:pPr>
        <w:spacing w:before="0" w:after="200" w:line="276" w:lineRule="auto"/>
        <w:jc w:val="left"/>
        <w:rPr>
          <w:noProof/>
        </w:rPr>
      </w:pPr>
      <w:r w:rsidRPr="0032658A">
        <w:rPr>
          <w:noProof/>
        </w:rPr>
        <w:br w:type="page"/>
      </w:r>
    </w:p>
    <w:p w14:paraId="109AF7C5" w14:textId="77777777" w:rsidR="00984B33" w:rsidRPr="0032658A" w:rsidRDefault="00984B33" w:rsidP="00984B33">
      <w:pPr>
        <w:spacing w:before="0" w:after="0"/>
        <w:rPr>
          <w:noProof/>
        </w:rPr>
      </w:pPr>
    </w:p>
    <w:p w14:paraId="2FD998D0" w14:textId="65DBFE8C" w:rsidR="00FF2B24" w:rsidRDefault="00FF2B24" w:rsidP="00FF2B24">
      <w:pPr>
        <w:pStyle w:val="Rfrenceinterinstitutionnelle"/>
        <w:rPr>
          <w:noProof/>
        </w:rPr>
      </w:pPr>
      <w:r w:rsidRPr="00FF2B24">
        <w:t>2023/0165 (COD)</w:t>
      </w:r>
    </w:p>
    <w:p w14:paraId="24200760" w14:textId="2C0751CB" w:rsidR="000E625C" w:rsidRPr="0032658A" w:rsidRDefault="0032658A" w:rsidP="0032658A">
      <w:pPr>
        <w:pStyle w:val="Statut"/>
        <w:rPr>
          <w:noProof/>
        </w:rPr>
      </w:pPr>
      <w:r w:rsidRPr="0032658A">
        <w:rPr>
          <w:noProof/>
        </w:rPr>
        <w:t>Pasiūlymas</w:t>
      </w:r>
    </w:p>
    <w:p w14:paraId="7BC7BA4C" w14:textId="58CD800E" w:rsidR="005B3330" w:rsidRPr="0032658A" w:rsidRDefault="0032658A" w:rsidP="0032658A">
      <w:pPr>
        <w:pStyle w:val="Typedudocument"/>
        <w:rPr>
          <w:noProof/>
        </w:rPr>
      </w:pPr>
      <w:r w:rsidRPr="0032658A">
        <w:rPr>
          <w:noProof/>
        </w:rPr>
        <w:t>EUROPOS PARLAMENTO IR TARYBOS DIREKTYVA</w:t>
      </w:r>
    </w:p>
    <w:p w14:paraId="3843004D" w14:textId="1C409349" w:rsidR="005B3330" w:rsidRPr="0032658A" w:rsidRDefault="0032658A" w:rsidP="0032658A">
      <w:pPr>
        <w:pStyle w:val="Titreobjet"/>
        <w:rPr>
          <w:noProof/>
        </w:rPr>
      </w:pPr>
      <w:r w:rsidRPr="0032658A">
        <w:rPr>
          <w:noProof/>
        </w:rPr>
        <w:t>kuria iš dalies keičiama Direktyva 2009/16/EB dėl uosto valstybės kontrolės</w:t>
      </w:r>
    </w:p>
    <w:p w14:paraId="7D6F6C33" w14:textId="7D6967FA" w:rsidR="005B3330" w:rsidRPr="0032658A" w:rsidRDefault="0032658A" w:rsidP="0032658A">
      <w:pPr>
        <w:pStyle w:val="IntrtEEE"/>
        <w:rPr>
          <w:noProof/>
        </w:rPr>
      </w:pPr>
      <w:r w:rsidRPr="0032658A">
        <w:rPr>
          <w:noProof/>
        </w:rPr>
        <w:t>(Tekstas svarbus EEE)</w:t>
      </w:r>
    </w:p>
    <w:p w14:paraId="3696E5C0" w14:textId="77777777" w:rsidR="005B3330" w:rsidRPr="0032658A" w:rsidRDefault="005B3330" w:rsidP="007800DD">
      <w:pPr>
        <w:pStyle w:val="Institutionquiagit"/>
        <w:rPr>
          <w:noProof/>
        </w:rPr>
      </w:pPr>
      <w:r w:rsidRPr="0032658A">
        <w:rPr>
          <w:noProof/>
        </w:rPr>
        <w:t>EUROPOS PARLAMENTAS IR EUROPOS SĄJUNGOS TARYBA,</w:t>
      </w:r>
    </w:p>
    <w:p w14:paraId="55F8CF17" w14:textId="77777777" w:rsidR="005B3330" w:rsidRPr="0032658A" w:rsidRDefault="005B3330" w:rsidP="007800DD">
      <w:pPr>
        <w:rPr>
          <w:noProof/>
        </w:rPr>
      </w:pPr>
      <w:r w:rsidRPr="0032658A">
        <w:rPr>
          <w:noProof/>
        </w:rPr>
        <w:t>atsižvelgdami į Sutartį dėl Europos Sąjungos veikimo, ypač į jos 100 straipsnio 2 dalį,</w:t>
      </w:r>
    </w:p>
    <w:p w14:paraId="452D851D" w14:textId="77777777" w:rsidR="00951E8E" w:rsidRPr="0032658A" w:rsidRDefault="005B3330" w:rsidP="007800DD">
      <w:pPr>
        <w:rPr>
          <w:noProof/>
        </w:rPr>
      </w:pPr>
      <w:r w:rsidRPr="0032658A">
        <w:rPr>
          <w:noProof/>
        </w:rPr>
        <w:t>atsižvelgdami į Europos Komisijos pasiūlymą,</w:t>
      </w:r>
    </w:p>
    <w:p w14:paraId="7E58889E" w14:textId="77777777" w:rsidR="005B3330" w:rsidRPr="0032658A" w:rsidRDefault="005B3330" w:rsidP="007800DD">
      <w:pPr>
        <w:rPr>
          <w:noProof/>
        </w:rPr>
      </w:pPr>
      <w:r w:rsidRPr="0032658A">
        <w:rPr>
          <w:noProof/>
        </w:rPr>
        <w:t>atsižvelgdami į Europos ekonomikos ir socialinių reikalų komiteto nuomonę</w:t>
      </w:r>
      <w:r w:rsidRPr="0032658A">
        <w:rPr>
          <w:rStyle w:val="FootnoteReference"/>
          <w:noProof/>
        </w:rPr>
        <w:footnoteReference w:id="23"/>
      </w:r>
      <w:r w:rsidRPr="0032658A">
        <w:rPr>
          <w:noProof/>
        </w:rPr>
        <w:t xml:space="preserve">, </w:t>
      </w:r>
    </w:p>
    <w:p w14:paraId="257E027F" w14:textId="77777777" w:rsidR="005B3330" w:rsidRPr="0032658A" w:rsidRDefault="005B3330" w:rsidP="007800DD">
      <w:pPr>
        <w:rPr>
          <w:noProof/>
        </w:rPr>
      </w:pPr>
      <w:r w:rsidRPr="0032658A">
        <w:rPr>
          <w:noProof/>
        </w:rPr>
        <w:t>atsižvelgdami į Regionų komiteto nuomonę</w:t>
      </w:r>
      <w:r w:rsidRPr="0032658A">
        <w:rPr>
          <w:rStyle w:val="FootnoteReference"/>
          <w:noProof/>
        </w:rPr>
        <w:footnoteReference w:id="24"/>
      </w:r>
      <w:r w:rsidRPr="0032658A">
        <w:rPr>
          <w:noProof/>
        </w:rPr>
        <w:t>,</w:t>
      </w:r>
    </w:p>
    <w:p w14:paraId="6E328798" w14:textId="77777777" w:rsidR="005B3330" w:rsidRPr="0032658A" w:rsidRDefault="005B3330" w:rsidP="007800DD">
      <w:pPr>
        <w:rPr>
          <w:noProof/>
        </w:rPr>
      </w:pPr>
      <w:r w:rsidRPr="0032658A">
        <w:rPr>
          <w:noProof/>
        </w:rPr>
        <w:t>laikydamiesi įprastos teisėkūros procedūros,</w:t>
      </w:r>
    </w:p>
    <w:p w14:paraId="2388BAAC" w14:textId="77777777" w:rsidR="005B3330" w:rsidRPr="0032658A" w:rsidRDefault="005B3330" w:rsidP="007800DD">
      <w:pPr>
        <w:rPr>
          <w:noProof/>
        </w:rPr>
      </w:pPr>
      <w:r w:rsidRPr="0032658A">
        <w:rPr>
          <w:noProof/>
        </w:rPr>
        <w:t xml:space="preserve">kadangi: </w:t>
      </w:r>
    </w:p>
    <w:p w14:paraId="4F6E140D" w14:textId="359C8A72" w:rsidR="004D5F39" w:rsidRPr="0032658A" w:rsidRDefault="00B11CDA" w:rsidP="00B11CDA">
      <w:pPr>
        <w:pStyle w:val="ManualConsidrant"/>
        <w:rPr>
          <w:noProof/>
        </w:rPr>
      </w:pPr>
      <w:r w:rsidRPr="00B11CDA">
        <w:t>(1)</w:t>
      </w:r>
      <w:r w:rsidRPr="00B11CDA">
        <w:tab/>
      </w:r>
      <w:r w:rsidR="007E6B68" w:rsidRPr="0032658A">
        <w:rPr>
          <w:noProof/>
        </w:rPr>
        <w:t>Europos Parlamento ir Tarybos direktyvoje 2009/16/EB</w:t>
      </w:r>
      <w:r w:rsidR="007E6B68" w:rsidRPr="0032658A">
        <w:rPr>
          <w:rStyle w:val="FootnoteReference"/>
          <w:noProof/>
        </w:rPr>
        <w:footnoteReference w:id="25"/>
      </w:r>
      <w:r w:rsidR="007E6B68" w:rsidRPr="0032658A">
        <w:rPr>
          <w:rStyle w:val="FootnoteReference"/>
          <w:noProof/>
        </w:rPr>
        <w:t xml:space="preserve">  </w:t>
      </w:r>
      <w:r w:rsidR="007E6B68" w:rsidRPr="0032658A">
        <w:rPr>
          <w:noProof/>
        </w:rPr>
        <w:t xml:space="preserve">nustatytos uosto valstybės kontrolės inspektavimo sistemos taisyklės, pagal kurias į Sąjungos uostus įplaukiantys reikalavimus atitinkantys laivai inspektuojami siekiant patikrinti, ar laivo įgulos kompetencija ir laivo bei jo įrangos būklė atitinka tarptautinių konvencijų dėl žmogaus gyvybės apsaugos jūroje ir dėl jūrų aplinkos apsaugos reikalavimus; </w:t>
      </w:r>
    </w:p>
    <w:p w14:paraId="4D042012" w14:textId="34E7A472" w:rsidR="004D5F39" w:rsidRPr="0032658A" w:rsidRDefault="00B11CDA" w:rsidP="00B11CDA">
      <w:pPr>
        <w:pStyle w:val="ManualConsidrant"/>
        <w:rPr>
          <w:noProof/>
        </w:rPr>
      </w:pPr>
      <w:r w:rsidRPr="00B11CDA">
        <w:t>(2)</w:t>
      </w:r>
      <w:r w:rsidRPr="00B11CDA">
        <w:tab/>
      </w:r>
      <w:r w:rsidR="004D5F39" w:rsidRPr="0032658A">
        <w:rPr>
          <w:noProof/>
        </w:rPr>
        <w:t xml:space="preserve">Direktyva 2009/16/EB grindžiama jau esama savanoriška tarpvyriausybine Paryžiaus susitarimo memorandumo dėl uosto valstybės kontrolės (Paryžiaus SM) struktūra ir inspektavimo naštos pasidalijimo, rizika grindžiamos inspektuotinų laivų atrankos, suderintų inspektavimų ir dalijimosi inspektavimo rezultatais koncepcijomis;  </w:t>
      </w:r>
    </w:p>
    <w:p w14:paraId="324F3B37" w14:textId="77F2B3C6" w:rsidR="007E6B68" w:rsidRPr="0032658A" w:rsidRDefault="00B11CDA" w:rsidP="00B11CDA">
      <w:pPr>
        <w:pStyle w:val="ManualConsidrant"/>
        <w:rPr>
          <w:noProof/>
        </w:rPr>
      </w:pPr>
      <w:r w:rsidRPr="00B11CDA">
        <w:t>(3)</w:t>
      </w:r>
      <w:r w:rsidRPr="00B11CDA">
        <w:tab/>
      </w:r>
      <w:r w:rsidR="005B1CCB" w:rsidRPr="0032658A">
        <w:rPr>
          <w:noProof/>
        </w:rPr>
        <w:t xml:space="preserve">po to, kai įsigaliojo Direktyva 2009/16/EB, pasikeitė tarptautinė reglamentavimo aplinka (visų pirma Paryžiaus SM ir Tarptautinė jūrų organizacija) ir įvyko technologinių pokyčių. Reikėtų atsižvelgti į tuos pokyčius ir patirtį, įgytą įgyvendinant Direktyvą 2009/16/EB;  </w:t>
      </w:r>
    </w:p>
    <w:p w14:paraId="249F7D4E" w14:textId="7778FF9A" w:rsidR="00616E0C" w:rsidRPr="0032658A" w:rsidRDefault="00B11CDA" w:rsidP="00B11CDA">
      <w:pPr>
        <w:pStyle w:val="ManualConsidrant"/>
        <w:rPr>
          <w:noProof/>
        </w:rPr>
      </w:pPr>
      <w:r w:rsidRPr="00B11CDA">
        <w:t>(4)</w:t>
      </w:r>
      <w:r w:rsidRPr="00B11CDA">
        <w:tab/>
      </w:r>
      <w:r w:rsidR="00616E0C" w:rsidRPr="0032658A">
        <w:rPr>
          <w:noProof/>
        </w:rPr>
        <w:t>nuo 2011 m. įsigaliojo kelios tarptautinės konvencijos, kurias valstybės narės ratifikavo. Tai Tarptautinė konvencija dėl laivuose naudojamų balastinių vandenų ir nuosėdų tvarkymo ir kontrolės (BWM konvencija) ir Nairobio tarptautinė konvencija dėl laivų nuolaužų pašalinimo (Nairobio konvencija). Todėl jos turėtų būti įtrauktos į konvencijų, kurioms taikoma Direktyva 2009/16/EB, sąrašą, kad būtų galima užtikrinti jų vykdymą taikant uosto valstybės kontrolės sistemą;</w:t>
      </w:r>
    </w:p>
    <w:p w14:paraId="1596E863" w14:textId="57DA9452" w:rsidR="00616E0C" w:rsidRPr="0032658A" w:rsidRDefault="00B11CDA" w:rsidP="00B11CDA">
      <w:pPr>
        <w:pStyle w:val="ManualConsidrant"/>
        <w:rPr>
          <w:noProof/>
        </w:rPr>
      </w:pPr>
      <w:r w:rsidRPr="00B11CDA">
        <w:t>(5)</w:t>
      </w:r>
      <w:r w:rsidRPr="00B11CDA">
        <w:tab/>
      </w:r>
      <w:r w:rsidR="006E7DED" w:rsidRPr="0032658A">
        <w:rPr>
          <w:noProof/>
        </w:rPr>
        <w:t xml:space="preserve">kad būtų galima užtikrinti atnaujintą ir suderintą uosto valstybės kontrolės sistemą, būtina greičiau atnaujinti tarptautinių konvencijų, kurių vykdymas užtikrinamas atliekant uosto valstybės kontrolę, sąrašą nekeičiant visos direktyvos. Todėl įsigaliojus tarptautinei konvencijai, t. y. pasiekus sutartą ratifikavimo lygį, ir po to, kai Paryžiaus SM narės ją priima kaip atitinkamą dokumentą, Komisija turėtų atnaujinti Direktyvoje pateiktą konvencijų sąrašą; </w:t>
      </w:r>
    </w:p>
    <w:p w14:paraId="595DE9A4" w14:textId="7F436730" w:rsidR="00285C45" w:rsidRPr="0032658A" w:rsidRDefault="00B11CDA" w:rsidP="00B11CDA">
      <w:pPr>
        <w:pStyle w:val="ManualConsidrant"/>
        <w:rPr>
          <w:noProof/>
        </w:rPr>
      </w:pPr>
      <w:r w:rsidRPr="00B11CDA">
        <w:t>(6)</w:t>
      </w:r>
      <w:r w:rsidRPr="00B11CDA">
        <w:tab/>
      </w:r>
      <w:r w:rsidR="00616E0C" w:rsidRPr="0032658A">
        <w:rPr>
          <w:noProof/>
        </w:rPr>
        <w:t xml:space="preserve">dauguma ES žvejybos laivų dėl savo mažo dydžio vykdo veiklą teritoriniuose vandenyse ir nėra inspektuojami užsienio uostuose. Tai reiškia, kad apskritai tikėtina, kad tik didesni žvejybos laivai, kurių ilgis didesnis kaip 24 metrai (kurie taip pat yra žvejybos laivai, kuriems dažniausiai taikomos tarptautinės konvencijos), plaukios tarptautiniuose vandenyse ir įplauks į kitus uostus, nei tos valstybės, kurioje jie registruoti, todėl jiems taikoma UVK. Kadangi dauguma didesniems žvejybos laivams taikomų tarptautinių konvencijų skiriasi nuo konvencijų, kurių vykdymas šiuo metu užtikrinamas atliekant uosto valstybės kontrolę, ir siekiant išvengti nepageidaujamo šalutinio poveikio dabartinei uosto valstybės kontrolės sistemai, siūloma lygiagreti žvejybos laivams taikoma uosto valstybės kontrolės sistema; </w:t>
      </w:r>
    </w:p>
    <w:p w14:paraId="02D923F4" w14:textId="24021745" w:rsidR="00616E0C" w:rsidRPr="0032658A" w:rsidRDefault="00B11CDA" w:rsidP="00B11CDA">
      <w:pPr>
        <w:pStyle w:val="ManualConsidrant"/>
        <w:rPr>
          <w:noProof/>
        </w:rPr>
      </w:pPr>
      <w:r w:rsidRPr="00B11CDA">
        <w:t>(7)</w:t>
      </w:r>
      <w:r w:rsidRPr="00B11CDA">
        <w:tab/>
      </w:r>
      <w:r w:rsidR="00285C45" w:rsidRPr="0032658A">
        <w:rPr>
          <w:noProof/>
        </w:rPr>
        <w:t xml:space="preserve">tačiau dėl žvejybos modelių šie didesni žvejybos laivai lankosi ne visose ES valstybėse narėse. Todėl toms ES valstybėms narėms, kurios pageidauja atlikti šiuos inspektavimus, siūloma sukurti savanorišką sistemą, kuri būtų atskira nuo dabartinio uosto valstybės kontrolės režimo, kad būtų užtikrintas lankstumas ir būtų galima lanksčiau rengti uosto valstybės kontrolės standartus. Todėl valstybės narės, Paryžiaus SM ir Komisija šią uosto valstybės kontrolės sistemą, taikomą ilgesniems kaip 24 metrų ilgio žvejybos laivams, gali plėtoti organiškai; </w:t>
      </w:r>
    </w:p>
    <w:p w14:paraId="5F450647" w14:textId="1AFE2C9C" w:rsidR="00EC33A0" w:rsidRPr="0032658A" w:rsidRDefault="00B11CDA" w:rsidP="00B11CDA">
      <w:pPr>
        <w:pStyle w:val="ManualConsidrant"/>
        <w:rPr>
          <w:noProof/>
        </w:rPr>
      </w:pPr>
      <w:r w:rsidRPr="00B11CDA">
        <w:t>(8)</w:t>
      </w:r>
      <w:r w:rsidRPr="00B11CDA">
        <w:tab/>
      </w:r>
      <w:r w:rsidR="00F0030F" w:rsidRPr="0032658A">
        <w:rPr>
          <w:noProof/>
        </w:rPr>
        <w:t xml:space="preserve">pagal deramos dalies principo mechanizmą inspektavimo našta paskirstoma Paryžiaus SM valstybėms narėms. Kiekvienai valstybei narei skiriamas tam tikras kasmet atliktinų inspektavimų skaičius – jos įsipareigojimas atlikti inspektavimus arba derama inspektavimų dalis.  Tinkamumą atlikti inspektavimą pirmiausia lemia tai, kiek laiko praėjo nuo paskutinio inspektavimo. II pirmenybės laivai gali būti inspektuojami, o I pirmenybės laivai turi būti inspektuojami; </w:t>
      </w:r>
    </w:p>
    <w:p w14:paraId="760ECC4D" w14:textId="16176804" w:rsidR="00012E16" w:rsidRPr="0032658A" w:rsidRDefault="00B11CDA" w:rsidP="00B11CDA">
      <w:pPr>
        <w:pStyle w:val="ManualConsidrant"/>
        <w:rPr>
          <w:noProof/>
        </w:rPr>
      </w:pPr>
      <w:r w:rsidRPr="00B11CDA">
        <w:t>(9)</w:t>
      </w:r>
      <w:r w:rsidRPr="00B11CDA">
        <w:tab/>
      </w:r>
      <w:r w:rsidR="00B228E5" w:rsidRPr="0032658A">
        <w:rPr>
          <w:noProof/>
        </w:rPr>
        <w:t>valstybėms narėms leidžiama neatlikti tam tikrų prioritetinių inspektavimų ir vis tiek įvykdyti įsipareigojimą atlikti inspektavimus. Tačiau kai kuriose valstybėse narėse per konkrečius metus faktiškai įplaukiančių laivų skaičius gali viršyti paskirtą įsipareigojimą atlikti inspektavimus arba būti už jį mažesnis. Nustatyta, kad papildoma šių valstybių narių (kurioms tenka pernelyg didelė našta arba kurios nepatiria pernelyg didelės naštos) tinkamos įsipareigojimų dalies prievolės laikymosi priemonė yra nelanksti, todėl atitinkamas nuostatas būtina suderinti su peržiūrėtomis Paryžiaus SM nuostatomis;</w:t>
      </w:r>
    </w:p>
    <w:p w14:paraId="30C09624" w14:textId="772308D9" w:rsidR="0043453C" w:rsidRPr="0032658A" w:rsidRDefault="00B11CDA" w:rsidP="00B11CDA">
      <w:pPr>
        <w:pStyle w:val="ManualConsidrant"/>
        <w:rPr>
          <w:noProof/>
        </w:rPr>
      </w:pPr>
      <w:r w:rsidRPr="00B11CDA">
        <w:t>(10)</w:t>
      </w:r>
      <w:r w:rsidRPr="00B11CDA">
        <w:tab/>
      </w:r>
      <w:r w:rsidR="00012E16" w:rsidRPr="0032658A">
        <w:rPr>
          <w:noProof/>
        </w:rPr>
        <w:t>valstybėms narėms taip pat leidžiama tam tikromis aplinkybėmis atidėti laivų inspektavimą, jei laivas inspektuojamas kitame įplaukimo uoste arba per 15 dienų, ir ši galimybė pakeičiama taip, kad ja galėtų pasinaudoti visos valstybės narės. Tam tikrų kategorijų laivai, kurie laikomi keliančiais didesnę riziką ir kuriems dėl to gali būti taikomas išplėstinis inspektavimas, turi pranešti apie numatomą atplaukimo į uostą laiką likus 72 valandoms iki atplaukimo. Tačiau po kelerių metų buvo padaryta išvada, kad šis įpareigojimas pernelyg apsunkina veiklos vykdytojus ir nesukuria jokios pridėtinės vertės, nes nacionalinės valdžios institucijos reikiamą informaciją jau gali lengviau rasti THETIS duomenų bazėje. Tuo remiantis Paryžiaus SM panaikintas šis išankstinio pranešimo apie atvykimą įpareigojimas, todėl Direktyva 2009/16/EB turėtų būti atitinkamai priderinta;</w:t>
      </w:r>
    </w:p>
    <w:p w14:paraId="674CB9C5" w14:textId="57551C14" w:rsidR="00B27DD2" w:rsidRPr="0032658A" w:rsidRDefault="00B11CDA" w:rsidP="00B11CDA">
      <w:pPr>
        <w:pStyle w:val="ManualConsidrant"/>
        <w:rPr>
          <w:noProof/>
        </w:rPr>
      </w:pPr>
      <w:r w:rsidRPr="00B11CDA">
        <w:t>(11)</w:t>
      </w:r>
      <w:r w:rsidRPr="00B11CDA">
        <w:tab/>
      </w:r>
      <w:r w:rsidR="0001549A" w:rsidRPr="0032658A">
        <w:rPr>
          <w:noProof/>
        </w:rPr>
        <w:t>per pastarąjį dešimtmetį, nepaisant padidėjusio laivų, įplaukiančių į ES uostus, skaičiaus, įskaitant trumpųjų nuotolių laivybą tarp pagrindinių ES valstybių narių uostų ir uostų, esančių Europos geografinėje teritorijoje arba ne Europos šalyse Viduržemio ir Juodojoje jūrose, laivų, įplaukiančių į ES uostus, sauga gerokai pagerėjo. Vis dažniau atliekami uosto valstybės kontrolės inspektavimai siekiant užtikrinti aplinkos apsaugos teisės aktų, pavyzdžiui, susijusių su išmetamu sieros kiekiu arba saugiu ir aplinkai tinkamu laivų išmontavimu, vykdymą. Pasirengimo įgyvendinti 55 % tikslą priemonių rinkinio tikslas – iki 2030 m. 55 proc. sumažinti bendrą ES išmetamą šiltnamio efektą sukeliančių dujų kiekį, sudarant sąlygas iki 2050 m. neutralizuoti poveikį klimatui, o jūrų transporto sektorius turėtų prisidėti prie šių pastangų. Tačiau laivo rizikos lygio, parengto iki 2009 m., prioritetai buvo kitokie ir jis nėra visiškai pritaikytas, kad inspektavimo pastangas būtų galima sutelkti į mažiausiai aplinką tausojančius laivus;</w:t>
      </w:r>
    </w:p>
    <w:p w14:paraId="057F9A7B" w14:textId="67FFB1CE" w:rsidR="0001549A" w:rsidRPr="0032658A" w:rsidRDefault="00B11CDA" w:rsidP="00B11CDA">
      <w:pPr>
        <w:pStyle w:val="ManualConsidrant"/>
        <w:rPr>
          <w:noProof/>
        </w:rPr>
      </w:pPr>
      <w:r w:rsidRPr="00B11CDA">
        <w:t>(12)</w:t>
      </w:r>
      <w:r w:rsidRPr="00B11CDA">
        <w:tab/>
      </w:r>
      <w:r w:rsidR="0001549A" w:rsidRPr="0032658A">
        <w:rPr>
          <w:noProof/>
        </w:rPr>
        <w:t xml:space="preserve">tuo remiantis laivo rizikos lygis turėtų būti atnaujintas, kad būtų atsižvelgta į aplinkosaugos klausimus, daugiau dėmesio skiriant aplinkosauginiam veiksmingumui, įskaitant inspektuojamų laivų eksploatacinį taršos anglies dioksidu intensyvumą, taip pat su aplinka susijusiems trūkumams ir sulaikymams; </w:t>
      </w:r>
    </w:p>
    <w:p w14:paraId="0B5600FB" w14:textId="38C7E742" w:rsidR="00593403" w:rsidRPr="0032658A" w:rsidRDefault="00B11CDA" w:rsidP="00B11CDA">
      <w:pPr>
        <w:pStyle w:val="ManualConsidrant"/>
        <w:rPr>
          <w:noProof/>
        </w:rPr>
      </w:pPr>
      <w:r w:rsidRPr="00B11CDA">
        <w:t>(13)</w:t>
      </w:r>
      <w:r w:rsidRPr="00B11CDA">
        <w:tab/>
      </w:r>
      <w:r w:rsidR="00593403" w:rsidRPr="0032658A">
        <w:rPr>
          <w:noProof/>
        </w:rPr>
        <w:t xml:space="preserve">skaitmenizacija yra esminis technologinės pažangos aspektas duomenų rinkimo ir komunikacijos srityje, siekiant padėti sumažinti išlaidas ir efektyviai naudoti žmogiškuosius išteklius. Šiuo metu daugėja laivų, turinčių elektroninius liudijimus, ir numatoma, kad jų skaičius didės. Todėl uosto valstybės kontrolės veiksmingumas turėtų būti padidintas, dažniau naudojantis elektroniniais liudijimais, kad būtų galima atlikti į laivą labiau orientuotus ir geriau parengtus inspektavimus. Šių elektroninių liudijimų diegimas ir naudojimas turėtų būti skatinami juos įtraukiant į laivo rizikos lygį; </w:t>
      </w:r>
    </w:p>
    <w:p w14:paraId="7D705BAC" w14:textId="5F28BC2D" w:rsidR="0001549A" w:rsidRPr="0032658A" w:rsidRDefault="00B11CDA" w:rsidP="00B11CDA">
      <w:pPr>
        <w:pStyle w:val="ManualConsidrant"/>
        <w:rPr>
          <w:noProof/>
        </w:rPr>
      </w:pPr>
      <w:r w:rsidRPr="00B11CDA">
        <w:t>(14)</w:t>
      </w:r>
      <w:r w:rsidRPr="00B11CDA">
        <w:tab/>
      </w:r>
      <w:r w:rsidR="00383022" w:rsidRPr="0032658A">
        <w:rPr>
          <w:noProof/>
        </w:rPr>
        <w:t>uosto valstybės kontrolė tampa vis sudėtingesnė, nes ES teisės aktais arba per Tarptautinę jūrų organizaciją nustatomi nauji inspektavimo reikalavimai. Todėl reikia užtikrinti uosto valstybės kontrolės pareigūnų kvalifikacijos kėlimą ir perkvalifikavimą bei nuolat tobulinti jų mokymą;</w:t>
      </w:r>
    </w:p>
    <w:p w14:paraId="5A79C20E" w14:textId="2B3D0655" w:rsidR="00241DEF" w:rsidRPr="0032658A" w:rsidRDefault="00B11CDA" w:rsidP="00B11CDA">
      <w:pPr>
        <w:pStyle w:val="ManualConsidrant"/>
        <w:rPr>
          <w:noProof/>
        </w:rPr>
      </w:pPr>
      <w:r w:rsidRPr="00B11CDA">
        <w:t>(15)</w:t>
      </w:r>
      <w:r w:rsidRPr="00B11CDA">
        <w:tab/>
      </w:r>
      <w:r w:rsidR="00C67387" w:rsidRPr="0032658A">
        <w:rPr>
          <w:noProof/>
        </w:rPr>
        <w:t>Sąjungos vėliavos valstybių administracijos pagal Europos Parlamento ir Tarybos direktyvą 2009/21/EB</w:t>
      </w:r>
      <w:r w:rsidR="00C67387" w:rsidRPr="0032658A">
        <w:rPr>
          <w:rStyle w:val="FootnoteReference"/>
          <w:noProof/>
        </w:rPr>
        <w:footnoteReference w:id="26"/>
      </w:r>
      <w:r w:rsidR="00C67387" w:rsidRPr="0032658A">
        <w:rPr>
          <w:noProof/>
        </w:rPr>
        <w:t xml:space="preserve"> turi turėti kokybės valdymo sistemą, kad padėtų valstybėms narėms toliau gerinti savo, kaip vėliavos valstybių, veiklos rezultatus ir užtikrinti vienodas sąlygas administracijoms. Panašus reikalavimas, taikomas uosto valstybės kontrolės veiklai, turėtų suteikti galimybę valstybėms narėms patvirtinti, kad jų organizacija, politika, procesai, ištekliai ir dokumentai yra tinkami jų tikslams pasiekti, taip pat nustatyti sistemines problemas, pvz., išteklių ar personalo paskirstymo klausimus, prieš jiems tampant probleminiais; </w:t>
      </w:r>
    </w:p>
    <w:p w14:paraId="0C167492" w14:textId="596FA5EB" w:rsidR="00C67387" w:rsidRPr="0032658A" w:rsidRDefault="00B11CDA" w:rsidP="00B11CDA">
      <w:pPr>
        <w:pStyle w:val="ManualConsidrant"/>
        <w:rPr>
          <w:noProof/>
        </w:rPr>
      </w:pPr>
      <w:r w:rsidRPr="00B11CDA">
        <w:t>(16)</w:t>
      </w:r>
      <w:r w:rsidRPr="00B11CDA">
        <w:tab/>
      </w:r>
      <w:r w:rsidR="00C67387" w:rsidRPr="0032658A">
        <w:rPr>
          <w:noProof/>
        </w:rPr>
        <w:t>siekiant sudaryti sąlygas naujausiam šios direktyvos nuostatų taikymui, kad valstybės narės galėtų vykdyti savo pareigas pagal tarptautinę teisę laikydamosi šios direktyvos, pagal Sutarties dėl Europos Sąjungos veikimo 290 straipsnį Komisijai turėtų būti suteikti įgaliojimai priimti aktus, kuriais atnaujinamos konvencijos, patenkančios į Direktyvos 2009/16/EB taikymo sritį, ir iš dalies keičiamas Paryžiaus SM patvirtintas su uosto valstybės kontrole susijusių procedūrų ir gairių sąrašas. Ypač svarbu, kad atlikdama parengiamąjį darbą Komisija tinkamai konsultuotųsi, taip pat su ekspertais ir kad tos konsultacijos būtų vykdomos vadovaujantis 2016 m. balandžio 13 d. Tarpinstituciniame susitarime dėl geresnės teisėkūros</w:t>
      </w:r>
      <w:r w:rsidR="00C67387" w:rsidRPr="0032658A">
        <w:rPr>
          <w:rStyle w:val="FootnoteReference"/>
          <w:noProof/>
        </w:rPr>
        <w:footnoteReference w:id="27"/>
      </w:r>
      <w:r w:rsidR="00C67387" w:rsidRPr="0032658A">
        <w:rPr>
          <w:noProof/>
        </w:rPr>
        <w:t xml:space="preserve"> nustatytais principais. Visų pirma siekiant užtikrinti vienodas galimybes dalyvauti atliekant su deleguotaisiais aktais susijusį parengiamąjį darbą, Europos Parlamentas ir Taryba visus dokumentus gauna tuo pačiu metu kaip ir valstybių narių ekspertai, o jų ekspertams sistemingai suteikiama galimybė dalyvauti Komisijos ekspertų grupių, kurios atlieka su deleguotaisiais aktais susijusį parengiamąjį darbą, posėdžiuose;</w:t>
      </w:r>
    </w:p>
    <w:p w14:paraId="5482C494" w14:textId="5F2CEC3C" w:rsidR="000162E9" w:rsidRPr="0032658A" w:rsidRDefault="00B11CDA" w:rsidP="00B11CDA">
      <w:pPr>
        <w:pStyle w:val="ManualConsidrant"/>
        <w:rPr>
          <w:noProof/>
        </w:rPr>
      </w:pPr>
      <w:r w:rsidRPr="00B11CDA">
        <w:t>(17)</w:t>
      </w:r>
      <w:r w:rsidRPr="00B11CDA">
        <w:tab/>
      </w:r>
      <w:r w:rsidR="000162E9" w:rsidRPr="0032658A">
        <w:rPr>
          <w:noProof/>
        </w:rPr>
        <w:t>siekiant užtikrinti vienodas Direktyvos 2009/16/EB nuostatų dėl konvencijų, patenkančių į jos taikymo sritį, sąrašo, savanoriškos uosto valstybės kontrolės režimo žvejybos laivams, kurių bendras ilgis yra didesnis kaip 24 metrai, VII priedo dėl išplėstinio inspektavimo taikymo sąlygų, vienodų saugos ir saugumo gairių bei procedūrų rinkinio, taip pat elektroninių liudijimų reikalavimų, įgyvendinimo sąlygas, Komisijai turėtų būti suteikti įgyvendinimo įgaliojimai. Tais įgaliojimais turėtų būti naudojamasi laikantis Europos Parlamento ir Tarybos reglamento (ES) Nr. 182/2011</w:t>
      </w:r>
      <w:r w:rsidR="000162E9" w:rsidRPr="0032658A">
        <w:rPr>
          <w:rStyle w:val="FootnoteReference"/>
          <w:noProof/>
        </w:rPr>
        <w:footnoteReference w:id="28"/>
      </w:r>
      <w:r w:rsidR="000162E9" w:rsidRPr="0032658A">
        <w:rPr>
          <w:noProof/>
        </w:rPr>
        <w:t>;</w:t>
      </w:r>
    </w:p>
    <w:p w14:paraId="37BC3CCE" w14:textId="492D0530" w:rsidR="00D74288" w:rsidRPr="0032658A" w:rsidRDefault="00B11CDA" w:rsidP="00B11CDA">
      <w:pPr>
        <w:pStyle w:val="ManualConsidrant"/>
        <w:rPr>
          <w:noProof/>
        </w:rPr>
      </w:pPr>
      <w:r w:rsidRPr="00B11CDA">
        <w:t>(18)</w:t>
      </w:r>
      <w:r w:rsidRPr="00B11CDA">
        <w:tab/>
      </w:r>
      <w:r w:rsidR="00241DEF" w:rsidRPr="0032658A">
        <w:rPr>
          <w:noProof/>
        </w:rPr>
        <w:t xml:space="preserve">siekiant pagerinti uosto valstybės kontrolės inspektavimų kokybę netoli ES esančiose jūrų zonose, visos reikalavimus atitinkančios valstybės narės raginamos prisijungti prie Viduržemio jūros susitarimo memorandumo dėl uosto valstybės kontrolės (Med SM);  </w:t>
      </w:r>
    </w:p>
    <w:p w14:paraId="4B7578E9" w14:textId="192F5DC5" w:rsidR="007E6B68" w:rsidRPr="0032658A" w:rsidRDefault="00B11CDA" w:rsidP="00B11CDA">
      <w:pPr>
        <w:pStyle w:val="ManualConsidrant"/>
        <w:rPr>
          <w:noProof/>
        </w:rPr>
      </w:pPr>
      <w:r w:rsidRPr="00B11CDA">
        <w:t>(19)</w:t>
      </w:r>
      <w:r w:rsidRPr="00B11CDA">
        <w:tab/>
      </w:r>
      <w:r w:rsidR="007E6B68" w:rsidRPr="0032658A">
        <w:rPr>
          <w:noProof/>
        </w:rPr>
        <w:t>atsižvelgiant į visą Europos jūrų saugumo agentūros (EMSA) apsilankymų valstybėse narėse siekiant stebėti, kaip įgyvendinama Direktyva 2009/16/EB, stebėsenos ciklą, Komisija turėtų įvertinti Direktyvos 2009/16/EB įgyvendinimą ne vėliau kaip [10 metų nuo XX straipsnyje nurodytos jos taikymo pradžios datos] ir apie tai pateikti ataskaitą Europos Parlamentui ir Tarybai. Valstybės narės turėtų bendradarbiauti su Komisija, kad ji galėtų surinkti visą šiam vertinimui reikiamą informaciją;</w:t>
      </w:r>
    </w:p>
    <w:p w14:paraId="74AC66D2" w14:textId="0AF5F7C8" w:rsidR="00D74288" w:rsidRPr="0032658A" w:rsidRDefault="00B11CDA" w:rsidP="00B11CDA">
      <w:pPr>
        <w:pStyle w:val="ManualConsidrant"/>
        <w:rPr>
          <w:noProof/>
        </w:rPr>
      </w:pPr>
      <w:r w:rsidRPr="00B11CDA">
        <w:t>(20)</w:t>
      </w:r>
      <w:r w:rsidRPr="00B11CDA">
        <w:tab/>
      </w:r>
      <w:r w:rsidR="00D74288" w:rsidRPr="0032658A">
        <w:rPr>
          <w:noProof/>
        </w:rPr>
        <w:t xml:space="preserve">kadangi šios direktyvos tikslų valstybės narės negali deramai pasiekti dėl tarptautinio jūrų transporto pobūdžio, o dėl kartu veikiančių valstybių narių tinklo poveikio tų tikslų būtų geriau siekti Sąjungos lygmeniu, laikydamasi Europos Sąjungos sutarties 5 straipsnyje nustatyto subsidiarumo principo Sąjunga gali patvirtinti priemones. Pagal tame straipsnyje nustatytą proporcingumo principą šia direktyva neviršijama to, kas būtina nurodytiems tikslams pasiekti; </w:t>
      </w:r>
    </w:p>
    <w:p w14:paraId="14F180E0" w14:textId="4642C7C0" w:rsidR="007E6B68" w:rsidRPr="0032658A" w:rsidRDefault="00B11CDA" w:rsidP="00B11CDA">
      <w:pPr>
        <w:pStyle w:val="ManualConsidrant"/>
        <w:rPr>
          <w:noProof/>
        </w:rPr>
      </w:pPr>
      <w:r w:rsidRPr="00B11CDA">
        <w:t>(21)</w:t>
      </w:r>
      <w:r w:rsidRPr="00B11CDA">
        <w:tab/>
      </w:r>
      <w:r w:rsidR="007E6B68" w:rsidRPr="0032658A">
        <w:rPr>
          <w:noProof/>
        </w:rPr>
        <w:t>todėl Direktyva 2009/16/EB turėtų būti atitinkamai iš dalies pakeista,</w:t>
      </w:r>
    </w:p>
    <w:p w14:paraId="0FE9CB26" w14:textId="77777777" w:rsidR="00951E8E" w:rsidRPr="0032658A" w:rsidRDefault="00951E8E" w:rsidP="00596E2C">
      <w:pPr>
        <w:rPr>
          <w:noProof/>
        </w:rPr>
      </w:pPr>
    </w:p>
    <w:p w14:paraId="17232602" w14:textId="77777777" w:rsidR="005B3330" w:rsidRPr="0032658A" w:rsidRDefault="005B3330" w:rsidP="007800DD">
      <w:pPr>
        <w:pStyle w:val="Formuledadoption"/>
        <w:rPr>
          <w:noProof/>
        </w:rPr>
      </w:pPr>
      <w:r w:rsidRPr="0032658A">
        <w:rPr>
          <w:noProof/>
        </w:rPr>
        <w:t>PRIĖMĖ ŠIĄ DIREKTYVĄ:</w:t>
      </w:r>
    </w:p>
    <w:p w14:paraId="3A75CCDB" w14:textId="77777777" w:rsidR="005B3330" w:rsidRPr="0032658A" w:rsidRDefault="005B3330" w:rsidP="007800DD">
      <w:pPr>
        <w:pStyle w:val="Titrearticle"/>
        <w:rPr>
          <w:noProof/>
        </w:rPr>
      </w:pPr>
      <w:r w:rsidRPr="0032658A">
        <w:rPr>
          <w:noProof/>
        </w:rPr>
        <w:t>1 straipsnis</w:t>
      </w:r>
    </w:p>
    <w:p w14:paraId="5440B4E4" w14:textId="77777777" w:rsidR="00F60D5A" w:rsidRPr="0032658A" w:rsidRDefault="00F60D5A" w:rsidP="00E02437">
      <w:pPr>
        <w:pStyle w:val="Titrearticle"/>
        <w:rPr>
          <w:b/>
          <w:i w:val="0"/>
          <w:noProof/>
        </w:rPr>
      </w:pPr>
      <w:r w:rsidRPr="0032658A">
        <w:rPr>
          <w:b/>
          <w:i w:val="0"/>
          <w:noProof/>
        </w:rPr>
        <w:t>Direktyvos 2009/16/EB pakeitimai</w:t>
      </w:r>
    </w:p>
    <w:p w14:paraId="516865AB" w14:textId="77777777" w:rsidR="009A2248" w:rsidRPr="0032658A" w:rsidRDefault="009A2248" w:rsidP="00E02437">
      <w:pPr>
        <w:rPr>
          <w:b/>
          <w:noProof/>
        </w:rPr>
      </w:pPr>
      <w:r w:rsidRPr="0032658A">
        <w:rPr>
          <w:noProof/>
        </w:rPr>
        <w:t xml:space="preserve">Direktyva 2009/16/EB iš dalies keičiama taip: </w:t>
      </w:r>
    </w:p>
    <w:p w14:paraId="2D113EF8" w14:textId="33790F0A" w:rsidR="00A25043" w:rsidRPr="0032658A" w:rsidRDefault="00B11CDA" w:rsidP="00B11CDA">
      <w:pPr>
        <w:pStyle w:val="Point0"/>
        <w:rPr>
          <w:noProof/>
        </w:rPr>
      </w:pPr>
      <w:r w:rsidRPr="00B11CDA">
        <w:t>(1)</w:t>
      </w:r>
      <w:r w:rsidRPr="00B11CDA">
        <w:tab/>
      </w:r>
      <w:r w:rsidR="00477B6D" w:rsidRPr="0032658A">
        <w:rPr>
          <w:noProof/>
        </w:rPr>
        <w:t>2 straipsnis iš dalies keičiamas taip:</w:t>
      </w:r>
    </w:p>
    <w:p w14:paraId="09A96E83" w14:textId="65D83BC0" w:rsidR="0073355D" w:rsidRPr="0032658A" w:rsidRDefault="00B11CDA" w:rsidP="00B11CDA">
      <w:pPr>
        <w:pStyle w:val="Point1"/>
        <w:rPr>
          <w:noProof/>
        </w:rPr>
      </w:pPr>
      <w:r w:rsidRPr="00B11CDA">
        <w:t>(a)</w:t>
      </w:r>
      <w:r w:rsidRPr="00B11CDA">
        <w:tab/>
      </w:r>
      <w:r w:rsidR="00D63BC9" w:rsidRPr="0032658A">
        <w:rPr>
          <w:noProof/>
        </w:rPr>
        <w:t>1 punktas papildomas l ir m papunkčiais:</w:t>
      </w:r>
    </w:p>
    <w:p w14:paraId="440156D4" w14:textId="77777777" w:rsidR="0073355D" w:rsidRPr="0032658A" w:rsidRDefault="00E55A28" w:rsidP="00D74288">
      <w:pPr>
        <w:pStyle w:val="Point2"/>
        <w:rPr>
          <w:noProof/>
        </w:rPr>
      </w:pPr>
      <w:r w:rsidRPr="0032658A">
        <w:rPr>
          <w:noProof/>
        </w:rPr>
        <w:t>„l)</w:t>
      </w:r>
      <w:r w:rsidRPr="0032658A">
        <w:rPr>
          <w:noProof/>
        </w:rPr>
        <w:tab/>
        <w:t>Tarptautinė konvencija dėl laivuose naudojamų balastinių vandenų ir nuosėdų tvarkymo ir kontrolės (BWM konvencija);</w:t>
      </w:r>
    </w:p>
    <w:p w14:paraId="026CE88C" w14:textId="77777777" w:rsidR="0073355D" w:rsidRPr="0032658A" w:rsidRDefault="0073355D" w:rsidP="000466C9">
      <w:pPr>
        <w:pStyle w:val="Point2"/>
        <w:rPr>
          <w:noProof/>
        </w:rPr>
      </w:pPr>
      <w:r w:rsidRPr="0032658A">
        <w:rPr>
          <w:noProof/>
        </w:rPr>
        <w:t>m)</w:t>
      </w:r>
      <w:r w:rsidRPr="0032658A">
        <w:rPr>
          <w:noProof/>
        </w:rPr>
        <w:tab/>
        <w:t>Nairobio tarptautinė konvencija dėl laivų nuolaužų pašalinimo (Nairobio konvencija).“;</w:t>
      </w:r>
    </w:p>
    <w:p w14:paraId="2721FB0F" w14:textId="0CCB1458" w:rsidR="00CA7C81" w:rsidRPr="0032658A" w:rsidRDefault="00B11CDA" w:rsidP="00B11CDA">
      <w:pPr>
        <w:pStyle w:val="Point1"/>
        <w:rPr>
          <w:noProof/>
        </w:rPr>
      </w:pPr>
      <w:r w:rsidRPr="00B11CDA">
        <w:t>(b)</w:t>
      </w:r>
      <w:r w:rsidRPr="00B11CDA">
        <w:tab/>
      </w:r>
      <w:r w:rsidR="00CA7C81" w:rsidRPr="0032658A">
        <w:rPr>
          <w:noProof/>
        </w:rPr>
        <w:t>3 punktas išbraukiamas;</w:t>
      </w:r>
    </w:p>
    <w:p w14:paraId="5DA92AC4" w14:textId="30501F3C" w:rsidR="003914FB" w:rsidRPr="0032658A" w:rsidRDefault="00B11CDA" w:rsidP="00B11CDA">
      <w:pPr>
        <w:pStyle w:val="Point0"/>
        <w:rPr>
          <w:noProof/>
        </w:rPr>
      </w:pPr>
      <w:r w:rsidRPr="00B11CDA">
        <w:t>(2)</w:t>
      </w:r>
      <w:r w:rsidRPr="00B11CDA">
        <w:tab/>
      </w:r>
      <w:r w:rsidR="00F60D5A" w:rsidRPr="0032658A">
        <w:rPr>
          <w:noProof/>
        </w:rPr>
        <w:t>3 straipsnis keičiamas taip:</w:t>
      </w:r>
    </w:p>
    <w:p w14:paraId="3DDA9A83" w14:textId="18272200" w:rsidR="003914FB" w:rsidRPr="0032658A" w:rsidRDefault="00B11CDA" w:rsidP="00B11CDA">
      <w:pPr>
        <w:pStyle w:val="Point1"/>
        <w:rPr>
          <w:noProof/>
        </w:rPr>
      </w:pPr>
      <w:r w:rsidRPr="00B11CDA">
        <w:t>(a)</w:t>
      </w:r>
      <w:r w:rsidRPr="00B11CDA">
        <w:tab/>
      </w:r>
      <w:r w:rsidR="00DB7D6E" w:rsidRPr="0032658A">
        <w:rPr>
          <w:noProof/>
        </w:rPr>
        <w:t>4 dalis pakeičiama taip:</w:t>
      </w:r>
    </w:p>
    <w:p w14:paraId="0666705B" w14:textId="77777777" w:rsidR="0073355D" w:rsidRPr="0032658A" w:rsidRDefault="00F5023A" w:rsidP="00E55A28">
      <w:pPr>
        <w:pStyle w:val="Point2"/>
        <w:ind w:left="1417" w:firstLine="0"/>
        <w:rPr>
          <w:noProof/>
        </w:rPr>
      </w:pPr>
      <w:r w:rsidRPr="0032658A">
        <w:rPr>
          <w:noProof/>
        </w:rPr>
        <w:t>„4.</w:t>
      </w:r>
      <w:r w:rsidRPr="0032658A">
        <w:rPr>
          <w:noProof/>
        </w:rPr>
        <w:tab/>
        <w:t>Ši direktyva netaikoma žvejybos laivams, kurių bendras ilgis mažesnis nei 24 metrai, karo, pagalbiniams laivams, paprastos konstrukcijos mediniams laivams, valstybiniams laivams, naudojamiems nekomerciniais tikslais, ir pramoginėms jachtoms, nenaudojamoms prekybai.“;</w:t>
      </w:r>
    </w:p>
    <w:p w14:paraId="22F10197" w14:textId="54493946" w:rsidR="0073355D" w:rsidRPr="0032658A" w:rsidRDefault="00B11CDA" w:rsidP="00B11CDA">
      <w:pPr>
        <w:pStyle w:val="Point1"/>
        <w:rPr>
          <w:noProof/>
        </w:rPr>
      </w:pPr>
      <w:r w:rsidRPr="00B11CDA">
        <w:t>(b)</w:t>
      </w:r>
      <w:r w:rsidRPr="00B11CDA">
        <w:tab/>
      </w:r>
      <w:r w:rsidR="00DB7D6E" w:rsidRPr="0032658A">
        <w:rPr>
          <w:noProof/>
        </w:rPr>
        <w:t xml:space="preserve"> pridedama 4a dalis: </w:t>
      </w:r>
    </w:p>
    <w:p w14:paraId="12D6CFFB" w14:textId="77777777" w:rsidR="0073355D" w:rsidRPr="0032658A" w:rsidRDefault="00F5023A" w:rsidP="00D74288">
      <w:pPr>
        <w:pStyle w:val="Point2"/>
        <w:ind w:left="1417" w:firstLine="0"/>
        <w:rPr>
          <w:noProof/>
        </w:rPr>
      </w:pPr>
      <w:r w:rsidRPr="0032658A">
        <w:rPr>
          <w:noProof/>
        </w:rPr>
        <w:t>„4a.</w:t>
      </w:r>
      <w:r w:rsidRPr="0032658A">
        <w:rPr>
          <w:noProof/>
        </w:rPr>
        <w:tab/>
        <w:t>Valstybės narės gali atlikti žvejybos laivų, kurių bendras ilgis yra didesnis kaip 24 metrai, uosto valstybės kontrolės inspektavimus. Komisija priima įgyvendinimo aktus, kuriais nustatomos tokio specialaus uosto valstybės kontrolės režimo, taikomo žvejybos laivams, kurių bendras ilgis yra didesnis kaip 24 metrai, sąlygos. Tie įgyvendinimo aktai priimami laikantis 31 straipsnio 2 dalyje nurodytos nagrinėjimo procedūros.“;</w:t>
      </w:r>
    </w:p>
    <w:p w14:paraId="55F586A8" w14:textId="1117ACB4" w:rsidR="00737023" w:rsidRPr="0032658A" w:rsidRDefault="00B11CDA" w:rsidP="00B11CDA">
      <w:pPr>
        <w:pStyle w:val="Point0"/>
        <w:rPr>
          <w:noProof/>
        </w:rPr>
      </w:pPr>
      <w:r w:rsidRPr="00B11CDA">
        <w:t>(3)</w:t>
      </w:r>
      <w:r w:rsidRPr="00B11CDA">
        <w:tab/>
      </w:r>
      <w:r w:rsidR="00D74288" w:rsidRPr="0032658A">
        <w:rPr>
          <w:noProof/>
        </w:rPr>
        <w:t xml:space="preserve">5 straipsnyje įterpiama 2a dalis: </w:t>
      </w:r>
    </w:p>
    <w:p w14:paraId="473BB6E5" w14:textId="77777777" w:rsidR="00737023" w:rsidRPr="0032658A" w:rsidRDefault="00F5023A" w:rsidP="00D74288">
      <w:pPr>
        <w:pStyle w:val="Point1"/>
        <w:ind w:left="850" w:firstLine="0"/>
        <w:rPr>
          <w:noProof/>
        </w:rPr>
      </w:pPr>
      <w:r w:rsidRPr="0032658A">
        <w:rPr>
          <w:noProof/>
        </w:rPr>
        <w:t>„2a.</w:t>
      </w:r>
      <w:r w:rsidRPr="0032658A">
        <w:rPr>
          <w:noProof/>
        </w:rPr>
        <w:tab/>
        <w:t>Apskaičiuojant valstybių narių, kurios yra Paryžiaus SM šalys, metinį įsipareigojimą atlikti inspektavimus, neatsižvelgiama į valstybių narių atliktus II pirmenybės laivų inspektavimus, kai jų metinis įsipareigojimas atlikti inspektavimus viršijamas daugiau kaip 150 proc.“;</w:t>
      </w:r>
    </w:p>
    <w:p w14:paraId="58E43D31" w14:textId="057C6ABE" w:rsidR="00737023" w:rsidRPr="0032658A" w:rsidRDefault="00B11CDA" w:rsidP="00B11CDA">
      <w:pPr>
        <w:pStyle w:val="Point0"/>
        <w:rPr>
          <w:noProof/>
        </w:rPr>
      </w:pPr>
      <w:r w:rsidRPr="00B11CDA">
        <w:t>(4)</w:t>
      </w:r>
      <w:r w:rsidRPr="00B11CDA">
        <w:tab/>
      </w:r>
      <w:r w:rsidR="00737023" w:rsidRPr="0032658A">
        <w:rPr>
          <w:noProof/>
        </w:rPr>
        <w:t>6 straipsnis pakeičiamas taip:</w:t>
      </w:r>
    </w:p>
    <w:p w14:paraId="470C5E03" w14:textId="77777777" w:rsidR="00DD53CE" w:rsidRPr="0032658A" w:rsidRDefault="00E55A28" w:rsidP="00E55A28">
      <w:pPr>
        <w:pStyle w:val="Titrearticle"/>
        <w:rPr>
          <w:noProof/>
        </w:rPr>
      </w:pPr>
      <w:r w:rsidRPr="0032658A">
        <w:rPr>
          <w:noProof/>
        </w:rPr>
        <w:t>„6 straipsnis</w:t>
      </w:r>
    </w:p>
    <w:p w14:paraId="407F716E" w14:textId="77777777" w:rsidR="00DD53CE" w:rsidRPr="0032658A" w:rsidRDefault="00DD53CE" w:rsidP="00E55A28">
      <w:pPr>
        <w:pStyle w:val="Typeacteprincipal"/>
        <w:rPr>
          <w:noProof/>
        </w:rPr>
      </w:pPr>
      <w:r w:rsidRPr="0032658A">
        <w:rPr>
          <w:noProof/>
        </w:rPr>
        <w:t>Įsipareigojimo atlikti inspektavimus vykdymo tvarka</w:t>
      </w:r>
    </w:p>
    <w:p w14:paraId="742F68B7" w14:textId="77777777" w:rsidR="0073355D" w:rsidRPr="0032658A" w:rsidRDefault="00737023" w:rsidP="00E55A28">
      <w:pPr>
        <w:pStyle w:val="Point1"/>
        <w:ind w:left="850" w:firstLine="0"/>
        <w:rPr>
          <w:noProof/>
        </w:rPr>
      </w:pPr>
      <w:r w:rsidRPr="0032658A">
        <w:rPr>
          <w:noProof/>
        </w:rPr>
        <w:t>Laikoma, kad valstybė narė, neatlikusi 5 straipsnio 2 dalies a punkte nurodytų inspektavimų, yra įvykdžiusi savo įsipareigojimą pagal tą nuostatą, jei tokie neatlikti inspektavimai neviršija 10 proc. visų į jos uostus įplaukiančių ir į inkaravimo vietas atplaukiančių I pirmenybės laivų, neatsižvelgiant į jų rizikos lygį.</w:t>
      </w:r>
    </w:p>
    <w:p w14:paraId="59D139ED" w14:textId="77777777" w:rsidR="00737023" w:rsidRPr="0032658A" w:rsidRDefault="00737023" w:rsidP="009F36D7">
      <w:pPr>
        <w:pStyle w:val="Point1"/>
        <w:ind w:left="850" w:firstLine="0"/>
        <w:rPr>
          <w:noProof/>
        </w:rPr>
      </w:pPr>
      <w:r w:rsidRPr="0032658A">
        <w:rPr>
          <w:noProof/>
        </w:rPr>
        <w:t xml:space="preserve">Nepaisant pirmoje pastraipoje nurodytos neatliktų inspektavimų procentinės dalies, valstybės narės nustato inspektavimo prioritetiškumą tų laivų, kurie, pagal inspektavimo duomenų bazėje pateiktus duomenis, į Sąjungos uostus įplaukia nedažnai. </w:t>
      </w:r>
    </w:p>
    <w:p w14:paraId="4AA82645" w14:textId="77777777" w:rsidR="003914FB" w:rsidRPr="0032658A" w:rsidRDefault="00737023" w:rsidP="009F36D7">
      <w:pPr>
        <w:pStyle w:val="Point1"/>
        <w:ind w:left="850" w:firstLine="0"/>
        <w:rPr>
          <w:noProof/>
        </w:rPr>
      </w:pPr>
      <w:r w:rsidRPr="0032658A">
        <w:rPr>
          <w:noProof/>
        </w:rPr>
        <w:t>Nepaisant pirmoje pastraipoje nurodytos neatliktų inspektavimų procentinės dalies, į inkaravimo vietas atplaukiančių I pirmenybės laivų atveju valstybės narės pirmumo tvarka inspektuoja tuos aukšto rizikos lygio laivus, kurie, pagal inspektavimo duomenų bazėje pateiktus duomenis, į Sąjungos uostus įplaukia nedažnai.“;</w:t>
      </w:r>
    </w:p>
    <w:p w14:paraId="2FD0F17F" w14:textId="7F9B5798" w:rsidR="00737023" w:rsidRPr="0032658A" w:rsidRDefault="00B11CDA" w:rsidP="00B11CDA">
      <w:pPr>
        <w:pStyle w:val="Point0"/>
        <w:rPr>
          <w:noProof/>
        </w:rPr>
      </w:pPr>
      <w:r w:rsidRPr="00B11CDA">
        <w:t>(5)</w:t>
      </w:r>
      <w:r w:rsidRPr="00B11CDA">
        <w:tab/>
      </w:r>
      <w:r w:rsidR="00ED257A" w:rsidRPr="0032658A">
        <w:rPr>
          <w:noProof/>
        </w:rPr>
        <w:t>7 straipsnio 2 dalis pakeičiama taip:</w:t>
      </w:r>
    </w:p>
    <w:p w14:paraId="7DCD5319" w14:textId="77777777" w:rsidR="00737023" w:rsidRPr="0032658A" w:rsidRDefault="00E55A28" w:rsidP="005807B7">
      <w:pPr>
        <w:pStyle w:val="Point1"/>
        <w:ind w:left="850" w:firstLine="0"/>
        <w:rPr>
          <w:noProof/>
        </w:rPr>
      </w:pPr>
      <w:r w:rsidRPr="0032658A">
        <w:rPr>
          <w:noProof/>
        </w:rPr>
        <w:t>„2.</w:t>
      </w:r>
      <w:r w:rsidRPr="0032658A">
        <w:rPr>
          <w:noProof/>
        </w:rPr>
        <w:tab/>
        <w:t>Valstybė narė, kurioje bendras į uostus įplaukusių I ir II pirmenybės laivų skaičius yra mažesnis nei 150 proc. 5 straipsnio 2 dalies b punkte nurodytos inspektavimo dalies, laikoma įvykdžiusia savo metinį įsipareigojimą atlikti inspektavimus, jei ta valstybė narė inspektuoja du trečdalius visų į jos uostus įplaukiančių ir į inkaravimo vietas atplaukiančių I ir II pirmenybės laivų.“;</w:t>
      </w:r>
    </w:p>
    <w:p w14:paraId="48F9EE9A" w14:textId="647BE209" w:rsidR="00C23D2D" w:rsidRPr="0032658A" w:rsidRDefault="00B11CDA" w:rsidP="00B11CDA">
      <w:pPr>
        <w:pStyle w:val="Point0"/>
        <w:rPr>
          <w:noProof/>
        </w:rPr>
      </w:pPr>
      <w:r w:rsidRPr="00B11CDA">
        <w:t>(6)</w:t>
      </w:r>
      <w:r w:rsidRPr="00B11CDA">
        <w:tab/>
      </w:r>
      <w:r w:rsidR="009F36D7" w:rsidRPr="0032658A">
        <w:rPr>
          <w:noProof/>
        </w:rPr>
        <w:t>8 straipsnio 1 ir 2 dalys pakeičiamos taip:</w:t>
      </w:r>
    </w:p>
    <w:p w14:paraId="374361FD" w14:textId="77777777" w:rsidR="00C23D2D" w:rsidRPr="0032658A" w:rsidRDefault="00715814" w:rsidP="00715814">
      <w:pPr>
        <w:pStyle w:val="Point1"/>
        <w:ind w:left="850" w:firstLine="0"/>
        <w:rPr>
          <w:noProof/>
        </w:rPr>
      </w:pPr>
      <w:r w:rsidRPr="0032658A">
        <w:rPr>
          <w:noProof/>
        </w:rPr>
        <w:t>„1.</w:t>
      </w:r>
      <w:r w:rsidRPr="0032658A">
        <w:rPr>
          <w:noProof/>
        </w:rPr>
        <w:tab/>
        <w:t>Valstybė narė gali nuspręsti atidėti I arba II pirmenybės laivo inspektavimą esant tokioms aplinkybėms:</w:t>
      </w:r>
    </w:p>
    <w:p w14:paraId="2F12EACC" w14:textId="3F135A4C" w:rsidR="00C23D2D" w:rsidRPr="0032658A" w:rsidRDefault="00B11CDA" w:rsidP="00B11CDA">
      <w:pPr>
        <w:pStyle w:val="Point1"/>
        <w:rPr>
          <w:noProof/>
        </w:rPr>
      </w:pPr>
      <w:r w:rsidRPr="00B11CDA">
        <w:t>(a)</w:t>
      </w:r>
      <w:r w:rsidRPr="00B11CDA">
        <w:tab/>
      </w:r>
      <w:r w:rsidR="00C23D2D" w:rsidRPr="0032658A">
        <w:rPr>
          <w:noProof/>
        </w:rPr>
        <w:t>jei inspektavimą galima atlikti kitame laivo įplaukimo uoste toje pačioje valstybėje narėje, jei tas laivas pakeliui neįplaukia į jokį kitą Sąjungos ar Paryžiaus SM regiono uostą, ir kai atidedama ne ilgesniam kaip 15 dienų laikotarpiui, arba</w:t>
      </w:r>
    </w:p>
    <w:p w14:paraId="03C65D51" w14:textId="4F7B0FA0" w:rsidR="00C23D2D" w:rsidRPr="0032658A" w:rsidRDefault="00B11CDA" w:rsidP="00B11CDA">
      <w:pPr>
        <w:pStyle w:val="Point1"/>
        <w:rPr>
          <w:noProof/>
        </w:rPr>
      </w:pPr>
      <w:r w:rsidRPr="00B11CDA">
        <w:t>(b)</w:t>
      </w:r>
      <w:r w:rsidRPr="00B11CDA">
        <w:tab/>
      </w:r>
      <w:r w:rsidR="00C23D2D" w:rsidRPr="0032658A">
        <w:rPr>
          <w:noProof/>
        </w:rPr>
        <w:t>jei inspektavimą per 15 dienų galima atlikti kitame Bendrijos ar Paryžiaus SM regiono uoste, jei valstybė, kurioje yra tas įplaukimo uostas, iš anksto sutiko atlikti inspektavimą.</w:t>
      </w:r>
    </w:p>
    <w:p w14:paraId="6BF6B1A8" w14:textId="77777777" w:rsidR="00C23D2D" w:rsidRPr="0032658A" w:rsidRDefault="00715814" w:rsidP="00715814">
      <w:pPr>
        <w:pStyle w:val="Point1"/>
        <w:ind w:left="850" w:firstLine="0"/>
        <w:rPr>
          <w:noProof/>
        </w:rPr>
      </w:pPr>
      <w:r w:rsidRPr="0032658A">
        <w:rPr>
          <w:noProof/>
        </w:rPr>
        <w:t>2.</w:t>
      </w:r>
      <w:r w:rsidRPr="0032658A">
        <w:rPr>
          <w:noProof/>
        </w:rPr>
        <w:tab/>
        <w:t>Dėl veiklos priežasčių neatliktas I arba II pirmenybės laivų inspektavimas nelaikomas neatliktu inspektavimu, jei inspektavimo duomenų bazėje užregistruojama inspektavimo neatlikimo priežastis ir esant tokioms išskirtinėms aplinkybėms:</w:t>
      </w:r>
    </w:p>
    <w:p w14:paraId="720A73F0" w14:textId="2BB164F7" w:rsidR="00715814" w:rsidRPr="0032658A" w:rsidRDefault="00B11CDA" w:rsidP="00B11CDA">
      <w:pPr>
        <w:pStyle w:val="Point1"/>
        <w:rPr>
          <w:noProof/>
        </w:rPr>
      </w:pPr>
      <w:r w:rsidRPr="00B11CDA">
        <w:t>(a)</w:t>
      </w:r>
      <w:r w:rsidRPr="00B11CDA">
        <w:tab/>
      </w:r>
      <w:r w:rsidR="00C23D2D" w:rsidRPr="0032658A">
        <w:rPr>
          <w:noProof/>
        </w:rPr>
        <w:t>kompetentingos institucijos nuomone, inspektavimo vykdymas keltų pavojų inspektoriams, laivui, jo įgulai, uostui arba jūros aplinkai arba</w:t>
      </w:r>
    </w:p>
    <w:p w14:paraId="160EAC69" w14:textId="6058047F" w:rsidR="00C23D2D" w:rsidRPr="0032658A" w:rsidRDefault="00B11CDA" w:rsidP="00B11CDA">
      <w:pPr>
        <w:pStyle w:val="Point1"/>
        <w:rPr>
          <w:noProof/>
        </w:rPr>
      </w:pPr>
      <w:r w:rsidRPr="00B11CDA">
        <w:t>(b)</w:t>
      </w:r>
      <w:r w:rsidRPr="00B11CDA">
        <w:tab/>
      </w:r>
      <w:r w:rsidR="00C23D2D" w:rsidRPr="0032658A">
        <w:rPr>
          <w:noProof/>
        </w:rPr>
        <w:t>laivas į uostą įplaukia tik nakties metu (kaip numatyta 2 straipsnio 10 dalyje). Tokiu atveju valstybės narės imasi priemonių, būtinų užtikrinti, kad reguliariai nakties metu į uostus įplaukiantys laivai būtų deramai inspektuojami.“;</w:t>
      </w:r>
    </w:p>
    <w:p w14:paraId="4BF8F31D" w14:textId="78E0BA4D" w:rsidR="003A6E5A" w:rsidRPr="0032658A" w:rsidRDefault="00B11CDA" w:rsidP="00B11CDA">
      <w:pPr>
        <w:pStyle w:val="Point0"/>
        <w:rPr>
          <w:noProof/>
        </w:rPr>
      </w:pPr>
      <w:r w:rsidRPr="00B11CDA">
        <w:t>(7)</w:t>
      </w:r>
      <w:r w:rsidRPr="00B11CDA">
        <w:tab/>
      </w:r>
      <w:r w:rsidR="000466C9" w:rsidRPr="0032658A">
        <w:rPr>
          <w:noProof/>
        </w:rPr>
        <w:t>įterpiamas 8a straipsnis:</w:t>
      </w:r>
    </w:p>
    <w:p w14:paraId="28937781" w14:textId="77777777" w:rsidR="00651B36" w:rsidRPr="0032658A" w:rsidRDefault="006929ED" w:rsidP="00651B36">
      <w:pPr>
        <w:pStyle w:val="Titrearticle"/>
        <w:rPr>
          <w:noProof/>
        </w:rPr>
      </w:pPr>
      <w:r w:rsidRPr="0032658A">
        <w:rPr>
          <w:noProof/>
        </w:rPr>
        <w:t>„8a straipsnis</w:t>
      </w:r>
    </w:p>
    <w:p w14:paraId="3C5C4CC8" w14:textId="77777777" w:rsidR="003A6E5A" w:rsidRPr="0032658A" w:rsidRDefault="003A6E5A" w:rsidP="00651B36">
      <w:pPr>
        <w:pStyle w:val="Typeacteprincipal"/>
        <w:rPr>
          <w:noProof/>
        </w:rPr>
      </w:pPr>
      <w:r w:rsidRPr="0032658A">
        <w:rPr>
          <w:i/>
          <w:iCs/>
          <w:noProof/>
        </w:rPr>
        <w:t>Force majeure</w:t>
      </w:r>
    </w:p>
    <w:p w14:paraId="3BFA61FC" w14:textId="77777777" w:rsidR="003A6E5A" w:rsidRPr="0032658A" w:rsidRDefault="003A6E5A" w:rsidP="006929ED">
      <w:pPr>
        <w:pStyle w:val="Point1"/>
        <w:ind w:left="850" w:firstLine="0"/>
        <w:rPr>
          <w:noProof/>
        </w:rPr>
      </w:pPr>
      <w:r w:rsidRPr="0032658A">
        <w:rPr>
          <w:noProof/>
        </w:rPr>
        <w:t xml:space="preserve">Dėl </w:t>
      </w:r>
      <w:r w:rsidRPr="0032658A">
        <w:rPr>
          <w:i/>
          <w:iCs/>
          <w:noProof/>
        </w:rPr>
        <w:t>force majeure</w:t>
      </w:r>
      <w:r w:rsidRPr="0032658A">
        <w:rPr>
          <w:noProof/>
        </w:rPr>
        <w:t xml:space="preserve"> priežasčių neatliktas inspektavimas nelaikomas neatliktu inspektavimu, jei toks inspektavimas ir jo neatlikimo priežastys pagrindžiami dokumentais ir užregistruojami inspektavimo duomenų bazėje.“;</w:t>
      </w:r>
    </w:p>
    <w:p w14:paraId="0F8DC569" w14:textId="2339BBA7" w:rsidR="00AE3DED" w:rsidRPr="0032658A" w:rsidRDefault="00B11CDA" w:rsidP="00B11CDA">
      <w:pPr>
        <w:pStyle w:val="Point0"/>
        <w:rPr>
          <w:noProof/>
        </w:rPr>
      </w:pPr>
      <w:r w:rsidRPr="00B11CDA">
        <w:t>(8)</w:t>
      </w:r>
      <w:r w:rsidRPr="00B11CDA">
        <w:tab/>
      </w:r>
      <w:r w:rsidR="00AE3DED" w:rsidRPr="0032658A">
        <w:rPr>
          <w:noProof/>
        </w:rPr>
        <w:t>9 straipsnis išbraukiamas;</w:t>
      </w:r>
    </w:p>
    <w:p w14:paraId="4CDAFDD9" w14:textId="1332E9A3" w:rsidR="00A57F4F" w:rsidRPr="0032658A" w:rsidRDefault="00B11CDA" w:rsidP="00B11CDA">
      <w:pPr>
        <w:pStyle w:val="Point0"/>
        <w:rPr>
          <w:noProof/>
        </w:rPr>
      </w:pPr>
      <w:r w:rsidRPr="00B11CDA">
        <w:t>(9)</w:t>
      </w:r>
      <w:r w:rsidRPr="00B11CDA">
        <w:tab/>
      </w:r>
      <w:r w:rsidR="00A57F4F" w:rsidRPr="0032658A">
        <w:rPr>
          <w:noProof/>
        </w:rPr>
        <w:t xml:space="preserve">10 straipsnio 2 dalis papildoma taip: </w:t>
      </w:r>
    </w:p>
    <w:p w14:paraId="08494A39" w14:textId="77777777" w:rsidR="00A57F4F" w:rsidRPr="0032658A" w:rsidRDefault="00A57F4F" w:rsidP="00415748">
      <w:pPr>
        <w:pStyle w:val="Text1"/>
        <w:rPr>
          <w:noProof/>
        </w:rPr>
      </w:pPr>
      <w:r w:rsidRPr="0032658A">
        <w:rPr>
          <w:noProof/>
        </w:rPr>
        <w:t>„c) Aplinkos parametrai</w:t>
      </w:r>
    </w:p>
    <w:p w14:paraId="7EB11EC1" w14:textId="77777777" w:rsidR="00A57F4F" w:rsidRPr="0032658A" w:rsidRDefault="00A57F4F" w:rsidP="00415748">
      <w:pPr>
        <w:pStyle w:val="Text1"/>
        <w:rPr>
          <w:noProof/>
        </w:rPr>
      </w:pPr>
      <w:r w:rsidRPr="0032658A">
        <w:rPr>
          <w:noProof/>
        </w:rPr>
        <w:t>Aplinkos parametrai nustatomi remiantis laivo taršos anglies dioksidu intensyvumo rodikliu ir trūkumų, susijusių su MARPOL konvencija, AFS konvencija, BWM konvencija, CLC 92, Bunkerių konvencija ir Nairobio konvencija, skaičiumi pagal I priedo I.3 dalį ir II priedą.“;</w:t>
      </w:r>
    </w:p>
    <w:p w14:paraId="6BF5DF33" w14:textId="1B61D4F1" w:rsidR="00AE3DED" w:rsidRPr="0032658A" w:rsidRDefault="00B11CDA" w:rsidP="00B11CDA">
      <w:pPr>
        <w:pStyle w:val="Point0"/>
        <w:rPr>
          <w:noProof/>
        </w:rPr>
      </w:pPr>
      <w:r w:rsidRPr="00B11CDA">
        <w:t>(10)</w:t>
      </w:r>
      <w:r w:rsidRPr="00B11CDA">
        <w:tab/>
      </w:r>
      <w:r w:rsidR="0074344A" w:rsidRPr="0032658A">
        <w:rPr>
          <w:noProof/>
        </w:rPr>
        <w:t>14 straipsnio 4 dalis pakeičiama taip:</w:t>
      </w:r>
    </w:p>
    <w:p w14:paraId="5280A8ED" w14:textId="77777777" w:rsidR="000D6544" w:rsidRPr="0032658A" w:rsidRDefault="00715814" w:rsidP="000466C9">
      <w:pPr>
        <w:pStyle w:val="Point1"/>
        <w:ind w:left="850" w:firstLine="0"/>
        <w:rPr>
          <w:noProof/>
        </w:rPr>
      </w:pPr>
      <w:r w:rsidRPr="0032658A">
        <w:rPr>
          <w:noProof/>
        </w:rPr>
        <w:t>„4.</w:t>
      </w:r>
      <w:r w:rsidRPr="0032658A">
        <w:rPr>
          <w:noProof/>
        </w:rPr>
        <w:tab/>
        <w:t>Išsamų inspektavimą atlieka ne mažiau kaip du uosto valstybės kontrolės pareigūnai. Išplėstinio inspektavimo apimtis, įskaitant tikrintinas rizikos sritis, išdėstyta VII priede. Komisija įgyvendinimo aktais patvirtina išsamias priemones, kuriomis užtikrinamos vienodos VII priedo taikymo sąlygos. Tie įgyvendinimo aktai priimami laikantis 31 straipsnio 2 dalyje nurodytos nagrinėjimo procedūros.“;</w:t>
      </w:r>
    </w:p>
    <w:p w14:paraId="2CDD809D" w14:textId="38FB4A65" w:rsidR="0054297B" w:rsidRPr="0032658A" w:rsidRDefault="00B11CDA" w:rsidP="00B11CDA">
      <w:pPr>
        <w:pStyle w:val="Point0"/>
        <w:rPr>
          <w:noProof/>
        </w:rPr>
      </w:pPr>
      <w:r w:rsidRPr="00B11CDA">
        <w:t>(11)</w:t>
      </w:r>
      <w:r w:rsidRPr="00B11CDA">
        <w:tab/>
      </w:r>
      <w:r w:rsidR="0054297B" w:rsidRPr="0032658A">
        <w:rPr>
          <w:noProof/>
        </w:rPr>
        <w:t>14a straipsnio 4 dalis pakeičiama taip:</w:t>
      </w:r>
    </w:p>
    <w:p w14:paraId="489BCBD2" w14:textId="77777777" w:rsidR="0054297B" w:rsidRPr="0032658A" w:rsidRDefault="006929ED" w:rsidP="006929ED">
      <w:pPr>
        <w:pStyle w:val="Point1"/>
        <w:ind w:left="850" w:firstLine="0"/>
        <w:rPr>
          <w:noProof/>
        </w:rPr>
      </w:pPr>
      <w:r w:rsidRPr="0032658A">
        <w:rPr>
          <w:noProof/>
        </w:rPr>
        <w:t>„4.</w:t>
      </w:r>
      <w:r w:rsidRPr="0032658A">
        <w:rPr>
          <w:noProof/>
        </w:rPr>
        <w:tab/>
        <w:t>11 straipsnio a punktas ir 14 straipsnis netaikomi ro-ro keleiviniams laivams ir greitaeigiams keleiviniams laivams, kuriais teikiamos reguliariosios paslaugos ir kurie inspektuojami pagal šį straipsnį.“;</w:t>
      </w:r>
    </w:p>
    <w:p w14:paraId="1BE70764" w14:textId="570D6C29" w:rsidR="00035B4F" w:rsidRPr="0032658A" w:rsidRDefault="00B11CDA" w:rsidP="00B11CDA">
      <w:pPr>
        <w:pStyle w:val="Point0"/>
        <w:rPr>
          <w:noProof/>
        </w:rPr>
      </w:pPr>
      <w:r w:rsidRPr="00B11CDA">
        <w:t>(12)</w:t>
      </w:r>
      <w:r w:rsidRPr="00B11CDA">
        <w:tab/>
      </w:r>
      <w:r w:rsidR="00035B4F" w:rsidRPr="0032658A">
        <w:rPr>
          <w:noProof/>
        </w:rPr>
        <w:t>16 straipsnis keičiamas taip:</w:t>
      </w:r>
    </w:p>
    <w:p w14:paraId="0913417A" w14:textId="49081B55" w:rsidR="00AE3DED" w:rsidRPr="0032658A" w:rsidRDefault="00B11CDA" w:rsidP="00B11CDA">
      <w:pPr>
        <w:pStyle w:val="Point1"/>
        <w:rPr>
          <w:noProof/>
        </w:rPr>
      </w:pPr>
      <w:r w:rsidRPr="00B11CDA">
        <w:t>(a)</w:t>
      </w:r>
      <w:r w:rsidRPr="00B11CDA">
        <w:tab/>
      </w:r>
      <w:r w:rsidR="00035B4F" w:rsidRPr="0032658A">
        <w:rPr>
          <w:noProof/>
        </w:rPr>
        <w:tab/>
        <w:t>1 dalis pakeičiama taip:</w:t>
      </w:r>
    </w:p>
    <w:p w14:paraId="42C396FF" w14:textId="77777777" w:rsidR="00AE3DED" w:rsidRPr="0032658A" w:rsidRDefault="00715814" w:rsidP="006929ED">
      <w:pPr>
        <w:pStyle w:val="Point2"/>
        <w:ind w:left="1417" w:firstLine="0"/>
        <w:rPr>
          <w:noProof/>
        </w:rPr>
      </w:pPr>
      <w:r w:rsidRPr="0032658A">
        <w:rPr>
          <w:noProof/>
        </w:rPr>
        <w:t>„1.</w:t>
      </w:r>
      <w:r w:rsidRPr="0032658A">
        <w:rPr>
          <w:noProof/>
        </w:rPr>
        <w:tab/>
        <w:t xml:space="preserve">Valstybė narė neleidžia į savo uostus įplaukti ir į inkaravimo vietas atplaukti laivams, kurie: </w:t>
      </w:r>
    </w:p>
    <w:p w14:paraId="64849EE2" w14:textId="77777777" w:rsidR="00AE3DED" w:rsidRPr="0032658A" w:rsidRDefault="00AE3DED" w:rsidP="0002208E">
      <w:pPr>
        <w:pStyle w:val="Tiret2"/>
        <w:numPr>
          <w:ilvl w:val="0"/>
          <w:numId w:val="12"/>
        </w:numPr>
        <w:rPr>
          <w:noProof/>
        </w:rPr>
      </w:pPr>
      <w:r w:rsidRPr="0032658A">
        <w:rPr>
          <w:noProof/>
        </w:rPr>
        <w:t xml:space="preserve">plaukioja su valstybės, kuri yra žemo veiklos rezultatų lygio sąraše, patvirtintame laikantis Paryžiaus SM ir remiantis inspektavimo duomenų bazėje užregistruota informacija, kurį kasmet viešai skelbia Komisija, vėliava ir kurie per paskutinius 36 mėnesius valstybės narės ar Paryžiaus SM pasirašiusios valstybės uoste arba inkaravimo vietoje buvo sulaikyti daugiau kaip du kartus, arba </w:t>
      </w:r>
    </w:p>
    <w:p w14:paraId="4ED033AB" w14:textId="77777777" w:rsidR="00AE3DED" w:rsidRPr="0032658A" w:rsidRDefault="00AE3DED" w:rsidP="00912311">
      <w:pPr>
        <w:pStyle w:val="Tiret2"/>
        <w:rPr>
          <w:noProof/>
        </w:rPr>
      </w:pPr>
      <w:r w:rsidRPr="0032658A">
        <w:rPr>
          <w:noProof/>
        </w:rPr>
        <w:t xml:space="preserve">plaukioja su valstybės, kuri yra aukšto arba vidutinio veiklos rezultatų lygio sąraše, patvirtintame pagal Paryžiaus SM ir remiantis inspektavimo duomenų bazėje užregistruota informacija, kurį kasmet viešai skelbia Komisija, vėliava ir kurie per paskutinius 24 mėnesius valstybės narės arba Paryžiaus SM pasirašiusios valstybės uoste arba inkaravimo vietoje buvo sulaikyti daugiau kaip du kartus. </w:t>
      </w:r>
    </w:p>
    <w:p w14:paraId="245B12B8" w14:textId="77777777" w:rsidR="00AE3DED" w:rsidRPr="0032658A" w:rsidRDefault="00AE3DED" w:rsidP="0002571D">
      <w:pPr>
        <w:pStyle w:val="Point2"/>
        <w:ind w:left="1417" w:firstLine="0"/>
        <w:rPr>
          <w:noProof/>
        </w:rPr>
      </w:pPr>
      <w:r w:rsidRPr="0032658A">
        <w:rPr>
          <w:noProof/>
        </w:rPr>
        <w:t xml:space="preserve">Šio straipsnio pirma pastraipa netaikoma 21 straipsnio 6 dalyje nurodytoms situacijoms. </w:t>
      </w:r>
    </w:p>
    <w:p w14:paraId="54E9F063" w14:textId="77777777" w:rsidR="00AE3DED" w:rsidRPr="0032658A" w:rsidRDefault="00AE3DED" w:rsidP="006929ED">
      <w:pPr>
        <w:pStyle w:val="Point2"/>
        <w:ind w:left="1417" w:firstLine="0"/>
        <w:rPr>
          <w:noProof/>
        </w:rPr>
      </w:pPr>
      <w:r w:rsidRPr="0032658A">
        <w:rPr>
          <w:noProof/>
        </w:rPr>
        <w:t>Draudimas įplaukti taikomas kai tik laivas išplaukia iš uosto arba inkaravimo vietos, kur jis buvo sulaikytas trečią kartą ir kur buvo duotas nurodymas dėl draudimo įplaukti.“;</w:t>
      </w:r>
    </w:p>
    <w:p w14:paraId="2DB7F41C" w14:textId="788608AF" w:rsidR="00035B4F" w:rsidRPr="0032658A" w:rsidRDefault="00B11CDA" w:rsidP="00B11CDA">
      <w:pPr>
        <w:pStyle w:val="Point1"/>
        <w:rPr>
          <w:noProof/>
        </w:rPr>
      </w:pPr>
      <w:r w:rsidRPr="00B11CDA">
        <w:t>(b)</w:t>
      </w:r>
      <w:r w:rsidRPr="00B11CDA">
        <w:tab/>
      </w:r>
      <w:r w:rsidR="006A577E" w:rsidRPr="0032658A">
        <w:rPr>
          <w:noProof/>
        </w:rPr>
        <w:t>3 dalis pakeičiama taip:</w:t>
      </w:r>
    </w:p>
    <w:p w14:paraId="051CB077" w14:textId="77777777" w:rsidR="006A577E" w:rsidRPr="0032658A" w:rsidRDefault="00715814" w:rsidP="0002571D">
      <w:pPr>
        <w:pStyle w:val="Point2"/>
        <w:ind w:left="1417" w:firstLine="0"/>
        <w:rPr>
          <w:noProof/>
        </w:rPr>
      </w:pPr>
      <w:r w:rsidRPr="0032658A">
        <w:rPr>
          <w:noProof/>
        </w:rPr>
        <w:t>„3.</w:t>
      </w:r>
      <w:r w:rsidRPr="0032658A">
        <w:rPr>
          <w:noProof/>
        </w:rPr>
        <w:tab/>
        <w:t>Jei laivas bent kartą po to sulaikomas Sąjungos uoste arba inkaravimo vietoje, jam atsisakoma leisti įplaukti į visus Sąjungos uostus ir atplaukti į inkaravimo vietas. Šis trečias draudimo įplaukti nurodymas gali būti atšauktas po nurodymo išdavimo praėjus 24 mėnesiams ir tik jei:</w:t>
      </w:r>
    </w:p>
    <w:p w14:paraId="38AA73FD" w14:textId="77777777" w:rsidR="006A577E" w:rsidRPr="0032658A" w:rsidRDefault="0002571D" w:rsidP="00912311">
      <w:pPr>
        <w:pStyle w:val="Tiret2"/>
        <w:rPr>
          <w:noProof/>
        </w:rPr>
      </w:pPr>
      <w:r w:rsidRPr="0032658A">
        <w:rPr>
          <w:noProof/>
        </w:rPr>
        <w:t>a) teisės aktais nustatyti ir klasifikaciniai laivo liudijimai yra išduoti organizacijos ar organizacijų, kurios yra pripažintos pagal Europos Parlamento ir Tarybos reglamentą (EB) Nr. 391/2009</w:t>
      </w:r>
      <w:r w:rsidRPr="0032658A">
        <w:rPr>
          <w:rStyle w:val="FootnoteReference"/>
          <w:noProof/>
        </w:rPr>
        <w:footnoteReference w:id="29"/>
      </w:r>
      <w:r w:rsidRPr="0032658A">
        <w:rPr>
          <w:noProof/>
        </w:rPr>
        <w:t>,</w:t>
      </w:r>
    </w:p>
    <w:p w14:paraId="7E307192" w14:textId="77777777" w:rsidR="006A577E" w:rsidRPr="0032658A" w:rsidRDefault="0002571D" w:rsidP="00912311">
      <w:pPr>
        <w:pStyle w:val="Tiret2"/>
        <w:rPr>
          <w:noProof/>
        </w:rPr>
      </w:pPr>
      <w:r w:rsidRPr="0032658A">
        <w:rPr>
          <w:noProof/>
        </w:rPr>
        <w:t>b) laivą valdo kompanija, kurios veiklos rezultatai yra geri, kaip nustatyta I priedo I.1 dalyje, ir</w:t>
      </w:r>
    </w:p>
    <w:p w14:paraId="2381E4E1" w14:textId="77777777" w:rsidR="006A577E" w:rsidRPr="0032658A" w:rsidRDefault="006A577E" w:rsidP="00912311">
      <w:pPr>
        <w:pStyle w:val="Tiret2"/>
        <w:rPr>
          <w:noProof/>
        </w:rPr>
      </w:pPr>
      <w:r w:rsidRPr="0032658A">
        <w:rPr>
          <w:noProof/>
        </w:rPr>
        <w:t>įvykdytos VIII priedo 3–9 dalių sąlygos.</w:t>
      </w:r>
    </w:p>
    <w:p w14:paraId="49364283" w14:textId="77777777" w:rsidR="00363592" w:rsidRPr="0032658A" w:rsidRDefault="006A577E" w:rsidP="00A73A98">
      <w:pPr>
        <w:pStyle w:val="Point2"/>
        <w:ind w:left="1417" w:firstLine="0"/>
        <w:rPr>
          <w:noProof/>
        </w:rPr>
      </w:pPr>
      <w:r w:rsidRPr="0032658A">
        <w:rPr>
          <w:noProof/>
        </w:rPr>
        <w:t>Praėjus 24 mėnesiams po nurodymo išdavimo, kiekvienam laivui, neatitinkančiam šioje dalyje nustatytų reikalavimų, atsisakoma visam laikui leisti įplaukti į visus Sąjungoje esančius uostus ir atplaukti į inkaravimo vietas.“;</w:t>
      </w:r>
    </w:p>
    <w:p w14:paraId="41A26CF6" w14:textId="42E8D026" w:rsidR="00FB6553" w:rsidRPr="0032658A" w:rsidRDefault="00B11CDA" w:rsidP="00B11CDA">
      <w:pPr>
        <w:pStyle w:val="Point1"/>
        <w:rPr>
          <w:noProof/>
        </w:rPr>
      </w:pPr>
      <w:r w:rsidRPr="00B11CDA">
        <w:t>(c)</w:t>
      </w:r>
      <w:r w:rsidRPr="00B11CDA">
        <w:tab/>
      </w:r>
      <w:r w:rsidR="0002571D" w:rsidRPr="0032658A">
        <w:rPr>
          <w:noProof/>
        </w:rPr>
        <w:t>4 dalis pakeičiama taip:</w:t>
      </w:r>
    </w:p>
    <w:p w14:paraId="0F3AFD40" w14:textId="77777777" w:rsidR="00035B4F" w:rsidRPr="0032658A" w:rsidRDefault="00F5023A" w:rsidP="0002571D">
      <w:pPr>
        <w:pStyle w:val="Point2"/>
        <w:ind w:left="1417" w:firstLine="0"/>
        <w:rPr>
          <w:noProof/>
        </w:rPr>
      </w:pPr>
      <w:r w:rsidRPr="0032658A">
        <w:rPr>
          <w:noProof/>
        </w:rPr>
        <w:t>„4.</w:t>
      </w:r>
      <w:r w:rsidRPr="0032658A">
        <w:rPr>
          <w:noProof/>
        </w:rPr>
        <w:tab/>
        <w:t>Bet koks vėlesnis laivo, plaukiojančio su valstybės, kuri yra vidutinio arba žemo veiklos rezultatų lygio sąraše, paskelbtame Paryžiaus SM metinėje ataskaitoje, vėliava, sulaikymas Sąjungoje esančiame uoste ar inkaravimo vietoje po trečio atsisakymo leisti įplaukti lemia tai, kad laivui atsisakoma visam laikui leisti įplaukti į visus Sąjungoje esančius uostus ir atplaukti į inkaravimo vietas.“;</w:t>
      </w:r>
    </w:p>
    <w:p w14:paraId="65123898" w14:textId="59FC662E" w:rsidR="008A720F" w:rsidRPr="0032658A" w:rsidRDefault="00B11CDA" w:rsidP="00B11CDA">
      <w:pPr>
        <w:pStyle w:val="Point1"/>
        <w:rPr>
          <w:noProof/>
        </w:rPr>
      </w:pPr>
      <w:r w:rsidRPr="00B11CDA">
        <w:t>(d)</w:t>
      </w:r>
      <w:r w:rsidRPr="00B11CDA">
        <w:tab/>
      </w:r>
      <w:r w:rsidR="0073214D" w:rsidRPr="0032658A">
        <w:rPr>
          <w:noProof/>
        </w:rPr>
        <w:t>įterpiama 4a dalis:</w:t>
      </w:r>
    </w:p>
    <w:p w14:paraId="07120FD7" w14:textId="77777777" w:rsidR="00035B4F" w:rsidRPr="0032658A" w:rsidRDefault="00F5023A" w:rsidP="00997A66">
      <w:pPr>
        <w:pStyle w:val="Point2"/>
        <w:ind w:left="1417" w:firstLine="0"/>
        <w:rPr>
          <w:noProof/>
        </w:rPr>
      </w:pPr>
      <w:r w:rsidRPr="0032658A">
        <w:rPr>
          <w:noProof/>
        </w:rPr>
        <w:t>„4a.</w:t>
      </w:r>
      <w:r w:rsidRPr="0032658A">
        <w:rPr>
          <w:noProof/>
        </w:rPr>
        <w:tab/>
        <w:t>Jei laivas, plaukiojantis su valstybės, kuri yra aukšto veiklos rezultatų lygio sąraše, vėliava, sulaikomas uoste ar inkaravimo vietoje po trečio ar bet kurio vėlesnio atsisakymo leisti įplaukti, o pirmosios vėlesnės laivo ir uosto sąveikos ES uoste metu teisės aktais nustatyti ir klasifikaciniai laivo liudijimai yra išduoti pagal Reglamentą (EB) Nr. 391/2009 pripažintos organizacijos arba organizacijų ir yra įrodymų, kad klasifikacinė bendrovė apsilankė laive prieš išduodant tokius liudijimus, laivui leisti įplaukti į visus uostus ir atplaukti į inkaravimo vietas atsisakoma 24 mėnesiams.</w:t>
      </w:r>
    </w:p>
    <w:p w14:paraId="5AF65ECE" w14:textId="77777777" w:rsidR="00AE3DED" w:rsidRPr="0032658A" w:rsidRDefault="00035B4F" w:rsidP="00AC1300">
      <w:pPr>
        <w:pStyle w:val="Point2"/>
        <w:ind w:left="1417" w:firstLine="0"/>
        <w:rPr>
          <w:noProof/>
        </w:rPr>
      </w:pPr>
      <w:r w:rsidRPr="0032658A">
        <w:rPr>
          <w:noProof/>
        </w:rPr>
        <w:t>Jeigu pirmosios laivo ir uosto sąveikos metu pagal Reglamentą (EB) Nr. 391/2009 pripažinta organizacija ar organizacijos nėra išdavusios teisės aktais nustatytų arba klasifikacinių liudijimų, laivui atsisakoma visam laikui leisti įplaukti į visus uostus ir atplaukti į inkaravimo vietas.“;</w:t>
      </w:r>
    </w:p>
    <w:p w14:paraId="389FEB6A" w14:textId="25982CD3" w:rsidR="00035B4F" w:rsidRPr="0032658A" w:rsidRDefault="00B11CDA" w:rsidP="00B11CDA">
      <w:pPr>
        <w:pStyle w:val="Point0"/>
        <w:rPr>
          <w:noProof/>
        </w:rPr>
      </w:pPr>
      <w:r w:rsidRPr="00B11CDA">
        <w:t>(13)</w:t>
      </w:r>
      <w:r w:rsidRPr="00B11CDA">
        <w:tab/>
      </w:r>
      <w:r w:rsidR="006D7649" w:rsidRPr="0032658A">
        <w:rPr>
          <w:noProof/>
        </w:rPr>
        <w:t>21 straipsnio 4 dalis pakeičiama taip:</w:t>
      </w:r>
    </w:p>
    <w:p w14:paraId="6A170E88" w14:textId="77777777" w:rsidR="00811678" w:rsidRPr="0032658A" w:rsidRDefault="006929ED" w:rsidP="00AC1300">
      <w:pPr>
        <w:pStyle w:val="Point1"/>
        <w:ind w:left="850" w:firstLine="0"/>
        <w:rPr>
          <w:noProof/>
        </w:rPr>
      </w:pPr>
      <w:r w:rsidRPr="0032658A">
        <w:rPr>
          <w:noProof/>
        </w:rPr>
        <w:t>„4.</w:t>
      </w:r>
      <w:r w:rsidRPr="0032658A">
        <w:rPr>
          <w:noProof/>
        </w:rPr>
        <w:tab/>
        <w:t xml:space="preserve">Valstybės narės imasi priemonių užtikrinti, kad nebūtų duotas leidimas įplaukti į jokį Sąjungos uostą ar atplaukti į inkaravimo vietą 1 dalyje nurodytiems į jūrą plaukiantiems laivams, kurie: </w:t>
      </w:r>
    </w:p>
    <w:p w14:paraId="11956D1F" w14:textId="3E06CAA0" w:rsidR="00811678" w:rsidRPr="0032658A" w:rsidRDefault="00B11CDA" w:rsidP="00B11CDA">
      <w:pPr>
        <w:pStyle w:val="Point1"/>
        <w:rPr>
          <w:noProof/>
        </w:rPr>
      </w:pPr>
      <w:r w:rsidRPr="00B11CDA">
        <w:t>(a)</w:t>
      </w:r>
      <w:r w:rsidRPr="00B11CDA">
        <w:tab/>
      </w:r>
      <w:r w:rsidR="00811678" w:rsidRPr="0032658A">
        <w:rPr>
          <w:noProof/>
        </w:rPr>
        <w:t xml:space="preserve">neįvykdė sąlygų, kurias tikrinimo uoste nustatė bet kurios valstybės narės kompetentingos institucijos, arba </w:t>
      </w:r>
    </w:p>
    <w:p w14:paraId="2C87FF73" w14:textId="4098B93A" w:rsidR="00811678" w:rsidRPr="0032658A" w:rsidRDefault="00B11CDA" w:rsidP="00B11CDA">
      <w:pPr>
        <w:pStyle w:val="Point1"/>
        <w:rPr>
          <w:noProof/>
        </w:rPr>
      </w:pPr>
      <w:r w:rsidRPr="00B11CDA">
        <w:t>(b)</w:t>
      </w:r>
      <w:r w:rsidRPr="00B11CDA">
        <w:tab/>
      </w:r>
      <w:r w:rsidR="00811678" w:rsidRPr="0032658A">
        <w:rPr>
          <w:noProof/>
        </w:rPr>
        <w:t xml:space="preserve">atsisako laikytis taikomų konvencijų reikalavimų – neplaukia į nurodytą laivų remonto įmonę. </w:t>
      </w:r>
    </w:p>
    <w:p w14:paraId="785FB9AA" w14:textId="77777777" w:rsidR="00811678" w:rsidRPr="0032658A" w:rsidRDefault="00811678" w:rsidP="0073214D">
      <w:pPr>
        <w:pStyle w:val="Point1"/>
        <w:ind w:left="850" w:firstLine="0"/>
        <w:rPr>
          <w:noProof/>
        </w:rPr>
      </w:pPr>
      <w:r w:rsidRPr="0032658A">
        <w:rPr>
          <w:noProof/>
        </w:rPr>
        <w:t>Draudimas įplaukti panaikinamas praėjus 12 mėnesių. Draudimo įplaukti nurodymas taikomas nuo jo išdavimo dienos.</w:t>
      </w:r>
    </w:p>
    <w:p w14:paraId="0B629543" w14:textId="77777777" w:rsidR="00811678" w:rsidRPr="0032658A" w:rsidRDefault="00811678" w:rsidP="0096060D">
      <w:pPr>
        <w:pStyle w:val="Point1"/>
        <w:ind w:left="850" w:firstLine="0"/>
        <w:rPr>
          <w:noProof/>
        </w:rPr>
      </w:pPr>
      <w:r w:rsidRPr="0032658A">
        <w:rPr>
          <w:noProof/>
        </w:rPr>
        <w:t>Toks draudimas galioja tol, kol laivo savininkas arba operatorius valstybės narės, kurioje buvo nustatyta, kad laivas neatitinka reikalavimų, kompetentingai institucijai nepateikia jai priimtinų įrodymų, kad laivas visiškai atitinka visus taikytinus konvencijų reikalavimus.“;</w:t>
      </w:r>
    </w:p>
    <w:p w14:paraId="6004F165" w14:textId="3B016BFE" w:rsidR="00C50FF1" w:rsidRPr="0032658A" w:rsidRDefault="00B11CDA" w:rsidP="00B11CDA">
      <w:pPr>
        <w:pStyle w:val="Point0"/>
        <w:rPr>
          <w:noProof/>
        </w:rPr>
      </w:pPr>
      <w:r w:rsidRPr="00B11CDA">
        <w:t>(14)</w:t>
      </w:r>
      <w:r w:rsidRPr="00B11CDA">
        <w:tab/>
      </w:r>
      <w:r w:rsidR="00913F32" w:rsidRPr="0032658A">
        <w:rPr>
          <w:noProof/>
        </w:rPr>
        <w:t xml:space="preserve">22 straipsnio 7 dalis pakeičiama taip: </w:t>
      </w:r>
    </w:p>
    <w:p w14:paraId="38ADA987" w14:textId="77777777" w:rsidR="00F26E8D" w:rsidRPr="0032658A" w:rsidRDefault="00F5023A" w:rsidP="00997A66">
      <w:pPr>
        <w:pStyle w:val="Point1"/>
        <w:ind w:left="850" w:firstLine="0"/>
        <w:rPr>
          <w:noProof/>
        </w:rPr>
      </w:pPr>
      <w:r w:rsidRPr="0032658A">
        <w:rPr>
          <w:noProof/>
        </w:rPr>
        <w:t>„7.</w:t>
      </w:r>
      <w:r w:rsidRPr="0032658A">
        <w:rPr>
          <w:noProof/>
        </w:rPr>
        <w:tab/>
        <w:t xml:space="preserve">Bendradarbiaudama su valstybėmis narėmis ir atsižvelgdama į Sąjungoje ir įgyvendinant Paryžiaus SM įgytą kompetenciją ir patirtį, Komisija parengia uosto valstybės kontrolės inspektorių profesinio tobulinimo ir mokymo programą. Šioje mokymo programoje atsižvelgiama į išplėstą uosto valstybės kontrolės taikymo sritį, taip pat į mokymo apimties ir formų patobulinimus.  </w:t>
      </w:r>
    </w:p>
    <w:p w14:paraId="794D60DA" w14:textId="77777777" w:rsidR="00C50FF1" w:rsidRPr="0032658A" w:rsidRDefault="00F26E8D" w:rsidP="006929ED">
      <w:pPr>
        <w:pStyle w:val="Point1"/>
        <w:ind w:left="850" w:firstLine="0"/>
        <w:rPr>
          <w:noProof/>
        </w:rPr>
      </w:pPr>
      <w:r w:rsidRPr="0032658A">
        <w:rPr>
          <w:noProof/>
        </w:rPr>
        <w:t>Bendradarbiaudama su valstybėmis narėmis, Komisija nuolat nustato ir pateikia naujus mokymo poreikius, kad būtų galima iš dalies pakeisti inspektorių profesinio tobulinimo ir mokymo planus, programas ir turinį, ypač atsižvelgiant į naujas technologijas ir papildomas pareigas, susijusias su atitinkamomis priemonėmis.“;</w:t>
      </w:r>
    </w:p>
    <w:p w14:paraId="28898FF8" w14:textId="2AA29A2D" w:rsidR="00BB4488" w:rsidRPr="0032658A" w:rsidRDefault="00B11CDA" w:rsidP="00B11CDA">
      <w:pPr>
        <w:pStyle w:val="Point0"/>
        <w:rPr>
          <w:noProof/>
        </w:rPr>
      </w:pPr>
      <w:r w:rsidRPr="00B11CDA">
        <w:t>(15)</w:t>
      </w:r>
      <w:r w:rsidRPr="00B11CDA">
        <w:tab/>
      </w:r>
      <w:r w:rsidR="00811678" w:rsidRPr="0032658A">
        <w:rPr>
          <w:noProof/>
        </w:rPr>
        <w:t>24 straipsnis keičiamas taip:</w:t>
      </w:r>
    </w:p>
    <w:p w14:paraId="4064F1D7" w14:textId="3CC69DDA" w:rsidR="00811678" w:rsidRPr="0032658A" w:rsidRDefault="00B11CDA" w:rsidP="00B11CDA">
      <w:pPr>
        <w:pStyle w:val="Point1"/>
        <w:rPr>
          <w:noProof/>
        </w:rPr>
      </w:pPr>
      <w:r w:rsidRPr="00B11CDA">
        <w:t>(a)</w:t>
      </w:r>
      <w:r w:rsidRPr="00B11CDA">
        <w:tab/>
      </w:r>
      <w:r w:rsidR="00997A66" w:rsidRPr="0032658A">
        <w:rPr>
          <w:noProof/>
        </w:rPr>
        <w:t>2 dalis pakeičiama taip:</w:t>
      </w:r>
    </w:p>
    <w:p w14:paraId="7B9E8949" w14:textId="77777777" w:rsidR="00BB4488" w:rsidRPr="0032658A" w:rsidRDefault="006929ED" w:rsidP="001B68A4">
      <w:pPr>
        <w:pStyle w:val="Point2"/>
        <w:ind w:left="1417" w:firstLine="0"/>
        <w:rPr>
          <w:noProof/>
        </w:rPr>
      </w:pPr>
      <w:r w:rsidRPr="0032658A">
        <w:rPr>
          <w:noProof/>
        </w:rPr>
        <w:t>„2.</w:t>
      </w:r>
      <w:r w:rsidRPr="0032658A">
        <w:rPr>
          <w:noProof/>
        </w:rPr>
        <w:tab/>
        <w:t xml:space="preserve">Valstybės narės imasi tinkamų priemonių siekdamos užtikrinti, kad informacija apie faktinį visų laivų, įplaukiančių į jų uostus ir atplaukiančių į inkaravimo vietas, atplaukimo ir išplaukimo laiką kartu su susijusio uosto identifikatoriumi per tris valandas nuo išplaukimo būtų perduota į inspektavimo duomenų bazę per Sąjungos keitimosi jūrų laivybos informacija sistemą </w:t>
      </w:r>
      <w:r w:rsidRPr="0032658A">
        <w:rPr>
          <w:i/>
          <w:iCs/>
          <w:noProof/>
        </w:rPr>
        <w:t>SafeSeaNet</w:t>
      </w:r>
      <w:r w:rsidRPr="0032658A">
        <w:rPr>
          <w:noProof/>
        </w:rPr>
        <w:t xml:space="preserve">, nurodytą Direktyvos 2002/59/EB 3 straipsnio s punkte. Kai tik valstybės narės perduoda tokią informaciją į inspektavimo duomenų bazę per </w:t>
      </w:r>
      <w:r w:rsidRPr="0032658A">
        <w:rPr>
          <w:i/>
          <w:iCs/>
          <w:noProof/>
        </w:rPr>
        <w:t>SafeSeaNet</w:t>
      </w:r>
      <w:r w:rsidRPr="0032658A">
        <w:rPr>
          <w:noProof/>
        </w:rPr>
        <w:t>, jos atleidžiamos nuo pareigos pateikti duomenis pagal šios direktyvos XIV priedo 1.2 punktą ir 2 punkto a ir b papunkčius.“;</w:t>
      </w:r>
    </w:p>
    <w:p w14:paraId="0C05C0F7" w14:textId="1E083ADB" w:rsidR="00B65350" w:rsidRPr="0032658A" w:rsidRDefault="00B11CDA" w:rsidP="00B11CDA">
      <w:pPr>
        <w:pStyle w:val="Point1"/>
        <w:rPr>
          <w:noProof/>
        </w:rPr>
      </w:pPr>
      <w:r w:rsidRPr="00B11CDA">
        <w:t>(b)</w:t>
      </w:r>
      <w:r w:rsidRPr="00B11CDA">
        <w:tab/>
      </w:r>
      <w:r w:rsidR="00997A66" w:rsidRPr="0032658A">
        <w:rPr>
          <w:noProof/>
        </w:rPr>
        <w:t xml:space="preserve">3 dalis pakeičiama taip: </w:t>
      </w:r>
    </w:p>
    <w:p w14:paraId="53C8788E" w14:textId="77777777" w:rsidR="00811678" w:rsidRPr="0032658A" w:rsidRDefault="00F5023A" w:rsidP="006929ED">
      <w:pPr>
        <w:pStyle w:val="Point2"/>
        <w:ind w:left="1417" w:firstLine="0"/>
        <w:rPr>
          <w:noProof/>
        </w:rPr>
      </w:pPr>
      <w:r w:rsidRPr="0032658A">
        <w:rPr>
          <w:noProof/>
        </w:rPr>
        <w:t>„3.</w:t>
      </w:r>
      <w:r w:rsidRPr="0032658A">
        <w:rPr>
          <w:noProof/>
        </w:rPr>
        <w:tab/>
        <w:t xml:space="preserve">Valstybės narės užtikrina, kad informacija, susijusi su pagal šią direktyvą vykdomais inspektavimais, būtų perduodama į inspektavimo duomenų bazę nedelsiant po to, kai parengiama inspektavimo ataskaita ir sulaikymas atšaukiamas. </w:t>
      </w:r>
    </w:p>
    <w:p w14:paraId="4CC5BB99" w14:textId="77777777" w:rsidR="00811678" w:rsidRPr="0032658A" w:rsidRDefault="00811678" w:rsidP="006929ED">
      <w:pPr>
        <w:pStyle w:val="Point2"/>
        <w:ind w:left="1417" w:firstLine="0"/>
        <w:rPr>
          <w:noProof/>
        </w:rPr>
      </w:pPr>
      <w:r w:rsidRPr="0032658A">
        <w:rPr>
          <w:noProof/>
        </w:rPr>
        <w:t xml:space="preserve">Valstybės narės užtikrina, kad į inspektavimo duomenų bazę persiųsta informacija per 72 valandas būtų patvirtinta, kad ją būtų galima paskelbti viešai. Inspektavimo ataskaitą prieš ją perkeliant į duomenų bazę patvirtina uosto valstybės kontrolės inspektorius, nepriklausantis inspektavimą atlikusiai grupei.“; </w:t>
      </w:r>
    </w:p>
    <w:p w14:paraId="58BAB885" w14:textId="12BAA993" w:rsidR="00F70E63" w:rsidRPr="0032658A" w:rsidRDefault="00B11CDA" w:rsidP="00B11CDA">
      <w:pPr>
        <w:pStyle w:val="Point0"/>
        <w:rPr>
          <w:noProof/>
        </w:rPr>
      </w:pPr>
      <w:r w:rsidRPr="00B11CDA">
        <w:t>(16)</w:t>
      </w:r>
      <w:r w:rsidRPr="00B11CDA">
        <w:tab/>
      </w:r>
      <w:r w:rsidR="001B68A4" w:rsidRPr="0032658A">
        <w:rPr>
          <w:noProof/>
        </w:rPr>
        <w:t>įterpiamas 24a straipsnis:</w:t>
      </w:r>
    </w:p>
    <w:p w14:paraId="0E459B4A" w14:textId="77777777" w:rsidR="00F70E63" w:rsidRPr="0032658A" w:rsidRDefault="006929ED" w:rsidP="006929ED">
      <w:pPr>
        <w:pStyle w:val="Titrearticle"/>
        <w:rPr>
          <w:noProof/>
        </w:rPr>
      </w:pPr>
      <w:r w:rsidRPr="0032658A">
        <w:rPr>
          <w:noProof/>
        </w:rPr>
        <w:t>„24a straipsnis</w:t>
      </w:r>
    </w:p>
    <w:p w14:paraId="1F63189D" w14:textId="77777777" w:rsidR="00F70E63" w:rsidRPr="0032658A" w:rsidRDefault="00F70E63" w:rsidP="006929ED">
      <w:pPr>
        <w:pStyle w:val="Typeacteprincipal"/>
        <w:rPr>
          <w:noProof/>
        </w:rPr>
      </w:pPr>
      <w:r w:rsidRPr="0032658A">
        <w:rPr>
          <w:noProof/>
        </w:rPr>
        <w:t>Elektroniniai liudijimai</w:t>
      </w:r>
    </w:p>
    <w:p w14:paraId="37B3F163" w14:textId="77777777" w:rsidR="00B16E91" w:rsidRPr="0032658A" w:rsidRDefault="006929ED" w:rsidP="001B68A4">
      <w:pPr>
        <w:pStyle w:val="Point1"/>
        <w:ind w:left="850" w:firstLine="0"/>
        <w:rPr>
          <w:noProof/>
        </w:rPr>
      </w:pPr>
      <w:r w:rsidRPr="0032658A">
        <w:rPr>
          <w:noProof/>
        </w:rPr>
        <w:t>1.</w:t>
      </w:r>
      <w:r w:rsidRPr="0032658A">
        <w:rPr>
          <w:noProof/>
        </w:rPr>
        <w:tab/>
        <w:t>Komisija, glaudžiai bendradarbiaudama su valstybėmis narėmis, priima įgyvendinimo aktus, kuriais nustatomos suderintos ataskaitų teikimo sąsajos, patvirtinimo priemonės ir IV priede išvardytų ir 13 straipsnio 1 dalyje nurodytų liudijimų elektroninių versijų centrinės saugyklos (duomenų bazės) funkcinės ir techninės specifikacijos. Tie įgyvendinimo aktai priimami laikantis 31 straipsnio 2 dalyje nurodytos nagrinėjimo procedūros.</w:t>
      </w:r>
    </w:p>
    <w:p w14:paraId="0D403F34" w14:textId="77777777" w:rsidR="00B65350" w:rsidRPr="0032658A" w:rsidRDefault="006929ED" w:rsidP="001B68A4">
      <w:pPr>
        <w:pStyle w:val="Point1"/>
        <w:ind w:left="850" w:firstLine="0"/>
        <w:rPr>
          <w:noProof/>
        </w:rPr>
      </w:pPr>
      <w:r w:rsidRPr="0032658A">
        <w:rPr>
          <w:noProof/>
        </w:rPr>
        <w:t>2.</w:t>
      </w:r>
      <w:r w:rsidRPr="0032658A">
        <w:rPr>
          <w:noProof/>
        </w:rPr>
        <w:tab/>
        <w:t xml:space="preserve">Valstybės narės gali naudotis suderinta ataskaitų teikimo sąsaja, patvirtinimo priemone ir centrine liudijimų elektroninių versijų saugykla (duomenų baze), kad palengvintų savo laivų registrų perėjimą prie elektroninių liudijimų. </w:t>
      </w:r>
    </w:p>
    <w:p w14:paraId="74C5785E" w14:textId="77777777" w:rsidR="00B65350" w:rsidRPr="0032658A" w:rsidRDefault="006929ED" w:rsidP="001B68A4">
      <w:pPr>
        <w:pStyle w:val="Point1"/>
        <w:ind w:left="850" w:firstLine="0"/>
        <w:rPr>
          <w:noProof/>
        </w:rPr>
      </w:pPr>
      <w:r w:rsidRPr="0032658A">
        <w:rPr>
          <w:noProof/>
        </w:rPr>
        <w:t>3.</w:t>
      </w:r>
      <w:r w:rsidRPr="0032658A">
        <w:rPr>
          <w:noProof/>
        </w:rPr>
        <w:tab/>
        <w:t xml:space="preserve">Į tai turi būti atsižvelgiama nustatant laivų, plaukiojančių su tokius elektroninius liudijimus išduodančios valstybės vėliava, rizikos lygį (LRL), kaip nustatyta I ir II prieduose. </w:t>
      </w:r>
    </w:p>
    <w:p w14:paraId="56A79D1E" w14:textId="77777777" w:rsidR="00B16E91" w:rsidRPr="0032658A" w:rsidRDefault="001B68A4" w:rsidP="001B68A4">
      <w:pPr>
        <w:pStyle w:val="Point1"/>
        <w:ind w:left="850" w:firstLine="0"/>
        <w:rPr>
          <w:noProof/>
        </w:rPr>
      </w:pPr>
      <w:r w:rsidRPr="0032658A">
        <w:rPr>
          <w:noProof/>
        </w:rPr>
        <w:t>4.</w:t>
      </w:r>
      <w:r w:rsidRPr="0032658A">
        <w:rPr>
          <w:noProof/>
        </w:rPr>
        <w:tab/>
        <w:t>Valstybė narė atsako už tai, kad duomenų elementai būtų pateikti laikantis taikomų teisinių ir techninių reikalavimų. Valstybė narė lieka atsakinga už duomenis ir už informacijos bei liudijimų galiojimą, taip pat už visos pasikeitusios į centrinę duomenų bazę pateiktos informacijos atnaujinimą.“;</w:t>
      </w:r>
    </w:p>
    <w:p w14:paraId="7743622F" w14:textId="35DDA2C8" w:rsidR="00E05B06" w:rsidRPr="0032658A" w:rsidRDefault="00B11CDA" w:rsidP="00B11CDA">
      <w:pPr>
        <w:pStyle w:val="Point0"/>
        <w:rPr>
          <w:noProof/>
        </w:rPr>
      </w:pPr>
      <w:r w:rsidRPr="00B11CDA">
        <w:t>(17)</w:t>
      </w:r>
      <w:r w:rsidRPr="00B11CDA">
        <w:tab/>
      </w:r>
      <w:r w:rsidR="00E05B06" w:rsidRPr="0032658A">
        <w:rPr>
          <w:noProof/>
        </w:rPr>
        <w:t xml:space="preserve">25 straipsnis pakeičiamas taip: </w:t>
      </w:r>
    </w:p>
    <w:p w14:paraId="6F1AA08E" w14:textId="77777777" w:rsidR="00E05B06" w:rsidRPr="0032658A" w:rsidRDefault="00DA13CC" w:rsidP="00DA13CC">
      <w:pPr>
        <w:pStyle w:val="Titrearticle"/>
        <w:rPr>
          <w:noProof/>
        </w:rPr>
      </w:pPr>
      <w:r w:rsidRPr="0032658A">
        <w:rPr>
          <w:noProof/>
        </w:rPr>
        <w:t>„25 straipsnis</w:t>
      </w:r>
    </w:p>
    <w:p w14:paraId="6B8E4E9C" w14:textId="77777777" w:rsidR="00E05B06" w:rsidRPr="0032658A" w:rsidRDefault="00E05B06" w:rsidP="00DA13CC">
      <w:pPr>
        <w:pStyle w:val="Typeacteprincipal"/>
        <w:rPr>
          <w:noProof/>
        </w:rPr>
      </w:pPr>
      <w:r w:rsidRPr="0032658A">
        <w:rPr>
          <w:noProof/>
        </w:rPr>
        <w:t>Keitimasis informacija ir bendradarbiavimas</w:t>
      </w:r>
    </w:p>
    <w:p w14:paraId="4D6AAD95" w14:textId="77777777" w:rsidR="00E05B06" w:rsidRPr="0032658A" w:rsidRDefault="00E05B06" w:rsidP="00DA13CC">
      <w:pPr>
        <w:pStyle w:val="Point1"/>
        <w:ind w:left="850" w:firstLine="0"/>
        <w:rPr>
          <w:noProof/>
        </w:rPr>
      </w:pPr>
      <w:r w:rsidRPr="0032658A">
        <w:rPr>
          <w:noProof/>
        </w:rPr>
        <w:t>Kiekviena valstybė narė užtikrina, kad jos uostų administracijos arba įstaigos ir kitos susijusios institucijos ar įstaigos pateiktų kompetentingai uosto valstybės kontrolės institucijai šią jų turimą informaciją:</w:t>
      </w:r>
    </w:p>
    <w:p w14:paraId="10921129" w14:textId="43913CFE" w:rsidR="003876A1" w:rsidRPr="0032658A" w:rsidRDefault="00B11CDA" w:rsidP="00B11CDA">
      <w:pPr>
        <w:pStyle w:val="Point1"/>
        <w:rPr>
          <w:noProof/>
        </w:rPr>
      </w:pPr>
      <w:r w:rsidRPr="00B11CDA">
        <w:t>(a)</w:t>
      </w:r>
      <w:r w:rsidRPr="00B11CDA">
        <w:tab/>
      </w:r>
      <w:r w:rsidR="003876A1" w:rsidRPr="0032658A">
        <w:rPr>
          <w:noProof/>
        </w:rPr>
        <w:t>informaciją apie laivus, kurie nepranešė informacijos pagal šios direktyvos, Direktyvos 2002/59/EB ir pagal Europos Parlamento ir Tarybos direktyvos (ES) 2019/883</w:t>
      </w:r>
      <w:r w:rsidR="003876A1" w:rsidRPr="0032658A">
        <w:rPr>
          <w:rStyle w:val="FootnoteReference"/>
          <w:noProof/>
        </w:rPr>
        <w:footnoteReference w:id="30"/>
      </w:r>
      <w:r w:rsidR="003876A1" w:rsidRPr="0032658A">
        <w:rPr>
          <w:noProof/>
        </w:rPr>
        <w:t xml:space="preserve"> reikalavimus, taip pat, jei reikia, pagal 2004 m. kovo 31 d. Europos Parlamento ir Tarybos reglamentą (EB) Nr. 725/2004 dėl laivų ir uostų įrenginių apsaugos stiprinimo,</w:t>
      </w:r>
    </w:p>
    <w:p w14:paraId="4EA9182D" w14:textId="6329543B" w:rsidR="003876A1" w:rsidRPr="0032658A" w:rsidRDefault="00B11CDA" w:rsidP="00B11CDA">
      <w:pPr>
        <w:pStyle w:val="Point1"/>
        <w:rPr>
          <w:noProof/>
        </w:rPr>
      </w:pPr>
      <w:r w:rsidRPr="00B11CDA">
        <w:t>(b)</w:t>
      </w:r>
      <w:r w:rsidRPr="00B11CDA">
        <w:tab/>
      </w:r>
      <w:r w:rsidR="00415748" w:rsidRPr="0032658A">
        <w:rPr>
          <w:noProof/>
        </w:rPr>
        <w:t>informaciją apie laivus, kurie išplaukė į jūrą, neįvykdę Direktyvos (ES) 2019/883 dėl uosto priėmimo įrenginių 7 straipsnio reikalavimų,</w:t>
      </w:r>
    </w:p>
    <w:p w14:paraId="48115EB9" w14:textId="3588FB9C" w:rsidR="003876A1" w:rsidRPr="0032658A" w:rsidRDefault="00B11CDA" w:rsidP="00B11CDA">
      <w:pPr>
        <w:pStyle w:val="Point1"/>
        <w:rPr>
          <w:noProof/>
        </w:rPr>
      </w:pPr>
      <w:r w:rsidRPr="00B11CDA">
        <w:t>(c)</w:t>
      </w:r>
      <w:r w:rsidRPr="00B11CDA">
        <w:tab/>
      </w:r>
      <w:r w:rsidR="00DA13CC" w:rsidRPr="0032658A">
        <w:rPr>
          <w:noProof/>
        </w:rPr>
        <w:t>informaciją apie laivus, kuriems atsisakyta duoti leidimą įplaukti į uostą ar kurie buvo išsiųsti iš uosto dėl saugumo priežasčių,</w:t>
      </w:r>
    </w:p>
    <w:p w14:paraId="5D6BBA05" w14:textId="77777777" w:rsidR="00FA34C4" w:rsidRPr="0032658A" w:rsidRDefault="003876A1" w:rsidP="00415748">
      <w:pPr>
        <w:pStyle w:val="Text2"/>
        <w:rPr>
          <w:noProof/>
        </w:rPr>
      </w:pPr>
      <w:r w:rsidRPr="0032658A">
        <w:rPr>
          <w:noProof/>
        </w:rPr>
        <w:t xml:space="preserve">informaciją apie akivaizdžius defektus pagal 23 straipsnį.“; </w:t>
      </w:r>
    </w:p>
    <w:p w14:paraId="08CC315B" w14:textId="77777777" w:rsidR="00FA34C4" w:rsidRPr="0032658A" w:rsidRDefault="00FA34C4" w:rsidP="00415748">
      <w:pPr>
        <w:pStyle w:val="Text2"/>
        <w:rPr>
          <w:noProof/>
        </w:rPr>
      </w:pPr>
    </w:p>
    <w:p w14:paraId="1C8E13E0" w14:textId="056CAF2D" w:rsidR="00A657B1" w:rsidRPr="0032658A" w:rsidRDefault="00B11CDA" w:rsidP="00B11CDA">
      <w:pPr>
        <w:pStyle w:val="Point0"/>
        <w:rPr>
          <w:noProof/>
        </w:rPr>
      </w:pPr>
      <w:r w:rsidRPr="00B11CDA">
        <w:t>(18)</w:t>
      </w:r>
      <w:r w:rsidRPr="00B11CDA">
        <w:tab/>
      </w:r>
      <w:r w:rsidR="00A657B1" w:rsidRPr="0032658A">
        <w:rPr>
          <w:noProof/>
        </w:rPr>
        <w:t>30 straipsnis pakeičiamas taip:</w:t>
      </w:r>
    </w:p>
    <w:p w14:paraId="119D4B79" w14:textId="77777777" w:rsidR="00A657B1" w:rsidRPr="0032658A" w:rsidRDefault="004E3BC2" w:rsidP="00DA13CC">
      <w:pPr>
        <w:pStyle w:val="Titrearticle"/>
        <w:rPr>
          <w:noProof/>
        </w:rPr>
      </w:pPr>
      <w:r w:rsidRPr="0032658A">
        <w:rPr>
          <w:noProof/>
        </w:rPr>
        <w:t>„30 straipsnis</w:t>
      </w:r>
    </w:p>
    <w:p w14:paraId="5A65254A" w14:textId="77777777" w:rsidR="00A657B1" w:rsidRPr="0032658A" w:rsidRDefault="00EE40B7" w:rsidP="00DA13CC">
      <w:pPr>
        <w:pStyle w:val="Typeacteprincipal"/>
        <w:rPr>
          <w:noProof/>
        </w:rPr>
      </w:pPr>
      <w:r w:rsidRPr="0032658A">
        <w:rPr>
          <w:noProof/>
        </w:rPr>
        <w:t>Valstybių narių atitikties reikalavimams ir veiklos stebėsena</w:t>
      </w:r>
    </w:p>
    <w:p w14:paraId="75547AE5" w14:textId="77777777" w:rsidR="00EE40B7" w:rsidRPr="0032658A" w:rsidRDefault="00EE40B7" w:rsidP="00205CF5">
      <w:pPr>
        <w:pStyle w:val="Point1"/>
        <w:ind w:left="851" w:firstLine="0"/>
        <w:rPr>
          <w:noProof/>
        </w:rPr>
      </w:pPr>
      <w:r w:rsidRPr="0032658A">
        <w:rPr>
          <w:noProof/>
        </w:rPr>
        <w:t xml:space="preserve">Siekdama užtikrinti veiksmingą šios direktyvos įgyvendinimą ir stebėti Sąjungos uosto valstybės kontrolės režimo bendrą veikimą pagal Reglamento (EB) Nr. 1406/2002 2 straipsnio b dalies i punktą, Komisija renka būtiną informaciją ir lankosi valstybėse narėse. </w:t>
      </w:r>
    </w:p>
    <w:p w14:paraId="44FB9C6D" w14:textId="77777777" w:rsidR="00EE40B7" w:rsidRPr="0032658A" w:rsidRDefault="00EE40B7" w:rsidP="00EE40B7">
      <w:pPr>
        <w:pStyle w:val="Point1"/>
        <w:ind w:left="851" w:firstLine="0"/>
        <w:rPr>
          <w:noProof/>
        </w:rPr>
      </w:pPr>
      <w:r w:rsidRPr="0032658A">
        <w:rPr>
          <w:noProof/>
        </w:rPr>
        <w:t>Kiekviena valstybė narė parengia, įgyvendina ir tvarko savo administracijos veiklos, susijusios su uosto valstybės įsipareigojimais, operatyvinių sričių kokybės valdymo sistemą. Tokia kokybės valdymo sistema sertifikuojama pagal taikomus tarptautinius kokybės standartus.“;</w:t>
      </w:r>
    </w:p>
    <w:p w14:paraId="03ACD78B" w14:textId="2B4B5E48" w:rsidR="003E5E8F" w:rsidRPr="0032658A" w:rsidRDefault="00B11CDA" w:rsidP="00B11CDA">
      <w:pPr>
        <w:pStyle w:val="Point0"/>
        <w:rPr>
          <w:noProof/>
        </w:rPr>
      </w:pPr>
      <w:r w:rsidRPr="00B11CDA">
        <w:t>(19)</w:t>
      </w:r>
      <w:r w:rsidRPr="00B11CDA">
        <w:tab/>
      </w:r>
      <w:r w:rsidR="008615F7" w:rsidRPr="0032658A">
        <w:rPr>
          <w:noProof/>
        </w:rPr>
        <w:t>30a straipsnis pakeičiamas taip:</w:t>
      </w:r>
      <w:r w:rsidR="008615F7" w:rsidRPr="0032658A">
        <w:rPr>
          <w:noProof/>
        </w:rPr>
        <w:tab/>
      </w:r>
    </w:p>
    <w:p w14:paraId="18D5B016" w14:textId="77777777" w:rsidR="003E5E8F" w:rsidRPr="0032658A" w:rsidRDefault="003E5E8F" w:rsidP="003E5E8F">
      <w:pPr>
        <w:pStyle w:val="Titrearticle"/>
        <w:rPr>
          <w:noProof/>
        </w:rPr>
      </w:pPr>
      <w:r w:rsidRPr="0032658A">
        <w:rPr>
          <w:noProof/>
        </w:rPr>
        <w:t>„30a straipsnis</w:t>
      </w:r>
    </w:p>
    <w:p w14:paraId="58D1057F" w14:textId="77777777" w:rsidR="003E5E8F" w:rsidRPr="0032658A" w:rsidRDefault="003E5E8F" w:rsidP="003E5E8F">
      <w:pPr>
        <w:pStyle w:val="Typeacteprincipal"/>
        <w:rPr>
          <w:noProof/>
        </w:rPr>
      </w:pPr>
      <w:r w:rsidRPr="0032658A">
        <w:rPr>
          <w:noProof/>
        </w:rPr>
        <w:t>Deleguotieji aktai</w:t>
      </w:r>
    </w:p>
    <w:p w14:paraId="65CCBA3E" w14:textId="77777777" w:rsidR="0073214D" w:rsidRPr="0032658A" w:rsidRDefault="0073214D" w:rsidP="0002622D">
      <w:pPr>
        <w:pStyle w:val="Point1"/>
        <w:ind w:left="851" w:firstLine="0"/>
        <w:rPr>
          <w:noProof/>
        </w:rPr>
      </w:pPr>
      <w:r w:rsidRPr="0032658A">
        <w:rPr>
          <w:noProof/>
        </w:rPr>
        <w:t xml:space="preserve">Komisijai pagal 30b straipsnį suteikiami įgaliojimai priimti deleguotuosius aktus, kuriais iš dalies keičiama 2 straipsnio 1 dalis, siekiant iš dalies pakeisti 2 straipsnio 1 dalyje pateiktą konvencijų sąrašą, jei tokios konvencijos yra priimtos Paryžiaus SM kaip atitinkamas dokumentas, ir iš dalies pakeisti VI priedą siekiant įtraukti ir (arba) atnaujinti tame priede pateiktą Paryžiaus SM priimtų procedūrų ir gairių, susijusių su uosto valstybės kontrole, sąrašą.“; </w:t>
      </w:r>
    </w:p>
    <w:p w14:paraId="7A11C5F2" w14:textId="5AAFF4B3" w:rsidR="008615F7" w:rsidRPr="0032658A" w:rsidRDefault="00B11CDA" w:rsidP="00B11CDA">
      <w:pPr>
        <w:pStyle w:val="Point0"/>
        <w:rPr>
          <w:noProof/>
        </w:rPr>
      </w:pPr>
      <w:r w:rsidRPr="00B11CDA">
        <w:t>(20)</w:t>
      </w:r>
      <w:r w:rsidRPr="00B11CDA">
        <w:tab/>
      </w:r>
      <w:r w:rsidR="008615F7" w:rsidRPr="0032658A">
        <w:rPr>
          <w:noProof/>
        </w:rPr>
        <w:t xml:space="preserve">31 straipsnyje įterpiama: </w:t>
      </w:r>
    </w:p>
    <w:p w14:paraId="16E3C48F" w14:textId="77777777" w:rsidR="008615F7" w:rsidRPr="0032658A" w:rsidRDefault="008615F7" w:rsidP="008615F7">
      <w:pPr>
        <w:pStyle w:val="Point1"/>
        <w:ind w:left="851" w:firstLine="0"/>
        <w:rPr>
          <w:noProof/>
        </w:rPr>
      </w:pPr>
      <w:r w:rsidRPr="0032658A">
        <w:rPr>
          <w:noProof/>
        </w:rPr>
        <w:t>„4. Pagal Reglamento (EB) Nr. 2099/2002 5 straipsnį ši direktyva gali būti netaikoma daliniams 2 straipsnio 1 punkte išvardytų atitinkamų priemonių pakeitimams.“</w:t>
      </w:r>
    </w:p>
    <w:p w14:paraId="3AF86E4D" w14:textId="33D3AD66" w:rsidR="00267F1A" w:rsidRPr="0032658A" w:rsidRDefault="00B11CDA" w:rsidP="00B11CDA">
      <w:pPr>
        <w:pStyle w:val="Point0"/>
        <w:rPr>
          <w:noProof/>
        </w:rPr>
      </w:pPr>
      <w:r w:rsidRPr="00B11CDA">
        <w:t>(21)</w:t>
      </w:r>
      <w:r w:rsidRPr="00B11CDA">
        <w:tab/>
      </w:r>
      <w:r w:rsidR="00267F1A" w:rsidRPr="0032658A">
        <w:rPr>
          <w:noProof/>
        </w:rPr>
        <w:t>33 straipsnis pakeičiamas taip:</w:t>
      </w:r>
    </w:p>
    <w:p w14:paraId="67AC5D55" w14:textId="77777777" w:rsidR="00267F1A" w:rsidRPr="0032658A" w:rsidRDefault="00267F1A" w:rsidP="00267F1A">
      <w:pPr>
        <w:pStyle w:val="Titrearticle"/>
        <w:rPr>
          <w:noProof/>
        </w:rPr>
      </w:pPr>
      <w:r w:rsidRPr="0032658A">
        <w:rPr>
          <w:noProof/>
        </w:rPr>
        <w:t>„33 straipsnis</w:t>
      </w:r>
    </w:p>
    <w:p w14:paraId="5A856C28" w14:textId="77777777" w:rsidR="00267F1A" w:rsidRPr="0032658A" w:rsidRDefault="00267F1A" w:rsidP="00267F1A">
      <w:pPr>
        <w:pStyle w:val="Typeacteprincipal"/>
        <w:rPr>
          <w:noProof/>
        </w:rPr>
      </w:pPr>
      <w:r w:rsidRPr="0032658A">
        <w:rPr>
          <w:noProof/>
        </w:rPr>
        <w:t>Įgyvendinimo taisyklės</w:t>
      </w:r>
    </w:p>
    <w:p w14:paraId="4B93120C" w14:textId="77777777" w:rsidR="00267F1A" w:rsidRPr="0032658A" w:rsidRDefault="00267F1A" w:rsidP="00415748">
      <w:pPr>
        <w:pStyle w:val="Text1"/>
        <w:rPr>
          <w:noProof/>
        </w:rPr>
      </w:pPr>
      <w:r w:rsidRPr="0032658A">
        <w:rPr>
          <w:noProof/>
        </w:rPr>
        <w:t>Komisija pagal 31 straipsnio 2 dalyje nurodytą procedūrą nustatydama 2 straipsnio 2 punkte, 3 straipsnio 4a dalyje, 10 straipsnio 3 dalyje, 10 straipsnio 4 dalyje, 14 straipsnio 4 dalyje, 15 straipsnio 3 dalyje, 18a straipsnio 7 dalyje, 23 straipsnio 5 dalyje, 24a straipsnio 6 dalyje ir 27 straipsnyje nurodytas įgyvendinimo taisykles, ypač atidžiai užtikrina, kad šiose taisyklėse būtų atsižvelgta į ekspertines žinias ir patirtį, susijusias su inspektavimo sistema Sąjungoje, ir remiamasi Paryžiaus SM ekspertinėmis žiniomis.“;</w:t>
      </w:r>
    </w:p>
    <w:p w14:paraId="64283631" w14:textId="71BB26FD" w:rsidR="001127F3" w:rsidRPr="0032658A" w:rsidRDefault="00B11CDA" w:rsidP="00B11CDA">
      <w:pPr>
        <w:pStyle w:val="Point0"/>
        <w:rPr>
          <w:noProof/>
        </w:rPr>
      </w:pPr>
      <w:r w:rsidRPr="00B11CDA">
        <w:t>(22)</w:t>
      </w:r>
      <w:r w:rsidRPr="00B11CDA">
        <w:tab/>
      </w:r>
      <w:r w:rsidR="00AF3D0D" w:rsidRPr="0032658A">
        <w:rPr>
          <w:noProof/>
        </w:rPr>
        <w:t>35 straipsnis pakeičiamas taip:</w:t>
      </w:r>
    </w:p>
    <w:p w14:paraId="75B3DBDA" w14:textId="77777777" w:rsidR="003516BB" w:rsidRPr="0032658A" w:rsidRDefault="00F5023A" w:rsidP="00DA13CC">
      <w:pPr>
        <w:pStyle w:val="Titrearticle"/>
        <w:rPr>
          <w:noProof/>
        </w:rPr>
      </w:pPr>
      <w:r w:rsidRPr="0032658A">
        <w:rPr>
          <w:noProof/>
        </w:rPr>
        <w:t>„35 straipsnis</w:t>
      </w:r>
    </w:p>
    <w:p w14:paraId="1006232C" w14:textId="77777777" w:rsidR="00ED5C09" w:rsidRPr="0032658A" w:rsidRDefault="008C1CC4" w:rsidP="00DA13CC">
      <w:pPr>
        <w:pStyle w:val="Typeacteprincipal"/>
        <w:rPr>
          <w:noProof/>
        </w:rPr>
      </w:pPr>
      <w:r w:rsidRPr="0032658A">
        <w:rPr>
          <w:noProof/>
        </w:rPr>
        <w:t>Įgyvendinimo peržiūra</w:t>
      </w:r>
    </w:p>
    <w:p w14:paraId="568014E4" w14:textId="77777777" w:rsidR="00314011" w:rsidRPr="0032658A" w:rsidRDefault="003516BB" w:rsidP="003E5E8F">
      <w:pPr>
        <w:pStyle w:val="Text1"/>
        <w:rPr>
          <w:rFonts w:cstheme="minorHAnsi"/>
          <w:noProof/>
        </w:rPr>
      </w:pPr>
      <w:r w:rsidRPr="0032658A">
        <w:rPr>
          <w:noProof/>
        </w:rPr>
        <w:t xml:space="preserve">Komisija iki </w:t>
      </w:r>
      <w:r w:rsidRPr="0032658A">
        <w:rPr>
          <w:i/>
          <w:noProof/>
        </w:rPr>
        <w:t>[Leidinių biurui: įrašyti datą – dešimt metų nuo šios pakeitimų direktyvos įsigaliojimo dienos]</w:t>
      </w:r>
      <w:r w:rsidRPr="0032658A">
        <w:rPr>
          <w:noProof/>
        </w:rPr>
        <w:t xml:space="preserve"> pateikia Europos Parlamentui ir Tarybai ataskaitą apie šios direktyvos įgyvendinimą bei jos laikymąsi.“; </w:t>
      </w:r>
    </w:p>
    <w:p w14:paraId="0AAE5ABA" w14:textId="361F8196" w:rsidR="00CF58A8" w:rsidRPr="0032658A" w:rsidRDefault="00B11CDA" w:rsidP="00B11CDA">
      <w:pPr>
        <w:pStyle w:val="Point0"/>
        <w:rPr>
          <w:noProof/>
        </w:rPr>
      </w:pPr>
      <w:r w:rsidRPr="00B11CDA">
        <w:t>(23)</w:t>
      </w:r>
      <w:r w:rsidRPr="00B11CDA">
        <w:tab/>
      </w:r>
      <w:r w:rsidR="00CF58A8" w:rsidRPr="0032658A">
        <w:rPr>
          <w:noProof/>
        </w:rPr>
        <w:t xml:space="preserve">I priedas iš dalies keičiamas pagal šios direktyvos I priedą; </w:t>
      </w:r>
    </w:p>
    <w:p w14:paraId="5DDB5AA0" w14:textId="63C921B8" w:rsidR="000933D3" w:rsidRPr="0032658A" w:rsidRDefault="00B11CDA" w:rsidP="00B11CDA">
      <w:pPr>
        <w:pStyle w:val="Point0"/>
        <w:rPr>
          <w:noProof/>
        </w:rPr>
      </w:pPr>
      <w:r w:rsidRPr="00B11CDA">
        <w:t>(24)</w:t>
      </w:r>
      <w:r w:rsidRPr="00B11CDA">
        <w:tab/>
      </w:r>
      <w:r w:rsidR="000933D3" w:rsidRPr="0032658A">
        <w:rPr>
          <w:noProof/>
        </w:rPr>
        <w:t xml:space="preserve">II priedas pakeičiamas šios direktyvos II priedo tekstu; </w:t>
      </w:r>
    </w:p>
    <w:p w14:paraId="433089C9" w14:textId="101DD6E1" w:rsidR="002864AB" w:rsidRPr="0032658A" w:rsidRDefault="00B11CDA" w:rsidP="00B11CDA">
      <w:pPr>
        <w:pStyle w:val="Point0"/>
        <w:rPr>
          <w:noProof/>
        </w:rPr>
      </w:pPr>
      <w:r w:rsidRPr="00B11CDA">
        <w:t>(25)</w:t>
      </w:r>
      <w:r w:rsidRPr="00B11CDA">
        <w:tab/>
      </w:r>
      <w:r w:rsidR="002864AB" w:rsidRPr="0032658A">
        <w:rPr>
          <w:noProof/>
        </w:rPr>
        <w:t>III priedas išbraukiamas;</w:t>
      </w:r>
    </w:p>
    <w:p w14:paraId="3822BFCF" w14:textId="79C18525" w:rsidR="000933D3" w:rsidRPr="0032658A" w:rsidRDefault="00B11CDA" w:rsidP="00B11CDA">
      <w:pPr>
        <w:pStyle w:val="Point0"/>
        <w:rPr>
          <w:noProof/>
        </w:rPr>
      </w:pPr>
      <w:r w:rsidRPr="00B11CDA">
        <w:t>(26)</w:t>
      </w:r>
      <w:r w:rsidRPr="00B11CDA">
        <w:tab/>
      </w:r>
      <w:r w:rsidR="000933D3" w:rsidRPr="0032658A">
        <w:rPr>
          <w:noProof/>
        </w:rPr>
        <w:t xml:space="preserve">IV priedas pakeičiamas šios direktyvos III priedo tekstu; </w:t>
      </w:r>
    </w:p>
    <w:p w14:paraId="28252F3C" w14:textId="2D78437B" w:rsidR="00951E8E" w:rsidRPr="0032658A" w:rsidRDefault="00B11CDA" w:rsidP="00B11CDA">
      <w:pPr>
        <w:pStyle w:val="Point0"/>
        <w:rPr>
          <w:noProof/>
        </w:rPr>
      </w:pPr>
      <w:r w:rsidRPr="00B11CDA">
        <w:t>(27)</w:t>
      </w:r>
      <w:r w:rsidRPr="00B11CDA">
        <w:tab/>
      </w:r>
      <w:r w:rsidR="00951E8E" w:rsidRPr="0032658A">
        <w:rPr>
          <w:noProof/>
        </w:rPr>
        <w:t xml:space="preserve">V priedas pakeičiamas šios direktyvos IV priedo tekstu; </w:t>
      </w:r>
    </w:p>
    <w:p w14:paraId="3591CBC4" w14:textId="7F52FB1B" w:rsidR="000933D3" w:rsidRPr="0032658A" w:rsidRDefault="00B11CDA" w:rsidP="00B11CDA">
      <w:pPr>
        <w:pStyle w:val="Point0"/>
        <w:rPr>
          <w:noProof/>
        </w:rPr>
      </w:pPr>
      <w:r w:rsidRPr="00B11CDA">
        <w:t>(28)</w:t>
      </w:r>
      <w:r w:rsidRPr="00B11CDA">
        <w:tab/>
      </w:r>
      <w:r w:rsidR="004B6474" w:rsidRPr="0032658A">
        <w:rPr>
          <w:noProof/>
        </w:rPr>
        <w:t xml:space="preserve">VIII priedas pakeičiamas šios direktyvos V priedo tekstu. </w:t>
      </w:r>
    </w:p>
    <w:p w14:paraId="3542F62B" w14:textId="77777777" w:rsidR="005B3330" w:rsidRPr="0032658A" w:rsidRDefault="005B3330" w:rsidP="007800DD">
      <w:pPr>
        <w:pStyle w:val="Titrearticle"/>
        <w:keepLines/>
        <w:rPr>
          <w:noProof/>
        </w:rPr>
      </w:pPr>
      <w:r w:rsidRPr="0032658A">
        <w:rPr>
          <w:noProof/>
        </w:rPr>
        <w:t>2 straipsnis</w:t>
      </w:r>
    </w:p>
    <w:p w14:paraId="64EAB2E6" w14:textId="77777777" w:rsidR="00B12B57" w:rsidRPr="0032658A" w:rsidRDefault="00B12B57" w:rsidP="00DA13CC">
      <w:pPr>
        <w:pStyle w:val="Typeacteprincipal"/>
        <w:rPr>
          <w:noProof/>
        </w:rPr>
      </w:pPr>
      <w:r w:rsidRPr="0032658A">
        <w:rPr>
          <w:noProof/>
        </w:rPr>
        <w:t xml:space="preserve">Perkėlimas į nacionalinę teisę </w:t>
      </w:r>
    </w:p>
    <w:p w14:paraId="1ADE153F" w14:textId="77777777" w:rsidR="005B3330" w:rsidRPr="0032658A" w:rsidRDefault="005B3330" w:rsidP="007800DD">
      <w:pPr>
        <w:keepNext/>
        <w:keepLines/>
        <w:rPr>
          <w:noProof/>
        </w:rPr>
      </w:pPr>
    </w:p>
    <w:p w14:paraId="54E1D6BF" w14:textId="77777777" w:rsidR="00B12B57" w:rsidRPr="0032658A" w:rsidRDefault="005B3330">
      <w:pPr>
        <w:pStyle w:val="ManualNumPar1"/>
        <w:rPr>
          <w:noProof/>
        </w:rPr>
      </w:pPr>
      <w:r w:rsidRPr="0032658A">
        <w:rPr>
          <w:noProof/>
        </w:rPr>
        <w:t>1.</w:t>
      </w:r>
      <w:r w:rsidRPr="0032658A">
        <w:rPr>
          <w:noProof/>
        </w:rPr>
        <w:tab/>
        <w:t xml:space="preserve">Valstybės narės ne vėliau kaip </w:t>
      </w:r>
      <w:r w:rsidRPr="0032658A">
        <w:rPr>
          <w:i/>
          <w:noProof/>
        </w:rPr>
        <w:t>[Leidinių biurui: įrašyti datą – vieni metai nuo šios pakeitimų direktyvos įsigaliojimo dienos</w:t>
      </w:r>
      <w:r w:rsidRPr="0032658A">
        <w:rPr>
          <w:noProof/>
        </w:rPr>
        <w:t>] priima ir paskelbia įstatymus ir kitus teisės aktus, būtinus, kad būtų laikomasi šios direktyvos. Jos nedelsdamos pateikia Komisijai tų nuostatų tekstą.</w:t>
      </w:r>
    </w:p>
    <w:p w14:paraId="76F83473" w14:textId="77777777" w:rsidR="00CA160C" w:rsidRPr="0032658A" w:rsidRDefault="00B12B57" w:rsidP="00B75421">
      <w:pPr>
        <w:pStyle w:val="Text1"/>
        <w:rPr>
          <w:noProof/>
        </w:rPr>
      </w:pPr>
      <w:r w:rsidRPr="0032658A">
        <w:rPr>
          <w:noProof/>
        </w:rPr>
        <w:t>Valstybės narės, priimdamos tas nuostatas, daro jose nuorodą į šią direktyvą arba tokia nuoroda daroma jas oficialiai skelbiant. Nuorodos darymo tvarką nustato valstybės narės.</w:t>
      </w:r>
    </w:p>
    <w:p w14:paraId="2B012287" w14:textId="77777777" w:rsidR="005B3330" w:rsidRPr="0032658A" w:rsidRDefault="005B3330" w:rsidP="00C0263A">
      <w:pPr>
        <w:pStyle w:val="ManualNumPar1"/>
        <w:rPr>
          <w:noProof/>
        </w:rPr>
      </w:pPr>
      <w:r w:rsidRPr="0032658A">
        <w:rPr>
          <w:noProof/>
        </w:rPr>
        <w:t>2.</w:t>
      </w:r>
      <w:r w:rsidRPr="0032658A">
        <w:rPr>
          <w:noProof/>
        </w:rPr>
        <w:tab/>
        <w:t>Valstybės narės pateikia Komisijai šios direktyvos taikymo srityje priimtų nacionalinės teisės aktų pagrindinių nuostatų tekstus.</w:t>
      </w:r>
    </w:p>
    <w:p w14:paraId="65966D88" w14:textId="77777777" w:rsidR="00B12B57" w:rsidRPr="0032658A" w:rsidRDefault="00B12B57" w:rsidP="00B12B57">
      <w:pPr>
        <w:pStyle w:val="Titrearticle"/>
        <w:keepLines/>
        <w:rPr>
          <w:noProof/>
        </w:rPr>
      </w:pPr>
      <w:r w:rsidRPr="0032658A">
        <w:rPr>
          <w:noProof/>
        </w:rPr>
        <w:t>3 straipsnis</w:t>
      </w:r>
    </w:p>
    <w:p w14:paraId="56F4E81A" w14:textId="77777777" w:rsidR="00B12B57" w:rsidRPr="0032658A" w:rsidRDefault="00B12B57" w:rsidP="00DA13CC">
      <w:pPr>
        <w:pStyle w:val="Typeacteprincipal"/>
        <w:rPr>
          <w:noProof/>
        </w:rPr>
      </w:pPr>
      <w:r w:rsidRPr="0032658A">
        <w:rPr>
          <w:noProof/>
        </w:rPr>
        <w:t>Įsigaliojimas</w:t>
      </w:r>
    </w:p>
    <w:p w14:paraId="0C79044A" w14:textId="77777777" w:rsidR="008B2F57" w:rsidRPr="0032658A" w:rsidRDefault="008B2F57" w:rsidP="008B2F57">
      <w:pPr>
        <w:spacing w:after="240"/>
        <w:rPr>
          <w:noProof/>
        </w:rPr>
      </w:pPr>
      <w:r w:rsidRPr="0032658A">
        <w:rPr>
          <w:noProof/>
        </w:rPr>
        <w:t xml:space="preserve">Ši direktyva įsigalioja dvidešimtą dieną po jos paskelbimo </w:t>
      </w:r>
      <w:r w:rsidRPr="0032658A">
        <w:rPr>
          <w:i/>
          <w:iCs/>
          <w:noProof/>
        </w:rPr>
        <w:t>Europos Sąjungos oficialiajame leidinyje</w:t>
      </w:r>
      <w:r w:rsidRPr="0032658A">
        <w:rPr>
          <w:noProof/>
        </w:rPr>
        <w:t>.</w:t>
      </w:r>
    </w:p>
    <w:p w14:paraId="19A6525E" w14:textId="77777777" w:rsidR="005B3330" w:rsidRPr="0032658A" w:rsidRDefault="005B3330" w:rsidP="008B2F57">
      <w:pPr>
        <w:pStyle w:val="Titrearticle"/>
        <w:rPr>
          <w:noProof/>
        </w:rPr>
      </w:pPr>
      <w:r w:rsidRPr="0032658A">
        <w:rPr>
          <w:noProof/>
        </w:rPr>
        <w:t>4 straipsnis</w:t>
      </w:r>
    </w:p>
    <w:p w14:paraId="1CB29E91" w14:textId="77777777" w:rsidR="00AD2DEF" w:rsidRPr="0032658A" w:rsidRDefault="00AD2DEF" w:rsidP="00DA13CC">
      <w:pPr>
        <w:pStyle w:val="Typeacteprincipal"/>
        <w:rPr>
          <w:noProof/>
        </w:rPr>
      </w:pPr>
      <w:r w:rsidRPr="0032658A">
        <w:rPr>
          <w:noProof/>
        </w:rPr>
        <w:t>Adresatai</w:t>
      </w:r>
    </w:p>
    <w:p w14:paraId="0B79DFEB" w14:textId="77777777" w:rsidR="005B3330" w:rsidRPr="0032658A" w:rsidRDefault="005B3330" w:rsidP="007800DD">
      <w:pPr>
        <w:keepNext/>
        <w:keepLines/>
        <w:rPr>
          <w:noProof/>
        </w:rPr>
      </w:pPr>
      <w:r w:rsidRPr="0032658A">
        <w:rPr>
          <w:noProof/>
        </w:rPr>
        <w:t>Ši direktyva skirta valstybėms narėms.</w:t>
      </w:r>
    </w:p>
    <w:p w14:paraId="5D8FF989" w14:textId="77777777" w:rsidR="00F83619" w:rsidRPr="0032658A" w:rsidRDefault="00F83619" w:rsidP="007800DD">
      <w:pPr>
        <w:keepNext/>
        <w:keepLines/>
        <w:rPr>
          <w:noProof/>
        </w:rPr>
      </w:pPr>
    </w:p>
    <w:p w14:paraId="7764DB53" w14:textId="1649A425" w:rsidR="005B3330" w:rsidRPr="0032658A" w:rsidRDefault="00351858" w:rsidP="00243A48">
      <w:pPr>
        <w:pStyle w:val="Fait"/>
        <w:rPr>
          <w:noProof/>
        </w:rPr>
      </w:pPr>
      <w:r w:rsidRPr="00351858">
        <w:t>Priimta Briuselyje</w:t>
      </w:r>
    </w:p>
    <w:p w14:paraId="733F0832" w14:textId="77777777" w:rsidR="005B3330" w:rsidRPr="0032658A" w:rsidRDefault="005B3330" w:rsidP="00243A48">
      <w:pPr>
        <w:pStyle w:val="Institutionquisigne"/>
        <w:rPr>
          <w:noProof/>
        </w:rPr>
      </w:pPr>
      <w:r w:rsidRPr="0032658A">
        <w:rPr>
          <w:noProof/>
        </w:rPr>
        <w:t>Europos Parlamento vardu</w:t>
      </w:r>
      <w:r w:rsidRPr="0032658A">
        <w:rPr>
          <w:noProof/>
        </w:rPr>
        <w:tab/>
        <w:t>Tarybos vardu</w:t>
      </w:r>
    </w:p>
    <w:p w14:paraId="542A488B" w14:textId="77777777" w:rsidR="00F001BC" w:rsidRPr="0032658A" w:rsidRDefault="004B2D5F" w:rsidP="005A4362">
      <w:pPr>
        <w:pStyle w:val="Personnequisigne"/>
        <w:rPr>
          <w:b/>
          <w:noProof/>
        </w:rPr>
      </w:pPr>
      <w:r w:rsidRPr="0032658A">
        <w:rPr>
          <w:noProof/>
        </w:rPr>
        <w:t>Pirmininkas / pirmininkė</w:t>
      </w:r>
      <w:r w:rsidRPr="0032658A">
        <w:rPr>
          <w:noProof/>
        </w:rPr>
        <w:tab/>
        <w:t>Pirmininkas / pirmininkė</w:t>
      </w:r>
    </w:p>
    <w:p w14:paraId="752DE95D" w14:textId="77777777" w:rsidR="00F001BC" w:rsidRPr="0032658A" w:rsidRDefault="00F001BC" w:rsidP="00F001BC">
      <w:pPr>
        <w:rPr>
          <w:noProof/>
        </w:rPr>
        <w:sectPr w:rsidR="00F001BC" w:rsidRPr="0032658A" w:rsidSect="00767E81">
          <w:footerReference w:type="default" r:id="rId13"/>
          <w:footerReference w:type="first" r:id="rId14"/>
          <w:pgSz w:w="12240" w:h="15840"/>
          <w:pgMar w:top="794" w:right="907" w:bottom="851" w:left="1361" w:header="510" w:footer="454" w:gutter="0"/>
          <w:cols w:space="720"/>
          <w:docGrid w:linePitch="326"/>
        </w:sectPr>
      </w:pPr>
    </w:p>
    <w:p w14:paraId="7D5E9210" w14:textId="77777777" w:rsidR="00F001BC" w:rsidRPr="0032658A" w:rsidRDefault="00F001BC" w:rsidP="001373CB">
      <w:pPr>
        <w:pStyle w:val="Fichefinanciretitre"/>
        <w:rPr>
          <w:noProof/>
        </w:rPr>
      </w:pPr>
      <w:r w:rsidRPr="0032658A">
        <w:rPr>
          <w:noProof/>
        </w:rPr>
        <w:t xml:space="preserve"> </w:t>
      </w:r>
      <w:r w:rsidRPr="0032658A">
        <w:rPr>
          <w:noProof/>
        </w:rPr>
        <w:br/>
        <w:t xml:space="preserve"> </w:t>
      </w:r>
      <w:r w:rsidRPr="0032658A">
        <w:rPr>
          <w:noProof/>
        </w:rPr>
        <w:br/>
        <w:t>FINANSINĖ TEISĖS AKTO PASIŪLYMO PAŽYMA – „AGENTŪROS“</w:t>
      </w:r>
    </w:p>
    <w:p w14:paraId="301664A1" w14:textId="77777777" w:rsidR="00F001BC" w:rsidRPr="0032658A" w:rsidRDefault="00F001BC" w:rsidP="00F001BC">
      <w:pPr>
        <w:pStyle w:val="ManualHeading1"/>
        <w:rPr>
          <w:noProof/>
        </w:rPr>
      </w:pPr>
      <w:bookmarkStart w:id="1" w:name="_Toc514938659"/>
      <w:bookmarkStart w:id="2" w:name="_Toc520485418"/>
      <w:r w:rsidRPr="0032658A">
        <w:rPr>
          <w:noProof/>
        </w:rPr>
        <w:t>1.</w:t>
      </w:r>
      <w:r w:rsidRPr="0032658A">
        <w:rPr>
          <w:noProof/>
        </w:rPr>
        <w:tab/>
        <w:t>PASIŪLYMO (INICIATYVOS) STRUKTŪRA</w:t>
      </w:r>
      <w:bookmarkEnd w:id="1"/>
      <w:bookmarkEnd w:id="2"/>
      <w:r w:rsidRPr="0032658A">
        <w:rPr>
          <w:noProof/>
        </w:rPr>
        <w:t xml:space="preserve"> </w:t>
      </w:r>
    </w:p>
    <w:p w14:paraId="661F2EDB" w14:textId="77777777" w:rsidR="00F001BC" w:rsidRPr="0032658A" w:rsidRDefault="00F001BC" w:rsidP="00F001BC">
      <w:pPr>
        <w:pStyle w:val="ManualHeading2"/>
        <w:rPr>
          <w:noProof/>
        </w:rPr>
      </w:pPr>
      <w:bookmarkStart w:id="3" w:name="_Toc514938660"/>
      <w:bookmarkStart w:id="4" w:name="_Toc520485419"/>
      <w:r w:rsidRPr="0032658A">
        <w:rPr>
          <w:noProof/>
        </w:rPr>
        <w:t>1.1.</w:t>
      </w:r>
      <w:r w:rsidRPr="0032658A">
        <w:rPr>
          <w:noProof/>
        </w:rPr>
        <w:tab/>
        <w:t>Pasiūlymo (iniciatyvos) pavadinimas</w:t>
      </w:r>
      <w:bookmarkEnd w:id="3"/>
      <w:bookmarkEnd w:id="4"/>
    </w:p>
    <w:p w14:paraId="55557481"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color w:val="0000FF"/>
        </w:rPr>
      </w:pPr>
      <w:r w:rsidRPr="0032658A">
        <w:rPr>
          <w:noProof/>
        </w:rPr>
        <w:t>Pasiūlymas dėl Europos Parlamento ir Tarybos direktyvos, kuria iš dalies keičiama Direktyva 2009/16/EB dėl uosto valstybės kontrolės</w:t>
      </w:r>
      <w:r w:rsidRPr="0032658A">
        <w:rPr>
          <w:noProof/>
          <w:color w:val="0000FF"/>
        </w:rPr>
        <w:t xml:space="preserve"> </w:t>
      </w:r>
    </w:p>
    <w:p w14:paraId="4A6356C0" w14:textId="77777777" w:rsidR="00F001BC" w:rsidRPr="0032658A" w:rsidRDefault="00F001BC" w:rsidP="00F001BC">
      <w:pPr>
        <w:pStyle w:val="ManualHeading2"/>
        <w:rPr>
          <w:noProof/>
        </w:rPr>
      </w:pPr>
      <w:bookmarkStart w:id="5" w:name="_Toc514938661"/>
      <w:bookmarkStart w:id="6" w:name="_Toc520485420"/>
      <w:r w:rsidRPr="0032658A">
        <w:rPr>
          <w:noProof/>
        </w:rPr>
        <w:t>1.2.</w:t>
      </w:r>
      <w:r w:rsidRPr="0032658A">
        <w:rPr>
          <w:noProof/>
        </w:rPr>
        <w:tab/>
        <w:t>Atitinkama (-os) politikos sritis (-ys)</w:t>
      </w:r>
      <w:bookmarkEnd w:id="5"/>
      <w:bookmarkEnd w:id="6"/>
    </w:p>
    <w:p w14:paraId="6003CE14"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Mobilumas ir transportas. Laivybos sauga</w:t>
      </w:r>
    </w:p>
    <w:p w14:paraId="0D05B64D" w14:textId="77777777" w:rsidR="00F001BC" w:rsidRPr="0032658A" w:rsidRDefault="00F001BC" w:rsidP="00F001BC">
      <w:pPr>
        <w:pStyle w:val="ManualHeading2"/>
        <w:rPr>
          <w:noProof/>
        </w:rPr>
      </w:pPr>
      <w:bookmarkStart w:id="7" w:name="_Toc514938662"/>
      <w:bookmarkStart w:id="8" w:name="_Toc520485421"/>
      <w:r w:rsidRPr="0032658A">
        <w:rPr>
          <w:noProof/>
        </w:rPr>
        <w:t>1.3.</w:t>
      </w:r>
      <w:r w:rsidRPr="0032658A">
        <w:rPr>
          <w:noProof/>
        </w:rPr>
        <w:tab/>
        <w:t>Pasiūlymas (iniciatyva) susijęs (-usi) su</w:t>
      </w:r>
      <w:bookmarkEnd w:id="7"/>
      <w:bookmarkEnd w:id="8"/>
      <w:r w:rsidRPr="0032658A">
        <w:rPr>
          <w:noProof/>
        </w:rPr>
        <w:t xml:space="preserve"> </w:t>
      </w:r>
    </w:p>
    <w:p w14:paraId="2F2F6411" w14:textId="77777777" w:rsidR="00F001BC" w:rsidRPr="0032658A" w:rsidRDefault="00F001BC" w:rsidP="00F001BC">
      <w:pPr>
        <w:pStyle w:val="Text1"/>
        <w:rPr>
          <w:b/>
          <w:noProof/>
        </w:rPr>
      </w:pPr>
      <w:r w:rsidRPr="0032658A">
        <w:rPr>
          <w:noProof/>
        </w:rPr>
        <w:sym w:font="Wingdings" w:char="F0A8"/>
      </w:r>
      <w:r w:rsidRPr="0032658A">
        <w:rPr>
          <w:noProof/>
        </w:rPr>
        <w:t xml:space="preserve"> </w:t>
      </w:r>
      <w:r w:rsidRPr="0032658A">
        <w:rPr>
          <w:b/>
          <w:noProof/>
        </w:rPr>
        <w:t xml:space="preserve">nauju veiksmu </w:t>
      </w:r>
    </w:p>
    <w:p w14:paraId="481EAD94" w14:textId="77777777" w:rsidR="00F001BC" w:rsidRPr="0032658A" w:rsidRDefault="00F001BC" w:rsidP="00F001BC">
      <w:pPr>
        <w:pStyle w:val="Text1"/>
        <w:rPr>
          <w:noProof/>
          <w:sz w:val="22"/>
        </w:rPr>
      </w:pPr>
      <w:r w:rsidRPr="0032658A">
        <w:rPr>
          <w:noProof/>
        </w:rPr>
        <w:sym w:font="Wingdings" w:char="F0A8"/>
      </w:r>
      <w:r w:rsidRPr="0032658A">
        <w:rPr>
          <w:i/>
          <w:noProof/>
        </w:rPr>
        <w:t xml:space="preserve"> </w:t>
      </w:r>
      <w:r w:rsidRPr="0032658A">
        <w:rPr>
          <w:b/>
          <w:noProof/>
        </w:rPr>
        <w:t>nauju veiksmu, kai bus įgyvendintas bandomasis projektas ir (arba) atlikti parengiamieji veiksmai</w:t>
      </w:r>
      <w:r w:rsidRPr="0032658A">
        <w:rPr>
          <w:rStyle w:val="FootnoteReference"/>
          <w:b/>
          <w:noProof/>
        </w:rPr>
        <w:footnoteReference w:id="31"/>
      </w:r>
      <w:r w:rsidRPr="0032658A">
        <w:rPr>
          <w:noProof/>
          <w:sz w:val="22"/>
        </w:rPr>
        <w:t xml:space="preserve"> </w:t>
      </w:r>
    </w:p>
    <w:p w14:paraId="5BF5D297" w14:textId="77777777" w:rsidR="00F001BC" w:rsidRPr="0032658A" w:rsidRDefault="00F001BC" w:rsidP="00F001BC">
      <w:pPr>
        <w:pStyle w:val="Text1"/>
        <w:rPr>
          <w:noProof/>
        </w:rPr>
      </w:pPr>
      <w:r w:rsidRPr="0032658A">
        <w:rPr>
          <w:noProof/>
        </w:rPr>
        <w:sym w:font="Wingdings" w:char="F0FE"/>
      </w:r>
      <w:r w:rsidRPr="0032658A">
        <w:rPr>
          <w:i/>
          <w:noProof/>
        </w:rPr>
        <w:t xml:space="preserve"> </w:t>
      </w:r>
      <w:r w:rsidRPr="0032658A">
        <w:rPr>
          <w:b/>
          <w:noProof/>
        </w:rPr>
        <w:t>esamo veiksmo galiojimo pratęsimu</w:t>
      </w:r>
      <w:r w:rsidRPr="0032658A">
        <w:rPr>
          <w:noProof/>
        </w:rPr>
        <w:t xml:space="preserve"> </w:t>
      </w:r>
    </w:p>
    <w:p w14:paraId="009CE42B" w14:textId="77777777" w:rsidR="00F001BC" w:rsidRPr="0032658A" w:rsidRDefault="00F001BC" w:rsidP="00F001BC">
      <w:pPr>
        <w:pStyle w:val="Text1"/>
        <w:rPr>
          <w:noProof/>
        </w:rPr>
      </w:pPr>
      <w:r w:rsidRPr="0032658A">
        <w:rPr>
          <w:noProof/>
        </w:rPr>
        <w:sym w:font="Wingdings" w:char="F0A8"/>
      </w:r>
      <w:r w:rsidRPr="0032658A">
        <w:rPr>
          <w:i/>
          <w:noProof/>
        </w:rPr>
        <w:t xml:space="preserve"> </w:t>
      </w:r>
      <w:r w:rsidRPr="0032658A">
        <w:rPr>
          <w:b/>
          <w:noProof/>
        </w:rPr>
        <w:t>vieno ar daugiau veiksmų sujungimu arba nukreipimu į kitą / naują veiksmą</w:t>
      </w:r>
      <w:r w:rsidRPr="0032658A">
        <w:rPr>
          <w:noProof/>
        </w:rPr>
        <w:t xml:space="preserve"> </w:t>
      </w:r>
    </w:p>
    <w:p w14:paraId="1DE9FC05" w14:textId="77777777" w:rsidR="00F001BC" w:rsidRPr="0032658A" w:rsidRDefault="00F001BC" w:rsidP="00F001BC">
      <w:pPr>
        <w:pStyle w:val="ManualHeading2"/>
        <w:rPr>
          <w:noProof/>
        </w:rPr>
      </w:pPr>
      <w:bookmarkStart w:id="9" w:name="_Toc514938663"/>
      <w:bookmarkStart w:id="10" w:name="_Toc520485422"/>
      <w:r w:rsidRPr="0032658A">
        <w:rPr>
          <w:noProof/>
        </w:rPr>
        <w:t>1.4.</w:t>
      </w:r>
      <w:r w:rsidRPr="0032658A">
        <w:rPr>
          <w:noProof/>
        </w:rPr>
        <w:tab/>
        <w:t>Tikslas (-ai)</w:t>
      </w:r>
      <w:bookmarkEnd w:id="9"/>
      <w:bookmarkEnd w:id="10"/>
    </w:p>
    <w:p w14:paraId="347620B6" w14:textId="77777777" w:rsidR="00F001BC" w:rsidRPr="0032658A" w:rsidRDefault="00F001BC" w:rsidP="00F001BC">
      <w:pPr>
        <w:pStyle w:val="ManualHeading3"/>
        <w:rPr>
          <w:noProof/>
        </w:rPr>
      </w:pPr>
      <w:bookmarkStart w:id="11" w:name="_Toc514938664"/>
      <w:bookmarkStart w:id="12" w:name="_Toc520485423"/>
      <w:r w:rsidRPr="0032658A">
        <w:rPr>
          <w:noProof/>
        </w:rPr>
        <w:t>1.4.1.</w:t>
      </w:r>
      <w:r w:rsidRPr="0032658A">
        <w:rPr>
          <w:noProof/>
        </w:rPr>
        <w:tab/>
        <w:t>Bendrasis (-ieji) tikslas (-ai)</w:t>
      </w:r>
      <w:bookmarkEnd w:id="11"/>
      <w:bookmarkEnd w:id="12"/>
      <w:r w:rsidRPr="0032658A">
        <w:rPr>
          <w:noProof/>
        </w:rPr>
        <w:t xml:space="preserve"> </w:t>
      </w:r>
    </w:p>
    <w:p w14:paraId="32D1C3BE"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 xml:space="preserve">Bendras Direktyvos 2009/16/EB pakeitimų tikslas – išlaikyti vienodas sąlygas ir išvengti rinkos iškraipymų, siekiant užtikrinti aukštą laivybos saugos lygį ir jūrų taršos prevenciją. Peržiūra taip pat padeda siekti 3-iojo darnaus vystymosi tikslo (DVT) („Užtikrinti sveiką gyvenseną ir skatinti visų amžiaus grupių gerovę“) ir 14-ojo DVT („Išsaugoti ir tausiai naudoti vandenynus, jūras ir jūrų išteklius siekiant darnaus vystymosi“). </w:t>
      </w:r>
    </w:p>
    <w:p w14:paraId="344F1525" w14:textId="77777777" w:rsidR="00F001BC" w:rsidRPr="0032658A" w:rsidRDefault="00F001BC" w:rsidP="00F001BC">
      <w:pPr>
        <w:pStyle w:val="ManualHeading3"/>
        <w:rPr>
          <w:noProof/>
        </w:rPr>
      </w:pPr>
      <w:bookmarkStart w:id="13" w:name="_Toc514938665"/>
      <w:bookmarkStart w:id="14" w:name="_Toc520485424"/>
      <w:r w:rsidRPr="0032658A">
        <w:rPr>
          <w:noProof/>
        </w:rPr>
        <w:t>1.4.2.</w:t>
      </w:r>
      <w:r w:rsidRPr="0032658A">
        <w:rPr>
          <w:noProof/>
        </w:rPr>
        <w:tab/>
        <w:t>Konkretus (-ūs) tikslas (-ai)</w:t>
      </w:r>
      <w:bookmarkEnd w:id="13"/>
      <w:bookmarkEnd w:id="14"/>
      <w:r w:rsidRPr="0032658A">
        <w:rPr>
          <w:noProof/>
        </w:rPr>
        <w:t xml:space="preserve"> </w:t>
      </w:r>
    </w:p>
    <w:p w14:paraId="58EB08B7"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Konkretūs peržiūros tikslai yra:</w:t>
      </w:r>
    </w:p>
    <w:p w14:paraId="4BBA35A0" w14:textId="77777777" w:rsidR="00F001BC" w:rsidRPr="0032658A" w:rsidRDefault="00F001BC" w:rsidP="00596E2C">
      <w:pPr>
        <w:pStyle w:val="Text1"/>
        <w:pBdr>
          <w:top w:val="single" w:sz="4" w:space="1" w:color="auto"/>
          <w:left w:val="single" w:sz="4" w:space="4" w:color="auto"/>
          <w:bottom w:val="single" w:sz="4" w:space="1" w:color="auto"/>
          <w:right w:val="single" w:sz="4" w:space="4" w:color="auto"/>
        </w:pBdr>
        <w:rPr>
          <w:noProof/>
        </w:rPr>
      </w:pPr>
      <w:r w:rsidRPr="0032658A">
        <w:rPr>
          <w:noProof/>
        </w:rPr>
        <w:t>suderinti ES teisės aktus su naujomis tarptautinėmis taisyklėmis ir procedūromis tiek IMO / TDO, tiek Paryžiaus SM lygmeniu;</w:t>
      </w:r>
    </w:p>
    <w:p w14:paraId="41A814E4" w14:textId="77777777" w:rsidR="00F001BC" w:rsidRPr="0032658A" w:rsidRDefault="00F001BC" w:rsidP="00596E2C">
      <w:pPr>
        <w:pStyle w:val="Text1"/>
        <w:pBdr>
          <w:top w:val="single" w:sz="4" w:space="1" w:color="auto"/>
          <w:left w:val="single" w:sz="4" w:space="4" w:color="auto"/>
          <w:bottom w:val="single" w:sz="4" w:space="1" w:color="auto"/>
          <w:right w:val="single" w:sz="4" w:space="4" w:color="auto"/>
        </w:pBdr>
        <w:rPr>
          <w:noProof/>
        </w:rPr>
      </w:pPr>
      <w:r w:rsidRPr="0032658A">
        <w:rPr>
          <w:noProof/>
        </w:rPr>
        <w:t>apsaugoti žvejybos laivus, jų įgulas ir aplinką;</w:t>
      </w:r>
    </w:p>
    <w:p w14:paraId="68363988" w14:textId="77777777" w:rsidR="00F001BC" w:rsidRPr="0032658A" w:rsidRDefault="00F001BC" w:rsidP="00596E2C">
      <w:pPr>
        <w:pStyle w:val="Text1"/>
        <w:pBdr>
          <w:top w:val="single" w:sz="4" w:space="1" w:color="auto"/>
          <w:left w:val="single" w:sz="4" w:space="4" w:color="auto"/>
          <w:bottom w:val="single" w:sz="4" w:space="1" w:color="auto"/>
          <w:right w:val="single" w:sz="4" w:space="4" w:color="auto"/>
        </w:pBdr>
        <w:rPr>
          <w:noProof/>
        </w:rPr>
      </w:pPr>
      <w:r w:rsidRPr="0032658A">
        <w:rPr>
          <w:noProof/>
        </w:rPr>
        <w:t>užtikrinti didesnį skaitmeninių sprendimų taikymą;</w:t>
      </w:r>
    </w:p>
    <w:p w14:paraId="0349F3EC" w14:textId="77777777" w:rsidR="00F001BC" w:rsidRPr="0032658A" w:rsidRDefault="00F001BC" w:rsidP="0002622D">
      <w:pPr>
        <w:pStyle w:val="Text1"/>
        <w:pBdr>
          <w:top w:val="single" w:sz="4" w:space="1" w:color="auto"/>
          <w:left w:val="single" w:sz="4" w:space="4" w:color="auto"/>
          <w:bottom w:val="single" w:sz="4" w:space="1" w:color="auto"/>
          <w:right w:val="single" w:sz="4" w:space="4" w:color="auto"/>
        </w:pBdr>
        <w:rPr>
          <w:noProof/>
        </w:rPr>
      </w:pPr>
      <w:r w:rsidRPr="0032658A">
        <w:rPr>
          <w:noProof/>
        </w:rPr>
        <w:t>užtikrinti veiksmingą ir suderintą požiūrį į uosto valstybės kontrolės inspektavimų vykdymą.</w:t>
      </w:r>
    </w:p>
    <w:p w14:paraId="471F4C39" w14:textId="77777777" w:rsidR="00F001BC" w:rsidRPr="0032658A" w:rsidRDefault="00F001BC" w:rsidP="00F001BC">
      <w:pPr>
        <w:pStyle w:val="ManualHeading3"/>
        <w:rPr>
          <w:noProof/>
        </w:rPr>
      </w:pPr>
      <w:r w:rsidRPr="0032658A">
        <w:rPr>
          <w:noProof/>
        </w:rPr>
        <w:br w:type="page"/>
      </w:r>
      <w:bookmarkStart w:id="15" w:name="_Toc514938666"/>
      <w:bookmarkStart w:id="16" w:name="_Toc520485425"/>
      <w:r w:rsidRPr="0032658A">
        <w:rPr>
          <w:noProof/>
        </w:rPr>
        <w:t>1.4.3.</w:t>
      </w:r>
      <w:r w:rsidRPr="0032658A">
        <w:rPr>
          <w:noProof/>
        </w:rPr>
        <w:tab/>
        <w:t>Numatomas (-i) rezultatas (-ai) ir poveikis</w:t>
      </w:r>
      <w:bookmarkEnd w:id="15"/>
      <w:bookmarkEnd w:id="16"/>
    </w:p>
    <w:p w14:paraId="16BBF5FD" w14:textId="77777777" w:rsidR="00F001BC" w:rsidRPr="0032658A" w:rsidRDefault="00F001BC" w:rsidP="00F001BC">
      <w:pPr>
        <w:pStyle w:val="Text1"/>
        <w:rPr>
          <w:i/>
          <w:noProof/>
          <w:sz w:val="20"/>
        </w:rPr>
      </w:pPr>
      <w:r w:rsidRPr="0032658A">
        <w:rPr>
          <w:i/>
          <w:noProof/>
          <w:sz w:val="20"/>
        </w:rPr>
        <w:t>Nurodyti poveikį, kurį pasiūlymas (iniciatyva) turėtų padaryti tiksliniams gavėjams (tikslinėms grupėms).</w:t>
      </w:r>
    </w:p>
    <w:p w14:paraId="43D895C5"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Pasiūlymu numatoma užtikrinti suderintą ir aukštą uosto valstybės kontrolės saugos lygį visoje Sąjungoje ir įdiegti skaitmenizuotą sistemą, kad būtų padidintas inspektavimo efektyvumas, geriau nustatant laivų riziką, geriau pasirengiant inspektavimams ir lengviau bei greičiau keičiantis aktualia informacija. Taip pat numatoma, kad bus padidinta uosto valstybės kontrolės aplinkosaugos aspektų svarba.</w:t>
      </w:r>
    </w:p>
    <w:p w14:paraId="66F67C82"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 xml:space="preserve">Be to, numatoma, kad pasiūlymu bus padidinta žvejybos laivų, jų įgulų ir aplinkos apsauga, todėl sumažės žūčių ir sužeidimų, taip pat jūroje prarandamo bunkerinio kuro kiekis. </w:t>
      </w:r>
    </w:p>
    <w:p w14:paraId="19136E2E" w14:textId="77777777" w:rsidR="00F001BC" w:rsidRPr="0032658A" w:rsidRDefault="00F001BC" w:rsidP="00F001BC">
      <w:pPr>
        <w:pStyle w:val="ManualHeading3"/>
        <w:rPr>
          <w:noProof/>
        </w:rPr>
      </w:pPr>
      <w:bookmarkStart w:id="17" w:name="_Toc514938667"/>
      <w:bookmarkStart w:id="18" w:name="_Toc520485426"/>
      <w:r w:rsidRPr="0032658A">
        <w:rPr>
          <w:noProof/>
        </w:rPr>
        <w:t>1.4.4.</w:t>
      </w:r>
      <w:r w:rsidRPr="0032658A">
        <w:rPr>
          <w:noProof/>
        </w:rPr>
        <w:tab/>
        <w:t>Veiklos rezultatų rodikliai</w:t>
      </w:r>
      <w:bookmarkEnd w:id="17"/>
      <w:bookmarkEnd w:id="18"/>
      <w:r w:rsidRPr="0032658A">
        <w:rPr>
          <w:noProof/>
        </w:rPr>
        <w:t xml:space="preserve"> </w:t>
      </w:r>
    </w:p>
    <w:p w14:paraId="1976A438" w14:textId="77777777" w:rsidR="00F001BC" w:rsidRPr="0032658A" w:rsidRDefault="00F001BC" w:rsidP="00F001BC">
      <w:pPr>
        <w:pStyle w:val="Text1"/>
        <w:rPr>
          <w:i/>
          <w:noProof/>
          <w:sz w:val="20"/>
        </w:rPr>
      </w:pPr>
      <w:r w:rsidRPr="0032658A">
        <w:rPr>
          <w:i/>
          <w:noProof/>
          <w:sz w:val="20"/>
        </w:rPr>
        <w:t>Nurodyti pažangos ir laimėjimų stebėsenos rodiklius.</w:t>
      </w:r>
    </w:p>
    <w:p w14:paraId="7786B316" w14:textId="77777777" w:rsidR="00F001BC" w:rsidRPr="0032658A" w:rsidRDefault="00F001BC" w:rsidP="00F001BC">
      <w:pPr>
        <w:pStyle w:val="Text1"/>
        <w:pBdr>
          <w:top w:val="single" w:sz="4" w:space="1" w:color="auto"/>
          <w:left w:val="single" w:sz="4" w:space="1" w:color="auto"/>
          <w:bottom w:val="single" w:sz="4" w:space="1" w:color="auto"/>
          <w:right w:val="single" w:sz="4" w:space="1" w:color="auto"/>
        </w:pBdr>
        <w:rPr>
          <w:noProof/>
        </w:rPr>
      </w:pPr>
      <w:r w:rsidRPr="0032658A">
        <w:rPr>
          <w:noProof/>
        </w:rPr>
        <w:t>Siūlomos direktyvos veiksmingumas siekiant 1 konkretaus tikslo bus nustatytas remiantis EMSA atlikta horizontaliąja analize ir praktiniuose seminaruose vykusiomis diskusijomis.</w:t>
      </w:r>
    </w:p>
    <w:p w14:paraId="05913C6C" w14:textId="77777777" w:rsidR="00F001BC" w:rsidRPr="0032658A" w:rsidRDefault="00F001BC" w:rsidP="00F001BC">
      <w:pPr>
        <w:pStyle w:val="Text1"/>
        <w:pBdr>
          <w:top w:val="single" w:sz="4" w:space="1" w:color="auto"/>
          <w:left w:val="single" w:sz="4" w:space="1" w:color="auto"/>
          <w:bottom w:val="single" w:sz="4" w:space="1" w:color="auto"/>
          <w:right w:val="single" w:sz="4" w:space="1" w:color="auto"/>
        </w:pBdr>
        <w:rPr>
          <w:noProof/>
        </w:rPr>
      </w:pPr>
      <w:r w:rsidRPr="0032658A">
        <w:rPr>
          <w:noProof/>
        </w:rPr>
        <w:t>Siūlomos direktyvos veiksmingumas siekiant 2 konkretaus tikslo bus nustatytas remiantis didesnių (ilgesnių kaip 24 metrų) žvejybos laivų inspektavimų skaičiumi ir THETIS laivų atrankos ir inspektavimo ataskaitų duomenų bazėje pateiktomis ataskaitomis, taip pat nustatytų šio tipo laivų, įplaukiančių į ES uostus, trūkumų ir (arba) sulaikymų skaičiumi.</w:t>
      </w:r>
    </w:p>
    <w:p w14:paraId="2FC79E3A" w14:textId="77777777" w:rsidR="00F001BC" w:rsidRPr="0032658A" w:rsidRDefault="00F001BC" w:rsidP="00F001BC">
      <w:pPr>
        <w:pStyle w:val="Text1"/>
        <w:pBdr>
          <w:top w:val="single" w:sz="4" w:space="1" w:color="auto"/>
          <w:left w:val="single" w:sz="4" w:space="1" w:color="auto"/>
          <w:bottom w:val="single" w:sz="4" w:space="1" w:color="auto"/>
          <w:right w:val="single" w:sz="4" w:space="1" w:color="auto"/>
        </w:pBdr>
        <w:rPr>
          <w:noProof/>
        </w:rPr>
      </w:pPr>
      <w:r w:rsidRPr="0032658A">
        <w:rPr>
          <w:noProof/>
        </w:rPr>
        <w:t>Siūlomos direktyvos veiksmingumas siekiant 3 konkretaus tikslo bus nustatytas remiantis į THETIS įkelta informacija. Vėliavos valstybių į EMSA patvirtinimo priemonę ir centrinę saugyklą įkeltų elektroninių liudijimų skaičiumi, taip pat su elektroniniais liudijimais susijusių inspektavimų skaičiumi.</w:t>
      </w:r>
    </w:p>
    <w:p w14:paraId="180DEA3E" w14:textId="77777777" w:rsidR="00F001BC" w:rsidRPr="0032658A" w:rsidRDefault="00F001BC" w:rsidP="00F001BC">
      <w:pPr>
        <w:pStyle w:val="Text1"/>
        <w:pBdr>
          <w:top w:val="single" w:sz="4" w:space="1" w:color="auto"/>
          <w:left w:val="single" w:sz="4" w:space="1" w:color="auto"/>
          <w:bottom w:val="single" w:sz="4" w:space="1" w:color="auto"/>
          <w:right w:val="single" w:sz="4" w:space="1" w:color="auto"/>
        </w:pBdr>
        <w:rPr>
          <w:noProof/>
        </w:rPr>
      </w:pPr>
      <w:r w:rsidRPr="0032658A">
        <w:rPr>
          <w:noProof/>
        </w:rPr>
        <w:t xml:space="preserve">Siūlomos direktyvos veiksmingumas siekiant 4 konkretaus tikslo bus nustatytas remiantis metinių kokybės valdymo sistemos auditų rezultatais, kuriais bus dalijamasi su Komisija, daugiau nei vieno inspektoriaus atliktų inspektavimų skaičiumi, inspektavimo ataskaitų, kurias patvirtino ne inspektavimą atlikęs inspektorius, skaičiumi ir pažeidimų nagrinėjimo procedūrų skaičiumi artimiausiais metais. </w:t>
      </w:r>
    </w:p>
    <w:p w14:paraId="68E017D3" w14:textId="77777777" w:rsidR="00F001BC" w:rsidRPr="0032658A" w:rsidRDefault="00F001BC" w:rsidP="00F001BC">
      <w:pPr>
        <w:pStyle w:val="ManualHeading2"/>
        <w:rPr>
          <w:noProof/>
        </w:rPr>
      </w:pPr>
      <w:bookmarkStart w:id="19" w:name="_Toc514938668"/>
      <w:bookmarkStart w:id="20" w:name="_Toc520485427"/>
      <w:r w:rsidRPr="0032658A">
        <w:rPr>
          <w:noProof/>
        </w:rPr>
        <w:t>1.5.</w:t>
      </w:r>
      <w:r w:rsidRPr="0032658A">
        <w:rPr>
          <w:noProof/>
        </w:rPr>
        <w:tab/>
        <w:t>Pasiūlymo (iniciatyvos) pagrindas</w:t>
      </w:r>
      <w:bookmarkEnd w:id="19"/>
      <w:bookmarkEnd w:id="20"/>
      <w:r w:rsidRPr="0032658A">
        <w:rPr>
          <w:noProof/>
        </w:rPr>
        <w:t xml:space="preserve"> </w:t>
      </w:r>
    </w:p>
    <w:p w14:paraId="77FEE88B" w14:textId="77777777" w:rsidR="00F001BC" w:rsidRPr="0032658A" w:rsidRDefault="00F001BC" w:rsidP="00F001BC">
      <w:pPr>
        <w:pStyle w:val="ManualHeading3"/>
        <w:rPr>
          <w:noProof/>
        </w:rPr>
      </w:pPr>
      <w:bookmarkStart w:id="21" w:name="_Toc514938669"/>
      <w:bookmarkStart w:id="22" w:name="_Toc520485428"/>
      <w:r w:rsidRPr="0032658A">
        <w:rPr>
          <w:noProof/>
        </w:rPr>
        <w:t>1.5.1.</w:t>
      </w:r>
      <w:r w:rsidRPr="0032658A">
        <w:rPr>
          <w:noProof/>
        </w:rPr>
        <w:tab/>
        <w:t>Trumpalaikiai arba ilgalaikiai poreikiai, įskaitant išsamų iniciatyvos įgyvendinimo pradinio etapo tvarkaraštį</w:t>
      </w:r>
      <w:bookmarkEnd w:id="21"/>
      <w:bookmarkEnd w:id="22"/>
    </w:p>
    <w:p w14:paraId="092C161C"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 xml:space="preserve">EMSA turės organizuoti uosto valstybės kontrolės pareigūnų mokymus, susijusius su dideliais žvejybos laivais, daugiausia dėmesio skiriant atitinkamoms ES gairėms, ir parengti atitinkamus kursus. EMSA taip pat turės parengti žvejybos laivams skirtą sistemos THETIS modulį ir bendrą uosto valstybės vykdomos žvejybos laivų kontrolės mokymo programą, kuri apims visus atitinkamus nurodymus ir gaires. </w:t>
      </w:r>
    </w:p>
    <w:p w14:paraId="7B58DC27"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Bus reikalaujama, kad EMSA organizuotų uosto valstybės kontrolės pareigūnų mokymus, susijusius su elektroninių teisės aktais nustatytų liudijimų naudojimu, ir sukurtų patvirtinimo priemonę ir saugyklą.</w:t>
      </w:r>
    </w:p>
    <w:p w14:paraId="1B02B5E9"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EMSA turės parengti patobulintas uosto valstybės kontrolės pareigūnų mokymo priemones ir stiprinti jų gebėjimus, susijusius su naujomis technologijomis, be kita ko, atsinaujinančiųjų išteklių ir mažo anglies dioksido kiekio kuru, kuris yra ypač svarbus atsižvelgiant į Pasirengimo įgyvendinti 55 % tikslą priemonių rinkinį, ir automatizavimu, tobulinant EMSA internetines mokymo priemones ir įdarbinant ekspertus.</w:t>
      </w:r>
    </w:p>
    <w:p w14:paraId="52097B4B"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Iki 2025 m. reikės dviejų etato ekvivalentų, kad būtų remiamos EMSA užduotys, susijusios su priemonių kūrimu.</w:t>
      </w:r>
    </w:p>
    <w:p w14:paraId="50CBC94E" w14:textId="77777777" w:rsidR="00F001BC" w:rsidRPr="0032658A" w:rsidRDefault="00F001BC" w:rsidP="00F001BC">
      <w:pPr>
        <w:pStyle w:val="ManualHeading3"/>
        <w:rPr>
          <w:noProof/>
        </w:rPr>
      </w:pPr>
      <w:bookmarkStart w:id="23" w:name="_Toc514938670"/>
      <w:bookmarkStart w:id="24" w:name="_Toc520485429"/>
      <w:r w:rsidRPr="0032658A">
        <w:rPr>
          <w:noProof/>
        </w:rPr>
        <w:t>1.5.2.</w:t>
      </w:r>
      <w:r w:rsidRPr="0032658A">
        <w:rPr>
          <w:noProof/>
        </w:rPr>
        <w:tab/>
        <w:t>Sąjungos dalyvavimo pridėtinė vertė (gali būti susijusi su įvairiais veiksniais, pvz., koordinavimo nauda, teisiniu tikrumu, didesniu veiksmingumu ar papildomumu). Šiame punkte „Sąjungos dalyvavimo pridėtinė vertė“ – dalyvaujant Sąjungai užtikrinama vertė, papildanti vertę, kuri būtų užtikrinta vien valstybių narių veiksmais.</w:t>
      </w:r>
      <w:bookmarkEnd w:id="23"/>
      <w:bookmarkEnd w:id="24"/>
    </w:p>
    <w:p w14:paraId="34F6A61B"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Priežastys imtis Europos lygmens veiksmų (</w:t>
      </w:r>
      <w:r w:rsidRPr="0032658A">
        <w:rPr>
          <w:i/>
          <w:iCs/>
          <w:noProof/>
        </w:rPr>
        <w:t>ex ante</w:t>
      </w:r>
      <w:r w:rsidRPr="0032658A">
        <w:rPr>
          <w:noProof/>
        </w:rPr>
        <w:t xml:space="preserve">) </w:t>
      </w:r>
    </w:p>
    <w:p w14:paraId="754F1B71" w14:textId="77777777" w:rsidR="00F001BC" w:rsidRPr="0032658A" w:rsidRDefault="00F001BC" w:rsidP="0002622D">
      <w:pPr>
        <w:pStyle w:val="Text1"/>
        <w:pBdr>
          <w:top w:val="single" w:sz="4" w:space="1" w:color="auto"/>
          <w:left w:val="single" w:sz="4" w:space="4" w:color="auto"/>
          <w:bottom w:val="single" w:sz="4" w:space="1" w:color="auto"/>
          <w:right w:val="single" w:sz="4" w:space="4" w:color="auto"/>
        </w:pBdr>
        <w:rPr>
          <w:noProof/>
        </w:rPr>
      </w:pPr>
      <w:r w:rsidRPr="0032658A">
        <w:rPr>
          <w:noProof/>
        </w:rPr>
        <w:t>ES veiksmais laivybos saugos srityje užtikrinamas suderintas saugos ir aplinkosaugos standartų taikymas ir mažinamas bet koks konkurencinis pranašumas, atgrasant laivų savininkus ir (arba) vėliavos valstybes, kurie gali bandyti įgyti tokį pranašumą griežtai nesilaikydami tarptautinėse konvencijose nustatytų taisyklių ir standartų. Į Europos teisės aktus įtraukus Paryžiaus SM procedūras ir priemones, jas galima apskųsti Europos Teisingumo Teismui, užtikrinant vienodą jų vykdymą Sąjungoje.</w:t>
      </w:r>
    </w:p>
    <w:p w14:paraId="76DCC2BF"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Numatoma sukurti Sąjungos pridėtinė vertė (</w:t>
      </w:r>
      <w:r w:rsidRPr="0032658A">
        <w:rPr>
          <w:i/>
          <w:iCs/>
          <w:noProof/>
        </w:rPr>
        <w:t>ex post</w:t>
      </w:r>
      <w:r w:rsidRPr="0032658A">
        <w:rPr>
          <w:noProof/>
        </w:rPr>
        <w:t xml:space="preserve">)  </w:t>
      </w:r>
    </w:p>
    <w:p w14:paraId="0E280D9B" w14:textId="77777777" w:rsidR="00F001BC" w:rsidRPr="0032658A" w:rsidRDefault="00F001BC" w:rsidP="0002622D">
      <w:pPr>
        <w:pStyle w:val="Text1"/>
        <w:pBdr>
          <w:top w:val="single" w:sz="4" w:space="1" w:color="auto"/>
          <w:left w:val="single" w:sz="4" w:space="4" w:color="auto"/>
          <w:bottom w:val="single" w:sz="4" w:space="1" w:color="auto"/>
          <w:right w:val="single" w:sz="4" w:space="4" w:color="auto"/>
        </w:pBdr>
        <w:rPr>
          <w:noProof/>
        </w:rPr>
      </w:pPr>
      <w:r w:rsidRPr="0032658A">
        <w:rPr>
          <w:noProof/>
        </w:rPr>
        <w:t>ES lygmens intervencija atnešė naudos, kurios nebūtų buvę įmanoma pasiekti vien nacionaliniu lygmeniu arba IMO ar Paryžiaus SM lygmeniu. Intervencijos ES pridėtinė vertė šiame sektoriuje, t. y. jos veiksmingumas, efektyvumas ir sinergija. Direktyva ES teisės aktai suderinami su IMO reglamentu ir ja užtikrinamas suderintas uosto valstybės kontrolės ataskaitų teikimas. Kalbant apie didesnius žvejybos laivus, Paryžiaus SM ir Direktyvos taikymo komerciniams laivams pavyzdys rodo, kad šį klausimą galima išspręsti tik suderinus šių laivų procedūras ir bendrus UVK kriterijus. Nepritaikius Direktyvos būtų panaikinta sinerginė nauda, gauta ją įgyvendinant.</w:t>
      </w:r>
    </w:p>
    <w:p w14:paraId="319E9C4C" w14:textId="77777777" w:rsidR="00F001BC" w:rsidRPr="0032658A" w:rsidRDefault="00F001BC" w:rsidP="00F001BC">
      <w:pPr>
        <w:pStyle w:val="ManualHeading3"/>
        <w:rPr>
          <w:noProof/>
        </w:rPr>
      </w:pPr>
      <w:bookmarkStart w:id="25" w:name="_Toc514938671"/>
      <w:bookmarkStart w:id="26" w:name="_Toc520485430"/>
      <w:r w:rsidRPr="0032658A">
        <w:rPr>
          <w:noProof/>
        </w:rPr>
        <w:t>1.5.3.</w:t>
      </w:r>
      <w:r w:rsidRPr="0032658A">
        <w:rPr>
          <w:noProof/>
        </w:rPr>
        <w:tab/>
        <w:t>Panašios patirties išvados</w:t>
      </w:r>
      <w:bookmarkEnd w:id="25"/>
      <w:bookmarkEnd w:id="26"/>
    </w:p>
    <w:p w14:paraId="2CDED0CC"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 xml:space="preserve">2018 m. atliekant REFIT </w:t>
      </w:r>
      <w:r w:rsidRPr="0032658A">
        <w:rPr>
          <w:i/>
          <w:iCs/>
          <w:noProof/>
        </w:rPr>
        <w:t>ex post</w:t>
      </w:r>
      <w:r w:rsidRPr="0032658A">
        <w:rPr>
          <w:noProof/>
        </w:rPr>
        <w:t xml:space="preserve"> vertinimą ir jūrų transporto teisės aktų tinkamumo patikrą padaryta išvada, kad Direktyva sukuriama pridėtinė vertė, nes UVK sistema derinama su teisiniu vykdymo užtikrinimo mechanizmu, kad būtų užtikrintas teisingas ir nuoseklus įgyvendinimas valstybėse narėse. Dėl to atsirado spaudimas siekti geresnių rezultatų ir nuolat tobulėti, taigi geriau paskirstyti išteklius UVK valstybių narių lygmeniu. Atlikus vertinimą padaryta išvada, kad UVK direktyva padėjo siekti numatytų tikslų gerinti laivybos saugą, saugumą, taršos prevenciją ir užtikrinti geresnes darbo ir gyvenimo laivuose sąlygas. </w:t>
      </w:r>
    </w:p>
    <w:p w14:paraId="7AFCFCFE"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 xml:space="preserve">Europos jūrų saugumo agentūros (EMSA) parama ES UVK režimui buvo svarbi. Vertinime pabrėžta THETIS duomenų bazės svarba. Daugiau kaip du trečdaliai UVK inspektavimus atliekančių ES ir (arba) EEE valstybių narių, spręsdamos, kuriuos laivus inspektuoti, naudojasi tik sistema THETIS. Taip pat nustatyta, kad EMSA vaidmuo tvarkant ir atnaujinant THETIS ir Agentūros rengiami inspektorių mokymai, kuriais siekiama suderinti inspektavimų įgyvendinimą visame Paryžiaus SM regione, yra labai svarbūs. Panašiai, atlikus jūrų transporto teisės aktų tinkamumo patikrą, atkreiptas dėmesys į keletą galimų patobulinimų, susijusių su UVK. </w:t>
      </w:r>
    </w:p>
    <w:p w14:paraId="5682A923"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 xml:space="preserve">Į </w:t>
      </w:r>
      <w:r w:rsidRPr="0032658A">
        <w:rPr>
          <w:i/>
          <w:iCs/>
          <w:noProof/>
        </w:rPr>
        <w:t>ex post</w:t>
      </w:r>
      <w:r w:rsidRPr="0032658A">
        <w:rPr>
          <w:noProof/>
        </w:rPr>
        <w:t xml:space="preserve"> vertinimo rezultatus atsižvelgiama prie šios iniciatyvos pridedamame poveikio vertinime, kurio santrauka pateikta 5 priede.</w:t>
      </w:r>
    </w:p>
    <w:p w14:paraId="6D9F9022" w14:textId="77777777" w:rsidR="00F001BC" w:rsidRPr="0032658A" w:rsidRDefault="00F001BC" w:rsidP="00F001BC">
      <w:pPr>
        <w:pStyle w:val="ManualHeading3"/>
        <w:rPr>
          <w:noProof/>
        </w:rPr>
      </w:pPr>
      <w:bookmarkStart w:id="27" w:name="_Toc514938672"/>
      <w:bookmarkStart w:id="28" w:name="_Toc520485431"/>
      <w:r w:rsidRPr="0032658A">
        <w:rPr>
          <w:noProof/>
        </w:rPr>
        <w:t>1.5.4.</w:t>
      </w:r>
      <w:r w:rsidRPr="0032658A">
        <w:rPr>
          <w:noProof/>
        </w:rPr>
        <w:tab/>
        <w:t>Suderinamumas su daugiamete finansine programa ir galima sinergija su kitomis atitinkamomis priemonėmis</w:t>
      </w:r>
      <w:bookmarkEnd w:id="27"/>
      <w:bookmarkEnd w:id="28"/>
    </w:p>
    <w:p w14:paraId="1D696230"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 xml:space="preserve">Siūloma peržiūra yra vienas iš pagrindinių Komisijos komunikato dėl darnaus ir išmanaus judumo strategijos, kuriame išdėstyta ES ateities transporto sistemos vizija, rezultatų. Strategijoje paskelbta, kad 2021 m. Komisija planuoja pradėti esminę galiojančių teisės aktų dėl vėliavos valstybės pareigų, uosto valstybės kontrolės ir avarijų tyrimų peržiūrą (10 pavyzdinė iniciatyva „Transporto saugos ir saugumo didinimas“).  </w:t>
      </w:r>
    </w:p>
    <w:p w14:paraId="6EE88C66"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Siūloma peržiūra padės sukurti sinergiją su kitomis ES reglamentavimo sistemomis, visų pirma Direktyva 2009/18/EB dėl avarijų tyrimo ir Direktyva 2009/21/EB dėl vėliavos valstybės reikalavimų laikymosi.</w:t>
      </w:r>
    </w:p>
    <w:p w14:paraId="6A5F1166" w14:textId="77777777" w:rsidR="001E1EB3" w:rsidRPr="0032658A" w:rsidRDefault="00F001BC" w:rsidP="001E1EB3">
      <w:pPr>
        <w:pStyle w:val="Text1"/>
        <w:pBdr>
          <w:top w:val="single" w:sz="4" w:space="1" w:color="auto"/>
          <w:left w:val="single" w:sz="4" w:space="4" w:color="auto"/>
          <w:bottom w:val="single" w:sz="4" w:space="1" w:color="auto"/>
          <w:right w:val="single" w:sz="4" w:space="4" w:color="auto"/>
        </w:pBdr>
        <w:rPr>
          <w:noProof/>
        </w:rPr>
      </w:pPr>
      <w:r w:rsidRPr="0032658A">
        <w:rPr>
          <w:noProof/>
        </w:rPr>
        <w:t>Pasiūlymas yra suderinamas su dabartine daugiamete finansine programa, nors pagal jį reikės perprogramuoti 1 išlaidų kategorijos metinį įnašą EMSA (biudžeto kompensavimas suplanuotų išlaidų pagal „EITP-Transportas“ (02 03 01) kompensaciniu sumažinimu). Šio pasiūlymo poveikis biudžetui jau įtrauktas į Komisijos pasiūlymo dėl Europos Parlamento ir Tarybos reglamento dėl Europos jūrų saugumo agentūros, kuriuo panaikinamas Reglamentas (EB) Nr. 1406/2002, biudžetą.</w:t>
      </w:r>
    </w:p>
    <w:p w14:paraId="5C2B6911" w14:textId="77777777" w:rsidR="00F001BC" w:rsidRPr="0032658A" w:rsidRDefault="001E1EB3" w:rsidP="001E1EB3">
      <w:pPr>
        <w:pStyle w:val="Text1"/>
        <w:pBdr>
          <w:top w:val="single" w:sz="4" w:space="1" w:color="auto"/>
          <w:left w:val="single" w:sz="4" w:space="4" w:color="auto"/>
          <w:bottom w:val="single" w:sz="4" w:space="1" w:color="auto"/>
          <w:right w:val="single" w:sz="4" w:space="4" w:color="auto"/>
        </w:pBdr>
        <w:rPr>
          <w:noProof/>
        </w:rPr>
      </w:pPr>
      <w:r w:rsidRPr="0032658A">
        <w:rPr>
          <w:noProof/>
        </w:rPr>
        <w:t xml:space="preserve">Poveikis biudžetui po dabartinės DFP yra preliminari apžvalga, nedaranti poveikio susitarimui dėl būsimos DFP </w:t>
      </w:r>
    </w:p>
    <w:p w14:paraId="086AAA6A" w14:textId="77777777" w:rsidR="00F001BC" w:rsidRPr="0032658A" w:rsidRDefault="00F001BC" w:rsidP="00F001BC">
      <w:pPr>
        <w:pStyle w:val="ManualHeading3"/>
        <w:rPr>
          <w:noProof/>
        </w:rPr>
      </w:pPr>
      <w:bookmarkStart w:id="29" w:name="_Toc514938673"/>
      <w:bookmarkStart w:id="30" w:name="_Toc520485432"/>
      <w:r w:rsidRPr="0032658A">
        <w:rPr>
          <w:noProof/>
        </w:rPr>
        <w:t>1.5.5.</w:t>
      </w:r>
      <w:r w:rsidRPr="0032658A">
        <w:rPr>
          <w:noProof/>
        </w:rPr>
        <w:tab/>
        <w:t>Įvairių turimų finansavimo galimybių vertinimas, įskaitant perskirstymo mastą</w:t>
      </w:r>
      <w:bookmarkEnd w:id="29"/>
      <w:bookmarkEnd w:id="30"/>
    </w:p>
    <w:p w14:paraId="7F1853EF"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Šios iniciatyvos poveikis biudžetui susijęs su papildomais ištekliais, kurių reikia vis didesniam EMSA vaidmeniui sudarant palankesnes sąlygas UVKP (t. y. rengiant mokymus dėl didelių žvejybos laivų ir kuriant THETIS modulį bei mokymo programą, o dėl elektroninių liudijimų – kuriant patvirtinimo priemonę ir saugyklą, taip pat rengiant patobulintas mokymo priemones ir (arba) ugdant gebėjimus, susijusius su naujomis technologijomis, įskaitant, be kita ko, atsinaujinančiųjų išteklių ir mažo anglies dioksido pėdsako kurą ir automatizavimą) pagal siūlomą direktyvą. Tai naujos EMSA užduotys, kurios taps nuolatinėmis, o esamos užduotys nesumažės ir nebus laipsniškai panaikintos. Papildomo žmogiškųjų išteklių poreikio negalima patenkinti perskirstant lėšas, o papildomi biudžeto poreikiai bus patenkinti kompensuojant esamomis programomis, kurias pagal dabartinę daugiametę finansinę programą valdo Mobilumo ir transporto GD.</w:t>
      </w:r>
    </w:p>
    <w:p w14:paraId="6358F733" w14:textId="77777777" w:rsidR="001E1EB3" w:rsidRPr="0032658A" w:rsidRDefault="001E1EB3" w:rsidP="001E1EB3">
      <w:pPr>
        <w:pStyle w:val="Text1"/>
        <w:pBdr>
          <w:top w:val="single" w:sz="4" w:space="1" w:color="auto"/>
          <w:left w:val="single" w:sz="4" w:space="4" w:color="auto"/>
          <w:bottom w:val="single" w:sz="4" w:space="1" w:color="auto"/>
          <w:right w:val="single" w:sz="4" w:space="4" w:color="auto"/>
        </w:pBdr>
        <w:rPr>
          <w:noProof/>
        </w:rPr>
      </w:pPr>
      <w:r w:rsidRPr="0032658A">
        <w:rPr>
          <w:noProof/>
        </w:rPr>
        <w:t>EMSA skirtų asignavimų padidėjimas bus kompensuojamas suplanuotų išlaidų pagal „EITP-Transportas“ (02 03 01) kompensaciniu sumažinimu. Šio pasiūlymo poveikis biudžetui jau įtrauktas į Komisijos pasiūlymo dėl Europos Parlamento ir Tarybos reglamento dėl Europos jūrų saugumo agentūros, kuriuo panaikinamas Reglamentas (EB) Nr. 1406/2002, biudžetą.</w:t>
      </w:r>
    </w:p>
    <w:p w14:paraId="671057A3" w14:textId="77777777" w:rsidR="001E1EB3" w:rsidRPr="0032658A" w:rsidRDefault="001E1EB3" w:rsidP="001E1EB3">
      <w:pPr>
        <w:pStyle w:val="Text1"/>
        <w:pBdr>
          <w:top w:val="single" w:sz="4" w:space="1" w:color="auto"/>
          <w:left w:val="single" w:sz="4" w:space="4" w:color="auto"/>
          <w:bottom w:val="single" w:sz="4" w:space="1" w:color="auto"/>
          <w:right w:val="single" w:sz="4" w:space="4" w:color="auto"/>
        </w:pBdr>
        <w:rPr>
          <w:noProof/>
        </w:rPr>
      </w:pPr>
      <w:r w:rsidRPr="0032658A">
        <w:rPr>
          <w:noProof/>
        </w:rPr>
        <w:t>Poveikis biudžetui po dabartinės DFP yra preliminari apžvalga, nedaranti poveikio susitarimui dėl būsimos DFP</w:t>
      </w:r>
    </w:p>
    <w:p w14:paraId="78FEE892" w14:textId="77777777" w:rsidR="00F001BC" w:rsidRPr="0032658A" w:rsidRDefault="00F001BC" w:rsidP="00F001BC">
      <w:pPr>
        <w:pStyle w:val="Text1"/>
        <w:rPr>
          <w:noProof/>
        </w:rPr>
      </w:pPr>
    </w:p>
    <w:p w14:paraId="662D1981" w14:textId="77777777" w:rsidR="00F001BC" w:rsidRPr="0032658A" w:rsidRDefault="00F001BC" w:rsidP="00F001BC">
      <w:pPr>
        <w:pStyle w:val="ManualHeading2"/>
        <w:rPr>
          <w:noProof/>
        </w:rPr>
      </w:pPr>
      <w:r w:rsidRPr="0032658A">
        <w:rPr>
          <w:noProof/>
        </w:rPr>
        <w:br w:type="page"/>
      </w:r>
      <w:bookmarkStart w:id="31" w:name="_Toc514938674"/>
      <w:bookmarkStart w:id="32" w:name="_Toc520485433"/>
      <w:r w:rsidRPr="0032658A">
        <w:rPr>
          <w:noProof/>
        </w:rPr>
        <w:t>1.6.</w:t>
      </w:r>
      <w:r w:rsidRPr="0032658A">
        <w:rPr>
          <w:noProof/>
        </w:rPr>
        <w:tab/>
        <w:t>Pasiūlymo (iniciatyvos) trukmė ir finansinis poveikis</w:t>
      </w:r>
      <w:bookmarkEnd w:id="31"/>
      <w:bookmarkEnd w:id="32"/>
    </w:p>
    <w:p w14:paraId="6B385C6D" w14:textId="77777777" w:rsidR="00F001BC" w:rsidRPr="0032658A" w:rsidRDefault="00F001BC" w:rsidP="00F001BC">
      <w:pPr>
        <w:pStyle w:val="Text1"/>
        <w:rPr>
          <w:noProof/>
        </w:rPr>
      </w:pPr>
      <w:r w:rsidRPr="0032658A">
        <w:rPr>
          <w:noProof/>
        </w:rPr>
        <w:sym w:font="Wingdings" w:char="F0A8"/>
      </w:r>
      <w:r w:rsidRPr="0032658A">
        <w:rPr>
          <w:b/>
          <w:noProof/>
        </w:rPr>
        <w:t xml:space="preserve"> trukmė ribota </w:t>
      </w:r>
    </w:p>
    <w:p w14:paraId="6C3EB762" w14:textId="77777777" w:rsidR="00F001BC" w:rsidRPr="0032658A" w:rsidRDefault="00F001BC" w:rsidP="008305F0">
      <w:pPr>
        <w:pStyle w:val="ListDash2"/>
        <w:rPr>
          <w:noProof/>
        </w:rPr>
      </w:pPr>
      <w:r w:rsidRPr="0032658A">
        <w:rPr>
          <w:noProof/>
        </w:rPr>
        <w:sym w:font="Wingdings" w:char="F0A8"/>
      </w:r>
      <w:r w:rsidRPr="0032658A">
        <w:rPr>
          <w:noProof/>
        </w:rPr>
        <w:tab/>
        <w:t xml:space="preserve">galioja nuo MMMM [MM DD] iki MMMM [MM DD], </w:t>
      </w:r>
    </w:p>
    <w:p w14:paraId="3D0E191F" w14:textId="77777777" w:rsidR="00F001BC" w:rsidRPr="0032658A" w:rsidRDefault="00F001BC" w:rsidP="008305F0">
      <w:pPr>
        <w:pStyle w:val="ListDash2"/>
        <w:rPr>
          <w:noProof/>
        </w:rPr>
      </w:pPr>
      <w:r w:rsidRPr="0032658A">
        <w:rPr>
          <w:noProof/>
        </w:rPr>
        <w:sym w:font="Wingdings" w:char="F0A8"/>
      </w:r>
      <w:r w:rsidRPr="0032658A">
        <w:rPr>
          <w:noProof/>
        </w:rPr>
        <w:tab/>
        <w:t>finansinis poveikis nuo MMMM iki MMMM;</w:t>
      </w:r>
    </w:p>
    <w:p w14:paraId="60E6911A" w14:textId="77777777" w:rsidR="00F001BC" w:rsidRPr="0032658A" w:rsidRDefault="00F001BC" w:rsidP="00F001BC">
      <w:pPr>
        <w:pStyle w:val="Text1"/>
        <w:rPr>
          <w:noProof/>
        </w:rPr>
      </w:pPr>
      <w:r w:rsidRPr="0032658A">
        <w:rPr>
          <w:noProof/>
        </w:rPr>
        <w:sym w:font="Wingdings" w:char="F0FE"/>
      </w:r>
      <w:r w:rsidRPr="0032658A">
        <w:rPr>
          <w:noProof/>
        </w:rPr>
        <w:t xml:space="preserve"> </w:t>
      </w:r>
      <w:r w:rsidRPr="0032658A">
        <w:rPr>
          <w:b/>
          <w:noProof/>
        </w:rPr>
        <w:t>trukmė neribota</w:t>
      </w:r>
    </w:p>
    <w:p w14:paraId="0859804B" w14:textId="77777777" w:rsidR="00F001BC" w:rsidRPr="0032658A" w:rsidRDefault="00F001BC" w:rsidP="008305F0">
      <w:pPr>
        <w:pStyle w:val="ListDash1"/>
        <w:rPr>
          <w:noProof/>
        </w:rPr>
      </w:pPr>
      <w:r w:rsidRPr="0032658A">
        <w:rPr>
          <w:noProof/>
        </w:rPr>
        <w:t xml:space="preserve">įgyvendinimo pradinis laikotarpis – nuo MMMM iki MMMM </w:t>
      </w:r>
      <w:r w:rsidRPr="0032658A">
        <w:rPr>
          <w:i/>
          <w:noProof/>
        </w:rPr>
        <w:t>[netaikoma]</w:t>
      </w:r>
      <w:r w:rsidRPr="0032658A">
        <w:rPr>
          <w:noProof/>
        </w:rPr>
        <w:t>,</w:t>
      </w:r>
    </w:p>
    <w:p w14:paraId="6C9B7BA9" w14:textId="77777777" w:rsidR="00F001BC" w:rsidRPr="0032658A" w:rsidRDefault="00F001BC" w:rsidP="008305F0">
      <w:pPr>
        <w:pStyle w:val="ListDash1"/>
        <w:rPr>
          <w:noProof/>
        </w:rPr>
      </w:pPr>
      <w:r w:rsidRPr="0032658A">
        <w:rPr>
          <w:noProof/>
        </w:rPr>
        <w:t>vėliau – visuotinis taikymas.</w:t>
      </w:r>
    </w:p>
    <w:p w14:paraId="23E3E800" w14:textId="77777777" w:rsidR="00F001BC" w:rsidRPr="0032658A" w:rsidRDefault="00F001BC" w:rsidP="00F001BC">
      <w:pPr>
        <w:pStyle w:val="ManualHeading2"/>
        <w:rPr>
          <w:noProof/>
        </w:rPr>
      </w:pPr>
      <w:bookmarkStart w:id="33" w:name="_Toc514938675"/>
      <w:bookmarkStart w:id="34" w:name="_Toc520485434"/>
      <w:r w:rsidRPr="0032658A">
        <w:rPr>
          <w:noProof/>
        </w:rPr>
        <w:t>1.7.</w:t>
      </w:r>
      <w:r w:rsidRPr="0032658A">
        <w:rPr>
          <w:noProof/>
        </w:rPr>
        <w:tab/>
        <w:t>Numatytas (-i) biudžeto vykdymo metodas (-ai)</w:t>
      </w:r>
      <w:r w:rsidRPr="0032658A">
        <w:rPr>
          <w:rStyle w:val="FootnoteReference"/>
          <w:noProof/>
        </w:rPr>
        <w:footnoteReference w:id="32"/>
      </w:r>
      <w:r w:rsidRPr="0032658A">
        <w:rPr>
          <w:rStyle w:val="FootnoteReference"/>
          <w:noProof/>
        </w:rPr>
        <w:t xml:space="preserve"> </w:t>
      </w:r>
      <w:bookmarkEnd w:id="33"/>
      <w:bookmarkEnd w:id="34"/>
      <w:r w:rsidRPr="0032658A">
        <w:rPr>
          <w:rStyle w:val="FootnoteReference"/>
          <w:noProof/>
        </w:rPr>
        <w:t xml:space="preserve"> </w:t>
      </w:r>
    </w:p>
    <w:p w14:paraId="79480729" w14:textId="77777777" w:rsidR="00F001BC" w:rsidRPr="0032658A" w:rsidRDefault="00F001BC" w:rsidP="00F001BC">
      <w:pPr>
        <w:pStyle w:val="Text1"/>
        <w:rPr>
          <w:noProof/>
        </w:rPr>
      </w:pPr>
      <w:r w:rsidRPr="0032658A">
        <w:rPr>
          <w:noProof/>
        </w:rPr>
        <w:sym w:font="Wingdings" w:char="F0A8"/>
      </w:r>
      <w:r w:rsidRPr="0032658A">
        <w:rPr>
          <w:i/>
          <w:noProof/>
        </w:rPr>
        <w:t xml:space="preserve"> </w:t>
      </w:r>
      <w:r w:rsidRPr="0032658A">
        <w:rPr>
          <w:b/>
          <w:noProof/>
        </w:rPr>
        <w:t>Tiesioginis valdymas</w:t>
      </w:r>
      <w:r w:rsidRPr="0032658A">
        <w:rPr>
          <w:noProof/>
        </w:rPr>
        <w:t>, vykdomas Komisijos:</w:t>
      </w:r>
    </w:p>
    <w:p w14:paraId="5B47B4D1" w14:textId="77777777" w:rsidR="00F001BC" w:rsidRPr="0032658A" w:rsidRDefault="00F001BC" w:rsidP="008305F0">
      <w:pPr>
        <w:pStyle w:val="ListDash2"/>
        <w:rPr>
          <w:noProof/>
        </w:rPr>
      </w:pPr>
      <w:r w:rsidRPr="0032658A">
        <w:rPr>
          <w:noProof/>
        </w:rPr>
        <w:sym w:font="Wingdings" w:char="F0A8"/>
      </w:r>
      <w:r w:rsidRPr="0032658A">
        <w:rPr>
          <w:noProof/>
        </w:rPr>
        <w:tab/>
        <w:t xml:space="preserve">vykdomųjų įstaigų. </w:t>
      </w:r>
    </w:p>
    <w:p w14:paraId="68F098C1" w14:textId="77777777" w:rsidR="00F001BC" w:rsidRPr="0032658A" w:rsidRDefault="00F001BC" w:rsidP="00F001BC">
      <w:pPr>
        <w:pStyle w:val="Text1"/>
        <w:rPr>
          <w:noProof/>
        </w:rPr>
      </w:pPr>
      <w:r w:rsidRPr="0032658A">
        <w:rPr>
          <w:noProof/>
        </w:rPr>
        <w:sym w:font="Wingdings" w:char="F0A8"/>
      </w:r>
      <w:r w:rsidRPr="0032658A">
        <w:rPr>
          <w:b/>
          <w:i/>
          <w:noProof/>
        </w:rPr>
        <w:t xml:space="preserve"> </w:t>
      </w:r>
      <w:r w:rsidRPr="0032658A">
        <w:rPr>
          <w:b/>
          <w:noProof/>
        </w:rPr>
        <w:t>Pasidalijamasis valdymas</w:t>
      </w:r>
      <w:r w:rsidRPr="0032658A">
        <w:rPr>
          <w:noProof/>
        </w:rPr>
        <w:t xml:space="preserve"> su valstybėmis narėmis </w:t>
      </w:r>
    </w:p>
    <w:p w14:paraId="7121145A" w14:textId="77777777" w:rsidR="00F001BC" w:rsidRPr="0032658A" w:rsidRDefault="00F001BC" w:rsidP="00F001BC">
      <w:pPr>
        <w:pStyle w:val="Text1"/>
        <w:rPr>
          <w:noProof/>
        </w:rPr>
      </w:pPr>
      <w:r w:rsidRPr="0032658A">
        <w:rPr>
          <w:noProof/>
        </w:rPr>
        <w:sym w:font="Wingdings" w:char="F0FE"/>
      </w:r>
      <w:r w:rsidRPr="0032658A">
        <w:rPr>
          <w:i/>
          <w:noProof/>
        </w:rPr>
        <w:t xml:space="preserve"> </w:t>
      </w:r>
      <w:r w:rsidRPr="0032658A">
        <w:rPr>
          <w:b/>
          <w:noProof/>
        </w:rPr>
        <w:t>Netiesioginis valdymas</w:t>
      </w:r>
      <w:r w:rsidRPr="0032658A">
        <w:rPr>
          <w:noProof/>
        </w:rPr>
        <w:t>, biudžeto vykdymo užduotis pavedant:</w:t>
      </w:r>
    </w:p>
    <w:p w14:paraId="1D16C4A6" w14:textId="77777777" w:rsidR="00F001BC" w:rsidRPr="0032658A" w:rsidRDefault="00F001BC" w:rsidP="00F001BC">
      <w:pPr>
        <w:pStyle w:val="Text1"/>
        <w:rPr>
          <w:noProof/>
        </w:rPr>
      </w:pPr>
      <w:r w:rsidRPr="0032658A">
        <w:rPr>
          <w:noProof/>
        </w:rPr>
        <w:sym w:font="Wingdings" w:char="F0A8"/>
      </w:r>
      <w:r w:rsidRPr="0032658A">
        <w:rPr>
          <w:noProof/>
        </w:rPr>
        <w:t xml:space="preserve"> tarptautinėms organizacijoms ir jų agentūroms (nurodyti);</w:t>
      </w:r>
    </w:p>
    <w:p w14:paraId="0D82C2D7" w14:textId="77777777" w:rsidR="00F001BC" w:rsidRPr="0032658A" w:rsidRDefault="00F001BC" w:rsidP="00F001BC">
      <w:pPr>
        <w:pStyle w:val="Text1"/>
        <w:rPr>
          <w:noProof/>
        </w:rPr>
      </w:pPr>
      <w:r w:rsidRPr="0032658A">
        <w:rPr>
          <w:noProof/>
        </w:rPr>
        <w:sym w:font="Wingdings" w:char="F0A8"/>
      </w:r>
      <w:r w:rsidRPr="0032658A">
        <w:rPr>
          <w:noProof/>
        </w:rPr>
        <w:t xml:space="preserve"> EIB ir Europos investicijų fondui;</w:t>
      </w:r>
    </w:p>
    <w:p w14:paraId="6C795DDC" w14:textId="77777777" w:rsidR="00F001BC" w:rsidRPr="0032658A" w:rsidRDefault="00F001BC" w:rsidP="00F001BC">
      <w:pPr>
        <w:pStyle w:val="Text1"/>
        <w:rPr>
          <w:noProof/>
        </w:rPr>
      </w:pPr>
      <w:r w:rsidRPr="0032658A">
        <w:rPr>
          <w:noProof/>
        </w:rPr>
        <w:sym w:font="Wingdings" w:char="F0FE"/>
      </w:r>
      <w:r w:rsidRPr="0032658A">
        <w:rPr>
          <w:noProof/>
        </w:rPr>
        <w:t xml:space="preserve"> įstaigoms, nurodytoms 70 ir 71 straipsniuose;</w:t>
      </w:r>
    </w:p>
    <w:p w14:paraId="0712C420" w14:textId="77777777" w:rsidR="00F001BC" w:rsidRPr="0032658A" w:rsidRDefault="00F001BC" w:rsidP="00F001BC">
      <w:pPr>
        <w:pStyle w:val="Text1"/>
        <w:rPr>
          <w:noProof/>
        </w:rPr>
      </w:pPr>
      <w:r w:rsidRPr="0032658A">
        <w:rPr>
          <w:noProof/>
        </w:rPr>
        <w:sym w:font="Wingdings" w:char="F0A8"/>
      </w:r>
      <w:r w:rsidRPr="0032658A">
        <w:rPr>
          <w:noProof/>
        </w:rPr>
        <w:t xml:space="preserve"> viešosios teisės reglamentuojamoms įstaigoms;</w:t>
      </w:r>
    </w:p>
    <w:p w14:paraId="75FAB532" w14:textId="77777777" w:rsidR="00F001BC" w:rsidRPr="0032658A" w:rsidRDefault="00F001BC" w:rsidP="00F001BC">
      <w:pPr>
        <w:pStyle w:val="Text1"/>
        <w:rPr>
          <w:noProof/>
        </w:rPr>
      </w:pPr>
      <w:r w:rsidRPr="0032658A">
        <w:rPr>
          <w:noProof/>
        </w:rPr>
        <w:sym w:font="Wingdings" w:char="F0A8"/>
      </w:r>
      <w:r w:rsidRPr="0032658A">
        <w:rPr>
          <w:noProof/>
        </w:rPr>
        <w:t xml:space="preserve"> įstaigoms, kurių veiklą reglamentuoja privatinė teisė ir kurioms pavesta teikti viešąsias paslaugas, tiek, kiek joms užtikrinamos pakankamos finansinės garantijos;</w:t>
      </w:r>
    </w:p>
    <w:p w14:paraId="2E063A7F" w14:textId="77777777" w:rsidR="00F001BC" w:rsidRPr="0032658A" w:rsidRDefault="00F001BC" w:rsidP="00F001BC">
      <w:pPr>
        <w:pStyle w:val="Text1"/>
        <w:rPr>
          <w:noProof/>
        </w:rPr>
      </w:pPr>
      <w:r w:rsidRPr="0032658A">
        <w:rPr>
          <w:noProof/>
        </w:rPr>
        <w:sym w:font="Wingdings" w:char="F0A8"/>
      </w:r>
      <w:r w:rsidRPr="0032658A">
        <w:rPr>
          <w:noProof/>
        </w:rPr>
        <w:t xml:space="preserve"> įstaigoms, kurių veiklą reglamentuoja valstybės narės privatinė teisė, kurioms pavesta įgyvendinti viešojo ir privačiojo sektorių partnerystę ir kurioms užtikrinamos pakankamos finansinės garantijos;</w:t>
      </w:r>
    </w:p>
    <w:p w14:paraId="3FFEF360" w14:textId="77777777" w:rsidR="00F001BC" w:rsidRPr="0032658A" w:rsidRDefault="00F001BC" w:rsidP="00F001BC">
      <w:pPr>
        <w:pStyle w:val="Text1"/>
        <w:rPr>
          <w:noProof/>
        </w:rPr>
      </w:pPr>
      <w:r w:rsidRPr="0032658A">
        <w:rPr>
          <w:noProof/>
        </w:rPr>
        <w:sym w:font="Wingdings" w:char="F0A8"/>
      </w:r>
      <w:r w:rsidRPr="0032658A">
        <w:rPr>
          <w:noProof/>
        </w:rPr>
        <w:t xml:space="preserve"> atitinkamame pagrindiniame akte nurodytoms įstaigoms ir asmenims, kuriems pavesta vykdyti konkrečius veiksmus BUSP srityje pagal ES sutarties V antraštinę dalį.</w:t>
      </w:r>
    </w:p>
    <w:p w14:paraId="32CB9087" w14:textId="77777777" w:rsidR="00F001BC" w:rsidRPr="0032658A" w:rsidRDefault="00F001BC" w:rsidP="00F001BC">
      <w:pPr>
        <w:rPr>
          <w:noProof/>
        </w:rPr>
      </w:pPr>
      <w:r w:rsidRPr="0032658A">
        <w:rPr>
          <w:noProof/>
        </w:rPr>
        <w:t>Pastabos</w:t>
      </w:r>
    </w:p>
    <w:p w14:paraId="46745F0A" w14:textId="77777777" w:rsidR="00F001BC" w:rsidRPr="0032658A" w:rsidRDefault="00F001BC" w:rsidP="00F001BC">
      <w:pPr>
        <w:pBdr>
          <w:top w:val="single" w:sz="4" w:space="1" w:color="auto"/>
          <w:left w:val="single" w:sz="4" w:space="4" w:color="auto"/>
          <w:bottom w:val="single" w:sz="4" w:space="1" w:color="auto"/>
          <w:right w:val="single" w:sz="4" w:space="4" w:color="auto"/>
        </w:pBdr>
        <w:rPr>
          <w:noProof/>
        </w:rPr>
      </w:pPr>
      <w:r w:rsidRPr="0032658A">
        <w:rPr>
          <w:noProof/>
        </w:rPr>
        <w:t>Siūlomą direktyvą bendrai valdys Komisijos tarnybos, kurioms prireikus padės Europos jūrų saugumo agentūra.</w:t>
      </w:r>
    </w:p>
    <w:p w14:paraId="796ECDDC" w14:textId="77777777" w:rsidR="00F001BC" w:rsidRPr="0032658A" w:rsidRDefault="00F001BC" w:rsidP="00F001BC">
      <w:pPr>
        <w:pBdr>
          <w:top w:val="single" w:sz="4" w:space="1" w:color="auto"/>
          <w:left w:val="single" w:sz="4" w:space="4" w:color="auto"/>
          <w:bottom w:val="single" w:sz="4" w:space="1" w:color="auto"/>
          <w:right w:val="single" w:sz="4" w:space="4" w:color="auto"/>
        </w:pBdr>
        <w:rPr>
          <w:noProof/>
        </w:rPr>
      </w:pPr>
      <w:r w:rsidRPr="0032658A">
        <w:rPr>
          <w:noProof/>
        </w:rPr>
        <w:t>Valstybės narės turės perkelti direktyvos nuostatas į nacionalinę teisę iki atitinkamo termino.</w:t>
      </w:r>
    </w:p>
    <w:p w14:paraId="2ADC58D9" w14:textId="77777777" w:rsidR="00F001BC" w:rsidRPr="0032658A" w:rsidRDefault="00F001BC" w:rsidP="00F001BC">
      <w:pPr>
        <w:rPr>
          <w:noProof/>
        </w:rPr>
      </w:pPr>
      <w:r w:rsidRPr="0032658A">
        <w:rPr>
          <w:noProof/>
        </w:rPr>
        <w:t xml:space="preserve"> </w:t>
      </w:r>
    </w:p>
    <w:p w14:paraId="62495446" w14:textId="77777777" w:rsidR="00F001BC" w:rsidRPr="0032658A" w:rsidRDefault="00F001BC" w:rsidP="00F001BC">
      <w:pPr>
        <w:rPr>
          <w:noProof/>
        </w:rPr>
        <w:sectPr w:rsidR="00F001BC" w:rsidRPr="0032658A" w:rsidSect="00767E81">
          <w:pgSz w:w="12240" w:h="15840"/>
          <w:pgMar w:top="794" w:right="907" w:bottom="851" w:left="1361" w:header="510" w:footer="454" w:gutter="0"/>
          <w:cols w:space="720"/>
          <w:docGrid w:linePitch="326"/>
        </w:sectPr>
      </w:pPr>
    </w:p>
    <w:p w14:paraId="3232DA4C" w14:textId="77777777" w:rsidR="00F001BC" w:rsidRPr="0032658A" w:rsidRDefault="00F001BC" w:rsidP="00F001BC">
      <w:pPr>
        <w:pStyle w:val="ManualHeading1"/>
        <w:rPr>
          <w:noProof/>
        </w:rPr>
      </w:pPr>
      <w:bookmarkStart w:id="35" w:name="_Toc514938676"/>
      <w:bookmarkStart w:id="36" w:name="_Toc520485435"/>
      <w:r w:rsidRPr="0032658A">
        <w:rPr>
          <w:noProof/>
        </w:rPr>
        <w:t>2.</w:t>
      </w:r>
      <w:r w:rsidRPr="0032658A">
        <w:rPr>
          <w:noProof/>
        </w:rPr>
        <w:tab/>
        <w:t>VALDYMO PRIEMONĖS</w:t>
      </w:r>
      <w:bookmarkEnd w:id="35"/>
      <w:bookmarkEnd w:id="36"/>
      <w:r w:rsidRPr="0032658A">
        <w:rPr>
          <w:noProof/>
        </w:rPr>
        <w:t xml:space="preserve"> </w:t>
      </w:r>
    </w:p>
    <w:p w14:paraId="63ED596B" w14:textId="77777777" w:rsidR="00F001BC" w:rsidRPr="0032658A" w:rsidRDefault="00F001BC" w:rsidP="00F001BC">
      <w:pPr>
        <w:pStyle w:val="ManualHeading2"/>
        <w:rPr>
          <w:noProof/>
        </w:rPr>
      </w:pPr>
      <w:bookmarkStart w:id="37" w:name="_Toc514938677"/>
      <w:bookmarkStart w:id="38" w:name="_Toc520485436"/>
      <w:r w:rsidRPr="0032658A">
        <w:rPr>
          <w:noProof/>
        </w:rPr>
        <w:t>2.1.</w:t>
      </w:r>
      <w:r w:rsidRPr="0032658A">
        <w:rPr>
          <w:noProof/>
        </w:rPr>
        <w:tab/>
        <w:t>Stebėsenos ir atskaitomybės taisyklės</w:t>
      </w:r>
      <w:bookmarkEnd w:id="37"/>
      <w:bookmarkEnd w:id="38"/>
      <w:r w:rsidRPr="0032658A">
        <w:rPr>
          <w:noProof/>
        </w:rPr>
        <w:t xml:space="preserve"> </w:t>
      </w:r>
    </w:p>
    <w:p w14:paraId="238C4679" w14:textId="77777777" w:rsidR="00F001BC" w:rsidRPr="0032658A" w:rsidRDefault="00F001BC" w:rsidP="00F001BC">
      <w:pPr>
        <w:pStyle w:val="Text1"/>
        <w:rPr>
          <w:i/>
          <w:noProof/>
          <w:sz w:val="20"/>
        </w:rPr>
      </w:pPr>
      <w:r w:rsidRPr="0032658A">
        <w:rPr>
          <w:i/>
          <w:noProof/>
          <w:sz w:val="20"/>
        </w:rPr>
        <w:t>Nurodyti dažnumą ir sąlygas.</w:t>
      </w:r>
    </w:p>
    <w:p w14:paraId="57785950"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 xml:space="preserve">Apskritai Komisija bus atskaitinga už siūlomos direktyvos įgyvendinimą ir už valstybių narių įgyvendinimo ir atitikties ataskaitų teikimą Europos Parlamentui ir Tarybai. </w:t>
      </w:r>
    </w:p>
    <w:p w14:paraId="3F07253C"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Komisija beveik tikruoju laiku gali stebėti, kaip valstybės narės savo teritorijoje įgyvendina Direktyvos nuostatas, nes per 72 valandas nuo inspektavimo uosto valstybės kontrolės inspektavimų rezultatai turi būti įkelti į THETIS duomenų bazę. Taip Komisija ir (arba) EMSA gali stebėti THETIS duomenų bazę, kad patikrintų, ar atliekami reikiami inspektavimai ir ar ataskaitos įkeliamos į duomenų bazę. Šiuos rodiklius stebės ir valstybės narės, atlikdamos ilgesnių kaip 24 metrų žvejybos laivų inspektavimus.</w:t>
      </w:r>
    </w:p>
    <w:p w14:paraId="102C3A1A"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Komisija ir (arba) EMSA gali kiekvieną savaitę veiksmingai stebėti valstybių narių pažangą, o valstybės narės žino, kad jos stebimos, jei priemonė tampa privaloma. Tokiu atveju Komisija gali skubiai imtis veiksmų, kad pašalintų bet kokius trūkumus, įskaitant papildomą techninę pagalbą ar mokymus, kuriuos rengia EMSA, arba Komisijos pradedamą pažeidimo nagrinėjimo procedūrą.</w:t>
      </w:r>
    </w:p>
    <w:p w14:paraId="0BBDBFFB"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 xml:space="preserve">EMSA Komisijos vardu taip pat rengia apsilankymus valstybėse narėse, kad patikrintų vietoje vykdomas operacijas. </w:t>
      </w:r>
    </w:p>
    <w:p w14:paraId="097AAD12"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 xml:space="preserve">Valstybės narės turės turėti kokybės valdymo sistemą (KVS), kad patvirtintų, jog jų organizacija, politika, procesai, ištekliai ir dokumentai yra tinkami jos tikslams pasiekti. Tai turės būti sertifikuojama ir vėliau audituojama kas penkerius metus. Valstybės narės turės pasidalyti su Komisija ir (arba) arba EMSA akredituotos įstaigos atliktų auditų rezultatais, kad UVK administracija išsaugotų savo KVS sertifikavimą. </w:t>
      </w:r>
    </w:p>
    <w:p w14:paraId="424E3772"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 xml:space="preserve">EMSA atliks horizontaliąją analizę, kurioje nurodys, kaip veikia teisės aktai, nustatys spragas ir tai, ką galima padaryti siekiant jas pašalinti, ir pateiks ataskaitą Komisijai ir valstybėms narėms, be kita ko, rengdama diskusijas praktiniuose seminaruose. </w:t>
      </w:r>
    </w:p>
    <w:p w14:paraId="4DB1FB30"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Galiausiai, praėjus 10 metų nuo teisės akto įgyvendinimo pabaigos datos, Komisijos tarnybos turėtų atlikti vertinimą, kad patikrintų, kokiu mastu buvo pasiekti iniciatyvos tikslai.</w:t>
      </w:r>
    </w:p>
    <w:p w14:paraId="3FFE340F" w14:textId="77777777" w:rsidR="00F001BC" w:rsidRPr="0032658A" w:rsidRDefault="00F001BC" w:rsidP="00F001BC">
      <w:pPr>
        <w:pStyle w:val="ManualHeading2"/>
        <w:rPr>
          <w:noProof/>
        </w:rPr>
      </w:pPr>
      <w:bookmarkStart w:id="39" w:name="_Toc514938678"/>
      <w:bookmarkStart w:id="40" w:name="_Toc520485437"/>
      <w:r w:rsidRPr="0032658A">
        <w:rPr>
          <w:noProof/>
        </w:rPr>
        <w:t>2.2.</w:t>
      </w:r>
      <w:r w:rsidRPr="0032658A">
        <w:rPr>
          <w:noProof/>
        </w:rPr>
        <w:tab/>
        <w:t>Valdymo ir kontrolės sistema (-os)</w:t>
      </w:r>
      <w:bookmarkEnd w:id="39"/>
      <w:bookmarkEnd w:id="40"/>
      <w:r w:rsidRPr="0032658A">
        <w:rPr>
          <w:noProof/>
        </w:rPr>
        <w:t xml:space="preserve"> </w:t>
      </w:r>
    </w:p>
    <w:p w14:paraId="161FF234" w14:textId="77777777" w:rsidR="00F001BC" w:rsidRPr="0032658A" w:rsidRDefault="00F001BC" w:rsidP="00F001BC">
      <w:pPr>
        <w:pStyle w:val="ManualHeading3"/>
        <w:rPr>
          <w:noProof/>
        </w:rPr>
      </w:pPr>
      <w:bookmarkStart w:id="41" w:name="_Toc514938679"/>
      <w:bookmarkStart w:id="42" w:name="_Toc520485438"/>
      <w:r w:rsidRPr="0032658A">
        <w:rPr>
          <w:noProof/>
        </w:rPr>
        <w:t>2.2.1.</w:t>
      </w:r>
      <w:r w:rsidRPr="0032658A">
        <w:rPr>
          <w:noProof/>
        </w:rPr>
        <w:tab/>
        <w:t>Valdymo būdo (-ų), finansavimo įgyvendinimo mechanizmo (-ų), mokėjimo tvarkos ir siūlomos kontrolės strategijos pagrindimas</w:t>
      </w:r>
      <w:bookmarkEnd w:id="41"/>
      <w:bookmarkEnd w:id="42"/>
    </w:p>
    <w:p w14:paraId="629B64B1"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 xml:space="preserve">Apskritai Komisija bus atskaitinga už siūlomos direktyvos įgyvendinimą ir už jos veiksmingumo ir įgyvendinimo ataskaitų teikimą Europos Parlamentui ir Tarybai. EMSA prireikus padės Komisijai teikti IT paslaugas ir kurti IT priemones, būtinas siūlomos direktyvos ataskaitų teikimo, stebėsenos ir tikrinimo nuostatoms įgyvendinti, taip pat organizuoti mokymus. Valstybės narės turės perkelti Direktyvą į nacionalinę teisę iki Direktyvoje nurodyto termino. Vykdymo užtikrinimo veikla bus vykdoma atliekant uosto valstybės kontrolę. </w:t>
      </w:r>
    </w:p>
    <w:p w14:paraId="7E72D627" w14:textId="77777777" w:rsidR="00F001BC" w:rsidRPr="0032658A" w:rsidRDefault="00F001BC" w:rsidP="00F001BC">
      <w:pPr>
        <w:pStyle w:val="ManualHeading3"/>
        <w:rPr>
          <w:noProof/>
        </w:rPr>
      </w:pPr>
      <w:bookmarkStart w:id="43" w:name="_Toc514938680"/>
      <w:bookmarkStart w:id="44" w:name="_Toc520485439"/>
      <w:r w:rsidRPr="0032658A">
        <w:rPr>
          <w:noProof/>
        </w:rPr>
        <w:t>2.2.2.</w:t>
      </w:r>
      <w:r w:rsidRPr="0032658A">
        <w:rPr>
          <w:noProof/>
        </w:rPr>
        <w:tab/>
        <w:t>Informacija apie nustatytą riziką ir jai sumažinti įdiegtą (-as) vidaus kontrolės sistemą (-as)</w:t>
      </w:r>
      <w:bookmarkEnd w:id="43"/>
      <w:bookmarkEnd w:id="44"/>
    </w:p>
    <w:p w14:paraId="168EA00A"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 xml:space="preserve">Nors apskritai Komisija bus atskaitinga už siūlomos direktyvos įgyvendinimą ir už valstybių narių įgyvendinimo ir atitikties ataskaitų teikimą Europos Parlamentui ir Tarybai, Europos jūrų saugumo agentūra bus atsakinga už jos veiklos vykdymą ir vidaus kontrolės sistemos įgyvendinimą. Reikės parengti IT priemones ir modulius, taip pat rengti mokymus uosto valstybės kontrolės pareigūnams, o valstybės narės turės užtikrinti vykdymą.  </w:t>
      </w:r>
    </w:p>
    <w:p w14:paraId="789E5B7F"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EMSA turi geriausias galimybes teikti ataskaitas ir vertinti atitikties užtikrinimo užduotis, nes tai bus techninis darbas, kuriam reikės didelės patirties duomenų valdymo srityje, taip pat išsamių sudėtingų techninių klausimų, susijusių su elektroniniais liudijimais ir mokymu, išmanymo.</w:t>
      </w:r>
    </w:p>
    <w:p w14:paraId="6E291C5B"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 xml:space="preserve">Valstybės narės turi geriausias galimybes užtikrinti siūlomos direktyvos vykdymą, visų pirma toliau suderintai vykdydamos uosto valstybės kontrolę. </w:t>
      </w:r>
    </w:p>
    <w:p w14:paraId="3A31CDC3"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Mobilumo ir transporto GD taikys reikiamas kontrolės priemones pagal 2017 m. priimtą generalinio direktorato santykių su decentralizuotomis agentūromis ir bendrosiomis įmonėmis priežiūros strategiją. Pagal šią strategiją Mobilumo ir transporto GD stebi biudžeto vykdymo, audito rekomendacijų ir administracinių klausimų veiklos rodiklius. Agentūra du kartus per metus teikia ataskaitą. Agentūros priežiūros, taip pat susijusio finansų ir biudžeto valdymo kontrolės priemonės atitinka Mobilumo ir transporto GD kontrolės strategiją, atnaujintą 2022 m.</w:t>
      </w:r>
    </w:p>
    <w:p w14:paraId="23AF91AD"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Papildomiems EMSA suteiktiems ištekliams bus taikoma EMSA vidaus kontrolės ir rizikos valdymo sistema, suderinta su atitinkamais tarptautiniais standartais ir apimanti konkrečias kontrolės priemones, kuriomis siekiama užkirsti kelią interesų konfliktams ir užtikrinti pranešėjų apsaugą.</w:t>
      </w:r>
    </w:p>
    <w:p w14:paraId="2174598A" w14:textId="77777777" w:rsidR="00F001BC" w:rsidRPr="0032658A" w:rsidRDefault="00F001BC" w:rsidP="00F001BC">
      <w:pPr>
        <w:pStyle w:val="ManualHeading3"/>
        <w:rPr>
          <w:noProof/>
        </w:rPr>
      </w:pPr>
      <w:bookmarkStart w:id="45" w:name="_Toc514938681"/>
      <w:bookmarkStart w:id="46" w:name="_Toc520485440"/>
      <w:r w:rsidRPr="0032658A">
        <w:rPr>
          <w:noProof/>
        </w:rPr>
        <w:t>2.2.3.</w:t>
      </w:r>
      <w:r w:rsidRPr="0032658A">
        <w:rPr>
          <w:noProof/>
        </w:rPr>
        <w:tab/>
        <w:t>Kontrolės išlaidų efektyvumo apskaičiavimas ir pagrindimas (kontrolės sąnaudų ir susijusių valdomų lėšų vertės santykis) ir numatomo klaidų rizikos lygio vertinimas (atliekant mokėjimą ir užbaigiant programą)</w:t>
      </w:r>
      <w:bookmarkEnd w:id="45"/>
      <w:bookmarkEnd w:id="46"/>
      <w:r w:rsidRPr="0032658A">
        <w:rPr>
          <w:noProof/>
        </w:rPr>
        <w:t xml:space="preserve"> </w:t>
      </w:r>
    </w:p>
    <w:p w14:paraId="079BC5BF" w14:textId="77777777" w:rsidR="00F001BC" w:rsidRPr="0032658A" w:rsidRDefault="00F001BC" w:rsidP="00F001BC">
      <w:pPr>
        <w:pBdr>
          <w:top w:val="single" w:sz="4" w:space="1" w:color="auto"/>
          <w:left w:val="single" w:sz="4" w:space="4" w:color="auto"/>
          <w:bottom w:val="single" w:sz="4" w:space="1" w:color="auto"/>
          <w:right w:val="single" w:sz="4" w:space="4" w:color="auto"/>
        </w:pBdr>
        <w:ind w:left="851"/>
        <w:rPr>
          <w:noProof/>
        </w:rPr>
      </w:pPr>
      <w:r w:rsidRPr="0032658A">
        <w:rPr>
          <w:noProof/>
        </w:rPr>
        <w:t>Pagal siūlomą direktyvą papildomas finansavimas bus teikiamas tik EMSA, kuri turės kurti IT priemones ir modulius, taip pat rengti mokymus nacionaliniams UVKP.</w:t>
      </w:r>
    </w:p>
    <w:p w14:paraId="7DFDF637" w14:textId="77777777" w:rsidR="00F001BC" w:rsidRPr="0032658A" w:rsidRDefault="00F001BC" w:rsidP="00F001BC">
      <w:pPr>
        <w:pBdr>
          <w:top w:val="single" w:sz="4" w:space="1" w:color="auto"/>
          <w:left w:val="single" w:sz="4" w:space="4" w:color="auto"/>
          <w:bottom w:val="single" w:sz="4" w:space="1" w:color="auto"/>
          <w:right w:val="single" w:sz="4" w:space="4" w:color="auto"/>
        </w:pBdr>
        <w:ind w:left="851"/>
        <w:rPr>
          <w:noProof/>
        </w:rPr>
      </w:pPr>
      <w:r w:rsidRPr="0032658A">
        <w:rPr>
          <w:noProof/>
        </w:rPr>
        <w:t>EMSA yra visiškai atsakinga už savo biudžeto vykdymą, o Mobilumo ir transporto GD yra atsakingas už reguliarų biudžeto valdymo institucijos nustatytų įnašų mokėjimą. Numatytas klaidų rizikos lygis atliekant mokėjimą ir užbaigiant programą yra panašus į Agentūrai suteiktų biudžeto subsidijų lygį.</w:t>
      </w:r>
    </w:p>
    <w:p w14:paraId="12DBA746" w14:textId="77777777" w:rsidR="00F001BC" w:rsidRPr="0032658A" w:rsidRDefault="00F001BC" w:rsidP="00F001BC">
      <w:pPr>
        <w:pBdr>
          <w:top w:val="single" w:sz="4" w:space="1" w:color="auto"/>
          <w:left w:val="single" w:sz="4" w:space="4" w:color="auto"/>
          <w:bottom w:val="single" w:sz="4" w:space="1" w:color="auto"/>
          <w:right w:val="single" w:sz="4" w:space="4" w:color="auto"/>
        </w:pBdr>
        <w:ind w:left="851"/>
        <w:rPr>
          <w:noProof/>
        </w:rPr>
      </w:pPr>
      <w:r w:rsidRPr="0032658A">
        <w:rPr>
          <w:noProof/>
        </w:rPr>
        <w:t xml:space="preserve">Manoma, kad dėl papildomų užduočių, susijusių su siūloma peržiūra, nebus atliekama konkreti papildoma kontrolė. Todėl numatoma, kad Mobilumo ir transporto GD kontrolės išlaidos (vertinamos pagal valdomų lėšų vertę) išliks stabilios. </w:t>
      </w:r>
    </w:p>
    <w:p w14:paraId="0FACF5AF" w14:textId="77777777" w:rsidR="00F001BC" w:rsidRPr="0032658A" w:rsidRDefault="00F001BC" w:rsidP="00F001BC">
      <w:pPr>
        <w:spacing w:before="0" w:after="200" w:line="276" w:lineRule="auto"/>
        <w:jc w:val="left"/>
        <w:rPr>
          <w:rFonts w:eastAsiaTheme="majorEastAsia"/>
          <w:b/>
          <w:noProof/>
        </w:rPr>
      </w:pPr>
      <w:bookmarkStart w:id="47" w:name="_Toc514938682"/>
      <w:r w:rsidRPr="0032658A">
        <w:rPr>
          <w:noProof/>
        </w:rPr>
        <w:br w:type="page"/>
      </w:r>
    </w:p>
    <w:p w14:paraId="7959F876" w14:textId="77777777" w:rsidR="00F001BC" w:rsidRPr="0032658A" w:rsidRDefault="00F001BC" w:rsidP="00F001BC">
      <w:pPr>
        <w:pStyle w:val="ManualHeading2"/>
        <w:rPr>
          <w:noProof/>
        </w:rPr>
      </w:pPr>
      <w:bookmarkStart w:id="48" w:name="_Toc520485441"/>
      <w:r w:rsidRPr="0032658A">
        <w:rPr>
          <w:noProof/>
        </w:rPr>
        <w:t>2.3.</w:t>
      </w:r>
      <w:r w:rsidRPr="0032658A">
        <w:rPr>
          <w:noProof/>
        </w:rPr>
        <w:tab/>
        <w:t>Sukčiavimo ir pažeidimų prevencijos priemonės</w:t>
      </w:r>
      <w:bookmarkEnd w:id="47"/>
      <w:bookmarkEnd w:id="48"/>
      <w:r w:rsidRPr="0032658A">
        <w:rPr>
          <w:noProof/>
        </w:rPr>
        <w:t xml:space="preserve"> </w:t>
      </w:r>
    </w:p>
    <w:p w14:paraId="0B9DC86C" w14:textId="77777777" w:rsidR="00F001BC" w:rsidRPr="0032658A" w:rsidRDefault="00F001BC" w:rsidP="00F001BC">
      <w:pPr>
        <w:pStyle w:val="Text1"/>
        <w:rPr>
          <w:i/>
          <w:noProof/>
          <w:sz w:val="20"/>
        </w:rPr>
      </w:pPr>
      <w:r w:rsidRPr="0032658A">
        <w:rPr>
          <w:i/>
          <w:noProof/>
          <w:sz w:val="20"/>
        </w:rPr>
        <w:t>Nurodyti dabartines arba numatytas prevencijos ir apsaugos priemones, pvz., išdėstytas Kovos su sukčiavimu strategijoje.</w:t>
      </w:r>
    </w:p>
    <w:p w14:paraId="3F1E8CF5"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Siūlomoje direktyvoje yra keletas nuostatų, kuriomis konkrečiai siekiama užkirsti kelią sukčiavimui ir pažeidimams. Valstybės narės turės turėti kokybės valdymo sistemą (KVS), kad patvirtintų, jog jų organizacija, politika, procesai, ištekliai ir dokumentai yra tinkami jos tikslams pasiekti. Tai turės būti sertifikuojama ir vėliau audituojama kas penkerius metus. Valstybės narės turės pasidalinti su Komisija ir (arba) arba EMSA akredituotos įstaigos atliktų auditų rezultatais, kad UVK administracija išsaugotų savo KVS sertifikavimą. Direktyvoje taip pat nustatyta, kad prieš perkeliant inspektavimo ataskaitą į duomenų bazę, visas UVK inspektavimo ataskaitas tvirtina kitas asmuo (kitas uosto valstybės kontrolės inspektorius arba vadovas), kuris nėra inspektavimą atlikęs inspektorius.</w:t>
      </w:r>
    </w:p>
    <w:p w14:paraId="121275EA"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EMSA taiko decentralizuotų ES agentūrų kovos su sukčiavimu principus, laikydamasi Komisijos požiūrio. 2021 m. kovo mėn. Agentūra priėmė atnaujintą Kovos su sukčiavimu strategiją, grindžiamą OLAF pateikta kovos su sukčiavimu strategijos metodika ir gairėmis, taip pat Mobilumo ir transporto GD kovos su sukčiavimu strategija. Joje pateikiama sistema, kuria sprendžiami sukčiavimo prevencijos, nustatymo ir tyrimo sąlygų Agentūros lygmeniu klausimai. EMSA nuolat pritaiko ir tobulina savo politiką ir veiksmus, kad būtų skatinamas aukščiausias EMSA darbuotojų sąžiningumo lygis, remiama veiksminga sukčiavimo rizikos prevencija ir nustatymas ir būtų nustatomos tinkamos pranešimo apie galimus sukčiavimo atvejus ir jų rezultatus bei jų nagrinėjimo procedūros. Be to, 2015 m. EMSA patvirtino valdančiosios tarybos interesų konfliktų politiką.</w:t>
      </w:r>
    </w:p>
    <w:p w14:paraId="69423C7D"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r w:rsidRPr="0032658A">
        <w:rPr>
          <w:noProof/>
        </w:rPr>
        <w:t>EMSA bendradarbiauja su Komisijos tarnybomis sukčiavimo ir pažeidimų prevencijos klausimais. Komisija užtikrins, kad šis bendradarbiavimas būtų tęsiamas ir stiprinamas.</w:t>
      </w:r>
    </w:p>
    <w:p w14:paraId="2D17873D" w14:textId="77777777" w:rsidR="00F001BC" w:rsidRPr="0032658A" w:rsidRDefault="00F001BC" w:rsidP="00F001BC">
      <w:pPr>
        <w:pStyle w:val="ManualHeading1"/>
        <w:rPr>
          <w:noProof/>
        </w:rPr>
      </w:pPr>
      <w:bookmarkStart w:id="49" w:name="_Toc514938683"/>
      <w:bookmarkStart w:id="50" w:name="_Toc520485442"/>
      <w:r w:rsidRPr="0032658A">
        <w:rPr>
          <w:noProof/>
        </w:rPr>
        <w:t>3.</w:t>
      </w:r>
      <w:r w:rsidRPr="0032658A">
        <w:rPr>
          <w:noProof/>
        </w:rPr>
        <w:tab/>
        <w:t>NUMATOMAS PASIŪLYMO (INICIATYVOS) FINANSINIS POVEIKIS</w:t>
      </w:r>
      <w:bookmarkEnd w:id="49"/>
      <w:bookmarkEnd w:id="50"/>
      <w:r w:rsidRPr="0032658A">
        <w:rPr>
          <w:noProof/>
        </w:rPr>
        <w:t xml:space="preserve"> </w:t>
      </w:r>
    </w:p>
    <w:p w14:paraId="7AAC045A" w14:textId="77777777" w:rsidR="00F001BC" w:rsidRPr="0032658A" w:rsidRDefault="00F001BC" w:rsidP="00F001BC">
      <w:pPr>
        <w:pStyle w:val="ManualHeading2"/>
        <w:rPr>
          <w:noProof/>
        </w:rPr>
      </w:pPr>
      <w:bookmarkStart w:id="51" w:name="_Toc514938684"/>
      <w:bookmarkStart w:id="52" w:name="_Toc520485443"/>
      <w:r w:rsidRPr="0032658A">
        <w:rPr>
          <w:noProof/>
        </w:rPr>
        <w:t>3.1.</w:t>
      </w:r>
      <w:r w:rsidRPr="0032658A">
        <w:rPr>
          <w:noProof/>
        </w:rPr>
        <w:tab/>
        <w:t>Atitinkama (-os) daugiametės finansinės programos išlaidų kategorija (-os) ir biudžeto išlaidų eilutė (-ės)</w:t>
      </w:r>
      <w:bookmarkEnd w:id="51"/>
      <w:bookmarkEnd w:id="52"/>
      <w:r w:rsidRPr="0032658A">
        <w:rPr>
          <w:noProof/>
        </w:rPr>
        <w:t xml:space="preserve"> </w:t>
      </w:r>
    </w:p>
    <w:p w14:paraId="342FDEB1" w14:textId="77777777" w:rsidR="00F001BC" w:rsidRPr="0032658A" w:rsidRDefault="00F001BC" w:rsidP="008305F0">
      <w:pPr>
        <w:pStyle w:val="ListBullet1"/>
        <w:rPr>
          <w:noProof/>
        </w:rPr>
      </w:pPr>
      <w:r w:rsidRPr="0032658A">
        <w:rPr>
          <w:noProof/>
        </w:rPr>
        <w:t xml:space="preserve">Dabartinės biudžeto eilutės </w:t>
      </w:r>
    </w:p>
    <w:p w14:paraId="2B7EF8A7" w14:textId="77777777" w:rsidR="00F001BC" w:rsidRPr="0032658A" w:rsidRDefault="00F001BC" w:rsidP="00F001BC">
      <w:pPr>
        <w:pStyle w:val="Text1"/>
        <w:rPr>
          <w:noProof/>
        </w:rPr>
      </w:pPr>
      <w:r w:rsidRPr="0032658A">
        <w:rPr>
          <w:noProof/>
        </w:rPr>
        <w:t xml:space="preserve">Daugiametės finansinės programos išlaidų kategorijas ir biudžeto eilutes nurodyti </w:t>
      </w:r>
      <w:r w:rsidRPr="0032658A">
        <w:rPr>
          <w:noProof/>
          <w:u w:val="single"/>
        </w:rPr>
        <w:t>eilės tvarka</w:t>
      </w:r>
      <w:r w:rsidRPr="0032658A">
        <w:rPr>
          <w:noProof/>
        </w:rPr>
        <w:t>.</w:t>
      </w:r>
    </w:p>
    <w:tbl>
      <w:tblPr>
        <w:tblW w:w="1079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3960"/>
        <w:gridCol w:w="1080"/>
        <w:gridCol w:w="956"/>
        <w:gridCol w:w="1080"/>
        <w:gridCol w:w="956"/>
        <w:gridCol w:w="1564"/>
      </w:tblGrid>
      <w:tr w:rsidR="00F001BC" w:rsidRPr="0032658A" w14:paraId="5308092C" w14:textId="77777777" w:rsidTr="002B2FFF">
        <w:tc>
          <w:tcPr>
            <w:tcW w:w="1200" w:type="dxa"/>
            <w:vMerge w:val="restart"/>
            <w:vAlign w:val="center"/>
          </w:tcPr>
          <w:p w14:paraId="4115FC07" w14:textId="77777777" w:rsidR="00F001BC" w:rsidRPr="0032658A" w:rsidRDefault="00F001BC" w:rsidP="005840B3">
            <w:pPr>
              <w:spacing w:before="60" w:after="60"/>
              <w:jc w:val="center"/>
              <w:rPr>
                <w:noProof/>
                <w:sz w:val="18"/>
              </w:rPr>
            </w:pPr>
            <w:r w:rsidRPr="0032658A">
              <w:rPr>
                <w:noProof/>
                <w:sz w:val="18"/>
              </w:rPr>
              <w:t>Daugiametės finansinės programos išlaidų kategorija</w:t>
            </w:r>
          </w:p>
        </w:tc>
        <w:tc>
          <w:tcPr>
            <w:tcW w:w="3960" w:type="dxa"/>
            <w:vAlign w:val="center"/>
          </w:tcPr>
          <w:p w14:paraId="03727ED3" w14:textId="77777777" w:rsidR="00F001BC" w:rsidRPr="0032658A" w:rsidRDefault="00F001BC" w:rsidP="005840B3">
            <w:pPr>
              <w:spacing w:before="60" w:after="60"/>
              <w:jc w:val="center"/>
              <w:rPr>
                <w:noProof/>
              </w:rPr>
            </w:pPr>
            <w:r w:rsidRPr="0032658A">
              <w:rPr>
                <w:noProof/>
                <w:sz w:val="20"/>
              </w:rPr>
              <w:t>Biudžeto eilutė</w:t>
            </w:r>
          </w:p>
        </w:tc>
        <w:tc>
          <w:tcPr>
            <w:tcW w:w="1080" w:type="dxa"/>
            <w:vAlign w:val="center"/>
          </w:tcPr>
          <w:p w14:paraId="5A7815CE" w14:textId="77777777" w:rsidR="00F001BC" w:rsidRPr="0032658A" w:rsidRDefault="00F001BC" w:rsidP="005840B3">
            <w:pPr>
              <w:spacing w:before="60" w:after="60"/>
              <w:jc w:val="center"/>
              <w:rPr>
                <w:noProof/>
              </w:rPr>
            </w:pPr>
            <w:r w:rsidRPr="0032658A">
              <w:rPr>
                <w:noProof/>
                <w:sz w:val="18"/>
              </w:rPr>
              <w:t>Išlaidų</w:t>
            </w:r>
            <w:r w:rsidRPr="0032658A">
              <w:rPr>
                <w:noProof/>
              </w:rPr>
              <w:t xml:space="preserve"> </w:t>
            </w:r>
            <w:r w:rsidRPr="0032658A">
              <w:rPr>
                <w:noProof/>
              </w:rPr>
              <w:br/>
            </w:r>
            <w:r w:rsidRPr="0032658A">
              <w:rPr>
                <w:noProof/>
                <w:sz w:val="18"/>
              </w:rPr>
              <w:t>rūšis</w:t>
            </w:r>
          </w:p>
        </w:tc>
        <w:tc>
          <w:tcPr>
            <w:tcW w:w="4556" w:type="dxa"/>
            <w:gridSpan w:val="4"/>
            <w:vAlign w:val="center"/>
          </w:tcPr>
          <w:p w14:paraId="4BE95FAB" w14:textId="77777777" w:rsidR="00F001BC" w:rsidRPr="0032658A" w:rsidRDefault="00F001BC" w:rsidP="005840B3">
            <w:pPr>
              <w:spacing w:before="60" w:after="60"/>
              <w:jc w:val="center"/>
              <w:rPr>
                <w:noProof/>
              </w:rPr>
            </w:pPr>
            <w:r w:rsidRPr="0032658A">
              <w:rPr>
                <w:noProof/>
                <w:sz w:val="20"/>
              </w:rPr>
              <w:t xml:space="preserve">Įnašas </w:t>
            </w:r>
          </w:p>
        </w:tc>
      </w:tr>
      <w:tr w:rsidR="00F001BC" w:rsidRPr="0032658A" w14:paraId="259F347B" w14:textId="77777777" w:rsidTr="002B2FFF">
        <w:tc>
          <w:tcPr>
            <w:tcW w:w="1200" w:type="dxa"/>
            <w:vMerge/>
            <w:vAlign w:val="center"/>
          </w:tcPr>
          <w:p w14:paraId="7654C5F5" w14:textId="77777777" w:rsidR="00F001BC" w:rsidRPr="0032658A" w:rsidRDefault="00F001BC" w:rsidP="005840B3">
            <w:pPr>
              <w:rPr>
                <w:noProof/>
                <w:sz w:val="18"/>
              </w:rPr>
            </w:pPr>
          </w:p>
        </w:tc>
        <w:tc>
          <w:tcPr>
            <w:tcW w:w="3960" w:type="dxa"/>
            <w:vAlign w:val="center"/>
          </w:tcPr>
          <w:p w14:paraId="2D3B3434" w14:textId="77777777" w:rsidR="00F001BC" w:rsidRPr="0032658A" w:rsidRDefault="00F001BC" w:rsidP="005840B3">
            <w:pPr>
              <w:rPr>
                <w:noProof/>
              </w:rPr>
            </w:pPr>
            <w:r w:rsidRPr="0032658A">
              <w:rPr>
                <w:noProof/>
                <w:sz w:val="20"/>
              </w:rPr>
              <w:t xml:space="preserve">Numeris </w:t>
            </w:r>
            <w:r w:rsidRPr="0032658A">
              <w:rPr>
                <w:noProof/>
              </w:rPr>
              <w:t xml:space="preserve"> </w:t>
            </w:r>
            <w:r w:rsidRPr="0032658A">
              <w:rPr>
                <w:noProof/>
              </w:rPr>
              <w:br/>
            </w:r>
          </w:p>
        </w:tc>
        <w:tc>
          <w:tcPr>
            <w:tcW w:w="1080" w:type="dxa"/>
            <w:vAlign w:val="center"/>
          </w:tcPr>
          <w:p w14:paraId="534E6D74" w14:textId="77777777" w:rsidR="00F001BC" w:rsidRPr="0032658A" w:rsidRDefault="00F001BC" w:rsidP="005840B3">
            <w:pPr>
              <w:jc w:val="center"/>
              <w:rPr>
                <w:noProof/>
              </w:rPr>
            </w:pPr>
            <w:r w:rsidRPr="0032658A">
              <w:rPr>
                <w:noProof/>
                <w:sz w:val="18"/>
              </w:rPr>
              <w:t>DA / NDA</w:t>
            </w:r>
            <w:r w:rsidRPr="0032658A">
              <w:rPr>
                <w:rStyle w:val="FootnoteReference"/>
                <w:noProof/>
                <w:sz w:val="18"/>
              </w:rPr>
              <w:footnoteReference w:id="33"/>
            </w:r>
          </w:p>
        </w:tc>
        <w:tc>
          <w:tcPr>
            <w:tcW w:w="956" w:type="dxa"/>
            <w:vAlign w:val="center"/>
          </w:tcPr>
          <w:p w14:paraId="02C9EEAF" w14:textId="77777777" w:rsidR="00F001BC" w:rsidRPr="0032658A" w:rsidRDefault="00F001BC" w:rsidP="005840B3">
            <w:pPr>
              <w:jc w:val="center"/>
              <w:rPr>
                <w:noProof/>
              </w:rPr>
            </w:pPr>
            <w:r w:rsidRPr="0032658A">
              <w:rPr>
                <w:noProof/>
                <w:sz w:val="18"/>
              </w:rPr>
              <w:t>ELPA šalių</w:t>
            </w:r>
            <w:r w:rsidRPr="0032658A">
              <w:rPr>
                <w:rStyle w:val="FootnoteReference"/>
                <w:noProof/>
                <w:sz w:val="18"/>
              </w:rPr>
              <w:footnoteReference w:id="34"/>
            </w:r>
          </w:p>
        </w:tc>
        <w:tc>
          <w:tcPr>
            <w:tcW w:w="1080" w:type="dxa"/>
            <w:vAlign w:val="center"/>
          </w:tcPr>
          <w:p w14:paraId="17D66680" w14:textId="77777777" w:rsidR="00F001BC" w:rsidRPr="0032658A" w:rsidRDefault="00F001BC" w:rsidP="005840B3">
            <w:pPr>
              <w:jc w:val="center"/>
              <w:rPr>
                <w:noProof/>
                <w:sz w:val="18"/>
              </w:rPr>
            </w:pPr>
            <w:r w:rsidRPr="0032658A">
              <w:rPr>
                <w:noProof/>
                <w:sz w:val="18"/>
              </w:rPr>
              <w:t>valstybių kandidačių ir potencialių kandidačių</w:t>
            </w:r>
            <w:r w:rsidRPr="0032658A">
              <w:rPr>
                <w:rStyle w:val="FootnoteReference"/>
                <w:noProof/>
                <w:sz w:val="18"/>
              </w:rPr>
              <w:footnoteReference w:id="35"/>
            </w:r>
          </w:p>
        </w:tc>
        <w:tc>
          <w:tcPr>
            <w:tcW w:w="956" w:type="dxa"/>
            <w:vAlign w:val="center"/>
          </w:tcPr>
          <w:p w14:paraId="1726F573" w14:textId="77777777" w:rsidR="00F001BC" w:rsidRPr="0032658A" w:rsidRDefault="00F001BC" w:rsidP="005840B3">
            <w:pPr>
              <w:jc w:val="center"/>
              <w:rPr>
                <w:noProof/>
                <w:sz w:val="18"/>
              </w:rPr>
            </w:pPr>
            <w:r w:rsidRPr="0032658A">
              <w:rPr>
                <w:noProof/>
                <w:sz w:val="18"/>
              </w:rPr>
              <w:t>kitų trečiųjų valstybių</w:t>
            </w:r>
          </w:p>
        </w:tc>
        <w:tc>
          <w:tcPr>
            <w:tcW w:w="1564" w:type="dxa"/>
            <w:vAlign w:val="center"/>
          </w:tcPr>
          <w:p w14:paraId="4CA3090E" w14:textId="77777777" w:rsidR="00F001BC" w:rsidRPr="0032658A" w:rsidRDefault="00F001BC" w:rsidP="005840B3">
            <w:pPr>
              <w:jc w:val="center"/>
              <w:rPr>
                <w:noProof/>
                <w:sz w:val="16"/>
              </w:rPr>
            </w:pPr>
            <w:r w:rsidRPr="0032658A">
              <w:rPr>
                <w:noProof/>
                <w:sz w:val="16"/>
              </w:rPr>
              <w:t xml:space="preserve">kitos asignuotosios pajamos </w:t>
            </w:r>
          </w:p>
        </w:tc>
      </w:tr>
      <w:tr w:rsidR="00F001BC" w:rsidRPr="0032658A" w14:paraId="3F524C83" w14:textId="77777777" w:rsidTr="002B2FFF">
        <w:tc>
          <w:tcPr>
            <w:tcW w:w="1200" w:type="dxa"/>
            <w:vAlign w:val="center"/>
          </w:tcPr>
          <w:p w14:paraId="67AD16B7" w14:textId="77777777" w:rsidR="00F001BC" w:rsidRPr="0032658A" w:rsidRDefault="00F001BC" w:rsidP="005840B3">
            <w:pPr>
              <w:jc w:val="center"/>
              <w:rPr>
                <w:noProof/>
                <w:color w:val="0000FF"/>
              </w:rPr>
            </w:pPr>
            <w:r w:rsidRPr="0032658A">
              <w:rPr>
                <w:noProof/>
              </w:rPr>
              <w:t>1</w:t>
            </w:r>
          </w:p>
        </w:tc>
        <w:tc>
          <w:tcPr>
            <w:tcW w:w="3960" w:type="dxa"/>
            <w:vAlign w:val="center"/>
          </w:tcPr>
          <w:p w14:paraId="764D67FB" w14:textId="77777777" w:rsidR="00F001BC" w:rsidRPr="0032658A" w:rsidRDefault="00F001BC" w:rsidP="005840B3">
            <w:pPr>
              <w:spacing w:after="60"/>
              <w:rPr>
                <w:noProof/>
              </w:rPr>
            </w:pPr>
            <w:r w:rsidRPr="0032658A">
              <w:rPr>
                <w:noProof/>
              </w:rPr>
              <w:t>02 10 02</w:t>
            </w:r>
          </w:p>
        </w:tc>
        <w:tc>
          <w:tcPr>
            <w:tcW w:w="1080" w:type="dxa"/>
            <w:vAlign w:val="center"/>
          </w:tcPr>
          <w:p w14:paraId="129B11E8" w14:textId="77777777" w:rsidR="00F001BC" w:rsidRPr="0032658A" w:rsidRDefault="00F001BC" w:rsidP="005840B3">
            <w:pPr>
              <w:jc w:val="center"/>
              <w:rPr>
                <w:noProof/>
                <w:color w:val="0000FF"/>
              </w:rPr>
            </w:pPr>
            <w:r w:rsidRPr="0032658A">
              <w:rPr>
                <w:noProof/>
                <w:sz w:val="18"/>
              </w:rPr>
              <w:t>NDA</w:t>
            </w:r>
          </w:p>
        </w:tc>
        <w:tc>
          <w:tcPr>
            <w:tcW w:w="956" w:type="dxa"/>
            <w:vAlign w:val="center"/>
          </w:tcPr>
          <w:p w14:paraId="620A9F5C" w14:textId="77777777" w:rsidR="00F001BC" w:rsidRPr="0032658A" w:rsidRDefault="00F001BC" w:rsidP="005840B3">
            <w:pPr>
              <w:jc w:val="center"/>
              <w:rPr>
                <w:noProof/>
                <w:sz w:val="20"/>
              </w:rPr>
            </w:pPr>
            <w:r w:rsidRPr="0032658A">
              <w:rPr>
                <w:noProof/>
                <w:sz w:val="20"/>
              </w:rPr>
              <w:t>TAIP</w:t>
            </w:r>
          </w:p>
        </w:tc>
        <w:tc>
          <w:tcPr>
            <w:tcW w:w="1080" w:type="dxa"/>
            <w:vAlign w:val="center"/>
          </w:tcPr>
          <w:p w14:paraId="4C908176" w14:textId="77777777" w:rsidR="00F001BC" w:rsidRPr="0032658A" w:rsidRDefault="00F001BC" w:rsidP="005840B3">
            <w:pPr>
              <w:jc w:val="center"/>
              <w:rPr>
                <w:noProof/>
                <w:sz w:val="20"/>
              </w:rPr>
            </w:pPr>
            <w:r w:rsidRPr="0032658A">
              <w:rPr>
                <w:noProof/>
                <w:sz w:val="20"/>
              </w:rPr>
              <w:t>NE</w:t>
            </w:r>
          </w:p>
        </w:tc>
        <w:tc>
          <w:tcPr>
            <w:tcW w:w="956" w:type="dxa"/>
            <w:vAlign w:val="center"/>
          </w:tcPr>
          <w:p w14:paraId="5EC35B11" w14:textId="77777777" w:rsidR="00F001BC" w:rsidRPr="0032658A" w:rsidRDefault="00F001BC" w:rsidP="005840B3">
            <w:pPr>
              <w:jc w:val="center"/>
              <w:rPr>
                <w:noProof/>
                <w:sz w:val="20"/>
              </w:rPr>
            </w:pPr>
            <w:r w:rsidRPr="0032658A">
              <w:rPr>
                <w:noProof/>
                <w:sz w:val="20"/>
              </w:rPr>
              <w:t>NE</w:t>
            </w:r>
          </w:p>
        </w:tc>
        <w:tc>
          <w:tcPr>
            <w:tcW w:w="1564" w:type="dxa"/>
            <w:vAlign w:val="center"/>
          </w:tcPr>
          <w:p w14:paraId="078974CB" w14:textId="77777777" w:rsidR="00F001BC" w:rsidRPr="0032658A" w:rsidRDefault="00F001BC" w:rsidP="005840B3">
            <w:pPr>
              <w:jc w:val="center"/>
              <w:rPr>
                <w:noProof/>
                <w:sz w:val="20"/>
              </w:rPr>
            </w:pPr>
            <w:r w:rsidRPr="0032658A">
              <w:rPr>
                <w:noProof/>
                <w:sz w:val="20"/>
              </w:rPr>
              <w:t>NE</w:t>
            </w:r>
          </w:p>
        </w:tc>
      </w:tr>
    </w:tbl>
    <w:p w14:paraId="534E2357" w14:textId="77777777" w:rsidR="00F001BC" w:rsidRPr="0032658A" w:rsidRDefault="00F001BC" w:rsidP="008305F0">
      <w:pPr>
        <w:pStyle w:val="ListBullet1"/>
        <w:rPr>
          <w:noProof/>
        </w:rPr>
      </w:pPr>
      <w:r w:rsidRPr="0032658A">
        <w:rPr>
          <w:noProof/>
        </w:rPr>
        <w:t xml:space="preserve">Prašomos sukurti naujos biudžeto eilutės </w:t>
      </w:r>
    </w:p>
    <w:p w14:paraId="77AEB411" w14:textId="77777777" w:rsidR="00F001BC" w:rsidRPr="0032658A" w:rsidRDefault="00F001BC" w:rsidP="00F001BC">
      <w:pPr>
        <w:pStyle w:val="Text1"/>
        <w:rPr>
          <w:i/>
          <w:noProof/>
          <w:sz w:val="20"/>
        </w:rPr>
      </w:pPr>
      <w:r w:rsidRPr="0032658A">
        <w:rPr>
          <w:noProof/>
        </w:rPr>
        <w:t xml:space="preserve">Daugiametės finansinės programos išlaidų kategorijas ir biudžeto eilutes nurodyti </w:t>
      </w:r>
      <w:r w:rsidRPr="0032658A">
        <w:rPr>
          <w:noProof/>
          <w:u w:val="single"/>
        </w:rPr>
        <w:t>eilės tvarka</w:t>
      </w:r>
      <w:r w:rsidRPr="0032658A">
        <w:rPr>
          <w:noProof/>
        </w:rPr>
        <w:t>.</w:t>
      </w:r>
    </w:p>
    <w:tbl>
      <w:tblPr>
        <w:tblW w:w="1079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3960"/>
        <w:gridCol w:w="1080"/>
        <w:gridCol w:w="956"/>
        <w:gridCol w:w="1080"/>
        <w:gridCol w:w="956"/>
        <w:gridCol w:w="1564"/>
      </w:tblGrid>
      <w:tr w:rsidR="00F001BC" w:rsidRPr="0032658A" w14:paraId="078BCA4B" w14:textId="77777777" w:rsidTr="0039302B">
        <w:tc>
          <w:tcPr>
            <w:tcW w:w="1200" w:type="dxa"/>
            <w:vMerge w:val="restart"/>
            <w:vAlign w:val="center"/>
          </w:tcPr>
          <w:p w14:paraId="043EECDC" w14:textId="77777777" w:rsidR="00F001BC" w:rsidRPr="0032658A" w:rsidRDefault="00F001BC" w:rsidP="005840B3">
            <w:pPr>
              <w:spacing w:before="60" w:after="60"/>
              <w:jc w:val="center"/>
              <w:rPr>
                <w:noProof/>
              </w:rPr>
            </w:pPr>
            <w:r w:rsidRPr="0032658A">
              <w:rPr>
                <w:noProof/>
                <w:sz w:val="18"/>
              </w:rPr>
              <w:t>Daugiametės finansinės programos išlaidų kategorija</w:t>
            </w:r>
          </w:p>
        </w:tc>
        <w:tc>
          <w:tcPr>
            <w:tcW w:w="3960" w:type="dxa"/>
            <w:vAlign w:val="center"/>
          </w:tcPr>
          <w:p w14:paraId="7D1170FC" w14:textId="77777777" w:rsidR="00F001BC" w:rsidRPr="0032658A" w:rsidRDefault="00F001BC" w:rsidP="005840B3">
            <w:pPr>
              <w:spacing w:before="60" w:after="60"/>
              <w:jc w:val="center"/>
              <w:rPr>
                <w:noProof/>
              </w:rPr>
            </w:pPr>
            <w:r w:rsidRPr="0032658A">
              <w:rPr>
                <w:noProof/>
                <w:sz w:val="20"/>
              </w:rPr>
              <w:t>Biudžeto eilutė</w:t>
            </w:r>
          </w:p>
        </w:tc>
        <w:tc>
          <w:tcPr>
            <w:tcW w:w="1080" w:type="dxa"/>
            <w:vAlign w:val="center"/>
          </w:tcPr>
          <w:p w14:paraId="2128752D" w14:textId="77777777" w:rsidR="00F001BC" w:rsidRPr="0032658A" w:rsidRDefault="00F001BC" w:rsidP="005840B3">
            <w:pPr>
              <w:spacing w:before="60" w:after="60"/>
              <w:jc w:val="center"/>
              <w:rPr>
                <w:noProof/>
              </w:rPr>
            </w:pPr>
            <w:r w:rsidRPr="0032658A">
              <w:rPr>
                <w:noProof/>
                <w:sz w:val="18"/>
              </w:rPr>
              <w:t>Išlaidų</w:t>
            </w:r>
            <w:r w:rsidRPr="0032658A">
              <w:rPr>
                <w:noProof/>
              </w:rPr>
              <w:t xml:space="preserve"> </w:t>
            </w:r>
            <w:r w:rsidRPr="0032658A">
              <w:rPr>
                <w:noProof/>
              </w:rPr>
              <w:br/>
            </w:r>
            <w:r w:rsidRPr="0032658A">
              <w:rPr>
                <w:noProof/>
                <w:sz w:val="18"/>
              </w:rPr>
              <w:t>rūšis</w:t>
            </w:r>
          </w:p>
        </w:tc>
        <w:tc>
          <w:tcPr>
            <w:tcW w:w="4556" w:type="dxa"/>
            <w:gridSpan w:val="4"/>
            <w:vAlign w:val="center"/>
          </w:tcPr>
          <w:p w14:paraId="2823FC1E" w14:textId="77777777" w:rsidR="00F001BC" w:rsidRPr="0032658A" w:rsidRDefault="00F001BC" w:rsidP="005840B3">
            <w:pPr>
              <w:spacing w:before="60" w:after="60"/>
              <w:jc w:val="center"/>
              <w:rPr>
                <w:noProof/>
              </w:rPr>
            </w:pPr>
            <w:r w:rsidRPr="0032658A">
              <w:rPr>
                <w:noProof/>
                <w:sz w:val="20"/>
              </w:rPr>
              <w:t xml:space="preserve">Įnašas </w:t>
            </w:r>
          </w:p>
        </w:tc>
      </w:tr>
      <w:tr w:rsidR="00F001BC" w:rsidRPr="0032658A" w14:paraId="06A138A8" w14:textId="77777777" w:rsidTr="0039302B">
        <w:tc>
          <w:tcPr>
            <w:tcW w:w="1200" w:type="dxa"/>
            <w:vMerge/>
            <w:vAlign w:val="center"/>
          </w:tcPr>
          <w:p w14:paraId="18DC45FD" w14:textId="77777777" w:rsidR="00F001BC" w:rsidRPr="0032658A" w:rsidRDefault="00F001BC" w:rsidP="005840B3">
            <w:pPr>
              <w:rPr>
                <w:noProof/>
              </w:rPr>
            </w:pPr>
          </w:p>
        </w:tc>
        <w:tc>
          <w:tcPr>
            <w:tcW w:w="3960" w:type="dxa"/>
            <w:vAlign w:val="center"/>
          </w:tcPr>
          <w:p w14:paraId="5575AADD" w14:textId="77777777" w:rsidR="00F001BC" w:rsidRPr="0032658A" w:rsidRDefault="00F001BC" w:rsidP="005840B3">
            <w:pPr>
              <w:rPr>
                <w:noProof/>
              </w:rPr>
            </w:pPr>
            <w:r w:rsidRPr="0032658A">
              <w:rPr>
                <w:noProof/>
                <w:sz w:val="20"/>
              </w:rPr>
              <w:t xml:space="preserve">Numeris </w:t>
            </w:r>
            <w:r w:rsidRPr="0032658A">
              <w:rPr>
                <w:noProof/>
              </w:rPr>
              <w:t xml:space="preserve"> </w:t>
            </w:r>
            <w:r w:rsidRPr="0032658A">
              <w:rPr>
                <w:noProof/>
              </w:rPr>
              <w:br/>
            </w:r>
          </w:p>
        </w:tc>
        <w:tc>
          <w:tcPr>
            <w:tcW w:w="1080" w:type="dxa"/>
            <w:vAlign w:val="center"/>
          </w:tcPr>
          <w:p w14:paraId="1E28C3B8" w14:textId="77777777" w:rsidR="00F001BC" w:rsidRPr="0032658A" w:rsidRDefault="00F001BC" w:rsidP="005840B3">
            <w:pPr>
              <w:jc w:val="center"/>
              <w:rPr>
                <w:noProof/>
              </w:rPr>
            </w:pPr>
            <w:r w:rsidRPr="0032658A">
              <w:rPr>
                <w:noProof/>
                <w:sz w:val="18"/>
              </w:rPr>
              <w:t>DA / NDA</w:t>
            </w:r>
          </w:p>
        </w:tc>
        <w:tc>
          <w:tcPr>
            <w:tcW w:w="956" w:type="dxa"/>
            <w:vAlign w:val="center"/>
          </w:tcPr>
          <w:p w14:paraId="1CE91EBF" w14:textId="77777777" w:rsidR="00F001BC" w:rsidRPr="0032658A" w:rsidRDefault="00F001BC" w:rsidP="005840B3">
            <w:pPr>
              <w:jc w:val="center"/>
              <w:rPr>
                <w:noProof/>
                <w:sz w:val="18"/>
              </w:rPr>
            </w:pPr>
            <w:r w:rsidRPr="0032658A">
              <w:rPr>
                <w:noProof/>
                <w:sz w:val="18"/>
              </w:rPr>
              <w:t>ELPA šalių</w:t>
            </w:r>
          </w:p>
        </w:tc>
        <w:tc>
          <w:tcPr>
            <w:tcW w:w="1080" w:type="dxa"/>
            <w:vAlign w:val="center"/>
          </w:tcPr>
          <w:p w14:paraId="364D4201" w14:textId="77777777" w:rsidR="00F001BC" w:rsidRPr="0032658A" w:rsidRDefault="00F001BC" w:rsidP="005840B3">
            <w:pPr>
              <w:jc w:val="center"/>
              <w:rPr>
                <w:noProof/>
                <w:sz w:val="18"/>
              </w:rPr>
            </w:pPr>
            <w:r w:rsidRPr="0032658A">
              <w:rPr>
                <w:noProof/>
                <w:sz w:val="18"/>
              </w:rPr>
              <w:t>valstybių kandidačių ir potencialių kandidačių</w:t>
            </w:r>
          </w:p>
        </w:tc>
        <w:tc>
          <w:tcPr>
            <w:tcW w:w="956" w:type="dxa"/>
            <w:vAlign w:val="center"/>
          </w:tcPr>
          <w:p w14:paraId="4CE9F82E" w14:textId="77777777" w:rsidR="00F001BC" w:rsidRPr="0032658A" w:rsidRDefault="00F001BC" w:rsidP="005840B3">
            <w:pPr>
              <w:jc w:val="center"/>
              <w:rPr>
                <w:noProof/>
                <w:sz w:val="18"/>
              </w:rPr>
            </w:pPr>
            <w:r w:rsidRPr="0032658A">
              <w:rPr>
                <w:noProof/>
                <w:sz w:val="18"/>
              </w:rPr>
              <w:t>kitų trečiųjų valstybių</w:t>
            </w:r>
          </w:p>
        </w:tc>
        <w:tc>
          <w:tcPr>
            <w:tcW w:w="1564" w:type="dxa"/>
            <w:vAlign w:val="center"/>
          </w:tcPr>
          <w:p w14:paraId="46E2D20E" w14:textId="77777777" w:rsidR="00F001BC" w:rsidRPr="0032658A" w:rsidRDefault="00F001BC" w:rsidP="005840B3">
            <w:pPr>
              <w:jc w:val="center"/>
              <w:rPr>
                <w:noProof/>
              </w:rPr>
            </w:pPr>
            <w:r w:rsidRPr="0032658A">
              <w:rPr>
                <w:noProof/>
                <w:sz w:val="16"/>
              </w:rPr>
              <w:t xml:space="preserve">kitos asignuotosios pajamos </w:t>
            </w:r>
          </w:p>
        </w:tc>
      </w:tr>
      <w:tr w:rsidR="00F001BC" w:rsidRPr="0032658A" w14:paraId="4007252C" w14:textId="77777777" w:rsidTr="0039302B">
        <w:tc>
          <w:tcPr>
            <w:tcW w:w="1200" w:type="dxa"/>
            <w:vAlign w:val="center"/>
          </w:tcPr>
          <w:p w14:paraId="72074923" w14:textId="77777777" w:rsidR="00F001BC" w:rsidRPr="0032658A" w:rsidRDefault="00F001BC" w:rsidP="005840B3">
            <w:pPr>
              <w:jc w:val="center"/>
              <w:rPr>
                <w:noProof/>
                <w:color w:val="0000FF"/>
              </w:rPr>
            </w:pPr>
          </w:p>
        </w:tc>
        <w:tc>
          <w:tcPr>
            <w:tcW w:w="3960" w:type="dxa"/>
            <w:vAlign w:val="center"/>
          </w:tcPr>
          <w:p w14:paraId="1C8DC831" w14:textId="77777777" w:rsidR="00F001BC" w:rsidRPr="0032658A" w:rsidRDefault="00F001BC" w:rsidP="005840B3">
            <w:pPr>
              <w:spacing w:before="60"/>
              <w:rPr>
                <w:noProof/>
              </w:rPr>
            </w:pPr>
            <w:r w:rsidRPr="0032658A">
              <w:rPr>
                <w:noProof/>
              </w:rPr>
              <w:t>[XX.YY.YY.YY]</w:t>
            </w:r>
          </w:p>
          <w:p w14:paraId="0645B8AD" w14:textId="77777777" w:rsidR="00F001BC" w:rsidRPr="0032658A" w:rsidRDefault="00F001BC" w:rsidP="005840B3">
            <w:pPr>
              <w:spacing w:after="60"/>
              <w:rPr>
                <w:noProof/>
              </w:rPr>
            </w:pPr>
          </w:p>
        </w:tc>
        <w:tc>
          <w:tcPr>
            <w:tcW w:w="1080" w:type="dxa"/>
            <w:vAlign w:val="center"/>
          </w:tcPr>
          <w:p w14:paraId="3BCA7327" w14:textId="77777777" w:rsidR="00F001BC" w:rsidRPr="0032658A" w:rsidRDefault="00F001BC" w:rsidP="005840B3">
            <w:pPr>
              <w:jc w:val="center"/>
              <w:rPr>
                <w:noProof/>
                <w:color w:val="0000FF"/>
              </w:rPr>
            </w:pPr>
          </w:p>
        </w:tc>
        <w:tc>
          <w:tcPr>
            <w:tcW w:w="956" w:type="dxa"/>
            <w:vAlign w:val="center"/>
          </w:tcPr>
          <w:p w14:paraId="60B082BF" w14:textId="77777777" w:rsidR="00F001BC" w:rsidRPr="0032658A" w:rsidRDefault="00F001BC" w:rsidP="005840B3">
            <w:pPr>
              <w:jc w:val="center"/>
              <w:rPr>
                <w:noProof/>
                <w:sz w:val="20"/>
              </w:rPr>
            </w:pPr>
            <w:r w:rsidRPr="0032658A">
              <w:rPr>
                <w:noProof/>
                <w:sz w:val="20"/>
              </w:rPr>
              <w:t>TAIP / NE</w:t>
            </w:r>
          </w:p>
        </w:tc>
        <w:tc>
          <w:tcPr>
            <w:tcW w:w="1080" w:type="dxa"/>
            <w:vAlign w:val="center"/>
          </w:tcPr>
          <w:p w14:paraId="6E94C295" w14:textId="77777777" w:rsidR="00F001BC" w:rsidRPr="0032658A" w:rsidRDefault="00F001BC" w:rsidP="005840B3">
            <w:pPr>
              <w:jc w:val="center"/>
              <w:rPr>
                <w:noProof/>
                <w:color w:val="0000FF"/>
                <w:sz w:val="20"/>
              </w:rPr>
            </w:pPr>
            <w:r w:rsidRPr="0032658A">
              <w:rPr>
                <w:noProof/>
                <w:sz w:val="20"/>
              </w:rPr>
              <w:t>TAIP / NE</w:t>
            </w:r>
          </w:p>
        </w:tc>
        <w:tc>
          <w:tcPr>
            <w:tcW w:w="956" w:type="dxa"/>
            <w:vAlign w:val="center"/>
          </w:tcPr>
          <w:p w14:paraId="5BF9CF3B" w14:textId="77777777" w:rsidR="00F001BC" w:rsidRPr="0032658A" w:rsidRDefault="00F001BC" w:rsidP="005840B3">
            <w:pPr>
              <w:jc w:val="center"/>
              <w:rPr>
                <w:noProof/>
                <w:color w:val="0000FF"/>
                <w:sz w:val="20"/>
              </w:rPr>
            </w:pPr>
            <w:r w:rsidRPr="0032658A">
              <w:rPr>
                <w:noProof/>
                <w:sz w:val="20"/>
              </w:rPr>
              <w:t>TAIP / NE</w:t>
            </w:r>
          </w:p>
        </w:tc>
        <w:tc>
          <w:tcPr>
            <w:tcW w:w="1564" w:type="dxa"/>
            <w:vAlign w:val="center"/>
          </w:tcPr>
          <w:p w14:paraId="198FE314" w14:textId="77777777" w:rsidR="00F001BC" w:rsidRPr="0032658A" w:rsidRDefault="00F001BC" w:rsidP="005840B3">
            <w:pPr>
              <w:jc w:val="center"/>
              <w:rPr>
                <w:noProof/>
                <w:sz w:val="20"/>
              </w:rPr>
            </w:pPr>
            <w:r w:rsidRPr="0032658A">
              <w:rPr>
                <w:noProof/>
                <w:sz w:val="20"/>
              </w:rPr>
              <w:t>TAIP / NE</w:t>
            </w:r>
          </w:p>
        </w:tc>
      </w:tr>
    </w:tbl>
    <w:p w14:paraId="6D29D795" w14:textId="77777777" w:rsidR="00F001BC" w:rsidRPr="0032658A" w:rsidRDefault="00F001BC" w:rsidP="00F001BC">
      <w:pPr>
        <w:rPr>
          <w:noProof/>
        </w:rPr>
        <w:sectPr w:rsidR="00F001BC" w:rsidRPr="0032658A" w:rsidSect="00767E81">
          <w:pgSz w:w="12240" w:h="15840"/>
          <w:pgMar w:top="794" w:right="907" w:bottom="851" w:left="1361" w:header="510" w:footer="454" w:gutter="0"/>
          <w:cols w:space="720"/>
          <w:docGrid w:linePitch="326"/>
        </w:sectPr>
      </w:pPr>
    </w:p>
    <w:p w14:paraId="79405DB8" w14:textId="77777777" w:rsidR="00F001BC" w:rsidRPr="0032658A" w:rsidRDefault="00F001BC" w:rsidP="00F001BC">
      <w:pPr>
        <w:pStyle w:val="ManualHeading2"/>
        <w:rPr>
          <w:noProof/>
        </w:rPr>
      </w:pPr>
      <w:bookmarkStart w:id="53" w:name="_Toc514938685"/>
      <w:bookmarkStart w:id="54" w:name="_Toc520485444"/>
      <w:r w:rsidRPr="0032658A">
        <w:rPr>
          <w:noProof/>
        </w:rPr>
        <w:t>3.2.</w:t>
      </w:r>
      <w:r w:rsidRPr="0032658A">
        <w:rPr>
          <w:noProof/>
        </w:rPr>
        <w:tab/>
        <w:t>Numatomas poveikis išlaidoms</w:t>
      </w:r>
      <w:bookmarkEnd w:id="53"/>
      <w:bookmarkEnd w:id="54"/>
      <w:r w:rsidRPr="0032658A">
        <w:rPr>
          <w:noProof/>
        </w:rPr>
        <w:t xml:space="preserve"> </w:t>
      </w:r>
    </w:p>
    <w:p w14:paraId="35585FF1" w14:textId="77777777" w:rsidR="00F001BC" w:rsidRPr="0032658A" w:rsidRDefault="00F001BC" w:rsidP="00F001BC">
      <w:pPr>
        <w:pStyle w:val="ManualHeading3"/>
        <w:rPr>
          <w:noProof/>
        </w:rPr>
      </w:pPr>
      <w:bookmarkStart w:id="55" w:name="_Toc514938686"/>
      <w:bookmarkStart w:id="56" w:name="_Toc520485445"/>
      <w:r w:rsidRPr="0032658A">
        <w:rPr>
          <w:noProof/>
        </w:rPr>
        <w:t>3.2.1.</w:t>
      </w:r>
      <w:r w:rsidRPr="0032658A">
        <w:rPr>
          <w:noProof/>
        </w:rPr>
        <w:tab/>
        <w:t>Numatomo poveikio išlaidoms santrauka</w:t>
      </w:r>
      <w:bookmarkEnd w:id="55"/>
      <w:bookmarkEnd w:id="56"/>
      <w:r w:rsidRPr="0032658A">
        <w:rPr>
          <w:noProof/>
        </w:rPr>
        <w:t xml:space="preserve"> </w:t>
      </w:r>
    </w:p>
    <w:p w14:paraId="1A658362" w14:textId="77777777" w:rsidR="00F001BC" w:rsidRPr="0032658A" w:rsidRDefault="00F001BC" w:rsidP="00F001BC">
      <w:pPr>
        <w:jc w:val="right"/>
        <w:rPr>
          <w:noProof/>
          <w:sz w:val="20"/>
        </w:rPr>
      </w:pPr>
      <w:r w:rsidRPr="0032658A">
        <w:rPr>
          <w:noProof/>
          <w:sz w:val="20"/>
        </w:rPr>
        <w:t>mln. EUR (tūkstantųjų tikslumu)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001BC" w:rsidRPr="0032658A" w14:paraId="7B506A9D" w14:textId="77777777" w:rsidTr="005840B3">
        <w:trPr>
          <w:jc w:val="center"/>
        </w:trPr>
        <w:tc>
          <w:tcPr>
            <w:tcW w:w="4744" w:type="dxa"/>
            <w:shd w:val="thinDiagStripe" w:color="C0C0C0" w:fill="auto"/>
            <w:vAlign w:val="center"/>
          </w:tcPr>
          <w:p w14:paraId="436E107B" w14:textId="77777777" w:rsidR="00F001BC" w:rsidRPr="0032658A" w:rsidRDefault="00F001BC" w:rsidP="005840B3">
            <w:pPr>
              <w:spacing w:before="60" w:after="60"/>
              <w:jc w:val="center"/>
              <w:rPr>
                <w:b/>
                <w:noProof/>
              </w:rPr>
            </w:pPr>
            <w:r w:rsidRPr="0032658A">
              <w:rPr>
                <w:b/>
                <w:noProof/>
                <w:sz w:val="22"/>
              </w:rPr>
              <w:t>Daugiametės finansinės programos išlaidų</w:t>
            </w:r>
            <w:r w:rsidRPr="0032658A">
              <w:rPr>
                <w:noProof/>
              </w:rPr>
              <w:t xml:space="preserve"> </w:t>
            </w:r>
            <w:r w:rsidRPr="0032658A">
              <w:rPr>
                <w:noProof/>
              </w:rPr>
              <w:br/>
            </w:r>
            <w:r w:rsidRPr="0032658A">
              <w:rPr>
                <w:b/>
                <w:noProof/>
                <w:sz w:val="22"/>
              </w:rPr>
              <w:t xml:space="preserve">kategorija </w:t>
            </w:r>
          </w:p>
        </w:tc>
        <w:tc>
          <w:tcPr>
            <w:tcW w:w="1080" w:type="dxa"/>
            <w:vAlign w:val="center"/>
          </w:tcPr>
          <w:p w14:paraId="707B1C44" w14:textId="77777777" w:rsidR="00F001BC" w:rsidRPr="0032658A" w:rsidRDefault="00F001BC" w:rsidP="005840B3">
            <w:pPr>
              <w:spacing w:before="60" w:after="60"/>
              <w:jc w:val="center"/>
              <w:rPr>
                <w:noProof/>
              </w:rPr>
            </w:pPr>
            <w:r w:rsidRPr="0032658A">
              <w:rPr>
                <w:noProof/>
                <w:sz w:val="22"/>
              </w:rPr>
              <w:t>1</w:t>
            </w:r>
          </w:p>
        </w:tc>
        <w:tc>
          <w:tcPr>
            <w:tcW w:w="7817" w:type="dxa"/>
            <w:vAlign w:val="center"/>
          </w:tcPr>
          <w:p w14:paraId="3DF857E3" w14:textId="77777777" w:rsidR="00F001BC" w:rsidRPr="0032658A" w:rsidRDefault="00F001BC" w:rsidP="005840B3">
            <w:pPr>
              <w:spacing w:before="60" w:after="60"/>
              <w:rPr>
                <w:noProof/>
              </w:rPr>
            </w:pPr>
            <w:r w:rsidRPr="0032658A">
              <w:rPr>
                <w:noProof/>
              </w:rPr>
              <w:t>Bendroji rinka, inovacijos ir skaitmeninė ekonomika</w:t>
            </w:r>
          </w:p>
        </w:tc>
      </w:tr>
    </w:tbl>
    <w:p w14:paraId="5717105B" w14:textId="77777777" w:rsidR="00F001BC" w:rsidRPr="0032658A" w:rsidRDefault="00F001BC" w:rsidP="00F001BC">
      <w:pPr>
        <w:rPr>
          <w:noProof/>
          <w:sz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1503"/>
        <w:gridCol w:w="591"/>
        <w:gridCol w:w="868"/>
        <w:gridCol w:w="868"/>
        <w:gridCol w:w="868"/>
        <w:gridCol w:w="1200"/>
        <w:gridCol w:w="1445"/>
      </w:tblGrid>
      <w:tr w:rsidR="00F001BC" w:rsidRPr="0032658A" w14:paraId="4CD00C6C" w14:textId="77777777" w:rsidTr="005840B3">
        <w:tc>
          <w:tcPr>
            <w:tcW w:w="3742" w:type="dxa"/>
            <w:vAlign w:val="center"/>
          </w:tcPr>
          <w:p w14:paraId="2ADB4EB3" w14:textId="77777777" w:rsidR="00F001BC" w:rsidRPr="0032658A" w:rsidRDefault="00F001BC" w:rsidP="005840B3">
            <w:pPr>
              <w:jc w:val="center"/>
              <w:rPr>
                <w:noProof/>
              </w:rPr>
            </w:pPr>
            <w:r w:rsidRPr="0032658A">
              <w:rPr>
                <w:noProof/>
                <w:sz w:val="22"/>
              </w:rPr>
              <w:t>Europos jūrų saugumo agentūra (EMSA)</w:t>
            </w:r>
          </w:p>
        </w:tc>
        <w:tc>
          <w:tcPr>
            <w:tcW w:w="1503" w:type="dxa"/>
          </w:tcPr>
          <w:p w14:paraId="3A66E220" w14:textId="77777777" w:rsidR="00F001BC" w:rsidRPr="0032658A" w:rsidRDefault="00F001BC" w:rsidP="005840B3">
            <w:pPr>
              <w:rPr>
                <w:noProof/>
                <w:sz w:val="20"/>
              </w:rPr>
            </w:pPr>
          </w:p>
        </w:tc>
        <w:tc>
          <w:tcPr>
            <w:tcW w:w="591" w:type="dxa"/>
          </w:tcPr>
          <w:p w14:paraId="17FDA8D7" w14:textId="77777777" w:rsidR="00F001BC" w:rsidRPr="0032658A" w:rsidRDefault="00F001BC" w:rsidP="005840B3">
            <w:pPr>
              <w:jc w:val="center"/>
              <w:rPr>
                <w:noProof/>
                <w:sz w:val="20"/>
              </w:rPr>
            </w:pPr>
          </w:p>
        </w:tc>
        <w:tc>
          <w:tcPr>
            <w:tcW w:w="868" w:type="dxa"/>
            <w:vAlign w:val="center"/>
          </w:tcPr>
          <w:p w14:paraId="7942F0F5" w14:textId="77777777" w:rsidR="00F001BC" w:rsidRPr="0032658A" w:rsidRDefault="00F001BC" w:rsidP="005840B3">
            <w:pPr>
              <w:jc w:val="center"/>
              <w:rPr>
                <w:noProof/>
                <w:sz w:val="20"/>
              </w:rPr>
            </w:pPr>
            <w:r w:rsidRPr="0032658A">
              <w:rPr>
                <w:b/>
                <w:bCs/>
                <w:noProof/>
                <w:sz w:val="20"/>
              </w:rPr>
              <w:t>2025</w:t>
            </w:r>
            <w:r w:rsidRPr="0032658A">
              <w:rPr>
                <w:noProof/>
              </w:rPr>
              <w:t xml:space="preserve"> </w:t>
            </w:r>
            <w:r w:rsidRPr="0032658A">
              <w:rPr>
                <w:noProof/>
              </w:rPr>
              <w:br/>
            </w:r>
            <w:r w:rsidRPr="0032658A">
              <w:rPr>
                <w:noProof/>
                <w:sz w:val="20"/>
              </w:rPr>
              <w:t>metai</w:t>
            </w:r>
          </w:p>
        </w:tc>
        <w:tc>
          <w:tcPr>
            <w:tcW w:w="868" w:type="dxa"/>
            <w:vAlign w:val="center"/>
          </w:tcPr>
          <w:p w14:paraId="1822D154" w14:textId="77777777" w:rsidR="00F001BC" w:rsidRPr="0032658A" w:rsidRDefault="00F001BC" w:rsidP="005840B3">
            <w:pPr>
              <w:jc w:val="center"/>
              <w:rPr>
                <w:noProof/>
                <w:sz w:val="20"/>
              </w:rPr>
            </w:pPr>
            <w:r w:rsidRPr="0032658A">
              <w:rPr>
                <w:b/>
                <w:bCs/>
                <w:noProof/>
                <w:sz w:val="20"/>
              </w:rPr>
              <w:t>2026</w:t>
            </w:r>
            <w:r w:rsidRPr="0032658A">
              <w:rPr>
                <w:noProof/>
              </w:rPr>
              <w:t xml:space="preserve"> </w:t>
            </w:r>
            <w:r w:rsidRPr="0032658A">
              <w:rPr>
                <w:noProof/>
              </w:rPr>
              <w:br/>
            </w:r>
            <w:r w:rsidRPr="0032658A">
              <w:rPr>
                <w:noProof/>
                <w:sz w:val="20"/>
              </w:rPr>
              <w:t>metai</w:t>
            </w:r>
          </w:p>
        </w:tc>
        <w:tc>
          <w:tcPr>
            <w:tcW w:w="868" w:type="dxa"/>
            <w:vAlign w:val="center"/>
          </w:tcPr>
          <w:p w14:paraId="0AC553C4" w14:textId="77777777" w:rsidR="00F001BC" w:rsidRPr="0032658A" w:rsidRDefault="00F001BC" w:rsidP="005840B3">
            <w:pPr>
              <w:jc w:val="center"/>
              <w:rPr>
                <w:noProof/>
                <w:sz w:val="20"/>
              </w:rPr>
            </w:pPr>
            <w:r w:rsidRPr="0032658A">
              <w:rPr>
                <w:b/>
                <w:bCs/>
                <w:noProof/>
                <w:sz w:val="20"/>
              </w:rPr>
              <w:t>2027</w:t>
            </w:r>
            <w:r w:rsidRPr="0032658A">
              <w:rPr>
                <w:noProof/>
              </w:rPr>
              <w:t xml:space="preserve"> </w:t>
            </w:r>
            <w:r w:rsidRPr="0032658A">
              <w:rPr>
                <w:noProof/>
              </w:rPr>
              <w:br/>
            </w:r>
            <w:r w:rsidRPr="0032658A">
              <w:rPr>
                <w:noProof/>
                <w:sz w:val="20"/>
              </w:rPr>
              <w:t>metai</w:t>
            </w:r>
          </w:p>
        </w:tc>
        <w:tc>
          <w:tcPr>
            <w:tcW w:w="1200" w:type="dxa"/>
            <w:vAlign w:val="center"/>
          </w:tcPr>
          <w:p w14:paraId="4F2B4E49" w14:textId="77777777" w:rsidR="00F001BC" w:rsidRPr="0032658A" w:rsidRDefault="00F001BC" w:rsidP="005840B3">
            <w:pPr>
              <w:jc w:val="center"/>
              <w:rPr>
                <w:noProof/>
                <w:sz w:val="20"/>
              </w:rPr>
            </w:pPr>
            <w:r w:rsidRPr="0032658A">
              <w:rPr>
                <w:b/>
                <w:bCs/>
                <w:noProof/>
                <w:sz w:val="20"/>
              </w:rPr>
              <w:t>2028–2034</w:t>
            </w:r>
            <w:r w:rsidRPr="0032658A">
              <w:rPr>
                <w:noProof/>
              </w:rPr>
              <w:t xml:space="preserve"> </w:t>
            </w:r>
            <w:r w:rsidRPr="0032658A">
              <w:rPr>
                <w:noProof/>
              </w:rPr>
              <w:br/>
            </w:r>
            <w:r w:rsidRPr="0032658A">
              <w:rPr>
                <w:noProof/>
                <w:sz w:val="20"/>
              </w:rPr>
              <w:t>metai</w:t>
            </w:r>
          </w:p>
        </w:tc>
        <w:tc>
          <w:tcPr>
            <w:tcW w:w="1445" w:type="dxa"/>
            <w:vAlign w:val="center"/>
          </w:tcPr>
          <w:p w14:paraId="4B671651" w14:textId="77777777" w:rsidR="00F001BC" w:rsidRPr="0032658A" w:rsidRDefault="00F001BC" w:rsidP="005840B3">
            <w:pPr>
              <w:jc w:val="center"/>
              <w:rPr>
                <w:b/>
                <w:noProof/>
                <w:sz w:val="20"/>
              </w:rPr>
            </w:pPr>
            <w:r w:rsidRPr="0032658A">
              <w:rPr>
                <w:b/>
                <w:noProof/>
                <w:sz w:val="20"/>
              </w:rPr>
              <w:t>IŠ VISO</w:t>
            </w:r>
          </w:p>
        </w:tc>
      </w:tr>
      <w:tr w:rsidR="00F001BC" w:rsidRPr="0032658A" w14:paraId="23692D9F" w14:textId="77777777" w:rsidTr="005840B3">
        <w:trPr>
          <w:trHeight w:val="277"/>
        </w:trPr>
        <w:tc>
          <w:tcPr>
            <w:tcW w:w="3742" w:type="dxa"/>
            <w:vMerge w:val="restart"/>
            <w:vAlign w:val="center"/>
          </w:tcPr>
          <w:p w14:paraId="647973C2" w14:textId="77777777" w:rsidR="00F001BC" w:rsidRPr="0032658A" w:rsidRDefault="00F001BC" w:rsidP="005840B3">
            <w:pPr>
              <w:rPr>
                <w:noProof/>
              </w:rPr>
            </w:pPr>
            <w:r w:rsidRPr="0032658A">
              <w:rPr>
                <w:noProof/>
                <w:sz w:val="20"/>
              </w:rPr>
              <w:t>1 antraštinė dalis:</w:t>
            </w:r>
          </w:p>
        </w:tc>
        <w:tc>
          <w:tcPr>
            <w:tcW w:w="1503" w:type="dxa"/>
            <w:vAlign w:val="center"/>
          </w:tcPr>
          <w:p w14:paraId="225AC23A" w14:textId="77777777" w:rsidR="00F001BC" w:rsidRPr="0032658A" w:rsidRDefault="00F001BC" w:rsidP="005840B3">
            <w:pPr>
              <w:spacing w:before="20" w:after="20"/>
              <w:rPr>
                <w:noProof/>
              </w:rPr>
            </w:pPr>
            <w:r w:rsidRPr="0032658A">
              <w:rPr>
                <w:noProof/>
                <w:sz w:val="18"/>
              </w:rPr>
              <w:t>Įsipareigojimai</w:t>
            </w:r>
          </w:p>
        </w:tc>
        <w:tc>
          <w:tcPr>
            <w:tcW w:w="591" w:type="dxa"/>
            <w:vAlign w:val="center"/>
          </w:tcPr>
          <w:p w14:paraId="0EDA025D" w14:textId="77777777" w:rsidR="00F001BC" w:rsidRPr="0032658A" w:rsidRDefault="00F001BC" w:rsidP="005840B3">
            <w:pPr>
              <w:spacing w:before="20" w:after="20"/>
              <w:jc w:val="center"/>
              <w:rPr>
                <w:noProof/>
                <w:sz w:val="14"/>
              </w:rPr>
            </w:pPr>
            <w:r w:rsidRPr="0032658A">
              <w:rPr>
                <w:noProof/>
                <w:sz w:val="14"/>
              </w:rPr>
              <w:t>1</w:t>
            </w:r>
          </w:p>
        </w:tc>
        <w:tc>
          <w:tcPr>
            <w:tcW w:w="868" w:type="dxa"/>
            <w:vAlign w:val="center"/>
          </w:tcPr>
          <w:p w14:paraId="5C9974B6" w14:textId="77777777" w:rsidR="00F001BC" w:rsidRPr="0032658A" w:rsidRDefault="00F001BC" w:rsidP="0019719B">
            <w:pPr>
              <w:spacing w:before="20" w:after="20"/>
              <w:jc w:val="right"/>
              <w:rPr>
                <w:noProof/>
                <w:sz w:val="20"/>
              </w:rPr>
            </w:pPr>
            <w:r w:rsidRPr="0032658A">
              <w:rPr>
                <w:noProof/>
                <w:sz w:val="20"/>
              </w:rPr>
              <w:t>0,171</w:t>
            </w:r>
          </w:p>
        </w:tc>
        <w:tc>
          <w:tcPr>
            <w:tcW w:w="868" w:type="dxa"/>
            <w:vAlign w:val="center"/>
          </w:tcPr>
          <w:p w14:paraId="061F5C89" w14:textId="77777777" w:rsidR="00F001BC" w:rsidRPr="0032658A" w:rsidRDefault="00F001BC" w:rsidP="005840B3">
            <w:pPr>
              <w:spacing w:before="20" w:after="20"/>
              <w:jc w:val="right"/>
              <w:rPr>
                <w:noProof/>
                <w:sz w:val="20"/>
              </w:rPr>
            </w:pPr>
            <w:r w:rsidRPr="0032658A">
              <w:rPr>
                <w:noProof/>
                <w:sz w:val="20"/>
              </w:rPr>
              <w:t>0,342</w:t>
            </w:r>
          </w:p>
        </w:tc>
        <w:tc>
          <w:tcPr>
            <w:tcW w:w="868" w:type="dxa"/>
            <w:vAlign w:val="center"/>
          </w:tcPr>
          <w:p w14:paraId="7C2DB541" w14:textId="77777777" w:rsidR="00F001BC" w:rsidRPr="0032658A" w:rsidRDefault="00F001BC" w:rsidP="005840B3">
            <w:pPr>
              <w:spacing w:before="20" w:after="20"/>
              <w:jc w:val="right"/>
              <w:rPr>
                <w:noProof/>
                <w:sz w:val="20"/>
              </w:rPr>
            </w:pPr>
            <w:r w:rsidRPr="0032658A">
              <w:rPr>
                <w:noProof/>
                <w:sz w:val="20"/>
              </w:rPr>
              <w:t>0,342</w:t>
            </w:r>
          </w:p>
        </w:tc>
        <w:tc>
          <w:tcPr>
            <w:tcW w:w="1200" w:type="dxa"/>
            <w:vAlign w:val="center"/>
          </w:tcPr>
          <w:p w14:paraId="008F7561" w14:textId="77777777" w:rsidR="00F001BC" w:rsidRPr="0032658A" w:rsidRDefault="00F001BC" w:rsidP="005840B3">
            <w:pPr>
              <w:spacing w:before="20" w:after="20"/>
              <w:jc w:val="right"/>
              <w:rPr>
                <w:noProof/>
                <w:sz w:val="20"/>
              </w:rPr>
            </w:pPr>
            <w:r w:rsidRPr="0032658A">
              <w:rPr>
                <w:noProof/>
                <w:sz w:val="20"/>
              </w:rPr>
              <w:t>2,394</w:t>
            </w:r>
          </w:p>
        </w:tc>
        <w:tc>
          <w:tcPr>
            <w:tcW w:w="1445" w:type="dxa"/>
            <w:vAlign w:val="center"/>
          </w:tcPr>
          <w:p w14:paraId="1A96B9F8" w14:textId="77777777" w:rsidR="00F001BC" w:rsidRPr="0032658A" w:rsidRDefault="00F001BC" w:rsidP="0019719B">
            <w:pPr>
              <w:spacing w:before="20" w:after="20"/>
              <w:jc w:val="right"/>
              <w:rPr>
                <w:b/>
                <w:noProof/>
                <w:sz w:val="20"/>
              </w:rPr>
            </w:pPr>
            <w:r w:rsidRPr="0032658A">
              <w:rPr>
                <w:b/>
                <w:noProof/>
                <w:sz w:val="20"/>
              </w:rPr>
              <w:t>3,249</w:t>
            </w:r>
          </w:p>
        </w:tc>
      </w:tr>
      <w:tr w:rsidR="00F001BC" w:rsidRPr="0032658A" w14:paraId="30799BEA" w14:textId="77777777" w:rsidTr="005840B3">
        <w:tc>
          <w:tcPr>
            <w:tcW w:w="3742" w:type="dxa"/>
            <w:vMerge/>
            <w:vAlign w:val="center"/>
          </w:tcPr>
          <w:p w14:paraId="1507F987" w14:textId="77777777" w:rsidR="00F001BC" w:rsidRPr="0032658A" w:rsidRDefault="00F001BC" w:rsidP="005840B3">
            <w:pPr>
              <w:rPr>
                <w:noProof/>
              </w:rPr>
            </w:pPr>
          </w:p>
        </w:tc>
        <w:tc>
          <w:tcPr>
            <w:tcW w:w="1503" w:type="dxa"/>
            <w:vAlign w:val="center"/>
          </w:tcPr>
          <w:p w14:paraId="6DFC7A2F" w14:textId="77777777" w:rsidR="00F001BC" w:rsidRPr="0032658A" w:rsidRDefault="00F001BC" w:rsidP="005840B3">
            <w:pPr>
              <w:spacing w:before="20" w:after="20"/>
              <w:rPr>
                <w:noProof/>
                <w:sz w:val="18"/>
              </w:rPr>
            </w:pPr>
            <w:r w:rsidRPr="0032658A">
              <w:rPr>
                <w:noProof/>
                <w:sz w:val="18"/>
              </w:rPr>
              <w:t>Mokėjimai</w:t>
            </w:r>
          </w:p>
        </w:tc>
        <w:tc>
          <w:tcPr>
            <w:tcW w:w="591" w:type="dxa"/>
            <w:vAlign w:val="center"/>
          </w:tcPr>
          <w:p w14:paraId="09E83FDF" w14:textId="77777777" w:rsidR="00F001BC" w:rsidRPr="0032658A" w:rsidRDefault="00F001BC" w:rsidP="005840B3">
            <w:pPr>
              <w:spacing w:before="20" w:after="20"/>
              <w:jc w:val="center"/>
              <w:rPr>
                <w:noProof/>
                <w:sz w:val="14"/>
              </w:rPr>
            </w:pPr>
            <w:r w:rsidRPr="0032658A">
              <w:rPr>
                <w:noProof/>
                <w:sz w:val="14"/>
              </w:rPr>
              <w:t>2</w:t>
            </w:r>
          </w:p>
        </w:tc>
        <w:tc>
          <w:tcPr>
            <w:tcW w:w="868" w:type="dxa"/>
            <w:vAlign w:val="center"/>
          </w:tcPr>
          <w:p w14:paraId="2DE70157" w14:textId="77777777" w:rsidR="00F001BC" w:rsidRPr="0032658A" w:rsidRDefault="00F001BC" w:rsidP="0019719B">
            <w:pPr>
              <w:spacing w:before="20" w:after="20"/>
              <w:jc w:val="right"/>
              <w:rPr>
                <w:noProof/>
                <w:sz w:val="20"/>
              </w:rPr>
            </w:pPr>
            <w:r w:rsidRPr="0032658A">
              <w:rPr>
                <w:noProof/>
                <w:sz w:val="20"/>
              </w:rPr>
              <w:t>0,171</w:t>
            </w:r>
          </w:p>
        </w:tc>
        <w:tc>
          <w:tcPr>
            <w:tcW w:w="868" w:type="dxa"/>
            <w:vAlign w:val="center"/>
          </w:tcPr>
          <w:p w14:paraId="122B2A58" w14:textId="77777777" w:rsidR="00F001BC" w:rsidRPr="0032658A" w:rsidRDefault="00F001BC" w:rsidP="005840B3">
            <w:pPr>
              <w:spacing w:before="20" w:after="20"/>
              <w:jc w:val="right"/>
              <w:rPr>
                <w:noProof/>
                <w:sz w:val="20"/>
              </w:rPr>
            </w:pPr>
            <w:r w:rsidRPr="0032658A">
              <w:rPr>
                <w:noProof/>
                <w:sz w:val="20"/>
              </w:rPr>
              <w:t>0,342</w:t>
            </w:r>
          </w:p>
        </w:tc>
        <w:tc>
          <w:tcPr>
            <w:tcW w:w="868" w:type="dxa"/>
            <w:vAlign w:val="center"/>
          </w:tcPr>
          <w:p w14:paraId="1D042D3D" w14:textId="77777777" w:rsidR="00F001BC" w:rsidRPr="0032658A" w:rsidRDefault="00F001BC" w:rsidP="005840B3">
            <w:pPr>
              <w:spacing w:before="20" w:after="20"/>
              <w:jc w:val="right"/>
              <w:rPr>
                <w:noProof/>
                <w:sz w:val="20"/>
              </w:rPr>
            </w:pPr>
            <w:r w:rsidRPr="0032658A">
              <w:rPr>
                <w:noProof/>
                <w:sz w:val="20"/>
              </w:rPr>
              <w:t>0,342</w:t>
            </w:r>
          </w:p>
        </w:tc>
        <w:tc>
          <w:tcPr>
            <w:tcW w:w="1200" w:type="dxa"/>
            <w:vAlign w:val="center"/>
          </w:tcPr>
          <w:p w14:paraId="44484AA3" w14:textId="77777777" w:rsidR="00F001BC" w:rsidRPr="0032658A" w:rsidRDefault="00F001BC" w:rsidP="005840B3">
            <w:pPr>
              <w:spacing w:before="20" w:after="20"/>
              <w:jc w:val="right"/>
              <w:rPr>
                <w:noProof/>
                <w:sz w:val="20"/>
              </w:rPr>
            </w:pPr>
            <w:r w:rsidRPr="0032658A">
              <w:rPr>
                <w:noProof/>
                <w:sz w:val="20"/>
              </w:rPr>
              <w:t>2,394</w:t>
            </w:r>
          </w:p>
        </w:tc>
        <w:tc>
          <w:tcPr>
            <w:tcW w:w="1445" w:type="dxa"/>
            <w:vAlign w:val="center"/>
          </w:tcPr>
          <w:p w14:paraId="24642203" w14:textId="77777777" w:rsidR="00F001BC" w:rsidRPr="0032658A" w:rsidRDefault="00F001BC" w:rsidP="0019719B">
            <w:pPr>
              <w:spacing w:before="20" w:after="20"/>
              <w:jc w:val="right"/>
              <w:rPr>
                <w:b/>
                <w:noProof/>
                <w:sz w:val="20"/>
              </w:rPr>
            </w:pPr>
            <w:r w:rsidRPr="0032658A">
              <w:rPr>
                <w:b/>
                <w:noProof/>
                <w:sz w:val="20"/>
              </w:rPr>
              <w:t>3,249</w:t>
            </w:r>
          </w:p>
        </w:tc>
      </w:tr>
      <w:tr w:rsidR="00F001BC" w:rsidRPr="0032658A" w14:paraId="5D77CCF2" w14:textId="77777777" w:rsidTr="005840B3">
        <w:tc>
          <w:tcPr>
            <w:tcW w:w="3742" w:type="dxa"/>
            <w:vMerge w:val="restart"/>
            <w:vAlign w:val="center"/>
          </w:tcPr>
          <w:p w14:paraId="445F3D25" w14:textId="77777777" w:rsidR="00F001BC" w:rsidRPr="0032658A" w:rsidRDefault="00F001BC" w:rsidP="005840B3">
            <w:pPr>
              <w:rPr>
                <w:noProof/>
              </w:rPr>
            </w:pPr>
            <w:r w:rsidRPr="0032658A">
              <w:rPr>
                <w:noProof/>
                <w:sz w:val="20"/>
              </w:rPr>
              <w:t>2 antraštinė dalis:</w:t>
            </w:r>
          </w:p>
        </w:tc>
        <w:tc>
          <w:tcPr>
            <w:tcW w:w="1503" w:type="dxa"/>
            <w:vAlign w:val="center"/>
          </w:tcPr>
          <w:p w14:paraId="14B985D1" w14:textId="77777777" w:rsidR="00F001BC" w:rsidRPr="0032658A" w:rsidRDefault="00F001BC" w:rsidP="005840B3">
            <w:pPr>
              <w:spacing w:before="20" w:after="20"/>
              <w:rPr>
                <w:noProof/>
                <w:sz w:val="18"/>
              </w:rPr>
            </w:pPr>
            <w:r w:rsidRPr="0032658A">
              <w:rPr>
                <w:noProof/>
                <w:sz w:val="18"/>
              </w:rPr>
              <w:t>Įsipareigojimai</w:t>
            </w:r>
          </w:p>
        </w:tc>
        <w:tc>
          <w:tcPr>
            <w:tcW w:w="591" w:type="dxa"/>
            <w:vAlign w:val="center"/>
          </w:tcPr>
          <w:p w14:paraId="2C4F6072" w14:textId="77777777" w:rsidR="00F001BC" w:rsidRPr="0032658A" w:rsidRDefault="00F001BC" w:rsidP="005840B3">
            <w:pPr>
              <w:spacing w:before="20" w:after="20"/>
              <w:jc w:val="center"/>
              <w:rPr>
                <w:noProof/>
                <w:sz w:val="14"/>
              </w:rPr>
            </w:pPr>
            <w:r w:rsidRPr="0032658A">
              <w:rPr>
                <w:noProof/>
                <w:sz w:val="14"/>
              </w:rPr>
              <w:t>1a</w:t>
            </w:r>
          </w:p>
        </w:tc>
        <w:tc>
          <w:tcPr>
            <w:tcW w:w="868" w:type="dxa"/>
            <w:vAlign w:val="center"/>
          </w:tcPr>
          <w:p w14:paraId="7C33ADC2" w14:textId="77777777" w:rsidR="00F001BC" w:rsidRPr="0032658A" w:rsidRDefault="00F001BC" w:rsidP="005840B3">
            <w:pPr>
              <w:spacing w:before="20" w:after="20"/>
              <w:jc w:val="right"/>
              <w:rPr>
                <w:noProof/>
                <w:sz w:val="20"/>
              </w:rPr>
            </w:pPr>
          </w:p>
        </w:tc>
        <w:tc>
          <w:tcPr>
            <w:tcW w:w="868" w:type="dxa"/>
            <w:vAlign w:val="center"/>
          </w:tcPr>
          <w:p w14:paraId="659DDC18" w14:textId="77777777" w:rsidR="00F001BC" w:rsidRPr="0032658A" w:rsidRDefault="00F001BC" w:rsidP="005840B3">
            <w:pPr>
              <w:spacing w:before="20" w:after="20"/>
              <w:jc w:val="right"/>
              <w:rPr>
                <w:noProof/>
                <w:sz w:val="20"/>
              </w:rPr>
            </w:pPr>
          </w:p>
        </w:tc>
        <w:tc>
          <w:tcPr>
            <w:tcW w:w="868" w:type="dxa"/>
            <w:vAlign w:val="center"/>
          </w:tcPr>
          <w:p w14:paraId="74115EDB" w14:textId="77777777" w:rsidR="00F001BC" w:rsidRPr="0032658A" w:rsidRDefault="00F001BC" w:rsidP="005840B3">
            <w:pPr>
              <w:spacing w:before="20" w:after="20"/>
              <w:jc w:val="right"/>
              <w:rPr>
                <w:noProof/>
                <w:sz w:val="20"/>
              </w:rPr>
            </w:pPr>
          </w:p>
        </w:tc>
        <w:tc>
          <w:tcPr>
            <w:tcW w:w="1200" w:type="dxa"/>
            <w:vAlign w:val="center"/>
          </w:tcPr>
          <w:p w14:paraId="5970E51A" w14:textId="77777777" w:rsidR="00F001BC" w:rsidRPr="0032658A" w:rsidRDefault="00F001BC" w:rsidP="005840B3">
            <w:pPr>
              <w:spacing w:before="20" w:after="20"/>
              <w:jc w:val="right"/>
              <w:rPr>
                <w:noProof/>
                <w:sz w:val="20"/>
              </w:rPr>
            </w:pPr>
          </w:p>
        </w:tc>
        <w:tc>
          <w:tcPr>
            <w:tcW w:w="1445" w:type="dxa"/>
            <w:vAlign w:val="center"/>
          </w:tcPr>
          <w:p w14:paraId="5B1205DD" w14:textId="77777777" w:rsidR="00F001BC" w:rsidRPr="0032658A" w:rsidRDefault="00F001BC" w:rsidP="005840B3">
            <w:pPr>
              <w:spacing w:before="20" w:after="20"/>
              <w:jc w:val="right"/>
              <w:rPr>
                <w:b/>
                <w:noProof/>
                <w:sz w:val="20"/>
              </w:rPr>
            </w:pPr>
          </w:p>
        </w:tc>
      </w:tr>
      <w:tr w:rsidR="00F001BC" w:rsidRPr="0032658A" w14:paraId="3230458C" w14:textId="77777777" w:rsidTr="005840B3">
        <w:tc>
          <w:tcPr>
            <w:tcW w:w="3742" w:type="dxa"/>
            <w:vMerge/>
            <w:vAlign w:val="center"/>
          </w:tcPr>
          <w:p w14:paraId="57FE3BB3" w14:textId="77777777" w:rsidR="00F001BC" w:rsidRPr="0032658A" w:rsidRDefault="00F001BC" w:rsidP="005840B3">
            <w:pPr>
              <w:rPr>
                <w:noProof/>
              </w:rPr>
            </w:pPr>
          </w:p>
        </w:tc>
        <w:tc>
          <w:tcPr>
            <w:tcW w:w="1503" w:type="dxa"/>
            <w:vAlign w:val="center"/>
          </w:tcPr>
          <w:p w14:paraId="4F452F6C" w14:textId="77777777" w:rsidR="00F001BC" w:rsidRPr="0032658A" w:rsidRDefault="00F001BC" w:rsidP="005840B3">
            <w:pPr>
              <w:spacing w:before="20" w:after="20"/>
              <w:rPr>
                <w:noProof/>
                <w:sz w:val="18"/>
              </w:rPr>
            </w:pPr>
            <w:r w:rsidRPr="0032658A">
              <w:rPr>
                <w:noProof/>
                <w:sz w:val="18"/>
              </w:rPr>
              <w:t>Mokėjimai</w:t>
            </w:r>
          </w:p>
        </w:tc>
        <w:tc>
          <w:tcPr>
            <w:tcW w:w="591" w:type="dxa"/>
            <w:vAlign w:val="center"/>
          </w:tcPr>
          <w:p w14:paraId="2C392391" w14:textId="77777777" w:rsidR="00F001BC" w:rsidRPr="0032658A" w:rsidRDefault="00F001BC" w:rsidP="005840B3">
            <w:pPr>
              <w:spacing w:before="20" w:after="20"/>
              <w:jc w:val="center"/>
              <w:rPr>
                <w:noProof/>
                <w:sz w:val="14"/>
              </w:rPr>
            </w:pPr>
            <w:r w:rsidRPr="0032658A">
              <w:rPr>
                <w:noProof/>
                <w:sz w:val="14"/>
              </w:rPr>
              <w:t>2a</w:t>
            </w:r>
          </w:p>
        </w:tc>
        <w:tc>
          <w:tcPr>
            <w:tcW w:w="868" w:type="dxa"/>
            <w:vAlign w:val="center"/>
          </w:tcPr>
          <w:p w14:paraId="271649A5" w14:textId="77777777" w:rsidR="00F001BC" w:rsidRPr="0032658A" w:rsidRDefault="00F001BC" w:rsidP="005840B3">
            <w:pPr>
              <w:spacing w:before="20" w:after="20"/>
              <w:jc w:val="right"/>
              <w:rPr>
                <w:noProof/>
                <w:sz w:val="20"/>
              </w:rPr>
            </w:pPr>
          </w:p>
        </w:tc>
        <w:tc>
          <w:tcPr>
            <w:tcW w:w="868" w:type="dxa"/>
            <w:vAlign w:val="center"/>
          </w:tcPr>
          <w:p w14:paraId="1D13FBDC" w14:textId="77777777" w:rsidR="00F001BC" w:rsidRPr="0032658A" w:rsidRDefault="00F001BC" w:rsidP="005840B3">
            <w:pPr>
              <w:spacing w:before="20" w:after="20"/>
              <w:jc w:val="right"/>
              <w:rPr>
                <w:noProof/>
                <w:sz w:val="20"/>
              </w:rPr>
            </w:pPr>
          </w:p>
        </w:tc>
        <w:tc>
          <w:tcPr>
            <w:tcW w:w="868" w:type="dxa"/>
            <w:vAlign w:val="center"/>
          </w:tcPr>
          <w:p w14:paraId="22B1F440" w14:textId="77777777" w:rsidR="00F001BC" w:rsidRPr="0032658A" w:rsidRDefault="00F001BC" w:rsidP="005840B3">
            <w:pPr>
              <w:spacing w:before="20" w:after="20"/>
              <w:jc w:val="right"/>
              <w:rPr>
                <w:noProof/>
                <w:sz w:val="20"/>
              </w:rPr>
            </w:pPr>
          </w:p>
        </w:tc>
        <w:tc>
          <w:tcPr>
            <w:tcW w:w="1200" w:type="dxa"/>
            <w:vAlign w:val="center"/>
          </w:tcPr>
          <w:p w14:paraId="1FF4001D" w14:textId="77777777" w:rsidR="00F001BC" w:rsidRPr="0032658A" w:rsidRDefault="00F001BC" w:rsidP="005840B3">
            <w:pPr>
              <w:spacing w:before="20" w:after="20"/>
              <w:jc w:val="right"/>
              <w:rPr>
                <w:noProof/>
                <w:sz w:val="20"/>
              </w:rPr>
            </w:pPr>
          </w:p>
        </w:tc>
        <w:tc>
          <w:tcPr>
            <w:tcW w:w="1445" w:type="dxa"/>
            <w:vAlign w:val="center"/>
          </w:tcPr>
          <w:p w14:paraId="6EB5093C" w14:textId="77777777" w:rsidR="00F001BC" w:rsidRPr="0032658A" w:rsidRDefault="00F001BC" w:rsidP="005840B3">
            <w:pPr>
              <w:spacing w:before="20" w:after="20"/>
              <w:jc w:val="right"/>
              <w:rPr>
                <w:b/>
                <w:noProof/>
                <w:sz w:val="20"/>
              </w:rPr>
            </w:pPr>
          </w:p>
        </w:tc>
      </w:tr>
      <w:tr w:rsidR="00F001BC" w:rsidRPr="0032658A" w14:paraId="655A9D2C" w14:textId="77777777" w:rsidTr="005840B3">
        <w:trPr>
          <w:trHeight w:val="319"/>
        </w:trPr>
        <w:tc>
          <w:tcPr>
            <w:tcW w:w="3742" w:type="dxa"/>
            <w:vAlign w:val="center"/>
          </w:tcPr>
          <w:p w14:paraId="00E8E45B" w14:textId="77777777" w:rsidR="00F001BC" w:rsidRPr="0032658A" w:rsidRDefault="00F001BC" w:rsidP="005840B3">
            <w:pPr>
              <w:spacing w:before="60" w:after="60"/>
              <w:rPr>
                <w:noProof/>
              </w:rPr>
            </w:pPr>
            <w:r w:rsidRPr="0032658A">
              <w:rPr>
                <w:noProof/>
                <w:sz w:val="20"/>
              </w:rPr>
              <w:t>3 antraštinė dalis:</w:t>
            </w:r>
          </w:p>
        </w:tc>
        <w:tc>
          <w:tcPr>
            <w:tcW w:w="1503" w:type="dxa"/>
            <w:vAlign w:val="center"/>
          </w:tcPr>
          <w:p w14:paraId="018D1808" w14:textId="77777777" w:rsidR="00F001BC" w:rsidRPr="0032658A" w:rsidRDefault="00F001BC" w:rsidP="005840B3">
            <w:pPr>
              <w:spacing w:before="40" w:after="40"/>
              <w:rPr>
                <w:noProof/>
                <w:sz w:val="18"/>
              </w:rPr>
            </w:pPr>
            <w:r w:rsidRPr="0032658A">
              <w:rPr>
                <w:noProof/>
                <w:sz w:val="18"/>
              </w:rPr>
              <w:t>Įsipareigojimai</w:t>
            </w:r>
          </w:p>
        </w:tc>
        <w:tc>
          <w:tcPr>
            <w:tcW w:w="591" w:type="dxa"/>
            <w:vAlign w:val="center"/>
          </w:tcPr>
          <w:p w14:paraId="1CDF9B63" w14:textId="77777777" w:rsidR="00F001BC" w:rsidRPr="0032658A" w:rsidRDefault="00F001BC" w:rsidP="005840B3">
            <w:pPr>
              <w:spacing w:before="40" w:after="40"/>
              <w:jc w:val="center"/>
              <w:rPr>
                <w:noProof/>
                <w:sz w:val="14"/>
              </w:rPr>
            </w:pPr>
            <w:r w:rsidRPr="0032658A">
              <w:rPr>
                <w:noProof/>
                <w:sz w:val="14"/>
              </w:rPr>
              <w:t>3a</w:t>
            </w:r>
          </w:p>
        </w:tc>
        <w:tc>
          <w:tcPr>
            <w:tcW w:w="868" w:type="dxa"/>
          </w:tcPr>
          <w:p w14:paraId="4958F7F2" w14:textId="77777777" w:rsidR="00F001BC" w:rsidRPr="0032658A" w:rsidRDefault="00F001BC" w:rsidP="005840B3">
            <w:pPr>
              <w:spacing w:before="20" w:after="20"/>
              <w:jc w:val="right"/>
              <w:rPr>
                <w:noProof/>
                <w:sz w:val="20"/>
              </w:rPr>
            </w:pPr>
            <w:r w:rsidRPr="0032658A">
              <w:rPr>
                <w:noProof/>
                <w:sz w:val="20"/>
              </w:rPr>
              <w:t>0,068</w:t>
            </w:r>
          </w:p>
        </w:tc>
        <w:tc>
          <w:tcPr>
            <w:tcW w:w="868" w:type="dxa"/>
          </w:tcPr>
          <w:p w14:paraId="752CDB56" w14:textId="77777777" w:rsidR="00F001BC" w:rsidRPr="0032658A" w:rsidRDefault="00F001BC" w:rsidP="005840B3">
            <w:pPr>
              <w:spacing w:before="20" w:after="20"/>
              <w:jc w:val="right"/>
              <w:rPr>
                <w:noProof/>
                <w:sz w:val="20"/>
              </w:rPr>
            </w:pPr>
            <w:r w:rsidRPr="0032658A">
              <w:rPr>
                <w:noProof/>
                <w:sz w:val="20"/>
              </w:rPr>
              <w:t>0,479</w:t>
            </w:r>
          </w:p>
        </w:tc>
        <w:tc>
          <w:tcPr>
            <w:tcW w:w="868" w:type="dxa"/>
          </w:tcPr>
          <w:p w14:paraId="54E76149" w14:textId="77777777" w:rsidR="00F001BC" w:rsidRPr="0032658A" w:rsidRDefault="00F001BC" w:rsidP="005840B3">
            <w:pPr>
              <w:spacing w:before="20" w:after="20"/>
              <w:jc w:val="right"/>
              <w:rPr>
                <w:noProof/>
                <w:sz w:val="20"/>
              </w:rPr>
            </w:pPr>
            <w:r w:rsidRPr="0032658A">
              <w:rPr>
                <w:noProof/>
                <w:sz w:val="20"/>
              </w:rPr>
              <w:t>0,504</w:t>
            </w:r>
          </w:p>
        </w:tc>
        <w:tc>
          <w:tcPr>
            <w:tcW w:w="1200" w:type="dxa"/>
          </w:tcPr>
          <w:p w14:paraId="4B8C0EDA" w14:textId="77777777" w:rsidR="00F001BC" w:rsidRPr="0032658A" w:rsidRDefault="00F001BC" w:rsidP="005840B3">
            <w:pPr>
              <w:spacing w:before="20" w:after="20"/>
              <w:jc w:val="right"/>
              <w:rPr>
                <w:noProof/>
                <w:sz w:val="20"/>
              </w:rPr>
            </w:pPr>
            <w:r w:rsidRPr="0032658A">
              <w:rPr>
                <w:noProof/>
                <w:sz w:val="20"/>
              </w:rPr>
              <w:t>1,778</w:t>
            </w:r>
          </w:p>
        </w:tc>
        <w:tc>
          <w:tcPr>
            <w:tcW w:w="1445" w:type="dxa"/>
          </w:tcPr>
          <w:p w14:paraId="57229929" w14:textId="77777777" w:rsidR="00F001BC" w:rsidRPr="0032658A" w:rsidRDefault="00F001BC" w:rsidP="005840B3">
            <w:pPr>
              <w:spacing w:before="20" w:after="20"/>
              <w:jc w:val="right"/>
              <w:rPr>
                <w:b/>
                <w:noProof/>
                <w:sz w:val="20"/>
              </w:rPr>
            </w:pPr>
            <w:r w:rsidRPr="0032658A">
              <w:rPr>
                <w:b/>
                <w:noProof/>
                <w:sz w:val="20"/>
              </w:rPr>
              <w:t>2,829</w:t>
            </w:r>
          </w:p>
        </w:tc>
      </w:tr>
      <w:tr w:rsidR="00F001BC" w:rsidRPr="0032658A" w14:paraId="1A65AB15" w14:textId="77777777" w:rsidTr="005840B3">
        <w:trPr>
          <w:trHeight w:val="319"/>
        </w:trPr>
        <w:tc>
          <w:tcPr>
            <w:tcW w:w="3742" w:type="dxa"/>
            <w:vAlign w:val="center"/>
          </w:tcPr>
          <w:p w14:paraId="604C94AC" w14:textId="77777777" w:rsidR="00F001BC" w:rsidRPr="0032658A" w:rsidRDefault="00F001BC" w:rsidP="005840B3">
            <w:pPr>
              <w:spacing w:before="60" w:after="60"/>
              <w:rPr>
                <w:b/>
                <w:noProof/>
                <w:sz w:val="20"/>
              </w:rPr>
            </w:pPr>
          </w:p>
        </w:tc>
        <w:tc>
          <w:tcPr>
            <w:tcW w:w="1503" w:type="dxa"/>
            <w:vAlign w:val="center"/>
          </w:tcPr>
          <w:p w14:paraId="74F075B4" w14:textId="77777777" w:rsidR="00F001BC" w:rsidRPr="0032658A" w:rsidRDefault="00F001BC" w:rsidP="005840B3">
            <w:pPr>
              <w:spacing w:before="40" w:after="40"/>
              <w:rPr>
                <w:noProof/>
                <w:sz w:val="18"/>
              </w:rPr>
            </w:pPr>
            <w:r w:rsidRPr="0032658A">
              <w:rPr>
                <w:noProof/>
                <w:sz w:val="18"/>
              </w:rPr>
              <w:t>Mokėjimai</w:t>
            </w:r>
          </w:p>
        </w:tc>
        <w:tc>
          <w:tcPr>
            <w:tcW w:w="591" w:type="dxa"/>
            <w:vAlign w:val="center"/>
          </w:tcPr>
          <w:p w14:paraId="47E077D2" w14:textId="77777777" w:rsidR="00F001BC" w:rsidRPr="0032658A" w:rsidRDefault="00F001BC" w:rsidP="005840B3">
            <w:pPr>
              <w:spacing w:before="40" w:after="40"/>
              <w:jc w:val="center"/>
              <w:rPr>
                <w:noProof/>
                <w:sz w:val="14"/>
              </w:rPr>
            </w:pPr>
            <w:r w:rsidRPr="0032658A">
              <w:rPr>
                <w:noProof/>
                <w:sz w:val="14"/>
              </w:rPr>
              <w:t>3b</w:t>
            </w:r>
          </w:p>
        </w:tc>
        <w:tc>
          <w:tcPr>
            <w:tcW w:w="868" w:type="dxa"/>
          </w:tcPr>
          <w:p w14:paraId="09618FD4" w14:textId="77777777" w:rsidR="00F001BC" w:rsidRPr="0032658A" w:rsidRDefault="00F001BC" w:rsidP="005840B3">
            <w:pPr>
              <w:spacing w:before="40" w:after="40"/>
              <w:jc w:val="right"/>
              <w:rPr>
                <w:b/>
                <w:noProof/>
                <w:sz w:val="20"/>
              </w:rPr>
            </w:pPr>
            <w:r w:rsidRPr="0032658A">
              <w:rPr>
                <w:noProof/>
                <w:sz w:val="20"/>
              </w:rPr>
              <w:t>0,068</w:t>
            </w:r>
          </w:p>
        </w:tc>
        <w:tc>
          <w:tcPr>
            <w:tcW w:w="868" w:type="dxa"/>
          </w:tcPr>
          <w:p w14:paraId="7ED77800" w14:textId="77777777" w:rsidR="00F001BC" w:rsidRPr="0032658A" w:rsidRDefault="00F001BC" w:rsidP="005840B3">
            <w:pPr>
              <w:spacing w:before="40" w:after="40"/>
              <w:jc w:val="right"/>
              <w:rPr>
                <w:b/>
                <w:noProof/>
                <w:sz w:val="20"/>
              </w:rPr>
            </w:pPr>
            <w:r w:rsidRPr="0032658A">
              <w:rPr>
                <w:noProof/>
                <w:sz w:val="20"/>
              </w:rPr>
              <w:t>0,479</w:t>
            </w:r>
          </w:p>
        </w:tc>
        <w:tc>
          <w:tcPr>
            <w:tcW w:w="868" w:type="dxa"/>
          </w:tcPr>
          <w:p w14:paraId="2B239CD9" w14:textId="77777777" w:rsidR="00F001BC" w:rsidRPr="0032658A" w:rsidRDefault="00F001BC" w:rsidP="005840B3">
            <w:pPr>
              <w:spacing w:before="40" w:after="40"/>
              <w:jc w:val="right"/>
              <w:rPr>
                <w:b/>
                <w:noProof/>
                <w:sz w:val="20"/>
              </w:rPr>
            </w:pPr>
            <w:r w:rsidRPr="0032658A">
              <w:rPr>
                <w:noProof/>
                <w:sz w:val="20"/>
              </w:rPr>
              <w:t>0,504</w:t>
            </w:r>
          </w:p>
        </w:tc>
        <w:tc>
          <w:tcPr>
            <w:tcW w:w="1200" w:type="dxa"/>
          </w:tcPr>
          <w:p w14:paraId="10450C9F" w14:textId="77777777" w:rsidR="00F001BC" w:rsidRPr="0032658A" w:rsidRDefault="00F001BC" w:rsidP="005840B3">
            <w:pPr>
              <w:spacing w:before="40" w:after="40"/>
              <w:jc w:val="right"/>
              <w:rPr>
                <w:b/>
                <w:noProof/>
                <w:sz w:val="20"/>
              </w:rPr>
            </w:pPr>
            <w:r w:rsidRPr="0032658A">
              <w:rPr>
                <w:noProof/>
                <w:sz w:val="20"/>
              </w:rPr>
              <w:t>1,778</w:t>
            </w:r>
          </w:p>
        </w:tc>
        <w:tc>
          <w:tcPr>
            <w:tcW w:w="1445" w:type="dxa"/>
          </w:tcPr>
          <w:p w14:paraId="4401F6CB" w14:textId="77777777" w:rsidR="00F001BC" w:rsidRPr="0032658A" w:rsidRDefault="00F001BC" w:rsidP="005840B3">
            <w:pPr>
              <w:spacing w:before="40" w:after="40"/>
              <w:jc w:val="right"/>
              <w:rPr>
                <w:b/>
                <w:noProof/>
                <w:sz w:val="20"/>
              </w:rPr>
            </w:pPr>
            <w:r w:rsidRPr="0032658A">
              <w:rPr>
                <w:b/>
                <w:noProof/>
                <w:sz w:val="20"/>
              </w:rPr>
              <w:t>2,829</w:t>
            </w:r>
          </w:p>
        </w:tc>
      </w:tr>
      <w:tr w:rsidR="00F001BC" w:rsidRPr="0032658A" w14:paraId="7F900E9F" w14:textId="77777777" w:rsidTr="005840B3">
        <w:tc>
          <w:tcPr>
            <w:tcW w:w="3742" w:type="dxa"/>
            <w:vMerge w:val="restart"/>
            <w:vAlign w:val="center"/>
          </w:tcPr>
          <w:p w14:paraId="4960F63B" w14:textId="77777777" w:rsidR="00F001BC" w:rsidRPr="0032658A" w:rsidRDefault="00F001BC" w:rsidP="005840B3">
            <w:pPr>
              <w:jc w:val="center"/>
              <w:rPr>
                <w:noProof/>
              </w:rPr>
            </w:pPr>
            <w:r w:rsidRPr="0032658A">
              <w:rPr>
                <w:b/>
                <w:noProof/>
                <w:sz w:val="22"/>
              </w:rPr>
              <w:t>IŠ VISO asignavimų</w:t>
            </w:r>
            <w:r w:rsidRPr="0032658A">
              <w:rPr>
                <w:noProof/>
              </w:rPr>
              <w:t xml:space="preserve"> </w:t>
            </w:r>
            <w:r w:rsidRPr="0032658A">
              <w:rPr>
                <w:noProof/>
              </w:rPr>
              <w:br/>
            </w:r>
            <w:r w:rsidRPr="0032658A">
              <w:rPr>
                <w:b/>
                <w:noProof/>
                <w:sz w:val="22"/>
              </w:rPr>
              <w:t>EMSA</w:t>
            </w:r>
          </w:p>
        </w:tc>
        <w:tc>
          <w:tcPr>
            <w:tcW w:w="1503" w:type="dxa"/>
            <w:vAlign w:val="center"/>
          </w:tcPr>
          <w:p w14:paraId="27D318B7" w14:textId="77777777" w:rsidR="00F001BC" w:rsidRPr="0032658A" w:rsidRDefault="00F001BC" w:rsidP="005840B3">
            <w:pPr>
              <w:rPr>
                <w:noProof/>
                <w:sz w:val="18"/>
              </w:rPr>
            </w:pPr>
            <w:r w:rsidRPr="0032658A">
              <w:rPr>
                <w:noProof/>
                <w:sz w:val="18"/>
              </w:rPr>
              <w:t>Įsipareigojimai</w:t>
            </w:r>
          </w:p>
        </w:tc>
        <w:tc>
          <w:tcPr>
            <w:tcW w:w="591" w:type="dxa"/>
            <w:vAlign w:val="center"/>
          </w:tcPr>
          <w:p w14:paraId="6867F1CE" w14:textId="77777777" w:rsidR="00F001BC" w:rsidRPr="0032658A" w:rsidRDefault="00F001BC" w:rsidP="005840B3">
            <w:pPr>
              <w:jc w:val="center"/>
              <w:rPr>
                <w:noProof/>
                <w:sz w:val="14"/>
              </w:rPr>
            </w:pPr>
            <w:r w:rsidRPr="0032658A">
              <w:rPr>
                <w:noProof/>
                <w:sz w:val="14"/>
              </w:rPr>
              <w:t>= 1 + 1a + 3a</w:t>
            </w:r>
          </w:p>
        </w:tc>
        <w:tc>
          <w:tcPr>
            <w:tcW w:w="868" w:type="dxa"/>
          </w:tcPr>
          <w:p w14:paraId="76B4570E" w14:textId="77777777" w:rsidR="00F001BC" w:rsidRPr="0032658A" w:rsidRDefault="00F001BC" w:rsidP="0019719B">
            <w:pPr>
              <w:spacing w:before="20" w:after="20"/>
              <w:jc w:val="right"/>
              <w:rPr>
                <w:noProof/>
                <w:sz w:val="20"/>
              </w:rPr>
            </w:pPr>
            <w:r w:rsidRPr="0032658A">
              <w:rPr>
                <w:noProof/>
                <w:sz w:val="20"/>
              </w:rPr>
              <w:t>0,239</w:t>
            </w:r>
          </w:p>
        </w:tc>
        <w:tc>
          <w:tcPr>
            <w:tcW w:w="868" w:type="dxa"/>
          </w:tcPr>
          <w:p w14:paraId="7F7CB183" w14:textId="77777777" w:rsidR="00F001BC" w:rsidRPr="0032658A" w:rsidRDefault="00F001BC" w:rsidP="005840B3">
            <w:pPr>
              <w:spacing w:before="20" w:after="20"/>
              <w:jc w:val="right"/>
              <w:rPr>
                <w:noProof/>
                <w:sz w:val="20"/>
              </w:rPr>
            </w:pPr>
            <w:r w:rsidRPr="0032658A">
              <w:rPr>
                <w:noProof/>
                <w:sz w:val="20"/>
              </w:rPr>
              <w:t>0,821</w:t>
            </w:r>
          </w:p>
        </w:tc>
        <w:tc>
          <w:tcPr>
            <w:tcW w:w="868" w:type="dxa"/>
          </w:tcPr>
          <w:p w14:paraId="6DB2F17D" w14:textId="77777777" w:rsidR="00F001BC" w:rsidRPr="0032658A" w:rsidRDefault="00F001BC" w:rsidP="005840B3">
            <w:pPr>
              <w:spacing w:before="20" w:after="20"/>
              <w:jc w:val="right"/>
              <w:rPr>
                <w:noProof/>
                <w:sz w:val="20"/>
              </w:rPr>
            </w:pPr>
            <w:r w:rsidRPr="0032658A">
              <w:rPr>
                <w:noProof/>
                <w:sz w:val="20"/>
              </w:rPr>
              <w:t>0,846</w:t>
            </w:r>
          </w:p>
        </w:tc>
        <w:tc>
          <w:tcPr>
            <w:tcW w:w="1200" w:type="dxa"/>
          </w:tcPr>
          <w:p w14:paraId="04E72ED7" w14:textId="77777777" w:rsidR="00F001BC" w:rsidRPr="0032658A" w:rsidRDefault="00F001BC" w:rsidP="005840B3">
            <w:pPr>
              <w:spacing w:before="20" w:after="20"/>
              <w:jc w:val="right"/>
              <w:rPr>
                <w:noProof/>
                <w:sz w:val="20"/>
              </w:rPr>
            </w:pPr>
            <w:r w:rsidRPr="0032658A">
              <w:rPr>
                <w:noProof/>
                <w:sz w:val="20"/>
              </w:rPr>
              <w:t>4,172</w:t>
            </w:r>
          </w:p>
        </w:tc>
        <w:tc>
          <w:tcPr>
            <w:tcW w:w="1445" w:type="dxa"/>
          </w:tcPr>
          <w:p w14:paraId="33FCAD45" w14:textId="77777777" w:rsidR="00F001BC" w:rsidRPr="0032658A" w:rsidRDefault="00F001BC" w:rsidP="0019719B">
            <w:pPr>
              <w:spacing w:before="20" w:after="20"/>
              <w:jc w:val="right"/>
              <w:rPr>
                <w:b/>
                <w:noProof/>
                <w:sz w:val="20"/>
              </w:rPr>
            </w:pPr>
            <w:r w:rsidRPr="0032658A">
              <w:rPr>
                <w:b/>
                <w:noProof/>
                <w:sz w:val="20"/>
              </w:rPr>
              <w:t>6,078</w:t>
            </w:r>
          </w:p>
        </w:tc>
      </w:tr>
      <w:tr w:rsidR="00F001BC" w:rsidRPr="0032658A" w14:paraId="5FDE602D" w14:textId="77777777" w:rsidTr="005840B3">
        <w:tc>
          <w:tcPr>
            <w:tcW w:w="3742" w:type="dxa"/>
            <w:vMerge/>
            <w:vAlign w:val="center"/>
          </w:tcPr>
          <w:p w14:paraId="548DF2CE" w14:textId="77777777" w:rsidR="00F001BC" w:rsidRPr="0032658A" w:rsidRDefault="00F001BC" w:rsidP="005840B3">
            <w:pPr>
              <w:rPr>
                <w:b/>
                <w:noProof/>
              </w:rPr>
            </w:pPr>
          </w:p>
        </w:tc>
        <w:tc>
          <w:tcPr>
            <w:tcW w:w="1503" w:type="dxa"/>
            <w:vAlign w:val="center"/>
          </w:tcPr>
          <w:p w14:paraId="64A8AB37" w14:textId="77777777" w:rsidR="00F001BC" w:rsidRPr="0032658A" w:rsidRDefault="00F001BC" w:rsidP="005840B3">
            <w:pPr>
              <w:rPr>
                <w:noProof/>
                <w:sz w:val="18"/>
              </w:rPr>
            </w:pPr>
            <w:r w:rsidRPr="0032658A">
              <w:rPr>
                <w:noProof/>
                <w:sz w:val="18"/>
              </w:rPr>
              <w:t>Mokėjimai</w:t>
            </w:r>
          </w:p>
        </w:tc>
        <w:tc>
          <w:tcPr>
            <w:tcW w:w="591" w:type="dxa"/>
            <w:vAlign w:val="center"/>
          </w:tcPr>
          <w:p w14:paraId="35BD49C7" w14:textId="77777777" w:rsidR="00F001BC" w:rsidRPr="0032658A" w:rsidRDefault="00F001BC" w:rsidP="005840B3">
            <w:pPr>
              <w:jc w:val="center"/>
              <w:rPr>
                <w:noProof/>
                <w:sz w:val="14"/>
              </w:rPr>
            </w:pPr>
            <w:r w:rsidRPr="0032658A">
              <w:rPr>
                <w:noProof/>
                <w:sz w:val="14"/>
              </w:rPr>
              <w:t>= 2 + 2a</w:t>
            </w:r>
          </w:p>
          <w:p w14:paraId="39C4273E" w14:textId="77777777" w:rsidR="00F001BC" w:rsidRPr="0032658A" w:rsidRDefault="00F001BC" w:rsidP="005840B3">
            <w:pPr>
              <w:jc w:val="center"/>
              <w:rPr>
                <w:noProof/>
                <w:sz w:val="14"/>
              </w:rPr>
            </w:pPr>
            <w:r w:rsidRPr="0032658A">
              <w:rPr>
                <w:noProof/>
                <w:sz w:val="14"/>
              </w:rPr>
              <w:t>+ 3b</w:t>
            </w:r>
          </w:p>
        </w:tc>
        <w:tc>
          <w:tcPr>
            <w:tcW w:w="868" w:type="dxa"/>
          </w:tcPr>
          <w:p w14:paraId="35224818" w14:textId="77777777" w:rsidR="00F001BC" w:rsidRPr="0032658A" w:rsidRDefault="00F001BC" w:rsidP="0019719B">
            <w:pPr>
              <w:spacing w:before="20" w:after="20"/>
              <w:jc w:val="right"/>
              <w:rPr>
                <w:noProof/>
                <w:sz w:val="20"/>
              </w:rPr>
            </w:pPr>
            <w:r w:rsidRPr="0032658A">
              <w:rPr>
                <w:noProof/>
                <w:sz w:val="20"/>
              </w:rPr>
              <w:t>0,239</w:t>
            </w:r>
          </w:p>
        </w:tc>
        <w:tc>
          <w:tcPr>
            <w:tcW w:w="868" w:type="dxa"/>
          </w:tcPr>
          <w:p w14:paraId="7F34A100" w14:textId="77777777" w:rsidR="00F001BC" w:rsidRPr="0032658A" w:rsidRDefault="00F001BC" w:rsidP="005840B3">
            <w:pPr>
              <w:spacing w:before="20" w:after="20"/>
              <w:jc w:val="right"/>
              <w:rPr>
                <w:noProof/>
                <w:sz w:val="20"/>
              </w:rPr>
            </w:pPr>
            <w:r w:rsidRPr="0032658A">
              <w:rPr>
                <w:noProof/>
                <w:sz w:val="20"/>
              </w:rPr>
              <w:t>0,821</w:t>
            </w:r>
          </w:p>
        </w:tc>
        <w:tc>
          <w:tcPr>
            <w:tcW w:w="868" w:type="dxa"/>
          </w:tcPr>
          <w:p w14:paraId="21116680" w14:textId="77777777" w:rsidR="00F001BC" w:rsidRPr="0032658A" w:rsidRDefault="00F001BC" w:rsidP="005840B3">
            <w:pPr>
              <w:spacing w:before="20" w:after="20"/>
              <w:jc w:val="right"/>
              <w:rPr>
                <w:noProof/>
                <w:sz w:val="20"/>
              </w:rPr>
            </w:pPr>
            <w:r w:rsidRPr="0032658A">
              <w:rPr>
                <w:noProof/>
                <w:sz w:val="20"/>
              </w:rPr>
              <w:t>0,846</w:t>
            </w:r>
          </w:p>
        </w:tc>
        <w:tc>
          <w:tcPr>
            <w:tcW w:w="1200" w:type="dxa"/>
          </w:tcPr>
          <w:p w14:paraId="33960CC0" w14:textId="77777777" w:rsidR="00F001BC" w:rsidRPr="0032658A" w:rsidRDefault="00F001BC" w:rsidP="005840B3">
            <w:pPr>
              <w:spacing w:before="20" w:after="20"/>
              <w:jc w:val="right"/>
              <w:rPr>
                <w:noProof/>
                <w:sz w:val="20"/>
              </w:rPr>
            </w:pPr>
            <w:r w:rsidRPr="0032658A">
              <w:rPr>
                <w:noProof/>
                <w:sz w:val="20"/>
              </w:rPr>
              <w:t>4,172</w:t>
            </w:r>
          </w:p>
        </w:tc>
        <w:tc>
          <w:tcPr>
            <w:tcW w:w="1445" w:type="dxa"/>
          </w:tcPr>
          <w:p w14:paraId="1E73E9D5" w14:textId="77777777" w:rsidR="00F001BC" w:rsidRPr="0032658A" w:rsidRDefault="00F001BC" w:rsidP="0019719B">
            <w:pPr>
              <w:spacing w:before="20" w:after="20"/>
              <w:jc w:val="right"/>
              <w:rPr>
                <w:b/>
                <w:noProof/>
                <w:sz w:val="20"/>
              </w:rPr>
            </w:pPr>
            <w:r w:rsidRPr="0032658A">
              <w:rPr>
                <w:b/>
                <w:noProof/>
                <w:sz w:val="20"/>
              </w:rPr>
              <w:t>6,078</w:t>
            </w:r>
          </w:p>
        </w:tc>
      </w:tr>
    </w:tbl>
    <w:p w14:paraId="711C8958" w14:textId="77777777" w:rsidR="00F001BC" w:rsidRPr="0032658A" w:rsidRDefault="00F001BC" w:rsidP="00F001BC">
      <w:pPr>
        <w:rPr>
          <w:noProof/>
        </w:rPr>
      </w:pPr>
      <w:r w:rsidRPr="0032658A">
        <w:rPr>
          <w:noProof/>
        </w:rPr>
        <w:t xml:space="preserve"> </w:t>
      </w:r>
      <w:r w:rsidRPr="0032658A">
        <w:rPr>
          <w:noProof/>
        </w:rPr>
        <w:br/>
        <w:t xml:space="preserve">Poveikis biudžetui po dabartinės DFP yra preliminari apžvalga, nedaranti poveikio susitarimui dėl būsimos DFP </w:t>
      </w:r>
      <w:r w:rsidRPr="0032658A">
        <w:rPr>
          <w:noProof/>
        </w:rPr>
        <w:br/>
      </w:r>
    </w:p>
    <w:p w14:paraId="6ECDDD7E" w14:textId="77777777" w:rsidR="00F001BC" w:rsidRPr="0032658A" w:rsidRDefault="00F001BC" w:rsidP="00F001BC">
      <w:pPr>
        <w:rPr>
          <w:noProof/>
        </w:rPr>
      </w:pPr>
      <w:r w:rsidRPr="0032658A">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001BC" w:rsidRPr="0032658A" w14:paraId="12A70D1D" w14:textId="77777777" w:rsidTr="005840B3">
        <w:trPr>
          <w:jc w:val="center"/>
        </w:trPr>
        <w:tc>
          <w:tcPr>
            <w:tcW w:w="4744" w:type="dxa"/>
            <w:shd w:val="thinDiagStripe" w:color="C0C0C0" w:fill="auto"/>
            <w:vAlign w:val="center"/>
          </w:tcPr>
          <w:p w14:paraId="6AB71399" w14:textId="77777777" w:rsidR="00F001BC" w:rsidRPr="0032658A" w:rsidRDefault="00F001BC" w:rsidP="005840B3">
            <w:pPr>
              <w:spacing w:before="60" w:after="60"/>
              <w:jc w:val="center"/>
              <w:rPr>
                <w:b/>
                <w:noProof/>
              </w:rPr>
            </w:pPr>
            <w:r w:rsidRPr="0032658A">
              <w:rPr>
                <w:noProof/>
              </w:rPr>
              <w:br w:type="page"/>
            </w:r>
            <w:r w:rsidRPr="0032658A">
              <w:rPr>
                <w:b/>
                <w:noProof/>
                <w:sz w:val="22"/>
              </w:rPr>
              <w:t>Daugiametės finansinės programos išlaidų</w:t>
            </w:r>
            <w:r w:rsidRPr="0032658A">
              <w:rPr>
                <w:noProof/>
              </w:rPr>
              <w:t xml:space="preserve"> </w:t>
            </w:r>
            <w:r w:rsidRPr="0032658A">
              <w:rPr>
                <w:noProof/>
              </w:rPr>
              <w:br/>
            </w:r>
            <w:r w:rsidRPr="0032658A">
              <w:rPr>
                <w:b/>
                <w:noProof/>
                <w:sz w:val="22"/>
              </w:rPr>
              <w:t xml:space="preserve">kategorija </w:t>
            </w:r>
          </w:p>
        </w:tc>
        <w:tc>
          <w:tcPr>
            <w:tcW w:w="1080" w:type="dxa"/>
            <w:shd w:val="thinDiagStripe" w:color="C0C0C0" w:fill="auto"/>
            <w:vAlign w:val="center"/>
          </w:tcPr>
          <w:p w14:paraId="0C77B2EC" w14:textId="77777777" w:rsidR="00F001BC" w:rsidRPr="0032658A" w:rsidRDefault="00F001BC" w:rsidP="005840B3">
            <w:pPr>
              <w:spacing w:before="60" w:after="60"/>
              <w:jc w:val="center"/>
              <w:rPr>
                <w:noProof/>
              </w:rPr>
            </w:pPr>
            <w:r w:rsidRPr="0032658A">
              <w:rPr>
                <w:b/>
                <w:noProof/>
                <w:sz w:val="22"/>
              </w:rPr>
              <w:t>7</w:t>
            </w:r>
          </w:p>
        </w:tc>
        <w:tc>
          <w:tcPr>
            <w:tcW w:w="7817" w:type="dxa"/>
            <w:vAlign w:val="center"/>
          </w:tcPr>
          <w:p w14:paraId="6717AF25" w14:textId="77777777" w:rsidR="00F001BC" w:rsidRPr="0032658A" w:rsidRDefault="00F001BC" w:rsidP="005840B3">
            <w:pPr>
              <w:spacing w:before="60" w:after="60"/>
              <w:rPr>
                <w:noProof/>
              </w:rPr>
            </w:pPr>
            <w:r w:rsidRPr="0032658A">
              <w:rPr>
                <w:noProof/>
                <w:sz w:val="22"/>
              </w:rPr>
              <w:t>„Administracinės išlaidos“</w:t>
            </w:r>
          </w:p>
        </w:tc>
      </w:tr>
    </w:tbl>
    <w:p w14:paraId="2DAECFE0" w14:textId="77777777" w:rsidR="00F001BC" w:rsidRPr="0032658A" w:rsidRDefault="00F001BC" w:rsidP="00F001BC">
      <w:pPr>
        <w:jc w:val="right"/>
        <w:rPr>
          <w:noProof/>
          <w:sz w:val="20"/>
        </w:rPr>
      </w:pPr>
      <w:r w:rsidRPr="0032658A">
        <w:rPr>
          <w:noProof/>
          <w:sz w:val="20"/>
        </w:rPr>
        <w:t>mln. EUR (tūkstantųjų tikslumu)</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F001BC" w:rsidRPr="0032658A" w14:paraId="51315BF5" w14:textId="77777777" w:rsidTr="005840B3">
        <w:tc>
          <w:tcPr>
            <w:tcW w:w="3960" w:type="dxa"/>
            <w:tcBorders>
              <w:top w:val="nil"/>
              <w:left w:val="nil"/>
              <w:right w:val="nil"/>
            </w:tcBorders>
            <w:vAlign w:val="center"/>
          </w:tcPr>
          <w:p w14:paraId="2669A303" w14:textId="77777777" w:rsidR="00F001BC" w:rsidRPr="0032658A" w:rsidRDefault="00F001BC" w:rsidP="005840B3">
            <w:pPr>
              <w:jc w:val="center"/>
              <w:rPr>
                <w:noProof/>
              </w:rPr>
            </w:pPr>
          </w:p>
        </w:tc>
        <w:tc>
          <w:tcPr>
            <w:tcW w:w="1560" w:type="dxa"/>
            <w:tcBorders>
              <w:top w:val="nil"/>
              <w:left w:val="nil"/>
              <w:right w:val="nil"/>
            </w:tcBorders>
          </w:tcPr>
          <w:p w14:paraId="3D9F6D60" w14:textId="77777777" w:rsidR="00F001BC" w:rsidRPr="0032658A" w:rsidRDefault="00F001BC" w:rsidP="005840B3">
            <w:pPr>
              <w:rPr>
                <w:noProof/>
                <w:sz w:val="20"/>
              </w:rPr>
            </w:pPr>
          </w:p>
        </w:tc>
        <w:tc>
          <w:tcPr>
            <w:tcW w:w="534" w:type="dxa"/>
            <w:tcBorders>
              <w:top w:val="nil"/>
              <w:left w:val="nil"/>
            </w:tcBorders>
          </w:tcPr>
          <w:p w14:paraId="2833DA10" w14:textId="77777777" w:rsidR="00F001BC" w:rsidRPr="0032658A" w:rsidRDefault="00F001BC" w:rsidP="005840B3">
            <w:pPr>
              <w:jc w:val="center"/>
              <w:rPr>
                <w:noProof/>
                <w:sz w:val="20"/>
              </w:rPr>
            </w:pPr>
          </w:p>
        </w:tc>
        <w:tc>
          <w:tcPr>
            <w:tcW w:w="868" w:type="dxa"/>
            <w:vAlign w:val="center"/>
          </w:tcPr>
          <w:p w14:paraId="684157A6" w14:textId="77777777" w:rsidR="00F001BC" w:rsidRPr="0032658A" w:rsidRDefault="00F001BC" w:rsidP="005840B3">
            <w:pPr>
              <w:jc w:val="center"/>
              <w:rPr>
                <w:noProof/>
                <w:sz w:val="20"/>
              </w:rPr>
            </w:pPr>
            <w:r w:rsidRPr="0032658A">
              <w:rPr>
                <w:b/>
                <w:noProof/>
                <w:sz w:val="20"/>
              </w:rPr>
              <w:t>N</w:t>
            </w:r>
            <w:r w:rsidRPr="0032658A">
              <w:rPr>
                <w:noProof/>
              </w:rPr>
              <w:t xml:space="preserve"> </w:t>
            </w:r>
            <w:r w:rsidRPr="0032658A">
              <w:rPr>
                <w:noProof/>
              </w:rPr>
              <w:br/>
            </w:r>
            <w:r w:rsidRPr="0032658A">
              <w:rPr>
                <w:noProof/>
                <w:sz w:val="20"/>
              </w:rPr>
              <w:t>metai</w:t>
            </w:r>
          </w:p>
        </w:tc>
        <w:tc>
          <w:tcPr>
            <w:tcW w:w="868" w:type="dxa"/>
            <w:vAlign w:val="center"/>
          </w:tcPr>
          <w:p w14:paraId="2DCC7238" w14:textId="77777777" w:rsidR="00F001BC" w:rsidRPr="0032658A" w:rsidRDefault="00F001BC" w:rsidP="005840B3">
            <w:pPr>
              <w:jc w:val="center"/>
              <w:rPr>
                <w:noProof/>
                <w:sz w:val="20"/>
              </w:rPr>
            </w:pPr>
            <w:r w:rsidRPr="0032658A">
              <w:rPr>
                <w:b/>
                <w:noProof/>
                <w:sz w:val="20"/>
              </w:rPr>
              <w:t>N + 1</w:t>
            </w:r>
            <w:r w:rsidRPr="0032658A">
              <w:rPr>
                <w:noProof/>
              </w:rPr>
              <w:t xml:space="preserve"> </w:t>
            </w:r>
            <w:r w:rsidRPr="0032658A">
              <w:rPr>
                <w:noProof/>
              </w:rPr>
              <w:br/>
            </w:r>
            <w:r w:rsidRPr="0032658A">
              <w:rPr>
                <w:noProof/>
                <w:sz w:val="20"/>
              </w:rPr>
              <w:t>metai</w:t>
            </w:r>
          </w:p>
        </w:tc>
        <w:tc>
          <w:tcPr>
            <w:tcW w:w="868" w:type="dxa"/>
            <w:vAlign w:val="center"/>
          </w:tcPr>
          <w:p w14:paraId="17468BF0" w14:textId="77777777" w:rsidR="00F001BC" w:rsidRPr="0032658A" w:rsidRDefault="00F001BC" w:rsidP="005840B3">
            <w:pPr>
              <w:jc w:val="center"/>
              <w:rPr>
                <w:noProof/>
                <w:sz w:val="20"/>
              </w:rPr>
            </w:pPr>
            <w:r w:rsidRPr="0032658A">
              <w:rPr>
                <w:b/>
                <w:noProof/>
                <w:sz w:val="20"/>
              </w:rPr>
              <w:t>N + 2</w:t>
            </w:r>
            <w:r w:rsidRPr="0032658A">
              <w:rPr>
                <w:noProof/>
              </w:rPr>
              <w:t xml:space="preserve"> </w:t>
            </w:r>
            <w:r w:rsidRPr="0032658A">
              <w:rPr>
                <w:noProof/>
              </w:rPr>
              <w:br/>
            </w:r>
            <w:r w:rsidRPr="0032658A">
              <w:rPr>
                <w:noProof/>
                <w:sz w:val="20"/>
              </w:rPr>
              <w:t>metai</w:t>
            </w:r>
          </w:p>
        </w:tc>
        <w:tc>
          <w:tcPr>
            <w:tcW w:w="868" w:type="dxa"/>
            <w:vAlign w:val="center"/>
          </w:tcPr>
          <w:p w14:paraId="08733581" w14:textId="77777777" w:rsidR="00F001BC" w:rsidRPr="0032658A" w:rsidRDefault="00F001BC" w:rsidP="005840B3">
            <w:pPr>
              <w:jc w:val="center"/>
              <w:rPr>
                <w:noProof/>
                <w:sz w:val="20"/>
              </w:rPr>
            </w:pPr>
            <w:r w:rsidRPr="0032658A">
              <w:rPr>
                <w:b/>
                <w:noProof/>
                <w:sz w:val="20"/>
              </w:rPr>
              <w:t>N + 3</w:t>
            </w:r>
            <w:r w:rsidRPr="0032658A">
              <w:rPr>
                <w:noProof/>
              </w:rPr>
              <w:t xml:space="preserve"> </w:t>
            </w:r>
            <w:r w:rsidRPr="0032658A">
              <w:rPr>
                <w:noProof/>
              </w:rPr>
              <w:br/>
            </w:r>
            <w:r w:rsidRPr="0032658A">
              <w:rPr>
                <w:noProof/>
                <w:sz w:val="20"/>
              </w:rPr>
              <w:t>metai</w:t>
            </w:r>
          </w:p>
        </w:tc>
        <w:tc>
          <w:tcPr>
            <w:tcW w:w="2604" w:type="dxa"/>
            <w:gridSpan w:val="3"/>
            <w:vAlign w:val="center"/>
          </w:tcPr>
          <w:p w14:paraId="46D85BFF" w14:textId="77777777" w:rsidR="00F001BC" w:rsidRPr="0032658A" w:rsidRDefault="00F001BC" w:rsidP="005840B3">
            <w:pPr>
              <w:jc w:val="center"/>
              <w:rPr>
                <w:b/>
                <w:noProof/>
                <w:sz w:val="18"/>
              </w:rPr>
            </w:pPr>
            <w:r w:rsidRPr="0032658A">
              <w:rPr>
                <w:noProof/>
                <w:sz w:val="18"/>
              </w:rPr>
              <w:t xml:space="preserve">Atsižvelgiant į poveikio trukmę įterpti reikiamą metų skaičių (žr. 1.6 punktą) </w:t>
            </w:r>
          </w:p>
        </w:tc>
        <w:tc>
          <w:tcPr>
            <w:tcW w:w="1777" w:type="dxa"/>
            <w:vAlign w:val="center"/>
          </w:tcPr>
          <w:p w14:paraId="754E2012" w14:textId="77777777" w:rsidR="00F001BC" w:rsidRPr="0032658A" w:rsidRDefault="00F001BC" w:rsidP="005840B3">
            <w:pPr>
              <w:jc w:val="center"/>
              <w:rPr>
                <w:b/>
                <w:noProof/>
                <w:sz w:val="20"/>
              </w:rPr>
            </w:pPr>
            <w:r w:rsidRPr="0032658A">
              <w:rPr>
                <w:b/>
                <w:noProof/>
                <w:sz w:val="20"/>
              </w:rPr>
              <w:t>IŠ VISO</w:t>
            </w:r>
          </w:p>
        </w:tc>
      </w:tr>
      <w:tr w:rsidR="00F001BC" w:rsidRPr="0032658A" w14:paraId="6D416A58" w14:textId="77777777" w:rsidTr="005840B3">
        <w:trPr>
          <w:gridAfter w:val="10"/>
          <w:wAfter w:w="9947" w:type="dxa"/>
        </w:trPr>
        <w:tc>
          <w:tcPr>
            <w:tcW w:w="3960" w:type="dxa"/>
            <w:vAlign w:val="center"/>
          </w:tcPr>
          <w:p w14:paraId="6DA1A4F0" w14:textId="77777777" w:rsidR="00F001BC" w:rsidRPr="0032658A" w:rsidRDefault="00F001BC" w:rsidP="005840B3">
            <w:pPr>
              <w:spacing w:before="60" w:after="60"/>
              <w:jc w:val="center"/>
              <w:rPr>
                <w:noProof/>
              </w:rPr>
            </w:pPr>
            <w:r w:rsidRPr="0032658A">
              <w:rPr>
                <w:noProof/>
                <w:sz w:val="22"/>
              </w:rPr>
              <w:t xml:space="preserve">&lt;….&gt; </w:t>
            </w:r>
            <w:r w:rsidRPr="0032658A">
              <w:rPr>
                <w:noProof/>
              </w:rPr>
              <w:t>GD</w:t>
            </w:r>
          </w:p>
        </w:tc>
      </w:tr>
      <w:tr w:rsidR="00F001BC" w:rsidRPr="0032658A" w14:paraId="4EB76896" w14:textId="77777777" w:rsidTr="005840B3">
        <w:trPr>
          <w:trHeight w:val="313"/>
        </w:trPr>
        <w:tc>
          <w:tcPr>
            <w:tcW w:w="6054" w:type="dxa"/>
            <w:gridSpan w:val="3"/>
            <w:vAlign w:val="center"/>
          </w:tcPr>
          <w:p w14:paraId="0199A630" w14:textId="77777777" w:rsidR="00F001BC" w:rsidRPr="0032658A" w:rsidRDefault="00F001BC" w:rsidP="005840B3">
            <w:pPr>
              <w:spacing w:before="20" w:after="20"/>
              <w:rPr>
                <w:noProof/>
              </w:rPr>
            </w:pPr>
            <w:r w:rsidRPr="0032658A">
              <w:rPr>
                <w:noProof/>
                <w:sz w:val="22"/>
              </w:rPr>
              <w:sym w:font="Wingdings" w:char="F09F"/>
            </w:r>
            <w:r w:rsidRPr="0032658A">
              <w:rPr>
                <w:noProof/>
                <w:sz w:val="22"/>
              </w:rPr>
              <w:t xml:space="preserve"> Žmogiškieji ištekliai </w:t>
            </w:r>
          </w:p>
        </w:tc>
        <w:tc>
          <w:tcPr>
            <w:tcW w:w="868" w:type="dxa"/>
            <w:vAlign w:val="center"/>
          </w:tcPr>
          <w:p w14:paraId="7E89286B" w14:textId="77777777" w:rsidR="00F001BC" w:rsidRPr="0032658A" w:rsidRDefault="00F001BC" w:rsidP="005840B3">
            <w:pPr>
              <w:spacing w:before="20" w:after="20"/>
              <w:jc w:val="right"/>
              <w:rPr>
                <w:noProof/>
                <w:sz w:val="20"/>
              </w:rPr>
            </w:pPr>
          </w:p>
        </w:tc>
        <w:tc>
          <w:tcPr>
            <w:tcW w:w="868" w:type="dxa"/>
            <w:vAlign w:val="center"/>
          </w:tcPr>
          <w:p w14:paraId="6EE09EC9" w14:textId="77777777" w:rsidR="00F001BC" w:rsidRPr="0032658A" w:rsidRDefault="00F001BC" w:rsidP="005840B3">
            <w:pPr>
              <w:spacing w:before="20" w:after="20"/>
              <w:jc w:val="right"/>
              <w:rPr>
                <w:noProof/>
                <w:sz w:val="20"/>
              </w:rPr>
            </w:pPr>
          </w:p>
        </w:tc>
        <w:tc>
          <w:tcPr>
            <w:tcW w:w="868" w:type="dxa"/>
            <w:vAlign w:val="center"/>
          </w:tcPr>
          <w:p w14:paraId="3A386B72" w14:textId="77777777" w:rsidR="00F001BC" w:rsidRPr="0032658A" w:rsidRDefault="00F001BC" w:rsidP="005840B3">
            <w:pPr>
              <w:spacing w:before="20" w:after="20"/>
              <w:jc w:val="right"/>
              <w:rPr>
                <w:noProof/>
                <w:sz w:val="20"/>
              </w:rPr>
            </w:pPr>
          </w:p>
        </w:tc>
        <w:tc>
          <w:tcPr>
            <w:tcW w:w="868" w:type="dxa"/>
            <w:vAlign w:val="center"/>
          </w:tcPr>
          <w:p w14:paraId="217ED9F2" w14:textId="77777777" w:rsidR="00F001BC" w:rsidRPr="0032658A" w:rsidRDefault="00F001BC" w:rsidP="005840B3">
            <w:pPr>
              <w:spacing w:before="20" w:after="20"/>
              <w:jc w:val="right"/>
              <w:rPr>
                <w:noProof/>
                <w:sz w:val="20"/>
              </w:rPr>
            </w:pPr>
          </w:p>
        </w:tc>
        <w:tc>
          <w:tcPr>
            <w:tcW w:w="868" w:type="dxa"/>
            <w:vAlign w:val="center"/>
          </w:tcPr>
          <w:p w14:paraId="1A7BD11D" w14:textId="77777777" w:rsidR="00F001BC" w:rsidRPr="0032658A" w:rsidRDefault="00F001BC" w:rsidP="005840B3">
            <w:pPr>
              <w:spacing w:before="20" w:after="20"/>
              <w:jc w:val="right"/>
              <w:rPr>
                <w:noProof/>
                <w:sz w:val="20"/>
              </w:rPr>
            </w:pPr>
          </w:p>
        </w:tc>
        <w:tc>
          <w:tcPr>
            <w:tcW w:w="868" w:type="dxa"/>
            <w:vAlign w:val="center"/>
          </w:tcPr>
          <w:p w14:paraId="1B1201DB" w14:textId="77777777" w:rsidR="00F001BC" w:rsidRPr="0032658A" w:rsidRDefault="00F001BC" w:rsidP="005840B3">
            <w:pPr>
              <w:spacing w:before="20" w:after="20"/>
              <w:jc w:val="right"/>
              <w:rPr>
                <w:noProof/>
                <w:sz w:val="20"/>
              </w:rPr>
            </w:pPr>
          </w:p>
        </w:tc>
        <w:tc>
          <w:tcPr>
            <w:tcW w:w="868" w:type="dxa"/>
            <w:vAlign w:val="center"/>
          </w:tcPr>
          <w:p w14:paraId="1CDDEA81" w14:textId="77777777" w:rsidR="00F001BC" w:rsidRPr="0032658A" w:rsidRDefault="00F001BC" w:rsidP="005840B3">
            <w:pPr>
              <w:spacing w:before="20" w:after="20"/>
              <w:jc w:val="right"/>
              <w:rPr>
                <w:b/>
                <w:noProof/>
                <w:sz w:val="20"/>
              </w:rPr>
            </w:pPr>
          </w:p>
        </w:tc>
        <w:tc>
          <w:tcPr>
            <w:tcW w:w="1777" w:type="dxa"/>
            <w:vAlign w:val="center"/>
          </w:tcPr>
          <w:p w14:paraId="087A1655" w14:textId="77777777" w:rsidR="00F001BC" w:rsidRPr="0032658A" w:rsidRDefault="00F001BC" w:rsidP="005840B3">
            <w:pPr>
              <w:spacing w:before="20" w:after="20"/>
              <w:jc w:val="right"/>
              <w:rPr>
                <w:b/>
                <w:noProof/>
                <w:sz w:val="20"/>
              </w:rPr>
            </w:pPr>
          </w:p>
        </w:tc>
      </w:tr>
      <w:tr w:rsidR="00F001BC" w:rsidRPr="0032658A" w14:paraId="5ED865F7" w14:textId="77777777" w:rsidTr="005840B3">
        <w:trPr>
          <w:trHeight w:val="351"/>
        </w:trPr>
        <w:tc>
          <w:tcPr>
            <w:tcW w:w="6054" w:type="dxa"/>
            <w:gridSpan w:val="3"/>
            <w:vAlign w:val="center"/>
          </w:tcPr>
          <w:p w14:paraId="6D3414B0" w14:textId="77777777" w:rsidR="00F001BC" w:rsidRPr="0032658A" w:rsidRDefault="00F001BC" w:rsidP="005840B3">
            <w:pPr>
              <w:spacing w:before="20" w:after="20"/>
              <w:rPr>
                <w:noProof/>
              </w:rPr>
            </w:pPr>
            <w:r w:rsidRPr="0032658A">
              <w:rPr>
                <w:noProof/>
                <w:sz w:val="22"/>
              </w:rPr>
              <w:sym w:font="Wingdings" w:char="F09F"/>
            </w:r>
            <w:r w:rsidRPr="0032658A">
              <w:rPr>
                <w:noProof/>
                <w:sz w:val="22"/>
              </w:rPr>
              <w:t xml:space="preserve"> Kitos administracinės išlaidos </w:t>
            </w:r>
          </w:p>
        </w:tc>
        <w:tc>
          <w:tcPr>
            <w:tcW w:w="868" w:type="dxa"/>
            <w:vAlign w:val="center"/>
          </w:tcPr>
          <w:p w14:paraId="020A87BF" w14:textId="77777777" w:rsidR="00F001BC" w:rsidRPr="0032658A" w:rsidRDefault="00F001BC" w:rsidP="005840B3">
            <w:pPr>
              <w:spacing w:before="20" w:after="20"/>
              <w:jc w:val="right"/>
              <w:rPr>
                <w:b/>
                <w:noProof/>
                <w:sz w:val="20"/>
              </w:rPr>
            </w:pPr>
          </w:p>
        </w:tc>
        <w:tc>
          <w:tcPr>
            <w:tcW w:w="868" w:type="dxa"/>
            <w:vAlign w:val="center"/>
          </w:tcPr>
          <w:p w14:paraId="69065BC3" w14:textId="77777777" w:rsidR="00F001BC" w:rsidRPr="0032658A" w:rsidRDefault="00F001BC" w:rsidP="005840B3">
            <w:pPr>
              <w:spacing w:before="20" w:after="20"/>
              <w:jc w:val="right"/>
              <w:rPr>
                <w:b/>
                <w:noProof/>
                <w:sz w:val="20"/>
              </w:rPr>
            </w:pPr>
          </w:p>
        </w:tc>
        <w:tc>
          <w:tcPr>
            <w:tcW w:w="868" w:type="dxa"/>
            <w:vAlign w:val="center"/>
          </w:tcPr>
          <w:p w14:paraId="33FB3C95" w14:textId="77777777" w:rsidR="00F001BC" w:rsidRPr="0032658A" w:rsidRDefault="00F001BC" w:rsidP="005840B3">
            <w:pPr>
              <w:spacing w:before="20" w:after="20"/>
              <w:jc w:val="right"/>
              <w:rPr>
                <w:b/>
                <w:noProof/>
                <w:sz w:val="20"/>
              </w:rPr>
            </w:pPr>
          </w:p>
        </w:tc>
        <w:tc>
          <w:tcPr>
            <w:tcW w:w="868" w:type="dxa"/>
            <w:vAlign w:val="center"/>
          </w:tcPr>
          <w:p w14:paraId="484FEA75" w14:textId="77777777" w:rsidR="00F001BC" w:rsidRPr="0032658A" w:rsidRDefault="00F001BC" w:rsidP="005840B3">
            <w:pPr>
              <w:spacing w:before="20" w:after="20"/>
              <w:jc w:val="right"/>
              <w:rPr>
                <w:b/>
                <w:noProof/>
                <w:sz w:val="20"/>
              </w:rPr>
            </w:pPr>
          </w:p>
        </w:tc>
        <w:tc>
          <w:tcPr>
            <w:tcW w:w="868" w:type="dxa"/>
            <w:vAlign w:val="center"/>
          </w:tcPr>
          <w:p w14:paraId="3CE26B89" w14:textId="77777777" w:rsidR="00F001BC" w:rsidRPr="0032658A" w:rsidRDefault="00F001BC" w:rsidP="005840B3">
            <w:pPr>
              <w:spacing w:before="20" w:after="20"/>
              <w:jc w:val="right"/>
              <w:rPr>
                <w:b/>
                <w:noProof/>
                <w:sz w:val="20"/>
              </w:rPr>
            </w:pPr>
          </w:p>
        </w:tc>
        <w:tc>
          <w:tcPr>
            <w:tcW w:w="868" w:type="dxa"/>
            <w:vAlign w:val="center"/>
          </w:tcPr>
          <w:p w14:paraId="55444939" w14:textId="77777777" w:rsidR="00F001BC" w:rsidRPr="0032658A" w:rsidRDefault="00F001BC" w:rsidP="005840B3">
            <w:pPr>
              <w:spacing w:before="20" w:after="20"/>
              <w:jc w:val="right"/>
              <w:rPr>
                <w:b/>
                <w:noProof/>
                <w:sz w:val="20"/>
              </w:rPr>
            </w:pPr>
          </w:p>
        </w:tc>
        <w:tc>
          <w:tcPr>
            <w:tcW w:w="868" w:type="dxa"/>
            <w:vAlign w:val="center"/>
          </w:tcPr>
          <w:p w14:paraId="37BA0379" w14:textId="77777777" w:rsidR="00F001BC" w:rsidRPr="0032658A" w:rsidRDefault="00F001BC" w:rsidP="005840B3">
            <w:pPr>
              <w:spacing w:before="20" w:after="20"/>
              <w:jc w:val="right"/>
              <w:rPr>
                <w:b/>
                <w:noProof/>
                <w:sz w:val="20"/>
              </w:rPr>
            </w:pPr>
          </w:p>
        </w:tc>
        <w:tc>
          <w:tcPr>
            <w:tcW w:w="1777" w:type="dxa"/>
            <w:vAlign w:val="center"/>
          </w:tcPr>
          <w:p w14:paraId="762404C8" w14:textId="77777777" w:rsidR="00F001BC" w:rsidRPr="0032658A" w:rsidRDefault="00F001BC" w:rsidP="005840B3">
            <w:pPr>
              <w:spacing w:before="20" w:after="20"/>
              <w:jc w:val="right"/>
              <w:rPr>
                <w:b/>
                <w:noProof/>
                <w:sz w:val="20"/>
              </w:rPr>
            </w:pPr>
          </w:p>
        </w:tc>
      </w:tr>
      <w:tr w:rsidR="00F001BC" w:rsidRPr="0032658A" w14:paraId="3044C742" w14:textId="77777777" w:rsidTr="005840B3">
        <w:tc>
          <w:tcPr>
            <w:tcW w:w="3960" w:type="dxa"/>
            <w:vAlign w:val="center"/>
          </w:tcPr>
          <w:p w14:paraId="2ECC9191" w14:textId="77777777" w:rsidR="00F001BC" w:rsidRPr="0032658A" w:rsidRDefault="00F001BC" w:rsidP="005840B3">
            <w:pPr>
              <w:jc w:val="center"/>
              <w:rPr>
                <w:b/>
                <w:noProof/>
              </w:rPr>
            </w:pPr>
            <w:r w:rsidRPr="0032658A">
              <w:rPr>
                <w:b/>
                <w:noProof/>
                <w:sz w:val="22"/>
              </w:rPr>
              <w:t>IŠ VISO</w:t>
            </w:r>
            <w:r w:rsidRPr="0032658A">
              <w:rPr>
                <w:noProof/>
              </w:rPr>
              <w:t xml:space="preserve"> &lt;….&gt; </w:t>
            </w:r>
            <w:r w:rsidRPr="0032658A">
              <w:rPr>
                <w:b/>
                <w:noProof/>
                <w:sz w:val="22"/>
              </w:rPr>
              <w:t>GD</w:t>
            </w:r>
          </w:p>
        </w:tc>
        <w:tc>
          <w:tcPr>
            <w:tcW w:w="2094" w:type="dxa"/>
            <w:gridSpan w:val="2"/>
            <w:vAlign w:val="center"/>
          </w:tcPr>
          <w:p w14:paraId="78F94389" w14:textId="77777777" w:rsidR="00F001BC" w:rsidRPr="0032658A" w:rsidRDefault="00F001BC" w:rsidP="005840B3">
            <w:pPr>
              <w:rPr>
                <w:noProof/>
                <w:sz w:val="14"/>
              </w:rPr>
            </w:pPr>
            <w:r w:rsidRPr="0032658A">
              <w:rPr>
                <w:noProof/>
                <w:sz w:val="18"/>
              </w:rPr>
              <w:t xml:space="preserve">Asignavimai </w:t>
            </w:r>
          </w:p>
        </w:tc>
        <w:tc>
          <w:tcPr>
            <w:tcW w:w="868" w:type="dxa"/>
            <w:vAlign w:val="center"/>
          </w:tcPr>
          <w:p w14:paraId="0DA0D323" w14:textId="77777777" w:rsidR="00F001BC" w:rsidRPr="0032658A" w:rsidRDefault="00F001BC" w:rsidP="005840B3">
            <w:pPr>
              <w:spacing w:before="60" w:after="60"/>
              <w:jc w:val="right"/>
              <w:rPr>
                <w:noProof/>
                <w:sz w:val="20"/>
              </w:rPr>
            </w:pPr>
          </w:p>
        </w:tc>
        <w:tc>
          <w:tcPr>
            <w:tcW w:w="868" w:type="dxa"/>
            <w:vAlign w:val="center"/>
          </w:tcPr>
          <w:p w14:paraId="6DD09CA3" w14:textId="77777777" w:rsidR="00F001BC" w:rsidRPr="0032658A" w:rsidRDefault="00F001BC" w:rsidP="005840B3">
            <w:pPr>
              <w:spacing w:before="20" w:after="20"/>
              <w:jc w:val="right"/>
              <w:rPr>
                <w:noProof/>
                <w:sz w:val="20"/>
              </w:rPr>
            </w:pPr>
          </w:p>
        </w:tc>
        <w:tc>
          <w:tcPr>
            <w:tcW w:w="868" w:type="dxa"/>
            <w:vAlign w:val="center"/>
          </w:tcPr>
          <w:p w14:paraId="7715F885" w14:textId="77777777" w:rsidR="00F001BC" w:rsidRPr="0032658A" w:rsidRDefault="00F001BC" w:rsidP="005840B3">
            <w:pPr>
              <w:spacing w:before="20" w:after="20"/>
              <w:jc w:val="right"/>
              <w:rPr>
                <w:noProof/>
                <w:sz w:val="20"/>
              </w:rPr>
            </w:pPr>
          </w:p>
        </w:tc>
        <w:tc>
          <w:tcPr>
            <w:tcW w:w="868" w:type="dxa"/>
            <w:vAlign w:val="center"/>
          </w:tcPr>
          <w:p w14:paraId="20EC0852" w14:textId="77777777" w:rsidR="00F001BC" w:rsidRPr="0032658A" w:rsidRDefault="00F001BC" w:rsidP="005840B3">
            <w:pPr>
              <w:spacing w:before="20" w:after="20"/>
              <w:jc w:val="right"/>
              <w:rPr>
                <w:noProof/>
                <w:sz w:val="20"/>
              </w:rPr>
            </w:pPr>
          </w:p>
        </w:tc>
        <w:tc>
          <w:tcPr>
            <w:tcW w:w="868" w:type="dxa"/>
            <w:vAlign w:val="center"/>
          </w:tcPr>
          <w:p w14:paraId="1A07EAF6" w14:textId="77777777" w:rsidR="00F001BC" w:rsidRPr="0032658A" w:rsidRDefault="00F001BC" w:rsidP="005840B3">
            <w:pPr>
              <w:spacing w:before="20" w:after="20"/>
              <w:jc w:val="right"/>
              <w:rPr>
                <w:noProof/>
                <w:sz w:val="20"/>
              </w:rPr>
            </w:pPr>
          </w:p>
        </w:tc>
        <w:tc>
          <w:tcPr>
            <w:tcW w:w="868" w:type="dxa"/>
            <w:vAlign w:val="center"/>
          </w:tcPr>
          <w:p w14:paraId="3CCDA98C" w14:textId="77777777" w:rsidR="00F001BC" w:rsidRPr="0032658A" w:rsidRDefault="00F001BC" w:rsidP="005840B3">
            <w:pPr>
              <w:spacing w:before="20" w:after="20"/>
              <w:jc w:val="right"/>
              <w:rPr>
                <w:noProof/>
                <w:sz w:val="20"/>
              </w:rPr>
            </w:pPr>
          </w:p>
        </w:tc>
        <w:tc>
          <w:tcPr>
            <w:tcW w:w="868" w:type="dxa"/>
            <w:vAlign w:val="center"/>
          </w:tcPr>
          <w:p w14:paraId="38EE32F5" w14:textId="77777777" w:rsidR="00F001BC" w:rsidRPr="0032658A" w:rsidRDefault="00F001BC" w:rsidP="005840B3">
            <w:pPr>
              <w:spacing w:before="20" w:after="20"/>
              <w:jc w:val="right"/>
              <w:rPr>
                <w:b/>
                <w:noProof/>
                <w:sz w:val="20"/>
              </w:rPr>
            </w:pPr>
          </w:p>
        </w:tc>
        <w:tc>
          <w:tcPr>
            <w:tcW w:w="1777" w:type="dxa"/>
            <w:vAlign w:val="center"/>
          </w:tcPr>
          <w:p w14:paraId="2525A557" w14:textId="77777777" w:rsidR="00F001BC" w:rsidRPr="0032658A" w:rsidRDefault="00F001BC" w:rsidP="005840B3">
            <w:pPr>
              <w:spacing w:before="20" w:after="20"/>
              <w:jc w:val="right"/>
              <w:rPr>
                <w:b/>
                <w:noProof/>
                <w:sz w:val="20"/>
              </w:rPr>
            </w:pPr>
          </w:p>
        </w:tc>
      </w:tr>
    </w:tbl>
    <w:p w14:paraId="599D01D9" w14:textId="77777777" w:rsidR="00F001BC" w:rsidRPr="0032658A" w:rsidRDefault="00F001BC" w:rsidP="00F001BC">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F001BC" w:rsidRPr="0032658A" w14:paraId="78681240" w14:textId="77777777" w:rsidTr="005840B3">
        <w:tc>
          <w:tcPr>
            <w:tcW w:w="3960" w:type="dxa"/>
            <w:shd w:val="thinDiagStripe" w:color="C0C0C0" w:fill="auto"/>
            <w:vAlign w:val="center"/>
          </w:tcPr>
          <w:p w14:paraId="775CB79F" w14:textId="77777777" w:rsidR="00F001BC" w:rsidRPr="0032658A" w:rsidRDefault="00F001BC" w:rsidP="005840B3">
            <w:pPr>
              <w:jc w:val="center"/>
              <w:rPr>
                <w:b/>
                <w:noProof/>
              </w:rPr>
            </w:pPr>
            <w:r w:rsidRPr="0032658A">
              <w:rPr>
                <w:b/>
                <w:noProof/>
                <w:sz w:val="22"/>
              </w:rPr>
              <w:t>IŠ VISO asignavimų</w:t>
            </w:r>
            <w:r w:rsidRPr="0032658A">
              <w:rPr>
                <w:noProof/>
              </w:rPr>
              <w:t xml:space="preserve"> </w:t>
            </w:r>
            <w:r w:rsidRPr="0032658A">
              <w:rPr>
                <w:noProof/>
              </w:rPr>
              <w:br/>
            </w:r>
            <w:r w:rsidRPr="0032658A">
              <w:rPr>
                <w:b/>
                <w:noProof/>
                <w:sz w:val="22"/>
              </w:rPr>
              <w:t xml:space="preserve">pagal </w:t>
            </w:r>
            <w:r w:rsidRPr="0032658A">
              <w:rPr>
                <w:noProof/>
                <w:sz w:val="22"/>
              </w:rPr>
              <w:t>daugiametės finansinės programos</w:t>
            </w:r>
            <w:r w:rsidRPr="0032658A">
              <w:rPr>
                <w:noProof/>
              </w:rPr>
              <w:t xml:space="preserve"> </w:t>
            </w:r>
            <w:r w:rsidRPr="0032658A">
              <w:rPr>
                <w:noProof/>
              </w:rPr>
              <w:br/>
            </w:r>
            <w:r w:rsidRPr="0032658A">
              <w:rPr>
                <w:b/>
                <w:noProof/>
                <w:sz w:val="22"/>
              </w:rPr>
              <w:t xml:space="preserve">7 IŠLAIDŲ KATEGORIJĄ </w:t>
            </w:r>
          </w:p>
        </w:tc>
        <w:tc>
          <w:tcPr>
            <w:tcW w:w="2094" w:type="dxa"/>
            <w:vAlign w:val="center"/>
          </w:tcPr>
          <w:p w14:paraId="3AFD4E24" w14:textId="77777777" w:rsidR="00F001BC" w:rsidRPr="0032658A" w:rsidRDefault="00F001BC" w:rsidP="005840B3">
            <w:pPr>
              <w:spacing w:before="40" w:after="40"/>
              <w:rPr>
                <w:noProof/>
              </w:rPr>
            </w:pPr>
            <w:r w:rsidRPr="0032658A">
              <w:rPr>
                <w:noProof/>
                <w:sz w:val="18"/>
              </w:rPr>
              <w:t>(Iš viso įsipareigojimų = Iš viso mokėjimų)</w:t>
            </w:r>
          </w:p>
        </w:tc>
        <w:tc>
          <w:tcPr>
            <w:tcW w:w="868" w:type="dxa"/>
            <w:vAlign w:val="center"/>
          </w:tcPr>
          <w:p w14:paraId="22AB8CD4" w14:textId="77777777" w:rsidR="00F001BC" w:rsidRPr="0032658A" w:rsidRDefault="00F001BC" w:rsidP="005840B3">
            <w:pPr>
              <w:spacing w:before="20" w:after="20"/>
              <w:jc w:val="right"/>
              <w:rPr>
                <w:noProof/>
                <w:sz w:val="20"/>
              </w:rPr>
            </w:pPr>
          </w:p>
        </w:tc>
        <w:tc>
          <w:tcPr>
            <w:tcW w:w="868" w:type="dxa"/>
            <w:vAlign w:val="center"/>
          </w:tcPr>
          <w:p w14:paraId="2A465B03" w14:textId="77777777" w:rsidR="00F001BC" w:rsidRPr="0032658A" w:rsidRDefault="00F001BC" w:rsidP="005840B3">
            <w:pPr>
              <w:spacing w:before="20" w:after="20"/>
              <w:jc w:val="right"/>
              <w:rPr>
                <w:noProof/>
                <w:sz w:val="20"/>
              </w:rPr>
            </w:pPr>
          </w:p>
        </w:tc>
        <w:tc>
          <w:tcPr>
            <w:tcW w:w="868" w:type="dxa"/>
            <w:vAlign w:val="center"/>
          </w:tcPr>
          <w:p w14:paraId="681E4C31" w14:textId="77777777" w:rsidR="00F001BC" w:rsidRPr="0032658A" w:rsidRDefault="00F001BC" w:rsidP="005840B3">
            <w:pPr>
              <w:spacing w:before="20" w:after="20"/>
              <w:jc w:val="right"/>
              <w:rPr>
                <w:noProof/>
                <w:sz w:val="20"/>
              </w:rPr>
            </w:pPr>
          </w:p>
        </w:tc>
        <w:tc>
          <w:tcPr>
            <w:tcW w:w="868" w:type="dxa"/>
            <w:vAlign w:val="center"/>
          </w:tcPr>
          <w:p w14:paraId="6D5DE64A" w14:textId="77777777" w:rsidR="00F001BC" w:rsidRPr="0032658A" w:rsidRDefault="00F001BC" w:rsidP="005840B3">
            <w:pPr>
              <w:spacing w:before="20" w:after="20"/>
              <w:jc w:val="right"/>
              <w:rPr>
                <w:noProof/>
                <w:sz w:val="20"/>
              </w:rPr>
            </w:pPr>
          </w:p>
        </w:tc>
        <w:tc>
          <w:tcPr>
            <w:tcW w:w="868" w:type="dxa"/>
            <w:vAlign w:val="center"/>
          </w:tcPr>
          <w:p w14:paraId="465893B4" w14:textId="77777777" w:rsidR="00F001BC" w:rsidRPr="0032658A" w:rsidRDefault="00F001BC" w:rsidP="005840B3">
            <w:pPr>
              <w:spacing w:before="20" w:after="20"/>
              <w:jc w:val="right"/>
              <w:rPr>
                <w:noProof/>
                <w:sz w:val="20"/>
              </w:rPr>
            </w:pPr>
          </w:p>
        </w:tc>
        <w:tc>
          <w:tcPr>
            <w:tcW w:w="868" w:type="dxa"/>
            <w:vAlign w:val="center"/>
          </w:tcPr>
          <w:p w14:paraId="4F272CBE" w14:textId="77777777" w:rsidR="00F001BC" w:rsidRPr="0032658A" w:rsidRDefault="00F001BC" w:rsidP="005840B3">
            <w:pPr>
              <w:spacing w:before="20" w:after="20"/>
              <w:jc w:val="right"/>
              <w:rPr>
                <w:noProof/>
                <w:sz w:val="20"/>
              </w:rPr>
            </w:pPr>
          </w:p>
        </w:tc>
        <w:tc>
          <w:tcPr>
            <w:tcW w:w="868" w:type="dxa"/>
            <w:vAlign w:val="center"/>
          </w:tcPr>
          <w:p w14:paraId="2CEC5263" w14:textId="77777777" w:rsidR="00F001BC" w:rsidRPr="0032658A" w:rsidRDefault="00F001BC" w:rsidP="005840B3">
            <w:pPr>
              <w:spacing w:before="20" w:after="20"/>
              <w:jc w:val="right"/>
              <w:rPr>
                <w:b/>
                <w:noProof/>
                <w:sz w:val="20"/>
              </w:rPr>
            </w:pPr>
          </w:p>
        </w:tc>
        <w:tc>
          <w:tcPr>
            <w:tcW w:w="1777" w:type="dxa"/>
            <w:vAlign w:val="center"/>
          </w:tcPr>
          <w:p w14:paraId="01215FE2" w14:textId="77777777" w:rsidR="00F001BC" w:rsidRPr="0032658A" w:rsidRDefault="00F001BC" w:rsidP="005840B3">
            <w:pPr>
              <w:spacing w:before="20" w:after="20"/>
              <w:jc w:val="right"/>
              <w:rPr>
                <w:b/>
                <w:noProof/>
                <w:sz w:val="20"/>
              </w:rPr>
            </w:pPr>
          </w:p>
        </w:tc>
      </w:tr>
    </w:tbl>
    <w:p w14:paraId="4B912773" w14:textId="77777777" w:rsidR="00F001BC" w:rsidRPr="0032658A" w:rsidRDefault="00F001BC" w:rsidP="00F001BC">
      <w:pPr>
        <w:jc w:val="right"/>
        <w:rPr>
          <w:noProof/>
          <w:sz w:val="20"/>
        </w:rPr>
      </w:pPr>
      <w:r w:rsidRPr="0032658A">
        <w:rPr>
          <w:noProof/>
          <w:sz w:val="20"/>
        </w:rPr>
        <w:t>mln. EUR (tūkstantųjų tikslumu)</w:t>
      </w:r>
    </w:p>
    <w:tbl>
      <w:tblPr>
        <w:tblpPr w:leftFromText="180" w:rightFromText="180" w:vertAnchor="text" w:tblpX="-2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200"/>
        <w:gridCol w:w="1445"/>
      </w:tblGrid>
      <w:tr w:rsidR="00F001BC" w:rsidRPr="0032658A" w14:paraId="1BC01432" w14:textId="77777777" w:rsidTr="001E1EB3">
        <w:tc>
          <w:tcPr>
            <w:tcW w:w="3960" w:type="dxa"/>
            <w:tcBorders>
              <w:top w:val="nil"/>
              <w:left w:val="nil"/>
              <w:right w:val="nil"/>
            </w:tcBorders>
            <w:vAlign w:val="center"/>
          </w:tcPr>
          <w:p w14:paraId="1AA33215" w14:textId="77777777" w:rsidR="00F001BC" w:rsidRPr="0032658A" w:rsidRDefault="00F001BC" w:rsidP="001E1EB3">
            <w:pPr>
              <w:jc w:val="center"/>
              <w:rPr>
                <w:noProof/>
              </w:rPr>
            </w:pPr>
          </w:p>
        </w:tc>
        <w:tc>
          <w:tcPr>
            <w:tcW w:w="1560" w:type="dxa"/>
            <w:tcBorders>
              <w:top w:val="nil"/>
              <w:left w:val="nil"/>
              <w:right w:val="nil"/>
            </w:tcBorders>
          </w:tcPr>
          <w:p w14:paraId="01C5182A" w14:textId="77777777" w:rsidR="00F001BC" w:rsidRPr="0032658A" w:rsidRDefault="00F001BC" w:rsidP="001E1EB3">
            <w:pPr>
              <w:rPr>
                <w:noProof/>
                <w:sz w:val="20"/>
              </w:rPr>
            </w:pPr>
          </w:p>
        </w:tc>
        <w:tc>
          <w:tcPr>
            <w:tcW w:w="534" w:type="dxa"/>
            <w:tcBorders>
              <w:top w:val="nil"/>
              <w:left w:val="nil"/>
            </w:tcBorders>
          </w:tcPr>
          <w:p w14:paraId="013CB025" w14:textId="77777777" w:rsidR="00F001BC" w:rsidRPr="0032658A" w:rsidRDefault="00F001BC" w:rsidP="001E1EB3">
            <w:pPr>
              <w:jc w:val="center"/>
              <w:rPr>
                <w:noProof/>
                <w:sz w:val="20"/>
              </w:rPr>
            </w:pPr>
          </w:p>
        </w:tc>
        <w:tc>
          <w:tcPr>
            <w:tcW w:w="868" w:type="dxa"/>
            <w:vAlign w:val="center"/>
          </w:tcPr>
          <w:p w14:paraId="103E275B" w14:textId="77777777" w:rsidR="00F001BC" w:rsidRPr="0032658A" w:rsidRDefault="00F001BC" w:rsidP="001E1EB3">
            <w:pPr>
              <w:jc w:val="center"/>
              <w:rPr>
                <w:noProof/>
                <w:sz w:val="20"/>
              </w:rPr>
            </w:pPr>
            <w:r w:rsidRPr="0032658A">
              <w:rPr>
                <w:b/>
                <w:noProof/>
                <w:sz w:val="20"/>
              </w:rPr>
              <w:t>2025</w:t>
            </w:r>
            <w:r w:rsidRPr="0032658A">
              <w:rPr>
                <w:noProof/>
              </w:rPr>
              <w:t xml:space="preserve"> </w:t>
            </w:r>
            <w:r w:rsidRPr="0032658A">
              <w:rPr>
                <w:noProof/>
              </w:rPr>
              <w:br/>
            </w:r>
            <w:r w:rsidRPr="0032658A">
              <w:rPr>
                <w:noProof/>
                <w:sz w:val="20"/>
              </w:rPr>
              <w:t>metai</w:t>
            </w:r>
          </w:p>
        </w:tc>
        <w:tc>
          <w:tcPr>
            <w:tcW w:w="868" w:type="dxa"/>
            <w:vAlign w:val="center"/>
          </w:tcPr>
          <w:p w14:paraId="3B78831A" w14:textId="77777777" w:rsidR="00F001BC" w:rsidRPr="0032658A" w:rsidRDefault="00F001BC" w:rsidP="001E1EB3">
            <w:pPr>
              <w:jc w:val="center"/>
              <w:rPr>
                <w:noProof/>
                <w:sz w:val="20"/>
              </w:rPr>
            </w:pPr>
            <w:r w:rsidRPr="0032658A">
              <w:rPr>
                <w:b/>
                <w:bCs/>
                <w:noProof/>
                <w:sz w:val="20"/>
              </w:rPr>
              <w:t>2026</w:t>
            </w:r>
            <w:r w:rsidRPr="0032658A">
              <w:rPr>
                <w:noProof/>
              </w:rPr>
              <w:t xml:space="preserve"> </w:t>
            </w:r>
            <w:r w:rsidRPr="0032658A">
              <w:rPr>
                <w:noProof/>
              </w:rPr>
              <w:br/>
            </w:r>
            <w:r w:rsidRPr="0032658A">
              <w:rPr>
                <w:noProof/>
                <w:sz w:val="20"/>
              </w:rPr>
              <w:t>metai</w:t>
            </w:r>
          </w:p>
        </w:tc>
        <w:tc>
          <w:tcPr>
            <w:tcW w:w="868" w:type="dxa"/>
            <w:vAlign w:val="center"/>
          </w:tcPr>
          <w:p w14:paraId="194A5A3D" w14:textId="77777777" w:rsidR="00F001BC" w:rsidRPr="0032658A" w:rsidRDefault="00F001BC" w:rsidP="001E1EB3">
            <w:pPr>
              <w:jc w:val="center"/>
              <w:rPr>
                <w:noProof/>
                <w:sz w:val="20"/>
              </w:rPr>
            </w:pPr>
            <w:r w:rsidRPr="0032658A">
              <w:rPr>
                <w:b/>
                <w:bCs/>
                <w:noProof/>
                <w:sz w:val="20"/>
              </w:rPr>
              <w:t>2027</w:t>
            </w:r>
            <w:r w:rsidRPr="0032658A">
              <w:rPr>
                <w:noProof/>
              </w:rPr>
              <w:t xml:space="preserve"> </w:t>
            </w:r>
            <w:r w:rsidRPr="0032658A">
              <w:rPr>
                <w:noProof/>
              </w:rPr>
              <w:br/>
            </w:r>
            <w:r w:rsidRPr="0032658A">
              <w:rPr>
                <w:noProof/>
                <w:sz w:val="20"/>
              </w:rPr>
              <w:t>metai</w:t>
            </w:r>
          </w:p>
        </w:tc>
        <w:tc>
          <w:tcPr>
            <w:tcW w:w="1200" w:type="dxa"/>
            <w:vAlign w:val="center"/>
          </w:tcPr>
          <w:p w14:paraId="5474A163" w14:textId="77777777" w:rsidR="00F001BC" w:rsidRPr="0032658A" w:rsidRDefault="00F001BC" w:rsidP="001E1EB3">
            <w:pPr>
              <w:jc w:val="center"/>
              <w:rPr>
                <w:noProof/>
                <w:sz w:val="20"/>
              </w:rPr>
            </w:pPr>
            <w:r w:rsidRPr="0032658A">
              <w:rPr>
                <w:b/>
                <w:bCs/>
                <w:noProof/>
                <w:sz w:val="20"/>
              </w:rPr>
              <w:t>2028–2034</w:t>
            </w:r>
            <w:r w:rsidRPr="0032658A">
              <w:rPr>
                <w:noProof/>
              </w:rPr>
              <w:t xml:space="preserve"> </w:t>
            </w:r>
            <w:r w:rsidRPr="0032658A">
              <w:rPr>
                <w:noProof/>
              </w:rPr>
              <w:br/>
            </w:r>
            <w:r w:rsidRPr="0032658A">
              <w:rPr>
                <w:noProof/>
                <w:sz w:val="20"/>
              </w:rPr>
              <w:t>metai</w:t>
            </w:r>
          </w:p>
        </w:tc>
        <w:tc>
          <w:tcPr>
            <w:tcW w:w="1445" w:type="dxa"/>
            <w:vAlign w:val="center"/>
          </w:tcPr>
          <w:p w14:paraId="19603AE5" w14:textId="77777777" w:rsidR="00F001BC" w:rsidRPr="0032658A" w:rsidRDefault="00F001BC" w:rsidP="001E1EB3">
            <w:pPr>
              <w:jc w:val="center"/>
              <w:rPr>
                <w:b/>
                <w:noProof/>
                <w:sz w:val="20"/>
              </w:rPr>
            </w:pPr>
            <w:r w:rsidRPr="0032658A">
              <w:rPr>
                <w:b/>
                <w:noProof/>
                <w:sz w:val="20"/>
              </w:rPr>
              <w:t>IŠ VISO</w:t>
            </w:r>
          </w:p>
        </w:tc>
      </w:tr>
      <w:tr w:rsidR="00F001BC" w:rsidRPr="0032658A" w14:paraId="6E138601" w14:textId="77777777" w:rsidTr="001E1EB3">
        <w:tc>
          <w:tcPr>
            <w:tcW w:w="3960" w:type="dxa"/>
            <w:vMerge w:val="restart"/>
            <w:shd w:val="clear" w:color="auto" w:fill="C0C0C0"/>
            <w:vAlign w:val="center"/>
          </w:tcPr>
          <w:p w14:paraId="32D39410" w14:textId="77777777" w:rsidR="00F001BC" w:rsidRPr="0032658A" w:rsidRDefault="00F001BC" w:rsidP="001E1EB3">
            <w:pPr>
              <w:jc w:val="center"/>
              <w:rPr>
                <w:b/>
                <w:noProof/>
              </w:rPr>
            </w:pPr>
            <w:r w:rsidRPr="0032658A">
              <w:rPr>
                <w:b/>
                <w:noProof/>
                <w:sz w:val="22"/>
              </w:rPr>
              <w:t>IŠ VISO asignavimų</w:t>
            </w:r>
            <w:r w:rsidRPr="0032658A">
              <w:rPr>
                <w:noProof/>
              </w:rPr>
              <w:t xml:space="preserve"> </w:t>
            </w:r>
            <w:r w:rsidRPr="0032658A">
              <w:rPr>
                <w:noProof/>
              </w:rPr>
              <w:br/>
            </w:r>
            <w:r w:rsidRPr="0032658A">
              <w:rPr>
                <w:b/>
                <w:noProof/>
                <w:sz w:val="22"/>
              </w:rPr>
              <w:t xml:space="preserve">pagal </w:t>
            </w:r>
            <w:r w:rsidRPr="0032658A">
              <w:rPr>
                <w:noProof/>
                <w:sz w:val="22"/>
              </w:rPr>
              <w:t>daugiametės finansinės programos</w:t>
            </w:r>
            <w:r w:rsidRPr="0032658A">
              <w:rPr>
                <w:noProof/>
              </w:rPr>
              <w:t xml:space="preserve"> </w:t>
            </w:r>
            <w:r w:rsidRPr="0032658A">
              <w:rPr>
                <w:noProof/>
              </w:rPr>
              <w:br/>
            </w:r>
            <w:r w:rsidRPr="0032658A">
              <w:rPr>
                <w:b/>
                <w:noProof/>
                <w:sz w:val="22"/>
              </w:rPr>
              <w:t xml:space="preserve">1–7 IŠLAIDŲ KATEGORIJAS </w:t>
            </w:r>
          </w:p>
        </w:tc>
        <w:tc>
          <w:tcPr>
            <w:tcW w:w="2094" w:type="dxa"/>
            <w:gridSpan w:val="2"/>
            <w:vAlign w:val="center"/>
          </w:tcPr>
          <w:p w14:paraId="79E3F1BE" w14:textId="77777777" w:rsidR="00F001BC" w:rsidRPr="0032658A" w:rsidRDefault="00F001BC" w:rsidP="001E1EB3">
            <w:pPr>
              <w:rPr>
                <w:noProof/>
                <w:sz w:val="14"/>
              </w:rPr>
            </w:pPr>
            <w:r w:rsidRPr="0032658A">
              <w:rPr>
                <w:noProof/>
                <w:sz w:val="18"/>
              </w:rPr>
              <w:t>Įsipareigojimai</w:t>
            </w:r>
          </w:p>
        </w:tc>
        <w:tc>
          <w:tcPr>
            <w:tcW w:w="868" w:type="dxa"/>
          </w:tcPr>
          <w:p w14:paraId="38BDEE40" w14:textId="77777777" w:rsidR="00F001BC" w:rsidRPr="0032658A" w:rsidRDefault="00F001BC" w:rsidP="001E1EB3">
            <w:pPr>
              <w:spacing w:before="60" w:after="60"/>
              <w:jc w:val="right"/>
              <w:rPr>
                <w:noProof/>
                <w:sz w:val="20"/>
              </w:rPr>
            </w:pPr>
            <w:r w:rsidRPr="0032658A">
              <w:rPr>
                <w:noProof/>
                <w:sz w:val="20"/>
              </w:rPr>
              <w:t>0,239</w:t>
            </w:r>
          </w:p>
        </w:tc>
        <w:tc>
          <w:tcPr>
            <w:tcW w:w="868" w:type="dxa"/>
          </w:tcPr>
          <w:p w14:paraId="6969DA33" w14:textId="77777777" w:rsidR="00F001BC" w:rsidRPr="0032658A" w:rsidRDefault="00F001BC" w:rsidP="001E1EB3">
            <w:pPr>
              <w:spacing w:before="60" w:after="60"/>
              <w:jc w:val="right"/>
              <w:rPr>
                <w:noProof/>
                <w:sz w:val="20"/>
              </w:rPr>
            </w:pPr>
            <w:r w:rsidRPr="0032658A">
              <w:rPr>
                <w:noProof/>
                <w:sz w:val="20"/>
              </w:rPr>
              <w:t>0,821</w:t>
            </w:r>
          </w:p>
        </w:tc>
        <w:tc>
          <w:tcPr>
            <w:tcW w:w="868" w:type="dxa"/>
          </w:tcPr>
          <w:p w14:paraId="1CE4C546" w14:textId="77777777" w:rsidR="00F001BC" w:rsidRPr="0032658A" w:rsidRDefault="00F001BC" w:rsidP="001E1EB3">
            <w:pPr>
              <w:spacing w:before="60" w:after="60"/>
              <w:jc w:val="right"/>
              <w:rPr>
                <w:noProof/>
                <w:sz w:val="20"/>
              </w:rPr>
            </w:pPr>
            <w:r w:rsidRPr="0032658A">
              <w:rPr>
                <w:noProof/>
                <w:sz w:val="20"/>
              </w:rPr>
              <w:t>0,846</w:t>
            </w:r>
          </w:p>
        </w:tc>
        <w:tc>
          <w:tcPr>
            <w:tcW w:w="1200" w:type="dxa"/>
          </w:tcPr>
          <w:p w14:paraId="0F70D3BE" w14:textId="77777777" w:rsidR="00F001BC" w:rsidRPr="0032658A" w:rsidRDefault="00F001BC" w:rsidP="001E1EB3">
            <w:pPr>
              <w:spacing w:before="60" w:after="60"/>
              <w:jc w:val="right"/>
              <w:rPr>
                <w:noProof/>
                <w:sz w:val="20"/>
              </w:rPr>
            </w:pPr>
            <w:r w:rsidRPr="0032658A">
              <w:rPr>
                <w:noProof/>
                <w:sz w:val="20"/>
              </w:rPr>
              <w:t>4,172</w:t>
            </w:r>
          </w:p>
        </w:tc>
        <w:tc>
          <w:tcPr>
            <w:tcW w:w="1445" w:type="dxa"/>
          </w:tcPr>
          <w:p w14:paraId="7677D42C" w14:textId="77777777" w:rsidR="00F001BC" w:rsidRPr="0032658A" w:rsidRDefault="00F001BC" w:rsidP="001E1EB3">
            <w:pPr>
              <w:spacing w:before="60" w:after="60"/>
              <w:jc w:val="right"/>
              <w:rPr>
                <w:b/>
                <w:noProof/>
                <w:sz w:val="20"/>
              </w:rPr>
            </w:pPr>
            <w:r w:rsidRPr="0032658A">
              <w:rPr>
                <w:b/>
                <w:noProof/>
                <w:sz w:val="20"/>
              </w:rPr>
              <w:t>6,078</w:t>
            </w:r>
          </w:p>
        </w:tc>
      </w:tr>
      <w:tr w:rsidR="00F001BC" w:rsidRPr="0032658A" w14:paraId="33F97A71" w14:textId="77777777" w:rsidTr="001E1EB3">
        <w:tc>
          <w:tcPr>
            <w:tcW w:w="3960" w:type="dxa"/>
            <w:vMerge/>
            <w:vAlign w:val="center"/>
          </w:tcPr>
          <w:p w14:paraId="7E08D576" w14:textId="77777777" w:rsidR="00F001BC" w:rsidRPr="0032658A" w:rsidRDefault="00F001BC" w:rsidP="001E1EB3">
            <w:pPr>
              <w:rPr>
                <w:b/>
                <w:noProof/>
              </w:rPr>
            </w:pPr>
          </w:p>
        </w:tc>
        <w:tc>
          <w:tcPr>
            <w:tcW w:w="2094" w:type="dxa"/>
            <w:gridSpan w:val="2"/>
            <w:vAlign w:val="center"/>
          </w:tcPr>
          <w:p w14:paraId="33F20EDF" w14:textId="77777777" w:rsidR="00F001BC" w:rsidRPr="0032658A" w:rsidRDefault="00F001BC" w:rsidP="001E1EB3">
            <w:pPr>
              <w:rPr>
                <w:noProof/>
                <w:sz w:val="14"/>
              </w:rPr>
            </w:pPr>
            <w:r w:rsidRPr="0032658A">
              <w:rPr>
                <w:noProof/>
                <w:sz w:val="18"/>
              </w:rPr>
              <w:t>Mokėjimai</w:t>
            </w:r>
          </w:p>
        </w:tc>
        <w:tc>
          <w:tcPr>
            <w:tcW w:w="868" w:type="dxa"/>
          </w:tcPr>
          <w:p w14:paraId="6831565A" w14:textId="77777777" w:rsidR="00F001BC" w:rsidRPr="0032658A" w:rsidRDefault="00F001BC" w:rsidP="001E1EB3">
            <w:pPr>
              <w:spacing w:before="60" w:after="60"/>
              <w:jc w:val="right"/>
              <w:rPr>
                <w:noProof/>
                <w:sz w:val="20"/>
              </w:rPr>
            </w:pPr>
            <w:r w:rsidRPr="0032658A">
              <w:rPr>
                <w:noProof/>
                <w:sz w:val="20"/>
              </w:rPr>
              <w:t>0,239</w:t>
            </w:r>
          </w:p>
        </w:tc>
        <w:tc>
          <w:tcPr>
            <w:tcW w:w="868" w:type="dxa"/>
          </w:tcPr>
          <w:p w14:paraId="47CAB6A0" w14:textId="77777777" w:rsidR="00F001BC" w:rsidRPr="0032658A" w:rsidRDefault="00F001BC" w:rsidP="001E1EB3">
            <w:pPr>
              <w:spacing w:before="60" w:after="60"/>
              <w:jc w:val="right"/>
              <w:rPr>
                <w:noProof/>
                <w:sz w:val="20"/>
              </w:rPr>
            </w:pPr>
            <w:r w:rsidRPr="0032658A">
              <w:rPr>
                <w:noProof/>
                <w:sz w:val="20"/>
              </w:rPr>
              <w:t>0,821</w:t>
            </w:r>
          </w:p>
        </w:tc>
        <w:tc>
          <w:tcPr>
            <w:tcW w:w="868" w:type="dxa"/>
          </w:tcPr>
          <w:p w14:paraId="46CD0299" w14:textId="77777777" w:rsidR="00F001BC" w:rsidRPr="0032658A" w:rsidRDefault="00F001BC" w:rsidP="001E1EB3">
            <w:pPr>
              <w:spacing w:before="60" w:after="60"/>
              <w:jc w:val="right"/>
              <w:rPr>
                <w:noProof/>
                <w:sz w:val="20"/>
              </w:rPr>
            </w:pPr>
            <w:r w:rsidRPr="0032658A">
              <w:rPr>
                <w:noProof/>
                <w:sz w:val="20"/>
              </w:rPr>
              <w:t>0,846</w:t>
            </w:r>
          </w:p>
        </w:tc>
        <w:tc>
          <w:tcPr>
            <w:tcW w:w="1200" w:type="dxa"/>
          </w:tcPr>
          <w:p w14:paraId="41E985B1" w14:textId="77777777" w:rsidR="00F001BC" w:rsidRPr="0032658A" w:rsidRDefault="00F001BC" w:rsidP="001E1EB3">
            <w:pPr>
              <w:spacing w:before="60" w:after="60"/>
              <w:jc w:val="right"/>
              <w:rPr>
                <w:noProof/>
                <w:sz w:val="20"/>
              </w:rPr>
            </w:pPr>
            <w:r w:rsidRPr="0032658A">
              <w:rPr>
                <w:noProof/>
                <w:sz w:val="20"/>
              </w:rPr>
              <w:t>4,172</w:t>
            </w:r>
          </w:p>
        </w:tc>
        <w:tc>
          <w:tcPr>
            <w:tcW w:w="1445" w:type="dxa"/>
          </w:tcPr>
          <w:p w14:paraId="36BAB689" w14:textId="77777777" w:rsidR="00F001BC" w:rsidRPr="0032658A" w:rsidRDefault="00F001BC" w:rsidP="001E1EB3">
            <w:pPr>
              <w:spacing w:before="60" w:after="60"/>
              <w:jc w:val="right"/>
              <w:rPr>
                <w:b/>
                <w:noProof/>
                <w:sz w:val="20"/>
              </w:rPr>
            </w:pPr>
            <w:r w:rsidRPr="0032658A">
              <w:rPr>
                <w:b/>
                <w:noProof/>
                <w:sz w:val="20"/>
              </w:rPr>
              <w:t>6,078</w:t>
            </w:r>
          </w:p>
        </w:tc>
      </w:tr>
    </w:tbl>
    <w:p w14:paraId="04DAFE45" w14:textId="77777777" w:rsidR="001E1EB3" w:rsidRPr="0032658A" w:rsidRDefault="001E1EB3" w:rsidP="00F001BC">
      <w:pPr>
        <w:rPr>
          <w:noProof/>
        </w:rPr>
      </w:pPr>
    </w:p>
    <w:p w14:paraId="60595FE7" w14:textId="77777777" w:rsidR="001E1EB3" w:rsidRPr="0032658A" w:rsidRDefault="001E1EB3" w:rsidP="001E1EB3">
      <w:pPr>
        <w:rPr>
          <w:noProof/>
        </w:rPr>
      </w:pPr>
    </w:p>
    <w:p w14:paraId="5FC0FBA8" w14:textId="77777777" w:rsidR="001E1EB3" w:rsidRPr="0032658A" w:rsidRDefault="001E1EB3" w:rsidP="001E1EB3">
      <w:pPr>
        <w:rPr>
          <w:noProof/>
        </w:rPr>
      </w:pPr>
    </w:p>
    <w:p w14:paraId="0983349A" w14:textId="77777777" w:rsidR="001E1EB3" w:rsidRPr="0032658A" w:rsidRDefault="001E1EB3" w:rsidP="001E1EB3">
      <w:pPr>
        <w:rPr>
          <w:noProof/>
        </w:rPr>
      </w:pPr>
    </w:p>
    <w:p w14:paraId="09859FE3" w14:textId="77777777" w:rsidR="001E1EB3" w:rsidRPr="0032658A" w:rsidRDefault="001E1EB3" w:rsidP="001E1EB3">
      <w:pPr>
        <w:rPr>
          <w:noProof/>
        </w:rPr>
      </w:pPr>
    </w:p>
    <w:p w14:paraId="665373D2" w14:textId="77777777" w:rsidR="001E1EB3" w:rsidRPr="0032658A" w:rsidRDefault="001E1EB3" w:rsidP="001E1EB3">
      <w:pPr>
        <w:rPr>
          <w:noProof/>
        </w:rPr>
      </w:pPr>
    </w:p>
    <w:p w14:paraId="2A8F2D83" w14:textId="77777777" w:rsidR="001E1EB3" w:rsidRPr="0032658A" w:rsidRDefault="001E1EB3" w:rsidP="001E1EB3">
      <w:pPr>
        <w:rPr>
          <w:noProof/>
        </w:rPr>
      </w:pPr>
      <w:r w:rsidRPr="0032658A">
        <w:rPr>
          <w:noProof/>
        </w:rPr>
        <w:t>Poveikis biudžetui po dabartinės DFP yra preliminari apžvalga, nedaranti poveikio susitarimui dėl būsimos DFP</w:t>
      </w:r>
    </w:p>
    <w:p w14:paraId="51D1B57C" w14:textId="77777777" w:rsidR="001E1EB3" w:rsidRPr="0032658A" w:rsidRDefault="001E1EB3" w:rsidP="001E1EB3">
      <w:pPr>
        <w:rPr>
          <w:noProof/>
        </w:rPr>
      </w:pPr>
    </w:p>
    <w:p w14:paraId="752C270B" w14:textId="77777777" w:rsidR="00F001BC" w:rsidRPr="0032658A" w:rsidRDefault="00F001BC" w:rsidP="00ED3103">
      <w:pPr>
        <w:rPr>
          <w:noProof/>
        </w:rPr>
        <w:sectPr w:rsidR="00F001BC" w:rsidRPr="0032658A" w:rsidSect="00767E81">
          <w:headerReference w:type="default" r:id="rId15"/>
          <w:footerReference w:type="default" r:id="rId16"/>
          <w:headerReference w:type="first" r:id="rId17"/>
          <w:footerReference w:type="first" r:id="rId18"/>
          <w:pgSz w:w="15840" w:h="12240" w:orient="landscape"/>
          <w:pgMar w:top="1134" w:right="1077" w:bottom="902" w:left="1247" w:header="709" w:footer="510" w:gutter="0"/>
          <w:cols w:space="720"/>
          <w:docGrid w:linePitch="326"/>
        </w:sectPr>
      </w:pPr>
    </w:p>
    <w:p w14:paraId="39E2B866" w14:textId="77777777" w:rsidR="00F001BC" w:rsidRPr="0032658A" w:rsidRDefault="00F001BC" w:rsidP="00F001BC">
      <w:pPr>
        <w:pStyle w:val="ManualHeading3"/>
        <w:rPr>
          <w:noProof/>
        </w:rPr>
      </w:pPr>
      <w:bookmarkStart w:id="57" w:name="_Toc514938687"/>
      <w:bookmarkStart w:id="58" w:name="_Toc520485446"/>
      <w:r w:rsidRPr="0032658A">
        <w:rPr>
          <w:noProof/>
        </w:rPr>
        <w:t>3.2.2.</w:t>
      </w:r>
      <w:r w:rsidRPr="0032658A">
        <w:rPr>
          <w:noProof/>
        </w:rPr>
        <w:tab/>
        <w:t>Numatomas poveikis EMSA veiklos asignavimams</w:t>
      </w:r>
      <w:bookmarkEnd w:id="57"/>
      <w:bookmarkEnd w:id="58"/>
      <w:r w:rsidRPr="0032658A">
        <w:rPr>
          <w:noProof/>
        </w:rPr>
        <w:t xml:space="preserve"> </w:t>
      </w:r>
    </w:p>
    <w:p w14:paraId="49C8EE01" w14:textId="77777777" w:rsidR="00F001BC" w:rsidRPr="0032658A" w:rsidRDefault="00F001BC" w:rsidP="008305F0">
      <w:pPr>
        <w:pStyle w:val="ListDash1"/>
        <w:rPr>
          <w:noProof/>
        </w:rPr>
      </w:pPr>
      <w:r w:rsidRPr="0032658A">
        <w:rPr>
          <w:noProof/>
        </w:rPr>
        <w:sym w:font="Wingdings" w:char="F0FE"/>
      </w:r>
      <w:r w:rsidRPr="0032658A">
        <w:rPr>
          <w:noProof/>
        </w:rPr>
        <w:tab/>
        <w:t xml:space="preserve">Pasiūlymui (iniciatyvai) įgyvendinti veiklos asignavimai nenaudojami </w:t>
      </w:r>
    </w:p>
    <w:p w14:paraId="3C5F8B1C" w14:textId="77777777" w:rsidR="00F001BC" w:rsidRPr="0032658A" w:rsidRDefault="00F001BC" w:rsidP="008305F0">
      <w:pPr>
        <w:pStyle w:val="ListDash1"/>
        <w:rPr>
          <w:noProof/>
        </w:rPr>
      </w:pPr>
      <w:r w:rsidRPr="0032658A">
        <w:rPr>
          <w:noProof/>
        </w:rPr>
        <w:sym w:font="Wingdings" w:char="F0A8"/>
      </w:r>
      <w:r w:rsidRPr="0032658A">
        <w:rPr>
          <w:noProof/>
        </w:rPr>
        <w:tab/>
        <w:t>Pasiūlymui (iniciatyvai) įgyvendinti veiklos asignavimai naudojami taip:</w:t>
      </w:r>
    </w:p>
    <w:p w14:paraId="3868767B" w14:textId="77777777" w:rsidR="00F001BC" w:rsidRPr="0032658A" w:rsidRDefault="00F001BC" w:rsidP="00F001BC">
      <w:pPr>
        <w:jc w:val="right"/>
        <w:rPr>
          <w:noProof/>
          <w:sz w:val="20"/>
        </w:rPr>
      </w:pPr>
      <w:r w:rsidRPr="0032658A">
        <w:rPr>
          <w:noProof/>
          <w:sz w:val="20"/>
        </w:rPr>
        <w:t>Sumos mln. EUR (tūkstantųjų tikslumu)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956"/>
        <w:gridCol w:w="249"/>
        <w:gridCol w:w="951"/>
        <w:gridCol w:w="309"/>
        <w:gridCol w:w="1011"/>
        <w:gridCol w:w="429"/>
        <w:gridCol w:w="1011"/>
        <w:gridCol w:w="360"/>
        <w:gridCol w:w="300"/>
        <w:gridCol w:w="669"/>
        <w:gridCol w:w="351"/>
        <w:gridCol w:w="960"/>
        <w:gridCol w:w="309"/>
        <w:gridCol w:w="1011"/>
        <w:gridCol w:w="249"/>
        <w:gridCol w:w="1071"/>
        <w:gridCol w:w="840"/>
        <w:gridCol w:w="840"/>
      </w:tblGrid>
      <w:tr w:rsidR="00F001BC" w:rsidRPr="0032658A" w14:paraId="17D9C150" w14:textId="77777777" w:rsidTr="00A6396C">
        <w:trPr>
          <w:jc w:val="center"/>
        </w:trPr>
        <w:tc>
          <w:tcPr>
            <w:tcW w:w="1423" w:type="dxa"/>
            <w:vMerge w:val="restart"/>
            <w:vAlign w:val="center"/>
          </w:tcPr>
          <w:p w14:paraId="1A962733" w14:textId="77777777" w:rsidR="00F001BC" w:rsidRPr="0032658A" w:rsidRDefault="00F001BC" w:rsidP="005840B3">
            <w:pPr>
              <w:ind w:right="-29"/>
              <w:jc w:val="center"/>
              <w:rPr>
                <w:b/>
                <w:noProof/>
                <w:sz w:val="18"/>
              </w:rPr>
            </w:pPr>
            <w:r w:rsidRPr="0032658A">
              <w:rPr>
                <w:b/>
                <w:noProof/>
                <w:sz w:val="18"/>
              </w:rPr>
              <w:t xml:space="preserve">Nurodyti tikslus ir atliktus darbus </w:t>
            </w:r>
          </w:p>
          <w:p w14:paraId="0D6A9331" w14:textId="77777777" w:rsidR="00F001BC" w:rsidRPr="0032658A" w:rsidRDefault="00F001BC" w:rsidP="005840B3">
            <w:pPr>
              <w:ind w:right="-29"/>
              <w:jc w:val="center"/>
              <w:rPr>
                <w:b/>
                <w:noProof/>
                <w:sz w:val="18"/>
              </w:rPr>
            </w:pPr>
          </w:p>
          <w:p w14:paraId="4C9D731A" w14:textId="77777777" w:rsidR="00F001BC" w:rsidRPr="0032658A" w:rsidRDefault="00F001BC" w:rsidP="005840B3">
            <w:pPr>
              <w:ind w:right="-29"/>
              <w:jc w:val="center"/>
              <w:rPr>
                <w:noProof/>
                <w:sz w:val="18"/>
              </w:rPr>
            </w:pPr>
            <w:r w:rsidRPr="0032658A">
              <w:rPr>
                <w:noProof/>
                <w:sz w:val="18"/>
              </w:rPr>
              <w:sym w:font="Wingdings" w:char="F0F2"/>
            </w:r>
          </w:p>
        </w:tc>
        <w:tc>
          <w:tcPr>
            <w:tcW w:w="720" w:type="dxa"/>
            <w:vAlign w:val="center"/>
          </w:tcPr>
          <w:p w14:paraId="4F557E0B" w14:textId="77777777" w:rsidR="00F001BC" w:rsidRPr="0032658A" w:rsidRDefault="00F001BC" w:rsidP="005840B3">
            <w:pPr>
              <w:ind w:right="-29"/>
              <w:jc w:val="center"/>
              <w:rPr>
                <w:noProof/>
                <w:sz w:val="18"/>
              </w:rPr>
            </w:pPr>
          </w:p>
        </w:tc>
        <w:tc>
          <w:tcPr>
            <w:tcW w:w="956" w:type="dxa"/>
            <w:vAlign w:val="center"/>
          </w:tcPr>
          <w:p w14:paraId="1DD13E6B" w14:textId="77777777" w:rsidR="00F001BC" w:rsidRPr="0032658A" w:rsidRDefault="00F001BC" w:rsidP="005840B3">
            <w:pPr>
              <w:ind w:right="-29"/>
              <w:jc w:val="center"/>
              <w:rPr>
                <w:noProof/>
                <w:sz w:val="18"/>
              </w:rPr>
            </w:pPr>
          </w:p>
        </w:tc>
        <w:tc>
          <w:tcPr>
            <w:tcW w:w="1200" w:type="dxa"/>
            <w:gridSpan w:val="2"/>
            <w:tcBorders>
              <w:left w:val="nil"/>
            </w:tcBorders>
            <w:vAlign w:val="center"/>
          </w:tcPr>
          <w:p w14:paraId="7F546137" w14:textId="77777777" w:rsidR="00F001BC" w:rsidRPr="0032658A" w:rsidRDefault="00F001BC" w:rsidP="005840B3">
            <w:pPr>
              <w:ind w:right="-29"/>
              <w:jc w:val="center"/>
              <w:rPr>
                <w:noProof/>
                <w:sz w:val="18"/>
              </w:rPr>
            </w:pPr>
            <w:r w:rsidRPr="0032658A">
              <w:rPr>
                <w:b/>
                <w:noProof/>
                <w:sz w:val="18"/>
              </w:rPr>
              <w:t>N</w:t>
            </w:r>
            <w:r w:rsidRPr="0032658A">
              <w:rPr>
                <w:noProof/>
              </w:rPr>
              <w:t xml:space="preserve"> </w:t>
            </w:r>
            <w:r w:rsidRPr="0032658A">
              <w:rPr>
                <w:noProof/>
              </w:rPr>
              <w:br/>
            </w:r>
            <w:r w:rsidRPr="0032658A">
              <w:rPr>
                <w:noProof/>
                <w:sz w:val="18"/>
              </w:rPr>
              <w:t>metai</w:t>
            </w:r>
          </w:p>
        </w:tc>
        <w:tc>
          <w:tcPr>
            <w:tcW w:w="1320" w:type="dxa"/>
            <w:gridSpan w:val="2"/>
            <w:vAlign w:val="center"/>
          </w:tcPr>
          <w:p w14:paraId="63226CB8" w14:textId="77777777" w:rsidR="00F001BC" w:rsidRPr="0032658A" w:rsidRDefault="00F001BC" w:rsidP="005840B3">
            <w:pPr>
              <w:ind w:right="-29"/>
              <w:jc w:val="center"/>
              <w:rPr>
                <w:noProof/>
                <w:sz w:val="18"/>
              </w:rPr>
            </w:pPr>
            <w:r w:rsidRPr="0032658A">
              <w:rPr>
                <w:b/>
                <w:noProof/>
                <w:sz w:val="18"/>
              </w:rPr>
              <w:t>N + 1</w:t>
            </w:r>
            <w:r w:rsidRPr="0032658A">
              <w:rPr>
                <w:noProof/>
              </w:rPr>
              <w:t xml:space="preserve"> </w:t>
            </w:r>
            <w:r w:rsidRPr="0032658A">
              <w:rPr>
                <w:noProof/>
              </w:rPr>
              <w:br/>
            </w:r>
            <w:r w:rsidRPr="0032658A">
              <w:rPr>
                <w:noProof/>
                <w:sz w:val="18"/>
              </w:rPr>
              <w:t>metai</w:t>
            </w:r>
          </w:p>
        </w:tc>
        <w:tc>
          <w:tcPr>
            <w:tcW w:w="1440" w:type="dxa"/>
            <w:gridSpan w:val="2"/>
            <w:vAlign w:val="center"/>
          </w:tcPr>
          <w:p w14:paraId="3AB1C4DB" w14:textId="77777777" w:rsidR="00F001BC" w:rsidRPr="0032658A" w:rsidRDefault="00F001BC" w:rsidP="005840B3">
            <w:pPr>
              <w:ind w:right="-29"/>
              <w:jc w:val="center"/>
              <w:rPr>
                <w:noProof/>
                <w:sz w:val="18"/>
              </w:rPr>
            </w:pPr>
            <w:r w:rsidRPr="0032658A">
              <w:rPr>
                <w:b/>
                <w:noProof/>
                <w:sz w:val="18"/>
              </w:rPr>
              <w:t>N + 2</w:t>
            </w:r>
            <w:r w:rsidRPr="0032658A">
              <w:rPr>
                <w:noProof/>
              </w:rPr>
              <w:t xml:space="preserve"> </w:t>
            </w:r>
            <w:r w:rsidRPr="0032658A">
              <w:rPr>
                <w:noProof/>
              </w:rPr>
              <w:br/>
            </w:r>
            <w:r w:rsidRPr="0032658A">
              <w:rPr>
                <w:noProof/>
                <w:sz w:val="18"/>
              </w:rPr>
              <w:t>metai</w:t>
            </w:r>
          </w:p>
        </w:tc>
        <w:tc>
          <w:tcPr>
            <w:tcW w:w="1329" w:type="dxa"/>
            <w:gridSpan w:val="3"/>
            <w:vAlign w:val="center"/>
          </w:tcPr>
          <w:p w14:paraId="50D9E29E" w14:textId="77777777" w:rsidR="00F001BC" w:rsidRPr="0032658A" w:rsidRDefault="00F001BC" w:rsidP="005840B3">
            <w:pPr>
              <w:ind w:right="-29"/>
              <w:jc w:val="center"/>
              <w:rPr>
                <w:noProof/>
                <w:sz w:val="18"/>
              </w:rPr>
            </w:pPr>
            <w:r w:rsidRPr="0032658A">
              <w:rPr>
                <w:b/>
                <w:noProof/>
                <w:sz w:val="18"/>
              </w:rPr>
              <w:t>N + 3</w:t>
            </w:r>
            <w:r w:rsidRPr="0032658A">
              <w:rPr>
                <w:noProof/>
              </w:rPr>
              <w:t xml:space="preserve"> </w:t>
            </w:r>
            <w:r w:rsidRPr="0032658A">
              <w:rPr>
                <w:noProof/>
              </w:rPr>
              <w:br/>
            </w:r>
            <w:r w:rsidRPr="0032658A">
              <w:rPr>
                <w:noProof/>
                <w:sz w:val="18"/>
              </w:rPr>
              <w:t>metai</w:t>
            </w:r>
          </w:p>
        </w:tc>
        <w:tc>
          <w:tcPr>
            <w:tcW w:w="3951" w:type="dxa"/>
            <w:gridSpan w:val="6"/>
            <w:vAlign w:val="center"/>
          </w:tcPr>
          <w:p w14:paraId="51D7B82A" w14:textId="77777777" w:rsidR="00F001BC" w:rsidRPr="0032658A" w:rsidRDefault="00F001BC" w:rsidP="005840B3">
            <w:pPr>
              <w:jc w:val="center"/>
              <w:rPr>
                <w:b/>
                <w:noProof/>
                <w:sz w:val="18"/>
              </w:rPr>
            </w:pPr>
            <w:r w:rsidRPr="0032658A">
              <w:rPr>
                <w:noProof/>
                <w:sz w:val="18"/>
              </w:rPr>
              <w:t>Atsižvelgiant į poveikio trukmę įterpti reikiamą metų skaičių (žr. 1.6 punktą)</w:t>
            </w:r>
          </w:p>
        </w:tc>
        <w:tc>
          <w:tcPr>
            <w:tcW w:w="1680" w:type="dxa"/>
            <w:gridSpan w:val="2"/>
            <w:tcBorders>
              <w:left w:val="nil"/>
              <w:bottom w:val="nil"/>
            </w:tcBorders>
            <w:vAlign w:val="center"/>
          </w:tcPr>
          <w:p w14:paraId="5BC10B42" w14:textId="77777777" w:rsidR="00F001BC" w:rsidRPr="0032658A" w:rsidRDefault="00F001BC" w:rsidP="005840B3">
            <w:pPr>
              <w:ind w:right="-29"/>
              <w:jc w:val="center"/>
              <w:rPr>
                <w:noProof/>
                <w:sz w:val="18"/>
              </w:rPr>
            </w:pPr>
            <w:r w:rsidRPr="0032658A">
              <w:rPr>
                <w:b/>
                <w:noProof/>
                <w:sz w:val="18"/>
              </w:rPr>
              <w:t>IŠ VISO</w:t>
            </w:r>
          </w:p>
        </w:tc>
      </w:tr>
      <w:tr w:rsidR="00F001BC" w:rsidRPr="0032658A" w14:paraId="1B16FFDA" w14:textId="77777777" w:rsidTr="00A6396C">
        <w:trPr>
          <w:jc w:val="center"/>
        </w:trPr>
        <w:tc>
          <w:tcPr>
            <w:tcW w:w="1423" w:type="dxa"/>
            <w:vMerge/>
            <w:vAlign w:val="center"/>
          </w:tcPr>
          <w:p w14:paraId="17D9E7D7" w14:textId="77777777" w:rsidR="00F001BC" w:rsidRPr="0032658A" w:rsidRDefault="00F001BC" w:rsidP="005840B3">
            <w:pPr>
              <w:rPr>
                <w:noProof/>
                <w:sz w:val="18"/>
              </w:rPr>
            </w:pPr>
          </w:p>
        </w:tc>
        <w:tc>
          <w:tcPr>
            <w:tcW w:w="12596" w:type="dxa"/>
            <w:gridSpan w:val="19"/>
            <w:vAlign w:val="center"/>
          </w:tcPr>
          <w:p w14:paraId="1D9FEB6A" w14:textId="77777777" w:rsidR="00F001BC" w:rsidRPr="0032658A" w:rsidRDefault="00F001BC" w:rsidP="005840B3">
            <w:pPr>
              <w:spacing w:before="60" w:after="60"/>
              <w:ind w:right="-29"/>
              <w:jc w:val="center"/>
              <w:rPr>
                <w:noProof/>
                <w:sz w:val="18"/>
              </w:rPr>
            </w:pPr>
            <w:r w:rsidRPr="0032658A">
              <w:rPr>
                <w:b/>
                <w:noProof/>
                <w:sz w:val="18"/>
              </w:rPr>
              <w:t>ATLIKTI DARBAI</w:t>
            </w:r>
          </w:p>
        </w:tc>
      </w:tr>
      <w:tr w:rsidR="00F001BC" w:rsidRPr="0032658A" w14:paraId="31CEDD49" w14:textId="77777777" w:rsidTr="00A6396C">
        <w:trPr>
          <w:cantSplit/>
          <w:trHeight w:val="1134"/>
          <w:jc w:val="center"/>
        </w:trPr>
        <w:tc>
          <w:tcPr>
            <w:tcW w:w="1423" w:type="dxa"/>
            <w:vMerge/>
            <w:vAlign w:val="center"/>
          </w:tcPr>
          <w:p w14:paraId="5C620677" w14:textId="77777777" w:rsidR="00F001BC" w:rsidRPr="0032658A" w:rsidRDefault="00F001BC" w:rsidP="005840B3">
            <w:pPr>
              <w:rPr>
                <w:noProof/>
                <w:sz w:val="18"/>
              </w:rPr>
            </w:pPr>
          </w:p>
        </w:tc>
        <w:tc>
          <w:tcPr>
            <w:tcW w:w="720" w:type="dxa"/>
            <w:vAlign w:val="center"/>
          </w:tcPr>
          <w:p w14:paraId="379EECE1" w14:textId="77777777" w:rsidR="00F001BC" w:rsidRPr="0032658A" w:rsidRDefault="00F001BC" w:rsidP="005840B3">
            <w:pPr>
              <w:jc w:val="center"/>
              <w:rPr>
                <w:noProof/>
                <w:sz w:val="18"/>
              </w:rPr>
            </w:pPr>
            <w:r w:rsidRPr="0032658A">
              <w:rPr>
                <w:noProof/>
                <w:sz w:val="18"/>
              </w:rPr>
              <w:t>Rūšis</w:t>
            </w:r>
            <w:r w:rsidRPr="0032658A">
              <w:rPr>
                <w:rStyle w:val="FootnoteReference"/>
                <w:noProof/>
                <w:sz w:val="18"/>
              </w:rPr>
              <w:footnoteReference w:id="36"/>
            </w:r>
          </w:p>
        </w:tc>
        <w:tc>
          <w:tcPr>
            <w:tcW w:w="956" w:type="dxa"/>
            <w:vAlign w:val="center"/>
          </w:tcPr>
          <w:p w14:paraId="66F251EC" w14:textId="77777777" w:rsidR="00F001BC" w:rsidRPr="0032658A" w:rsidRDefault="00F001BC" w:rsidP="005840B3">
            <w:pPr>
              <w:jc w:val="center"/>
              <w:rPr>
                <w:noProof/>
              </w:rPr>
            </w:pPr>
            <w:r w:rsidRPr="0032658A">
              <w:rPr>
                <w:noProof/>
                <w:sz w:val="18"/>
              </w:rPr>
              <w:t>Vidutinės sąnaudos</w:t>
            </w:r>
          </w:p>
        </w:tc>
        <w:tc>
          <w:tcPr>
            <w:tcW w:w="249" w:type="dxa"/>
            <w:tcBorders>
              <w:left w:val="nil"/>
              <w:right w:val="dashSmallGap" w:sz="4" w:space="0" w:color="auto"/>
            </w:tcBorders>
            <w:shd w:val="pct10" w:color="auto" w:fill="auto"/>
            <w:textDirection w:val="btLr"/>
            <w:vAlign w:val="center"/>
          </w:tcPr>
          <w:p w14:paraId="793DB0EF" w14:textId="77777777" w:rsidR="00F001BC" w:rsidRPr="0032658A" w:rsidRDefault="00F001BC" w:rsidP="005840B3">
            <w:pPr>
              <w:ind w:left="113" w:right="113"/>
              <w:jc w:val="center"/>
              <w:rPr>
                <w:noProof/>
              </w:rPr>
            </w:pPr>
            <w:r w:rsidRPr="0032658A">
              <w:rPr>
                <w:noProof/>
                <w:sz w:val="18"/>
              </w:rPr>
              <w:t>Skaičius</w:t>
            </w:r>
          </w:p>
        </w:tc>
        <w:tc>
          <w:tcPr>
            <w:tcW w:w="951" w:type="dxa"/>
            <w:tcBorders>
              <w:left w:val="dashSmallGap" w:sz="4" w:space="0" w:color="auto"/>
            </w:tcBorders>
            <w:shd w:val="pct10" w:color="auto" w:fill="auto"/>
            <w:vAlign w:val="center"/>
          </w:tcPr>
          <w:p w14:paraId="4EB9B7BC" w14:textId="77777777" w:rsidR="00F001BC" w:rsidRPr="0032658A" w:rsidRDefault="00F001BC" w:rsidP="005840B3">
            <w:pPr>
              <w:jc w:val="center"/>
              <w:rPr>
                <w:noProof/>
                <w:sz w:val="18"/>
              </w:rPr>
            </w:pPr>
            <w:r w:rsidRPr="0032658A">
              <w:rPr>
                <w:noProof/>
                <w:sz w:val="18"/>
              </w:rPr>
              <w:t>Sąnaudos</w:t>
            </w:r>
          </w:p>
        </w:tc>
        <w:tc>
          <w:tcPr>
            <w:tcW w:w="309" w:type="dxa"/>
            <w:tcBorders>
              <w:right w:val="dashSmallGap" w:sz="4" w:space="0" w:color="auto"/>
            </w:tcBorders>
            <w:shd w:val="pct10" w:color="auto" w:fill="auto"/>
            <w:textDirection w:val="btLr"/>
            <w:vAlign w:val="center"/>
          </w:tcPr>
          <w:p w14:paraId="45CA8B53" w14:textId="77777777" w:rsidR="00F001BC" w:rsidRPr="0032658A" w:rsidRDefault="00F001BC" w:rsidP="005840B3">
            <w:pPr>
              <w:ind w:left="113" w:right="113"/>
              <w:jc w:val="center"/>
              <w:rPr>
                <w:noProof/>
              </w:rPr>
            </w:pPr>
            <w:r w:rsidRPr="0032658A">
              <w:rPr>
                <w:noProof/>
                <w:sz w:val="18"/>
              </w:rPr>
              <w:t>Skaičius</w:t>
            </w:r>
          </w:p>
        </w:tc>
        <w:tc>
          <w:tcPr>
            <w:tcW w:w="1011" w:type="dxa"/>
            <w:tcBorders>
              <w:left w:val="dashSmallGap" w:sz="4" w:space="0" w:color="auto"/>
            </w:tcBorders>
            <w:shd w:val="pct10" w:color="auto" w:fill="auto"/>
            <w:vAlign w:val="center"/>
          </w:tcPr>
          <w:p w14:paraId="064FDBCD" w14:textId="77777777" w:rsidR="00F001BC" w:rsidRPr="0032658A" w:rsidRDefault="00F001BC" w:rsidP="005840B3">
            <w:pPr>
              <w:jc w:val="center"/>
              <w:rPr>
                <w:noProof/>
                <w:sz w:val="18"/>
              </w:rPr>
            </w:pPr>
            <w:r w:rsidRPr="0032658A">
              <w:rPr>
                <w:noProof/>
                <w:sz w:val="18"/>
              </w:rPr>
              <w:t>Sąnaudos</w:t>
            </w:r>
          </w:p>
        </w:tc>
        <w:tc>
          <w:tcPr>
            <w:tcW w:w="429" w:type="dxa"/>
            <w:tcBorders>
              <w:right w:val="dashSmallGap" w:sz="4" w:space="0" w:color="auto"/>
            </w:tcBorders>
            <w:shd w:val="pct10" w:color="auto" w:fill="auto"/>
            <w:textDirection w:val="btLr"/>
            <w:vAlign w:val="center"/>
          </w:tcPr>
          <w:p w14:paraId="40B0097C" w14:textId="77777777" w:rsidR="00F001BC" w:rsidRPr="0032658A" w:rsidRDefault="00F001BC" w:rsidP="005840B3">
            <w:pPr>
              <w:ind w:left="113" w:right="113"/>
              <w:jc w:val="center"/>
              <w:rPr>
                <w:noProof/>
              </w:rPr>
            </w:pPr>
            <w:r w:rsidRPr="0032658A">
              <w:rPr>
                <w:noProof/>
                <w:sz w:val="18"/>
              </w:rPr>
              <w:t>Skaičius</w:t>
            </w:r>
          </w:p>
        </w:tc>
        <w:tc>
          <w:tcPr>
            <w:tcW w:w="1011" w:type="dxa"/>
            <w:tcBorders>
              <w:left w:val="dashSmallGap" w:sz="4" w:space="0" w:color="auto"/>
            </w:tcBorders>
            <w:shd w:val="pct10" w:color="auto" w:fill="auto"/>
            <w:vAlign w:val="center"/>
          </w:tcPr>
          <w:p w14:paraId="3C68B4DC" w14:textId="77777777" w:rsidR="00F001BC" w:rsidRPr="0032658A" w:rsidRDefault="00F001BC" w:rsidP="005840B3">
            <w:pPr>
              <w:jc w:val="center"/>
              <w:rPr>
                <w:noProof/>
                <w:sz w:val="18"/>
              </w:rPr>
            </w:pPr>
            <w:r w:rsidRPr="0032658A">
              <w:rPr>
                <w:noProof/>
                <w:sz w:val="18"/>
              </w:rPr>
              <w:t>Sąnaudos</w:t>
            </w:r>
          </w:p>
        </w:tc>
        <w:tc>
          <w:tcPr>
            <w:tcW w:w="360" w:type="dxa"/>
            <w:tcBorders>
              <w:right w:val="dashSmallGap" w:sz="4" w:space="0" w:color="auto"/>
            </w:tcBorders>
            <w:shd w:val="pct10" w:color="auto" w:fill="auto"/>
            <w:textDirection w:val="btLr"/>
            <w:vAlign w:val="center"/>
          </w:tcPr>
          <w:p w14:paraId="17EF3B75" w14:textId="77777777" w:rsidR="00F001BC" w:rsidRPr="0032658A" w:rsidRDefault="00F001BC" w:rsidP="005840B3">
            <w:pPr>
              <w:ind w:left="113" w:right="113"/>
              <w:jc w:val="center"/>
              <w:rPr>
                <w:noProof/>
              </w:rPr>
            </w:pPr>
            <w:r w:rsidRPr="0032658A">
              <w:rPr>
                <w:noProof/>
                <w:sz w:val="18"/>
              </w:rPr>
              <w:t>Skaičius</w:t>
            </w:r>
          </w:p>
        </w:tc>
        <w:tc>
          <w:tcPr>
            <w:tcW w:w="969" w:type="dxa"/>
            <w:gridSpan w:val="2"/>
            <w:tcBorders>
              <w:left w:val="dashSmallGap" w:sz="4" w:space="0" w:color="auto"/>
            </w:tcBorders>
            <w:shd w:val="pct10" w:color="auto" w:fill="auto"/>
            <w:vAlign w:val="center"/>
          </w:tcPr>
          <w:p w14:paraId="4FC8C1AF" w14:textId="77777777" w:rsidR="00F001BC" w:rsidRPr="0032658A" w:rsidRDefault="00F001BC" w:rsidP="005840B3">
            <w:pPr>
              <w:jc w:val="center"/>
              <w:rPr>
                <w:noProof/>
                <w:sz w:val="18"/>
              </w:rPr>
            </w:pPr>
            <w:r w:rsidRPr="0032658A">
              <w:rPr>
                <w:noProof/>
                <w:sz w:val="18"/>
              </w:rPr>
              <w:t>Sąnaudos</w:t>
            </w:r>
          </w:p>
        </w:tc>
        <w:tc>
          <w:tcPr>
            <w:tcW w:w="351" w:type="dxa"/>
            <w:tcBorders>
              <w:right w:val="dashSmallGap" w:sz="4" w:space="0" w:color="auto"/>
            </w:tcBorders>
            <w:shd w:val="pct10" w:color="auto" w:fill="auto"/>
            <w:textDirection w:val="btLr"/>
            <w:vAlign w:val="center"/>
          </w:tcPr>
          <w:p w14:paraId="63BB29AB" w14:textId="77777777" w:rsidR="00F001BC" w:rsidRPr="0032658A" w:rsidRDefault="00F001BC" w:rsidP="005840B3">
            <w:pPr>
              <w:ind w:left="113" w:right="113"/>
              <w:jc w:val="center"/>
              <w:rPr>
                <w:noProof/>
              </w:rPr>
            </w:pPr>
            <w:r w:rsidRPr="0032658A">
              <w:rPr>
                <w:noProof/>
                <w:sz w:val="18"/>
              </w:rPr>
              <w:t>Skaičius</w:t>
            </w:r>
          </w:p>
        </w:tc>
        <w:tc>
          <w:tcPr>
            <w:tcW w:w="960" w:type="dxa"/>
            <w:tcBorders>
              <w:left w:val="dashSmallGap" w:sz="4" w:space="0" w:color="auto"/>
            </w:tcBorders>
            <w:shd w:val="pct10" w:color="auto" w:fill="auto"/>
            <w:vAlign w:val="center"/>
          </w:tcPr>
          <w:p w14:paraId="1E3A6FD2" w14:textId="77777777" w:rsidR="00F001BC" w:rsidRPr="0032658A" w:rsidRDefault="00F001BC" w:rsidP="005840B3">
            <w:pPr>
              <w:jc w:val="center"/>
              <w:rPr>
                <w:noProof/>
                <w:sz w:val="18"/>
              </w:rPr>
            </w:pPr>
            <w:r w:rsidRPr="0032658A">
              <w:rPr>
                <w:noProof/>
                <w:sz w:val="18"/>
              </w:rPr>
              <w:t>Sąnaudos</w:t>
            </w:r>
          </w:p>
        </w:tc>
        <w:tc>
          <w:tcPr>
            <w:tcW w:w="309" w:type="dxa"/>
            <w:tcBorders>
              <w:right w:val="dashSmallGap" w:sz="4" w:space="0" w:color="auto"/>
            </w:tcBorders>
            <w:shd w:val="pct10" w:color="auto" w:fill="auto"/>
            <w:textDirection w:val="btLr"/>
            <w:vAlign w:val="center"/>
          </w:tcPr>
          <w:p w14:paraId="42E097F1" w14:textId="77777777" w:rsidR="00F001BC" w:rsidRPr="0032658A" w:rsidRDefault="00F001BC" w:rsidP="005840B3">
            <w:pPr>
              <w:ind w:left="113" w:right="113"/>
              <w:jc w:val="center"/>
              <w:rPr>
                <w:noProof/>
              </w:rPr>
            </w:pPr>
            <w:r w:rsidRPr="0032658A">
              <w:rPr>
                <w:noProof/>
                <w:sz w:val="18"/>
              </w:rPr>
              <w:t>Skaičius</w:t>
            </w:r>
          </w:p>
        </w:tc>
        <w:tc>
          <w:tcPr>
            <w:tcW w:w="1011" w:type="dxa"/>
            <w:tcBorders>
              <w:left w:val="dashSmallGap" w:sz="4" w:space="0" w:color="auto"/>
            </w:tcBorders>
            <w:shd w:val="pct10" w:color="auto" w:fill="auto"/>
            <w:vAlign w:val="center"/>
          </w:tcPr>
          <w:p w14:paraId="3D31CB6C" w14:textId="77777777" w:rsidR="00F001BC" w:rsidRPr="0032658A" w:rsidRDefault="00F001BC" w:rsidP="005840B3">
            <w:pPr>
              <w:jc w:val="center"/>
              <w:rPr>
                <w:noProof/>
                <w:sz w:val="18"/>
              </w:rPr>
            </w:pPr>
            <w:r w:rsidRPr="0032658A">
              <w:rPr>
                <w:noProof/>
                <w:sz w:val="18"/>
              </w:rPr>
              <w:t>Sąnaudos</w:t>
            </w:r>
          </w:p>
        </w:tc>
        <w:tc>
          <w:tcPr>
            <w:tcW w:w="249" w:type="dxa"/>
            <w:tcBorders>
              <w:right w:val="dashSmallGap" w:sz="4" w:space="0" w:color="auto"/>
            </w:tcBorders>
            <w:shd w:val="pct10" w:color="auto" w:fill="auto"/>
            <w:textDirection w:val="btLr"/>
            <w:vAlign w:val="center"/>
          </w:tcPr>
          <w:p w14:paraId="3A55C407" w14:textId="77777777" w:rsidR="00F001BC" w:rsidRPr="0032658A" w:rsidRDefault="00F001BC" w:rsidP="005840B3">
            <w:pPr>
              <w:ind w:left="113" w:right="113"/>
              <w:jc w:val="center"/>
              <w:rPr>
                <w:noProof/>
              </w:rPr>
            </w:pPr>
            <w:r w:rsidRPr="0032658A">
              <w:rPr>
                <w:noProof/>
                <w:sz w:val="18"/>
              </w:rPr>
              <w:t>Skaičius</w:t>
            </w:r>
          </w:p>
        </w:tc>
        <w:tc>
          <w:tcPr>
            <w:tcW w:w="1071" w:type="dxa"/>
            <w:tcBorders>
              <w:left w:val="dashSmallGap" w:sz="4" w:space="0" w:color="auto"/>
            </w:tcBorders>
            <w:shd w:val="pct10" w:color="auto" w:fill="auto"/>
            <w:vAlign w:val="center"/>
          </w:tcPr>
          <w:p w14:paraId="074E1990" w14:textId="77777777" w:rsidR="00F001BC" w:rsidRPr="0032658A" w:rsidRDefault="00F001BC" w:rsidP="005840B3">
            <w:pPr>
              <w:jc w:val="center"/>
              <w:rPr>
                <w:noProof/>
                <w:sz w:val="18"/>
              </w:rPr>
            </w:pPr>
            <w:r w:rsidRPr="0032658A">
              <w:rPr>
                <w:noProof/>
                <w:sz w:val="18"/>
              </w:rPr>
              <w:t>Sąnaudos</w:t>
            </w:r>
          </w:p>
        </w:tc>
        <w:tc>
          <w:tcPr>
            <w:tcW w:w="840" w:type="dxa"/>
            <w:tcBorders>
              <w:right w:val="dashSmallGap" w:sz="4" w:space="0" w:color="auto"/>
            </w:tcBorders>
            <w:shd w:val="pct10" w:color="auto" w:fill="auto"/>
            <w:vAlign w:val="center"/>
          </w:tcPr>
          <w:p w14:paraId="5A3754B2" w14:textId="77777777" w:rsidR="00F001BC" w:rsidRPr="0032658A" w:rsidRDefault="00F001BC" w:rsidP="005840B3">
            <w:pPr>
              <w:jc w:val="center"/>
              <w:rPr>
                <w:noProof/>
                <w:sz w:val="18"/>
              </w:rPr>
            </w:pPr>
            <w:r w:rsidRPr="0032658A">
              <w:rPr>
                <w:noProof/>
                <w:sz w:val="18"/>
              </w:rPr>
              <w:t>Bendras skaičius</w:t>
            </w:r>
          </w:p>
        </w:tc>
        <w:tc>
          <w:tcPr>
            <w:tcW w:w="840" w:type="dxa"/>
            <w:tcBorders>
              <w:left w:val="dashSmallGap" w:sz="4" w:space="0" w:color="auto"/>
            </w:tcBorders>
            <w:shd w:val="pct10" w:color="auto" w:fill="auto"/>
            <w:vAlign w:val="center"/>
          </w:tcPr>
          <w:p w14:paraId="17B91106" w14:textId="77777777" w:rsidR="00F001BC" w:rsidRPr="0032658A" w:rsidRDefault="00F001BC" w:rsidP="005840B3">
            <w:pPr>
              <w:jc w:val="center"/>
              <w:rPr>
                <w:noProof/>
              </w:rPr>
            </w:pPr>
            <w:r w:rsidRPr="0032658A">
              <w:rPr>
                <w:noProof/>
                <w:sz w:val="18"/>
              </w:rPr>
              <w:t>Iš viso sąnaudų</w:t>
            </w:r>
          </w:p>
        </w:tc>
      </w:tr>
      <w:tr w:rsidR="00F001BC" w:rsidRPr="0032658A" w14:paraId="2CD5E1C2" w14:textId="77777777" w:rsidTr="00A6396C">
        <w:trPr>
          <w:jc w:val="center"/>
        </w:trPr>
        <w:tc>
          <w:tcPr>
            <w:tcW w:w="3099" w:type="dxa"/>
            <w:gridSpan w:val="3"/>
            <w:vAlign w:val="center"/>
          </w:tcPr>
          <w:p w14:paraId="680C05A5" w14:textId="77777777" w:rsidR="00F001BC" w:rsidRPr="0032658A" w:rsidRDefault="00F001BC" w:rsidP="005840B3">
            <w:pPr>
              <w:spacing w:before="60" w:after="60"/>
              <w:ind w:right="-29"/>
              <w:jc w:val="center"/>
              <w:rPr>
                <w:noProof/>
                <w:sz w:val="18"/>
              </w:rPr>
            </w:pPr>
            <w:r w:rsidRPr="0032658A">
              <w:rPr>
                <w:noProof/>
                <w:sz w:val="18"/>
              </w:rPr>
              <w:t>1 KONKRETUS TIKSLAS</w:t>
            </w:r>
            <w:r w:rsidRPr="0032658A">
              <w:rPr>
                <w:rStyle w:val="FootnoteReference"/>
                <w:noProof/>
                <w:sz w:val="18"/>
              </w:rPr>
              <w:footnoteReference w:id="37"/>
            </w:r>
            <w:r w:rsidRPr="0032658A">
              <w:rPr>
                <w:noProof/>
                <w:sz w:val="18"/>
              </w:rPr>
              <w:t xml:space="preserve"> ...</w:t>
            </w:r>
          </w:p>
        </w:tc>
        <w:tc>
          <w:tcPr>
            <w:tcW w:w="249" w:type="dxa"/>
            <w:tcBorders>
              <w:top w:val="nil"/>
              <w:left w:val="nil"/>
              <w:bottom w:val="nil"/>
              <w:right w:val="nil"/>
            </w:tcBorders>
          </w:tcPr>
          <w:p w14:paraId="304179C3" w14:textId="77777777" w:rsidR="00F001BC" w:rsidRPr="0032658A" w:rsidRDefault="00F001BC" w:rsidP="005840B3">
            <w:pPr>
              <w:spacing w:before="60" w:after="60"/>
              <w:ind w:right="-29"/>
              <w:jc w:val="center"/>
              <w:rPr>
                <w:noProof/>
                <w:sz w:val="18"/>
              </w:rPr>
            </w:pPr>
          </w:p>
        </w:tc>
        <w:tc>
          <w:tcPr>
            <w:tcW w:w="951" w:type="dxa"/>
            <w:tcBorders>
              <w:top w:val="nil"/>
              <w:left w:val="nil"/>
              <w:bottom w:val="nil"/>
              <w:right w:val="nil"/>
            </w:tcBorders>
          </w:tcPr>
          <w:p w14:paraId="5AE8FA1E" w14:textId="77777777" w:rsidR="00F001BC" w:rsidRPr="0032658A" w:rsidRDefault="00F001BC" w:rsidP="005840B3">
            <w:pPr>
              <w:spacing w:before="60" w:after="60"/>
              <w:ind w:right="-29"/>
              <w:jc w:val="center"/>
              <w:rPr>
                <w:noProof/>
                <w:sz w:val="18"/>
              </w:rPr>
            </w:pPr>
          </w:p>
        </w:tc>
        <w:tc>
          <w:tcPr>
            <w:tcW w:w="309" w:type="dxa"/>
            <w:tcBorders>
              <w:top w:val="nil"/>
              <w:left w:val="nil"/>
              <w:bottom w:val="nil"/>
              <w:right w:val="nil"/>
            </w:tcBorders>
          </w:tcPr>
          <w:p w14:paraId="36D0274B" w14:textId="77777777" w:rsidR="00F001BC" w:rsidRPr="0032658A" w:rsidRDefault="00F001BC" w:rsidP="005840B3">
            <w:pPr>
              <w:spacing w:before="60" w:after="60"/>
              <w:ind w:right="-29"/>
              <w:jc w:val="center"/>
              <w:rPr>
                <w:noProof/>
                <w:sz w:val="18"/>
              </w:rPr>
            </w:pPr>
          </w:p>
        </w:tc>
        <w:tc>
          <w:tcPr>
            <w:tcW w:w="1011" w:type="dxa"/>
            <w:tcBorders>
              <w:top w:val="nil"/>
              <w:left w:val="nil"/>
              <w:bottom w:val="nil"/>
              <w:right w:val="nil"/>
            </w:tcBorders>
          </w:tcPr>
          <w:p w14:paraId="6A802C47" w14:textId="77777777" w:rsidR="00F001BC" w:rsidRPr="0032658A" w:rsidRDefault="00F001BC" w:rsidP="005840B3">
            <w:pPr>
              <w:spacing w:before="60" w:after="60"/>
              <w:ind w:right="-29"/>
              <w:jc w:val="center"/>
              <w:rPr>
                <w:noProof/>
                <w:sz w:val="18"/>
              </w:rPr>
            </w:pPr>
          </w:p>
        </w:tc>
        <w:tc>
          <w:tcPr>
            <w:tcW w:w="429" w:type="dxa"/>
            <w:tcBorders>
              <w:top w:val="nil"/>
              <w:left w:val="nil"/>
              <w:bottom w:val="nil"/>
              <w:right w:val="nil"/>
            </w:tcBorders>
          </w:tcPr>
          <w:p w14:paraId="522F9D4C" w14:textId="77777777" w:rsidR="00F001BC" w:rsidRPr="0032658A" w:rsidRDefault="00F001BC" w:rsidP="005840B3">
            <w:pPr>
              <w:spacing w:before="60" w:after="60"/>
              <w:ind w:right="-29"/>
              <w:jc w:val="center"/>
              <w:rPr>
                <w:noProof/>
                <w:sz w:val="18"/>
              </w:rPr>
            </w:pPr>
          </w:p>
        </w:tc>
        <w:tc>
          <w:tcPr>
            <w:tcW w:w="1011" w:type="dxa"/>
            <w:tcBorders>
              <w:top w:val="nil"/>
              <w:left w:val="nil"/>
              <w:bottom w:val="nil"/>
              <w:right w:val="nil"/>
            </w:tcBorders>
          </w:tcPr>
          <w:p w14:paraId="07B24FF8" w14:textId="77777777" w:rsidR="00F001BC" w:rsidRPr="0032658A" w:rsidRDefault="00F001BC" w:rsidP="005840B3">
            <w:pPr>
              <w:spacing w:before="60" w:after="60"/>
              <w:ind w:right="-29"/>
              <w:jc w:val="center"/>
              <w:rPr>
                <w:noProof/>
                <w:sz w:val="18"/>
              </w:rPr>
            </w:pPr>
          </w:p>
        </w:tc>
        <w:tc>
          <w:tcPr>
            <w:tcW w:w="360" w:type="dxa"/>
            <w:tcBorders>
              <w:top w:val="nil"/>
              <w:left w:val="nil"/>
              <w:bottom w:val="nil"/>
              <w:right w:val="nil"/>
            </w:tcBorders>
          </w:tcPr>
          <w:p w14:paraId="5EB28B06" w14:textId="77777777" w:rsidR="00F001BC" w:rsidRPr="0032658A" w:rsidRDefault="00F001BC" w:rsidP="005840B3">
            <w:pPr>
              <w:spacing w:before="60" w:after="60"/>
              <w:ind w:right="-29"/>
              <w:jc w:val="center"/>
              <w:rPr>
                <w:noProof/>
                <w:sz w:val="18"/>
              </w:rPr>
            </w:pPr>
          </w:p>
        </w:tc>
        <w:tc>
          <w:tcPr>
            <w:tcW w:w="969" w:type="dxa"/>
            <w:gridSpan w:val="2"/>
            <w:tcBorders>
              <w:top w:val="nil"/>
              <w:left w:val="nil"/>
              <w:bottom w:val="nil"/>
              <w:right w:val="nil"/>
            </w:tcBorders>
          </w:tcPr>
          <w:p w14:paraId="028C4C49" w14:textId="77777777" w:rsidR="00F001BC" w:rsidRPr="0032658A" w:rsidRDefault="00F001BC" w:rsidP="005840B3">
            <w:pPr>
              <w:spacing w:before="60" w:after="60"/>
              <w:ind w:right="-29"/>
              <w:jc w:val="center"/>
              <w:rPr>
                <w:noProof/>
                <w:sz w:val="18"/>
              </w:rPr>
            </w:pPr>
          </w:p>
        </w:tc>
        <w:tc>
          <w:tcPr>
            <w:tcW w:w="351" w:type="dxa"/>
            <w:tcBorders>
              <w:top w:val="nil"/>
              <w:left w:val="nil"/>
              <w:bottom w:val="nil"/>
              <w:right w:val="nil"/>
            </w:tcBorders>
          </w:tcPr>
          <w:p w14:paraId="5B573D99" w14:textId="77777777" w:rsidR="00F001BC" w:rsidRPr="0032658A" w:rsidRDefault="00F001BC" w:rsidP="005840B3">
            <w:pPr>
              <w:spacing w:before="60" w:after="60"/>
              <w:ind w:right="-29"/>
              <w:jc w:val="center"/>
              <w:rPr>
                <w:noProof/>
                <w:sz w:val="18"/>
              </w:rPr>
            </w:pPr>
          </w:p>
        </w:tc>
        <w:tc>
          <w:tcPr>
            <w:tcW w:w="960" w:type="dxa"/>
            <w:tcBorders>
              <w:top w:val="nil"/>
              <w:left w:val="nil"/>
              <w:bottom w:val="nil"/>
              <w:right w:val="nil"/>
            </w:tcBorders>
          </w:tcPr>
          <w:p w14:paraId="3CE2EF73" w14:textId="77777777" w:rsidR="00F001BC" w:rsidRPr="0032658A" w:rsidRDefault="00F001BC" w:rsidP="005840B3">
            <w:pPr>
              <w:spacing w:before="60" w:after="60"/>
              <w:ind w:right="-29"/>
              <w:jc w:val="center"/>
              <w:rPr>
                <w:noProof/>
                <w:sz w:val="18"/>
              </w:rPr>
            </w:pPr>
          </w:p>
        </w:tc>
        <w:tc>
          <w:tcPr>
            <w:tcW w:w="309" w:type="dxa"/>
            <w:tcBorders>
              <w:top w:val="nil"/>
              <w:left w:val="nil"/>
              <w:bottom w:val="nil"/>
              <w:right w:val="nil"/>
            </w:tcBorders>
          </w:tcPr>
          <w:p w14:paraId="6908E997" w14:textId="77777777" w:rsidR="00F001BC" w:rsidRPr="0032658A" w:rsidRDefault="00F001BC" w:rsidP="005840B3">
            <w:pPr>
              <w:spacing w:before="60" w:after="60"/>
              <w:ind w:right="-29"/>
              <w:jc w:val="center"/>
              <w:rPr>
                <w:noProof/>
                <w:sz w:val="18"/>
              </w:rPr>
            </w:pPr>
          </w:p>
        </w:tc>
        <w:tc>
          <w:tcPr>
            <w:tcW w:w="1011" w:type="dxa"/>
            <w:tcBorders>
              <w:top w:val="nil"/>
              <w:left w:val="nil"/>
              <w:bottom w:val="nil"/>
              <w:right w:val="nil"/>
            </w:tcBorders>
          </w:tcPr>
          <w:p w14:paraId="15F62564" w14:textId="77777777" w:rsidR="00F001BC" w:rsidRPr="0032658A" w:rsidRDefault="00F001BC" w:rsidP="005840B3">
            <w:pPr>
              <w:spacing w:before="60" w:after="60"/>
              <w:ind w:right="-29"/>
              <w:jc w:val="center"/>
              <w:rPr>
                <w:noProof/>
                <w:sz w:val="18"/>
              </w:rPr>
            </w:pPr>
          </w:p>
        </w:tc>
        <w:tc>
          <w:tcPr>
            <w:tcW w:w="249" w:type="dxa"/>
            <w:tcBorders>
              <w:top w:val="nil"/>
              <w:left w:val="nil"/>
              <w:bottom w:val="nil"/>
              <w:right w:val="nil"/>
            </w:tcBorders>
          </w:tcPr>
          <w:p w14:paraId="1F053782" w14:textId="77777777" w:rsidR="00F001BC" w:rsidRPr="0032658A" w:rsidRDefault="00F001BC" w:rsidP="005840B3">
            <w:pPr>
              <w:spacing w:before="60" w:after="60"/>
              <w:ind w:right="-29"/>
              <w:jc w:val="center"/>
              <w:rPr>
                <w:noProof/>
                <w:sz w:val="18"/>
              </w:rPr>
            </w:pPr>
          </w:p>
        </w:tc>
        <w:tc>
          <w:tcPr>
            <w:tcW w:w="1071" w:type="dxa"/>
            <w:tcBorders>
              <w:top w:val="nil"/>
              <w:left w:val="nil"/>
              <w:bottom w:val="nil"/>
              <w:right w:val="nil"/>
            </w:tcBorders>
          </w:tcPr>
          <w:p w14:paraId="262F4953" w14:textId="77777777" w:rsidR="00F001BC" w:rsidRPr="0032658A" w:rsidRDefault="00F001BC" w:rsidP="005840B3">
            <w:pPr>
              <w:spacing w:before="60" w:after="60"/>
              <w:ind w:right="-29"/>
              <w:jc w:val="center"/>
              <w:rPr>
                <w:noProof/>
                <w:sz w:val="18"/>
              </w:rPr>
            </w:pPr>
          </w:p>
        </w:tc>
        <w:tc>
          <w:tcPr>
            <w:tcW w:w="840" w:type="dxa"/>
            <w:tcBorders>
              <w:top w:val="nil"/>
              <w:left w:val="nil"/>
              <w:bottom w:val="nil"/>
              <w:right w:val="nil"/>
            </w:tcBorders>
          </w:tcPr>
          <w:p w14:paraId="7F1CB97C" w14:textId="77777777" w:rsidR="00F001BC" w:rsidRPr="0032658A" w:rsidRDefault="00F001BC" w:rsidP="005840B3">
            <w:pPr>
              <w:spacing w:before="60" w:after="60"/>
              <w:ind w:right="-29"/>
              <w:jc w:val="center"/>
              <w:rPr>
                <w:noProof/>
                <w:sz w:val="18"/>
              </w:rPr>
            </w:pPr>
          </w:p>
        </w:tc>
        <w:tc>
          <w:tcPr>
            <w:tcW w:w="840" w:type="dxa"/>
            <w:tcBorders>
              <w:top w:val="nil"/>
              <w:left w:val="nil"/>
              <w:bottom w:val="nil"/>
              <w:right w:val="nil"/>
            </w:tcBorders>
          </w:tcPr>
          <w:p w14:paraId="0C04BD11" w14:textId="77777777" w:rsidR="00F001BC" w:rsidRPr="0032658A" w:rsidRDefault="00F001BC" w:rsidP="005840B3">
            <w:pPr>
              <w:spacing w:before="60" w:after="60"/>
              <w:ind w:right="-29"/>
              <w:jc w:val="center"/>
              <w:rPr>
                <w:noProof/>
                <w:sz w:val="18"/>
              </w:rPr>
            </w:pPr>
          </w:p>
        </w:tc>
      </w:tr>
      <w:tr w:rsidR="00F001BC" w:rsidRPr="0032658A" w14:paraId="6F179665" w14:textId="77777777" w:rsidTr="00A6396C">
        <w:trPr>
          <w:trHeight w:hRule="exact" w:val="369"/>
          <w:jc w:val="center"/>
        </w:trPr>
        <w:tc>
          <w:tcPr>
            <w:tcW w:w="1423" w:type="dxa"/>
          </w:tcPr>
          <w:p w14:paraId="2442AC3D" w14:textId="77777777" w:rsidR="00F001BC" w:rsidRPr="0032658A" w:rsidRDefault="00F001BC" w:rsidP="005840B3">
            <w:pPr>
              <w:ind w:right="-29"/>
              <w:jc w:val="center"/>
              <w:rPr>
                <w:noProof/>
                <w:sz w:val="18"/>
              </w:rPr>
            </w:pPr>
            <w:r w:rsidRPr="0032658A">
              <w:rPr>
                <w:noProof/>
                <w:sz w:val="18"/>
              </w:rPr>
              <w:t>– Atliktas darbas</w:t>
            </w:r>
          </w:p>
        </w:tc>
        <w:tc>
          <w:tcPr>
            <w:tcW w:w="720" w:type="dxa"/>
          </w:tcPr>
          <w:p w14:paraId="2CD6750E" w14:textId="77777777" w:rsidR="00F001BC" w:rsidRPr="0032658A" w:rsidRDefault="00F001BC" w:rsidP="005840B3">
            <w:pPr>
              <w:ind w:right="-29"/>
              <w:jc w:val="center"/>
              <w:rPr>
                <w:noProof/>
                <w:sz w:val="18"/>
              </w:rPr>
            </w:pPr>
          </w:p>
        </w:tc>
        <w:tc>
          <w:tcPr>
            <w:tcW w:w="956" w:type="dxa"/>
          </w:tcPr>
          <w:p w14:paraId="3A556C35" w14:textId="77777777" w:rsidR="00F001BC" w:rsidRPr="0032658A" w:rsidRDefault="00F001BC" w:rsidP="005840B3">
            <w:pPr>
              <w:ind w:right="-29"/>
              <w:jc w:val="center"/>
              <w:rPr>
                <w:noProof/>
                <w:sz w:val="18"/>
              </w:rPr>
            </w:pPr>
          </w:p>
        </w:tc>
        <w:tc>
          <w:tcPr>
            <w:tcW w:w="249" w:type="dxa"/>
            <w:tcBorders>
              <w:right w:val="dashSmallGap" w:sz="4" w:space="0" w:color="auto"/>
            </w:tcBorders>
          </w:tcPr>
          <w:p w14:paraId="7A250A16" w14:textId="77777777" w:rsidR="00F001BC" w:rsidRPr="0032658A" w:rsidRDefault="00F001BC" w:rsidP="005840B3">
            <w:pPr>
              <w:ind w:right="-29"/>
              <w:jc w:val="center"/>
              <w:rPr>
                <w:noProof/>
                <w:sz w:val="18"/>
              </w:rPr>
            </w:pPr>
          </w:p>
        </w:tc>
        <w:tc>
          <w:tcPr>
            <w:tcW w:w="951" w:type="dxa"/>
            <w:tcBorders>
              <w:left w:val="dashSmallGap" w:sz="4" w:space="0" w:color="auto"/>
            </w:tcBorders>
          </w:tcPr>
          <w:p w14:paraId="7A00F037" w14:textId="77777777" w:rsidR="00F001BC" w:rsidRPr="0032658A" w:rsidRDefault="00F001BC" w:rsidP="005840B3">
            <w:pPr>
              <w:ind w:right="-29"/>
              <w:jc w:val="center"/>
              <w:rPr>
                <w:noProof/>
                <w:sz w:val="18"/>
              </w:rPr>
            </w:pPr>
          </w:p>
        </w:tc>
        <w:tc>
          <w:tcPr>
            <w:tcW w:w="309" w:type="dxa"/>
            <w:tcBorders>
              <w:right w:val="dashSmallGap" w:sz="4" w:space="0" w:color="auto"/>
            </w:tcBorders>
          </w:tcPr>
          <w:p w14:paraId="110C627F" w14:textId="77777777" w:rsidR="00F001BC" w:rsidRPr="0032658A" w:rsidRDefault="00F001BC" w:rsidP="005840B3">
            <w:pPr>
              <w:ind w:right="-29"/>
              <w:jc w:val="center"/>
              <w:rPr>
                <w:noProof/>
                <w:sz w:val="18"/>
              </w:rPr>
            </w:pPr>
          </w:p>
        </w:tc>
        <w:tc>
          <w:tcPr>
            <w:tcW w:w="1011" w:type="dxa"/>
            <w:tcBorders>
              <w:left w:val="dashSmallGap" w:sz="4" w:space="0" w:color="auto"/>
            </w:tcBorders>
          </w:tcPr>
          <w:p w14:paraId="232B66FF" w14:textId="77777777" w:rsidR="00F001BC" w:rsidRPr="0032658A" w:rsidRDefault="00F001BC" w:rsidP="005840B3">
            <w:pPr>
              <w:ind w:right="-29"/>
              <w:jc w:val="center"/>
              <w:rPr>
                <w:noProof/>
                <w:sz w:val="18"/>
              </w:rPr>
            </w:pPr>
          </w:p>
        </w:tc>
        <w:tc>
          <w:tcPr>
            <w:tcW w:w="429" w:type="dxa"/>
            <w:tcBorders>
              <w:right w:val="dashSmallGap" w:sz="4" w:space="0" w:color="auto"/>
            </w:tcBorders>
          </w:tcPr>
          <w:p w14:paraId="531B1BB4" w14:textId="77777777" w:rsidR="00F001BC" w:rsidRPr="0032658A" w:rsidRDefault="00F001BC" w:rsidP="005840B3">
            <w:pPr>
              <w:ind w:right="-29"/>
              <w:jc w:val="center"/>
              <w:rPr>
                <w:noProof/>
                <w:sz w:val="18"/>
              </w:rPr>
            </w:pPr>
          </w:p>
        </w:tc>
        <w:tc>
          <w:tcPr>
            <w:tcW w:w="1011" w:type="dxa"/>
            <w:tcBorders>
              <w:left w:val="dashSmallGap" w:sz="4" w:space="0" w:color="auto"/>
            </w:tcBorders>
          </w:tcPr>
          <w:p w14:paraId="5202A4C7" w14:textId="77777777" w:rsidR="00F001BC" w:rsidRPr="0032658A" w:rsidRDefault="00F001BC" w:rsidP="005840B3">
            <w:pPr>
              <w:ind w:right="-29"/>
              <w:jc w:val="center"/>
              <w:rPr>
                <w:noProof/>
                <w:sz w:val="18"/>
              </w:rPr>
            </w:pPr>
          </w:p>
        </w:tc>
        <w:tc>
          <w:tcPr>
            <w:tcW w:w="360" w:type="dxa"/>
            <w:tcBorders>
              <w:right w:val="dashSmallGap" w:sz="4" w:space="0" w:color="auto"/>
            </w:tcBorders>
          </w:tcPr>
          <w:p w14:paraId="4A783EB5" w14:textId="77777777" w:rsidR="00F001BC" w:rsidRPr="0032658A" w:rsidRDefault="00F001BC" w:rsidP="005840B3">
            <w:pPr>
              <w:ind w:right="-29"/>
              <w:jc w:val="center"/>
              <w:rPr>
                <w:noProof/>
                <w:sz w:val="18"/>
              </w:rPr>
            </w:pPr>
          </w:p>
        </w:tc>
        <w:tc>
          <w:tcPr>
            <w:tcW w:w="969" w:type="dxa"/>
            <w:gridSpan w:val="2"/>
            <w:tcBorders>
              <w:left w:val="dashSmallGap" w:sz="4" w:space="0" w:color="auto"/>
            </w:tcBorders>
          </w:tcPr>
          <w:p w14:paraId="020A8C7C" w14:textId="77777777" w:rsidR="00F001BC" w:rsidRPr="0032658A" w:rsidRDefault="00F001BC" w:rsidP="005840B3">
            <w:pPr>
              <w:ind w:right="-29"/>
              <w:jc w:val="center"/>
              <w:rPr>
                <w:noProof/>
                <w:sz w:val="18"/>
              </w:rPr>
            </w:pPr>
          </w:p>
        </w:tc>
        <w:tc>
          <w:tcPr>
            <w:tcW w:w="351" w:type="dxa"/>
            <w:tcBorders>
              <w:right w:val="dashSmallGap" w:sz="4" w:space="0" w:color="auto"/>
            </w:tcBorders>
          </w:tcPr>
          <w:p w14:paraId="69BC25A5" w14:textId="77777777" w:rsidR="00F001BC" w:rsidRPr="0032658A" w:rsidRDefault="00F001BC" w:rsidP="005840B3">
            <w:pPr>
              <w:ind w:right="-29"/>
              <w:jc w:val="center"/>
              <w:rPr>
                <w:noProof/>
                <w:sz w:val="18"/>
              </w:rPr>
            </w:pPr>
          </w:p>
        </w:tc>
        <w:tc>
          <w:tcPr>
            <w:tcW w:w="960" w:type="dxa"/>
            <w:tcBorders>
              <w:left w:val="dashSmallGap" w:sz="4" w:space="0" w:color="auto"/>
            </w:tcBorders>
          </w:tcPr>
          <w:p w14:paraId="71FD1869" w14:textId="77777777" w:rsidR="00F001BC" w:rsidRPr="0032658A" w:rsidRDefault="00F001BC" w:rsidP="005840B3">
            <w:pPr>
              <w:ind w:right="-29"/>
              <w:jc w:val="center"/>
              <w:rPr>
                <w:noProof/>
                <w:sz w:val="18"/>
              </w:rPr>
            </w:pPr>
          </w:p>
        </w:tc>
        <w:tc>
          <w:tcPr>
            <w:tcW w:w="309" w:type="dxa"/>
            <w:tcBorders>
              <w:right w:val="dashSmallGap" w:sz="4" w:space="0" w:color="auto"/>
            </w:tcBorders>
          </w:tcPr>
          <w:p w14:paraId="159E7373" w14:textId="77777777" w:rsidR="00F001BC" w:rsidRPr="0032658A" w:rsidRDefault="00F001BC" w:rsidP="005840B3">
            <w:pPr>
              <w:ind w:right="-29"/>
              <w:jc w:val="center"/>
              <w:rPr>
                <w:noProof/>
                <w:sz w:val="18"/>
              </w:rPr>
            </w:pPr>
          </w:p>
        </w:tc>
        <w:tc>
          <w:tcPr>
            <w:tcW w:w="1011" w:type="dxa"/>
            <w:tcBorders>
              <w:left w:val="dashSmallGap" w:sz="4" w:space="0" w:color="auto"/>
            </w:tcBorders>
          </w:tcPr>
          <w:p w14:paraId="7ABFCDA1" w14:textId="77777777" w:rsidR="00F001BC" w:rsidRPr="0032658A" w:rsidRDefault="00F001BC" w:rsidP="005840B3">
            <w:pPr>
              <w:ind w:right="-29"/>
              <w:jc w:val="center"/>
              <w:rPr>
                <w:noProof/>
                <w:sz w:val="18"/>
              </w:rPr>
            </w:pPr>
          </w:p>
        </w:tc>
        <w:tc>
          <w:tcPr>
            <w:tcW w:w="249" w:type="dxa"/>
            <w:tcBorders>
              <w:right w:val="dashSmallGap" w:sz="4" w:space="0" w:color="auto"/>
            </w:tcBorders>
          </w:tcPr>
          <w:p w14:paraId="2B4084F0" w14:textId="77777777" w:rsidR="00F001BC" w:rsidRPr="0032658A" w:rsidRDefault="00F001BC" w:rsidP="005840B3">
            <w:pPr>
              <w:ind w:right="-29"/>
              <w:jc w:val="center"/>
              <w:rPr>
                <w:noProof/>
                <w:sz w:val="18"/>
              </w:rPr>
            </w:pPr>
          </w:p>
        </w:tc>
        <w:tc>
          <w:tcPr>
            <w:tcW w:w="1071" w:type="dxa"/>
            <w:tcBorders>
              <w:left w:val="dashSmallGap" w:sz="4" w:space="0" w:color="auto"/>
            </w:tcBorders>
          </w:tcPr>
          <w:p w14:paraId="6538B0F2" w14:textId="77777777" w:rsidR="00F001BC" w:rsidRPr="0032658A" w:rsidRDefault="00F001BC" w:rsidP="005840B3">
            <w:pPr>
              <w:ind w:right="-29"/>
              <w:jc w:val="center"/>
              <w:rPr>
                <w:noProof/>
                <w:sz w:val="18"/>
              </w:rPr>
            </w:pPr>
          </w:p>
        </w:tc>
        <w:tc>
          <w:tcPr>
            <w:tcW w:w="840" w:type="dxa"/>
          </w:tcPr>
          <w:p w14:paraId="4AE911E0" w14:textId="77777777" w:rsidR="00F001BC" w:rsidRPr="0032658A" w:rsidRDefault="00F001BC" w:rsidP="005840B3">
            <w:pPr>
              <w:ind w:right="-29"/>
              <w:jc w:val="center"/>
              <w:rPr>
                <w:noProof/>
                <w:sz w:val="18"/>
              </w:rPr>
            </w:pPr>
          </w:p>
        </w:tc>
        <w:tc>
          <w:tcPr>
            <w:tcW w:w="840" w:type="dxa"/>
          </w:tcPr>
          <w:p w14:paraId="6A5F8FAC" w14:textId="77777777" w:rsidR="00F001BC" w:rsidRPr="0032658A" w:rsidRDefault="00F001BC" w:rsidP="005840B3">
            <w:pPr>
              <w:ind w:right="-29"/>
              <w:jc w:val="center"/>
              <w:rPr>
                <w:noProof/>
                <w:sz w:val="18"/>
              </w:rPr>
            </w:pPr>
          </w:p>
        </w:tc>
      </w:tr>
      <w:tr w:rsidR="00F001BC" w:rsidRPr="0032658A" w14:paraId="3638B9C2" w14:textId="77777777" w:rsidTr="00A6396C">
        <w:trPr>
          <w:trHeight w:hRule="exact" w:val="369"/>
          <w:jc w:val="center"/>
        </w:trPr>
        <w:tc>
          <w:tcPr>
            <w:tcW w:w="1423" w:type="dxa"/>
          </w:tcPr>
          <w:p w14:paraId="76F18385" w14:textId="77777777" w:rsidR="00F001BC" w:rsidRPr="0032658A" w:rsidRDefault="00F001BC" w:rsidP="005840B3">
            <w:pPr>
              <w:ind w:right="-29"/>
              <w:jc w:val="center"/>
              <w:rPr>
                <w:noProof/>
                <w:sz w:val="18"/>
              </w:rPr>
            </w:pPr>
            <w:r w:rsidRPr="0032658A">
              <w:rPr>
                <w:noProof/>
                <w:sz w:val="18"/>
              </w:rPr>
              <w:t>– Atliktas darbas</w:t>
            </w:r>
          </w:p>
        </w:tc>
        <w:tc>
          <w:tcPr>
            <w:tcW w:w="720" w:type="dxa"/>
          </w:tcPr>
          <w:p w14:paraId="2A4F75A3" w14:textId="77777777" w:rsidR="00F001BC" w:rsidRPr="0032658A" w:rsidRDefault="00F001BC" w:rsidP="005840B3">
            <w:pPr>
              <w:ind w:right="-29"/>
              <w:jc w:val="center"/>
              <w:rPr>
                <w:noProof/>
                <w:sz w:val="18"/>
              </w:rPr>
            </w:pPr>
          </w:p>
        </w:tc>
        <w:tc>
          <w:tcPr>
            <w:tcW w:w="956" w:type="dxa"/>
          </w:tcPr>
          <w:p w14:paraId="4560AC7B" w14:textId="77777777" w:rsidR="00F001BC" w:rsidRPr="0032658A" w:rsidRDefault="00F001BC" w:rsidP="005840B3">
            <w:pPr>
              <w:ind w:right="-29"/>
              <w:jc w:val="center"/>
              <w:rPr>
                <w:noProof/>
                <w:sz w:val="18"/>
              </w:rPr>
            </w:pPr>
          </w:p>
        </w:tc>
        <w:tc>
          <w:tcPr>
            <w:tcW w:w="249" w:type="dxa"/>
            <w:tcBorders>
              <w:right w:val="dashSmallGap" w:sz="4" w:space="0" w:color="auto"/>
            </w:tcBorders>
          </w:tcPr>
          <w:p w14:paraId="28C5C25A" w14:textId="77777777" w:rsidR="00F001BC" w:rsidRPr="0032658A" w:rsidRDefault="00F001BC" w:rsidP="005840B3">
            <w:pPr>
              <w:ind w:right="-29"/>
              <w:jc w:val="center"/>
              <w:rPr>
                <w:noProof/>
                <w:sz w:val="18"/>
              </w:rPr>
            </w:pPr>
          </w:p>
        </w:tc>
        <w:tc>
          <w:tcPr>
            <w:tcW w:w="951" w:type="dxa"/>
            <w:tcBorders>
              <w:left w:val="dashSmallGap" w:sz="4" w:space="0" w:color="auto"/>
            </w:tcBorders>
          </w:tcPr>
          <w:p w14:paraId="45BDBE1A" w14:textId="77777777" w:rsidR="00F001BC" w:rsidRPr="0032658A" w:rsidRDefault="00F001BC" w:rsidP="005840B3">
            <w:pPr>
              <w:ind w:right="-29"/>
              <w:jc w:val="center"/>
              <w:rPr>
                <w:noProof/>
                <w:sz w:val="18"/>
              </w:rPr>
            </w:pPr>
          </w:p>
        </w:tc>
        <w:tc>
          <w:tcPr>
            <w:tcW w:w="309" w:type="dxa"/>
            <w:tcBorders>
              <w:right w:val="dashSmallGap" w:sz="4" w:space="0" w:color="auto"/>
            </w:tcBorders>
          </w:tcPr>
          <w:p w14:paraId="1B32C942" w14:textId="77777777" w:rsidR="00F001BC" w:rsidRPr="0032658A" w:rsidRDefault="00F001BC" w:rsidP="005840B3">
            <w:pPr>
              <w:ind w:right="-29"/>
              <w:jc w:val="center"/>
              <w:rPr>
                <w:noProof/>
                <w:sz w:val="18"/>
              </w:rPr>
            </w:pPr>
          </w:p>
        </w:tc>
        <w:tc>
          <w:tcPr>
            <w:tcW w:w="1011" w:type="dxa"/>
            <w:tcBorders>
              <w:left w:val="dashSmallGap" w:sz="4" w:space="0" w:color="auto"/>
            </w:tcBorders>
          </w:tcPr>
          <w:p w14:paraId="065FAC57" w14:textId="77777777" w:rsidR="00F001BC" w:rsidRPr="0032658A" w:rsidRDefault="00F001BC" w:rsidP="005840B3">
            <w:pPr>
              <w:ind w:right="-29"/>
              <w:jc w:val="center"/>
              <w:rPr>
                <w:noProof/>
                <w:sz w:val="18"/>
              </w:rPr>
            </w:pPr>
          </w:p>
        </w:tc>
        <w:tc>
          <w:tcPr>
            <w:tcW w:w="429" w:type="dxa"/>
            <w:tcBorders>
              <w:right w:val="dashSmallGap" w:sz="4" w:space="0" w:color="auto"/>
            </w:tcBorders>
          </w:tcPr>
          <w:p w14:paraId="1F634466" w14:textId="77777777" w:rsidR="00F001BC" w:rsidRPr="0032658A" w:rsidRDefault="00F001BC" w:rsidP="005840B3">
            <w:pPr>
              <w:ind w:right="-29"/>
              <w:jc w:val="center"/>
              <w:rPr>
                <w:noProof/>
                <w:sz w:val="18"/>
              </w:rPr>
            </w:pPr>
          </w:p>
        </w:tc>
        <w:tc>
          <w:tcPr>
            <w:tcW w:w="1011" w:type="dxa"/>
            <w:tcBorders>
              <w:left w:val="dashSmallGap" w:sz="4" w:space="0" w:color="auto"/>
            </w:tcBorders>
          </w:tcPr>
          <w:p w14:paraId="3E43B8C6" w14:textId="77777777" w:rsidR="00F001BC" w:rsidRPr="0032658A" w:rsidRDefault="00F001BC" w:rsidP="005840B3">
            <w:pPr>
              <w:ind w:right="-29"/>
              <w:jc w:val="center"/>
              <w:rPr>
                <w:noProof/>
                <w:sz w:val="18"/>
              </w:rPr>
            </w:pPr>
          </w:p>
        </w:tc>
        <w:tc>
          <w:tcPr>
            <w:tcW w:w="360" w:type="dxa"/>
            <w:tcBorders>
              <w:right w:val="dashSmallGap" w:sz="4" w:space="0" w:color="auto"/>
            </w:tcBorders>
          </w:tcPr>
          <w:p w14:paraId="471454DA" w14:textId="77777777" w:rsidR="00F001BC" w:rsidRPr="0032658A" w:rsidRDefault="00F001BC" w:rsidP="005840B3">
            <w:pPr>
              <w:ind w:right="-29"/>
              <w:jc w:val="center"/>
              <w:rPr>
                <w:noProof/>
                <w:sz w:val="18"/>
              </w:rPr>
            </w:pPr>
          </w:p>
        </w:tc>
        <w:tc>
          <w:tcPr>
            <w:tcW w:w="969" w:type="dxa"/>
            <w:gridSpan w:val="2"/>
            <w:tcBorders>
              <w:left w:val="dashSmallGap" w:sz="4" w:space="0" w:color="auto"/>
            </w:tcBorders>
          </w:tcPr>
          <w:p w14:paraId="72080FA0" w14:textId="77777777" w:rsidR="00F001BC" w:rsidRPr="0032658A" w:rsidRDefault="00F001BC" w:rsidP="005840B3">
            <w:pPr>
              <w:ind w:right="-29"/>
              <w:jc w:val="center"/>
              <w:rPr>
                <w:noProof/>
                <w:sz w:val="18"/>
              </w:rPr>
            </w:pPr>
          </w:p>
        </w:tc>
        <w:tc>
          <w:tcPr>
            <w:tcW w:w="351" w:type="dxa"/>
            <w:tcBorders>
              <w:right w:val="dashSmallGap" w:sz="4" w:space="0" w:color="auto"/>
            </w:tcBorders>
          </w:tcPr>
          <w:p w14:paraId="3A4C6490" w14:textId="77777777" w:rsidR="00F001BC" w:rsidRPr="0032658A" w:rsidRDefault="00F001BC" w:rsidP="005840B3">
            <w:pPr>
              <w:ind w:right="-29"/>
              <w:jc w:val="center"/>
              <w:rPr>
                <w:noProof/>
                <w:sz w:val="18"/>
              </w:rPr>
            </w:pPr>
          </w:p>
        </w:tc>
        <w:tc>
          <w:tcPr>
            <w:tcW w:w="960" w:type="dxa"/>
            <w:tcBorders>
              <w:left w:val="dashSmallGap" w:sz="4" w:space="0" w:color="auto"/>
            </w:tcBorders>
          </w:tcPr>
          <w:p w14:paraId="1FBAB079" w14:textId="77777777" w:rsidR="00F001BC" w:rsidRPr="0032658A" w:rsidRDefault="00F001BC" w:rsidP="005840B3">
            <w:pPr>
              <w:ind w:right="-29"/>
              <w:jc w:val="center"/>
              <w:rPr>
                <w:noProof/>
                <w:sz w:val="18"/>
              </w:rPr>
            </w:pPr>
          </w:p>
        </w:tc>
        <w:tc>
          <w:tcPr>
            <w:tcW w:w="309" w:type="dxa"/>
            <w:tcBorders>
              <w:right w:val="dashSmallGap" w:sz="4" w:space="0" w:color="auto"/>
            </w:tcBorders>
          </w:tcPr>
          <w:p w14:paraId="5810C25C" w14:textId="77777777" w:rsidR="00F001BC" w:rsidRPr="0032658A" w:rsidRDefault="00F001BC" w:rsidP="005840B3">
            <w:pPr>
              <w:ind w:right="-29"/>
              <w:jc w:val="center"/>
              <w:rPr>
                <w:noProof/>
                <w:sz w:val="18"/>
              </w:rPr>
            </w:pPr>
          </w:p>
        </w:tc>
        <w:tc>
          <w:tcPr>
            <w:tcW w:w="1011" w:type="dxa"/>
            <w:tcBorders>
              <w:left w:val="dashSmallGap" w:sz="4" w:space="0" w:color="auto"/>
            </w:tcBorders>
          </w:tcPr>
          <w:p w14:paraId="15FD2A4D" w14:textId="77777777" w:rsidR="00F001BC" w:rsidRPr="0032658A" w:rsidRDefault="00F001BC" w:rsidP="005840B3">
            <w:pPr>
              <w:ind w:right="-29"/>
              <w:jc w:val="center"/>
              <w:rPr>
                <w:noProof/>
                <w:sz w:val="18"/>
              </w:rPr>
            </w:pPr>
          </w:p>
        </w:tc>
        <w:tc>
          <w:tcPr>
            <w:tcW w:w="249" w:type="dxa"/>
            <w:tcBorders>
              <w:right w:val="dashSmallGap" w:sz="4" w:space="0" w:color="auto"/>
            </w:tcBorders>
          </w:tcPr>
          <w:p w14:paraId="2C4C8E83" w14:textId="77777777" w:rsidR="00F001BC" w:rsidRPr="0032658A" w:rsidRDefault="00F001BC" w:rsidP="005840B3">
            <w:pPr>
              <w:ind w:right="-29"/>
              <w:jc w:val="center"/>
              <w:rPr>
                <w:noProof/>
                <w:sz w:val="18"/>
              </w:rPr>
            </w:pPr>
          </w:p>
        </w:tc>
        <w:tc>
          <w:tcPr>
            <w:tcW w:w="1071" w:type="dxa"/>
            <w:tcBorders>
              <w:left w:val="dashSmallGap" w:sz="4" w:space="0" w:color="auto"/>
            </w:tcBorders>
          </w:tcPr>
          <w:p w14:paraId="1003F675" w14:textId="77777777" w:rsidR="00F001BC" w:rsidRPr="0032658A" w:rsidRDefault="00F001BC" w:rsidP="005840B3">
            <w:pPr>
              <w:ind w:right="-29"/>
              <w:jc w:val="center"/>
              <w:rPr>
                <w:noProof/>
                <w:sz w:val="18"/>
              </w:rPr>
            </w:pPr>
          </w:p>
        </w:tc>
        <w:tc>
          <w:tcPr>
            <w:tcW w:w="840" w:type="dxa"/>
          </w:tcPr>
          <w:p w14:paraId="0312A932" w14:textId="77777777" w:rsidR="00F001BC" w:rsidRPr="0032658A" w:rsidRDefault="00F001BC" w:rsidP="005840B3">
            <w:pPr>
              <w:ind w:right="-29"/>
              <w:jc w:val="center"/>
              <w:rPr>
                <w:noProof/>
                <w:sz w:val="18"/>
              </w:rPr>
            </w:pPr>
          </w:p>
        </w:tc>
        <w:tc>
          <w:tcPr>
            <w:tcW w:w="840" w:type="dxa"/>
          </w:tcPr>
          <w:p w14:paraId="7DF18999" w14:textId="77777777" w:rsidR="00F001BC" w:rsidRPr="0032658A" w:rsidRDefault="00F001BC" w:rsidP="005840B3">
            <w:pPr>
              <w:ind w:right="-29"/>
              <w:jc w:val="center"/>
              <w:rPr>
                <w:noProof/>
                <w:sz w:val="18"/>
              </w:rPr>
            </w:pPr>
          </w:p>
        </w:tc>
      </w:tr>
      <w:tr w:rsidR="00F001BC" w:rsidRPr="0032658A" w14:paraId="5322BFAB" w14:textId="77777777" w:rsidTr="00A6396C">
        <w:trPr>
          <w:trHeight w:hRule="exact" w:val="369"/>
          <w:jc w:val="center"/>
        </w:trPr>
        <w:tc>
          <w:tcPr>
            <w:tcW w:w="1423" w:type="dxa"/>
          </w:tcPr>
          <w:p w14:paraId="393B05BE" w14:textId="77777777" w:rsidR="00F001BC" w:rsidRPr="0032658A" w:rsidRDefault="00F001BC" w:rsidP="005840B3">
            <w:pPr>
              <w:ind w:right="-29"/>
              <w:jc w:val="center"/>
              <w:rPr>
                <w:noProof/>
                <w:sz w:val="18"/>
              </w:rPr>
            </w:pPr>
            <w:r w:rsidRPr="0032658A">
              <w:rPr>
                <w:noProof/>
                <w:sz w:val="18"/>
              </w:rPr>
              <w:t>– Atliktas darbas</w:t>
            </w:r>
          </w:p>
        </w:tc>
        <w:tc>
          <w:tcPr>
            <w:tcW w:w="720" w:type="dxa"/>
          </w:tcPr>
          <w:p w14:paraId="285821B1" w14:textId="77777777" w:rsidR="00F001BC" w:rsidRPr="0032658A" w:rsidRDefault="00F001BC" w:rsidP="005840B3">
            <w:pPr>
              <w:ind w:right="-29"/>
              <w:jc w:val="center"/>
              <w:rPr>
                <w:noProof/>
                <w:sz w:val="18"/>
              </w:rPr>
            </w:pPr>
          </w:p>
        </w:tc>
        <w:tc>
          <w:tcPr>
            <w:tcW w:w="956" w:type="dxa"/>
          </w:tcPr>
          <w:p w14:paraId="58114AB5" w14:textId="77777777" w:rsidR="00F001BC" w:rsidRPr="0032658A" w:rsidRDefault="00F001BC" w:rsidP="005840B3">
            <w:pPr>
              <w:ind w:right="-29"/>
              <w:jc w:val="center"/>
              <w:rPr>
                <w:noProof/>
                <w:sz w:val="18"/>
              </w:rPr>
            </w:pPr>
          </w:p>
        </w:tc>
        <w:tc>
          <w:tcPr>
            <w:tcW w:w="249" w:type="dxa"/>
          </w:tcPr>
          <w:p w14:paraId="2A6BDF91" w14:textId="77777777" w:rsidR="00F001BC" w:rsidRPr="0032658A" w:rsidRDefault="00F001BC" w:rsidP="005840B3">
            <w:pPr>
              <w:ind w:right="-29"/>
              <w:jc w:val="center"/>
              <w:rPr>
                <w:noProof/>
                <w:sz w:val="18"/>
              </w:rPr>
            </w:pPr>
          </w:p>
        </w:tc>
        <w:tc>
          <w:tcPr>
            <w:tcW w:w="951" w:type="dxa"/>
          </w:tcPr>
          <w:p w14:paraId="076C810A" w14:textId="77777777" w:rsidR="00F001BC" w:rsidRPr="0032658A" w:rsidRDefault="00F001BC" w:rsidP="005840B3">
            <w:pPr>
              <w:ind w:right="-29"/>
              <w:jc w:val="center"/>
              <w:rPr>
                <w:noProof/>
                <w:sz w:val="18"/>
              </w:rPr>
            </w:pPr>
          </w:p>
        </w:tc>
        <w:tc>
          <w:tcPr>
            <w:tcW w:w="309" w:type="dxa"/>
          </w:tcPr>
          <w:p w14:paraId="689F1B6C" w14:textId="77777777" w:rsidR="00F001BC" w:rsidRPr="0032658A" w:rsidRDefault="00F001BC" w:rsidP="005840B3">
            <w:pPr>
              <w:ind w:right="-29"/>
              <w:jc w:val="center"/>
              <w:rPr>
                <w:noProof/>
                <w:sz w:val="18"/>
              </w:rPr>
            </w:pPr>
          </w:p>
        </w:tc>
        <w:tc>
          <w:tcPr>
            <w:tcW w:w="1011" w:type="dxa"/>
          </w:tcPr>
          <w:p w14:paraId="3AEBE051" w14:textId="77777777" w:rsidR="00F001BC" w:rsidRPr="0032658A" w:rsidRDefault="00F001BC" w:rsidP="005840B3">
            <w:pPr>
              <w:ind w:right="-29"/>
              <w:jc w:val="center"/>
              <w:rPr>
                <w:noProof/>
                <w:sz w:val="18"/>
              </w:rPr>
            </w:pPr>
          </w:p>
        </w:tc>
        <w:tc>
          <w:tcPr>
            <w:tcW w:w="429" w:type="dxa"/>
          </w:tcPr>
          <w:p w14:paraId="0609545A" w14:textId="77777777" w:rsidR="00F001BC" w:rsidRPr="0032658A" w:rsidRDefault="00F001BC" w:rsidP="005840B3">
            <w:pPr>
              <w:ind w:right="-29"/>
              <w:jc w:val="center"/>
              <w:rPr>
                <w:noProof/>
                <w:sz w:val="18"/>
              </w:rPr>
            </w:pPr>
          </w:p>
        </w:tc>
        <w:tc>
          <w:tcPr>
            <w:tcW w:w="1011" w:type="dxa"/>
          </w:tcPr>
          <w:p w14:paraId="2EF5BAC4" w14:textId="77777777" w:rsidR="00F001BC" w:rsidRPr="0032658A" w:rsidRDefault="00F001BC" w:rsidP="005840B3">
            <w:pPr>
              <w:ind w:right="-29"/>
              <w:jc w:val="center"/>
              <w:rPr>
                <w:noProof/>
                <w:sz w:val="18"/>
              </w:rPr>
            </w:pPr>
          </w:p>
        </w:tc>
        <w:tc>
          <w:tcPr>
            <w:tcW w:w="360" w:type="dxa"/>
          </w:tcPr>
          <w:p w14:paraId="240AC247" w14:textId="77777777" w:rsidR="00F001BC" w:rsidRPr="0032658A" w:rsidRDefault="00F001BC" w:rsidP="005840B3">
            <w:pPr>
              <w:ind w:right="-29"/>
              <w:jc w:val="center"/>
              <w:rPr>
                <w:noProof/>
                <w:sz w:val="18"/>
              </w:rPr>
            </w:pPr>
          </w:p>
        </w:tc>
        <w:tc>
          <w:tcPr>
            <w:tcW w:w="969" w:type="dxa"/>
            <w:gridSpan w:val="2"/>
          </w:tcPr>
          <w:p w14:paraId="4BCBE5CC" w14:textId="77777777" w:rsidR="00F001BC" w:rsidRPr="0032658A" w:rsidRDefault="00F001BC" w:rsidP="005840B3">
            <w:pPr>
              <w:ind w:right="-29"/>
              <w:jc w:val="center"/>
              <w:rPr>
                <w:noProof/>
                <w:sz w:val="18"/>
              </w:rPr>
            </w:pPr>
          </w:p>
        </w:tc>
        <w:tc>
          <w:tcPr>
            <w:tcW w:w="351" w:type="dxa"/>
          </w:tcPr>
          <w:p w14:paraId="683BB24D" w14:textId="77777777" w:rsidR="00F001BC" w:rsidRPr="0032658A" w:rsidRDefault="00F001BC" w:rsidP="005840B3">
            <w:pPr>
              <w:ind w:right="-29"/>
              <w:jc w:val="center"/>
              <w:rPr>
                <w:noProof/>
                <w:sz w:val="18"/>
              </w:rPr>
            </w:pPr>
          </w:p>
        </w:tc>
        <w:tc>
          <w:tcPr>
            <w:tcW w:w="960" w:type="dxa"/>
          </w:tcPr>
          <w:p w14:paraId="55342317" w14:textId="77777777" w:rsidR="00F001BC" w:rsidRPr="0032658A" w:rsidRDefault="00F001BC" w:rsidP="005840B3">
            <w:pPr>
              <w:ind w:right="-29"/>
              <w:jc w:val="center"/>
              <w:rPr>
                <w:noProof/>
                <w:sz w:val="18"/>
              </w:rPr>
            </w:pPr>
          </w:p>
        </w:tc>
        <w:tc>
          <w:tcPr>
            <w:tcW w:w="309" w:type="dxa"/>
          </w:tcPr>
          <w:p w14:paraId="4C331181" w14:textId="77777777" w:rsidR="00F001BC" w:rsidRPr="0032658A" w:rsidRDefault="00F001BC" w:rsidP="005840B3">
            <w:pPr>
              <w:ind w:right="-29"/>
              <w:jc w:val="center"/>
              <w:rPr>
                <w:noProof/>
                <w:sz w:val="18"/>
              </w:rPr>
            </w:pPr>
          </w:p>
        </w:tc>
        <w:tc>
          <w:tcPr>
            <w:tcW w:w="1011" w:type="dxa"/>
          </w:tcPr>
          <w:p w14:paraId="5E336E22" w14:textId="77777777" w:rsidR="00F001BC" w:rsidRPr="0032658A" w:rsidRDefault="00F001BC" w:rsidP="005840B3">
            <w:pPr>
              <w:ind w:right="-29"/>
              <w:jc w:val="center"/>
              <w:rPr>
                <w:noProof/>
                <w:sz w:val="18"/>
              </w:rPr>
            </w:pPr>
          </w:p>
        </w:tc>
        <w:tc>
          <w:tcPr>
            <w:tcW w:w="249" w:type="dxa"/>
          </w:tcPr>
          <w:p w14:paraId="7614FA3F" w14:textId="77777777" w:rsidR="00F001BC" w:rsidRPr="0032658A" w:rsidRDefault="00F001BC" w:rsidP="005840B3">
            <w:pPr>
              <w:ind w:right="-29"/>
              <w:jc w:val="center"/>
              <w:rPr>
                <w:noProof/>
                <w:sz w:val="18"/>
              </w:rPr>
            </w:pPr>
          </w:p>
        </w:tc>
        <w:tc>
          <w:tcPr>
            <w:tcW w:w="1071" w:type="dxa"/>
          </w:tcPr>
          <w:p w14:paraId="1DD1324F" w14:textId="77777777" w:rsidR="00F001BC" w:rsidRPr="0032658A" w:rsidRDefault="00F001BC" w:rsidP="005840B3">
            <w:pPr>
              <w:ind w:right="-29"/>
              <w:jc w:val="center"/>
              <w:rPr>
                <w:noProof/>
                <w:sz w:val="18"/>
              </w:rPr>
            </w:pPr>
          </w:p>
        </w:tc>
        <w:tc>
          <w:tcPr>
            <w:tcW w:w="840" w:type="dxa"/>
          </w:tcPr>
          <w:p w14:paraId="7D83B811" w14:textId="77777777" w:rsidR="00F001BC" w:rsidRPr="0032658A" w:rsidRDefault="00F001BC" w:rsidP="005840B3">
            <w:pPr>
              <w:ind w:right="-29"/>
              <w:jc w:val="center"/>
              <w:rPr>
                <w:noProof/>
                <w:sz w:val="18"/>
              </w:rPr>
            </w:pPr>
          </w:p>
        </w:tc>
        <w:tc>
          <w:tcPr>
            <w:tcW w:w="840" w:type="dxa"/>
          </w:tcPr>
          <w:p w14:paraId="41396D4B" w14:textId="77777777" w:rsidR="00F001BC" w:rsidRPr="0032658A" w:rsidRDefault="00F001BC" w:rsidP="005840B3">
            <w:pPr>
              <w:ind w:right="-29"/>
              <w:jc w:val="center"/>
              <w:rPr>
                <w:noProof/>
                <w:sz w:val="18"/>
              </w:rPr>
            </w:pPr>
          </w:p>
        </w:tc>
      </w:tr>
      <w:tr w:rsidR="00F001BC" w:rsidRPr="0032658A" w14:paraId="0C93DED4" w14:textId="77777777" w:rsidTr="00A6396C">
        <w:trPr>
          <w:jc w:val="center"/>
        </w:trPr>
        <w:tc>
          <w:tcPr>
            <w:tcW w:w="3099" w:type="dxa"/>
            <w:gridSpan w:val="3"/>
            <w:tcBorders>
              <w:bottom w:val="single" w:sz="12" w:space="0" w:color="auto"/>
            </w:tcBorders>
            <w:vAlign w:val="center"/>
          </w:tcPr>
          <w:p w14:paraId="771FF2C3" w14:textId="77777777" w:rsidR="00F001BC" w:rsidRPr="0032658A" w:rsidRDefault="00F001BC" w:rsidP="005840B3">
            <w:pPr>
              <w:ind w:right="-29"/>
              <w:jc w:val="center"/>
              <w:rPr>
                <w:noProof/>
                <w:sz w:val="18"/>
              </w:rPr>
            </w:pPr>
            <w:r w:rsidRPr="0032658A">
              <w:rPr>
                <w:noProof/>
                <w:sz w:val="18"/>
              </w:rPr>
              <w:t>1 konkretaus tikslo tarpinė suma</w:t>
            </w:r>
          </w:p>
        </w:tc>
        <w:tc>
          <w:tcPr>
            <w:tcW w:w="249" w:type="dxa"/>
            <w:tcBorders>
              <w:bottom w:val="single" w:sz="12" w:space="0" w:color="auto"/>
            </w:tcBorders>
          </w:tcPr>
          <w:p w14:paraId="1FB11568" w14:textId="77777777" w:rsidR="00F001BC" w:rsidRPr="0032658A" w:rsidRDefault="00F001BC" w:rsidP="005840B3">
            <w:pPr>
              <w:ind w:right="-29"/>
              <w:jc w:val="center"/>
              <w:rPr>
                <w:noProof/>
                <w:sz w:val="18"/>
              </w:rPr>
            </w:pPr>
          </w:p>
        </w:tc>
        <w:tc>
          <w:tcPr>
            <w:tcW w:w="951" w:type="dxa"/>
            <w:tcBorders>
              <w:bottom w:val="single" w:sz="12" w:space="0" w:color="auto"/>
            </w:tcBorders>
          </w:tcPr>
          <w:p w14:paraId="678F0647" w14:textId="77777777" w:rsidR="00F001BC" w:rsidRPr="0032658A" w:rsidRDefault="00F001BC" w:rsidP="005840B3">
            <w:pPr>
              <w:ind w:right="-29"/>
              <w:jc w:val="center"/>
              <w:rPr>
                <w:noProof/>
                <w:sz w:val="18"/>
              </w:rPr>
            </w:pPr>
          </w:p>
        </w:tc>
        <w:tc>
          <w:tcPr>
            <w:tcW w:w="309" w:type="dxa"/>
            <w:tcBorders>
              <w:bottom w:val="single" w:sz="12" w:space="0" w:color="auto"/>
            </w:tcBorders>
          </w:tcPr>
          <w:p w14:paraId="74F0C747" w14:textId="77777777" w:rsidR="00F001BC" w:rsidRPr="0032658A" w:rsidRDefault="00F001BC" w:rsidP="005840B3">
            <w:pPr>
              <w:ind w:right="-29"/>
              <w:jc w:val="center"/>
              <w:rPr>
                <w:noProof/>
                <w:sz w:val="18"/>
              </w:rPr>
            </w:pPr>
          </w:p>
        </w:tc>
        <w:tc>
          <w:tcPr>
            <w:tcW w:w="1011" w:type="dxa"/>
            <w:tcBorders>
              <w:bottom w:val="single" w:sz="12" w:space="0" w:color="auto"/>
            </w:tcBorders>
          </w:tcPr>
          <w:p w14:paraId="5419E7CD" w14:textId="77777777" w:rsidR="00F001BC" w:rsidRPr="0032658A" w:rsidRDefault="00F001BC" w:rsidP="005840B3">
            <w:pPr>
              <w:ind w:right="-29"/>
              <w:jc w:val="center"/>
              <w:rPr>
                <w:noProof/>
                <w:sz w:val="18"/>
              </w:rPr>
            </w:pPr>
          </w:p>
        </w:tc>
        <w:tc>
          <w:tcPr>
            <w:tcW w:w="429" w:type="dxa"/>
            <w:tcBorders>
              <w:bottom w:val="single" w:sz="12" w:space="0" w:color="auto"/>
            </w:tcBorders>
          </w:tcPr>
          <w:p w14:paraId="00DE8ACE" w14:textId="77777777" w:rsidR="00F001BC" w:rsidRPr="0032658A" w:rsidRDefault="00F001BC" w:rsidP="005840B3">
            <w:pPr>
              <w:ind w:right="-29"/>
              <w:jc w:val="center"/>
              <w:rPr>
                <w:noProof/>
                <w:sz w:val="18"/>
              </w:rPr>
            </w:pPr>
          </w:p>
        </w:tc>
        <w:tc>
          <w:tcPr>
            <w:tcW w:w="1011" w:type="dxa"/>
            <w:tcBorders>
              <w:bottom w:val="single" w:sz="12" w:space="0" w:color="auto"/>
            </w:tcBorders>
          </w:tcPr>
          <w:p w14:paraId="747FA074" w14:textId="77777777" w:rsidR="00F001BC" w:rsidRPr="0032658A" w:rsidRDefault="00F001BC" w:rsidP="005840B3">
            <w:pPr>
              <w:ind w:right="-29"/>
              <w:jc w:val="center"/>
              <w:rPr>
                <w:noProof/>
                <w:sz w:val="18"/>
              </w:rPr>
            </w:pPr>
          </w:p>
        </w:tc>
        <w:tc>
          <w:tcPr>
            <w:tcW w:w="360" w:type="dxa"/>
            <w:tcBorders>
              <w:bottom w:val="single" w:sz="12" w:space="0" w:color="auto"/>
            </w:tcBorders>
          </w:tcPr>
          <w:p w14:paraId="5F3B7501" w14:textId="77777777" w:rsidR="00F001BC" w:rsidRPr="0032658A" w:rsidRDefault="00F001BC" w:rsidP="005840B3">
            <w:pPr>
              <w:ind w:right="-29"/>
              <w:jc w:val="center"/>
              <w:rPr>
                <w:noProof/>
                <w:sz w:val="18"/>
              </w:rPr>
            </w:pPr>
          </w:p>
        </w:tc>
        <w:tc>
          <w:tcPr>
            <w:tcW w:w="969" w:type="dxa"/>
            <w:gridSpan w:val="2"/>
            <w:tcBorders>
              <w:bottom w:val="single" w:sz="12" w:space="0" w:color="auto"/>
            </w:tcBorders>
          </w:tcPr>
          <w:p w14:paraId="07049E47" w14:textId="77777777" w:rsidR="00F001BC" w:rsidRPr="0032658A" w:rsidRDefault="00F001BC" w:rsidP="005840B3">
            <w:pPr>
              <w:ind w:right="-29"/>
              <w:jc w:val="center"/>
              <w:rPr>
                <w:noProof/>
                <w:sz w:val="18"/>
              </w:rPr>
            </w:pPr>
          </w:p>
        </w:tc>
        <w:tc>
          <w:tcPr>
            <w:tcW w:w="351" w:type="dxa"/>
            <w:tcBorders>
              <w:bottom w:val="single" w:sz="12" w:space="0" w:color="auto"/>
            </w:tcBorders>
          </w:tcPr>
          <w:p w14:paraId="5738C762" w14:textId="77777777" w:rsidR="00F001BC" w:rsidRPr="0032658A" w:rsidRDefault="00F001BC" w:rsidP="005840B3">
            <w:pPr>
              <w:ind w:right="-29"/>
              <w:jc w:val="center"/>
              <w:rPr>
                <w:noProof/>
                <w:sz w:val="18"/>
              </w:rPr>
            </w:pPr>
          </w:p>
        </w:tc>
        <w:tc>
          <w:tcPr>
            <w:tcW w:w="960" w:type="dxa"/>
            <w:tcBorders>
              <w:bottom w:val="single" w:sz="12" w:space="0" w:color="auto"/>
            </w:tcBorders>
          </w:tcPr>
          <w:p w14:paraId="3845E048" w14:textId="77777777" w:rsidR="00F001BC" w:rsidRPr="0032658A" w:rsidRDefault="00F001BC" w:rsidP="005840B3">
            <w:pPr>
              <w:ind w:right="-29"/>
              <w:jc w:val="center"/>
              <w:rPr>
                <w:noProof/>
                <w:sz w:val="18"/>
              </w:rPr>
            </w:pPr>
          </w:p>
        </w:tc>
        <w:tc>
          <w:tcPr>
            <w:tcW w:w="309" w:type="dxa"/>
            <w:tcBorders>
              <w:bottom w:val="single" w:sz="12" w:space="0" w:color="auto"/>
            </w:tcBorders>
          </w:tcPr>
          <w:p w14:paraId="6BB9F049" w14:textId="77777777" w:rsidR="00F001BC" w:rsidRPr="0032658A" w:rsidRDefault="00F001BC" w:rsidP="005840B3">
            <w:pPr>
              <w:ind w:right="-29"/>
              <w:jc w:val="center"/>
              <w:rPr>
                <w:noProof/>
                <w:sz w:val="18"/>
              </w:rPr>
            </w:pPr>
          </w:p>
        </w:tc>
        <w:tc>
          <w:tcPr>
            <w:tcW w:w="1011" w:type="dxa"/>
            <w:tcBorders>
              <w:bottom w:val="single" w:sz="12" w:space="0" w:color="auto"/>
            </w:tcBorders>
          </w:tcPr>
          <w:p w14:paraId="57442152" w14:textId="77777777" w:rsidR="00F001BC" w:rsidRPr="0032658A" w:rsidRDefault="00F001BC" w:rsidP="005840B3">
            <w:pPr>
              <w:ind w:right="-29"/>
              <w:jc w:val="center"/>
              <w:rPr>
                <w:noProof/>
                <w:sz w:val="18"/>
              </w:rPr>
            </w:pPr>
          </w:p>
        </w:tc>
        <w:tc>
          <w:tcPr>
            <w:tcW w:w="249" w:type="dxa"/>
            <w:tcBorders>
              <w:bottom w:val="single" w:sz="12" w:space="0" w:color="auto"/>
            </w:tcBorders>
          </w:tcPr>
          <w:p w14:paraId="6BBF29EB" w14:textId="77777777" w:rsidR="00F001BC" w:rsidRPr="0032658A" w:rsidRDefault="00F001BC" w:rsidP="005840B3">
            <w:pPr>
              <w:ind w:right="-29"/>
              <w:jc w:val="center"/>
              <w:rPr>
                <w:noProof/>
                <w:sz w:val="18"/>
              </w:rPr>
            </w:pPr>
          </w:p>
        </w:tc>
        <w:tc>
          <w:tcPr>
            <w:tcW w:w="1071" w:type="dxa"/>
            <w:tcBorders>
              <w:bottom w:val="single" w:sz="12" w:space="0" w:color="auto"/>
            </w:tcBorders>
          </w:tcPr>
          <w:p w14:paraId="1FB80220" w14:textId="77777777" w:rsidR="00F001BC" w:rsidRPr="0032658A" w:rsidRDefault="00F001BC" w:rsidP="005840B3">
            <w:pPr>
              <w:ind w:right="-29"/>
              <w:jc w:val="center"/>
              <w:rPr>
                <w:noProof/>
                <w:sz w:val="18"/>
              </w:rPr>
            </w:pPr>
          </w:p>
        </w:tc>
        <w:tc>
          <w:tcPr>
            <w:tcW w:w="840" w:type="dxa"/>
            <w:tcBorders>
              <w:bottom w:val="single" w:sz="12" w:space="0" w:color="auto"/>
            </w:tcBorders>
          </w:tcPr>
          <w:p w14:paraId="713652E0" w14:textId="77777777" w:rsidR="00F001BC" w:rsidRPr="0032658A" w:rsidRDefault="00F001BC" w:rsidP="005840B3">
            <w:pPr>
              <w:ind w:right="-29"/>
              <w:jc w:val="center"/>
              <w:rPr>
                <w:noProof/>
                <w:sz w:val="18"/>
              </w:rPr>
            </w:pPr>
          </w:p>
        </w:tc>
        <w:tc>
          <w:tcPr>
            <w:tcW w:w="840" w:type="dxa"/>
            <w:tcBorders>
              <w:bottom w:val="single" w:sz="12" w:space="0" w:color="auto"/>
            </w:tcBorders>
          </w:tcPr>
          <w:p w14:paraId="4C163FA1" w14:textId="77777777" w:rsidR="00F001BC" w:rsidRPr="0032658A" w:rsidRDefault="00F001BC" w:rsidP="005840B3">
            <w:pPr>
              <w:ind w:right="-29"/>
              <w:jc w:val="center"/>
              <w:rPr>
                <w:noProof/>
                <w:sz w:val="18"/>
              </w:rPr>
            </w:pPr>
          </w:p>
        </w:tc>
      </w:tr>
      <w:tr w:rsidR="00F001BC" w:rsidRPr="0032658A" w14:paraId="25370FAF" w14:textId="77777777" w:rsidTr="00A6396C">
        <w:trPr>
          <w:jc w:val="center"/>
        </w:trPr>
        <w:tc>
          <w:tcPr>
            <w:tcW w:w="3099" w:type="dxa"/>
            <w:gridSpan w:val="3"/>
            <w:vAlign w:val="center"/>
          </w:tcPr>
          <w:p w14:paraId="1FD82E9A" w14:textId="77777777" w:rsidR="00F001BC" w:rsidRPr="0032658A" w:rsidRDefault="00F001BC" w:rsidP="005840B3">
            <w:pPr>
              <w:spacing w:before="60" w:after="60"/>
              <w:ind w:right="-29"/>
              <w:jc w:val="center"/>
              <w:rPr>
                <w:noProof/>
                <w:sz w:val="18"/>
              </w:rPr>
            </w:pPr>
            <w:r w:rsidRPr="0032658A">
              <w:rPr>
                <w:noProof/>
                <w:sz w:val="18"/>
              </w:rPr>
              <w:t>2 KONKRETUS TIKSLAS ...</w:t>
            </w:r>
          </w:p>
        </w:tc>
        <w:tc>
          <w:tcPr>
            <w:tcW w:w="249" w:type="dxa"/>
            <w:tcBorders>
              <w:top w:val="nil"/>
              <w:left w:val="nil"/>
              <w:bottom w:val="nil"/>
              <w:right w:val="nil"/>
            </w:tcBorders>
          </w:tcPr>
          <w:p w14:paraId="43809DA4" w14:textId="77777777" w:rsidR="00F001BC" w:rsidRPr="0032658A" w:rsidRDefault="00F001BC" w:rsidP="005840B3">
            <w:pPr>
              <w:spacing w:before="60" w:after="60"/>
              <w:ind w:right="-29"/>
              <w:jc w:val="center"/>
              <w:rPr>
                <w:noProof/>
                <w:sz w:val="18"/>
              </w:rPr>
            </w:pPr>
          </w:p>
        </w:tc>
        <w:tc>
          <w:tcPr>
            <w:tcW w:w="951" w:type="dxa"/>
            <w:tcBorders>
              <w:top w:val="nil"/>
              <w:left w:val="nil"/>
              <w:bottom w:val="nil"/>
              <w:right w:val="nil"/>
            </w:tcBorders>
          </w:tcPr>
          <w:p w14:paraId="382C724C" w14:textId="77777777" w:rsidR="00F001BC" w:rsidRPr="0032658A" w:rsidRDefault="00F001BC" w:rsidP="005840B3">
            <w:pPr>
              <w:spacing w:before="60" w:after="60"/>
              <w:ind w:right="-29"/>
              <w:jc w:val="center"/>
              <w:rPr>
                <w:noProof/>
                <w:sz w:val="18"/>
              </w:rPr>
            </w:pPr>
          </w:p>
        </w:tc>
        <w:tc>
          <w:tcPr>
            <w:tcW w:w="309" w:type="dxa"/>
            <w:tcBorders>
              <w:top w:val="nil"/>
              <w:left w:val="nil"/>
              <w:bottom w:val="nil"/>
              <w:right w:val="nil"/>
            </w:tcBorders>
          </w:tcPr>
          <w:p w14:paraId="1C299FA9" w14:textId="77777777" w:rsidR="00F001BC" w:rsidRPr="0032658A" w:rsidRDefault="00F001BC" w:rsidP="005840B3">
            <w:pPr>
              <w:spacing w:before="60" w:after="60"/>
              <w:ind w:right="-29"/>
              <w:jc w:val="center"/>
              <w:rPr>
                <w:noProof/>
                <w:sz w:val="18"/>
              </w:rPr>
            </w:pPr>
          </w:p>
        </w:tc>
        <w:tc>
          <w:tcPr>
            <w:tcW w:w="1011" w:type="dxa"/>
            <w:tcBorders>
              <w:top w:val="nil"/>
              <w:left w:val="nil"/>
              <w:bottom w:val="nil"/>
              <w:right w:val="nil"/>
            </w:tcBorders>
          </w:tcPr>
          <w:p w14:paraId="03DEC5E7" w14:textId="77777777" w:rsidR="00F001BC" w:rsidRPr="0032658A" w:rsidRDefault="00F001BC" w:rsidP="005840B3">
            <w:pPr>
              <w:spacing w:before="60" w:after="60"/>
              <w:ind w:right="-29"/>
              <w:jc w:val="center"/>
              <w:rPr>
                <w:noProof/>
                <w:sz w:val="18"/>
              </w:rPr>
            </w:pPr>
          </w:p>
        </w:tc>
        <w:tc>
          <w:tcPr>
            <w:tcW w:w="429" w:type="dxa"/>
            <w:tcBorders>
              <w:top w:val="nil"/>
              <w:left w:val="nil"/>
              <w:bottom w:val="nil"/>
              <w:right w:val="nil"/>
            </w:tcBorders>
          </w:tcPr>
          <w:p w14:paraId="145AE88A" w14:textId="77777777" w:rsidR="00F001BC" w:rsidRPr="0032658A" w:rsidRDefault="00F001BC" w:rsidP="005840B3">
            <w:pPr>
              <w:spacing w:before="60" w:after="60"/>
              <w:ind w:right="-29"/>
              <w:jc w:val="center"/>
              <w:rPr>
                <w:noProof/>
                <w:sz w:val="18"/>
              </w:rPr>
            </w:pPr>
          </w:p>
        </w:tc>
        <w:tc>
          <w:tcPr>
            <w:tcW w:w="1011" w:type="dxa"/>
            <w:tcBorders>
              <w:top w:val="nil"/>
              <w:left w:val="nil"/>
              <w:bottom w:val="nil"/>
              <w:right w:val="nil"/>
            </w:tcBorders>
          </w:tcPr>
          <w:p w14:paraId="7E97C3C1" w14:textId="77777777" w:rsidR="00F001BC" w:rsidRPr="0032658A" w:rsidRDefault="00F001BC" w:rsidP="005840B3">
            <w:pPr>
              <w:spacing w:before="60" w:after="60"/>
              <w:ind w:right="-29"/>
              <w:jc w:val="center"/>
              <w:rPr>
                <w:noProof/>
                <w:sz w:val="18"/>
              </w:rPr>
            </w:pPr>
          </w:p>
        </w:tc>
        <w:tc>
          <w:tcPr>
            <w:tcW w:w="360" w:type="dxa"/>
            <w:tcBorders>
              <w:top w:val="nil"/>
              <w:left w:val="nil"/>
              <w:bottom w:val="nil"/>
              <w:right w:val="nil"/>
            </w:tcBorders>
          </w:tcPr>
          <w:p w14:paraId="1F3DCA36" w14:textId="77777777" w:rsidR="00F001BC" w:rsidRPr="0032658A" w:rsidRDefault="00F001BC" w:rsidP="005840B3">
            <w:pPr>
              <w:spacing w:before="60" w:after="60"/>
              <w:ind w:right="-29"/>
              <w:jc w:val="center"/>
              <w:rPr>
                <w:noProof/>
                <w:sz w:val="18"/>
              </w:rPr>
            </w:pPr>
          </w:p>
        </w:tc>
        <w:tc>
          <w:tcPr>
            <w:tcW w:w="969" w:type="dxa"/>
            <w:gridSpan w:val="2"/>
            <w:tcBorders>
              <w:top w:val="nil"/>
              <w:left w:val="nil"/>
              <w:bottom w:val="nil"/>
              <w:right w:val="nil"/>
            </w:tcBorders>
          </w:tcPr>
          <w:p w14:paraId="20834047" w14:textId="77777777" w:rsidR="00F001BC" w:rsidRPr="0032658A" w:rsidRDefault="00F001BC" w:rsidP="005840B3">
            <w:pPr>
              <w:spacing w:before="60" w:after="60"/>
              <w:ind w:right="-29"/>
              <w:jc w:val="center"/>
              <w:rPr>
                <w:noProof/>
                <w:sz w:val="18"/>
              </w:rPr>
            </w:pPr>
          </w:p>
        </w:tc>
        <w:tc>
          <w:tcPr>
            <w:tcW w:w="351" w:type="dxa"/>
            <w:tcBorders>
              <w:top w:val="nil"/>
              <w:left w:val="nil"/>
              <w:bottom w:val="nil"/>
              <w:right w:val="nil"/>
            </w:tcBorders>
          </w:tcPr>
          <w:p w14:paraId="6645A248" w14:textId="77777777" w:rsidR="00F001BC" w:rsidRPr="0032658A" w:rsidRDefault="00F001BC" w:rsidP="005840B3">
            <w:pPr>
              <w:spacing w:before="60" w:after="60"/>
              <w:ind w:right="-29"/>
              <w:jc w:val="center"/>
              <w:rPr>
                <w:noProof/>
                <w:sz w:val="18"/>
              </w:rPr>
            </w:pPr>
          </w:p>
        </w:tc>
        <w:tc>
          <w:tcPr>
            <w:tcW w:w="960" w:type="dxa"/>
            <w:tcBorders>
              <w:top w:val="nil"/>
              <w:left w:val="nil"/>
              <w:bottom w:val="nil"/>
              <w:right w:val="nil"/>
            </w:tcBorders>
          </w:tcPr>
          <w:p w14:paraId="186F90BB" w14:textId="77777777" w:rsidR="00F001BC" w:rsidRPr="0032658A" w:rsidRDefault="00F001BC" w:rsidP="005840B3">
            <w:pPr>
              <w:spacing w:before="60" w:after="60"/>
              <w:ind w:right="-29"/>
              <w:jc w:val="center"/>
              <w:rPr>
                <w:noProof/>
                <w:sz w:val="18"/>
              </w:rPr>
            </w:pPr>
          </w:p>
        </w:tc>
        <w:tc>
          <w:tcPr>
            <w:tcW w:w="309" w:type="dxa"/>
            <w:tcBorders>
              <w:top w:val="nil"/>
              <w:left w:val="nil"/>
              <w:bottom w:val="nil"/>
              <w:right w:val="nil"/>
            </w:tcBorders>
          </w:tcPr>
          <w:p w14:paraId="0B1010FB" w14:textId="77777777" w:rsidR="00F001BC" w:rsidRPr="0032658A" w:rsidRDefault="00F001BC" w:rsidP="005840B3">
            <w:pPr>
              <w:spacing w:before="60" w:after="60"/>
              <w:ind w:right="-29"/>
              <w:jc w:val="center"/>
              <w:rPr>
                <w:noProof/>
                <w:sz w:val="18"/>
              </w:rPr>
            </w:pPr>
          </w:p>
        </w:tc>
        <w:tc>
          <w:tcPr>
            <w:tcW w:w="1011" w:type="dxa"/>
            <w:tcBorders>
              <w:top w:val="nil"/>
              <w:left w:val="nil"/>
              <w:bottom w:val="nil"/>
              <w:right w:val="nil"/>
            </w:tcBorders>
          </w:tcPr>
          <w:p w14:paraId="026825C2" w14:textId="77777777" w:rsidR="00F001BC" w:rsidRPr="0032658A" w:rsidRDefault="00F001BC" w:rsidP="005840B3">
            <w:pPr>
              <w:spacing w:before="60" w:after="60"/>
              <w:ind w:right="-29"/>
              <w:jc w:val="center"/>
              <w:rPr>
                <w:noProof/>
                <w:sz w:val="18"/>
              </w:rPr>
            </w:pPr>
          </w:p>
        </w:tc>
        <w:tc>
          <w:tcPr>
            <w:tcW w:w="249" w:type="dxa"/>
            <w:tcBorders>
              <w:top w:val="nil"/>
              <w:left w:val="nil"/>
              <w:bottom w:val="nil"/>
              <w:right w:val="nil"/>
            </w:tcBorders>
          </w:tcPr>
          <w:p w14:paraId="707D3C45" w14:textId="77777777" w:rsidR="00F001BC" w:rsidRPr="0032658A" w:rsidRDefault="00F001BC" w:rsidP="005840B3">
            <w:pPr>
              <w:spacing w:before="60" w:after="60"/>
              <w:ind w:right="-29"/>
              <w:jc w:val="center"/>
              <w:rPr>
                <w:noProof/>
                <w:sz w:val="18"/>
              </w:rPr>
            </w:pPr>
          </w:p>
        </w:tc>
        <w:tc>
          <w:tcPr>
            <w:tcW w:w="1071" w:type="dxa"/>
            <w:tcBorders>
              <w:top w:val="nil"/>
              <w:left w:val="nil"/>
              <w:bottom w:val="nil"/>
              <w:right w:val="nil"/>
            </w:tcBorders>
          </w:tcPr>
          <w:p w14:paraId="0F7E1723" w14:textId="77777777" w:rsidR="00F001BC" w:rsidRPr="0032658A" w:rsidRDefault="00F001BC" w:rsidP="005840B3">
            <w:pPr>
              <w:spacing w:before="60" w:after="60"/>
              <w:ind w:right="-29"/>
              <w:jc w:val="center"/>
              <w:rPr>
                <w:noProof/>
                <w:sz w:val="18"/>
              </w:rPr>
            </w:pPr>
          </w:p>
        </w:tc>
        <w:tc>
          <w:tcPr>
            <w:tcW w:w="840" w:type="dxa"/>
            <w:tcBorders>
              <w:top w:val="nil"/>
              <w:left w:val="nil"/>
              <w:bottom w:val="nil"/>
              <w:right w:val="nil"/>
            </w:tcBorders>
          </w:tcPr>
          <w:p w14:paraId="734A4BB0" w14:textId="77777777" w:rsidR="00F001BC" w:rsidRPr="0032658A" w:rsidRDefault="00F001BC" w:rsidP="005840B3">
            <w:pPr>
              <w:spacing w:before="60" w:after="60"/>
              <w:ind w:right="-29"/>
              <w:jc w:val="center"/>
              <w:rPr>
                <w:noProof/>
                <w:sz w:val="18"/>
              </w:rPr>
            </w:pPr>
          </w:p>
        </w:tc>
        <w:tc>
          <w:tcPr>
            <w:tcW w:w="840" w:type="dxa"/>
            <w:tcBorders>
              <w:top w:val="nil"/>
              <w:left w:val="nil"/>
              <w:bottom w:val="nil"/>
              <w:right w:val="nil"/>
            </w:tcBorders>
          </w:tcPr>
          <w:p w14:paraId="0446A510" w14:textId="77777777" w:rsidR="00F001BC" w:rsidRPr="0032658A" w:rsidRDefault="00F001BC" w:rsidP="005840B3">
            <w:pPr>
              <w:spacing w:before="60" w:after="60"/>
              <w:ind w:right="-29"/>
              <w:jc w:val="center"/>
              <w:rPr>
                <w:noProof/>
                <w:sz w:val="18"/>
              </w:rPr>
            </w:pPr>
          </w:p>
        </w:tc>
      </w:tr>
      <w:tr w:rsidR="00F001BC" w:rsidRPr="0032658A" w14:paraId="21DA7DFF" w14:textId="77777777" w:rsidTr="00A6396C">
        <w:trPr>
          <w:trHeight w:hRule="exact" w:val="369"/>
          <w:jc w:val="center"/>
        </w:trPr>
        <w:tc>
          <w:tcPr>
            <w:tcW w:w="1423" w:type="dxa"/>
          </w:tcPr>
          <w:p w14:paraId="4C61813E" w14:textId="77777777" w:rsidR="00F001BC" w:rsidRPr="0032658A" w:rsidRDefault="00F001BC" w:rsidP="005840B3">
            <w:pPr>
              <w:ind w:right="-29"/>
              <w:jc w:val="center"/>
              <w:rPr>
                <w:noProof/>
                <w:sz w:val="18"/>
              </w:rPr>
            </w:pPr>
            <w:r w:rsidRPr="0032658A">
              <w:rPr>
                <w:noProof/>
                <w:sz w:val="18"/>
              </w:rPr>
              <w:t>– Atliktas darbas</w:t>
            </w:r>
          </w:p>
        </w:tc>
        <w:tc>
          <w:tcPr>
            <w:tcW w:w="720" w:type="dxa"/>
          </w:tcPr>
          <w:p w14:paraId="53A80B1A" w14:textId="77777777" w:rsidR="00F001BC" w:rsidRPr="0032658A" w:rsidRDefault="00F001BC" w:rsidP="005840B3">
            <w:pPr>
              <w:ind w:right="-29"/>
              <w:jc w:val="center"/>
              <w:rPr>
                <w:noProof/>
                <w:sz w:val="18"/>
              </w:rPr>
            </w:pPr>
          </w:p>
        </w:tc>
        <w:tc>
          <w:tcPr>
            <w:tcW w:w="956" w:type="dxa"/>
          </w:tcPr>
          <w:p w14:paraId="70BECDA4" w14:textId="77777777" w:rsidR="00F001BC" w:rsidRPr="0032658A" w:rsidRDefault="00F001BC" w:rsidP="005840B3">
            <w:pPr>
              <w:ind w:right="-29"/>
              <w:jc w:val="center"/>
              <w:rPr>
                <w:noProof/>
                <w:sz w:val="18"/>
              </w:rPr>
            </w:pPr>
          </w:p>
        </w:tc>
        <w:tc>
          <w:tcPr>
            <w:tcW w:w="249" w:type="dxa"/>
          </w:tcPr>
          <w:p w14:paraId="62E40DAE" w14:textId="77777777" w:rsidR="00F001BC" w:rsidRPr="0032658A" w:rsidRDefault="00F001BC" w:rsidP="005840B3">
            <w:pPr>
              <w:ind w:right="-29"/>
              <w:jc w:val="center"/>
              <w:rPr>
                <w:noProof/>
                <w:sz w:val="18"/>
              </w:rPr>
            </w:pPr>
          </w:p>
        </w:tc>
        <w:tc>
          <w:tcPr>
            <w:tcW w:w="951" w:type="dxa"/>
          </w:tcPr>
          <w:p w14:paraId="61EDA4D9" w14:textId="77777777" w:rsidR="00F001BC" w:rsidRPr="0032658A" w:rsidRDefault="00F001BC" w:rsidP="005840B3">
            <w:pPr>
              <w:ind w:right="-29"/>
              <w:jc w:val="center"/>
              <w:rPr>
                <w:noProof/>
                <w:sz w:val="18"/>
              </w:rPr>
            </w:pPr>
          </w:p>
        </w:tc>
        <w:tc>
          <w:tcPr>
            <w:tcW w:w="309" w:type="dxa"/>
          </w:tcPr>
          <w:p w14:paraId="74DA1476" w14:textId="77777777" w:rsidR="00F001BC" w:rsidRPr="0032658A" w:rsidRDefault="00F001BC" w:rsidP="005840B3">
            <w:pPr>
              <w:ind w:right="-29"/>
              <w:jc w:val="center"/>
              <w:rPr>
                <w:noProof/>
                <w:sz w:val="18"/>
              </w:rPr>
            </w:pPr>
          </w:p>
        </w:tc>
        <w:tc>
          <w:tcPr>
            <w:tcW w:w="1011" w:type="dxa"/>
          </w:tcPr>
          <w:p w14:paraId="6D4FE7D4" w14:textId="77777777" w:rsidR="00F001BC" w:rsidRPr="0032658A" w:rsidRDefault="00F001BC" w:rsidP="005840B3">
            <w:pPr>
              <w:ind w:right="-29"/>
              <w:jc w:val="center"/>
              <w:rPr>
                <w:noProof/>
                <w:sz w:val="18"/>
              </w:rPr>
            </w:pPr>
          </w:p>
        </w:tc>
        <w:tc>
          <w:tcPr>
            <w:tcW w:w="429" w:type="dxa"/>
          </w:tcPr>
          <w:p w14:paraId="2D7D9EB0" w14:textId="77777777" w:rsidR="00F001BC" w:rsidRPr="0032658A" w:rsidRDefault="00F001BC" w:rsidP="005840B3">
            <w:pPr>
              <w:ind w:right="-29"/>
              <w:jc w:val="center"/>
              <w:rPr>
                <w:noProof/>
                <w:sz w:val="18"/>
              </w:rPr>
            </w:pPr>
          </w:p>
        </w:tc>
        <w:tc>
          <w:tcPr>
            <w:tcW w:w="1011" w:type="dxa"/>
          </w:tcPr>
          <w:p w14:paraId="473D845A" w14:textId="77777777" w:rsidR="00F001BC" w:rsidRPr="0032658A" w:rsidRDefault="00F001BC" w:rsidP="005840B3">
            <w:pPr>
              <w:ind w:right="-29"/>
              <w:jc w:val="center"/>
              <w:rPr>
                <w:noProof/>
                <w:sz w:val="18"/>
              </w:rPr>
            </w:pPr>
          </w:p>
        </w:tc>
        <w:tc>
          <w:tcPr>
            <w:tcW w:w="360" w:type="dxa"/>
          </w:tcPr>
          <w:p w14:paraId="1E0B564D" w14:textId="77777777" w:rsidR="00F001BC" w:rsidRPr="0032658A" w:rsidRDefault="00F001BC" w:rsidP="005840B3">
            <w:pPr>
              <w:ind w:right="-29"/>
              <w:jc w:val="center"/>
              <w:rPr>
                <w:noProof/>
                <w:sz w:val="18"/>
              </w:rPr>
            </w:pPr>
          </w:p>
        </w:tc>
        <w:tc>
          <w:tcPr>
            <w:tcW w:w="969" w:type="dxa"/>
            <w:gridSpan w:val="2"/>
          </w:tcPr>
          <w:p w14:paraId="33FA8723" w14:textId="77777777" w:rsidR="00F001BC" w:rsidRPr="0032658A" w:rsidRDefault="00F001BC" w:rsidP="005840B3">
            <w:pPr>
              <w:ind w:right="-29"/>
              <w:jc w:val="center"/>
              <w:rPr>
                <w:noProof/>
                <w:sz w:val="18"/>
              </w:rPr>
            </w:pPr>
          </w:p>
        </w:tc>
        <w:tc>
          <w:tcPr>
            <w:tcW w:w="351" w:type="dxa"/>
          </w:tcPr>
          <w:p w14:paraId="2D1F2847" w14:textId="77777777" w:rsidR="00F001BC" w:rsidRPr="0032658A" w:rsidRDefault="00F001BC" w:rsidP="005840B3">
            <w:pPr>
              <w:ind w:right="-29"/>
              <w:jc w:val="center"/>
              <w:rPr>
                <w:noProof/>
                <w:sz w:val="18"/>
              </w:rPr>
            </w:pPr>
          </w:p>
        </w:tc>
        <w:tc>
          <w:tcPr>
            <w:tcW w:w="960" w:type="dxa"/>
          </w:tcPr>
          <w:p w14:paraId="1F58E81D" w14:textId="77777777" w:rsidR="00F001BC" w:rsidRPr="0032658A" w:rsidRDefault="00F001BC" w:rsidP="005840B3">
            <w:pPr>
              <w:ind w:right="-29"/>
              <w:jc w:val="center"/>
              <w:rPr>
                <w:noProof/>
                <w:sz w:val="18"/>
              </w:rPr>
            </w:pPr>
          </w:p>
        </w:tc>
        <w:tc>
          <w:tcPr>
            <w:tcW w:w="309" w:type="dxa"/>
          </w:tcPr>
          <w:p w14:paraId="30CD5C7B" w14:textId="77777777" w:rsidR="00F001BC" w:rsidRPr="0032658A" w:rsidRDefault="00F001BC" w:rsidP="005840B3">
            <w:pPr>
              <w:ind w:right="-29"/>
              <w:jc w:val="center"/>
              <w:rPr>
                <w:noProof/>
                <w:sz w:val="18"/>
              </w:rPr>
            </w:pPr>
          </w:p>
        </w:tc>
        <w:tc>
          <w:tcPr>
            <w:tcW w:w="1011" w:type="dxa"/>
          </w:tcPr>
          <w:p w14:paraId="51619A26" w14:textId="77777777" w:rsidR="00F001BC" w:rsidRPr="0032658A" w:rsidRDefault="00F001BC" w:rsidP="005840B3">
            <w:pPr>
              <w:ind w:right="-29"/>
              <w:jc w:val="center"/>
              <w:rPr>
                <w:noProof/>
                <w:sz w:val="18"/>
              </w:rPr>
            </w:pPr>
          </w:p>
        </w:tc>
        <w:tc>
          <w:tcPr>
            <w:tcW w:w="249" w:type="dxa"/>
          </w:tcPr>
          <w:p w14:paraId="286377E0" w14:textId="77777777" w:rsidR="00F001BC" w:rsidRPr="0032658A" w:rsidRDefault="00F001BC" w:rsidP="005840B3">
            <w:pPr>
              <w:ind w:right="-29"/>
              <w:jc w:val="center"/>
              <w:rPr>
                <w:noProof/>
                <w:sz w:val="18"/>
              </w:rPr>
            </w:pPr>
          </w:p>
        </w:tc>
        <w:tc>
          <w:tcPr>
            <w:tcW w:w="1071" w:type="dxa"/>
          </w:tcPr>
          <w:p w14:paraId="0AFA9E93" w14:textId="77777777" w:rsidR="00F001BC" w:rsidRPr="0032658A" w:rsidRDefault="00F001BC" w:rsidP="005840B3">
            <w:pPr>
              <w:ind w:right="-29"/>
              <w:jc w:val="center"/>
              <w:rPr>
                <w:noProof/>
                <w:sz w:val="18"/>
              </w:rPr>
            </w:pPr>
          </w:p>
        </w:tc>
        <w:tc>
          <w:tcPr>
            <w:tcW w:w="840" w:type="dxa"/>
          </w:tcPr>
          <w:p w14:paraId="4BA22AD8" w14:textId="77777777" w:rsidR="00F001BC" w:rsidRPr="0032658A" w:rsidRDefault="00F001BC" w:rsidP="005840B3">
            <w:pPr>
              <w:ind w:right="-29"/>
              <w:jc w:val="center"/>
              <w:rPr>
                <w:noProof/>
                <w:sz w:val="18"/>
              </w:rPr>
            </w:pPr>
          </w:p>
        </w:tc>
        <w:tc>
          <w:tcPr>
            <w:tcW w:w="840" w:type="dxa"/>
          </w:tcPr>
          <w:p w14:paraId="27527836" w14:textId="77777777" w:rsidR="00F001BC" w:rsidRPr="0032658A" w:rsidRDefault="00F001BC" w:rsidP="005840B3">
            <w:pPr>
              <w:ind w:right="-29"/>
              <w:jc w:val="center"/>
              <w:rPr>
                <w:noProof/>
                <w:sz w:val="18"/>
              </w:rPr>
            </w:pPr>
          </w:p>
        </w:tc>
      </w:tr>
      <w:tr w:rsidR="00F001BC" w:rsidRPr="0032658A" w14:paraId="057B5B76" w14:textId="77777777" w:rsidTr="00A6396C">
        <w:trPr>
          <w:jc w:val="center"/>
        </w:trPr>
        <w:tc>
          <w:tcPr>
            <w:tcW w:w="3099" w:type="dxa"/>
            <w:gridSpan w:val="3"/>
            <w:tcBorders>
              <w:bottom w:val="single" w:sz="12" w:space="0" w:color="auto"/>
            </w:tcBorders>
            <w:vAlign w:val="center"/>
          </w:tcPr>
          <w:p w14:paraId="562052F6" w14:textId="77777777" w:rsidR="00F001BC" w:rsidRPr="0032658A" w:rsidRDefault="00F001BC" w:rsidP="005840B3">
            <w:pPr>
              <w:jc w:val="center"/>
              <w:rPr>
                <w:noProof/>
                <w:sz w:val="18"/>
              </w:rPr>
            </w:pPr>
            <w:r w:rsidRPr="0032658A">
              <w:rPr>
                <w:noProof/>
                <w:sz w:val="18"/>
              </w:rPr>
              <w:t>2 konkretaus tikslo tarpinė suma</w:t>
            </w:r>
          </w:p>
        </w:tc>
        <w:tc>
          <w:tcPr>
            <w:tcW w:w="249" w:type="dxa"/>
            <w:tcBorders>
              <w:bottom w:val="single" w:sz="12" w:space="0" w:color="auto"/>
            </w:tcBorders>
          </w:tcPr>
          <w:p w14:paraId="311B9178" w14:textId="77777777" w:rsidR="00F001BC" w:rsidRPr="0032658A" w:rsidRDefault="00F001BC" w:rsidP="005840B3">
            <w:pPr>
              <w:ind w:right="-29"/>
              <w:jc w:val="center"/>
              <w:rPr>
                <w:noProof/>
                <w:sz w:val="18"/>
              </w:rPr>
            </w:pPr>
          </w:p>
        </w:tc>
        <w:tc>
          <w:tcPr>
            <w:tcW w:w="951" w:type="dxa"/>
            <w:tcBorders>
              <w:bottom w:val="single" w:sz="12" w:space="0" w:color="auto"/>
            </w:tcBorders>
          </w:tcPr>
          <w:p w14:paraId="09A863DE" w14:textId="77777777" w:rsidR="00F001BC" w:rsidRPr="0032658A" w:rsidRDefault="00F001BC" w:rsidP="005840B3">
            <w:pPr>
              <w:ind w:right="-29"/>
              <w:jc w:val="center"/>
              <w:rPr>
                <w:noProof/>
                <w:sz w:val="18"/>
              </w:rPr>
            </w:pPr>
          </w:p>
        </w:tc>
        <w:tc>
          <w:tcPr>
            <w:tcW w:w="309" w:type="dxa"/>
            <w:tcBorders>
              <w:bottom w:val="single" w:sz="12" w:space="0" w:color="auto"/>
            </w:tcBorders>
          </w:tcPr>
          <w:p w14:paraId="1C0BE2C3" w14:textId="77777777" w:rsidR="00F001BC" w:rsidRPr="0032658A" w:rsidRDefault="00F001BC" w:rsidP="005840B3">
            <w:pPr>
              <w:ind w:right="-29"/>
              <w:jc w:val="center"/>
              <w:rPr>
                <w:noProof/>
                <w:sz w:val="18"/>
              </w:rPr>
            </w:pPr>
          </w:p>
        </w:tc>
        <w:tc>
          <w:tcPr>
            <w:tcW w:w="1011" w:type="dxa"/>
            <w:tcBorders>
              <w:bottom w:val="single" w:sz="12" w:space="0" w:color="auto"/>
            </w:tcBorders>
          </w:tcPr>
          <w:p w14:paraId="0F0725A4" w14:textId="77777777" w:rsidR="00F001BC" w:rsidRPr="0032658A" w:rsidRDefault="00F001BC" w:rsidP="005840B3">
            <w:pPr>
              <w:ind w:right="-29"/>
              <w:jc w:val="center"/>
              <w:rPr>
                <w:noProof/>
                <w:sz w:val="18"/>
              </w:rPr>
            </w:pPr>
          </w:p>
        </w:tc>
        <w:tc>
          <w:tcPr>
            <w:tcW w:w="429" w:type="dxa"/>
            <w:tcBorders>
              <w:bottom w:val="single" w:sz="12" w:space="0" w:color="auto"/>
            </w:tcBorders>
          </w:tcPr>
          <w:p w14:paraId="203BAD0B" w14:textId="77777777" w:rsidR="00F001BC" w:rsidRPr="0032658A" w:rsidRDefault="00F001BC" w:rsidP="005840B3">
            <w:pPr>
              <w:ind w:right="-29"/>
              <w:jc w:val="center"/>
              <w:rPr>
                <w:noProof/>
                <w:sz w:val="18"/>
              </w:rPr>
            </w:pPr>
          </w:p>
        </w:tc>
        <w:tc>
          <w:tcPr>
            <w:tcW w:w="1011" w:type="dxa"/>
            <w:tcBorders>
              <w:bottom w:val="single" w:sz="12" w:space="0" w:color="auto"/>
            </w:tcBorders>
          </w:tcPr>
          <w:p w14:paraId="2C6A35C5" w14:textId="77777777" w:rsidR="00F001BC" w:rsidRPr="0032658A" w:rsidRDefault="00F001BC" w:rsidP="005840B3">
            <w:pPr>
              <w:ind w:right="-29"/>
              <w:jc w:val="center"/>
              <w:rPr>
                <w:noProof/>
                <w:sz w:val="18"/>
              </w:rPr>
            </w:pPr>
          </w:p>
        </w:tc>
        <w:tc>
          <w:tcPr>
            <w:tcW w:w="660" w:type="dxa"/>
            <w:gridSpan w:val="2"/>
            <w:tcBorders>
              <w:bottom w:val="single" w:sz="12" w:space="0" w:color="auto"/>
            </w:tcBorders>
          </w:tcPr>
          <w:p w14:paraId="019D97F1" w14:textId="77777777" w:rsidR="00F001BC" w:rsidRPr="0032658A" w:rsidRDefault="00F001BC" w:rsidP="005840B3">
            <w:pPr>
              <w:ind w:right="-29"/>
              <w:jc w:val="center"/>
              <w:rPr>
                <w:noProof/>
                <w:sz w:val="18"/>
              </w:rPr>
            </w:pPr>
          </w:p>
        </w:tc>
        <w:tc>
          <w:tcPr>
            <w:tcW w:w="669" w:type="dxa"/>
            <w:tcBorders>
              <w:bottom w:val="single" w:sz="12" w:space="0" w:color="auto"/>
            </w:tcBorders>
          </w:tcPr>
          <w:p w14:paraId="15DAB612" w14:textId="77777777" w:rsidR="00F001BC" w:rsidRPr="0032658A" w:rsidRDefault="00F001BC" w:rsidP="005840B3">
            <w:pPr>
              <w:ind w:right="-29"/>
              <w:jc w:val="center"/>
              <w:rPr>
                <w:noProof/>
                <w:sz w:val="18"/>
              </w:rPr>
            </w:pPr>
          </w:p>
        </w:tc>
        <w:tc>
          <w:tcPr>
            <w:tcW w:w="351" w:type="dxa"/>
            <w:tcBorders>
              <w:bottom w:val="single" w:sz="12" w:space="0" w:color="auto"/>
            </w:tcBorders>
          </w:tcPr>
          <w:p w14:paraId="028788E4" w14:textId="77777777" w:rsidR="00F001BC" w:rsidRPr="0032658A" w:rsidRDefault="00F001BC" w:rsidP="005840B3">
            <w:pPr>
              <w:ind w:right="-29"/>
              <w:jc w:val="center"/>
              <w:rPr>
                <w:noProof/>
                <w:sz w:val="18"/>
              </w:rPr>
            </w:pPr>
          </w:p>
        </w:tc>
        <w:tc>
          <w:tcPr>
            <w:tcW w:w="960" w:type="dxa"/>
            <w:tcBorders>
              <w:bottom w:val="single" w:sz="12" w:space="0" w:color="auto"/>
            </w:tcBorders>
          </w:tcPr>
          <w:p w14:paraId="249B4239" w14:textId="77777777" w:rsidR="00F001BC" w:rsidRPr="0032658A" w:rsidRDefault="00F001BC" w:rsidP="005840B3">
            <w:pPr>
              <w:ind w:right="-29"/>
              <w:jc w:val="center"/>
              <w:rPr>
                <w:noProof/>
                <w:sz w:val="18"/>
              </w:rPr>
            </w:pPr>
          </w:p>
        </w:tc>
        <w:tc>
          <w:tcPr>
            <w:tcW w:w="309" w:type="dxa"/>
            <w:tcBorders>
              <w:bottom w:val="single" w:sz="12" w:space="0" w:color="auto"/>
            </w:tcBorders>
          </w:tcPr>
          <w:p w14:paraId="7348470E" w14:textId="77777777" w:rsidR="00F001BC" w:rsidRPr="0032658A" w:rsidRDefault="00F001BC" w:rsidP="005840B3">
            <w:pPr>
              <w:ind w:right="-29"/>
              <w:jc w:val="center"/>
              <w:rPr>
                <w:noProof/>
                <w:sz w:val="18"/>
              </w:rPr>
            </w:pPr>
          </w:p>
        </w:tc>
        <w:tc>
          <w:tcPr>
            <w:tcW w:w="1011" w:type="dxa"/>
            <w:tcBorders>
              <w:bottom w:val="single" w:sz="12" w:space="0" w:color="auto"/>
            </w:tcBorders>
          </w:tcPr>
          <w:p w14:paraId="36DAE214" w14:textId="77777777" w:rsidR="00F001BC" w:rsidRPr="0032658A" w:rsidRDefault="00F001BC" w:rsidP="005840B3">
            <w:pPr>
              <w:ind w:right="-29"/>
              <w:jc w:val="center"/>
              <w:rPr>
                <w:noProof/>
                <w:sz w:val="18"/>
              </w:rPr>
            </w:pPr>
          </w:p>
        </w:tc>
        <w:tc>
          <w:tcPr>
            <w:tcW w:w="249" w:type="dxa"/>
            <w:tcBorders>
              <w:bottom w:val="single" w:sz="12" w:space="0" w:color="auto"/>
            </w:tcBorders>
          </w:tcPr>
          <w:p w14:paraId="061FF069" w14:textId="77777777" w:rsidR="00F001BC" w:rsidRPr="0032658A" w:rsidRDefault="00F001BC" w:rsidP="005840B3">
            <w:pPr>
              <w:ind w:right="-29"/>
              <w:jc w:val="center"/>
              <w:rPr>
                <w:noProof/>
                <w:sz w:val="18"/>
              </w:rPr>
            </w:pPr>
          </w:p>
        </w:tc>
        <w:tc>
          <w:tcPr>
            <w:tcW w:w="1071" w:type="dxa"/>
            <w:tcBorders>
              <w:bottom w:val="single" w:sz="12" w:space="0" w:color="auto"/>
            </w:tcBorders>
          </w:tcPr>
          <w:p w14:paraId="1256A924" w14:textId="77777777" w:rsidR="00F001BC" w:rsidRPr="0032658A" w:rsidRDefault="00F001BC" w:rsidP="005840B3">
            <w:pPr>
              <w:ind w:right="-29"/>
              <w:jc w:val="center"/>
              <w:rPr>
                <w:noProof/>
                <w:sz w:val="18"/>
              </w:rPr>
            </w:pPr>
          </w:p>
        </w:tc>
        <w:tc>
          <w:tcPr>
            <w:tcW w:w="840" w:type="dxa"/>
            <w:tcBorders>
              <w:bottom w:val="single" w:sz="12" w:space="0" w:color="auto"/>
            </w:tcBorders>
          </w:tcPr>
          <w:p w14:paraId="21A37803" w14:textId="77777777" w:rsidR="00F001BC" w:rsidRPr="0032658A" w:rsidRDefault="00F001BC" w:rsidP="005840B3">
            <w:pPr>
              <w:ind w:right="-29"/>
              <w:jc w:val="center"/>
              <w:rPr>
                <w:noProof/>
                <w:sz w:val="18"/>
              </w:rPr>
            </w:pPr>
          </w:p>
        </w:tc>
        <w:tc>
          <w:tcPr>
            <w:tcW w:w="840" w:type="dxa"/>
            <w:tcBorders>
              <w:bottom w:val="single" w:sz="12" w:space="0" w:color="auto"/>
            </w:tcBorders>
          </w:tcPr>
          <w:p w14:paraId="173FCBD5" w14:textId="77777777" w:rsidR="00F001BC" w:rsidRPr="0032658A" w:rsidRDefault="00F001BC" w:rsidP="005840B3">
            <w:pPr>
              <w:ind w:right="-29"/>
              <w:jc w:val="center"/>
              <w:rPr>
                <w:noProof/>
                <w:sz w:val="18"/>
              </w:rPr>
            </w:pPr>
          </w:p>
        </w:tc>
      </w:tr>
      <w:tr w:rsidR="00F001BC" w:rsidRPr="0032658A" w14:paraId="0E3F07A2" w14:textId="77777777" w:rsidTr="00A6396C">
        <w:trPr>
          <w:jc w:val="center"/>
        </w:trPr>
        <w:tc>
          <w:tcPr>
            <w:tcW w:w="3099" w:type="dxa"/>
            <w:gridSpan w:val="3"/>
            <w:tcBorders>
              <w:top w:val="single" w:sz="12" w:space="0" w:color="auto"/>
              <w:left w:val="single" w:sz="12" w:space="0" w:color="auto"/>
              <w:bottom w:val="single" w:sz="12" w:space="0" w:color="auto"/>
            </w:tcBorders>
            <w:vAlign w:val="center"/>
          </w:tcPr>
          <w:p w14:paraId="6870705E" w14:textId="77777777" w:rsidR="00F001BC" w:rsidRPr="0032658A" w:rsidRDefault="00F001BC" w:rsidP="005840B3">
            <w:pPr>
              <w:ind w:right="-29"/>
              <w:jc w:val="center"/>
              <w:rPr>
                <w:noProof/>
                <w:sz w:val="18"/>
              </w:rPr>
            </w:pPr>
            <w:r w:rsidRPr="0032658A">
              <w:rPr>
                <w:b/>
                <w:noProof/>
                <w:sz w:val="18"/>
              </w:rPr>
              <w:t>IŠ VISO SĄNAUDŲ</w:t>
            </w:r>
          </w:p>
        </w:tc>
        <w:tc>
          <w:tcPr>
            <w:tcW w:w="249" w:type="dxa"/>
            <w:tcBorders>
              <w:top w:val="single" w:sz="12" w:space="0" w:color="auto"/>
              <w:bottom w:val="single" w:sz="12" w:space="0" w:color="auto"/>
            </w:tcBorders>
          </w:tcPr>
          <w:p w14:paraId="3C93B053" w14:textId="77777777" w:rsidR="00F001BC" w:rsidRPr="0032658A" w:rsidRDefault="00F001BC" w:rsidP="005840B3">
            <w:pPr>
              <w:spacing w:before="180" w:after="180"/>
              <w:ind w:right="-29"/>
              <w:jc w:val="center"/>
              <w:rPr>
                <w:noProof/>
                <w:sz w:val="18"/>
              </w:rPr>
            </w:pPr>
          </w:p>
        </w:tc>
        <w:tc>
          <w:tcPr>
            <w:tcW w:w="951" w:type="dxa"/>
            <w:tcBorders>
              <w:top w:val="single" w:sz="12" w:space="0" w:color="auto"/>
              <w:bottom w:val="single" w:sz="12" w:space="0" w:color="auto"/>
            </w:tcBorders>
          </w:tcPr>
          <w:p w14:paraId="08E02265" w14:textId="77777777" w:rsidR="00F001BC" w:rsidRPr="0032658A" w:rsidRDefault="00F001BC" w:rsidP="005840B3">
            <w:pPr>
              <w:spacing w:before="180" w:after="180"/>
              <w:ind w:right="-29"/>
              <w:jc w:val="center"/>
              <w:rPr>
                <w:noProof/>
                <w:sz w:val="18"/>
              </w:rPr>
            </w:pPr>
          </w:p>
        </w:tc>
        <w:tc>
          <w:tcPr>
            <w:tcW w:w="309" w:type="dxa"/>
            <w:tcBorders>
              <w:top w:val="single" w:sz="12" w:space="0" w:color="auto"/>
              <w:bottom w:val="single" w:sz="12" w:space="0" w:color="auto"/>
            </w:tcBorders>
          </w:tcPr>
          <w:p w14:paraId="19941FB0" w14:textId="77777777" w:rsidR="00F001BC" w:rsidRPr="0032658A" w:rsidRDefault="00F001BC" w:rsidP="005840B3">
            <w:pPr>
              <w:spacing w:before="180" w:after="180"/>
              <w:ind w:right="-29"/>
              <w:jc w:val="center"/>
              <w:rPr>
                <w:noProof/>
                <w:sz w:val="18"/>
              </w:rPr>
            </w:pPr>
          </w:p>
        </w:tc>
        <w:tc>
          <w:tcPr>
            <w:tcW w:w="1011" w:type="dxa"/>
            <w:tcBorders>
              <w:top w:val="single" w:sz="12" w:space="0" w:color="auto"/>
              <w:bottom w:val="single" w:sz="12" w:space="0" w:color="auto"/>
            </w:tcBorders>
          </w:tcPr>
          <w:p w14:paraId="62904FBE" w14:textId="77777777" w:rsidR="00F001BC" w:rsidRPr="0032658A" w:rsidRDefault="00F001BC" w:rsidP="005840B3">
            <w:pPr>
              <w:spacing w:before="180" w:after="180"/>
              <w:ind w:right="-29"/>
              <w:jc w:val="center"/>
              <w:rPr>
                <w:noProof/>
                <w:sz w:val="18"/>
              </w:rPr>
            </w:pPr>
          </w:p>
        </w:tc>
        <w:tc>
          <w:tcPr>
            <w:tcW w:w="429" w:type="dxa"/>
            <w:tcBorders>
              <w:top w:val="single" w:sz="12" w:space="0" w:color="auto"/>
              <w:bottom w:val="single" w:sz="12" w:space="0" w:color="auto"/>
            </w:tcBorders>
          </w:tcPr>
          <w:p w14:paraId="55501DB0" w14:textId="77777777" w:rsidR="00F001BC" w:rsidRPr="0032658A" w:rsidRDefault="00F001BC" w:rsidP="005840B3">
            <w:pPr>
              <w:spacing w:before="180" w:after="180"/>
              <w:ind w:right="-29"/>
              <w:jc w:val="center"/>
              <w:rPr>
                <w:noProof/>
                <w:sz w:val="18"/>
              </w:rPr>
            </w:pPr>
          </w:p>
        </w:tc>
        <w:tc>
          <w:tcPr>
            <w:tcW w:w="1011" w:type="dxa"/>
            <w:tcBorders>
              <w:top w:val="single" w:sz="12" w:space="0" w:color="auto"/>
              <w:bottom w:val="single" w:sz="12" w:space="0" w:color="auto"/>
            </w:tcBorders>
          </w:tcPr>
          <w:p w14:paraId="7D8FD7D4" w14:textId="77777777" w:rsidR="00F001BC" w:rsidRPr="0032658A" w:rsidRDefault="00F001BC" w:rsidP="005840B3">
            <w:pPr>
              <w:spacing w:before="180" w:after="180"/>
              <w:ind w:right="-29"/>
              <w:jc w:val="center"/>
              <w:rPr>
                <w:noProof/>
                <w:sz w:val="18"/>
              </w:rPr>
            </w:pPr>
          </w:p>
        </w:tc>
        <w:tc>
          <w:tcPr>
            <w:tcW w:w="360" w:type="dxa"/>
            <w:tcBorders>
              <w:top w:val="single" w:sz="12" w:space="0" w:color="auto"/>
              <w:bottom w:val="single" w:sz="12" w:space="0" w:color="auto"/>
            </w:tcBorders>
          </w:tcPr>
          <w:p w14:paraId="1257D9A1" w14:textId="77777777" w:rsidR="00F001BC" w:rsidRPr="0032658A" w:rsidRDefault="00F001BC" w:rsidP="005840B3">
            <w:pPr>
              <w:spacing w:before="180" w:after="180"/>
              <w:ind w:right="-29"/>
              <w:jc w:val="center"/>
              <w:rPr>
                <w:noProof/>
                <w:sz w:val="18"/>
              </w:rPr>
            </w:pPr>
          </w:p>
        </w:tc>
        <w:tc>
          <w:tcPr>
            <w:tcW w:w="969" w:type="dxa"/>
            <w:gridSpan w:val="2"/>
            <w:tcBorders>
              <w:top w:val="single" w:sz="12" w:space="0" w:color="auto"/>
              <w:bottom w:val="single" w:sz="12" w:space="0" w:color="auto"/>
            </w:tcBorders>
          </w:tcPr>
          <w:p w14:paraId="4F44A178" w14:textId="77777777" w:rsidR="00F001BC" w:rsidRPr="0032658A" w:rsidRDefault="00F001BC" w:rsidP="005840B3">
            <w:pPr>
              <w:spacing w:before="180" w:after="180"/>
              <w:ind w:right="-29"/>
              <w:jc w:val="center"/>
              <w:rPr>
                <w:noProof/>
                <w:sz w:val="18"/>
              </w:rPr>
            </w:pPr>
          </w:p>
        </w:tc>
        <w:tc>
          <w:tcPr>
            <w:tcW w:w="351" w:type="dxa"/>
            <w:tcBorders>
              <w:top w:val="single" w:sz="12" w:space="0" w:color="auto"/>
              <w:bottom w:val="single" w:sz="12" w:space="0" w:color="auto"/>
            </w:tcBorders>
          </w:tcPr>
          <w:p w14:paraId="16F36A56" w14:textId="77777777" w:rsidR="00F001BC" w:rsidRPr="0032658A" w:rsidRDefault="00F001BC" w:rsidP="005840B3">
            <w:pPr>
              <w:spacing w:before="180" w:after="180"/>
              <w:ind w:right="-29"/>
              <w:jc w:val="center"/>
              <w:rPr>
                <w:noProof/>
                <w:sz w:val="18"/>
              </w:rPr>
            </w:pPr>
          </w:p>
        </w:tc>
        <w:tc>
          <w:tcPr>
            <w:tcW w:w="960" w:type="dxa"/>
            <w:tcBorders>
              <w:top w:val="single" w:sz="12" w:space="0" w:color="auto"/>
              <w:bottom w:val="single" w:sz="12" w:space="0" w:color="auto"/>
            </w:tcBorders>
          </w:tcPr>
          <w:p w14:paraId="134334BF" w14:textId="77777777" w:rsidR="00F001BC" w:rsidRPr="0032658A" w:rsidRDefault="00F001BC" w:rsidP="005840B3">
            <w:pPr>
              <w:spacing w:before="180" w:after="180"/>
              <w:ind w:right="-29"/>
              <w:jc w:val="center"/>
              <w:rPr>
                <w:noProof/>
                <w:sz w:val="18"/>
              </w:rPr>
            </w:pPr>
          </w:p>
        </w:tc>
        <w:tc>
          <w:tcPr>
            <w:tcW w:w="309" w:type="dxa"/>
            <w:tcBorders>
              <w:top w:val="single" w:sz="12" w:space="0" w:color="auto"/>
              <w:bottom w:val="single" w:sz="12" w:space="0" w:color="auto"/>
            </w:tcBorders>
          </w:tcPr>
          <w:p w14:paraId="144B2C27" w14:textId="77777777" w:rsidR="00F001BC" w:rsidRPr="0032658A" w:rsidRDefault="00F001BC" w:rsidP="005840B3">
            <w:pPr>
              <w:spacing w:before="180" w:after="180"/>
              <w:ind w:right="-29"/>
              <w:jc w:val="center"/>
              <w:rPr>
                <w:noProof/>
                <w:sz w:val="18"/>
              </w:rPr>
            </w:pPr>
          </w:p>
        </w:tc>
        <w:tc>
          <w:tcPr>
            <w:tcW w:w="1011" w:type="dxa"/>
            <w:tcBorders>
              <w:top w:val="single" w:sz="12" w:space="0" w:color="auto"/>
              <w:bottom w:val="single" w:sz="12" w:space="0" w:color="auto"/>
            </w:tcBorders>
          </w:tcPr>
          <w:p w14:paraId="22E98074" w14:textId="77777777" w:rsidR="00F001BC" w:rsidRPr="0032658A" w:rsidRDefault="00F001BC" w:rsidP="005840B3">
            <w:pPr>
              <w:spacing w:before="180" w:after="180"/>
              <w:ind w:right="-29"/>
              <w:jc w:val="center"/>
              <w:rPr>
                <w:noProof/>
                <w:sz w:val="18"/>
              </w:rPr>
            </w:pPr>
          </w:p>
        </w:tc>
        <w:tc>
          <w:tcPr>
            <w:tcW w:w="249" w:type="dxa"/>
            <w:tcBorders>
              <w:top w:val="single" w:sz="12" w:space="0" w:color="auto"/>
              <w:bottom w:val="single" w:sz="12" w:space="0" w:color="auto"/>
            </w:tcBorders>
          </w:tcPr>
          <w:p w14:paraId="72F1A307" w14:textId="77777777" w:rsidR="00F001BC" w:rsidRPr="0032658A" w:rsidRDefault="00F001BC" w:rsidP="005840B3">
            <w:pPr>
              <w:spacing w:before="180" w:after="180"/>
              <w:ind w:right="-29"/>
              <w:jc w:val="center"/>
              <w:rPr>
                <w:noProof/>
                <w:sz w:val="18"/>
              </w:rPr>
            </w:pPr>
          </w:p>
        </w:tc>
        <w:tc>
          <w:tcPr>
            <w:tcW w:w="1071" w:type="dxa"/>
            <w:tcBorders>
              <w:top w:val="single" w:sz="12" w:space="0" w:color="auto"/>
              <w:bottom w:val="single" w:sz="12" w:space="0" w:color="auto"/>
            </w:tcBorders>
          </w:tcPr>
          <w:p w14:paraId="3B0828EC" w14:textId="77777777" w:rsidR="00F001BC" w:rsidRPr="0032658A" w:rsidRDefault="00F001BC" w:rsidP="005840B3">
            <w:pPr>
              <w:spacing w:before="180" w:after="180"/>
              <w:ind w:right="-29"/>
              <w:jc w:val="center"/>
              <w:rPr>
                <w:noProof/>
                <w:sz w:val="18"/>
              </w:rPr>
            </w:pPr>
          </w:p>
        </w:tc>
        <w:tc>
          <w:tcPr>
            <w:tcW w:w="840" w:type="dxa"/>
            <w:tcBorders>
              <w:top w:val="single" w:sz="12" w:space="0" w:color="auto"/>
              <w:bottom w:val="single" w:sz="12" w:space="0" w:color="auto"/>
            </w:tcBorders>
          </w:tcPr>
          <w:p w14:paraId="4316B66F" w14:textId="77777777" w:rsidR="00F001BC" w:rsidRPr="0032658A" w:rsidRDefault="00F001BC" w:rsidP="005840B3">
            <w:pPr>
              <w:spacing w:before="180" w:after="180"/>
              <w:ind w:right="-29"/>
              <w:jc w:val="center"/>
              <w:rPr>
                <w:noProof/>
                <w:sz w:val="18"/>
              </w:rPr>
            </w:pPr>
          </w:p>
        </w:tc>
        <w:tc>
          <w:tcPr>
            <w:tcW w:w="840" w:type="dxa"/>
            <w:tcBorders>
              <w:top w:val="single" w:sz="12" w:space="0" w:color="auto"/>
              <w:bottom w:val="single" w:sz="12" w:space="0" w:color="auto"/>
              <w:right w:val="single" w:sz="12" w:space="0" w:color="auto"/>
            </w:tcBorders>
          </w:tcPr>
          <w:p w14:paraId="59618BDA" w14:textId="77777777" w:rsidR="00F001BC" w:rsidRPr="0032658A" w:rsidRDefault="00F001BC" w:rsidP="005840B3">
            <w:pPr>
              <w:spacing w:before="180" w:after="180"/>
              <w:ind w:right="-29"/>
              <w:jc w:val="center"/>
              <w:rPr>
                <w:noProof/>
                <w:sz w:val="18"/>
              </w:rPr>
            </w:pPr>
          </w:p>
        </w:tc>
      </w:tr>
    </w:tbl>
    <w:p w14:paraId="231498BC" w14:textId="77777777" w:rsidR="00F001BC" w:rsidRPr="0032658A" w:rsidRDefault="00F001BC" w:rsidP="00F001BC">
      <w:pPr>
        <w:jc w:val="left"/>
        <w:rPr>
          <w:noProof/>
          <w:sz w:val="20"/>
        </w:rPr>
        <w:sectPr w:rsidR="00F001BC" w:rsidRPr="0032658A" w:rsidSect="00767E81">
          <w:pgSz w:w="15840" w:h="12240" w:orient="landscape"/>
          <w:pgMar w:top="1418" w:right="902" w:bottom="902" w:left="567" w:header="709" w:footer="709" w:gutter="0"/>
          <w:cols w:space="720"/>
          <w:docGrid w:linePitch="326"/>
        </w:sectPr>
      </w:pPr>
      <w:r w:rsidRPr="0032658A">
        <w:rPr>
          <w:noProof/>
          <w:sz w:val="20"/>
        </w:rPr>
        <w:t>Kai taikoma, sumos atspindi Sąjungos įnašo agentūrai ir kitų agentūros pajamų (mokesčių ir rinkliavų) sumą.</w:t>
      </w:r>
    </w:p>
    <w:p w14:paraId="683437B1" w14:textId="77777777" w:rsidR="00F001BC" w:rsidRPr="0032658A" w:rsidRDefault="00F001BC" w:rsidP="00F001BC">
      <w:pPr>
        <w:pStyle w:val="ManualHeading3"/>
        <w:rPr>
          <w:noProof/>
        </w:rPr>
      </w:pPr>
      <w:bookmarkStart w:id="59" w:name="_Toc514938688"/>
      <w:bookmarkStart w:id="60" w:name="_Toc520485447"/>
      <w:r w:rsidRPr="0032658A">
        <w:rPr>
          <w:noProof/>
        </w:rPr>
        <w:t>3.2.3.</w:t>
      </w:r>
      <w:r w:rsidRPr="0032658A">
        <w:rPr>
          <w:noProof/>
        </w:rPr>
        <w:tab/>
        <w:t>Numatomas poveikis EMSA žmogiškiesiems ištekliams</w:t>
      </w:r>
      <w:bookmarkEnd w:id="59"/>
      <w:bookmarkEnd w:id="60"/>
      <w:r w:rsidRPr="0032658A">
        <w:rPr>
          <w:noProof/>
        </w:rPr>
        <w:t xml:space="preserve"> </w:t>
      </w:r>
    </w:p>
    <w:p w14:paraId="36496182" w14:textId="77777777" w:rsidR="00F001BC" w:rsidRPr="0032658A" w:rsidRDefault="00F001BC" w:rsidP="00F001BC">
      <w:pPr>
        <w:pStyle w:val="ManualHeading4"/>
        <w:rPr>
          <w:noProof/>
        </w:rPr>
      </w:pPr>
      <w:r w:rsidRPr="0032658A">
        <w:rPr>
          <w:noProof/>
        </w:rPr>
        <w:t>3.2.3.1.</w:t>
      </w:r>
      <w:r w:rsidRPr="0032658A">
        <w:rPr>
          <w:noProof/>
        </w:rPr>
        <w:tab/>
        <w:t xml:space="preserve">Santrauka </w:t>
      </w:r>
    </w:p>
    <w:p w14:paraId="382E9AC2" w14:textId="77777777" w:rsidR="00F001BC" w:rsidRPr="0032658A" w:rsidRDefault="00F001BC" w:rsidP="008305F0">
      <w:pPr>
        <w:pStyle w:val="ListDash1"/>
        <w:rPr>
          <w:noProof/>
        </w:rPr>
      </w:pPr>
      <w:r w:rsidRPr="0032658A">
        <w:rPr>
          <w:noProof/>
        </w:rPr>
        <w:sym w:font="Wingdings" w:char="F0A8"/>
      </w:r>
      <w:r w:rsidRPr="0032658A">
        <w:rPr>
          <w:noProof/>
        </w:rPr>
        <w:tab/>
        <w:t xml:space="preserve">Pasiūlymui (iniciatyvai) įgyvendinti administracinio pobūdžio asignavimų nenaudojama </w:t>
      </w:r>
    </w:p>
    <w:p w14:paraId="6EF3D8D8" w14:textId="77777777" w:rsidR="00F001BC" w:rsidRPr="0032658A" w:rsidRDefault="00F001BC" w:rsidP="008305F0">
      <w:pPr>
        <w:pStyle w:val="ListDash1"/>
        <w:rPr>
          <w:noProof/>
        </w:rPr>
      </w:pPr>
      <w:r w:rsidRPr="0032658A">
        <w:rPr>
          <w:noProof/>
        </w:rPr>
        <w:sym w:font="Wingdings" w:char="F0FE"/>
      </w:r>
      <w:r w:rsidRPr="0032658A">
        <w:rPr>
          <w:noProof/>
        </w:rPr>
        <w:tab/>
        <w:t>Pasiūlymui (iniciatyvai) įgyvendinti administracinio pobūdžio asignavimai naudojami taip:</w:t>
      </w:r>
    </w:p>
    <w:p w14:paraId="1BD2C48A" w14:textId="77777777" w:rsidR="00F001BC" w:rsidRPr="0032658A" w:rsidRDefault="00F001BC" w:rsidP="00F001BC">
      <w:pPr>
        <w:rPr>
          <w:noProof/>
          <w:sz w:val="20"/>
        </w:rPr>
      </w:pPr>
      <w:r w:rsidRPr="0032658A">
        <w:rPr>
          <w:noProof/>
          <w:sz w:val="20"/>
        </w:rPr>
        <w:t>mln. EUR (tūkstantųjų tikslumu). Kai taikoma, sumos atspindi Sąjungos įnašo agentūrai ir kitų agentūros pajamų (mokesčių ir rinkliavų) sumą.</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170"/>
        <w:gridCol w:w="1276"/>
      </w:tblGrid>
      <w:tr w:rsidR="00F001BC" w:rsidRPr="0032658A" w14:paraId="1ABE2648" w14:textId="77777777" w:rsidTr="005840B3">
        <w:trPr>
          <w:trHeight w:val="585"/>
        </w:trPr>
        <w:tc>
          <w:tcPr>
            <w:tcW w:w="1980" w:type="dxa"/>
          </w:tcPr>
          <w:p w14:paraId="7FCAB586" w14:textId="77777777" w:rsidR="00F001BC" w:rsidRPr="0032658A" w:rsidRDefault="00F001BC" w:rsidP="005840B3">
            <w:pPr>
              <w:spacing w:before="60" w:after="60"/>
              <w:rPr>
                <w:noProof/>
                <w:sz w:val="20"/>
              </w:rPr>
            </w:pPr>
          </w:p>
        </w:tc>
        <w:tc>
          <w:tcPr>
            <w:tcW w:w="1080" w:type="dxa"/>
            <w:vAlign w:val="center"/>
          </w:tcPr>
          <w:p w14:paraId="1EA2DC41" w14:textId="77777777" w:rsidR="00F001BC" w:rsidRPr="0032658A" w:rsidRDefault="00F001BC" w:rsidP="005840B3">
            <w:pPr>
              <w:spacing w:before="60" w:after="60"/>
              <w:jc w:val="center"/>
              <w:rPr>
                <w:noProof/>
                <w:sz w:val="20"/>
              </w:rPr>
            </w:pPr>
            <w:r w:rsidRPr="0032658A">
              <w:rPr>
                <w:b/>
                <w:bCs/>
                <w:noProof/>
                <w:sz w:val="20"/>
              </w:rPr>
              <w:t>2025</w:t>
            </w:r>
            <w:r w:rsidRPr="0032658A">
              <w:rPr>
                <w:noProof/>
              </w:rPr>
              <w:t xml:space="preserve"> </w:t>
            </w:r>
            <w:r w:rsidRPr="0032658A">
              <w:rPr>
                <w:noProof/>
              </w:rPr>
              <w:br/>
            </w:r>
            <w:r w:rsidRPr="0032658A">
              <w:rPr>
                <w:noProof/>
                <w:sz w:val="20"/>
              </w:rPr>
              <w:t>metai</w:t>
            </w:r>
          </w:p>
        </w:tc>
        <w:tc>
          <w:tcPr>
            <w:tcW w:w="1080" w:type="dxa"/>
            <w:vAlign w:val="center"/>
          </w:tcPr>
          <w:p w14:paraId="68E865C7" w14:textId="77777777" w:rsidR="00F001BC" w:rsidRPr="0032658A" w:rsidRDefault="00F001BC" w:rsidP="005840B3">
            <w:pPr>
              <w:spacing w:before="60" w:after="60"/>
              <w:jc w:val="center"/>
              <w:rPr>
                <w:noProof/>
                <w:sz w:val="20"/>
              </w:rPr>
            </w:pPr>
            <w:r w:rsidRPr="0032658A">
              <w:rPr>
                <w:b/>
                <w:bCs/>
                <w:noProof/>
                <w:sz w:val="20"/>
              </w:rPr>
              <w:t>2026</w:t>
            </w:r>
            <w:r w:rsidRPr="0032658A">
              <w:rPr>
                <w:noProof/>
              </w:rPr>
              <w:t xml:space="preserve"> </w:t>
            </w:r>
            <w:r w:rsidRPr="0032658A">
              <w:rPr>
                <w:noProof/>
              </w:rPr>
              <w:br/>
            </w:r>
            <w:r w:rsidRPr="0032658A">
              <w:rPr>
                <w:noProof/>
                <w:sz w:val="20"/>
              </w:rPr>
              <w:t>metai</w:t>
            </w:r>
          </w:p>
        </w:tc>
        <w:tc>
          <w:tcPr>
            <w:tcW w:w="1080" w:type="dxa"/>
            <w:vAlign w:val="center"/>
          </w:tcPr>
          <w:p w14:paraId="36957E07" w14:textId="77777777" w:rsidR="00F001BC" w:rsidRPr="0032658A" w:rsidRDefault="00F001BC" w:rsidP="005840B3">
            <w:pPr>
              <w:spacing w:before="60" w:after="60"/>
              <w:jc w:val="center"/>
              <w:rPr>
                <w:noProof/>
                <w:sz w:val="20"/>
              </w:rPr>
            </w:pPr>
            <w:r w:rsidRPr="0032658A">
              <w:rPr>
                <w:b/>
                <w:bCs/>
                <w:noProof/>
                <w:sz w:val="20"/>
              </w:rPr>
              <w:t>2027</w:t>
            </w:r>
            <w:r w:rsidRPr="0032658A">
              <w:rPr>
                <w:noProof/>
              </w:rPr>
              <w:t xml:space="preserve"> </w:t>
            </w:r>
            <w:r w:rsidRPr="0032658A">
              <w:rPr>
                <w:noProof/>
              </w:rPr>
              <w:br/>
            </w:r>
            <w:r w:rsidRPr="0032658A">
              <w:rPr>
                <w:noProof/>
                <w:sz w:val="20"/>
              </w:rPr>
              <w:t>metai</w:t>
            </w:r>
          </w:p>
        </w:tc>
        <w:tc>
          <w:tcPr>
            <w:tcW w:w="1170" w:type="dxa"/>
            <w:vAlign w:val="center"/>
          </w:tcPr>
          <w:p w14:paraId="20109A40" w14:textId="77777777" w:rsidR="00F001BC" w:rsidRPr="0032658A" w:rsidRDefault="00F001BC" w:rsidP="005840B3">
            <w:pPr>
              <w:spacing w:before="60" w:after="60"/>
              <w:jc w:val="center"/>
              <w:rPr>
                <w:noProof/>
                <w:sz w:val="20"/>
              </w:rPr>
            </w:pPr>
            <w:r w:rsidRPr="0032658A">
              <w:rPr>
                <w:b/>
                <w:bCs/>
                <w:noProof/>
                <w:sz w:val="20"/>
              </w:rPr>
              <w:t>2028–2034</w:t>
            </w:r>
            <w:r w:rsidRPr="0032658A">
              <w:rPr>
                <w:noProof/>
              </w:rPr>
              <w:t xml:space="preserve"> </w:t>
            </w:r>
            <w:r w:rsidRPr="0032658A">
              <w:rPr>
                <w:noProof/>
              </w:rPr>
              <w:br/>
            </w:r>
            <w:r w:rsidRPr="0032658A">
              <w:rPr>
                <w:noProof/>
                <w:sz w:val="20"/>
              </w:rPr>
              <w:t>metai</w:t>
            </w:r>
          </w:p>
        </w:tc>
        <w:tc>
          <w:tcPr>
            <w:tcW w:w="1276" w:type="dxa"/>
            <w:vAlign w:val="center"/>
          </w:tcPr>
          <w:p w14:paraId="37FA5C92" w14:textId="77777777" w:rsidR="00F001BC" w:rsidRPr="0032658A" w:rsidRDefault="00F001BC" w:rsidP="005840B3">
            <w:pPr>
              <w:spacing w:before="60" w:after="60"/>
              <w:jc w:val="center"/>
              <w:rPr>
                <w:b/>
                <w:noProof/>
                <w:sz w:val="20"/>
              </w:rPr>
            </w:pPr>
            <w:r w:rsidRPr="0032658A">
              <w:rPr>
                <w:b/>
                <w:noProof/>
                <w:sz w:val="20"/>
              </w:rPr>
              <w:t>IŠ VISO</w:t>
            </w:r>
          </w:p>
        </w:tc>
      </w:tr>
    </w:tbl>
    <w:p w14:paraId="0BCF5873" w14:textId="77777777" w:rsidR="00F001BC" w:rsidRPr="0032658A" w:rsidRDefault="00F001BC" w:rsidP="00F001BC">
      <w:pPr>
        <w:rPr>
          <w:noProof/>
          <w:sz w:val="20"/>
        </w:rPr>
      </w:pPr>
    </w:p>
    <w:tbl>
      <w:tblPr>
        <w:tblW w:w="7666"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170"/>
        <w:gridCol w:w="1276"/>
      </w:tblGrid>
      <w:tr w:rsidR="00F001BC" w:rsidRPr="0032658A" w14:paraId="30C0E18C" w14:textId="77777777" w:rsidTr="005840B3">
        <w:trPr>
          <w:trHeight w:val="585"/>
        </w:trPr>
        <w:tc>
          <w:tcPr>
            <w:tcW w:w="1980" w:type="dxa"/>
            <w:shd w:val="clear" w:color="auto" w:fill="D9D9D9" w:themeFill="background1" w:themeFillShade="D9"/>
            <w:vAlign w:val="center"/>
          </w:tcPr>
          <w:p w14:paraId="2C80E169" w14:textId="77777777" w:rsidR="00F001BC" w:rsidRPr="0032658A" w:rsidRDefault="00F001BC" w:rsidP="005840B3">
            <w:pPr>
              <w:spacing w:before="60" w:after="60"/>
              <w:jc w:val="center"/>
              <w:rPr>
                <w:noProof/>
              </w:rPr>
            </w:pPr>
            <w:r w:rsidRPr="0032658A">
              <w:rPr>
                <w:noProof/>
                <w:sz w:val="18"/>
              </w:rPr>
              <w:t>Laikinieji darbuotojai (AD lygio)</w:t>
            </w:r>
          </w:p>
        </w:tc>
        <w:tc>
          <w:tcPr>
            <w:tcW w:w="1080" w:type="dxa"/>
            <w:vAlign w:val="center"/>
          </w:tcPr>
          <w:p w14:paraId="6754445F" w14:textId="77777777" w:rsidR="00F001BC" w:rsidRPr="0032658A" w:rsidRDefault="00F001BC" w:rsidP="0019719B">
            <w:pPr>
              <w:spacing w:before="60" w:after="60"/>
              <w:jc w:val="right"/>
              <w:rPr>
                <w:noProof/>
                <w:sz w:val="20"/>
              </w:rPr>
            </w:pPr>
            <w:r w:rsidRPr="0032658A">
              <w:rPr>
                <w:noProof/>
                <w:sz w:val="20"/>
              </w:rPr>
              <w:t>0,171</w:t>
            </w:r>
          </w:p>
        </w:tc>
        <w:tc>
          <w:tcPr>
            <w:tcW w:w="1080" w:type="dxa"/>
            <w:vAlign w:val="center"/>
          </w:tcPr>
          <w:p w14:paraId="26CFD870" w14:textId="77777777" w:rsidR="00F001BC" w:rsidRPr="0032658A" w:rsidRDefault="00F001BC" w:rsidP="005840B3">
            <w:pPr>
              <w:spacing w:before="60" w:after="60"/>
              <w:jc w:val="right"/>
              <w:rPr>
                <w:noProof/>
                <w:sz w:val="20"/>
              </w:rPr>
            </w:pPr>
            <w:r w:rsidRPr="0032658A">
              <w:rPr>
                <w:noProof/>
                <w:sz w:val="20"/>
              </w:rPr>
              <w:t>0,342</w:t>
            </w:r>
          </w:p>
        </w:tc>
        <w:tc>
          <w:tcPr>
            <w:tcW w:w="1080" w:type="dxa"/>
            <w:vAlign w:val="center"/>
          </w:tcPr>
          <w:p w14:paraId="0EAF180F" w14:textId="77777777" w:rsidR="00F001BC" w:rsidRPr="0032658A" w:rsidRDefault="00F001BC" w:rsidP="005840B3">
            <w:pPr>
              <w:spacing w:before="60" w:after="60"/>
              <w:jc w:val="right"/>
              <w:rPr>
                <w:noProof/>
                <w:sz w:val="20"/>
              </w:rPr>
            </w:pPr>
            <w:r w:rsidRPr="0032658A">
              <w:rPr>
                <w:noProof/>
                <w:sz w:val="20"/>
              </w:rPr>
              <w:t>0,342</w:t>
            </w:r>
          </w:p>
        </w:tc>
        <w:tc>
          <w:tcPr>
            <w:tcW w:w="1170" w:type="dxa"/>
            <w:vAlign w:val="center"/>
          </w:tcPr>
          <w:p w14:paraId="6E3AA2FB" w14:textId="77777777" w:rsidR="00F001BC" w:rsidRPr="0032658A" w:rsidRDefault="00F001BC" w:rsidP="005840B3">
            <w:pPr>
              <w:spacing w:before="60" w:after="60"/>
              <w:jc w:val="right"/>
              <w:rPr>
                <w:noProof/>
                <w:sz w:val="20"/>
              </w:rPr>
            </w:pPr>
            <w:r w:rsidRPr="0032658A">
              <w:rPr>
                <w:noProof/>
                <w:sz w:val="20"/>
              </w:rPr>
              <w:t>2,394</w:t>
            </w:r>
          </w:p>
        </w:tc>
        <w:tc>
          <w:tcPr>
            <w:tcW w:w="1276" w:type="dxa"/>
            <w:vAlign w:val="center"/>
          </w:tcPr>
          <w:p w14:paraId="5A8B657A" w14:textId="77777777" w:rsidR="00F001BC" w:rsidRPr="0032658A" w:rsidRDefault="00F001BC" w:rsidP="0019719B">
            <w:pPr>
              <w:spacing w:before="60" w:after="60"/>
              <w:jc w:val="right"/>
              <w:rPr>
                <w:noProof/>
                <w:sz w:val="20"/>
              </w:rPr>
            </w:pPr>
            <w:r w:rsidRPr="0032658A">
              <w:rPr>
                <w:b/>
                <w:noProof/>
                <w:sz w:val="20"/>
              </w:rPr>
              <w:t>3,249</w:t>
            </w:r>
          </w:p>
        </w:tc>
      </w:tr>
      <w:tr w:rsidR="00F001BC" w:rsidRPr="0032658A" w14:paraId="52CDAF60" w14:textId="77777777" w:rsidTr="005840B3">
        <w:trPr>
          <w:trHeight w:val="585"/>
        </w:trPr>
        <w:tc>
          <w:tcPr>
            <w:tcW w:w="1980" w:type="dxa"/>
            <w:shd w:val="clear" w:color="auto" w:fill="BFBFBF" w:themeFill="background1" w:themeFillShade="BF"/>
            <w:vAlign w:val="center"/>
          </w:tcPr>
          <w:p w14:paraId="729984BC" w14:textId="77777777" w:rsidR="00F001BC" w:rsidRPr="0032658A" w:rsidRDefault="00F001BC" w:rsidP="005840B3">
            <w:pPr>
              <w:spacing w:before="60" w:after="60"/>
              <w:ind w:left="72"/>
              <w:rPr>
                <w:noProof/>
              </w:rPr>
            </w:pPr>
            <w:r w:rsidRPr="0032658A">
              <w:rPr>
                <w:noProof/>
                <w:sz w:val="20"/>
              </w:rPr>
              <w:t>Laikinieji darbuotojai (AST lygio)</w:t>
            </w:r>
          </w:p>
        </w:tc>
        <w:tc>
          <w:tcPr>
            <w:tcW w:w="1080" w:type="dxa"/>
            <w:vAlign w:val="center"/>
          </w:tcPr>
          <w:p w14:paraId="06860814" w14:textId="77777777" w:rsidR="00F001BC" w:rsidRPr="0032658A" w:rsidRDefault="00F001BC" w:rsidP="005840B3">
            <w:pPr>
              <w:spacing w:before="60" w:after="60"/>
              <w:jc w:val="right"/>
              <w:rPr>
                <w:noProof/>
                <w:sz w:val="20"/>
              </w:rPr>
            </w:pPr>
          </w:p>
        </w:tc>
        <w:tc>
          <w:tcPr>
            <w:tcW w:w="1080" w:type="dxa"/>
            <w:vAlign w:val="center"/>
          </w:tcPr>
          <w:p w14:paraId="5EF08A68" w14:textId="77777777" w:rsidR="00F001BC" w:rsidRPr="0032658A" w:rsidRDefault="00F001BC" w:rsidP="005840B3">
            <w:pPr>
              <w:spacing w:before="60" w:after="60"/>
              <w:jc w:val="right"/>
              <w:rPr>
                <w:noProof/>
                <w:sz w:val="20"/>
              </w:rPr>
            </w:pPr>
          </w:p>
        </w:tc>
        <w:tc>
          <w:tcPr>
            <w:tcW w:w="1080" w:type="dxa"/>
            <w:vAlign w:val="center"/>
          </w:tcPr>
          <w:p w14:paraId="4CFA98E3" w14:textId="77777777" w:rsidR="00F001BC" w:rsidRPr="0032658A" w:rsidRDefault="00F001BC" w:rsidP="005840B3">
            <w:pPr>
              <w:spacing w:before="60" w:after="60"/>
              <w:jc w:val="right"/>
              <w:rPr>
                <w:noProof/>
                <w:sz w:val="20"/>
              </w:rPr>
            </w:pPr>
          </w:p>
        </w:tc>
        <w:tc>
          <w:tcPr>
            <w:tcW w:w="1170" w:type="dxa"/>
            <w:vAlign w:val="center"/>
          </w:tcPr>
          <w:p w14:paraId="44C825E4" w14:textId="77777777" w:rsidR="00F001BC" w:rsidRPr="0032658A" w:rsidRDefault="00F001BC" w:rsidP="005840B3">
            <w:pPr>
              <w:spacing w:before="60" w:after="60"/>
              <w:jc w:val="right"/>
              <w:rPr>
                <w:noProof/>
                <w:sz w:val="20"/>
              </w:rPr>
            </w:pPr>
          </w:p>
        </w:tc>
        <w:tc>
          <w:tcPr>
            <w:tcW w:w="1276" w:type="dxa"/>
            <w:vAlign w:val="center"/>
          </w:tcPr>
          <w:p w14:paraId="4D62651C" w14:textId="77777777" w:rsidR="00F001BC" w:rsidRPr="0032658A" w:rsidRDefault="00F001BC" w:rsidP="005840B3">
            <w:pPr>
              <w:spacing w:before="60" w:after="60"/>
              <w:jc w:val="right"/>
              <w:rPr>
                <w:noProof/>
                <w:sz w:val="20"/>
              </w:rPr>
            </w:pPr>
          </w:p>
        </w:tc>
      </w:tr>
      <w:tr w:rsidR="00F001BC" w:rsidRPr="0032658A" w14:paraId="48184C0D" w14:textId="77777777" w:rsidTr="005840B3">
        <w:trPr>
          <w:trHeight w:val="585"/>
        </w:trPr>
        <w:tc>
          <w:tcPr>
            <w:tcW w:w="1980" w:type="dxa"/>
            <w:shd w:val="clear" w:color="auto" w:fill="BFBFBF" w:themeFill="background1" w:themeFillShade="BF"/>
            <w:vAlign w:val="center"/>
          </w:tcPr>
          <w:p w14:paraId="37CDC54D" w14:textId="77777777" w:rsidR="00F001BC" w:rsidRPr="0032658A" w:rsidRDefault="00F001BC" w:rsidP="005840B3">
            <w:pPr>
              <w:spacing w:before="60" w:after="60"/>
              <w:ind w:left="72"/>
              <w:rPr>
                <w:noProof/>
              </w:rPr>
            </w:pPr>
            <w:r w:rsidRPr="0032658A">
              <w:rPr>
                <w:noProof/>
                <w:sz w:val="20"/>
              </w:rPr>
              <w:t>Sutartininkai</w:t>
            </w:r>
          </w:p>
        </w:tc>
        <w:tc>
          <w:tcPr>
            <w:tcW w:w="1080" w:type="dxa"/>
            <w:shd w:val="clear" w:color="auto" w:fill="BFBFBF" w:themeFill="background1" w:themeFillShade="BF"/>
            <w:vAlign w:val="center"/>
          </w:tcPr>
          <w:p w14:paraId="6C16E320" w14:textId="77777777" w:rsidR="00F001BC" w:rsidRPr="0032658A" w:rsidRDefault="00F001BC" w:rsidP="005840B3">
            <w:pPr>
              <w:spacing w:before="60" w:after="60"/>
              <w:jc w:val="right"/>
              <w:rPr>
                <w:noProof/>
                <w:sz w:val="20"/>
              </w:rPr>
            </w:pPr>
          </w:p>
        </w:tc>
        <w:tc>
          <w:tcPr>
            <w:tcW w:w="1080" w:type="dxa"/>
            <w:shd w:val="clear" w:color="auto" w:fill="BFBFBF" w:themeFill="background1" w:themeFillShade="BF"/>
            <w:vAlign w:val="center"/>
          </w:tcPr>
          <w:p w14:paraId="45143FC1" w14:textId="77777777" w:rsidR="00F001BC" w:rsidRPr="0032658A" w:rsidRDefault="00F001BC" w:rsidP="005840B3">
            <w:pPr>
              <w:spacing w:before="60" w:after="60"/>
              <w:jc w:val="right"/>
              <w:rPr>
                <w:noProof/>
                <w:sz w:val="20"/>
              </w:rPr>
            </w:pPr>
          </w:p>
        </w:tc>
        <w:tc>
          <w:tcPr>
            <w:tcW w:w="1080" w:type="dxa"/>
            <w:shd w:val="clear" w:color="auto" w:fill="BFBFBF" w:themeFill="background1" w:themeFillShade="BF"/>
            <w:vAlign w:val="center"/>
          </w:tcPr>
          <w:p w14:paraId="34DEB624" w14:textId="77777777" w:rsidR="00F001BC" w:rsidRPr="0032658A" w:rsidRDefault="00F001BC" w:rsidP="005840B3">
            <w:pPr>
              <w:spacing w:before="60" w:after="60"/>
              <w:jc w:val="right"/>
              <w:rPr>
                <w:noProof/>
                <w:sz w:val="20"/>
              </w:rPr>
            </w:pPr>
          </w:p>
        </w:tc>
        <w:tc>
          <w:tcPr>
            <w:tcW w:w="1170" w:type="dxa"/>
            <w:shd w:val="clear" w:color="auto" w:fill="BFBFBF" w:themeFill="background1" w:themeFillShade="BF"/>
            <w:vAlign w:val="center"/>
          </w:tcPr>
          <w:p w14:paraId="5EFE538D" w14:textId="77777777" w:rsidR="00F001BC" w:rsidRPr="0032658A" w:rsidRDefault="00F001BC" w:rsidP="005840B3">
            <w:pPr>
              <w:spacing w:before="60" w:after="60"/>
              <w:jc w:val="right"/>
              <w:rPr>
                <w:noProof/>
                <w:sz w:val="20"/>
              </w:rPr>
            </w:pPr>
          </w:p>
        </w:tc>
        <w:tc>
          <w:tcPr>
            <w:tcW w:w="1276" w:type="dxa"/>
            <w:shd w:val="clear" w:color="auto" w:fill="BFBFBF" w:themeFill="background1" w:themeFillShade="BF"/>
            <w:vAlign w:val="center"/>
          </w:tcPr>
          <w:p w14:paraId="5DD82535" w14:textId="77777777" w:rsidR="00F001BC" w:rsidRPr="0032658A" w:rsidRDefault="00F001BC" w:rsidP="005840B3">
            <w:pPr>
              <w:spacing w:before="60" w:after="60"/>
              <w:jc w:val="right"/>
              <w:rPr>
                <w:noProof/>
                <w:sz w:val="20"/>
              </w:rPr>
            </w:pPr>
          </w:p>
        </w:tc>
      </w:tr>
      <w:tr w:rsidR="00F001BC" w:rsidRPr="0032658A" w14:paraId="16836400" w14:textId="77777777" w:rsidTr="005840B3">
        <w:trPr>
          <w:trHeight w:val="585"/>
        </w:trPr>
        <w:tc>
          <w:tcPr>
            <w:tcW w:w="1980" w:type="dxa"/>
            <w:shd w:val="clear" w:color="auto" w:fill="CCCCCC"/>
            <w:vAlign w:val="center"/>
          </w:tcPr>
          <w:p w14:paraId="672A7AD8" w14:textId="77777777" w:rsidR="00F001BC" w:rsidRPr="0032658A" w:rsidRDefault="00F001BC" w:rsidP="005840B3">
            <w:pPr>
              <w:spacing w:before="60" w:after="60"/>
              <w:jc w:val="center"/>
              <w:rPr>
                <w:noProof/>
              </w:rPr>
            </w:pPr>
            <w:r w:rsidRPr="0032658A">
              <w:rPr>
                <w:noProof/>
                <w:sz w:val="18"/>
              </w:rPr>
              <w:t>Deleguotieji nacionaliniai ekspertai</w:t>
            </w:r>
          </w:p>
        </w:tc>
        <w:tc>
          <w:tcPr>
            <w:tcW w:w="1080" w:type="dxa"/>
            <w:vAlign w:val="center"/>
          </w:tcPr>
          <w:p w14:paraId="63B78E6D" w14:textId="77777777" w:rsidR="00F001BC" w:rsidRPr="0032658A" w:rsidRDefault="00F001BC" w:rsidP="005840B3">
            <w:pPr>
              <w:spacing w:before="60" w:after="60"/>
              <w:jc w:val="right"/>
              <w:rPr>
                <w:noProof/>
                <w:sz w:val="20"/>
              </w:rPr>
            </w:pPr>
          </w:p>
        </w:tc>
        <w:tc>
          <w:tcPr>
            <w:tcW w:w="1080" w:type="dxa"/>
            <w:vAlign w:val="center"/>
          </w:tcPr>
          <w:p w14:paraId="13DFE343" w14:textId="77777777" w:rsidR="00F001BC" w:rsidRPr="0032658A" w:rsidRDefault="00F001BC" w:rsidP="005840B3">
            <w:pPr>
              <w:spacing w:before="60" w:after="60"/>
              <w:jc w:val="right"/>
              <w:rPr>
                <w:noProof/>
                <w:sz w:val="20"/>
              </w:rPr>
            </w:pPr>
          </w:p>
        </w:tc>
        <w:tc>
          <w:tcPr>
            <w:tcW w:w="1080" w:type="dxa"/>
            <w:vAlign w:val="center"/>
          </w:tcPr>
          <w:p w14:paraId="0F1E37E4" w14:textId="77777777" w:rsidR="00F001BC" w:rsidRPr="0032658A" w:rsidRDefault="00F001BC" w:rsidP="005840B3">
            <w:pPr>
              <w:spacing w:before="60" w:after="60"/>
              <w:jc w:val="right"/>
              <w:rPr>
                <w:noProof/>
                <w:sz w:val="20"/>
              </w:rPr>
            </w:pPr>
          </w:p>
        </w:tc>
        <w:tc>
          <w:tcPr>
            <w:tcW w:w="1170" w:type="dxa"/>
            <w:vAlign w:val="center"/>
          </w:tcPr>
          <w:p w14:paraId="1552E24C" w14:textId="77777777" w:rsidR="00F001BC" w:rsidRPr="0032658A" w:rsidRDefault="00F001BC" w:rsidP="005840B3">
            <w:pPr>
              <w:spacing w:before="60" w:after="60"/>
              <w:jc w:val="right"/>
              <w:rPr>
                <w:noProof/>
                <w:sz w:val="20"/>
              </w:rPr>
            </w:pPr>
          </w:p>
        </w:tc>
        <w:tc>
          <w:tcPr>
            <w:tcW w:w="1276" w:type="dxa"/>
            <w:vAlign w:val="center"/>
          </w:tcPr>
          <w:p w14:paraId="27C0477E" w14:textId="77777777" w:rsidR="00F001BC" w:rsidRPr="0032658A" w:rsidRDefault="00F001BC" w:rsidP="005840B3">
            <w:pPr>
              <w:spacing w:before="60" w:after="60"/>
              <w:jc w:val="right"/>
              <w:rPr>
                <w:noProof/>
                <w:sz w:val="20"/>
              </w:rPr>
            </w:pPr>
          </w:p>
        </w:tc>
      </w:tr>
    </w:tbl>
    <w:p w14:paraId="49A00275" w14:textId="77777777" w:rsidR="00F001BC" w:rsidRPr="0032658A" w:rsidRDefault="00F001BC" w:rsidP="00F001BC">
      <w:pPr>
        <w:rPr>
          <w:noProof/>
          <w:sz w:val="20"/>
        </w:rPr>
      </w:pPr>
    </w:p>
    <w:tbl>
      <w:tblPr>
        <w:tblW w:w="7666" w:type="dxa"/>
        <w:tblInd w:w="-612" w:type="dxa"/>
        <w:tblLayout w:type="fixed"/>
        <w:tblLook w:val="01E0" w:firstRow="1" w:lastRow="1" w:firstColumn="1" w:lastColumn="1" w:noHBand="0" w:noVBand="0"/>
      </w:tblPr>
      <w:tblGrid>
        <w:gridCol w:w="1980"/>
        <w:gridCol w:w="1080"/>
        <w:gridCol w:w="1080"/>
        <w:gridCol w:w="1080"/>
        <w:gridCol w:w="1170"/>
        <w:gridCol w:w="1276"/>
      </w:tblGrid>
      <w:tr w:rsidR="00F001BC" w:rsidRPr="0032658A" w14:paraId="68480E6F" w14:textId="77777777" w:rsidTr="005840B3">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1A8B0DA9" w14:textId="77777777" w:rsidR="00F001BC" w:rsidRPr="0032658A" w:rsidRDefault="00F001BC" w:rsidP="005840B3">
            <w:pPr>
              <w:spacing w:before="60" w:after="60"/>
              <w:jc w:val="center"/>
              <w:rPr>
                <w:noProof/>
                <w:sz w:val="20"/>
              </w:rPr>
            </w:pPr>
            <w:r w:rsidRPr="0032658A">
              <w:rPr>
                <w:b/>
                <w:noProof/>
                <w:sz w:val="20"/>
              </w:rPr>
              <w:t>IŠ VISO</w:t>
            </w:r>
          </w:p>
        </w:tc>
        <w:tc>
          <w:tcPr>
            <w:tcW w:w="1080" w:type="dxa"/>
            <w:tcBorders>
              <w:top w:val="single" w:sz="12" w:space="0" w:color="auto"/>
              <w:left w:val="single" w:sz="2" w:space="0" w:color="auto"/>
              <w:bottom w:val="single" w:sz="12" w:space="0" w:color="auto"/>
              <w:right w:val="single" w:sz="2" w:space="0" w:color="auto"/>
            </w:tcBorders>
            <w:vAlign w:val="center"/>
          </w:tcPr>
          <w:p w14:paraId="6397C6FD" w14:textId="77777777" w:rsidR="00F001BC" w:rsidRPr="0032658A" w:rsidRDefault="00F001BC" w:rsidP="0019719B">
            <w:pPr>
              <w:spacing w:before="60" w:after="60"/>
              <w:jc w:val="right"/>
              <w:rPr>
                <w:b/>
                <w:noProof/>
                <w:sz w:val="20"/>
              </w:rPr>
            </w:pPr>
            <w:r w:rsidRPr="0032658A">
              <w:rPr>
                <w:b/>
                <w:noProof/>
                <w:sz w:val="20"/>
              </w:rPr>
              <w:t>0,171</w:t>
            </w:r>
          </w:p>
        </w:tc>
        <w:tc>
          <w:tcPr>
            <w:tcW w:w="1080" w:type="dxa"/>
            <w:tcBorders>
              <w:top w:val="single" w:sz="12" w:space="0" w:color="auto"/>
              <w:left w:val="single" w:sz="2" w:space="0" w:color="auto"/>
              <w:bottom w:val="single" w:sz="12" w:space="0" w:color="auto"/>
              <w:right w:val="single" w:sz="2" w:space="0" w:color="auto"/>
            </w:tcBorders>
            <w:vAlign w:val="center"/>
          </w:tcPr>
          <w:p w14:paraId="50B9B366" w14:textId="77777777" w:rsidR="00F001BC" w:rsidRPr="0032658A" w:rsidRDefault="00F001BC" w:rsidP="005840B3">
            <w:pPr>
              <w:spacing w:before="60" w:after="60"/>
              <w:jc w:val="right"/>
              <w:rPr>
                <w:b/>
                <w:noProof/>
                <w:sz w:val="20"/>
              </w:rPr>
            </w:pPr>
            <w:r w:rsidRPr="0032658A">
              <w:rPr>
                <w:b/>
                <w:noProof/>
                <w:sz w:val="20"/>
              </w:rPr>
              <w:t>0,342</w:t>
            </w:r>
          </w:p>
        </w:tc>
        <w:tc>
          <w:tcPr>
            <w:tcW w:w="1080" w:type="dxa"/>
            <w:tcBorders>
              <w:top w:val="single" w:sz="12" w:space="0" w:color="auto"/>
              <w:left w:val="single" w:sz="2" w:space="0" w:color="auto"/>
              <w:bottom w:val="single" w:sz="12" w:space="0" w:color="auto"/>
              <w:right w:val="single" w:sz="2" w:space="0" w:color="auto"/>
            </w:tcBorders>
            <w:vAlign w:val="center"/>
          </w:tcPr>
          <w:p w14:paraId="7F242193" w14:textId="77777777" w:rsidR="00F001BC" w:rsidRPr="0032658A" w:rsidRDefault="00F001BC" w:rsidP="005840B3">
            <w:pPr>
              <w:spacing w:before="60" w:after="60"/>
              <w:jc w:val="right"/>
              <w:rPr>
                <w:b/>
                <w:noProof/>
                <w:sz w:val="20"/>
              </w:rPr>
            </w:pPr>
            <w:r w:rsidRPr="0032658A">
              <w:rPr>
                <w:b/>
                <w:noProof/>
                <w:sz w:val="20"/>
              </w:rPr>
              <w:t>0,342</w:t>
            </w:r>
          </w:p>
        </w:tc>
        <w:tc>
          <w:tcPr>
            <w:tcW w:w="1170" w:type="dxa"/>
            <w:tcBorders>
              <w:top w:val="single" w:sz="12" w:space="0" w:color="auto"/>
              <w:left w:val="single" w:sz="2" w:space="0" w:color="auto"/>
              <w:bottom w:val="single" w:sz="12" w:space="0" w:color="auto"/>
              <w:right w:val="single" w:sz="2" w:space="0" w:color="auto"/>
            </w:tcBorders>
            <w:vAlign w:val="center"/>
          </w:tcPr>
          <w:p w14:paraId="2828F638" w14:textId="77777777" w:rsidR="00F001BC" w:rsidRPr="0032658A" w:rsidRDefault="00F001BC" w:rsidP="005840B3">
            <w:pPr>
              <w:spacing w:before="60" w:after="60"/>
              <w:jc w:val="right"/>
              <w:rPr>
                <w:b/>
                <w:noProof/>
                <w:sz w:val="20"/>
              </w:rPr>
            </w:pPr>
            <w:r w:rsidRPr="0032658A">
              <w:rPr>
                <w:b/>
                <w:noProof/>
                <w:sz w:val="20"/>
              </w:rPr>
              <w:t>2,394</w:t>
            </w:r>
          </w:p>
        </w:tc>
        <w:tc>
          <w:tcPr>
            <w:tcW w:w="1276" w:type="dxa"/>
            <w:tcBorders>
              <w:top w:val="single" w:sz="12" w:space="0" w:color="auto"/>
              <w:left w:val="single" w:sz="2" w:space="0" w:color="auto"/>
              <w:bottom w:val="single" w:sz="12" w:space="0" w:color="auto"/>
              <w:right w:val="single" w:sz="12" w:space="0" w:color="auto"/>
            </w:tcBorders>
            <w:vAlign w:val="center"/>
          </w:tcPr>
          <w:p w14:paraId="467A98E3" w14:textId="77777777" w:rsidR="00F001BC" w:rsidRPr="0032658A" w:rsidRDefault="00F001BC" w:rsidP="0019719B">
            <w:pPr>
              <w:spacing w:before="60" w:after="60"/>
              <w:jc w:val="right"/>
              <w:rPr>
                <w:b/>
                <w:noProof/>
                <w:sz w:val="20"/>
              </w:rPr>
            </w:pPr>
            <w:r w:rsidRPr="0032658A">
              <w:rPr>
                <w:b/>
                <w:noProof/>
                <w:sz w:val="20"/>
              </w:rPr>
              <w:t>3,249</w:t>
            </w:r>
          </w:p>
        </w:tc>
      </w:tr>
    </w:tbl>
    <w:p w14:paraId="2F5EAD97" w14:textId="77777777" w:rsidR="00F001BC" w:rsidRPr="0032658A" w:rsidRDefault="001E1EB3" w:rsidP="00F001BC">
      <w:pPr>
        <w:rPr>
          <w:noProof/>
          <w:u w:val="single"/>
        </w:rPr>
      </w:pPr>
      <w:r w:rsidRPr="0032658A">
        <w:rPr>
          <w:noProof/>
          <w:u w:val="single"/>
        </w:rPr>
        <w:t>Poveikis biudžetui po dabartinės DFP yra preliminari apžvalga, nedaranti poveikio susitarimui dėl būsimos DFP</w:t>
      </w:r>
    </w:p>
    <w:p w14:paraId="5E363798" w14:textId="77777777" w:rsidR="00F001BC" w:rsidRPr="0032658A" w:rsidRDefault="00F001BC" w:rsidP="00F001BC">
      <w:pPr>
        <w:rPr>
          <w:noProof/>
          <w:sz w:val="20"/>
        </w:rPr>
      </w:pPr>
      <w:r w:rsidRPr="0032658A">
        <w:rPr>
          <w:noProof/>
          <w:sz w:val="20"/>
        </w:rPr>
        <w:t>Personalo poreikiai (etatų vienetais):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170"/>
        <w:gridCol w:w="1276"/>
      </w:tblGrid>
      <w:tr w:rsidR="00F001BC" w:rsidRPr="0032658A" w14:paraId="3F42AAD9" w14:textId="77777777" w:rsidTr="005840B3">
        <w:trPr>
          <w:trHeight w:val="585"/>
        </w:trPr>
        <w:tc>
          <w:tcPr>
            <w:tcW w:w="1980" w:type="dxa"/>
          </w:tcPr>
          <w:p w14:paraId="60FFB5D5" w14:textId="77777777" w:rsidR="00F001BC" w:rsidRPr="0032658A" w:rsidRDefault="00F001BC" w:rsidP="005840B3">
            <w:pPr>
              <w:spacing w:before="60" w:after="60"/>
              <w:rPr>
                <w:noProof/>
                <w:sz w:val="20"/>
              </w:rPr>
            </w:pPr>
          </w:p>
        </w:tc>
        <w:tc>
          <w:tcPr>
            <w:tcW w:w="1080" w:type="dxa"/>
            <w:vAlign w:val="center"/>
          </w:tcPr>
          <w:p w14:paraId="4CEF90A2" w14:textId="77777777" w:rsidR="00F001BC" w:rsidRPr="0032658A" w:rsidRDefault="00F001BC" w:rsidP="005840B3">
            <w:pPr>
              <w:spacing w:before="60" w:after="60"/>
              <w:jc w:val="center"/>
              <w:rPr>
                <w:noProof/>
                <w:sz w:val="20"/>
              </w:rPr>
            </w:pPr>
            <w:r w:rsidRPr="0032658A">
              <w:rPr>
                <w:b/>
                <w:bCs/>
                <w:noProof/>
                <w:sz w:val="20"/>
              </w:rPr>
              <w:t>2025</w:t>
            </w:r>
            <w:r w:rsidRPr="0032658A">
              <w:rPr>
                <w:noProof/>
              </w:rPr>
              <w:t xml:space="preserve"> </w:t>
            </w:r>
            <w:r w:rsidRPr="0032658A">
              <w:rPr>
                <w:noProof/>
              </w:rPr>
              <w:br/>
            </w:r>
            <w:r w:rsidRPr="0032658A">
              <w:rPr>
                <w:noProof/>
                <w:sz w:val="20"/>
              </w:rPr>
              <w:t>metai</w:t>
            </w:r>
          </w:p>
        </w:tc>
        <w:tc>
          <w:tcPr>
            <w:tcW w:w="1080" w:type="dxa"/>
            <w:vAlign w:val="center"/>
          </w:tcPr>
          <w:p w14:paraId="1D8C720B" w14:textId="77777777" w:rsidR="00F001BC" w:rsidRPr="0032658A" w:rsidRDefault="00F001BC" w:rsidP="005840B3">
            <w:pPr>
              <w:spacing w:before="60" w:after="60"/>
              <w:jc w:val="center"/>
              <w:rPr>
                <w:noProof/>
                <w:sz w:val="20"/>
              </w:rPr>
            </w:pPr>
            <w:r w:rsidRPr="0032658A">
              <w:rPr>
                <w:b/>
                <w:bCs/>
                <w:noProof/>
                <w:sz w:val="20"/>
              </w:rPr>
              <w:t>2026</w:t>
            </w:r>
            <w:r w:rsidRPr="0032658A">
              <w:rPr>
                <w:noProof/>
              </w:rPr>
              <w:t xml:space="preserve"> </w:t>
            </w:r>
            <w:r w:rsidRPr="0032658A">
              <w:rPr>
                <w:noProof/>
              </w:rPr>
              <w:br/>
            </w:r>
            <w:r w:rsidRPr="0032658A">
              <w:rPr>
                <w:noProof/>
                <w:sz w:val="20"/>
              </w:rPr>
              <w:t>metai</w:t>
            </w:r>
          </w:p>
        </w:tc>
        <w:tc>
          <w:tcPr>
            <w:tcW w:w="1080" w:type="dxa"/>
            <w:vAlign w:val="center"/>
          </w:tcPr>
          <w:p w14:paraId="2FFFC5A5" w14:textId="77777777" w:rsidR="00F001BC" w:rsidRPr="0032658A" w:rsidRDefault="00F001BC" w:rsidP="005840B3">
            <w:pPr>
              <w:spacing w:before="60" w:after="60"/>
              <w:jc w:val="center"/>
              <w:rPr>
                <w:noProof/>
                <w:sz w:val="20"/>
              </w:rPr>
            </w:pPr>
            <w:r w:rsidRPr="0032658A">
              <w:rPr>
                <w:b/>
                <w:bCs/>
                <w:noProof/>
                <w:sz w:val="20"/>
              </w:rPr>
              <w:t>2027</w:t>
            </w:r>
            <w:r w:rsidRPr="0032658A">
              <w:rPr>
                <w:noProof/>
              </w:rPr>
              <w:t xml:space="preserve"> </w:t>
            </w:r>
            <w:r w:rsidRPr="0032658A">
              <w:rPr>
                <w:noProof/>
              </w:rPr>
              <w:br/>
            </w:r>
            <w:r w:rsidRPr="0032658A">
              <w:rPr>
                <w:noProof/>
                <w:sz w:val="20"/>
              </w:rPr>
              <w:t>metai</w:t>
            </w:r>
          </w:p>
        </w:tc>
        <w:tc>
          <w:tcPr>
            <w:tcW w:w="1170" w:type="dxa"/>
            <w:vAlign w:val="center"/>
          </w:tcPr>
          <w:p w14:paraId="024E26E2" w14:textId="77777777" w:rsidR="00F001BC" w:rsidRPr="0032658A" w:rsidRDefault="00F001BC" w:rsidP="005840B3">
            <w:pPr>
              <w:spacing w:before="60" w:after="60"/>
              <w:jc w:val="center"/>
              <w:rPr>
                <w:noProof/>
                <w:sz w:val="20"/>
              </w:rPr>
            </w:pPr>
            <w:r w:rsidRPr="0032658A">
              <w:rPr>
                <w:b/>
                <w:bCs/>
                <w:noProof/>
                <w:sz w:val="20"/>
              </w:rPr>
              <w:t>2028–2034</w:t>
            </w:r>
            <w:r w:rsidRPr="0032658A">
              <w:rPr>
                <w:noProof/>
              </w:rPr>
              <w:t xml:space="preserve"> </w:t>
            </w:r>
            <w:r w:rsidRPr="0032658A">
              <w:rPr>
                <w:noProof/>
              </w:rPr>
              <w:br/>
            </w:r>
            <w:r w:rsidRPr="0032658A">
              <w:rPr>
                <w:noProof/>
                <w:sz w:val="20"/>
              </w:rPr>
              <w:t>metai</w:t>
            </w:r>
          </w:p>
        </w:tc>
        <w:tc>
          <w:tcPr>
            <w:tcW w:w="1276" w:type="dxa"/>
            <w:vAlign w:val="center"/>
          </w:tcPr>
          <w:p w14:paraId="0B365AB6" w14:textId="77777777" w:rsidR="00F001BC" w:rsidRPr="0032658A" w:rsidRDefault="00F001BC" w:rsidP="005840B3">
            <w:pPr>
              <w:spacing w:before="60" w:after="60"/>
              <w:jc w:val="center"/>
              <w:rPr>
                <w:b/>
                <w:noProof/>
                <w:sz w:val="20"/>
              </w:rPr>
            </w:pPr>
            <w:r w:rsidRPr="0032658A">
              <w:rPr>
                <w:b/>
                <w:noProof/>
                <w:sz w:val="20"/>
              </w:rPr>
              <w:t>IŠ VISO</w:t>
            </w:r>
          </w:p>
        </w:tc>
      </w:tr>
    </w:tbl>
    <w:p w14:paraId="7BA1102D" w14:textId="77777777" w:rsidR="00F001BC" w:rsidRPr="0032658A" w:rsidRDefault="00F001BC" w:rsidP="00F001BC">
      <w:pPr>
        <w:rPr>
          <w:noProof/>
          <w:sz w:val="20"/>
        </w:rPr>
      </w:pPr>
    </w:p>
    <w:tbl>
      <w:tblPr>
        <w:tblW w:w="7666"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170"/>
        <w:gridCol w:w="1276"/>
      </w:tblGrid>
      <w:tr w:rsidR="00F001BC" w:rsidRPr="0032658A" w14:paraId="47A7F3F1" w14:textId="77777777" w:rsidTr="005840B3">
        <w:trPr>
          <w:trHeight w:val="585"/>
        </w:trPr>
        <w:tc>
          <w:tcPr>
            <w:tcW w:w="1980" w:type="dxa"/>
            <w:shd w:val="clear" w:color="auto" w:fill="D9D9D9" w:themeFill="background1" w:themeFillShade="D9"/>
            <w:vAlign w:val="center"/>
          </w:tcPr>
          <w:p w14:paraId="6CF67898" w14:textId="77777777" w:rsidR="00F001BC" w:rsidRPr="0032658A" w:rsidRDefault="00F001BC" w:rsidP="005840B3">
            <w:pPr>
              <w:spacing w:before="60" w:after="60"/>
              <w:jc w:val="center"/>
              <w:rPr>
                <w:noProof/>
              </w:rPr>
            </w:pPr>
            <w:r w:rsidRPr="0032658A">
              <w:rPr>
                <w:noProof/>
                <w:sz w:val="18"/>
              </w:rPr>
              <w:t>Laikinieji darbuotojai (AD lygio)</w:t>
            </w:r>
          </w:p>
        </w:tc>
        <w:tc>
          <w:tcPr>
            <w:tcW w:w="1080" w:type="dxa"/>
            <w:vAlign w:val="center"/>
          </w:tcPr>
          <w:p w14:paraId="467D4EF0" w14:textId="77777777" w:rsidR="00F001BC" w:rsidRPr="0032658A" w:rsidRDefault="00F001BC" w:rsidP="005840B3">
            <w:pPr>
              <w:spacing w:before="60" w:after="60"/>
              <w:jc w:val="right"/>
              <w:rPr>
                <w:noProof/>
                <w:sz w:val="20"/>
              </w:rPr>
            </w:pPr>
            <w:r w:rsidRPr="0032658A">
              <w:rPr>
                <w:noProof/>
                <w:sz w:val="20"/>
              </w:rPr>
              <w:t>2</w:t>
            </w:r>
          </w:p>
        </w:tc>
        <w:tc>
          <w:tcPr>
            <w:tcW w:w="1080" w:type="dxa"/>
            <w:vAlign w:val="center"/>
          </w:tcPr>
          <w:p w14:paraId="504A206F" w14:textId="77777777" w:rsidR="00F001BC" w:rsidRPr="0032658A" w:rsidRDefault="00F001BC" w:rsidP="005840B3">
            <w:pPr>
              <w:spacing w:before="60" w:after="60"/>
              <w:jc w:val="right"/>
              <w:rPr>
                <w:noProof/>
                <w:sz w:val="20"/>
              </w:rPr>
            </w:pPr>
            <w:r w:rsidRPr="0032658A">
              <w:rPr>
                <w:noProof/>
                <w:sz w:val="20"/>
              </w:rPr>
              <w:t>2</w:t>
            </w:r>
          </w:p>
        </w:tc>
        <w:tc>
          <w:tcPr>
            <w:tcW w:w="1080" w:type="dxa"/>
            <w:vAlign w:val="center"/>
          </w:tcPr>
          <w:p w14:paraId="46CB1498" w14:textId="77777777" w:rsidR="00F001BC" w:rsidRPr="0032658A" w:rsidRDefault="00F001BC" w:rsidP="005840B3">
            <w:pPr>
              <w:spacing w:before="60" w:after="60"/>
              <w:jc w:val="right"/>
              <w:rPr>
                <w:noProof/>
                <w:sz w:val="20"/>
              </w:rPr>
            </w:pPr>
            <w:r w:rsidRPr="0032658A">
              <w:rPr>
                <w:noProof/>
                <w:sz w:val="20"/>
              </w:rPr>
              <w:t>2</w:t>
            </w:r>
          </w:p>
        </w:tc>
        <w:tc>
          <w:tcPr>
            <w:tcW w:w="1170" w:type="dxa"/>
            <w:vAlign w:val="center"/>
          </w:tcPr>
          <w:p w14:paraId="77E1F5FD" w14:textId="77777777" w:rsidR="00F001BC" w:rsidRPr="0032658A" w:rsidRDefault="00F001BC" w:rsidP="005840B3">
            <w:pPr>
              <w:spacing w:before="60" w:after="60"/>
              <w:jc w:val="right"/>
              <w:rPr>
                <w:noProof/>
                <w:sz w:val="20"/>
              </w:rPr>
            </w:pPr>
            <w:r w:rsidRPr="0032658A">
              <w:rPr>
                <w:noProof/>
                <w:sz w:val="20"/>
              </w:rPr>
              <w:t>2</w:t>
            </w:r>
          </w:p>
        </w:tc>
        <w:tc>
          <w:tcPr>
            <w:tcW w:w="1276" w:type="dxa"/>
            <w:vAlign w:val="center"/>
          </w:tcPr>
          <w:p w14:paraId="32A6E4E5" w14:textId="77777777" w:rsidR="00F001BC" w:rsidRPr="0032658A" w:rsidRDefault="00F001BC" w:rsidP="005840B3">
            <w:pPr>
              <w:spacing w:before="60" w:after="60"/>
              <w:jc w:val="right"/>
              <w:rPr>
                <w:b/>
                <w:noProof/>
                <w:sz w:val="20"/>
              </w:rPr>
            </w:pPr>
            <w:r w:rsidRPr="0032658A">
              <w:rPr>
                <w:b/>
                <w:noProof/>
                <w:sz w:val="20"/>
              </w:rPr>
              <w:t>2</w:t>
            </w:r>
          </w:p>
        </w:tc>
      </w:tr>
      <w:tr w:rsidR="00F001BC" w:rsidRPr="0032658A" w14:paraId="795B9871" w14:textId="77777777" w:rsidTr="005840B3">
        <w:trPr>
          <w:trHeight w:val="585"/>
        </w:trPr>
        <w:tc>
          <w:tcPr>
            <w:tcW w:w="1980" w:type="dxa"/>
            <w:shd w:val="clear" w:color="auto" w:fill="BFBFBF" w:themeFill="background1" w:themeFillShade="BF"/>
            <w:vAlign w:val="center"/>
          </w:tcPr>
          <w:p w14:paraId="11463AB9" w14:textId="77777777" w:rsidR="00F001BC" w:rsidRPr="0032658A" w:rsidRDefault="00F001BC" w:rsidP="005840B3">
            <w:pPr>
              <w:spacing w:before="60" w:after="60"/>
              <w:ind w:left="72"/>
              <w:rPr>
                <w:noProof/>
              </w:rPr>
            </w:pPr>
            <w:r w:rsidRPr="0032658A">
              <w:rPr>
                <w:noProof/>
                <w:sz w:val="20"/>
              </w:rPr>
              <w:t>Laikinieji darbuotojai (AST lygio)</w:t>
            </w:r>
          </w:p>
        </w:tc>
        <w:tc>
          <w:tcPr>
            <w:tcW w:w="1080" w:type="dxa"/>
            <w:vAlign w:val="center"/>
          </w:tcPr>
          <w:p w14:paraId="4E477A56" w14:textId="77777777" w:rsidR="00F001BC" w:rsidRPr="0032658A" w:rsidRDefault="00F001BC" w:rsidP="005840B3">
            <w:pPr>
              <w:spacing w:before="60" w:after="60"/>
              <w:jc w:val="right"/>
              <w:rPr>
                <w:noProof/>
                <w:sz w:val="20"/>
              </w:rPr>
            </w:pPr>
          </w:p>
        </w:tc>
        <w:tc>
          <w:tcPr>
            <w:tcW w:w="1080" w:type="dxa"/>
            <w:vAlign w:val="center"/>
          </w:tcPr>
          <w:p w14:paraId="272D18C0" w14:textId="77777777" w:rsidR="00F001BC" w:rsidRPr="0032658A" w:rsidRDefault="00F001BC" w:rsidP="005840B3">
            <w:pPr>
              <w:spacing w:before="60" w:after="60"/>
              <w:jc w:val="right"/>
              <w:rPr>
                <w:noProof/>
                <w:sz w:val="20"/>
              </w:rPr>
            </w:pPr>
          </w:p>
        </w:tc>
        <w:tc>
          <w:tcPr>
            <w:tcW w:w="1080" w:type="dxa"/>
            <w:vAlign w:val="center"/>
          </w:tcPr>
          <w:p w14:paraId="081B399F" w14:textId="77777777" w:rsidR="00F001BC" w:rsidRPr="0032658A" w:rsidRDefault="00F001BC" w:rsidP="005840B3">
            <w:pPr>
              <w:spacing w:before="60" w:after="60"/>
              <w:jc w:val="right"/>
              <w:rPr>
                <w:noProof/>
                <w:sz w:val="20"/>
              </w:rPr>
            </w:pPr>
          </w:p>
        </w:tc>
        <w:tc>
          <w:tcPr>
            <w:tcW w:w="1170" w:type="dxa"/>
            <w:vAlign w:val="center"/>
          </w:tcPr>
          <w:p w14:paraId="177E4143" w14:textId="77777777" w:rsidR="00F001BC" w:rsidRPr="0032658A" w:rsidRDefault="00F001BC" w:rsidP="005840B3">
            <w:pPr>
              <w:spacing w:before="60" w:after="60"/>
              <w:jc w:val="right"/>
              <w:rPr>
                <w:noProof/>
                <w:sz w:val="20"/>
              </w:rPr>
            </w:pPr>
          </w:p>
        </w:tc>
        <w:tc>
          <w:tcPr>
            <w:tcW w:w="1276" w:type="dxa"/>
            <w:vAlign w:val="center"/>
          </w:tcPr>
          <w:p w14:paraId="619A592A" w14:textId="77777777" w:rsidR="00F001BC" w:rsidRPr="0032658A" w:rsidRDefault="00F001BC" w:rsidP="005840B3">
            <w:pPr>
              <w:spacing w:before="60" w:after="60"/>
              <w:jc w:val="right"/>
              <w:rPr>
                <w:b/>
                <w:noProof/>
                <w:sz w:val="20"/>
              </w:rPr>
            </w:pPr>
          </w:p>
        </w:tc>
      </w:tr>
      <w:tr w:rsidR="00F001BC" w:rsidRPr="0032658A" w14:paraId="1ED1BD39" w14:textId="77777777" w:rsidTr="005840B3">
        <w:trPr>
          <w:trHeight w:val="585"/>
        </w:trPr>
        <w:tc>
          <w:tcPr>
            <w:tcW w:w="1980" w:type="dxa"/>
            <w:shd w:val="clear" w:color="auto" w:fill="BFBFBF" w:themeFill="background1" w:themeFillShade="BF"/>
            <w:vAlign w:val="center"/>
          </w:tcPr>
          <w:p w14:paraId="49F40E60" w14:textId="77777777" w:rsidR="00F001BC" w:rsidRPr="0032658A" w:rsidRDefault="00F001BC" w:rsidP="005840B3">
            <w:pPr>
              <w:spacing w:before="60" w:after="60"/>
              <w:ind w:left="72"/>
              <w:rPr>
                <w:noProof/>
              </w:rPr>
            </w:pPr>
            <w:r w:rsidRPr="0032658A">
              <w:rPr>
                <w:noProof/>
                <w:sz w:val="20"/>
              </w:rPr>
              <w:t>Sutartininkai</w:t>
            </w:r>
          </w:p>
        </w:tc>
        <w:tc>
          <w:tcPr>
            <w:tcW w:w="1080" w:type="dxa"/>
            <w:shd w:val="clear" w:color="auto" w:fill="BFBFBF" w:themeFill="background1" w:themeFillShade="BF"/>
            <w:vAlign w:val="center"/>
          </w:tcPr>
          <w:p w14:paraId="32D8654C" w14:textId="77777777" w:rsidR="00F001BC" w:rsidRPr="0032658A" w:rsidRDefault="00F001BC" w:rsidP="005840B3">
            <w:pPr>
              <w:spacing w:before="60" w:after="60"/>
              <w:jc w:val="right"/>
              <w:rPr>
                <w:noProof/>
                <w:sz w:val="20"/>
              </w:rPr>
            </w:pPr>
          </w:p>
        </w:tc>
        <w:tc>
          <w:tcPr>
            <w:tcW w:w="1080" w:type="dxa"/>
            <w:shd w:val="clear" w:color="auto" w:fill="BFBFBF" w:themeFill="background1" w:themeFillShade="BF"/>
            <w:vAlign w:val="center"/>
          </w:tcPr>
          <w:p w14:paraId="32B2E815" w14:textId="77777777" w:rsidR="00F001BC" w:rsidRPr="0032658A" w:rsidRDefault="00F001BC" w:rsidP="005840B3">
            <w:pPr>
              <w:spacing w:before="60" w:after="60"/>
              <w:jc w:val="right"/>
              <w:rPr>
                <w:noProof/>
                <w:sz w:val="20"/>
              </w:rPr>
            </w:pPr>
          </w:p>
        </w:tc>
        <w:tc>
          <w:tcPr>
            <w:tcW w:w="1080" w:type="dxa"/>
            <w:shd w:val="clear" w:color="auto" w:fill="BFBFBF" w:themeFill="background1" w:themeFillShade="BF"/>
            <w:vAlign w:val="center"/>
          </w:tcPr>
          <w:p w14:paraId="147E2E72" w14:textId="77777777" w:rsidR="00F001BC" w:rsidRPr="0032658A" w:rsidRDefault="00F001BC" w:rsidP="005840B3">
            <w:pPr>
              <w:spacing w:before="60" w:after="60"/>
              <w:jc w:val="right"/>
              <w:rPr>
                <w:noProof/>
                <w:sz w:val="20"/>
              </w:rPr>
            </w:pPr>
          </w:p>
        </w:tc>
        <w:tc>
          <w:tcPr>
            <w:tcW w:w="1170" w:type="dxa"/>
            <w:shd w:val="clear" w:color="auto" w:fill="BFBFBF" w:themeFill="background1" w:themeFillShade="BF"/>
            <w:vAlign w:val="center"/>
          </w:tcPr>
          <w:p w14:paraId="47C88376" w14:textId="77777777" w:rsidR="00F001BC" w:rsidRPr="0032658A" w:rsidRDefault="00F001BC" w:rsidP="005840B3">
            <w:pPr>
              <w:spacing w:before="60" w:after="60"/>
              <w:jc w:val="right"/>
              <w:rPr>
                <w:noProof/>
                <w:sz w:val="20"/>
              </w:rPr>
            </w:pPr>
          </w:p>
        </w:tc>
        <w:tc>
          <w:tcPr>
            <w:tcW w:w="1276" w:type="dxa"/>
            <w:shd w:val="clear" w:color="auto" w:fill="BFBFBF" w:themeFill="background1" w:themeFillShade="BF"/>
            <w:vAlign w:val="center"/>
          </w:tcPr>
          <w:p w14:paraId="72681A9C" w14:textId="77777777" w:rsidR="00F001BC" w:rsidRPr="0032658A" w:rsidRDefault="00F001BC" w:rsidP="005840B3">
            <w:pPr>
              <w:spacing w:before="60" w:after="60"/>
              <w:jc w:val="right"/>
              <w:rPr>
                <w:b/>
                <w:noProof/>
                <w:sz w:val="20"/>
              </w:rPr>
            </w:pPr>
          </w:p>
        </w:tc>
      </w:tr>
      <w:tr w:rsidR="00F001BC" w:rsidRPr="0032658A" w14:paraId="37F2920D" w14:textId="77777777" w:rsidTr="005840B3">
        <w:trPr>
          <w:trHeight w:val="585"/>
        </w:trPr>
        <w:tc>
          <w:tcPr>
            <w:tcW w:w="1980" w:type="dxa"/>
            <w:shd w:val="clear" w:color="auto" w:fill="CCCCCC"/>
            <w:vAlign w:val="center"/>
          </w:tcPr>
          <w:p w14:paraId="6F54F292" w14:textId="77777777" w:rsidR="00F001BC" w:rsidRPr="0032658A" w:rsidRDefault="00F001BC" w:rsidP="005840B3">
            <w:pPr>
              <w:spacing w:before="60" w:after="60"/>
              <w:jc w:val="center"/>
              <w:rPr>
                <w:noProof/>
              </w:rPr>
            </w:pPr>
            <w:r w:rsidRPr="0032658A">
              <w:rPr>
                <w:noProof/>
                <w:sz w:val="18"/>
              </w:rPr>
              <w:t>Deleguotieji nacionaliniai ekspertai</w:t>
            </w:r>
          </w:p>
        </w:tc>
        <w:tc>
          <w:tcPr>
            <w:tcW w:w="1080" w:type="dxa"/>
            <w:vAlign w:val="center"/>
          </w:tcPr>
          <w:p w14:paraId="28EAB417" w14:textId="77777777" w:rsidR="00F001BC" w:rsidRPr="0032658A" w:rsidRDefault="00F001BC" w:rsidP="005840B3">
            <w:pPr>
              <w:spacing w:before="60" w:after="60"/>
              <w:jc w:val="right"/>
              <w:rPr>
                <w:noProof/>
                <w:sz w:val="20"/>
              </w:rPr>
            </w:pPr>
          </w:p>
        </w:tc>
        <w:tc>
          <w:tcPr>
            <w:tcW w:w="1080" w:type="dxa"/>
            <w:vAlign w:val="center"/>
          </w:tcPr>
          <w:p w14:paraId="4F0BA34E" w14:textId="77777777" w:rsidR="00F001BC" w:rsidRPr="0032658A" w:rsidRDefault="00F001BC" w:rsidP="005840B3">
            <w:pPr>
              <w:spacing w:before="60" w:after="60"/>
              <w:jc w:val="right"/>
              <w:rPr>
                <w:noProof/>
                <w:sz w:val="20"/>
              </w:rPr>
            </w:pPr>
          </w:p>
        </w:tc>
        <w:tc>
          <w:tcPr>
            <w:tcW w:w="1080" w:type="dxa"/>
            <w:vAlign w:val="center"/>
          </w:tcPr>
          <w:p w14:paraId="0C84D615" w14:textId="77777777" w:rsidR="00F001BC" w:rsidRPr="0032658A" w:rsidRDefault="00F001BC" w:rsidP="005840B3">
            <w:pPr>
              <w:spacing w:before="60" w:after="60"/>
              <w:jc w:val="right"/>
              <w:rPr>
                <w:noProof/>
                <w:sz w:val="20"/>
              </w:rPr>
            </w:pPr>
          </w:p>
        </w:tc>
        <w:tc>
          <w:tcPr>
            <w:tcW w:w="1170" w:type="dxa"/>
            <w:vAlign w:val="center"/>
          </w:tcPr>
          <w:p w14:paraId="5F15A8F0" w14:textId="77777777" w:rsidR="00F001BC" w:rsidRPr="0032658A" w:rsidRDefault="00F001BC" w:rsidP="005840B3">
            <w:pPr>
              <w:spacing w:before="60" w:after="60"/>
              <w:jc w:val="right"/>
              <w:rPr>
                <w:noProof/>
                <w:sz w:val="20"/>
              </w:rPr>
            </w:pPr>
          </w:p>
        </w:tc>
        <w:tc>
          <w:tcPr>
            <w:tcW w:w="1276" w:type="dxa"/>
            <w:vAlign w:val="center"/>
          </w:tcPr>
          <w:p w14:paraId="5CFED9B3" w14:textId="77777777" w:rsidR="00F001BC" w:rsidRPr="0032658A" w:rsidRDefault="00F001BC" w:rsidP="005840B3">
            <w:pPr>
              <w:spacing w:before="60" w:after="60"/>
              <w:jc w:val="right"/>
              <w:rPr>
                <w:b/>
                <w:noProof/>
                <w:sz w:val="20"/>
              </w:rPr>
            </w:pPr>
          </w:p>
        </w:tc>
      </w:tr>
    </w:tbl>
    <w:p w14:paraId="6FD9D762" w14:textId="77777777" w:rsidR="00F001BC" w:rsidRPr="0032658A" w:rsidRDefault="00F001BC" w:rsidP="00F001BC">
      <w:pPr>
        <w:rPr>
          <w:noProof/>
          <w:sz w:val="20"/>
        </w:rPr>
      </w:pPr>
    </w:p>
    <w:tbl>
      <w:tblPr>
        <w:tblW w:w="7666" w:type="dxa"/>
        <w:tblInd w:w="-612" w:type="dxa"/>
        <w:tblLayout w:type="fixed"/>
        <w:tblLook w:val="01E0" w:firstRow="1" w:lastRow="1" w:firstColumn="1" w:lastColumn="1" w:noHBand="0" w:noVBand="0"/>
      </w:tblPr>
      <w:tblGrid>
        <w:gridCol w:w="1980"/>
        <w:gridCol w:w="1080"/>
        <w:gridCol w:w="1080"/>
        <w:gridCol w:w="1080"/>
        <w:gridCol w:w="1170"/>
        <w:gridCol w:w="1276"/>
      </w:tblGrid>
      <w:tr w:rsidR="00F001BC" w:rsidRPr="0032658A" w14:paraId="085E522C" w14:textId="77777777" w:rsidTr="005840B3">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1328C291" w14:textId="77777777" w:rsidR="00F001BC" w:rsidRPr="0032658A" w:rsidRDefault="00F001BC" w:rsidP="005840B3">
            <w:pPr>
              <w:spacing w:before="60" w:after="60"/>
              <w:jc w:val="center"/>
              <w:rPr>
                <w:noProof/>
                <w:sz w:val="20"/>
              </w:rPr>
            </w:pPr>
            <w:r w:rsidRPr="0032658A">
              <w:rPr>
                <w:b/>
                <w:noProof/>
                <w:sz w:val="20"/>
              </w:rPr>
              <w:t>IŠ VISO</w:t>
            </w:r>
          </w:p>
        </w:tc>
        <w:tc>
          <w:tcPr>
            <w:tcW w:w="1080" w:type="dxa"/>
            <w:tcBorders>
              <w:top w:val="single" w:sz="12" w:space="0" w:color="auto"/>
              <w:left w:val="single" w:sz="2" w:space="0" w:color="auto"/>
              <w:bottom w:val="single" w:sz="12" w:space="0" w:color="auto"/>
              <w:right w:val="single" w:sz="2" w:space="0" w:color="auto"/>
            </w:tcBorders>
            <w:vAlign w:val="center"/>
          </w:tcPr>
          <w:p w14:paraId="1DBCE0D0" w14:textId="77777777" w:rsidR="00F001BC" w:rsidRPr="0032658A" w:rsidRDefault="00F001BC" w:rsidP="005840B3">
            <w:pPr>
              <w:spacing w:before="60" w:after="60"/>
              <w:jc w:val="right"/>
              <w:rPr>
                <w:b/>
                <w:noProof/>
                <w:sz w:val="20"/>
              </w:rPr>
            </w:pPr>
            <w:r w:rsidRPr="0032658A">
              <w:rPr>
                <w:b/>
                <w:noProof/>
                <w:sz w:val="20"/>
              </w:rPr>
              <w:t>2</w:t>
            </w:r>
          </w:p>
        </w:tc>
        <w:tc>
          <w:tcPr>
            <w:tcW w:w="1080" w:type="dxa"/>
            <w:tcBorders>
              <w:top w:val="single" w:sz="12" w:space="0" w:color="auto"/>
              <w:left w:val="single" w:sz="2" w:space="0" w:color="auto"/>
              <w:bottom w:val="single" w:sz="12" w:space="0" w:color="auto"/>
              <w:right w:val="single" w:sz="2" w:space="0" w:color="auto"/>
            </w:tcBorders>
            <w:vAlign w:val="center"/>
          </w:tcPr>
          <w:p w14:paraId="72093E83" w14:textId="77777777" w:rsidR="00F001BC" w:rsidRPr="0032658A" w:rsidRDefault="00F001BC" w:rsidP="005840B3">
            <w:pPr>
              <w:spacing w:before="60" w:after="60"/>
              <w:jc w:val="right"/>
              <w:rPr>
                <w:b/>
                <w:noProof/>
                <w:sz w:val="20"/>
              </w:rPr>
            </w:pPr>
            <w:r w:rsidRPr="0032658A">
              <w:rPr>
                <w:b/>
                <w:noProof/>
                <w:sz w:val="20"/>
              </w:rPr>
              <w:t>2</w:t>
            </w:r>
          </w:p>
        </w:tc>
        <w:tc>
          <w:tcPr>
            <w:tcW w:w="1080" w:type="dxa"/>
            <w:tcBorders>
              <w:top w:val="single" w:sz="12" w:space="0" w:color="auto"/>
              <w:left w:val="single" w:sz="2" w:space="0" w:color="auto"/>
              <w:bottom w:val="single" w:sz="12" w:space="0" w:color="auto"/>
              <w:right w:val="single" w:sz="2" w:space="0" w:color="auto"/>
            </w:tcBorders>
            <w:vAlign w:val="center"/>
          </w:tcPr>
          <w:p w14:paraId="67B01535" w14:textId="77777777" w:rsidR="00F001BC" w:rsidRPr="0032658A" w:rsidRDefault="00F001BC" w:rsidP="005840B3">
            <w:pPr>
              <w:spacing w:before="60" w:after="60"/>
              <w:jc w:val="right"/>
              <w:rPr>
                <w:b/>
                <w:noProof/>
                <w:sz w:val="20"/>
              </w:rPr>
            </w:pPr>
            <w:r w:rsidRPr="0032658A">
              <w:rPr>
                <w:b/>
                <w:noProof/>
                <w:sz w:val="20"/>
              </w:rPr>
              <w:t>2</w:t>
            </w:r>
          </w:p>
        </w:tc>
        <w:tc>
          <w:tcPr>
            <w:tcW w:w="1170" w:type="dxa"/>
            <w:tcBorders>
              <w:top w:val="single" w:sz="12" w:space="0" w:color="auto"/>
              <w:left w:val="single" w:sz="2" w:space="0" w:color="auto"/>
              <w:bottom w:val="single" w:sz="12" w:space="0" w:color="auto"/>
              <w:right w:val="single" w:sz="2" w:space="0" w:color="auto"/>
            </w:tcBorders>
            <w:vAlign w:val="center"/>
          </w:tcPr>
          <w:p w14:paraId="692A8890" w14:textId="77777777" w:rsidR="00F001BC" w:rsidRPr="0032658A" w:rsidRDefault="00F001BC" w:rsidP="005840B3">
            <w:pPr>
              <w:spacing w:before="60" w:after="60"/>
              <w:jc w:val="right"/>
              <w:rPr>
                <w:b/>
                <w:noProof/>
                <w:sz w:val="20"/>
              </w:rPr>
            </w:pPr>
            <w:r w:rsidRPr="0032658A">
              <w:rPr>
                <w:b/>
                <w:noProof/>
                <w:sz w:val="20"/>
              </w:rPr>
              <w:t>2</w:t>
            </w:r>
          </w:p>
        </w:tc>
        <w:tc>
          <w:tcPr>
            <w:tcW w:w="1276" w:type="dxa"/>
            <w:tcBorders>
              <w:top w:val="single" w:sz="12" w:space="0" w:color="auto"/>
              <w:left w:val="single" w:sz="2" w:space="0" w:color="auto"/>
              <w:bottom w:val="single" w:sz="12" w:space="0" w:color="auto"/>
              <w:right w:val="single" w:sz="12" w:space="0" w:color="auto"/>
            </w:tcBorders>
            <w:vAlign w:val="center"/>
          </w:tcPr>
          <w:p w14:paraId="1FC5F540" w14:textId="77777777" w:rsidR="00F001BC" w:rsidRPr="0032658A" w:rsidRDefault="00F001BC" w:rsidP="005840B3">
            <w:pPr>
              <w:spacing w:before="60" w:after="60"/>
              <w:jc w:val="right"/>
              <w:rPr>
                <w:b/>
                <w:noProof/>
                <w:sz w:val="20"/>
              </w:rPr>
            </w:pPr>
            <w:r w:rsidRPr="0032658A">
              <w:rPr>
                <w:b/>
                <w:noProof/>
                <w:sz w:val="20"/>
              </w:rPr>
              <w:t>2</w:t>
            </w:r>
          </w:p>
        </w:tc>
      </w:tr>
    </w:tbl>
    <w:p w14:paraId="2583251F" w14:textId="77777777" w:rsidR="00F001BC" w:rsidRPr="0032658A" w:rsidRDefault="001E1EB3" w:rsidP="00F001BC">
      <w:pPr>
        <w:rPr>
          <w:noProof/>
          <w:u w:val="single"/>
        </w:rPr>
      </w:pPr>
      <w:r w:rsidRPr="0032658A">
        <w:rPr>
          <w:noProof/>
          <w:u w:val="single"/>
        </w:rPr>
        <w:t>Poveikis biudžetui po dabartinės DFP yra preliminari apžvalga, nedaranti poveikio susitarimui dėl būsimos DFP</w:t>
      </w:r>
    </w:p>
    <w:p w14:paraId="3333E683" w14:textId="77777777" w:rsidR="001E1EB3" w:rsidRPr="0032658A" w:rsidRDefault="001E1EB3" w:rsidP="00F001BC">
      <w:pPr>
        <w:rPr>
          <w:noProof/>
          <w:u w:val="single"/>
        </w:rPr>
      </w:pPr>
      <w:r w:rsidRPr="0032658A">
        <w:rPr>
          <w:noProof/>
          <w:u w:val="single"/>
        </w:rPr>
        <w:t xml:space="preserve">EMSA pradės rengtis įdarbinimui, kai tik bus priimtas pasiūlymas. Išlaidos apskaičiuotos remiantis prielaida, kad nuo 2025 m. liepos 1 d. bus įdarbinti du darbuotojai (skaičiuojant etato ekvivalentais). Taigi pirmaisiais metais reikia tik 50 proc. žmogiškųjų išteklių išlaidų. </w:t>
      </w:r>
    </w:p>
    <w:p w14:paraId="691EF7AB" w14:textId="77777777" w:rsidR="00F001BC" w:rsidRPr="0032658A" w:rsidRDefault="00F001BC" w:rsidP="00F001BC">
      <w:pPr>
        <w:pStyle w:val="ManualHeading4"/>
        <w:rPr>
          <w:noProof/>
        </w:rPr>
      </w:pPr>
      <w:r w:rsidRPr="0032658A">
        <w:rPr>
          <w:noProof/>
        </w:rPr>
        <w:t>3.2.3.2.</w:t>
      </w:r>
      <w:r w:rsidRPr="0032658A">
        <w:rPr>
          <w:noProof/>
        </w:rPr>
        <w:tab/>
        <w:t>Numatomi pagrindinio GD žmogiškųjų išteklių poreikiai</w:t>
      </w:r>
    </w:p>
    <w:p w14:paraId="64105148" w14:textId="77777777" w:rsidR="00F001BC" w:rsidRPr="0032658A" w:rsidRDefault="00F001BC" w:rsidP="008305F0">
      <w:pPr>
        <w:pStyle w:val="ListDash1"/>
        <w:rPr>
          <w:noProof/>
        </w:rPr>
      </w:pPr>
      <w:r w:rsidRPr="0032658A">
        <w:rPr>
          <w:noProof/>
        </w:rPr>
        <w:sym w:font="Wingdings" w:char="F0FE"/>
      </w:r>
      <w:r w:rsidRPr="0032658A">
        <w:rPr>
          <w:noProof/>
        </w:rPr>
        <w:tab/>
        <w:t xml:space="preserve">Pasiūlymui (iniciatyvai) įgyvendinti žmogiškųjų išteklių nenaudojama. </w:t>
      </w:r>
    </w:p>
    <w:p w14:paraId="610B2227" w14:textId="77777777" w:rsidR="00F001BC" w:rsidRPr="0032658A" w:rsidRDefault="00F001BC" w:rsidP="008305F0">
      <w:pPr>
        <w:pStyle w:val="ListDash1"/>
        <w:rPr>
          <w:noProof/>
        </w:rPr>
      </w:pPr>
      <w:r w:rsidRPr="0032658A">
        <w:rPr>
          <w:noProof/>
        </w:rPr>
        <w:sym w:font="Wingdings" w:char="F0A8"/>
      </w:r>
      <w:r w:rsidRPr="0032658A">
        <w:rPr>
          <w:noProof/>
        </w:rPr>
        <w:tab/>
        <w:t>Pasiūlymui (iniciatyvai) įgyvendinti žmogiškieji ištekliai naudojami taip:</w:t>
      </w:r>
    </w:p>
    <w:p w14:paraId="032A1AB2" w14:textId="77777777" w:rsidR="00F001BC" w:rsidRPr="0032658A" w:rsidRDefault="00F001BC" w:rsidP="00F001BC">
      <w:pPr>
        <w:spacing w:after="60"/>
        <w:jc w:val="right"/>
        <w:rPr>
          <w:i/>
          <w:noProof/>
          <w:sz w:val="20"/>
        </w:rPr>
      </w:pPr>
      <w:r w:rsidRPr="0032658A">
        <w:rPr>
          <w:i/>
          <w:noProof/>
          <w:sz w:val="20"/>
        </w:rPr>
        <w:t>Sąmatą nurodyti sveikais skaičiais (arba daugiausia dešimtųjų tikslumu)</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rsidR="00F001BC" w:rsidRPr="0032658A" w14:paraId="72562755" w14:textId="77777777" w:rsidTr="005840B3">
        <w:trPr>
          <w:gridAfter w:val="1"/>
          <w:wAfter w:w="5" w:type="pct"/>
          <w:trHeight w:val="289"/>
          <w:jc w:val="center"/>
        </w:trPr>
        <w:tc>
          <w:tcPr>
            <w:tcW w:w="2043" w:type="pct"/>
            <w:gridSpan w:val="2"/>
            <w:shd w:val="clear" w:color="auto" w:fill="auto"/>
          </w:tcPr>
          <w:p w14:paraId="014EE10E" w14:textId="77777777" w:rsidR="00F001BC" w:rsidRPr="0032658A" w:rsidRDefault="00F001BC" w:rsidP="005840B3">
            <w:pPr>
              <w:pStyle w:val="Text1"/>
              <w:spacing w:before="40" w:after="40"/>
              <w:ind w:left="0"/>
              <w:jc w:val="center"/>
              <w:rPr>
                <w:i/>
                <w:noProof/>
                <w:sz w:val="20"/>
              </w:rPr>
            </w:pPr>
          </w:p>
        </w:tc>
        <w:tc>
          <w:tcPr>
            <w:tcW w:w="377" w:type="pct"/>
            <w:shd w:val="clear" w:color="auto" w:fill="auto"/>
            <w:vAlign w:val="center"/>
          </w:tcPr>
          <w:p w14:paraId="4A1C8704" w14:textId="77777777" w:rsidR="00F001BC" w:rsidRPr="0032658A" w:rsidRDefault="00F001BC" w:rsidP="005840B3">
            <w:pPr>
              <w:spacing w:before="20" w:after="20"/>
              <w:jc w:val="center"/>
              <w:rPr>
                <w:noProof/>
                <w:sz w:val="20"/>
              </w:rPr>
            </w:pPr>
            <w:r w:rsidRPr="0032658A">
              <w:rPr>
                <w:b/>
                <w:bCs/>
                <w:noProof/>
                <w:sz w:val="20"/>
              </w:rPr>
              <w:t>N</w:t>
            </w:r>
            <w:r w:rsidRPr="0032658A">
              <w:rPr>
                <w:noProof/>
              </w:rPr>
              <w:t xml:space="preserve"> </w:t>
            </w:r>
            <w:r w:rsidRPr="0032658A">
              <w:rPr>
                <w:noProof/>
              </w:rPr>
              <w:br/>
            </w:r>
            <w:r w:rsidRPr="0032658A">
              <w:rPr>
                <w:noProof/>
                <w:sz w:val="20"/>
              </w:rPr>
              <w:t>metai</w:t>
            </w:r>
          </w:p>
        </w:tc>
        <w:tc>
          <w:tcPr>
            <w:tcW w:w="377" w:type="pct"/>
            <w:shd w:val="clear" w:color="auto" w:fill="auto"/>
            <w:vAlign w:val="center"/>
          </w:tcPr>
          <w:p w14:paraId="43748661" w14:textId="77777777" w:rsidR="00F001BC" w:rsidRPr="0032658A" w:rsidRDefault="00F001BC" w:rsidP="005840B3">
            <w:pPr>
              <w:spacing w:before="20" w:after="20"/>
              <w:jc w:val="center"/>
              <w:rPr>
                <w:noProof/>
                <w:sz w:val="20"/>
              </w:rPr>
            </w:pPr>
            <w:r w:rsidRPr="0032658A">
              <w:rPr>
                <w:b/>
                <w:noProof/>
                <w:sz w:val="20"/>
              </w:rPr>
              <w:t>N + 1</w:t>
            </w:r>
            <w:r w:rsidRPr="0032658A">
              <w:rPr>
                <w:noProof/>
              </w:rPr>
              <w:t xml:space="preserve"> </w:t>
            </w:r>
            <w:r w:rsidRPr="0032658A">
              <w:rPr>
                <w:noProof/>
              </w:rPr>
              <w:br/>
            </w:r>
            <w:r w:rsidRPr="0032658A">
              <w:rPr>
                <w:noProof/>
                <w:sz w:val="20"/>
              </w:rPr>
              <w:t>metai</w:t>
            </w:r>
          </w:p>
        </w:tc>
        <w:tc>
          <w:tcPr>
            <w:tcW w:w="406" w:type="pct"/>
            <w:shd w:val="clear" w:color="auto" w:fill="auto"/>
            <w:vAlign w:val="center"/>
          </w:tcPr>
          <w:p w14:paraId="68540D7B" w14:textId="77777777" w:rsidR="00F001BC" w:rsidRPr="0032658A" w:rsidRDefault="00F001BC" w:rsidP="005840B3">
            <w:pPr>
              <w:spacing w:before="20" w:after="20"/>
              <w:jc w:val="center"/>
              <w:rPr>
                <w:noProof/>
                <w:sz w:val="20"/>
              </w:rPr>
            </w:pPr>
            <w:r w:rsidRPr="0032658A">
              <w:rPr>
                <w:b/>
                <w:noProof/>
                <w:sz w:val="20"/>
              </w:rPr>
              <w:t>N + 2</w:t>
            </w:r>
            <w:r w:rsidRPr="0032658A">
              <w:rPr>
                <w:noProof/>
                <w:sz w:val="20"/>
              </w:rPr>
              <w:t xml:space="preserve"> metai</w:t>
            </w:r>
          </w:p>
        </w:tc>
        <w:tc>
          <w:tcPr>
            <w:tcW w:w="497" w:type="pct"/>
            <w:shd w:val="clear" w:color="auto" w:fill="auto"/>
            <w:vAlign w:val="center"/>
          </w:tcPr>
          <w:p w14:paraId="7B960424" w14:textId="77777777" w:rsidR="00F001BC" w:rsidRPr="0032658A" w:rsidRDefault="00F001BC" w:rsidP="005840B3">
            <w:pPr>
              <w:spacing w:before="20" w:after="20"/>
              <w:jc w:val="center"/>
              <w:rPr>
                <w:noProof/>
                <w:sz w:val="20"/>
              </w:rPr>
            </w:pPr>
            <w:r w:rsidRPr="0032658A">
              <w:rPr>
                <w:b/>
                <w:noProof/>
                <w:sz w:val="20"/>
              </w:rPr>
              <w:t>N + 3</w:t>
            </w:r>
            <w:r w:rsidRPr="0032658A">
              <w:rPr>
                <w:noProof/>
                <w:sz w:val="20"/>
              </w:rPr>
              <w:t xml:space="preserve"> metai</w:t>
            </w:r>
          </w:p>
        </w:tc>
        <w:tc>
          <w:tcPr>
            <w:tcW w:w="1294" w:type="pct"/>
            <w:gridSpan w:val="3"/>
            <w:shd w:val="clear" w:color="auto" w:fill="auto"/>
            <w:vAlign w:val="center"/>
          </w:tcPr>
          <w:p w14:paraId="4529DED3" w14:textId="77777777" w:rsidR="00F001BC" w:rsidRPr="0032658A" w:rsidRDefault="00F001BC" w:rsidP="005840B3">
            <w:pPr>
              <w:tabs>
                <w:tab w:val="left" w:pos="685"/>
              </w:tabs>
              <w:jc w:val="center"/>
              <w:rPr>
                <w:b/>
                <w:noProof/>
                <w:sz w:val="20"/>
              </w:rPr>
            </w:pPr>
            <w:r w:rsidRPr="0032658A">
              <w:rPr>
                <w:noProof/>
                <w:sz w:val="20"/>
              </w:rPr>
              <w:t>Atsižvelgiant į poveikio trukmę įterpti reikiamą metų skaičių (žr. 1.6 punktą)</w:t>
            </w:r>
          </w:p>
        </w:tc>
      </w:tr>
      <w:tr w:rsidR="00F001BC" w:rsidRPr="0032658A" w14:paraId="62950873" w14:textId="77777777" w:rsidTr="005840B3">
        <w:trPr>
          <w:trHeight w:val="289"/>
          <w:jc w:val="center"/>
        </w:trPr>
        <w:tc>
          <w:tcPr>
            <w:tcW w:w="2043" w:type="pct"/>
            <w:gridSpan w:val="2"/>
            <w:shd w:val="clear" w:color="auto" w:fill="auto"/>
            <w:vAlign w:val="center"/>
          </w:tcPr>
          <w:p w14:paraId="6E2FCA2F" w14:textId="77777777" w:rsidR="00F001BC" w:rsidRPr="0032658A" w:rsidRDefault="00F001BC" w:rsidP="008305F0">
            <w:pPr>
              <w:pStyle w:val="Text1"/>
              <w:numPr>
                <w:ilvl w:val="0"/>
                <w:numId w:val="17"/>
              </w:numPr>
              <w:tabs>
                <w:tab w:val="left" w:pos="208"/>
              </w:tabs>
              <w:spacing w:beforeLines="20" w:before="48" w:afterLines="20" w:after="48"/>
              <w:ind w:left="208" w:hanging="120"/>
              <w:jc w:val="left"/>
              <w:rPr>
                <w:b/>
                <w:noProof/>
                <w:sz w:val="20"/>
              </w:rPr>
            </w:pPr>
            <w:r w:rsidRPr="0032658A">
              <w:rPr>
                <w:b/>
                <w:noProof/>
                <w:sz w:val="20"/>
              </w:rPr>
              <w:t>Etatų plano pareigybės (pareigūnai ir laikinieji darbuotojai)</w:t>
            </w:r>
          </w:p>
        </w:tc>
        <w:tc>
          <w:tcPr>
            <w:tcW w:w="377" w:type="pct"/>
            <w:shd w:val="clear" w:color="auto" w:fill="auto"/>
            <w:vAlign w:val="center"/>
          </w:tcPr>
          <w:p w14:paraId="3A6C52E7" w14:textId="77777777" w:rsidR="00F001BC" w:rsidRPr="0032658A" w:rsidRDefault="00F001BC" w:rsidP="005840B3">
            <w:pPr>
              <w:spacing w:beforeLines="20" w:before="48" w:afterLines="20" w:after="48"/>
              <w:jc w:val="center"/>
              <w:rPr>
                <w:noProof/>
                <w:sz w:val="20"/>
              </w:rPr>
            </w:pPr>
          </w:p>
        </w:tc>
        <w:tc>
          <w:tcPr>
            <w:tcW w:w="377" w:type="pct"/>
            <w:shd w:val="clear" w:color="auto" w:fill="auto"/>
            <w:vAlign w:val="center"/>
          </w:tcPr>
          <w:p w14:paraId="68B53C0F" w14:textId="77777777" w:rsidR="00F001BC" w:rsidRPr="0032658A" w:rsidRDefault="00F001BC" w:rsidP="005840B3">
            <w:pPr>
              <w:spacing w:beforeLines="20" w:before="48" w:afterLines="20" w:after="48"/>
              <w:jc w:val="center"/>
              <w:rPr>
                <w:noProof/>
                <w:sz w:val="20"/>
              </w:rPr>
            </w:pPr>
          </w:p>
        </w:tc>
        <w:tc>
          <w:tcPr>
            <w:tcW w:w="406" w:type="pct"/>
            <w:shd w:val="clear" w:color="auto" w:fill="auto"/>
            <w:vAlign w:val="center"/>
          </w:tcPr>
          <w:p w14:paraId="0BCE0AFB" w14:textId="77777777" w:rsidR="00F001BC" w:rsidRPr="0032658A" w:rsidRDefault="00F001BC" w:rsidP="005840B3">
            <w:pPr>
              <w:spacing w:beforeLines="20" w:before="48" w:afterLines="20" w:after="48"/>
              <w:jc w:val="center"/>
              <w:rPr>
                <w:noProof/>
                <w:sz w:val="20"/>
              </w:rPr>
            </w:pPr>
          </w:p>
        </w:tc>
        <w:tc>
          <w:tcPr>
            <w:tcW w:w="497" w:type="pct"/>
            <w:shd w:val="clear" w:color="auto" w:fill="auto"/>
            <w:vAlign w:val="center"/>
          </w:tcPr>
          <w:p w14:paraId="7A87F880" w14:textId="77777777" w:rsidR="00F001BC" w:rsidRPr="0032658A" w:rsidRDefault="00F001BC" w:rsidP="005840B3">
            <w:pPr>
              <w:spacing w:beforeLines="20" w:before="48" w:afterLines="20" w:after="48"/>
              <w:jc w:val="center"/>
              <w:rPr>
                <w:noProof/>
                <w:sz w:val="20"/>
              </w:rPr>
            </w:pPr>
          </w:p>
        </w:tc>
        <w:tc>
          <w:tcPr>
            <w:tcW w:w="424" w:type="pct"/>
            <w:shd w:val="clear" w:color="auto" w:fill="auto"/>
            <w:vAlign w:val="center"/>
          </w:tcPr>
          <w:p w14:paraId="4D5544FA" w14:textId="77777777" w:rsidR="00F001BC" w:rsidRPr="0032658A" w:rsidRDefault="00F001BC" w:rsidP="005840B3">
            <w:pPr>
              <w:spacing w:beforeLines="20" w:before="48" w:afterLines="20" w:after="48"/>
              <w:jc w:val="center"/>
              <w:rPr>
                <w:noProof/>
                <w:sz w:val="20"/>
              </w:rPr>
            </w:pPr>
          </w:p>
        </w:tc>
        <w:tc>
          <w:tcPr>
            <w:tcW w:w="423" w:type="pct"/>
            <w:shd w:val="clear" w:color="auto" w:fill="auto"/>
            <w:vAlign w:val="center"/>
          </w:tcPr>
          <w:p w14:paraId="5B441C09" w14:textId="77777777" w:rsidR="00F001BC" w:rsidRPr="0032658A" w:rsidRDefault="00F001BC" w:rsidP="005840B3">
            <w:pPr>
              <w:spacing w:beforeLines="20" w:before="48" w:afterLines="20" w:after="48"/>
              <w:jc w:val="center"/>
              <w:rPr>
                <w:noProof/>
                <w:sz w:val="20"/>
              </w:rPr>
            </w:pPr>
          </w:p>
        </w:tc>
        <w:tc>
          <w:tcPr>
            <w:tcW w:w="452" w:type="pct"/>
            <w:gridSpan w:val="2"/>
            <w:shd w:val="clear" w:color="auto" w:fill="auto"/>
            <w:vAlign w:val="center"/>
          </w:tcPr>
          <w:p w14:paraId="5EF470B7" w14:textId="77777777" w:rsidR="00F001BC" w:rsidRPr="0032658A" w:rsidRDefault="00F001BC" w:rsidP="005840B3">
            <w:pPr>
              <w:spacing w:beforeLines="20" w:before="48" w:afterLines="20" w:after="48"/>
              <w:jc w:val="center"/>
              <w:rPr>
                <w:noProof/>
                <w:sz w:val="20"/>
              </w:rPr>
            </w:pPr>
          </w:p>
        </w:tc>
      </w:tr>
      <w:tr w:rsidR="00F001BC" w:rsidRPr="0032658A" w14:paraId="3DEE5582" w14:textId="77777777" w:rsidTr="005840B3">
        <w:trPr>
          <w:trHeight w:val="289"/>
          <w:jc w:val="center"/>
        </w:trPr>
        <w:tc>
          <w:tcPr>
            <w:tcW w:w="2043" w:type="pct"/>
            <w:gridSpan w:val="2"/>
            <w:shd w:val="clear" w:color="auto" w:fill="auto"/>
            <w:vAlign w:val="center"/>
          </w:tcPr>
          <w:p w14:paraId="0A721A2B" w14:textId="77777777" w:rsidR="00F001BC" w:rsidRPr="0032658A" w:rsidRDefault="00F001BC" w:rsidP="005840B3">
            <w:pPr>
              <w:pStyle w:val="Text1"/>
              <w:spacing w:beforeLines="20" w:before="48" w:afterLines="20" w:after="48"/>
              <w:ind w:left="984"/>
              <w:jc w:val="left"/>
              <w:rPr>
                <w:b/>
                <w:noProof/>
                <w:sz w:val="20"/>
              </w:rPr>
            </w:pPr>
            <w:r w:rsidRPr="0032658A">
              <w:rPr>
                <w:noProof/>
                <w:sz w:val="20"/>
              </w:rPr>
              <w:t>20 01 02 01 ir 20 01 02 02 (Komisijos būstinė ir atstovybės)</w:t>
            </w:r>
          </w:p>
        </w:tc>
        <w:tc>
          <w:tcPr>
            <w:tcW w:w="377" w:type="pct"/>
            <w:shd w:val="clear" w:color="auto" w:fill="auto"/>
            <w:vAlign w:val="center"/>
          </w:tcPr>
          <w:p w14:paraId="566296CC" w14:textId="77777777" w:rsidR="00F001BC" w:rsidRPr="0032658A" w:rsidRDefault="00F001BC" w:rsidP="005840B3">
            <w:pPr>
              <w:spacing w:beforeLines="20" w:before="48" w:afterLines="20" w:after="48"/>
              <w:jc w:val="center"/>
              <w:rPr>
                <w:noProof/>
                <w:sz w:val="20"/>
              </w:rPr>
            </w:pPr>
          </w:p>
        </w:tc>
        <w:tc>
          <w:tcPr>
            <w:tcW w:w="377" w:type="pct"/>
            <w:shd w:val="clear" w:color="auto" w:fill="auto"/>
            <w:vAlign w:val="center"/>
          </w:tcPr>
          <w:p w14:paraId="1F3FEC46" w14:textId="77777777" w:rsidR="00F001BC" w:rsidRPr="0032658A" w:rsidRDefault="00F001BC" w:rsidP="005840B3">
            <w:pPr>
              <w:spacing w:beforeLines="20" w:before="48" w:afterLines="20" w:after="48"/>
              <w:jc w:val="center"/>
              <w:rPr>
                <w:noProof/>
                <w:sz w:val="20"/>
              </w:rPr>
            </w:pPr>
          </w:p>
        </w:tc>
        <w:tc>
          <w:tcPr>
            <w:tcW w:w="406" w:type="pct"/>
            <w:shd w:val="clear" w:color="auto" w:fill="auto"/>
            <w:vAlign w:val="center"/>
          </w:tcPr>
          <w:p w14:paraId="7257FCF0" w14:textId="77777777" w:rsidR="00F001BC" w:rsidRPr="0032658A" w:rsidRDefault="00F001BC" w:rsidP="005840B3">
            <w:pPr>
              <w:spacing w:beforeLines="20" w:before="48" w:afterLines="20" w:after="48"/>
              <w:jc w:val="center"/>
              <w:rPr>
                <w:noProof/>
                <w:sz w:val="20"/>
              </w:rPr>
            </w:pPr>
          </w:p>
        </w:tc>
        <w:tc>
          <w:tcPr>
            <w:tcW w:w="497" w:type="pct"/>
            <w:shd w:val="clear" w:color="auto" w:fill="auto"/>
            <w:vAlign w:val="center"/>
          </w:tcPr>
          <w:p w14:paraId="348F7647" w14:textId="77777777" w:rsidR="00F001BC" w:rsidRPr="0032658A" w:rsidRDefault="00F001BC" w:rsidP="005840B3">
            <w:pPr>
              <w:spacing w:beforeLines="20" w:before="48" w:afterLines="20" w:after="48"/>
              <w:jc w:val="center"/>
              <w:rPr>
                <w:noProof/>
                <w:sz w:val="20"/>
              </w:rPr>
            </w:pPr>
          </w:p>
        </w:tc>
        <w:tc>
          <w:tcPr>
            <w:tcW w:w="424" w:type="pct"/>
            <w:shd w:val="clear" w:color="auto" w:fill="auto"/>
            <w:vAlign w:val="center"/>
          </w:tcPr>
          <w:p w14:paraId="7EB95BA1" w14:textId="77777777" w:rsidR="00F001BC" w:rsidRPr="0032658A" w:rsidRDefault="00F001BC" w:rsidP="005840B3">
            <w:pPr>
              <w:spacing w:beforeLines="20" w:before="48" w:afterLines="20" w:after="48"/>
              <w:jc w:val="center"/>
              <w:rPr>
                <w:noProof/>
                <w:sz w:val="20"/>
              </w:rPr>
            </w:pPr>
          </w:p>
        </w:tc>
        <w:tc>
          <w:tcPr>
            <w:tcW w:w="423" w:type="pct"/>
            <w:shd w:val="clear" w:color="auto" w:fill="auto"/>
            <w:vAlign w:val="center"/>
          </w:tcPr>
          <w:p w14:paraId="27FD2786" w14:textId="77777777" w:rsidR="00F001BC" w:rsidRPr="0032658A" w:rsidRDefault="00F001BC" w:rsidP="005840B3">
            <w:pPr>
              <w:spacing w:beforeLines="20" w:before="48" w:afterLines="20" w:after="48"/>
              <w:jc w:val="center"/>
              <w:rPr>
                <w:noProof/>
                <w:sz w:val="20"/>
              </w:rPr>
            </w:pPr>
          </w:p>
        </w:tc>
        <w:tc>
          <w:tcPr>
            <w:tcW w:w="452" w:type="pct"/>
            <w:gridSpan w:val="2"/>
            <w:shd w:val="clear" w:color="auto" w:fill="auto"/>
            <w:vAlign w:val="center"/>
          </w:tcPr>
          <w:p w14:paraId="35E21938" w14:textId="77777777" w:rsidR="00F001BC" w:rsidRPr="0032658A" w:rsidRDefault="00F001BC" w:rsidP="005840B3">
            <w:pPr>
              <w:spacing w:beforeLines="20" w:before="48" w:afterLines="20" w:after="48"/>
              <w:jc w:val="center"/>
              <w:rPr>
                <w:noProof/>
                <w:sz w:val="20"/>
              </w:rPr>
            </w:pPr>
          </w:p>
        </w:tc>
      </w:tr>
      <w:tr w:rsidR="00F001BC" w:rsidRPr="0032658A" w14:paraId="31C67D3C" w14:textId="77777777" w:rsidTr="005840B3">
        <w:trPr>
          <w:trHeight w:val="289"/>
          <w:jc w:val="center"/>
        </w:trPr>
        <w:tc>
          <w:tcPr>
            <w:tcW w:w="2043" w:type="pct"/>
            <w:gridSpan w:val="2"/>
            <w:shd w:val="clear" w:color="auto" w:fill="auto"/>
            <w:vAlign w:val="center"/>
          </w:tcPr>
          <w:p w14:paraId="7B531FBC" w14:textId="77777777" w:rsidR="00F001BC" w:rsidRPr="0032658A" w:rsidRDefault="00F001BC" w:rsidP="005840B3">
            <w:pPr>
              <w:pStyle w:val="Text1"/>
              <w:spacing w:beforeLines="20" w:before="48" w:afterLines="20" w:after="48"/>
              <w:ind w:left="984"/>
              <w:jc w:val="left"/>
              <w:rPr>
                <w:noProof/>
                <w:sz w:val="20"/>
              </w:rPr>
            </w:pPr>
            <w:r w:rsidRPr="0032658A">
              <w:rPr>
                <w:noProof/>
                <w:sz w:val="20"/>
              </w:rPr>
              <w:t>20 01 02 03 (Delegacijos)</w:t>
            </w:r>
          </w:p>
        </w:tc>
        <w:tc>
          <w:tcPr>
            <w:tcW w:w="377" w:type="pct"/>
            <w:shd w:val="clear" w:color="auto" w:fill="auto"/>
            <w:vAlign w:val="center"/>
          </w:tcPr>
          <w:p w14:paraId="3EF56263" w14:textId="77777777" w:rsidR="00F001BC" w:rsidRPr="0032658A" w:rsidRDefault="00F001BC" w:rsidP="005840B3">
            <w:pPr>
              <w:spacing w:beforeLines="20" w:before="48" w:afterLines="20" w:after="48"/>
              <w:jc w:val="center"/>
              <w:rPr>
                <w:noProof/>
                <w:sz w:val="20"/>
              </w:rPr>
            </w:pPr>
          </w:p>
        </w:tc>
        <w:tc>
          <w:tcPr>
            <w:tcW w:w="377" w:type="pct"/>
            <w:shd w:val="clear" w:color="auto" w:fill="auto"/>
            <w:vAlign w:val="center"/>
          </w:tcPr>
          <w:p w14:paraId="66CC49CD" w14:textId="77777777" w:rsidR="00F001BC" w:rsidRPr="0032658A" w:rsidRDefault="00F001BC" w:rsidP="005840B3">
            <w:pPr>
              <w:spacing w:beforeLines="20" w:before="48" w:afterLines="20" w:after="48"/>
              <w:jc w:val="center"/>
              <w:rPr>
                <w:noProof/>
                <w:sz w:val="20"/>
              </w:rPr>
            </w:pPr>
          </w:p>
        </w:tc>
        <w:tc>
          <w:tcPr>
            <w:tcW w:w="406" w:type="pct"/>
            <w:shd w:val="clear" w:color="auto" w:fill="auto"/>
            <w:vAlign w:val="center"/>
          </w:tcPr>
          <w:p w14:paraId="46383582" w14:textId="77777777" w:rsidR="00F001BC" w:rsidRPr="0032658A" w:rsidRDefault="00F001BC" w:rsidP="005840B3">
            <w:pPr>
              <w:spacing w:beforeLines="20" w:before="48" w:afterLines="20" w:after="48"/>
              <w:jc w:val="center"/>
              <w:rPr>
                <w:noProof/>
                <w:sz w:val="20"/>
              </w:rPr>
            </w:pPr>
          </w:p>
        </w:tc>
        <w:tc>
          <w:tcPr>
            <w:tcW w:w="497" w:type="pct"/>
            <w:shd w:val="clear" w:color="auto" w:fill="auto"/>
            <w:vAlign w:val="center"/>
          </w:tcPr>
          <w:p w14:paraId="7569959D" w14:textId="77777777" w:rsidR="00F001BC" w:rsidRPr="0032658A" w:rsidRDefault="00F001BC" w:rsidP="005840B3">
            <w:pPr>
              <w:spacing w:beforeLines="20" w:before="48" w:afterLines="20" w:after="48"/>
              <w:jc w:val="center"/>
              <w:rPr>
                <w:noProof/>
                <w:sz w:val="20"/>
              </w:rPr>
            </w:pPr>
          </w:p>
        </w:tc>
        <w:tc>
          <w:tcPr>
            <w:tcW w:w="424" w:type="pct"/>
            <w:shd w:val="clear" w:color="auto" w:fill="auto"/>
            <w:vAlign w:val="center"/>
          </w:tcPr>
          <w:p w14:paraId="6E9D9C9F" w14:textId="77777777" w:rsidR="00F001BC" w:rsidRPr="0032658A" w:rsidRDefault="00F001BC" w:rsidP="005840B3">
            <w:pPr>
              <w:spacing w:beforeLines="20" w:before="48" w:afterLines="20" w:after="48"/>
              <w:jc w:val="center"/>
              <w:rPr>
                <w:noProof/>
                <w:sz w:val="20"/>
              </w:rPr>
            </w:pPr>
          </w:p>
        </w:tc>
        <w:tc>
          <w:tcPr>
            <w:tcW w:w="423" w:type="pct"/>
            <w:shd w:val="clear" w:color="auto" w:fill="auto"/>
            <w:vAlign w:val="center"/>
          </w:tcPr>
          <w:p w14:paraId="2F8E71E1" w14:textId="77777777" w:rsidR="00F001BC" w:rsidRPr="0032658A" w:rsidRDefault="00F001BC" w:rsidP="005840B3">
            <w:pPr>
              <w:spacing w:beforeLines="20" w:before="48" w:afterLines="20" w:after="48"/>
              <w:jc w:val="center"/>
              <w:rPr>
                <w:noProof/>
                <w:sz w:val="20"/>
              </w:rPr>
            </w:pPr>
          </w:p>
        </w:tc>
        <w:tc>
          <w:tcPr>
            <w:tcW w:w="452" w:type="pct"/>
            <w:gridSpan w:val="2"/>
            <w:shd w:val="clear" w:color="auto" w:fill="auto"/>
            <w:vAlign w:val="center"/>
          </w:tcPr>
          <w:p w14:paraId="06B390CB" w14:textId="77777777" w:rsidR="00F001BC" w:rsidRPr="0032658A" w:rsidRDefault="00F001BC" w:rsidP="005840B3">
            <w:pPr>
              <w:spacing w:beforeLines="20" w:before="48" w:afterLines="20" w:after="48"/>
              <w:jc w:val="center"/>
              <w:rPr>
                <w:noProof/>
                <w:sz w:val="20"/>
              </w:rPr>
            </w:pPr>
          </w:p>
        </w:tc>
      </w:tr>
      <w:tr w:rsidR="00F001BC" w:rsidRPr="0032658A" w14:paraId="62CDD868" w14:textId="77777777" w:rsidTr="005840B3">
        <w:trPr>
          <w:trHeight w:val="953"/>
          <w:jc w:val="center"/>
        </w:trPr>
        <w:tc>
          <w:tcPr>
            <w:tcW w:w="2043" w:type="pct"/>
            <w:gridSpan w:val="2"/>
            <w:shd w:val="clear" w:color="auto" w:fill="auto"/>
            <w:vAlign w:val="center"/>
          </w:tcPr>
          <w:p w14:paraId="26BF3732" w14:textId="77777777" w:rsidR="00F001BC" w:rsidRPr="0032658A" w:rsidRDefault="00F001BC" w:rsidP="005840B3">
            <w:pPr>
              <w:pStyle w:val="Text1"/>
              <w:spacing w:beforeLines="20" w:before="48" w:afterLines="20" w:after="48"/>
              <w:ind w:left="984"/>
              <w:jc w:val="left"/>
              <w:rPr>
                <w:noProof/>
                <w:sz w:val="20"/>
              </w:rPr>
            </w:pPr>
            <w:r w:rsidRPr="0032658A">
              <w:rPr>
                <w:noProof/>
                <w:sz w:val="20"/>
              </w:rPr>
              <w:t>01 01 01 01 (Netiesioginiai moksliniai tyrimai)</w:t>
            </w:r>
          </w:p>
        </w:tc>
        <w:tc>
          <w:tcPr>
            <w:tcW w:w="377" w:type="pct"/>
            <w:shd w:val="clear" w:color="auto" w:fill="auto"/>
            <w:vAlign w:val="center"/>
          </w:tcPr>
          <w:p w14:paraId="10B54F2F" w14:textId="77777777" w:rsidR="00F001BC" w:rsidRPr="0032658A" w:rsidRDefault="00F001BC" w:rsidP="005840B3">
            <w:pPr>
              <w:spacing w:beforeLines="20" w:before="48" w:afterLines="20" w:after="48"/>
              <w:jc w:val="center"/>
              <w:rPr>
                <w:noProof/>
                <w:sz w:val="20"/>
              </w:rPr>
            </w:pPr>
          </w:p>
        </w:tc>
        <w:tc>
          <w:tcPr>
            <w:tcW w:w="377" w:type="pct"/>
            <w:shd w:val="clear" w:color="auto" w:fill="auto"/>
            <w:vAlign w:val="center"/>
          </w:tcPr>
          <w:p w14:paraId="16AB85A2" w14:textId="77777777" w:rsidR="00F001BC" w:rsidRPr="0032658A" w:rsidRDefault="00F001BC" w:rsidP="005840B3">
            <w:pPr>
              <w:spacing w:beforeLines="20" w:before="48" w:afterLines="20" w:after="48"/>
              <w:jc w:val="center"/>
              <w:rPr>
                <w:noProof/>
                <w:sz w:val="20"/>
              </w:rPr>
            </w:pPr>
          </w:p>
        </w:tc>
        <w:tc>
          <w:tcPr>
            <w:tcW w:w="406" w:type="pct"/>
            <w:shd w:val="clear" w:color="auto" w:fill="auto"/>
            <w:vAlign w:val="center"/>
          </w:tcPr>
          <w:p w14:paraId="4D325D3C" w14:textId="77777777" w:rsidR="00F001BC" w:rsidRPr="0032658A" w:rsidRDefault="00F001BC" w:rsidP="005840B3">
            <w:pPr>
              <w:spacing w:beforeLines="20" w:before="48" w:afterLines="20" w:after="48"/>
              <w:jc w:val="center"/>
              <w:rPr>
                <w:noProof/>
                <w:sz w:val="20"/>
              </w:rPr>
            </w:pPr>
          </w:p>
        </w:tc>
        <w:tc>
          <w:tcPr>
            <w:tcW w:w="497" w:type="pct"/>
            <w:shd w:val="clear" w:color="auto" w:fill="auto"/>
            <w:vAlign w:val="center"/>
          </w:tcPr>
          <w:p w14:paraId="202FA848" w14:textId="77777777" w:rsidR="00F001BC" w:rsidRPr="0032658A" w:rsidRDefault="00F001BC" w:rsidP="005840B3">
            <w:pPr>
              <w:spacing w:beforeLines="20" w:before="48" w:afterLines="20" w:after="48"/>
              <w:jc w:val="center"/>
              <w:rPr>
                <w:noProof/>
                <w:sz w:val="20"/>
              </w:rPr>
            </w:pPr>
          </w:p>
        </w:tc>
        <w:tc>
          <w:tcPr>
            <w:tcW w:w="424" w:type="pct"/>
            <w:shd w:val="clear" w:color="auto" w:fill="auto"/>
            <w:vAlign w:val="center"/>
          </w:tcPr>
          <w:p w14:paraId="5F5791B2" w14:textId="77777777" w:rsidR="00F001BC" w:rsidRPr="0032658A" w:rsidRDefault="00F001BC" w:rsidP="005840B3">
            <w:pPr>
              <w:spacing w:beforeLines="20" w:before="48" w:afterLines="20" w:after="48"/>
              <w:jc w:val="center"/>
              <w:rPr>
                <w:noProof/>
                <w:sz w:val="20"/>
              </w:rPr>
            </w:pPr>
          </w:p>
        </w:tc>
        <w:tc>
          <w:tcPr>
            <w:tcW w:w="423" w:type="pct"/>
            <w:shd w:val="clear" w:color="auto" w:fill="auto"/>
            <w:vAlign w:val="center"/>
          </w:tcPr>
          <w:p w14:paraId="3D7D34B4" w14:textId="77777777" w:rsidR="00F001BC" w:rsidRPr="0032658A" w:rsidRDefault="00F001BC" w:rsidP="005840B3">
            <w:pPr>
              <w:spacing w:beforeLines="20" w:before="48" w:afterLines="20" w:after="48"/>
              <w:jc w:val="center"/>
              <w:rPr>
                <w:noProof/>
                <w:sz w:val="20"/>
              </w:rPr>
            </w:pPr>
          </w:p>
        </w:tc>
        <w:tc>
          <w:tcPr>
            <w:tcW w:w="452" w:type="pct"/>
            <w:gridSpan w:val="2"/>
            <w:shd w:val="clear" w:color="auto" w:fill="auto"/>
            <w:vAlign w:val="center"/>
          </w:tcPr>
          <w:p w14:paraId="075BAB78" w14:textId="77777777" w:rsidR="00F001BC" w:rsidRPr="0032658A" w:rsidRDefault="00F001BC" w:rsidP="005840B3">
            <w:pPr>
              <w:spacing w:beforeLines="20" w:before="48" w:afterLines="20" w:after="48"/>
              <w:jc w:val="center"/>
              <w:rPr>
                <w:noProof/>
                <w:sz w:val="20"/>
              </w:rPr>
            </w:pPr>
          </w:p>
        </w:tc>
      </w:tr>
      <w:tr w:rsidR="00F001BC" w:rsidRPr="0032658A" w14:paraId="5DB8DD12" w14:textId="77777777" w:rsidTr="005840B3">
        <w:trPr>
          <w:trHeight w:val="289"/>
          <w:jc w:val="center"/>
        </w:trPr>
        <w:tc>
          <w:tcPr>
            <w:tcW w:w="2043" w:type="pct"/>
            <w:gridSpan w:val="2"/>
            <w:shd w:val="clear" w:color="auto" w:fill="auto"/>
            <w:vAlign w:val="center"/>
          </w:tcPr>
          <w:p w14:paraId="0DF4085E" w14:textId="77777777" w:rsidR="00F001BC" w:rsidRPr="0032658A" w:rsidRDefault="00F001BC" w:rsidP="005840B3">
            <w:pPr>
              <w:pStyle w:val="Text1"/>
              <w:spacing w:beforeLines="20" w:before="48" w:afterLines="20" w:after="48"/>
              <w:ind w:left="984"/>
              <w:jc w:val="left"/>
              <w:rPr>
                <w:noProof/>
                <w:sz w:val="20"/>
              </w:rPr>
            </w:pPr>
            <w:r w:rsidRPr="0032658A">
              <w:rPr>
                <w:noProof/>
                <w:sz w:val="20"/>
              </w:rPr>
              <w:t>10 01 05 01 (Tiesioginiai moksliniai tyrimai)</w:t>
            </w:r>
          </w:p>
        </w:tc>
        <w:tc>
          <w:tcPr>
            <w:tcW w:w="377" w:type="pct"/>
            <w:shd w:val="clear" w:color="auto" w:fill="auto"/>
            <w:vAlign w:val="center"/>
          </w:tcPr>
          <w:p w14:paraId="65F1B7EB" w14:textId="77777777" w:rsidR="00F001BC" w:rsidRPr="0032658A" w:rsidRDefault="00F001BC" w:rsidP="005840B3">
            <w:pPr>
              <w:spacing w:beforeLines="20" w:before="48" w:afterLines="20" w:after="48"/>
              <w:jc w:val="center"/>
              <w:rPr>
                <w:noProof/>
                <w:sz w:val="20"/>
              </w:rPr>
            </w:pPr>
          </w:p>
        </w:tc>
        <w:tc>
          <w:tcPr>
            <w:tcW w:w="377" w:type="pct"/>
            <w:shd w:val="clear" w:color="auto" w:fill="auto"/>
            <w:vAlign w:val="center"/>
          </w:tcPr>
          <w:p w14:paraId="05298DF0" w14:textId="77777777" w:rsidR="00F001BC" w:rsidRPr="0032658A" w:rsidRDefault="00F001BC" w:rsidP="005840B3">
            <w:pPr>
              <w:spacing w:beforeLines="20" w:before="48" w:afterLines="20" w:after="48"/>
              <w:jc w:val="center"/>
              <w:rPr>
                <w:noProof/>
                <w:sz w:val="20"/>
              </w:rPr>
            </w:pPr>
          </w:p>
        </w:tc>
        <w:tc>
          <w:tcPr>
            <w:tcW w:w="406" w:type="pct"/>
            <w:shd w:val="clear" w:color="auto" w:fill="auto"/>
            <w:vAlign w:val="center"/>
          </w:tcPr>
          <w:p w14:paraId="2636E251" w14:textId="77777777" w:rsidR="00F001BC" w:rsidRPr="0032658A" w:rsidRDefault="00F001BC" w:rsidP="005840B3">
            <w:pPr>
              <w:spacing w:beforeLines="20" w:before="48" w:afterLines="20" w:after="48"/>
              <w:jc w:val="center"/>
              <w:rPr>
                <w:noProof/>
                <w:sz w:val="20"/>
              </w:rPr>
            </w:pPr>
          </w:p>
        </w:tc>
        <w:tc>
          <w:tcPr>
            <w:tcW w:w="497" w:type="pct"/>
            <w:shd w:val="clear" w:color="auto" w:fill="auto"/>
            <w:vAlign w:val="center"/>
          </w:tcPr>
          <w:p w14:paraId="229504C2" w14:textId="77777777" w:rsidR="00F001BC" w:rsidRPr="0032658A" w:rsidRDefault="00F001BC" w:rsidP="005840B3">
            <w:pPr>
              <w:spacing w:beforeLines="20" w:before="48" w:afterLines="20" w:after="48"/>
              <w:jc w:val="center"/>
              <w:rPr>
                <w:noProof/>
                <w:sz w:val="20"/>
              </w:rPr>
            </w:pPr>
          </w:p>
        </w:tc>
        <w:tc>
          <w:tcPr>
            <w:tcW w:w="424" w:type="pct"/>
            <w:shd w:val="clear" w:color="auto" w:fill="auto"/>
            <w:vAlign w:val="center"/>
          </w:tcPr>
          <w:p w14:paraId="49E45D51" w14:textId="77777777" w:rsidR="00F001BC" w:rsidRPr="0032658A" w:rsidRDefault="00F001BC" w:rsidP="005840B3">
            <w:pPr>
              <w:spacing w:beforeLines="20" w:before="48" w:afterLines="20" w:after="48"/>
              <w:jc w:val="center"/>
              <w:rPr>
                <w:noProof/>
                <w:sz w:val="20"/>
              </w:rPr>
            </w:pPr>
          </w:p>
        </w:tc>
        <w:tc>
          <w:tcPr>
            <w:tcW w:w="423" w:type="pct"/>
            <w:shd w:val="clear" w:color="auto" w:fill="auto"/>
            <w:vAlign w:val="center"/>
          </w:tcPr>
          <w:p w14:paraId="58DCDA45" w14:textId="77777777" w:rsidR="00F001BC" w:rsidRPr="0032658A" w:rsidRDefault="00F001BC" w:rsidP="005840B3">
            <w:pPr>
              <w:spacing w:beforeLines="20" w:before="48" w:afterLines="20" w:after="48"/>
              <w:jc w:val="center"/>
              <w:rPr>
                <w:noProof/>
                <w:sz w:val="20"/>
              </w:rPr>
            </w:pPr>
          </w:p>
        </w:tc>
        <w:tc>
          <w:tcPr>
            <w:tcW w:w="452" w:type="pct"/>
            <w:gridSpan w:val="2"/>
            <w:shd w:val="clear" w:color="auto" w:fill="auto"/>
            <w:vAlign w:val="center"/>
          </w:tcPr>
          <w:p w14:paraId="2BAE6DD9" w14:textId="77777777" w:rsidR="00F001BC" w:rsidRPr="0032658A" w:rsidRDefault="00F001BC" w:rsidP="005840B3">
            <w:pPr>
              <w:spacing w:beforeLines="20" w:before="48" w:afterLines="20" w:after="48"/>
              <w:jc w:val="center"/>
              <w:rPr>
                <w:noProof/>
                <w:sz w:val="20"/>
              </w:rPr>
            </w:pPr>
          </w:p>
        </w:tc>
      </w:tr>
      <w:tr w:rsidR="00F001BC" w:rsidRPr="0032658A" w14:paraId="3C14D6E4" w14:textId="77777777" w:rsidTr="005840B3">
        <w:trPr>
          <w:trHeight w:val="289"/>
          <w:jc w:val="center"/>
        </w:trPr>
        <w:tc>
          <w:tcPr>
            <w:tcW w:w="2043" w:type="pct"/>
            <w:gridSpan w:val="2"/>
            <w:shd w:val="clear" w:color="auto" w:fill="auto"/>
            <w:vAlign w:val="center"/>
          </w:tcPr>
          <w:p w14:paraId="1805E112" w14:textId="77777777" w:rsidR="00F001BC" w:rsidRPr="0032658A" w:rsidRDefault="00F001BC" w:rsidP="005840B3">
            <w:pPr>
              <w:pStyle w:val="Text1"/>
              <w:spacing w:beforeLines="20" w:before="48" w:afterLines="20" w:after="48"/>
              <w:ind w:left="984"/>
              <w:jc w:val="left"/>
              <w:rPr>
                <w:noProof/>
                <w:sz w:val="20"/>
              </w:rPr>
            </w:pPr>
          </w:p>
        </w:tc>
        <w:tc>
          <w:tcPr>
            <w:tcW w:w="377" w:type="pct"/>
            <w:shd w:val="clear" w:color="auto" w:fill="auto"/>
            <w:vAlign w:val="center"/>
          </w:tcPr>
          <w:p w14:paraId="349827BC" w14:textId="77777777" w:rsidR="00F001BC" w:rsidRPr="0032658A" w:rsidRDefault="00F001BC" w:rsidP="005840B3">
            <w:pPr>
              <w:spacing w:beforeLines="20" w:before="48" w:afterLines="20" w:after="48"/>
              <w:jc w:val="center"/>
              <w:rPr>
                <w:noProof/>
                <w:sz w:val="20"/>
              </w:rPr>
            </w:pPr>
          </w:p>
        </w:tc>
        <w:tc>
          <w:tcPr>
            <w:tcW w:w="377" w:type="pct"/>
            <w:shd w:val="clear" w:color="auto" w:fill="auto"/>
            <w:vAlign w:val="center"/>
          </w:tcPr>
          <w:p w14:paraId="4C3939FA" w14:textId="77777777" w:rsidR="00F001BC" w:rsidRPr="0032658A" w:rsidRDefault="00F001BC" w:rsidP="005840B3">
            <w:pPr>
              <w:spacing w:beforeLines="20" w:before="48" w:afterLines="20" w:after="48"/>
              <w:jc w:val="center"/>
              <w:rPr>
                <w:noProof/>
                <w:sz w:val="20"/>
              </w:rPr>
            </w:pPr>
          </w:p>
        </w:tc>
        <w:tc>
          <w:tcPr>
            <w:tcW w:w="406" w:type="pct"/>
            <w:shd w:val="clear" w:color="auto" w:fill="auto"/>
            <w:vAlign w:val="center"/>
          </w:tcPr>
          <w:p w14:paraId="4A720E20" w14:textId="77777777" w:rsidR="00F001BC" w:rsidRPr="0032658A" w:rsidRDefault="00F001BC" w:rsidP="005840B3">
            <w:pPr>
              <w:spacing w:beforeLines="20" w:before="48" w:afterLines="20" w:after="48"/>
              <w:jc w:val="center"/>
              <w:rPr>
                <w:noProof/>
                <w:sz w:val="20"/>
              </w:rPr>
            </w:pPr>
          </w:p>
        </w:tc>
        <w:tc>
          <w:tcPr>
            <w:tcW w:w="497" w:type="pct"/>
            <w:shd w:val="clear" w:color="auto" w:fill="auto"/>
            <w:vAlign w:val="center"/>
          </w:tcPr>
          <w:p w14:paraId="1494C775" w14:textId="77777777" w:rsidR="00F001BC" w:rsidRPr="0032658A" w:rsidRDefault="00F001BC" w:rsidP="005840B3">
            <w:pPr>
              <w:spacing w:beforeLines="20" w:before="48" w:afterLines="20" w:after="48"/>
              <w:jc w:val="center"/>
              <w:rPr>
                <w:noProof/>
                <w:sz w:val="20"/>
              </w:rPr>
            </w:pPr>
          </w:p>
        </w:tc>
        <w:tc>
          <w:tcPr>
            <w:tcW w:w="424" w:type="pct"/>
            <w:shd w:val="clear" w:color="auto" w:fill="auto"/>
            <w:vAlign w:val="center"/>
          </w:tcPr>
          <w:p w14:paraId="2AB48136" w14:textId="77777777" w:rsidR="00F001BC" w:rsidRPr="0032658A" w:rsidRDefault="00F001BC" w:rsidP="005840B3">
            <w:pPr>
              <w:spacing w:beforeLines="20" w:before="48" w:afterLines="20" w:after="48"/>
              <w:jc w:val="center"/>
              <w:rPr>
                <w:noProof/>
                <w:sz w:val="20"/>
              </w:rPr>
            </w:pPr>
          </w:p>
        </w:tc>
        <w:tc>
          <w:tcPr>
            <w:tcW w:w="423" w:type="pct"/>
            <w:shd w:val="clear" w:color="auto" w:fill="auto"/>
            <w:vAlign w:val="center"/>
          </w:tcPr>
          <w:p w14:paraId="69CDC6D0" w14:textId="77777777" w:rsidR="00F001BC" w:rsidRPr="0032658A" w:rsidRDefault="00F001BC" w:rsidP="005840B3">
            <w:pPr>
              <w:spacing w:beforeLines="20" w:before="48" w:afterLines="20" w:after="48"/>
              <w:jc w:val="center"/>
              <w:rPr>
                <w:noProof/>
                <w:sz w:val="20"/>
              </w:rPr>
            </w:pPr>
          </w:p>
        </w:tc>
        <w:tc>
          <w:tcPr>
            <w:tcW w:w="452" w:type="pct"/>
            <w:gridSpan w:val="2"/>
            <w:shd w:val="clear" w:color="auto" w:fill="auto"/>
            <w:vAlign w:val="center"/>
          </w:tcPr>
          <w:p w14:paraId="1650FD5F" w14:textId="77777777" w:rsidR="00F001BC" w:rsidRPr="0032658A" w:rsidRDefault="00F001BC" w:rsidP="005840B3">
            <w:pPr>
              <w:spacing w:beforeLines="20" w:before="48" w:afterLines="20" w:after="48"/>
              <w:jc w:val="center"/>
              <w:rPr>
                <w:noProof/>
                <w:sz w:val="20"/>
              </w:rPr>
            </w:pPr>
          </w:p>
        </w:tc>
      </w:tr>
      <w:tr w:rsidR="00F001BC" w:rsidRPr="0032658A" w14:paraId="5EB722E6" w14:textId="77777777" w:rsidTr="005840B3">
        <w:trPr>
          <w:trHeight w:val="289"/>
          <w:jc w:val="center"/>
        </w:trPr>
        <w:tc>
          <w:tcPr>
            <w:tcW w:w="2043" w:type="pct"/>
            <w:gridSpan w:val="2"/>
            <w:shd w:val="clear" w:color="auto" w:fill="auto"/>
            <w:vAlign w:val="center"/>
          </w:tcPr>
          <w:p w14:paraId="0684B735" w14:textId="77777777" w:rsidR="00F001BC" w:rsidRPr="0032658A" w:rsidRDefault="00F001BC" w:rsidP="005840B3">
            <w:pPr>
              <w:pStyle w:val="Text1"/>
              <w:spacing w:beforeLines="20" w:before="48" w:afterLines="20" w:after="48"/>
              <w:ind w:left="208" w:hanging="120"/>
              <w:jc w:val="left"/>
              <w:rPr>
                <w:noProof/>
                <w:sz w:val="20"/>
              </w:rPr>
            </w:pPr>
            <w:r w:rsidRPr="0032658A">
              <w:rPr>
                <w:b/>
                <w:noProof/>
                <w:sz w:val="20"/>
              </w:rPr>
              <w:sym w:font="Wingdings" w:char="F09F"/>
            </w:r>
            <w:r w:rsidRPr="0032658A">
              <w:rPr>
                <w:b/>
                <w:noProof/>
                <w:sz w:val="20"/>
              </w:rPr>
              <w:t xml:space="preserve"> Išorės darbuotojai (etato ekvivalentų vienetais)</w:t>
            </w:r>
            <w:r w:rsidRPr="0032658A">
              <w:rPr>
                <w:rStyle w:val="FootnoteReference"/>
                <w:b/>
                <w:noProof/>
                <w:sz w:val="20"/>
              </w:rPr>
              <w:footnoteReference w:id="38"/>
            </w:r>
          </w:p>
        </w:tc>
        <w:tc>
          <w:tcPr>
            <w:tcW w:w="377" w:type="pct"/>
            <w:shd w:val="clear" w:color="auto" w:fill="auto"/>
            <w:vAlign w:val="center"/>
          </w:tcPr>
          <w:p w14:paraId="2C751F95" w14:textId="77777777" w:rsidR="00F001BC" w:rsidRPr="0032658A" w:rsidRDefault="00F001BC" w:rsidP="005840B3">
            <w:pPr>
              <w:spacing w:beforeLines="20" w:before="48" w:afterLines="20" w:after="48"/>
              <w:jc w:val="center"/>
              <w:rPr>
                <w:noProof/>
                <w:sz w:val="20"/>
              </w:rPr>
            </w:pPr>
          </w:p>
        </w:tc>
        <w:tc>
          <w:tcPr>
            <w:tcW w:w="377" w:type="pct"/>
            <w:shd w:val="clear" w:color="auto" w:fill="auto"/>
            <w:vAlign w:val="center"/>
          </w:tcPr>
          <w:p w14:paraId="24495ADE" w14:textId="77777777" w:rsidR="00F001BC" w:rsidRPr="0032658A" w:rsidRDefault="00F001BC" w:rsidP="005840B3">
            <w:pPr>
              <w:spacing w:beforeLines="20" w:before="48" w:afterLines="20" w:after="48"/>
              <w:jc w:val="center"/>
              <w:rPr>
                <w:noProof/>
                <w:sz w:val="20"/>
              </w:rPr>
            </w:pPr>
          </w:p>
        </w:tc>
        <w:tc>
          <w:tcPr>
            <w:tcW w:w="406" w:type="pct"/>
            <w:shd w:val="clear" w:color="auto" w:fill="auto"/>
            <w:vAlign w:val="center"/>
          </w:tcPr>
          <w:p w14:paraId="2D2FB1EB" w14:textId="77777777" w:rsidR="00F001BC" w:rsidRPr="0032658A" w:rsidRDefault="00F001BC" w:rsidP="005840B3">
            <w:pPr>
              <w:spacing w:beforeLines="20" w:before="48" w:afterLines="20" w:after="48"/>
              <w:jc w:val="center"/>
              <w:rPr>
                <w:noProof/>
                <w:sz w:val="20"/>
              </w:rPr>
            </w:pPr>
          </w:p>
        </w:tc>
        <w:tc>
          <w:tcPr>
            <w:tcW w:w="497" w:type="pct"/>
            <w:shd w:val="clear" w:color="auto" w:fill="auto"/>
            <w:vAlign w:val="center"/>
          </w:tcPr>
          <w:p w14:paraId="19C951D9" w14:textId="77777777" w:rsidR="00F001BC" w:rsidRPr="0032658A" w:rsidRDefault="00F001BC" w:rsidP="005840B3">
            <w:pPr>
              <w:spacing w:beforeLines="20" w:before="48" w:afterLines="20" w:after="48"/>
              <w:jc w:val="center"/>
              <w:rPr>
                <w:noProof/>
                <w:sz w:val="20"/>
              </w:rPr>
            </w:pPr>
          </w:p>
        </w:tc>
        <w:tc>
          <w:tcPr>
            <w:tcW w:w="424" w:type="pct"/>
            <w:shd w:val="clear" w:color="auto" w:fill="auto"/>
            <w:vAlign w:val="center"/>
          </w:tcPr>
          <w:p w14:paraId="5B55C4A0" w14:textId="77777777" w:rsidR="00F001BC" w:rsidRPr="0032658A" w:rsidRDefault="00F001BC" w:rsidP="005840B3">
            <w:pPr>
              <w:spacing w:beforeLines="20" w:before="48" w:afterLines="20" w:after="48"/>
              <w:jc w:val="center"/>
              <w:rPr>
                <w:noProof/>
                <w:sz w:val="20"/>
              </w:rPr>
            </w:pPr>
          </w:p>
        </w:tc>
        <w:tc>
          <w:tcPr>
            <w:tcW w:w="423" w:type="pct"/>
            <w:shd w:val="clear" w:color="auto" w:fill="auto"/>
            <w:vAlign w:val="center"/>
          </w:tcPr>
          <w:p w14:paraId="04652351" w14:textId="77777777" w:rsidR="00F001BC" w:rsidRPr="0032658A" w:rsidRDefault="00F001BC" w:rsidP="005840B3">
            <w:pPr>
              <w:spacing w:beforeLines="20" w:before="48" w:afterLines="20" w:after="48"/>
              <w:jc w:val="center"/>
              <w:rPr>
                <w:noProof/>
                <w:sz w:val="20"/>
              </w:rPr>
            </w:pPr>
          </w:p>
        </w:tc>
        <w:tc>
          <w:tcPr>
            <w:tcW w:w="452" w:type="pct"/>
            <w:gridSpan w:val="2"/>
            <w:shd w:val="clear" w:color="auto" w:fill="auto"/>
            <w:vAlign w:val="center"/>
          </w:tcPr>
          <w:p w14:paraId="37089133" w14:textId="77777777" w:rsidR="00F001BC" w:rsidRPr="0032658A" w:rsidRDefault="00F001BC" w:rsidP="005840B3">
            <w:pPr>
              <w:spacing w:beforeLines="20" w:before="48" w:afterLines="20" w:after="48"/>
              <w:jc w:val="center"/>
              <w:rPr>
                <w:noProof/>
                <w:sz w:val="20"/>
              </w:rPr>
            </w:pPr>
          </w:p>
        </w:tc>
      </w:tr>
      <w:tr w:rsidR="00F001BC" w:rsidRPr="0032658A" w14:paraId="5866FDE9" w14:textId="77777777" w:rsidTr="005840B3">
        <w:trPr>
          <w:trHeight w:val="289"/>
          <w:jc w:val="center"/>
        </w:trPr>
        <w:tc>
          <w:tcPr>
            <w:tcW w:w="2043" w:type="pct"/>
            <w:gridSpan w:val="2"/>
            <w:shd w:val="clear" w:color="auto" w:fill="auto"/>
            <w:vAlign w:val="center"/>
          </w:tcPr>
          <w:p w14:paraId="32C2B56F" w14:textId="77777777" w:rsidR="00F001BC" w:rsidRPr="0032658A" w:rsidRDefault="00F001BC" w:rsidP="005840B3">
            <w:pPr>
              <w:pStyle w:val="Text1"/>
              <w:spacing w:beforeLines="20" w:before="48" w:afterLines="20" w:after="48"/>
              <w:ind w:left="986"/>
              <w:jc w:val="left"/>
              <w:rPr>
                <w:b/>
                <w:noProof/>
                <w:sz w:val="20"/>
              </w:rPr>
            </w:pPr>
            <w:r w:rsidRPr="0032658A">
              <w:rPr>
                <w:noProof/>
                <w:sz w:val="20"/>
              </w:rPr>
              <w:t>20 02 01 (AC, END, INT finansuojami iš bendrojo biudžeto)</w:t>
            </w:r>
          </w:p>
        </w:tc>
        <w:tc>
          <w:tcPr>
            <w:tcW w:w="377" w:type="pct"/>
            <w:shd w:val="clear" w:color="auto" w:fill="auto"/>
            <w:vAlign w:val="center"/>
          </w:tcPr>
          <w:p w14:paraId="72B74208" w14:textId="77777777" w:rsidR="00F001BC" w:rsidRPr="0032658A" w:rsidRDefault="00F001BC" w:rsidP="005840B3">
            <w:pPr>
              <w:spacing w:beforeLines="20" w:before="48" w:afterLines="20" w:after="48"/>
              <w:jc w:val="center"/>
              <w:rPr>
                <w:noProof/>
                <w:sz w:val="20"/>
              </w:rPr>
            </w:pPr>
          </w:p>
        </w:tc>
        <w:tc>
          <w:tcPr>
            <w:tcW w:w="377" w:type="pct"/>
            <w:shd w:val="clear" w:color="auto" w:fill="auto"/>
            <w:vAlign w:val="center"/>
          </w:tcPr>
          <w:p w14:paraId="7B6D1D85" w14:textId="77777777" w:rsidR="00F001BC" w:rsidRPr="0032658A" w:rsidRDefault="00F001BC" w:rsidP="005840B3">
            <w:pPr>
              <w:spacing w:beforeLines="20" w:before="48" w:afterLines="20" w:after="48"/>
              <w:jc w:val="center"/>
              <w:rPr>
                <w:noProof/>
                <w:sz w:val="20"/>
              </w:rPr>
            </w:pPr>
          </w:p>
        </w:tc>
        <w:tc>
          <w:tcPr>
            <w:tcW w:w="406" w:type="pct"/>
            <w:shd w:val="clear" w:color="auto" w:fill="auto"/>
            <w:vAlign w:val="center"/>
          </w:tcPr>
          <w:p w14:paraId="241277D2" w14:textId="77777777" w:rsidR="00F001BC" w:rsidRPr="0032658A" w:rsidRDefault="00F001BC" w:rsidP="005840B3">
            <w:pPr>
              <w:spacing w:beforeLines="20" w:before="48" w:afterLines="20" w:after="48"/>
              <w:jc w:val="center"/>
              <w:rPr>
                <w:noProof/>
                <w:sz w:val="20"/>
              </w:rPr>
            </w:pPr>
          </w:p>
        </w:tc>
        <w:tc>
          <w:tcPr>
            <w:tcW w:w="497" w:type="pct"/>
            <w:shd w:val="clear" w:color="auto" w:fill="auto"/>
            <w:vAlign w:val="center"/>
          </w:tcPr>
          <w:p w14:paraId="738B7A8B" w14:textId="77777777" w:rsidR="00F001BC" w:rsidRPr="0032658A" w:rsidRDefault="00F001BC" w:rsidP="005840B3">
            <w:pPr>
              <w:spacing w:beforeLines="20" w:before="48" w:afterLines="20" w:after="48"/>
              <w:jc w:val="center"/>
              <w:rPr>
                <w:noProof/>
                <w:sz w:val="20"/>
              </w:rPr>
            </w:pPr>
          </w:p>
        </w:tc>
        <w:tc>
          <w:tcPr>
            <w:tcW w:w="424" w:type="pct"/>
            <w:shd w:val="clear" w:color="auto" w:fill="auto"/>
            <w:vAlign w:val="center"/>
          </w:tcPr>
          <w:p w14:paraId="48E91CBC" w14:textId="77777777" w:rsidR="00F001BC" w:rsidRPr="0032658A" w:rsidRDefault="00F001BC" w:rsidP="005840B3">
            <w:pPr>
              <w:spacing w:beforeLines="20" w:before="48" w:afterLines="20" w:after="48"/>
              <w:jc w:val="center"/>
              <w:rPr>
                <w:noProof/>
                <w:sz w:val="20"/>
              </w:rPr>
            </w:pPr>
          </w:p>
        </w:tc>
        <w:tc>
          <w:tcPr>
            <w:tcW w:w="423" w:type="pct"/>
            <w:shd w:val="clear" w:color="auto" w:fill="auto"/>
            <w:vAlign w:val="center"/>
          </w:tcPr>
          <w:p w14:paraId="3200240D" w14:textId="77777777" w:rsidR="00F001BC" w:rsidRPr="0032658A" w:rsidRDefault="00F001BC" w:rsidP="005840B3">
            <w:pPr>
              <w:spacing w:beforeLines="20" w:before="48" w:afterLines="20" w:after="48"/>
              <w:jc w:val="center"/>
              <w:rPr>
                <w:noProof/>
                <w:sz w:val="20"/>
              </w:rPr>
            </w:pPr>
          </w:p>
        </w:tc>
        <w:tc>
          <w:tcPr>
            <w:tcW w:w="452" w:type="pct"/>
            <w:gridSpan w:val="2"/>
            <w:shd w:val="clear" w:color="auto" w:fill="auto"/>
            <w:vAlign w:val="center"/>
          </w:tcPr>
          <w:p w14:paraId="4A73D2B3" w14:textId="77777777" w:rsidR="00F001BC" w:rsidRPr="0032658A" w:rsidRDefault="00F001BC" w:rsidP="005840B3">
            <w:pPr>
              <w:spacing w:beforeLines="20" w:before="48" w:afterLines="20" w:after="48"/>
              <w:jc w:val="center"/>
              <w:rPr>
                <w:noProof/>
                <w:sz w:val="20"/>
              </w:rPr>
            </w:pPr>
          </w:p>
        </w:tc>
      </w:tr>
      <w:tr w:rsidR="00F001BC" w:rsidRPr="0032658A" w14:paraId="285A000B" w14:textId="77777777" w:rsidTr="005840B3">
        <w:trPr>
          <w:trHeight w:val="289"/>
          <w:jc w:val="center"/>
        </w:trPr>
        <w:tc>
          <w:tcPr>
            <w:tcW w:w="2043" w:type="pct"/>
            <w:gridSpan w:val="2"/>
            <w:shd w:val="clear" w:color="auto" w:fill="auto"/>
            <w:vAlign w:val="center"/>
          </w:tcPr>
          <w:p w14:paraId="0227A82B" w14:textId="77777777" w:rsidR="00F001BC" w:rsidRPr="0032658A" w:rsidRDefault="00F001BC" w:rsidP="005840B3">
            <w:pPr>
              <w:pStyle w:val="Text1"/>
              <w:spacing w:beforeLines="20" w:before="48" w:afterLines="20" w:after="48"/>
              <w:ind w:left="986"/>
              <w:jc w:val="left"/>
              <w:rPr>
                <w:noProof/>
                <w:sz w:val="20"/>
              </w:rPr>
            </w:pPr>
            <w:r w:rsidRPr="0032658A">
              <w:rPr>
                <w:noProof/>
                <w:sz w:val="20"/>
              </w:rPr>
              <w:t>20 02 03 (AC, AL, END, INT ir JPD atstovybėse)</w:t>
            </w:r>
          </w:p>
        </w:tc>
        <w:tc>
          <w:tcPr>
            <w:tcW w:w="377" w:type="pct"/>
            <w:shd w:val="clear" w:color="auto" w:fill="auto"/>
            <w:vAlign w:val="center"/>
          </w:tcPr>
          <w:p w14:paraId="466B28E7" w14:textId="77777777" w:rsidR="00F001BC" w:rsidRPr="0032658A" w:rsidRDefault="00F001BC" w:rsidP="005840B3">
            <w:pPr>
              <w:spacing w:beforeLines="20" w:before="48" w:afterLines="20" w:after="48"/>
              <w:jc w:val="center"/>
              <w:rPr>
                <w:noProof/>
                <w:sz w:val="20"/>
              </w:rPr>
            </w:pPr>
          </w:p>
        </w:tc>
        <w:tc>
          <w:tcPr>
            <w:tcW w:w="377" w:type="pct"/>
            <w:shd w:val="clear" w:color="auto" w:fill="auto"/>
            <w:vAlign w:val="center"/>
          </w:tcPr>
          <w:p w14:paraId="180CF100" w14:textId="77777777" w:rsidR="00F001BC" w:rsidRPr="0032658A" w:rsidRDefault="00F001BC" w:rsidP="005840B3">
            <w:pPr>
              <w:spacing w:beforeLines="20" w:before="48" w:afterLines="20" w:after="48"/>
              <w:jc w:val="center"/>
              <w:rPr>
                <w:noProof/>
                <w:sz w:val="20"/>
              </w:rPr>
            </w:pPr>
          </w:p>
        </w:tc>
        <w:tc>
          <w:tcPr>
            <w:tcW w:w="406" w:type="pct"/>
            <w:shd w:val="clear" w:color="auto" w:fill="auto"/>
            <w:vAlign w:val="center"/>
          </w:tcPr>
          <w:p w14:paraId="438657A1" w14:textId="77777777" w:rsidR="00F001BC" w:rsidRPr="0032658A" w:rsidRDefault="00F001BC" w:rsidP="005840B3">
            <w:pPr>
              <w:spacing w:beforeLines="20" w:before="48" w:afterLines="20" w:after="48"/>
              <w:jc w:val="center"/>
              <w:rPr>
                <w:noProof/>
                <w:sz w:val="20"/>
              </w:rPr>
            </w:pPr>
          </w:p>
        </w:tc>
        <w:tc>
          <w:tcPr>
            <w:tcW w:w="497" w:type="pct"/>
            <w:shd w:val="clear" w:color="auto" w:fill="auto"/>
            <w:vAlign w:val="center"/>
          </w:tcPr>
          <w:p w14:paraId="13DC9209" w14:textId="77777777" w:rsidR="00F001BC" w:rsidRPr="0032658A" w:rsidRDefault="00F001BC" w:rsidP="005840B3">
            <w:pPr>
              <w:spacing w:beforeLines="20" w:before="48" w:afterLines="20" w:after="48"/>
              <w:jc w:val="center"/>
              <w:rPr>
                <w:noProof/>
                <w:sz w:val="20"/>
              </w:rPr>
            </w:pPr>
          </w:p>
        </w:tc>
        <w:tc>
          <w:tcPr>
            <w:tcW w:w="424" w:type="pct"/>
            <w:shd w:val="clear" w:color="auto" w:fill="auto"/>
            <w:vAlign w:val="center"/>
          </w:tcPr>
          <w:p w14:paraId="0FDB0EE2" w14:textId="77777777" w:rsidR="00F001BC" w:rsidRPr="0032658A" w:rsidRDefault="00F001BC" w:rsidP="005840B3">
            <w:pPr>
              <w:spacing w:beforeLines="20" w:before="48" w:afterLines="20" w:after="48"/>
              <w:jc w:val="center"/>
              <w:rPr>
                <w:noProof/>
                <w:sz w:val="20"/>
              </w:rPr>
            </w:pPr>
          </w:p>
        </w:tc>
        <w:tc>
          <w:tcPr>
            <w:tcW w:w="423" w:type="pct"/>
            <w:shd w:val="clear" w:color="auto" w:fill="auto"/>
            <w:vAlign w:val="center"/>
          </w:tcPr>
          <w:p w14:paraId="61D69CA3" w14:textId="77777777" w:rsidR="00F001BC" w:rsidRPr="0032658A" w:rsidRDefault="00F001BC" w:rsidP="005840B3">
            <w:pPr>
              <w:spacing w:beforeLines="20" w:before="48" w:afterLines="20" w:after="48"/>
              <w:jc w:val="center"/>
              <w:rPr>
                <w:noProof/>
                <w:sz w:val="20"/>
              </w:rPr>
            </w:pPr>
          </w:p>
        </w:tc>
        <w:tc>
          <w:tcPr>
            <w:tcW w:w="452" w:type="pct"/>
            <w:gridSpan w:val="2"/>
            <w:shd w:val="clear" w:color="auto" w:fill="auto"/>
            <w:vAlign w:val="center"/>
          </w:tcPr>
          <w:p w14:paraId="0143FD53" w14:textId="77777777" w:rsidR="00F001BC" w:rsidRPr="0032658A" w:rsidRDefault="00F001BC" w:rsidP="005840B3">
            <w:pPr>
              <w:spacing w:beforeLines="20" w:before="48" w:afterLines="20" w:after="48"/>
              <w:jc w:val="center"/>
              <w:rPr>
                <w:noProof/>
                <w:sz w:val="20"/>
              </w:rPr>
            </w:pPr>
          </w:p>
        </w:tc>
      </w:tr>
      <w:tr w:rsidR="00F001BC" w:rsidRPr="0032658A" w14:paraId="005EAE22" w14:textId="77777777" w:rsidTr="005840B3">
        <w:trPr>
          <w:trHeight w:val="289"/>
          <w:jc w:val="center"/>
        </w:trPr>
        <w:tc>
          <w:tcPr>
            <w:tcW w:w="1018" w:type="pct"/>
            <w:vMerge w:val="restart"/>
            <w:shd w:val="clear" w:color="auto" w:fill="auto"/>
            <w:vAlign w:val="center"/>
          </w:tcPr>
          <w:p w14:paraId="1FC063E4" w14:textId="77777777" w:rsidR="00F001BC" w:rsidRPr="0032658A" w:rsidRDefault="00F001BC" w:rsidP="005840B3">
            <w:pPr>
              <w:pStyle w:val="Text1"/>
              <w:spacing w:beforeLines="20" w:before="48" w:afterLines="20" w:after="48"/>
              <w:ind w:left="986"/>
              <w:jc w:val="left"/>
              <w:rPr>
                <w:b/>
                <w:noProof/>
                <w:sz w:val="20"/>
              </w:rPr>
            </w:pPr>
            <w:r w:rsidRPr="0032658A">
              <w:rPr>
                <w:noProof/>
                <w:sz w:val="20"/>
              </w:rPr>
              <w:t>Biudžeto eilutė (-ės) (nurodyti)</w:t>
            </w:r>
            <w:r w:rsidRPr="0032658A">
              <w:rPr>
                <w:b/>
                <w:noProof/>
                <w:sz w:val="20"/>
              </w:rPr>
              <w:t xml:space="preserve"> </w:t>
            </w:r>
            <w:r w:rsidRPr="0032658A">
              <w:rPr>
                <w:rStyle w:val="FootnoteReference"/>
                <w:b/>
                <w:noProof/>
                <w:sz w:val="20"/>
              </w:rPr>
              <w:footnoteReference w:id="39"/>
            </w:r>
          </w:p>
        </w:tc>
        <w:tc>
          <w:tcPr>
            <w:tcW w:w="1025" w:type="pct"/>
            <w:shd w:val="clear" w:color="auto" w:fill="auto"/>
            <w:vAlign w:val="center"/>
          </w:tcPr>
          <w:p w14:paraId="32C4E228" w14:textId="77777777" w:rsidR="00F001BC" w:rsidRPr="0032658A" w:rsidRDefault="00F001BC" w:rsidP="005840B3">
            <w:pPr>
              <w:pStyle w:val="Text1"/>
              <w:spacing w:beforeLines="20" w:before="48" w:afterLines="20" w:after="48"/>
              <w:ind w:left="598"/>
              <w:jc w:val="left"/>
              <w:rPr>
                <w:b/>
                <w:noProof/>
                <w:sz w:val="20"/>
              </w:rPr>
            </w:pPr>
            <w:r w:rsidRPr="0032658A">
              <w:rPr>
                <w:noProof/>
                <w:sz w:val="20"/>
              </w:rPr>
              <w:t>- būstinėje</w:t>
            </w:r>
            <w:r w:rsidRPr="0032658A">
              <w:rPr>
                <w:rStyle w:val="FootnoteReference"/>
                <w:noProof/>
                <w:sz w:val="20"/>
              </w:rPr>
              <w:footnoteReference w:id="40"/>
            </w:r>
            <w:r w:rsidRPr="0032658A">
              <w:rPr>
                <w:noProof/>
              </w:rPr>
              <w:t xml:space="preserve"> </w:t>
            </w:r>
            <w:r w:rsidRPr="0032658A">
              <w:rPr>
                <w:noProof/>
              </w:rPr>
              <w:br/>
            </w:r>
          </w:p>
        </w:tc>
        <w:tc>
          <w:tcPr>
            <w:tcW w:w="377" w:type="pct"/>
            <w:shd w:val="clear" w:color="auto" w:fill="auto"/>
            <w:vAlign w:val="center"/>
          </w:tcPr>
          <w:p w14:paraId="4624DCD4" w14:textId="77777777" w:rsidR="00F001BC" w:rsidRPr="0032658A" w:rsidRDefault="00F001BC" w:rsidP="005840B3">
            <w:pPr>
              <w:pStyle w:val="Text1"/>
              <w:spacing w:beforeLines="20" w:before="48" w:afterLines="20" w:after="48"/>
              <w:rPr>
                <w:noProof/>
                <w:sz w:val="20"/>
              </w:rPr>
            </w:pPr>
          </w:p>
        </w:tc>
        <w:tc>
          <w:tcPr>
            <w:tcW w:w="377" w:type="pct"/>
            <w:shd w:val="clear" w:color="auto" w:fill="auto"/>
            <w:vAlign w:val="center"/>
          </w:tcPr>
          <w:p w14:paraId="0F388D5E" w14:textId="77777777" w:rsidR="00F001BC" w:rsidRPr="0032658A" w:rsidRDefault="00F001BC" w:rsidP="005840B3">
            <w:pPr>
              <w:spacing w:beforeLines="20" w:before="48" w:afterLines="20" w:after="48"/>
              <w:jc w:val="center"/>
              <w:rPr>
                <w:noProof/>
                <w:sz w:val="20"/>
              </w:rPr>
            </w:pPr>
          </w:p>
        </w:tc>
        <w:tc>
          <w:tcPr>
            <w:tcW w:w="406" w:type="pct"/>
            <w:shd w:val="clear" w:color="auto" w:fill="auto"/>
            <w:vAlign w:val="center"/>
          </w:tcPr>
          <w:p w14:paraId="079410F0" w14:textId="77777777" w:rsidR="00F001BC" w:rsidRPr="0032658A" w:rsidRDefault="00F001BC" w:rsidP="005840B3">
            <w:pPr>
              <w:spacing w:beforeLines="20" w:before="48" w:afterLines="20" w:after="48"/>
              <w:jc w:val="center"/>
              <w:rPr>
                <w:noProof/>
                <w:sz w:val="20"/>
              </w:rPr>
            </w:pPr>
          </w:p>
        </w:tc>
        <w:tc>
          <w:tcPr>
            <w:tcW w:w="497" w:type="pct"/>
            <w:shd w:val="clear" w:color="auto" w:fill="auto"/>
            <w:vAlign w:val="center"/>
          </w:tcPr>
          <w:p w14:paraId="565A8D18" w14:textId="77777777" w:rsidR="00F001BC" w:rsidRPr="0032658A" w:rsidRDefault="00F001BC" w:rsidP="005840B3">
            <w:pPr>
              <w:spacing w:beforeLines="20" w:before="48" w:afterLines="20" w:after="48"/>
              <w:jc w:val="center"/>
              <w:rPr>
                <w:noProof/>
                <w:sz w:val="20"/>
              </w:rPr>
            </w:pPr>
          </w:p>
        </w:tc>
        <w:tc>
          <w:tcPr>
            <w:tcW w:w="424" w:type="pct"/>
            <w:shd w:val="clear" w:color="auto" w:fill="auto"/>
            <w:vAlign w:val="center"/>
          </w:tcPr>
          <w:p w14:paraId="6AE3BD9D" w14:textId="77777777" w:rsidR="00F001BC" w:rsidRPr="0032658A" w:rsidRDefault="00F001BC" w:rsidP="005840B3">
            <w:pPr>
              <w:spacing w:beforeLines="20" w:before="48" w:afterLines="20" w:after="48"/>
              <w:jc w:val="center"/>
              <w:rPr>
                <w:noProof/>
                <w:sz w:val="20"/>
              </w:rPr>
            </w:pPr>
          </w:p>
        </w:tc>
        <w:tc>
          <w:tcPr>
            <w:tcW w:w="423" w:type="pct"/>
            <w:shd w:val="clear" w:color="auto" w:fill="auto"/>
            <w:vAlign w:val="center"/>
          </w:tcPr>
          <w:p w14:paraId="3DEE1F74" w14:textId="77777777" w:rsidR="00F001BC" w:rsidRPr="0032658A" w:rsidRDefault="00F001BC" w:rsidP="005840B3">
            <w:pPr>
              <w:spacing w:beforeLines="20" w:before="48" w:afterLines="20" w:after="48"/>
              <w:jc w:val="center"/>
              <w:rPr>
                <w:noProof/>
                <w:sz w:val="20"/>
              </w:rPr>
            </w:pPr>
          </w:p>
        </w:tc>
        <w:tc>
          <w:tcPr>
            <w:tcW w:w="452" w:type="pct"/>
            <w:gridSpan w:val="2"/>
            <w:shd w:val="clear" w:color="auto" w:fill="auto"/>
            <w:vAlign w:val="center"/>
          </w:tcPr>
          <w:p w14:paraId="733982E0" w14:textId="77777777" w:rsidR="00F001BC" w:rsidRPr="0032658A" w:rsidRDefault="00F001BC" w:rsidP="005840B3">
            <w:pPr>
              <w:spacing w:beforeLines="20" w:before="48" w:afterLines="20" w:after="48"/>
              <w:jc w:val="center"/>
              <w:rPr>
                <w:noProof/>
                <w:sz w:val="20"/>
              </w:rPr>
            </w:pPr>
          </w:p>
        </w:tc>
      </w:tr>
      <w:tr w:rsidR="00F001BC" w:rsidRPr="0032658A" w14:paraId="1047ED51" w14:textId="77777777" w:rsidTr="005840B3">
        <w:trPr>
          <w:trHeight w:val="289"/>
          <w:jc w:val="center"/>
        </w:trPr>
        <w:tc>
          <w:tcPr>
            <w:tcW w:w="1018" w:type="pct"/>
            <w:vMerge/>
            <w:shd w:val="clear" w:color="auto" w:fill="auto"/>
            <w:vAlign w:val="center"/>
          </w:tcPr>
          <w:p w14:paraId="4B4B1169" w14:textId="77777777" w:rsidR="00F001BC" w:rsidRPr="0032658A" w:rsidRDefault="00F001BC" w:rsidP="005840B3">
            <w:pPr>
              <w:rPr>
                <w:b/>
                <w:noProof/>
                <w:sz w:val="20"/>
              </w:rPr>
            </w:pPr>
          </w:p>
        </w:tc>
        <w:tc>
          <w:tcPr>
            <w:tcW w:w="1025" w:type="pct"/>
            <w:shd w:val="clear" w:color="auto" w:fill="auto"/>
            <w:vAlign w:val="center"/>
          </w:tcPr>
          <w:p w14:paraId="19E7D8CB" w14:textId="77777777" w:rsidR="00F001BC" w:rsidRPr="0032658A" w:rsidRDefault="00F001BC" w:rsidP="005840B3">
            <w:pPr>
              <w:pStyle w:val="Text1"/>
              <w:spacing w:beforeLines="20" w:before="48" w:afterLines="20" w:after="48"/>
              <w:ind w:left="598"/>
              <w:jc w:val="left"/>
              <w:rPr>
                <w:b/>
                <w:noProof/>
                <w:sz w:val="20"/>
              </w:rPr>
            </w:pPr>
            <w:r w:rsidRPr="0032658A">
              <w:rPr>
                <w:noProof/>
                <w:sz w:val="20"/>
              </w:rPr>
              <w:t xml:space="preserve">- delegacijose </w:t>
            </w:r>
          </w:p>
        </w:tc>
        <w:tc>
          <w:tcPr>
            <w:tcW w:w="377" w:type="pct"/>
            <w:shd w:val="clear" w:color="auto" w:fill="auto"/>
            <w:vAlign w:val="center"/>
          </w:tcPr>
          <w:p w14:paraId="6E7497F8" w14:textId="77777777" w:rsidR="00F001BC" w:rsidRPr="0032658A" w:rsidRDefault="00F001BC" w:rsidP="005840B3">
            <w:pPr>
              <w:pStyle w:val="Text1"/>
              <w:spacing w:beforeLines="20" w:before="48" w:afterLines="20" w:after="48"/>
              <w:rPr>
                <w:noProof/>
                <w:sz w:val="20"/>
              </w:rPr>
            </w:pPr>
          </w:p>
        </w:tc>
        <w:tc>
          <w:tcPr>
            <w:tcW w:w="377" w:type="pct"/>
            <w:shd w:val="clear" w:color="auto" w:fill="auto"/>
            <w:vAlign w:val="center"/>
          </w:tcPr>
          <w:p w14:paraId="09F6F617" w14:textId="77777777" w:rsidR="00F001BC" w:rsidRPr="0032658A" w:rsidRDefault="00F001BC" w:rsidP="005840B3">
            <w:pPr>
              <w:spacing w:beforeLines="20" w:before="48" w:afterLines="20" w:after="48"/>
              <w:jc w:val="center"/>
              <w:rPr>
                <w:noProof/>
                <w:sz w:val="20"/>
              </w:rPr>
            </w:pPr>
          </w:p>
        </w:tc>
        <w:tc>
          <w:tcPr>
            <w:tcW w:w="406" w:type="pct"/>
            <w:shd w:val="clear" w:color="auto" w:fill="auto"/>
            <w:vAlign w:val="center"/>
          </w:tcPr>
          <w:p w14:paraId="624B8088" w14:textId="77777777" w:rsidR="00F001BC" w:rsidRPr="0032658A" w:rsidRDefault="00F001BC" w:rsidP="005840B3">
            <w:pPr>
              <w:spacing w:beforeLines="20" w:before="48" w:afterLines="20" w:after="48"/>
              <w:jc w:val="center"/>
              <w:rPr>
                <w:noProof/>
                <w:sz w:val="20"/>
              </w:rPr>
            </w:pPr>
          </w:p>
        </w:tc>
        <w:tc>
          <w:tcPr>
            <w:tcW w:w="497" w:type="pct"/>
            <w:shd w:val="clear" w:color="auto" w:fill="auto"/>
            <w:vAlign w:val="center"/>
          </w:tcPr>
          <w:p w14:paraId="058ED9BF" w14:textId="77777777" w:rsidR="00F001BC" w:rsidRPr="0032658A" w:rsidRDefault="00F001BC" w:rsidP="005840B3">
            <w:pPr>
              <w:spacing w:beforeLines="20" w:before="48" w:afterLines="20" w:after="48"/>
              <w:jc w:val="center"/>
              <w:rPr>
                <w:noProof/>
                <w:sz w:val="20"/>
              </w:rPr>
            </w:pPr>
          </w:p>
        </w:tc>
        <w:tc>
          <w:tcPr>
            <w:tcW w:w="424" w:type="pct"/>
            <w:shd w:val="clear" w:color="auto" w:fill="auto"/>
            <w:vAlign w:val="center"/>
          </w:tcPr>
          <w:p w14:paraId="54441CEC" w14:textId="77777777" w:rsidR="00F001BC" w:rsidRPr="0032658A" w:rsidRDefault="00F001BC" w:rsidP="005840B3">
            <w:pPr>
              <w:spacing w:beforeLines="20" w:before="48" w:afterLines="20" w:after="48"/>
              <w:jc w:val="center"/>
              <w:rPr>
                <w:noProof/>
                <w:sz w:val="20"/>
              </w:rPr>
            </w:pPr>
          </w:p>
        </w:tc>
        <w:tc>
          <w:tcPr>
            <w:tcW w:w="423" w:type="pct"/>
            <w:shd w:val="clear" w:color="auto" w:fill="auto"/>
            <w:vAlign w:val="center"/>
          </w:tcPr>
          <w:p w14:paraId="54166DD6" w14:textId="77777777" w:rsidR="00F001BC" w:rsidRPr="0032658A" w:rsidRDefault="00F001BC" w:rsidP="005840B3">
            <w:pPr>
              <w:spacing w:beforeLines="20" w:before="48" w:afterLines="20" w:after="48"/>
              <w:jc w:val="center"/>
              <w:rPr>
                <w:noProof/>
                <w:sz w:val="20"/>
              </w:rPr>
            </w:pPr>
          </w:p>
        </w:tc>
        <w:tc>
          <w:tcPr>
            <w:tcW w:w="452" w:type="pct"/>
            <w:gridSpan w:val="2"/>
            <w:shd w:val="clear" w:color="auto" w:fill="auto"/>
            <w:vAlign w:val="center"/>
          </w:tcPr>
          <w:p w14:paraId="7B809E5A" w14:textId="77777777" w:rsidR="00F001BC" w:rsidRPr="0032658A" w:rsidRDefault="00F001BC" w:rsidP="005840B3">
            <w:pPr>
              <w:spacing w:beforeLines="20" w:before="48" w:afterLines="20" w:after="48"/>
              <w:jc w:val="center"/>
              <w:rPr>
                <w:noProof/>
                <w:sz w:val="20"/>
              </w:rPr>
            </w:pPr>
          </w:p>
        </w:tc>
      </w:tr>
      <w:tr w:rsidR="00F001BC" w:rsidRPr="0032658A" w14:paraId="1B6480A9" w14:textId="77777777" w:rsidTr="005840B3">
        <w:trPr>
          <w:trHeight w:val="289"/>
          <w:jc w:val="center"/>
        </w:trPr>
        <w:tc>
          <w:tcPr>
            <w:tcW w:w="2043" w:type="pct"/>
            <w:gridSpan w:val="2"/>
            <w:shd w:val="clear" w:color="auto" w:fill="auto"/>
            <w:vAlign w:val="center"/>
          </w:tcPr>
          <w:p w14:paraId="3267F167" w14:textId="77777777" w:rsidR="00F001BC" w:rsidRPr="0032658A" w:rsidRDefault="00F001BC" w:rsidP="005840B3">
            <w:pPr>
              <w:pStyle w:val="Text1"/>
              <w:spacing w:beforeLines="20" w:before="48" w:afterLines="20" w:after="48"/>
              <w:ind w:left="986"/>
              <w:jc w:val="left"/>
              <w:rPr>
                <w:noProof/>
                <w:sz w:val="20"/>
              </w:rPr>
            </w:pPr>
            <w:r w:rsidRPr="0032658A">
              <w:rPr>
                <w:b/>
                <w:noProof/>
                <w:sz w:val="20"/>
              </w:rPr>
              <w:t>01 01 01 02</w:t>
            </w:r>
            <w:r w:rsidRPr="0032658A">
              <w:rPr>
                <w:noProof/>
                <w:sz w:val="20"/>
              </w:rPr>
              <w:t xml:space="preserve"> (AC, END, INT – netiesioginiai moksliniai tyrimai)</w:t>
            </w:r>
          </w:p>
        </w:tc>
        <w:tc>
          <w:tcPr>
            <w:tcW w:w="377" w:type="pct"/>
            <w:shd w:val="clear" w:color="auto" w:fill="auto"/>
            <w:vAlign w:val="center"/>
          </w:tcPr>
          <w:p w14:paraId="58A4C001" w14:textId="77777777" w:rsidR="00F001BC" w:rsidRPr="0032658A" w:rsidRDefault="00F001BC" w:rsidP="005840B3">
            <w:pPr>
              <w:spacing w:beforeLines="20" w:before="48" w:afterLines="20" w:after="48"/>
              <w:jc w:val="center"/>
              <w:rPr>
                <w:noProof/>
                <w:sz w:val="20"/>
              </w:rPr>
            </w:pPr>
          </w:p>
        </w:tc>
        <w:tc>
          <w:tcPr>
            <w:tcW w:w="377" w:type="pct"/>
            <w:shd w:val="clear" w:color="auto" w:fill="auto"/>
            <w:vAlign w:val="center"/>
          </w:tcPr>
          <w:p w14:paraId="4366BA0F" w14:textId="77777777" w:rsidR="00F001BC" w:rsidRPr="0032658A" w:rsidRDefault="00F001BC" w:rsidP="005840B3">
            <w:pPr>
              <w:spacing w:beforeLines="20" w:before="48" w:afterLines="20" w:after="48"/>
              <w:jc w:val="center"/>
              <w:rPr>
                <w:noProof/>
                <w:sz w:val="20"/>
              </w:rPr>
            </w:pPr>
          </w:p>
        </w:tc>
        <w:tc>
          <w:tcPr>
            <w:tcW w:w="406" w:type="pct"/>
            <w:shd w:val="clear" w:color="auto" w:fill="auto"/>
            <w:vAlign w:val="center"/>
          </w:tcPr>
          <w:p w14:paraId="56FCA72B" w14:textId="77777777" w:rsidR="00F001BC" w:rsidRPr="0032658A" w:rsidRDefault="00F001BC" w:rsidP="005840B3">
            <w:pPr>
              <w:spacing w:beforeLines="20" w:before="48" w:afterLines="20" w:after="48"/>
              <w:jc w:val="center"/>
              <w:rPr>
                <w:noProof/>
                <w:sz w:val="20"/>
              </w:rPr>
            </w:pPr>
          </w:p>
        </w:tc>
        <w:tc>
          <w:tcPr>
            <w:tcW w:w="497" w:type="pct"/>
            <w:shd w:val="clear" w:color="auto" w:fill="auto"/>
            <w:vAlign w:val="center"/>
          </w:tcPr>
          <w:p w14:paraId="35A5EEAB" w14:textId="77777777" w:rsidR="00F001BC" w:rsidRPr="0032658A" w:rsidRDefault="00F001BC" w:rsidP="005840B3">
            <w:pPr>
              <w:spacing w:beforeLines="20" w:before="48" w:afterLines="20" w:after="48"/>
              <w:jc w:val="center"/>
              <w:rPr>
                <w:noProof/>
                <w:sz w:val="20"/>
              </w:rPr>
            </w:pPr>
          </w:p>
        </w:tc>
        <w:tc>
          <w:tcPr>
            <w:tcW w:w="424" w:type="pct"/>
            <w:shd w:val="clear" w:color="auto" w:fill="auto"/>
            <w:vAlign w:val="center"/>
          </w:tcPr>
          <w:p w14:paraId="39C1EBFD" w14:textId="77777777" w:rsidR="00F001BC" w:rsidRPr="0032658A" w:rsidRDefault="00F001BC" w:rsidP="005840B3">
            <w:pPr>
              <w:spacing w:beforeLines="20" w:before="48" w:afterLines="20" w:after="48"/>
              <w:jc w:val="center"/>
              <w:rPr>
                <w:noProof/>
                <w:sz w:val="20"/>
              </w:rPr>
            </w:pPr>
          </w:p>
        </w:tc>
        <w:tc>
          <w:tcPr>
            <w:tcW w:w="423" w:type="pct"/>
            <w:shd w:val="clear" w:color="auto" w:fill="auto"/>
            <w:vAlign w:val="center"/>
          </w:tcPr>
          <w:p w14:paraId="5F8728E4" w14:textId="77777777" w:rsidR="00F001BC" w:rsidRPr="0032658A" w:rsidRDefault="00F001BC" w:rsidP="005840B3">
            <w:pPr>
              <w:spacing w:beforeLines="20" w:before="48" w:afterLines="20" w:after="48"/>
              <w:jc w:val="center"/>
              <w:rPr>
                <w:noProof/>
                <w:sz w:val="20"/>
              </w:rPr>
            </w:pPr>
          </w:p>
        </w:tc>
        <w:tc>
          <w:tcPr>
            <w:tcW w:w="452" w:type="pct"/>
            <w:gridSpan w:val="2"/>
            <w:shd w:val="clear" w:color="auto" w:fill="auto"/>
            <w:vAlign w:val="center"/>
          </w:tcPr>
          <w:p w14:paraId="5F38A6D1" w14:textId="77777777" w:rsidR="00F001BC" w:rsidRPr="0032658A" w:rsidRDefault="00F001BC" w:rsidP="005840B3">
            <w:pPr>
              <w:spacing w:beforeLines="20" w:before="48" w:afterLines="20" w:after="48"/>
              <w:jc w:val="center"/>
              <w:rPr>
                <w:noProof/>
                <w:sz w:val="20"/>
              </w:rPr>
            </w:pPr>
          </w:p>
        </w:tc>
      </w:tr>
      <w:tr w:rsidR="00F001BC" w:rsidRPr="0032658A" w14:paraId="2385390E" w14:textId="77777777" w:rsidTr="005840B3">
        <w:trPr>
          <w:trHeight w:val="289"/>
          <w:jc w:val="center"/>
        </w:trPr>
        <w:tc>
          <w:tcPr>
            <w:tcW w:w="2043" w:type="pct"/>
            <w:gridSpan w:val="2"/>
            <w:shd w:val="clear" w:color="auto" w:fill="auto"/>
            <w:vAlign w:val="center"/>
          </w:tcPr>
          <w:p w14:paraId="79A899F9" w14:textId="77777777" w:rsidR="00F001BC" w:rsidRPr="0032658A" w:rsidRDefault="00F001BC" w:rsidP="005840B3">
            <w:pPr>
              <w:pStyle w:val="Text1"/>
              <w:spacing w:beforeLines="20" w:before="48" w:afterLines="20" w:after="48"/>
              <w:ind w:left="986"/>
              <w:jc w:val="left"/>
              <w:rPr>
                <w:noProof/>
                <w:sz w:val="20"/>
              </w:rPr>
            </w:pPr>
            <w:r w:rsidRPr="0032658A">
              <w:rPr>
                <w:noProof/>
                <w:sz w:val="20"/>
              </w:rPr>
              <w:t>10 01 05 02 (AC, END, INT – tiesioginiai moksliniai tyrimai)</w:t>
            </w:r>
          </w:p>
        </w:tc>
        <w:tc>
          <w:tcPr>
            <w:tcW w:w="377" w:type="pct"/>
            <w:shd w:val="clear" w:color="auto" w:fill="auto"/>
            <w:vAlign w:val="center"/>
          </w:tcPr>
          <w:p w14:paraId="5427E9B4" w14:textId="77777777" w:rsidR="00F001BC" w:rsidRPr="0032658A" w:rsidRDefault="00F001BC" w:rsidP="005840B3">
            <w:pPr>
              <w:spacing w:beforeLines="20" w:before="48" w:afterLines="20" w:after="48"/>
              <w:jc w:val="center"/>
              <w:rPr>
                <w:noProof/>
                <w:sz w:val="20"/>
              </w:rPr>
            </w:pPr>
          </w:p>
        </w:tc>
        <w:tc>
          <w:tcPr>
            <w:tcW w:w="377" w:type="pct"/>
            <w:shd w:val="clear" w:color="auto" w:fill="auto"/>
            <w:vAlign w:val="center"/>
          </w:tcPr>
          <w:p w14:paraId="1A3D8F29" w14:textId="77777777" w:rsidR="00F001BC" w:rsidRPr="0032658A" w:rsidRDefault="00F001BC" w:rsidP="005840B3">
            <w:pPr>
              <w:spacing w:beforeLines="20" w:before="48" w:afterLines="20" w:after="48"/>
              <w:jc w:val="center"/>
              <w:rPr>
                <w:noProof/>
                <w:sz w:val="20"/>
              </w:rPr>
            </w:pPr>
          </w:p>
        </w:tc>
        <w:tc>
          <w:tcPr>
            <w:tcW w:w="406" w:type="pct"/>
            <w:shd w:val="clear" w:color="auto" w:fill="auto"/>
            <w:vAlign w:val="center"/>
          </w:tcPr>
          <w:p w14:paraId="46A9D988" w14:textId="77777777" w:rsidR="00F001BC" w:rsidRPr="0032658A" w:rsidRDefault="00F001BC" w:rsidP="005840B3">
            <w:pPr>
              <w:spacing w:beforeLines="20" w:before="48" w:afterLines="20" w:after="48"/>
              <w:jc w:val="center"/>
              <w:rPr>
                <w:noProof/>
                <w:sz w:val="20"/>
              </w:rPr>
            </w:pPr>
          </w:p>
        </w:tc>
        <w:tc>
          <w:tcPr>
            <w:tcW w:w="497" w:type="pct"/>
            <w:shd w:val="clear" w:color="auto" w:fill="auto"/>
            <w:vAlign w:val="center"/>
          </w:tcPr>
          <w:p w14:paraId="7D0B14BD" w14:textId="77777777" w:rsidR="00F001BC" w:rsidRPr="0032658A" w:rsidRDefault="00F001BC" w:rsidP="005840B3">
            <w:pPr>
              <w:spacing w:beforeLines="20" w:before="48" w:afterLines="20" w:after="48"/>
              <w:jc w:val="center"/>
              <w:rPr>
                <w:noProof/>
                <w:sz w:val="20"/>
              </w:rPr>
            </w:pPr>
          </w:p>
        </w:tc>
        <w:tc>
          <w:tcPr>
            <w:tcW w:w="424" w:type="pct"/>
            <w:shd w:val="clear" w:color="auto" w:fill="auto"/>
            <w:vAlign w:val="center"/>
          </w:tcPr>
          <w:p w14:paraId="2D278ACD" w14:textId="77777777" w:rsidR="00F001BC" w:rsidRPr="0032658A" w:rsidRDefault="00F001BC" w:rsidP="005840B3">
            <w:pPr>
              <w:spacing w:beforeLines="20" w:before="48" w:afterLines="20" w:after="48"/>
              <w:jc w:val="center"/>
              <w:rPr>
                <w:noProof/>
                <w:sz w:val="20"/>
              </w:rPr>
            </w:pPr>
          </w:p>
        </w:tc>
        <w:tc>
          <w:tcPr>
            <w:tcW w:w="423" w:type="pct"/>
            <w:shd w:val="clear" w:color="auto" w:fill="auto"/>
            <w:vAlign w:val="center"/>
          </w:tcPr>
          <w:p w14:paraId="6104A2ED" w14:textId="77777777" w:rsidR="00F001BC" w:rsidRPr="0032658A" w:rsidRDefault="00F001BC" w:rsidP="005840B3">
            <w:pPr>
              <w:spacing w:beforeLines="20" w:before="48" w:afterLines="20" w:after="48"/>
              <w:jc w:val="center"/>
              <w:rPr>
                <w:noProof/>
                <w:sz w:val="20"/>
              </w:rPr>
            </w:pPr>
          </w:p>
        </w:tc>
        <w:tc>
          <w:tcPr>
            <w:tcW w:w="452" w:type="pct"/>
            <w:gridSpan w:val="2"/>
            <w:shd w:val="clear" w:color="auto" w:fill="auto"/>
            <w:vAlign w:val="center"/>
          </w:tcPr>
          <w:p w14:paraId="09EB50BE" w14:textId="77777777" w:rsidR="00F001BC" w:rsidRPr="0032658A" w:rsidRDefault="00F001BC" w:rsidP="005840B3">
            <w:pPr>
              <w:spacing w:beforeLines="20" w:before="48" w:afterLines="20" w:after="48"/>
              <w:jc w:val="center"/>
              <w:rPr>
                <w:noProof/>
                <w:sz w:val="20"/>
              </w:rPr>
            </w:pPr>
          </w:p>
        </w:tc>
      </w:tr>
      <w:tr w:rsidR="00F001BC" w:rsidRPr="0032658A" w14:paraId="2A1A214F" w14:textId="77777777" w:rsidTr="005840B3">
        <w:trPr>
          <w:trHeight w:val="289"/>
          <w:jc w:val="center"/>
        </w:trPr>
        <w:tc>
          <w:tcPr>
            <w:tcW w:w="2043" w:type="pct"/>
            <w:gridSpan w:val="2"/>
            <w:tcBorders>
              <w:bottom w:val="double" w:sz="4" w:space="0" w:color="auto"/>
            </w:tcBorders>
            <w:shd w:val="clear" w:color="auto" w:fill="auto"/>
            <w:vAlign w:val="center"/>
          </w:tcPr>
          <w:p w14:paraId="48EA921F" w14:textId="77777777" w:rsidR="00F001BC" w:rsidRPr="0032658A" w:rsidRDefault="00F001BC" w:rsidP="005840B3">
            <w:pPr>
              <w:pStyle w:val="Text1"/>
              <w:spacing w:beforeLines="20" w:before="48" w:afterLines="20" w:after="48"/>
              <w:ind w:left="984"/>
              <w:jc w:val="left"/>
              <w:rPr>
                <w:noProof/>
                <w:sz w:val="20"/>
              </w:rPr>
            </w:pPr>
            <w:r w:rsidRPr="0032658A">
              <w:rPr>
                <w:noProof/>
                <w:sz w:val="20"/>
              </w:rPr>
              <w:t>Kitos biudžeto eilutės (nurodyti)</w:t>
            </w:r>
          </w:p>
        </w:tc>
        <w:tc>
          <w:tcPr>
            <w:tcW w:w="377" w:type="pct"/>
            <w:tcBorders>
              <w:bottom w:val="double" w:sz="4" w:space="0" w:color="auto"/>
            </w:tcBorders>
            <w:shd w:val="clear" w:color="auto" w:fill="auto"/>
            <w:vAlign w:val="center"/>
          </w:tcPr>
          <w:p w14:paraId="69F48667" w14:textId="77777777" w:rsidR="00F001BC" w:rsidRPr="0032658A" w:rsidRDefault="00F001BC" w:rsidP="005840B3">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14:paraId="64D500C5" w14:textId="77777777" w:rsidR="00F001BC" w:rsidRPr="0032658A" w:rsidRDefault="00F001BC" w:rsidP="005840B3">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14:paraId="5A8B8039" w14:textId="77777777" w:rsidR="00F001BC" w:rsidRPr="0032658A" w:rsidRDefault="00F001BC" w:rsidP="005840B3">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14:paraId="34C2F1CF" w14:textId="77777777" w:rsidR="00F001BC" w:rsidRPr="0032658A" w:rsidRDefault="00F001BC" w:rsidP="005840B3">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14:paraId="35C369A4" w14:textId="77777777" w:rsidR="00F001BC" w:rsidRPr="0032658A" w:rsidRDefault="00F001BC" w:rsidP="005840B3">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14:paraId="24B89172" w14:textId="77777777" w:rsidR="00F001BC" w:rsidRPr="0032658A" w:rsidRDefault="00F001BC" w:rsidP="005840B3">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14:paraId="57B08639" w14:textId="77777777" w:rsidR="00F001BC" w:rsidRPr="0032658A" w:rsidRDefault="00F001BC" w:rsidP="005840B3">
            <w:pPr>
              <w:spacing w:beforeLines="20" w:before="48" w:afterLines="20" w:after="48"/>
              <w:jc w:val="center"/>
              <w:rPr>
                <w:noProof/>
                <w:sz w:val="20"/>
              </w:rPr>
            </w:pPr>
          </w:p>
        </w:tc>
      </w:tr>
      <w:tr w:rsidR="00F001BC" w:rsidRPr="0032658A" w14:paraId="3104DCB1" w14:textId="77777777" w:rsidTr="005840B3">
        <w:trPr>
          <w:trHeight w:val="289"/>
          <w:jc w:val="center"/>
        </w:trPr>
        <w:tc>
          <w:tcPr>
            <w:tcW w:w="2043" w:type="pct"/>
            <w:gridSpan w:val="2"/>
            <w:tcBorders>
              <w:top w:val="double" w:sz="4" w:space="0" w:color="auto"/>
            </w:tcBorders>
            <w:shd w:val="clear" w:color="auto" w:fill="auto"/>
            <w:vAlign w:val="center"/>
          </w:tcPr>
          <w:p w14:paraId="477C9D0E" w14:textId="77777777" w:rsidR="00F001BC" w:rsidRPr="0032658A" w:rsidRDefault="00F001BC" w:rsidP="005840B3">
            <w:pPr>
              <w:pStyle w:val="Text1"/>
              <w:spacing w:beforeLines="20" w:before="48" w:afterLines="20" w:after="48"/>
              <w:ind w:left="986"/>
              <w:jc w:val="left"/>
              <w:rPr>
                <w:noProof/>
                <w:sz w:val="20"/>
              </w:rPr>
            </w:pPr>
            <w:r w:rsidRPr="0032658A">
              <w:rPr>
                <w:b/>
                <w:noProof/>
                <w:sz w:val="20"/>
              </w:rPr>
              <w:t>IŠ VISO</w:t>
            </w:r>
          </w:p>
        </w:tc>
        <w:tc>
          <w:tcPr>
            <w:tcW w:w="377" w:type="pct"/>
            <w:tcBorders>
              <w:top w:val="double" w:sz="4" w:space="0" w:color="auto"/>
            </w:tcBorders>
            <w:shd w:val="clear" w:color="auto" w:fill="auto"/>
            <w:vAlign w:val="center"/>
          </w:tcPr>
          <w:p w14:paraId="12A1F542" w14:textId="77777777" w:rsidR="00F001BC" w:rsidRPr="0032658A" w:rsidRDefault="00F001BC" w:rsidP="005840B3">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14:paraId="6A4AB047" w14:textId="77777777" w:rsidR="00F001BC" w:rsidRPr="0032658A" w:rsidRDefault="00F001BC" w:rsidP="005840B3">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14:paraId="4E5982B0" w14:textId="77777777" w:rsidR="00F001BC" w:rsidRPr="0032658A" w:rsidRDefault="00F001BC" w:rsidP="005840B3">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14:paraId="5AF76D2E" w14:textId="77777777" w:rsidR="00F001BC" w:rsidRPr="0032658A" w:rsidRDefault="00F001BC" w:rsidP="005840B3">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14:paraId="61247658" w14:textId="77777777" w:rsidR="00F001BC" w:rsidRPr="0032658A" w:rsidRDefault="00F001BC" w:rsidP="005840B3">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14:paraId="4EDCF8BE" w14:textId="77777777" w:rsidR="00F001BC" w:rsidRPr="0032658A" w:rsidRDefault="00F001BC" w:rsidP="005840B3">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14:paraId="0E3F64A6" w14:textId="77777777" w:rsidR="00F001BC" w:rsidRPr="0032658A" w:rsidRDefault="00F001BC" w:rsidP="005840B3">
            <w:pPr>
              <w:spacing w:beforeLines="20" w:before="48" w:afterLines="20" w:after="48"/>
              <w:jc w:val="center"/>
              <w:rPr>
                <w:b/>
                <w:noProof/>
                <w:sz w:val="20"/>
              </w:rPr>
            </w:pPr>
          </w:p>
        </w:tc>
      </w:tr>
    </w:tbl>
    <w:p w14:paraId="22934878" w14:textId="77777777" w:rsidR="00F001BC" w:rsidRPr="0032658A" w:rsidRDefault="00F001BC" w:rsidP="00F001BC">
      <w:pPr>
        <w:pStyle w:val="Text1"/>
        <w:rPr>
          <w:noProof/>
          <w:sz w:val="22"/>
        </w:rPr>
      </w:pPr>
      <w:r w:rsidRPr="0032658A">
        <w:rPr>
          <w:noProof/>
          <w:sz w:val="22"/>
        </w:rPr>
        <w:t>Žmogiškųjų išteklių poreikiai bus tenkinami panaudojant GD darbuotojus, jau paskirtus veiksmui valdyti ir (arba) perskirstytus generaliniame direktorate, ir prireikus finansuojami iš papildomų lėšų, kurios atsakingam GD gali būti skiriamos pagal metinę lėšų skyrimo procedūrą ir atsižvelgiant į biudžeto apribojimus.</w:t>
      </w:r>
    </w:p>
    <w:p w14:paraId="074FF917" w14:textId="77777777" w:rsidR="00F001BC" w:rsidRPr="0032658A" w:rsidRDefault="00F001BC" w:rsidP="00F001BC">
      <w:pPr>
        <w:rPr>
          <w:noProof/>
          <w:sz w:val="20"/>
        </w:rPr>
      </w:pPr>
      <w:r w:rsidRPr="0032658A">
        <w:rPr>
          <w:noProof/>
          <w:sz w:val="20"/>
        </w:rPr>
        <w:t>Vykdytinų užduočių aprašymas:</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F001BC" w:rsidRPr="0032658A" w14:paraId="4FEEBB02" w14:textId="77777777" w:rsidTr="005840B3">
        <w:tc>
          <w:tcPr>
            <w:tcW w:w="3240" w:type="dxa"/>
          </w:tcPr>
          <w:p w14:paraId="2213A480" w14:textId="77777777" w:rsidR="00F001BC" w:rsidRPr="0032658A" w:rsidRDefault="00F001BC" w:rsidP="005840B3">
            <w:pPr>
              <w:rPr>
                <w:noProof/>
                <w:sz w:val="20"/>
              </w:rPr>
            </w:pPr>
            <w:r w:rsidRPr="0032658A">
              <w:rPr>
                <w:noProof/>
                <w:sz w:val="20"/>
              </w:rPr>
              <w:t>Pareigūnai ir laikinieji darbuotojai</w:t>
            </w:r>
          </w:p>
        </w:tc>
        <w:tc>
          <w:tcPr>
            <w:tcW w:w="7200" w:type="dxa"/>
          </w:tcPr>
          <w:p w14:paraId="669A7E5E" w14:textId="77777777" w:rsidR="00F001BC" w:rsidRPr="0032658A" w:rsidRDefault="00F001BC" w:rsidP="005840B3">
            <w:pPr>
              <w:rPr>
                <w:noProof/>
                <w:sz w:val="20"/>
              </w:rPr>
            </w:pPr>
          </w:p>
        </w:tc>
      </w:tr>
      <w:tr w:rsidR="00F001BC" w:rsidRPr="0032658A" w14:paraId="1C846F21" w14:textId="77777777" w:rsidTr="005840B3">
        <w:tc>
          <w:tcPr>
            <w:tcW w:w="3240" w:type="dxa"/>
          </w:tcPr>
          <w:p w14:paraId="148913EC" w14:textId="77777777" w:rsidR="00F001BC" w:rsidRPr="0032658A" w:rsidRDefault="00F001BC" w:rsidP="005840B3">
            <w:pPr>
              <w:spacing w:before="60" w:after="60"/>
              <w:rPr>
                <w:noProof/>
                <w:sz w:val="20"/>
              </w:rPr>
            </w:pPr>
            <w:r w:rsidRPr="0032658A">
              <w:rPr>
                <w:noProof/>
                <w:sz w:val="20"/>
              </w:rPr>
              <w:t>Išorės darbuotojai</w:t>
            </w:r>
          </w:p>
        </w:tc>
        <w:tc>
          <w:tcPr>
            <w:tcW w:w="7200" w:type="dxa"/>
          </w:tcPr>
          <w:p w14:paraId="69CDF031" w14:textId="77777777" w:rsidR="00F001BC" w:rsidRPr="0032658A" w:rsidRDefault="00F001BC" w:rsidP="005840B3">
            <w:pPr>
              <w:rPr>
                <w:noProof/>
                <w:sz w:val="20"/>
              </w:rPr>
            </w:pPr>
          </w:p>
        </w:tc>
      </w:tr>
    </w:tbl>
    <w:p w14:paraId="1FA80AF9" w14:textId="77777777" w:rsidR="00F001BC" w:rsidRPr="0032658A" w:rsidRDefault="00F001BC" w:rsidP="00F001BC">
      <w:pPr>
        <w:rPr>
          <w:noProof/>
        </w:rPr>
      </w:pPr>
    </w:p>
    <w:p w14:paraId="0CB9BEF6" w14:textId="77777777" w:rsidR="00F001BC" w:rsidRPr="0032658A" w:rsidRDefault="00F001BC" w:rsidP="00F001BC">
      <w:pPr>
        <w:rPr>
          <w:noProof/>
        </w:rPr>
      </w:pPr>
      <w:r w:rsidRPr="0032658A">
        <w:rPr>
          <w:noProof/>
        </w:rPr>
        <w:t xml:space="preserve">Etato ekvivalentų sąnaudų apskaičiavimo aprašas turėtų būti įtrauktas į V priedo 3 skirsnį. </w:t>
      </w:r>
    </w:p>
    <w:p w14:paraId="4CDFA84D" w14:textId="77777777" w:rsidR="00F001BC" w:rsidRPr="0032658A" w:rsidRDefault="00F001BC" w:rsidP="00F001BC">
      <w:pPr>
        <w:rPr>
          <w:noProof/>
        </w:rPr>
        <w:sectPr w:rsidR="00F001BC" w:rsidRPr="0032658A" w:rsidSect="00767E81">
          <w:headerReference w:type="default" r:id="rId19"/>
          <w:footerReference w:type="default" r:id="rId20"/>
          <w:headerReference w:type="first" r:id="rId21"/>
          <w:footerReference w:type="first" r:id="rId22"/>
          <w:pgSz w:w="11907" w:h="16839"/>
          <w:pgMar w:top="1134" w:right="1417" w:bottom="1134" w:left="1417" w:header="709" w:footer="709" w:gutter="0"/>
          <w:cols w:space="720"/>
          <w:docGrid w:linePitch="326"/>
        </w:sectPr>
      </w:pPr>
    </w:p>
    <w:p w14:paraId="3B487002" w14:textId="77777777" w:rsidR="00F001BC" w:rsidRPr="0032658A" w:rsidRDefault="00F001BC" w:rsidP="00F001BC">
      <w:pPr>
        <w:pStyle w:val="ManualHeading3"/>
        <w:rPr>
          <w:noProof/>
        </w:rPr>
      </w:pPr>
      <w:bookmarkStart w:id="61" w:name="_Toc514938689"/>
      <w:bookmarkStart w:id="62" w:name="_Toc520485448"/>
      <w:r w:rsidRPr="0032658A">
        <w:rPr>
          <w:noProof/>
        </w:rPr>
        <w:t>3.2.4.</w:t>
      </w:r>
      <w:r w:rsidRPr="0032658A">
        <w:rPr>
          <w:noProof/>
        </w:rPr>
        <w:tab/>
        <w:t>Suderinamumas su dabartine daugiamete finansine programa</w:t>
      </w:r>
      <w:bookmarkEnd w:id="61"/>
      <w:bookmarkEnd w:id="62"/>
      <w:r w:rsidRPr="0032658A">
        <w:rPr>
          <w:noProof/>
        </w:rPr>
        <w:t xml:space="preserve"> </w:t>
      </w:r>
    </w:p>
    <w:p w14:paraId="64FDD4FD" w14:textId="77777777" w:rsidR="00F001BC" w:rsidRPr="0032658A" w:rsidRDefault="00F001BC" w:rsidP="008305F0">
      <w:pPr>
        <w:pStyle w:val="ListDash1"/>
        <w:rPr>
          <w:noProof/>
        </w:rPr>
      </w:pPr>
      <w:r w:rsidRPr="0032658A">
        <w:rPr>
          <w:noProof/>
        </w:rPr>
        <w:sym w:font="Wingdings" w:char="F0FE"/>
      </w:r>
      <w:r w:rsidRPr="0032658A">
        <w:rPr>
          <w:noProof/>
        </w:rPr>
        <w:tab/>
        <w:t>Pasiūlymas (iniciatyva) atitinka dabartinę daugiametę finansinę programą.</w:t>
      </w:r>
    </w:p>
    <w:p w14:paraId="78E0ED0F" w14:textId="77777777" w:rsidR="00F001BC" w:rsidRPr="0032658A" w:rsidRDefault="00F001BC" w:rsidP="008305F0">
      <w:pPr>
        <w:pStyle w:val="ListDash1"/>
        <w:rPr>
          <w:noProof/>
        </w:rPr>
      </w:pPr>
      <w:r w:rsidRPr="0032658A">
        <w:rPr>
          <w:noProof/>
        </w:rPr>
        <w:sym w:font="Wingdings" w:char="F0FE"/>
      </w:r>
      <w:r w:rsidRPr="0032658A">
        <w:rPr>
          <w:noProof/>
        </w:rPr>
        <w:tab/>
        <w:t>Atsižvelgiant į pasiūlymą (iniciatyvą), reikės pakeisti daugiametės finansinės programos atitinkamos išlaidų kategorijos programavimą.</w:t>
      </w:r>
    </w:p>
    <w:p w14:paraId="67F36204"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sz w:val="20"/>
        </w:rPr>
      </w:pPr>
      <w:r w:rsidRPr="0032658A">
        <w:rPr>
          <w:noProof/>
        </w:rPr>
        <w:t>Dėl EMSA paskirtų užduočių reikės perprogramuoti biudžeto eilutę, skirtą metiniam įnašui Agentūrai (02 10 02) pagal dabartinę daugiametę finansinę programą. Europos jūrų saugumo agentūrai skirtų asignavimų padidėjimas bus kompensuojamas pagal dabartinę daugiametę finansinę programą suplanuotų išlaidų pagal „EITP-Transportas“ (02 03 01)</w:t>
      </w:r>
      <w:r w:rsidRPr="0032658A">
        <w:rPr>
          <w:noProof/>
          <w:sz w:val="20"/>
        </w:rPr>
        <w:t xml:space="preserve"> </w:t>
      </w:r>
      <w:r w:rsidRPr="0032658A">
        <w:rPr>
          <w:noProof/>
        </w:rPr>
        <w:t>kompensaciniu sumažinimu</w:t>
      </w:r>
      <w:r w:rsidRPr="0032658A">
        <w:rPr>
          <w:noProof/>
          <w:sz w:val="20"/>
        </w:rPr>
        <w:t xml:space="preserve">. </w:t>
      </w:r>
      <w:r w:rsidRPr="0032658A">
        <w:rPr>
          <w:noProof/>
        </w:rPr>
        <w:t>Poveikis biudžetui po dabartinės DFP yra preliminari apžvalga, nedaranti poveikio susitarimui dėl būsimos DFP</w:t>
      </w:r>
    </w:p>
    <w:p w14:paraId="7F04202C" w14:textId="77777777" w:rsidR="00F001BC" w:rsidRPr="0032658A" w:rsidRDefault="00F001BC" w:rsidP="008305F0">
      <w:pPr>
        <w:pStyle w:val="ListDash1"/>
        <w:rPr>
          <w:noProof/>
        </w:rPr>
      </w:pPr>
      <w:r w:rsidRPr="0032658A">
        <w:rPr>
          <w:noProof/>
        </w:rPr>
        <w:sym w:font="Wingdings" w:char="F0A8"/>
      </w:r>
      <w:r w:rsidRPr="0032658A">
        <w:rPr>
          <w:noProof/>
        </w:rPr>
        <w:tab/>
        <w:t xml:space="preserve"> Įgyvendinant pasiūlymą (iniciatyvą) būtina taikyti lankstumo priemonę arba patikslinti daugiametę finansinę programą</w:t>
      </w:r>
      <w:r w:rsidRPr="0032658A">
        <w:rPr>
          <w:rStyle w:val="FootnoteReference"/>
          <w:noProof/>
        </w:rPr>
        <w:footnoteReference w:id="41"/>
      </w:r>
      <w:r w:rsidRPr="0032658A">
        <w:rPr>
          <w:noProof/>
        </w:rPr>
        <w:t>.</w:t>
      </w:r>
    </w:p>
    <w:p w14:paraId="5C532754"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sz w:val="20"/>
        </w:rPr>
      </w:pPr>
      <w:r w:rsidRPr="0032658A">
        <w:rPr>
          <w:noProof/>
          <w:sz w:val="20"/>
        </w:rPr>
        <w:t>Paaiškinti, ką reikia atlikti, ir nurodyti atitinkamas išlaidų kategorijas, biudžeto eilutes ir sumas.</w:t>
      </w:r>
    </w:p>
    <w:p w14:paraId="7D18985B"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sz w:val="20"/>
        </w:rPr>
      </w:pPr>
    </w:p>
    <w:p w14:paraId="3399C8E8" w14:textId="77777777" w:rsidR="00F001BC" w:rsidRPr="0032658A" w:rsidRDefault="00F001BC" w:rsidP="00F001BC">
      <w:pPr>
        <w:pStyle w:val="ManualHeading3"/>
        <w:rPr>
          <w:noProof/>
        </w:rPr>
      </w:pPr>
      <w:bookmarkStart w:id="63" w:name="_Toc514938690"/>
      <w:bookmarkStart w:id="64" w:name="_Toc520485449"/>
      <w:r w:rsidRPr="0032658A">
        <w:rPr>
          <w:noProof/>
        </w:rPr>
        <w:t>3.2.5.</w:t>
      </w:r>
      <w:r w:rsidRPr="0032658A">
        <w:rPr>
          <w:noProof/>
        </w:rPr>
        <w:tab/>
        <w:t>Trečiųjų šalių įnašai</w:t>
      </w:r>
      <w:bookmarkEnd w:id="63"/>
      <w:bookmarkEnd w:id="64"/>
      <w:r w:rsidRPr="0032658A">
        <w:rPr>
          <w:noProof/>
        </w:rPr>
        <w:t xml:space="preserve"> </w:t>
      </w:r>
    </w:p>
    <w:p w14:paraId="2DBD2AD9" w14:textId="77777777" w:rsidR="00F001BC" w:rsidRPr="0032658A" w:rsidRDefault="00F001BC" w:rsidP="008305F0">
      <w:pPr>
        <w:pStyle w:val="ListDash1"/>
        <w:rPr>
          <w:noProof/>
        </w:rPr>
      </w:pPr>
      <w:r w:rsidRPr="0032658A">
        <w:rPr>
          <w:noProof/>
        </w:rPr>
        <w:t xml:space="preserve">Pasiūlyme (iniciatyvoje) nenumatyta bendro su trečiosiomis šalimis finansavimo. </w:t>
      </w:r>
    </w:p>
    <w:p w14:paraId="4D219402" w14:textId="77777777" w:rsidR="00F001BC" w:rsidRPr="0032658A" w:rsidRDefault="00F001BC" w:rsidP="008305F0">
      <w:pPr>
        <w:pStyle w:val="ListDash1"/>
        <w:rPr>
          <w:noProof/>
        </w:rPr>
      </w:pPr>
      <w:r w:rsidRPr="0032658A">
        <w:rPr>
          <w:noProof/>
        </w:rPr>
        <w:t>Pasiūlyme (iniciatyvoje) numatytas bendras finansavimas apskaičiuojamas taip:</w:t>
      </w:r>
    </w:p>
    <w:p w14:paraId="1C37EE04" w14:textId="77777777" w:rsidR="00F001BC" w:rsidRPr="0032658A" w:rsidRDefault="00F001BC" w:rsidP="00F001BC">
      <w:pPr>
        <w:jc w:val="right"/>
        <w:rPr>
          <w:noProof/>
          <w:sz w:val="20"/>
        </w:rPr>
      </w:pPr>
      <w:r w:rsidRPr="0032658A">
        <w:rPr>
          <w:noProof/>
          <w:sz w:val="20"/>
        </w:rPr>
        <w:t>mln. EUR (tūkstantųjų tikslumu)</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F001BC" w:rsidRPr="0032658A" w14:paraId="647B9B0D" w14:textId="77777777" w:rsidTr="005840B3">
        <w:trPr>
          <w:cantSplit/>
        </w:trPr>
        <w:tc>
          <w:tcPr>
            <w:tcW w:w="2340" w:type="dxa"/>
          </w:tcPr>
          <w:p w14:paraId="28B2C866" w14:textId="77777777" w:rsidR="00F001BC" w:rsidRPr="0032658A" w:rsidRDefault="00F001BC" w:rsidP="005840B3">
            <w:pPr>
              <w:spacing w:before="60" w:after="60"/>
              <w:rPr>
                <w:noProof/>
                <w:sz w:val="20"/>
              </w:rPr>
            </w:pPr>
          </w:p>
        </w:tc>
        <w:tc>
          <w:tcPr>
            <w:tcW w:w="964" w:type="dxa"/>
            <w:vAlign w:val="center"/>
          </w:tcPr>
          <w:p w14:paraId="6DBECCB1" w14:textId="77777777" w:rsidR="00F001BC" w:rsidRPr="0032658A" w:rsidRDefault="00F001BC" w:rsidP="005840B3">
            <w:pPr>
              <w:jc w:val="center"/>
              <w:rPr>
                <w:noProof/>
                <w:sz w:val="20"/>
              </w:rPr>
            </w:pPr>
            <w:r w:rsidRPr="0032658A">
              <w:rPr>
                <w:b/>
                <w:noProof/>
                <w:sz w:val="20"/>
              </w:rPr>
              <w:t>N</w:t>
            </w:r>
            <w:r w:rsidRPr="0032658A">
              <w:rPr>
                <w:noProof/>
              </w:rPr>
              <w:t xml:space="preserve"> </w:t>
            </w:r>
            <w:r w:rsidRPr="0032658A">
              <w:rPr>
                <w:noProof/>
              </w:rPr>
              <w:br/>
            </w:r>
            <w:r w:rsidRPr="0032658A">
              <w:rPr>
                <w:noProof/>
                <w:sz w:val="20"/>
              </w:rPr>
              <w:t>metai</w:t>
            </w:r>
          </w:p>
        </w:tc>
        <w:tc>
          <w:tcPr>
            <w:tcW w:w="964" w:type="dxa"/>
            <w:vAlign w:val="center"/>
          </w:tcPr>
          <w:p w14:paraId="4BBF81C2" w14:textId="77777777" w:rsidR="00F001BC" w:rsidRPr="0032658A" w:rsidRDefault="00F001BC" w:rsidP="005840B3">
            <w:pPr>
              <w:jc w:val="center"/>
              <w:rPr>
                <w:noProof/>
                <w:sz w:val="20"/>
              </w:rPr>
            </w:pPr>
            <w:r w:rsidRPr="0032658A">
              <w:rPr>
                <w:b/>
                <w:noProof/>
                <w:sz w:val="20"/>
              </w:rPr>
              <w:t>N + 1</w:t>
            </w:r>
            <w:r w:rsidRPr="0032658A">
              <w:rPr>
                <w:noProof/>
              </w:rPr>
              <w:t xml:space="preserve"> </w:t>
            </w:r>
            <w:r w:rsidRPr="0032658A">
              <w:rPr>
                <w:noProof/>
              </w:rPr>
              <w:br/>
            </w:r>
            <w:r w:rsidRPr="0032658A">
              <w:rPr>
                <w:noProof/>
                <w:sz w:val="20"/>
              </w:rPr>
              <w:t>metai</w:t>
            </w:r>
          </w:p>
        </w:tc>
        <w:tc>
          <w:tcPr>
            <w:tcW w:w="964" w:type="dxa"/>
            <w:vAlign w:val="center"/>
          </w:tcPr>
          <w:p w14:paraId="0CE1D934" w14:textId="77777777" w:rsidR="00F001BC" w:rsidRPr="0032658A" w:rsidRDefault="00F001BC" w:rsidP="005840B3">
            <w:pPr>
              <w:jc w:val="center"/>
              <w:rPr>
                <w:noProof/>
                <w:sz w:val="20"/>
              </w:rPr>
            </w:pPr>
            <w:r w:rsidRPr="0032658A">
              <w:rPr>
                <w:b/>
                <w:noProof/>
                <w:sz w:val="20"/>
              </w:rPr>
              <w:t>N + 2</w:t>
            </w:r>
            <w:r w:rsidRPr="0032658A">
              <w:rPr>
                <w:noProof/>
              </w:rPr>
              <w:t xml:space="preserve"> </w:t>
            </w:r>
            <w:r w:rsidRPr="0032658A">
              <w:rPr>
                <w:noProof/>
              </w:rPr>
              <w:br/>
            </w:r>
            <w:r w:rsidRPr="0032658A">
              <w:rPr>
                <w:noProof/>
                <w:sz w:val="20"/>
              </w:rPr>
              <w:t>metai</w:t>
            </w:r>
          </w:p>
        </w:tc>
        <w:tc>
          <w:tcPr>
            <w:tcW w:w="964" w:type="dxa"/>
            <w:vAlign w:val="center"/>
          </w:tcPr>
          <w:p w14:paraId="4F565EAE" w14:textId="77777777" w:rsidR="00F001BC" w:rsidRPr="0032658A" w:rsidRDefault="00F001BC" w:rsidP="005840B3">
            <w:pPr>
              <w:jc w:val="center"/>
              <w:rPr>
                <w:noProof/>
                <w:sz w:val="20"/>
              </w:rPr>
            </w:pPr>
            <w:r w:rsidRPr="0032658A">
              <w:rPr>
                <w:b/>
                <w:noProof/>
                <w:sz w:val="20"/>
              </w:rPr>
              <w:t>N + 3</w:t>
            </w:r>
            <w:r w:rsidRPr="0032658A">
              <w:rPr>
                <w:noProof/>
              </w:rPr>
              <w:t xml:space="preserve"> </w:t>
            </w:r>
            <w:r w:rsidRPr="0032658A">
              <w:rPr>
                <w:noProof/>
              </w:rPr>
              <w:br/>
            </w:r>
            <w:r w:rsidRPr="0032658A">
              <w:rPr>
                <w:noProof/>
                <w:sz w:val="20"/>
              </w:rPr>
              <w:t>metai</w:t>
            </w:r>
          </w:p>
        </w:tc>
        <w:tc>
          <w:tcPr>
            <w:tcW w:w="2892" w:type="dxa"/>
            <w:gridSpan w:val="3"/>
            <w:vAlign w:val="center"/>
          </w:tcPr>
          <w:p w14:paraId="3F7B1B4B" w14:textId="77777777" w:rsidR="00F001BC" w:rsidRPr="0032658A" w:rsidRDefault="00F001BC" w:rsidP="005840B3">
            <w:pPr>
              <w:jc w:val="center"/>
              <w:rPr>
                <w:b/>
                <w:noProof/>
                <w:sz w:val="20"/>
              </w:rPr>
            </w:pPr>
            <w:r w:rsidRPr="0032658A">
              <w:rPr>
                <w:noProof/>
                <w:sz w:val="20"/>
              </w:rPr>
              <w:t>Atsižvelgiant į poveikio trukmę įterpti reikiamą metų skaičių (žr. 1.6 punktą)</w:t>
            </w:r>
          </w:p>
        </w:tc>
        <w:tc>
          <w:tcPr>
            <w:tcW w:w="1158" w:type="dxa"/>
            <w:vAlign w:val="center"/>
          </w:tcPr>
          <w:p w14:paraId="70D2DD2A" w14:textId="77777777" w:rsidR="00F001BC" w:rsidRPr="0032658A" w:rsidRDefault="00F001BC" w:rsidP="005840B3">
            <w:pPr>
              <w:spacing w:before="60" w:after="60"/>
              <w:jc w:val="center"/>
              <w:rPr>
                <w:noProof/>
                <w:sz w:val="20"/>
              </w:rPr>
            </w:pPr>
            <w:r w:rsidRPr="0032658A">
              <w:rPr>
                <w:noProof/>
                <w:sz w:val="20"/>
              </w:rPr>
              <w:t>Iš viso</w:t>
            </w:r>
          </w:p>
        </w:tc>
      </w:tr>
      <w:tr w:rsidR="00F001BC" w:rsidRPr="0032658A" w14:paraId="1005B041" w14:textId="77777777" w:rsidTr="005840B3">
        <w:trPr>
          <w:cantSplit/>
        </w:trPr>
        <w:tc>
          <w:tcPr>
            <w:tcW w:w="2340" w:type="dxa"/>
          </w:tcPr>
          <w:p w14:paraId="74F8393B" w14:textId="77777777" w:rsidR="00F001BC" w:rsidRPr="0032658A" w:rsidRDefault="00F001BC" w:rsidP="005840B3">
            <w:pPr>
              <w:rPr>
                <w:noProof/>
              </w:rPr>
            </w:pPr>
            <w:r w:rsidRPr="0032658A">
              <w:rPr>
                <w:noProof/>
                <w:sz w:val="20"/>
              </w:rPr>
              <w:t>Nurodyti bendrą finansavimą teikiančią įstaigą</w:t>
            </w:r>
            <w:r w:rsidRPr="0032658A">
              <w:rPr>
                <w:i/>
                <w:noProof/>
                <w:sz w:val="20"/>
              </w:rPr>
              <w:t xml:space="preserve"> </w:t>
            </w:r>
          </w:p>
        </w:tc>
        <w:tc>
          <w:tcPr>
            <w:tcW w:w="964" w:type="dxa"/>
            <w:vAlign w:val="center"/>
          </w:tcPr>
          <w:p w14:paraId="71B881C5" w14:textId="77777777" w:rsidR="00F001BC" w:rsidRPr="0032658A" w:rsidRDefault="00F001BC" w:rsidP="005840B3">
            <w:pPr>
              <w:spacing w:before="60" w:after="60"/>
              <w:jc w:val="center"/>
              <w:rPr>
                <w:noProof/>
                <w:sz w:val="20"/>
              </w:rPr>
            </w:pPr>
          </w:p>
        </w:tc>
        <w:tc>
          <w:tcPr>
            <w:tcW w:w="964" w:type="dxa"/>
            <w:vAlign w:val="center"/>
          </w:tcPr>
          <w:p w14:paraId="4E574DCA" w14:textId="77777777" w:rsidR="00F001BC" w:rsidRPr="0032658A" w:rsidRDefault="00F001BC" w:rsidP="005840B3">
            <w:pPr>
              <w:spacing w:before="60" w:after="60"/>
              <w:jc w:val="center"/>
              <w:rPr>
                <w:noProof/>
                <w:sz w:val="20"/>
              </w:rPr>
            </w:pPr>
          </w:p>
        </w:tc>
        <w:tc>
          <w:tcPr>
            <w:tcW w:w="964" w:type="dxa"/>
            <w:vAlign w:val="center"/>
          </w:tcPr>
          <w:p w14:paraId="06501587" w14:textId="77777777" w:rsidR="00F001BC" w:rsidRPr="0032658A" w:rsidRDefault="00F001BC" w:rsidP="005840B3">
            <w:pPr>
              <w:spacing w:before="60" w:after="60"/>
              <w:jc w:val="center"/>
              <w:rPr>
                <w:noProof/>
                <w:sz w:val="20"/>
              </w:rPr>
            </w:pPr>
          </w:p>
        </w:tc>
        <w:tc>
          <w:tcPr>
            <w:tcW w:w="964" w:type="dxa"/>
            <w:vAlign w:val="center"/>
          </w:tcPr>
          <w:p w14:paraId="49569909" w14:textId="77777777" w:rsidR="00F001BC" w:rsidRPr="0032658A" w:rsidRDefault="00F001BC" w:rsidP="005840B3">
            <w:pPr>
              <w:spacing w:before="60" w:after="60"/>
              <w:jc w:val="center"/>
              <w:rPr>
                <w:noProof/>
                <w:sz w:val="20"/>
              </w:rPr>
            </w:pPr>
          </w:p>
        </w:tc>
        <w:tc>
          <w:tcPr>
            <w:tcW w:w="964" w:type="dxa"/>
            <w:vAlign w:val="center"/>
          </w:tcPr>
          <w:p w14:paraId="1A39C291" w14:textId="77777777" w:rsidR="00F001BC" w:rsidRPr="0032658A" w:rsidRDefault="00F001BC" w:rsidP="005840B3">
            <w:pPr>
              <w:spacing w:before="60" w:after="60"/>
              <w:jc w:val="center"/>
              <w:rPr>
                <w:noProof/>
                <w:sz w:val="20"/>
              </w:rPr>
            </w:pPr>
          </w:p>
        </w:tc>
        <w:tc>
          <w:tcPr>
            <w:tcW w:w="964" w:type="dxa"/>
            <w:vAlign w:val="center"/>
          </w:tcPr>
          <w:p w14:paraId="34E9F56A" w14:textId="77777777" w:rsidR="00F001BC" w:rsidRPr="0032658A" w:rsidRDefault="00F001BC" w:rsidP="005840B3">
            <w:pPr>
              <w:spacing w:before="60" w:after="60"/>
              <w:jc w:val="center"/>
              <w:rPr>
                <w:noProof/>
                <w:sz w:val="20"/>
              </w:rPr>
            </w:pPr>
          </w:p>
        </w:tc>
        <w:tc>
          <w:tcPr>
            <w:tcW w:w="964" w:type="dxa"/>
            <w:vAlign w:val="center"/>
          </w:tcPr>
          <w:p w14:paraId="0E78BAF4" w14:textId="77777777" w:rsidR="00F001BC" w:rsidRPr="0032658A" w:rsidRDefault="00F001BC" w:rsidP="005840B3">
            <w:pPr>
              <w:spacing w:before="60" w:after="60"/>
              <w:jc w:val="center"/>
              <w:rPr>
                <w:noProof/>
                <w:sz w:val="20"/>
              </w:rPr>
            </w:pPr>
          </w:p>
        </w:tc>
        <w:tc>
          <w:tcPr>
            <w:tcW w:w="1158" w:type="dxa"/>
            <w:vAlign w:val="center"/>
          </w:tcPr>
          <w:p w14:paraId="48A8D524" w14:textId="77777777" w:rsidR="00F001BC" w:rsidRPr="0032658A" w:rsidRDefault="00F001BC" w:rsidP="005840B3">
            <w:pPr>
              <w:spacing w:before="60" w:after="60"/>
              <w:jc w:val="center"/>
              <w:rPr>
                <w:noProof/>
                <w:sz w:val="20"/>
              </w:rPr>
            </w:pPr>
          </w:p>
        </w:tc>
      </w:tr>
      <w:tr w:rsidR="00F001BC" w:rsidRPr="0032658A" w14:paraId="748C9257" w14:textId="77777777" w:rsidTr="005840B3">
        <w:trPr>
          <w:cantSplit/>
        </w:trPr>
        <w:tc>
          <w:tcPr>
            <w:tcW w:w="2340" w:type="dxa"/>
          </w:tcPr>
          <w:p w14:paraId="45476FDA" w14:textId="77777777" w:rsidR="00F001BC" w:rsidRPr="0032658A" w:rsidRDefault="00F001BC" w:rsidP="005840B3">
            <w:pPr>
              <w:spacing w:before="60" w:after="60"/>
              <w:rPr>
                <w:noProof/>
                <w:sz w:val="20"/>
              </w:rPr>
            </w:pPr>
            <w:r w:rsidRPr="0032658A">
              <w:rPr>
                <w:noProof/>
                <w:sz w:val="20"/>
              </w:rPr>
              <w:t xml:space="preserve">IŠ VISO bendrai finansuojamų asignavimų </w:t>
            </w:r>
          </w:p>
        </w:tc>
        <w:tc>
          <w:tcPr>
            <w:tcW w:w="964" w:type="dxa"/>
            <w:vAlign w:val="center"/>
          </w:tcPr>
          <w:p w14:paraId="609AC78C" w14:textId="77777777" w:rsidR="00F001BC" w:rsidRPr="0032658A" w:rsidRDefault="00F001BC" w:rsidP="005840B3">
            <w:pPr>
              <w:spacing w:before="60" w:after="60"/>
              <w:jc w:val="center"/>
              <w:rPr>
                <w:noProof/>
                <w:sz w:val="20"/>
              </w:rPr>
            </w:pPr>
          </w:p>
        </w:tc>
        <w:tc>
          <w:tcPr>
            <w:tcW w:w="964" w:type="dxa"/>
            <w:vAlign w:val="center"/>
          </w:tcPr>
          <w:p w14:paraId="2CE63F65" w14:textId="77777777" w:rsidR="00F001BC" w:rsidRPr="0032658A" w:rsidRDefault="00F001BC" w:rsidP="005840B3">
            <w:pPr>
              <w:spacing w:before="60" w:after="60"/>
              <w:jc w:val="center"/>
              <w:rPr>
                <w:noProof/>
                <w:sz w:val="20"/>
              </w:rPr>
            </w:pPr>
          </w:p>
        </w:tc>
        <w:tc>
          <w:tcPr>
            <w:tcW w:w="964" w:type="dxa"/>
            <w:vAlign w:val="center"/>
          </w:tcPr>
          <w:p w14:paraId="181AD0FF" w14:textId="77777777" w:rsidR="00F001BC" w:rsidRPr="0032658A" w:rsidRDefault="00F001BC" w:rsidP="005840B3">
            <w:pPr>
              <w:spacing w:before="60" w:after="60"/>
              <w:jc w:val="center"/>
              <w:rPr>
                <w:noProof/>
                <w:sz w:val="20"/>
              </w:rPr>
            </w:pPr>
          </w:p>
        </w:tc>
        <w:tc>
          <w:tcPr>
            <w:tcW w:w="964" w:type="dxa"/>
            <w:vAlign w:val="center"/>
          </w:tcPr>
          <w:p w14:paraId="57D08F2B" w14:textId="77777777" w:rsidR="00F001BC" w:rsidRPr="0032658A" w:rsidRDefault="00F001BC" w:rsidP="005840B3">
            <w:pPr>
              <w:spacing w:before="60" w:after="60"/>
              <w:jc w:val="center"/>
              <w:rPr>
                <w:noProof/>
                <w:sz w:val="20"/>
              </w:rPr>
            </w:pPr>
          </w:p>
        </w:tc>
        <w:tc>
          <w:tcPr>
            <w:tcW w:w="964" w:type="dxa"/>
            <w:vAlign w:val="center"/>
          </w:tcPr>
          <w:p w14:paraId="771137DD" w14:textId="77777777" w:rsidR="00F001BC" w:rsidRPr="0032658A" w:rsidRDefault="00F001BC" w:rsidP="005840B3">
            <w:pPr>
              <w:spacing w:before="60" w:after="60"/>
              <w:jc w:val="center"/>
              <w:rPr>
                <w:noProof/>
                <w:sz w:val="20"/>
              </w:rPr>
            </w:pPr>
          </w:p>
        </w:tc>
        <w:tc>
          <w:tcPr>
            <w:tcW w:w="964" w:type="dxa"/>
            <w:vAlign w:val="center"/>
          </w:tcPr>
          <w:p w14:paraId="6A9911EB" w14:textId="77777777" w:rsidR="00F001BC" w:rsidRPr="0032658A" w:rsidRDefault="00F001BC" w:rsidP="005840B3">
            <w:pPr>
              <w:spacing w:before="60" w:after="60"/>
              <w:jc w:val="center"/>
              <w:rPr>
                <w:noProof/>
                <w:sz w:val="20"/>
              </w:rPr>
            </w:pPr>
          </w:p>
        </w:tc>
        <w:tc>
          <w:tcPr>
            <w:tcW w:w="964" w:type="dxa"/>
            <w:vAlign w:val="center"/>
          </w:tcPr>
          <w:p w14:paraId="0D514F4C" w14:textId="77777777" w:rsidR="00F001BC" w:rsidRPr="0032658A" w:rsidRDefault="00F001BC" w:rsidP="005840B3">
            <w:pPr>
              <w:spacing w:before="60" w:after="60"/>
              <w:jc w:val="center"/>
              <w:rPr>
                <w:noProof/>
                <w:sz w:val="20"/>
              </w:rPr>
            </w:pPr>
          </w:p>
        </w:tc>
        <w:tc>
          <w:tcPr>
            <w:tcW w:w="1158" w:type="dxa"/>
            <w:vAlign w:val="center"/>
          </w:tcPr>
          <w:p w14:paraId="035BD1CF" w14:textId="77777777" w:rsidR="00F001BC" w:rsidRPr="0032658A" w:rsidRDefault="00F001BC" w:rsidP="005840B3">
            <w:pPr>
              <w:spacing w:before="60" w:after="60"/>
              <w:jc w:val="center"/>
              <w:rPr>
                <w:noProof/>
                <w:sz w:val="20"/>
              </w:rPr>
            </w:pPr>
          </w:p>
        </w:tc>
      </w:tr>
    </w:tbl>
    <w:p w14:paraId="4FD710E3" w14:textId="77777777" w:rsidR="00F001BC" w:rsidRPr="0032658A" w:rsidRDefault="00F001BC" w:rsidP="00F001BC">
      <w:pPr>
        <w:rPr>
          <w:noProof/>
        </w:rPr>
      </w:pPr>
      <w:r w:rsidRPr="0032658A">
        <w:rPr>
          <w:noProof/>
        </w:rPr>
        <w:t xml:space="preserve"> </w:t>
      </w:r>
      <w:r w:rsidRPr="0032658A">
        <w:rPr>
          <w:noProof/>
        </w:rPr>
        <w:br/>
      </w:r>
    </w:p>
    <w:p w14:paraId="08AFA2EB" w14:textId="77777777" w:rsidR="00F001BC" w:rsidRPr="0032658A" w:rsidRDefault="00F001BC" w:rsidP="00F001BC">
      <w:pPr>
        <w:pStyle w:val="ManualHeading2"/>
        <w:rPr>
          <w:noProof/>
        </w:rPr>
      </w:pPr>
      <w:r w:rsidRPr="0032658A">
        <w:rPr>
          <w:noProof/>
        </w:rPr>
        <w:br w:type="page"/>
      </w:r>
      <w:bookmarkStart w:id="65" w:name="_Toc514938691"/>
      <w:bookmarkStart w:id="66" w:name="_Toc520485450"/>
      <w:r w:rsidRPr="0032658A">
        <w:rPr>
          <w:noProof/>
        </w:rPr>
        <w:t>3.3.</w:t>
      </w:r>
      <w:r w:rsidRPr="0032658A">
        <w:rPr>
          <w:noProof/>
        </w:rPr>
        <w:tab/>
        <w:t>Numatomas poveikis pajamoms</w:t>
      </w:r>
      <w:bookmarkEnd w:id="65"/>
      <w:bookmarkEnd w:id="66"/>
      <w:r w:rsidRPr="0032658A">
        <w:rPr>
          <w:noProof/>
        </w:rPr>
        <w:t xml:space="preserve"> </w:t>
      </w:r>
    </w:p>
    <w:p w14:paraId="5509CBAA" w14:textId="77777777" w:rsidR="00F001BC" w:rsidRPr="0032658A" w:rsidRDefault="00F001BC" w:rsidP="008305F0">
      <w:pPr>
        <w:pStyle w:val="ListDash1"/>
        <w:rPr>
          <w:noProof/>
        </w:rPr>
      </w:pPr>
      <w:r w:rsidRPr="0032658A">
        <w:rPr>
          <w:noProof/>
        </w:rPr>
        <w:sym w:font="Wingdings" w:char="F0FE"/>
      </w:r>
      <w:r w:rsidRPr="0032658A">
        <w:rPr>
          <w:noProof/>
        </w:rPr>
        <w:tab/>
        <w:t>Pasiūlymas (iniciatyva) neturi finansinio poveikio pajamoms.</w:t>
      </w:r>
    </w:p>
    <w:p w14:paraId="73D71EBB" w14:textId="77777777" w:rsidR="00F001BC" w:rsidRPr="0032658A" w:rsidRDefault="00F001BC" w:rsidP="008305F0">
      <w:pPr>
        <w:pStyle w:val="ListDash1"/>
        <w:rPr>
          <w:noProof/>
        </w:rPr>
      </w:pPr>
      <w:r w:rsidRPr="0032658A">
        <w:rPr>
          <w:noProof/>
        </w:rPr>
        <w:sym w:font="Wingdings" w:char="F0A8"/>
      </w:r>
      <w:r w:rsidRPr="0032658A">
        <w:rPr>
          <w:noProof/>
        </w:rPr>
        <w:tab/>
        <w:t>Pasiūlymas (iniciatyva) turi finansinį poveikį:</w:t>
      </w:r>
    </w:p>
    <w:p w14:paraId="1EC2F44E" w14:textId="77777777" w:rsidR="00F001BC" w:rsidRPr="0032658A" w:rsidRDefault="00F001BC" w:rsidP="00596E2C">
      <w:pPr>
        <w:pStyle w:val="ListNumberLevel3"/>
        <w:tabs>
          <w:tab w:val="clear" w:pos="2126"/>
        </w:tabs>
        <w:rPr>
          <w:noProof/>
        </w:rPr>
      </w:pPr>
      <w:r w:rsidRPr="0032658A">
        <w:rPr>
          <w:noProof/>
        </w:rPr>
        <w:sym w:font="Wingdings" w:char="F0A8"/>
      </w:r>
      <w:r w:rsidRPr="0032658A">
        <w:rPr>
          <w:noProof/>
        </w:rPr>
        <w:tab/>
        <w:t xml:space="preserve">nuosaviems ištekliams </w:t>
      </w:r>
    </w:p>
    <w:p w14:paraId="38231E4A" w14:textId="77777777" w:rsidR="00F001BC" w:rsidRPr="0032658A" w:rsidRDefault="00F001BC" w:rsidP="00596E2C">
      <w:pPr>
        <w:pStyle w:val="ListNumberLevel3"/>
        <w:tabs>
          <w:tab w:val="clear" w:pos="2126"/>
        </w:tabs>
        <w:rPr>
          <w:noProof/>
        </w:rPr>
      </w:pPr>
      <w:r w:rsidRPr="0032658A">
        <w:rPr>
          <w:noProof/>
        </w:rPr>
        <w:sym w:font="Wingdings" w:char="F0A8"/>
      </w:r>
      <w:r w:rsidRPr="0032658A">
        <w:rPr>
          <w:noProof/>
        </w:rPr>
        <w:tab/>
        <w:t xml:space="preserve">kitoms pajamoms </w:t>
      </w:r>
    </w:p>
    <w:p w14:paraId="364DE170" w14:textId="77777777" w:rsidR="00F001BC" w:rsidRPr="0032658A" w:rsidRDefault="00F001BC" w:rsidP="00596E2C">
      <w:pPr>
        <w:pStyle w:val="ListNumberLevel3"/>
        <w:tabs>
          <w:tab w:val="clear" w:pos="2126"/>
        </w:tabs>
        <w:rPr>
          <w:noProof/>
        </w:rPr>
      </w:pPr>
      <w:r w:rsidRPr="0032658A">
        <w:rPr>
          <w:noProof/>
        </w:rPr>
        <w:t xml:space="preserve"> nurodyti, jei pajamos priskirtos išlaidų eilutėms </w:t>
      </w:r>
      <w:r w:rsidRPr="0032658A">
        <w:rPr>
          <w:noProof/>
        </w:rPr>
        <w:sym w:font="Wingdings" w:char="F0A8"/>
      </w:r>
    </w:p>
    <w:p w14:paraId="64CE5662" w14:textId="77777777" w:rsidR="00F001BC" w:rsidRPr="0032658A" w:rsidRDefault="00F001BC" w:rsidP="00F001BC">
      <w:pPr>
        <w:jc w:val="right"/>
        <w:rPr>
          <w:i/>
          <w:noProof/>
          <w:sz w:val="20"/>
        </w:rPr>
      </w:pPr>
      <w:r w:rsidRPr="0032658A">
        <w:rPr>
          <w:noProof/>
          <w:sz w:val="20"/>
        </w:rPr>
        <w:t>mln. EUR (tūkstantųjų tikslumu)</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F001BC" w:rsidRPr="0032658A" w14:paraId="28F8F9E6" w14:textId="77777777" w:rsidTr="005840B3">
        <w:trPr>
          <w:trHeight w:val="388"/>
        </w:trPr>
        <w:tc>
          <w:tcPr>
            <w:tcW w:w="2144" w:type="dxa"/>
            <w:vMerge w:val="restart"/>
            <w:vAlign w:val="center"/>
          </w:tcPr>
          <w:p w14:paraId="5AD4DF7E" w14:textId="77777777" w:rsidR="00F001BC" w:rsidRPr="0032658A" w:rsidRDefault="00F001BC" w:rsidP="005840B3">
            <w:pPr>
              <w:spacing w:before="40" w:after="40"/>
              <w:rPr>
                <w:noProof/>
                <w:sz w:val="18"/>
              </w:rPr>
            </w:pPr>
            <w:r w:rsidRPr="0032658A">
              <w:rPr>
                <w:noProof/>
                <w:sz w:val="18"/>
              </w:rPr>
              <w:t>Biudžeto pajamų eilutė:</w:t>
            </w:r>
          </w:p>
        </w:tc>
        <w:tc>
          <w:tcPr>
            <w:tcW w:w="1276" w:type="dxa"/>
            <w:vMerge w:val="restart"/>
            <w:vAlign w:val="center"/>
          </w:tcPr>
          <w:p w14:paraId="338EC236" w14:textId="77777777" w:rsidR="00F001BC" w:rsidRPr="0032658A" w:rsidRDefault="00F001BC" w:rsidP="005840B3">
            <w:pPr>
              <w:jc w:val="center"/>
              <w:rPr>
                <w:noProof/>
                <w:sz w:val="18"/>
              </w:rPr>
            </w:pPr>
            <w:r w:rsidRPr="0032658A">
              <w:rPr>
                <w:noProof/>
                <w:sz w:val="18"/>
              </w:rPr>
              <w:t>Einamųjų finansinių metų asignavimai</w:t>
            </w:r>
          </w:p>
        </w:tc>
        <w:tc>
          <w:tcPr>
            <w:tcW w:w="7200" w:type="dxa"/>
            <w:gridSpan w:val="7"/>
            <w:vAlign w:val="center"/>
          </w:tcPr>
          <w:p w14:paraId="06BD5881" w14:textId="77777777" w:rsidR="00F001BC" w:rsidRPr="0032658A" w:rsidRDefault="00F001BC" w:rsidP="005840B3">
            <w:pPr>
              <w:jc w:val="center"/>
              <w:rPr>
                <w:noProof/>
                <w:sz w:val="18"/>
              </w:rPr>
            </w:pPr>
            <w:r w:rsidRPr="0032658A">
              <w:rPr>
                <w:noProof/>
                <w:sz w:val="18"/>
              </w:rPr>
              <w:t>Pasiūlymo (iniciatyvos) poveikis</w:t>
            </w:r>
            <w:r w:rsidRPr="0032658A">
              <w:rPr>
                <w:rStyle w:val="FootnoteReference"/>
                <w:noProof/>
                <w:sz w:val="18"/>
              </w:rPr>
              <w:footnoteReference w:id="42"/>
            </w:r>
          </w:p>
        </w:tc>
      </w:tr>
      <w:tr w:rsidR="00F001BC" w:rsidRPr="0032658A" w14:paraId="11F613D7" w14:textId="77777777" w:rsidTr="005840B3">
        <w:trPr>
          <w:trHeight w:val="388"/>
        </w:trPr>
        <w:tc>
          <w:tcPr>
            <w:tcW w:w="2144" w:type="dxa"/>
            <w:vMerge/>
            <w:vAlign w:val="center"/>
          </w:tcPr>
          <w:p w14:paraId="7297A666" w14:textId="77777777" w:rsidR="00F001BC" w:rsidRPr="0032658A" w:rsidRDefault="00F001BC" w:rsidP="005840B3">
            <w:pPr>
              <w:rPr>
                <w:noProof/>
                <w:sz w:val="18"/>
              </w:rPr>
            </w:pPr>
          </w:p>
        </w:tc>
        <w:tc>
          <w:tcPr>
            <w:tcW w:w="1276" w:type="dxa"/>
            <w:vMerge/>
            <w:vAlign w:val="center"/>
          </w:tcPr>
          <w:p w14:paraId="3ED77996" w14:textId="77777777" w:rsidR="00F001BC" w:rsidRPr="0032658A" w:rsidRDefault="00F001BC" w:rsidP="005840B3">
            <w:pPr>
              <w:rPr>
                <w:noProof/>
                <w:sz w:val="18"/>
              </w:rPr>
            </w:pPr>
          </w:p>
        </w:tc>
        <w:tc>
          <w:tcPr>
            <w:tcW w:w="1080" w:type="dxa"/>
            <w:vAlign w:val="center"/>
          </w:tcPr>
          <w:p w14:paraId="6B6043EF" w14:textId="77777777" w:rsidR="00F001BC" w:rsidRPr="0032658A" w:rsidRDefault="00F001BC" w:rsidP="005840B3">
            <w:pPr>
              <w:jc w:val="center"/>
              <w:rPr>
                <w:noProof/>
                <w:sz w:val="18"/>
              </w:rPr>
            </w:pPr>
            <w:r w:rsidRPr="0032658A">
              <w:rPr>
                <w:b/>
                <w:noProof/>
                <w:sz w:val="18"/>
              </w:rPr>
              <w:t>N</w:t>
            </w:r>
            <w:r w:rsidRPr="0032658A">
              <w:rPr>
                <w:noProof/>
              </w:rPr>
              <w:t xml:space="preserve"> </w:t>
            </w:r>
            <w:r w:rsidRPr="0032658A">
              <w:rPr>
                <w:noProof/>
              </w:rPr>
              <w:br/>
            </w:r>
            <w:r w:rsidRPr="0032658A">
              <w:rPr>
                <w:noProof/>
                <w:sz w:val="18"/>
              </w:rPr>
              <w:t>metai</w:t>
            </w:r>
          </w:p>
        </w:tc>
        <w:tc>
          <w:tcPr>
            <w:tcW w:w="900" w:type="dxa"/>
            <w:vAlign w:val="center"/>
          </w:tcPr>
          <w:p w14:paraId="671B1CDC" w14:textId="77777777" w:rsidR="00F001BC" w:rsidRPr="0032658A" w:rsidRDefault="00F001BC" w:rsidP="005840B3">
            <w:pPr>
              <w:jc w:val="center"/>
              <w:rPr>
                <w:noProof/>
                <w:sz w:val="18"/>
              </w:rPr>
            </w:pPr>
            <w:r w:rsidRPr="0032658A">
              <w:rPr>
                <w:b/>
                <w:noProof/>
                <w:sz w:val="18"/>
              </w:rPr>
              <w:t>N + 1</w:t>
            </w:r>
            <w:r w:rsidRPr="0032658A">
              <w:rPr>
                <w:noProof/>
              </w:rPr>
              <w:t xml:space="preserve"> </w:t>
            </w:r>
            <w:r w:rsidRPr="0032658A">
              <w:rPr>
                <w:noProof/>
              </w:rPr>
              <w:br/>
            </w:r>
            <w:r w:rsidRPr="0032658A">
              <w:rPr>
                <w:noProof/>
                <w:sz w:val="18"/>
              </w:rPr>
              <w:t>metai</w:t>
            </w:r>
          </w:p>
        </w:tc>
        <w:tc>
          <w:tcPr>
            <w:tcW w:w="900" w:type="dxa"/>
            <w:vAlign w:val="center"/>
          </w:tcPr>
          <w:p w14:paraId="162F19A3" w14:textId="77777777" w:rsidR="00F001BC" w:rsidRPr="0032658A" w:rsidRDefault="00F001BC" w:rsidP="005840B3">
            <w:pPr>
              <w:jc w:val="center"/>
              <w:rPr>
                <w:noProof/>
                <w:sz w:val="18"/>
              </w:rPr>
            </w:pPr>
            <w:r w:rsidRPr="0032658A">
              <w:rPr>
                <w:b/>
                <w:noProof/>
                <w:sz w:val="18"/>
              </w:rPr>
              <w:t>N + 2</w:t>
            </w:r>
            <w:r w:rsidRPr="0032658A">
              <w:rPr>
                <w:noProof/>
              </w:rPr>
              <w:t xml:space="preserve"> </w:t>
            </w:r>
            <w:r w:rsidRPr="0032658A">
              <w:rPr>
                <w:noProof/>
              </w:rPr>
              <w:br/>
            </w:r>
            <w:r w:rsidRPr="0032658A">
              <w:rPr>
                <w:noProof/>
                <w:sz w:val="18"/>
              </w:rPr>
              <w:t>metai</w:t>
            </w:r>
          </w:p>
        </w:tc>
        <w:tc>
          <w:tcPr>
            <w:tcW w:w="1080" w:type="dxa"/>
            <w:vAlign w:val="center"/>
          </w:tcPr>
          <w:p w14:paraId="27F74367" w14:textId="77777777" w:rsidR="00F001BC" w:rsidRPr="0032658A" w:rsidRDefault="00F001BC" w:rsidP="005840B3">
            <w:pPr>
              <w:jc w:val="center"/>
              <w:rPr>
                <w:noProof/>
                <w:sz w:val="18"/>
              </w:rPr>
            </w:pPr>
            <w:r w:rsidRPr="0032658A">
              <w:rPr>
                <w:b/>
                <w:noProof/>
                <w:sz w:val="18"/>
              </w:rPr>
              <w:t>N + 3</w:t>
            </w:r>
            <w:r w:rsidRPr="0032658A">
              <w:rPr>
                <w:noProof/>
              </w:rPr>
              <w:t xml:space="preserve"> </w:t>
            </w:r>
            <w:r w:rsidRPr="0032658A">
              <w:rPr>
                <w:noProof/>
              </w:rPr>
              <w:br/>
            </w:r>
            <w:r w:rsidRPr="0032658A">
              <w:rPr>
                <w:noProof/>
                <w:sz w:val="18"/>
              </w:rPr>
              <w:t>metai</w:t>
            </w:r>
          </w:p>
        </w:tc>
        <w:tc>
          <w:tcPr>
            <w:tcW w:w="3240" w:type="dxa"/>
            <w:gridSpan w:val="3"/>
            <w:vAlign w:val="center"/>
          </w:tcPr>
          <w:p w14:paraId="53E1A14E" w14:textId="77777777" w:rsidR="00F001BC" w:rsidRPr="0032658A" w:rsidRDefault="00F001BC" w:rsidP="005840B3">
            <w:pPr>
              <w:jc w:val="center"/>
              <w:rPr>
                <w:b/>
                <w:noProof/>
                <w:sz w:val="18"/>
              </w:rPr>
            </w:pPr>
            <w:r w:rsidRPr="0032658A">
              <w:rPr>
                <w:noProof/>
                <w:sz w:val="18"/>
              </w:rPr>
              <w:t>Atsižvelgiant į poveikio trukmę įterpti reikiamą metų skaičių (žr. 1.6 punktą)</w:t>
            </w:r>
          </w:p>
        </w:tc>
      </w:tr>
      <w:tr w:rsidR="00F001BC" w:rsidRPr="0032658A" w14:paraId="11F9B556" w14:textId="77777777" w:rsidTr="005840B3">
        <w:trPr>
          <w:trHeight w:val="388"/>
        </w:trPr>
        <w:tc>
          <w:tcPr>
            <w:tcW w:w="2144" w:type="dxa"/>
            <w:vAlign w:val="center"/>
          </w:tcPr>
          <w:p w14:paraId="2863E52A" w14:textId="77777777" w:rsidR="00F001BC" w:rsidRPr="0032658A" w:rsidRDefault="00F001BC" w:rsidP="005840B3">
            <w:pPr>
              <w:spacing w:before="40" w:after="40"/>
              <w:rPr>
                <w:noProof/>
                <w:sz w:val="18"/>
              </w:rPr>
            </w:pPr>
            <w:r w:rsidRPr="0032658A">
              <w:rPr>
                <w:noProof/>
                <w:sz w:val="18"/>
              </w:rPr>
              <w:t>…………. straipsnis</w:t>
            </w:r>
          </w:p>
        </w:tc>
        <w:tc>
          <w:tcPr>
            <w:tcW w:w="1276" w:type="dxa"/>
          </w:tcPr>
          <w:p w14:paraId="1B5B4FBB" w14:textId="77777777" w:rsidR="00F001BC" w:rsidRPr="0032658A" w:rsidRDefault="00F001BC" w:rsidP="005840B3">
            <w:pPr>
              <w:spacing w:beforeLines="40" w:before="96" w:afterLines="40" w:after="96"/>
              <w:jc w:val="center"/>
              <w:rPr>
                <w:i/>
                <w:noProof/>
                <w:sz w:val="18"/>
              </w:rPr>
            </w:pPr>
          </w:p>
        </w:tc>
        <w:tc>
          <w:tcPr>
            <w:tcW w:w="1080" w:type="dxa"/>
          </w:tcPr>
          <w:p w14:paraId="190E79C0" w14:textId="77777777" w:rsidR="00F001BC" w:rsidRPr="0032658A" w:rsidRDefault="00F001BC" w:rsidP="005840B3">
            <w:pPr>
              <w:spacing w:beforeLines="40" w:before="96" w:afterLines="40" w:after="96"/>
              <w:jc w:val="center"/>
              <w:rPr>
                <w:noProof/>
                <w:sz w:val="18"/>
              </w:rPr>
            </w:pPr>
          </w:p>
        </w:tc>
        <w:tc>
          <w:tcPr>
            <w:tcW w:w="900" w:type="dxa"/>
          </w:tcPr>
          <w:p w14:paraId="5B6172CC" w14:textId="77777777" w:rsidR="00F001BC" w:rsidRPr="0032658A" w:rsidRDefault="00F001BC" w:rsidP="005840B3">
            <w:pPr>
              <w:spacing w:beforeLines="40" w:before="96" w:afterLines="40" w:after="96"/>
              <w:jc w:val="center"/>
              <w:rPr>
                <w:noProof/>
                <w:sz w:val="18"/>
              </w:rPr>
            </w:pPr>
          </w:p>
        </w:tc>
        <w:tc>
          <w:tcPr>
            <w:tcW w:w="900" w:type="dxa"/>
          </w:tcPr>
          <w:p w14:paraId="447DD0DA" w14:textId="77777777" w:rsidR="00F001BC" w:rsidRPr="0032658A" w:rsidRDefault="00F001BC" w:rsidP="005840B3">
            <w:pPr>
              <w:spacing w:beforeLines="40" w:before="96" w:afterLines="40" w:after="96"/>
              <w:jc w:val="center"/>
              <w:rPr>
                <w:noProof/>
                <w:sz w:val="18"/>
              </w:rPr>
            </w:pPr>
          </w:p>
        </w:tc>
        <w:tc>
          <w:tcPr>
            <w:tcW w:w="1080" w:type="dxa"/>
          </w:tcPr>
          <w:p w14:paraId="29C225BF" w14:textId="77777777" w:rsidR="00F001BC" w:rsidRPr="0032658A" w:rsidRDefault="00F001BC" w:rsidP="005840B3">
            <w:pPr>
              <w:spacing w:beforeLines="40" w:before="96" w:afterLines="40" w:after="96"/>
              <w:jc w:val="center"/>
              <w:rPr>
                <w:noProof/>
                <w:sz w:val="18"/>
              </w:rPr>
            </w:pPr>
          </w:p>
        </w:tc>
        <w:tc>
          <w:tcPr>
            <w:tcW w:w="1080" w:type="dxa"/>
          </w:tcPr>
          <w:p w14:paraId="182ECF1B" w14:textId="77777777" w:rsidR="00F001BC" w:rsidRPr="0032658A" w:rsidRDefault="00F001BC" w:rsidP="005840B3">
            <w:pPr>
              <w:spacing w:beforeLines="40" w:before="96" w:afterLines="40" w:after="96"/>
              <w:jc w:val="center"/>
              <w:rPr>
                <w:noProof/>
                <w:sz w:val="18"/>
              </w:rPr>
            </w:pPr>
          </w:p>
        </w:tc>
        <w:tc>
          <w:tcPr>
            <w:tcW w:w="1080" w:type="dxa"/>
          </w:tcPr>
          <w:p w14:paraId="56CBF38F" w14:textId="77777777" w:rsidR="00F001BC" w:rsidRPr="0032658A" w:rsidRDefault="00F001BC" w:rsidP="005840B3">
            <w:pPr>
              <w:spacing w:beforeLines="40" w:before="96" w:afterLines="40" w:after="96"/>
              <w:jc w:val="center"/>
              <w:rPr>
                <w:noProof/>
                <w:sz w:val="18"/>
              </w:rPr>
            </w:pPr>
          </w:p>
        </w:tc>
        <w:tc>
          <w:tcPr>
            <w:tcW w:w="1080" w:type="dxa"/>
          </w:tcPr>
          <w:p w14:paraId="694B89FE" w14:textId="77777777" w:rsidR="00F001BC" w:rsidRPr="0032658A" w:rsidRDefault="00F001BC" w:rsidP="005840B3">
            <w:pPr>
              <w:spacing w:beforeLines="40" w:before="96" w:afterLines="40" w:after="96"/>
              <w:jc w:val="center"/>
              <w:rPr>
                <w:noProof/>
                <w:sz w:val="18"/>
              </w:rPr>
            </w:pPr>
          </w:p>
        </w:tc>
      </w:tr>
    </w:tbl>
    <w:p w14:paraId="33AE5279" w14:textId="77777777" w:rsidR="00F001BC" w:rsidRPr="0032658A" w:rsidRDefault="00F001BC" w:rsidP="00F001BC">
      <w:pPr>
        <w:pStyle w:val="Text1"/>
        <w:rPr>
          <w:noProof/>
          <w:sz w:val="20"/>
        </w:rPr>
      </w:pPr>
      <w:r w:rsidRPr="0032658A">
        <w:rPr>
          <w:noProof/>
          <w:sz w:val="20"/>
        </w:rPr>
        <w:t>Įvairių asignuotųjų pajamų atveju nurodyti biudžeto išlaidų eilutę (-es), kuriai (-oms) daromas poveikis.</w:t>
      </w:r>
    </w:p>
    <w:p w14:paraId="419EC892"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p>
    <w:p w14:paraId="03815000" w14:textId="77777777" w:rsidR="00F001BC" w:rsidRPr="0032658A" w:rsidRDefault="00F001BC" w:rsidP="00F001BC">
      <w:pPr>
        <w:pStyle w:val="Text1"/>
        <w:rPr>
          <w:noProof/>
          <w:sz w:val="20"/>
        </w:rPr>
      </w:pPr>
      <w:r w:rsidRPr="0032658A">
        <w:rPr>
          <w:noProof/>
          <w:sz w:val="20"/>
        </w:rPr>
        <w:t>Nurodyti poveikio pajamoms apskaičiavimo metodą.</w:t>
      </w:r>
    </w:p>
    <w:p w14:paraId="12E6C401" w14:textId="77777777" w:rsidR="00F001BC" w:rsidRPr="0032658A" w:rsidRDefault="00F001BC" w:rsidP="00F001BC">
      <w:pPr>
        <w:pStyle w:val="Text1"/>
        <w:pBdr>
          <w:top w:val="single" w:sz="4" w:space="1" w:color="auto"/>
          <w:left w:val="single" w:sz="4" w:space="4" w:color="auto"/>
          <w:bottom w:val="single" w:sz="4" w:space="1" w:color="auto"/>
          <w:right w:val="single" w:sz="4" w:space="4" w:color="auto"/>
        </w:pBdr>
        <w:rPr>
          <w:noProof/>
        </w:rPr>
      </w:pPr>
    </w:p>
    <w:p w14:paraId="39FA1016" w14:textId="77777777" w:rsidR="00267F1A" w:rsidRPr="0032658A" w:rsidRDefault="00267F1A">
      <w:pPr>
        <w:spacing w:before="0" w:after="200" w:line="276" w:lineRule="auto"/>
        <w:jc w:val="left"/>
        <w:rPr>
          <w:i/>
          <w:noProof/>
        </w:rPr>
      </w:pPr>
    </w:p>
    <w:sectPr w:rsidR="00267F1A" w:rsidRPr="0032658A" w:rsidSect="00767E8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E75E2" w14:textId="77777777" w:rsidR="008615F7" w:rsidRDefault="008615F7" w:rsidP="005B3330">
      <w:pPr>
        <w:spacing w:before="0" w:after="0"/>
      </w:pPr>
      <w:r>
        <w:separator/>
      </w:r>
    </w:p>
  </w:endnote>
  <w:endnote w:type="continuationSeparator" w:id="0">
    <w:p w14:paraId="3F8E482D" w14:textId="77777777" w:rsidR="008615F7" w:rsidRDefault="008615F7" w:rsidP="005B33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D328" w14:textId="24718027" w:rsidR="008615F7" w:rsidRPr="00767E81" w:rsidRDefault="00767E81" w:rsidP="00767E81">
    <w:pPr>
      <w:pStyle w:val="Footer"/>
      <w:rPr>
        <w:rFonts w:ascii="Arial" w:hAnsi="Arial" w:cs="Arial"/>
        <w:b/>
        <w:sz w:val="48"/>
      </w:rPr>
    </w:pPr>
    <w:r w:rsidRPr="00767E81">
      <w:rPr>
        <w:rFonts w:ascii="Arial" w:hAnsi="Arial" w:cs="Arial"/>
        <w:b/>
        <w:sz w:val="48"/>
      </w:rPr>
      <w:t>LT</w:t>
    </w:r>
    <w:r w:rsidRPr="00767E81">
      <w:rPr>
        <w:rFonts w:ascii="Arial" w:hAnsi="Arial" w:cs="Arial"/>
        <w:b/>
        <w:sz w:val="48"/>
      </w:rPr>
      <w:tab/>
    </w:r>
    <w:r w:rsidRPr="00767E81">
      <w:rPr>
        <w:rFonts w:ascii="Arial" w:hAnsi="Arial" w:cs="Arial"/>
        <w:b/>
        <w:sz w:val="48"/>
      </w:rPr>
      <w:tab/>
    </w:r>
    <w:r w:rsidRPr="00767E81">
      <w:tab/>
    </w:r>
    <w:r w:rsidRPr="00767E81">
      <w:rPr>
        <w:rFonts w:ascii="Arial" w:hAnsi="Arial" w:cs="Arial"/>
        <w:b/>
        <w:sz w:val="48"/>
      </w:rPr>
      <w:t>LT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A9498" w14:textId="1514929D" w:rsidR="00767E81" w:rsidRPr="00767E81" w:rsidRDefault="00767E81" w:rsidP="00767E81">
    <w:pPr>
      <w:pStyle w:val="Footer"/>
      <w:rPr>
        <w:rFonts w:ascii="Arial" w:hAnsi="Arial" w:cs="Arial"/>
        <w:b/>
        <w:sz w:val="48"/>
      </w:rPr>
    </w:pPr>
    <w:r w:rsidRPr="00767E81">
      <w:rPr>
        <w:rFonts w:ascii="Arial" w:hAnsi="Arial" w:cs="Arial"/>
        <w:b/>
        <w:sz w:val="48"/>
      </w:rPr>
      <w:t>LT</w:t>
    </w:r>
    <w:r w:rsidRPr="00767E81">
      <w:rPr>
        <w:rFonts w:ascii="Arial" w:hAnsi="Arial" w:cs="Arial"/>
        <w:b/>
        <w:sz w:val="48"/>
      </w:rPr>
      <w:tab/>
    </w:r>
    <w:r>
      <w:fldChar w:fldCharType="begin"/>
    </w:r>
    <w:r>
      <w:instrText xml:space="preserve"> PAGE  \* MERGEFORMAT </w:instrText>
    </w:r>
    <w:r>
      <w:fldChar w:fldCharType="separate"/>
    </w:r>
    <w:r w:rsidR="00243A48">
      <w:rPr>
        <w:noProof/>
      </w:rPr>
      <w:t>23</w:t>
    </w:r>
    <w:r>
      <w:fldChar w:fldCharType="end"/>
    </w:r>
    <w:r>
      <w:tab/>
    </w:r>
    <w:r w:rsidRPr="00767E81">
      <w:tab/>
    </w:r>
    <w:r w:rsidRPr="00767E81">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9C1AE" w14:textId="77777777" w:rsidR="00767E81" w:rsidRPr="00767E81" w:rsidRDefault="00767E81" w:rsidP="00767E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B48A0" w14:textId="1808CF23" w:rsidR="001C5481" w:rsidRPr="00767E81" w:rsidRDefault="00767E81" w:rsidP="00767E81">
    <w:pPr>
      <w:pStyle w:val="FooterLandscape"/>
      <w:rPr>
        <w:rFonts w:ascii="Arial" w:hAnsi="Arial" w:cs="Arial"/>
        <w:b/>
        <w:sz w:val="48"/>
      </w:rPr>
    </w:pPr>
    <w:r w:rsidRPr="00767E81">
      <w:rPr>
        <w:rFonts w:ascii="Arial" w:hAnsi="Arial" w:cs="Arial"/>
        <w:b/>
        <w:sz w:val="48"/>
      </w:rPr>
      <w:t>LT</w:t>
    </w:r>
    <w:r w:rsidRPr="00767E81">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67E81">
      <w:tab/>
    </w:r>
    <w:r w:rsidRPr="00767E81">
      <w:rPr>
        <w:rFonts w:ascii="Arial" w:hAnsi="Arial" w:cs="Arial"/>
        <w:b/>
        <w:sz w:val="48"/>
      </w:rPr>
      <w:t>LT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7EAA8" w14:textId="77777777" w:rsidR="00767E81" w:rsidRPr="00767E81" w:rsidRDefault="00767E81" w:rsidP="00767E81">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91E71" w14:textId="1E4E12D4" w:rsidR="00415748" w:rsidRPr="00767E81" w:rsidRDefault="00767E81" w:rsidP="00767E81">
    <w:pPr>
      <w:pStyle w:val="Footer"/>
      <w:rPr>
        <w:rFonts w:ascii="Arial" w:hAnsi="Arial" w:cs="Arial"/>
        <w:b/>
        <w:sz w:val="48"/>
      </w:rPr>
    </w:pPr>
    <w:r w:rsidRPr="00767E81">
      <w:rPr>
        <w:rFonts w:ascii="Arial" w:hAnsi="Arial" w:cs="Arial"/>
        <w:b/>
        <w:sz w:val="48"/>
      </w:rPr>
      <w:t>LT</w:t>
    </w:r>
    <w:r w:rsidRPr="00767E81">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67E81">
      <w:tab/>
    </w:r>
    <w:r w:rsidRPr="00767E81">
      <w:rPr>
        <w:rFonts w:ascii="Arial" w:hAnsi="Arial" w:cs="Arial"/>
        <w:b/>
        <w:sz w:val="48"/>
      </w:rPr>
      <w:t>LT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DB251" w14:textId="77777777" w:rsidR="00767E81" w:rsidRPr="00767E81" w:rsidRDefault="00767E81" w:rsidP="00767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49F78" w14:textId="77777777" w:rsidR="008615F7" w:rsidRDefault="008615F7" w:rsidP="005B3330">
      <w:pPr>
        <w:spacing w:before="0" w:after="0"/>
      </w:pPr>
      <w:r>
        <w:separator/>
      </w:r>
    </w:p>
  </w:footnote>
  <w:footnote w:type="continuationSeparator" w:id="0">
    <w:p w14:paraId="0085A6D4" w14:textId="77777777" w:rsidR="008615F7" w:rsidRDefault="008615F7" w:rsidP="005B3330">
      <w:pPr>
        <w:spacing w:before="0" w:after="0"/>
      </w:pPr>
      <w:r>
        <w:continuationSeparator/>
      </w:r>
    </w:p>
  </w:footnote>
  <w:footnote w:id="1">
    <w:p w14:paraId="5A87C3F9" w14:textId="77777777" w:rsidR="008615F7" w:rsidRPr="00BC7CD6" w:rsidRDefault="008615F7" w:rsidP="003B48CD">
      <w:pPr>
        <w:pStyle w:val="FootnoteText"/>
      </w:pPr>
      <w:r>
        <w:rPr>
          <w:rStyle w:val="FootnoteReference"/>
        </w:rPr>
        <w:footnoteRef/>
      </w:r>
      <w:r>
        <w:tab/>
        <w:t>OL L 131, 2009 5 28, p. 57.</w:t>
      </w:r>
    </w:p>
  </w:footnote>
  <w:footnote w:id="2">
    <w:p w14:paraId="257611EF" w14:textId="77777777" w:rsidR="008615F7" w:rsidRPr="00586426" w:rsidRDefault="008615F7" w:rsidP="005840B3">
      <w:pPr>
        <w:pStyle w:val="FootnoteText"/>
      </w:pPr>
      <w:r>
        <w:rPr>
          <w:rStyle w:val="FootnoteReference"/>
        </w:rPr>
        <w:footnoteRef/>
      </w:r>
      <w:r>
        <w:tab/>
        <w:t>Tarptautinės taisyklės apima Tarptautinę konvenciją dėl žmogaus gyvybės apsaugos jūroje (SOLAS 74), Tarptautinę konvenciją dėl teršimo iš laivų prevencijos (MARPOL 73/78), Tarptautinę konvenciją dėl jūrininkų rengimo, atestavimo ir budėjimo normatyvų (STCW), 1966 m. Tarptautinę konvenciją dėl laivų krovininės vaterlinijos nustatymo, 1972 m. Tarptautines taisykles laivų susidūrimams jūroje išvengti (COLREG 72).</w:t>
      </w:r>
    </w:p>
  </w:footnote>
  <w:footnote w:id="3">
    <w:p w14:paraId="3D9AB592" w14:textId="77777777" w:rsidR="008615F7" w:rsidRPr="00586426" w:rsidRDefault="008615F7" w:rsidP="00CE41A1">
      <w:pPr>
        <w:pStyle w:val="FootnoteText"/>
      </w:pPr>
      <w:r>
        <w:rPr>
          <w:rStyle w:val="FootnoteReference"/>
        </w:rPr>
        <w:footnoteRef/>
      </w:r>
      <w:r>
        <w:tab/>
      </w:r>
      <w:hyperlink r:id="rId1" w:history="1">
        <w:r>
          <w:t>www.parismou.org</w:t>
        </w:r>
      </w:hyperlink>
      <w:r>
        <w:t xml:space="preserve"> </w:t>
      </w:r>
    </w:p>
  </w:footnote>
  <w:footnote w:id="4">
    <w:p w14:paraId="73348145" w14:textId="77777777" w:rsidR="008615F7" w:rsidRPr="00CE41A1" w:rsidRDefault="008615F7">
      <w:pPr>
        <w:pStyle w:val="FootnoteText"/>
      </w:pPr>
      <w:r>
        <w:rPr>
          <w:rStyle w:val="FootnoteReference"/>
        </w:rPr>
        <w:footnoteRef/>
      </w:r>
      <w:r>
        <w:tab/>
        <w:t>Po invazijos į Ukrainą 2022 m. gegužės mėn. Rusijos Federacijos narystė Paryžiaus SM buvo sustabdyta.</w:t>
      </w:r>
    </w:p>
  </w:footnote>
  <w:footnote w:id="5">
    <w:p w14:paraId="40502F19" w14:textId="77777777" w:rsidR="008615F7" w:rsidRPr="00586426" w:rsidRDefault="008615F7" w:rsidP="008212D9">
      <w:pPr>
        <w:pStyle w:val="FootnoteText"/>
      </w:pPr>
      <w:r>
        <w:rPr>
          <w:rStyle w:val="FootnoteReference"/>
        </w:rPr>
        <w:footnoteRef/>
      </w:r>
      <w:r>
        <w:tab/>
        <w:t>Tai sistema, kurios prieglobą vykdo ir kurią tobulina Europos jūrų saugumo agentūra (EMSA), ir ja naudodamosi valstybės narės gali teikti ir gauti informaciją apie laivus ir jų pavojingus krovinius. Joje, be kita ko, pateikiama informacija apie laivo identifikavimą, padėtį ir būklę; išvykimo ir atvykimo laiką; pranešimai apie incidentus, išsami informacija apie pavojingus krovinius.</w:t>
      </w:r>
    </w:p>
  </w:footnote>
  <w:footnote w:id="6">
    <w:p w14:paraId="5F2BB5CF" w14:textId="77777777" w:rsidR="008615F7" w:rsidRPr="00586426" w:rsidRDefault="008615F7" w:rsidP="00A31F84">
      <w:pPr>
        <w:pStyle w:val="FootnoteText"/>
      </w:pPr>
      <w:r>
        <w:rPr>
          <w:rStyle w:val="FootnoteReference"/>
        </w:rPr>
        <w:footnoteRef/>
      </w:r>
      <w:r>
        <w:tab/>
        <w:t>2013 m. rugpjūčio 12 d. Direktyva 2013/38/ES, kuria iš dalies keičiama Direktyva 2009/16/EB dėl uosto valstybės kontrolės (OL L 218, 2013 8 14, p. 1).</w:t>
      </w:r>
    </w:p>
  </w:footnote>
  <w:footnote w:id="7">
    <w:p w14:paraId="2AEABD56" w14:textId="77777777" w:rsidR="008615F7" w:rsidRPr="00586426" w:rsidRDefault="008615F7" w:rsidP="00A31F84">
      <w:pPr>
        <w:pStyle w:val="FootnoteText"/>
      </w:pPr>
      <w:r>
        <w:rPr>
          <w:rStyle w:val="FootnoteReference"/>
        </w:rPr>
        <w:footnoteRef/>
      </w:r>
      <w:r>
        <w:tab/>
        <w:t>2017 m. lapkričio 15 d. Direktyva (ES) 2017/2110 dėl inspektavimo, kuriuo užtikrinamas saugus reguliariąsias paslaugas teikiančių ro-ro keleivinių laivų ir greitaeigių keleivinių laivų eksploatavimas, sistemos ir kuria iš dalies keičiama Direktyva 2009/16/EB ir panaikinama Tarybos direktyva 1999/35/EB (OL L 315, 2017 11 30).</w:t>
      </w:r>
    </w:p>
  </w:footnote>
  <w:footnote w:id="8">
    <w:p w14:paraId="0A6E5EBE" w14:textId="77777777" w:rsidR="008615F7" w:rsidRPr="00586426" w:rsidRDefault="008615F7" w:rsidP="00A31F84">
      <w:pPr>
        <w:pStyle w:val="FootnoteText"/>
      </w:pPr>
      <w:r>
        <w:rPr>
          <w:rStyle w:val="FootnoteReference"/>
        </w:rPr>
        <w:footnoteRef/>
      </w:r>
      <w:r>
        <w:tab/>
        <w:t>2009 m. balandžio 23 d. Europos Parlamento ir Tarybos direktyva 2009/20/EB dėl laivų savininkų atsakomybės pagal jūrinius reikalavimus draudimo (OL L 131, 2009 5 28, p. 128).</w:t>
      </w:r>
    </w:p>
  </w:footnote>
  <w:footnote w:id="9">
    <w:p w14:paraId="473551F9" w14:textId="77777777" w:rsidR="008615F7" w:rsidRPr="00586426" w:rsidRDefault="008615F7" w:rsidP="00A31F84">
      <w:pPr>
        <w:pStyle w:val="FootnoteText"/>
      </w:pPr>
      <w:r>
        <w:rPr>
          <w:rStyle w:val="FootnoteReference"/>
        </w:rPr>
        <w:footnoteRef/>
      </w:r>
      <w:r>
        <w:tab/>
        <w:t>2019 m. balandžio 17 d. Europos Parlamento ir Tarybos direktyva (ES) 2019/883 dėl uosto priėmimo įrenginių, į kuriuos pristatomos laivų atliekos, kuria iš dalies keičiama Direktyva 2010/65/ES ir panaikinama Direktyva 2000/59/EB (OL L 151, 2019 6 7, p. 11).</w:t>
      </w:r>
    </w:p>
  </w:footnote>
  <w:footnote w:id="10">
    <w:p w14:paraId="6396AB13" w14:textId="77777777" w:rsidR="008615F7" w:rsidRPr="00586426" w:rsidRDefault="008615F7" w:rsidP="00A31F84">
      <w:pPr>
        <w:pStyle w:val="FootnoteText"/>
      </w:pPr>
      <w:r>
        <w:rPr>
          <w:rStyle w:val="FootnoteReference"/>
        </w:rPr>
        <w:footnoteRef/>
      </w:r>
      <w:r>
        <w:tab/>
        <w:t>2013 m. lapkričio 20 d. Europos Parlamento ir Tarybos reglamentas (ES) Nr. 1257/2013 dėl laivų perdirbimo, kuriuo iš dalies keičiami Reglamentas (EB) Nr. 1013/2006 ir Direktyva 2009/16/EB (OL L 330, 2013 12 10, p. 1).</w:t>
      </w:r>
    </w:p>
  </w:footnote>
  <w:footnote w:id="11">
    <w:p w14:paraId="262DEE24" w14:textId="77777777" w:rsidR="008615F7" w:rsidRPr="00586426" w:rsidRDefault="008615F7" w:rsidP="00A31F84">
      <w:pPr>
        <w:pStyle w:val="FootnoteText"/>
      </w:pPr>
      <w:r>
        <w:rPr>
          <w:rStyle w:val="FootnoteReference"/>
        </w:rPr>
        <w:footnoteRef/>
      </w:r>
      <w:r>
        <w:tab/>
        <w:t>2015 m. balandžio 29 d. Europos Parlamento ir Tarybos reglamentas (ES) 2015/757 dėl jūrų transporto išmetamo anglies dioksido kiekio stebėsenos, ataskaitų teikimo ir tikrinimo, kuriuo iš dalies keičiama Direktyva 2009/16/EB (OL L 123, 2015 5 19, p. 55).</w:t>
      </w:r>
    </w:p>
  </w:footnote>
  <w:footnote w:id="12">
    <w:p w14:paraId="4B15A6AE" w14:textId="77777777" w:rsidR="008615F7" w:rsidRPr="00586426" w:rsidRDefault="008615F7" w:rsidP="00A31F84">
      <w:pPr>
        <w:pStyle w:val="FootnoteText"/>
      </w:pPr>
      <w:r>
        <w:rPr>
          <w:rStyle w:val="FootnoteReference"/>
        </w:rPr>
        <w:footnoteRef/>
      </w:r>
      <w:r>
        <w:tab/>
        <w:t>2016 m. gegužės 11 d. Europos Parlamento ir Tarybos direktyva (ES) 2016/802 dėl sieros kiekio sumažinimo tam tikrose skystojo kuro rūšyse (kodifikuota redakcija) (OL L 132, 2016 5 21, p. 58).</w:t>
      </w:r>
    </w:p>
  </w:footnote>
  <w:footnote w:id="13">
    <w:p w14:paraId="18A8459E" w14:textId="77777777" w:rsidR="008615F7" w:rsidRPr="00C8711F" w:rsidRDefault="008615F7" w:rsidP="0041008C">
      <w:pPr>
        <w:pStyle w:val="FootnoteText"/>
      </w:pPr>
      <w:r>
        <w:rPr>
          <w:rStyle w:val="FootnoteReference"/>
        </w:rPr>
        <w:footnoteRef/>
      </w:r>
      <w:r>
        <w:tab/>
        <w:t>OL L 131, 2009 5 28, p. 114.</w:t>
      </w:r>
    </w:p>
  </w:footnote>
  <w:footnote w:id="14">
    <w:p w14:paraId="0A83812A" w14:textId="77777777" w:rsidR="008615F7" w:rsidRPr="008F410E" w:rsidRDefault="008615F7">
      <w:pPr>
        <w:pStyle w:val="FootnoteText"/>
      </w:pPr>
      <w:r>
        <w:rPr>
          <w:rStyle w:val="FootnoteReference"/>
        </w:rPr>
        <w:footnoteRef/>
      </w:r>
      <w:r>
        <w:tab/>
        <w:t>OL L 131, 2009 5 28, p. 132.</w:t>
      </w:r>
    </w:p>
  </w:footnote>
  <w:footnote w:id="15">
    <w:p w14:paraId="71FED5A9" w14:textId="77777777" w:rsidR="008615F7" w:rsidRPr="009B423D" w:rsidRDefault="008615F7" w:rsidP="00BA263E">
      <w:pPr>
        <w:pStyle w:val="FootnoteText"/>
      </w:pPr>
      <w:r>
        <w:rPr>
          <w:rStyle w:val="FootnoteReference"/>
        </w:rPr>
        <w:footnoteRef/>
      </w:r>
      <w:r>
        <w:tab/>
        <w:t>Direktyva 2002/59/EB, įdiegianti Bendrijos laivų eismo stebėsenos ir informacijos sistemą (OL L 208, 2002 8 5, p. 10).</w:t>
      </w:r>
    </w:p>
  </w:footnote>
  <w:footnote w:id="16">
    <w:p w14:paraId="5857B771" w14:textId="77777777" w:rsidR="008615F7" w:rsidRPr="005231FB" w:rsidRDefault="008615F7" w:rsidP="00304F61">
      <w:pPr>
        <w:pStyle w:val="FootnoteText"/>
      </w:pPr>
      <w:r>
        <w:rPr>
          <w:rStyle w:val="FootnoteReference"/>
        </w:rPr>
        <w:footnoteRef/>
      </w:r>
      <w:r>
        <w:tab/>
        <w:t>OL L 208, 2002 8 5, p. 1.</w:t>
      </w:r>
    </w:p>
  </w:footnote>
  <w:footnote w:id="17">
    <w:p w14:paraId="38255E6A" w14:textId="77777777" w:rsidR="008615F7" w:rsidRPr="00C23BED" w:rsidRDefault="008615F7" w:rsidP="00304F61">
      <w:pPr>
        <w:pStyle w:val="FootnoteText"/>
      </w:pPr>
      <w:r>
        <w:rPr>
          <w:rStyle w:val="FootnoteReference"/>
        </w:rPr>
        <w:footnoteRef/>
      </w:r>
      <w:r>
        <w:tab/>
        <w:t>OL L 34, 1998 2 9, p. 1.</w:t>
      </w:r>
    </w:p>
  </w:footnote>
  <w:footnote w:id="18">
    <w:p w14:paraId="0CA3E5B9" w14:textId="77777777" w:rsidR="008615F7" w:rsidRPr="009B423D" w:rsidRDefault="008615F7" w:rsidP="00BA263E">
      <w:pPr>
        <w:pStyle w:val="FootnoteText"/>
      </w:pPr>
      <w:r>
        <w:rPr>
          <w:rStyle w:val="FootnoteReference"/>
        </w:rPr>
        <w:footnoteRef/>
      </w:r>
      <w:r>
        <w:tab/>
        <w:t>Reglamentas (EB) Nr. 391/2009 dėl laivų patikrinimo ir apžiūros organizacijų bendrųjų taisyklių ir standartų (OL L 131, 2009 5 28, p. 11) ir Direktyva 2009/15/EB dėl laivų patikrinimo ir apžiūros organizacijų ir atitinkamos jūrų administracijų veiklos bendrųjų taisyklių ir standartų (OL L 131, 2009 5 28, p. 47).</w:t>
      </w:r>
    </w:p>
  </w:footnote>
  <w:footnote w:id="19">
    <w:p w14:paraId="06B09C30" w14:textId="77777777" w:rsidR="008615F7" w:rsidRPr="009B423D" w:rsidRDefault="008615F7" w:rsidP="00BA263E">
      <w:pPr>
        <w:pStyle w:val="FootnoteText"/>
      </w:pPr>
      <w:r>
        <w:rPr>
          <w:rStyle w:val="FootnoteReference"/>
        </w:rPr>
        <w:footnoteRef/>
      </w:r>
      <w:r>
        <w:tab/>
        <w:t>OL L 164, 2008 6 25, p. 19.</w:t>
      </w:r>
    </w:p>
  </w:footnote>
  <w:footnote w:id="20">
    <w:p w14:paraId="406496D5" w14:textId="77777777" w:rsidR="008615F7" w:rsidRPr="009B423D" w:rsidRDefault="008615F7" w:rsidP="000C6A8C">
      <w:pPr>
        <w:pStyle w:val="FootnoteText"/>
      </w:pPr>
      <w:r>
        <w:rPr>
          <w:rStyle w:val="FootnoteReference"/>
        </w:rPr>
        <w:footnoteRef/>
      </w:r>
      <w:r>
        <w:tab/>
        <w:t xml:space="preserve">Pavyzdžiui, Direktyva 92/43/EEB (Buveinių direktyva), Direktyva 2009/147/EB (ES paukščių direktyva), Direktyva (ES) 2019/904 (Vienkartinių plastikinių gaminių direktyva). </w:t>
      </w:r>
    </w:p>
  </w:footnote>
  <w:footnote w:id="21">
    <w:p w14:paraId="6DFB4876" w14:textId="77777777" w:rsidR="008615F7" w:rsidRPr="007E768A" w:rsidRDefault="008615F7" w:rsidP="00285256">
      <w:pPr>
        <w:pStyle w:val="FootnoteText"/>
      </w:pPr>
      <w:r>
        <w:rPr>
          <w:rStyle w:val="FootnoteReference"/>
        </w:rPr>
        <w:footnoteRef/>
      </w:r>
      <w:r>
        <w:tab/>
        <w:t>EMSA vykdo tokius apsilankymus pagal Reglamento (EB) Nr. 1406/2002, įsteigiančio Europos jūrų saugumo agentūrą, 3 straipsnį ir jie yra jos pagrindinių užduočių dalis, todėl nenumatoma jokių papildomų išlaidų.</w:t>
      </w:r>
    </w:p>
  </w:footnote>
  <w:footnote w:id="22">
    <w:p w14:paraId="5C17C3F6" w14:textId="77777777" w:rsidR="008615F7" w:rsidRPr="00285256" w:rsidRDefault="008615F7">
      <w:pPr>
        <w:pStyle w:val="FootnoteText"/>
      </w:pPr>
      <w:r>
        <w:rPr>
          <w:rStyle w:val="FootnoteReference"/>
        </w:rPr>
        <w:footnoteRef/>
      </w:r>
      <w:r>
        <w:tab/>
        <w:t>Kaip numatyta EMSA apsilankymų valstybėse narėse metodikoje, http://emsa.europa.eu/implementation-tasks/visits-and-inspections/items.html?cid=89&amp;id=3065.</w:t>
      </w:r>
    </w:p>
  </w:footnote>
  <w:footnote w:id="23">
    <w:p w14:paraId="16C5A031" w14:textId="465048E0" w:rsidR="008615F7" w:rsidRPr="004A28D2" w:rsidRDefault="008615F7" w:rsidP="007800DD">
      <w:pPr>
        <w:pStyle w:val="FootnoteText"/>
      </w:pPr>
      <w:r>
        <w:rPr>
          <w:rStyle w:val="FootnoteReference"/>
        </w:rPr>
        <w:footnoteRef/>
      </w:r>
      <w:r>
        <w:tab/>
        <w:t>OL C , , p. .</w:t>
      </w:r>
    </w:p>
  </w:footnote>
  <w:footnote w:id="24">
    <w:p w14:paraId="369F39E3" w14:textId="63B44639" w:rsidR="008615F7" w:rsidRPr="004A28D2" w:rsidRDefault="008615F7" w:rsidP="007800DD">
      <w:pPr>
        <w:pStyle w:val="FootnoteText"/>
      </w:pPr>
      <w:r>
        <w:rPr>
          <w:rStyle w:val="FootnoteReference"/>
        </w:rPr>
        <w:footnoteRef/>
      </w:r>
      <w:r>
        <w:tab/>
        <w:t>OL C , , p. .</w:t>
      </w:r>
    </w:p>
  </w:footnote>
  <w:footnote w:id="25">
    <w:p w14:paraId="157C9B40" w14:textId="77777777" w:rsidR="008615F7" w:rsidRPr="007E6B68" w:rsidRDefault="008615F7" w:rsidP="00572511">
      <w:pPr>
        <w:pStyle w:val="FootnoteText"/>
      </w:pPr>
      <w:r>
        <w:rPr>
          <w:rStyle w:val="FootnoteReference"/>
        </w:rPr>
        <w:footnoteRef/>
      </w:r>
      <w:r>
        <w:tab/>
        <w:t>OL L 131, 2009 5 28, p. 57.</w:t>
      </w:r>
    </w:p>
  </w:footnote>
  <w:footnote w:id="26">
    <w:p w14:paraId="685C9B4C" w14:textId="77777777" w:rsidR="008615F7" w:rsidRPr="00AC4F13" w:rsidRDefault="008615F7" w:rsidP="00C67387">
      <w:pPr>
        <w:pStyle w:val="FootnoteText"/>
      </w:pPr>
      <w:r>
        <w:rPr>
          <w:rStyle w:val="FootnoteReference"/>
        </w:rPr>
        <w:footnoteRef/>
      </w:r>
      <w:r>
        <w:tab/>
        <w:t>2009 m. balandžio 23 d. Europos Parlamento ir Tarybos direktyva 2009/21/EB dėl vėliavos valstybės reikalavimų laikymosi (OL L 131, 2009 5 28, p. 132).</w:t>
      </w:r>
    </w:p>
  </w:footnote>
  <w:footnote w:id="27">
    <w:p w14:paraId="43BEA387" w14:textId="77777777" w:rsidR="008615F7" w:rsidRPr="00AC4F13" w:rsidRDefault="008615F7" w:rsidP="007E0A64">
      <w:pPr>
        <w:pStyle w:val="FootnoteText"/>
      </w:pPr>
      <w:r>
        <w:rPr>
          <w:rStyle w:val="FootnoteReference"/>
        </w:rPr>
        <w:footnoteRef/>
      </w:r>
      <w:r>
        <w:tab/>
        <w:t>OL L 123, 2016 5 12, p. 1.</w:t>
      </w:r>
    </w:p>
  </w:footnote>
  <w:footnote w:id="28">
    <w:p w14:paraId="0394419F" w14:textId="77777777" w:rsidR="008615F7" w:rsidRPr="000162E9" w:rsidRDefault="008615F7">
      <w:pPr>
        <w:pStyle w:val="FootnoteText"/>
      </w:pPr>
      <w:r>
        <w:rPr>
          <w:rStyle w:val="FootnoteReference"/>
        </w:rPr>
        <w:footnoteRef/>
      </w:r>
      <w:r>
        <w:tab/>
        <w:t>2011 m. vasario 16 d. Europos Parlamento ir Tarybos reglamentas (ES) Nr. 182/2011, kuriuo nustatomos valstybių narių vykdomos Komisijos naudojimosi įgyvendinimo įgaliojimais kontrolės mechanizmų taisyklės ir bendrieji principai (OL L 55, 2011 2 28, p. 13).</w:t>
      </w:r>
    </w:p>
  </w:footnote>
  <w:footnote w:id="29">
    <w:p w14:paraId="69A6207D" w14:textId="77777777" w:rsidR="008615F7" w:rsidRPr="00363592" w:rsidRDefault="008615F7">
      <w:pPr>
        <w:pStyle w:val="FootnoteText"/>
      </w:pPr>
      <w:r>
        <w:rPr>
          <w:rStyle w:val="FootnoteReference"/>
        </w:rPr>
        <w:footnoteRef/>
      </w:r>
      <w:r>
        <w:tab/>
        <w:t>2009 m. balandžio 23 d. Europos Parlamento ir Tarybos reglamentas (EB) Nr. 391/2009 dėl laivų patikrinimo ir apžiūros organizacijų bendrųjų taisyklių ir standartų (OL L 131, 2009 5 28, p. 11).</w:t>
      </w:r>
    </w:p>
  </w:footnote>
  <w:footnote w:id="30">
    <w:p w14:paraId="2539504D" w14:textId="77777777" w:rsidR="008615F7" w:rsidRPr="00363592" w:rsidRDefault="008615F7">
      <w:pPr>
        <w:pStyle w:val="FootnoteText"/>
      </w:pPr>
      <w:r>
        <w:rPr>
          <w:rStyle w:val="FootnoteReference"/>
        </w:rPr>
        <w:footnoteRef/>
      </w:r>
      <w:r>
        <w:tab/>
        <w:t>2019 m. balandžio 17 d. Europos Parlamento ir Tarybos direktyva (ES) 2019/883 dėl uosto priėmimo įrenginių, į kuriuos pristatomos laivų atliekos (OL L 151, 2019 6 7, p. 116).</w:t>
      </w:r>
    </w:p>
  </w:footnote>
  <w:footnote w:id="31">
    <w:p w14:paraId="22CA5B3D" w14:textId="77777777" w:rsidR="008615F7" w:rsidRDefault="008615F7" w:rsidP="00F001BC">
      <w:pPr>
        <w:pStyle w:val="FootnoteText"/>
      </w:pPr>
      <w:r>
        <w:rPr>
          <w:rStyle w:val="FootnoteReference"/>
        </w:rPr>
        <w:footnoteRef/>
      </w:r>
      <w:r>
        <w:tab/>
        <w:t>Kaip nurodyta Finansinio reglamento 58 straipsnio 2 dalies a arba b punkte.</w:t>
      </w:r>
    </w:p>
  </w:footnote>
  <w:footnote w:id="32">
    <w:p w14:paraId="481AEEA7" w14:textId="77777777" w:rsidR="008615F7" w:rsidRDefault="008615F7" w:rsidP="00F001BC">
      <w:pPr>
        <w:pStyle w:val="FootnoteText"/>
      </w:pPr>
      <w:r>
        <w:rPr>
          <w:rStyle w:val="FootnoteReference"/>
        </w:rPr>
        <w:footnoteRef/>
      </w:r>
      <w:r>
        <w:tab/>
        <w:t xml:space="preserve">Informacija apie biudžeto vykdymo metodus ir nuorodos į Finansinį reglamentą pateikiamos svetainėje „BUDGpedia“: </w:t>
      </w:r>
      <w:hyperlink r:id="rId2" w:history="1">
        <w:r>
          <w:rPr>
            <w:rStyle w:val="Hyperlink"/>
          </w:rPr>
          <w:t>https://myintracomm.ec.europa.eu/corp/budget/financial-rules/budget-implementation/Pages/implementation-methods.aspx</w:t>
        </w:r>
      </w:hyperlink>
      <w:r>
        <w:t>.</w:t>
      </w:r>
    </w:p>
    <w:p w14:paraId="4C425F0C" w14:textId="77777777" w:rsidR="008615F7" w:rsidRDefault="008615F7" w:rsidP="00F001BC">
      <w:pPr>
        <w:pStyle w:val="FootnoteText"/>
      </w:pPr>
    </w:p>
  </w:footnote>
  <w:footnote w:id="33">
    <w:p w14:paraId="29453C28" w14:textId="77777777" w:rsidR="008615F7" w:rsidRDefault="008615F7" w:rsidP="00F001BC">
      <w:pPr>
        <w:pStyle w:val="FootnoteText"/>
      </w:pPr>
      <w:r>
        <w:rPr>
          <w:rStyle w:val="FootnoteReference"/>
        </w:rPr>
        <w:footnoteRef/>
      </w:r>
      <w:r>
        <w:tab/>
        <w:t>DA – diferencijuotieji asignavimai, NDA – nediferencijuotieji asignavimai.</w:t>
      </w:r>
    </w:p>
  </w:footnote>
  <w:footnote w:id="34">
    <w:p w14:paraId="60219A7A" w14:textId="77777777" w:rsidR="008615F7" w:rsidRDefault="008615F7" w:rsidP="00F001BC">
      <w:pPr>
        <w:pStyle w:val="FootnoteText"/>
      </w:pPr>
      <w:r>
        <w:rPr>
          <w:rStyle w:val="FootnoteReference"/>
        </w:rPr>
        <w:footnoteRef/>
      </w:r>
      <w:r>
        <w:tab/>
        <w:t xml:space="preserve">ELPA – Europos laisvosios prekybos asociacija. </w:t>
      </w:r>
    </w:p>
  </w:footnote>
  <w:footnote w:id="35">
    <w:p w14:paraId="04303342" w14:textId="77777777" w:rsidR="008615F7" w:rsidRDefault="008615F7" w:rsidP="00F001BC">
      <w:pPr>
        <w:pStyle w:val="FootnoteText"/>
      </w:pPr>
      <w:r>
        <w:rPr>
          <w:rStyle w:val="FootnoteReference"/>
        </w:rPr>
        <w:footnoteRef/>
      </w:r>
      <w:r>
        <w:tab/>
        <w:t>Valstybių kandidačių ir, kai taikoma, Vakarų Balkanų potencialių kandidačių.</w:t>
      </w:r>
    </w:p>
  </w:footnote>
  <w:footnote w:id="36">
    <w:p w14:paraId="482B24E5" w14:textId="77777777" w:rsidR="008615F7" w:rsidRDefault="008615F7" w:rsidP="00F001BC">
      <w:pPr>
        <w:pStyle w:val="FootnoteText"/>
      </w:pPr>
      <w:r>
        <w:rPr>
          <w:rStyle w:val="FootnoteReference"/>
        </w:rPr>
        <w:footnoteRef/>
      </w:r>
      <w:r>
        <w:tab/>
        <w:t>Atlikti darbai – tai būsimi produktai ir paslaugos (pvz., finansuota studentų mainų, nutiesta kelių kilometrų ir kt.).</w:t>
      </w:r>
    </w:p>
  </w:footnote>
  <w:footnote w:id="37">
    <w:p w14:paraId="3A334EB1" w14:textId="77777777" w:rsidR="008615F7" w:rsidRDefault="008615F7" w:rsidP="00F001BC">
      <w:pPr>
        <w:pStyle w:val="FootnoteText"/>
      </w:pPr>
      <w:r>
        <w:rPr>
          <w:rStyle w:val="FootnoteReference"/>
        </w:rPr>
        <w:footnoteRef/>
      </w:r>
      <w:r>
        <w:tab/>
        <w:t>Kaip apibūdinta 1.4.2 skirsnyje „Konkretus (-ūs) tikslas (-ai) ...“.</w:t>
      </w:r>
    </w:p>
  </w:footnote>
  <w:footnote w:id="38">
    <w:p w14:paraId="5D5EAC8C" w14:textId="77777777" w:rsidR="008615F7" w:rsidRDefault="008615F7" w:rsidP="00F001BC">
      <w:pPr>
        <w:pStyle w:val="FootnoteText"/>
      </w:pPr>
      <w:r>
        <w:rPr>
          <w:rStyle w:val="FootnoteReference"/>
        </w:rPr>
        <w:footnoteRef/>
      </w:r>
      <w:r>
        <w:tab/>
        <w:t xml:space="preserve">AC – sutartininkas, AL – vietinis darbuotojas, END – deleguotasis nacionalinis ekspertas, INT – per agentūrą įdarbintas darbuotojas, JPD – jaunesnysis delegacijos specialistas. </w:t>
      </w:r>
    </w:p>
  </w:footnote>
  <w:footnote w:id="39">
    <w:p w14:paraId="140E654F" w14:textId="77777777" w:rsidR="008615F7" w:rsidRDefault="008615F7" w:rsidP="00F001BC">
      <w:pPr>
        <w:pStyle w:val="FootnoteText"/>
      </w:pPr>
      <w:r>
        <w:rPr>
          <w:rStyle w:val="FootnoteReference"/>
        </w:rPr>
        <w:footnoteRef/>
      </w:r>
      <w:r>
        <w:tab/>
        <w:t>Neviršijant viršutinės ribos, nustatytos išorės darbuotojams, finansuojamiems iš veiklos asignavimų (buvusių BA eilučių).</w:t>
      </w:r>
    </w:p>
  </w:footnote>
  <w:footnote w:id="40">
    <w:p w14:paraId="07513123" w14:textId="77777777" w:rsidR="008615F7" w:rsidRDefault="008615F7" w:rsidP="00F001BC">
      <w:pPr>
        <w:pStyle w:val="FootnoteText"/>
      </w:pPr>
      <w:r>
        <w:rPr>
          <w:rStyle w:val="FootnoteReference"/>
        </w:rPr>
        <w:footnoteRef/>
      </w:r>
      <w:r>
        <w:tab/>
        <w:t xml:space="preserve">Daugiausia ES sanglaudos politikos fondams, Europos žemės ūkio fondui kaimo plėtrai (EŽŪFKP) ir Europos jūrų reikalų, žuvininkystės ir akvakultūros fondui (EJRŽAF).  </w:t>
      </w:r>
    </w:p>
    <w:p w14:paraId="50D6D059" w14:textId="77777777" w:rsidR="008615F7" w:rsidRPr="001D4F31" w:rsidRDefault="008615F7" w:rsidP="00F001BC">
      <w:pPr>
        <w:pStyle w:val="FootnoteText"/>
      </w:pPr>
    </w:p>
  </w:footnote>
  <w:footnote w:id="41">
    <w:p w14:paraId="5C03CEDB" w14:textId="77777777" w:rsidR="008615F7" w:rsidRDefault="008615F7" w:rsidP="00F001BC">
      <w:pPr>
        <w:pStyle w:val="FootnoteText"/>
      </w:pPr>
      <w:r>
        <w:rPr>
          <w:rStyle w:val="FootnoteReference"/>
        </w:rPr>
        <w:footnoteRef/>
      </w:r>
      <w:r>
        <w:tab/>
        <w:t>Žr. 2020 m. gruodžio 17 d. Tarybos reglamento (ES, Euratomas) 2093/2020, kuriuo nustatoma 2021–2027 m. daugiametė finansinė programa, 12 ir 13 straipsnius.</w:t>
      </w:r>
    </w:p>
  </w:footnote>
  <w:footnote w:id="42">
    <w:p w14:paraId="19239050" w14:textId="77777777" w:rsidR="008615F7" w:rsidRDefault="008615F7" w:rsidP="00F001BC">
      <w:pPr>
        <w:pStyle w:val="FootnoteText"/>
      </w:pPr>
      <w:r>
        <w:rPr>
          <w:rStyle w:val="FootnoteReference"/>
        </w:rPr>
        <w:footnoteRef/>
      </w:r>
      <w:r>
        <w:tab/>
        <w:t>Tradiciniai nuosavi ištekliai (muitai, cukraus mokesčiai) turi būti nurodomi grynosiomis sumomis, t. y. iš bendros sumos atskaičius 20 % surinkimo sąnaudų.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9E55" w14:textId="77777777" w:rsidR="001C5481" w:rsidRPr="001C5481" w:rsidRDefault="001C5481" w:rsidP="00767E81">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7C5D5" w14:textId="77777777" w:rsidR="00767E81" w:rsidRPr="00767E81" w:rsidRDefault="00767E81" w:rsidP="00767E81">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DE30D" w14:textId="77777777" w:rsidR="00415748" w:rsidRPr="001C5481" w:rsidRDefault="00415748" w:rsidP="00767E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57198" w14:textId="77777777" w:rsidR="00767E81" w:rsidRPr="00767E81" w:rsidRDefault="00767E81" w:rsidP="00767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2720B1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146C3E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4C21EA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9ACC9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BDA070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E16B6D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34208E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12A215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2" w15:restartNumberingAfterBreak="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0"/>
    <w:lvlOverride w:ilvl="0">
      <w:startOverride w:val="1"/>
    </w:lvlOverride>
  </w:num>
  <w:num w:numId="8">
    <w:abstractNumId w:val="26"/>
    <w:lvlOverride w:ilvl="0">
      <w:startOverride w:val="1"/>
    </w:lvlOverride>
  </w:num>
  <w:num w:numId="9">
    <w:abstractNumId w:val="2"/>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2"/>
  </w:num>
  <w:num w:numId="16">
    <w:abstractNumId w:val="17"/>
  </w:num>
  <w:num w:numId="17">
    <w:abstractNumId w:val="21"/>
  </w:num>
  <w:num w:numId="18">
    <w:abstractNumId w:val="20"/>
    <w:lvlOverride w:ilvl="0">
      <w:startOverride w:val="1"/>
    </w:lvlOverride>
  </w:num>
  <w:num w:numId="19">
    <w:abstractNumId w:val="20"/>
  </w:num>
  <w:num w:numId="20">
    <w:abstractNumId w:val="12"/>
  </w:num>
  <w:num w:numId="21">
    <w:abstractNumId w:val="24"/>
  </w:num>
  <w:num w:numId="22">
    <w:abstractNumId w:val="11"/>
  </w:num>
  <w:num w:numId="23">
    <w:abstractNumId w:val="13"/>
  </w:num>
  <w:num w:numId="24">
    <w:abstractNumId w:val="14"/>
  </w:num>
  <w:num w:numId="25">
    <w:abstractNumId w:val="9"/>
  </w:num>
  <w:num w:numId="26">
    <w:abstractNumId w:val="23"/>
  </w:num>
  <w:num w:numId="27">
    <w:abstractNumId w:val="8"/>
  </w:num>
  <w:num w:numId="28">
    <w:abstractNumId w:val="15"/>
  </w:num>
  <w:num w:numId="29">
    <w:abstractNumId w:val="18"/>
  </w:num>
  <w:num w:numId="30">
    <w:abstractNumId w:val="19"/>
  </w:num>
  <w:num w:numId="31">
    <w:abstractNumId w:val="10"/>
  </w:num>
  <w:num w:numId="32">
    <w:abstractNumId w:val="16"/>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ttachedTemplate r:id="rId1"/>
  <w:revisionView w:markup="0"/>
  <w:defaultTabStop w:val="720"/>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03 14:41:0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9B40ECC-712F-4FCE-9A58-9228CE0D2E5A"/>
    <w:docVar w:name="LW_COVERPAGE_TYPE" w:val="1"/>
    <w:docVar w:name="LW_CROSSREFERENCE" w:val="{SEC(2023) 202 final} - {SWD(2023) 148 final} - {SWD(2023) 149 final}"/>
    <w:docVar w:name="LW_DocType" w:val="COM"/>
    <w:docVar w:name="LW_EMISSION" w:val="2023 06 01"/>
    <w:docVar w:name="LW_EMISSION_ISODATE" w:val="2023-06-01"/>
    <w:docVar w:name="LW_EMISSION_LOCATION" w:val="BRX"/>
    <w:docVar w:name="LW_EMISSION_PREFIX" w:val="Briuseli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kstas svarbus EEE)"/>
    <w:docVar w:name="LW_LANGUE" w:val="LT"/>
    <w:docVar w:name="LW_LEVEL_OF_SENSITIVITY" w:val="Standard treatment"/>
    <w:docVar w:name="LW_NOM.INST" w:val="EUROPOS KOMISIJA"/>
    <w:docVar w:name="LW_NOM.INST_JOINTDOC" w:val="&lt;EMPTY&gt;"/>
    <w:docVar w:name="LW_PART_NBR" w:val="1"/>
    <w:docVar w:name="LW_PART_NBR_TOTAL" w:val="1"/>
    <w:docVar w:name="LW_REF.II.NEW.CP" w:val="COD"/>
    <w:docVar w:name="LW_REF.II.NEW.CP_NUMBER" w:val="0165"/>
    <w:docVar w:name="LW_REF.II.NEW.CP_YEAR" w:val="2023"/>
    <w:docVar w:name="LW_REF.INST.NEW" w:val="COM"/>
    <w:docVar w:name="LW_REF.INST.NEW_ADOPTED" w:val="final"/>
    <w:docVar w:name="LW_REF.INST.NEW_TEXT" w:val="(2023) 27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asiūlymas"/>
    <w:docVar w:name="LW_SUPERTITRE" w:val="&lt;UNUSED&gt;"/>
    <w:docVar w:name="LW_TITRE.OBJ.CP" w:val="kuria iš dalies keičiama Direktyva 2009/16/EB dėl uosto valstybės kontrolės"/>
    <w:docVar w:name="LW_TYPE.DOC.CP" w:val="EUROPOS PARLAMENTO IR TARYBOS DIREKTYVA"/>
    <w:docVar w:name="LwApiVersions" w:val="LW4CoDe 1.23.2.0; LW 8.0, Build 20211117"/>
  </w:docVars>
  <w:rsids>
    <w:rsidRoot w:val="005B3330"/>
    <w:rsid w:val="00002C9B"/>
    <w:rsid w:val="00002D11"/>
    <w:rsid w:val="00010F5D"/>
    <w:rsid w:val="00012E16"/>
    <w:rsid w:val="0001405B"/>
    <w:rsid w:val="0001549A"/>
    <w:rsid w:val="000162E9"/>
    <w:rsid w:val="0002208E"/>
    <w:rsid w:val="00023BC3"/>
    <w:rsid w:val="00024483"/>
    <w:rsid w:val="000251DB"/>
    <w:rsid w:val="0002571D"/>
    <w:rsid w:val="00025A4C"/>
    <w:rsid w:val="0002622D"/>
    <w:rsid w:val="00027510"/>
    <w:rsid w:val="00035B4F"/>
    <w:rsid w:val="0003726E"/>
    <w:rsid w:val="00037886"/>
    <w:rsid w:val="0004039E"/>
    <w:rsid w:val="0004052B"/>
    <w:rsid w:val="0004095A"/>
    <w:rsid w:val="00041596"/>
    <w:rsid w:val="000452C3"/>
    <w:rsid w:val="0004569C"/>
    <w:rsid w:val="000466C9"/>
    <w:rsid w:val="000547A8"/>
    <w:rsid w:val="000601B7"/>
    <w:rsid w:val="000615E9"/>
    <w:rsid w:val="000670A0"/>
    <w:rsid w:val="00070564"/>
    <w:rsid w:val="00070AF3"/>
    <w:rsid w:val="00072F72"/>
    <w:rsid w:val="0007713D"/>
    <w:rsid w:val="00077A25"/>
    <w:rsid w:val="000807A9"/>
    <w:rsid w:val="00081086"/>
    <w:rsid w:val="00083E1E"/>
    <w:rsid w:val="0008430D"/>
    <w:rsid w:val="00084AC4"/>
    <w:rsid w:val="00085CF2"/>
    <w:rsid w:val="000866F8"/>
    <w:rsid w:val="00086E7E"/>
    <w:rsid w:val="00091353"/>
    <w:rsid w:val="000914C6"/>
    <w:rsid w:val="00092280"/>
    <w:rsid w:val="000933D3"/>
    <w:rsid w:val="000958D2"/>
    <w:rsid w:val="00096119"/>
    <w:rsid w:val="00096C75"/>
    <w:rsid w:val="000971DF"/>
    <w:rsid w:val="000A0F35"/>
    <w:rsid w:val="000A10F4"/>
    <w:rsid w:val="000A1787"/>
    <w:rsid w:val="000A3963"/>
    <w:rsid w:val="000A45F3"/>
    <w:rsid w:val="000A7517"/>
    <w:rsid w:val="000B2F20"/>
    <w:rsid w:val="000B554D"/>
    <w:rsid w:val="000B730D"/>
    <w:rsid w:val="000C535B"/>
    <w:rsid w:val="000C5DB8"/>
    <w:rsid w:val="000C6A8C"/>
    <w:rsid w:val="000C6B7C"/>
    <w:rsid w:val="000C7A77"/>
    <w:rsid w:val="000D3328"/>
    <w:rsid w:val="000D6544"/>
    <w:rsid w:val="000D6C53"/>
    <w:rsid w:val="000D6EFF"/>
    <w:rsid w:val="000E0796"/>
    <w:rsid w:val="000E198E"/>
    <w:rsid w:val="000E251E"/>
    <w:rsid w:val="000E3000"/>
    <w:rsid w:val="000E30B0"/>
    <w:rsid w:val="000E5042"/>
    <w:rsid w:val="000E5692"/>
    <w:rsid w:val="000E625C"/>
    <w:rsid w:val="000F233C"/>
    <w:rsid w:val="000F47C0"/>
    <w:rsid w:val="000F5051"/>
    <w:rsid w:val="000F66F8"/>
    <w:rsid w:val="000F6F1B"/>
    <w:rsid w:val="000F7360"/>
    <w:rsid w:val="000F7894"/>
    <w:rsid w:val="0010093C"/>
    <w:rsid w:val="00100B02"/>
    <w:rsid w:val="00101A7E"/>
    <w:rsid w:val="00102474"/>
    <w:rsid w:val="001118B6"/>
    <w:rsid w:val="001127F3"/>
    <w:rsid w:val="001128BF"/>
    <w:rsid w:val="0011310E"/>
    <w:rsid w:val="001149F4"/>
    <w:rsid w:val="00115FC8"/>
    <w:rsid w:val="001206A7"/>
    <w:rsid w:val="00121864"/>
    <w:rsid w:val="00121D1B"/>
    <w:rsid w:val="0012401E"/>
    <w:rsid w:val="0012526F"/>
    <w:rsid w:val="00125AE1"/>
    <w:rsid w:val="001276D9"/>
    <w:rsid w:val="00132DD9"/>
    <w:rsid w:val="00133872"/>
    <w:rsid w:val="00134872"/>
    <w:rsid w:val="001373CB"/>
    <w:rsid w:val="001503E7"/>
    <w:rsid w:val="00150BA3"/>
    <w:rsid w:val="00151230"/>
    <w:rsid w:val="00153647"/>
    <w:rsid w:val="00156A75"/>
    <w:rsid w:val="00161AE0"/>
    <w:rsid w:val="001631E7"/>
    <w:rsid w:val="0016347A"/>
    <w:rsid w:val="00167041"/>
    <w:rsid w:val="001678FB"/>
    <w:rsid w:val="00171078"/>
    <w:rsid w:val="0017114A"/>
    <w:rsid w:val="0017134F"/>
    <w:rsid w:val="00173542"/>
    <w:rsid w:val="00173546"/>
    <w:rsid w:val="00173B52"/>
    <w:rsid w:val="00174AE9"/>
    <w:rsid w:val="001759F1"/>
    <w:rsid w:val="00175B5D"/>
    <w:rsid w:val="0018065F"/>
    <w:rsid w:val="00181AD8"/>
    <w:rsid w:val="00182E30"/>
    <w:rsid w:val="001844F0"/>
    <w:rsid w:val="00190237"/>
    <w:rsid w:val="00190930"/>
    <w:rsid w:val="00192D62"/>
    <w:rsid w:val="0019469C"/>
    <w:rsid w:val="0019719B"/>
    <w:rsid w:val="00197C26"/>
    <w:rsid w:val="001A27C3"/>
    <w:rsid w:val="001A3534"/>
    <w:rsid w:val="001A3896"/>
    <w:rsid w:val="001A45D5"/>
    <w:rsid w:val="001B2032"/>
    <w:rsid w:val="001B2B27"/>
    <w:rsid w:val="001B30BD"/>
    <w:rsid w:val="001B5150"/>
    <w:rsid w:val="001B68A4"/>
    <w:rsid w:val="001B6F52"/>
    <w:rsid w:val="001B6F72"/>
    <w:rsid w:val="001B77AF"/>
    <w:rsid w:val="001C0305"/>
    <w:rsid w:val="001C2816"/>
    <w:rsid w:val="001C3985"/>
    <w:rsid w:val="001C451B"/>
    <w:rsid w:val="001C4641"/>
    <w:rsid w:val="001C5481"/>
    <w:rsid w:val="001C5F61"/>
    <w:rsid w:val="001C6FE1"/>
    <w:rsid w:val="001C744B"/>
    <w:rsid w:val="001C74FF"/>
    <w:rsid w:val="001D12BB"/>
    <w:rsid w:val="001D266C"/>
    <w:rsid w:val="001D42D8"/>
    <w:rsid w:val="001D464C"/>
    <w:rsid w:val="001D4AA3"/>
    <w:rsid w:val="001D51F8"/>
    <w:rsid w:val="001D5D70"/>
    <w:rsid w:val="001D6B42"/>
    <w:rsid w:val="001D7E51"/>
    <w:rsid w:val="001E04B2"/>
    <w:rsid w:val="001E1372"/>
    <w:rsid w:val="001E17F6"/>
    <w:rsid w:val="001E1EB3"/>
    <w:rsid w:val="001E46B8"/>
    <w:rsid w:val="001E633B"/>
    <w:rsid w:val="001F09EB"/>
    <w:rsid w:val="001F14C6"/>
    <w:rsid w:val="001F2E65"/>
    <w:rsid w:val="002000AA"/>
    <w:rsid w:val="002004A5"/>
    <w:rsid w:val="00201995"/>
    <w:rsid w:val="00202F34"/>
    <w:rsid w:val="002034E8"/>
    <w:rsid w:val="00203BA4"/>
    <w:rsid w:val="002041BB"/>
    <w:rsid w:val="002052C5"/>
    <w:rsid w:val="00205CF5"/>
    <w:rsid w:val="00206B4C"/>
    <w:rsid w:val="00207041"/>
    <w:rsid w:val="00207ACF"/>
    <w:rsid w:val="00207E19"/>
    <w:rsid w:val="002130D2"/>
    <w:rsid w:val="00214EF3"/>
    <w:rsid w:val="00215C01"/>
    <w:rsid w:val="00221BF0"/>
    <w:rsid w:val="002220C7"/>
    <w:rsid w:val="00222E00"/>
    <w:rsid w:val="002237C6"/>
    <w:rsid w:val="002260BE"/>
    <w:rsid w:val="00232E98"/>
    <w:rsid w:val="002332AC"/>
    <w:rsid w:val="002336BA"/>
    <w:rsid w:val="00234E29"/>
    <w:rsid w:val="002361DF"/>
    <w:rsid w:val="00241DEF"/>
    <w:rsid w:val="002430F2"/>
    <w:rsid w:val="00243A48"/>
    <w:rsid w:val="00244CE7"/>
    <w:rsid w:val="00244E7B"/>
    <w:rsid w:val="002562EB"/>
    <w:rsid w:val="00260AA7"/>
    <w:rsid w:val="00262D6A"/>
    <w:rsid w:val="00262E74"/>
    <w:rsid w:val="00263B01"/>
    <w:rsid w:val="00266E74"/>
    <w:rsid w:val="00266FE8"/>
    <w:rsid w:val="00267F1A"/>
    <w:rsid w:val="00270016"/>
    <w:rsid w:val="002702A9"/>
    <w:rsid w:val="00270ACF"/>
    <w:rsid w:val="00270DE4"/>
    <w:rsid w:val="00271E0D"/>
    <w:rsid w:val="00273F19"/>
    <w:rsid w:val="0027418B"/>
    <w:rsid w:val="00274D16"/>
    <w:rsid w:val="00274E0D"/>
    <w:rsid w:val="0027697F"/>
    <w:rsid w:val="00276E6C"/>
    <w:rsid w:val="00285256"/>
    <w:rsid w:val="00285A8C"/>
    <w:rsid w:val="00285C45"/>
    <w:rsid w:val="002864AB"/>
    <w:rsid w:val="00286EE2"/>
    <w:rsid w:val="00287FD0"/>
    <w:rsid w:val="00292074"/>
    <w:rsid w:val="0029291A"/>
    <w:rsid w:val="00294252"/>
    <w:rsid w:val="00295B8B"/>
    <w:rsid w:val="00295CB6"/>
    <w:rsid w:val="00296CCC"/>
    <w:rsid w:val="00297899"/>
    <w:rsid w:val="002A3B06"/>
    <w:rsid w:val="002A5CEC"/>
    <w:rsid w:val="002A617A"/>
    <w:rsid w:val="002B04F9"/>
    <w:rsid w:val="002B2FFF"/>
    <w:rsid w:val="002B374D"/>
    <w:rsid w:val="002B426B"/>
    <w:rsid w:val="002B5181"/>
    <w:rsid w:val="002C08E4"/>
    <w:rsid w:val="002D7BE6"/>
    <w:rsid w:val="002E0790"/>
    <w:rsid w:val="002E180B"/>
    <w:rsid w:val="002E42FF"/>
    <w:rsid w:val="002E443C"/>
    <w:rsid w:val="002E44BA"/>
    <w:rsid w:val="002E616C"/>
    <w:rsid w:val="002E6F5F"/>
    <w:rsid w:val="002E775F"/>
    <w:rsid w:val="002F012D"/>
    <w:rsid w:val="002F014D"/>
    <w:rsid w:val="002F0EE3"/>
    <w:rsid w:val="002F36DA"/>
    <w:rsid w:val="002F4CD6"/>
    <w:rsid w:val="00301CF6"/>
    <w:rsid w:val="0030366C"/>
    <w:rsid w:val="00303EA3"/>
    <w:rsid w:val="00304F61"/>
    <w:rsid w:val="00310D55"/>
    <w:rsid w:val="00311FB8"/>
    <w:rsid w:val="00314011"/>
    <w:rsid w:val="00316592"/>
    <w:rsid w:val="003170B6"/>
    <w:rsid w:val="00317CDF"/>
    <w:rsid w:val="0032001C"/>
    <w:rsid w:val="0032310D"/>
    <w:rsid w:val="00323ADF"/>
    <w:rsid w:val="00324A30"/>
    <w:rsid w:val="00325285"/>
    <w:rsid w:val="0032658A"/>
    <w:rsid w:val="003347D1"/>
    <w:rsid w:val="00334F7C"/>
    <w:rsid w:val="00335B76"/>
    <w:rsid w:val="00340D1E"/>
    <w:rsid w:val="00346F5E"/>
    <w:rsid w:val="00347BF8"/>
    <w:rsid w:val="003503C3"/>
    <w:rsid w:val="00351037"/>
    <w:rsid w:val="003516BB"/>
    <w:rsid w:val="00351858"/>
    <w:rsid w:val="00351C23"/>
    <w:rsid w:val="00354D48"/>
    <w:rsid w:val="003562AE"/>
    <w:rsid w:val="00357F1E"/>
    <w:rsid w:val="00363592"/>
    <w:rsid w:val="003636BF"/>
    <w:rsid w:val="003643FC"/>
    <w:rsid w:val="00364F45"/>
    <w:rsid w:val="00371DA9"/>
    <w:rsid w:val="0037297B"/>
    <w:rsid w:val="00375395"/>
    <w:rsid w:val="003829A4"/>
    <w:rsid w:val="00383022"/>
    <w:rsid w:val="003837C4"/>
    <w:rsid w:val="00386AA5"/>
    <w:rsid w:val="00387509"/>
    <w:rsid w:val="003876A1"/>
    <w:rsid w:val="003914FB"/>
    <w:rsid w:val="0039246D"/>
    <w:rsid w:val="0039302B"/>
    <w:rsid w:val="003950F4"/>
    <w:rsid w:val="003951E3"/>
    <w:rsid w:val="003A3CFC"/>
    <w:rsid w:val="003A4AE6"/>
    <w:rsid w:val="003A6E5A"/>
    <w:rsid w:val="003B0897"/>
    <w:rsid w:val="003B3181"/>
    <w:rsid w:val="003B3560"/>
    <w:rsid w:val="003B3ADF"/>
    <w:rsid w:val="003B3FB9"/>
    <w:rsid w:val="003B48CD"/>
    <w:rsid w:val="003B5A1B"/>
    <w:rsid w:val="003B5E34"/>
    <w:rsid w:val="003C1A92"/>
    <w:rsid w:val="003C25F2"/>
    <w:rsid w:val="003C27C0"/>
    <w:rsid w:val="003C46EF"/>
    <w:rsid w:val="003C7199"/>
    <w:rsid w:val="003C7222"/>
    <w:rsid w:val="003D1645"/>
    <w:rsid w:val="003D2EEA"/>
    <w:rsid w:val="003D4EDF"/>
    <w:rsid w:val="003D5695"/>
    <w:rsid w:val="003D6ED2"/>
    <w:rsid w:val="003E25D2"/>
    <w:rsid w:val="003E2BCC"/>
    <w:rsid w:val="003E2E29"/>
    <w:rsid w:val="003E5B5F"/>
    <w:rsid w:val="003E5E8F"/>
    <w:rsid w:val="003F4478"/>
    <w:rsid w:val="003F56BA"/>
    <w:rsid w:val="003F5FD6"/>
    <w:rsid w:val="003F65E2"/>
    <w:rsid w:val="00400FAC"/>
    <w:rsid w:val="00401B8A"/>
    <w:rsid w:val="004062E4"/>
    <w:rsid w:val="0041008C"/>
    <w:rsid w:val="00411DFD"/>
    <w:rsid w:val="004123E8"/>
    <w:rsid w:val="00412A27"/>
    <w:rsid w:val="00412CDF"/>
    <w:rsid w:val="00415748"/>
    <w:rsid w:val="004163BB"/>
    <w:rsid w:val="00416567"/>
    <w:rsid w:val="00416AA6"/>
    <w:rsid w:val="00420526"/>
    <w:rsid w:val="00421CDC"/>
    <w:rsid w:val="004226A3"/>
    <w:rsid w:val="00423252"/>
    <w:rsid w:val="00423CA0"/>
    <w:rsid w:val="00424AFD"/>
    <w:rsid w:val="00430B38"/>
    <w:rsid w:val="0043453C"/>
    <w:rsid w:val="00436BBB"/>
    <w:rsid w:val="0043708B"/>
    <w:rsid w:val="00437E4D"/>
    <w:rsid w:val="004428AB"/>
    <w:rsid w:val="00442BA1"/>
    <w:rsid w:val="0044313C"/>
    <w:rsid w:val="00446697"/>
    <w:rsid w:val="0044790D"/>
    <w:rsid w:val="00447E21"/>
    <w:rsid w:val="00450912"/>
    <w:rsid w:val="00451133"/>
    <w:rsid w:val="00451165"/>
    <w:rsid w:val="00451685"/>
    <w:rsid w:val="004516ED"/>
    <w:rsid w:val="004567F0"/>
    <w:rsid w:val="004570C4"/>
    <w:rsid w:val="00461A76"/>
    <w:rsid w:val="004623E5"/>
    <w:rsid w:val="00464E9F"/>
    <w:rsid w:val="0046611A"/>
    <w:rsid w:val="00470BD9"/>
    <w:rsid w:val="004710C8"/>
    <w:rsid w:val="00474628"/>
    <w:rsid w:val="00477B6D"/>
    <w:rsid w:val="0048248A"/>
    <w:rsid w:val="00485A3A"/>
    <w:rsid w:val="0048635F"/>
    <w:rsid w:val="00487173"/>
    <w:rsid w:val="004872B9"/>
    <w:rsid w:val="00487712"/>
    <w:rsid w:val="004914C4"/>
    <w:rsid w:val="00492AAB"/>
    <w:rsid w:val="00494735"/>
    <w:rsid w:val="00494F05"/>
    <w:rsid w:val="0049786D"/>
    <w:rsid w:val="00497896"/>
    <w:rsid w:val="004A0157"/>
    <w:rsid w:val="004A038B"/>
    <w:rsid w:val="004A0664"/>
    <w:rsid w:val="004A067C"/>
    <w:rsid w:val="004A28D2"/>
    <w:rsid w:val="004A29C6"/>
    <w:rsid w:val="004A3E89"/>
    <w:rsid w:val="004A4EE9"/>
    <w:rsid w:val="004B1F16"/>
    <w:rsid w:val="004B2D5F"/>
    <w:rsid w:val="004B305B"/>
    <w:rsid w:val="004B3BDE"/>
    <w:rsid w:val="004B4258"/>
    <w:rsid w:val="004B4345"/>
    <w:rsid w:val="004B4E25"/>
    <w:rsid w:val="004B57A2"/>
    <w:rsid w:val="004B6474"/>
    <w:rsid w:val="004C0C4C"/>
    <w:rsid w:val="004C1AAE"/>
    <w:rsid w:val="004C3C5E"/>
    <w:rsid w:val="004C46D1"/>
    <w:rsid w:val="004C7834"/>
    <w:rsid w:val="004D1D35"/>
    <w:rsid w:val="004D3033"/>
    <w:rsid w:val="004D39DD"/>
    <w:rsid w:val="004D5E0B"/>
    <w:rsid w:val="004D5F39"/>
    <w:rsid w:val="004E0E40"/>
    <w:rsid w:val="004E1482"/>
    <w:rsid w:val="004E3BC2"/>
    <w:rsid w:val="004E40A1"/>
    <w:rsid w:val="004E4671"/>
    <w:rsid w:val="004E5A21"/>
    <w:rsid w:val="004E7E65"/>
    <w:rsid w:val="004F1097"/>
    <w:rsid w:val="004F14DB"/>
    <w:rsid w:val="004F60D2"/>
    <w:rsid w:val="004F7260"/>
    <w:rsid w:val="004F747A"/>
    <w:rsid w:val="00500212"/>
    <w:rsid w:val="00506C56"/>
    <w:rsid w:val="00507488"/>
    <w:rsid w:val="005114F9"/>
    <w:rsid w:val="0051340B"/>
    <w:rsid w:val="00513497"/>
    <w:rsid w:val="005160FB"/>
    <w:rsid w:val="00520463"/>
    <w:rsid w:val="00521F1C"/>
    <w:rsid w:val="00522C38"/>
    <w:rsid w:val="00524633"/>
    <w:rsid w:val="00524DA9"/>
    <w:rsid w:val="005279DE"/>
    <w:rsid w:val="00531437"/>
    <w:rsid w:val="005336F1"/>
    <w:rsid w:val="00534C5C"/>
    <w:rsid w:val="00537D0E"/>
    <w:rsid w:val="005427A3"/>
    <w:rsid w:val="0054297B"/>
    <w:rsid w:val="0054298E"/>
    <w:rsid w:val="00543ED2"/>
    <w:rsid w:val="00545515"/>
    <w:rsid w:val="0054776A"/>
    <w:rsid w:val="0055777B"/>
    <w:rsid w:val="005577B5"/>
    <w:rsid w:val="00557B9A"/>
    <w:rsid w:val="00561FD1"/>
    <w:rsid w:val="005655A9"/>
    <w:rsid w:val="00566FAF"/>
    <w:rsid w:val="00570074"/>
    <w:rsid w:val="005721DB"/>
    <w:rsid w:val="00572511"/>
    <w:rsid w:val="00574DBD"/>
    <w:rsid w:val="00575BBD"/>
    <w:rsid w:val="005767AC"/>
    <w:rsid w:val="00577969"/>
    <w:rsid w:val="005807B7"/>
    <w:rsid w:val="00580873"/>
    <w:rsid w:val="0058129E"/>
    <w:rsid w:val="00581A22"/>
    <w:rsid w:val="005840B3"/>
    <w:rsid w:val="005840C7"/>
    <w:rsid w:val="00584DDC"/>
    <w:rsid w:val="00584E9B"/>
    <w:rsid w:val="00586CD7"/>
    <w:rsid w:val="0058786E"/>
    <w:rsid w:val="00587A6B"/>
    <w:rsid w:val="005927FD"/>
    <w:rsid w:val="00592C15"/>
    <w:rsid w:val="00593403"/>
    <w:rsid w:val="005938A0"/>
    <w:rsid w:val="0059416B"/>
    <w:rsid w:val="00594529"/>
    <w:rsid w:val="005949F7"/>
    <w:rsid w:val="00594E03"/>
    <w:rsid w:val="00595A8D"/>
    <w:rsid w:val="00596E2C"/>
    <w:rsid w:val="005A0009"/>
    <w:rsid w:val="005A0796"/>
    <w:rsid w:val="005A2FB6"/>
    <w:rsid w:val="005A4362"/>
    <w:rsid w:val="005A4D59"/>
    <w:rsid w:val="005A5405"/>
    <w:rsid w:val="005A7474"/>
    <w:rsid w:val="005B1CCB"/>
    <w:rsid w:val="005B3330"/>
    <w:rsid w:val="005B5DDB"/>
    <w:rsid w:val="005C2DA8"/>
    <w:rsid w:val="005C477D"/>
    <w:rsid w:val="005C58FF"/>
    <w:rsid w:val="005C747E"/>
    <w:rsid w:val="005C77A1"/>
    <w:rsid w:val="005D4800"/>
    <w:rsid w:val="005D4838"/>
    <w:rsid w:val="005D54E4"/>
    <w:rsid w:val="005D640C"/>
    <w:rsid w:val="005D64B7"/>
    <w:rsid w:val="005E2C4A"/>
    <w:rsid w:val="005E48D7"/>
    <w:rsid w:val="005E66BF"/>
    <w:rsid w:val="005F2473"/>
    <w:rsid w:val="005F2C76"/>
    <w:rsid w:val="005F35D8"/>
    <w:rsid w:val="005F366A"/>
    <w:rsid w:val="005F5EA3"/>
    <w:rsid w:val="005F727B"/>
    <w:rsid w:val="00600459"/>
    <w:rsid w:val="00603C80"/>
    <w:rsid w:val="00607614"/>
    <w:rsid w:val="00612720"/>
    <w:rsid w:val="00613EE8"/>
    <w:rsid w:val="0061542B"/>
    <w:rsid w:val="00616AAA"/>
    <w:rsid w:val="00616E0C"/>
    <w:rsid w:val="00620857"/>
    <w:rsid w:val="006239A1"/>
    <w:rsid w:val="00623C93"/>
    <w:rsid w:val="00624301"/>
    <w:rsid w:val="0062434F"/>
    <w:rsid w:val="0062463F"/>
    <w:rsid w:val="0062780F"/>
    <w:rsid w:val="00632680"/>
    <w:rsid w:val="00632C69"/>
    <w:rsid w:val="006408E9"/>
    <w:rsid w:val="00642659"/>
    <w:rsid w:val="00642ACB"/>
    <w:rsid w:val="00644EB8"/>
    <w:rsid w:val="00646CA2"/>
    <w:rsid w:val="00647354"/>
    <w:rsid w:val="00650433"/>
    <w:rsid w:val="00650588"/>
    <w:rsid w:val="00651B36"/>
    <w:rsid w:val="00652419"/>
    <w:rsid w:val="006554A9"/>
    <w:rsid w:val="00656819"/>
    <w:rsid w:val="00657432"/>
    <w:rsid w:val="006577A7"/>
    <w:rsid w:val="00657971"/>
    <w:rsid w:val="00662DAD"/>
    <w:rsid w:val="00663ED5"/>
    <w:rsid w:val="006711A8"/>
    <w:rsid w:val="00684D78"/>
    <w:rsid w:val="00684E2A"/>
    <w:rsid w:val="00685405"/>
    <w:rsid w:val="006879C8"/>
    <w:rsid w:val="006909F6"/>
    <w:rsid w:val="006929ED"/>
    <w:rsid w:val="00694070"/>
    <w:rsid w:val="00695CF0"/>
    <w:rsid w:val="00696D5A"/>
    <w:rsid w:val="0069736B"/>
    <w:rsid w:val="006A09D6"/>
    <w:rsid w:val="006A0B50"/>
    <w:rsid w:val="006A106C"/>
    <w:rsid w:val="006A1DB1"/>
    <w:rsid w:val="006A2AC2"/>
    <w:rsid w:val="006A3274"/>
    <w:rsid w:val="006A4EFA"/>
    <w:rsid w:val="006A577E"/>
    <w:rsid w:val="006B0C04"/>
    <w:rsid w:val="006B2687"/>
    <w:rsid w:val="006B2EC8"/>
    <w:rsid w:val="006B7928"/>
    <w:rsid w:val="006B7983"/>
    <w:rsid w:val="006C00D7"/>
    <w:rsid w:val="006C0BD8"/>
    <w:rsid w:val="006C0EFD"/>
    <w:rsid w:val="006C1A98"/>
    <w:rsid w:val="006C1B2A"/>
    <w:rsid w:val="006C2A18"/>
    <w:rsid w:val="006C6226"/>
    <w:rsid w:val="006C70B9"/>
    <w:rsid w:val="006C7458"/>
    <w:rsid w:val="006D27D4"/>
    <w:rsid w:val="006D3629"/>
    <w:rsid w:val="006D4606"/>
    <w:rsid w:val="006D4CA9"/>
    <w:rsid w:val="006D7649"/>
    <w:rsid w:val="006E0060"/>
    <w:rsid w:val="006E0611"/>
    <w:rsid w:val="006E06E5"/>
    <w:rsid w:val="006E091C"/>
    <w:rsid w:val="006E166A"/>
    <w:rsid w:val="006E259C"/>
    <w:rsid w:val="006E7DED"/>
    <w:rsid w:val="006F1406"/>
    <w:rsid w:val="006F1428"/>
    <w:rsid w:val="006F1E15"/>
    <w:rsid w:val="006F21E5"/>
    <w:rsid w:val="006F33A0"/>
    <w:rsid w:val="006F6092"/>
    <w:rsid w:val="007008E6"/>
    <w:rsid w:val="00700FF2"/>
    <w:rsid w:val="00701157"/>
    <w:rsid w:val="0070128F"/>
    <w:rsid w:val="007024B8"/>
    <w:rsid w:val="00703610"/>
    <w:rsid w:val="0070499B"/>
    <w:rsid w:val="00706BE4"/>
    <w:rsid w:val="00707FE5"/>
    <w:rsid w:val="00711D00"/>
    <w:rsid w:val="007151B9"/>
    <w:rsid w:val="00715814"/>
    <w:rsid w:val="00717C9E"/>
    <w:rsid w:val="007209F7"/>
    <w:rsid w:val="00720A4E"/>
    <w:rsid w:val="00720BA8"/>
    <w:rsid w:val="00720BF7"/>
    <w:rsid w:val="00721C2F"/>
    <w:rsid w:val="00724B46"/>
    <w:rsid w:val="00725DD0"/>
    <w:rsid w:val="007265A6"/>
    <w:rsid w:val="00731B34"/>
    <w:rsid w:val="0073214D"/>
    <w:rsid w:val="0073235F"/>
    <w:rsid w:val="0073355D"/>
    <w:rsid w:val="00737023"/>
    <w:rsid w:val="007376E1"/>
    <w:rsid w:val="00740594"/>
    <w:rsid w:val="00742FDF"/>
    <w:rsid w:val="0074344A"/>
    <w:rsid w:val="0074521C"/>
    <w:rsid w:val="007505C6"/>
    <w:rsid w:val="0075160F"/>
    <w:rsid w:val="00751800"/>
    <w:rsid w:val="00751953"/>
    <w:rsid w:val="00751D02"/>
    <w:rsid w:val="00754B45"/>
    <w:rsid w:val="007566F1"/>
    <w:rsid w:val="00760DD1"/>
    <w:rsid w:val="00761425"/>
    <w:rsid w:val="0076567F"/>
    <w:rsid w:val="00767E81"/>
    <w:rsid w:val="007705F8"/>
    <w:rsid w:val="0077161C"/>
    <w:rsid w:val="007717AD"/>
    <w:rsid w:val="00773623"/>
    <w:rsid w:val="00774B74"/>
    <w:rsid w:val="00775DDC"/>
    <w:rsid w:val="007760BF"/>
    <w:rsid w:val="00776300"/>
    <w:rsid w:val="00776A4F"/>
    <w:rsid w:val="007774C2"/>
    <w:rsid w:val="007800A6"/>
    <w:rsid w:val="007800DD"/>
    <w:rsid w:val="007802D0"/>
    <w:rsid w:val="00782C61"/>
    <w:rsid w:val="0078634E"/>
    <w:rsid w:val="00786D33"/>
    <w:rsid w:val="007945BD"/>
    <w:rsid w:val="00796504"/>
    <w:rsid w:val="007A0C9E"/>
    <w:rsid w:val="007A33A7"/>
    <w:rsid w:val="007A39E9"/>
    <w:rsid w:val="007A63AC"/>
    <w:rsid w:val="007A78E4"/>
    <w:rsid w:val="007B5CBB"/>
    <w:rsid w:val="007C06B3"/>
    <w:rsid w:val="007C06F6"/>
    <w:rsid w:val="007C0ABF"/>
    <w:rsid w:val="007C621C"/>
    <w:rsid w:val="007C7CA1"/>
    <w:rsid w:val="007D0889"/>
    <w:rsid w:val="007D2920"/>
    <w:rsid w:val="007D2EE4"/>
    <w:rsid w:val="007D5008"/>
    <w:rsid w:val="007D6B42"/>
    <w:rsid w:val="007D77DF"/>
    <w:rsid w:val="007E0A64"/>
    <w:rsid w:val="007E12CE"/>
    <w:rsid w:val="007E23A1"/>
    <w:rsid w:val="007E2D1E"/>
    <w:rsid w:val="007E335B"/>
    <w:rsid w:val="007E357E"/>
    <w:rsid w:val="007E4150"/>
    <w:rsid w:val="007E5949"/>
    <w:rsid w:val="007E6918"/>
    <w:rsid w:val="007E6B68"/>
    <w:rsid w:val="007E71DA"/>
    <w:rsid w:val="007E7215"/>
    <w:rsid w:val="007F1418"/>
    <w:rsid w:val="007F318C"/>
    <w:rsid w:val="007F4641"/>
    <w:rsid w:val="007F78EF"/>
    <w:rsid w:val="007F7C24"/>
    <w:rsid w:val="00802B31"/>
    <w:rsid w:val="00804FAC"/>
    <w:rsid w:val="00806080"/>
    <w:rsid w:val="00807C4D"/>
    <w:rsid w:val="00810238"/>
    <w:rsid w:val="008106DB"/>
    <w:rsid w:val="00811678"/>
    <w:rsid w:val="00812A82"/>
    <w:rsid w:val="00815D43"/>
    <w:rsid w:val="008204F3"/>
    <w:rsid w:val="008212D9"/>
    <w:rsid w:val="00823122"/>
    <w:rsid w:val="00824AC5"/>
    <w:rsid w:val="0082786A"/>
    <w:rsid w:val="008305F0"/>
    <w:rsid w:val="0083284A"/>
    <w:rsid w:val="00833470"/>
    <w:rsid w:val="00834030"/>
    <w:rsid w:val="00837444"/>
    <w:rsid w:val="008404A1"/>
    <w:rsid w:val="0084402E"/>
    <w:rsid w:val="00845247"/>
    <w:rsid w:val="0085572F"/>
    <w:rsid w:val="00860ABA"/>
    <w:rsid w:val="00860E74"/>
    <w:rsid w:val="008615F7"/>
    <w:rsid w:val="00864295"/>
    <w:rsid w:val="00864F9F"/>
    <w:rsid w:val="00866A8B"/>
    <w:rsid w:val="00866BB3"/>
    <w:rsid w:val="00866D2C"/>
    <w:rsid w:val="008676F7"/>
    <w:rsid w:val="00867CF7"/>
    <w:rsid w:val="00870C6F"/>
    <w:rsid w:val="00870D9D"/>
    <w:rsid w:val="00875317"/>
    <w:rsid w:val="008767FD"/>
    <w:rsid w:val="008807D7"/>
    <w:rsid w:val="00880CA6"/>
    <w:rsid w:val="00883737"/>
    <w:rsid w:val="0088529F"/>
    <w:rsid w:val="00885B57"/>
    <w:rsid w:val="0088745B"/>
    <w:rsid w:val="00887981"/>
    <w:rsid w:val="00890635"/>
    <w:rsid w:val="00890E3E"/>
    <w:rsid w:val="0089335A"/>
    <w:rsid w:val="00894990"/>
    <w:rsid w:val="00896858"/>
    <w:rsid w:val="008A5E41"/>
    <w:rsid w:val="008A720F"/>
    <w:rsid w:val="008B0E24"/>
    <w:rsid w:val="008B2F57"/>
    <w:rsid w:val="008B3A80"/>
    <w:rsid w:val="008B3DB4"/>
    <w:rsid w:val="008B6238"/>
    <w:rsid w:val="008C0B4B"/>
    <w:rsid w:val="008C1CC4"/>
    <w:rsid w:val="008C1DE3"/>
    <w:rsid w:val="008C4DA0"/>
    <w:rsid w:val="008C615A"/>
    <w:rsid w:val="008D392F"/>
    <w:rsid w:val="008D403C"/>
    <w:rsid w:val="008D7E8F"/>
    <w:rsid w:val="008E00AE"/>
    <w:rsid w:val="008E4895"/>
    <w:rsid w:val="008E4F8D"/>
    <w:rsid w:val="008E540D"/>
    <w:rsid w:val="008F403C"/>
    <w:rsid w:val="008F410E"/>
    <w:rsid w:val="008F739B"/>
    <w:rsid w:val="008F7C8E"/>
    <w:rsid w:val="0090009E"/>
    <w:rsid w:val="00900E42"/>
    <w:rsid w:val="00902034"/>
    <w:rsid w:val="009031BE"/>
    <w:rsid w:val="00904570"/>
    <w:rsid w:val="00905959"/>
    <w:rsid w:val="00912311"/>
    <w:rsid w:val="009132E1"/>
    <w:rsid w:val="00913537"/>
    <w:rsid w:val="0091381D"/>
    <w:rsid w:val="00913F32"/>
    <w:rsid w:val="00920517"/>
    <w:rsid w:val="0092133A"/>
    <w:rsid w:val="00923633"/>
    <w:rsid w:val="00925797"/>
    <w:rsid w:val="009259B3"/>
    <w:rsid w:val="00926B3B"/>
    <w:rsid w:val="00926E78"/>
    <w:rsid w:val="00930E79"/>
    <w:rsid w:val="009338E7"/>
    <w:rsid w:val="009345C8"/>
    <w:rsid w:val="009346B6"/>
    <w:rsid w:val="00934EF2"/>
    <w:rsid w:val="00936671"/>
    <w:rsid w:val="00936DB8"/>
    <w:rsid w:val="0093760B"/>
    <w:rsid w:val="00937B64"/>
    <w:rsid w:val="00937D40"/>
    <w:rsid w:val="00942599"/>
    <w:rsid w:val="00943034"/>
    <w:rsid w:val="00943833"/>
    <w:rsid w:val="00946477"/>
    <w:rsid w:val="009502BF"/>
    <w:rsid w:val="00951E8E"/>
    <w:rsid w:val="0095401B"/>
    <w:rsid w:val="00954474"/>
    <w:rsid w:val="00955968"/>
    <w:rsid w:val="00957ABA"/>
    <w:rsid w:val="0096060D"/>
    <w:rsid w:val="00962C61"/>
    <w:rsid w:val="00964514"/>
    <w:rsid w:val="00965D08"/>
    <w:rsid w:val="00967168"/>
    <w:rsid w:val="00972059"/>
    <w:rsid w:val="00972F91"/>
    <w:rsid w:val="00973508"/>
    <w:rsid w:val="009736BF"/>
    <w:rsid w:val="00980D57"/>
    <w:rsid w:val="0098239B"/>
    <w:rsid w:val="00984B33"/>
    <w:rsid w:val="00986B33"/>
    <w:rsid w:val="00987AD5"/>
    <w:rsid w:val="00994341"/>
    <w:rsid w:val="00994710"/>
    <w:rsid w:val="009949D8"/>
    <w:rsid w:val="00996683"/>
    <w:rsid w:val="00997726"/>
    <w:rsid w:val="00997A66"/>
    <w:rsid w:val="00997F2F"/>
    <w:rsid w:val="009A216D"/>
    <w:rsid w:val="009A2248"/>
    <w:rsid w:val="009A2E9E"/>
    <w:rsid w:val="009A406F"/>
    <w:rsid w:val="009A46B0"/>
    <w:rsid w:val="009A48AF"/>
    <w:rsid w:val="009A6ECE"/>
    <w:rsid w:val="009B04EE"/>
    <w:rsid w:val="009B1852"/>
    <w:rsid w:val="009B36FE"/>
    <w:rsid w:val="009B7138"/>
    <w:rsid w:val="009B75CC"/>
    <w:rsid w:val="009C0945"/>
    <w:rsid w:val="009C4053"/>
    <w:rsid w:val="009C5321"/>
    <w:rsid w:val="009C6D5D"/>
    <w:rsid w:val="009D0274"/>
    <w:rsid w:val="009D757A"/>
    <w:rsid w:val="009E1B23"/>
    <w:rsid w:val="009E2869"/>
    <w:rsid w:val="009E2A2A"/>
    <w:rsid w:val="009F0C3C"/>
    <w:rsid w:val="009F16C3"/>
    <w:rsid w:val="009F36D7"/>
    <w:rsid w:val="009F64E6"/>
    <w:rsid w:val="00A01206"/>
    <w:rsid w:val="00A0208C"/>
    <w:rsid w:val="00A025AB"/>
    <w:rsid w:val="00A05108"/>
    <w:rsid w:val="00A058C4"/>
    <w:rsid w:val="00A06262"/>
    <w:rsid w:val="00A0743A"/>
    <w:rsid w:val="00A10F33"/>
    <w:rsid w:val="00A233A1"/>
    <w:rsid w:val="00A23711"/>
    <w:rsid w:val="00A23821"/>
    <w:rsid w:val="00A24FE9"/>
    <w:rsid w:val="00A25043"/>
    <w:rsid w:val="00A251BB"/>
    <w:rsid w:val="00A256AD"/>
    <w:rsid w:val="00A3170D"/>
    <w:rsid w:val="00A31F84"/>
    <w:rsid w:val="00A33452"/>
    <w:rsid w:val="00A33BA1"/>
    <w:rsid w:val="00A33DBB"/>
    <w:rsid w:val="00A35297"/>
    <w:rsid w:val="00A36A37"/>
    <w:rsid w:val="00A411E0"/>
    <w:rsid w:val="00A4203C"/>
    <w:rsid w:val="00A4372D"/>
    <w:rsid w:val="00A44063"/>
    <w:rsid w:val="00A462BA"/>
    <w:rsid w:val="00A463E5"/>
    <w:rsid w:val="00A50719"/>
    <w:rsid w:val="00A515E5"/>
    <w:rsid w:val="00A57F4F"/>
    <w:rsid w:val="00A61577"/>
    <w:rsid w:val="00A6162A"/>
    <w:rsid w:val="00A61B01"/>
    <w:rsid w:val="00A6396C"/>
    <w:rsid w:val="00A657B1"/>
    <w:rsid w:val="00A72B97"/>
    <w:rsid w:val="00A73327"/>
    <w:rsid w:val="00A73A98"/>
    <w:rsid w:val="00A76482"/>
    <w:rsid w:val="00A77282"/>
    <w:rsid w:val="00A77434"/>
    <w:rsid w:val="00A811D7"/>
    <w:rsid w:val="00A81531"/>
    <w:rsid w:val="00A92D83"/>
    <w:rsid w:val="00A92DFD"/>
    <w:rsid w:val="00A94D56"/>
    <w:rsid w:val="00A97211"/>
    <w:rsid w:val="00AA0016"/>
    <w:rsid w:val="00AA1C10"/>
    <w:rsid w:val="00AA3996"/>
    <w:rsid w:val="00AA561C"/>
    <w:rsid w:val="00AA68A4"/>
    <w:rsid w:val="00AB0D79"/>
    <w:rsid w:val="00AB1A72"/>
    <w:rsid w:val="00AB4A92"/>
    <w:rsid w:val="00AC1300"/>
    <w:rsid w:val="00AC1CFC"/>
    <w:rsid w:val="00AC2B76"/>
    <w:rsid w:val="00AC4214"/>
    <w:rsid w:val="00AC4262"/>
    <w:rsid w:val="00AC4F90"/>
    <w:rsid w:val="00AC57F4"/>
    <w:rsid w:val="00AD0E94"/>
    <w:rsid w:val="00AD2DEF"/>
    <w:rsid w:val="00AD42BB"/>
    <w:rsid w:val="00AD471E"/>
    <w:rsid w:val="00AD75E5"/>
    <w:rsid w:val="00AE0089"/>
    <w:rsid w:val="00AE3DED"/>
    <w:rsid w:val="00AE5049"/>
    <w:rsid w:val="00AF1E51"/>
    <w:rsid w:val="00AF33D5"/>
    <w:rsid w:val="00AF37FF"/>
    <w:rsid w:val="00AF3D0D"/>
    <w:rsid w:val="00B007ED"/>
    <w:rsid w:val="00B014D9"/>
    <w:rsid w:val="00B01DF8"/>
    <w:rsid w:val="00B02F91"/>
    <w:rsid w:val="00B072DF"/>
    <w:rsid w:val="00B078F3"/>
    <w:rsid w:val="00B10854"/>
    <w:rsid w:val="00B11CDA"/>
    <w:rsid w:val="00B1281A"/>
    <w:rsid w:val="00B12B57"/>
    <w:rsid w:val="00B155EF"/>
    <w:rsid w:val="00B16E91"/>
    <w:rsid w:val="00B17819"/>
    <w:rsid w:val="00B2219E"/>
    <w:rsid w:val="00B228E5"/>
    <w:rsid w:val="00B2344E"/>
    <w:rsid w:val="00B26FDB"/>
    <w:rsid w:val="00B27DD2"/>
    <w:rsid w:val="00B315E9"/>
    <w:rsid w:val="00B3332A"/>
    <w:rsid w:val="00B34A13"/>
    <w:rsid w:val="00B3795C"/>
    <w:rsid w:val="00B42332"/>
    <w:rsid w:val="00B43027"/>
    <w:rsid w:val="00B43EBA"/>
    <w:rsid w:val="00B449BE"/>
    <w:rsid w:val="00B46D8A"/>
    <w:rsid w:val="00B53615"/>
    <w:rsid w:val="00B6053F"/>
    <w:rsid w:val="00B62385"/>
    <w:rsid w:val="00B648B2"/>
    <w:rsid w:val="00B65350"/>
    <w:rsid w:val="00B659F1"/>
    <w:rsid w:val="00B66584"/>
    <w:rsid w:val="00B70B75"/>
    <w:rsid w:val="00B713BB"/>
    <w:rsid w:val="00B716D8"/>
    <w:rsid w:val="00B71E28"/>
    <w:rsid w:val="00B75421"/>
    <w:rsid w:val="00B80316"/>
    <w:rsid w:val="00B852DC"/>
    <w:rsid w:val="00B916DF"/>
    <w:rsid w:val="00B91C72"/>
    <w:rsid w:val="00B938D9"/>
    <w:rsid w:val="00B9417C"/>
    <w:rsid w:val="00B941CA"/>
    <w:rsid w:val="00B94775"/>
    <w:rsid w:val="00B95017"/>
    <w:rsid w:val="00B962AE"/>
    <w:rsid w:val="00B96FAE"/>
    <w:rsid w:val="00BA0975"/>
    <w:rsid w:val="00BA1D95"/>
    <w:rsid w:val="00BA263E"/>
    <w:rsid w:val="00BA3118"/>
    <w:rsid w:val="00BA5598"/>
    <w:rsid w:val="00BA5F01"/>
    <w:rsid w:val="00BA7596"/>
    <w:rsid w:val="00BB1590"/>
    <w:rsid w:val="00BB25C1"/>
    <w:rsid w:val="00BB364D"/>
    <w:rsid w:val="00BB3CCD"/>
    <w:rsid w:val="00BB4488"/>
    <w:rsid w:val="00BB512E"/>
    <w:rsid w:val="00BB5999"/>
    <w:rsid w:val="00BB5EBE"/>
    <w:rsid w:val="00BB63BD"/>
    <w:rsid w:val="00BC033A"/>
    <w:rsid w:val="00BC0E23"/>
    <w:rsid w:val="00BC1E57"/>
    <w:rsid w:val="00BC2354"/>
    <w:rsid w:val="00BC28E0"/>
    <w:rsid w:val="00BC7CD6"/>
    <w:rsid w:val="00BD0146"/>
    <w:rsid w:val="00BD09BA"/>
    <w:rsid w:val="00BD226D"/>
    <w:rsid w:val="00BD26DD"/>
    <w:rsid w:val="00BD42B5"/>
    <w:rsid w:val="00BD57AE"/>
    <w:rsid w:val="00BD58E1"/>
    <w:rsid w:val="00BD6469"/>
    <w:rsid w:val="00BD678A"/>
    <w:rsid w:val="00BD701B"/>
    <w:rsid w:val="00BD7E0C"/>
    <w:rsid w:val="00BE05E5"/>
    <w:rsid w:val="00BE06B0"/>
    <w:rsid w:val="00BE246D"/>
    <w:rsid w:val="00BE5867"/>
    <w:rsid w:val="00BE76FE"/>
    <w:rsid w:val="00BF0B1E"/>
    <w:rsid w:val="00BF17AA"/>
    <w:rsid w:val="00BF2C44"/>
    <w:rsid w:val="00BF446C"/>
    <w:rsid w:val="00BF5824"/>
    <w:rsid w:val="00BF5D0F"/>
    <w:rsid w:val="00C02181"/>
    <w:rsid w:val="00C0263A"/>
    <w:rsid w:val="00C02B34"/>
    <w:rsid w:val="00C041EC"/>
    <w:rsid w:val="00C04245"/>
    <w:rsid w:val="00C04AF9"/>
    <w:rsid w:val="00C04B7B"/>
    <w:rsid w:val="00C0587F"/>
    <w:rsid w:val="00C06187"/>
    <w:rsid w:val="00C06A42"/>
    <w:rsid w:val="00C10F96"/>
    <w:rsid w:val="00C20723"/>
    <w:rsid w:val="00C2174C"/>
    <w:rsid w:val="00C220FA"/>
    <w:rsid w:val="00C227BE"/>
    <w:rsid w:val="00C2349B"/>
    <w:rsid w:val="00C23D2D"/>
    <w:rsid w:val="00C24556"/>
    <w:rsid w:val="00C2477A"/>
    <w:rsid w:val="00C276D7"/>
    <w:rsid w:val="00C27994"/>
    <w:rsid w:val="00C279EB"/>
    <w:rsid w:val="00C27F0F"/>
    <w:rsid w:val="00C30288"/>
    <w:rsid w:val="00C30643"/>
    <w:rsid w:val="00C33ACA"/>
    <w:rsid w:val="00C33DC9"/>
    <w:rsid w:val="00C36D11"/>
    <w:rsid w:val="00C408D2"/>
    <w:rsid w:val="00C433D9"/>
    <w:rsid w:val="00C43933"/>
    <w:rsid w:val="00C448D6"/>
    <w:rsid w:val="00C46074"/>
    <w:rsid w:val="00C47B96"/>
    <w:rsid w:val="00C47E8E"/>
    <w:rsid w:val="00C47F85"/>
    <w:rsid w:val="00C50A2B"/>
    <w:rsid w:val="00C50FF1"/>
    <w:rsid w:val="00C51B6B"/>
    <w:rsid w:val="00C523F1"/>
    <w:rsid w:val="00C53E3A"/>
    <w:rsid w:val="00C62AB8"/>
    <w:rsid w:val="00C67387"/>
    <w:rsid w:val="00C67680"/>
    <w:rsid w:val="00C67C6A"/>
    <w:rsid w:val="00C7409C"/>
    <w:rsid w:val="00C74BEA"/>
    <w:rsid w:val="00C74F46"/>
    <w:rsid w:val="00C7519A"/>
    <w:rsid w:val="00C757C9"/>
    <w:rsid w:val="00C760F4"/>
    <w:rsid w:val="00C81546"/>
    <w:rsid w:val="00C81789"/>
    <w:rsid w:val="00C8420A"/>
    <w:rsid w:val="00C84DE3"/>
    <w:rsid w:val="00C850DA"/>
    <w:rsid w:val="00C8711F"/>
    <w:rsid w:val="00C906D9"/>
    <w:rsid w:val="00C9215D"/>
    <w:rsid w:val="00C93DA0"/>
    <w:rsid w:val="00C949E9"/>
    <w:rsid w:val="00C95AFB"/>
    <w:rsid w:val="00C975E7"/>
    <w:rsid w:val="00CA160C"/>
    <w:rsid w:val="00CA2C58"/>
    <w:rsid w:val="00CA3814"/>
    <w:rsid w:val="00CA72CE"/>
    <w:rsid w:val="00CA7C81"/>
    <w:rsid w:val="00CB2E37"/>
    <w:rsid w:val="00CB3790"/>
    <w:rsid w:val="00CB3BFC"/>
    <w:rsid w:val="00CB69F0"/>
    <w:rsid w:val="00CC1404"/>
    <w:rsid w:val="00CC19E0"/>
    <w:rsid w:val="00CC2044"/>
    <w:rsid w:val="00CC3A37"/>
    <w:rsid w:val="00CC4F35"/>
    <w:rsid w:val="00CC52B8"/>
    <w:rsid w:val="00CC5BFB"/>
    <w:rsid w:val="00CC67BE"/>
    <w:rsid w:val="00CD076D"/>
    <w:rsid w:val="00CD0993"/>
    <w:rsid w:val="00CD181A"/>
    <w:rsid w:val="00CD1914"/>
    <w:rsid w:val="00CD4AD4"/>
    <w:rsid w:val="00CD79E9"/>
    <w:rsid w:val="00CE0207"/>
    <w:rsid w:val="00CE2ACA"/>
    <w:rsid w:val="00CE39C7"/>
    <w:rsid w:val="00CE41A1"/>
    <w:rsid w:val="00CE773C"/>
    <w:rsid w:val="00CF05B3"/>
    <w:rsid w:val="00CF584F"/>
    <w:rsid w:val="00CF58A8"/>
    <w:rsid w:val="00CF76A5"/>
    <w:rsid w:val="00D01E68"/>
    <w:rsid w:val="00D01FC8"/>
    <w:rsid w:val="00D03338"/>
    <w:rsid w:val="00D046DE"/>
    <w:rsid w:val="00D04858"/>
    <w:rsid w:val="00D0523C"/>
    <w:rsid w:val="00D06233"/>
    <w:rsid w:val="00D138BA"/>
    <w:rsid w:val="00D14DBE"/>
    <w:rsid w:val="00D14F15"/>
    <w:rsid w:val="00D153EE"/>
    <w:rsid w:val="00D1674B"/>
    <w:rsid w:val="00D22298"/>
    <w:rsid w:val="00D23153"/>
    <w:rsid w:val="00D2324E"/>
    <w:rsid w:val="00D23A8D"/>
    <w:rsid w:val="00D24830"/>
    <w:rsid w:val="00D24A86"/>
    <w:rsid w:val="00D24C0F"/>
    <w:rsid w:val="00D26C27"/>
    <w:rsid w:val="00D27DA7"/>
    <w:rsid w:val="00D30B66"/>
    <w:rsid w:val="00D3182D"/>
    <w:rsid w:val="00D33184"/>
    <w:rsid w:val="00D333CD"/>
    <w:rsid w:val="00D37813"/>
    <w:rsid w:val="00D4088A"/>
    <w:rsid w:val="00D415A0"/>
    <w:rsid w:val="00D41762"/>
    <w:rsid w:val="00D43B9A"/>
    <w:rsid w:val="00D45F88"/>
    <w:rsid w:val="00D46E29"/>
    <w:rsid w:val="00D54FCC"/>
    <w:rsid w:val="00D55131"/>
    <w:rsid w:val="00D55736"/>
    <w:rsid w:val="00D57946"/>
    <w:rsid w:val="00D623B0"/>
    <w:rsid w:val="00D62613"/>
    <w:rsid w:val="00D63741"/>
    <w:rsid w:val="00D63917"/>
    <w:rsid w:val="00D63BC9"/>
    <w:rsid w:val="00D65BB4"/>
    <w:rsid w:val="00D67B36"/>
    <w:rsid w:val="00D72BBE"/>
    <w:rsid w:val="00D736E9"/>
    <w:rsid w:val="00D74288"/>
    <w:rsid w:val="00D744ED"/>
    <w:rsid w:val="00D74898"/>
    <w:rsid w:val="00D758EA"/>
    <w:rsid w:val="00D8040C"/>
    <w:rsid w:val="00D8253B"/>
    <w:rsid w:val="00D83D69"/>
    <w:rsid w:val="00D85620"/>
    <w:rsid w:val="00D86EAD"/>
    <w:rsid w:val="00D87D32"/>
    <w:rsid w:val="00D906DC"/>
    <w:rsid w:val="00D92D16"/>
    <w:rsid w:val="00D9400C"/>
    <w:rsid w:val="00D9412A"/>
    <w:rsid w:val="00D94190"/>
    <w:rsid w:val="00D944AE"/>
    <w:rsid w:val="00D94FB3"/>
    <w:rsid w:val="00D954E3"/>
    <w:rsid w:val="00D9615F"/>
    <w:rsid w:val="00D9634E"/>
    <w:rsid w:val="00D974C7"/>
    <w:rsid w:val="00DA0103"/>
    <w:rsid w:val="00DA13CC"/>
    <w:rsid w:val="00DA4CDD"/>
    <w:rsid w:val="00DA6709"/>
    <w:rsid w:val="00DA71E6"/>
    <w:rsid w:val="00DB1D32"/>
    <w:rsid w:val="00DB3CEE"/>
    <w:rsid w:val="00DB63E3"/>
    <w:rsid w:val="00DB7D6E"/>
    <w:rsid w:val="00DC1946"/>
    <w:rsid w:val="00DC2F1A"/>
    <w:rsid w:val="00DC4197"/>
    <w:rsid w:val="00DC7DAD"/>
    <w:rsid w:val="00DD10D9"/>
    <w:rsid w:val="00DD44DC"/>
    <w:rsid w:val="00DD493E"/>
    <w:rsid w:val="00DD53CE"/>
    <w:rsid w:val="00DE0484"/>
    <w:rsid w:val="00DE2B5D"/>
    <w:rsid w:val="00DE56A5"/>
    <w:rsid w:val="00DE6CC2"/>
    <w:rsid w:val="00DF4D88"/>
    <w:rsid w:val="00DF57BC"/>
    <w:rsid w:val="00DF58E4"/>
    <w:rsid w:val="00E02437"/>
    <w:rsid w:val="00E03F6E"/>
    <w:rsid w:val="00E045C5"/>
    <w:rsid w:val="00E055E3"/>
    <w:rsid w:val="00E05B06"/>
    <w:rsid w:val="00E05E04"/>
    <w:rsid w:val="00E05F7E"/>
    <w:rsid w:val="00E07A44"/>
    <w:rsid w:val="00E07FA8"/>
    <w:rsid w:val="00E13919"/>
    <w:rsid w:val="00E13D80"/>
    <w:rsid w:val="00E144AD"/>
    <w:rsid w:val="00E1580F"/>
    <w:rsid w:val="00E162D1"/>
    <w:rsid w:val="00E16780"/>
    <w:rsid w:val="00E174C3"/>
    <w:rsid w:val="00E17786"/>
    <w:rsid w:val="00E2084C"/>
    <w:rsid w:val="00E21FFE"/>
    <w:rsid w:val="00E23F09"/>
    <w:rsid w:val="00E2489C"/>
    <w:rsid w:val="00E26061"/>
    <w:rsid w:val="00E26D15"/>
    <w:rsid w:val="00E27AC3"/>
    <w:rsid w:val="00E34A45"/>
    <w:rsid w:val="00E3548D"/>
    <w:rsid w:val="00E40C82"/>
    <w:rsid w:val="00E44093"/>
    <w:rsid w:val="00E44975"/>
    <w:rsid w:val="00E4773A"/>
    <w:rsid w:val="00E50430"/>
    <w:rsid w:val="00E54371"/>
    <w:rsid w:val="00E55A28"/>
    <w:rsid w:val="00E55B35"/>
    <w:rsid w:val="00E5667E"/>
    <w:rsid w:val="00E56CD7"/>
    <w:rsid w:val="00E6017C"/>
    <w:rsid w:val="00E61843"/>
    <w:rsid w:val="00E618E9"/>
    <w:rsid w:val="00E655CB"/>
    <w:rsid w:val="00E65F0A"/>
    <w:rsid w:val="00E671D2"/>
    <w:rsid w:val="00E70EBA"/>
    <w:rsid w:val="00E71F21"/>
    <w:rsid w:val="00E721A5"/>
    <w:rsid w:val="00E73070"/>
    <w:rsid w:val="00E74B0D"/>
    <w:rsid w:val="00E75DA8"/>
    <w:rsid w:val="00E7733F"/>
    <w:rsid w:val="00E81A34"/>
    <w:rsid w:val="00E84B62"/>
    <w:rsid w:val="00E852AA"/>
    <w:rsid w:val="00E87653"/>
    <w:rsid w:val="00E876A8"/>
    <w:rsid w:val="00E93194"/>
    <w:rsid w:val="00EA3705"/>
    <w:rsid w:val="00EA3FAF"/>
    <w:rsid w:val="00EA4F95"/>
    <w:rsid w:val="00EA63C1"/>
    <w:rsid w:val="00EB0779"/>
    <w:rsid w:val="00EB0FA1"/>
    <w:rsid w:val="00EB1327"/>
    <w:rsid w:val="00EB30AA"/>
    <w:rsid w:val="00EB615D"/>
    <w:rsid w:val="00EB76B7"/>
    <w:rsid w:val="00EC0FB7"/>
    <w:rsid w:val="00EC1352"/>
    <w:rsid w:val="00EC33A0"/>
    <w:rsid w:val="00EC4075"/>
    <w:rsid w:val="00EC5BB4"/>
    <w:rsid w:val="00EC68A1"/>
    <w:rsid w:val="00EC69A3"/>
    <w:rsid w:val="00EC6A45"/>
    <w:rsid w:val="00EC6A9E"/>
    <w:rsid w:val="00EC7879"/>
    <w:rsid w:val="00ED094B"/>
    <w:rsid w:val="00ED0B6B"/>
    <w:rsid w:val="00ED1AE8"/>
    <w:rsid w:val="00ED257A"/>
    <w:rsid w:val="00ED3103"/>
    <w:rsid w:val="00ED414C"/>
    <w:rsid w:val="00ED5125"/>
    <w:rsid w:val="00ED5C09"/>
    <w:rsid w:val="00ED645E"/>
    <w:rsid w:val="00ED7056"/>
    <w:rsid w:val="00ED761E"/>
    <w:rsid w:val="00ED7EDA"/>
    <w:rsid w:val="00EE19E1"/>
    <w:rsid w:val="00EE2913"/>
    <w:rsid w:val="00EE40B7"/>
    <w:rsid w:val="00EE66B4"/>
    <w:rsid w:val="00EF1AFC"/>
    <w:rsid w:val="00EF5AB0"/>
    <w:rsid w:val="00EF64EC"/>
    <w:rsid w:val="00EF79F6"/>
    <w:rsid w:val="00F001BC"/>
    <w:rsid w:val="00F0030F"/>
    <w:rsid w:val="00F0130C"/>
    <w:rsid w:val="00F026AE"/>
    <w:rsid w:val="00F0591E"/>
    <w:rsid w:val="00F05B39"/>
    <w:rsid w:val="00F079EA"/>
    <w:rsid w:val="00F17183"/>
    <w:rsid w:val="00F20062"/>
    <w:rsid w:val="00F22388"/>
    <w:rsid w:val="00F2356B"/>
    <w:rsid w:val="00F24AB2"/>
    <w:rsid w:val="00F25556"/>
    <w:rsid w:val="00F26590"/>
    <w:rsid w:val="00F26E8D"/>
    <w:rsid w:val="00F33486"/>
    <w:rsid w:val="00F34E99"/>
    <w:rsid w:val="00F4489C"/>
    <w:rsid w:val="00F46A64"/>
    <w:rsid w:val="00F50095"/>
    <w:rsid w:val="00F5023A"/>
    <w:rsid w:val="00F51CAE"/>
    <w:rsid w:val="00F55944"/>
    <w:rsid w:val="00F57388"/>
    <w:rsid w:val="00F604AD"/>
    <w:rsid w:val="00F60D5A"/>
    <w:rsid w:val="00F64A70"/>
    <w:rsid w:val="00F660DF"/>
    <w:rsid w:val="00F67015"/>
    <w:rsid w:val="00F7021B"/>
    <w:rsid w:val="00F70E63"/>
    <w:rsid w:val="00F71080"/>
    <w:rsid w:val="00F72F0E"/>
    <w:rsid w:val="00F73D6F"/>
    <w:rsid w:val="00F7660E"/>
    <w:rsid w:val="00F771F3"/>
    <w:rsid w:val="00F804D1"/>
    <w:rsid w:val="00F83619"/>
    <w:rsid w:val="00F849F8"/>
    <w:rsid w:val="00F86BEF"/>
    <w:rsid w:val="00F90E2E"/>
    <w:rsid w:val="00F92B40"/>
    <w:rsid w:val="00F936B3"/>
    <w:rsid w:val="00F95D96"/>
    <w:rsid w:val="00F96F94"/>
    <w:rsid w:val="00F97253"/>
    <w:rsid w:val="00FA0332"/>
    <w:rsid w:val="00FA068B"/>
    <w:rsid w:val="00FA264A"/>
    <w:rsid w:val="00FA2C4E"/>
    <w:rsid w:val="00FA34C4"/>
    <w:rsid w:val="00FA411B"/>
    <w:rsid w:val="00FA627C"/>
    <w:rsid w:val="00FA7B0F"/>
    <w:rsid w:val="00FB0A49"/>
    <w:rsid w:val="00FB0D13"/>
    <w:rsid w:val="00FB0E37"/>
    <w:rsid w:val="00FB1146"/>
    <w:rsid w:val="00FB16FD"/>
    <w:rsid w:val="00FB18B3"/>
    <w:rsid w:val="00FB18BC"/>
    <w:rsid w:val="00FB3567"/>
    <w:rsid w:val="00FB3849"/>
    <w:rsid w:val="00FB5F55"/>
    <w:rsid w:val="00FB6553"/>
    <w:rsid w:val="00FB6ACC"/>
    <w:rsid w:val="00FC2CFD"/>
    <w:rsid w:val="00FC3517"/>
    <w:rsid w:val="00FC37CB"/>
    <w:rsid w:val="00FC38B5"/>
    <w:rsid w:val="00FC4FAC"/>
    <w:rsid w:val="00FC506D"/>
    <w:rsid w:val="00FC6A9E"/>
    <w:rsid w:val="00FD2919"/>
    <w:rsid w:val="00FD5F01"/>
    <w:rsid w:val="00FD6D06"/>
    <w:rsid w:val="00FE0482"/>
    <w:rsid w:val="00FE5788"/>
    <w:rsid w:val="00FF2B24"/>
    <w:rsid w:val="00FF3B3F"/>
    <w:rsid w:val="00FF5BDB"/>
    <w:rsid w:val="00FF6C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5713AAD1"/>
  <w15:docId w15:val="{9164C37A-1B6D-46B9-A0CC-E71DB339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5B3330"/>
    <w:pPr>
      <w:numPr>
        <w:numId w:val="1"/>
      </w:numPr>
    </w:pPr>
  </w:style>
  <w:style w:type="paragraph" w:styleId="ListNumber4">
    <w:name w:val="List Number 4"/>
    <w:basedOn w:val="Normal"/>
    <w:rsid w:val="005B3330"/>
    <w:pPr>
      <w:numPr>
        <w:numId w:val="2"/>
      </w:numPr>
    </w:pPr>
  </w:style>
  <w:style w:type="character" w:styleId="Hyperlink">
    <w:name w:val="Hyperlink"/>
    <w:uiPriority w:val="99"/>
    <w:rsid w:val="005B3330"/>
    <w:rPr>
      <w:color w:val="0000FF"/>
      <w:u w:val="single"/>
      <w:shd w:val="clear" w:color="auto" w:fill="auto"/>
    </w:rPr>
  </w:style>
  <w:style w:type="paragraph" w:styleId="ListBullet">
    <w:name w:val="List Bullet"/>
    <w:basedOn w:val="Normal"/>
    <w:unhideWhenUsed/>
    <w:rsid w:val="001B6F72"/>
    <w:pPr>
      <w:numPr>
        <w:numId w:val="3"/>
      </w:numPr>
      <w:contextualSpacing/>
    </w:pPr>
  </w:style>
  <w:style w:type="paragraph" w:styleId="ListBullet2">
    <w:name w:val="List Bullet 2"/>
    <w:basedOn w:val="Normal"/>
    <w:unhideWhenUsed/>
    <w:rsid w:val="001B6F72"/>
    <w:pPr>
      <w:numPr>
        <w:numId w:val="4"/>
      </w:numPr>
      <w:contextualSpacing/>
    </w:pPr>
  </w:style>
  <w:style w:type="paragraph" w:styleId="ListBullet3">
    <w:name w:val="List Bullet 3"/>
    <w:basedOn w:val="Normal"/>
    <w:unhideWhenUsed/>
    <w:rsid w:val="001B6F72"/>
    <w:pPr>
      <w:numPr>
        <w:numId w:val="5"/>
      </w:numPr>
      <w:contextualSpacing/>
    </w:pPr>
  </w:style>
  <w:style w:type="paragraph" w:styleId="ListBullet4">
    <w:name w:val="List Bullet 4"/>
    <w:basedOn w:val="Normal"/>
    <w:unhideWhenUsed/>
    <w:rsid w:val="001B6F72"/>
    <w:pPr>
      <w:numPr>
        <w:numId w:val="6"/>
      </w:numPr>
      <w:contextualSpacing/>
    </w:pPr>
  </w:style>
  <w:style w:type="paragraph" w:styleId="ListParagraph">
    <w:name w:val="List Paragraph"/>
    <w:basedOn w:val="Normal"/>
    <w:link w:val="ListParagraphChar"/>
    <w:uiPriority w:val="1"/>
    <w:qFormat/>
    <w:rsid w:val="001B6F72"/>
    <w:pPr>
      <w:spacing w:before="0" w:after="200" w:line="276" w:lineRule="auto"/>
      <w:ind w:left="720"/>
      <w:contextualSpacing/>
      <w:jc w:val="left"/>
      <w:outlineLvl w:val="0"/>
    </w:pPr>
  </w:style>
  <w:style w:type="character" w:customStyle="1" w:styleId="ListParagraphChar">
    <w:name w:val="List Paragraph Char"/>
    <w:basedOn w:val="DefaultParagraphFont"/>
    <w:link w:val="ListParagraph"/>
    <w:uiPriority w:val="34"/>
    <w:rsid w:val="001B6F72"/>
    <w:rPr>
      <w:rFonts w:ascii="Times New Roman" w:hAnsi="Times New Roman" w:cs="Times New Roman"/>
      <w:sz w:val="24"/>
    </w:rPr>
  </w:style>
  <w:style w:type="paragraph" w:styleId="Caption">
    <w:name w:val="caption"/>
    <w:basedOn w:val="Normal"/>
    <w:next w:val="Normal"/>
    <w:unhideWhenUsed/>
    <w:qFormat/>
    <w:rsid w:val="00E4773A"/>
    <w:pPr>
      <w:spacing w:before="0" w:after="200"/>
    </w:pPr>
    <w:rPr>
      <w:i/>
      <w:color w:val="1F497D" w:themeColor="text2"/>
      <w:sz w:val="18"/>
    </w:rPr>
  </w:style>
  <w:style w:type="paragraph" w:styleId="TableofFigures">
    <w:name w:val="table of figures"/>
    <w:basedOn w:val="Normal"/>
    <w:next w:val="Normal"/>
    <w:unhideWhenUsed/>
    <w:rsid w:val="00E4773A"/>
    <w:pPr>
      <w:spacing w:after="0"/>
    </w:pPr>
  </w:style>
  <w:style w:type="paragraph" w:styleId="ListNumber2">
    <w:name w:val="List Number 2"/>
    <w:basedOn w:val="Normal"/>
    <w:unhideWhenUsed/>
    <w:rsid w:val="00E4773A"/>
    <w:pPr>
      <w:numPr>
        <w:numId w:val="9"/>
      </w:numPr>
      <w:contextualSpacing/>
    </w:pPr>
  </w:style>
  <w:style w:type="paragraph" w:styleId="ListNumber3">
    <w:name w:val="List Number 3"/>
    <w:basedOn w:val="Normal"/>
    <w:unhideWhenUsed/>
    <w:rsid w:val="00E4773A"/>
    <w:pPr>
      <w:numPr>
        <w:numId w:val="10"/>
      </w:numPr>
      <w:contextualSpacing/>
    </w:pPr>
  </w:style>
  <w:style w:type="character" w:styleId="CommentReference">
    <w:name w:val="annotation reference"/>
    <w:basedOn w:val="DefaultParagraphFont"/>
    <w:unhideWhenUsed/>
    <w:rsid w:val="004C3C5E"/>
    <w:rPr>
      <w:sz w:val="16"/>
    </w:rPr>
  </w:style>
  <w:style w:type="paragraph" w:styleId="CommentText">
    <w:name w:val="annotation text"/>
    <w:basedOn w:val="Normal"/>
    <w:link w:val="CommentTextChar"/>
    <w:unhideWhenUsed/>
    <w:rsid w:val="004C3C5E"/>
    <w:rPr>
      <w:sz w:val="20"/>
    </w:rPr>
  </w:style>
  <w:style w:type="character" w:customStyle="1" w:styleId="CommentTextChar">
    <w:name w:val="Comment Text Char"/>
    <w:basedOn w:val="DefaultParagraphFont"/>
    <w:link w:val="CommentText"/>
    <w:rsid w:val="004C3C5E"/>
    <w:rPr>
      <w:rFonts w:ascii="Times New Roman" w:hAnsi="Times New Roman" w:cs="Times New Roman"/>
      <w:sz w:val="20"/>
    </w:rPr>
  </w:style>
  <w:style w:type="paragraph" w:styleId="CommentSubject">
    <w:name w:val="annotation subject"/>
    <w:basedOn w:val="CommentText"/>
    <w:next w:val="CommentText"/>
    <w:link w:val="CommentSubjectChar"/>
    <w:unhideWhenUsed/>
    <w:rsid w:val="004C3C5E"/>
    <w:rPr>
      <w:b/>
    </w:rPr>
  </w:style>
  <w:style w:type="character" w:customStyle="1" w:styleId="CommentSubjectChar">
    <w:name w:val="Comment Subject Char"/>
    <w:basedOn w:val="CommentTextChar"/>
    <w:link w:val="CommentSubject"/>
    <w:rsid w:val="004C3C5E"/>
    <w:rPr>
      <w:rFonts w:ascii="Times New Roman" w:hAnsi="Times New Roman" w:cs="Times New Roman"/>
      <w:b/>
      <w:sz w:val="20"/>
    </w:rPr>
  </w:style>
  <w:style w:type="paragraph" w:styleId="BalloonText">
    <w:name w:val="Balloon Text"/>
    <w:basedOn w:val="Normal"/>
    <w:link w:val="BalloonTextChar"/>
    <w:unhideWhenUsed/>
    <w:rsid w:val="004C3C5E"/>
    <w:pPr>
      <w:spacing w:before="0" w:after="0"/>
    </w:pPr>
    <w:rPr>
      <w:rFonts w:ascii="Segoe UI" w:hAnsi="Segoe UI" w:cs="Segoe UI"/>
      <w:sz w:val="18"/>
    </w:rPr>
  </w:style>
  <w:style w:type="character" w:customStyle="1" w:styleId="BalloonTextChar">
    <w:name w:val="Balloon Text Char"/>
    <w:basedOn w:val="DefaultParagraphFont"/>
    <w:link w:val="BalloonText"/>
    <w:rsid w:val="004C3C5E"/>
    <w:rPr>
      <w:rFonts w:ascii="Segoe UI" w:hAnsi="Segoe UI" w:cs="Segoe UI"/>
      <w:sz w:val="18"/>
    </w:rPr>
  </w:style>
  <w:style w:type="table" w:styleId="TableGrid">
    <w:name w:val="Table Grid"/>
    <w:basedOn w:val="TableNormal"/>
    <w:uiPriority w:val="59"/>
    <w:rsid w:val="00A77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77434"/>
    <w:pPr>
      <w:spacing w:after="0" w:line="240" w:lineRule="auto"/>
    </w:pPr>
    <w:tblPr>
      <w:tblStyleRowBandSize w:val="1"/>
      <w:tblStyleColBandSize w:val="1"/>
    </w:tblPr>
    <w:tblStylePr w:type="firstRow">
      <w:rPr>
        <w:b/>
        <w:caps/>
      </w:rPr>
      <w:tblPr/>
      <w:tcPr>
        <w:tcBorders>
          <w:bottom w:val="single" w:sz="4" w:space="0" w:color="7F7F7F" w:themeColor="text1" w:themeTint="80"/>
        </w:tcBorders>
      </w:tcPr>
    </w:tblStylePr>
    <w:tblStylePr w:type="lastRow">
      <w:rPr>
        <w:b/>
        <w:caps/>
      </w:rPr>
      <w:tblPr/>
      <w:tcPr>
        <w:tcBorders>
          <w:top w:val="nil"/>
        </w:tcBorders>
      </w:tcPr>
    </w:tblStylePr>
    <w:tblStylePr w:type="firstCol">
      <w:rPr>
        <w:b/>
        <w:caps/>
      </w:rPr>
      <w:tblPr/>
      <w:tcPr>
        <w:tcBorders>
          <w:right w:val="single" w:sz="4" w:space="0" w:color="7F7F7F" w:themeColor="text1" w:themeTint="80"/>
        </w:tcBorders>
      </w:tcPr>
    </w:tblStylePr>
    <w:tblStylePr w:type="lastCol">
      <w:rPr>
        <w:b/>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A774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F78EF"/>
    <w:pPr>
      <w:spacing w:after="0" w:line="240" w:lineRule="auto"/>
    </w:pPr>
    <w:rPr>
      <w:rFonts w:ascii="Times New Roman" w:hAnsi="Times New Roman" w:cs="Times New Roman"/>
      <w:sz w:val="24"/>
    </w:rPr>
  </w:style>
  <w:style w:type="character" w:customStyle="1" w:styleId="highlight">
    <w:name w:val="highlight"/>
    <w:basedOn w:val="DefaultParagraphFont"/>
    <w:rsid w:val="006C0EFD"/>
  </w:style>
  <w:style w:type="paragraph" w:customStyle="1" w:styleId="doc-ti">
    <w:name w:val="doc-ti"/>
    <w:basedOn w:val="Normal"/>
    <w:rsid w:val="00351C23"/>
    <w:pPr>
      <w:spacing w:before="100" w:beforeAutospacing="1" w:after="100" w:afterAutospacing="1"/>
      <w:jc w:val="left"/>
    </w:pPr>
  </w:style>
  <w:style w:type="paragraph" w:styleId="NormalWeb">
    <w:name w:val="Normal (Web)"/>
    <w:basedOn w:val="Normal"/>
    <w:uiPriority w:val="99"/>
    <w:semiHidden/>
    <w:unhideWhenUsed/>
    <w:rsid w:val="00115FC8"/>
    <w:pPr>
      <w:spacing w:before="100" w:beforeAutospacing="1" w:after="100" w:afterAutospacing="1"/>
      <w:jc w:val="left"/>
    </w:pPr>
    <w:rPr>
      <w:rFonts w:eastAsiaTheme="minorEastAsia"/>
    </w:rPr>
  </w:style>
  <w:style w:type="character" w:styleId="FollowedHyperlink">
    <w:name w:val="FollowedHyperlink"/>
    <w:basedOn w:val="DefaultParagraphFont"/>
    <w:unhideWhenUsed/>
    <w:rsid w:val="00D24830"/>
    <w:rPr>
      <w:color w:val="800080" w:themeColor="followedHyperlink"/>
      <w:u w:val="single"/>
    </w:rPr>
  </w:style>
  <w:style w:type="paragraph" w:styleId="BodyText">
    <w:name w:val="Body Text"/>
    <w:basedOn w:val="Normal"/>
    <w:link w:val="BodyTextChar"/>
    <w:uiPriority w:val="1"/>
    <w:qFormat/>
    <w:rsid w:val="00EC6A9E"/>
    <w:pPr>
      <w:widowControl w:val="0"/>
      <w:autoSpaceDE w:val="0"/>
      <w:autoSpaceDN w:val="0"/>
      <w:spacing w:before="0" w:after="0"/>
      <w:jc w:val="left"/>
    </w:pPr>
    <w:rPr>
      <w:sz w:val="19"/>
    </w:rPr>
  </w:style>
  <w:style w:type="character" w:customStyle="1" w:styleId="BodyTextChar">
    <w:name w:val="Body Text Char"/>
    <w:basedOn w:val="DefaultParagraphFont"/>
    <w:link w:val="BodyText"/>
    <w:uiPriority w:val="1"/>
    <w:rsid w:val="00EC6A9E"/>
    <w:rPr>
      <w:rFonts w:ascii="Times New Roman" w:eastAsia="Times New Roman" w:hAnsi="Times New Roman" w:cs="Times New Roman"/>
      <w:sz w:val="19"/>
    </w:rPr>
  </w:style>
  <w:style w:type="paragraph" w:customStyle="1" w:styleId="TableParagraph">
    <w:name w:val="Table Paragraph"/>
    <w:basedOn w:val="Normal"/>
    <w:uiPriority w:val="1"/>
    <w:qFormat/>
    <w:rsid w:val="00FC3517"/>
    <w:pPr>
      <w:widowControl w:val="0"/>
      <w:autoSpaceDE w:val="0"/>
      <w:autoSpaceDN w:val="0"/>
      <w:spacing w:before="79" w:after="0"/>
      <w:ind w:left="84"/>
      <w:jc w:val="left"/>
    </w:pPr>
    <w:rPr>
      <w:sz w:val="22"/>
    </w:rPr>
  </w:style>
  <w:style w:type="character" w:customStyle="1" w:styleId="UnresolvedMention1">
    <w:name w:val="Unresolved Mention1"/>
    <w:basedOn w:val="DefaultParagraphFont"/>
    <w:uiPriority w:val="99"/>
    <w:semiHidden/>
    <w:unhideWhenUsed/>
    <w:rsid w:val="003E25D2"/>
    <w:rPr>
      <w:color w:val="605E5C"/>
      <w:shd w:val="clear" w:color="auto" w:fill="E1DFDD"/>
    </w:rPr>
  </w:style>
  <w:style w:type="paragraph" w:customStyle="1" w:styleId="ListBullet1">
    <w:name w:val="List Bullet 1"/>
    <w:basedOn w:val="Normal"/>
    <w:rsid w:val="00F001BC"/>
    <w:pPr>
      <w:numPr>
        <w:numId w:val="14"/>
      </w:numPr>
    </w:pPr>
  </w:style>
  <w:style w:type="paragraph" w:customStyle="1" w:styleId="ListDash1">
    <w:name w:val="List Dash 1"/>
    <w:basedOn w:val="Normal"/>
    <w:rsid w:val="00F001BC"/>
    <w:pPr>
      <w:numPr>
        <w:numId w:val="15"/>
      </w:numPr>
    </w:pPr>
  </w:style>
  <w:style w:type="paragraph" w:customStyle="1" w:styleId="ListDash2">
    <w:name w:val="List Dash 2"/>
    <w:basedOn w:val="Normal"/>
    <w:rsid w:val="00F001BC"/>
    <w:pPr>
      <w:numPr>
        <w:numId w:val="16"/>
      </w:numPr>
    </w:pPr>
  </w:style>
  <w:style w:type="paragraph" w:customStyle="1" w:styleId="ListNumberLevel2">
    <w:name w:val="List Number (Level 2)"/>
    <w:basedOn w:val="Normal"/>
    <w:rsid w:val="00F001BC"/>
    <w:pPr>
      <w:tabs>
        <w:tab w:val="num" w:pos="1417"/>
      </w:tabs>
      <w:ind w:left="1417" w:hanging="708"/>
    </w:pPr>
  </w:style>
  <w:style w:type="paragraph" w:customStyle="1" w:styleId="ListNumberLevel3">
    <w:name w:val="List Number (Level 3)"/>
    <w:basedOn w:val="Normal"/>
    <w:rsid w:val="00F001BC"/>
    <w:pPr>
      <w:tabs>
        <w:tab w:val="num" w:pos="2126"/>
      </w:tabs>
      <w:ind w:left="2126" w:hanging="709"/>
    </w:pPr>
  </w:style>
  <w:style w:type="paragraph" w:customStyle="1" w:styleId="ListNumberLevel4">
    <w:name w:val="List Number (Level 4)"/>
    <w:basedOn w:val="Normal"/>
    <w:rsid w:val="00F001BC"/>
    <w:pPr>
      <w:tabs>
        <w:tab w:val="num" w:pos="2835"/>
      </w:tabs>
      <w:ind w:left="2835" w:hanging="709"/>
    </w:pPr>
  </w:style>
  <w:style w:type="paragraph" w:customStyle="1" w:styleId="Fichefinancirestandardtitre">
    <w:name w:val="Fiche financière (standard) titre"/>
    <w:basedOn w:val="Normal"/>
    <w:next w:val="Normal"/>
    <w:rsid w:val="00F001BC"/>
    <w:pPr>
      <w:jc w:val="center"/>
    </w:pPr>
    <w:rPr>
      <w:b/>
      <w:u w:val="single"/>
    </w:rPr>
  </w:style>
  <w:style w:type="paragraph" w:customStyle="1" w:styleId="Sous-titreobjet">
    <w:name w:val="Sous-titre objet"/>
    <w:basedOn w:val="Normal"/>
    <w:rsid w:val="00F001BC"/>
    <w:pPr>
      <w:spacing w:before="0" w:after="0"/>
      <w:jc w:val="center"/>
    </w:pPr>
    <w:rPr>
      <w:b/>
    </w:rPr>
  </w:style>
  <w:style w:type="paragraph" w:customStyle="1" w:styleId="Sous-titreobjetPagedecouverture">
    <w:name w:val="Sous-titre objet (Page de couverture)"/>
    <w:basedOn w:val="Sous-titreobjet"/>
    <w:rsid w:val="00F001BC"/>
  </w:style>
  <w:style w:type="paragraph" w:customStyle="1" w:styleId="FooterCoverPage">
    <w:name w:val="Footer Cover Page"/>
    <w:basedOn w:val="Normal"/>
    <w:link w:val="FooterCoverPageChar"/>
    <w:rsid w:val="00F001BC"/>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sid w:val="00F001BC"/>
    <w:rPr>
      <w:rFonts w:ascii="Times New Roman" w:hAnsi="Times New Roman" w:cs="Times New Roman"/>
      <w:b/>
      <w:sz w:val="28"/>
    </w:rPr>
  </w:style>
  <w:style w:type="character" w:customStyle="1" w:styleId="FooterCoverPageChar">
    <w:name w:val="Footer Cover Page Char"/>
    <w:basedOn w:val="TOCHeadingChar"/>
    <w:link w:val="FooterCoverPage"/>
    <w:rsid w:val="00F001BC"/>
    <w:rPr>
      <w:rFonts w:ascii="Times New Roman" w:hAnsi="Times New Roman" w:cs="Times New Roman"/>
      <w:b w:val="0"/>
      <w:sz w:val="24"/>
    </w:rPr>
  </w:style>
  <w:style w:type="paragraph" w:customStyle="1" w:styleId="HeaderCoverPage">
    <w:name w:val="Header Cover Page"/>
    <w:basedOn w:val="Normal"/>
    <w:link w:val="HeaderCoverPageChar"/>
    <w:rsid w:val="00F001BC"/>
    <w:pPr>
      <w:tabs>
        <w:tab w:val="center" w:pos="4535"/>
        <w:tab w:val="right" w:pos="9071"/>
      </w:tabs>
      <w:spacing w:before="0"/>
    </w:pPr>
  </w:style>
  <w:style w:type="character" w:customStyle="1" w:styleId="HeaderCoverPageChar">
    <w:name w:val="Header Cover Page Char"/>
    <w:basedOn w:val="TOCHeadingChar"/>
    <w:link w:val="HeaderCoverPage"/>
    <w:rsid w:val="00F001BC"/>
    <w:rPr>
      <w:rFonts w:ascii="Times New Roman" w:hAnsi="Times New Roman" w:cs="Times New Roman"/>
      <w:b w:val="0"/>
      <w:sz w:val="24"/>
    </w:rPr>
  </w:style>
  <w:style w:type="character" w:customStyle="1" w:styleId="Text1Char">
    <w:name w:val="Text 1 Char"/>
    <w:locked/>
    <w:rsid w:val="00F001BC"/>
    <w:rPr>
      <w:rFonts w:ascii="Times New Roman" w:hAnsi="Times New Roman" w:cs="Times New Roman"/>
      <w:sz w:val="24"/>
    </w:rPr>
  </w:style>
  <w:style w:type="paragraph" w:styleId="Header">
    <w:name w:val="header"/>
    <w:basedOn w:val="Normal"/>
    <w:link w:val="HeaderChar"/>
    <w:uiPriority w:val="99"/>
    <w:unhideWhenUsed/>
    <w:rsid w:val="00767E81"/>
    <w:pPr>
      <w:tabs>
        <w:tab w:val="center" w:pos="4535"/>
        <w:tab w:val="right" w:pos="9071"/>
      </w:tabs>
      <w:spacing w:before="0"/>
    </w:pPr>
  </w:style>
  <w:style w:type="character" w:customStyle="1" w:styleId="HeaderChar">
    <w:name w:val="Header Char"/>
    <w:basedOn w:val="DefaultParagraphFont"/>
    <w:link w:val="Header"/>
    <w:uiPriority w:val="99"/>
    <w:rsid w:val="00767E81"/>
    <w:rPr>
      <w:rFonts w:ascii="Times New Roman" w:hAnsi="Times New Roman" w:cs="Times New Roman"/>
      <w:sz w:val="24"/>
      <w:lang w:val="lt-LT"/>
    </w:rPr>
  </w:style>
  <w:style w:type="paragraph" w:styleId="Footer">
    <w:name w:val="footer"/>
    <w:basedOn w:val="Normal"/>
    <w:link w:val="FooterChar"/>
    <w:uiPriority w:val="99"/>
    <w:unhideWhenUsed/>
    <w:rsid w:val="00767E8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67E81"/>
    <w:rPr>
      <w:rFonts w:ascii="Times New Roman" w:hAnsi="Times New Roman" w:cs="Times New Roman"/>
      <w:sz w:val="24"/>
      <w:lang w:val="lt-L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t-L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t-L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t-L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t-L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lt-L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lt-L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lt-L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767E81"/>
    <w:pPr>
      <w:tabs>
        <w:tab w:val="center" w:pos="7285"/>
        <w:tab w:val="right" w:pos="14003"/>
      </w:tabs>
      <w:spacing w:before="0"/>
    </w:pPr>
  </w:style>
  <w:style w:type="paragraph" w:customStyle="1" w:styleId="FooterLandscape">
    <w:name w:val="FooterLandscape"/>
    <w:basedOn w:val="Normal"/>
    <w:rsid w:val="00767E8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67E8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67E81"/>
    <w:pPr>
      <w:spacing w:before="0"/>
      <w:jc w:val="right"/>
    </w:pPr>
    <w:rPr>
      <w:sz w:val="28"/>
    </w:rPr>
  </w:style>
  <w:style w:type="paragraph" w:customStyle="1" w:styleId="FooterSensitivity">
    <w:name w:val="Footer Sensitivity"/>
    <w:basedOn w:val="Normal"/>
    <w:rsid w:val="00767E8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Tiret5">
    <w:name w:val="Tiret 5"/>
    <w:basedOn w:val="Point5"/>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NumPar5">
    <w:name w:val="NumPar 5"/>
    <w:basedOn w:val="Normal"/>
    <w:next w:val="Text2"/>
    <w:pPr>
      <w:numPr>
        <w:ilvl w:val="4"/>
        <w:numId w:val="25"/>
      </w:numPr>
    </w:pPr>
  </w:style>
  <w:style w:type="paragraph" w:customStyle="1" w:styleId="NumPar6">
    <w:name w:val="NumPar 6"/>
    <w:basedOn w:val="Normal"/>
    <w:next w:val="Text2"/>
    <w:pPr>
      <w:numPr>
        <w:ilvl w:val="5"/>
        <w:numId w:val="25"/>
      </w:numPr>
    </w:pPr>
  </w:style>
  <w:style w:type="paragraph" w:customStyle="1" w:styleId="NumPar7">
    <w:name w:val="NumPar 7"/>
    <w:basedOn w:val="Normal"/>
    <w:next w:val="Text2"/>
    <w:pPr>
      <w:numPr>
        <w:ilvl w:val="6"/>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ED645E"/>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4784">
      <w:bodyDiv w:val="1"/>
      <w:marLeft w:val="0"/>
      <w:marRight w:val="0"/>
      <w:marTop w:val="0"/>
      <w:marBottom w:val="0"/>
      <w:divBdr>
        <w:top w:val="none" w:sz="0" w:space="0" w:color="auto"/>
        <w:left w:val="none" w:sz="0" w:space="0" w:color="auto"/>
        <w:bottom w:val="none" w:sz="0" w:space="0" w:color="auto"/>
        <w:right w:val="none" w:sz="0" w:space="0" w:color="auto"/>
      </w:divBdr>
    </w:div>
    <w:div w:id="1271932501">
      <w:bodyDiv w:val="1"/>
      <w:marLeft w:val="0"/>
      <w:marRight w:val="0"/>
      <w:marTop w:val="0"/>
      <w:marBottom w:val="0"/>
      <w:divBdr>
        <w:top w:val="none" w:sz="0" w:space="0" w:color="auto"/>
        <w:left w:val="none" w:sz="0" w:space="0" w:color="auto"/>
        <w:bottom w:val="none" w:sz="0" w:space="0" w:color="auto"/>
        <w:right w:val="none" w:sz="0" w:space="0" w:color="auto"/>
      </w:divBdr>
      <w:divsChild>
        <w:div w:id="1659385499">
          <w:marLeft w:val="0"/>
          <w:marRight w:val="0"/>
          <w:marTop w:val="0"/>
          <w:marBottom w:val="0"/>
          <w:divBdr>
            <w:top w:val="none" w:sz="0" w:space="0" w:color="auto"/>
            <w:left w:val="none" w:sz="0" w:space="0" w:color="auto"/>
            <w:bottom w:val="none" w:sz="0" w:space="0" w:color="auto"/>
            <w:right w:val="none" w:sz="0" w:space="0" w:color="auto"/>
          </w:divBdr>
          <w:divsChild>
            <w:div w:id="580411708">
              <w:marLeft w:val="0"/>
              <w:marRight w:val="0"/>
              <w:marTop w:val="120"/>
              <w:marBottom w:val="0"/>
              <w:divBdr>
                <w:top w:val="none" w:sz="0" w:space="0" w:color="auto"/>
                <w:left w:val="none" w:sz="0" w:space="0" w:color="auto"/>
                <w:bottom w:val="none" w:sz="0" w:space="0" w:color="auto"/>
                <w:right w:val="none" w:sz="0" w:space="0" w:color="auto"/>
              </w:divBdr>
            </w:div>
            <w:div w:id="1856307766">
              <w:marLeft w:val="0"/>
              <w:marRight w:val="0"/>
              <w:marTop w:val="0"/>
              <w:marBottom w:val="0"/>
              <w:divBdr>
                <w:top w:val="none" w:sz="0" w:space="0" w:color="auto"/>
                <w:left w:val="none" w:sz="0" w:space="0" w:color="auto"/>
                <w:bottom w:val="none" w:sz="0" w:space="0" w:color="auto"/>
                <w:right w:val="none" w:sz="0" w:space="0" w:color="auto"/>
              </w:divBdr>
              <w:divsChild>
                <w:div w:id="14259986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67675370">
          <w:marLeft w:val="0"/>
          <w:marRight w:val="0"/>
          <w:marTop w:val="0"/>
          <w:marBottom w:val="0"/>
          <w:divBdr>
            <w:top w:val="none" w:sz="0" w:space="0" w:color="auto"/>
            <w:left w:val="none" w:sz="0" w:space="0" w:color="auto"/>
            <w:bottom w:val="none" w:sz="0" w:space="0" w:color="auto"/>
            <w:right w:val="none" w:sz="0" w:space="0" w:color="auto"/>
          </w:divBdr>
          <w:divsChild>
            <w:div w:id="1850678078">
              <w:marLeft w:val="0"/>
              <w:marRight w:val="0"/>
              <w:marTop w:val="120"/>
              <w:marBottom w:val="0"/>
              <w:divBdr>
                <w:top w:val="none" w:sz="0" w:space="0" w:color="auto"/>
                <w:left w:val="none" w:sz="0" w:space="0" w:color="auto"/>
                <w:bottom w:val="none" w:sz="0" w:space="0" w:color="auto"/>
                <w:right w:val="none" w:sz="0" w:space="0" w:color="auto"/>
              </w:divBdr>
            </w:div>
            <w:div w:id="1696035327">
              <w:marLeft w:val="0"/>
              <w:marRight w:val="0"/>
              <w:marTop w:val="0"/>
              <w:marBottom w:val="0"/>
              <w:divBdr>
                <w:top w:val="none" w:sz="0" w:space="0" w:color="auto"/>
                <w:left w:val="none" w:sz="0" w:space="0" w:color="auto"/>
                <w:bottom w:val="none" w:sz="0" w:space="0" w:color="auto"/>
                <w:right w:val="none" w:sz="0" w:space="0" w:color="auto"/>
              </w:divBdr>
              <w:divsChild>
                <w:div w:id="9677355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7922683">
          <w:marLeft w:val="0"/>
          <w:marRight w:val="0"/>
          <w:marTop w:val="0"/>
          <w:marBottom w:val="0"/>
          <w:divBdr>
            <w:top w:val="none" w:sz="0" w:space="0" w:color="auto"/>
            <w:left w:val="none" w:sz="0" w:space="0" w:color="auto"/>
            <w:bottom w:val="none" w:sz="0" w:space="0" w:color="auto"/>
            <w:right w:val="none" w:sz="0" w:space="0" w:color="auto"/>
          </w:divBdr>
          <w:divsChild>
            <w:div w:id="241255613">
              <w:marLeft w:val="0"/>
              <w:marRight w:val="0"/>
              <w:marTop w:val="120"/>
              <w:marBottom w:val="0"/>
              <w:divBdr>
                <w:top w:val="none" w:sz="0" w:space="0" w:color="auto"/>
                <w:left w:val="none" w:sz="0" w:space="0" w:color="auto"/>
                <w:bottom w:val="none" w:sz="0" w:space="0" w:color="auto"/>
                <w:right w:val="none" w:sz="0" w:space="0" w:color="auto"/>
              </w:divBdr>
            </w:div>
            <w:div w:id="428282760">
              <w:marLeft w:val="0"/>
              <w:marRight w:val="0"/>
              <w:marTop w:val="0"/>
              <w:marBottom w:val="0"/>
              <w:divBdr>
                <w:top w:val="none" w:sz="0" w:space="0" w:color="auto"/>
                <w:left w:val="none" w:sz="0" w:space="0" w:color="auto"/>
                <w:bottom w:val="none" w:sz="0" w:space="0" w:color="auto"/>
                <w:right w:val="none" w:sz="0" w:space="0" w:color="auto"/>
              </w:divBdr>
              <w:divsChild>
                <w:div w:id="6892590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5661177">
          <w:marLeft w:val="0"/>
          <w:marRight w:val="0"/>
          <w:marTop w:val="0"/>
          <w:marBottom w:val="0"/>
          <w:divBdr>
            <w:top w:val="none" w:sz="0" w:space="0" w:color="auto"/>
            <w:left w:val="none" w:sz="0" w:space="0" w:color="auto"/>
            <w:bottom w:val="none" w:sz="0" w:space="0" w:color="auto"/>
            <w:right w:val="none" w:sz="0" w:space="0" w:color="auto"/>
          </w:divBdr>
          <w:divsChild>
            <w:div w:id="224729840">
              <w:marLeft w:val="0"/>
              <w:marRight w:val="0"/>
              <w:marTop w:val="120"/>
              <w:marBottom w:val="0"/>
              <w:divBdr>
                <w:top w:val="none" w:sz="0" w:space="0" w:color="auto"/>
                <w:left w:val="none" w:sz="0" w:space="0" w:color="auto"/>
                <w:bottom w:val="none" w:sz="0" w:space="0" w:color="auto"/>
                <w:right w:val="none" w:sz="0" w:space="0" w:color="auto"/>
              </w:divBdr>
            </w:div>
            <w:div w:id="1805344599">
              <w:marLeft w:val="0"/>
              <w:marRight w:val="0"/>
              <w:marTop w:val="0"/>
              <w:marBottom w:val="0"/>
              <w:divBdr>
                <w:top w:val="none" w:sz="0" w:space="0" w:color="auto"/>
                <w:left w:val="none" w:sz="0" w:space="0" w:color="auto"/>
                <w:bottom w:val="none" w:sz="0" w:space="0" w:color="auto"/>
                <w:right w:val="none" w:sz="0" w:space="0" w:color="auto"/>
              </w:divBdr>
              <w:divsChild>
                <w:div w:id="17234060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38099646">
      <w:bodyDiv w:val="1"/>
      <w:marLeft w:val="0"/>
      <w:marRight w:val="0"/>
      <w:marTop w:val="0"/>
      <w:marBottom w:val="0"/>
      <w:divBdr>
        <w:top w:val="none" w:sz="0" w:space="0" w:color="auto"/>
        <w:left w:val="none" w:sz="0" w:space="0" w:color="auto"/>
        <w:bottom w:val="none" w:sz="0" w:space="0" w:color="auto"/>
        <w:right w:val="none" w:sz="0" w:space="0" w:color="auto"/>
      </w:divBdr>
    </w:div>
    <w:div w:id="1781682416">
      <w:bodyDiv w:val="1"/>
      <w:marLeft w:val="0"/>
      <w:marRight w:val="0"/>
      <w:marTop w:val="0"/>
      <w:marBottom w:val="0"/>
      <w:divBdr>
        <w:top w:val="none" w:sz="0" w:space="0" w:color="auto"/>
        <w:left w:val="none" w:sz="0" w:space="0" w:color="auto"/>
        <w:bottom w:val="none" w:sz="0" w:space="0" w:color="auto"/>
        <w:right w:val="none" w:sz="0" w:space="0" w:color="auto"/>
      </w:divBdr>
    </w:div>
    <w:div w:id="1978872434">
      <w:bodyDiv w:val="1"/>
      <w:marLeft w:val="0"/>
      <w:marRight w:val="0"/>
      <w:marTop w:val="0"/>
      <w:marBottom w:val="0"/>
      <w:divBdr>
        <w:top w:val="none" w:sz="0" w:space="0" w:color="auto"/>
        <w:left w:val="none" w:sz="0" w:space="0" w:color="auto"/>
        <w:bottom w:val="none" w:sz="0" w:space="0" w:color="auto"/>
        <w:right w:val="none" w:sz="0" w:space="0" w:color="auto"/>
      </w:divBdr>
    </w:div>
    <w:div w:id="2057044957">
      <w:bodyDiv w:val="1"/>
      <w:marLeft w:val="0"/>
      <w:marRight w:val="0"/>
      <w:marTop w:val="0"/>
      <w:marBottom w:val="0"/>
      <w:divBdr>
        <w:top w:val="none" w:sz="0" w:space="0" w:color="auto"/>
        <w:left w:val="none" w:sz="0" w:space="0" w:color="auto"/>
        <w:bottom w:val="none" w:sz="0" w:space="0" w:color="auto"/>
        <w:right w:val="none" w:sz="0" w:space="0" w:color="auto"/>
      </w:divBdr>
      <w:divsChild>
        <w:div w:id="629628980">
          <w:marLeft w:val="0"/>
          <w:marRight w:val="0"/>
          <w:marTop w:val="0"/>
          <w:marBottom w:val="0"/>
          <w:divBdr>
            <w:top w:val="none" w:sz="0" w:space="0" w:color="auto"/>
            <w:left w:val="none" w:sz="0" w:space="0" w:color="auto"/>
            <w:bottom w:val="none" w:sz="0" w:space="0" w:color="auto"/>
            <w:right w:val="none" w:sz="0" w:space="0" w:color="auto"/>
          </w:divBdr>
          <w:divsChild>
            <w:div w:id="507914744">
              <w:marLeft w:val="0"/>
              <w:marRight w:val="0"/>
              <w:marTop w:val="0"/>
              <w:marBottom w:val="0"/>
              <w:divBdr>
                <w:top w:val="none" w:sz="0" w:space="0" w:color="auto"/>
                <w:left w:val="none" w:sz="0" w:space="0" w:color="auto"/>
                <w:bottom w:val="none" w:sz="0" w:space="0" w:color="auto"/>
                <w:right w:val="none" w:sz="0" w:space="0" w:color="auto"/>
              </w:divBdr>
              <w:divsChild>
                <w:div w:id="2920290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348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corp/budget/financial-rules/budget-implementation/Pages/implementation-methods.aspx" TargetMode="External"/><Relationship Id="rId1" Type="http://schemas.openxmlformats.org/officeDocument/2006/relationships/hyperlink" Target="http://www.parismo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2C0E8722-3A40-479F-B012-367D1FB754C3">EN</EC_Collab_DocumentLanguage>
    <Status xmlns="2C0E8722-3A40-479F-B012-367D1FB754C3">Draft</Status>
    <EC_ARES_NUMBER xmlns="2c0e8722-3a40-479f-b012-367d1fb754c3">
      <Url xsi:nil="true"/>
      <Description xsi:nil="true"/>
    </EC_ARES_NUMBER>
    <EC_ARES_DATE_TRANSFERRED xmlns="2c0e8722-3a40-479f-b012-367d1fb754c3" xsi:nil="true"/>
    <EC_Collab_Status xmlns="2C0E8722-3A40-479F-B012-367D1FB754C3">Not Started</EC_Collab_Status>
    <EC_ARES_TRANSFERRED_BY xmlns="2c0e8722-3a40-479f-b012-367d1fb754c3" xsi:nil="true"/>
    <EC_Collab_Reference xmlns="2C0E8722-3A40-479F-B012-367D1FB754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D555233027C1E41B8DD1CBE89128322" ma:contentTypeVersion="5" ma:contentTypeDescription="Create a new document in this library." ma:contentTypeScope="" ma:versionID="ea66bbe31642424c0522fa00dc9b13f3">
  <xsd:schema xmlns:xsd="http://www.w3.org/2001/XMLSchema" xmlns:xs="http://www.w3.org/2001/XMLSchema" xmlns:p="http://schemas.microsoft.com/office/2006/metadata/properties" xmlns:ns3="2C0E8722-3A40-479F-B012-367D1FB754C3" xmlns:ns4="2c0e8722-3a40-479f-b012-367d1fb754c3" xmlns:ns5="43dbc629-2500-4e93-a4c6-7001653b156d" targetNamespace="http://schemas.microsoft.com/office/2006/metadata/properties" ma:root="true" ma:fieldsID="e875e5b2e8832adf35d65ed7ec4b79f6" ns3:_="" ns4:_="" ns5:_="">
    <xsd:import namespace="2C0E8722-3A40-479F-B012-367D1FB754C3"/>
    <xsd:import namespace="2c0e8722-3a40-479f-b012-367d1fb754c3"/>
    <xsd:import namespace="43dbc629-2500-4e93-a4c6-7001653b156d"/>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E8722-3A40-479F-B012-367D1FB754C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2c0e8722-3a40-479f-b012-367d1fb754c3"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bc629-2500-4e93-a4c6-7001653b156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B9BC7-D0D8-406F-A3C7-351B7A2261AE}">
  <ds:schemaRefs>
    <ds:schemaRef ds:uri="http://schemas.microsoft.com/office/2006/documentManagement/types"/>
    <ds:schemaRef ds:uri="2c0e8722-3a40-479f-b012-367d1fb754c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3dbc629-2500-4e93-a4c6-7001653b156d"/>
    <ds:schemaRef ds:uri="2C0E8722-3A40-479F-B012-367D1FB754C3"/>
    <ds:schemaRef ds:uri="http://www.w3.org/XML/1998/namespace"/>
    <ds:schemaRef ds:uri="http://purl.org/dc/dcmitype/"/>
  </ds:schemaRefs>
</ds:datastoreItem>
</file>

<file path=customXml/itemProps2.xml><?xml version="1.0" encoding="utf-8"?>
<ds:datastoreItem xmlns:ds="http://schemas.openxmlformats.org/officeDocument/2006/customXml" ds:itemID="{ACA12122-91BA-455F-84EC-FFB71E390B48}">
  <ds:schemaRefs>
    <ds:schemaRef ds:uri="http://schemas.microsoft.com/sharepoint/v3/contenttype/forms"/>
  </ds:schemaRefs>
</ds:datastoreItem>
</file>

<file path=customXml/itemProps3.xml><?xml version="1.0" encoding="utf-8"?>
<ds:datastoreItem xmlns:ds="http://schemas.openxmlformats.org/officeDocument/2006/customXml" ds:itemID="{C9AE164A-3845-449E-A377-54227B73E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E8722-3A40-479F-B012-367D1FB754C3"/>
    <ds:schemaRef ds:uri="2c0e8722-3a40-479f-b012-367d1fb754c3"/>
    <ds:schemaRef ds:uri="43dbc629-2500-4e93-a4c6-7001653b1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FDA8E-22B8-4300-9D36-59E803CC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TotalTime>
  <Pages>41</Pages>
  <Words>11501</Words>
  <Characters>78207</Characters>
  <Application>Microsoft Office Word</Application>
  <DocSecurity>0</DocSecurity>
  <Lines>2005</Lines>
  <Paragraphs>800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52</cp:revision>
  <cp:lastPrinted>2023-03-03T14:23:00Z</cp:lastPrinted>
  <dcterms:created xsi:type="dcterms:W3CDTF">2023-05-09T21:25:00Z</dcterms:created>
  <dcterms:modified xsi:type="dcterms:W3CDTF">2023-07-03T12:41:00Z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9.0, Build 20230317</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0x010100258AA79CEB83498886A3A08681123250006D555233027C1E41B8DD1CBE89128322</vt:lpwstr>
  </property>
  <property fmtid="{D5CDD505-2E9C-101B-9397-08002B2CF9AE}" pid="11" name="MSIP_Label_6bd9ddd1-4d20-43f6-abfa-fc3c07406f94_Enabled">
    <vt:lpwstr>true</vt:lpwstr>
  </property>
  <property fmtid="{D5CDD505-2E9C-101B-9397-08002B2CF9AE}" pid="12" name="MSIP_Label_6bd9ddd1-4d20-43f6-abfa-fc3c07406f94_SetDate">
    <vt:lpwstr>2023-03-20T07:34:22Z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9b9a88c2-75a6-4cdd-9ca4-e1f141a77314</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