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08648" w14:textId="7FA3946C" w:rsidR="00BC0147" w:rsidRPr="00E15354" w:rsidRDefault="00550C50" w:rsidP="00550C50">
      <w:pPr>
        <w:pStyle w:val="Pagedecouverture"/>
        <w:rPr>
          <w:noProof/>
        </w:rPr>
      </w:pPr>
      <w:r>
        <w:rPr>
          <w:noProof/>
        </w:rPr>
        <w:pict w14:anchorId="7D0D2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B896204D-21C4-454A-A3DC-D0C52D6157FE" style="width:455.25pt;height:387.75pt">
            <v:imagedata r:id="rId10" o:title=""/>
          </v:shape>
        </w:pict>
      </w:r>
    </w:p>
    <w:p w14:paraId="2B5C62EE" w14:textId="77777777" w:rsidR="00BC0147" w:rsidRPr="00E15354" w:rsidRDefault="00BC0147" w:rsidP="00BC0147">
      <w:pPr>
        <w:rPr>
          <w:noProof/>
        </w:rPr>
        <w:sectPr w:rsidR="00BC0147" w:rsidRPr="00E15354" w:rsidSect="00550C50">
          <w:headerReference w:type="even" r:id="rId11"/>
          <w:headerReference w:type="default" r:id="rId12"/>
          <w:footerReference w:type="even" r:id="rId13"/>
          <w:footerReference w:type="default" r:id="rId14"/>
          <w:headerReference w:type="first" r:id="rId15"/>
          <w:footerReference w:type="first" r:id="rId16"/>
          <w:pgSz w:w="11907" w:h="16839"/>
          <w:pgMar w:top="1134" w:right="1417" w:bottom="1134" w:left="1417" w:header="709" w:footer="709" w:gutter="0"/>
          <w:pgNumType w:start="0"/>
          <w:cols w:space="720"/>
          <w:docGrid w:linePitch="360"/>
        </w:sectPr>
      </w:pPr>
    </w:p>
    <w:p w14:paraId="124C1816" w14:textId="3424333C" w:rsidR="00BC0147" w:rsidRPr="00E15354" w:rsidRDefault="00BC0147" w:rsidP="00BC0147">
      <w:pPr>
        <w:pStyle w:val="Annexetitre"/>
        <w:rPr>
          <w:noProof/>
        </w:rPr>
      </w:pPr>
      <w:bookmarkStart w:id="0" w:name="_GoBack"/>
      <w:bookmarkEnd w:id="0"/>
      <w:r w:rsidRPr="00E15354">
        <w:rPr>
          <w:noProof/>
        </w:rPr>
        <w:lastRenderedPageBreak/>
        <w:t>ANEXO I</w:t>
      </w:r>
    </w:p>
    <w:p w14:paraId="0C44AC62" w14:textId="77777777" w:rsidR="00BC0147" w:rsidRPr="00E15354" w:rsidRDefault="00BC0147" w:rsidP="00BC0147">
      <w:pPr>
        <w:rPr>
          <w:noProof/>
        </w:rPr>
      </w:pPr>
    </w:p>
    <w:p w14:paraId="4195DB68" w14:textId="77777777" w:rsidR="00BC0147" w:rsidRPr="00E15354" w:rsidRDefault="00BC0147" w:rsidP="00BC0147">
      <w:pPr>
        <w:rPr>
          <w:noProof/>
        </w:rPr>
      </w:pPr>
      <w:r w:rsidRPr="00E15354">
        <w:rPr>
          <w:noProof/>
        </w:rPr>
        <w:t>«</w:t>
      </w:r>
      <w:r w:rsidRPr="00E15354">
        <w:rPr>
          <w:b/>
          <w:bCs/>
          <w:noProof/>
        </w:rPr>
        <w:t>I. Perfil de risco do navio</w:t>
      </w:r>
    </w:p>
    <w:p w14:paraId="2D0EFA47" w14:textId="77777777" w:rsidR="00BC0147" w:rsidRPr="00E15354" w:rsidRDefault="00BC0147" w:rsidP="00BC0147">
      <w:pPr>
        <w:rPr>
          <w:noProof/>
        </w:rPr>
      </w:pPr>
      <w:r w:rsidRPr="00E15354">
        <w:rPr>
          <w:noProof/>
        </w:rPr>
        <w:t>O perfil de risco de um navio é determinado pela combinação dos seguintes parâmetros genéricos, históricos e ambientais.</w:t>
      </w:r>
    </w:p>
    <w:p w14:paraId="32A432F0" w14:textId="77777777" w:rsidR="00BC0147" w:rsidRPr="00E15354" w:rsidRDefault="00BC0147" w:rsidP="00BC0147">
      <w:pPr>
        <w:rPr>
          <w:b/>
          <w:noProof/>
        </w:rPr>
      </w:pPr>
      <w:r w:rsidRPr="00E15354">
        <w:rPr>
          <w:b/>
          <w:noProof/>
        </w:rPr>
        <w:t>1. Parâmetros genéricos</w:t>
      </w:r>
    </w:p>
    <w:p w14:paraId="6042DD0E" w14:textId="77777777" w:rsidR="00BC0147" w:rsidRPr="00E15354" w:rsidRDefault="00BC0147" w:rsidP="00A73D3A">
      <w:pPr>
        <w:pStyle w:val="Point0letter"/>
        <w:numPr>
          <w:ilvl w:val="1"/>
          <w:numId w:val="12"/>
        </w:numPr>
        <w:rPr>
          <w:noProof/>
        </w:rPr>
      </w:pPr>
      <w:r w:rsidRPr="00E15354">
        <w:rPr>
          <w:noProof/>
        </w:rPr>
        <w:t>Tipo do navio</w:t>
      </w:r>
    </w:p>
    <w:p w14:paraId="002740F3" w14:textId="77777777" w:rsidR="00BC0147" w:rsidRPr="00E15354" w:rsidRDefault="00BC0147" w:rsidP="00BC0147">
      <w:pPr>
        <w:pStyle w:val="Point1"/>
        <w:ind w:left="850" w:firstLine="0"/>
        <w:rPr>
          <w:noProof/>
        </w:rPr>
      </w:pPr>
      <w:r w:rsidRPr="00E15354">
        <w:rPr>
          <w:noProof/>
        </w:rPr>
        <w:t>Considera-se que os navios de passageiros, os navios petroleiros, os navios de transporte de produtos químicos, os navios de transporte de gás e os navios graneleiros representam um risco mais elevado.</w:t>
      </w:r>
    </w:p>
    <w:p w14:paraId="7CF35C1A" w14:textId="77777777" w:rsidR="00BC0147" w:rsidRPr="00E15354" w:rsidRDefault="00BC0147" w:rsidP="00A73D3A">
      <w:pPr>
        <w:pStyle w:val="Point0letter"/>
        <w:rPr>
          <w:noProof/>
        </w:rPr>
      </w:pPr>
      <w:r w:rsidRPr="00E15354">
        <w:rPr>
          <w:noProof/>
        </w:rPr>
        <w:t>Idade do navio</w:t>
      </w:r>
    </w:p>
    <w:p w14:paraId="1F2149A2" w14:textId="77777777" w:rsidR="00BC0147" w:rsidRPr="00E15354" w:rsidRDefault="00BC0147" w:rsidP="00BC0147">
      <w:pPr>
        <w:pStyle w:val="Point1"/>
        <w:rPr>
          <w:noProof/>
        </w:rPr>
      </w:pPr>
      <w:r w:rsidRPr="00E15354">
        <w:rPr>
          <w:noProof/>
        </w:rPr>
        <w:t>Considera-se que os navios com mais de doze anos de idade representam um risco mais elevado.</w:t>
      </w:r>
    </w:p>
    <w:p w14:paraId="5B129B33" w14:textId="77777777" w:rsidR="00BC0147" w:rsidRPr="00E15354" w:rsidRDefault="00BC0147" w:rsidP="00A73D3A">
      <w:pPr>
        <w:pStyle w:val="Point0letter"/>
        <w:rPr>
          <w:noProof/>
        </w:rPr>
      </w:pPr>
      <w:r w:rsidRPr="00E15354">
        <w:rPr>
          <w:noProof/>
        </w:rPr>
        <w:t>Desempenho do Estado de bandeira</w:t>
      </w:r>
    </w:p>
    <w:p w14:paraId="73D8DB13" w14:textId="77777777" w:rsidR="00BC0147" w:rsidRPr="00E15354" w:rsidRDefault="00BC0147" w:rsidP="00BC0147">
      <w:pPr>
        <w:pStyle w:val="Point1"/>
        <w:rPr>
          <w:noProof/>
        </w:rPr>
      </w:pPr>
      <w:r w:rsidRPr="00E15354">
        <w:rPr>
          <w:noProof/>
        </w:rPr>
        <w:t>i)</w:t>
      </w:r>
      <w:r w:rsidRPr="00E15354">
        <w:rPr>
          <w:noProof/>
        </w:rPr>
        <w:tab/>
        <w:t>Considera-se que os navios que arvoram bandeira de um Estado com uma alta taxa de detenção na Comunidade e na região do MA de Paris representam um risco mais elevado.</w:t>
      </w:r>
    </w:p>
    <w:p w14:paraId="61596927" w14:textId="77777777" w:rsidR="00BC0147" w:rsidRPr="00E15354" w:rsidRDefault="00BC0147" w:rsidP="00BC0147">
      <w:pPr>
        <w:pStyle w:val="Point1"/>
        <w:rPr>
          <w:noProof/>
        </w:rPr>
      </w:pPr>
      <w:r w:rsidRPr="00E15354">
        <w:rPr>
          <w:noProof/>
        </w:rPr>
        <w:t>ii)</w:t>
      </w:r>
      <w:r w:rsidRPr="00E15354">
        <w:rPr>
          <w:noProof/>
        </w:rPr>
        <w:tab/>
        <w:t>Considera-se que os navios que arvoram bandeira de um Estado com uma baixa taxa de detenção na Comunidade e na região do MA de Paris representam um risco menos elevado.</w:t>
      </w:r>
    </w:p>
    <w:p w14:paraId="3E23E3BF" w14:textId="77777777" w:rsidR="00BC0147" w:rsidRPr="00E15354" w:rsidRDefault="00BC0147" w:rsidP="00BC0147">
      <w:pPr>
        <w:pStyle w:val="Point1"/>
        <w:rPr>
          <w:noProof/>
        </w:rPr>
      </w:pPr>
      <w:r w:rsidRPr="00E15354">
        <w:rPr>
          <w:noProof/>
        </w:rPr>
        <w:t>iii)</w:t>
      </w:r>
      <w:r w:rsidRPr="00E15354">
        <w:rPr>
          <w:noProof/>
        </w:rPr>
        <w:tab/>
        <w:t>Considera-se que os navios que arvoram bandeira de um Estado que tenha ratificado todos os instrumentos obrigatórios da OMI enumerados no artigo 2.º, n.º 1, representam um risco menos elevado. Logo que as medidas a que se refere o artigo 10.º, n.º 3, tiverem sido adotadas, o Estado de bandeira de tal navio deve ter demonstrado a conformidade com o Código de aplicação dos instrumentos vinculativos da OMI.</w:t>
      </w:r>
    </w:p>
    <w:p w14:paraId="01E4E36B" w14:textId="77777777" w:rsidR="00BC0147" w:rsidRPr="00E15354" w:rsidRDefault="00BC0147" w:rsidP="00BC0147">
      <w:pPr>
        <w:pStyle w:val="Point1"/>
        <w:rPr>
          <w:noProof/>
        </w:rPr>
      </w:pPr>
      <w:r w:rsidRPr="00E15354">
        <w:rPr>
          <w:noProof/>
        </w:rPr>
        <w:t>iv)</w:t>
      </w:r>
      <w:r w:rsidRPr="00E15354">
        <w:rPr>
          <w:noProof/>
        </w:rPr>
        <w:tab/>
        <w:t>Navios que arvorem bandeira de um Estado que tenha fornecido versões eletrónicas dos certificados oficiais previstos no anexo IV, pontos 1-XX.</w:t>
      </w:r>
    </w:p>
    <w:p w14:paraId="44F528DB" w14:textId="77777777" w:rsidR="00BC0147" w:rsidRPr="00E15354" w:rsidRDefault="00BC0147" w:rsidP="00A73D3A">
      <w:pPr>
        <w:pStyle w:val="Point0letter"/>
        <w:rPr>
          <w:noProof/>
        </w:rPr>
      </w:pPr>
      <w:r w:rsidRPr="00E15354">
        <w:rPr>
          <w:noProof/>
        </w:rPr>
        <w:t>Organizações reconhecidas</w:t>
      </w:r>
    </w:p>
    <w:p w14:paraId="0C2D411E" w14:textId="77777777" w:rsidR="00BC0147" w:rsidRPr="00E15354" w:rsidRDefault="00BC0147" w:rsidP="00BC0147">
      <w:pPr>
        <w:pStyle w:val="Point1"/>
        <w:rPr>
          <w:noProof/>
        </w:rPr>
      </w:pPr>
      <w:r w:rsidRPr="00E15354">
        <w:rPr>
          <w:noProof/>
        </w:rPr>
        <w:t>i)</w:t>
      </w:r>
      <w:r w:rsidRPr="00E15354">
        <w:rPr>
          <w:noProof/>
        </w:rPr>
        <w:tab/>
        <w:t>Considera-se que os navios cujos certificados tenham sido emitidos por organizações reconhecidas com um nível de desempenho baixo ou muito baixo relativamente às suas taxas de detenção na Comunidade e na região do MA de Paris representam um risco mais elevado.</w:t>
      </w:r>
    </w:p>
    <w:p w14:paraId="3F27C110" w14:textId="77777777" w:rsidR="00BC0147" w:rsidRPr="00E15354" w:rsidRDefault="00BC0147" w:rsidP="00BC0147">
      <w:pPr>
        <w:pStyle w:val="Point1"/>
        <w:rPr>
          <w:noProof/>
        </w:rPr>
      </w:pPr>
      <w:r w:rsidRPr="00E15354">
        <w:rPr>
          <w:noProof/>
        </w:rPr>
        <w:t>ii)</w:t>
      </w:r>
      <w:r w:rsidRPr="00E15354">
        <w:rPr>
          <w:noProof/>
        </w:rPr>
        <w:tab/>
        <w:t>Considera-se que os navios cujos certificados tenham sido emitidos por organizações reconhecidas com um nível de desempenho elevado relativamente às suas taxas de detenção na Comunidade e na região do MA de Paris representam um risco menos elevado.</w:t>
      </w:r>
    </w:p>
    <w:p w14:paraId="7326603F" w14:textId="77777777" w:rsidR="00BC0147" w:rsidRPr="00E15354" w:rsidRDefault="00BC0147" w:rsidP="00BC0147">
      <w:pPr>
        <w:pStyle w:val="Point1"/>
        <w:rPr>
          <w:noProof/>
        </w:rPr>
      </w:pPr>
      <w:r w:rsidRPr="00E15354">
        <w:rPr>
          <w:noProof/>
        </w:rPr>
        <w:t>iii)</w:t>
      </w:r>
      <w:r w:rsidRPr="00E15354">
        <w:rPr>
          <w:noProof/>
        </w:rPr>
        <w:tab/>
        <w:t>Considera-se que os navios relativamente aos quais tenham sido emitidos certificados por organizações reconhecidas nos termos do Regulamento (CE) n.º 391/2009 representam um risco menos elevado.</w:t>
      </w:r>
    </w:p>
    <w:p w14:paraId="22473E22" w14:textId="44BAF7F5" w:rsidR="00BC0147" w:rsidRPr="00E15354" w:rsidRDefault="00BC0147" w:rsidP="00A73D3A">
      <w:pPr>
        <w:pStyle w:val="Point0letter"/>
        <w:rPr>
          <w:noProof/>
        </w:rPr>
      </w:pPr>
      <w:r w:rsidRPr="00E15354">
        <w:rPr>
          <w:noProof/>
        </w:rPr>
        <w:t>Desempenho da companhia</w:t>
      </w:r>
    </w:p>
    <w:p w14:paraId="5E494C56" w14:textId="09880094" w:rsidR="00BC0147" w:rsidRPr="00E15354" w:rsidRDefault="00F9656B" w:rsidP="00F9656B">
      <w:pPr>
        <w:pStyle w:val="Point1"/>
        <w:rPr>
          <w:noProof/>
        </w:rPr>
      </w:pPr>
      <w:r w:rsidRPr="00E15354">
        <w:rPr>
          <w:noProof/>
        </w:rPr>
        <w:t>i)</w:t>
      </w:r>
      <w:r w:rsidRPr="00E15354">
        <w:rPr>
          <w:noProof/>
        </w:rPr>
        <w:tab/>
        <w:t>Considera-se que os navios de uma companhia com um desempenho baixo ou muito baixo, conforme determinado pelas taxas de anomalias e detenção dos seus navios na Comunidade e na região do MA de Paris, representam um risco mais elevado.</w:t>
      </w:r>
    </w:p>
    <w:p w14:paraId="3D025988" w14:textId="73CB62FB" w:rsidR="00BC0147" w:rsidRPr="00E15354" w:rsidRDefault="00F9656B" w:rsidP="00F9656B">
      <w:pPr>
        <w:pStyle w:val="Point1"/>
        <w:rPr>
          <w:noProof/>
        </w:rPr>
      </w:pPr>
      <w:r w:rsidRPr="00E15354">
        <w:rPr>
          <w:noProof/>
        </w:rPr>
        <w:t>ii)</w:t>
      </w:r>
      <w:r w:rsidRPr="00E15354">
        <w:rPr>
          <w:noProof/>
        </w:rPr>
        <w:tab/>
        <w:t>Considera-se que os navios de uma companhia com um desempenho elevado, conforme determinado pelas taxas de anomalias e detenção dos seus navios na Comunidade e na região do MA de Paris, representam um risco menos elevado.</w:t>
      </w:r>
    </w:p>
    <w:p w14:paraId="1E318B87" w14:textId="7888402B" w:rsidR="00BC0147" w:rsidRPr="00E15354" w:rsidRDefault="00BC0147" w:rsidP="00A73D3A">
      <w:pPr>
        <w:pStyle w:val="Point0letter"/>
        <w:rPr>
          <w:noProof/>
        </w:rPr>
      </w:pPr>
      <w:r w:rsidRPr="00E15354">
        <w:rPr>
          <w:noProof/>
        </w:rPr>
        <w:t>Parâmetros históricos</w:t>
      </w:r>
    </w:p>
    <w:p w14:paraId="6DC27AB4" w14:textId="26714148" w:rsidR="00BC0147" w:rsidRPr="00E15354" w:rsidRDefault="00F9656B" w:rsidP="00F9656B">
      <w:pPr>
        <w:pStyle w:val="Point1"/>
        <w:rPr>
          <w:noProof/>
        </w:rPr>
      </w:pPr>
      <w:r w:rsidRPr="00E15354">
        <w:rPr>
          <w:noProof/>
        </w:rPr>
        <w:t>i)</w:t>
      </w:r>
      <w:r w:rsidRPr="00E15354">
        <w:rPr>
          <w:noProof/>
        </w:rPr>
        <w:tab/>
        <w:t>Considera-se que os navios que tenham sido detidos mais de uma vez representam um risco mais elevado.</w:t>
      </w:r>
    </w:p>
    <w:p w14:paraId="58EA423A" w14:textId="3D7B052D" w:rsidR="00BC0147" w:rsidRPr="00E15354" w:rsidRDefault="00F9656B" w:rsidP="00F9656B">
      <w:pPr>
        <w:pStyle w:val="Point1"/>
        <w:rPr>
          <w:noProof/>
        </w:rPr>
      </w:pPr>
      <w:r w:rsidRPr="00E15354">
        <w:rPr>
          <w:noProof/>
        </w:rPr>
        <w:t>ii)</w:t>
      </w:r>
      <w:r w:rsidRPr="00E15354">
        <w:rPr>
          <w:noProof/>
        </w:rPr>
        <w:tab/>
        <w:t>Considera-se que os navios que, nas inspeções efetuadas durante o período referido no anexo II, tenham registado menos do que o número de anomalias referido no anexo II, representam um risco menos elevado.</w:t>
      </w:r>
    </w:p>
    <w:p w14:paraId="2DFB8835" w14:textId="71E14622" w:rsidR="00BC0147" w:rsidRPr="00E15354" w:rsidRDefault="00F9656B" w:rsidP="00F9656B">
      <w:pPr>
        <w:pStyle w:val="Point1"/>
        <w:rPr>
          <w:noProof/>
        </w:rPr>
      </w:pPr>
      <w:r w:rsidRPr="00E15354">
        <w:rPr>
          <w:noProof/>
        </w:rPr>
        <w:t>iii)</w:t>
      </w:r>
      <w:r w:rsidRPr="00E15354">
        <w:rPr>
          <w:noProof/>
        </w:rPr>
        <w:tab/>
        <w:t>Considera-se que os navios que não tenham sido detidos durante o período referido no anexo II representam um risco menos elevado.</w:t>
      </w:r>
    </w:p>
    <w:p w14:paraId="25A52AA1" w14:textId="77777777" w:rsidR="00BC0147" w:rsidRPr="00E15354" w:rsidRDefault="00BC0147" w:rsidP="00BC0147">
      <w:pPr>
        <w:rPr>
          <w:noProof/>
        </w:rPr>
      </w:pPr>
      <w:r w:rsidRPr="00E15354">
        <w:rPr>
          <w:noProof/>
        </w:rPr>
        <w:t>Os parâmetros de risco serão combinados utilizando uma ponderação que reflita o peso relativo de cada parâmetro no risco global do navio a fim de determinar os seguintes perfis de risco para os navios:</w:t>
      </w:r>
    </w:p>
    <w:p w14:paraId="4C612001" w14:textId="74039AAF" w:rsidR="00BC0147" w:rsidRPr="00E15354" w:rsidRDefault="00BC0147" w:rsidP="00A73D3A">
      <w:pPr>
        <w:pStyle w:val="Tiret1"/>
        <w:numPr>
          <w:ilvl w:val="0"/>
          <w:numId w:val="13"/>
        </w:numPr>
        <w:rPr>
          <w:noProof/>
        </w:rPr>
      </w:pPr>
      <w:r w:rsidRPr="00E15354">
        <w:rPr>
          <w:noProof/>
        </w:rPr>
        <w:t>alto risco,</w:t>
      </w:r>
    </w:p>
    <w:p w14:paraId="6A6A9427" w14:textId="1A36A9D8" w:rsidR="00BC0147" w:rsidRPr="00E15354" w:rsidRDefault="00BC0147" w:rsidP="00A73D3A">
      <w:pPr>
        <w:pStyle w:val="Tiret1"/>
        <w:rPr>
          <w:noProof/>
        </w:rPr>
      </w:pPr>
      <w:r w:rsidRPr="00E15354">
        <w:rPr>
          <w:noProof/>
        </w:rPr>
        <w:t>risco normal,</w:t>
      </w:r>
    </w:p>
    <w:p w14:paraId="65FE59CB" w14:textId="1AD6EADB" w:rsidR="00BC0147" w:rsidRPr="00E15354" w:rsidRDefault="00BC0147" w:rsidP="00A73D3A">
      <w:pPr>
        <w:pStyle w:val="Tiret1"/>
        <w:rPr>
          <w:noProof/>
        </w:rPr>
      </w:pPr>
      <w:r w:rsidRPr="00E15354">
        <w:rPr>
          <w:noProof/>
        </w:rPr>
        <w:t>baixo risco.</w:t>
      </w:r>
    </w:p>
    <w:p w14:paraId="2D567211" w14:textId="77777777" w:rsidR="00BC0147" w:rsidRPr="00E15354" w:rsidRDefault="00BC0147" w:rsidP="00BC0147">
      <w:pPr>
        <w:rPr>
          <w:noProof/>
        </w:rPr>
      </w:pPr>
      <w:r w:rsidRPr="00E15354">
        <w:rPr>
          <w:noProof/>
        </w:rPr>
        <w:t>Na determinação destes perfis de risco será dado maior destaque aos parâmetros relativos ao tipo de navio, ao desempenho do Estado de bandeira, às organizações reconhecidas e ao desempenho das companhias.</w:t>
      </w:r>
    </w:p>
    <w:p w14:paraId="2E2145AD" w14:textId="539927D1" w:rsidR="00BC0147" w:rsidRPr="00E15354" w:rsidRDefault="00BC0147" w:rsidP="00A73D3A">
      <w:pPr>
        <w:pStyle w:val="Point0letter"/>
        <w:rPr>
          <w:noProof/>
        </w:rPr>
      </w:pPr>
      <w:r w:rsidRPr="00E15354">
        <w:rPr>
          <w:noProof/>
        </w:rPr>
        <w:t>Parâmetros ambientais</w:t>
      </w:r>
    </w:p>
    <w:p w14:paraId="4D7ABDFC" w14:textId="54EFC04E" w:rsidR="00BC0147" w:rsidRPr="00E15354" w:rsidRDefault="00F9656B" w:rsidP="00F9656B">
      <w:pPr>
        <w:pStyle w:val="Point1"/>
        <w:rPr>
          <w:noProof/>
        </w:rPr>
      </w:pPr>
      <w:r w:rsidRPr="00E15354">
        <w:rPr>
          <w:noProof/>
        </w:rPr>
        <w:t>i)</w:t>
      </w:r>
      <w:r w:rsidRPr="00E15354">
        <w:rPr>
          <w:noProof/>
        </w:rPr>
        <w:tab/>
        <w:t>Considera-se que os navios da categoria D-E, o indicador de intensidade de carbono do navio,  representam um risco mais elevado.</w:t>
      </w:r>
    </w:p>
    <w:p w14:paraId="78D758F7" w14:textId="394D6680" w:rsidR="00BC0147" w:rsidRPr="00E15354" w:rsidRDefault="00F9656B" w:rsidP="00F9656B">
      <w:pPr>
        <w:pStyle w:val="Point1"/>
        <w:rPr>
          <w:noProof/>
        </w:rPr>
        <w:sectPr w:rsidR="00BC0147" w:rsidRPr="00E15354" w:rsidSect="00550C50">
          <w:footerReference w:type="default" r:id="rId17"/>
          <w:footerReference w:type="first" r:id="rId18"/>
          <w:pgSz w:w="11907" w:h="16839"/>
          <w:pgMar w:top="1134" w:right="1417" w:bottom="1134" w:left="1417" w:header="709" w:footer="709" w:gutter="0"/>
          <w:cols w:space="720"/>
          <w:docGrid w:linePitch="360"/>
        </w:sectPr>
      </w:pPr>
      <w:r w:rsidRPr="00E15354">
        <w:rPr>
          <w:noProof/>
        </w:rPr>
        <w:t>ii)</w:t>
      </w:r>
      <w:r w:rsidRPr="00E15354">
        <w:rPr>
          <w:noProof/>
        </w:rPr>
        <w:tab/>
        <w:t xml:space="preserve">Considera-se que os navios que, nas inspeções efetuadas durante o período referido no anexo II, tenham registado menos do que o número de anomalias relativas às Convenções MARPOL, AFS, BWMC, CLC 92, à Convenção Bancas e à Convenção de Nairóbi referidas no anexo II, representam um risco menos elevado. </w:t>
      </w:r>
    </w:p>
    <w:p w14:paraId="787CF590" w14:textId="3123CBE4" w:rsidR="00BC0147" w:rsidRPr="00E15354" w:rsidRDefault="00BC0147" w:rsidP="00BC0147">
      <w:pPr>
        <w:pStyle w:val="Annexetitre"/>
        <w:rPr>
          <w:noProof/>
        </w:rPr>
      </w:pPr>
      <w:r w:rsidRPr="00E15354">
        <w:rPr>
          <w:noProof/>
        </w:rPr>
        <w:t>ANEXO II</w:t>
      </w:r>
    </w:p>
    <w:p w14:paraId="6CE57CA3" w14:textId="77777777" w:rsidR="00BC0147" w:rsidRPr="00E15354" w:rsidRDefault="00BC0147" w:rsidP="00BC0147">
      <w:pPr>
        <w:rPr>
          <w:noProof/>
        </w:rPr>
      </w:pPr>
    </w:p>
    <w:p w14:paraId="0139947A" w14:textId="77777777" w:rsidR="00F9656B" w:rsidRPr="00E15354" w:rsidRDefault="00F9656B" w:rsidP="00F9656B">
      <w:pPr>
        <w:spacing w:before="1"/>
        <w:ind w:left="1058" w:right="143"/>
        <w:jc w:val="center"/>
        <w:rPr>
          <w:b/>
          <w:noProof/>
          <w:sz w:val="17"/>
        </w:rPr>
      </w:pPr>
      <w:r w:rsidRPr="00E15354">
        <w:rPr>
          <w:b/>
          <w:noProof/>
          <w:color w:val="231F20"/>
          <w:sz w:val="17"/>
        </w:rPr>
        <w:t>DETERMINAÇÃO DO PERFIL DE RISCO DO NAVIO</w:t>
      </w:r>
    </w:p>
    <w:p w14:paraId="1901C964" w14:textId="77777777" w:rsidR="00F9656B" w:rsidRPr="00E15354" w:rsidRDefault="00F9656B" w:rsidP="00F9656B">
      <w:pPr>
        <w:spacing w:before="124"/>
        <w:ind w:left="1061" w:right="143"/>
        <w:jc w:val="center"/>
        <w:rPr>
          <w:b/>
          <w:noProof/>
          <w:sz w:val="17"/>
        </w:rPr>
      </w:pPr>
      <w:r w:rsidRPr="00E15354">
        <w:rPr>
          <w:b/>
          <w:noProof/>
          <w:color w:val="231F20"/>
          <w:sz w:val="17"/>
        </w:rPr>
        <w:t>(a que se refere o artigo 10.º, n.º 2)</w:t>
      </w:r>
    </w:p>
    <w:p w14:paraId="7497CD39" w14:textId="77777777" w:rsidR="00F9656B" w:rsidRPr="00E15354" w:rsidRDefault="00F9656B" w:rsidP="00F9656B">
      <w:pPr>
        <w:widowControl w:val="0"/>
        <w:autoSpaceDE w:val="0"/>
        <w:autoSpaceDN w:val="0"/>
        <w:spacing w:before="2" w:after="1"/>
        <w:jc w:val="left"/>
        <w:rPr>
          <w:rFonts w:eastAsia="Times New Roman"/>
          <w:b/>
          <w:strike/>
          <w:noProof/>
          <w:sz w:val="23"/>
          <w:szCs w:val="19"/>
        </w:rPr>
      </w:pPr>
    </w:p>
    <w:tbl>
      <w:tblPr>
        <w:tblW w:w="8318" w:type="dxa"/>
        <w:tblInd w:w="107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31"/>
        <w:gridCol w:w="1066"/>
        <w:gridCol w:w="1067"/>
        <w:gridCol w:w="1066"/>
        <w:gridCol w:w="1396"/>
        <w:gridCol w:w="1164"/>
        <w:gridCol w:w="1066"/>
        <w:gridCol w:w="1062"/>
      </w:tblGrid>
      <w:tr w:rsidR="00F9656B" w:rsidRPr="00E15354" w14:paraId="02D4B129" w14:textId="77777777" w:rsidTr="009B4189">
        <w:trPr>
          <w:trHeight w:val="339"/>
        </w:trPr>
        <w:tc>
          <w:tcPr>
            <w:tcW w:w="3630" w:type="dxa"/>
            <w:gridSpan w:val="4"/>
            <w:vMerge w:val="restart"/>
            <w:tcBorders>
              <w:left w:val="nil"/>
            </w:tcBorders>
          </w:tcPr>
          <w:p w14:paraId="7EA8F0DB" w14:textId="77777777" w:rsidR="00F9656B" w:rsidRPr="00E15354" w:rsidRDefault="00F9656B" w:rsidP="00F9656B">
            <w:pPr>
              <w:widowControl w:val="0"/>
              <w:autoSpaceDE w:val="0"/>
              <w:autoSpaceDN w:val="0"/>
              <w:spacing w:before="0" w:after="0"/>
              <w:jc w:val="left"/>
              <w:rPr>
                <w:rFonts w:eastAsia="Times New Roman"/>
                <w:noProof/>
                <w:sz w:val="16"/>
              </w:rPr>
            </w:pPr>
          </w:p>
        </w:tc>
        <w:tc>
          <w:tcPr>
            <w:tcW w:w="4688" w:type="dxa"/>
            <w:gridSpan w:val="4"/>
            <w:tcBorders>
              <w:right w:val="nil"/>
            </w:tcBorders>
          </w:tcPr>
          <w:p w14:paraId="322CFC38" w14:textId="77777777" w:rsidR="00F9656B" w:rsidRPr="00E15354" w:rsidRDefault="00F9656B" w:rsidP="00F9656B">
            <w:pPr>
              <w:widowControl w:val="0"/>
              <w:autoSpaceDE w:val="0"/>
              <w:autoSpaceDN w:val="0"/>
              <w:spacing w:before="82" w:after="0"/>
              <w:ind w:left="2127" w:right="2129"/>
              <w:jc w:val="center"/>
              <w:rPr>
                <w:rFonts w:eastAsia="Times New Roman"/>
                <w:noProof/>
                <w:sz w:val="14"/>
              </w:rPr>
            </w:pPr>
            <w:r w:rsidRPr="00E15354">
              <w:rPr>
                <w:noProof/>
                <w:color w:val="231F20"/>
                <w:sz w:val="14"/>
              </w:rPr>
              <w:t>Perfil</w:t>
            </w:r>
          </w:p>
        </w:tc>
      </w:tr>
      <w:tr w:rsidR="00F9656B" w:rsidRPr="00E15354" w14:paraId="34BD717F" w14:textId="77777777" w:rsidTr="009B4189">
        <w:trPr>
          <w:trHeight w:val="509"/>
        </w:trPr>
        <w:tc>
          <w:tcPr>
            <w:tcW w:w="3630" w:type="dxa"/>
            <w:gridSpan w:val="4"/>
            <w:vMerge/>
            <w:tcBorders>
              <w:top w:val="nil"/>
              <w:left w:val="nil"/>
            </w:tcBorders>
          </w:tcPr>
          <w:p w14:paraId="349D29F1" w14:textId="77777777" w:rsidR="00F9656B" w:rsidRPr="00E15354" w:rsidRDefault="00F9656B" w:rsidP="00F9656B">
            <w:pPr>
              <w:rPr>
                <w:noProof/>
                <w:sz w:val="2"/>
                <w:szCs w:val="2"/>
              </w:rPr>
            </w:pPr>
          </w:p>
        </w:tc>
        <w:tc>
          <w:tcPr>
            <w:tcW w:w="2560" w:type="dxa"/>
            <w:gridSpan w:val="2"/>
          </w:tcPr>
          <w:p w14:paraId="0C5ED74D" w14:textId="77777777" w:rsidR="00F9656B" w:rsidRPr="00E15354" w:rsidRDefault="00F9656B" w:rsidP="00F9656B">
            <w:pPr>
              <w:widowControl w:val="0"/>
              <w:autoSpaceDE w:val="0"/>
              <w:autoSpaceDN w:val="0"/>
              <w:spacing w:before="5" w:after="0"/>
              <w:jc w:val="left"/>
              <w:rPr>
                <w:rFonts w:eastAsia="Times New Roman"/>
                <w:b/>
                <w:noProof/>
                <w:sz w:val="14"/>
              </w:rPr>
            </w:pPr>
          </w:p>
          <w:p w14:paraId="2D7659CC" w14:textId="77777777" w:rsidR="00F9656B" w:rsidRPr="00E15354" w:rsidRDefault="00F9656B" w:rsidP="00F9656B">
            <w:pPr>
              <w:widowControl w:val="0"/>
              <w:autoSpaceDE w:val="0"/>
              <w:autoSpaceDN w:val="0"/>
              <w:spacing w:before="0" w:after="0"/>
              <w:ind w:left="568"/>
              <w:jc w:val="left"/>
              <w:rPr>
                <w:rFonts w:eastAsia="Times New Roman"/>
                <w:noProof/>
                <w:sz w:val="14"/>
              </w:rPr>
            </w:pPr>
            <w:r w:rsidRPr="00E15354">
              <w:rPr>
                <w:noProof/>
                <w:color w:val="231F20"/>
                <w:sz w:val="14"/>
              </w:rPr>
              <w:t>Navio de alto risco (HRS)</w:t>
            </w:r>
          </w:p>
        </w:tc>
        <w:tc>
          <w:tcPr>
            <w:tcW w:w="1066" w:type="dxa"/>
          </w:tcPr>
          <w:p w14:paraId="305FC31F" w14:textId="77777777" w:rsidR="00F9656B" w:rsidRPr="00E15354" w:rsidRDefault="00F9656B" w:rsidP="00F9656B">
            <w:pPr>
              <w:widowControl w:val="0"/>
              <w:autoSpaceDE w:val="0"/>
              <w:autoSpaceDN w:val="0"/>
              <w:spacing w:before="81" w:after="0" w:line="254" w:lineRule="auto"/>
              <w:ind w:left="178" w:hanging="82"/>
              <w:jc w:val="left"/>
              <w:rPr>
                <w:rFonts w:eastAsia="Times New Roman"/>
                <w:noProof/>
                <w:sz w:val="14"/>
              </w:rPr>
            </w:pPr>
            <w:r w:rsidRPr="00E15354">
              <w:rPr>
                <w:noProof/>
                <w:color w:val="231F20"/>
                <w:sz w:val="14"/>
              </w:rPr>
              <w:t>Navios de risco normal (SRS)</w:t>
            </w:r>
          </w:p>
        </w:tc>
        <w:tc>
          <w:tcPr>
            <w:tcW w:w="1062" w:type="dxa"/>
            <w:tcBorders>
              <w:right w:val="nil"/>
            </w:tcBorders>
          </w:tcPr>
          <w:p w14:paraId="64CD5832" w14:textId="77777777" w:rsidR="00F9656B" w:rsidRPr="00E15354" w:rsidRDefault="00F9656B" w:rsidP="00F9656B">
            <w:pPr>
              <w:widowControl w:val="0"/>
              <w:autoSpaceDE w:val="0"/>
              <w:autoSpaceDN w:val="0"/>
              <w:spacing w:before="81" w:after="0" w:line="254" w:lineRule="auto"/>
              <w:ind w:left="340" w:hanging="284"/>
              <w:jc w:val="left"/>
              <w:rPr>
                <w:rFonts w:eastAsia="Times New Roman"/>
                <w:noProof/>
                <w:sz w:val="14"/>
              </w:rPr>
            </w:pPr>
            <w:r w:rsidRPr="00E15354">
              <w:rPr>
                <w:noProof/>
                <w:color w:val="231F20"/>
                <w:sz w:val="14"/>
              </w:rPr>
              <w:t>Navio de baixo risco (LRS)</w:t>
            </w:r>
          </w:p>
        </w:tc>
      </w:tr>
      <w:tr w:rsidR="00F9656B" w:rsidRPr="00E15354" w14:paraId="5B7A77FE" w14:textId="77777777" w:rsidTr="009B4189">
        <w:trPr>
          <w:trHeight w:val="510"/>
        </w:trPr>
        <w:tc>
          <w:tcPr>
            <w:tcW w:w="3630" w:type="dxa"/>
            <w:gridSpan w:val="4"/>
            <w:tcBorders>
              <w:left w:val="nil"/>
            </w:tcBorders>
          </w:tcPr>
          <w:p w14:paraId="62B7EE3A" w14:textId="77777777" w:rsidR="00F9656B" w:rsidRPr="00E15354" w:rsidRDefault="00F9656B" w:rsidP="00F9656B">
            <w:pPr>
              <w:widowControl w:val="0"/>
              <w:autoSpaceDE w:val="0"/>
              <w:autoSpaceDN w:val="0"/>
              <w:spacing w:before="6" w:after="0"/>
              <w:jc w:val="left"/>
              <w:rPr>
                <w:rFonts w:eastAsia="Times New Roman"/>
                <w:b/>
                <w:noProof/>
                <w:sz w:val="14"/>
              </w:rPr>
            </w:pPr>
          </w:p>
          <w:p w14:paraId="453AFFC9" w14:textId="77777777" w:rsidR="00F9656B" w:rsidRPr="00E15354" w:rsidRDefault="00F9656B" w:rsidP="00F9656B">
            <w:pPr>
              <w:widowControl w:val="0"/>
              <w:autoSpaceDE w:val="0"/>
              <w:autoSpaceDN w:val="0"/>
              <w:spacing w:before="0" w:after="0"/>
              <w:ind w:left="1218" w:right="1218"/>
              <w:jc w:val="center"/>
              <w:rPr>
                <w:rFonts w:eastAsia="Times New Roman"/>
                <w:noProof/>
                <w:sz w:val="14"/>
              </w:rPr>
            </w:pPr>
            <w:r w:rsidRPr="00E15354">
              <w:rPr>
                <w:noProof/>
                <w:color w:val="231F20"/>
                <w:sz w:val="14"/>
              </w:rPr>
              <w:t>Parâmetros genéricos</w:t>
            </w:r>
          </w:p>
        </w:tc>
        <w:tc>
          <w:tcPr>
            <w:tcW w:w="1396" w:type="dxa"/>
          </w:tcPr>
          <w:p w14:paraId="03739E43" w14:textId="77777777" w:rsidR="00F9656B" w:rsidRPr="00E15354" w:rsidRDefault="00F9656B" w:rsidP="00F9656B">
            <w:pPr>
              <w:widowControl w:val="0"/>
              <w:autoSpaceDE w:val="0"/>
              <w:autoSpaceDN w:val="0"/>
              <w:spacing w:before="6" w:after="0"/>
              <w:jc w:val="left"/>
              <w:rPr>
                <w:rFonts w:eastAsia="Times New Roman"/>
                <w:b/>
                <w:noProof/>
                <w:sz w:val="14"/>
              </w:rPr>
            </w:pPr>
          </w:p>
          <w:p w14:paraId="058B1476" w14:textId="77777777" w:rsidR="00F9656B" w:rsidRPr="00E15354" w:rsidRDefault="00F9656B" w:rsidP="00F9656B">
            <w:pPr>
              <w:widowControl w:val="0"/>
              <w:autoSpaceDE w:val="0"/>
              <w:autoSpaceDN w:val="0"/>
              <w:spacing w:before="0" w:after="0"/>
              <w:ind w:left="504" w:right="505"/>
              <w:jc w:val="center"/>
              <w:rPr>
                <w:rFonts w:eastAsia="Times New Roman"/>
                <w:noProof/>
                <w:sz w:val="14"/>
              </w:rPr>
            </w:pPr>
            <w:r w:rsidRPr="00E15354">
              <w:rPr>
                <w:noProof/>
                <w:color w:val="231F20"/>
                <w:sz w:val="14"/>
              </w:rPr>
              <w:t>Critérios</w:t>
            </w:r>
          </w:p>
        </w:tc>
        <w:tc>
          <w:tcPr>
            <w:tcW w:w="1164" w:type="dxa"/>
          </w:tcPr>
          <w:p w14:paraId="439C951C" w14:textId="77777777" w:rsidR="00F9656B" w:rsidRPr="00E15354" w:rsidRDefault="00F9656B" w:rsidP="00F9656B">
            <w:pPr>
              <w:widowControl w:val="0"/>
              <w:autoSpaceDE w:val="0"/>
              <w:autoSpaceDN w:val="0"/>
              <w:spacing w:before="82" w:after="0" w:line="254" w:lineRule="auto"/>
              <w:ind w:left="343" w:hanging="131"/>
              <w:jc w:val="left"/>
              <w:rPr>
                <w:rFonts w:eastAsia="Times New Roman"/>
                <w:noProof/>
                <w:sz w:val="14"/>
              </w:rPr>
            </w:pPr>
            <w:r w:rsidRPr="00E15354">
              <w:rPr>
                <w:noProof/>
                <w:color w:val="231F20"/>
                <w:sz w:val="14"/>
              </w:rPr>
              <w:t>Pontos de ponderação</w:t>
            </w:r>
          </w:p>
        </w:tc>
        <w:tc>
          <w:tcPr>
            <w:tcW w:w="1066" w:type="dxa"/>
          </w:tcPr>
          <w:p w14:paraId="69112D62" w14:textId="77777777" w:rsidR="00F9656B" w:rsidRPr="00E15354" w:rsidRDefault="00F9656B" w:rsidP="00F9656B">
            <w:pPr>
              <w:widowControl w:val="0"/>
              <w:autoSpaceDE w:val="0"/>
              <w:autoSpaceDN w:val="0"/>
              <w:spacing w:before="6" w:after="0"/>
              <w:jc w:val="left"/>
              <w:rPr>
                <w:rFonts w:eastAsia="Times New Roman"/>
                <w:b/>
                <w:noProof/>
                <w:sz w:val="14"/>
              </w:rPr>
            </w:pPr>
          </w:p>
          <w:p w14:paraId="5306FD1D" w14:textId="77777777" w:rsidR="00F9656B" w:rsidRPr="00E15354" w:rsidRDefault="00F9656B" w:rsidP="00F9656B">
            <w:pPr>
              <w:widowControl w:val="0"/>
              <w:autoSpaceDE w:val="0"/>
              <w:autoSpaceDN w:val="0"/>
              <w:spacing w:before="0" w:after="0"/>
              <w:ind w:left="300"/>
              <w:jc w:val="left"/>
              <w:rPr>
                <w:rFonts w:eastAsia="Times New Roman"/>
                <w:noProof/>
                <w:sz w:val="14"/>
              </w:rPr>
            </w:pPr>
            <w:r w:rsidRPr="00E15354">
              <w:rPr>
                <w:noProof/>
                <w:color w:val="231F20"/>
                <w:sz w:val="14"/>
              </w:rPr>
              <w:t>Critérios</w:t>
            </w:r>
          </w:p>
        </w:tc>
        <w:tc>
          <w:tcPr>
            <w:tcW w:w="1062" w:type="dxa"/>
            <w:tcBorders>
              <w:right w:val="nil"/>
            </w:tcBorders>
          </w:tcPr>
          <w:p w14:paraId="4E292CAF" w14:textId="77777777" w:rsidR="00F9656B" w:rsidRPr="00E15354" w:rsidRDefault="00F9656B" w:rsidP="00F9656B">
            <w:pPr>
              <w:widowControl w:val="0"/>
              <w:autoSpaceDE w:val="0"/>
              <w:autoSpaceDN w:val="0"/>
              <w:spacing w:before="6" w:after="0"/>
              <w:jc w:val="left"/>
              <w:rPr>
                <w:rFonts w:eastAsia="Times New Roman"/>
                <w:b/>
                <w:noProof/>
                <w:sz w:val="14"/>
              </w:rPr>
            </w:pPr>
          </w:p>
          <w:p w14:paraId="1CA405AD" w14:textId="77777777" w:rsidR="00F9656B" w:rsidRPr="00E15354" w:rsidRDefault="00F9656B" w:rsidP="00F9656B">
            <w:pPr>
              <w:widowControl w:val="0"/>
              <w:autoSpaceDE w:val="0"/>
              <w:autoSpaceDN w:val="0"/>
              <w:spacing w:before="0" w:after="0"/>
              <w:ind w:left="62" w:right="63"/>
              <w:jc w:val="center"/>
              <w:rPr>
                <w:rFonts w:eastAsia="Times New Roman"/>
                <w:noProof/>
                <w:sz w:val="14"/>
              </w:rPr>
            </w:pPr>
            <w:r w:rsidRPr="00E15354">
              <w:rPr>
                <w:noProof/>
                <w:color w:val="231F20"/>
                <w:sz w:val="14"/>
              </w:rPr>
              <w:t>Critérios</w:t>
            </w:r>
          </w:p>
        </w:tc>
      </w:tr>
      <w:tr w:rsidR="00F9656B" w:rsidRPr="00E15354" w14:paraId="1F175F86" w14:textId="77777777" w:rsidTr="009B4189">
        <w:trPr>
          <w:trHeight w:val="1128"/>
        </w:trPr>
        <w:tc>
          <w:tcPr>
            <w:tcW w:w="431" w:type="dxa"/>
            <w:tcBorders>
              <w:left w:val="nil"/>
            </w:tcBorders>
          </w:tcPr>
          <w:p w14:paraId="045A2351" w14:textId="77777777" w:rsidR="00F9656B" w:rsidRPr="00E15354" w:rsidRDefault="00F9656B" w:rsidP="00F9656B">
            <w:pPr>
              <w:widowControl w:val="0"/>
              <w:autoSpaceDE w:val="0"/>
              <w:autoSpaceDN w:val="0"/>
              <w:spacing w:before="70" w:after="0"/>
              <w:jc w:val="left"/>
              <w:rPr>
                <w:rFonts w:eastAsia="Times New Roman"/>
                <w:noProof/>
                <w:sz w:val="17"/>
              </w:rPr>
            </w:pPr>
            <w:r w:rsidRPr="00E15354">
              <w:rPr>
                <w:noProof/>
                <w:color w:val="231F20"/>
                <w:sz w:val="17"/>
              </w:rPr>
              <w:t>1</w:t>
            </w:r>
          </w:p>
        </w:tc>
        <w:tc>
          <w:tcPr>
            <w:tcW w:w="3199" w:type="dxa"/>
            <w:gridSpan w:val="3"/>
          </w:tcPr>
          <w:p w14:paraId="11099E50" w14:textId="77777777" w:rsidR="00F9656B" w:rsidRPr="00E15354" w:rsidRDefault="00F9656B" w:rsidP="00F9656B">
            <w:pPr>
              <w:widowControl w:val="0"/>
              <w:autoSpaceDE w:val="0"/>
              <w:autoSpaceDN w:val="0"/>
              <w:spacing w:before="70" w:after="0"/>
              <w:ind w:left="84"/>
              <w:jc w:val="left"/>
              <w:rPr>
                <w:rFonts w:eastAsia="Times New Roman"/>
                <w:noProof/>
                <w:sz w:val="17"/>
              </w:rPr>
            </w:pPr>
            <w:r w:rsidRPr="00E15354">
              <w:rPr>
                <w:noProof/>
                <w:color w:val="231F20"/>
                <w:sz w:val="17"/>
              </w:rPr>
              <w:t>Tipo do navio</w:t>
            </w:r>
          </w:p>
        </w:tc>
        <w:tc>
          <w:tcPr>
            <w:tcW w:w="1396" w:type="dxa"/>
          </w:tcPr>
          <w:p w14:paraId="390B2C45" w14:textId="77777777" w:rsidR="00F9656B" w:rsidRPr="00E15354" w:rsidRDefault="00F9656B" w:rsidP="00F9656B">
            <w:pPr>
              <w:widowControl w:val="0"/>
              <w:autoSpaceDE w:val="0"/>
              <w:autoSpaceDN w:val="0"/>
              <w:spacing w:before="73" w:after="0" w:line="235" w:lineRule="auto"/>
              <w:ind w:left="84" w:right="108"/>
              <w:jc w:val="left"/>
              <w:rPr>
                <w:rFonts w:eastAsia="Times New Roman"/>
                <w:noProof/>
                <w:sz w:val="17"/>
              </w:rPr>
            </w:pPr>
            <w:r w:rsidRPr="00E15354">
              <w:rPr>
                <w:noProof/>
                <w:color w:val="231F20"/>
                <w:sz w:val="17"/>
              </w:rPr>
              <w:t>Químico Transporte de gás</w:t>
            </w:r>
          </w:p>
          <w:p w14:paraId="7CAE184C" w14:textId="77777777" w:rsidR="00F9656B" w:rsidRPr="00E15354" w:rsidRDefault="00F9656B" w:rsidP="00F9656B">
            <w:pPr>
              <w:widowControl w:val="0"/>
              <w:autoSpaceDE w:val="0"/>
              <w:autoSpaceDN w:val="0"/>
              <w:spacing w:before="0" w:after="0" w:line="235" w:lineRule="auto"/>
              <w:ind w:left="84" w:right="212"/>
              <w:jc w:val="left"/>
              <w:rPr>
                <w:rFonts w:eastAsia="Times New Roman"/>
                <w:noProof/>
                <w:sz w:val="17"/>
              </w:rPr>
            </w:pPr>
            <w:r w:rsidRPr="00E15354">
              <w:rPr>
                <w:noProof/>
                <w:color w:val="231F20"/>
                <w:sz w:val="17"/>
              </w:rPr>
              <w:t>Petroleiro Graneleiro Passageiros</w:t>
            </w:r>
          </w:p>
        </w:tc>
        <w:tc>
          <w:tcPr>
            <w:tcW w:w="1164" w:type="dxa"/>
          </w:tcPr>
          <w:p w14:paraId="3DE71585" w14:textId="64996A9D" w:rsidR="00F9656B" w:rsidRPr="00E15354" w:rsidRDefault="00F9656B" w:rsidP="00F9656B">
            <w:pPr>
              <w:widowControl w:val="0"/>
              <w:autoSpaceDE w:val="0"/>
              <w:autoSpaceDN w:val="0"/>
              <w:spacing w:before="70" w:after="0"/>
              <w:ind w:right="3"/>
              <w:jc w:val="center"/>
              <w:rPr>
                <w:rFonts w:eastAsia="Times New Roman"/>
                <w:noProof/>
                <w:sz w:val="17"/>
              </w:rPr>
            </w:pPr>
            <w:r w:rsidRPr="00E15354">
              <w:rPr>
                <w:noProof/>
                <w:color w:val="231F20"/>
                <w:sz w:val="17"/>
              </w:rPr>
              <w:t>1</w:t>
            </w:r>
          </w:p>
        </w:tc>
        <w:tc>
          <w:tcPr>
            <w:tcW w:w="1066" w:type="dxa"/>
            <w:vMerge w:val="restart"/>
            <w:textDirection w:val="btLr"/>
          </w:tcPr>
          <w:p w14:paraId="6531572C" w14:textId="77777777" w:rsidR="00F9656B" w:rsidRPr="00E15354" w:rsidRDefault="00F9656B" w:rsidP="00F9656B">
            <w:pPr>
              <w:widowControl w:val="0"/>
              <w:autoSpaceDE w:val="0"/>
              <w:autoSpaceDN w:val="0"/>
              <w:spacing w:before="89" w:after="0"/>
              <w:ind w:left="2609"/>
              <w:jc w:val="left"/>
              <w:rPr>
                <w:rFonts w:eastAsia="Times New Roman"/>
                <w:noProof/>
                <w:sz w:val="17"/>
              </w:rPr>
            </w:pPr>
            <w:r w:rsidRPr="00E15354">
              <w:rPr>
                <w:noProof/>
                <w:color w:val="231F20"/>
                <w:sz w:val="17"/>
              </w:rPr>
              <w:t>navio nem de alto risco nem de baixo risco</w:t>
            </w:r>
          </w:p>
        </w:tc>
        <w:tc>
          <w:tcPr>
            <w:tcW w:w="1062" w:type="dxa"/>
            <w:tcBorders>
              <w:right w:val="nil"/>
            </w:tcBorders>
          </w:tcPr>
          <w:p w14:paraId="30EA143E" w14:textId="77777777" w:rsidR="00F9656B" w:rsidRPr="00E15354" w:rsidRDefault="00F9656B" w:rsidP="00F9656B">
            <w:pPr>
              <w:widowControl w:val="0"/>
              <w:autoSpaceDE w:val="0"/>
              <w:autoSpaceDN w:val="0"/>
              <w:spacing w:before="70" w:after="0"/>
              <w:ind w:left="62" w:right="66"/>
              <w:jc w:val="center"/>
              <w:rPr>
                <w:rFonts w:eastAsia="Times New Roman"/>
                <w:noProof/>
                <w:sz w:val="17"/>
              </w:rPr>
            </w:pPr>
            <w:r w:rsidRPr="00E15354">
              <w:rPr>
                <w:noProof/>
                <w:color w:val="231F20"/>
                <w:sz w:val="17"/>
              </w:rPr>
              <w:t>Todos os tipos</w:t>
            </w:r>
          </w:p>
        </w:tc>
      </w:tr>
      <w:tr w:rsidR="00F9656B" w:rsidRPr="00E15354" w14:paraId="1A56BB1C" w14:textId="77777777" w:rsidTr="009B4189">
        <w:trPr>
          <w:trHeight w:val="361"/>
        </w:trPr>
        <w:tc>
          <w:tcPr>
            <w:tcW w:w="431" w:type="dxa"/>
            <w:tcBorders>
              <w:left w:val="nil"/>
            </w:tcBorders>
          </w:tcPr>
          <w:p w14:paraId="5EB858B7" w14:textId="77777777" w:rsidR="00F9656B" w:rsidRPr="00E15354" w:rsidRDefault="00F9656B" w:rsidP="00F9656B">
            <w:pPr>
              <w:widowControl w:val="0"/>
              <w:autoSpaceDE w:val="0"/>
              <w:autoSpaceDN w:val="0"/>
              <w:spacing w:before="70" w:after="0"/>
              <w:jc w:val="left"/>
              <w:rPr>
                <w:rFonts w:eastAsia="Times New Roman"/>
                <w:noProof/>
                <w:sz w:val="17"/>
              </w:rPr>
            </w:pPr>
            <w:r w:rsidRPr="00E15354">
              <w:rPr>
                <w:noProof/>
                <w:color w:val="231F20"/>
                <w:sz w:val="17"/>
              </w:rPr>
              <w:t>2</w:t>
            </w:r>
          </w:p>
        </w:tc>
        <w:tc>
          <w:tcPr>
            <w:tcW w:w="3199" w:type="dxa"/>
            <w:gridSpan w:val="3"/>
          </w:tcPr>
          <w:p w14:paraId="613057CB" w14:textId="77777777" w:rsidR="00F9656B" w:rsidRPr="00E15354" w:rsidRDefault="00F9656B" w:rsidP="00F9656B">
            <w:pPr>
              <w:widowControl w:val="0"/>
              <w:autoSpaceDE w:val="0"/>
              <w:autoSpaceDN w:val="0"/>
              <w:spacing w:before="70" w:after="0"/>
              <w:ind w:left="84"/>
              <w:jc w:val="left"/>
              <w:rPr>
                <w:rFonts w:eastAsia="Times New Roman"/>
                <w:noProof/>
                <w:sz w:val="17"/>
              </w:rPr>
            </w:pPr>
            <w:r w:rsidRPr="00E15354">
              <w:rPr>
                <w:noProof/>
                <w:color w:val="231F20"/>
                <w:sz w:val="17"/>
              </w:rPr>
              <w:t>Idade do navio</w:t>
            </w:r>
          </w:p>
        </w:tc>
        <w:tc>
          <w:tcPr>
            <w:tcW w:w="1396" w:type="dxa"/>
          </w:tcPr>
          <w:p w14:paraId="16A4F57E" w14:textId="77777777" w:rsidR="00F9656B" w:rsidRPr="00E15354" w:rsidRDefault="00F9656B" w:rsidP="00F9656B">
            <w:pPr>
              <w:widowControl w:val="0"/>
              <w:autoSpaceDE w:val="0"/>
              <w:autoSpaceDN w:val="0"/>
              <w:spacing w:before="70" w:after="0"/>
              <w:ind w:left="84"/>
              <w:jc w:val="left"/>
              <w:rPr>
                <w:rFonts w:eastAsia="Times New Roman"/>
                <w:noProof/>
                <w:sz w:val="17"/>
              </w:rPr>
            </w:pPr>
            <w:r w:rsidRPr="00E15354">
              <w:rPr>
                <w:noProof/>
                <w:color w:val="231F20"/>
                <w:sz w:val="17"/>
              </w:rPr>
              <w:t>todos os tipos &gt; 12 anos</w:t>
            </w:r>
          </w:p>
        </w:tc>
        <w:tc>
          <w:tcPr>
            <w:tcW w:w="1164" w:type="dxa"/>
          </w:tcPr>
          <w:p w14:paraId="516AA815" w14:textId="77777777" w:rsidR="00F9656B" w:rsidRPr="00E15354" w:rsidRDefault="00F9656B" w:rsidP="00F9656B">
            <w:pPr>
              <w:widowControl w:val="0"/>
              <w:autoSpaceDE w:val="0"/>
              <w:autoSpaceDN w:val="0"/>
              <w:spacing w:before="70" w:after="0"/>
              <w:ind w:right="3"/>
              <w:jc w:val="center"/>
              <w:rPr>
                <w:rFonts w:eastAsia="Times New Roman"/>
                <w:noProof/>
                <w:sz w:val="17"/>
              </w:rPr>
            </w:pPr>
            <w:r w:rsidRPr="00E15354">
              <w:rPr>
                <w:noProof/>
                <w:color w:val="231F20"/>
                <w:sz w:val="17"/>
              </w:rPr>
              <w:t>1</w:t>
            </w:r>
          </w:p>
        </w:tc>
        <w:tc>
          <w:tcPr>
            <w:tcW w:w="1066" w:type="dxa"/>
            <w:vMerge/>
            <w:tcBorders>
              <w:top w:val="nil"/>
            </w:tcBorders>
            <w:textDirection w:val="btLr"/>
          </w:tcPr>
          <w:p w14:paraId="03BF0825" w14:textId="77777777" w:rsidR="00F9656B" w:rsidRPr="00E15354" w:rsidRDefault="00F9656B" w:rsidP="00F9656B">
            <w:pPr>
              <w:rPr>
                <w:noProof/>
                <w:sz w:val="2"/>
                <w:szCs w:val="2"/>
              </w:rPr>
            </w:pPr>
          </w:p>
        </w:tc>
        <w:tc>
          <w:tcPr>
            <w:tcW w:w="1062" w:type="dxa"/>
            <w:tcBorders>
              <w:right w:val="nil"/>
            </w:tcBorders>
          </w:tcPr>
          <w:p w14:paraId="52A8371A" w14:textId="77777777" w:rsidR="00F9656B" w:rsidRPr="00E15354" w:rsidRDefault="00F9656B" w:rsidP="00F9656B">
            <w:pPr>
              <w:widowControl w:val="0"/>
              <w:autoSpaceDE w:val="0"/>
              <w:autoSpaceDN w:val="0"/>
              <w:spacing w:before="70" w:after="0"/>
              <w:ind w:left="62" w:right="65"/>
              <w:jc w:val="center"/>
              <w:rPr>
                <w:rFonts w:eastAsia="Times New Roman"/>
                <w:noProof/>
                <w:sz w:val="17"/>
              </w:rPr>
            </w:pPr>
            <w:r w:rsidRPr="00E15354">
              <w:rPr>
                <w:noProof/>
                <w:color w:val="231F20"/>
                <w:sz w:val="17"/>
              </w:rPr>
              <w:t>Todas as idades</w:t>
            </w:r>
          </w:p>
        </w:tc>
      </w:tr>
      <w:tr w:rsidR="0019616A" w:rsidRPr="00E15354" w14:paraId="5222642F" w14:textId="77777777" w:rsidTr="008477FB">
        <w:trPr>
          <w:trHeight w:val="922"/>
        </w:trPr>
        <w:tc>
          <w:tcPr>
            <w:tcW w:w="431" w:type="dxa"/>
            <w:tcBorders>
              <w:left w:val="nil"/>
            </w:tcBorders>
          </w:tcPr>
          <w:p w14:paraId="0C54F2C6" w14:textId="77777777" w:rsidR="0019616A" w:rsidRPr="00E15354" w:rsidRDefault="0019616A" w:rsidP="00F9656B">
            <w:pPr>
              <w:widowControl w:val="0"/>
              <w:autoSpaceDE w:val="0"/>
              <w:autoSpaceDN w:val="0"/>
              <w:spacing w:before="69" w:after="0"/>
              <w:jc w:val="left"/>
              <w:rPr>
                <w:rFonts w:eastAsia="Times New Roman"/>
                <w:noProof/>
                <w:sz w:val="17"/>
              </w:rPr>
            </w:pPr>
            <w:r w:rsidRPr="00E15354">
              <w:rPr>
                <w:noProof/>
                <w:color w:val="231F20"/>
                <w:sz w:val="17"/>
              </w:rPr>
              <w:t>3a</w:t>
            </w:r>
          </w:p>
        </w:tc>
        <w:tc>
          <w:tcPr>
            <w:tcW w:w="1066" w:type="dxa"/>
            <w:vMerge w:val="restart"/>
            <w:textDirection w:val="btLr"/>
          </w:tcPr>
          <w:p w14:paraId="31F241FD" w14:textId="77777777" w:rsidR="0019616A" w:rsidRPr="00E15354" w:rsidRDefault="0019616A" w:rsidP="00F9656B">
            <w:pPr>
              <w:widowControl w:val="0"/>
              <w:autoSpaceDE w:val="0"/>
              <w:autoSpaceDN w:val="0"/>
              <w:spacing w:before="90" w:after="0"/>
              <w:ind w:left="357"/>
              <w:jc w:val="left"/>
              <w:rPr>
                <w:rFonts w:eastAsia="Times New Roman"/>
                <w:noProof/>
                <w:sz w:val="17"/>
              </w:rPr>
            </w:pPr>
            <w:r w:rsidRPr="00E15354">
              <w:rPr>
                <w:noProof/>
                <w:color w:val="231F20"/>
                <w:sz w:val="17"/>
              </w:rPr>
              <w:t>Bandeira</w:t>
            </w:r>
          </w:p>
        </w:tc>
        <w:tc>
          <w:tcPr>
            <w:tcW w:w="3529" w:type="dxa"/>
            <w:gridSpan w:val="3"/>
          </w:tcPr>
          <w:p w14:paraId="149F045B" w14:textId="6BEC6CEA" w:rsidR="0019616A" w:rsidRPr="00E15354" w:rsidRDefault="0019616A" w:rsidP="00F9656B">
            <w:pPr>
              <w:widowControl w:val="0"/>
              <w:autoSpaceDE w:val="0"/>
              <w:autoSpaceDN w:val="0"/>
              <w:spacing w:before="71" w:after="0" w:line="237" w:lineRule="auto"/>
              <w:ind w:left="84"/>
              <w:jc w:val="left"/>
              <w:rPr>
                <w:rFonts w:eastAsia="Times New Roman"/>
                <w:noProof/>
                <w:sz w:val="17"/>
              </w:rPr>
            </w:pPr>
            <w:r w:rsidRPr="00E15354">
              <w:rPr>
                <w:noProof/>
                <w:color w:val="231F20"/>
                <w:sz w:val="17"/>
              </w:rPr>
              <w:t xml:space="preserve">  Desempenho baixo</w:t>
            </w:r>
          </w:p>
        </w:tc>
        <w:tc>
          <w:tcPr>
            <w:tcW w:w="1164" w:type="dxa"/>
          </w:tcPr>
          <w:p w14:paraId="3376E68F" w14:textId="444F7972" w:rsidR="0019616A" w:rsidRPr="00E15354" w:rsidRDefault="00111D35" w:rsidP="00F9656B">
            <w:pPr>
              <w:widowControl w:val="0"/>
              <w:autoSpaceDE w:val="0"/>
              <w:autoSpaceDN w:val="0"/>
              <w:spacing w:before="70" w:after="0"/>
              <w:ind w:right="3"/>
              <w:jc w:val="center"/>
              <w:rPr>
                <w:rFonts w:eastAsia="Times New Roman"/>
                <w:noProof/>
                <w:sz w:val="17"/>
              </w:rPr>
            </w:pPr>
            <w:r w:rsidRPr="00E15354">
              <w:rPr>
                <w:noProof/>
                <w:color w:val="231F20"/>
                <w:sz w:val="17"/>
              </w:rPr>
              <w:t>2</w:t>
            </w:r>
          </w:p>
        </w:tc>
        <w:tc>
          <w:tcPr>
            <w:tcW w:w="1066" w:type="dxa"/>
            <w:vMerge/>
            <w:tcBorders>
              <w:top w:val="nil"/>
            </w:tcBorders>
            <w:textDirection w:val="btLr"/>
          </w:tcPr>
          <w:p w14:paraId="7377CB12" w14:textId="77777777" w:rsidR="0019616A" w:rsidRPr="00E15354" w:rsidRDefault="0019616A" w:rsidP="00F9656B">
            <w:pPr>
              <w:rPr>
                <w:noProof/>
                <w:sz w:val="2"/>
                <w:szCs w:val="2"/>
              </w:rPr>
            </w:pPr>
          </w:p>
        </w:tc>
        <w:tc>
          <w:tcPr>
            <w:tcW w:w="1062" w:type="dxa"/>
            <w:tcBorders>
              <w:right w:val="nil"/>
            </w:tcBorders>
          </w:tcPr>
          <w:p w14:paraId="55B66A8C" w14:textId="0CCBA91F" w:rsidR="0019616A" w:rsidRPr="00E15354" w:rsidRDefault="0019616A" w:rsidP="0019616A">
            <w:pPr>
              <w:widowControl w:val="0"/>
              <w:autoSpaceDE w:val="0"/>
              <w:autoSpaceDN w:val="0"/>
              <w:spacing w:before="69" w:after="0"/>
              <w:jc w:val="center"/>
              <w:rPr>
                <w:rFonts w:eastAsia="Times New Roman"/>
                <w:noProof/>
                <w:sz w:val="17"/>
              </w:rPr>
            </w:pPr>
            <w:r w:rsidRPr="00E15354">
              <w:rPr>
                <w:noProof/>
                <w:color w:val="231F20"/>
                <w:sz w:val="17"/>
              </w:rPr>
              <w:t>Desempenho elevado</w:t>
            </w:r>
          </w:p>
        </w:tc>
      </w:tr>
      <w:tr w:rsidR="00F9656B" w:rsidRPr="00E15354" w14:paraId="08E57A25" w14:textId="77777777" w:rsidTr="009B4189">
        <w:trPr>
          <w:trHeight w:val="361"/>
        </w:trPr>
        <w:tc>
          <w:tcPr>
            <w:tcW w:w="431" w:type="dxa"/>
            <w:tcBorders>
              <w:left w:val="nil"/>
            </w:tcBorders>
          </w:tcPr>
          <w:p w14:paraId="047A8F06" w14:textId="77777777" w:rsidR="00F9656B" w:rsidRPr="00E15354" w:rsidRDefault="00F9656B" w:rsidP="00F9656B">
            <w:pPr>
              <w:widowControl w:val="0"/>
              <w:autoSpaceDE w:val="0"/>
              <w:autoSpaceDN w:val="0"/>
              <w:spacing w:before="70" w:after="0"/>
              <w:ind w:left="-1"/>
              <w:jc w:val="left"/>
              <w:rPr>
                <w:rFonts w:eastAsia="Times New Roman"/>
                <w:noProof/>
                <w:sz w:val="17"/>
              </w:rPr>
            </w:pPr>
            <w:r w:rsidRPr="00E15354">
              <w:rPr>
                <w:noProof/>
                <w:color w:val="231F20"/>
                <w:sz w:val="17"/>
              </w:rPr>
              <w:t>3b</w:t>
            </w:r>
          </w:p>
        </w:tc>
        <w:tc>
          <w:tcPr>
            <w:tcW w:w="1066" w:type="dxa"/>
            <w:vMerge/>
            <w:tcBorders>
              <w:top w:val="nil"/>
            </w:tcBorders>
            <w:textDirection w:val="btLr"/>
          </w:tcPr>
          <w:p w14:paraId="6CCD9B44" w14:textId="77777777" w:rsidR="00F9656B" w:rsidRPr="00E15354" w:rsidRDefault="00F9656B" w:rsidP="00F9656B">
            <w:pPr>
              <w:rPr>
                <w:noProof/>
                <w:sz w:val="2"/>
                <w:szCs w:val="2"/>
              </w:rPr>
            </w:pPr>
          </w:p>
        </w:tc>
        <w:tc>
          <w:tcPr>
            <w:tcW w:w="2133" w:type="dxa"/>
            <w:gridSpan w:val="2"/>
          </w:tcPr>
          <w:p w14:paraId="26CA617D" w14:textId="4C52BB3C" w:rsidR="00F9656B" w:rsidRPr="00E15354" w:rsidRDefault="00F9656B" w:rsidP="00F9656B">
            <w:pPr>
              <w:widowControl w:val="0"/>
              <w:autoSpaceDE w:val="0"/>
              <w:autoSpaceDN w:val="0"/>
              <w:spacing w:before="70" w:after="0"/>
              <w:ind w:left="84"/>
              <w:jc w:val="left"/>
              <w:rPr>
                <w:rFonts w:eastAsia="Times New Roman"/>
                <w:noProof/>
                <w:sz w:val="17"/>
              </w:rPr>
            </w:pPr>
            <w:r w:rsidRPr="00E15354">
              <w:rPr>
                <w:noProof/>
                <w:color w:val="231F20"/>
                <w:sz w:val="17"/>
              </w:rPr>
              <w:t xml:space="preserve">Todos os instrumentos da OMI enumerados no artigo 2.º ratificados </w:t>
            </w:r>
          </w:p>
        </w:tc>
        <w:tc>
          <w:tcPr>
            <w:tcW w:w="1396" w:type="dxa"/>
          </w:tcPr>
          <w:p w14:paraId="3D0AAD89" w14:textId="77777777" w:rsidR="00F9656B" w:rsidRPr="00E15354" w:rsidRDefault="00F9656B" w:rsidP="00F9656B">
            <w:pPr>
              <w:widowControl w:val="0"/>
              <w:autoSpaceDE w:val="0"/>
              <w:autoSpaceDN w:val="0"/>
              <w:spacing w:before="70" w:after="0"/>
              <w:jc w:val="center"/>
              <w:rPr>
                <w:rFonts w:eastAsia="Times New Roman"/>
                <w:noProof/>
                <w:sz w:val="17"/>
              </w:rPr>
            </w:pPr>
            <w:r w:rsidRPr="00E15354">
              <w:rPr>
                <w:noProof/>
                <w:color w:val="231F20"/>
                <w:sz w:val="17"/>
              </w:rPr>
              <w:t>-</w:t>
            </w:r>
          </w:p>
        </w:tc>
        <w:tc>
          <w:tcPr>
            <w:tcW w:w="1164" w:type="dxa"/>
          </w:tcPr>
          <w:p w14:paraId="5DB0324A" w14:textId="77777777" w:rsidR="00F9656B" w:rsidRPr="00E15354" w:rsidRDefault="00F9656B" w:rsidP="00F9656B">
            <w:pPr>
              <w:widowControl w:val="0"/>
              <w:autoSpaceDE w:val="0"/>
              <w:autoSpaceDN w:val="0"/>
              <w:spacing w:before="70" w:after="0"/>
              <w:ind w:right="2"/>
              <w:jc w:val="center"/>
              <w:rPr>
                <w:rFonts w:eastAsia="Times New Roman"/>
                <w:noProof/>
                <w:sz w:val="17"/>
              </w:rPr>
            </w:pPr>
            <w:r w:rsidRPr="00E15354">
              <w:rPr>
                <w:noProof/>
                <w:color w:val="231F20"/>
                <w:sz w:val="17"/>
              </w:rPr>
              <w:t>-</w:t>
            </w:r>
          </w:p>
        </w:tc>
        <w:tc>
          <w:tcPr>
            <w:tcW w:w="1066" w:type="dxa"/>
            <w:vMerge/>
            <w:tcBorders>
              <w:top w:val="nil"/>
            </w:tcBorders>
            <w:textDirection w:val="btLr"/>
          </w:tcPr>
          <w:p w14:paraId="4B8632B3" w14:textId="77777777" w:rsidR="00F9656B" w:rsidRPr="00E15354" w:rsidRDefault="00F9656B" w:rsidP="00F9656B">
            <w:pPr>
              <w:rPr>
                <w:noProof/>
                <w:sz w:val="2"/>
                <w:szCs w:val="2"/>
              </w:rPr>
            </w:pPr>
          </w:p>
        </w:tc>
        <w:tc>
          <w:tcPr>
            <w:tcW w:w="1062" w:type="dxa"/>
            <w:tcBorders>
              <w:right w:val="nil"/>
            </w:tcBorders>
          </w:tcPr>
          <w:p w14:paraId="7653D37E" w14:textId="77777777" w:rsidR="00F9656B" w:rsidRPr="00E15354" w:rsidRDefault="00F9656B" w:rsidP="00F9656B">
            <w:pPr>
              <w:widowControl w:val="0"/>
              <w:autoSpaceDE w:val="0"/>
              <w:autoSpaceDN w:val="0"/>
              <w:spacing w:before="70" w:after="0"/>
              <w:ind w:left="61" w:right="66"/>
              <w:jc w:val="center"/>
              <w:rPr>
                <w:rFonts w:eastAsia="Times New Roman"/>
                <w:noProof/>
                <w:sz w:val="17"/>
              </w:rPr>
            </w:pPr>
            <w:r w:rsidRPr="00E15354">
              <w:rPr>
                <w:noProof/>
                <w:color w:val="231F20"/>
                <w:sz w:val="17"/>
              </w:rPr>
              <w:t>Sim</w:t>
            </w:r>
          </w:p>
        </w:tc>
      </w:tr>
      <w:tr w:rsidR="00F9656B" w:rsidRPr="00E15354" w14:paraId="0A18CA9C" w14:textId="77777777" w:rsidTr="009B4189">
        <w:trPr>
          <w:trHeight w:val="361"/>
        </w:trPr>
        <w:tc>
          <w:tcPr>
            <w:tcW w:w="431" w:type="dxa"/>
            <w:tcBorders>
              <w:left w:val="nil"/>
            </w:tcBorders>
          </w:tcPr>
          <w:p w14:paraId="668B8A2C" w14:textId="77777777" w:rsidR="00F9656B" w:rsidRPr="00E15354" w:rsidRDefault="00F9656B" w:rsidP="00F9656B">
            <w:pPr>
              <w:widowControl w:val="0"/>
              <w:autoSpaceDE w:val="0"/>
              <w:autoSpaceDN w:val="0"/>
              <w:spacing w:before="70" w:after="0"/>
              <w:ind w:left="-1"/>
              <w:jc w:val="left"/>
              <w:rPr>
                <w:rFonts w:eastAsia="Times New Roman"/>
                <w:noProof/>
                <w:color w:val="231F20"/>
                <w:spacing w:val="-5"/>
                <w:sz w:val="17"/>
              </w:rPr>
            </w:pPr>
            <w:r w:rsidRPr="00E15354">
              <w:rPr>
                <w:noProof/>
                <w:color w:val="231F20"/>
                <w:sz w:val="17"/>
              </w:rPr>
              <w:t>3c</w:t>
            </w:r>
          </w:p>
        </w:tc>
        <w:tc>
          <w:tcPr>
            <w:tcW w:w="1066" w:type="dxa"/>
            <w:tcBorders>
              <w:top w:val="nil"/>
            </w:tcBorders>
            <w:textDirection w:val="btLr"/>
          </w:tcPr>
          <w:p w14:paraId="1240A4AF" w14:textId="77777777" w:rsidR="00F9656B" w:rsidRPr="00E15354" w:rsidRDefault="00F9656B" w:rsidP="00F9656B">
            <w:pPr>
              <w:rPr>
                <w:noProof/>
                <w:sz w:val="2"/>
                <w:szCs w:val="2"/>
              </w:rPr>
            </w:pPr>
          </w:p>
        </w:tc>
        <w:tc>
          <w:tcPr>
            <w:tcW w:w="2133" w:type="dxa"/>
            <w:gridSpan w:val="2"/>
          </w:tcPr>
          <w:p w14:paraId="54FA9A3A" w14:textId="77777777" w:rsidR="00F9656B" w:rsidRPr="00E15354" w:rsidRDefault="00F9656B" w:rsidP="00F9656B">
            <w:pPr>
              <w:widowControl w:val="0"/>
              <w:autoSpaceDE w:val="0"/>
              <w:autoSpaceDN w:val="0"/>
              <w:spacing w:before="70" w:after="0"/>
              <w:ind w:left="84"/>
              <w:jc w:val="left"/>
              <w:rPr>
                <w:rFonts w:eastAsia="Times New Roman"/>
                <w:noProof/>
                <w:color w:val="231F20"/>
                <w:sz w:val="17"/>
              </w:rPr>
            </w:pPr>
            <w:r w:rsidRPr="00E15354">
              <w:rPr>
                <w:noProof/>
                <w:color w:val="231F20"/>
                <w:sz w:val="17"/>
              </w:rPr>
              <w:t>Certificado eletrónico</w:t>
            </w:r>
          </w:p>
        </w:tc>
        <w:tc>
          <w:tcPr>
            <w:tcW w:w="1396" w:type="dxa"/>
          </w:tcPr>
          <w:p w14:paraId="2CFB75F1" w14:textId="77777777" w:rsidR="00F9656B" w:rsidRPr="00E15354" w:rsidRDefault="00F9656B" w:rsidP="00F9656B">
            <w:pPr>
              <w:widowControl w:val="0"/>
              <w:autoSpaceDE w:val="0"/>
              <w:autoSpaceDN w:val="0"/>
              <w:spacing w:before="70" w:after="0"/>
              <w:ind w:left="84" w:right="2"/>
              <w:jc w:val="left"/>
              <w:rPr>
                <w:rFonts w:eastAsia="Times New Roman"/>
                <w:noProof/>
                <w:color w:val="231F20"/>
                <w:sz w:val="17"/>
              </w:rPr>
            </w:pPr>
            <w:r w:rsidRPr="00E15354">
              <w:rPr>
                <w:noProof/>
                <w:color w:val="231F20"/>
                <w:sz w:val="17"/>
              </w:rPr>
              <w:t>Os certificados oficiais são transmitidos digitalmente para o sistema de informação</w:t>
            </w:r>
          </w:p>
        </w:tc>
        <w:tc>
          <w:tcPr>
            <w:tcW w:w="1164" w:type="dxa"/>
          </w:tcPr>
          <w:p w14:paraId="45E87458" w14:textId="77777777" w:rsidR="00F9656B" w:rsidRPr="00E15354" w:rsidRDefault="00F9656B" w:rsidP="00F9656B">
            <w:pPr>
              <w:widowControl w:val="0"/>
              <w:autoSpaceDE w:val="0"/>
              <w:autoSpaceDN w:val="0"/>
              <w:spacing w:before="70" w:after="0"/>
              <w:ind w:left="84" w:right="2"/>
              <w:jc w:val="left"/>
              <w:rPr>
                <w:rFonts w:eastAsia="Times New Roman"/>
                <w:noProof/>
                <w:color w:val="231F20"/>
                <w:sz w:val="17"/>
              </w:rPr>
            </w:pPr>
          </w:p>
        </w:tc>
        <w:tc>
          <w:tcPr>
            <w:tcW w:w="1066" w:type="dxa"/>
            <w:vMerge/>
            <w:tcBorders>
              <w:top w:val="nil"/>
            </w:tcBorders>
            <w:textDirection w:val="btLr"/>
          </w:tcPr>
          <w:p w14:paraId="01C42CFD" w14:textId="77777777" w:rsidR="00F9656B" w:rsidRPr="00E15354" w:rsidRDefault="00F9656B" w:rsidP="00F9656B">
            <w:pPr>
              <w:rPr>
                <w:noProof/>
                <w:sz w:val="2"/>
                <w:szCs w:val="2"/>
              </w:rPr>
            </w:pPr>
          </w:p>
        </w:tc>
        <w:tc>
          <w:tcPr>
            <w:tcW w:w="1062" w:type="dxa"/>
            <w:tcBorders>
              <w:right w:val="nil"/>
            </w:tcBorders>
          </w:tcPr>
          <w:p w14:paraId="5DFE914B" w14:textId="77777777" w:rsidR="00F9656B" w:rsidRPr="00E15354" w:rsidRDefault="00F9656B" w:rsidP="00F9656B">
            <w:pPr>
              <w:widowControl w:val="0"/>
              <w:autoSpaceDE w:val="0"/>
              <w:autoSpaceDN w:val="0"/>
              <w:spacing w:before="70" w:after="0"/>
              <w:ind w:left="61" w:right="66"/>
              <w:jc w:val="center"/>
              <w:rPr>
                <w:rFonts w:eastAsia="Times New Roman"/>
                <w:noProof/>
                <w:color w:val="231F20"/>
                <w:spacing w:val="-5"/>
                <w:sz w:val="17"/>
              </w:rPr>
            </w:pPr>
          </w:p>
        </w:tc>
      </w:tr>
      <w:tr w:rsidR="00F9656B" w:rsidRPr="00E15354" w14:paraId="1643F4DF" w14:textId="77777777" w:rsidTr="009B4189">
        <w:trPr>
          <w:trHeight w:val="360"/>
        </w:trPr>
        <w:tc>
          <w:tcPr>
            <w:tcW w:w="431" w:type="dxa"/>
            <w:vMerge w:val="restart"/>
            <w:tcBorders>
              <w:left w:val="nil"/>
            </w:tcBorders>
          </w:tcPr>
          <w:p w14:paraId="74217D6A" w14:textId="77777777" w:rsidR="00F9656B" w:rsidRPr="00E15354" w:rsidRDefault="00F9656B" w:rsidP="00F9656B">
            <w:pPr>
              <w:widowControl w:val="0"/>
              <w:autoSpaceDE w:val="0"/>
              <w:autoSpaceDN w:val="0"/>
              <w:spacing w:before="69" w:after="0"/>
              <w:jc w:val="left"/>
              <w:rPr>
                <w:rFonts w:eastAsia="Times New Roman"/>
                <w:noProof/>
                <w:sz w:val="17"/>
              </w:rPr>
            </w:pPr>
            <w:r w:rsidRPr="00E15354">
              <w:rPr>
                <w:noProof/>
                <w:color w:val="231F20"/>
                <w:sz w:val="17"/>
              </w:rPr>
              <w:t>4a</w:t>
            </w:r>
          </w:p>
        </w:tc>
        <w:tc>
          <w:tcPr>
            <w:tcW w:w="1066" w:type="dxa"/>
            <w:vMerge w:val="restart"/>
            <w:textDirection w:val="btLr"/>
          </w:tcPr>
          <w:p w14:paraId="43D534EF" w14:textId="77777777" w:rsidR="00F9656B" w:rsidRPr="00E15354" w:rsidRDefault="00F9656B" w:rsidP="00F9656B">
            <w:pPr>
              <w:widowControl w:val="0"/>
              <w:autoSpaceDE w:val="0"/>
              <w:autoSpaceDN w:val="0"/>
              <w:spacing w:before="91" w:after="0" w:line="237" w:lineRule="auto"/>
              <w:ind w:left="640" w:right="327" w:hanging="335"/>
              <w:jc w:val="left"/>
              <w:rPr>
                <w:rFonts w:eastAsia="Times New Roman"/>
                <w:noProof/>
                <w:sz w:val="17"/>
              </w:rPr>
            </w:pPr>
            <w:r w:rsidRPr="00E15354">
              <w:rPr>
                <w:noProof/>
                <w:color w:val="231F20"/>
                <w:sz w:val="17"/>
              </w:rPr>
              <w:t>Organização reconhecida</w:t>
            </w:r>
          </w:p>
        </w:tc>
        <w:tc>
          <w:tcPr>
            <w:tcW w:w="1067" w:type="dxa"/>
            <w:vMerge w:val="restart"/>
            <w:textDirection w:val="btLr"/>
          </w:tcPr>
          <w:p w14:paraId="655C7E2D" w14:textId="77777777" w:rsidR="00F9656B" w:rsidRPr="00E15354" w:rsidRDefault="00F9656B" w:rsidP="00F9656B">
            <w:pPr>
              <w:widowControl w:val="0"/>
              <w:autoSpaceDE w:val="0"/>
              <w:autoSpaceDN w:val="0"/>
              <w:spacing w:before="91" w:after="0"/>
              <w:ind w:left="429"/>
              <w:jc w:val="left"/>
              <w:rPr>
                <w:rFonts w:eastAsia="Times New Roman"/>
                <w:noProof/>
                <w:sz w:val="17"/>
              </w:rPr>
            </w:pPr>
            <w:r w:rsidRPr="00E15354">
              <w:rPr>
                <w:noProof/>
                <w:color w:val="231F20"/>
                <w:sz w:val="17"/>
              </w:rPr>
              <w:t>Desempenho</w:t>
            </w:r>
          </w:p>
        </w:tc>
        <w:tc>
          <w:tcPr>
            <w:tcW w:w="1066" w:type="dxa"/>
          </w:tcPr>
          <w:p w14:paraId="28617DE2" w14:textId="77777777" w:rsidR="00F9656B" w:rsidRPr="00E15354" w:rsidRDefault="00F9656B" w:rsidP="00F9656B">
            <w:pPr>
              <w:widowControl w:val="0"/>
              <w:autoSpaceDE w:val="0"/>
              <w:autoSpaceDN w:val="0"/>
              <w:spacing w:before="69" w:after="0"/>
              <w:ind w:left="83"/>
              <w:jc w:val="left"/>
              <w:rPr>
                <w:rFonts w:eastAsia="Times New Roman"/>
                <w:noProof/>
                <w:sz w:val="17"/>
              </w:rPr>
            </w:pPr>
            <w:r w:rsidRPr="00E15354">
              <w:rPr>
                <w:noProof/>
                <w:color w:val="231F20"/>
                <w:sz w:val="17"/>
              </w:rPr>
              <w:t>H</w:t>
            </w:r>
          </w:p>
        </w:tc>
        <w:tc>
          <w:tcPr>
            <w:tcW w:w="1396" w:type="dxa"/>
          </w:tcPr>
          <w:p w14:paraId="3F271268" w14:textId="77777777" w:rsidR="00F9656B" w:rsidRPr="00E15354" w:rsidRDefault="00F9656B" w:rsidP="00F9656B">
            <w:pPr>
              <w:widowControl w:val="0"/>
              <w:autoSpaceDE w:val="0"/>
              <w:autoSpaceDN w:val="0"/>
              <w:spacing w:before="69" w:after="0"/>
              <w:jc w:val="center"/>
              <w:rPr>
                <w:rFonts w:eastAsia="Times New Roman"/>
                <w:noProof/>
                <w:sz w:val="17"/>
              </w:rPr>
            </w:pPr>
            <w:r w:rsidRPr="00E15354">
              <w:rPr>
                <w:noProof/>
                <w:color w:val="231F20"/>
                <w:sz w:val="17"/>
              </w:rPr>
              <w:t>-</w:t>
            </w:r>
          </w:p>
        </w:tc>
        <w:tc>
          <w:tcPr>
            <w:tcW w:w="1164" w:type="dxa"/>
          </w:tcPr>
          <w:p w14:paraId="58F9E850" w14:textId="77777777" w:rsidR="00F9656B" w:rsidRPr="00E15354" w:rsidRDefault="00F9656B" w:rsidP="00F9656B">
            <w:pPr>
              <w:widowControl w:val="0"/>
              <w:autoSpaceDE w:val="0"/>
              <w:autoSpaceDN w:val="0"/>
              <w:spacing w:before="69" w:after="0"/>
              <w:ind w:right="2"/>
              <w:jc w:val="center"/>
              <w:rPr>
                <w:rFonts w:eastAsia="Times New Roman"/>
                <w:noProof/>
                <w:sz w:val="17"/>
              </w:rPr>
            </w:pPr>
            <w:r w:rsidRPr="00E15354">
              <w:rPr>
                <w:noProof/>
                <w:color w:val="231F20"/>
                <w:sz w:val="17"/>
              </w:rPr>
              <w:t>-</w:t>
            </w:r>
          </w:p>
        </w:tc>
        <w:tc>
          <w:tcPr>
            <w:tcW w:w="1066" w:type="dxa"/>
            <w:vMerge/>
            <w:tcBorders>
              <w:top w:val="nil"/>
            </w:tcBorders>
            <w:textDirection w:val="btLr"/>
          </w:tcPr>
          <w:p w14:paraId="06521850" w14:textId="77777777" w:rsidR="00F9656B" w:rsidRPr="00E15354" w:rsidRDefault="00F9656B" w:rsidP="00F9656B">
            <w:pPr>
              <w:rPr>
                <w:noProof/>
                <w:sz w:val="2"/>
                <w:szCs w:val="2"/>
              </w:rPr>
            </w:pPr>
          </w:p>
        </w:tc>
        <w:tc>
          <w:tcPr>
            <w:tcW w:w="1062" w:type="dxa"/>
            <w:tcBorders>
              <w:right w:val="nil"/>
            </w:tcBorders>
          </w:tcPr>
          <w:p w14:paraId="167B60F9" w14:textId="77777777" w:rsidR="00F9656B" w:rsidRPr="00E15354" w:rsidRDefault="00F9656B" w:rsidP="00F9656B">
            <w:pPr>
              <w:widowControl w:val="0"/>
              <w:autoSpaceDE w:val="0"/>
              <w:autoSpaceDN w:val="0"/>
              <w:spacing w:before="69" w:after="0"/>
              <w:ind w:left="59" w:right="66"/>
              <w:jc w:val="center"/>
              <w:rPr>
                <w:rFonts w:eastAsia="Times New Roman"/>
                <w:noProof/>
                <w:sz w:val="17"/>
              </w:rPr>
            </w:pPr>
            <w:r w:rsidRPr="00E15354">
              <w:rPr>
                <w:noProof/>
                <w:color w:val="231F20"/>
                <w:sz w:val="17"/>
              </w:rPr>
              <w:t>Elevado</w:t>
            </w:r>
          </w:p>
        </w:tc>
      </w:tr>
      <w:tr w:rsidR="00F9656B" w:rsidRPr="00E15354" w14:paraId="7A2A0BD1" w14:textId="77777777" w:rsidTr="009B4189">
        <w:trPr>
          <w:trHeight w:val="361"/>
        </w:trPr>
        <w:tc>
          <w:tcPr>
            <w:tcW w:w="431" w:type="dxa"/>
            <w:vMerge/>
            <w:tcBorders>
              <w:top w:val="nil"/>
              <w:left w:val="nil"/>
            </w:tcBorders>
          </w:tcPr>
          <w:p w14:paraId="4815BC45" w14:textId="77777777" w:rsidR="00F9656B" w:rsidRPr="00E15354" w:rsidRDefault="00F9656B" w:rsidP="00F9656B">
            <w:pPr>
              <w:rPr>
                <w:noProof/>
                <w:sz w:val="2"/>
                <w:szCs w:val="2"/>
              </w:rPr>
            </w:pPr>
          </w:p>
        </w:tc>
        <w:tc>
          <w:tcPr>
            <w:tcW w:w="1066" w:type="dxa"/>
            <w:vMerge/>
            <w:tcBorders>
              <w:top w:val="nil"/>
            </w:tcBorders>
            <w:textDirection w:val="btLr"/>
          </w:tcPr>
          <w:p w14:paraId="04E471D2" w14:textId="77777777" w:rsidR="00F9656B" w:rsidRPr="00E15354" w:rsidRDefault="00F9656B" w:rsidP="00F9656B">
            <w:pPr>
              <w:rPr>
                <w:noProof/>
                <w:sz w:val="2"/>
                <w:szCs w:val="2"/>
              </w:rPr>
            </w:pPr>
          </w:p>
        </w:tc>
        <w:tc>
          <w:tcPr>
            <w:tcW w:w="1067" w:type="dxa"/>
            <w:vMerge/>
            <w:tcBorders>
              <w:top w:val="nil"/>
            </w:tcBorders>
            <w:textDirection w:val="btLr"/>
          </w:tcPr>
          <w:p w14:paraId="4AEF3518" w14:textId="77777777" w:rsidR="00F9656B" w:rsidRPr="00E15354" w:rsidRDefault="00F9656B" w:rsidP="00F9656B">
            <w:pPr>
              <w:rPr>
                <w:noProof/>
                <w:sz w:val="2"/>
                <w:szCs w:val="2"/>
              </w:rPr>
            </w:pPr>
          </w:p>
        </w:tc>
        <w:tc>
          <w:tcPr>
            <w:tcW w:w="1066" w:type="dxa"/>
          </w:tcPr>
          <w:p w14:paraId="55D4AF36" w14:textId="77777777" w:rsidR="00F9656B" w:rsidRPr="00E15354" w:rsidRDefault="00F9656B" w:rsidP="00F9656B">
            <w:pPr>
              <w:widowControl w:val="0"/>
              <w:autoSpaceDE w:val="0"/>
              <w:autoSpaceDN w:val="0"/>
              <w:spacing w:before="70" w:after="0"/>
              <w:ind w:left="83"/>
              <w:jc w:val="left"/>
              <w:rPr>
                <w:rFonts w:eastAsia="Times New Roman"/>
                <w:noProof/>
                <w:sz w:val="17"/>
              </w:rPr>
            </w:pPr>
            <w:r w:rsidRPr="00E15354">
              <w:rPr>
                <w:noProof/>
                <w:color w:val="231F20"/>
                <w:sz w:val="17"/>
              </w:rPr>
              <w:t>M</w:t>
            </w:r>
          </w:p>
        </w:tc>
        <w:tc>
          <w:tcPr>
            <w:tcW w:w="1396" w:type="dxa"/>
          </w:tcPr>
          <w:p w14:paraId="5B528E1F" w14:textId="77777777" w:rsidR="00F9656B" w:rsidRPr="00E15354" w:rsidRDefault="00F9656B" w:rsidP="00F9656B">
            <w:pPr>
              <w:widowControl w:val="0"/>
              <w:autoSpaceDE w:val="0"/>
              <w:autoSpaceDN w:val="0"/>
              <w:spacing w:before="70" w:after="0"/>
              <w:jc w:val="center"/>
              <w:rPr>
                <w:rFonts w:eastAsia="Times New Roman"/>
                <w:noProof/>
                <w:sz w:val="17"/>
              </w:rPr>
            </w:pPr>
            <w:r w:rsidRPr="00E15354">
              <w:rPr>
                <w:noProof/>
                <w:color w:val="231F20"/>
                <w:sz w:val="17"/>
              </w:rPr>
              <w:t>-</w:t>
            </w:r>
          </w:p>
        </w:tc>
        <w:tc>
          <w:tcPr>
            <w:tcW w:w="1164" w:type="dxa"/>
          </w:tcPr>
          <w:p w14:paraId="09231D7F" w14:textId="77777777" w:rsidR="00F9656B" w:rsidRPr="00E15354" w:rsidRDefault="00F9656B" w:rsidP="00F9656B">
            <w:pPr>
              <w:widowControl w:val="0"/>
              <w:autoSpaceDE w:val="0"/>
              <w:autoSpaceDN w:val="0"/>
              <w:spacing w:before="70" w:after="0"/>
              <w:ind w:right="2"/>
              <w:jc w:val="center"/>
              <w:rPr>
                <w:rFonts w:eastAsia="Times New Roman"/>
                <w:noProof/>
                <w:sz w:val="17"/>
              </w:rPr>
            </w:pPr>
            <w:r w:rsidRPr="00E15354">
              <w:rPr>
                <w:noProof/>
                <w:color w:val="231F20"/>
                <w:sz w:val="17"/>
              </w:rPr>
              <w:t>-</w:t>
            </w:r>
          </w:p>
        </w:tc>
        <w:tc>
          <w:tcPr>
            <w:tcW w:w="1066" w:type="dxa"/>
            <w:vMerge/>
            <w:tcBorders>
              <w:top w:val="nil"/>
            </w:tcBorders>
            <w:textDirection w:val="btLr"/>
          </w:tcPr>
          <w:p w14:paraId="232F49A2" w14:textId="77777777" w:rsidR="00F9656B" w:rsidRPr="00E15354" w:rsidRDefault="00F9656B" w:rsidP="00F9656B">
            <w:pPr>
              <w:rPr>
                <w:noProof/>
                <w:sz w:val="2"/>
                <w:szCs w:val="2"/>
              </w:rPr>
            </w:pPr>
          </w:p>
        </w:tc>
        <w:tc>
          <w:tcPr>
            <w:tcW w:w="1062" w:type="dxa"/>
            <w:tcBorders>
              <w:right w:val="nil"/>
            </w:tcBorders>
          </w:tcPr>
          <w:p w14:paraId="6828A40A" w14:textId="77777777" w:rsidR="00F9656B" w:rsidRPr="00E15354" w:rsidRDefault="00F9656B" w:rsidP="00F9656B">
            <w:pPr>
              <w:widowControl w:val="0"/>
              <w:autoSpaceDE w:val="0"/>
              <w:autoSpaceDN w:val="0"/>
              <w:spacing w:before="70" w:after="0"/>
              <w:ind w:right="2"/>
              <w:jc w:val="center"/>
              <w:rPr>
                <w:rFonts w:eastAsia="Times New Roman"/>
                <w:noProof/>
                <w:sz w:val="17"/>
              </w:rPr>
            </w:pPr>
            <w:r w:rsidRPr="00E15354">
              <w:rPr>
                <w:noProof/>
                <w:color w:val="231F20"/>
                <w:sz w:val="17"/>
              </w:rPr>
              <w:t>-</w:t>
            </w:r>
          </w:p>
        </w:tc>
      </w:tr>
      <w:tr w:rsidR="00F9656B" w:rsidRPr="00E15354" w14:paraId="6D9AB443" w14:textId="77777777" w:rsidTr="009B4189">
        <w:trPr>
          <w:trHeight w:val="360"/>
        </w:trPr>
        <w:tc>
          <w:tcPr>
            <w:tcW w:w="431" w:type="dxa"/>
            <w:vMerge/>
            <w:tcBorders>
              <w:top w:val="nil"/>
              <w:left w:val="nil"/>
            </w:tcBorders>
          </w:tcPr>
          <w:p w14:paraId="3A143841" w14:textId="77777777" w:rsidR="00F9656B" w:rsidRPr="00E15354" w:rsidRDefault="00F9656B" w:rsidP="00F9656B">
            <w:pPr>
              <w:rPr>
                <w:noProof/>
                <w:sz w:val="2"/>
                <w:szCs w:val="2"/>
              </w:rPr>
            </w:pPr>
          </w:p>
        </w:tc>
        <w:tc>
          <w:tcPr>
            <w:tcW w:w="1066" w:type="dxa"/>
            <w:vMerge/>
            <w:tcBorders>
              <w:top w:val="nil"/>
            </w:tcBorders>
            <w:textDirection w:val="btLr"/>
          </w:tcPr>
          <w:p w14:paraId="34BEDBAC" w14:textId="77777777" w:rsidR="00F9656B" w:rsidRPr="00E15354" w:rsidRDefault="00F9656B" w:rsidP="00F9656B">
            <w:pPr>
              <w:rPr>
                <w:noProof/>
                <w:sz w:val="2"/>
                <w:szCs w:val="2"/>
              </w:rPr>
            </w:pPr>
          </w:p>
        </w:tc>
        <w:tc>
          <w:tcPr>
            <w:tcW w:w="1067" w:type="dxa"/>
            <w:vMerge/>
            <w:tcBorders>
              <w:top w:val="nil"/>
            </w:tcBorders>
            <w:textDirection w:val="btLr"/>
          </w:tcPr>
          <w:p w14:paraId="18FE28F5" w14:textId="77777777" w:rsidR="00F9656B" w:rsidRPr="00E15354" w:rsidRDefault="00F9656B" w:rsidP="00F9656B">
            <w:pPr>
              <w:rPr>
                <w:noProof/>
                <w:sz w:val="2"/>
                <w:szCs w:val="2"/>
              </w:rPr>
            </w:pPr>
          </w:p>
        </w:tc>
        <w:tc>
          <w:tcPr>
            <w:tcW w:w="1066" w:type="dxa"/>
          </w:tcPr>
          <w:p w14:paraId="6975FFD1" w14:textId="77777777" w:rsidR="00F9656B" w:rsidRPr="00E15354" w:rsidRDefault="00F9656B" w:rsidP="00F9656B">
            <w:pPr>
              <w:widowControl w:val="0"/>
              <w:autoSpaceDE w:val="0"/>
              <w:autoSpaceDN w:val="0"/>
              <w:spacing w:before="70" w:after="0"/>
              <w:ind w:left="83"/>
              <w:jc w:val="left"/>
              <w:rPr>
                <w:rFonts w:eastAsia="Times New Roman"/>
                <w:noProof/>
                <w:sz w:val="17"/>
              </w:rPr>
            </w:pPr>
            <w:r w:rsidRPr="00E15354">
              <w:rPr>
                <w:noProof/>
                <w:color w:val="231F20"/>
                <w:sz w:val="17"/>
              </w:rPr>
              <w:t>L</w:t>
            </w:r>
          </w:p>
        </w:tc>
        <w:tc>
          <w:tcPr>
            <w:tcW w:w="1396" w:type="dxa"/>
          </w:tcPr>
          <w:p w14:paraId="6EE3D355" w14:textId="77777777" w:rsidR="00F9656B" w:rsidRPr="00E15354" w:rsidRDefault="00F9656B" w:rsidP="00F9656B">
            <w:pPr>
              <w:widowControl w:val="0"/>
              <w:autoSpaceDE w:val="0"/>
              <w:autoSpaceDN w:val="0"/>
              <w:spacing w:before="70" w:after="0"/>
              <w:ind w:left="84"/>
              <w:jc w:val="left"/>
              <w:rPr>
                <w:rFonts w:eastAsia="Times New Roman"/>
                <w:noProof/>
                <w:sz w:val="17"/>
              </w:rPr>
            </w:pPr>
            <w:r w:rsidRPr="00E15354">
              <w:rPr>
                <w:noProof/>
                <w:color w:val="231F20"/>
                <w:sz w:val="17"/>
              </w:rPr>
              <w:t>Baixo</w:t>
            </w:r>
          </w:p>
        </w:tc>
        <w:tc>
          <w:tcPr>
            <w:tcW w:w="1164" w:type="dxa"/>
            <w:vMerge w:val="restart"/>
          </w:tcPr>
          <w:p w14:paraId="352F5EFD" w14:textId="77777777" w:rsidR="00F9656B" w:rsidRPr="00E15354" w:rsidRDefault="00F9656B" w:rsidP="00F9656B">
            <w:pPr>
              <w:widowControl w:val="0"/>
              <w:autoSpaceDE w:val="0"/>
              <w:autoSpaceDN w:val="0"/>
              <w:spacing w:before="70" w:after="0"/>
              <w:ind w:right="3"/>
              <w:jc w:val="center"/>
              <w:rPr>
                <w:rFonts w:eastAsia="Times New Roman"/>
                <w:noProof/>
                <w:sz w:val="17"/>
              </w:rPr>
            </w:pPr>
            <w:r w:rsidRPr="00E15354">
              <w:rPr>
                <w:noProof/>
                <w:color w:val="231F20"/>
                <w:sz w:val="17"/>
              </w:rPr>
              <w:t>1</w:t>
            </w:r>
          </w:p>
        </w:tc>
        <w:tc>
          <w:tcPr>
            <w:tcW w:w="1066" w:type="dxa"/>
            <w:vMerge/>
            <w:tcBorders>
              <w:top w:val="nil"/>
            </w:tcBorders>
            <w:textDirection w:val="btLr"/>
          </w:tcPr>
          <w:p w14:paraId="755BD42B" w14:textId="77777777" w:rsidR="00F9656B" w:rsidRPr="00E15354" w:rsidRDefault="00F9656B" w:rsidP="00F9656B">
            <w:pPr>
              <w:rPr>
                <w:noProof/>
                <w:sz w:val="2"/>
                <w:szCs w:val="2"/>
              </w:rPr>
            </w:pPr>
          </w:p>
        </w:tc>
        <w:tc>
          <w:tcPr>
            <w:tcW w:w="1062" w:type="dxa"/>
            <w:tcBorders>
              <w:right w:val="nil"/>
            </w:tcBorders>
          </w:tcPr>
          <w:p w14:paraId="5EE761AB" w14:textId="77777777" w:rsidR="00F9656B" w:rsidRPr="00E15354" w:rsidRDefault="00F9656B" w:rsidP="00F9656B">
            <w:pPr>
              <w:widowControl w:val="0"/>
              <w:autoSpaceDE w:val="0"/>
              <w:autoSpaceDN w:val="0"/>
              <w:spacing w:before="70" w:after="0"/>
              <w:ind w:right="2"/>
              <w:jc w:val="center"/>
              <w:rPr>
                <w:rFonts w:eastAsia="Times New Roman"/>
                <w:noProof/>
                <w:sz w:val="17"/>
              </w:rPr>
            </w:pPr>
            <w:r w:rsidRPr="00E15354">
              <w:rPr>
                <w:noProof/>
                <w:color w:val="231F20"/>
                <w:sz w:val="17"/>
              </w:rPr>
              <w:t>-</w:t>
            </w:r>
          </w:p>
        </w:tc>
      </w:tr>
      <w:tr w:rsidR="00F9656B" w:rsidRPr="00E15354" w14:paraId="0660D958" w14:textId="77777777" w:rsidTr="009B4189">
        <w:trPr>
          <w:trHeight w:val="361"/>
        </w:trPr>
        <w:tc>
          <w:tcPr>
            <w:tcW w:w="431" w:type="dxa"/>
            <w:vMerge/>
            <w:tcBorders>
              <w:top w:val="nil"/>
              <w:left w:val="nil"/>
            </w:tcBorders>
          </w:tcPr>
          <w:p w14:paraId="630251B1" w14:textId="77777777" w:rsidR="00F9656B" w:rsidRPr="00E15354" w:rsidRDefault="00F9656B" w:rsidP="00F9656B">
            <w:pPr>
              <w:rPr>
                <w:noProof/>
                <w:sz w:val="2"/>
                <w:szCs w:val="2"/>
              </w:rPr>
            </w:pPr>
          </w:p>
        </w:tc>
        <w:tc>
          <w:tcPr>
            <w:tcW w:w="1066" w:type="dxa"/>
            <w:vMerge/>
            <w:tcBorders>
              <w:top w:val="nil"/>
            </w:tcBorders>
            <w:textDirection w:val="btLr"/>
          </w:tcPr>
          <w:p w14:paraId="6B04EE1B" w14:textId="77777777" w:rsidR="00F9656B" w:rsidRPr="00E15354" w:rsidRDefault="00F9656B" w:rsidP="00F9656B">
            <w:pPr>
              <w:rPr>
                <w:noProof/>
                <w:sz w:val="2"/>
                <w:szCs w:val="2"/>
              </w:rPr>
            </w:pPr>
          </w:p>
        </w:tc>
        <w:tc>
          <w:tcPr>
            <w:tcW w:w="1067" w:type="dxa"/>
            <w:vMerge/>
            <w:tcBorders>
              <w:top w:val="nil"/>
            </w:tcBorders>
            <w:textDirection w:val="btLr"/>
          </w:tcPr>
          <w:p w14:paraId="372F76D9" w14:textId="77777777" w:rsidR="00F9656B" w:rsidRPr="00E15354" w:rsidRDefault="00F9656B" w:rsidP="00F9656B">
            <w:pPr>
              <w:rPr>
                <w:noProof/>
                <w:sz w:val="2"/>
                <w:szCs w:val="2"/>
              </w:rPr>
            </w:pPr>
          </w:p>
        </w:tc>
        <w:tc>
          <w:tcPr>
            <w:tcW w:w="1066" w:type="dxa"/>
          </w:tcPr>
          <w:p w14:paraId="32EF322F" w14:textId="77777777" w:rsidR="00F9656B" w:rsidRPr="00E15354" w:rsidRDefault="00F9656B" w:rsidP="00F9656B">
            <w:pPr>
              <w:widowControl w:val="0"/>
              <w:autoSpaceDE w:val="0"/>
              <w:autoSpaceDN w:val="0"/>
              <w:spacing w:before="70" w:after="0"/>
              <w:ind w:left="83"/>
              <w:jc w:val="left"/>
              <w:rPr>
                <w:rFonts w:eastAsia="Times New Roman"/>
                <w:noProof/>
                <w:sz w:val="17"/>
              </w:rPr>
            </w:pPr>
            <w:r w:rsidRPr="00E15354">
              <w:rPr>
                <w:noProof/>
                <w:color w:val="231F20"/>
                <w:sz w:val="17"/>
              </w:rPr>
              <w:t>VL</w:t>
            </w:r>
          </w:p>
        </w:tc>
        <w:tc>
          <w:tcPr>
            <w:tcW w:w="1396" w:type="dxa"/>
          </w:tcPr>
          <w:p w14:paraId="1D64F644" w14:textId="77777777" w:rsidR="00F9656B" w:rsidRPr="00E15354" w:rsidRDefault="00F9656B" w:rsidP="00F9656B">
            <w:pPr>
              <w:widowControl w:val="0"/>
              <w:autoSpaceDE w:val="0"/>
              <w:autoSpaceDN w:val="0"/>
              <w:spacing w:before="70" w:after="0"/>
              <w:ind w:left="84"/>
              <w:jc w:val="left"/>
              <w:rPr>
                <w:rFonts w:eastAsia="Times New Roman"/>
                <w:noProof/>
                <w:sz w:val="17"/>
              </w:rPr>
            </w:pPr>
            <w:r w:rsidRPr="00E15354">
              <w:rPr>
                <w:noProof/>
                <w:color w:val="231F20"/>
                <w:sz w:val="17"/>
              </w:rPr>
              <w:t>Muito baixo</w:t>
            </w:r>
          </w:p>
        </w:tc>
        <w:tc>
          <w:tcPr>
            <w:tcW w:w="1164" w:type="dxa"/>
            <w:vMerge/>
            <w:tcBorders>
              <w:top w:val="nil"/>
            </w:tcBorders>
          </w:tcPr>
          <w:p w14:paraId="4548433A" w14:textId="77777777" w:rsidR="00F9656B" w:rsidRPr="00E15354" w:rsidRDefault="00F9656B" w:rsidP="00F9656B">
            <w:pPr>
              <w:rPr>
                <w:noProof/>
                <w:sz w:val="2"/>
                <w:szCs w:val="2"/>
              </w:rPr>
            </w:pPr>
          </w:p>
        </w:tc>
        <w:tc>
          <w:tcPr>
            <w:tcW w:w="1066" w:type="dxa"/>
            <w:vMerge/>
            <w:tcBorders>
              <w:top w:val="nil"/>
            </w:tcBorders>
            <w:textDirection w:val="btLr"/>
          </w:tcPr>
          <w:p w14:paraId="0047EE94" w14:textId="77777777" w:rsidR="00F9656B" w:rsidRPr="00E15354" w:rsidRDefault="00F9656B" w:rsidP="00F9656B">
            <w:pPr>
              <w:rPr>
                <w:noProof/>
                <w:sz w:val="2"/>
                <w:szCs w:val="2"/>
              </w:rPr>
            </w:pPr>
          </w:p>
        </w:tc>
        <w:tc>
          <w:tcPr>
            <w:tcW w:w="1062" w:type="dxa"/>
            <w:tcBorders>
              <w:right w:val="nil"/>
            </w:tcBorders>
          </w:tcPr>
          <w:p w14:paraId="62984375" w14:textId="77777777" w:rsidR="00F9656B" w:rsidRPr="00E15354" w:rsidRDefault="00F9656B" w:rsidP="00F9656B">
            <w:pPr>
              <w:widowControl w:val="0"/>
              <w:autoSpaceDE w:val="0"/>
              <w:autoSpaceDN w:val="0"/>
              <w:spacing w:before="70" w:after="0"/>
              <w:ind w:right="2"/>
              <w:jc w:val="center"/>
              <w:rPr>
                <w:rFonts w:eastAsia="Times New Roman"/>
                <w:noProof/>
                <w:sz w:val="17"/>
              </w:rPr>
            </w:pPr>
            <w:r w:rsidRPr="00E15354">
              <w:rPr>
                <w:noProof/>
                <w:color w:val="231F20"/>
                <w:sz w:val="17"/>
              </w:rPr>
              <w:t>-</w:t>
            </w:r>
          </w:p>
        </w:tc>
      </w:tr>
      <w:tr w:rsidR="00F9656B" w:rsidRPr="00E15354" w14:paraId="138E91AE" w14:textId="77777777" w:rsidTr="009B4189">
        <w:trPr>
          <w:trHeight w:val="360"/>
        </w:trPr>
        <w:tc>
          <w:tcPr>
            <w:tcW w:w="431" w:type="dxa"/>
            <w:tcBorders>
              <w:left w:val="nil"/>
            </w:tcBorders>
          </w:tcPr>
          <w:p w14:paraId="4C7EADCE" w14:textId="77777777" w:rsidR="00F9656B" w:rsidRPr="00E15354" w:rsidRDefault="00F9656B" w:rsidP="00F9656B">
            <w:pPr>
              <w:widowControl w:val="0"/>
              <w:autoSpaceDE w:val="0"/>
              <w:autoSpaceDN w:val="0"/>
              <w:spacing w:before="69" w:after="0"/>
              <w:ind w:left="-1"/>
              <w:jc w:val="left"/>
              <w:rPr>
                <w:rFonts w:eastAsia="Times New Roman"/>
                <w:noProof/>
                <w:sz w:val="17"/>
              </w:rPr>
            </w:pPr>
            <w:r w:rsidRPr="00E15354">
              <w:rPr>
                <w:noProof/>
                <w:color w:val="231F20"/>
                <w:sz w:val="17"/>
              </w:rPr>
              <w:t>4b</w:t>
            </w:r>
          </w:p>
        </w:tc>
        <w:tc>
          <w:tcPr>
            <w:tcW w:w="1066" w:type="dxa"/>
            <w:vMerge/>
            <w:tcBorders>
              <w:top w:val="nil"/>
            </w:tcBorders>
            <w:textDirection w:val="btLr"/>
          </w:tcPr>
          <w:p w14:paraId="32DE9174" w14:textId="77777777" w:rsidR="00F9656B" w:rsidRPr="00E15354" w:rsidRDefault="00F9656B" w:rsidP="00F9656B">
            <w:pPr>
              <w:rPr>
                <w:noProof/>
                <w:sz w:val="2"/>
                <w:szCs w:val="2"/>
              </w:rPr>
            </w:pPr>
          </w:p>
        </w:tc>
        <w:tc>
          <w:tcPr>
            <w:tcW w:w="2133" w:type="dxa"/>
            <w:gridSpan w:val="2"/>
          </w:tcPr>
          <w:p w14:paraId="1F7ECBE9" w14:textId="77777777" w:rsidR="00F9656B" w:rsidRPr="00E15354" w:rsidRDefault="00F9656B" w:rsidP="00F9656B">
            <w:pPr>
              <w:widowControl w:val="0"/>
              <w:autoSpaceDE w:val="0"/>
              <w:autoSpaceDN w:val="0"/>
              <w:spacing w:before="69" w:after="0"/>
              <w:ind w:left="546"/>
              <w:jc w:val="left"/>
              <w:rPr>
                <w:rFonts w:eastAsia="Times New Roman"/>
                <w:noProof/>
                <w:sz w:val="17"/>
              </w:rPr>
            </w:pPr>
            <w:r w:rsidRPr="00E15354">
              <w:rPr>
                <w:noProof/>
                <w:color w:val="231F20"/>
                <w:sz w:val="17"/>
              </w:rPr>
              <w:t>Reconhecida UE</w:t>
            </w:r>
          </w:p>
        </w:tc>
        <w:tc>
          <w:tcPr>
            <w:tcW w:w="1396" w:type="dxa"/>
          </w:tcPr>
          <w:p w14:paraId="5E616908" w14:textId="77777777" w:rsidR="00F9656B" w:rsidRPr="00E15354" w:rsidRDefault="00F9656B" w:rsidP="00F9656B">
            <w:pPr>
              <w:widowControl w:val="0"/>
              <w:autoSpaceDE w:val="0"/>
              <w:autoSpaceDN w:val="0"/>
              <w:spacing w:before="69" w:after="0"/>
              <w:jc w:val="center"/>
              <w:rPr>
                <w:rFonts w:eastAsia="Times New Roman"/>
                <w:noProof/>
                <w:sz w:val="17"/>
              </w:rPr>
            </w:pPr>
            <w:r w:rsidRPr="00E15354">
              <w:rPr>
                <w:noProof/>
                <w:color w:val="231F20"/>
                <w:sz w:val="17"/>
              </w:rPr>
              <w:t>-</w:t>
            </w:r>
          </w:p>
        </w:tc>
        <w:tc>
          <w:tcPr>
            <w:tcW w:w="1164" w:type="dxa"/>
          </w:tcPr>
          <w:p w14:paraId="5A074B5F" w14:textId="77777777" w:rsidR="00F9656B" w:rsidRPr="00E15354" w:rsidRDefault="00F9656B" w:rsidP="00F9656B">
            <w:pPr>
              <w:widowControl w:val="0"/>
              <w:autoSpaceDE w:val="0"/>
              <w:autoSpaceDN w:val="0"/>
              <w:spacing w:before="69" w:after="0"/>
              <w:ind w:right="2"/>
              <w:jc w:val="center"/>
              <w:rPr>
                <w:rFonts w:eastAsia="Times New Roman"/>
                <w:noProof/>
                <w:sz w:val="17"/>
              </w:rPr>
            </w:pPr>
            <w:r w:rsidRPr="00E15354">
              <w:rPr>
                <w:noProof/>
                <w:color w:val="231F20"/>
                <w:sz w:val="17"/>
              </w:rPr>
              <w:t>-</w:t>
            </w:r>
          </w:p>
        </w:tc>
        <w:tc>
          <w:tcPr>
            <w:tcW w:w="1066" w:type="dxa"/>
            <w:vMerge/>
            <w:tcBorders>
              <w:top w:val="nil"/>
            </w:tcBorders>
            <w:textDirection w:val="btLr"/>
          </w:tcPr>
          <w:p w14:paraId="64E351D4" w14:textId="77777777" w:rsidR="00F9656B" w:rsidRPr="00E15354" w:rsidRDefault="00F9656B" w:rsidP="00F9656B">
            <w:pPr>
              <w:rPr>
                <w:noProof/>
                <w:sz w:val="2"/>
                <w:szCs w:val="2"/>
              </w:rPr>
            </w:pPr>
          </w:p>
        </w:tc>
        <w:tc>
          <w:tcPr>
            <w:tcW w:w="1062" w:type="dxa"/>
            <w:tcBorders>
              <w:right w:val="nil"/>
            </w:tcBorders>
          </w:tcPr>
          <w:p w14:paraId="7FC71571" w14:textId="77777777" w:rsidR="00F9656B" w:rsidRPr="00E15354" w:rsidRDefault="00F9656B" w:rsidP="00F9656B">
            <w:pPr>
              <w:widowControl w:val="0"/>
              <w:autoSpaceDE w:val="0"/>
              <w:autoSpaceDN w:val="0"/>
              <w:spacing w:before="69" w:after="0"/>
              <w:ind w:left="61" w:right="66"/>
              <w:jc w:val="center"/>
              <w:rPr>
                <w:rFonts w:eastAsia="Times New Roman"/>
                <w:noProof/>
                <w:sz w:val="17"/>
              </w:rPr>
            </w:pPr>
            <w:r w:rsidRPr="00E15354">
              <w:rPr>
                <w:noProof/>
                <w:color w:val="231F20"/>
                <w:sz w:val="17"/>
              </w:rPr>
              <w:t>Sim</w:t>
            </w:r>
          </w:p>
        </w:tc>
      </w:tr>
      <w:tr w:rsidR="00F9656B" w:rsidRPr="00E15354" w14:paraId="16F6550C" w14:textId="77777777" w:rsidTr="009B4189">
        <w:trPr>
          <w:trHeight w:val="360"/>
        </w:trPr>
        <w:tc>
          <w:tcPr>
            <w:tcW w:w="431" w:type="dxa"/>
            <w:vMerge w:val="restart"/>
            <w:tcBorders>
              <w:left w:val="nil"/>
            </w:tcBorders>
          </w:tcPr>
          <w:p w14:paraId="5F777CFA" w14:textId="77777777" w:rsidR="00F9656B" w:rsidRPr="00E15354" w:rsidRDefault="00F9656B" w:rsidP="00F9656B">
            <w:pPr>
              <w:widowControl w:val="0"/>
              <w:autoSpaceDE w:val="0"/>
              <w:autoSpaceDN w:val="0"/>
              <w:spacing w:before="69" w:after="0"/>
              <w:jc w:val="left"/>
              <w:rPr>
                <w:rFonts w:eastAsia="Times New Roman"/>
                <w:noProof/>
                <w:sz w:val="17"/>
              </w:rPr>
            </w:pPr>
            <w:r w:rsidRPr="00E15354">
              <w:rPr>
                <w:noProof/>
                <w:color w:val="231F20"/>
                <w:sz w:val="17"/>
              </w:rPr>
              <w:t>5</w:t>
            </w:r>
          </w:p>
        </w:tc>
        <w:tc>
          <w:tcPr>
            <w:tcW w:w="1066" w:type="dxa"/>
            <w:vMerge w:val="restart"/>
            <w:textDirection w:val="btLr"/>
          </w:tcPr>
          <w:p w14:paraId="06026894" w14:textId="77777777" w:rsidR="00F9656B" w:rsidRPr="00E15354" w:rsidRDefault="00F9656B" w:rsidP="00F9656B">
            <w:pPr>
              <w:widowControl w:val="0"/>
              <w:autoSpaceDE w:val="0"/>
              <w:autoSpaceDN w:val="0"/>
              <w:spacing w:before="90" w:after="0"/>
              <w:ind w:left="429"/>
              <w:jc w:val="left"/>
              <w:rPr>
                <w:rFonts w:eastAsia="Times New Roman"/>
                <w:noProof/>
                <w:sz w:val="17"/>
              </w:rPr>
            </w:pPr>
            <w:r w:rsidRPr="00E15354">
              <w:rPr>
                <w:noProof/>
                <w:color w:val="231F20"/>
                <w:sz w:val="17"/>
              </w:rPr>
              <w:t>Companhia</w:t>
            </w:r>
          </w:p>
        </w:tc>
        <w:tc>
          <w:tcPr>
            <w:tcW w:w="1067" w:type="dxa"/>
            <w:vMerge w:val="restart"/>
            <w:textDirection w:val="btLr"/>
          </w:tcPr>
          <w:p w14:paraId="25729C81" w14:textId="77777777" w:rsidR="00F9656B" w:rsidRPr="00E15354" w:rsidRDefault="00F9656B" w:rsidP="00F9656B">
            <w:pPr>
              <w:widowControl w:val="0"/>
              <w:autoSpaceDE w:val="0"/>
              <w:autoSpaceDN w:val="0"/>
              <w:spacing w:before="91" w:after="0"/>
              <w:ind w:left="429"/>
              <w:jc w:val="left"/>
              <w:rPr>
                <w:rFonts w:eastAsia="Times New Roman"/>
                <w:noProof/>
                <w:sz w:val="17"/>
              </w:rPr>
            </w:pPr>
            <w:r w:rsidRPr="00E15354">
              <w:rPr>
                <w:noProof/>
                <w:color w:val="231F20"/>
                <w:sz w:val="17"/>
              </w:rPr>
              <w:t>Desempenho</w:t>
            </w:r>
          </w:p>
        </w:tc>
        <w:tc>
          <w:tcPr>
            <w:tcW w:w="1066" w:type="dxa"/>
          </w:tcPr>
          <w:p w14:paraId="38EAD72E" w14:textId="77777777" w:rsidR="00F9656B" w:rsidRPr="00E15354" w:rsidRDefault="00F9656B" w:rsidP="00F9656B">
            <w:pPr>
              <w:widowControl w:val="0"/>
              <w:autoSpaceDE w:val="0"/>
              <w:autoSpaceDN w:val="0"/>
              <w:spacing w:before="69" w:after="0"/>
              <w:ind w:left="83"/>
              <w:jc w:val="left"/>
              <w:rPr>
                <w:rFonts w:eastAsia="Times New Roman"/>
                <w:noProof/>
                <w:sz w:val="17"/>
              </w:rPr>
            </w:pPr>
            <w:r w:rsidRPr="00E15354">
              <w:rPr>
                <w:noProof/>
                <w:color w:val="231F20"/>
                <w:sz w:val="17"/>
              </w:rPr>
              <w:t>H</w:t>
            </w:r>
          </w:p>
        </w:tc>
        <w:tc>
          <w:tcPr>
            <w:tcW w:w="1396" w:type="dxa"/>
          </w:tcPr>
          <w:p w14:paraId="244DE325" w14:textId="77777777" w:rsidR="00F9656B" w:rsidRPr="00E15354" w:rsidRDefault="00F9656B" w:rsidP="00F9656B">
            <w:pPr>
              <w:widowControl w:val="0"/>
              <w:autoSpaceDE w:val="0"/>
              <w:autoSpaceDN w:val="0"/>
              <w:spacing w:before="69" w:after="0"/>
              <w:jc w:val="center"/>
              <w:rPr>
                <w:rFonts w:eastAsia="Times New Roman"/>
                <w:noProof/>
                <w:sz w:val="17"/>
              </w:rPr>
            </w:pPr>
            <w:r w:rsidRPr="00E15354">
              <w:rPr>
                <w:noProof/>
                <w:color w:val="231F20"/>
                <w:sz w:val="17"/>
              </w:rPr>
              <w:t>-</w:t>
            </w:r>
          </w:p>
        </w:tc>
        <w:tc>
          <w:tcPr>
            <w:tcW w:w="1164" w:type="dxa"/>
          </w:tcPr>
          <w:p w14:paraId="5B0FB757" w14:textId="77777777" w:rsidR="00F9656B" w:rsidRPr="00E15354" w:rsidRDefault="00F9656B" w:rsidP="00F9656B">
            <w:pPr>
              <w:widowControl w:val="0"/>
              <w:autoSpaceDE w:val="0"/>
              <w:autoSpaceDN w:val="0"/>
              <w:spacing w:before="69" w:after="0"/>
              <w:ind w:right="2"/>
              <w:jc w:val="center"/>
              <w:rPr>
                <w:rFonts w:eastAsia="Times New Roman"/>
                <w:noProof/>
                <w:sz w:val="17"/>
              </w:rPr>
            </w:pPr>
            <w:r w:rsidRPr="00E15354">
              <w:rPr>
                <w:noProof/>
                <w:color w:val="231F20"/>
                <w:sz w:val="17"/>
              </w:rPr>
              <w:t>-</w:t>
            </w:r>
          </w:p>
        </w:tc>
        <w:tc>
          <w:tcPr>
            <w:tcW w:w="1066" w:type="dxa"/>
            <w:vMerge/>
            <w:tcBorders>
              <w:top w:val="nil"/>
            </w:tcBorders>
            <w:textDirection w:val="btLr"/>
          </w:tcPr>
          <w:p w14:paraId="04F96797" w14:textId="77777777" w:rsidR="00F9656B" w:rsidRPr="00E15354" w:rsidRDefault="00F9656B" w:rsidP="00F9656B">
            <w:pPr>
              <w:rPr>
                <w:noProof/>
                <w:sz w:val="2"/>
                <w:szCs w:val="2"/>
              </w:rPr>
            </w:pPr>
          </w:p>
        </w:tc>
        <w:tc>
          <w:tcPr>
            <w:tcW w:w="1062" w:type="dxa"/>
            <w:tcBorders>
              <w:right w:val="nil"/>
            </w:tcBorders>
          </w:tcPr>
          <w:p w14:paraId="6F07BD4E" w14:textId="77777777" w:rsidR="00F9656B" w:rsidRPr="00E15354" w:rsidRDefault="00F9656B" w:rsidP="00F9656B">
            <w:pPr>
              <w:widowControl w:val="0"/>
              <w:autoSpaceDE w:val="0"/>
              <w:autoSpaceDN w:val="0"/>
              <w:spacing w:before="69" w:after="0"/>
              <w:ind w:left="59" w:right="66"/>
              <w:jc w:val="center"/>
              <w:rPr>
                <w:rFonts w:eastAsia="Times New Roman"/>
                <w:noProof/>
                <w:sz w:val="17"/>
              </w:rPr>
            </w:pPr>
            <w:r w:rsidRPr="00E15354">
              <w:rPr>
                <w:noProof/>
                <w:color w:val="231F20"/>
                <w:sz w:val="17"/>
              </w:rPr>
              <w:t>Elevado</w:t>
            </w:r>
          </w:p>
        </w:tc>
      </w:tr>
      <w:tr w:rsidR="00F9656B" w:rsidRPr="00E15354" w14:paraId="6932FED2" w14:textId="77777777" w:rsidTr="009B4189">
        <w:trPr>
          <w:trHeight w:val="361"/>
        </w:trPr>
        <w:tc>
          <w:tcPr>
            <w:tcW w:w="431" w:type="dxa"/>
            <w:vMerge/>
            <w:tcBorders>
              <w:top w:val="nil"/>
              <w:left w:val="nil"/>
            </w:tcBorders>
          </w:tcPr>
          <w:p w14:paraId="03295CA5" w14:textId="77777777" w:rsidR="00F9656B" w:rsidRPr="00E15354" w:rsidRDefault="00F9656B" w:rsidP="00F9656B">
            <w:pPr>
              <w:rPr>
                <w:noProof/>
                <w:sz w:val="2"/>
                <w:szCs w:val="2"/>
              </w:rPr>
            </w:pPr>
          </w:p>
        </w:tc>
        <w:tc>
          <w:tcPr>
            <w:tcW w:w="1066" w:type="dxa"/>
            <w:vMerge/>
            <w:tcBorders>
              <w:top w:val="nil"/>
            </w:tcBorders>
            <w:textDirection w:val="btLr"/>
          </w:tcPr>
          <w:p w14:paraId="64D3CAA8" w14:textId="77777777" w:rsidR="00F9656B" w:rsidRPr="00E15354" w:rsidRDefault="00F9656B" w:rsidP="00F9656B">
            <w:pPr>
              <w:rPr>
                <w:noProof/>
                <w:sz w:val="2"/>
                <w:szCs w:val="2"/>
              </w:rPr>
            </w:pPr>
          </w:p>
        </w:tc>
        <w:tc>
          <w:tcPr>
            <w:tcW w:w="1067" w:type="dxa"/>
            <w:vMerge/>
            <w:tcBorders>
              <w:top w:val="nil"/>
            </w:tcBorders>
            <w:textDirection w:val="btLr"/>
          </w:tcPr>
          <w:p w14:paraId="2C126906" w14:textId="77777777" w:rsidR="00F9656B" w:rsidRPr="00E15354" w:rsidRDefault="00F9656B" w:rsidP="00F9656B">
            <w:pPr>
              <w:rPr>
                <w:noProof/>
                <w:sz w:val="2"/>
                <w:szCs w:val="2"/>
              </w:rPr>
            </w:pPr>
          </w:p>
        </w:tc>
        <w:tc>
          <w:tcPr>
            <w:tcW w:w="1066" w:type="dxa"/>
          </w:tcPr>
          <w:p w14:paraId="5953DB6D" w14:textId="77777777" w:rsidR="00F9656B" w:rsidRPr="00E15354" w:rsidRDefault="00F9656B" w:rsidP="00F9656B">
            <w:pPr>
              <w:widowControl w:val="0"/>
              <w:autoSpaceDE w:val="0"/>
              <w:autoSpaceDN w:val="0"/>
              <w:spacing w:before="70" w:after="0"/>
              <w:ind w:left="83"/>
              <w:jc w:val="left"/>
              <w:rPr>
                <w:rFonts w:eastAsia="Times New Roman"/>
                <w:noProof/>
                <w:sz w:val="17"/>
              </w:rPr>
            </w:pPr>
            <w:r w:rsidRPr="00E15354">
              <w:rPr>
                <w:noProof/>
                <w:color w:val="231F20"/>
                <w:sz w:val="17"/>
              </w:rPr>
              <w:t>M</w:t>
            </w:r>
          </w:p>
        </w:tc>
        <w:tc>
          <w:tcPr>
            <w:tcW w:w="1396" w:type="dxa"/>
          </w:tcPr>
          <w:p w14:paraId="0115D30C" w14:textId="77777777" w:rsidR="00F9656B" w:rsidRPr="00E15354" w:rsidRDefault="00F9656B" w:rsidP="00F9656B">
            <w:pPr>
              <w:widowControl w:val="0"/>
              <w:autoSpaceDE w:val="0"/>
              <w:autoSpaceDN w:val="0"/>
              <w:spacing w:before="70" w:after="0"/>
              <w:jc w:val="center"/>
              <w:rPr>
                <w:rFonts w:eastAsia="Times New Roman"/>
                <w:noProof/>
                <w:sz w:val="17"/>
              </w:rPr>
            </w:pPr>
            <w:r w:rsidRPr="00E15354">
              <w:rPr>
                <w:noProof/>
                <w:color w:val="231F20"/>
                <w:sz w:val="17"/>
              </w:rPr>
              <w:t>-</w:t>
            </w:r>
          </w:p>
        </w:tc>
        <w:tc>
          <w:tcPr>
            <w:tcW w:w="1164" w:type="dxa"/>
          </w:tcPr>
          <w:p w14:paraId="3D4E1CCC" w14:textId="77777777" w:rsidR="00F9656B" w:rsidRPr="00E15354" w:rsidRDefault="00F9656B" w:rsidP="00F9656B">
            <w:pPr>
              <w:widowControl w:val="0"/>
              <w:autoSpaceDE w:val="0"/>
              <w:autoSpaceDN w:val="0"/>
              <w:spacing w:before="70" w:after="0"/>
              <w:ind w:right="2"/>
              <w:jc w:val="center"/>
              <w:rPr>
                <w:rFonts w:eastAsia="Times New Roman"/>
                <w:noProof/>
                <w:sz w:val="17"/>
              </w:rPr>
            </w:pPr>
            <w:r w:rsidRPr="00E15354">
              <w:rPr>
                <w:noProof/>
                <w:color w:val="231F20"/>
                <w:sz w:val="17"/>
              </w:rPr>
              <w:t>-</w:t>
            </w:r>
          </w:p>
        </w:tc>
        <w:tc>
          <w:tcPr>
            <w:tcW w:w="1066" w:type="dxa"/>
            <w:vMerge/>
            <w:tcBorders>
              <w:top w:val="nil"/>
            </w:tcBorders>
            <w:textDirection w:val="btLr"/>
          </w:tcPr>
          <w:p w14:paraId="78B382BE" w14:textId="77777777" w:rsidR="00F9656B" w:rsidRPr="00E15354" w:rsidRDefault="00F9656B" w:rsidP="00F9656B">
            <w:pPr>
              <w:rPr>
                <w:noProof/>
                <w:sz w:val="2"/>
                <w:szCs w:val="2"/>
              </w:rPr>
            </w:pPr>
          </w:p>
        </w:tc>
        <w:tc>
          <w:tcPr>
            <w:tcW w:w="1062" w:type="dxa"/>
            <w:tcBorders>
              <w:right w:val="nil"/>
            </w:tcBorders>
          </w:tcPr>
          <w:p w14:paraId="19ABA704" w14:textId="77777777" w:rsidR="00F9656B" w:rsidRPr="00E15354" w:rsidRDefault="00F9656B" w:rsidP="00F9656B">
            <w:pPr>
              <w:widowControl w:val="0"/>
              <w:autoSpaceDE w:val="0"/>
              <w:autoSpaceDN w:val="0"/>
              <w:spacing w:before="70" w:after="0"/>
              <w:ind w:right="2"/>
              <w:jc w:val="center"/>
              <w:rPr>
                <w:rFonts w:eastAsia="Times New Roman"/>
                <w:noProof/>
                <w:sz w:val="17"/>
              </w:rPr>
            </w:pPr>
            <w:r w:rsidRPr="00E15354">
              <w:rPr>
                <w:noProof/>
                <w:color w:val="231F20"/>
                <w:sz w:val="17"/>
              </w:rPr>
              <w:t>-</w:t>
            </w:r>
          </w:p>
        </w:tc>
      </w:tr>
      <w:tr w:rsidR="00F9656B" w:rsidRPr="00E15354" w14:paraId="49EE2FA0" w14:textId="77777777" w:rsidTr="009B4189">
        <w:trPr>
          <w:trHeight w:val="360"/>
        </w:trPr>
        <w:tc>
          <w:tcPr>
            <w:tcW w:w="431" w:type="dxa"/>
            <w:vMerge/>
            <w:tcBorders>
              <w:top w:val="nil"/>
              <w:left w:val="nil"/>
            </w:tcBorders>
          </w:tcPr>
          <w:p w14:paraId="6466AB3C" w14:textId="77777777" w:rsidR="00F9656B" w:rsidRPr="00E15354" w:rsidRDefault="00F9656B" w:rsidP="00F9656B">
            <w:pPr>
              <w:rPr>
                <w:noProof/>
                <w:sz w:val="2"/>
                <w:szCs w:val="2"/>
              </w:rPr>
            </w:pPr>
          </w:p>
        </w:tc>
        <w:tc>
          <w:tcPr>
            <w:tcW w:w="1066" w:type="dxa"/>
            <w:vMerge/>
            <w:tcBorders>
              <w:top w:val="nil"/>
            </w:tcBorders>
            <w:textDirection w:val="btLr"/>
          </w:tcPr>
          <w:p w14:paraId="51C3FAAE" w14:textId="77777777" w:rsidR="00F9656B" w:rsidRPr="00E15354" w:rsidRDefault="00F9656B" w:rsidP="00F9656B">
            <w:pPr>
              <w:rPr>
                <w:noProof/>
                <w:sz w:val="2"/>
                <w:szCs w:val="2"/>
              </w:rPr>
            </w:pPr>
          </w:p>
        </w:tc>
        <w:tc>
          <w:tcPr>
            <w:tcW w:w="1067" w:type="dxa"/>
            <w:vMerge/>
            <w:tcBorders>
              <w:top w:val="nil"/>
            </w:tcBorders>
            <w:textDirection w:val="btLr"/>
          </w:tcPr>
          <w:p w14:paraId="6674D5E7" w14:textId="77777777" w:rsidR="00F9656B" w:rsidRPr="00E15354" w:rsidRDefault="00F9656B" w:rsidP="00F9656B">
            <w:pPr>
              <w:rPr>
                <w:noProof/>
                <w:sz w:val="2"/>
                <w:szCs w:val="2"/>
              </w:rPr>
            </w:pPr>
          </w:p>
        </w:tc>
        <w:tc>
          <w:tcPr>
            <w:tcW w:w="1066" w:type="dxa"/>
          </w:tcPr>
          <w:p w14:paraId="2B3EDFF4" w14:textId="77777777" w:rsidR="00F9656B" w:rsidRPr="00E15354" w:rsidRDefault="00F9656B" w:rsidP="00F9656B">
            <w:pPr>
              <w:widowControl w:val="0"/>
              <w:autoSpaceDE w:val="0"/>
              <w:autoSpaceDN w:val="0"/>
              <w:spacing w:before="70" w:after="0"/>
              <w:ind w:left="83"/>
              <w:jc w:val="left"/>
              <w:rPr>
                <w:rFonts w:eastAsia="Times New Roman"/>
                <w:noProof/>
                <w:sz w:val="17"/>
              </w:rPr>
            </w:pPr>
            <w:r w:rsidRPr="00E15354">
              <w:rPr>
                <w:noProof/>
                <w:color w:val="231F20"/>
                <w:sz w:val="17"/>
              </w:rPr>
              <w:t>L</w:t>
            </w:r>
          </w:p>
        </w:tc>
        <w:tc>
          <w:tcPr>
            <w:tcW w:w="1396" w:type="dxa"/>
          </w:tcPr>
          <w:p w14:paraId="26224FBC" w14:textId="77777777" w:rsidR="00F9656B" w:rsidRPr="00E15354" w:rsidRDefault="00F9656B" w:rsidP="00F9656B">
            <w:pPr>
              <w:widowControl w:val="0"/>
              <w:autoSpaceDE w:val="0"/>
              <w:autoSpaceDN w:val="0"/>
              <w:spacing w:before="70" w:after="0"/>
              <w:ind w:left="84"/>
              <w:jc w:val="left"/>
              <w:rPr>
                <w:rFonts w:eastAsia="Times New Roman"/>
                <w:noProof/>
                <w:sz w:val="17"/>
              </w:rPr>
            </w:pPr>
            <w:r w:rsidRPr="00E15354">
              <w:rPr>
                <w:noProof/>
                <w:color w:val="231F20"/>
                <w:sz w:val="17"/>
              </w:rPr>
              <w:t>Baixo</w:t>
            </w:r>
          </w:p>
        </w:tc>
        <w:tc>
          <w:tcPr>
            <w:tcW w:w="1164" w:type="dxa"/>
            <w:vMerge w:val="restart"/>
          </w:tcPr>
          <w:p w14:paraId="0D59ACB4" w14:textId="77777777" w:rsidR="00F9656B" w:rsidRPr="00E15354" w:rsidRDefault="00F9656B" w:rsidP="00F9656B">
            <w:pPr>
              <w:widowControl w:val="0"/>
              <w:autoSpaceDE w:val="0"/>
              <w:autoSpaceDN w:val="0"/>
              <w:spacing w:before="70" w:after="0"/>
              <w:ind w:right="3"/>
              <w:jc w:val="center"/>
              <w:rPr>
                <w:rFonts w:eastAsia="Times New Roman"/>
                <w:noProof/>
                <w:sz w:val="17"/>
              </w:rPr>
            </w:pPr>
            <w:r w:rsidRPr="00E15354">
              <w:rPr>
                <w:noProof/>
                <w:color w:val="231F20"/>
                <w:sz w:val="17"/>
              </w:rPr>
              <w:t>2</w:t>
            </w:r>
          </w:p>
        </w:tc>
        <w:tc>
          <w:tcPr>
            <w:tcW w:w="1066" w:type="dxa"/>
            <w:vMerge/>
            <w:tcBorders>
              <w:top w:val="nil"/>
            </w:tcBorders>
            <w:textDirection w:val="btLr"/>
          </w:tcPr>
          <w:p w14:paraId="44431ADB" w14:textId="77777777" w:rsidR="00F9656B" w:rsidRPr="00E15354" w:rsidRDefault="00F9656B" w:rsidP="00F9656B">
            <w:pPr>
              <w:rPr>
                <w:noProof/>
                <w:sz w:val="2"/>
                <w:szCs w:val="2"/>
              </w:rPr>
            </w:pPr>
          </w:p>
        </w:tc>
        <w:tc>
          <w:tcPr>
            <w:tcW w:w="1062" w:type="dxa"/>
            <w:tcBorders>
              <w:right w:val="nil"/>
            </w:tcBorders>
          </w:tcPr>
          <w:p w14:paraId="5D6A1681" w14:textId="77777777" w:rsidR="00F9656B" w:rsidRPr="00E15354" w:rsidRDefault="00F9656B" w:rsidP="00F9656B">
            <w:pPr>
              <w:widowControl w:val="0"/>
              <w:autoSpaceDE w:val="0"/>
              <w:autoSpaceDN w:val="0"/>
              <w:spacing w:before="70" w:after="0"/>
              <w:ind w:right="2"/>
              <w:jc w:val="center"/>
              <w:rPr>
                <w:rFonts w:eastAsia="Times New Roman"/>
                <w:noProof/>
                <w:sz w:val="17"/>
              </w:rPr>
            </w:pPr>
            <w:r w:rsidRPr="00E15354">
              <w:rPr>
                <w:noProof/>
                <w:color w:val="231F20"/>
                <w:sz w:val="17"/>
              </w:rPr>
              <w:t>-</w:t>
            </w:r>
          </w:p>
        </w:tc>
      </w:tr>
      <w:tr w:rsidR="00F9656B" w:rsidRPr="00E15354" w14:paraId="2F2D2F1C" w14:textId="77777777" w:rsidTr="009B4189">
        <w:trPr>
          <w:trHeight w:val="361"/>
        </w:trPr>
        <w:tc>
          <w:tcPr>
            <w:tcW w:w="431" w:type="dxa"/>
            <w:vMerge/>
            <w:tcBorders>
              <w:top w:val="nil"/>
              <w:left w:val="nil"/>
            </w:tcBorders>
          </w:tcPr>
          <w:p w14:paraId="51A5E205" w14:textId="77777777" w:rsidR="00F9656B" w:rsidRPr="00E15354" w:rsidRDefault="00F9656B" w:rsidP="00F9656B">
            <w:pPr>
              <w:rPr>
                <w:noProof/>
                <w:sz w:val="2"/>
                <w:szCs w:val="2"/>
              </w:rPr>
            </w:pPr>
          </w:p>
        </w:tc>
        <w:tc>
          <w:tcPr>
            <w:tcW w:w="1066" w:type="dxa"/>
            <w:vMerge/>
            <w:tcBorders>
              <w:top w:val="nil"/>
            </w:tcBorders>
            <w:textDirection w:val="btLr"/>
          </w:tcPr>
          <w:p w14:paraId="63DCABF0" w14:textId="77777777" w:rsidR="00F9656B" w:rsidRPr="00E15354" w:rsidRDefault="00F9656B" w:rsidP="00F9656B">
            <w:pPr>
              <w:rPr>
                <w:noProof/>
                <w:sz w:val="2"/>
                <w:szCs w:val="2"/>
              </w:rPr>
            </w:pPr>
          </w:p>
        </w:tc>
        <w:tc>
          <w:tcPr>
            <w:tcW w:w="1067" w:type="dxa"/>
            <w:vMerge/>
            <w:tcBorders>
              <w:top w:val="nil"/>
            </w:tcBorders>
            <w:textDirection w:val="btLr"/>
          </w:tcPr>
          <w:p w14:paraId="23BCF307" w14:textId="77777777" w:rsidR="00F9656B" w:rsidRPr="00E15354" w:rsidRDefault="00F9656B" w:rsidP="00F9656B">
            <w:pPr>
              <w:rPr>
                <w:noProof/>
                <w:sz w:val="2"/>
                <w:szCs w:val="2"/>
              </w:rPr>
            </w:pPr>
          </w:p>
        </w:tc>
        <w:tc>
          <w:tcPr>
            <w:tcW w:w="1066" w:type="dxa"/>
          </w:tcPr>
          <w:p w14:paraId="22C4090B" w14:textId="77777777" w:rsidR="00F9656B" w:rsidRPr="00E15354" w:rsidRDefault="00F9656B" w:rsidP="00F9656B">
            <w:pPr>
              <w:widowControl w:val="0"/>
              <w:autoSpaceDE w:val="0"/>
              <w:autoSpaceDN w:val="0"/>
              <w:spacing w:before="70" w:after="0"/>
              <w:ind w:left="83"/>
              <w:jc w:val="left"/>
              <w:rPr>
                <w:rFonts w:eastAsia="Times New Roman"/>
                <w:noProof/>
                <w:sz w:val="17"/>
              </w:rPr>
            </w:pPr>
            <w:r w:rsidRPr="00E15354">
              <w:rPr>
                <w:noProof/>
                <w:color w:val="231F20"/>
                <w:sz w:val="17"/>
              </w:rPr>
              <w:t>VL</w:t>
            </w:r>
          </w:p>
        </w:tc>
        <w:tc>
          <w:tcPr>
            <w:tcW w:w="1396" w:type="dxa"/>
          </w:tcPr>
          <w:p w14:paraId="559BB8FF" w14:textId="77777777" w:rsidR="00F9656B" w:rsidRPr="00E15354" w:rsidRDefault="00F9656B" w:rsidP="00F9656B">
            <w:pPr>
              <w:widowControl w:val="0"/>
              <w:autoSpaceDE w:val="0"/>
              <w:autoSpaceDN w:val="0"/>
              <w:spacing w:before="70" w:after="0"/>
              <w:ind w:left="84"/>
              <w:jc w:val="left"/>
              <w:rPr>
                <w:rFonts w:eastAsia="Times New Roman"/>
                <w:noProof/>
                <w:sz w:val="17"/>
              </w:rPr>
            </w:pPr>
            <w:r w:rsidRPr="00E15354">
              <w:rPr>
                <w:noProof/>
                <w:color w:val="231F20"/>
                <w:sz w:val="17"/>
              </w:rPr>
              <w:t>Muito baixo</w:t>
            </w:r>
          </w:p>
        </w:tc>
        <w:tc>
          <w:tcPr>
            <w:tcW w:w="1164" w:type="dxa"/>
            <w:vMerge/>
            <w:tcBorders>
              <w:top w:val="nil"/>
            </w:tcBorders>
          </w:tcPr>
          <w:p w14:paraId="5214EBD9" w14:textId="77777777" w:rsidR="00F9656B" w:rsidRPr="00E15354" w:rsidRDefault="00F9656B" w:rsidP="00F9656B">
            <w:pPr>
              <w:rPr>
                <w:noProof/>
                <w:sz w:val="2"/>
                <w:szCs w:val="2"/>
              </w:rPr>
            </w:pPr>
          </w:p>
        </w:tc>
        <w:tc>
          <w:tcPr>
            <w:tcW w:w="1066" w:type="dxa"/>
            <w:vMerge/>
            <w:tcBorders>
              <w:top w:val="nil"/>
            </w:tcBorders>
            <w:textDirection w:val="btLr"/>
          </w:tcPr>
          <w:p w14:paraId="07A8BC2D" w14:textId="77777777" w:rsidR="00F9656B" w:rsidRPr="00E15354" w:rsidRDefault="00F9656B" w:rsidP="00F9656B">
            <w:pPr>
              <w:rPr>
                <w:noProof/>
                <w:sz w:val="2"/>
                <w:szCs w:val="2"/>
              </w:rPr>
            </w:pPr>
          </w:p>
        </w:tc>
        <w:tc>
          <w:tcPr>
            <w:tcW w:w="1062" w:type="dxa"/>
            <w:tcBorders>
              <w:right w:val="nil"/>
            </w:tcBorders>
          </w:tcPr>
          <w:p w14:paraId="6F47C3BD" w14:textId="77777777" w:rsidR="00F9656B" w:rsidRPr="00E15354" w:rsidRDefault="00F9656B" w:rsidP="00F9656B">
            <w:pPr>
              <w:widowControl w:val="0"/>
              <w:autoSpaceDE w:val="0"/>
              <w:autoSpaceDN w:val="0"/>
              <w:spacing w:before="70" w:after="0"/>
              <w:ind w:right="2"/>
              <w:jc w:val="center"/>
              <w:rPr>
                <w:rFonts w:eastAsia="Times New Roman"/>
                <w:noProof/>
                <w:sz w:val="17"/>
              </w:rPr>
            </w:pPr>
            <w:r w:rsidRPr="00E15354">
              <w:rPr>
                <w:noProof/>
                <w:color w:val="231F20"/>
                <w:sz w:val="17"/>
              </w:rPr>
              <w:t>-</w:t>
            </w:r>
          </w:p>
        </w:tc>
      </w:tr>
      <w:tr w:rsidR="00F9656B" w:rsidRPr="00E15354" w14:paraId="18BA054C" w14:textId="77777777" w:rsidTr="009B4189">
        <w:trPr>
          <w:trHeight w:val="360"/>
        </w:trPr>
        <w:tc>
          <w:tcPr>
            <w:tcW w:w="3630" w:type="dxa"/>
            <w:gridSpan w:val="4"/>
            <w:tcBorders>
              <w:left w:val="nil"/>
            </w:tcBorders>
          </w:tcPr>
          <w:p w14:paraId="73750BFA" w14:textId="77777777" w:rsidR="00F9656B" w:rsidRPr="00E15354" w:rsidRDefault="00F9656B" w:rsidP="00F9656B">
            <w:pPr>
              <w:widowControl w:val="0"/>
              <w:autoSpaceDE w:val="0"/>
              <w:autoSpaceDN w:val="0"/>
              <w:spacing w:before="69" w:after="0"/>
              <w:ind w:left="-1"/>
              <w:jc w:val="left"/>
              <w:rPr>
                <w:rFonts w:eastAsia="Times New Roman"/>
                <w:noProof/>
                <w:sz w:val="17"/>
              </w:rPr>
            </w:pPr>
            <w:r w:rsidRPr="00E15354">
              <w:rPr>
                <w:noProof/>
                <w:color w:val="231F20"/>
                <w:sz w:val="17"/>
              </w:rPr>
              <w:t>Parâmetros históricos</w:t>
            </w:r>
          </w:p>
        </w:tc>
        <w:tc>
          <w:tcPr>
            <w:tcW w:w="2560" w:type="dxa"/>
            <w:gridSpan w:val="2"/>
          </w:tcPr>
          <w:p w14:paraId="6C59689C" w14:textId="77777777" w:rsidR="00F9656B" w:rsidRPr="00E15354" w:rsidRDefault="00F9656B" w:rsidP="00F9656B">
            <w:pPr>
              <w:widowControl w:val="0"/>
              <w:autoSpaceDE w:val="0"/>
              <w:autoSpaceDN w:val="0"/>
              <w:spacing w:before="0" w:after="0"/>
              <w:jc w:val="left"/>
              <w:rPr>
                <w:rFonts w:eastAsia="Times New Roman"/>
                <w:noProof/>
                <w:sz w:val="16"/>
              </w:rPr>
            </w:pPr>
          </w:p>
        </w:tc>
        <w:tc>
          <w:tcPr>
            <w:tcW w:w="1066" w:type="dxa"/>
            <w:vMerge/>
            <w:tcBorders>
              <w:top w:val="nil"/>
            </w:tcBorders>
            <w:textDirection w:val="btLr"/>
          </w:tcPr>
          <w:p w14:paraId="3D0F0D00" w14:textId="77777777" w:rsidR="00F9656B" w:rsidRPr="00E15354" w:rsidRDefault="00F9656B" w:rsidP="00F9656B">
            <w:pPr>
              <w:rPr>
                <w:noProof/>
                <w:sz w:val="2"/>
                <w:szCs w:val="2"/>
              </w:rPr>
            </w:pPr>
          </w:p>
        </w:tc>
        <w:tc>
          <w:tcPr>
            <w:tcW w:w="1062" w:type="dxa"/>
            <w:tcBorders>
              <w:right w:val="nil"/>
            </w:tcBorders>
          </w:tcPr>
          <w:p w14:paraId="05729B3C" w14:textId="77777777" w:rsidR="00F9656B" w:rsidRPr="00E15354" w:rsidRDefault="00F9656B" w:rsidP="00F9656B">
            <w:pPr>
              <w:widowControl w:val="0"/>
              <w:autoSpaceDE w:val="0"/>
              <w:autoSpaceDN w:val="0"/>
              <w:spacing w:before="0" w:after="0"/>
              <w:jc w:val="left"/>
              <w:rPr>
                <w:rFonts w:eastAsia="Times New Roman"/>
                <w:noProof/>
                <w:sz w:val="16"/>
              </w:rPr>
            </w:pPr>
          </w:p>
        </w:tc>
      </w:tr>
      <w:tr w:rsidR="00F9656B" w:rsidRPr="00E15354" w14:paraId="3D4524EB" w14:textId="77777777" w:rsidTr="009B4189">
        <w:trPr>
          <w:trHeight w:val="1320"/>
        </w:trPr>
        <w:tc>
          <w:tcPr>
            <w:tcW w:w="431" w:type="dxa"/>
            <w:tcBorders>
              <w:left w:val="nil"/>
            </w:tcBorders>
          </w:tcPr>
          <w:p w14:paraId="3369E670" w14:textId="77777777" w:rsidR="00F9656B" w:rsidRPr="00E15354" w:rsidRDefault="00F9656B" w:rsidP="00F9656B">
            <w:pPr>
              <w:widowControl w:val="0"/>
              <w:autoSpaceDE w:val="0"/>
              <w:autoSpaceDN w:val="0"/>
              <w:spacing w:before="70" w:after="0"/>
              <w:jc w:val="left"/>
              <w:rPr>
                <w:rFonts w:eastAsia="Times New Roman"/>
                <w:noProof/>
                <w:sz w:val="17"/>
              </w:rPr>
            </w:pPr>
            <w:r w:rsidRPr="00E15354">
              <w:rPr>
                <w:noProof/>
                <w:color w:val="231F20"/>
                <w:sz w:val="17"/>
              </w:rPr>
              <w:t>6</w:t>
            </w:r>
          </w:p>
        </w:tc>
        <w:tc>
          <w:tcPr>
            <w:tcW w:w="2133" w:type="dxa"/>
            <w:gridSpan w:val="2"/>
          </w:tcPr>
          <w:p w14:paraId="00BA2883" w14:textId="4615CFD6" w:rsidR="00F9656B" w:rsidRPr="00E15354" w:rsidRDefault="00F9656B" w:rsidP="0019616A">
            <w:pPr>
              <w:widowControl w:val="0"/>
              <w:autoSpaceDE w:val="0"/>
              <w:autoSpaceDN w:val="0"/>
              <w:spacing w:before="73" w:after="0" w:line="235" w:lineRule="auto"/>
              <w:ind w:left="84" w:right="80"/>
              <w:rPr>
                <w:rFonts w:eastAsia="Times New Roman"/>
                <w:noProof/>
                <w:sz w:val="17"/>
              </w:rPr>
            </w:pPr>
            <w:r w:rsidRPr="00E15354">
              <w:rPr>
                <w:noProof/>
                <w:color w:val="231F20"/>
                <w:sz w:val="17"/>
              </w:rPr>
              <w:t>Número de anomalias registado em cada inspecção nos últimos 36 meses</w:t>
            </w:r>
          </w:p>
        </w:tc>
        <w:tc>
          <w:tcPr>
            <w:tcW w:w="1066" w:type="dxa"/>
            <w:textDirection w:val="btLr"/>
          </w:tcPr>
          <w:p w14:paraId="00B0EA8F" w14:textId="77777777" w:rsidR="00F9656B" w:rsidRPr="00E15354" w:rsidRDefault="00F9656B" w:rsidP="00F9656B">
            <w:pPr>
              <w:widowControl w:val="0"/>
              <w:autoSpaceDE w:val="0"/>
              <w:autoSpaceDN w:val="0"/>
              <w:spacing w:before="90" w:after="0"/>
              <w:ind w:left="276"/>
              <w:jc w:val="left"/>
              <w:rPr>
                <w:rFonts w:eastAsia="Times New Roman"/>
                <w:noProof/>
                <w:sz w:val="17"/>
              </w:rPr>
            </w:pPr>
            <w:r w:rsidRPr="00E15354">
              <w:rPr>
                <w:noProof/>
                <w:color w:val="231F20"/>
                <w:sz w:val="17"/>
              </w:rPr>
              <w:t>Anomalias</w:t>
            </w:r>
          </w:p>
        </w:tc>
        <w:tc>
          <w:tcPr>
            <w:tcW w:w="1396" w:type="dxa"/>
          </w:tcPr>
          <w:p w14:paraId="42192C0A" w14:textId="77777777" w:rsidR="00F9656B" w:rsidRPr="00E15354" w:rsidRDefault="00F9656B" w:rsidP="00F9656B">
            <w:pPr>
              <w:widowControl w:val="0"/>
              <w:autoSpaceDE w:val="0"/>
              <w:autoSpaceDN w:val="0"/>
              <w:spacing w:before="70" w:after="0"/>
              <w:ind w:left="84"/>
              <w:jc w:val="left"/>
              <w:rPr>
                <w:rFonts w:eastAsia="Times New Roman"/>
                <w:noProof/>
                <w:color w:val="231F20"/>
                <w:sz w:val="17"/>
              </w:rPr>
            </w:pPr>
            <w:r w:rsidRPr="00E15354">
              <w:rPr>
                <w:noProof/>
                <w:color w:val="231F20"/>
                <w:sz w:val="17"/>
              </w:rPr>
              <w:t>&gt; 6 numa das inspeções</w:t>
            </w:r>
          </w:p>
        </w:tc>
        <w:tc>
          <w:tcPr>
            <w:tcW w:w="1164" w:type="dxa"/>
          </w:tcPr>
          <w:p w14:paraId="5ABB5E93" w14:textId="77777777" w:rsidR="00F9656B" w:rsidRPr="00E15354" w:rsidRDefault="00F9656B" w:rsidP="00F9656B">
            <w:pPr>
              <w:widowControl w:val="0"/>
              <w:autoSpaceDE w:val="0"/>
              <w:autoSpaceDN w:val="0"/>
              <w:spacing w:before="70" w:after="0"/>
              <w:ind w:right="2"/>
              <w:jc w:val="center"/>
              <w:rPr>
                <w:rFonts w:eastAsia="Times New Roman"/>
                <w:noProof/>
                <w:sz w:val="17"/>
              </w:rPr>
            </w:pPr>
            <w:r w:rsidRPr="00E15354">
              <w:rPr>
                <w:noProof/>
                <w:color w:val="231F20"/>
                <w:sz w:val="17"/>
              </w:rPr>
              <w:t>-</w:t>
            </w:r>
          </w:p>
        </w:tc>
        <w:tc>
          <w:tcPr>
            <w:tcW w:w="1066" w:type="dxa"/>
            <w:vMerge/>
            <w:tcBorders>
              <w:top w:val="nil"/>
            </w:tcBorders>
            <w:textDirection w:val="btLr"/>
          </w:tcPr>
          <w:p w14:paraId="612814F4" w14:textId="77777777" w:rsidR="00F9656B" w:rsidRPr="00E15354" w:rsidRDefault="00F9656B" w:rsidP="00F9656B">
            <w:pPr>
              <w:rPr>
                <w:noProof/>
                <w:sz w:val="2"/>
                <w:szCs w:val="2"/>
              </w:rPr>
            </w:pPr>
          </w:p>
        </w:tc>
        <w:tc>
          <w:tcPr>
            <w:tcW w:w="1062" w:type="dxa"/>
            <w:tcBorders>
              <w:right w:val="nil"/>
            </w:tcBorders>
          </w:tcPr>
          <w:p w14:paraId="59B8AF87" w14:textId="77777777" w:rsidR="00F9656B" w:rsidRPr="00E15354" w:rsidRDefault="00F9656B" w:rsidP="00F9656B">
            <w:pPr>
              <w:widowControl w:val="0"/>
              <w:autoSpaceDE w:val="0"/>
              <w:autoSpaceDN w:val="0"/>
              <w:spacing w:before="73" w:after="0" w:line="235" w:lineRule="auto"/>
              <w:ind w:left="51" w:right="53" w:firstLine="1"/>
              <w:jc w:val="center"/>
              <w:rPr>
                <w:rFonts w:eastAsia="Times New Roman"/>
                <w:noProof/>
                <w:sz w:val="17"/>
              </w:rPr>
            </w:pPr>
            <w:r w:rsidRPr="00E15354">
              <w:rPr>
                <w:noProof/>
                <w:color w:val="231F20"/>
                <w:sz w:val="17"/>
              </w:rPr>
              <w:t>≤ 5 em cada inspeção individual (e pelo menos uma inspeção realizada nos últimos</w:t>
            </w:r>
          </w:p>
          <w:p w14:paraId="1D32B48C" w14:textId="77777777" w:rsidR="00F9656B" w:rsidRPr="00E15354" w:rsidRDefault="00F9656B" w:rsidP="00F9656B">
            <w:pPr>
              <w:widowControl w:val="0"/>
              <w:autoSpaceDE w:val="0"/>
              <w:autoSpaceDN w:val="0"/>
              <w:spacing w:before="0" w:after="0" w:line="194" w:lineRule="exact"/>
              <w:ind w:left="62" w:right="66"/>
              <w:jc w:val="center"/>
              <w:rPr>
                <w:rFonts w:eastAsia="Times New Roman"/>
                <w:noProof/>
                <w:sz w:val="17"/>
              </w:rPr>
            </w:pPr>
            <w:r w:rsidRPr="00E15354">
              <w:rPr>
                <w:noProof/>
                <w:color w:val="231F20"/>
                <w:sz w:val="17"/>
              </w:rPr>
              <w:t>36 meses)</w:t>
            </w:r>
          </w:p>
        </w:tc>
      </w:tr>
      <w:tr w:rsidR="00F9656B" w:rsidRPr="00E15354" w14:paraId="21D87A60" w14:textId="77777777" w:rsidTr="009B4189">
        <w:trPr>
          <w:trHeight w:val="1235"/>
        </w:trPr>
        <w:tc>
          <w:tcPr>
            <w:tcW w:w="431" w:type="dxa"/>
            <w:tcBorders>
              <w:left w:val="nil"/>
            </w:tcBorders>
          </w:tcPr>
          <w:p w14:paraId="20A61ED8" w14:textId="77777777" w:rsidR="00F9656B" w:rsidRPr="00E15354" w:rsidRDefault="00F9656B" w:rsidP="00F9656B">
            <w:pPr>
              <w:widowControl w:val="0"/>
              <w:autoSpaceDE w:val="0"/>
              <w:autoSpaceDN w:val="0"/>
              <w:spacing w:before="70" w:after="0"/>
              <w:ind w:left="-1"/>
              <w:jc w:val="left"/>
              <w:rPr>
                <w:rFonts w:eastAsia="Times New Roman"/>
                <w:noProof/>
                <w:sz w:val="17"/>
              </w:rPr>
            </w:pPr>
            <w:r w:rsidRPr="00E15354">
              <w:rPr>
                <w:noProof/>
                <w:color w:val="231F20"/>
                <w:sz w:val="17"/>
              </w:rPr>
              <w:t>7</w:t>
            </w:r>
          </w:p>
        </w:tc>
        <w:tc>
          <w:tcPr>
            <w:tcW w:w="2133" w:type="dxa"/>
            <w:gridSpan w:val="2"/>
          </w:tcPr>
          <w:p w14:paraId="1FFA0549" w14:textId="77777777" w:rsidR="00F9656B" w:rsidRPr="00E15354" w:rsidRDefault="00F9656B" w:rsidP="00F9656B">
            <w:pPr>
              <w:widowControl w:val="0"/>
              <w:tabs>
                <w:tab w:val="left" w:pos="919"/>
                <w:tab w:val="left" w:pos="1342"/>
              </w:tabs>
              <w:autoSpaceDE w:val="0"/>
              <w:autoSpaceDN w:val="0"/>
              <w:spacing w:before="73" w:after="0" w:line="235" w:lineRule="auto"/>
              <w:ind w:left="84" w:right="84"/>
              <w:jc w:val="left"/>
              <w:rPr>
                <w:rFonts w:eastAsia="Times New Roman"/>
                <w:noProof/>
                <w:sz w:val="17"/>
              </w:rPr>
            </w:pPr>
            <w:r w:rsidRPr="00E15354">
              <w:rPr>
                <w:noProof/>
                <w:color w:val="231F20"/>
                <w:sz w:val="17"/>
              </w:rPr>
              <w:t>Número</w:t>
            </w:r>
            <w:r w:rsidRPr="00E15354">
              <w:rPr>
                <w:noProof/>
              </w:rPr>
              <w:tab/>
            </w:r>
            <w:r w:rsidRPr="00E15354">
              <w:rPr>
                <w:noProof/>
                <w:color w:val="231F20"/>
                <w:sz w:val="17"/>
              </w:rPr>
              <w:t>de</w:t>
            </w:r>
            <w:r w:rsidRPr="00E15354">
              <w:rPr>
                <w:noProof/>
              </w:rPr>
              <w:tab/>
            </w:r>
            <w:r w:rsidRPr="00E15354">
              <w:rPr>
                <w:noProof/>
                <w:color w:val="231F20"/>
                <w:sz w:val="17"/>
              </w:rPr>
              <w:t>detenções nos últimos 36 meses</w:t>
            </w:r>
          </w:p>
        </w:tc>
        <w:tc>
          <w:tcPr>
            <w:tcW w:w="1066" w:type="dxa"/>
            <w:textDirection w:val="btLr"/>
          </w:tcPr>
          <w:p w14:paraId="55A97991" w14:textId="77777777" w:rsidR="00F9656B" w:rsidRPr="00E15354" w:rsidRDefault="00F9656B" w:rsidP="00F9656B">
            <w:pPr>
              <w:widowControl w:val="0"/>
              <w:autoSpaceDE w:val="0"/>
              <w:autoSpaceDN w:val="0"/>
              <w:spacing w:before="90" w:after="0"/>
              <w:ind w:left="145"/>
              <w:jc w:val="left"/>
              <w:rPr>
                <w:rFonts w:eastAsia="Times New Roman"/>
                <w:noProof/>
                <w:sz w:val="17"/>
              </w:rPr>
            </w:pPr>
            <w:r w:rsidRPr="00E15354">
              <w:rPr>
                <w:noProof/>
                <w:color w:val="231F20"/>
                <w:sz w:val="17"/>
              </w:rPr>
              <w:t>Detenções</w:t>
            </w:r>
          </w:p>
        </w:tc>
        <w:tc>
          <w:tcPr>
            <w:tcW w:w="1396" w:type="dxa"/>
          </w:tcPr>
          <w:p w14:paraId="61A9846B" w14:textId="77777777" w:rsidR="00F9656B" w:rsidRPr="00E15354" w:rsidRDefault="00F9656B" w:rsidP="00F9656B">
            <w:pPr>
              <w:widowControl w:val="0"/>
              <w:autoSpaceDE w:val="0"/>
              <w:autoSpaceDN w:val="0"/>
              <w:spacing w:before="70" w:after="0"/>
              <w:ind w:left="84"/>
              <w:jc w:val="left"/>
              <w:rPr>
                <w:rFonts w:eastAsia="Times New Roman"/>
                <w:noProof/>
                <w:sz w:val="17"/>
              </w:rPr>
            </w:pPr>
            <w:r w:rsidRPr="00E15354">
              <w:rPr>
                <w:noProof/>
                <w:color w:val="231F20"/>
                <w:sz w:val="17"/>
              </w:rPr>
              <w:t>≥ 2 detenções</w:t>
            </w:r>
          </w:p>
        </w:tc>
        <w:tc>
          <w:tcPr>
            <w:tcW w:w="1164" w:type="dxa"/>
          </w:tcPr>
          <w:p w14:paraId="3F49E76B" w14:textId="77777777" w:rsidR="00F9656B" w:rsidRPr="00E15354" w:rsidRDefault="00F9656B" w:rsidP="00F9656B">
            <w:pPr>
              <w:widowControl w:val="0"/>
              <w:autoSpaceDE w:val="0"/>
              <w:autoSpaceDN w:val="0"/>
              <w:spacing w:before="70" w:after="0"/>
              <w:ind w:right="3"/>
              <w:jc w:val="center"/>
              <w:rPr>
                <w:rFonts w:eastAsia="Times New Roman"/>
                <w:noProof/>
                <w:sz w:val="17"/>
              </w:rPr>
            </w:pPr>
            <w:r w:rsidRPr="00E15354">
              <w:rPr>
                <w:noProof/>
                <w:color w:val="231F20"/>
                <w:sz w:val="17"/>
              </w:rPr>
              <w:t>1</w:t>
            </w:r>
          </w:p>
        </w:tc>
        <w:tc>
          <w:tcPr>
            <w:tcW w:w="1066" w:type="dxa"/>
            <w:vMerge/>
            <w:tcBorders>
              <w:top w:val="nil"/>
              <w:bottom w:val="nil"/>
            </w:tcBorders>
            <w:textDirection w:val="btLr"/>
          </w:tcPr>
          <w:p w14:paraId="113FD8F4" w14:textId="77777777" w:rsidR="00F9656B" w:rsidRPr="00E15354" w:rsidRDefault="00F9656B" w:rsidP="00F9656B">
            <w:pPr>
              <w:rPr>
                <w:noProof/>
                <w:sz w:val="2"/>
                <w:szCs w:val="2"/>
              </w:rPr>
            </w:pPr>
          </w:p>
        </w:tc>
        <w:tc>
          <w:tcPr>
            <w:tcW w:w="1062" w:type="dxa"/>
            <w:tcBorders>
              <w:right w:val="nil"/>
            </w:tcBorders>
          </w:tcPr>
          <w:p w14:paraId="5972BD64" w14:textId="77777777" w:rsidR="00F9656B" w:rsidRPr="00E15354" w:rsidRDefault="00F9656B" w:rsidP="00F9656B">
            <w:pPr>
              <w:widowControl w:val="0"/>
              <w:autoSpaceDE w:val="0"/>
              <w:autoSpaceDN w:val="0"/>
              <w:spacing w:before="70" w:after="0"/>
              <w:ind w:left="62" w:right="66"/>
              <w:jc w:val="center"/>
              <w:rPr>
                <w:rFonts w:eastAsia="Times New Roman"/>
                <w:noProof/>
                <w:sz w:val="17"/>
              </w:rPr>
            </w:pPr>
            <w:r w:rsidRPr="00E15354">
              <w:rPr>
                <w:noProof/>
                <w:color w:val="231F20"/>
                <w:sz w:val="17"/>
              </w:rPr>
              <w:t>Nenhuma</w:t>
            </w:r>
          </w:p>
        </w:tc>
      </w:tr>
      <w:tr w:rsidR="00F9656B" w:rsidRPr="00E15354" w14:paraId="37E89630" w14:textId="77777777" w:rsidTr="009B4189">
        <w:trPr>
          <w:trHeight w:val="274"/>
        </w:trPr>
        <w:tc>
          <w:tcPr>
            <w:tcW w:w="6190" w:type="dxa"/>
            <w:gridSpan w:val="6"/>
            <w:tcBorders>
              <w:left w:val="nil"/>
            </w:tcBorders>
          </w:tcPr>
          <w:p w14:paraId="08DB6E93" w14:textId="77777777" w:rsidR="00F9656B" w:rsidRPr="00E15354" w:rsidRDefault="00F9656B" w:rsidP="00F9656B">
            <w:pPr>
              <w:widowControl w:val="0"/>
              <w:autoSpaceDE w:val="0"/>
              <w:autoSpaceDN w:val="0"/>
              <w:spacing w:before="70" w:after="0"/>
              <w:ind w:right="3"/>
              <w:jc w:val="left"/>
              <w:rPr>
                <w:rFonts w:eastAsia="Times New Roman"/>
                <w:noProof/>
                <w:color w:val="231F20"/>
                <w:w w:val="99"/>
                <w:sz w:val="17"/>
              </w:rPr>
            </w:pPr>
            <w:r w:rsidRPr="00E15354">
              <w:rPr>
                <w:noProof/>
                <w:color w:val="231F20"/>
                <w:sz w:val="17"/>
              </w:rPr>
              <w:t>Parâmetros ambientais</w:t>
            </w:r>
          </w:p>
        </w:tc>
        <w:tc>
          <w:tcPr>
            <w:tcW w:w="1066" w:type="dxa"/>
            <w:tcBorders>
              <w:top w:val="nil"/>
              <w:bottom w:val="nil"/>
            </w:tcBorders>
            <w:textDirection w:val="btLr"/>
          </w:tcPr>
          <w:p w14:paraId="652DABA2" w14:textId="77777777" w:rsidR="00F9656B" w:rsidRPr="00E15354" w:rsidRDefault="00F9656B" w:rsidP="00F9656B">
            <w:pPr>
              <w:rPr>
                <w:noProof/>
                <w:sz w:val="2"/>
                <w:szCs w:val="2"/>
              </w:rPr>
            </w:pPr>
          </w:p>
        </w:tc>
        <w:tc>
          <w:tcPr>
            <w:tcW w:w="1062" w:type="dxa"/>
            <w:tcBorders>
              <w:right w:val="nil"/>
            </w:tcBorders>
          </w:tcPr>
          <w:p w14:paraId="241E4277" w14:textId="77777777" w:rsidR="00F9656B" w:rsidRPr="00E15354" w:rsidRDefault="00F9656B" w:rsidP="00F9656B">
            <w:pPr>
              <w:widowControl w:val="0"/>
              <w:autoSpaceDE w:val="0"/>
              <w:autoSpaceDN w:val="0"/>
              <w:spacing w:before="70" w:after="0"/>
              <w:ind w:left="62" w:right="66"/>
              <w:jc w:val="center"/>
              <w:rPr>
                <w:rFonts w:eastAsia="Times New Roman"/>
                <w:noProof/>
                <w:color w:val="231F20"/>
                <w:sz w:val="17"/>
              </w:rPr>
            </w:pPr>
          </w:p>
        </w:tc>
      </w:tr>
      <w:tr w:rsidR="00F9656B" w:rsidRPr="00E15354" w14:paraId="297F4DB9" w14:textId="77777777" w:rsidTr="009B4189">
        <w:trPr>
          <w:trHeight w:val="1235"/>
        </w:trPr>
        <w:tc>
          <w:tcPr>
            <w:tcW w:w="431" w:type="dxa"/>
            <w:tcBorders>
              <w:left w:val="nil"/>
            </w:tcBorders>
          </w:tcPr>
          <w:p w14:paraId="70D689CC" w14:textId="77777777" w:rsidR="00F9656B" w:rsidRPr="00E15354" w:rsidRDefault="00F9656B" w:rsidP="00F9656B">
            <w:pPr>
              <w:widowControl w:val="0"/>
              <w:autoSpaceDE w:val="0"/>
              <w:autoSpaceDN w:val="0"/>
              <w:spacing w:before="70" w:after="0"/>
              <w:ind w:left="-1"/>
              <w:jc w:val="left"/>
              <w:rPr>
                <w:rFonts w:eastAsia="Times New Roman"/>
                <w:noProof/>
                <w:color w:val="231F20"/>
                <w:w w:val="99"/>
                <w:sz w:val="17"/>
              </w:rPr>
            </w:pPr>
            <w:r w:rsidRPr="00E15354">
              <w:rPr>
                <w:noProof/>
                <w:color w:val="231F20"/>
                <w:sz w:val="17"/>
              </w:rPr>
              <w:t>8</w:t>
            </w:r>
          </w:p>
        </w:tc>
        <w:tc>
          <w:tcPr>
            <w:tcW w:w="2133" w:type="dxa"/>
            <w:gridSpan w:val="2"/>
          </w:tcPr>
          <w:p w14:paraId="7171598F" w14:textId="77777777" w:rsidR="00F9656B" w:rsidRPr="00E15354" w:rsidRDefault="00F9656B" w:rsidP="00F9656B">
            <w:pPr>
              <w:widowControl w:val="0"/>
              <w:tabs>
                <w:tab w:val="left" w:pos="919"/>
                <w:tab w:val="left" w:pos="1342"/>
              </w:tabs>
              <w:autoSpaceDE w:val="0"/>
              <w:autoSpaceDN w:val="0"/>
              <w:spacing w:before="73" w:after="0" w:line="235" w:lineRule="auto"/>
              <w:ind w:left="84" w:right="84"/>
              <w:jc w:val="left"/>
              <w:rPr>
                <w:rFonts w:eastAsia="Times New Roman"/>
                <w:noProof/>
                <w:color w:val="231F20"/>
                <w:spacing w:val="-2"/>
                <w:sz w:val="17"/>
              </w:rPr>
            </w:pPr>
            <w:r w:rsidRPr="00E15354">
              <w:rPr>
                <w:noProof/>
                <w:color w:val="231F20"/>
                <w:sz w:val="17"/>
              </w:rPr>
              <w:t>Indicador de intensidade de carbono (IIC)</w:t>
            </w:r>
          </w:p>
        </w:tc>
        <w:tc>
          <w:tcPr>
            <w:tcW w:w="1066" w:type="dxa"/>
            <w:textDirection w:val="btLr"/>
          </w:tcPr>
          <w:p w14:paraId="2485A5EE" w14:textId="77777777" w:rsidR="00F9656B" w:rsidRPr="00E15354" w:rsidRDefault="00F9656B" w:rsidP="00F9656B">
            <w:pPr>
              <w:widowControl w:val="0"/>
              <w:autoSpaceDE w:val="0"/>
              <w:autoSpaceDN w:val="0"/>
              <w:spacing w:before="90" w:after="0"/>
              <w:ind w:left="145"/>
              <w:jc w:val="left"/>
              <w:rPr>
                <w:rFonts w:eastAsia="Times New Roman"/>
                <w:noProof/>
                <w:color w:val="231F20"/>
                <w:spacing w:val="-2"/>
                <w:sz w:val="17"/>
              </w:rPr>
            </w:pPr>
            <w:r w:rsidRPr="00E15354">
              <w:rPr>
                <w:noProof/>
                <w:color w:val="231F20"/>
                <w:sz w:val="17"/>
              </w:rPr>
              <w:t>Classificação</w:t>
            </w:r>
          </w:p>
          <w:p w14:paraId="363B735A" w14:textId="77777777" w:rsidR="00F9656B" w:rsidRPr="00E15354" w:rsidRDefault="00F9656B" w:rsidP="00F9656B">
            <w:pPr>
              <w:widowControl w:val="0"/>
              <w:autoSpaceDE w:val="0"/>
              <w:autoSpaceDN w:val="0"/>
              <w:spacing w:before="90" w:after="0"/>
              <w:ind w:left="145"/>
              <w:jc w:val="left"/>
              <w:rPr>
                <w:rFonts w:eastAsia="Times New Roman"/>
                <w:noProof/>
                <w:color w:val="231F20"/>
                <w:spacing w:val="-2"/>
                <w:sz w:val="17"/>
              </w:rPr>
            </w:pPr>
          </w:p>
        </w:tc>
        <w:tc>
          <w:tcPr>
            <w:tcW w:w="1396" w:type="dxa"/>
          </w:tcPr>
          <w:p w14:paraId="21C52002" w14:textId="77777777" w:rsidR="00F9656B" w:rsidRPr="00E15354" w:rsidRDefault="00F9656B" w:rsidP="00F9656B">
            <w:pPr>
              <w:widowControl w:val="0"/>
              <w:autoSpaceDE w:val="0"/>
              <w:autoSpaceDN w:val="0"/>
              <w:spacing w:before="70" w:after="0"/>
              <w:ind w:left="84"/>
              <w:jc w:val="left"/>
              <w:rPr>
                <w:rFonts w:eastAsia="Times New Roman"/>
                <w:noProof/>
                <w:color w:val="231F20"/>
                <w:sz w:val="17"/>
              </w:rPr>
            </w:pPr>
            <w:r w:rsidRPr="00E15354">
              <w:rPr>
                <w:noProof/>
                <w:color w:val="231F20"/>
                <w:sz w:val="17"/>
              </w:rPr>
              <w:t>D-E</w:t>
            </w:r>
          </w:p>
        </w:tc>
        <w:tc>
          <w:tcPr>
            <w:tcW w:w="1164" w:type="dxa"/>
          </w:tcPr>
          <w:p w14:paraId="2269BE2D" w14:textId="56A5FC33" w:rsidR="00F9656B" w:rsidRPr="00E15354" w:rsidRDefault="0019616A" w:rsidP="0019616A">
            <w:pPr>
              <w:widowControl w:val="0"/>
              <w:autoSpaceDE w:val="0"/>
              <w:autoSpaceDN w:val="0"/>
              <w:spacing w:before="70" w:after="0"/>
              <w:ind w:right="3"/>
              <w:jc w:val="center"/>
              <w:rPr>
                <w:rFonts w:eastAsia="Times New Roman"/>
                <w:noProof/>
                <w:color w:val="231F20"/>
                <w:w w:val="99"/>
                <w:sz w:val="17"/>
              </w:rPr>
            </w:pPr>
            <w:r w:rsidRPr="00E15354">
              <w:rPr>
                <w:noProof/>
                <w:color w:val="231F20"/>
                <w:sz w:val="17"/>
              </w:rPr>
              <w:t>1</w:t>
            </w:r>
          </w:p>
        </w:tc>
        <w:tc>
          <w:tcPr>
            <w:tcW w:w="1066" w:type="dxa"/>
            <w:tcBorders>
              <w:top w:val="nil"/>
              <w:bottom w:val="nil"/>
            </w:tcBorders>
            <w:textDirection w:val="btLr"/>
          </w:tcPr>
          <w:p w14:paraId="4DB188D5" w14:textId="77777777" w:rsidR="00F9656B" w:rsidRPr="00E15354" w:rsidRDefault="00F9656B" w:rsidP="00F9656B">
            <w:pPr>
              <w:rPr>
                <w:b/>
                <w:bCs/>
                <w:noProof/>
                <w:sz w:val="2"/>
                <w:szCs w:val="2"/>
              </w:rPr>
            </w:pPr>
          </w:p>
        </w:tc>
        <w:tc>
          <w:tcPr>
            <w:tcW w:w="1062" w:type="dxa"/>
            <w:tcBorders>
              <w:right w:val="nil"/>
            </w:tcBorders>
          </w:tcPr>
          <w:p w14:paraId="2EDB2DF8" w14:textId="77777777" w:rsidR="00F9656B" w:rsidRPr="00E15354" w:rsidRDefault="00F9656B" w:rsidP="00F9656B">
            <w:pPr>
              <w:widowControl w:val="0"/>
              <w:autoSpaceDE w:val="0"/>
              <w:autoSpaceDN w:val="0"/>
              <w:spacing w:before="70" w:after="0"/>
              <w:ind w:left="62" w:right="66"/>
              <w:jc w:val="center"/>
              <w:rPr>
                <w:rFonts w:eastAsia="Times New Roman"/>
                <w:b/>
                <w:bCs/>
                <w:noProof/>
                <w:color w:val="231F20"/>
                <w:sz w:val="17"/>
              </w:rPr>
            </w:pPr>
          </w:p>
        </w:tc>
      </w:tr>
      <w:tr w:rsidR="00F9656B" w:rsidRPr="00E15354" w14:paraId="5C24C8B8" w14:textId="77777777" w:rsidTr="009B4189">
        <w:trPr>
          <w:trHeight w:val="1235"/>
        </w:trPr>
        <w:tc>
          <w:tcPr>
            <w:tcW w:w="431" w:type="dxa"/>
            <w:tcBorders>
              <w:left w:val="nil"/>
            </w:tcBorders>
          </w:tcPr>
          <w:p w14:paraId="13D588C1" w14:textId="77777777" w:rsidR="00F9656B" w:rsidRPr="00E15354" w:rsidRDefault="00F9656B" w:rsidP="00F9656B">
            <w:pPr>
              <w:widowControl w:val="0"/>
              <w:autoSpaceDE w:val="0"/>
              <w:autoSpaceDN w:val="0"/>
              <w:spacing w:before="70" w:after="0"/>
              <w:ind w:left="-1"/>
              <w:jc w:val="left"/>
              <w:rPr>
                <w:rFonts w:eastAsia="Times New Roman"/>
                <w:noProof/>
                <w:color w:val="231F20"/>
                <w:w w:val="99"/>
                <w:sz w:val="17"/>
              </w:rPr>
            </w:pPr>
            <w:r w:rsidRPr="00E15354">
              <w:rPr>
                <w:noProof/>
                <w:color w:val="231F20"/>
                <w:sz w:val="17"/>
              </w:rPr>
              <w:t>9</w:t>
            </w:r>
          </w:p>
        </w:tc>
        <w:tc>
          <w:tcPr>
            <w:tcW w:w="2133" w:type="dxa"/>
            <w:gridSpan w:val="2"/>
          </w:tcPr>
          <w:p w14:paraId="55BE2B1B" w14:textId="5229C486" w:rsidR="00F9656B" w:rsidRPr="00E15354" w:rsidRDefault="00F9656B" w:rsidP="0019616A">
            <w:pPr>
              <w:widowControl w:val="0"/>
              <w:tabs>
                <w:tab w:val="left" w:pos="919"/>
                <w:tab w:val="left" w:pos="1342"/>
              </w:tabs>
              <w:autoSpaceDE w:val="0"/>
              <w:autoSpaceDN w:val="0"/>
              <w:spacing w:before="73" w:after="0" w:line="235" w:lineRule="auto"/>
              <w:ind w:left="84" w:right="84"/>
              <w:jc w:val="left"/>
              <w:rPr>
                <w:rFonts w:eastAsia="Times New Roman"/>
                <w:noProof/>
                <w:color w:val="231F20"/>
                <w:spacing w:val="-2"/>
                <w:sz w:val="17"/>
              </w:rPr>
            </w:pPr>
            <w:r w:rsidRPr="00E15354">
              <w:rPr>
                <w:noProof/>
                <w:color w:val="231F20"/>
                <w:sz w:val="17"/>
              </w:rPr>
              <w:t>Número de anomalias relacionadas com as Convenções MARPOL, AFS, BWM, CLC 92, Bancas e Nairóbi registadas em cada inspeção nos últimos 36 meses</w:t>
            </w:r>
          </w:p>
        </w:tc>
        <w:tc>
          <w:tcPr>
            <w:tcW w:w="1066" w:type="dxa"/>
            <w:textDirection w:val="btLr"/>
          </w:tcPr>
          <w:p w14:paraId="7B888EE9" w14:textId="77777777" w:rsidR="00F9656B" w:rsidRPr="00E15354" w:rsidRDefault="00F9656B" w:rsidP="00F9656B">
            <w:pPr>
              <w:widowControl w:val="0"/>
              <w:autoSpaceDE w:val="0"/>
              <w:autoSpaceDN w:val="0"/>
              <w:spacing w:before="90" w:after="0"/>
              <w:ind w:left="145"/>
              <w:jc w:val="left"/>
              <w:rPr>
                <w:rFonts w:eastAsia="Times New Roman"/>
                <w:noProof/>
                <w:color w:val="231F20"/>
                <w:spacing w:val="-2"/>
                <w:sz w:val="17"/>
              </w:rPr>
            </w:pPr>
            <w:r w:rsidRPr="00E15354">
              <w:rPr>
                <w:noProof/>
                <w:color w:val="231F20"/>
                <w:sz w:val="17"/>
              </w:rPr>
              <w:t>Anomalias</w:t>
            </w:r>
          </w:p>
          <w:p w14:paraId="40DF8B43" w14:textId="77777777" w:rsidR="00F9656B" w:rsidRPr="00E15354" w:rsidRDefault="00F9656B" w:rsidP="00F9656B">
            <w:pPr>
              <w:widowControl w:val="0"/>
              <w:autoSpaceDE w:val="0"/>
              <w:autoSpaceDN w:val="0"/>
              <w:spacing w:before="90" w:after="0"/>
              <w:ind w:left="145"/>
              <w:jc w:val="left"/>
              <w:rPr>
                <w:rFonts w:eastAsia="Times New Roman"/>
                <w:noProof/>
                <w:color w:val="231F20"/>
                <w:spacing w:val="-2"/>
                <w:sz w:val="17"/>
              </w:rPr>
            </w:pPr>
          </w:p>
        </w:tc>
        <w:tc>
          <w:tcPr>
            <w:tcW w:w="1396" w:type="dxa"/>
          </w:tcPr>
          <w:p w14:paraId="5AEE64AD" w14:textId="77777777" w:rsidR="00F9656B" w:rsidRPr="00E15354" w:rsidRDefault="00F9656B" w:rsidP="00F9656B">
            <w:pPr>
              <w:widowControl w:val="0"/>
              <w:autoSpaceDE w:val="0"/>
              <w:autoSpaceDN w:val="0"/>
              <w:spacing w:before="70" w:after="0"/>
              <w:ind w:left="84"/>
              <w:jc w:val="left"/>
              <w:rPr>
                <w:rFonts w:eastAsia="Times New Roman"/>
                <w:noProof/>
                <w:color w:val="231F20"/>
                <w:sz w:val="17"/>
              </w:rPr>
            </w:pPr>
            <w:r w:rsidRPr="00E15354">
              <w:rPr>
                <w:noProof/>
                <w:color w:val="231F20"/>
                <w:sz w:val="17"/>
              </w:rPr>
              <w:t xml:space="preserve">&gt; 3 numa das </w:t>
            </w:r>
          </w:p>
          <w:p w14:paraId="06992ACD" w14:textId="77777777" w:rsidR="00F9656B" w:rsidRPr="00E15354" w:rsidRDefault="00F9656B" w:rsidP="00F9656B">
            <w:pPr>
              <w:widowControl w:val="0"/>
              <w:autoSpaceDE w:val="0"/>
              <w:autoSpaceDN w:val="0"/>
              <w:spacing w:before="70" w:after="0"/>
              <w:ind w:left="84"/>
              <w:jc w:val="left"/>
              <w:rPr>
                <w:rFonts w:eastAsia="Times New Roman"/>
                <w:noProof/>
                <w:color w:val="231F20"/>
                <w:sz w:val="17"/>
              </w:rPr>
            </w:pPr>
            <w:r w:rsidRPr="00E15354">
              <w:rPr>
                <w:noProof/>
                <w:color w:val="231F20"/>
                <w:sz w:val="17"/>
              </w:rPr>
              <w:t>inspeções</w:t>
            </w:r>
          </w:p>
        </w:tc>
        <w:tc>
          <w:tcPr>
            <w:tcW w:w="1164" w:type="dxa"/>
          </w:tcPr>
          <w:p w14:paraId="3D0BA7CE" w14:textId="52EDE97C" w:rsidR="00F9656B" w:rsidRPr="00E15354" w:rsidRDefault="0019616A" w:rsidP="0019616A">
            <w:pPr>
              <w:widowControl w:val="0"/>
              <w:autoSpaceDE w:val="0"/>
              <w:autoSpaceDN w:val="0"/>
              <w:spacing w:before="70" w:after="0"/>
              <w:ind w:right="3"/>
              <w:jc w:val="center"/>
              <w:rPr>
                <w:rFonts w:eastAsia="Times New Roman"/>
                <w:noProof/>
                <w:color w:val="231F20"/>
                <w:w w:val="99"/>
                <w:sz w:val="17"/>
              </w:rPr>
            </w:pPr>
            <w:r w:rsidRPr="00E15354">
              <w:rPr>
                <w:noProof/>
                <w:color w:val="231F20"/>
                <w:sz w:val="17"/>
              </w:rPr>
              <w:t>1</w:t>
            </w:r>
          </w:p>
        </w:tc>
        <w:tc>
          <w:tcPr>
            <w:tcW w:w="1066" w:type="dxa"/>
            <w:tcBorders>
              <w:top w:val="nil"/>
            </w:tcBorders>
            <w:textDirection w:val="btLr"/>
          </w:tcPr>
          <w:p w14:paraId="03315F8F" w14:textId="77777777" w:rsidR="00F9656B" w:rsidRPr="00E15354" w:rsidRDefault="00F9656B" w:rsidP="00F9656B">
            <w:pPr>
              <w:rPr>
                <w:b/>
                <w:bCs/>
                <w:noProof/>
                <w:sz w:val="2"/>
                <w:szCs w:val="2"/>
              </w:rPr>
            </w:pPr>
          </w:p>
        </w:tc>
        <w:tc>
          <w:tcPr>
            <w:tcW w:w="1062" w:type="dxa"/>
            <w:tcBorders>
              <w:right w:val="nil"/>
            </w:tcBorders>
          </w:tcPr>
          <w:p w14:paraId="182B9CA3" w14:textId="77777777" w:rsidR="00F9656B" w:rsidRPr="00E15354" w:rsidRDefault="00F9656B" w:rsidP="00F9656B">
            <w:pPr>
              <w:widowControl w:val="0"/>
              <w:autoSpaceDE w:val="0"/>
              <w:autoSpaceDN w:val="0"/>
              <w:spacing w:before="70" w:after="0"/>
              <w:ind w:left="62" w:right="66"/>
              <w:jc w:val="center"/>
              <w:rPr>
                <w:rFonts w:eastAsia="Times New Roman"/>
                <w:b/>
                <w:bCs/>
                <w:noProof/>
                <w:color w:val="231F20"/>
                <w:sz w:val="17"/>
              </w:rPr>
            </w:pPr>
          </w:p>
        </w:tc>
      </w:tr>
    </w:tbl>
    <w:p w14:paraId="3A3DC12B" w14:textId="77777777" w:rsidR="003A0F31" w:rsidRPr="00E15354" w:rsidRDefault="003A0F31" w:rsidP="003A0F31">
      <w:pPr>
        <w:pStyle w:val="Text1"/>
        <w:rPr>
          <w:noProof/>
          <w:w w:val="105"/>
          <w:sz w:val="14"/>
          <w:szCs w:val="14"/>
        </w:rPr>
      </w:pPr>
      <w:r w:rsidRPr="00E15354">
        <w:rPr>
          <w:noProof/>
          <w:sz w:val="14"/>
        </w:rPr>
        <w:t>HRS – navios que satisfazem critérios que somam um total de cinco ou mais pontos de ponderação. LRS – navios que satisfazem todos os critérios dos parâmetros de baixo risco.</w:t>
      </w:r>
    </w:p>
    <w:p w14:paraId="6F8F02AB" w14:textId="6E287100" w:rsidR="003A0F31" w:rsidRPr="00E15354" w:rsidRDefault="003A0F31" w:rsidP="003A0F31">
      <w:pPr>
        <w:pStyle w:val="Text1"/>
        <w:rPr>
          <w:noProof/>
          <w:w w:val="105"/>
          <w:sz w:val="14"/>
          <w:szCs w:val="14"/>
        </w:rPr>
      </w:pPr>
      <w:r w:rsidRPr="00E15354">
        <w:rPr>
          <w:noProof/>
          <w:sz w:val="14"/>
        </w:rPr>
        <w:t>SRS – navios que não são nem HRS nem LRS</w:t>
      </w:r>
    </w:p>
    <w:p w14:paraId="5C39C431" w14:textId="77777777" w:rsidR="003A0F31" w:rsidRPr="00E15354" w:rsidRDefault="003A0F31" w:rsidP="00F9656B">
      <w:pPr>
        <w:rPr>
          <w:noProof/>
          <w:color w:val="231F20"/>
          <w:w w:val="105"/>
          <w:sz w:val="14"/>
        </w:rPr>
      </w:pPr>
    </w:p>
    <w:p w14:paraId="7456E4BE" w14:textId="5C6650E2" w:rsidR="00F9656B" w:rsidRPr="00E15354" w:rsidRDefault="00F9656B" w:rsidP="00F9656B">
      <w:pPr>
        <w:rPr>
          <w:i/>
          <w:noProof/>
          <w:color w:val="231F20"/>
          <w:sz w:val="17"/>
        </w:rPr>
      </w:pPr>
      <w:r w:rsidRPr="00E15354">
        <w:rPr>
          <w:noProof/>
        </w:rPr>
        <w:br w:type="page"/>
      </w:r>
    </w:p>
    <w:p w14:paraId="3AEB65A3" w14:textId="77777777" w:rsidR="00BC0147" w:rsidRPr="00E15354" w:rsidRDefault="00BC0147" w:rsidP="00BC0147">
      <w:pPr>
        <w:rPr>
          <w:noProof/>
        </w:rPr>
        <w:sectPr w:rsidR="00BC0147" w:rsidRPr="00E15354" w:rsidSect="00550C50">
          <w:pgSz w:w="11907" w:h="16839"/>
          <w:pgMar w:top="1134" w:right="1417" w:bottom="1134" w:left="1417" w:header="709" w:footer="709" w:gutter="0"/>
          <w:cols w:space="720"/>
          <w:docGrid w:linePitch="360"/>
        </w:sectPr>
      </w:pPr>
    </w:p>
    <w:p w14:paraId="73A6F1C2" w14:textId="2055CBE8" w:rsidR="00BC0147" w:rsidRPr="00E15354" w:rsidRDefault="00BC0147" w:rsidP="00BC0147">
      <w:pPr>
        <w:pStyle w:val="Annexetitre"/>
        <w:rPr>
          <w:noProof/>
        </w:rPr>
      </w:pPr>
      <w:r w:rsidRPr="00E15354">
        <w:rPr>
          <w:noProof/>
        </w:rPr>
        <w:t>ANEXO III</w:t>
      </w:r>
    </w:p>
    <w:p w14:paraId="66958D9E" w14:textId="77777777" w:rsidR="00BC0147" w:rsidRPr="00E15354" w:rsidRDefault="00BC0147" w:rsidP="00BC0147">
      <w:pPr>
        <w:rPr>
          <w:noProof/>
        </w:rPr>
      </w:pPr>
    </w:p>
    <w:p w14:paraId="3C0EA61E" w14:textId="1D37E7D8" w:rsidR="00F9656B" w:rsidRPr="00E15354" w:rsidRDefault="00F9656B" w:rsidP="00F9656B">
      <w:pPr>
        <w:pStyle w:val="NormalCentered"/>
        <w:rPr>
          <w:noProof/>
        </w:rPr>
      </w:pPr>
      <w:r w:rsidRPr="00E15354">
        <w:rPr>
          <w:noProof/>
        </w:rPr>
        <w:t>«</w:t>
      </w:r>
      <w:r w:rsidRPr="00E15354">
        <w:rPr>
          <w:b/>
          <w:bCs/>
          <w:noProof/>
        </w:rPr>
        <w:t>Anexo IV</w:t>
      </w:r>
    </w:p>
    <w:p w14:paraId="19079009" w14:textId="77777777" w:rsidR="00F9656B" w:rsidRPr="00E15354" w:rsidRDefault="00F9656B" w:rsidP="00F9656B">
      <w:pPr>
        <w:pStyle w:val="NormalCentered"/>
        <w:rPr>
          <w:b/>
          <w:noProof/>
        </w:rPr>
      </w:pPr>
      <w:r w:rsidRPr="00E15354">
        <w:rPr>
          <w:b/>
          <w:noProof/>
        </w:rPr>
        <w:t>LISTA DE CERTIFICADOS E DOCUMENTOS</w:t>
      </w:r>
    </w:p>
    <w:p w14:paraId="522D7984" w14:textId="77777777" w:rsidR="00F9656B" w:rsidRPr="00E15354" w:rsidRDefault="00F9656B" w:rsidP="00F9656B">
      <w:pPr>
        <w:pStyle w:val="NormalCentered"/>
        <w:rPr>
          <w:b/>
          <w:noProof/>
        </w:rPr>
      </w:pPr>
      <w:r w:rsidRPr="00E15354">
        <w:rPr>
          <w:b/>
          <w:noProof/>
        </w:rPr>
        <w:t>(a que se refere o artigo 13.º, n.º 1)</w:t>
      </w:r>
    </w:p>
    <w:p w14:paraId="359BAB66" w14:textId="77777777" w:rsidR="00F9656B" w:rsidRPr="00E15354" w:rsidRDefault="00F9656B" w:rsidP="00F9656B">
      <w:pPr>
        <w:rPr>
          <w:noProof/>
        </w:rPr>
      </w:pPr>
      <w:r w:rsidRPr="00E15354">
        <w:rPr>
          <w:noProof/>
        </w:rPr>
        <w:t xml:space="preserve">Parte A Lista dos certificados e documentos que, na medida em que tal for aplicável, devem ser verificados, no mínimo, durante a inspeção referida no ponto 2.2.3 (consoante o caso): </w:t>
      </w:r>
    </w:p>
    <w:p w14:paraId="300B37DB" w14:textId="71A938F6" w:rsidR="00F9656B" w:rsidRPr="00E15354" w:rsidRDefault="00BC493B" w:rsidP="00BC493B">
      <w:pPr>
        <w:pStyle w:val="Point0"/>
        <w:rPr>
          <w:noProof/>
        </w:rPr>
      </w:pPr>
      <w:r w:rsidRPr="00E15354">
        <w:rPr>
          <w:noProof/>
        </w:rPr>
        <w:t>1.</w:t>
      </w:r>
      <w:r w:rsidRPr="00E15354">
        <w:rPr>
          <w:noProof/>
        </w:rPr>
        <w:tab/>
        <w:t>Certificado internacional de arqueação;</w:t>
      </w:r>
    </w:p>
    <w:p w14:paraId="396A9132" w14:textId="38CC27E1" w:rsidR="00F9656B" w:rsidRPr="00E15354" w:rsidRDefault="00BC493B" w:rsidP="00BC493B">
      <w:pPr>
        <w:pStyle w:val="Point0"/>
        <w:rPr>
          <w:noProof/>
        </w:rPr>
      </w:pPr>
      <w:r w:rsidRPr="00E15354">
        <w:rPr>
          <w:noProof/>
        </w:rPr>
        <w:t>2.</w:t>
      </w:r>
      <w:r w:rsidRPr="00E15354">
        <w:rPr>
          <w:noProof/>
        </w:rPr>
        <w:tab/>
        <w:t>Relatórios das inspeções precedentes efetuadas pelo Estado do porto;</w:t>
      </w:r>
    </w:p>
    <w:p w14:paraId="4850ED53" w14:textId="3F0F71C9" w:rsidR="00F9656B" w:rsidRPr="00E15354" w:rsidRDefault="00BC493B" w:rsidP="00BC493B">
      <w:pPr>
        <w:pStyle w:val="Point0"/>
        <w:rPr>
          <w:noProof/>
        </w:rPr>
      </w:pPr>
      <w:r w:rsidRPr="00E15354">
        <w:rPr>
          <w:noProof/>
        </w:rPr>
        <w:t>3.</w:t>
      </w:r>
      <w:r w:rsidRPr="00E15354">
        <w:rPr>
          <w:noProof/>
        </w:rPr>
        <w:tab/>
        <w:t>Certificado de segurança para navio de passageiros (SOLAS 1974, regra I/12);</w:t>
      </w:r>
    </w:p>
    <w:p w14:paraId="63AD71E6" w14:textId="622F9DAB" w:rsidR="00F9656B" w:rsidRPr="00E15354" w:rsidRDefault="00BC493B" w:rsidP="00BC493B">
      <w:pPr>
        <w:pStyle w:val="Point0"/>
        <w:rPr>
          <w:noProof/>
        </w:rPr>
      </w:pPr>
      <w:r w:rsidRPr="00E15354">
        <w:rPr>
          <w:noProof/>
        </w:rPr>
        <w:t>4.</w:t>
      </w:r>
      <w:r w:rsidRPr="00E15354">
        <w:rPr>
          <w:noProof/>
        </w:rPr>
        <w:tab/>
        <w:t>Certificado de segurança de construção para navio de carga (SOLAS 1974, regra I/12);</w:t>
      </w:r>
    </w:p>
    <w:p w14:paraId="0FF78236" w14:textId="4CD64E88" w:rsidR="00F9656B" w:rsidRPr="00E15354" w:rsidRDefault="00BC493B" w:rsidP="00BC493B">
      <w:pPr>
        <w:pStyle w:val="Point0"/>
        <w:rPr>
          <w:noProof/>
        </w:rPr>
      </w:pPr>
      <w:r w:rsidRPr="00E15354">
        <w:rPr>
          <w:noProof/>
        </w:rPr>
        <w:t>5.</w:t>
      </w:r>
      <w:r w:rsidRPr="00E15354">
        <w:rPr>
          <w:noProof/>
        </w:rPr>
        <w:tab/>
        <w:t>Certificado de segurança do equipamento para navio de carga (SOLAS 1974, regra I/12);</w:t>
      </w:r>
    </w:p>
    <w:p w14:paraId="254B1C8C" w14:textId="5628BD10" w:rsidR="00F9656B" w:rsidRPr="00E15354" w:rsidRDefault="00BC493B" w:rsidP="00BC493B">
      <w:pPr>
        <w:pStyle w:val="Point0"/>
        <w:rPr>
          <w:noProof/>
        </w:rPr>
      </w:pPr>
      <w:r w:rsidRPr="00E15354">
        <w:rPr>
          <w:noProof/>
        </w:rPr>
        <w:t>6.</w:t>
      </w:r>
      <w:r w:rsidRPr="00E15354">
        <w:rPr>
          <w:noProof/>
        </w:rPr>
        <w:tab/>
        <w:t>Certificado de segurança radioelétrica para navio de carga (SOLAS 1974, regra I/12);</w:t>
      </w:r>
    </w:p>
    <w:p w14:paraId="4D92F2E9" w14:textId="4DBBCB0B" w:rsidR="00F9656B" w:rsidRPr="00E15354" w:rsidRDefault="00BC493B" w:rsidP="00BC493B">
      <w:pPr>
        <w:pStyle w:val="Point0"/>
        <w:rPr>
          <w:noProof/>
        </w:rPr>
      </w:pPr>
      <w:r w:rsidRPr="00E15354">
        <w:rPr>
          <w:noProof/>
        </w:rPr>
        <w:t>7.</w:t>
      </w:r>
      <w:r w:rsidRPr="00E15354">
        <w:rPr>
          <w:noProof/>
        </w:rPr>
        <w:tab/>
        <w:t xml:space="preserve">Certificado de segurança para navio de carga (SOLAS 1974, regra I/12); </w:t>
      </w:r>
    </w:p>
    <w:p w14:paraId="197DBC7F" w14:textId="48C732A6" w:rsidR="00F9656B" w:rsidRPr="00E15354" w:rsidRDefault="00BC493B" w:rsidP="00BC493B">
      <w:pPr>
        <w:pStyle w:val="Point0"/>
        <w:rPr>
          <w:noProof/>
        </w:rPr>
      </w:pPr>
      <w:r w:rsidRPr="00E15354">
        <w:rPr>
          <w:noProof/>
        </w:rPr>
        <w:t>8.</w:t>
      </w:r>
      <w:r w:rsidRPr="00E15354">
        <w:rPr>
          <w:noProof/>
        </w:rPr>
        <w:tab/>
        <w:t>Certificado de dispensa (SOLAS 1974, regra I/12);</w:t>
      </w:r>
    </w:p>
    <w:p w14:paraId="07B5248A" w14:textId="374980EC" w:rsidR="00F9656B" w:rsidRPr="00E15354" w:rsidRDefault="00BC493B" w:rsidP="00BC493B">
      <w:pPr>
        <w:pStyle w:val="Point0"/>
        <w:rPr>
          <w:noProof/>
        </w:rPr>
      </w:pPr>
      <w:r w:rsidRPr="00E15354">
        <w:rPr>
          <w:noProof/>
        </w:rPr>
        <w:t>9.</w:t>
      </w:r>
      <w:r w:rsidRPr="00E15354">
        <w:rPr>
          <w:noProof/>
        </w:rPr>
        <w:tab/>
        <w:t xml:space="preserve">Documento relativo à lotação mínima de segurança (SOLAS 1974, regra V/14.2); </w:t>
      </w:r>
    </w:p>
    <w:p w14:paraId="4B4771C9" w14:textId="6F16E9E3" w:rsidR="00F9656B" w:rsidRPr="00E15354" w:rsidRDefault="00BC493B" w:rsidP="00BC493B">
      <w:pPr>
        <w:pStyle w:val="Point0"/>
        <w:rPr>
          <w:noProof/>
        </w:rPr>
      </w:pPr>
      <w:r w:rsidRPr="00E15354">
        <w:rPr>
          <w:noProof/>
        </w:rPr>
        <w:t>10.</w:t>
      </w:r>
      <w:r w:rsidRPr="00E15354">
        <w:rPr>
          <w:noProof/>
        </w:rPr>
        <w:tab/>
        <w:t>Certificado internacional das linhas de carga (1966) (LLC 66/88, artigo 16.1);</w:t>
      </w:r>
    </w:p>
    <w:p w14:paraId="0EE519F1" w14:textId="4D135A40" w:rsidR="00F9656B" w:rsidRPr="00E15354" w:rsidRDefault="00BC493B" w:rsidP="00BC493B">
      <w:pPr>
        <w:pStyle w:val="Point0"/>
        <w:rPr>
          <w:noProof/>
        </w:rPr>
      </w:pPr>
      <w:r w:rsidRPr="00E15354">
        <w:rPr>
          <w:noProof/>
        </w:rPr>
        <w:t>11.</w:t>
      </w:r>
      <w:r w:rsidRPr="00E15354">
        <w:rPr>
          <w:noProof/>
        </w:rPr>
        <w:tab/>
        <w:t xml:space="preserve">Certificado internacional de isenção do bordo livre (LLC 66/88, artigo 16.2); </w:t>
      </w:r>
    </w:p>
    <w:p w14:paraId="0620F7F0" w14:textId="35B526D4" w:rsidR="00F9656B" w:rsidRPr="00E15354" w:rsidRDefault="00BC493B" w:rsidP="00BC493B">
      <w:pPr>
        <w:pStyle w:val="Point0"/>
        <w:rPr>
          <w:noProof/>
        </w:rPr>
      </w:pPr>
      <w:r w:rsidRPr="00E15354">
        <w:rPr>
          <w:noProof/>
        </w:rPr>
        <w:t>12.</w:t>
      </w:r>
      <w:r w:rsidRPr="00E15354">
        <w:rPr>
          <w:noProof/>
        </w:rPr>
        <w:tab/>
        <w:t xml:space="preserve">Certificado internacional de prevenção da poluição por hidrocarbonetos (MARPOL, anexo I, regra 7.1); </w:t>
      </w:r>
    </w:p>
    <w:p w14:paraId="39D46D4E" w14:textId="6F473EA0" w:rsidR="00F9656B" w:rsidRPr="00E15354" w:rsidRDefault="00BC493B" w:rsidP="00BC493B">
      <w:pPr>
        <w:pStyle w:val="Point0"/>
        <w:rPr>
          <w:noProof/>
        </w:rPr>
      </w:pPr>
      <w:r w:rsidRPr="00E15354">
        <w:rPr>
          <w:noProof/>
        </w:rPr>
        <w:t>13.</w:t>
      </w:r>
      <w:r w:rsidRPr="00E15354">
        <w:rPr>
          <w:noProof/>
        </w:rPr>
        <w:tab/>
        <w:t>Certificado internacional de prevenção da poluição para o transporte de substâncias líquidas nocivas a granel (NLS) (MARPOL, anexo II, regra 9.1);</w:t>
      </w:r>
    </w:p>
    <w:p w14:paraId="25722F3E" w14:textId="4A398389" w:rsidR="00F9656B" w:rsidRPr="00E15354" w:rsidRDefault="00BC493B" w:rsidP="00BC493B">
      <w:pPr>
        <w:pStyle w:val="Point0"/>
        <w:rPr>
          <w:noProof/>
        </w:rPr>
      </w:pPr>
      <w:r w:rsidRPr="00E15354">
        <w:rPr>
          <w:noProof/>
        </w:rPr>
        <w:t>14.</w:t>
      </w:r>
      <w:r w:rsidRPr="00E15354">
        <w:rPr>
          <w:noProof/>
        </w:rPr>
        <w:tab/>
        <w:t xml:space="preserve">Certificado internacional de prevenção da poluição por esgotos sanitários (ISPPC) (MARPOL, anexo IV, regra 5.1, MEPC.1/Circ.408); </w:t>
      </w:r>
    </w:p>
    <w:p w14:paraId="288B1233" w14:textId="4DDA6AD2" w:rsidR="00F9656B" w:rsidRPr="00E15354" w:rsidRDefault="00BC493B" w:rsidP="00BC493B">
      <w:pPr>
        <w:pStyle w:val="Point0"/>
        <w:rPr>
          <w:noProof/>
        </w:rPr>
      </w:pPr>
      <w:r w:rsidRPr="00E15354">
        <w:rPr>
          <w:noProof/>
        </w:rPr>
        <w:t>15.</w:t>
      </w:r>
      <w:r w:rsidRPr="00E15354">
        <w:rPr>
          <w:noProof/>
        </w:rPr>
        <w:tab/>
        <w:t xml:space="preserve">Certificado internacional de prevenção da poluição do ar (IAPPC) (MARPOL, anexo VI, regra 6.1); </w:t>
      </w:r>
    </w:p>
    <w:p w14:paraId="7A45FC99" w14:textId="672B2CC0" w:rsidR="00F9656B" w:rsidRPr="00E15354" w:rsidRDefault="00BC493B" w:rsidP="00BC493B">
      <w:pPr>
        <w:pStyle w:val="Point0"/>
        <w:rPr>
          <w:noProof/>
        </w:rPr>
      </w:pPr>
      <w:r w:rsidRPr="00E15354">
        <w:rPr>
          <w:noProof/>
        </w:rPr>
        <w:t>16.</w:t>
      </w:r>
      <w:r w:rsidRPr="00E15354">
        <w:rPr>
          <w:noProof/>
        </w:rPr>
        <w:tab/>
        <w:t xml:space="preserve">Certificado internacional de eficiência energética (MARPOL, anexo VI, regra 6); </w:t>
      </w:r>
    </w:p>
    <w:p w14:paraId="69F8841F" w14:textId="392865BA" w:rsidR="00F9656B" w:rsidRPr="00E15354" w:rsidRDefault="00BC493B" w:rsidP="00BC493B">
      <w:pPr>
        <w:pStyle w:val="Point0"/>
        <w:rPr>
          <w:noProof/>
        </w:rPr>
      </w:pPr>
      <w:r w:rsidRPr="00E15354">
        <w:rPr>
          <w:noProof/>
        </w:rPr>
        <w:t>17.</w:t>
      </w:r>
      <w:r w:rsidRPr="00E15354">
        <w:rPr>
          <w:noProof/>
        </w:rPr>
        <w:tab/>
        <w:t>Certificado internacional de gestão das águas de lastro (IBWMC) [BWMC, artigo 9.1, alínea a), e regra E-2];</w:t>
      </w:r>
    </w:p>
    <w:p w14:paraId="7DF193EA" w14:textId="7107E97C" w:rsidR="00F9656B" w:rsidRPr="00E15354" w:rsidRDefault="00BC493B" w:rsidP="00BC493B">
      <w:pPr>
        <w:pStyle w:val="Point0"/>
        <w:rPr>
          <w:noProof/>
        </w:rPr>
      </w:pPr>
      <w:r w:rsidRPr="00E15354">
        <w:rPr>
          <w:noProof/>
        </w:rPr>
        <w:t>18.</w:t>
      </w:r>
      <w:r w:rsidRPr="00E15354">
        <w:rPr>
          <w:noProof/>
        </w:rPr>
        <w:tab/>
        <w:t xml:space="preserve">Certificado internacional de sistema antivegetativo (certificado IAFS) (AFS 2001, anexo 4, regra 2); </w:t>
      </w:r>
    </w:p>
    <w:p w14:paraId="37C48579" w14:textId="50E09336" w:rsidR="00F9656B" w:rsidRPr="00E15354" w:rsidRDefault="00BC493B" w:rsidP="00BC493B">
      <w:pPr>
        <w:pStyle w:val="Point0"/>
        <w:rPr>
          <w:noProof/>
        </w:rPr>
      </w:pPr>
      <w:r w:rsidRPr="00E15354">
        <w:rPr>
          <w:noProof/>
        </w:rPr>
        <w:t>19.</w:t>
      </w:r>
      <w:r w:rsidRPr="00E15354">
        <w:rPr>
          <w:noProof/>
        </w:rPr>
        <w:tab/>
        <w:t xml:space="preserve">Declaração sobre sistemas antivegetativos (AFS 2001, anexo 4, regra 5); </w:t>
      </w:r>
    </w:p>
    <w:p w14:paraId="09414A67" w14:textId="6010E47D" w:rsidR="00F9656B" w:rsidRPr="00E15354" w:rsidRDefault="00BC493B" w:rsidP="00BC493B">
      <w:pPr>
        <w:pStyle w:val="Point0"/>
        <w:rPr>
          <w:noProof/>
        </w:rPr>
      </w:pPr>
      <w:r w:rsidRPr="00E15354">
        <w:rPr>
          <w:noProof/>
        </w:rPr>
        <w:t>20.</w:t>
      </w:r>
      <w:r w:rsidRPr="00E15354">
        <w:rPr>
          <w:noProof/>
        </w:rPr>
        <w:tab/>
        <w:t>Certificado internacional de proteção do navio (ISSC) ou certificado internacional provisório de proteção do navio (Código ISPS, parte A/19 e apêndices);</w:t>
      </w:r>
    </w:p>
    <w:p w14:paraId="28D003EC" w14:textId="3536C010" w:rsidR="00F9656B" w:rsidRPr="00E15354" w:rsidRDefault="00BC493B" w:rsidP="00BC493B">
      <w:pPr>
        <w:pStyle w:val="Point0"/>
        <w:rPr>
          <w:noProof/>
        </w:rPr>
      </w:pPr>
      <w:r w:rsidRPr="00E15354">
        <w:rPr>
          <w:noProof/>
        </w:rPr>
        <w:t>21.</w:t>
      </w:r>
      <w:r w:rsidRPr="00E15354">
        <w:rPr>
          <w:noProof/>
        </w:rPr>
        <w:tab/>
        <w:t>Certificados para comandantes, oficiais ou marítimos da mestrança e marinhagem emitidos em conformidade com a Convenção STCW (STCW, artigo VI, regra I/2, e Código STCW, secção A-I/2);</w:t>
      </w:r>
    </w:p>
    <w:p w14:paraId="4F33388B" w14:textId="1419CF54" w:rsidR="00F9656B" w:rsidRPr="00E15354" w:rsidRDefault="00BC493B" w:rsidP="00BC493B">
      <w:pPr>
        <w:pStyle w:val="Point0"/>
        <w:rPr>
          <w:noProof/>
        </w:rPr>
      </w:pPr>
      <w:r w:rsidRPr="00E15354">
        <w:rPr>
          <w:noProof/>
        </w:rPr>
        <w:t>22.</w:t>
      </w:r>
      <w:r w:rsidRPr="00E15354">
        <w:rPr>
          <w:noProof/>
        </w:rPr>
        <w:tab/>
        <w:t>Cópia do documento de conformidade ou cópia do documento de conformidade provisório emitido em conformidade com o Código Internacional de Gestão para a Segurança da Exploração dos Navios e a Prevenção da Poluição (DoC), Código ISM (SOLAS, regra IX/4.2, Código ISM, n.</w:t>
      </w:r>
      <w:r w:rsidRPr="00E15354">
        <w:rPr>
          <w:noProof/>
          <w:vertAlign w:val="superscript"/>
        </w:rPr>
        <w:t>os</w:t>
      </w:r>
      <w:r w:rsidRPr="00E15354">
        <w:rPr>
          <w:noProof/>
        </w:rPr>
        <w:t> 13 e 14);</w:t>
      </w:r>
    </w:p>
    <w:p w14:paraId="7B0D1518" w14:textId="576D526A" w:rsidR="00F9656B" w:rsidRPr="00E15354" w:rsidRDefault="00BC493B" w:rsidP="00BC493B">
      <w:pPr>
        <w:pStyle w:val="Point0"/>
        <w:rPr>
          <w:noProof/>
        </w:rPr>
      </w:pPr>
      <w:r w:rsidRPr="00E15354">
        <w:rPr>
          <w:noProof/>
        </w:rPr>
        <w:t>23.</w:t>
      </w:r>
      <w:r w:rsidRPr="00E15354">
        <w:rPr>
          <w:noProof/>
        </w:rPr>
        <w:tab/>
        <w:t>Certificado de gestão da segurança ou um certificado provisório de gestão da segurança emitido em conformidade com o Código Internacional de Gestão para a Segurança da Exploração dos Navios e a Prevenção da Poluição (SMC), (SOLAS 1974, regra IX/4.3, Código ISM, n.</w:t>
      </w:r>
      <w:r w:rsidRPr="00E15354">
        <w:rPr>
          <w:noProof/>
          <w:vertAlign w:val="superscript"/>
        </w:rPr>
        <w:t>os</w:t>
      </w:r>
      <w:r w:rsidRPr="00E15354">
        <w:rPr>
          <w:noProof/>
        </w:rPr>
        <w:t xml:space="preserve"> 13 e 14); </w:t>
      </w:r>
    </w:p>
    <w:p w14:paraId="3FEF2970" w14:textId="39AB23A1" w:rsidR="00F9656B" w:rsidRPr="00E15354" w:rsidRDefault="00BC493B" w:rsidP="00BC493B">
      <w:pPr>
        <w:pStyle w:val="Point0"/>
        <w:rPr>
          <w:noProof/>
        </w:rPr>
      </w:pPr>
      <w:r w:rsidRPr="00E15354">
        <w:rPr>
          <w:noProof/>
        </w:rPr>
        <w:t>24.</w:t>
      </w:r>
      <w:r w:rsidRPr="00E15354">
        <w:rPr>
          <w:noProof/>
        </w:rPr>
        <w:tab/>
        <w:t xml:space="preserve">Certificado internacional para o transporte de gases liquefeitos a granel ou certificado para o transporte de gases liquefeitos a granel, consoante o caso (Código IGC, regra 1.5.4, ou Código GC, regra 1.6); </w:t>
      </w:r>
    </w:p>
    <w:p w14:paraId="551580EF" w14:textId="10336494" w:rsidR="00F9656B" w:rsidRPr="00E15354" w:rsidRDefault="00BC493B" w:rsidP="00BC493B">
      <w:pPr>
        <w:pStyle w:val="Point0"/>
        <w:rPr>
          <w:noProof/>
        </w:rPr>
      </w:pPr>
      <w:r w:rsidRPr="00E15354">
        <w:rPr>
          <w:noProof/>
        </w:rPr>
        <w:t>25.</w:t>
      </w:r>
      <w:r w:rsidRPr="00E15354">
        <w:rPr>
          <w:noProof/>
        </w:rPr>
        <w:tab/>
        <w:t>Certificado internacional para o transporte de produtos químicos perigosos a granel ou certificado para o transporte de produtos químicos perigosos a granel, consoante o caso (Código IBC, regra 1.45.4, e Código BCH, regra 1.6.3); 26 Certificado INF (Código para a Segurança do Transporte de Combustível Nuclear Irradiado, do Plutónio e de Resíduos Altamente Radioativos em Barris a bordo de Navios) (SOLAS, regra VII/16, e código INF, regra 1.3);</w:t>
      </w:r>
    </w:p>
    <w:p w14:paraId="35002319" w14:textId="22748F25" w:rsidR="00F9656B" w:rsidRPr="00E15354" w:rsidRDefault="00BC493B" w:rsidP="00BC493B">
      <w:pPr>
        <w:pStyle w:val="Point0"/>
        <w:rPr>
          <w:noProof/>
        </w:rPr>
      </w:pPr>
      <w:r w:rsidRPr="00E15354">
        <w:rPr>
          <w:noProof/>
        </w:rPr>
        <w:t>26.</w:t>
      </w:r>
      <w:r w:rsidRPr="00E15354">
        <w:rPr>
          <w:noProof/>
        </w:rPr>
        <w:tab/>
        <w:t>Certificado INF (Código para a Segurança do Transporte de Combustível Nuclear Irradiado, do Plutónio e de Resíduos Altamente Radioativos em Barris a bordo de Navios) (SOLAS, regra VII/16, e código INF, regra 1.3);</w:t>
      </w:r>
    </w:p>
    <w:p w14:paraId="614F3A7D" w14:textId="3551C992" w:rsidR="00F9656B" w:rsidRPr="00E15354" w:rsidRDefault="00BC493B" w:rsidP="00BC493B">
      <w:pPr>
        <w:pStyle w:val="Point0"/>
        <w:rPr>
          <w:noProof/>
        </w:rPr>
      </w:pPr>
      <w:r w:rsidRPr="00E15354">
        <w:rPr>
          <w:noProof/>
        </w:rPr>
        <w:t>27.</w:t>
      </w:r>
      <w:r w:rsidRPr="00E15354">
        <w:rPr>
          <w:noProof/>
        </w:rPr>
        <w:tab/>
        <w:t>Certificado de seguro ou qualquer outra garantia financeira de responsabilidade civil para o risco de poluição por hidrocarbonetos (CLC 69/92, art. VII.2);</w:t>
      </w:r>
    </w:p>
    <w:p w14:paraId="3783C765" w14:textId="6D0A65C9" w:rsidR="00F9656B" w:rsidRPr="00E15354" w:rsidRDefault="00BC493B" w:rsidP="00BC493B">
      <w:pPr>
        <w:pStyle w:val="Point0"/>
        <w:rPr>
          <w:noProof/>
        </w:rPr>
      </w:pPr>
      <w:r w:rsidRPr="00E15354">
        <w:rPr>
          <w:noProof/>
        </w:rPr>
        <w:t>28.</w:t>
      </w:r>
      <w:r w:rsidRPr="00E15354">
        <w:rPr>
          <w:noProof/>
        </w:rPr>
        <w:tab/>
        <w:t xml:space="preserve">Certificado de seguro ou qualquer outra garantia financeira de responsabilidade civil para o risco de poluição causada por combustível de bancas (BUNKERS 2001, artigo 7.º, n.º 2); </w:t>
      </w:r>
    </w:p>
    <w:p w14:paraId="55853C71" w14:textId="7BE20BEC" w:rsidR="00F9656B" w:rsidRPr="00E15354" w:rsidRDefault="00BC493B" w:rsidP="00BC493B">
      <w:pPr>
        <w:pStyle w:val="Point0"/>
        <w:rPr>
          <w:noProof/>
        </w:rPr>
      </w:pPr>
      <w:r w:rsidRPr="00E15354">
        <w:rPr>
          <w:noProof/>
        </w:rPr>
        <w:t>29.</w:t>
      </w:r>
      <w:r w:rsidRPr="00E15354">
        <w:rPr>
          <w:noProof/>
        </w:rPr>
        <w:tab/>
        <w:t xml:space="preserve">Certificado de seguro ou outra garantia financeira de responsabilidade pela remoção de destroços (Nairóbi, artigo 12.º); </w:t>
      </w:r>
    </w:p>
    <w:p w14:paraId="736C9137" w14:textId="6E86E2B4" w:rsidR="00F9656B" w:rsidRPr="00E15354" w:rsidRDefault="00BC493B" w:rsidP="00BC493B">
      <w:pPr>
        <w:pStyle w:val="Point0"/>
        <w:rPr>
          <w:noProof/>
        </w:rPr>
      </w:pPr>
      <w:r w:rsidRPr="00E15354">
        <w:rPr>
          <w:noProof/>
        </w:rPr>
        <w:t>30.</w:t>
      </w:r>
      <w:r w:rsidRPr="00E15354">
        <w:rPr>
          <w:noProof/>
        </w:rPr>
        <w:tab/>
        <w:t xml:space="preserve">Certificado de segurança de embarcações de alta velocidade e licença de exploração de embarcações de alta velocidade (SOLAS 1974, regra X/3.2, e Código HSC 94/00, regras 1.8.1 e 1.9); </w:t>
      </w:r>
    </w:p>
    <w:p w14:paraId="270BE6D7" w14:textId="7995F7B3" w:rsidR="00F9656B" w:rsidRPr="00E15354" w:rsidRDefault="00BC493B" w:rsidP="00BC493B">
      <w:pPr>
        <w:pStyle w:val="Point0"/>
        <w:rPr>
          <w:noProof/>
        </w:rPr>
      </w:pPr>
      <w:r w:rsidRPr="00E15354">
        <w:rPr>
          <w:noProof/>
        </w:rPr>
        <w:t>31.</w:t>
      </w:r>
      <w:r w:rsidRPr="00E15354">
        <w:rPr>
          <w:noProof/>
        </w:rPr>
        <w:tab/>
        <w:t xml:space="preserve">Documento comprovativo de que o navio satisfaz os requisitos aplicáveis ao transporte de mercadorias perigosas (SOLAS 1974, regra II-2/19.4); </w:t>
      </w:r>
    </w:p>
    <w:p w14:paraId="0EA38353" w14:textId="0C1EC7C8" w:rsidR="00F9656B" w:rsidRPr="00E15354" w:rsidRDefault="00BC493B" w:rsidP="00BC493B">
      <w:pPr>
        <w:pStyle w:val="Point0"/>
        <w:rPr>
          <w:noProof/>
        </w:rPr>
      </w:pPr>
      <w:r w:rsidRPr="00E15354">
        <w:rPr>
          <w:noProof/>
        </w:rPr>
        <w:t>32.</w:t>
      </w:r>
      <w:r w:rsidRPr="00E15354">
        <w:rPr>
          <w:noProof/>
        </w:rPr>
        <w:tab/>
        <w:t xml:space="preserve">Documento de autorização de transporte de grão e manual de carga de grão (SOLAS 1974, regra VI/9; Código Internacional para o Transporte Seguro de Grão a Granel, secção 3); </w:t>
      </w:r>
    </w:p>
    <w:p w14:paraId="31F1C9FD" w14:textId="3F1CC4CD" w:rsidR="00F9656B" w:rsidRPr="00E15354" w:rsidRDefault="00BC493B" w:rsidP="00BC493B">
      <w:pPr>
        <w:pStyle w:val="Point0"/>
        <w:rPr>
          <w:noProof/>
        </w:rPr>
      </w:pPr>
      <w:r w:rsidRPr="00E15354">
        <w:rPr>
          <w:noProof/>
        </w:rPr>
        <w:t>33.</w:t>
      </w:r>
      <w:r w:rsidRPr="00E15354">
        <w:rPr>
          <w:noProof/>
        </w:rPr>
        <w:tab/>
        <w:t>Declaração de conformidade do programa de avaliação do estado dos navios (CAS), relatório final do CAS e registo do reexame (MARPOL, anexo I, regras 20 e 21; Resolução MEPC.94(46), alterada pelas Resoluções MEPC.99(48), MEPC.112(50), MEPC.131(53), Resolução MEPC.155(55) e MEPC.236(65);</w:t>
      </w:r>
    </w:p>
    <w:p w14:paraId="23DEC9A6" w14:textId="7F5F036B" w:rsidR="00F9656B" w:rsidRPr="00E15354" w:rsidRDefault="00BC493B" w:rsidP="00BC493B">
      <w:pPr>
        <w:pStyle w:val="Point0"/>
        <w:rPr>
          <w:noProof/>
        </w:rPr>
      </w:pPr>
      <w:r w:rsidRPr="00E15354">
        <w:rPr>
          <w:noProof/>
        </w:rPr>
        <w:t>34.</w:t>
      </w:r>
      <w:r w:rsidRPr="00E15354">
        <w:rPr>
          <w:noProof/>
        </w:rPr>
        <w:tab/>
        <w:t>Cadastro sinóptico contínuo (SOLAS 1974, regra XI-1/5);</w:t>
      </w:r>
    </w:p>
    <w:p w14:paraId="34EABDDF" w14:textId="7E9648B1" w:rsidR="00F9656B" w:rsidRPr="00E15354" w:rsidRDefault="00BC493B" w:rsidP="00BC493B">
      <w:pPr>
        <w:pStyle w:val="Point0"/>
        <w:rPr>
          <w:noProof/>
        </w:rPr>
      </w:pPr>
      <w:r w:rsidRPr="00E15354">
        <w:rPr>
          <w:noProof/>
        </w:rPr>
        <w:t>35.</w:t>
      </w:r>
      <w:r w:rsidRPr="00E15354">
        <w:rPr>
          <w:noProof/>
        </w:rPr>
        <w:tab/>
        <w:t xml:space="preserve">Livro de registo de hidrocarbonetos, partes I e II (MARPOL, anexo I, regras 17 e 36); </w:t>
      </w:r>
    </w:p>
    <w:p w14:paraId="2C82E250" w14:textId="3C4CF9FE" w:rsidR="00F9656B" w:rsidRPr="00E15354" w:rsidRDefault="00BC493B" w:rsidP="00BC493B">
      <w:pPr>
        <w:pStyle w:val="Point0"/>
        <w:rPr>
          <w:noProof/>
        </w:rPr>
      </w:pPr>
      <w:r w:rsidRPr="00E15354">
        <w:rPr>
          <w:noProof/>
        </w:rPr>
        <w:t>36.</w:t>
      </w:r>
      <w:r w:rsidRPr="00E15354">
        <w:rPr>
          <w:noProof/>
        </w:rPr>
        <w:tab/>
        <w:t xml:space="preserve">Livro de registo da carga (MARPOL, anexo II, regra 15); </w:t>
      </w:r>
    </w:p>
    <w:p w14:paraId="3430E9C9" w14:textId="5C81AFC8" w:rsidR="00F9656B" w:rsidRPr="00E15354" w:rsidRDefault="00BC493B" w:rsidP="00BC493B">
      <w:pPr>
        <w:pStyle w:val="Point0"/>
        <w:rPr>
          <w:noProof/>
        </w:rPr>
      </w:pPr>
      <w:r w:rsidRPr="00E15354">
        <w:rPr>
          <w:noProof/>
        </w:rPr>
        <w:t>37.</w:t>
      </w:r>
      <w:r w:rsidRPr="00E15354">
        <w:rPr>
          <w:noProof/>
        </w:rPr>
        <w:tab/>
        <w:t xml:space="preserve">Livro de registo do lixo, partes I e II (MARPOL, anexo I, regra 10.3); (MARPOL, anexo V, regra 10); </w:t>
      </w:r>
    </w:p>
    <w:p w14:paraId="53858BE0" w14:textId="19EE138B" w:rsidR="00F9656B" w:rsidRPr="00E15354" w:rsidRDefault="00BC493B" w:rsidP="00BC493B">
      <w:pPr>
        <w:pStyle w:val="Point0"/>
        <w:rPr>
          <w:noProof/>
        </w:rPr>
      </w:pPr>
      <w:r w:rsidRPr="00E15354">
        <w:rPr>
          <w:noProof/>
        </w:rPr>
        <w:t>38.</w:t>
      </w:r>
      <w:r w:rsidRPr="00E15354">
        <w:rPr>
          <w:noProof/>
        </w:rPr>
        <w:tab/>
        <w:t xml:space="preserve">Plano de gestão do lixo (MARPOL, anexo V, regra 10; Resolução n.º MEPC.220/63); </w:t>
      </w:r>
    </w:p>
    <w:p w14:paraId="4553F1A2" w14:textId="46322348" w:rsidR="00F9656B" w:rsidRPr="00E15354" w:rsidRDefault="00BC493B" w:rsidP="00BC493B">
      <w:pPr>
        <w:pStyle w:val="Point0"/>
        <w:rPr>
          <w:noProof/>
        </w:rPr>
      </w:pPr>
      <w:r w:rsidRPr="00E15354">
        <w:rPr>
          <w:noProof/>
        </w:rPr>
        <w:t>39.</w:t>
      </w:r>
      <w:r w:rsidRPr="00E15354">
        <w:rPr>
          <w:noProof/>
        </w:rPr>
        <w:tab/>
        <w:t xml:space="preserve">Diário de bordo e registos do nível e do estado ligado/desligado dos motores Diesel marítimos (MARPOL, anexo VI, regra 13.5.3); </w:t>
      </w:r>
    </w:p>
    <w:p w14:paraId="4069A4D9" w14:textId="38DBB71A" w:rsidR="00F9656B" w:rsidRPr="00E15354" w:rsidRDefault="00BC493B" w:rsidP="00BC493B">
      <w:pPr>
        <w:pStyle w:val="Point0"/>
        <w:rPr>
          <w:noProof/>
        </w:rPr>
      </w:pPr>
      <w:r w:rsidRPr="00E15354">
        <w:rPr>
          <w:noProof/>
        </w:rPr>
        <w:t>40.</w:t>
      </w:r>
      <w:r w:rsidRPr="00E15354">
        <w:rPr>
          <w:noProof/>
        </w:rPr>
        <w:tab/>
        <w:t>Diário de bordo para a substituição de fuelóleo (MARPOL, anexo VI, regra 14.6);</w:t>
      </w:r>
    </w:p>
    <w:p w14:paraId="2FE6003C" w14:textId="2F13EE3A" w:rsidR="00F9656B" w:rsidRPr="00E15354" w:rsidRDefault="00BC493B" w:rsidP="00BC493B">
      <w:pPr>
        <w:pStyle w:val="Point0"/>
        <w:rPr>
          <w:noProof/>
        </w:rPr>
      </w:pPr>
      <w:r w:rsidRPr="00E15354">
        <w:rPr>
          <w:noProof/>
        </w:rPr>
        <w:t>41.</w:t>
      </w:r>
      <w:r w:rsidRPr="00E15354">
        <w:rPr>
          <w:noProof/>
        </w:rPr>
        <w:tab/>
        <w:t xml:space="preserve">Livro de registo de substâncias destruidoras da camada de ozono (MARPOL, anexo VI, regra 12.6); </w:t>
      </w:r>
    </w:p>
    <w:p w14:paraId="25A3CAC0" w14:textId="5646BF5E" w:rsidR="00F9656B" w:rsidRPr="00E15354" w:rsidRDefault="00BC493B" w:rsidP="00BC493B">
      <w:pPr>
        <w:pStyle w:val="Point0"/>
        <w:rPr>
          <w:noProof/>
        </w:rPr>
      </w:pPr>
      <w:r w:rsidRPr="00E15354">
        <w:rPr>
          <w:noProof/>
        </w:rPr>
        <w:t>42.</w:t>
      </w:r>
      <w:r w:rsidRPr="00E15354">
        <w:rPr>
          <w:noProof/>
        </w:rPr>
        <w:tab/>
        <w:t xml:space="preserve">Livro de registo das águas de lastro (BWRB) [BWMC, artigo 9.1, alínea b), e regra B-2]; </w:t>
      </w:r>
    </w:p>
    <w:p w14:paraId="17A5F022" w14:textId="0F4CA8C7" w:rsidR="00F9656B" w:rsidRPr="00E15354" w:rsidRDefault="00BC493B" w:rsidP="00BC493B">
      <w:pPr>
        <w:pStyle w:val="Point0"/>
        <w:rPr>
          <w:noProof/>
        </w:rPr>
      </w:pPr>
      <w:r w:rsidRPr="00E15354">
        <w:rPr>
          <w:noProof/>
        </w:rPr>
        <w:t>43.</w:t>
      </w:r>
      <w:r w:rsidRPr="00E15354">
        <w:rPr>
          <w:noProof/>
        </w:rPr>
        <w:tab/>
        <w:t xml:space="preserve">Instalações fixas de extinção de incêndios com gás — Certificado de isenção dos espaços de carga e qualquer lista de cargas (SOLAS 1974, regra II-2/10.7.1.4); </w:t>
      </w:r>
    </w:p>
    <w:p w14:paraId="53FA0DA9" w14:textId="5BDFC15B" w:rsidR="00F9656B" w:rsidRPr="00E15354" w:rsidRDefault="00BC493B" w:rsidP="00BC493B">
      <w:pPr>
        <w:pStyle w:val="Point0"/>
        <w:rPr>
          <w:noProof/>
        </w:rPr>
      </w:pPr>
      <w:r w:rsidRPr="00E15354">
        <w:rPr>
          <w:noProof/>
        </w:rPr>
        <w:t>44.</w:t>
      </w:r>
      <w:r w:rsidRPr="00E15354">
        <w:rPr>
          <w:noProof/>
        </w:rPr>
        <w:tab/>
        <w:t>Manifesto ou plano de estiva das mercadorias perigosas (SOLAS 1974, regras VII/4 e VII/7-2; (MARPOL, anexo III, regra 54);</w:t>
      </w:r>
    </w:p>
    <w:p w14:paraId="3AEAE6E9" w14:textId="6D91470C" w:rsidR="00F9656B" w:rsidRPr="00E15354" w:rsidRDefault="00BC493B" w:rsidP="00BC493B">
      <w:pPr>
        <w:pStyle w:val="Point0"/>
        <w:rPr>
          <w:noProof/>
        </w:rPr>
      </w:pPr>
      <w:r w:rsidRPr="00E15354">
        <w:rPr>
          <w:noProof/>
        </w:rPr>
        <w:t>45.</w:t>
      </w:r>
      <w:r w:rsidRPr="00E15354">
        <w:rPr>
          <w:noProof/>
        </w:rPr>
        <w:tab/>
        <w:t xml:space="preserve">Para navios petroleiros, os registos do equipamento monitor de descarga de hidrocarbonetos relativos à última viagem em lastro (MARPOL, Anexo I, regra 31.2); </w:t>
      </w:r>
    </w:p>
    <w:p w14:paraId="60A93C4E" w14:textId="714DFE95" w:rsidR="00F9656B" w:rsidRPr="00E15354" w:rsidRDefault="00BC493B" w:rsidP="00BC493B">
      <w:pPr>
        <w:pStyle w:val="Point0"/>
        <w:rPr>
          <w:noProof/>
        </w:rPr>
      </w:pPr>
      <w:r w:rsidRPr="00E15354">
        <w:rPr>
          <w:noProof/>
        </w:rPr>
        <w:t>46.</w:t>
      </w:r>
      <w:r w:rsidRPr="00E15354">
        <w:rPr>
          <w:noProof/>
        </w:rPr>
        <w:tab/>
        <w:t xml:space="preserve">Plano de cooperação em matéria de busca e salvamento para navios de passageiros que operam em ligações fixas (SOLAS 1974, regra V/7.3); </w:t>
      </w:r>
    </w:p>
    <w:p w14:paraId="577B5700" w14:textId="74DE7D93" w:rsidR="00F9656B" w:rsidRPr="00E15354" w:rsidRDefault="00BC493B" w:rsidP="00BC493B">
      <w:pPr>
        <w:pStyle w:val="Point0"/>
        <w:rPr>
          <w:noProof/>
        </w:rPr>
      </w:pPr>
      <w:r w:rsidRPr="00E15354">
        <w:rPr>
          <w:noProof/>
        </w:rPr>
        <w:t>47.</w:t>
      </w:r>
      <w:r w:rsidRPr="00E15354">
        <w:rPr>
          <w:noProof/>
        </w:rPr>
        <w:tab/>
        <w:t xml:space="preserve">Para os navios de passageiros, lista de limitações operacionais (SOLAS 1974, regra V/30.2); </w:t>
      </w:r>
    </w:p>
    <w:p w14:paraId="31C56C99" w14:textId="4CD61143" w:rsidR="00F9656B" w:rsidRPr="00E15354" w:rsidRDefault="00BC493B" w:rsidP="00BC493B">
      <w:pPr>
        <w:pStyle w:val="Point0"/>
        <w:rPr>
          <w:noProof/>
        </w:rPr>
      </w:pPr>
      <w:r w:rsidRPr="00E15354">
        <w:rPr>
          <w:noProof/>
        </w:rPr>
        <w:t>48.</w:t>
      </w:r>
      <w:r w:rsidRPr="00E15354">
        <w:rPr>
          <w:noProof/>
        </w:rPr>
        <w:tab/>
        <w:t xml:space="preserve">Cartas náuticas e publicações náuticas (SOLAS 1974, regras V/19.2.1.4 e V/27); </w:t>
      </w:r>
    </w:p>
    <w:p w14:paraId="7DE3FC00" w14:textId="102C78F0" w:rsidR="00F9656B" w:rsidRPr="00E15354" w:rsidRDefault="00BC493B" w:rsidP="00BC493B">
      <w:pPr>
        <w:pStyle w:val="Point0"/>
        <w:rPr>
          <w:noProof/>
        </w:rPr>
      </w:pPr>
      <w:r w:rsidRPr="00E15354">
        <w:rPr>
          <w:noProof/>
        </w:rPr>
        <w:t>49.</w:t>
      </w:r>
      <w:r w:rsidRPr="00E15354">
        <w:rPr>
          <w:noProof/>
        </w:rPr>
        <w:tab/>
        <w:t xml:space="preserve">Registos das horas de descanso e quadro da organização do trabalho a bordo (Código STCW, secções A-VIII/1.5 e 1.7, Convenção n.º 180 da OIT, artigos 5.7 e 8.1, e CTM de 2006, normas A.2.3.10 e A.2.3.12); </w:t>
      </w:r>
    </w:p>
    <w:p w14:paraId="2E4784B6" w14:textId="05291DC3" w:rsidR="00F9656B" w:rsidRPr="00E15354" w:rsidRDefault="00BC493B" w:rsidP="00BC493B">
      <w:pPr>
        <w:pStyle w:val="Point0"/>
        <w:rPr>
          <w:noProof/>
        </w:rPr>
      </w:pPr>
      <w:r w:rsidRPr="00E15354">
        <w:rPr>
          <w:noProof/>
        </w:rPr>
        <w:t>50.</w:t>
      </w:r>
      <w:r w:rsidRPr="00E15354">
        <w:rPr>
          <w:noProof/>
        </w:rPr>
        <w:tab/>
        <w:t>Provas de espaços de máquinas sem assistência permanente (UMS) (SOLAS 1974, regra II-I/46.3);</w:t>
      </w:r>
    </w:p>
    <w:p w14:paraId="08BB0593" w14:textId="07E729A6" w:rsidR="00F9656B" w:rsidRPr="00E15354" w:rsidRDefault="00BC493B" w:rsidP="00BC493B">
      <w:pPr>
        <w:pStyle w:val="Point0"/>
        <w:rPr>
          <w:noProof/>
        </w:rPr>
      </w:pPr>
      <w:r w:rsidRPr="00E15354">
        <w:rPr>
          <w:noProof/>
        </w:rPr>
        <w:t>51.</w:t>
      </w:r>
      <w:r w:rsidRPr="00E15354">
        <w:rPr>
          <w:noProof/>
        </w:rPr>
        <w:tab/>
        <w:t>Certificados exigidos nos termos da Diretiva 2009/20/CE do Parlamento Europeu e do Conselho, de 23 de abril de 2009, relativa ao seguro dos proprietários de navios para os sinistros marítimos;</w:t>
      </w:r>
    </w:p>
    <w:p w14:paraId="09D18883" w14:textId="317DBFA4" w:rsidR="00F9656B" w:rsidRPr="00E15354" w:rsidRDefault="00BC493B" w:rsidP="00BC493B">
      <w:pPr>
        <w:pStyle w:val="Point0"/>
        <w:rPr>
          <w:noProof/>
        </w:rPr>
      </w:pPr>
      <w:r w:rsidRPr="00E15354">
        <w:rPr>
          <w:noProof/>
        </w:rPr>
        <w:t>52.</w:t>
      </w:r>
      <w:r w:rsidRPr="00E15354">
        <w:rPr>
          <w:noProof/>
        </w:rPr>
        <w:tab/>
        <w:t>Certificado exigido ao abrigo do Regulamento (CE) n.º 392/2009, do Parlamento Europeu e do Conselho, de 23 de abril de 2009, relativo à responsabilidade dos transportadores de passageiros por mar em caso de acidente;</w:t>
      </w:r>
    </w:p>
    <w:p w14:paraId="466EAE3B" w14:textId="6967C234" w:rsidR="00F9656B" w:rsidRPr="00E15354" w:rsidRDefault="00BC493B" w:rsidP="00BC493B">
      <w:pPr>
        <w:pStyle w:val="Point0"/>
        <w:rPr>
          <w:noProof/>
        </w:rPr>
      </w:pPr>
      <w:r w:rsidRPr="00E15354">
        <w:rPr>
          <w:noProof/>
        </w:rPr>
        <w:t>53.</w:t>
      </w:r>
      <w:r w:rsidRPr="00E15354">
        <w:rPr>
          <w:noProof/>
        </w:rPr>
        <w:tab/>
        <w:t>Certificado de inventário de matérias perigosas ou declaração de conformidade, consoante aplicável, nos termos do Regulamento (UE) n.º 1257/2013 do Parlamento Europeu e do Conselho; e</w:t>
      </w:r>
    </w:p>
    <w:p w14:paraId="1F1EE075" w14:textId="2031C2CF" w:rsidR="00F9656B" w:rsidRPr="00E15354" w:rsidRDefault="00BC493B" w:rsidP="00BC493B">
      <w:pPr>
        <w:pStyle w:val="Point0"/>
        <w:rPr>
          <w:noProof/>
        </w:rPr>
      </w:pPr>
      <w:r w:rsidRPr="00E15354">
        <w:rPr>
          <w:noProof/>
        </w:rPr>
        <w:t>54.</w:t>
      </w:r>
      <w:r w:rsidRPr="00E15354">
        <w:rPr>
          <w:noProof/>
        </w:rPr>
        <w:tab/>
        <w:t>Documento de conformidade emitido ao abrigo do Regulamento (UE) 2015/757 do Parlamento Europeu e do Conselho, de 29 de abril de 2015, relativo à monitorização, comunicação e verificação das emissões de dióxido de carbono provenientes do transporte marítimo e que altera a Diretiva 2009/16/CE.</w:t>
      </w:r>
    </w:p>
    <w:p w14:paraId="7E95A5DE" w14:textId="77777777" w:rsidR="00F9656B" w:rsidRPr="00E15354" w:rsidRDefault="00F9656B" w:rsidP="00F9656B">
      <w:pPr>
        <w:rPr>
          <w:noProof/>
        </w:rPr>
      </w:pPr>
      <w:r w:rsidRPr="00E15354">
        <w:rPr>
          <w:noProof/>
        </w:rPr>
        <w:t>Parte B Lista de outros certificados e documentos que, na medida em que tal for aplicável, devem encontrar-se a bordo (consoante o caso):</w:t>
      </w:r>
    </w:p>
    <w:p w14:paraId="4E092CC9" w14:textId="007876ED" w:rsidR="00F9656B" w:rsidRPr="00E15354" w:rsidRDefault="00BC493B" w:rsidP="00BC493B">
      <w:pPr>
        <w:pStyle w:val="Point0"/>
        <w:rPr>
          <w:noProof/>
        </w:rPr>
      </w:pPr>
      <w:r w:rsidRPr="00E15354">
        <w:rPr>
          <w:noProof/>
        </w:rPr>
        <w:t>1.</w:t>
      </w:r>
      <w:r w:rsidRPr="00E15354">
        <w:rPr>
          <w:noProof/>
        </w:rPr>
        <w:tab/>
        <w:t xml:space="preserve">Desenhos de construção (SOLAS, regra II-1/3-7); </w:t>
      </w:r>
    </w:p>
    <w:p w14:paraId="5107EDAA" w14:textId="55603C9E" w:rsidR="00F9656B" w:rsidRPr="00E15354" w:rsidRDefault="00BC493B" w:rsidP="00BC493B">
      <w:pPr>
        <w:pStyle w:val="Point0"/>
        <w:rPr>
          <w:noProof/>
        </w:rPr>
      </w:pPr>
      <w:r w:rsidRPr="00E15354">
        <w:rPr>
          <w:noProof/>
        </w:rPr>
        <w:t>2.</w:t>
      </w:r>
      <w:r w:rsidRPr="00E15354">
        <w:rPr>
          <w:noProof/>
        </w:rPr>
        <w:tab/>
        <w:t>Dossiê de construção do navio (SOLAS, regra II-1/3-10);</w:t>
      </w:r>
    </w:p>
    <w:p w14:paraId="38357A03" w14:textId="29735D96" w:rsidR="00F9656B" w:rsidRPr="00E15354" w:rsidRDefault="00BC493B" w:rsidP="00BC493B">
      <w:pPr>
        <w:pStyle w:val="Point0"/>
        <w:rPr>
          <w:noProof/>
        </w:rPr>
      </w:pPr>
      <w:r w:rsidRPr="00E15354">
        <w:rPr>
          <w:noProof/>
        </w:rPr>
        <w:t>3.</w:t>
      </w:r>
      <w:r w:rsidRPr="00E15354">
        <w:rPr>
          <w:noProof/>
        </w:rPr>
        <w:tab/>
        <w:t xml:space="preserve">Caderno de manobras e informações sobre manobras (SOLAS, regra II-1/28); </w:t>
      </w:r>
    </w:p>
    <w:p w14:paraId="7696841A" w14:textId="4D96A723" w:rsidR="00F9656B" w:rsidRPr="00E15354" w:rsidRDefault="00BC493B" w:rsidP="00BC493B">
      <w:pPr>
        <w:pStyle w:val="Point0"/>
        <w:rPr>
          <w:noProof/>
        </w:rPr>
      </w:pPr>
      <w:r w:rsidRPr="00E15354">
        <w:rPr>
          <w:noProof/>
        </w:rPr>
        <w:t>4.</w:t>
      </w:r>
      <w:r w:rsidRPr="00E15354">
        <w:rPr>
          <w:noProof/>
        </w:rPr>
        <w:tab/>
        <w:t xml:space="preserve">Informações sobre a estabilidade (SOLAS, regras II-1/5 e II-1/5-1, e LLC 66/88, regra 10); </w:t>
      </w:r>
    </w:p>
    <w:p w14:paraId="0756D06F" w14:textId="66DABDF8" w:rsidR="00F9656B" w:rsidRPr="00E15354" w:rsidRDefault="00BC493B" w:rsidP="00BC493B">
      <w:pPr>
        <w:pStyle w:val="Point0"/>
        <w:rPr>
          <w:noProof/>
        </w:rPr>
      </w:pPr>
      <w:r w:rsidRPr="00E15354">
        <w:rPr>
          <w:noProof/>
        </w:rPr>
        <w:t>5.</w:t>
      </w:r>
      <w:r w:rsidRPr="00E15354">
        <w:rPr>
          <w:noProof/>
        </w:rPr>
        <w:tab/>
        <w:t xml:space="preserve">Informações sobre a subdivisão e a estabilidade (MARPOL, anexo I, regra 28); </w:t>
      </w:r>
    </w:p>
    <w:p w14:paraId="2886F6E3" w14:textId="03FF521C" w:rsidR="00F9656B" w:rsidRPr="00E15354" w:rsidRDefault="00BC493B" w:rsidP="00BC493B">
      <w:pPr>
        <w:pStyle w:val="Point0"/>
        <w:rPr>
          <w:noProof/>
        </w:rPr>
      </w:pPr>
      <w:r w:rsidRPr="00E15354">
        <w:rPr>
          <w:noProof/>
        </w:rPr>
        <w:t>6.</w:t>
      </w:r>
      <w:r w:rsidRPr="00E15354">
        <w:rPr>
          <w:noProof/>
        </w:rPr>
        <w:tab/>
        <w:t>Cadernos e planos de limitação de avarias (SOLAS, regra II-1/19; MSC.1/Circ.1245)</w:t>
      </w:r>
    </w:p>
    <w:p w14:paraId="5CBA1DA8" w14:textId="6AD479A3" w:rsidR="00F9656B" w:rsidRPr="00E15354" w:rsidRDefault="00BC493B" w:rsidP="00BC493B">
      <w:pPr>
        <w:pStyle w:val="Point0"/>
        <w:rPr>
          <w:noProof/>
        </w:rPr>
      </w:pPr>
      <w:r w:rsidRPr="00E15354">
        <w:rPr>
          <w:noProof/>
        </w:rPr>
        <w:t>7.</w:t>
      </w:r>
      <w:r w:rsidRPr="00E15354">
        <w:rPr>
          <w:noProof/>
        </w:rPr>
        <w:tab/>
        <w:t xml:space="preserve">Manual de Acesso à Estrutura do Navio (SOLAS, regra II-1/3-6); </w:t>
      </w:r>
    </w:p>
    <w:p w14:paraId="6B10A2E6" w14:textId="008A58E9" w:rsidR="00F9656B" w:rsidRPr="00E15354" w:rsidRDefault="00BC493B" w:rsidP="00BC493B">
      <w:pPr>
        <w:pStyle w:val="Point0"/>
        <w:rPr>
          <w:noProof/>
        </w:rPr>
      </w:pPr>
      <w:r w:rsidRPr="00E15354">
        <w:rPr>
          <w:noProof/>
        </w:rPr>
        <w:t>8.</w:t>
      </w:r>
      <w:r w:rsidRPr="00E15354">
        <w:rPr>
          <w:noProof/>
        </w:rPr>
        <w:tab/>
        <w:t xml:space="preserve">Dossiês dos relatórios de inspeção alargada (no caso de graneleiros ou petroleiros) (SOLAS, regra XI-1/2, e Código ESP de 2011, anexo A, pontos 6.2 e 6.3, partes A e B, e anexo B, partes A e B); </w:t>
      </w:r>
    </w:p>
    <w:p w14:paraId="78464ED5" w14:textId="16D1C8E2" w:rsidR="00F9656B" w:rsidRPr="00E15354" w:rsidRDefault="00BC493B" w:rsidP="00BC493B">
      <w:pPr>
        <w:pStyle w:val="Point0"/>
        <w:rPr>
          <w:noProof/>
        </w:rPr>
      </w:pPr>
      <w:r w:rsidRPr="00E15354">
        <w:rPr>
          <w:noProof/>
        </w:rPr>
        <w:t>9.</w:t>
      </w:r>
      <w:r w:rsidRPr="00E15354">
        <w:rPr>
          <w:noProof/>
        </w:rPr>
        <w:tab/>
        <w:t xml:space="preserve">Manual de fixação da carga (SOLAS, regras VI/5.6 e VII/5; MSC.1/Circ.1353/Rev.1); </w:t>
      </w:r>
    </w:p>
    <w:p w14:paraId="3C4B3631" w14:textId="3CAB0D10" w:rsidR="00F9656B" w:rsidRPr="00E15354" w:rsidRDefault="00BC493B" w:rsidP="00BC493B">
      <w:pPr>
        <w:pStyle w:val="Point0"/>
        <w:rPr>
          <w:noProof/>
        </w:rPr>
      </w:pPr>
      <w:r w:rsidRPr="00E15354">
        <w:rPr>
          <w:noProof/>
        </w:rPr>
        <w:t>10.</w:t>
      </w:r>
      <w:r w:rsidRPr="00E15354">
        <w:rPr>
          <w:noProof/>
        </w:rPr>
        <w:tab/>
        <w:t xml:space="preserve">Caderno de navio graneleiro (SOLAS, regras VI/7.2 e XII/8, Código BLU); </w:t>
      </w:r>
    </w:p>
    <w:p w14:paraId="2C6AD689" w14:textId="0E0796E1" w:rsidR="00F9656B" w:rsidRPr="00E15354" w:rsidRDefault="00BC493B" w:rsidP="00BC493B">
      <w:pPr>
        <w:pStyle w:val="Point0"/>
        <w:rPr>
          <w:noProof/>
        </w:rPr>
      </w:pPr>
      <w:r w:rsidRPr="00E15354">
        <w:rPr>
          <w:noProof/>
        </w:rPr>
        <w:t>11.</w:t>
      </w:r>
      <w:r w:rsidRPr="00E15354">
        <w:rPr>
          <w:noProof/>
        </w:rPr>
        <w:tab/>
        <w:t xml:space="preserve">Plano de carga/descarga para navios graneleiros (SOLAS, regra VI/7.3); </w:t>
      </w:r>
    </w:p>
    <w:p w14:paraId="19B50C5B" w14:textId="69389B09" w:rsidR="00F9656B" w:rsidRPr="00E15354" w:rsidRDefault="00BC493B" w:rsidP="00BC493B">
      <w:pPr>
        <w:pStyle w:val="Point0"/>
        <w:rPr>
          <w:noProof/>
        </w:rPr>
      </w:pPr>
      <w:r w:rsidRPr="00E15354">
        <w:rPr>
          <w:noProof/>
        </w:rPr>
        <w:t>12.</w:t>
      </w:r>
      <w:r w:rsidRPr="00E15354">
        <w:rPr>
          <w:noProof/>
        </w:rPr>
        <w:tab/>
        <w:t>Informações sobre a carga (SOLAS, regras VI/2 e XII/10, MSC/Circ.663);</w:t>
      </w:r>
    </w:p>
    <w:p w14:paraId="51A7B694" w14:textId="7A2E8616" w:rsidR="00F9656B" w:rsidRPr="00E15354" w:rsidRDefault="00BC493B" w:rsidP="00BC493B">
      <w:pPr>
        <w:pStyle w:val="Point0"/>
        <w:rPr>
          <w:noProof/>
        </w:rPr>
      </w:pPr>
      <w:r w:rsidRPr="00E15354">
        <w:rPr>
          <w:noProof/>
        </w:rPr>
        <w:t>13.</w:t>
      </w:r>
      <w:r w:rsidRPr="00E15354">
        <w:rPr>
          <w:noProof/>
        </w:rPr>
        <w:tab/>
        <w:t xml:space="preserve">Caderno/plano de combate a incêndios (SOLAS, regras II-2/15.2.4 e II-2/15.3.2); </w:t>
      </w:r>
    </w:p>
    <w:p w14:paraId="2A143C76" w14:textId="53527A5C" w:rsidR="00F9656B" w:rsidRPr="00E15354" w:rsidRDefault="00BC493B" w:rsidP="00BC493B">
      <w:pPr>
        <w:pStyle w:val="Point0"/>
        <w:rPr>
          <w:noProof/>
        </w:rPr>
      </w:pPr>
      <w:r w:rsidRPr="00E15354">
        <w:rPr>
          <w:noProof/>
        </w:rPr>
        <w:t>14.</w:t>
      </w:r>
      <w:r w:rsidRPr="00E15354">
        <w:rPr>
          <w:noProof/>
        </w:rPr>
        <w:tab/>
        <w:t xml:space="preserve">Caderno operacional de segurança contra incêndios (SOLAS, regra II-2/16.2); </w:t>
      </w:r>
    </w:p>
    <w:p w14:paraId="65603589" w14:textId="352E5DFB" w:rsidR="00F9656B" w:rsidRPr="00E15354" w:rsidRDefault="00BC493B" w:rsidP="00BC493B">
      <w:pPr>
        <w:pStyle w:val="Point0"/>
        <w:rPr>
          <w:noProof/>
        </w:rPr>
      </w:pPr>
      <w:r w:rsidRPr="00E15354">
        <w:rPr>
          <w:noProof/>
        </w:rPr>
        <w:t>15.</w:t>
      </w:r>
      <w:r w:rsidRPr="00E15354">
        <w:rPr>
          <w:noProof/>
        </w:rPr>
        <w:tab/>
        <w:t>Manual de formação sobre segurança contra incêndios (SOLAS, regra II-2/15.2.3);</w:t>
      </w:r>
    </w:p>
    <w:p w14:paraId="36F2AB3A" w14:textId="7E665E24" w:rsidR="00F9656B" w:rsidRPr="00E15354" w:rsidRDefault="00BC493B" w:rsidP="00BC493B">
      <w:pPr>
        <w:pStyle w:val="Point0"/>
        <w:rPr>
          <w:noProof/>
        </w:rPr>
      </w:pPr>
      <w:r w:rsidRPr="00E15354">
        <w:rPr>
          <w:noProof/>
        </w:rPr>
        <w:t>16.</w:t>
      </w:r>
      <w:r w:rsidRPr="00E15354">
        <w:rPr>
          <w:noProof/>
        </w:rPr>
        <w:tab/>
        <w:t xml:space="preserve">Manual de formação (SOLAS, regra III/35); </w:t>
      </w:r>
    </w:p>
    <w:p w14:paraId="169F9D79" w14:textId="335BE59F" w:rsidR="00F9656B" w:rsidRPr="00E15354" w:rsidRDefault="00BC493B" w:rsidP="00BC493B">
      <w:pPr>
        <w:pStyle w:val="Point0"/>
        <w:rPr>
          <w:noProof/>
        </w:rPr>
      </w:pPr>
      <w:r w:rsidRPr="00E15354">
        <w:rPr>
          <w:noProof/>
        </w:rPr>
        <w:t>17.</w:t>
      </w:r>
      <w:r w:rsidRPr="00E15354">
        <w:rPr>
          <w:noProof/>
        </w:rPr>
        <w:tab/>
        <w:t xml:space="preserve">Registos de formação, exercícios e manutenção a bordo (SOLAS, regra II-2/15.2.2.5 e regras III/19.3, III/19.5, III/20.6 e III/20.7); </w:t>
      </w:r>
    </w:p>
    <w:p w14:paraId="0468F6CA" w14:textId="1FA209D6" w:rsidR="00F9656B" w:rsidRPr="00E15354" w:rsidRDefault="00BC493B" w:rsidP="00BC493B">
      <w:pPr>
        <w:pStyle w:val="Point0"/>
        <w:rPr>
          <w:noProof/>
        </w:rPr>
      </w:pPr>
      <w:r w:rsidRPr="00E15354">
        <w:rPr>
          <w:noProof/>
        </w:rPr>
        <w:t>18.</w:t>
      </w:r>
      <w:r w:rsidRPr="00E15354">
        <w:rPr>
          <w:noProof/>
        </w:rPr>
        <w:tab/>
        <w:t xml:space="preserve">Planos e procedimentos específicos do navio para o resgate de pessoas caídas à água (SOLAS, regra III/17-1; MSC.346(91); MSC.1/Circ.1447); </w:t>
      </w:r>
    </w:p>
    <w:p w14:paraId="49D04FF7" w14:textId="4850CC61" w:rsidR="00F9656B" w:rsidRPr="00E15354" w:rsidRDefault="00BC493B" w:rsidP="00BC493B">
      <w:pPr>
        <w:pStyle w:val="Point0"/>
        <w:rPr>
          <w:noProof/>
        </w:rPr>
      </w:pPr>
      <w:r w:rsidRPr="00E15354">
        <w:rPr>
          <w:noProof/>
        </w:rPr>
        <w:t>19.</w:t>
      </w:r>
      <w:r w:rsidRPr="00E15354">
        <w:rPr>
          <w:noProof/>
        </w:rPr>
        <w:tab/>
        <w:t xml:space="preserve">Sistema de apoio à tomada de decisões para comandantes (navios de passageiros) (SOLAS, regra III/29); </w:t>
      </w:r>
    </w:p>
    <w:p w14:paraId="5798937E" w14:textId="1C3AA4DD" w:rsidR="00F9656B" w:rsidRPr="00E15354" w:rsidRDefault="00BC493B" w:rsidP="00BC493B">
      <w:pPr>
        <w:pStyle w:val="Point0"/>
        <w:rPr>
          <w:noProof/>
        </w:rPr>
      </w:pPr>
      <w:r w:rsidRPr="00E15354">
        <w:rPr>
          <w:noProof/>
        </w:rPr>
        <w:t>20.</w:t>
      </w:r>
      <w:r w:rsidRPr="00E15354">
        <w:rPr>
          <w:noProof/>
        </w:rPr>
        <w:tab/>
        <w:t xml:space="preserve">Código Internacional de Sinais e cópia do volume III do Manual IAMSAR (SOLAS, regra V/21); </w:t>
      </w:r>
    </w:p>
    <w:p w14:paraId="135F1DAC" w14:textId="0827D9A8" w:rsidR="00F9656B" w:rsidRPr="00E15354" w:rsidRDefault="00BC493B" w:rsidP="00BC493B">
      <w:pPr>
        <w:pStyle w:val="Point0"/>
        <w:rPr>
          <w:noProof/>
        </w:rPr>
      </w:pPr>
      <w:r w:rsidRPr="00E15354">
        <w:rPr>
          <w:noProof/>
        </w:rPr>
        <w:t>21.</w:t>
      </w:r>
      <w:r w:rsidRPr="00E15354">
        <w:rPr>
          <w:noProof/>
        </w:rPr>
        <w:tab/>
        <w:t>Registos das atividades de navegação (SOLAS, regras V/26 e V/28.1);</w:t>
      </w:r>
    </w:p>
    <w:p w14:paraId="4301FB3E" w14:textId="41EE681C" w:rsidR="00F9656B" w:rsidRPr="00E15354" w:rsidRDefault="00BC493B" w:rsidP="00BC493B">
      <w:pPr>
        <w:pStyle w:val="Point0"/>
        <w:rPr>
          <w:noProof/>
        </w:rPr>
      </w:pPr>
      <w:r w:rsidRPr="00E15354">
        <w:rPr>
          <w:noProof/>
        </w:rPr>
        <w:t>22.</w:t>
      </w:r>
      <w:r w:rsidRPr="00E15354">
        <w:rPr>
          <w:noProof/>
        </w:rPr>
        <w:tab/>
        <w:t xml:space="preserve">Plano de proteção do navio e registos associados (SOLAS, regra XI-2/9, e Código ISPS, partes A/9 e 10); </w:t>
      </w:r>
    </w:p>
    <w:p w14:paraId="3E10565C" w14:textId="175A3C77" w:rsidR="00F9656B" w:rsidRPr="00E15354" w:rsidRDefault="00BC493B" w:rsidP="00BC493B">
      <w:pPr>
        <w:pStyle w:val="Point0"/>
        <w:rPr>
          <w:noProof/>
        </w:rPr>
      </w:pPr>
      <w:r w:rsidRPr="00E15354">
        <w:rPr>
          <w:noProof/>
        </w:rPr>
        <w:t>23.</w:t>
      </w:r>
      <w:r w:rsidRPr="00E15354">
        <w:rPr>
          <w:noProof/>
        </w:rPr>
        <w:tab/>
        <w:t xml:space="preserve">Certificado internacional de prevenção da poluição do ar por motores (EIAPPC) (Código técnico NOX de 2008, regra 2.1.1.1); </w:t>
      </w:r>
    </w:p>
    <w:p w14:paraId="13CDE349" w14:textId="69BDC31B" w:rsidR="00F9656B" w:rsidRPr="00E15354" w:rsidRDefault="00BC493B" w:rsidP="00BC493B">
      <w:pPr>
        <w:pStyle w:val="Point0"/>
        <w:rPr>
          <w:noProof/>
        </w:rPr>
      </w:pPr>
      <w:r w:rsidRPr="00E15354">
        <w:rPr>
          <w:noProof/>
        </w:rPr>
        <w:t>24.</w:t>
      </w:r>
      <w:r w:rsidRPr="00E15354">
        <w:rPr>
          <w:noProof/>
        </w:rPr>
        <w:tab/>
        <w:t xml:space="preserve">Dossiê técnico EEDI (MARPOL, anexo VI, regra 20); </w:t>
      </w:r>
    </w:p>
    <w:p w14:paraId="5C953585" w14:textId="11CF441D" w:rsidR="00F9656B" w:rsidRPr="00E15354" w:rsidRDefault="00BC493B" w:rsidP="00BC493B">
      <w:pPr>
        <w:pStyle w:val="Point0"/>
        <w:rPr>
          <w:noProof/>
        </w:rPr>
      </w:pPr>
      <w:r w:rsidRPr="00E15354">
        <w:rPr>
          <w:noProof/>
        </w:rPr>
        <w:t>25.</w:t>
      </w:r>
      <w:r w:rsidRPr="00E15354">
        <w:rPr>
          <w:noProof/>
        </w:rPr>
        <w:tab/>
        <w:t xml:space="preserve">Dossiês técnicos (Código técnico NOX de 2008, regra 2.3.4); </w:t>
      </w:r>
    </w:p>
    <w:p w14:paraId="63330C86" w14:textId="7DD91280" w:rsidR="00F9656B" w:rsidRPr="00E15354" w:rsidRDefault="00BC493B" w:rsidP="00BC493B">
      <w:pPr>
        <w:pStyle w:val="Point0"/>
        <w:rPr>
          <w:noProof/>
        </w:rPr>
      </w:pPr>
      <w:r w:rsidRPr="00E15354">
        <w:rPr>
          <w:noProof/>
        </w:rPr>
        <w:t>26.</w:t>
      </w:r>
      <w:r w:rsidRPr="00E15354">
        <w:rPr>
          <w:noProof/>
        </w:rPr>
        <w:tab/>
        <w:t>Livro de registo dos parâmetros do motor (Código técnico NOX, regra 2.3.7);</w:t>
      </w:r>
    </w:p>
    <w:p w14:paraId="38746F62" w14:textId="25A1B573" w:rsidR="00F9656B" w:rsidRPr="00E15354" w:rsidRDefault="00BC493B" w:rsidP="00BC493B">
      <w:pPr>
        <w:pStyle w:val="Point0"/>
        <w:rPr>
          <w:noProof/>
        </w:rPr>
      </w:pPr>
      <w:r w:rsidRPr="00E15354">
        <w:rPr>
          <w:noProof/>
        </w:rPr>
        <w:t>27.</w:t>
      </w:r>
      <w:r w:rsidRPr="00E15354">
        <w:rPr>
          <w:noProof/>
        </w:rPr>
        <w:tab/>
        <w:t>Certificado de homologação do incinerador (MARPOL, anexo VI, regra 16.6);</w:t>
      </w:r>
    </w:p>
    <w:p w14:paraId="65E1E25C" w14:textId="6426D383" w:rsidR="00F9656B" w:rsidRPr="00E15354" w:rsidRDefault="00BC493B" w:rsidP="00BC493B">
      <w:pPr>
        <w:pStyle w:val="Point0"/>
        <w:rPr>
          <w:noProof/>
        </w:rPr>
      </w:pPr>
      <w:r w:rsidRPr="00E15354">
        <w:rPr>
          <w:noProof/>
        </w:rPr>
        <w:t>28.</w:t>
      </w:r>
      <w:r w:rsidRPr="00E15354">
        <w:rPr>
          <w:noProof/>
        </w:rPr>
        <w:tab/>
        <w:t xml:space="preserve">Manual de funcionamento do fabricante para incineradores (MARPOL, anexo VI, regra 16.7); </w:t>
      </w:r>
    </w:p>
    <w:p w14:paraId="25B5C282" w14:textId="78FDC60E" w:rsidR="00F9656B" w:rsidRPr="00E15354" w:rsidRDefault="00BC493B" w:rsidP="00BC493B">
      <w:pPr>
        <w:pStyle w:val="Point0"/>
        <w:rPr>
          <w:noProof/>
        </w:rPr>
      </w:pPr>
      <w:r w:rsidRPr="00E15354">
        <w:rPr>
          <w:noProof/>
        </w:rPr>
        <w:t>29.</w:t>
      </w:r>
      <w:r w:rsidRPr="00E15354">
        <w:rPr>
          <w:noProof/>
        </w:rPr>
        <w:tab/>
        <w:t>Procedimento de substituição de fuelóleo (MARPOL, anexo VI, regra 14.6);</w:t>
      </w:r>
    </w:p>
    <w:p w14:paraId="48F3BBF5" w14:textId="5C709CF2" w:rsidR="00F9656B" w:rsidRPr="00E15354" w:rsidRDefault="00BC493B" w:rsidP="00BC493B">
      <w:pPr>
        <w:pStyle w:val="Point0"/>
        <w:rPr>
          <w:noProof/>
        </w:rPr>
      </w:pPr>
      <w:r w:rsidRPr="00E15354">
        <w:rPr>
          <w:noProof/>
        </w:rPr>
        <w:t>30.</w:t>
      </w:r>
      <w:r w:rsidRPr="00E15354">
        <w:rPr>
          <w:noProof/>
        </w:rPr>
        <w:tab/>
        <w:t xml:space="preserve">30 Guias de entrega de combustível e amostra representativa (MARPOL, anexo VI, regras 18.6 e 18.8.1); </w:t>
      </w:r>
    </w:p>
    <w:p w14:paraId="497E91D3" w14:textId="375C0B2E" w:rsidR="00F9656B" w:rsidRPr="00E15354" w:rsidRDefault="00BC493B" w:rsidP="00BC493B">
      <w:pPr>
        <w:pStyle w:val="Point0"/>
        <w:rPr>
          <w:noProof/>
        </w:rPr>
      </w:pPr>
      <w:r w:rsidRPr="00E15354">
        <w:rPr>
          <w:noProof/>
        </w:rPr>
        <w:t>31.</w:t>
      </w:r>
      <w:r w:rsidRPr="00E15354">
        <w:rPr>
          <w:noProof/>
        </w:rPr>
        <w:tab/>
        <w:t xml:space="preserve">Plano de bordo de emergência em caso de poluição por hidrocarbonetos [MARPOL, anexo I, regra 37.1; Resolução MEPC.54(32), com a redação que lhe foi dada pela Resolução MEPC.86(44)]; </w:t>
      </w:r>
    </w:p>
    <w:p w14:paraId="17AD341B" w14:textId="624607C1" w:rsidR="00F9656B" w:rsidRPr="00E15354" w:rsidRDefault="00BC493B" w:rsidP="00BC493B">
      <w:pPr>
        <w:pStyle w:val="Point0"/>
        <w:rPr>
          <w:noProof/>
        </w:rPr>
      </w:pPr>
      <w:r w:rsidRPr="00E15354">
        <w:rPr>
          <w:noProof/>
        </w:rPr>
        <w:t>32.</w:t>
      </w:r>
      <w:r w:rsidRPr="00E15354">
        <w:rPr>
          <w:noProof/>
        </w:rPr>
        <w:tab/>
        <w:t>Plano de bordo de emergência em caso de poluição marinha para substâncias líquidas nocivas (MARPOL, anexo II, regra 17);</w:t>
      </w:r>
    </w:p>
    <w:p w14:paraId="6AB4AB39" w14:textId="09CBA095" w:rsidR="00F9656B" w:rsidRPr="00E15354" w:rsidRDefault="00BC493B" w:rsidP="00BC493B">
      <w:pPr>
        <w:pStyle w:val="Point0"/>
        <w:rPr>
          <w:noProof/>
        </w:rPr>
      </w:pPr>
      <w:r w:rsidRPr="00E15354">
        <w:rPr>
          <w:noProof/>
        </w:rPr>
        <w:t>33.</w:t>
      </w:r>
      <w:r w:rsidRPr="00E15354">
        <w:rPr>
          <w:noProof/>
        </w:rPr>
        <w:tab/>
        <w:t xml:space="preserve">Plano de gestão da eficiência energética do navio (MARPOL, anexo VI, regra 22, MEPC.1/Circ.795); </w:t>
      </w:r>
    </w:p>
    <w:p w14:paraId="3019AB7C" w14:textId="2EC0AFA1" w:rsidR="00F9656B" w:rsidRPr="00E15354" w:rsidRDefault="00BC493B" w:rsidP="00BC493B">
      <w:pPr>
        <w:pStyle w:val="Point0"/>
        <w:rPr>
          <w:noProof/>
        </w:rPr>
      </w:pPr>
      <w:r w:rsidRPr="00E15354">
        <w:rPr>
          <w:noProof/>
        </w:rPr>
        <w:t>34.</w:t>
      </w:r>
      <w:r w:rsidRPr="00E15354">
        <w:rPr>
          <w:noProof/>
        </w:rPr>
        <w:tab/>
        <w:t xml:space="preserve">Plano de operações STS e registos de operações STS (MARPOL, anexo I, regra 41); </w:t>
      </w:r>
    </w:p>
    <w:p w14:paraId="63D47E99" w14:textId="323BBEE6" w:rsidR="00F9656B" w:rsidRPr="00E15354" w:rsidRDefault="00BC493B" w:rsidP="00BC493B">
      <w:pPr>
        <w:pStyle w:val="Point0"/>
        <w:rPr>
          <w:noProof/>
        </w:rPr>
      </w:pPr>
      <w:r w:rsidRPr="00E15354">
        <w:rPr>
          <w:noProof/>
        </w:rPr>
        <w:t>35.</w:t>
      </w:r>
      <w:r w:rsidRPr="00E15354">
        <w:rPr>
          <w:noProof/>
        </w:rPr>
        <w:tab/>
        <w:t xml:space="preserve">Manual de Procedimentos e Operações (navios-tanque de transporte de produtos químicos) [MARPOL, anexo II, regra 14.1; Resolução MEPC.18(22), com a redação que lhe foi dada pela Resolução MEPC.62(35)]; </w:t>
      </w:r>
    </w:p>
    <w:p w14:paraId="6A09A984" w14:textId="7AA68B69" w:rsidR="00F9656B" w:rsidRPr="00E15354" w:rsidRDefault="00BC493B" w:rsidP="00BC493B">
      <w:pPr>
        <w:pStyle w:val="Point0"/>
        <w:rPr>
          <w:noProof/>
        </w:rPr>
      </w:pPr>
      <w:r w:rsidRPr="00E15354">
        <w:rPr>
          <w:noProof/>
        </w:rPr>
        <w:t>36.</w:t>
      </w:r>
      <w:r w:rsidRPr="00E15354">
        <w:rPr>
          <w:noProof/>
        </w:rPr>
        <w:tab/>
        <w:t xml:space="preserve">Plano de gestão de COV (MARPOL, anexo VI, regra 15.6); </w:t>
      </w:r>
    </w:p>
    <w:p w14:paraId="0FB9296A" w14:textId="158444F9" w:rsidR="00F9656B" w:rsidRPr="00E15354" w:rsidRDefault="00BC493B" w:rsidP="00BC493B">
      <w:pPr>
        <w:pStyle w:val="Point0"/>
        <w:rPr>
          <w:noProof/>
        </w:rPr>
      </w:pPr>
      <w:r w:rsidRPr="00E15354">
        <w:rPr>
          <w:noProof/>
        </w:rPr>
        <w:t>37.</w:t>
      </w:r>
      <w:r w:rsidRPr="00E15354">
        <w:rPr>
          <w:noProof/>
        </w:rPr>
        <w:tab/>
        <w:t xml:space="preserve">Plano de gestão das águas de lastro (BWMP) [BWMC, regra B-1, Resolução MEPC.127(53)] </w:t>
      </w:r>
    </w:p>
    <w:p w14:paraId="4D766FAB" w14:textId="2C0A558C" w:rsidR="00F9656B" w:rsidRPr="00E15354" w:rsidRDefault="00BC493B" w:rsidP="00BC493B">
      <w:pPr>
        <w:pStyle w:val="Point0"/>
        <w:rPr>
          <w:noProof/>
        </w:rPr>
      </w:pPr>
      <w:r w:rsidRPr="00E15354">
        <w:rPr>
          <w:noProof/>
        </w:rPr>
        <w:t>38.</w:t>
      </w:r>
      <w:r w:rsidRPr="00E15354">
        <w:rPr>
          <w:noProof/>
        </w:rPr>
        <w:tab/>
        <w:t xml:space="preserve">Relatório do ensaio de conformidade LRIT (SOLAS, regra V/19-1.6; MSC.1/Circ.1307); </w:t>
      </w:r>
    </w:p>
    <w:p w14:paraId="53A6DABF" w14:textId="74914BF8" w:rsidR="00F9656B" w:rsidRPr="00E15354" w:rsidRDefault="00BC493B" w:rsidP="00BC493B">
      <w:pPr>
        <w:pStyle w:val="Point0"/>
        <w:rPr>
          <w:noProof/>
        </w:rPr>
      </w:pPr>
      <w:r w:rsidRPr="00E15354">
        <w:rPr>
          <w:noProof/>
        </w:rPr>
        <w:t>39.</w:t>
      </w:r>
      <w:r w:rsidRPr="00E15354">
        <w:rPr>
          <w:noProof/>
        </w:rPr>
        <w:tab/>
        <w:t xml:space="preserve">Cópia do certificado de conformidade emitido pela instalação de ensaio, que indica a data de conformidade e as normas de desempenho aplicáveis do VDR (aparelho de registo dos dados de viagem) (SOLAS, regra V/18.8); </w:t>
      </w:r>
    </w:p>
    <w:p w14:paraId="4322B33E" w14:textId="62BA4783" w:rsidR="00F9656B" w:rsidRPr="00E15354" w:rsidRDefault="00BC493B" w:rsidP="00BC493B">
      <w:pPr>
        <w:pStyle w:val="Point0"/>
        <w:rPr>
          <w:noProof/>
        </w:rPr>
      </w:pPr>
      <w:r w:rsidRPr="00E15354">
        <w:rPr>
          <w:noProof/>
        </w:rPr>
        <w:t>40.</w:t>
      </w:r>
      <w:r w:rsidRPr="00E15354">
        <w:rPr>
          <w:noProof/>
        </w:rPr>
        <w:tab/>
        <w:t xml:space="preserve">Relatório do ensaio do AIS (SOLAS, regra V/18.9, MSC.1/Circ.1252); </w:t>
      </w:r>
    </w:p>
    <w:p w14:paraId="254333E8" w14:textId="10237D80" w:rsidR="00F9656B" w:rsidRPr="00E15354" w:rsidRDefault="00BC493B" w:rsidP="00BC493B">
      <w:pPr>
        <w:pStyle w:val="Point0"/>
        <w:rPr>
          <w:noProof/>
        </w:rPr>
      </w:pPr>
      <w:r w:rsidRPr="00E15354">
        <w:rPr>
          <w:noProof/>
        </w:rPr>
        <w:t>41.</w:t>
      </w:r>
      <w:r w:rsidRPr="00E15354">
        <w:rPr>
          <w:noProof/>
        </w:rPr>
        <w:tab/>
        <w:t xml:space="preserve">Relatório da vistoria ao ruído (SOLAS, regra II-1/3-12); </w:t>
      </w:r>
    </w:p>
    <w:p w14:paraId="1E2B11B7" w14:textId="3AB1C8A7" w:rsidR="00F9656B" w:rsidRPr="00E15354" w:rsidRDefault="00BC493B" w:rsidP="00BC493B">
      <w:pPr>
        <w:pStyle w:val="Point0"/>
        <w:rPr>
          <w:noProof/>
        </w:rPr>
      </w:pPr>
      <w:r w:rsidRPr="00E15354">
        <w:rPr>
          <w:noProof/>
        </w:rPr>
        <w:t>42.</w:t>
      </w:r>
      <w:r w:rsidRPr="00E15354">
        <w:rPr>
          <w:noProof/>
        </w:rPr>
        <w:tab/>
        <w:t xml:space="preserve">Manual de Funcionamento do Equipamento Monitor de Descarga de Hidrocarbonetos (ODMC) [MARPOL, anexo I, regra 31; Resolução A.496(XII); Resolução A.586(14), com a redação que lhe foi dada pela Resolução MEPC.24(22); Resolução MEPC.108(49), com a redação que lhe foi dada pela Resolução MEPC.240(65)]; </w:t>
      </w:r>
    </w:p>
    <w:p w14:paraId="7553696D" w14:textId="7D199BBD" w:rsidR="00F9656B" w:rsidRPr="00E15354" w:rsidRDefault="00BC493B" w:rsidP="00BC493B">
      <w:pPr>
        <w:pStyle w:val="Point0"/>
        <w:rPr>
          <w:noProof/>
        </w:rPr>
      </w:pPr>
      <w:r w:rsidRPr="00E15354">
        <w:rPr>
          <w:noProof/>
        </w:rPr>
        <w:t>43.</w:t>
      </w:r>
      <w:r w:rsidRPr="00E15354">
        <w:rPr>
          <w:noProof/>
        </w:rPr>
        <w:tab/>
        <w:t xml:space="preserve">Manual de Operações e do Equipamento de Lavagem com Petróleo Bruto [MARPOL, anexo I, regra 35, Resolução MEPC.81(43)]; </w:t>
      </w:r>
    </w:p>
    <w:p w14:paraId="1C007389" w14:textId="47CE453B" w:rsidR="00F9656B" w:rsidRPr="00E15354" w:rsidRDefault="00BC493B" w:rsidP="00BC493B">
      <w:pPr>
        <w:pStyle w:val="Point0"/>
        <w:rPr>
          <w:noProof/>
        </w:rPr>
      </w:pPr>
      <w:r w:rsidRPr="00E15354">
        <w:rPr>
          <w:noProof/>
        </w:rPr>
        <w:t>44.</w:t>
      </w:r>
      <w:r w:rsidRPr="00E15354">
        <w:rPr>
          <w:noProof/>
        </w:rPr>
        <w:tab/>
        <w:t xml:space="preserve">Fichas de dados de segurança dos materiais (MSDS) [SOLAS, regra VI/5-1, MSC.286(86)]; </w:t>
      </w:r>
    </w:p>
    <w:p w14:paraId="585D08D6" w14:textId="72A06ABC" w:rsidR="00F9656B" w:rsidRPr="00E15354" w:rsidRDefault="00BC493B" w:rsidP="00BC493B">
      <w:pPr>
        <w:pStyle w:val="Point0"/>
        <w:rPr>
          <w:noProof/>
        </w:rPr>
      </w:pPr>
      <w:r w:rsidRPr="00E15354">
        <w:rPr>
          <w:noProof/>
        </w:rPr>
        <w:t>45.</w:t>
      </w:r>
      <w:r w:rsidRPr="00E15354">
        <w:rPr>
          <w:noProof/>
        </w:rPr>
        <w:tab/>
        <w:t xml:space="preserve">Registo do AFS (AFS 2001, anexo 4, regra 2); </w:t>
      </w:r>
    </w:p>
    <w:p w14:paraId="0428F12F" w14:textId="408DEC25" w:rsidR="00F9656B" w:rsidRPr="00E15354" w:rsidRDefault="00BC493B" w:rsidP="00BC493B">
      <w:pPr>
        <w:pStyle w:val="Point0"/>
        <w:rPr>
          <w:noProof/>
        </w:rPr>
      </w:pPr>
      <w:r w:rsidRPr="00E15354">
        <w:rPr>
          <w:noProof/>
        </w:rPr>
        <w:t>46.</w:t>
      </w:r>
      <w:r w:rsidRPr="00E15354">
        <w:rPr>
          <w:noProof/>
        </w:rPr>
        <w:tab/>
        <w:t>Dossiê técnico de revestimento (SOLAS, regra II-1/3-2); e</w:t>
      </w:r>
    </w:p>
    <w:p w14:paraId="31B939B8" w14:textId="790B53FB" w:rsidR="00F9656B" w:rsidRPr="00E15354" w:rsidRDefault="00BC493B" w:rsidP="00BC493B">
      <w:pPr>
        <w:pStyle w:val="Point0"/>
        <w:rPr>
          <w:noProof/>
        </w:rPr>
      </w:pPr>
      <w:r w:rsidRPr="00E15354">
        <w:rPr>
          <w:noProof/>
        </w:rPr>
        <w:t>47.</w:t>
      </w:r>
      <w:r w:rsidRPr="00E15354">
        <w:rPr>
          <w:noProof/>
        </w:rPr>
        <w:tab/>
        <w:t>Planos de manutenção (SOLAS, regras II-2/14.2.2, II-2/14.3 e II-2/14.4).</w:t>
      </w:r>
    </w:p>
    <w:p w14:paraId="29E810AD" w14:textId="77777777" w:rsidR="00F9656B" w:rsidRPr="00E15354" w:rsidRDefault="00F9656B" w:rsidP="00F9656B">
      <w:pPr>
        <w:rPr>
          <w:noProof/>
        </w:rPr>
      </w:pPr>
      <w:r w:rsidRPr="00E15354">
        <w:rPr>
          <w:noProof/>
        </w:rPr>
        <w:t xml:space="preserve">Para referência: </w:t>
      </w:r>
    </w:p>
    <w:p w14:paraId="46D4859A" w14:textId="5C4CBB6F" w:rsidR="00F9656B" w:rsidRPr="00E15354" w:rsidRDefault="00BC493B" w:rsidP="00BC493B">
      <w:pPr>
        <w:pStyle w:val="Point0"/>
        <w:rPr>
          <w:noProof/>
        </w:rPr>
      </w:pPr>
      <w:r w:rsidRPr="00E15354">
        <w:rPr>
          <w:noProof/>
        </w:rPr>
        <w:t>1.</w:t>
      </w:r>
      <w:r w:rsidRPr="00E15354">
        <w:rPr>
          <w:noProof/>
        </w:rPr>
        <w:tab/>
        <w:t xml:space="preserve">Certificado de registo ou outro documento de nacionalidade (UNCLOS, artigo 9.1.2); </w:t>
      </w:r>
    </w:p>
    <w:p w14:paraId="62164D18" w14:textId="116C5D43" w:rsidR="00F9656B" w:rsidRPr="00E15354" w:rsidRDefault="00BC493B" w:rsidP="00BC493B">
      <w:pPr>
        <w:pStyle w:val="Point0"/>
        <w:rPr>
          <w:noProof/>
        </w:rPr>
      </w:pPr>
      <w:r w:rsidRPr="00E15354">
        <w:rPr>
          <w:noProof/>
        </w:rPr>
        <w:t>2.</w:t>
      </w:r>
      <w:r w:rsidRPr="00E15354">
        <w:rPr>
          <w:noProof/>
        </w:rPr>
        <w:tab/>
        <w:t xml:space="preserve">Certificados relativos à robustez do casco e às instalações das máquinas emitidos pela sociedade de classificação em questão (apenas se o navio mantiver a sua classificação por uma sociedade de classificação); </w:t>
      </w:r>
    </w:p>
    <w:p w14:paraId="0C987DFE" w14:textId="1065ABEA" w:rsidR="00F9656B" w:rsidRPr="00E15354" w:rsidRDefault="00BC493B" w:rsidP="00BC493B">
      <w:pPr>
        <w:pStyle w:val="Point0"/>
        <w:rPr>
          <w:noProof/>
        </w:rPr>
      </w:pPr>
      <w:r w:rsidRPr="00E15354">
        <w:rPr>
          <w:noProof/>
        </w:rPr>
        <w:t>3.</w:t>
      </w:r>
      <w:r w:rsidRPr="00E15354">
        <w:rPr>
          <w:noProof/>
        </w:rPr>
        <w:tab/>
        <w:t xml:space="preserve">Livro de registo do equipamento de carga [Convenção n.º 32 da OIT, artigo 9.2(4), e Convenção n.º 152 da OIT, artigo 25.º]; </w:t>
      </w:r>
    </w:p>
    <w:p w14:paraId="51263ECE" w14:textId="5CF234F4" w:rsidR="00F9656B" w:rsidRPr="00E15354" w:rsidRDefault="00BC493B" w:rsidP="00BC493B">
      <w:pPr>
        <w:pStyle w:val="Point0"/>
        <w:rPr>
          <w:noProof/>
        </w:rPr>
      </w:pPr>
      <w:r w:rsidRPr="00E15354">
        <w:rPr>
          <w:noProof/>
        </w:rPr>
        <w:t>4.</w:t>
      </w:r>
      <w:r w:rsidRPr="00E15354">
        <w:rPr>
          <w:noProof/>
        </w:rPr>
        <w:tab/>
        <w:t xml:space="preserve">Certificados do equipamento de carga e descarga [Convenção n.º 134 da OIT, artigo 4.3(e), e Convenção n.º 32 da OIT, artigo 9(4)]; </w:t>
      </w:r>
    </w:p>
    <w:p w14:paraId="43445441" w14:textId="7725ED83" w:rsidR="00F9656B" w:rsidRPr="00E15354" w:rsidRDefault="00BC493B" w:rsidP="00BC493B">
      <w:pPr>
        <w:pStyle w:val="Point0"/>
        <w:rPr>
          <w:noProof/>
        </w:rPr>
      </w:pPr>
      <w:r w:rsidRPr="00E15354">
        <w:rPr>
          <w:noProof/>
        </w:rPr>
        <w:t>5.</w:t>
      </w:r>
      <w:r w:rsidRPr="00E15354">
        <w:rPr>
          <w:noProof/>
        </w:rPr>
        <w:tab/>
        <w:t xml:space="preserve">Certificados médicos (Convenção n.º 73 da OIT, ou CTM de 2006, norma A1.2); </w:t>
      </w:r>
    </w:p>
    <w:p w14:paraId="2F611F46" w14:textId="22F9D60C" w:rsidR="00F9656B" w:rsidRPr="00E15354" w:rsidRDefault="00BC493B" w:rsidP="00BC493B">
      <w:pPr>
        <w:pStyle w:val="Point0"/>
        <w:rPr>
          <w:noProof/>
        </w:rPr>
      </w:pPr>
      <w:r w:rsidRPr="00E15354">
        <w:rPr>
          <w:noProof/>
        </w:rPr>
        <w:t>6.</w:t>
      </w:r>
      <w:r w:rsidRPr="00E15354">
        <w:rPr>
          <w:noProof/>
        </w:rPr>
        <w:tab/>
        <w:t>Registos das horas de trabalho ou de descanso dos marítimos (Convenção n.º 180 da OIT, parte II, artigo 8.1, ou CTM de 2006, norma A.2.3.12);</w:t>
      </w:r>
    </w:p>
    <w:p w14:paraId="3BF99C38" w14:textId="38EE4B58" w:rsidR="00F9656B" w:rsidRPr="00E15354" w:rsidRDefault="00BC493B" w:rsidP="00BC493B">
      <w:pPr>
        <w:pStyle w:val="Point0"/>
        <w:rPr>
          <w:noProof/>
        </w:rPr>
      </w:pPr>
      <w:r w:rsidRPr="00E15354">
        <w:rPr>
          <w:noProof/>
        </w:rPr>
        <w:t>7.</w:t>
      </w:r>
      <w:r w:rsidRPr="00E15354">
        <w:rPr>
          <w:noProof/>
        </w:rPr>
        <w:tab/>
        <w:t xml:space="preserve">Certificado de trabalho marítimo (CTM de 2006, regra 5.1.3); </w:t>
      </w:r>
    </w:p>
    <w:p w14:paraId="71EAD760" w14:textId="42C159B6" w:rsidR="00F9656B" w:rsidRPr="00E15354" w:rsidRDefault="00BC493B" w:rsidP="00BC493B">
      <w:pPr>
        <w:pStyle w:val="Point0"/>
        <w:rPr>
          <w:noProof/>
        </w:rPr>
      </w:pPr>
      <w:r w:rsidRPr="00E15354">
        <w:rPr>
          <w:noProof/>
        </w:rPr>
        <w:t>8.</w:t>
      </w:r>
      <w:r w:rsidRPr="00E15354">
        <w:rPr>
          <w:noProof/>
        </w:rPr>
        <w:tab/>
        <w:t>Declaração de certificado de trabalho marítimo (CTM de 2006, regra 5.1.3);</w:t>
      </w:r>
    </w:p>
    <w:p w14:paraId="59555F35" w14:textId="35EEBEB8" w:rsidR="00F9656B" w:rsidRPr="00E15354" w:rsidRDefault="00BC493B" w:rsidP="00BC493B">
      <w:pPr>
        <w:pStyle w:val="Point0"/>
        <w:rPr>
          <w:noProof/>
        </w:rPr>
      </w:pPr>
      <w:r w:rsidRPr="00E15354">
        <w:rPr>
          <w:noProof/>
        </w:rPr>
        <w:t>9.</w:t>
      </w:r>
      <w:r w:rsidRPr="00E15354">
        <w:rPr>
          <w:noProof/>
        </w:rPr>
        <w:tab/>
        <w:t>Declaração de conformidade do trabalho marítimo (DCTM) a bordo (partes I e II) (CTM de 2006, regra 5.1.3);</w:t>
      </w:r>
    </w:p>
    <w:p w14:paraId="3B324C4C" w14:textId="399BA1DA" w:rsidR="00F9656B" w:rsidRPr="00E15354" w:rsidRDefault="00BC493B" w:rsidP="00BC493B">
      <w:pPr>
        <w:pStyle w:val="Point0"/>
        <w:rPr>
          <w:noProof/>
        </w:rPr>
      </w:pPr>
      <w:r w:rsidRPr="00E15354">
        <w:rPr>
          <w:noProof/>
        </w:rPr>
        <w:t>10.</w:t>
      </w:r>
      <w:r w:rsidRPr="00E15354">
        <w:rPr>
          <w:noProof/>
        </w:rPr>
        <w:tab/>
        <w:t>Contratos de trabalho dos marítimos (CTM de 2006, norma A 2.1);</w:t>
      </w:r>
    </w:p>
    <w:p w14:paraId="13A5C37F" w14:textId="2F56FD3E" w:rsidR="00F9656B" w:rsidRPr="00E15354" w:rsidRDefault="00BC493B" w:rsidP="00BC493B">
      <w:pPr>
        <w:pStyle w:val="Point0"/>
        <w:rPr>
          <w:noProof/>
        </w:rPr>
      </w:pPr>
      <w:r w:rsidRPr="00E15354">
        <w:rPr>
          <w:noProof/>
        </w:rPr>
        <w:t>11.</w:t>
      </w:r>
      <w:r w:rsidRPr="00E15354">
        <w:rPr>
          <w:noProof/>
        </w:rPr>
        <w:tab/>
        <w:t xml:space="preserve">Certificado de seguro ou garantia financeira para o repatriamento dos marítimos (CTM de 2006, regra 2.5); e </w:t>
      </w:r>
    </w:p>
    <w:p w14:paraId="1266E734" w14:textId="7733EF7F" w:rsidR="00BC0147" w:rsidRPr="00E15354" w:rsidRDefault="00BC493B" w:rsidP="00BC493B">
      <w:pPr>
        <w:pStyle w:val="Point0"/>
        <w:rPr>
          <w:noProof/>
        </w:rPr>
        <w:sectPr w:rsidR="00BC0147" w:rsidRPr="00E15354" w:rsidSect="00550C50">
          <w:pgSz w:w="11907" w:h="16839"/>
          <w:pgMar w:top="1134" w:right="1417" w:bottom="1134" w:left="1417" w:header="709" w:footer="709" w:gutter="0"/>
          <w:cols w:space="720"/>
          <w:docGrid w:linePitch="360"/>
        </w:sectPr>
      </w:pPr>
      <w:r w:rsidRPr="00E15354">
        <w:rPr>
          <w:noProof/>
        </w:rPr>
        <w:t>12.</w:t>
      </w:r>
      <w:r w:rsidRPr="00E15354">
        <w:rPr>
          <w:noProof/>
        </w:rPr>
        <w:tab/>
        <w:t>Certificado de seguro ou garantia financeira para as obrigações dos armadores (CTM de 2006, regra 4.2).»</w:t>
      </w:r>
    </w:p>
    <w:p w14:paraId="10C07296" w14:textId="772DDA81" w:rsidR="00BC0147" w:rsidRPr="00E15354" w:rsidRDefault="00BC0147" w:rsidP="00BC0147">
      <w:pPr>
        <w:pStyle w:val="Annexetitre"/>
        <w:rPr>
          <w:noProof/>
        </w:rPr>
      </w:pPr>
      <w:r w:rsidRPr="00E15354">
        <w:rPr>
          <w:noProof/>
        </w:rPr>
        <w:t>ANEXO IV</w:t>
      </w:r>
    </w:p>
    <w:p w14:paraId="41F89CEA" w14:textId="77777777" w:rsidR="00BC0147" w:rsidRPr="00E15354" w:rsidRDefault="00BC0147" w:rsidP="00BC0147">
      <w:pPr>
        <w:rPr>
          <w:noProof/>
        </w:rPr>
      </w:pPr>
    </w:p>
    <w:p w14:paraId="05837304" w14:textId="7188C1E5" w:rsidR="00492E88" w:rsidRPr="00E15354" w:rsidRDefault="00492E88" w:rsidP="00492E88">
      <w:pPr>
        <w:pStyle w:val="NormalCentered"/>
        <w:rPr>
          <w:noProof/>
        </w:rPr>
      </w:pPr>
      <w:r w:rsidRPr="00E15354">
        <w:rPr>
          <w:noProof/>
        </w:rPr>
        <w:t>«ANEXO VI</w:t>
      </w:r>
    </w:p>
    <w:p w14:paraId="1EE01940" w14:textId="77777777" w:rsidR="00492E88" w:rsidRPr="00E15354" w:rsidRDefault="00492E88" w:rsidP="00492E88">
      <w:pPr>
        <w:pStyle w:val="NormalCentered"/>
        <w:rPr>
          <w:noProof/>
        </w:rPr>
      </w:pPr>
      <w:r w:rsidRPr="00E15354">
        <w:rPr>
          <w:noProof/>
        </w:rPr>
        <w:t>PROCEDIMENTOS PARA A INSPECÇÃO DOS NAVIOS</w:t>
      </w:r>
    </w:p>
    <w:p w14:paraId="163579F4" w14:textId="77777777" w:rsidR="00492E88" w:rsidRPr="00E15354" w:rsidRDefault="00492E88" w:rsidP="00492E88">
      <w:pPr>
        <w:pStyle w:val="NormalCentered"/>
        <w:rPr>
          <w:noProof/>
        </w:rPr>
      </w:pPr>
      <w:r w:rsidRPr="00E15354">
        <w:rPr>
          <w:noProof/>
        </w:rPr>
        <w:t>(a que se refere o artigo 15.º, n.º 1)</w:t>
      </w:r>
    </w:p>
    <w:p w14:paraId="1C9446FB" w14:textId="77777777" w:rsidR="00492E88" w:rsidRPr="00E15354" w:rsidRDefault="00492E88" w:rsidP="00492E88">
      <w:pPr>
        <w:rPr>
          <w:noProof/>
        </w:rPr>
      </w:pPr>
    </w:p>
    <w:p w14:paraId="7F73CDA4" w14:textId="77777777" w:rsidR="00492E88" w:rsidRPr="00E15354" w:rsidRDefault="00492E88" w:rsidP="00492E88">
      <w:pPr>
        <w:rPr>
          <w:noProof/>
        </w:rPr>
      </w:pPr>
      <w:r w:rsidRPr="00E15354">
        <w:rPr>
          <w:noProof/>
        </w:rPr>
        <w:t>Anexo I, “Procedimentos de inspeção pelo Estado do porto (PIEP)” ao MA de Paris e as seguintes instruções do MA de Paris, na sua versão atualizada:</w:t>
      </w:r>
    </w:p>
    <w:p w14:paraId="18A51134" w14:textId="77777777" w:rsidR="00492E88" w:rsidRPr="00E15354" w:rsidRDefault="00492E88" w:rsidP="00492E88">
      <w:pPr>
        <w:rPr>
          <w:noProof/>
        </w:rPr>
      </w:pPr>
      <w:r w:rsidRPr="00E15354">
        <w:rPr>
          <w:noProof/>
        </w:rPr>
        <w:t>Instruções técnicas do PSCC</w:t>
      </w:r>
    </w:p>
    <w:p w14:paraId="0F91BEDA" w14:textId="1C079A57" w:rsidR="00492E88" w:rsidRPr="00E15354" w:rsidRDefault="00492E88" w:rsidP="00A73D3A">
      <w:pPr>
        <w:pStyle w:val="Tiret0"/>
        <w:numPr>
          <w:ilvl w:val="0"/>
          <w:numId w:val="14"/>
        </w:numPr>
        <w:rPr>
          <w:noProof/>
        </w:rPr>
      </w:pPr>
      <w:r w:rsidRPr="00E15354">
        <w:rPr>
          <w:noProof/>
        </w:rPr>
        <w:t>PSCC41-2008-07 Código de Boas Práticas</w:t>
      </w:r>
    </w:p>
    <w:p w14:paraId="65536532" w14:textId="2EA36350" w:rsidR="00492E88" w:rsidRPr="00E15354" w:rsidRDefault="00492E88" w:rsidP="00A73D3A">
      <w:pPr>
        <w:pStyle w:val="Tiret0"/>
        <w:rPr>
          <w:noProof/>
        </w:rPr>
      </w:pPr>
      <w:r w:rsidRPr="00E15354">
        <w:rPr>
          <w:noProof/>
        </w:rPr>
        <w:t>PSCC53-2020-08 Definições e abreviaturas</w:t>
      </w:r>
    </w:p>
    <w:p w14:paraId="4B5E0B40" w14:textId="77777777" w:rsidR="00492E88" w:rsidRPr="00E15354" w:rsidRDefault="00492E88" w:rsidP="00492E88">
      <w:pPr>
        <w:rPr>
          <w:noProof/>
        </w:rPr>
      </w:pPr>
      <w:r w:rsidRPr="00E15354">
        <w:rPr>
          <w:noProof/>
        </w:rPr>
        <w:t>MA de Paris - Generalidades</w:t>
      </w:r>
    </w:p>
    <w:p w14:paraId="71E27927" w14:textId="6DE2ECE5" w:rsidR="00492E88" w:rsidRPr="00E15354" w:rsidRDefault="00492E88" w:rsidP="00792940">
      <w:pPr>
        <w:pStyle w:val="Tiret0"/>
        <w:numPr>
          <w:ilvl w:val="0"/>
          <w:numId w:val="1"/>
        </w:numPr>
        <w:rPr>
          <w:noProof/>
        </w:rPr>
      </w:pPr>
      <w:r w:rsidRPr="00E15354">
        <w:rPr>
          <w:noProof/>
        </w:rPr>
        <w:t>PSCC54-2021-03 Tipo de inspeção</w:t>
      </w:r>
    </w:p>
    <w:p w14:paraId="184EC462" w14:textId="52A864E6" w:rsidR="00492E88" w:rsidRPr="00E15354" w:rsidRDefault="00492E88" w:rsidP="00792940">
      <w:pPr>
        <w:pStyle w:val="Tiret0"/>
        <w:numPr>
          <w:ilvl w:val="0"/>
          <w:numId w:val="1"/>
        </w:numPr>
        <w:rPr>
          <w:noProof/>
        </w:rPr>
      </w:pPr>
      <w:r w:rsidRPr="00E15354">
        <w:rPr>
          <w:noProof/>
        </w:rPr>
        <w:t>PSCC55-2022-10 Detenção e medidas adotadas</w:t>
      </w:r>
    </w:p>
    <w:p w14:paraId="20D096C8" w14:textId="332147B8" w:rsidR="00492E88" w:rsidRPr="00E15354" w:rsidRDefault="00492E88" w:rsidP="00792940">
      <w:pPr>
        <w:pStyle w:val="Tiret0"/>
        <w:numPr>
          <w:ilvl w:val="0"/>
          <w:numId w:val="1"/>
        </w:numPr>
        <w:rPr>
          <w:noProof/>
        </w:rPr>
      </w:pPr>
      <w:r w:rsidRPr="00E15354">
        <w:rPr>
          <w:noProof/>
        </w:rPr>
        <w:t>PSCC55-2022-08 Modelos de formulários</w:t>
      </w:r>
    </w:p>
    <w:p w14:paraId="7D352C74" w14:textId="7AC5F911" w:rsidR="00492E88" w:rsidRPr="00E15354" w:rsidRDefault="00492E88" w:rsidP="00792940">
      <w:pPr>
        <w:pStyle w:val="Tiret0"/>
        <w:numPr>
          <w:ilvl w:val="0"/>
          <w:numId w:val="1"/>
        </w:numPr>
        <w:rPr>
          <w:noProof/>
        </w:rPr>
      </w:pPr>
      <w:r w:rsidRPr="00E15354">
        <w:rPr>
          <w:noProof/>
        </w:rPr>
        <w:t>PSCC52-2019-05 Controlo operacional</w:t>
      </w:r>
    </w:p>
    <w:p w14:paraId="7BF74803" w14:textId="127C5492" w:rsidR="00492E88" w:rsidRPr="00E15354" w:rsidRDefault="00492E88" w:rsidP="00792940">
      <w:pPr>
        <w:pStyle w:val="Tiret0"/>
        <w:numPr>
          <w:ilvl w:val="0"/>
          <w:numId w:val="1"/>
        </w:numPr>
        <w:rPr>
          <w:noProof/>
        </w:rPr>
      </w:pPr>
      <w:r w:rsidRPr="00E15354">
        <w:rPr>
          <w:noProof/>
        </w:rPr>
        <w:t>PSS43-2010-11 Isenções do Estado de bandeira</w:t>
      </w:r>
    </w:p>
    <w:p w14:paraId="58928E41" w14:textId="60FAECBC" w:rsidR="00492E88" w:rsidRPr="00E15354" w:rsidRDefault="00492E88" w:rsidP="00792940">
      <w:pPr>
        <w:pStyle w:val="Tiret0"/>
        <w:numPr>
          <w:ilvl w:val="0"/>
          <w:numId w:val="1"/>
        </w:numPr>
        <w:rPr>
          <w:noProof/>
        </w:rPr>
      </w:pPr>
      <w:r w:rsidRPr="00E15354">
        <w:rPr>
          <w:noProof/>
        </w:rPr>
        <w:t>PSCC48-2015-09 Responsabilidade da OR</w:t>
      </w:r>
    </w:p>
    <w:p w14:paraId="09683480" w14:textId="085B1EE6" w:rsidR="00492E88" w:rsidRPr="00E15354" w:rsidRDefault="00492E88" w:rsidP="00792940">
      <w:pPr>
        <w:pStyle w:val="Tiret0"/>
        <w:numPr>
          <w:ilvl w:val="0"/>
          <w:numId w:val="1"/>
        </w:numPr>
        <w:rPr>
          <w:noProof/>
        </w:rPr>
      </w:pPr>
      <w:r w:rsidRPr="00E15354">
        <w:rPr>
          <w:noProof/>
        </w:rPr>
        <w:t>PSCC51 Interrupção de uma operação</w:t>
      </w:r>
    </w:p>
    <w:p w14:paraId="7DB2C0A7" w14:textId="0DAF7BF5" w:rsidR="00492E88" w:rsidRPr="00E15354" w:rsidRDefault="00492E88" w:rsidP="00792940">
      <w:pPr>
        <w:pStyle w:val="Tiret0"/>
        <w:numPr>
          <w:ilvl w:val="0"/>
          <w:numId w:val="1"/>
        </w:numPr>
        <w:rPr>
          <w:noProof/>
        </w:rPr>
      </w:pPr>
      <w:r w:rsidRPr="00E15354">
        <w:rPr>
          <w:noProof/>
        </w:rPr>
        <w:t xml:space="preserve">PSCC49-2016-11 Ensaio de corte de energia </w:t>
      </w:r>
    </w:p>
    <w:p w14:paraId="4D95C2AC" w14:textId="0F582364" w:rsidR="00492E88" w:rsidRPr="00E15354" w:rsidRDefault="00492E88" w:rsidP="00792940">
      <w:pPr>
        <w:pStyle w:val="Tiret0"/>
        <w:numPr>
          <w:ilvl w:val="0"/>
          <w:numId w:val="1"/>
        </w:numPr>
        <w:rPr>
          <w:noProof/>
        </w:rPr>
      </w:pPr>
      <w:r w:rsidRPr="00E15354">
        <w:rPr>
          <w:noProof/>
        </w:rPr>
        <w:t>PSCC53-2020-06 Recusa de acesso (proibição)</w:t>
      </w:r>
    </w:p>
    <w:p w14:paraId="055A3201" w14:textId="29F02560" w:rsidR="00492E88" w:rsidRPr="00E15354" w:rsidRDefault="00492E88" w:rsidP="00792940">
      <w:pPr>
        <w:pStyle w:val="Tiret0"/>
        <w:numPr>
          <w:ilvl w:val="0"/>
          <w:numId w:val="1"/>
        </w:numPr>
        <w:rPr>
          <w:noProof/>
        </w:rPr>
      </w:pPr>
      <w:r w:rsidRPr="00E15354">
        <w:rPr>
          <w:noProof/>
        </w:rPr>
        <w:t>PSCC50-2017-12 Estrutura de graneleiros/petroleiros</w:t>
      </w:r>
    </w:p>
    <w:p w14:paraId="703D0AF4" w14:textId="4480278E" w:rsidR="00492E88" w:rsidRPr="00E15354" w:rsidRDefault="00492E88" w:rsidP="00792940">
      <w:pPr>
        <w:pStyle w:val="Tiret0"/>
        <w:numPr>
          <w:ilvl w:val="0"/>
          <w:numId w:val="1"/>
        </w:numPr>
        <w:rPr>
          <w:noProof/>
        </w:rPr>
      </w:pPr>
      <w:r w:rsidRPr="00E15354">
        <w:rPr>
          <w:noProof/>
        </w:rPr>
        <w:t>PSCC43-2010-06 Entrada em doca seca</w:t>
      </w:r>
    </w:p>
    <w:p w14:paraId="70DA347D" w14:textId="5601A6DE" w:rsidR="00492E88" w:rsidRPr="00E15354" w:rsidRDefault="00492E88" w:rsidP="00792940">
      <w:pPr>
        <w:pStyle w:val="Tiret0"/>
        <w:numPr>
          <w:ilvl w:val="0"/>
          <w:numId w:val="1"/>
        </w:numPr>
        <w:rPr>
          <w:noProof/>
        </w:rPr>
      </w:pPr>
      <w:r w:rsidRPr="00E15354">
        <w:rPr>
          <w:noProof/>
        </w:rPr>
        <w:t>PSCC53-2020-11 Autorização de uma única viagem para um estaleiro de reparação por anomalias relacionadas com «avarias acidentais»</w:t>
      </w:r>
    </w:p>
    <w:p w14:paraId="7E1C975E" w14:textId="77777777" w:rsidR="00492E88" w:rsidRPr="00E15354" w:rsidRDefault="00492E88" w:rsidP="00492E88">
      <w:pPr>
        <w:rPr>
          <w:noProof/>
        </w:rPr>
      </w:pPr>
      <w:r w:rsidRPr="00E15354">
        <w:rPr>
          <w:noProof/>
        </w:rPr>
        <w:t>Convenção SOLAS</w:t>
      </w:r>
    </w:p>
    <w:p w14:paraId="29E7EA02" w14:textId="1FE05A80" w:rsidR="00492E88" w:rsidRPr="00E15354" w:rsidRDefault="00492E88" w:rsidP="00792940">
      <w:pPr>
        <w:pStyle w:val="Tiret0"/>
        <w:numPr>
          <w:ilvl w:val="0"/>
          <w:numId w:val="2"/>
        </w:numPr>
        <w:rPr>
          <w:noProof/>
        </w:rPr>
      </w:pPr>
      <w:r w:rsidRPr="00E15354">
        <w:rPr>
          <w:noProof/>
        </w:rPr>
        <w:t>PSCC55-2022-09 Código ISM</w:t>
      </w:r>
    </w:p>
    <w:p w14:paraId="4109281E" w14:textId="1716E44E" w:rsidR="00492E88" w:rsidRPr="00E15354" w:rsidRDefault="00492E88" w:rsidP="00792940">
      <w:pPr>
        <w:pStyle w:val="Tiret0"/>
        <w:numPr>
          <w:ilvl w:val="0"/>
          <w:numId w:val="2"/>
        </w:numPr>
        <w:rPr>
          <w:noProof/>
        </w:rPr>
      </w:pPr>
      <w:r w:rsidRPr="00E15354">
        <w:rPr>
          <w:noProof/>
        </w:rPr>
        <w:t>PSCC54-2021-02 Código ISPS</w:t>
      </w:r>
    </w:p>
    <w:p w14:paraId="1754D520" w14:textId="19CB344D" w:rsidR="00492E88" w:rsidRPr="00E15354" w:rsidRDefault="00492E88" w:rsidP="00792940">
      <w:pPr>
        <w:pStyle w:val="Tiret0"/>
        <w:numPr>
          <w:ilvl w:val="0"/>
          <w:numId w:val="2"/>
        </w:numPr>
        <w:rPr>
          <w:noProof/>
        </w:rPr>
      </w:pPr>
      <w:r w:rsidRPr="00E15354">
        <w:rPr>
          <w:noProof/>
        </w:rPr>
        <w:t>PSCC51-2018-12 ECDIS</w:t>
      </w:r>
    </w:p>
    <w:p w14:paraId="2C80F861" w14:textId="22935EC5" w:rsidR="00492E88" w:rsidRPr="00E15354" w:rsidRDefault="00492E88" w:rsidP="00792940">
      <w:pPr>
        <w:pStyle w:val="Tiret0"/>
        <w:numPr>
          <w:ilvl w:val="0"/>
          <w:numId w:val="2"/>
        </w:numPr>
        <w:rPr>
          <w:noProof/>
        </w:rPr>
      </w:pPr>
      <w:r w:rsidRPr="00E15354">
        <w:rPr>
          <w:noProof/>
        </w:rPr>
        <w:t>PSCC43-2010-32 VDR (aparelhos de registo dos dados de viagem)</w:t>
      </w:r>
    </w:p>
    <w:p w14:paraId="6AC56D37" w14:textId="2BC03D70" w:rsidR="00492E88" w:rsidRPr="00E15354" w:rsidRDefault="00492E88" w:rsidP="00792940">
      <w:pPr>
        <w:pStyle w:val="Tiret0"/>
        <w:numPr>
          <w:ilvl w:val="0"/>
          <w:numId w:val="2"/>
        </w:numPr>
        <w:rPr>
          <w:noProof/>
        </w:rPr>
      </w:pPr>
      <w:r w:rsidRPr="00E15354">
        <w:rPr>
          <w:noProof/>
        </w:rPr>
        <w:t>PSCC43-2010-09 Fichas de dados de segurança dos materiais</w:t>
      </w:r>
    </w:p>
    <w:p w14:paraId="32FBB7DD" w14:textId="3EA4ECDF" w:rsidR="00492E88" w:rsidRPr="00E15354" w:rsidRDefault="00492E88" w:rsidP="00792940">
      <w:pPr>
        <w:pStyle w:val="Tiret0"/>
        <w:numPr>
          <w:ilvl w:val="0"/>
          <w:numId w:val="2"/>
        </w:numPr>
        <w:rPr>
          <w:noProof/>
        </w:rPr>
      </w:pPr>
      <w:r w:rsidRPr="00E15354">
        <w:rPr>
          <w:noProof/>
        </w:rPr>
        <w:t>PSCC43-2010-21 GMDSS</w:t>
      </w:r>
    </w:p>
    <w:p w14:paraId="7DC96DE0" w14:textId="0A29549A" w:rsidR="00492E88" w:rsidRPr="00E15354" w:rsidRDefault="00492E88" w:rsidP="00792940">
      <w:pPr>
        <w:pStyle w:val="Tiret0"/>
        <w:numPr>
          <w:ilvl w:val="0"/>
          <w:numId w:val="2"/>
        </w:numPr>
        <w:rPr>
          <w:noProof/>
        </w:rPr>
      </w:pPr>
      <w:r w:rsidRPr="00E15354">
        <w:rPr>
          <w:noProof/>
        </w:rPr>
        <w:t>PSCC44-2011-16 Unidades de libertação de salva-vidas em marcha</w:t>
      </w:r>
    </w:p>
    <w:p w14:paraId="33892D5A" w14:textId="512C10DF" w:rsidR="00492E88" w:rsidRPr="00E15354" w:rsidRDefault="00492E88" w:rsidP="00792940">
      <w:pPr>
        <w:pStyle w:val="Tiret0"/>
        <w:numPr>
          <w:ilvl w:val="0"/>
          <w:numId w:val="2"/>
        </w:numPr>
        <w:rPr>
          <w:noProof/>
        </w:rPr>
      </w:pPr>
      <w:r w:rsidRPr="00E15354">
        <w:rPr>
          <w:noProof/>
        </w:rPr>
        <w:t>PSCC45-2012-10 Estabilidade em avaria em navios-tanque</w:t>
      </w:r>
    </w:p>
    <w:p w14:paraId="309D9CA7" w14:textId="16342A20" w:rsidR="00492E88" w:rsidRPr="00E15354" w:rsidRDefault="00492E88" w:rsidP="00792940">
      <w:pPr>
        <w:pStyle w:val="Tiret0"/>
        <w:numPr>
          <w:ilvl w:val="0"/>
          <w:numId w:val="2"/>
        </w:numPr>
        <w:rPr>
          <w:noProof/>
        </w:rPr>
      </w:pPr>
      <w:r w:rsidRPr="00E15354">
        <w:rPr>
          <w:noProof/>
        </w:rPr>
        <w:t>PSCC55-2022-05 LRIT</w:t>
      </w:r>
    </w:p>
    <w:p w14:paraId="298F8D08" w14:textId="305E252E" w:rsidR="00492E88" w:rsidRPr="00E15354" w:rsidRDefault="00492E88" w:rsidP="00792940">
      <w:pPr>
        <w:pStyle w:val="Tiret0"/>
        <w:numPr>
          <w:ilvl w:val="0"/>
          <w:numId w:val="2"/>
        </w:numPr>
        <w:rPr>
          <w:noProof/>
        </w:rPr>
      </w:pPr>
      <w:r w:rsidRPr="00E15354">
        <w:rPr>
          <w:noProof/>
        </w:rPr>
        <w:t>PSCC43-2010-28 Medições da espessura ESP/CAS</w:t>
      </w:r>
    </w:p>
    <w:p w14:paraId="032247FF" w14:textId="416EFFF7" w:rsidR="00492E88" w:rsidRPr="00E15354" w:rsidRDefault="00492E88" w:rsidP="00792940">
      <w:pPr>
        <w:pStyle w:val="Tiret0"/>
        <w:numPr>
          <w:ilvl w:val="0"/>
          <w:numId w:val="2"/>
        </w:numPr>
        <w:rPr>
          <w:noProof/>
        </w:rPr>
      </w:pPr>
      <w:r w:rsidRPr="00E15354">
        <w:rPr>
          <w:noProof/>
        </w:rPr>
        <w:t>PSCC43-2010-29 Medição da espessura</w:t>
      </w:r>
    </w:p>
    <w:p w14:paraId="5530BE2E" w14:textId="49F185AC" w:rsidR="00492E88" w:rsidRPr="00E15354" w:rsidRDefault="00492E88" w:rsidP="00792940">
      <w:pPr>
        <w:pStyle w:val="Tiret0"/>
        <w:numPr>
          <w:ilvl w:val="0"/>
          <w:numId w:val="2"/>
        </w:numPr>
        <w:rPr>
          <w:noProof/>
        </w:rPr>
      </w:pPr>
      <w:r w:rsidRPr="00E15354">
        <w:rPr>
          <w:noProof/>
        </w:rPr>
        <w:t>PSCC51-2018-11 Código Polar</w:t>
      </w:r>
    </w:p>
    <w:p w14:paraId="49FCBB90" w14:textId="13D1F23B" w:rsidR="00492E88" w:rsidRPr="00E15354" w:rsidRDefault="00492E88" w:rsidP="00792940">
      <w:pPr>
        <w:pStyle w:val="Tiret0"/>
        <w:numPr>
          <w:ilvl w:val="0"/>
          <w:numId w:val="2"/>
        </w:numPr>
        <w:rPr>
          <w:noProof/>
        </w:rPr>
      </w:pPr>
      <w:r w:rsidRPr="00E15354">
        <w:rPr>
          <w:noProof/>
        </w:rPr>
        <w:t>PSCC55-2022-02 Código IGF</w:t>
      </w:r>
    </w:p>
    <w:p w14:paraId="7FB44D6A" w14:textId="77777777" w:rsidR="00492E88" w:rsidRPr="00E15354" w:rsidRDefault="00492E88" w:rsidP="00492E88">
      <w:pPr>
        <w:rPr>
          <w:noProof/>
        </w:rPr>
      </w:pPr>
      <w:r w:rsidRPr="00E15354">
        <w:rPr>
          <w:noProof/>
        </w:rPr>
        <w:t>Convenção MARPOL</w:t>
      </w:r>
    </w:p>
    <w:p w14:paraId="430ACE00" w14:textId="030980CD" w:rsidR="00492E88" w:rsidRPr="00E15354" w:rsidRDefault="00492E88" w:rsidP="00792940">
      <w:pPr>
        <w:pStyle w:val="Tiret0"/>
        <w:numPr>
          <w:ilvl w:val="0"/>
          <w:numId w:val="3"/>
        </w:numPr>
        <w:rPr>
          <w:noProof/>
        </w:rPr>
      </w:pPr>
      <w:r w:rsidRPr="00E15354">
        <w:rPr>
          <w:noProof/>
        </w:rPr>
        <w:t>PSCC46-2013-18 MARPOL, anexo I OWS</w:t>
      </w:r>
    </w:p>
    <w:p w14:paraId="108D9E75" w14:textId="53E0C269" w:rsidR="00492E88" w:rsidRPr="00E15354" w:rsidRDefault="00492E88" w:rsidP="00792940">
      <w:pPr>
        <w:pStyle w:val="Tiret0"/>
        <w:numPr>
          <w:ilvl w:val="0"/>
          <w:numId w:val="3"/>
        </w:numPr>
        <w:rPr>
          <w:noProof/>
        </w:rPr>
      </w:pPr>
      <w:r w:rsidRPr="00E15354">
        <w:rPr>
          <w:noProof/>
        </w:rPr>
        <w:t>PSCC43-2010-39 MARPOL, anexo II Drenagem</w:t>
      </w:r>
    </w:p>
    <w:p w14:paraId="2404BAC8" w14:textId="105CDF7A" w:rsidR="00492E88" w:rsidRPr="00E15354" w:rsidRDefault="00492E88" w:rsidP="00792940">
      <w:pPr>
        <w:pStyle w:val="Tiret0"/>
        <w:numPr>
          <w:ilvl w:val="0"/>
          <w:numId w:val="3"/>
        </w:numPr>
        <w:rPr>
          <w:noProof/>
        </w:rPr>
      </w:pPr>
      <w:r w:rsidRPr="00E15354">
        <w:rPr>
          <w:noProof/>
        </w:rPr>
        <w:t>PSCC47-2014-08 MARPOL, anexo III IMDG</w:t>
      </w:r>
    </w:p>
    <w:p w14:paraId="647E610C" w14:textId="0C8F6020" w:rsidR="00492E88" w:rsidRPr="00E15354" w:rsidRDefault="00492E88" w:rsidP="00792940">
      <w:pPr>
        <w:pStyle w:val="Tiret0"/>
        <w:numPr>
          <w:ilvl w:val="0"/>
          <w:numId w:val="3"/>
        </w:numPr>
        <w:rPr>
          <w:noProof/>
        </w:rPr>
      </w:pPr>
      <w:r w:rsidRPr="00E15354">
        <w:rPr>
          <w:noProof/>
        </w:rPr>
        <w:t>PSCC55-2022-07 MARPOL, anexo IV Esgotos sanitários</w:t>
      </w:r>
    </w:p>
    <w:p w14:paraId="5F5DF3C2" w14:textId="53580930" w:rsidR="00492E88" w:rsidRPr="00E15354" w:rsidRDefault="00492E88" w:rsidP="00792940">
      <w:pPr>
        <w:pStyle w:val="Tiret0"/>
        <w:numPr>
          <w:ilvl w:val="0"/>
          <w:numId w:val="3"/>
        </w:numPr>
        <w:rPr>
          <w:noProof/>
        </w:rPr>
      </w:pPr>
      <w:r w:rsidRPr="00E15354">
        <w:rPr>
          <w:noProof/>
        </w:rPr>
        <w:t>PSCC52-2019-07 MARPOL, anexo V Lixo</w:t>
      </w:r>
    </w:p>
    <w:p w14:paraId="325D309F" w14:textId="250B5469" w:rsidR="00492E88" w:rsidRPr="00E15354" w:rsidRDefault="00492E88" w:rsidP="00792940">
      <w:pPr>
        <w:pStyle w:val="Tiret0"/>
        <w:numPr>
          <w:ilvl w:val="0"/>
          <w:numId w:val="3"/>
        </w:numPr>
        <w:rPr>
          <w:noProof/>
        </w:rPr>
      </w:pPr>
      <w:r w:rsidRPr="00E15354">
        <w:rPr>
          <w:noProof/>
        </w:rPr>
        <w:t>PSCC55-2022-11 MARPOL, anexo VI Poluição atmosférica</w:t>
      </w:r>
    </w:p>
    <w:p w14:paraId="3C1F00C1" w14:textId="78B74C8B" w:rsidR="00492E88" w:rsidRPr="00E15354" w:rsidRDefault="00492E88" w:rsidP="00792940">
      <w:pPr>
        <w:pStyle w:val="Tiret0"/>
        <w:numPr>
          <w:ilvl w:val="0"/>
          <w:numId w:val="3"/>
        </w:numPr>
        <w:rPr>
          <w:noProof/>
        </w:rPr>
      </w:pPr>
      <w:r w:rsidRPr="00E15354">
        <w:rPr>
          <w:noProof/>
        </w:rPr>
        <w:t>PSCC43-2010-38 Lavagem com petróleo bruto</w:t>
      </w:r>
    </w:p>
    <w:p w14:paraId="0C6CC069" w14:textId="1C822FE2" w:rsidR="00492E88" w:rsidRPr="00E15354" w:rsidRDefault="00492E88" w:rsidP="00792940">
      <w:pPr>
        <w:pStyle w:val="Tiret0"/>
        <w:numPr>
          <w:ilvl w:val="0"/>
          <w:numId w:val="3"/>
        </w:numPr>
        <w:rPr>
          <w:noProof/>
        </w:rPr>
      </w:pPr>
      <w:r w:rsidRPr="00E15354">
        <w:rPr>
          <w:noProof/>
        </w:rPr>
        <w:t>PSCC44-2011-20 MARPOL Investigação</w:t>
      </w:r>
    </w:p>
    <w:p w14:paraId="431E3CE2" w14:textId="0258CC7A" w:rsidR="00492E88" w:rsidRPr="00E15354" w:rsidRDefault="00492E88" w:rsidP="00792940">
      <w:pPr>
        <w:pStyle w:val="Tiret0"/>
        <w:numPr>
          <w:ilvl w:val="0"/>
          <w:numId w:val="3"/>
        </w:numPr>
        <w:rPr>
          <w:noProof/>
        </w:rPr>
      </w:pPr>
      <w:r w:rsidRPr="00E15354">
        <w:rPr>
          <w:noProof/>
        </w:rPr>
        <w:t>Convenção Internacional das Linhas de Carga</w:t>
      </w:r>
    </w:p>
    <w:p w14:paraId="7A12818A" w14:textId="1D8A50FA" w:rsidR="00492E88" w:rsidRPr="00E15354" w:rsidRDefault="00492E88" w:rsidP="00792940">
      <w:pPr>
        <w:pStyle w:val="Tiret0"/>
        <w:numPr>
          <w:ilvl w:val="0"/>
          <w:numId w:val="3"/>
        </w:numPr>
        <w:rPr>
          <w:noProof/>
        </w:rPr>
      </w:pPr>
      <w:r w:rsidRPr="00E15354">
        <w:rPr>
          <w:noProof/>
        </w:rPr>
        <w:t>PSCC54-2021-06 Convenção Internacional das Linhas de Carga</w:t>
      </w:r>
    </w:p>
    <w:p w14:paraId="33008A5D" w14:textId="77777777" w:rsidR="00492E88" w:rsidRPr="00E15354" w:rsidRDefault="00492E88" w:rsidP="00492E88">
      <w:pPr>
        <w:rPr>
          <w:noProof/>
        </w:rPr>
      </w:pPr>
      <w:r w:rsidRPr="00E15354">
        <w:rPr>
          <w:noProof/>
        </w:rPr>
        <w:t>Convenção AFS</w:t>
      </w:r>
    </w:p>
    <w:p w14:paraId="36C8D5BF" w14:textId="56957966" w:rsidR="00492E88" w:rsidRPr="00E15354" w:rsidRDefault="00492E88" w:rsidP="00792940">
      <w:pPr>
        <w:pStyle w:val="Tiret0"/>
        <w:numPr>
          <w:ilvl w:val="0"/>
          <w:numId w:val="4"/>
        </w:numPr>
        <w:rPr>
          <w:noProof/>
        </w:rPr>
      </w:pPr>
      <w:r w:rsidRPr="00E15354">
        <w:rPr>
          <w:noProof/>
        </w:rPr>
        <w:t>PSCC47-2014-13 Sistemas antivegetativos</w:t>
      </w:r>
    </w:p>
    <w:p w14:paraId="51BCD08F" w14:textId="77777777" w:rsidR="00492E88" w:rsidRPr="00E15354" w:rsidRDefault="00492E88" w:rsidP="00492E88">
      <w:pPr>
        <w:rPr>
          <w:noProof/>
        </w:rPr>
      </w:pPr>
      <w:r w:rsidRPr="00E15354">
        <w:rPr>
          <w:noProof/>
        </w:rPr>
        <w:t>Convenção Bancas</w:t>
      </w:r>
    </w:p>
    <w:p w14:paraId="5399E56D" w14:textId="26F9980D" w:rsidR="00492E88" w:rsidRPr="00E15354" w:rsidRDefault="00492E88" w:rsidP="00792940">
      <w:pPr>
        <w:pStyle w:val="Tiret0"/>
        <w:numPr>
          <w:ilvl w:val="0"/>
          <w:numId w:val="5"/>
        </w:numPr>
        <w:rPr>
          <w:noProof/>
        </w:rPr>
      </w:pPr>
      <w:r w:rsidRPr="00E15354">
        <w:rPr>
          <w:noProof/>
        </w:rPr>
        <w:t>PSCC43-2010-08 Convenção Bancas</w:t>
      </w:r>
    </w:p>
    <w:p w14:paraId="52035A84" w14:textId="386BD089" w:rsidR="00492E88" w:rsidRPr="00E15354" w:rsidRDefault="00492E88" w:rsidP="00792940">
      <w:pPr>
        <w:pStyle w:val="Tiret0"/>
        <w:numPr>
          <w:ilvl w:val="0"/>
          <w:numId w:val="5"/>
        </w:numPr>
        <w:rPr>
          <w:noProof/>
        </w:rPr>
      </w:pPr>
      <w:r w:rsidRPr="00E15354">
        <w:rPr>
          <w:noProof/>
        </w:rPr>
        <w:t>Certificação de marítimos e lotação</w:t>
      </w:r>
    </w:p>
    <w:p w14:paraId="65B46493" w14:textId="445A646A" w:rsidR="00492E88" w:rsidRPr="00E15354" w:rsidRDefault="00492E88" w:rsidP="00792940">
      <w:pPr>
        <w:pStyle w:val="Tiret0"/>
        <w:numPr>
          <w:ilvl w:val="0"/>
          <w:numId w:val="5"/>
        </w:numPr>
        <w:rPr>
          <w:noProof/>
        </w:rPr>
      </w:pPr>
      <w:r w:rsidRPr="00E15354">
        <w:rPr>
          <w:noProof/>
        </w:rPr>
        <w:t>PSCC54-2021-04 Certificação de marítimos e lotação (STCW, CTM e SOLAS)</w:t>
      </w:r>
    </w:p>
    <w:p w14:paraId="54834773" w14:textId="485D96F5" w:rsidR="00492E88" w:rsidRPr="00E15354" w:rsidRDefault="00492E88" w:rsidP="00792940">
      <w:pPr>
        <w:pStyle w:val="Tiret0"/>
        <w:numPr>
          <w:ilvl w:val="0"/>
          <w:numId w:val="5"/>
        </w:numPr>
        <w:rPr>
          <w:noProof/>
        </w:rPr>
      </w:pPr>
      <w:r w:rsidRPr="00E15354">
        <w:rPr>
          <w:noProof/>
        </w:rPr>
        <w:t>Convenção para a Gestão das Águas de Lastro</w:t>
      </w:r>
    </w:p>
    <w:p w14:paraId="4B58DDC5" w14:textId="22F3EB34" w:rsidR="00492E88" w:rsidRPr="00E15354" w:rsidRDefault="00492E88" w:rsidP="00792940">
      <w:pPr>
        <w:pStyle w:val="Tiret0"/>
        <w:numPr>
          <w:ilvl w:val="0"/>
          <w:numId w:val="5"/>
        </w:numPr>
        <w:rPr>
          <w:noProof/>
        </w:rPr>
      </w:pPr>
      <w:r w:rsidRPr="00E15354">
        <w:rPr>
          <w:noProof/>
        </w:rPr>
        <w:t>PSCC51-2018-09 Convenção para a Gestão das Águas de Lastro</w:t>
      </w:r>
    </w:p>
    <w:p w14:paraId="2B40A3FC" w14:textId="77777777" w:rsidR="00492E88" w:rsidRPr="00E15354" w:rsidRDefault="00492E88" w:rsidP="00492E88">
      <w:pPr>
        <w:rPr>
          <w:noProof/>
        </w:rPr>
      </w:pPr>
      <w:r w:rsidRPr="00E15354">
        <w:rPr>
          <w:noProof/>
        </w:rPr>
        <w:t>Convenções da OIT</w:t>
      </w:r>
    </w:p>
    <w:p w14:paraId="69DFD715" w14:textId="1248B985" w:rsidR="00492E88" w:rsidRPr="00E15354" w:rsidRDefault="00492E88" w:rsidP="00792940">
      <w:pPr>
        <w:pStyle w:val="Tiret0"/>
        <w:numPr>
          <w:ilvl w:val="0"/>
          <w:numId w:val="6"/>
        </w:numPr>
        <w:rPr>
          <w:noProof/>
        </w:rPr>
      </w:pPr>
      <w:r w:rsidRPr="00E15354">
        <w:rPr>
          <w:noProof/>
        </w:rPr>
        <w:t xml:space="preserve">PSCC52-2019-10 Convenção do Trabalho Marítimo, de 2006 (CTM) </w:t>
      </w:r>
    </w:p>
    <w:p w14:paraId="4B4B26FB" w14:textId="62CBD600" w:rsidR="00492E88" w:rsidRPr="00E15354" w:rsidRDefault="00492E88" w:rsidP="00792940">
      <w:pPr>
        <w:pStyle w:val="Tiret0"/>
        <w:numPr>
          <w:ilvl w:val="0"/>
          <w:numId w:val="6"/>
        </w:numPr>
        <w:rPr>
          <w:noProof/>
        </w:rPr>
      </w:pPr>
      <w:r w:rsidRPr="00E15354">
        <w:rPr>
          <w:noProof/>
        </w:rPr>
        <w:t xml:space="preserve">PSCC53-2020-14 Horas de trabalho ou de descanso e aptidão para o serviço de quartos» </w:t>
      </w:r>
    </w:p>
    <w:p w14:paraId="79A88E3A" w14:textId="1D2349AC" w:rsidR="00BC0147" w:rsidRPr="00E15354" w:rsidRDefault="00492E88" w:rsidP="00492E88">
      <w:pPr>
        <w:rPr>
          <w:noProof/>
        </w:rPr>
        <w:sectPr w:rsidR="00BC0147" w:rsidRPr="00E15354" w:rsidSect="00550C50">
          <w:pgSz w:w="11907" w:h="16839"/>
          <w:pgMar w:top="1134" w:right="1417" w:bottom="1134" w:left="1417" w:header="709" w:footer="709" w:gutter="0"/>
          <w:cols w:space="720"/>
          <w:docGrid w:linePitch="360"/>
        </w:sectPr>
      </w:pPr>
      <w:r w:rsidRPr="00E15354">
        <w:rPr>
          <w:noProof/>
        </w:rPr>
        <w:t xml:space="preserve"> </w:t>
      </w:r>
    </w:p>
    <w:p w14:paraId="52654360" w14:textId="23140A4D" w:rsidR="00BC0147" w:rsidRPr="00E15354" w:rsidRDefault="00BC0147" w:rsidP="00BC0147">
      <w:pPr>
        <w:pStyle w:val="Annexetitre"/>
        <w:rPr>
          <w:noProof/>
        </w:rPr>
      </w:pPr>
      <w:r w:rsidRPr="00E15354">
        <w:rPr>
          <w:noProof/>
        </w:rPr>
        <w:t>ANEXO V</w:t>
      </w:r>
    </w:p>
    <w:p w14:paraId="575AD333" w14:textId="76C5329E" w:rsidR="00492E88" w:rsidRPr="00E15354" w:rsidRDefault="00492E88" w:rsidP="00492E88">
      <w:pPr>
        <w:pStyle w:val="NormalCentered"/>
        <w:rPr>
          <w:noProof/>
        </w:rPr>
      </w:pPr>
      <w:r w:rsidRPr="00E15354">
        <w:rPr>
          <w:noProof/>
        </w:rPr>
        <w:t>«ANEXO VIII</w:t>
      </w:r>
    </w:p>
    <w:p w14:paraId="52653314" w14:textId="77777777" w:rsidR="00492E88" w:rsidRPr="00E15354" w:rsidRDefault="00492E88" w:rsidP="00492E88">
      <w:pPr>
        <w:pStyle w:val="NormalCentered"/>
        <w:rPr>
          <w:noProof/>
        </w:rPr>
      </w:pPr>
      <w:r w:rsidRPr="00E15354">
        <w:rPr>
          <w:noProof/>
        </w:rPr>
        <w:t>DISPOSIÇÕES RELATIVAS À RECUSA DE ACESSO AOS PORTOS E ANCORADOUROS DA COMUNIDADE</w:t>
      </w:r>
    </w:p>
    <w:p w14:paraId="3F4CFBAC" w14:textId="77777777" w:rsidR="00492E88" w:rsidRPr="00E15354" w:rsidRDefault="00492E88" w:rsidP="00492E88">
      <w:pPr>
        <w:pStyle w:val="NormalCentered"/>
        <w:rPr>
          <w:noProof/>
        </w:rPr>
      </w:pPr>
      <w:r w:rsidRPr="00E15354">
        <w:rPr>
          <w:noProof/>
        </w:rPr>
        <w:t>(a que se refere o artigo 16.º)</w:t>
      </w:r>
    </w:p>
    <w:p w14:paraId="075FBB8C" w14:textId="77777777" w:rsidR="00492E88" w:rsidRPr="00E15354" w:rsidRDefault="00492E88" w:rsidP="00492E88">
      <w:pPr>
        <w:rPr>
          <w:noProof/>
        </w:rPr>
      </w:pPr>
    </w:p>
    <w:p w14:paraId="7EAA96F6" w14:textId="0D934481" w:rsidR="00492E88" w:rsidRPr="00E15354" w:rsidRDefault="00492E88" w:rsidP="00792940">
      <w:pPr>
        <w:pStyle w:val="Point0number"/>
        <w:numPr>
          <w:ilvl w:val="0"/>
          <w:numId w:val="7"/>
        </w:numPr>
        <w:rPr>
          <w:noProof/>
        </w:rPr>
      </w:pPr>
      <w:r w:rsidRPr="00E15354">
        <w:rPr>
          <w:noProof/>
        </w:rPr>
        <w:t>Sempre que se verificarem as condições descritas no artigo 16.º, n.º 1, a autoridade competente do porto em que o navio for detido pela terceira vez deve informar por escrito o comandante do navio de que será emitida uma recusa de acesso, aplicável logo que o navio saia do porto. A recusa de acesso é aplicável logo que o navio saia do porto após terem sido reparadas as anomalias que conduziram à sua detenção.</w:t>
      </w:r>
    </w:p>
    <w:p w14:paraId="716E68E7" w14:textId="69B9B908" w:rsidR="00492E88" w:rsidRPr="00E15354" w:rsidRDefault="00492E88" w:rsidP="00792940">
      <w:pPr>
        <w:pStyle w:val="Point0number"/>
        <w:numPr>
          <w:ilvl w:val="0"/>
          <w:numId w:val="7"/>
        </w:numPr>
        <w:rPr>
          <w:noProof/>
        </w:rPr>
      </w:pPr>
      <w:r w:rsidRPr="00E15354">
        <w:rPr>
          <w:noProof/>
        </w:rPr>
        <w:t>A autoridade competente deve igualmente comunicar a sua decisão por escrito à administração do Estado de bandeira, à organização reconhecida em causa, aos outros Estados-Membros, aos outros signatários do MA de Paris, à Comissão, e ao Secretariado do MA de Paris. A autoridade competente deve igualmente atualizar, sem demora, a base de dados das inspeções com informações sobre a recusa de acesso.</w:t>
      </w:r>
    </w:p>
    <w:p w14:paraId="33BB6AC4" w14:textId="560D35BE" w:rsidR="00492E88" w:rsidRPr="00E15354" w:rsidRDefault="00492E88" w:rsidP="00792940">
      <w:pPr>
        <w:pStyle w:val="Point0number"/>
        <w:numPr>
          <w:ilvl w:val="0"/>
          <w:numId w:val="7"/>
        </w:numPr>
        <w:rPr>
          <w:noProof/>
        </w:rPr>
      </w:pPr>
      <w:r w:rsidRPr="00E15354">
        <w:rPr>
          <w:noProof/>
        </w:rPr>
        <w:t>Para que a recusa de acesso seja revogada, o proprietário ou o operador tem de a requerer formalmente à autoridade do Estado-Membro que tiver tomado a decisão. O pedido tem de ser acompanhado de um documento da administração do Estado de bandeira, emitido na sequência de uma visita a bordo de um inspetor devidamente autorizado pela administração do Estado de bandeira, que comprove que o navio satisfaz plenamente as disposições aplicáveis das convenções. A administração do Estado de bandeira fornecerá provas da realização da visita a bordo à autoridade competente.</w:t>
      </w:r>
    </w:p>
    <w:p w14:paraId="37FBBCFE" w14:textId="47A6E153" w:rsidR="00492E88" w:rsidRPr="00E15354" w:rsidRDefault="00492E88" w:rsidP="00792940">
      <w:pPr>
        <w:pStyle w:val="Point0number"/>
        <w:numPr>
          <w:ilvl w:val="0"/>
          <w:numId w:val="7"/>
        </w:numPr>
        <w:rPr>
          <w:noProof/>
        </w:rPr>
      </w:pPr>
      <w:r w:rsidRPr="00E15354">
        <w:rPr>
          <w:noProof/>
        </w:rPr>
        <w:t>O pedido de revogação da recusa de acesso deve igualmente ser acompanhado, se necessário, de um documento da sociedade classificadora em que o navio está classificado emitido na sequência da visita a bordo de um inspetor da sociedade classificadora, que comprove que o navio está conforme com as normas de classificação especificadas pela referida sociedade. A sociedade classificadora fornecerá provas da realização da visita a bordo à autoridade competente.</w:t>
      </w:r>
    </w:p>
    <w:p w14:paraId="4F8E234E" w14:textId="3DB97EC0" w:rsidR="00492E88" w:rsidRPr="00E15354" w:rsidRDefault="00492E88" w:rsidP="00792940">
      <w:pPr>
        <w:pStyle w:val="Point0number"/>
        <w:numPr>
          <w:ilvl w:val="0"/>
          <w:numId w:val="7"/>
        </w:numPr>
        <w:rPr>
          <w:noProof/>
        </w:rPr>
      </w:pPr>
      <w:r w:rsidRPr="00E15354">
        <w:rPr>
          <w:noProof/>
        </w:rPr>
        <w:t>A recusa de acesso só pode ser revogada após o termo do período referido no artigo 16.º da presente diretiva, devendo a companhia apresentar um pedido formal à autoridade do Estado do porto do Estado-Membro que impôs a proibição e fornecer os documentos exigidos nos n.</w:t>
      </w:r>
      <w:r w:rsidRPr="00E15354">
        <w:rPr>
          <w:noProof/>
          <w:vertAlign w:val="superscript"/>
        </w:rPr>
        <w:t>os</w:t>
      </w:r>
      <w:r w:rsidRPr="00E15354">
        <w:rPr>
          <w:noProof/>
        </w:rPr>
        <w:t> 3 e 4.</w:t>
      </w:r>
    </w:p>
    <w:p w14:paraId="1AED48AC" w14:textId="0937F345" w:rsidR="00492E88" w:rsidRPr="00E15354" w:rsidRDefault="00492E88" w:rsidP="00792940">
      <w:pPr>
        <w:pStyle w:val="Point0number"/>
        <w:numPr>
          <w:ilvl w:val="0"/>
          <w:numId w:val="7"/>
        </w:numPr>
        <w:rPr>
          <w:noProof/>
        </w:rPr>
      </w:pPr>
      <w:r w:rsidRPr="00E15354">
        <w:rPr>
          <w:noProof/>
        </w:rPr>
        <w:t>Esse pedido, incluindo os documentos exigidos, deve ser apresentado ao Estado que impôs a proibição pelo menos um mês antes do final do período de proibição. Se este prazo não for cumprido, pode ocorrer um atraso até um mês após a receção do pedido pelo Estado que impôs a proibição.</w:t>
      </w:r>
    </w:p>
    <w:p w14:paraId="1C09A017" w14:textId="0A4928A8" w:rsidR="00492E88" w:rsidRPr="00E15354" w:rsidRDefault="00492E88" w:rsidP="00792940">
      <w:pPr>
        <w:pStyle w:val="Point0number"/>
        <w:numPr>
          <w:ilvl w:val="0"/>
          <w:numId w:val="7"/>
        </w:numPr>
        <w:rPr>
          <w:noProof/>
        </w:rPr>
      </w:pPr>
      <w:r w:rsidRPr="00E15354">
        <w:rPr>
          <w:noProof/>
        </w:rPr>
        <w:t>O sistema de informação acrescentará um fator prevalecente ao navio e este será indicado como estando sujeito ao tipo de inspeção «Inspeção alargada» na próxima escala num porto/ancoradouro da região.</w:t>
      </w:r>
    </w:p>
    <w:p w14:paraId="384F4F46" w14:textId="6A16FEDA" w:rsidR="00492E88" w:rsidRPr="00E15354" w:rsidRDefault="00492E88" w:rsidP="00792940">
      <w:pPr>
        <w:pStyle w:val="Point0number"/>
        <w:numPr>
          <w:ilvl w:val="0"/>
          <w:numId w:val="7"/>
        </w:numPr>
        <w:rPr>
          <w:noProof/>
        </w:rPr>
      </w:pPr>
      <w:r w:rsidRPr="00E15354">
        <w:rPr>
          <w:noProof/>
        </w:rPr>
        <w:t>A autoridade competente deve igualmente comunicar a sua decisão por escrito à administração do Estado de bandeira, à sociedade classificadora em causa, aos outros Estados-Membros, aos outros signatários do MA de Paris, à Comissão, e ao Secretariado do MA da Paris. A autoridade competente deve igualmente atualizar, sem demora, a base de dados das inspeções com informações sobre a revogação da recusa de acesso.</w:t>
      </w:r>
    </w:p>
    <w:p w14:paraId="11D6A0E8" w14:textId="6E128414" w:rsidR="00905D22" w:rsidRPr="00E15354" w:rsidRDefault="00492E88" w:rsidP="00792940">
      <w:pPr>
        <w:pStyle w:val="Point0number"/>
        <w:numPr>
          <w:ilvl w:val="0"/>
          <w:numId w:val="7"/>
        </w:numPr>
        <w:rPr>
          <w:noProof/>
        </w:rPr>
      </w:pPr>
      <w:r w:rsidRPr="00E15354">
        <w:rPr>
          <w:noProof/>
        </w:rPr>
        <w:t>As informações relativas aos navios que tiverem sido objeto de uma recusa de acesso aos portos e ancoradouros comunitários serão postas à disposição na base de dados das inspeções e publicadas em conformidade com o disposto no artigo 26.º e no anexo XIII.»</w:t>
      </w:r>
    </w:p>
    <w:sectPr w:rsidR="00905D22" w:rsidRPr="00E15354" w:rsidSect="00550C5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FF897" w14:textId="77777777" w:rsidR="00BC0147" w:rsidRDefault="00BC0147" w:rsidP="00BC0147">
      <w:pPr>
        <w:spacing w:before="0" w:after="0"/>
      </w:pPr>
      <w:r>
        <w:separator/>
      </w:r>
    </w:p>
  </w:endnote>
  <w:endnote w:type="continuationSeparator" w:id="0">
    <w:p w14:paraId="51FFFD87" w14:textId="77777777" w:rsidR="00BC0147" w:rsidRDefault="00BC0147" w:rsidP="00BC01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E376E" w14:textId="413B7BC5" w:rsidR="002047B4" w:rsidRPr="00550C50" w:rsidRDefault="002047B4" w:rsidP="00550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CDC32" w14:textId="7476BAE4" w:rsidR="00BC0147" w:rsidRPr="00550C50" w:rsidRDefault="00550C50" w:rsidP="00550C50">
    <w:pPr>
      <w:pStyle w:val="Footer"/>
      <w:rPr>
        <w:rFonts w:ascii="Arial" w:hAnsi="Arial" w:cs="Arial"/>
        <w:b/>
        <w:sz w:val="48"/>
      </w:rPr>
    </w:pPr>
    <w:r w:rsidRPr="00550C50">
      <w:rPr>
        <w:rFonts w:ascii="Arial" w:hAnsi="Arial" w:cs="Arial"/>
        <w:b/>
        <w:sz w:val="48"/>
      </w:rPr>
      <w:t>PT</w:t>
    </w:r>
    <w:r w:rsidRPr="00550C50">
      <w:rPr>
        <w:rFonts w:ascii="Arial" w:hAnsi="Arial" w:cs="Arial"/>
        <w:b/>
        <w:sz w:val="48"/>
      </w:rPr>
      <w:tab/>
    </w:r>
    <w:r w:rsidRPr="00550C50">
      <w:rPr>
        <w:rFonts w:ascii="Arial" w:hAnsi="Arial" w:cs="Arial"/>
        <w:b/>
        <w:sz w:val="48"/>
      </w:rPr>
      <w:tab/>
    </w:r>
    <w:r w:rsidRPr="00550C50">
      <w:tab/>
    </w:r>
    <w:r w:rsidRPr="00550C50">
      <w:rPr>
        <w:rFonts w:ascii="Arial" w:hAnsi="Arial" w:cs="Arial"/>
        <w:b/>
        <w:sz w:val="48"/>
      </w:rPr>
      <w:t>PT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00723" w14:textId="77777777" w:rsidR="00550C50" w:rsidRPr="00550C50" w:rsidRDefault="00550C50" w:rsidP="00550C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2E833" w14:textId="2ED8B067" w:rsidR="00550C50" w:rsidRPr="00550C50" w:rsidRDefault="00550C50" w:rsidP="00550C50">
    <w:pPr>
      <w:pStyle w:val="Footer"/>
      <w:rPr>
        <w:rFonts w:ascii="Arial" w:hAnsi="Arial" w:cs="Arial"/>
        <w:b/>
        <w:sz w:val="48"/>
      </w:rPr>
    </w:pPr>
    <w:r w:rsidRPr="00550C50">
      <w:rPr>
        <w:rFonts w:ascii="Arial" w:hAnsi="Arial" w:cs="Arial"/>
        <w:b/>
        <w:sz w:val="48"/>
      </w:rPr>
      <w:t>PT</w:t>
    </w:r>
    <w:r w:rsidRPr="00550C50">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550C50">
      <w:tab/>
    </w:r>
    <w:r w:rsidRPr="00550C50">
      <w:rPr>
        <w:rFonts w:ascii="Arial" w:hAnsi="Arial" w:cs="Arial"/>
        <w:b/>
        <w:sz w:val="48"/>
      </w:rPr>
      <w:t>PT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DA98C" w14:textId="77777777" w:rsidR="00550C50" w:rsidRPr="00550C50" w:rsidRDefault="00550C50" w:rsidP="00550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E0077" w14:textId="77777777" w:rsidR="00BC0147" w:rsidRDefault="00BC0147" w:rsidP="00BC0147">
      <w:pPr>
        <w:spacing w:before="0" w:after="0"/>
      </w:pPr>
      <w:r>
        <w:separator/>
      </w:r>
    </w:p>
  </w:footnote>
  <w:footnote w:type="continuationSeparator" w:id="0">
    <w:p w14:paraId="48772BF6" w14:textId="77777777" w:rsidR="00BC0147" w:rsidRDefault="00BC0147" w:rsidP="00BC014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74F54" w14:textId="77777777" w:rsidR="00550C50" w:rsidRPr="00550C50" w:rsidRDefault="00550C50" w:rsidP="00550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8C311" w14:textId="77777777" w:rsidR="00550C50" w:rsidRPr="00550C50" w:rsidRDefault="00550C50" w:rsidP="00550C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E01F6" w14:textId="77777777" w:rsidR="00550C50" w:rsidRPr="00550C50" w:rsidRDefault="00550C50" w:rsidP="00550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409E58B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D321CB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960019D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3FCD7B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AC6061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1621FA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F3A6D7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29FC065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num>
  <w:num w:numId="2">
    <w:abstractNumId w:val="19"/>
    <w:lvlOverride w:ilvl="0">
      <w:startOverride w:val="1"/>
    </w:lvlOverride>
  </w:num>
  <w:num w:numId="3">
    <w:abstractNumId w:val="19"/>
    <w:lvlOverride w:ilvl="0">
      <w:startOverride w:val="1"/>
    </w:lvlOverride>
  </w:num>
  <w:num w:numId="4">
    <w:abstractNumId w:val="19"/>
    <w:lvlOverride w:ilvl="0">
      <w:startOverride w:val="1"/>
    </w:lvlOverride>
  </w:num>
  <w:num w:numId="5">
    <w:abstractNumId w:val="19"/>
    <w:lvlOverride w:ilvl="0">
      <w:startOverride w:val="1"/>
    </w:lvlOverride>
  </w:num>
  <w:num w:numId="6">
    <w:abstractNumId w:val="19"/>
    <w:lvlOverride w:ilvl="0">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num>
  <w:num w:numId="14">
    <w:abstractNumId w:val="19"/>
    <w:lvlOverride w:ilvl="0">
      <w:startOverride w:val="1"/>
    </w:lvlOverride>
  </w:num>
  <w:num w:numId="15">
    <w:abstractNumId w:val="6"/>
  </w:num>
  <w:num w:numId="16">
    <w:abstractNumId w:val="2"/>
  </w:num>
  <w:num w:numId="17">
    <w:abstractNumId w:val="1"/>
  </w:num>
  <w:num w:numId="18">
    <w:abstractNumId w:val="0"/>
  </w:num>
  <w:num w:numId="19">
    <w:abstractNumId w:val="19"/>
  </w:num>
  <w:num w:numId="20">
    <w:abstractNumId w:val="12"/>
  </w:num>
  <w:num w:numId="21">
    <w:abstractNumId w:val="21"/>
  </w:num>
  <w:num w:numId="22">
    <w:abstractNumId w:val="11"/>
  </w:num>
  <w:num w:numId="23">
    <w:abstractNumId w:val="13"/>
  </w:num>
  <w:num w:numId="24">
    <w:abstractNumId w:val="14"/>
  </w:num>
  <w:num w:numId="25">
    <w:abstractNumId w:val="9"/>
  </w:num>
  <w:num w:numId="26">
    <w:abstractNumId w:val="20"/>
  </w:num>
  <w:num w:numId="27">
    <w:abstractNumId w:val="8"/>
  </w:num>
  <w:num w:numId="28">
    <w:abstractNumId w:val="15"/>
  </w:num>
  <w:num w:numId="29">
    <w:abstractNumId w:val="17"/>
  </w:num>
  <w:num w:numId="30">
    <w:abstractNumId w:val="18"/>
  </w:num>
  <w:num w:numId="31">
    <w:abstractNumId w:val="10"/>
  </w:num>
  <w:num w:numId="32">
    <w:abstractNumId w:val="16"/>
  </w:num>
  <w:num w:numId="33">
    <w:abstractNumId w:val="22"/>
  </w:num>
  <w:num w:numId="34">
    <w:abstractNumId w:val="19"/>
  </w:num>
  <w:num w:numId="35">
    <w:abstractNumId w:val="12"/>
  </w:num>
  <w:num w:numId="36">
    <w:abstractNumId w:val="21"/>
  </w:num>
  <w:num w:numId="37">
    <w:abstractNumId w:val="11"/>
  </w:num>
  <w:num w:numId="38">
    <w:abstractNumId w:val="13"/>
  </w:num>
  <w:num w:numId="39">
    <w:abstractNumId w:val="14"/>
  </w:num>
  <w:num w:numId="40">
    <w:abstractNumId w:val="9"/>
  </w:num>
  <w:num w:numId="41">
    <w:abstractNumId w:val="20"/>
  </w:num>
  <w:num w:numId="42">
    <w:abstractNumId w:val="8"/>
  </w:num>
  <w:num w:numId="43">
    <w:abstractNumId w:val="15"/>
  </w:num>
  <w:num w:numId="44">
    <w:abstractNumId w:val="17"/>
  </w:num>
  <w:num w:numId="45">
    <w:abstractNumId w:val="18"/>
  </w:num>
  <w:num w:numId="46">
    <w:abstractNumId w:val="10"/>
  </w:num>
  <w:num w:numId="47">
    <w:abstractNumId w:val="16"/>
  </w:num>
  <w:num w:numId="48">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pt-PT" w:vendorID="64" w:dllVersion="0" w:nlCheck="1" w:checkStyle="0"/>
  <w:attachedTemplate r:id="rId1"/>
  <w:revisionView w:markup="0"/>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7-03 14:42:43"/>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da"/>
    <w:docVar w:name="LW_ACCOMPAGNANT.CP" w:val="da"/>
    <w:docVar w:name="LW_ANNEX_NBR_FIRST" w:val="1"/>
    <w:docVar w:name="LW_ANNEX_NBR_LAST" w:val="5"/>
    <w:docVar w:name="LW_ANNEX_UNIQUE" w:val="0"/>
    <w:docVar w:name="LW_CORRIGENDUM" w:val="&lt;UNUSED&gt;"/>
    <w:docVar w:name="LW_COVERPAGE_EXISTS" w:val="True"/>
    <w:docVar w:name="LW_COVERPAGE_GUID" w:val="B896204D-21C4-454A-A3DC-D0C52D6157FE"/>
    <w:docVar w:name="LW_COVERPAGE_TYPE" w:val="1"/>
    <w:docVar w:name="LW_CROSSREFERENCE" w:val="{SEC(2023) 202 final} - {SWD(2023) 148 final} - {SWD(2023) 149 final}"/>
    <w:docVar w:name="LW_DocType" w:val="ANNEX"/>
    <w:docVar w:name="LW_EMISSION" w:val="1.6.2023"/>
    <w:docVar w:name="LW_EMISSION_ISODATE" w:val="2023-06-01"/>
    <w:docVar w:name="LW_EMISSION_LOCATION" w:val="BRX"/>
    <w:docVar w:name="LW_EMISSION_PREFIX" w:val="Bruxelas, "/>
    <w:docVar w:name="LW_EMISSION_SUFFIX" w:val=" "/>
    <w:docVar w:name="LW_ID_DOCSTRUCTURE" w:val="COM/ANNEX"/>
    <w:docVar w:name="LW_ID_DOCTYPE" w:val="SG-017"/>
    <w:docVar w:name="LW_LANGUE" w:val="PT"/>
    <w:docVar w:name="LW_LEVEL_OF_SENSITIVITY" w:val="Standard treatment"/>
    <w:docVar w:name="LW_NOM.INST" w:val="COMISSÃO EUROPEIA"/>
    <w:docVar w:name="LW_NOM.INST_JOINTDOC" w:val="&lt;EMPTY&gt;"/>
    <w:docVar w:name="LW_OBJETACTEPRINCIPAL" w:val="que altera a Diretiva 2009/16/CE relativa à inspeção pelo Estado do porto"/>
    <w:docVar w:name="LW_OBJETACTEPRINCIPAL.CP" w:val="que altera a Diretiva 2009/16/CE relativa à inspeção pelo Estado do porto"/>
    <w:docVar w:name="LW_PART_NBR" w:val="&lt;UNUSED&gt;"/>
    <w:docVar w:name="LW_PART_NBR_TOTAL" w:val="&lt;UNUSED&gt;"/>
    <w:docVar w:name="LW_REF.INST.NEW" w:val="COM"/>
    <w:docVar w:name="LW_REF.INST.NEW_ADOPTED" w:val="final"/>
    <w:docVar w:name="LW_REF.INST.NEW_TEXT" w:val="(2023) 27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EXOS"/>
    <w:docVar w:name="LW_TYPE.DOC.CP" w:val="ANEXOS"/>
    <w:docVar w:name="LW_TYPEACTEPRINCIPAL" w:val="Proposta de Diretiva do Parlamento Europeu e do Conselho"/>
    <w:docVar w:name="LW_TYPEACTEPRINCIPAL.CP" w:val="Proposta de Diretiva do Parlamento Europeu e do Conselho"/>
    <w:docVar w:name="LwApiVersions" w:val="LW4CoDe 1.23.2.0; LW 8.0, Build 20211117"/>
  </w:docVars>
  <w:rsids>
    <w:rsidRoot w:val="00BC0147"/>
    <w:rsid w:val="000F7DB9"/>
    <w:rsid w:val="00111D35"/>
    <w:rsid w:val="0011561D"/>
    <w:rsid w:val="00161668"/>
    <w:rsid w:val="00165C4F"/>
    <w:rsid w:val="00170B34"/>
    <w:rsid w:val="0019616A"/>
    <w:rsid w:val="001F343E"/>
    <w:rsid w:val="002047B4"/>
    <w:rsid w:val="00275663"/>
    <w:rsid w:val="002B044F"/>
    <w:rsid w:val="003A0F31"/>
    <w:rsid w:val="00492E88"/>
    <w:rsid w:val="00492EB7"/>
    <w:rsid w:val="0050517A"/>
    <w:rsid w:val="00550C50"/>
    <w:rsid w:val="005B2A4E"/>
    <w:rsid w:val="005B3AA8"/>
    <w:rsid w:val="005C24DA"/>
    <w:rsid w:val="00600FA2"/>
    <w:rsid w:val="00613B8A"/>
    <w:rsid w:val="00626E37"/>
    <w:rsid w:val="00637829"/>
    <w:rsid w:val="0065619F"/>
    <w:rsid w:val="006A6BCB"/>
    <w:rsid w:val="006E171E"/>
    <w:rsid w:val="00792940"/>
    <w:rsid w:val="007C71F2"/>
    <w:rsid w:val="008773F4"/>
    <w:rsid w:val="008D6398"/>
    <w:rsid w:val="008E6FCF"/>
    <w:rsid w:val="008F2611"/>
    <w:rsid w:val="00905D22"/>
    <w:rsid w:val="00934EDA"/>
    <w:rsid w:val="009420E5"/>
    <w:rsid w:val="00A13B51"/>
    <w:rsid w:val="00A25067"/>
    <w:rsid w:val="00A6243B"/>
    <w:rsid w:val="00A71F6D"/>
    <w:rsid w:val="00A73D3A"/>
    <w:rsid w:val="00AB7255"/>
    <w:rsid w:val="00AC6B3E"/>
    <w:rsid w:val="00B5298B"/>
    <w:rsid w:val="00BA4F3C"/>
    <w:rsid w:val="00BB30BC"/>
    <w:rsid w:val="00BC0147"/>
    <w:rsid w:val="00BC493B"/>
    <w:rsid w:val="00C469CD"/>
    <w:rsid w:val="00C953CA"/>
    <w:rsid w:val="00CA4FF3"/>
    <w:rsid w:val="00CB1FAA"/>
    <w:rsid w:val="00D3249D"/>
    <w:rsid w:val="00D328C4"/>
    <w:rsid w:val="00D33986"/>
    <w:rsid w:val="00D7181B"/>
    <w:rsid w:val="00D7306E"/>
    <w:rsid w:val="00D91814"/>
    <w:rsid w:val="00E15354"/>
    <w:rsid w:val="00EC5CFF"/>
    <w:rsid w:val="00EF5FF3"/>
    <w:rsid w:val="00F110D7"/>
    <w:rsid w:val="00F64E55"/>
    <w:rsid w:val="00F7024E"/>
    <w:rsid w:val="00F82260"/>
    <w:rsid w:val="00F85156"/>
    <w:rsid w:val="00F9656B"/>
    <w:rsid w:val="00FD2A42"/>
    <w:rsid w:val="00FE7E39"/>
    <w:rsid w:val="00FF5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1B5809F"/>
  <w15:docId w15:val="{915D7741-2FA1-4303-8E70-692737AF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pt-PT"/>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EC5CFF"/>
    <w:pPr>
      <w:numPr>
        <w:numId w:val="8"/>
      </w:numPr>
      <w:contextualSpacing/>
    </w:pPr>
  </w:style>
  <w:style w:type="paragraph" w:styleId="ListBullet2">
    <w:name w:val="List Bullet 2"/>
    <w:basedOn w:val="Normal"/>
    <w:uiPriority w:val="99"/>
    <w:semiHidden/>
    <w:unhideWhenUsed/>
    <w:rsid w:val="00EC5CFF"/>
    <w:pPr>
      <w:numPr>
        <w:numId w:val="9"/>
      </w:numPr>
      <w:contextualSpacing/>
    </w:pPr>
  </w:style>
  <w:style w:type="paragraph" w:styleId="ListBullet3">
    <w:name w:val="List Bullet 3"/>
    <w:basedOn w:val="Normal"/>
    <w:uiPriority w:val="99"/>
    <w:semiHidden/>
    <w:unhideWhenUsed/>
    <w:rsid w:val="00EC5CFF"/>
    <w:pPr>
      <w:numPr>
        <w:numId w:val="10"/>
      </w:numPr>
      <w:contextualSpacing/>
    </w:pPr>
  </w:style>
  <w:style w:type="paragraph" w:styleId="ListBullet4">
    <w:name w:val="List Bullet 4"/>
    <w:basedOn w:val="Normal"/>
    <w:uiPriority w:val="99"/>
    <w:semiHidden/>
    <w:unhideWhenUsed/>
    <w:rsid w:val="00EC5CFF"/>
    <w:pPr>
      <w:numPr>
        <w:numId w:val="11"/>
      </w:numPr>
      <w:contextualSpacing/>
    </w:pPr>
  </w:style>
  <w:style w:type="paragraph" w:styleId="Caption">
    <w:name w:val="caption"/>
    <w:basedOn w:val="Normal"/>
    <w:next w:val="Normal"/>
    <w:uiPriority w:val="35"/>
    <w:semiHidden/>
    <w:unhideWhenUsed/>
    <w:qFormat/>
    <w:rsid w:val="00792940"/>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792940"/>
    <w:pPr>
      <w:spacing w:after="0"/>
    </w:pPr>
  </w:style>
  <w:style w:type="paragraph" w:styleId="ListNumber">
    <w:name w:val="List Number"/>
    <w:basedOn w:val="Normal"/>
    <w:uiPriority w:val="99"/>
    <w:semiHidden/>
    <w:unhideWhenUsed/>
    <w:rsid w:val="00792940"/>
    <w:pPr>
      <w:numPr>
        <w:numId w:val="15"/>
      </w:numPr>
      <w:contextualSpacing/>
    </w:pPr>
  </w:style>
  <w:style w:type="paragraph" w:styleId="ListNumber2">
    <w:name w:val="List Number 2"/>
    <w:basedOn w:val="Normal"/>
    <w:uiPriority w:val="99"/>
    <w:semiHidden/>
    <w:unhideWhenUsed/>
    <w:rsid w:val="00792940"/>
    <w:pPr>
      <w:numPr>
        <w:numId w:val="16"/>
      </w:numPr>
      <w:contextualSpacing/>
    </w:pPr>
  </w:style>
  <w:style w:type="paragraph" w:styleId="ListNumber3">
    <w:name w:val="List Number 3"/>
    <w:basedOn w:val="Normal"/>
    <w:uiPriority w:val="99"/>
    <w:semiHidden/>
    <w:unhideWhenUsed/>
    <w:rsid w:val="00792940"/>
    <w:pPr>
      <w:numPr>
        <w:numId w:val="17"/>
      </w:numPr>
      <w:contextualSpacing/>
    </w:pPr>
  </w:style>
  <w:style w:type="paragraph" w:styleId="ListNumber4">
    <w:name w:val="List Number 4"/>
    <w:basedOn w:val="Normal"/>
    <w:uiPriority w:val="99"/>
    <w:semiHidden/>
    <w:unhideWhenUsed/>
    <w:rsid w:val="00792940"/>
    <w:pPr>
      <w:numPr>
        <w:numId w:val="18"/>
      </w:numPr>
      <w:contextualSpacing/>
    </w:pPr>
  </w:style>
  <w:style w:type="character" w:styleId="CommentReference">
    <w:name w:val="annotation reference"/>
    <w:basedOn w:val="DefaultParagraphFont"/>
    <w:uiPriority w:val="99"/>
    <w:semiHidden/>
    <w:unhideWhenUsed/>
    <w:rsid w:val="005C24DA"/>
    <w:rPr>
      <w:sz w:val="16"/>
      <w:szCs w:val="16"/>
    </w:rPr>
  </w:style>
  <w:style w:type="paragraph" w:styleId="CommentText">
    <w:name w:val="annotation text"/>
    <w:basedOn w:val="Normal"/>
    <w:link w:val="CommentTextChar"/>
    <w:uiPriority w:val="99"/>
    <w:semiHidden/>
    <w:unhideWhenUsed/>
    <w:rsid w:val="005C24DA"/>
    <w:rPr>
      <w:sz w:val="20"/>
      <w:szCs w:val="20"/>
    </w:rPr>
  </w:style>
  <w:style w:type="character" w:customStyle="1" w:styleId="CommentTextChar">
    <w:name w:val="Comment Text Char"/>
    <w:basedOn w:val="DefaultParagraphFont"/>
    <w:link w:val="CommentText"/>
    <w:uiPriority w:val="99"/>
    <w:semiHidden/>
    <w:rsid w:val="005C24DA"/>
    <w:rPr>
      <w:rFonts w:ascii="Times New Roman" w:hAnsi="Times New Roman" w:cs="Times New Roman"/>
      <w:sz w:val="20"/>
      <w:szCs w:val="20"/>
      <w:lang w:val="pt-PT"/>
    </w:rPr>
  </w:style>
  <w:style w:type="paragraph" w:styleId="CommentSubject">
    <w:name w:val="annotation subject"/>
    <w:basedOn w:val="CommentText"/>
    <w:next w:val="CommentText"/>
    <w:link w:val="CommentSubjectChar"/>
    <w:uiPriority w:val="99"/>
    <w:semiHidden/>
    <w:unhideWhenUsed/>
    <w:rsid w:val="005C24DA"/>
    <w:rPr>
      <w:b/>
      <w:bCs/>
    </w:rPr>
  </w:style>
  <w:style w:type="character" w:customStyle="1" w:styleId="CommentSubjectChar">
    <w:name w:val="Comment Subject Char"/>
    <w:basedOn w:val="CommentTextChar"/>
    <w:link w:val="CommentSubject"/>
    <w:uiPriority w:val="99"/>
    <w:semiHidden/>
    <w:rsid w:val="005C24DA"/>
    <w:rPr>
      <w:rFonts w:ascii="Times New Roman" w:hAnsi="Times New Roman" w:cs="Times New Roman"/>
      <w:b/>
      <w:bCs/>
      <w:sz w:val="20"/>
      <w:szCs w:val="20"/>
      <w:lang w:val="pt-PT"/>
    </w:rPr>
  </w:style>
  <w:style w:type="character" w:styleId="Hyperlink">
    <w:name w:val="Hyperlink"/>
    <w:basedOn w:val="DefaultParagraphFont"/>
    <w:uiPriority w:val="99"/>
    <w:unhideWhenUsed/>
    <w:rsid w:val="005C24DA"/>
    <w:rPr>
      <w:color w:val="0000FF" w:themeColor="hyperlink"/>
      <w:u w:val="single"/>
    </w:rPr>
  </w:style>
  <w:style w:type="character" w:customStyle="1" w:styleId="UnresolvedMention1">
    <w:name w:val="Unresolved Mention1"/>
    <w:basedOn w:val="DefaultParagraphFont"/>
    <w:uiPriority w:val="99"/>
    <w:semiHidden/>
    <w:unhideWhenUsed/>
    <w:rsid w:val="005C24DA"/>
    <w:rPr>
      <w:color w:val="605E5C"/>
      <w:shd w:val="clear" w:color="auto" w:fill="E1DFDD"/>
    </w:rPr>
  </w:style>
  <w:style w:type="paragraph" w:styleId="Header">
    <w:name w:val="header"/>
    <w:basedOn w:val="Normal"/>
    <w:link w:val="HeaderChar"/>
    <w:uiPriority w:val="99"/>
    <w:unhideWhenUsed/>
    <w:rsid w:val="00550C50"/>
    <w:pPr>
      <w:tabs>
        <w:tab w:val="center" w:pos="4535"/>
        <w:tab w:val="right" w:pos="9071"/>
      </w:tabs>
      <w:spacing w:before="0"/>
    </w:pPr>
  </w:style>
  <w:style w:type="character" w:customStyle="1" w:styleId="HeaderChar">
    <w:name w:val="Header Char"/>
    <w:basedOn w:val="DefaultParagraphFont"/>
    <w:link w:val="Header"/>
    <w:uiPriority w:val="99"/>
    <w:rsid w:val="00550C50"/>
    <w:rPr>
      <w:rFonts w:ascii="Times New Roman" w:hAnsi="Times New Roman" w:cs="Times New Roman"/>
      <w:sz w:val="24"/>
      <w:lang w:val="pt-PT"/>
    </w:rPr>
  </w:style>
  <w:style w:type="paragraph" w:styleId="Footer">
    <w:name w:val="footer"/>
    <w:basedOn w:val="Normal"/>
    <w:link w:val="FooterChar"/>
    <w:uiPriority w:val="99"/>
    <w:unhideWhenUsed/>
    <w:rsid w:val="00550C5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50C50"/>
    <w:rPr>
      <w:rFonts w:ascii="Times New Roman" w:hAnsi="Times New Roman" w:cs="Times New Roman"/>
      <w:sz w:val="24"/>
      <w:lang w:val="pt-P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550C50"/>
    <w:pPr>
      <w:tabs>
        <w:tab w:val="center" w:pos="7285"/>
        <w:tab w:val="right" w:pos="14003"/>
      </w:tabs>
      <w:spacing w:before="0"/>
    </w:pPr>
  </w:style>
  <w:style w:type="paragraph" w:customStyle="1" w:styleId="FooterLandscape">
    <w:name w:val="FooterLandscape"/>
    <w:basedOn w:val="Normal"/>
    <w:rsid w:val="00550C5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50C5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550C50"/>
    <w:pPr>
      <w:spacing w:before="0"/>
      <w:jc w:val="right"/>
    </w:pPr>
    <w:rPr>
      <w:sz w:val="28"/>
    </w:rPr>
  </w:style>
  <w:style w:type="paragraph" w:customStyle="1" w:styleId="FooterSensitivity">
    <w:name w:val="Footer Sensitivity"/>
    <w:basedOn w:val="Normal"/>
    <w:rsid w:val="00550C5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Tiret5">
    <w:name w:val="Tiret 5"/>
    <w:basedOn w:val="Point5"/>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NumPar5">
    <w:name w:val="NumPar 5"/>
    <w:basedOn w:val="Normal"/>
    <w:next w:val="Text2"/>
    <w:pPr>
      <w:numPr>
        <w:ilvl w:val="4"/>
        <w:numId w:val="40"/>
      </w:numPr>
    </w:pPr>
  </w:style>
  <w:style w:type="paragraph" w:customStyle="1" w:styleId="NumPar6">
    <w:name w:val="NumPar 6"/>
    <w:basedOn w:val="Normal"/>
    <w:next w:val="Text2"/>
    <w:pPr>
      <w:numPr>
        <w:ilvl w:val="5"/>
        <w:numId w:val="40"/>
      </w:numPr>
    </w:pPr>
  </w:style>
  <w:style w:type="paragraph" w:customStyle="1" w:styleId="NumPar7">
    <w:name w:val="NumPar 7"/>
    <w:basedOn w:val="Normal"/>
    <w:next w:val="Text2"/>
    <w:pPr>
      <w:numPr>
        <w:ilvl w:val="6"/>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6D555233027C1E41B8DD1CBE89128322" ma:contentTypeVersion="5" ma:contentTypeDescription="Create a new document in this library." ma:contentTypeScope="" ma:versionID="ea66bbe31642424c0522fa00dc9b13f3">
  <xsd:schema xmlns:xsd="http://www.w3.org/2001/XMLSchema" xmlns:xs="http://www.w3.org/2001/XMLSchema" xmlns:p="http://schemas.microsoft.com/office/2006/metadata/properties" xmlns:ns3="2C0E8722-3A40-479F-B012-367D1FB754C3" xmlns:ns4="2c0e8722-3a40-479f-b012-367d1fb754c3" xmlns:ns5="43dbc629-2500-4e93-a4c6-7001653b156d" targetNamespace="http://schemas.microsoft.com/office/2006/metadata/properties" ma:root="true" ma:fieldsID="e875e5b2e8832adf35d65ed7ec4b79f6" ns3:_="" ns4:_="" ns5:_="">
    <xsd:import namespace="2C0E8722-3A40-479F-B012-367D1FB754C3"/>
    <xsd:import namespace="2c0e8722-3a40-479f-b012-367d1fb754c3"/>
    <xsd:import namespace="43dbc629-2500-4e93-a4c6-7001653b156d"/>
    <xsd:element name="properties">
      <xsd:complexType>
        <xsd:sequence>
          <xsd:element name="documentManagement">
            <xsd:complexType>
              <xsd:all>
                <xsd:element ref="ns3:EC_Collab_Reference" minOccurs="0"/>
                <xsd:element ref="ns3:EC_Collab_DocumentLanguage"/>
                <xsd:element ref="ns3:EC_Collab_Status"/>
                <xsd:element ref="ns3:Status" minOccurs="0"/>
                <xsd:element ref="ns4:EC_ARES_NUMBER" minOccurs="0"/>
                <xsd:element ref="ns4:EC_ARES_DATE_TRANSFERRED" minOccurs="0"/>
                <xsd:element ref="ns4:EC_ARES_TRANSFERRED_B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E8722-3A40-479F-B012-367D1FB754C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tatus" ma:index="15" nillable="true" ma:displayName="Status" ma:default="Draft" ma:format="Dropdown" ma:internalName="Status">
      <xsd:simpleType>
        <xsd:restriction base="dms:Choice">
          <xsd:enumeration value="Draft"/>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2c0e8722-3a40-479f-b012-367d1fb754c3" elementFormDefault="qualified">
    <xsd:import namespace="http://schemas.microsoft.com/office/2006/documentManagement/types"/>
    <xsd:import namespace="http://schemas.microsoft.com/office/infopath/2007/PartnerControls"/>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dbc629-2500-4e93-a4c6-7001653b156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2C0E8722-3A40-479F-B012-367D1FB754C3">EN</EC_Collab_DocumentLanguage>
    <Status xmlns="2C0E8722-3A40-479F-B012-367D1FB754C3">Draft</Status>
    <EC_ARES_NUMBER xmlns="2c0e8722-3a40-479f-b012-367d1fb754c3">
      <Url xsi:nil="true"/>
      <Description xsi:nil="true"/>
    </EC_ARES_NUMBER>
    <EC_ARES_DATE_TRANSFERRED xmlns="2c0e8722-3a40-479f-b012-367d1fb754c3" xsi:nil="true"/>
    <EC_Collab_Status xmlns="2C0E8722-3A40-479F-B012-367D1FB754C3">Not Started</EC_Collab_Status>
    <EC_ARES_TRANSFERRED_BY xmlns="2c0e8722-3a40-479f-b012-367d1fb754c3" xsi:nil="true"/>
    <EC_Collab_Reference xmlns="2C0E8722-3A40-479F-B012-367D1FB754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D54671-0490-4C41-90F5-17750B019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E8722-3A40-479F-B012-367D1FB754C3"/>
    <ds:schemaRef ds:uri="2c0e8722-3a40-479f-b012-367d1fb754c3"/>
    <ds:schemaRef ds:uri="43dbc629-2500-4e93-a4c6-7001653b1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870CED-A34A-493F-A165-2AEC220C3F51}">
  <ds:schemaRefs>
    <ds:schemaRef ds:uri="http://purl.org/dc/terms/"/>
    <ds:schemaRef ds:uri="http://schemas.openxmlformats.org/package/2006/metadata/core-properties"/>
    <ds:schemaRef ds:uri="43dbc629-2500-4e93-a4c6-7001653b156d"/>
    <ds:schemaRef ds:uri="http://schemas.microsoft.com/office/2006/documentManagement/types"/>
    <ds:schemaRef ds:uri="2c0e8722-3a40-479f-b012-367d1fb754c3"/>
    <ds:schemaRef ds:uri="http://purl.org/dc/elements/1.1/"/>
    <ds:schemaRef ds:uri="http://schemas.microsoft.com/office/2006/metadata/properties"/>
    <ds:schemaRef ds:uri="http://schemas.microsoft.com/office/infopath/2007/PartnerControls"/>
    <ds:schemaRef ds:uri="2C0E8722-3A40-479F-B012-367D1FB754C3"/>
    <ds:schemaRef ds:uri="http://www.w3.org/XML/1998/namespace"/>
    <ds:schemaRef ds:uri="http://purl.org/dc/dcmitype/"/>
  </ds:schemaRefs>
</ds:datastoreItem>
</file>

<file path=customXml/itemProps3.xml><?xml version="1.0" encoding="utf-8"?>
<ds:datastoreItem xmlns:ds="http://schemas.openxmlformats.org/officeDocument/2006/customXml" ds:itemID="{E10D4245-FE66-4610-A921-3ACCAB63E7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ANNEX.dotm</Template>
  <TotalTime>24</TotalTime>
  <Pages>15</Pages>
  <Words>3824</Words>
  <Characters>21799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SYKARA Danai (MOVE)</dc:creator>
  <cp:keywords/>
  <dc:description/>
  <cp:lastModifiedBy>EC CoDe</cp:lastModifiedBy>
  <cp:revision>33</cp:revision>
  <dcterms:created xsi:type="dcterms:W3CDTF">2023-05-11T06:56:00Z</dcterms:created>
  <dcterms:modified xsi:type="dcterms:W3CDTF">2023-07-03T12:42:00Z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8.1, Build 20230124</vt:lpwstr>
  </property>
  <property fmtid="{D5CDD505-2E9C-101B-9397-08002B2CF9AE}" pid="6" name="First annex">
    <vt:lpwstr>1</vt:lpwstr>
  </property>
  <property fmtid="{D5CDD505-2E9C-101B-9397-08002B2CF9AE}" pid="7" name="Last annex">
    <vt:lpwstr>5</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0x010100258AA79CEB83498886A3A08681123250006D555233027C1E41B8DD1CBE89128322</vt:lpwstr>
  </property>
  <property fmtid="{D5CDD505-2E9C-101B-9397-08002B2CF9AE}" pid="14" name="MSIP_Label_6bd9ddd1-4d20-43f6-abfa-fc3c07406f94_Enabled">
    <vt:lpwstr>true</vt:lpwstr>
  </property>
  <property fmtid="{D5CDD505-2E9C-101B-9397-08002B2CF9AE}" pid="15" name="MSIP_Label_6bd9ddd1-4d20-43f6-abfa-fc3c07406f94_SetDate">
    <vt:lpwstr>2023-03-20T15:26:12Z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274cf058-6ccb-4c82-b307-341c1cf14192</vt:lpwstr>
  </property>
  <property fmtid="{D5CDD505-2E9C-101B-9397-08002B2CF9AE}" pid="20" name="MSIP_Label_6bd9ddd1-4d20-43f6-abfa-fc3c07406f94_ContentBits">
    <vt:lpwstr>0</vt:lpwstr>
  </property>
  <property fmtid="{D5CDD505-2E9C-101B-9397-08002B2CF9AE}" pid="21" name="DQCStatus">
    <vt:lpwstr>Green (DQC version 03)</vt:lpwstr>
  </property>
</Properties>
</file>