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8648" w14:textId="114DF3DD" w:rsidR="00BC0147" w:rsidRPr="00903183" w:rsidRDefault="00DA667C" w:rsidP="00DA667C">
      <w:pPr>
        <w:pStyle w:val="Pagedecouverture"/>
        <w:rPr>
          <w:noProof/>
        </w:rPr>
      </w:pPr>
      <w:r>
        <w:rPr>
          <w:noProof/>
        </w:rPr>
        <w:pict w14:anchorId="0A764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F3DAF3A-3387-46EF-9379-6A4229F23A31" style="width:455.25pt;height:387.75pt">
            <v:imagedata r:id="rId10" o:title=""/>
          </v:shape>
        </w:pict>
      </w:r>
    </w:p>
    <w:p w14:paraId="2B5C62EE" w14:textId="77777777" w:rsidR="00BC0147" w:rsidRPr="00903183" w:rsidRDefault="00BC0147" w:rsidP="00BC0147">
      <w:pPr>
        <w:rPr>
          <w:noProof/>
        </w:rPr>
        <w:sectPr w:rsidR="00BC0147" w:rsidRPr="00903183" w:rsidSect="00DA667C">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124C1816" w14:textId="3424333C" w:rsidR="00BC0147" w:rsidRPr="00903183" w:rsidRDefault="00BC0147" w:rsidP="00BC0147">
      <w:pPr>
        <w:pStyle w:val="Annexetitre"/>
        <w:rPr>
          <w:noProof/>
        </w:rPr>
      </w:pPr>
      <w:bookmarkStart w:id="0" w:name="_GoBack"/>
      <w:bookmarkEnd w:id="0"/>
      <w:r w:rsidRPr="00903183">
        <w:rPr>
          <w:noProof/>
        </w:rPr>
        <w:lastRenderedPageBreak/>
        <w:t>PRILOG I.</w:t>
      </w:r>
    </w:p>
    <w:p w14:paraId="0C44AC62" w14:textId="77777777" w:rsidR="00BC0147" w:rsidRPr="00903183" w:rsidRDefault="00BC0147" w:rsidP="00BC0147">
      <w:pPr>
        <w:rPr>
          <w:noProof/>
        </w:rPr>
      </w:pPr>
    </w:p>
    <w:p w14:paraId="4195DB68" w14:textId="77777777" w:rsidR="00BC0147" w:rsidRPr="00903183" w:rsidRDefault="00BC0147" w:rsidP="00BC0147">
      <w:pPr>
        <w:rPr>
          <w:noProof/>
        </w:rPr>
      </w:pPr>
      <w:r w:rsidRPr="00903183">
        <w:rPr>
          <w:b/>
          <w:bCs/>
          <w:noProof/>
        </w:rPr>
        <w:t>I. Profil rizičnosti broda</w:t>
      </w:r>
    </w:p>
    <w:p w14:paraId="2D0EFA47" w14:textId="77777777" w:rsidR="00BC0147" w:rsidRPr="00903183" w:rsidRDefault="00BC0147" w:rsidP="00BC0147">
      <w:pPr>
        <w:rPr>
          <w:noProof/>
        </w:rPr>
      </w:pPr>
      <w:r w:rsidRPr="00903183">
        <w:rPr>
          <w:noProof/>
        </w:rPr>
        <w:t>Profil rizičnosti broda određuje se kombinacijom sljedećih općih, povijesnih i okolišnih parametara:</w:t>
      </w:r>
    </w:p>
    <w:p w14:paraId="32A432F0" w14:textId="77777777" w:rsidR="00BC0147" w:rsidRPr="00903183" w:rsidRDefault="00BC0147" w:rsidP="00BC0147">
      <w:pPr>
        <w:rPr>
          <w:b/>
          <w:noProof/>
        </w:rPr>
      </w:pPr>
      <w:r w:rsidRPr="00903183">
        <w:rPr>
          <w:b/>
          <w:noProof/>
        </w:rPr>
        <w:t>1. Opći parametri</w:t>
      </w:r>
    </w:p>
    <w:p w14:paraId="6042DD0E" w14:textId="77777777" w:rsidR="00BC0147" w:rsidRPr="00903183" w:rsidRDefault="00BC0147" w:rsidP="00A73D3A">
      <w:pPr>
        <w:pStyle w:val="Point0letter"/>
        <w:numPr>
          <w:ilvl w:val="1"/>
          <w:numId w:val="12"/>
        </w:numPr>
        <w:rPr>
          <w:noProof/>
        </w:rPr>
      </w:pPr>
      <w:r w:rsidRPr="00903183">
        <w:rPr>
          <w:noProof/>
        </w:rPr>
        <w:t>Vrsta broda</w:t>
      </w:r>
    </w:p>
    <w:p w14:paraId="002740F3" w14:textId="77777777" w:rsidR="00BC0147" w:rsidRPr="00903183" w:rsidRDefault="00BC0147" w:rsidP="00BC0147">
      <w:pPr>
        <w:pStyle w:val="Point1"/>
        <w:ind w:left="850" w:firstLine="0"/>
        <w:rPr>
          <w:noProof/>
        </w:rPr>
      </w:pPr>
      <w:r w:rsidRPr="00903183">
        <w:rPr>
          <w:noProof/>
        </w:rPr>
        <w:t>Putnički brodovi, tankeri za ulje i kemikalije, tankeri za plin i brodovi za rasute terete smatraju se brodovima visokog rizika.</w:t>
      </w:r>
    </w:p>
    <w:p w14:paraId="7CF35C1A" w14:textId="77777777" w:rsidR="00BC0147" w:rsidRPr="00903183" w:rsidRDefault="00BC0147" w:rsidP="00A73D3A">
      <w:pPr>
        <w:pStyle w:val="Point0letter"/>
        <w:rPr>
          <w:noProof/>
        </w:rPr>
      </w:pPr>
      <w:r w:rsidRPr="00903183">
        <w:rPr>
          <w:noProof/>
        </w:rPr>
        <w:t>Starost broda</w:t>
      </w:r>
    </w:p>
    <w:p w14:paraId="1F2149A2" w14:textId="77777777" w:rsidR="00BC0147" w:rsidRPr="00903183" w:rsidRDefault="00BC0147" w:rsidP="00BC0147">
      <w:pPr>
        <w:pStyle w:val="Point1"/>
        <w:rPr>
          <w:noProof/>
        </w:rPr>
      </w:pPr>
      <w:r w:rsidRPr="00903183">
        <w:rPr>
          <w:noProof/>
        </w:rPr>
        <w:t>Brodovi stariji od 12 godina smatraju se brodovima visokog rizika.</w:t>
      </w:r>
    </w:p>
    <w:p w14:paraId="5B129B33" w14:textId="77777777" w:rsidR="00BC0147" w:rsidRPr="00903183" w:rsidRDefault="00BC0147" w:rsidP="00A73D3A">
      <w:pPr>
        <w:pStyle w:val="Point0letter"/>
        <w:rPr>
          <w:noProof/>
        </w:rPr>
      </w:pPr>
      <w:r w:rsidRPr="00903183">
        <w:rPr>
          <w:noProof/>
        </w:rPr>
        <w:t>Rezultati države zastave</w:t>
      </w:r>
    </w:p>
    <w:p w14:paraId="73D8DB13" w14:textId="77777777" w:rsidR="00BC0147" w:rsidRPr="00903183" w:rsidRDefault="00BC0147" w:rsidP="00BC0147">
      <w:pPr>
        <w:pStyle w:val="Point1"/>
        <w:rPr>
          <w:noProof/>
        </w:rPr>
      </w:pPr>
      <w:r w:rsidRPr="00903183">
        <w:rPr>
          <w:noProof/>
        </w:rPr>
        <w:t>i.</w:t>
      </w:r>
      <w:r w:rsidRPr="00903183">
        <w:rPr>
          <w:noProof/>
        </w:rPr>
        <w:tab/>
        <w:t>Brodovi koji plove pod zastavom države s velikim brojem zabrana plovidbe na području Unije i Pariškog memoranduma smatraju se brodovima visokog rizika.</w:t>
      </w:r>
    </w:p>
    <w:p w14:paraId="61596927" w14:textId="77777777" w:rsidR="00BC0147" w:rsidRPr="00903183" w:rsidRDefault="00BC0147" w:rsidP="00BC0147">
      <w:pPr>
        <w:pStyle w:val="Point1"/>
        <w:rPr>
          <w:noProof/>
        </w:rPr>
      </w:pPr>
      <w:r w:rsidRPr="00903183">
        <w:rPr>
          <w:noProof/>
        </w:rPr>
        <w:t>ii.</w:t>
      </w:r>
      <w:r w:rsidRPr="00903183">
        <w:rPr>
          <w:noProof/>
        </w:rPr>
        <w:tab/>
        <w:t>Brodovi koji plove pod zastavom države s malim brojem zabrana plovidbe na području Unije i Pariškog memoranduma smatraju se brodovima niskog rizika.</w:t>
      </w:r>
    </w:p>
    <w:p w14:paraId="3E23E3BF" w14:textId="77777777" w:rsidR="00BC0147" w:rsidRPr="00903183" w:rsidRDefault="00BC0147" w:rsidP="00BC0147">
      <w:pPr>
        <w:pStyle w:val="Point1"/>
        <w:rPr>
          <w:noProof/>
        </w:rPr>
      </w:pPr>
      <w:r w:rsidRPr="00903183">
        <w:rPr>
          <w:noProof/>
        </w:rPr>
        <w:t>iii.</w:t>
      </w:r>
      <w:r w:rsidRPr="00903183">
        <w:rPr>
          <w:noProof/>
        </w:rPr>
        <w:tab/>
        <w:t>Brodovi koji plove pod zastavom države koja je ratificirala sve obvezne instrumente IMO-a navedene u članku 2. stavku 1. smatraju se brodovima niskog rizika. Čim se donesu mjere iz članka 10. stavka 3., država zastave takvog broda mora dokazati usklađenost s Kodeksom za provedbu obveznih instrumenata IMO-a.</w:t>
      </w:r>
    </w:p>
    <w:p w14:paraId="01E4E36B" w14:textId="77777777" w:rsidR="00BC0147" w:rsidRPr="00903183" w:rsidRDefault="00BC0147" w:rsidP="00BC0147">
      <w:pPr>
        <w:pStyle w:val="Point1"/>
        <w:rPr>
          <w:noProof/>
        </w:rPr>
      </w:pPr>
      <w:r w:rsidRPr="00903183">
        <w:rPr>
          <w:noProof/>
        </w:rPr>
        <w:t>iv.</w:t>
      </w:r>
      <w:r w:rsidRPr="00903183">
        <w:rPr>
          <w:noProof/>
        </w:rPr>
        <w:tab/>
        <w:t>Brodovi koji plove pod zastavom države koja je dostavila elektroničke verzije statutarnih svjedodžbi iz točaka od 1. do XX. Priloga IV.</w:t>
      </w:r>
    </w:p>
    <w:p w14:paraId="44F528DB" w14:textId="77777777" w:rsidR="00BC0147" w:rsidRPr="00903183" w:rsidRDefault="00BC0147" w:rsidP="00A73D3A">
      <w:pPr>
        <w:pStyle w:val="Point0letter"/>
        <w:rPr>
          <w:noProof/>
        </w:rPr>
      </w:pPr>
      <w:r w:rsidRPr="00903183">
        <w:rPr>
          <w:noProof/>
        </w:rPr>
        <w:t>Priznate organizacije</w:t>
      </w:r>
    </w:p>
    <w:p w14:paraId="0C2D411E" w14:textId="77777777" w:rsidR="00BC0147" w:rsidRPr="00903183" w:rsidRDefault="00BC0147" w:rsidP="00BC0147">
      <w:pPr>
        <w:pStyle w:val="Point1"/>
        <w:rPr>
          <w:noProof/>
        </w:rPr>
      </w:pPr>
      <w:r w:rsidRPr="00903183">
        <w:rPr>
          <w:noProof/>
        </w:rPr>
        <w:t>i.</w:t>
      </w:r>
      <w:r w:rsidRPr="00903183">
        <w:rPr>
          <w:noProof/>
        </w:rPr>
        <w:tab/>
        <w:t>Brodovi kojima su svjedodžbe izdale priznate organizacije i koji imaju loše ili vrlo loše rezultate u pogledu broja zabrana plovidbe na području Unije i Pariškog memoranduma smatraju se brodovima visokog rizika.</w:t>
      </w:r>
    </w:p>
    <w:p w14:paraId="3F27C110" w14:textId="77777777" w:rsidR="00BC0147" w:rsidRPr="00903183" w:rsidRDefault="00BC0147" w:rsidP="00BC0147">
      <w:pPr>
        <w:pStyle w:val="Point1"/>
        <w:rPr>
          <w:noProof/>
        </w:rPr>
      </w:pPr>
      <w:r w:rsidRPr="00903183">
        <w:rPr>
          <w:noProof/>
        </w:rPr>
        <w:t>ii.</w:t>
      </w:r>
      <w:r w:rsidRPr="00903183">
        <w:rPr>
          <w:noProof/>
        </w:rPr>
        <w:tab/>
        <w:t>Brodovi kojima su svjedodžbe izdale priznate organizacije i koji imaju dobre rezultate u pogledu broja zabrana plovidbe na području Unije i Pariškog memoranduma smatraju se brodovima niskog rizika.</w:t>
      </w:r>
    </w:p>
    <w:p w14:paraId="7326603F" w14:textId="77777777" w:rsidR="00BC0147" w:rsidRPr="00903183" w:rsidRDefault="00BC0147" w:rsidP="00BC0147">
      <w:pPr>
        <w:pStyle w:val="Point1"/>
        <w:rPr>
          <w:noProof/>
        </w:rPr>
      </w:pPr>
      <w:r w:rsidRPr="00903183">
        <w:rPr>
          <w:noProof/>
        </w:rPr>
        <w:t>iii.</w:t>
      </w:r>
      <w:r w:rsidRPr="00903183">
        <w:rPr>
          <w:noProof/>
        </w:rPr>
        <w:tab/>
        <w:t>Brodovi kojima su svjedodžbe izdale organizacije priznate u skladu s Uredbom (EZ) br. 391/2009.</w:t>
      </w:r>
    </w:p>
    <w:p w14:paraId="22473E22" w14:textId="44BAF7F5" w:rsidR="00BC0147" w:rsidRPr="00903183" w:rsidRDefault="00BC0147" w:rsidP="00A73D3A">
      <w:pPr>
        <w:pStyle w:val="Point0letter"/>
        <w:rPr>
          <w:noProof/>
        </w:rPr>
      </w:pPr>
      <w:r w:rsidRPr="00903183">
        <w:rPr>
          <w:noProof/>
        </w:rPr>
        <w:t>Rezultati kompanije</w:t>
      </w:r>
    </w:p>
    <w:p w14:paraId="5E494C56" w14:textId="09880094" w:rsidR="00BC0147" w:rsidRPr="00903183" w:rsidRDefault="00F9656B" w:rsidP="00F9656B">
      <w:pPr>
        <w:pStyle w:val="Point1"/>
        <w:rPr>
          <w:noProof/>
        </w:rPr>
      </w:pPr>
      <w:r w:rsidRPr="00903183">
        <w:rPr>
          <w:noProof/>
        </w:rPr>
        <w:t>i.</w:t>
      </w:r>
      <w:r w:rsidRPr="00903183">
        <w:rPr>
          <w:noProof/>
        </w:rPr>
        <w:tab/>
        <w:t>Brodovi kompanije s lošim ili vrlo lošim rezultatima utvrđenima na temelju nedostataka i broja zabrana plovidbe njezinih brodova na području Unije i Pariškog memoranduma smatraju se brodovima visokog rizika.</w:t>
      </w:r>
    </w:p>
    <w:p w14:paraId="3D025988" w14:textId="73CB62FB" w:rsidR="00BC0147" w:rsidRPr="00903183" w:rsidRDefault="00F9656B" w:rsidP="00F9656B">
      <w:pPr>
        <w:pStyle w:val="Point1"/>
        <w:rPr>
          <w:noProof/>
        </w:rPr>
      </w:pPr>
      <w:r w:rsidRPr="00903183">
        <w:rPr>
          <w:noProof/>
        </w:rPr>
        <w:t>ii.</w:t>
      </w:r>
      <w:r w:rsidRPr="00903183">
        <w:rPr>
          <w:noProof/>
        </w:rPr>
        <w:tab/>
        <w:t>Brodovi kompanije s dobrim rezultatima utvrđenima na temelju nedostataka i broja zabrana plovidbe njezinih brodova na području Unije i Pariškog memoranduma smatraju se brodovima niskog rizika.</w:t>
      </w:r>
    </w:p>
    <w:p w14:paraId="1E318B87" w14:textId="7888402B" w:rsidR="00BC0147" w:rsidRPr="00903183" w:rsidRDefault="00BC0147" w:rsidP="00A73D3A">
      <w:pPr>
        <w:pStyle w:val="Point0letter"/>
        <w:rPr>
          <w:noProof/>
        </w:rPr>
      </w:pPr>
      <w:r w:rsidRPr="00903183">
        <w:rPr>
          <w:noProof/>
        </w:rPr>
        <w:t>Povijesni parametri</w:t>
      </w:r>
    </w:p>
    <w:p w14:paraId="6DC27AB4" w14:textId="26714148" w:rsidR="00BC0147" w:rsidRPr="00903183" w:rsidRDefault="00F9656B" w:rsidP="00F9656B">
      <w:pPr>
        <w:pStyle w:val="Point1"/>
        <w:rPr>
          <w:noProof/>
        </w:rPr>
      </w:pPr>
      <w:r w:rsidRPr="00903183">
        <w:rPr>
          <w:noProof/>
        </w:rPr>
        <w:t>i.</w:t>
      </w:r>
      <w:r w:rsidRPr="00903183">
        <w:rPr>
          <w:noProof/>
        </w:rPr>
        <w:tab/>
        <w:t>Brodovi kojima je zabranjena plovidba više od jedanput smatraju se brodovima visokog rizika.</w:t>
      </w:r>
    </w:p>
    <w:p w14:paraId="58EA423A" w14:textId="3D7B052D" w:rsidR="00BC0147" w:rsidRPr="00903183" w:rsidRDefault="00F9656B" w:rsidP="00F9656B">
      <w:pPr>
        <w:pStyle w:val="Point1"/>
        <w:rPr>
          <w:noProof/>
        </w:rPr>
      </w:pPr>
      <w:r w:rsidRPr="00903183">
        <w:rPr>
          <w:noProof/>
        </w:rPr>
        <w:t>ii.</w:t>
      </w:r>
      <w:r w:rsidRPr="00903183">
        <w:rPr>
          <w:noProof/>
        </w:rPr>
        <w:tab/>
        <w:t>Brodovi kojima je tijekom inspekcijskog pregleda ili inspekcijskih pregleda u razdoblju iz Priloga II. utvrđen manji broj nedostataka od broja navedenog u Prilogu II. smatraju se brodovima niskog rizika.</w:t>
      </w:r>
    </w:p>
    <w:p w14:paraId="2DFB8835" w14:textId="71E14622" w:rsidR="00BC0147" w:rsidRPr="00903183" w:rsidRDefault="00F9656B" w:rsidP="00F9656B">
      <w:pPr>
        <w:pStyle w:val="Point1"/>
        <w:rPr>
          <w:noProof/>
        </w:rPr>
      </w:pPr>
      <w:r w:rsidRPr="00903183">
        <w:rPr>
          <w:noProof/>
        </w:rPr>
        <w:t>iii.</w:t>
      </w:r>
      <w:r w:rsidRPr="00903183">
        <w:rPr>
          <w:noProof/>
        </w:rPr>
        <w:tab/>
        <w:t>Brodovi kojima nije zabranjena plovidba u razdoblju iz Priloga II. smatraju se brodovima niskog rizika.</w:t>
      </w:r>
    </w:p>
    <w:p w14:paraId="25A52AA1" w14:textId="77777777" w:rsidR="00BC0147" w:rsidRPr="00903183" w:rsidRDefault="00BC0147" w:rsidP="00BC0147">
      <w:pPr>
        <w:rPr>
          <w:noProof/>
        </w:rPr>
      </w:pPr>
      <w:r w:rsidRPr="00903183">
        <w:rPr>
          <w:noProof/>
        </w:rPr>
        <w:t>Parametri rizika kombiniraju se ponderiranjem, čime se odražava relativni utjecaj pojedinog parametra na ukupnu rizičnost broda da bi se odredili sljedeći profili rizičnosti broda:</w:t>
      </w:r>
    </w:p>
    <w:p w14:paraId="4C612001" w14:textId="74039AAF" w:rsidR="00BC0147" w:rsidRPr="00903183" w:rsidRDefault="00BC0147" w:rsidP="00A73D3A">
      <w:pPr>
        <w:pStyle w:val="Tiret1"/>
        <w:numPr>
          <w:ilvl w:val="0"/>
          <w:numId w:val="13"/>
        </w:numPr>
        <w:rPr>
          <w:noProof/>
        </w:rPr>
      </w:pPr>
      <w:r w:rsidRPr="00903183">
        <w:rPr>
          <w:noProof/>
        </w:rPr>
        <w:t>brod visokog rizika,</w:t>
      </w:r>
    </w:p>
    <w:p w14:paraId="6A6A9427" w14:textId="1A36A9D8" w:rsidR="00BC0147" w:rsidRPr="00903183" w:rsidRDefault="00BC0147" w:rsidP="00A73D3A">
      <w:pPr>
        <w:pStyle w:val="Tiret1"/>
        <w:rPr>
          <w:noProof/>
        </w:rPr>
      </w:pPr>
      <w:r w:rsidRPr="00903183">
        <w:rPr>
          <w:noProof/>
        </w:rPr>
        <w:t>brod srednjeg rizika,</w:t>
      </w:r>
    </w:p>
    <w:p w14:paraId="65FE59CB" w14:textId="1AD6EADB" w:rsidR="00BC0147" w:rsidRPr="00903183" w:rsidRDefault="00BC0147" w:rsidP="00A73D3A">
      <w:pPr>
        <w:pStyle w:val="Tiret1"/>
        <w:rPr>
          <w:noProof/>
        </w:rPr>
      </w:pPr>
      <w:r w:rsidRPr="00903183">
        <w:rPr>
          <w:noProof/>
        </w:rPr>
        <w:t>brod niskog rizika.</w:t>
      </w:r>
    </w:p>
    <w:p w14:paraId="2D567211" w14:textId="77777777" w:rsidR="00BC0147" w:rsidRPr="00903183" w:rsidRDefault="00BC0147" w:rsidP="00BC0147">
      <w:pPr>
        <w:rPr>
          <w:noProof/>
        </w:rPr>
      </w:pPr>
      <w:r w:rsidRPr="00903183">
        <w:rPr>
          <w:noProof/>
        </w:rPr>
        <w:t>Pri određivanju ovih profila rizičnosti veća se važnost pridaje parametrima vrste broda, rezultata države zastave, priznate organizacije i rezultata kompanije.</w:t>
      </w:r>
    </w:p>
    <w:p w14:paraId="2E2145AD" w14:textId="539927D1" w:rsidR="00BC0147" w:rsidRPr="00903183" w:rsidRDefault="00BC0147" w:rsidP="00A73D3A">
      <w:pPr>
        <w:pStyle w:val="Point0letter"/>
        <w:rPr>
          <w:noProof/>
        </w:rPr>
      </w:pPr>
      <w:r w:rsidRPr="00903183">
        <w:rPr>
          <w:noProof/>
        </w:rPr>
        <w:t>Okolišni parametri</w:t>
      </w:r>
    </w:p>
    <w:p w14:paraId="4D7ABDFC" w14:textId="54EFC04E" w:rsidR="00BC0147" w:rsidRPr="00903183" w:rsidRDefault="00F9656B" w:rsidP="00F9656B">
      <w:pPr>
        <w:pStyle w:val="Point1"/>
        <w:rPr>
          <w:noProof/>
        </w:rPr>
      </w:pPr>
      <w:r w:rsidRPr="00903183">
        <w:rPr>
          <w:noProof/>
        </w:rPr>
        <w:t>i.</w:t>
      </w:r>
      <w:r w:rsidRPr="00903183">
        <w:rPr>
          <w:noProof/>
        </w:rPr>
        <w:tab/>
        <w:t>Pokazatelj intenziteta emisija ugljika broda: smatra se da brodovi kategorije D-E predstavljaju viši rizik.</w:t>
      </w:r>
    </w:p>
    <w:p w14:paraId="78D758F7" w14:textId="394D6680" w:rsidR="00BC0147" w:rsidRPr="00903183" w:rsidRDefault="00F9656B" w:rsidP="00F9656B">
      <w:pPr>
        <w:pStyle w:val="Point1"/>
        <w:rPr>
          <w:noProof/>
        </w:rPr>
        <w:sectPr w:rsidR="00BC0147" w:rsidRPr="00903183" w:rsidSect="00DA667C">
          <w:footerReference w:type="default" r:id="rId17"/>
          <w:footerReference w:type="first" r:id="rId18"/>
          <w:pgSz w:w="11907" w:h="16839"/>
          <w:pgMar w:top="1134" w:right="1417" w:bottom="1134" w:left="1417" w:header="709" w:footer="709" w:gutter="0"/>
          <w:cols w:space="720"/>
          <w:docGrid w:linePitch="360"/>
        </w:sectPr>
      </w:pPr>
      <w:r w:rsidRPr="00903183">
        <w:rPr>
          <w:noProof/>
        </w:rPr>
        <w:t>ii.</w:t>
      </w:r>
      <w:r w:rsidRPr="00903183">
        <w:rPr>
          <w:noProof/>
        </w:rPr>
        <w:tab/>
        <w:t xml:space="preserve">Brodovi kojima je tijekom inspekcijskog pregleda ili inspekcijskih pregleda u razdoblju iz Priloga II. utvrđen manji broj nedostataka od broja u odnosu na konvencije MARPOL, AFS, BWMC, CLC 92, konvenciju o pogonskom ulju i konvencija iz Nairobija navedenih u Prilogu II. smatraju se brodovima niskog rizika. </w:t>
      </w:r>
    </w:p>
    <w:p w14:paraId="787CF590" w14:textId="3123CBE4" w:rsidR="00BC0147" w:rsidRPr="00903183" w:rsidRDefault="00BC0147" w:rsidP="00BC0147">
      <w:pPr>
        <w:pStyle w:val="Annexetitre"/>
        <w:rPr>
          <w:noProof/>
        </w:rPr>
      </w:pPr>
      <w:r w:rsidRPr="00903183">
        <w:rPr>
          <w:noProof/>
        </w:rPr>
        <w:t>PRILOG II.</w:t>
      </w:r>
    </w:p>
    <w:p w14:paraId="6CE57CA3" w14:textId="77777777" w:rsidR="00BC0147" w:rsidRPr="00903183" w:rsidRDefault="00BC0147" w:rsidP="00BC0147">
      <w:pPr>
        <w:rPr>
          <w:noProof/>
        </w:rPr>
      </w:pPr>
    </w:p>
    <w:p w14:paraId="0139947A" w14:textId="77777777" w:rsidR="00F9656B" w:rsidRPr="00903183" w:rsidRDefault="00F9656B" w:rsidP="00F9656B">
      <w:pPr>
        <w:spacing w:before="1"/>
        <w:ind w:left="1058" w:right="143"/>
        <w:jc w:val="center"/>
        <w:rPr>
          <w:b/>
          <w:noProof/>
          <w:sz w:val="17"/>
        </w:rPr>
      </w:pPr>
      <w:r w:rsidRPr="00903183">
        <w:rPr>
          <w:b/>
          <w:noProof/>
          <w:color w:val="231F20"/>
          <w:sz w:val="17"/>
        </w:rPr>
        <w:t>OBRAZAC PROFILA RIZIČNOSTI BRODA</w:t>
      </w:r>
    </w:p>
    <w:p w14:paraId="1901C964" w14:textId="77777777" w:rsidR="00F9656B" w:rsidRPr="00903183" w:rsidRDefault="00F9656B" w:rsidP="00F9656B">
      <w:pPr>
        <w:spacing w:before="124"/>
        <w:ind w:left="1061" w:right="143"/>
        <w:jc w:val="center"/>
        <w:rPr>
          <w:b/>
          <w:noProof/>
          <w:sz w:val="17"/>
        </w:rPr>
      </w:pPr>
      <w:r w:rsidRPr="00903183">
        <w:rPr>
          <w:b/>
          <w:noProof/>
          <w:color w:val="231F20"/>
          <w:sz w:val="17"/>
        </w:rPr>
        <w:t>(naveden u članku 10. stavku 2.)</w:t>
      </w:r>
    </w:p>
    <w:p w14:paraId="7497CD39" w14:textId="77777777" w:rsidR="00F9656B" w:rsidRPr="00903183" w:rsidRDefault="00F9656B" w:rsidP="00F9656B">
      <w:pPr>
        <w:widowControl w:val="0"/>
        <w:autoSpaceDE w:val="0"/>
        <w:autoSpaceDN w:val="0"/>
        <w:spacing w:before="2" w:after="1"/>
        <w:jc w:val="left"/>
        <w:rPr>
          <w:b/>
          <w:strike/>
          <w:noProof/>
          <w:sz w:val="23"/>
        </w:rPr>
      </w:pPr>
    </w:p>
    <w:tbl>
      <w:tblPr>
        <w:tblW w:w="8318" w:type="dxa"/>
        <w:tblInd w:w="10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1"/>
        <w:gridCol w:w="1066"/>
        <w:gridCol w:w="1067"/>
        <w:gridCol w:w="1066"/>
        <w:gridCol w:w="1396"/>
        <w:gridCol w:w="1164"/>
        <w:gridCol w:w="1066"/>
        <w:gridCol w:w="1062"/>
      </w:tblGrid>
      <w:tr w:rsidR="00F9656B" w:rsidRPr="00903183" w14:paraId="02D4B129" w14:textId="77777777" w:rsidTr="009B4189">
        <w:trPr>
          <w:trHeight w:val="339"/>
        </w:trPr>
        <w:tc>
          <w:tcPr>
            <w:tcW w:w="3630" w:type="dxa"/>
            <w:gridSpan w:val="4"/>
            <w:vMerge w:val="restart"/>
            <w:tcBorders>
              <w:left w:val="nil"/>
            </w:tcBorders>
          </w:tcPr>
          <w:p w14:paraId="7EA8F0DB" w14:textId="77777777" w:rsidR="00F9656B" w:rsidRPr="00903183" w:rsidRDefault="00F9656B" w:rsidP="00F9656B">
            <w:pPr>
              <w:widowControl w:val="0"/>
              <w:autoSpaceDE w:val="0"/>
              <w:autoSpaceDN w:val="0"/>
              <w:spacing w:before="0" w:after="0"/>
              <w:jc w:val="left"/>
              <w:rPr>
                <w:noProof/>
                <w:sz w:val="16"/>
              </w:rPr>
            </w:pPr>
          </w:p>
        </w:tc>
        <w:tc>
          <w:tcPr>
            <w:tcW w:w="4688" w:type="dxa"/>
            <w:gridSpan w:val="4"/>
            <w:tcBorders>
              <w:right w:val="nil"/>
            </w:tcBorders>
          </w:tcPr>
          <w:p w14:paraId="322CFC38" w14:textId="77777777" w:rsidR="00F9656B" w:rsidRPr="00903183" w:rsidRDefault="00F9656B" w:rsidP="00F9656B">
            <w:pPr>
              <w:widowControl w:val="0"/>
              <w:autoSpaceDE w:val="0"/>
              <w:autoSpaceDN w:val="0"/>
              <w:spacing w:before="82" w:after="0"/>
              <w:ind w:left="2127" w:right="2129"/>
              <w:jc w:val="center"/>
              <w:rPr>
                <w:noProof/>
                <w:sz w:val="14"/>
              </w:rPr>
            </w:pPr>
            <w:r w:rsidRPr="00903183">
              <w:rPr>
                <w:noProof/>
                <w:color w:val="231F20"/>
                <w:sz w:val="14"/>
              </w:rPr>
              <w:t>Profil</w:t>
            </w:r>
          </w:p>
        </w:tc>
      </w:tr>
      <w:tr w:rsidR="00F9656B" w:rsidRPr="00903183" w14:paraId="34BD717F" w14:textId="77777777" w:rsidTr="009B4189">
        <w:trPr>
          <w:trHeight w:val="509"/>
        </w:trPr>
        <w:tc>
          <w:tcPr>
            <w:tcW w:w="3630" w:type="dxa"/>
            <w:gridSpan w:val="4"/>
            <w:vMerge/>
            <w:tcBorders>
              <w:top w:val="nil"/>
              <w:left w:val="nil"/>
            </w:tcBorders>
          </w:tcPr>
          <w:p w14:paraId="349D29F1" w14:textId="77777777" w:rsidR="00F9656B" w:rsidRPr="00903183" w:rsidRDefault="00F9656B" w:rsidP="00F9656B">
            <w:pPr>
              <w:rPr>
                <w:noProof/>
                <w:sz w:val="2"/>
              </w:rPr>
            </w:pPr>
          </w:p>
        </w:tc>
        <w:tc>
          <w:tcPr>
            <w:tcW w:w="2560" w:type="dxa"/>
            <w:gridSpan w:val="2"/>
          </w:tcPr>
          <w:p w14:paraId="0C5ED74D" w14:textId="77777777" w:rsidR="00F9656B" w:rsidRPr="00903183" w:rsidRDefault="00F9656B" w:rsidP="00F9656B">
            <w:pPr>
              <w:widowControl w:val="0"/>
              <w:autoSpaceDE w:val="0"/>
              <w:autoSpaceDN w:val="0"/>
              <w:spacing w:before="5" w:after="0"/>
              <w:jc w:val="left"/>
              <w:rPr>
                <w:b/>
                <w:noProof/>
                <w:sz w:val="14"/>
              </w:rPr>
            </w:pPr>
          </w:p>
          <w:p w14:paraId="2D7659CC" w14:textId="77777777" w:rsidR="00F9656B" w:rsidRPr="00903183" w:rsidRDefault="00F9656B" w:rsidP="00F9656B">
            <w:pPr>
              <w:widowControl w:val="0"/>
              <w:autoSpaceDE w:val="0"/>
              <w:autoSpaceDN w:val="0"/>
              <w:spacing w:before="0" w:after="0"/>
              <w:ind w:left="568"/>
              <w:jc w:val="left"/>
              <w:rPr>
                <w:noProof/>
                <w:sz w:val="14"/>
              </w:rPr>
            </w:pPr>
            <w:r w:rsidRPr="00903183">
              <w:rPr>
                <w:noProof/>
                <w:color w:val="231F20"/>
                <w:sz w:val="14"/>
              </w:rPr>
              <w:t>Brod visokog rizika (HRS)</w:t>
            </w:r>
          </w:p>
        </w:tc>
        <w:tc>
          <w:tcPr>
            <w:tcW w:w="1066" w:type="dxa"/>
          </w:tcPr>
          <w:p w14:paraId="305FC31F" w14:textId="77777777" w:rsidR="00F9656B" w:rsidRPr="00903183" w:rsidRDefault="00F9656B" w:rsidP="00F9656B">
            <w:pPr>
              <w:widowControl w:val="0"/>
              <w:autoSpaceDE w:val="0"/>
              <w:autoSpaceDN w:val="0"/>
              <w:spacing w:before="81" w:after="0" w:line="254" w:lineRule="auto"/>
              <w:ind w:left="178" w:hanging="82"/>
              <w:jc w:val="left"/>
              <w:rPr>
                <w:noProof/>
                <w:sz w:val="14"/>
              </w:rPr>
            </w:pPr>
            <w:r w:rsidRPr="00903183">
              <w:rPr>
                <w:noProof/>
                <w:color w:val="231F20"/>
                <w:sz w:val="14"/>
              </w:rPr>
              <w:t>Brod srednjeg rizika (SRS)</w:t>
            </w:r>
          </w:p>
        </w:tc>
        <w:tc>
          <w:tcPr>
            <w:tcW w:w="1062" w:type="dxa"/>
            <w:tcBorders>
              <w:right w:val="nil"/>
            </w:tcBorders>
          </w:tcPr>
          <w:p w14:paraId="64CD5832" w14:textId="77777777" w:rsidR="00F9656B" w:rsidRPr="00903183" w:rsidRDefault="00F9656B" w:rsidP="00F9656B">
            <w:pPr>
              <w:widowControl w:val="0"/>
              <w:autoSpaceDE w:val="0"/>
              <w:autoSpaceDN w:val="0"/>
              <w:spacing w:before="81" w:after="0" w:line="254" w:lineRule="auto"/>
              <w:ind w:left="340" w:hanging="284"/>
              <w:jc w:val="left"/>
              <w:rPr>
                <w:noProof/>
                <w:sz w:val="14"/>
              </w:rPr>
            </w:pPr>
            <w:r w:rsidRPr="00903183">
              <w:rPr>
                <w:noProof/>
                <w:color w:val="231F20"/>
                <w:sz w:val="14"/>
              </w:rPr>
              <w:t>Brod niskog rizika (LRS)</w:t>
            </w:r>
          </w:p>
        </w:tc>
      </w:tr>
      <w:tr w:rsidR="00F9656B" w:rsidRPr="00903183" w14:paraId="5B7A77FE" w14:textId="77777777" w:rsidTr="009B4189">
        <w:trPr>
          <w:trHeight w:val="510"/>
        </w:trPr>
        <w:tc>
          <w:tcPr>
            <w:tcW w:w="3630" w:type="dxa"/>
            <w:gridSpan w:val="4"/>
            <w:tcBorders>
              <w:left w:val="nil"/>
            </w:tcBorders>
          </w:tcPr>
          <w:p w14:paraId="62B7EE3A" w14:textId="77777777" w:rsidR="00F9656B" w:rsidRPr="00903183" w:rsidRDefault="00F9656B" w:rsidP="00F9656B">
            <w:pPr>
              <w:widowControl w:val="0"/>
              <w:autoSpaceDE w:val="0"/>
              <w:autoSpaceDN w:val="0"/>
              <w:spacing w:before="6" w:after="0"/>
              <w:jc w:val="left"/>
              <w:rPr>
                <w:b/>
                <w:noProof/>
                <w:sz w:val="14"/>
              </w:rPr>
            </w:pPr>
          </w:p>
          <w:p w14:paraId="453AFFC9" w14:textId="77777777" w:rsidR="00F9656B" w:rsidRPr="00903183" w:rsidRDefault="00F9656B" w:rsidP="00F9656B">
            <w:pPr>
              <w:widowControl w:val="0"/>
              <w:autoSpaceDE w:val="0"/>
              <w:autoSpaceDN w:val="0"/>
              <w:spacing w:before="0" w:after="0"/>
              <w:ind w:left="1218" w:right="1218"/>
              <w:jc w:val="center"/>
              <w:rPr>
                <w:noProof/>
                <w:sz w:val="14"/>
              </w:rPr>
            </w:pPr>
            <w:r w:rsidRPr="00903183">
              <w:rPr>
                <w:noProof/>
                <w:color w:val="231F20"/>
                <w:sz w:val="14"/>
              </w:rPr>
              <w:t>Opći parametri</w:t>
            </w:r>
          </w:p>
        </w:tc>
        <w:tc>
          <w:tcPr>
            <w:tcW w:w="1396" w:type="dxa"/>
          </w:tcPr>
          <w:p w14:paraId="03739E43" w14:textId="77777777" w:rsidR="00F9656B" w:rsidRPr="00903183" w:rsidRDefault="00F9656B" w:rsidP="00F9656B">
            <w:pPr>
              <w:widowControl w:val="0"/>
              <w:autoSpaceDE w:val="0"/>
              <w:autoSpaceDN w:val="0"/>
              <w:spacing w:before="6" w:after="0"/>
              <w:jc w:val="left"/>
              <w:rPr>
                <w:b/>
                <w:noProof/>
                <w:sz w:val="14"/>
              </w:rPr>
            </w:pPr>
          </w:p>
          <w:p w14:paraId="058B1476" w14:textId="77777777" w:rsidR="00F9656B" w:rsidRPr="00903183" w:rsidRDefault="00F9656B" w:rsidP="00F9656B">
            <w:pPr>
              <w:widowControl w:val="0"/>
              <w:autoSpaceDE w:val="0"/>
              <w:autoSpaceDN w:val="0"/>
              <w:spacing w:before="0" w:after="0"/>
              <w:ind w:left="504" w:right="505"/>
              <w:jc w:val="center"/>
              <w:rPr>
                <w:noProof/>
                <w:sz w:val="14"/>
              </w:rPr>
            </w:pPr>
            <w:r w:rsidRPr="00903183">
              <w:rPr>
                <w:noProof/>
                <w:color w:val="231F20"/>
                <w:sz w:val="14"/>
              </w:rPr>
              <w:t>Kriteriji</w:t>
            </w:r>
          </w:p>
        </w:tc>
        <w:tc>
          <w:tcPr>
            <w:tcW w:w="1164" w:type="dxa"/>
          </w:tcPr>
          <w:p w14:paraId="439C951C" w14:textId="77777777" w:rsidR="00F9656B" w:rsidRPr="00903183" w:rsidRDefault="00F9656B" w:rsidP="00F9656B">
            <w:pPr>
              <w:widowControl w:val="0"/>
              <w:autoSpaceDE w:val="0"/>
              <w:autoSpaceDN w:val="0"/>
              <w:spacing w:before="82" w:after="0" w:line="254" w:lineRule="auto"/>
              <w:ind w:left="343" w:hanging="131"/>
              <w:jc w:val="left"/>
              <w:rPr>
                <w:noProof/>
                <w:sz w:val="14"/>
              </w:rPr>
            </w:pPr>
            <w:r w:rsidRPr="00903183">
              <w:rPr>
                <w:noProof/>
                <w:color w:val="231F20"/>
                <w:sz w:val="14"/>
              </w:rPr>
              <w:t>Ponderirani bodovi</w:t>
            </w:r>
          </w:p>
        </w:tc>
        <w:tc>
          <w:tcPr>
            <w:tcW w:w="1066" w:type="dxa"/>
          </w:tcPr>
          <w:p w14:paraId="69112D62" w14:textId="77777777" w:rsidR="00F9656B" w:rsidRPr="00903183" w:rsidRDefault="00F9656B" w:rsidP="00F9656B">
            <w:pPr>
              <w:widowControl w:val="0"/>
              <w:autoSpaceDE w:val="0"/>
              <w:autoSpaceDN w:val="0"/>
              <w:spacing w:before="6" w:after="0"/>
              <w:jc w:val="left"/>
              <w:rPr>
                <w:b/>
                <w:noProof/>
                <w:sz w:val="14"/>
              </w:rPr>
            </w:pPr>
          </w:p>
          <w:p w14:paraId="5306FD1D" w14:textId="77777777" w:rsidR="00F9656B" w:rsidRPr="00903183" w:rsidRDefault="00F9656B" w:rsidP="00F9656B">
            <w:pPr>
              <w:widowControl w:val="0"/>
              <w:autoSpaceDE w:val="0"/>
              <w:autoSpaceDN w:val="0"/>
              <w:spacing w:before="0" w:after="0"/>
              <w:ind w:left="300"/>
              <w:jc w:val="left"/>
              <w:rPr>
                <w:noProof/>
                <w:sz w:val="14"/>
              </w:rPr>
            </w:pPr>
            <w:r w:rsidRPr="00903183">
              <w:rPr>
                <w:noProof/>
                <w:color w:val="231F20"/>
                <w:sz w:val="14"/>
              </w:rPr>
              <w:t>Kriteriji</w:t>
            </w:r>
          </w:p>
        </w:tc>
        <w:tc>
          <w:tcPr>
            <w:tcW w:w="1062" w:type="dxa"/>
            <w:tcBorders>
              <w:right w:val="nil"/>
            </w:tcBorders>
          </w:tcPr>
          <w:p w14:paraId="4E292CAF" w14:textId="77777777" w:rsidR="00F9656B" w:rsidRPr="00903183" w:rsidRDefault="00F9656B" w:rsidP="00F9656B">
            <w:pPr>
              <w:widowControl w:val="0"/>
              <w:autoSpaceDE w:val="0"/>
              <w:autoSpaceDN w:val="0"/>
              <w:spacing w:before="6" w:after="0"/>
              <w:jc w:val="left"/>
              <w:rPr>
                <w:b/>
                <w:noProof/>
                <w:sz w:val="14"/>
              </w:rPr>
            </w:pPr>
          </w:p>
          <w:p w14:paraId="1CA405AD" w14:textId="77777777" w:rsidR="00F9656B" w:rsidRPr="00903183" w:rsidRDefault="00F9656B" w:rsidP="00F9656B">
            <w:pPr>
              <w:widowControl w:val="0"/>
              <w:autoSpaceDE w:val="0"/>
              <w:autoSpaceDN w:val="0"/>
              <w:spacing w:before="0" w:after="0"/>
              <w:ind w:left="62" w:right="63"/>
              <w:jc w:val="center"/>
              <w:rPr>
                <w:noProof/>
                <w:sz w:val="14"/>
              </w:rPr>
            </w:pPr>
            <w:r w:rsidRPr="00903183">
              <w:rPr>
                <w:noProof/>
                <w:color w:val="231F20"/>
                <w:sz w:val="14"/>
              </w:rPr>
              <w:t>Kriteriji</w:t>
            </w:r>
          </w:p>
        </w:tc>
      </w:tr>
      <w:tr w:rsidR="00F9656B" w:rsidRPr="00903183" w14:paraId="1F175F86" w14:textId="77777777" w:rsidTr="009B4189">
        <w:trPr>
          <w:trHeight w:val="1128"/>
        </w:trPr>
        <w:tc>
          <w:tcPr>
            <w:tcW w:w="431" w:type="dxa"/>
            <w:tcBorders>
              <w:left w:val="nil"/>
            </w:tcBorders>
          </w:tcPr>
          <w:p w14:paraId="045A2351" w14:textId="77777777" w:rsidR="00F9656B" w:rsidRPr="00903183" w:rsidRDefault="00F9656B" w:rsidP="00F9656B">
            <w:pPr>
              <w:widowControl w:val="0"/>
              <w:autoSpaceDE w:val="0"/>
              <w:autoSpaceDN w:val="0"/>
              <w:spacing w:before="70" w:after="0"/>
              <w:jc w:val="left"/>
              <w:rPr>
                <w:noProof/>
                <w:sz w:val="17"/>
              </w:rPr>
            </w:pPr>
            <w:r w:rsidRPr="00903183">
              <w:rPr>
                <w:noProof/>
                <w:color w:val="231F20"/>
                <w:sz w:val="17"/>
              </w:rPr>
              <w:t>1</w:t>
            </w:r>
          </w:p>
        </w:tc>
        <w:tc>
          <w:tcPr>
            <w:tcW w:w="3199" w:type="dxa"/>
            <w:gridSpan w:val="3"/>
          </w:tcPr>
          <w:p w14:paraId="11099E50"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Vrsta broda</w:t>
            </w:r>
          </w:p>
        </w:tc>
        <w:tc>
          <w:tcPr>
            <w:tcW w:w="1396" w:type="dxa"/>
          </w:tcPr>
          <w:p w14:paraId="390B2C45" w14:textId="77777777" w:rsidR="00F9656B" w:rsidRPr="00903183" w:rsidRDefault="00F9656B" w:rsidP="00F9656B">
            <w:pPr>
              <w:widowControl w:val="0"/>
              <w:autoSpaceDE w:val="0"/>
              <w:autoSpaceDN w:val="0"/>
              <w:spacing w:before="73" w:after="0" w:line="235" w:lineRule="auto"/>
              <w:ind w:left="84" w:right="108"/>
              <w:jc w:val="left"/>
              <w:rPr>
                <w:noProof/>
                <w:sz w:val="17"/>
              </w:rPr>
            </w:pPr>
            <w:r w:rsidRPr="00903183">
              <w:rPr>
                <w:noProof/>
                <w:color w:val="231F20"/>
                <w:sz w:val="17"/>
              </w:rPr>
              <w:t>Tanker za kemikalije Tanker za plin</w:t>
            </w:r>
          </w:p>
          <w:p w14:paraId="7CAE184C" w14:textId="77777777" w:rsidR="00F9656B" w:rsidRPr="00903183" w:rsidRDefault="00F9656B" w:rsidP="00F9656B">
            <w:pPr>
              <w:widowControl w:val="0"/>
              <w:autoSpaceDE w:val="0"/>
              <w:autoSpaceDN w:val="0"/>
              <w:spacing w:before="0" w:after="0" w:line="235" w:lineRule="auto"/>
              <w:ind w:left="84" w:right="212"/>
              <w:jc w:val="left"/>
              <w:rPr>
                <w:noProof/>
                <w:sz w:val="17"/>
              </w:rPr>
            </w:pPr>
            <w:r w:rsidRPr="00903183">
              <w:rPr>
                <w:noProof/>
                <w:color w:val="231F20"/>
                <w:sz w:val="17"/>
              </w:rPr>
              <w:t>Tanker za ulje Brod za rasute terete Putnički brod</w:t>
            </w:r>
          </w:p>
        </w:tc>
        <w:tc>
          <w:tcPr>
            <w:tcW w:w="1164" w:type="dxa"/>
          </w:tcPr>
          <w:p w14:paraId="3DE71585" w14:textId="64996A9D" w:rsidR="00F9656B" w:rsidRPr="00903183" w:rsidRDefault="00F9656B" w:rsidP="00F9656B">
            <w:pPr>
              <w:widowControl w:val="0"/>
              <w:autoSpaceDE w:val="0"/>
              <w:autoSpaceDN w:val="0"/>
              <w:spacing w:before="70" w:after="0"/>
              <w:ind w:right="3"/>
              <w:jc w:val="center"/>
              <w:rPr>
                <w:noProof/>
                <w:sz w:val="17"/>
              </w:rPr>
            </w:pPr>
            <w:r w:rsidRPr="00903183">
              <w:rPr>
                <w:noProof/>
                <w:color w:val="231F20"/>
                <w:sz w:val="17"/>
              </w:rPr>
              <w:t>1</w:t>
            </w:r>
          </w:p>
        </w:tc>
        <w:tc>
          <w:tcPr>
            <w:tcW w:w="1066" w:type="dxa"/>
            <w:vMerge w:val="restart"/>
            <w:textDirection w:val="btLr"/>
          </w:tcPr>
          <w:p w14:paraId="6531572C" w14:textId="77777777" w:rsidR="00F9656B" w:rsidRPr="00903183" w:rsidRDefault="00F9656B" w:rsidP="00F9656B">
            <w:pPr>
              <w:widowControl w:val="0"/>
              <w:autoSpaceDE w:val="0"/>
              <w:autoSpaceDN w:val="0"/>
              <w:spacing w:before="89" w:after="0"/>
              <w:ind w:left="2609"/>
              <w:jc w:val="left"/>
              <w:rPr>
                <w:noProof/>
                <w:sz w:val="17"/>
              </w:rPr>
            </w:pPr>
            <w:r w:rsidRPr="00903183">
              <w:rPr>
                <w:noProof/>
                <w:color w:val="231F20"/>
                <w:sz w:val="17"/>
              </w:rPr>
              <w:t>brod ni visokog ni niskog rizika</w:t>
            </w:r>
          </w:p>
        </w:tc>
        <w:tc>
          <w:tcPr>
            <w:tcW w:w="1062" w:type="dxa"/>
            <w:tcBorders>
              <w:right w:val="nil"/>
            </w:tcBorders>
          </w:tcPr>
          <w:p w14:paraId="30EA143E" w14:textId="77777777" w:rsidR="00F9656B" w:rsidRPr="00903183" w:rsidRDefault="00F9656B" w:rsidP="00F9656B">
            <w:pPr>
              <w:widowControl w:val="0"/>
              <w:autoSpaceDE w:val="0"/>
              <w:autoSpaceDN w:val="0"/>
              <w:spacing w:before="70" w:after="0"/>
              <w:ind w:left="62" w:right="66"/>
              <w:jc w:val="center"/>
              <w:rPr>
                <w:noProof/>
                <w:sz w:val="17"/>
              </w:rPr>
            </w:pPr>
            <w:r w:rsidRPr="00903183">
              <w:rPr>
                <w:noProof/>
                <w:color w:val="231F20"/>
                <w:sz w:val="17"/>
              </w:rPr>
              <w:t>Sve vrste</w:t>
            </w:r>
          </w:p>
        </w:tc>
      </w:tr>
      <w:tr w:rsidR="00F9656B" w:rsidRPr="00903183" w14:paraId="1A56BB1C" w14:textId="77777777" w:rsidTr="009B4189">
        <w:trPr>
          <w:trHeight w:val="361"/>
        </w:trPr>
        <w:tc>
          <w:tcPr>
            <w:tcW w:w="431" w:type="dxa"/>
            <w:tcBorders>
              <w:left w:val="nil"/>
            </w:tcBorders>
          </w:tcPr>
          <w:p w14:paraId="5EB858B7" w14:textId="77777777" w:rsidR="00F9656B" w:rsidRPr="00903183" w:rsidRDefault="00F9656B" w:rsidP="00F9656B">
            <w:pPr>
              <w:widowControl w:val="0"/>
              <w:autoSpaceDE w:val="0"/>
              <w:autoSpaceDN w:val="0"/>
              <w:spacing w:before="70" w:after="0"/>
              <w:jc w:val="left"/>
              <w:rPr>
                <w:noProof/>
                <w:sz w:val="17"/>
              </w:rPr>
            </w:pPr>
            <w:r w:rsidRPr="00903183">
              <w:rPr>
                <w:noProof/>
                <w:color w:val="231F20"/>
                <w:sz w:val="17"/>
              </w:rPr>
              <w:t>2</w:t>
            </w:r>
          </w:p>
        </w:tc>
        <w:tc>
          <w:tcPr>
            <w:tcW w:w="3199" w:type="dxa"/>
            <w:gridSpan w:val="3"/>
          </w:tcPr>
          <w:p w14:paraId="613057CB"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Starost broda</w:t>
            </w:r>
          </w:p>
        </w:tc>
        <w:tc>
          <w:tcPr>
            <w:tcW w:w="1396" w:type="dxa"/>
          </w:tcPr>
          <w:p w14:paraId="16A4F57E"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sve vrste &gt; 12 g.</w:t>
            </w:r>
          </w:p>
        </w:tc>
        <w:tc>
          <w:tcPr>
            <w:tcW w:w="1164" w:type="dxa"/>
          </w:tcPr>
          <w:p w14:paraId="516AA815" w14:textId="77777777" w:rsidR="00F9656B" w:rsidRPr="00903183" w:rsidRDefault="00F9656B" w:rsidP="00F9656B">
            <w:pPr>
              <w:widowControl w:val="0"/>
              <w:autoSpaceDE w:val="0"/>
              <w:autoSpaceDN w:val="0"/>
              <w:spacing w:before="70" w:after="0"/>
              <w:ind w:right="3"/>
              <w:jc w:val="center"/>
              <w:rPr>
                <w:noProof/>
                <w:sz w:val="17"/>
              </w:rPr>
            </w:pPr>
            <w:r w:rsidRPr="00903183">
              <w:rPr>
                <w:noProof/>
                <w:color w:val="231F20"/>
                <w:sz w:val="17"/>
              </w:rPr>
              <w:t>1</w:t>
            </w:r>
          </w:p>
        </w:tc>
        <w:tc>
          <w:tcPr>
            <w:tcW w:w="1066" w:type="dxa"/>
            <w:vMerge/>
            <w:tcBorders>
              <w:top w:val="nil"/>
            </w:tcBorders>
            <w:textDirection w:val="btLr"/>
          </w:tcPr>
          <w:p w14:paraId="03BF0825" w14:textId="77777777" w:rsidR="00F9656B" w:rsidRPr="00903183" w:rsidRDefault="00F9656B" w:rsidP="00F9656B">
            <w:pPr>
              <w:rPr>
                <w:noProof/>
                <w:sz w:val="2"/>
              </w:rPr>
            </w:pPr>
          </w:p>
        </w:tc>
        <w:tc>
          <w:tcPr>
            <w:tcW w:w="1062" w:type="dxa"/>
            <w:tcBorders>
              <w:right w:val="nil"/>
            </w:tcBorders>
          </w:tcPr>
          <w:p w14:paraId="52A8371A" w14:textId="77777777" w:rsidR="00F9656B" w:rsidRPr="00903183" w:rsidRDefault="00F9656B" w:rsidP="00F9656B">
            <w:pPr>
              <w:widowControl w:val="0"/>
              <w:autoSpaceDE w:val="0"/>
              <w:autoSpaceDN w:val="0"/>
              <w:spacing w:before="70" w:after="0"/>
              <w:ind w:left="62" w:right="65"/>
              <w:jc w:val="center"/>
              <w:rPr>
                <w:noProof/>
                <w:sz w:val="17"/>
              </w:rPr>
            </w:pPr>
            <w:r w:rsidRPr="00903183">
              <w:rPr>
                <w:noProof/>
                <w:color w:val="231F20"/>
                <w:sz w:val="17"/>
              </w:rPr>
              <w:t>Sve starosti</w:t>
            </w:r>
          </w:p>
        </w:tc>
      </w:tr>
      <w:tr w:rsidR="0019616A" w:rsidRPr="00903183" w14:paraId="5222642F" w14:textId="77777777" w:rsidTr="008477FB">
        <w:trPr>
          <w:trHeight w:val="922"/>
        </w:trPr>
        <w:tc>
          <w:tcPr>
            <w:tcW w:w="431" w:type="dxa"/>
            <w:tcBorders>
              <w:left w:val="nil"/>
            </w:tcBorders>
          </w:tcPr>
          <w:p w14:paraId="0C54F2C6" w14:textId="77777777" w:rsidR="0019616A" w:rsidRPr="00903183" w:rsidRDefault="0019616A" w:rsidP="00F9656B">
            <w:pPr>
              <w:widowControl w:val="0"/>
              <w:autoSpaceDE w:val="0"/>
              <w:autoSpaceDN w:val="0"/>
              <w:spacing w:before="69" w:after="0"/>
              <w:jc w:val="left"/>
              <w:rPr>
                <w:noProof/>
                <w:sz w:val="17"/>
              </w:rPr>
            </w:pPr>
            <w:r w:rsidRPr="00903183">
              <w:rPr>
                <w:noProof/>
                <w:color w:val="231F20"/>
                <w:sz w:val="17"/>
              </w:rPr>
              <w:t>3a</w:t>
            </w:r>
          </w:p>
        </w:tc>
        <w:tc>
          <w:tcPr>
            <w:tcW w:w="1066" w:type="dxa"/>
            <w:vMerge w:val="restart"/>
            <w:textDirection w:val="btLr"/>
          </w:tcPr>
          <w:p w14:paraId="31F241FD" w14:textId="77777777" w:rsidR="0019616A" w:rsidRPr="00903183" w:rsidRDefault="0019616A" w:rsidP="00F9656B">
            <w:pPr>
              <w:widowControl w:val="0"/>
              <w:autoSpaceDE w:val="0"/>
              <w:autoSpaceDN w:val="0"/>
              <w:spacing w:before="90" w:after="0"/>
              <w:ind w:left="357"/>
              <w:jc w:val="left"/>
              <w:rPr>
                <w:noProof/>
                <w:sz w:val="17"/>
              </w:rPr>
            </w:pPr>
            <w:r w:rsidRPr="00903183">
              <w:rPr>
                <w:noProof/>
                <w:color w:val="231F20"/>
                <w:sz w:val="17"/>
              </w:rPr>
              <w:t>Zastava</w:t>
            </w:r>
          </w:p>
        </w:tc>
        <w:tc>
          <w:tcPr>
            <w:tcW w:w="3529" w:type="dxa"/>
            <w:gridSpan w:val="3"/>
          </w:tcPr>
          <w:p w14:paraId="149F045B" w14:textId="6BEC6CEA" w:rsidR="0019616A" w:rsidRPr="00903183" w:rsidRDefault="0019616A" w:rsidP="00F9656B">
            <w:pPr>
              <w:widowControl w:val="0"/>
              <w:autoSpaceDE w:val="0"/>
              <w:autoSpaceDN w:val="0"/>
              <w:spacing w:before="71" w:after="0" w:line="237" w:lineRule="auto"/>
              <w:ind w:left="84"/>
              <w:jc w:val="left"/>
              <w:rPr>
                <w:noProof/>
                <w:sz w:val="17"/>
              </w:rPr>
            </w:pPr>
            <w:r w:rsidRPr="00903183">
              <w:rPr>
                <w:noProof/>
                <w:color w:val="231F20"/>
                <w:sz w:val="17"/>
              </w:rPr>
              <w:t xml:space="preserve">  Loš rezultat</w:t>
            </w:r>
          </w:p>
        </w:tc>
        <w:tc>
          <w:tcPr>
            <w:tcW w:w="1164" w:type="dxa"/>
          </w:tcPr>
          <w:p w14:paraId="3376E68F" w14:textId="444F7972" w:rsidR="0019616A" w:rsidRPr="00903183" w:rsidRDefault="00111D35" w:rsidP="00F9656B">
            <w:pPr>
              <w:widowControl w:val="0"/>
              <w:autoSpaceDE w:val="0"/>
              <w:autoSpaceDN w:val="0"/>
              <w:spacing w:before="70" w:after="0"/>
              <w:ind w:right="3"/>
              <w:jc w:val="center"/>
              <w:rPr>
                <w:noProof/>
                <w:sz w:val="17"/>
              </w:rPr>
            </w:pPr>
            <w:r w:rsidRPr="00903183">
              <w:rPr>
                <w:noProof/>
                <w:color w:val="231F20"/>
                <w:sz w:val="17"/>
              </w:rPr>
              <w:t>2</w:t>
            </w:r>
          </w:p>
        </w:tc>
        <w:tc>
          <w:tcPr>
            <w:tcW w:w="1066" w:type="dxa"/>
            <w:vMerge/>
            <w:tcBorders>
              <w:top w:val="nil"/>
            </w:tcBorders>
            <w:textDirection w:val="btLr"/>
          </w:tcPr>
          <w:p w14:paraId="7377CB12" w14:textId="77777777" w:rsidR="0019616A" w:rsidRPr="00903183" w:rsidRDefault="0019616A" w:rsidP="00F9656B">
            <w:pPr>
              <w:rPr>
                <w:noProof/>
                <w:sz w:val="2"/>
              </w:rPr>
            </w:pPr>
          </w:p>
        </w:tc>
        <w:tc>
          <w:tcPr>
            <w:tcW w:w="1062" w:type="dxa"/>
            <w:tcBorders>
              <w:right w:val="nil"/>
            </w:tcBorders>
          </w:tcPr>
          <w:p w14:paraId="55B66A8C" w14:textId="0CCBA91F" w:rsidR="0019616A" w:rsidRPr="00903183" w:rsidRDefault="0019616A" w:rsidP="0019616A">
            <w:pPr>
              <w:widowControl w:val="0"/>
              <w:autoSpaceDE w:val="0"/>
              <w:autoSpaceDN w:val="0"/>
              <w:spacing w:before="69" w:after="0"/>
              <w:jc w:val="center"/>
              <w:rPr>
                <w:noProof/>
                <w:sz w:val="17"/>
              </w:rPr>
            </w:pPr>
            <w:r w:rsidRPr="00903183">
              <w:rPr>
                <w:noProof/>
                <w:color w:val="231F20"/>
                <w:sz w:val="17"/>
              </w:rPr>
              <w:t>Dobar rezultat</w:t>
            </w:r>
          </w:p>
        </w:tc>
      </w:tr>
      <w:tr w:rsidR="00F9656B" w:rsidRPr="00903183" w14:paraId="08E57A25" w14:textId="77777777" w:rsidTr="009B4189">
        <w:trPr>
          <w:trHeight w:val="361"/>
        </w:trPr>
        <w:tc>
          <w:tcPr>
            <w:tcW w:w="431" w:type="dxa"/>
            <w:tcBorders>
              <w:left w:val="nil"/>
            </w:tcBorders>
          </w:tcPr>
          <w:p w14:paraId="047A8F06" w14:textId="77777777" w:rsidR="00F9656B" w:rsidRPr="00903183" w:rsidRDefault="00F9656B" w:rsidP="00F9656B">
            <w:pPr>
              <w:widowControl w:val="0"/>
              <w:autoSpaceDE w:val="0"/>
              <w:autoSpaceDN w:val="0"/>
              <w:spacing w:before="70" w:after="0"/>
              <w:ind w:left="-1"/>
              <w:jc w:val="left"/>
              <w:rPr>
                <w:noProof/>
                <w:sz w:val="17"/>
              </w:rPr>
            </w:pPr>
            <w:r w:rsidRPr="00903183">
              <w:rPr>
                <w:noProof/>
                <w:color w:val="231F20"/>
                <w:sz w:val="17"/>
              </w:rPr>
              <w:t>3b</w:t>
            </w:r>
          </w:p>
        </w:tc>
        <w:tc>
          <w:tcPr>
            <w:tcW w:w="1066" w:type="dxa"/>
            <w:vMerge/>
            <w:tcBorders>
              <w:top w:val="nil"/>
            </w:tcBorders>
            <w:textDirection w:val="btLr"/>
          </w:tcPr>
          <w:p w14:paraId="6CCD9B44" w14:textId="77777777" w:rsidR="00F9656B" w:rsidRPr="00903183" w:rsidRDefault="00F9656B" w:rsidP="00F9656B">
            <w:pPr>
              <w:rPr>
                <w:noProof/>
                <w:sz w:val="2"/>
              </w:rPr>
            </w:pPr>
          </w:p>
        </w:tc>
        <w:tc>
          <w:tcPr>
            <w:tcW w:w="2133" w:type="dxa"/>
            <w:gridSpan w:val="2"/>
          </w:tcPr>
          <w:p w14:paraId="26CA617D" w14:textId="4C52BB3C"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 xml:space="preserve">Svi su instrumenti IMO-a navedeni u članku 2. ratificirani </w:t>
            </w:r>
          </w:p>
        </w:tc>
        <w:tc>
          <w:tcPr>
            <w:tcW w:w="1396" w:type="dxa"/>
          </w:tcPr>
          <w:p w14:paraId="3D0AAD89" w14:textId="77777777" w:rsidR="00F9656B" w:rsidRPr="00903183" w:rsidRDefault="00F9656B" w:rsidP="00F9656B">
            <w:pPr>
              <w:widowControl w:val="0"/>
              <w:autoSpaceDE w:val="0"/>
              <w:autoSpaceDN w:val="0"/>
              <w:spacing w:before="70" w:after="0"/>
              <w:jc w:val="center"/>
              <w:rPr>
                <w:noProof/>
                <w:sz w:val="17"/>
              </w:rPr>
            </w:pPr>
            <w:r w:rsidRPr="00903183">
              <w:rPr>
                <w:noProof/>
                <w:color w:val="231F20"/>
                <w:sz w:val="17"/>
              </w:rPr>
              <w:t>—</w:t>
            </w:r>
          </w:p>
        </w:tc>
        <w:tc>
          <w:tcPr>
            <w:tcW w:w="1164" w:type="dxa"/>
          </w:tcPr>
          <w:p w14:paraId="5DB0324A"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c>
          <w:tcPr>
            <w:tcW w:w="1066" w:type="dxa"/>
            <w:vMerge/>
            <w:tcBorders>
              <w:top w:val="nil"/>
            </w:tcBorders>
            <w:textDirection w:val="btLr"/>
          </w:tcPr>
          <w:p w14:paraId="4B8632B3" w14:textId="77777777" w:rsidR="00F9656B" w:rsidRPr="00903183" w:rsidRDefault="00F9656B" w:rsidP="00F9656B">
            <w:pPr>
              <w:rPr>
                <w:noProof/>
                <w:sz w:val="2"/>
              </w:rPr>
            </w:pPr>
          </w:p>
        </w:tc>
        <w:tc>
          <w:tcPr>
            <w:tcW w:w="1062" w:type="dxa"/>
            <w:tcBorders>
              <w:right w:val="nil"/>
            </w:tcBorders>
          </w:tcPr>
          <w:p w14:paraId="7653D37E" w14:textId="77777777" w:rsidR="00F9656B" w:rsidRPr="00903183" w:rsidRDefault="00F9656B" w:rsidP="00F9656B">
            <w:pPr>
              <w:widowControl w:val="0"/>
              <w:autoSpaceDE w:val="0"/>
              <w:autoSpaceDN w:val="0"/>
              <w:spacing w:before="70" w:after="0"/>
              <w:ind w:left="61" w:right="66"/>
              <w:jc w:val="center"/>
              <w:rPr>
                <w:noProof/>
                <w:sz w:val="17"/>
              </w:rPr>
            </w:pPr>
            <w:r w:rsidRPr="00903183">
              <w:rPr>
                <w:noProof/>
                <w:color w:val="231F20"/>
                <w:sz w:val="17"/>
              </w:rPr>
              <w:t>⁪Da</w:t>
            </w:r>
          </w:p>
        </w:tc>
      </w:tr>
      <w:tr w:rsidR="00F9656B" w:rsidRPr="00903183" w14:paraId="0A18CA9C" w14:textId="77777777" w:rsidTr="009B4189">
        <w:trPr>
          <w:trHeight w:val="361"/>
        </w:trPr>
        <w:tc>
          <w:tcPr>
            <w:tcW w:w="431" w:type="dxa"/>
            <w:tcBorders>
              <w:left w:val="nil"/>
            </w:tcBorders>
          </w:tcPr>
          <w:p w14:paraId="668B8A2C" w14:textId="77777777" w:rsidR="00F9656B" w:rsidRPr="00903183" w:rsidRDefault="00F9656B" w:rsidP="00F9656B">
            <w:pPr>
              <w:widowControl w:val="0"/>
              <w:autoSpaceDE w:val="0"/>
              <w:autoSpaceDN w:val="0"/>
              <w:spacing w:before="70" w:after="0"/>
              <w:ind w:left="-1"/>
              <w:jc w:val="left"/>
              <w:rPr>
                <w:noProof/>
                <w:color w:val="231F20"/>
                <w:spacing w:val="-5"/>
                <w:sz w:val="17"/>
              </w:rPr>
            </w:pPr>
            <w:r w:rsidRPr="00903183">
              <w:rPr>
                <w:noProof/>
                <w:color w:val="231F20"/>
                <w:sz w:val="17"/>
              </w:rPr>
              <w:t>3c</w:t>
            </w:r>
          </w:p>
        </w:tc>
        <w:tc>
          <w:tcPr>
            <w:tcW w:w="1066" w:type="dxa"/>
            <w:tcBorders>
              <w:top w:val="nil"/>
            </w:tcBorders>
            <w:textDirection w:val="btLr"/>
          </w:tcPr>
          <w:p w14:paraId="1240A4AF" w14:textId="77777777" w:rsidR="00F9656B" w:rsidRPr="00903183" w:rsidRDefault="00F9656B" w:rsidP="00F9656B">
            <w:pPr>
              <w:rPr>
                <w:noProof/>
                <w:sz w:val="2"/>
              </w:rPr>
            </w:pPr>
          </w:p>
        </w:tc>
        <w:tc>
          <w:tcPr>
            <w:tcW w:w="2133" w:type="dxa"/>
            <w:gridSpan w:val="2"/>
          </w:tcPr>
          <w:p w14:paraId="54FA9A3A" w14:textId="77777777" w:rsidR="00F9656B" w:rsidRPr="00903183" w:rsidRDefault="00F9656B" w:rsidP="00F9656B">
            <w:pPr>
              <w:widowControl w:val="0"/>
              <w:autoSpaceDE w:val="0"/>
              <w:autoSpaceDN w:val="0"/>
              <w:spacing w:before="70" w:after="0"/>
              <w:ind w:left="84"/>
              <w:jc w:val="left"/>
              <w:rPr>
                <w:noProof/>
                <w:color w:val="231F20"/>
                <w:sz w:val="17"/>
              </w:rPr>
            </w:pPr>
            <w:r w:rsidRPr="00903183">
              <w:rPr>
                <w:noProof/>
                <w:color w:val="231F20"/>
                <w:sz w:val="17"/>
              </w:rPr>
              <w:t>e-svjedodžba</w:t>
            </w:r>
          </w:p>
        </w:tc>
        <w:tc>
          <w:tcPr>
            <w:tcW w:w="1396" w:type="dxa"/>
          </w:tcPr>
          <w:p w14:paraId="2CFB75F1" w14:textId="77777777" w:rsidR="00F9656B" w:rsidRPr="00903183" w:rsidRDefault="00F9656B" w:rsidP="00F9656B">
            <w:pPr>
              <w:widowControl w:val="0"/>
              <w:autoSpaceDE w:val="0"/>
              <w:autoSpaceDN w:val="0"/>
              <w:spacing w:before="70" w:after="0"/>
              <w:ind w:left="84" w:right="2"/>
              <w:jc w:val="left"/>
              <w:rPr>
                <w:noProof/>
                <w:color w:val="231F20"/>
                <w:sz w:val="17"/>
              </w:rPr>
            </w:pPr>
            <w:r w:rsidRPr="00903183">
              <w:rPr>
                <w:noProof/>
                <w:color w:val="231F20"/>
                <w:sz w:val="17"/>
              </w:rPr>
              <w:t>Statutarne svjedodžbe digitalno se prenose u informacijski sustav</w:t>
            </w:r>
          </w:p>
        </w:tc>
        <w:tc>
          <w:tcPr>
            <w:tcW w:w="1164" w:type="dxa"/>
          </w:tcPr>
          <w:p w14:paraId="45E87458" w14:textId="77777777" w:rsidR="00F9656B" w:rsidRPr="00903183" w:rsidRDefault="00F9656B" w:rsidP="00F9656B">
            <w:pPr>
              <w:widowControl w:val="0"/>
              <w:autoSpaceDE w:val="0"/>
              <w:autoSpaceDN w:val="0"/>
              <w:spacing w:before="70" w:after="0"/>
              <w:ind w:left="84" w:right="2"/>
              <w:jc w:val="left"/>
              <w:rPr>
                <w:noProof/>
                <w:color w:val="231F20"/>
                <w:sz w:val="17"/>
              </w:rPr>
            </w:pPr>
          </w:p>
        </w:tc>
        <w:tc>
          <w:tcPr>
            <w:tcW w:w="1066" w:type="dxa"/>
            <w:vMerge/>
            <w:tcBorders>
              <w:top w:val="nil"/>
            </w:tcBorders>
            <w:textDirection w:val="btLr"/>
          </w:tcPr>
          <w:p w14:paraId="01C42CFD" w14:textId="77777777" w:rsidR="00F9656B" w:rsidRPr="00903183" w:rsidRDefault="00F9656B" w:rsidP="00F9656B">
            <w:pPr>
              <w:rPr>
                <w:noProof/>
                <w:sz w:val="2"/>
              </w:rPr>
            </w:pPr>
          </w:p>
        </w:tc>
        <w:tc>
          <w:tcPr>
            <w:tcW w:w="1062" w:type="dxa"/>
            <w:tcBorders>
              <w:right w:val="nil"/>
            </w:tcBorders>
          </w:tcPr>
          <w:p w14:paraId="5DFE914B" w14:textId="77777777" w:rsidR="00F9656B" w:rsidRPr="00903183" w:rsidRDefault="00F9656B" w:rsidP="00F9656B">
            <w:pPr>
              <w:widowControl w:val="0"/>
              <w:autoSpaceDE w:val="0"/>
              <w:autoSpaceDN w:val="0"/>
              <w:spacing w:before="70" w:after="0"/>
              <w:ind w:left="61" w:right="66"/>
              <w:jc w:val="center"/>
              <w:rPr>
                <w:noProof/>
                <w:color w:val="231F20"/>
                <w:spacing w:val="-5"/>
                <w:sz w:val="17"/>
              </w:rPr>
            </w:pPr>
          </w:p>
        </w:tc>
      </w:tr>
      <w:tr w:rsidR="00F9656B" w:rsidRPr="00903183" w14:paraId="1643F4DF" w14:textId="77777777" w:rsidTr="009B4189">
        <w:trPr>
          <w:trHeight w:val="360"/>
        </w:trPr>
        <w:tc>
          <w:tcPr>
            <w:tcW w:w="431" w:type="dxa"/>
            <w:vMerge w:val="restart"/>
            <w:tcBorders>
              <w:left w:val="nil"/>
            </w:tcBorders>
          </w:tcPr>
          <w:p w14:paraId="74217D6A" w14:textId="77777777" w:rsidR="00F9656B" w:rsidRPr="00903183" w:rsidRDefault="00F9656B" w:rsidP="00F9656B">
            <w:pPr>
              <w:widowControl w:val="0"/>
              <w:autoSpaceDE w:val="0"/>
              <w:autoSpaceDN w:val="0"/>
              <w:spacing w:before="69" w:after="0"/>
              <w:jc w:val="left"/>
              <w:rPr>
                <w:noProof/>
                <w:sz w:val="17"/>
              </w:rPr>
            </w:pPr>
            <w:r w:rsidRPr="00903183">
              <w:rPr>
                <w:noProof/>
                <w:color w:val="231F20"/>
                <w:sz w:val="17"/>
              </w:rPr>
              <w:t>4a</w:t>
            </w:r>
          </w:p>
        </w:tc>
        <w:tc>
          <w:tcPr>
            <w:tcW w:w="1066" w:type="dxa"/>
            <w:vMerge w:val="restart"/>
            <w:textDirection w:val="btLr"/>
          </w:tcPr>
          <w:p w14:paraId="43D534EF" w14:textId="77777777" w:rsidR="00F9656B" w:rsidRPr="00903183" w:rsidRDefault="00F9656B" w:rsidP="00F9656B">
            <w:pPr>
              <w:widowControl w:val="0"/>
              <w:autoSpaceDE w:val="0"/>
              <w:autoSpaceDN w:val="0"/>
              <w:spacing w:before="91" w:after="0" w:line="237" w:lineRule="auto"/>
              <w:ind w:left="640" w:right="327" w:hanging="335"/>
              <w:jc w:val="left"/>
              <w:rPr>
                <w:noProof/>
                <w:sz w:val="17"/>
              </w:rPr>
            </w:pPr>
            <w:r w:rsidRPr="00903183">
              <w:rPr>
                <w:noProof/>
                <w:color w:val="231F20"/>
                <w:sz w:val="17"/>
              </w:rPr>
              <w:t>Priznata organizacija</w:t>
            </w:r>
          </w:p>
        </w:tc>
        <w:tc>
          <w:tcPr>
            <w:tcW w:w="1067" w:type="dxa"/>
            <w:vMerge w:val="restart"/>
            <w:textDirection w:val="btLr"/>
          </w:tcPr>
          <w:p w14:paraId="655C7E2D" w14:textId="77777777" w:rsidR="00F9656B" w:rsidRPr="00903183" w:rsidRDefault="00F9656B" w:rsidP="00F9656B">
            <w:pPr>
              <w:widowControl w:val="0"/>
              <w:autoSpaceDE w:val="0"/>
              <w:autoSpaceDN w:val="0"/>
              <w:spacing w:before="91" w:after="0"/>
              <w:ind w:left="429"/>
              <w:jc w:val="left"/>
              <w:rPr>
                <w:noProof/>
                <w:sz w:val="17"/>
              </w:rPr>
            </w:pPr>
            <w:r w:rsidRPr="00903183">
              <w:rPr>
                <w:noProof/>
                <w:color w:val="231F20"/>
                <w:sz w:val="17"/>
              </w:rPr>
              <w:t>Rezultati</w:t>
            </w:r>
          </w:p>
        </w:tc>
        <w:tc>
          <w:tcPr>
            <w:tcW w:w="1066" w:type="dxa"/>
          </w:tcPr>
          <w:p w14:paraId="28617DE2" w14:textId="77777777" w:rsidR="00F9656B" w:rsidRPr="00903183" w:rsidRDefault="00F9656B" w:rsidP="00F9656B">
            <w:pPr>
              <w:widowControl w:val="0"/>
              <w:autoSpaceDE w:val="0"/>
              <w:autoSpaceDN w:val="0"/>
              <w:spacing w:before="69" w:after="0"/>
              <w:ind w:left="83"/>
              <w:jc w:val="left"/>
              <w:rPr>
                <w:noProof/>
                <w:sz w:val="17"/>
              </w:rPr>
            </w:pPr>
            <w:r w:rsidRPr="00903183">
              <w:rPr>
                <w:noProof/>
                <w:color w:val="231F20"/>
                <w:sz w:val="17"/>
              </w:rPr>
              <w:t>H</w:t>
            </w:r>
          </w:p>
        </w:tc>
        <w:tc>
          <w:tcPr>
            <w:tcW w:w="1396" w:type="dxa"/>
          </w:tcPr>
          <w:p w14:paraId="3F271268" w14:textId="77777777" w:rsidR="00F9656B" w:rsidRPr="00903183" w:rsidRDefault="00F9656B" w:rsidP="00F9656B">
            <w:pPr>
              <w:widowControl w:val="0"/>
              <w:autoSpaceDE w:val="0"/>
              <w:autoSpaceDN w:val="0"/>
              <w:spacing w:before="69" w:after="0"/>
              <w:jc w:val="center"/>
              <w:rPr>
                <w:noProof/>
                <w:sz w:val="17"/>
              </w:rPr>
            </w:pPr>
            <w:r w:rsidRPr="00903183">
              <w:rPr>
                <w:noProof/>
                <w:color w:val="231F20"/>
                <w:sz w:val="17"/>
              </w:rPr>
              <w:t>—</w:t>
            </w:r>
          </w:p>
        </w:tc>
        <w:tc>
          <w:tcPr>
            <w:tcW w:w="1164" w:type="dxa"/>
          </w:tcPr>
          <w:p w14:paraId="58F9E850" w14:textId="77777777" w:rsidR="00F9656B" w:rsidRPr="00903183" w:rsidRDefault="00F9656B" w:rsidP="00F9656B">
            <w:pPr>
              <w:widowControl w:val="0"/>
              <w:autoSpaceDE w:val="0"/>
              <w:autoSpaceDN w:val="0"/>
              <w:spacing w:before="69" w:after="0"/>
              <w:ind w:right="2"/>
              <w:jc w:val="center"/>
              <w:rPr>
                <w:noProof/>
                <w:sz w:val="17"/>
              </w:rPr>
            </w:pPr>
            <w:r w:rsidRPr="00903183">
              <w:rPr>
                <w:noProof/>
                <w:color w:val="231F20"/>
                <w:sz w:val="17"/>
              </w:rPr>
              <w:t>—</w:t>
            </w:r>
          </w:p>
        </w:tc>
        <w:tc>
          <w:tcPr>
            <w:tcW w:w="1066" w:type="dxa"/>
            <w:vMerge/>
            <w:tcBorders>
              <w:top w:val="nil"/>
            </w:tcBorders>
            <w:textDirection w:val="btLr"/>
          </w:tcPr>
          <w:p w14:paraId="06521850" w14:textId="77777777" w:rsidR="00F9656B" w:rsidRPr="00903183" w:rsidRDefault="00F9656B" w:rsidP="00F9656B">
            <w:pPr>
              <w:rPr>
                <w:noProof/>
                <w:sz w:val="2"/>
              </w:rPr>
            </w:pPr>
          </w:p>
        </w:tc>
        <w:tc>
          <w:tcPr>
            <w:tcW w:w="1062" w:type="dxa"/>
            <w:tcBorders>
              <w:right w:val="nil"/>
            </w:tcBorders>
          </w:tcPr>
          <w:p w14:paraId="167B60F9" w14:textId="77777777" w:rsidR="00F9656B" w:rsidRPr="00903183" w:rsidRDefault="00F9656B" w:rsidP="00F9656B">
            <w:pPr>
              <w:widowControl w:val="0"/>
              <w:autoSpaceDE w:val="0"/>
              <w:autoSpaceDN w:val="0"/>
              <w:spacing w:before="69" w:after="0"/>
              <w:ind w:left="59" w:right="66"/>
              <w:jc w:val="center"/>
              <w:rPr>
                <w:noProof/>
                <w:sz w:val="17"/>
              </w:rPr>
            </w:pPr>
            <w:r w:rsidRPr="00903183">
              <w:rPr>
                <w:noProof/>
                <w:color w:val="231F20"/>
                <w:sz w:val="17"/>
              </w:rPr>
              <w:t>Dobri</w:t>
            </w:r>
          </w:p>
        </w:tc>
      </w:tr>
      <w:tr w:rsidR="00F9656B" w:rsidRPr="00903183" w14:paraId="7A2A0BD1" w14:textId="77777777" w:rsidTr="009B4189">
        <w:trPr>
          <w:trHeight w:val="361"/>
        </w:trPr>
        <w:tc>
          <w:tcPr>
            <w:tcW w:w="431" w:type="dxa"/>
            <w:vMerge/>
            <w:tcBorders>
              <w:top w:val="nil"/>
              <w:left w:val="nil"/>
            </w:tcBorders>
          </w:tcPr>
          <w:p w14:paraId="4815BC45" w14:textId="77777777" w:rsidR="00F9656B" w:rsidRPr="00903183" w:rsidRDefault="00F9656B" w:rsidP="00F9656B">
            <w:pPr>
              <w:rPr>
                <w:noProof/>
                <w:sz w:val="2"/>
              </w:rPr>
            </w:pPr>
          </w:p>
        </w:tc>
        <w:tc>
          <w:tcPr>
            <w:tcW w:w="1066" w:type="dxa"/>
            <w:vMerge/>
            <w:tcBorders>
              <w:top w:val="nil"/>
            </w:tcBorders>
            <w:textDirection w:val="btLr"/>
          </w:tcPr>
          <w:p w14:paraId="04E471D2" w14:textId="77777777" w:rsidR="00F9656B" w:rsidRPr="00903183" w:rsidRDefault="00F9656B" w:rsidP="00F9656B">
            <w:pPr>
              <w:rPr>
                <w:noProof/>
                <w:sz w:val="2"/>
              </w:rPr>
            </w:pPr>
          </w:p>
        </w:tc>
        <w:tc>
          <w:tcPr>
            <w:tcW w:w="1067" w:type="dxa"/>
            <w:vMerge/>
            <w:tcBorders>
              <w:top w:val="nil"/>
            </w:tcBorders>
            <w:textDirection w:val="btLr"/>
          </w:tcPr>
          <w:p w14:paraId="4AEF3518" w14:textId="77777777" w:rsidR="00F9656B" w:rsidRPr="00903183" w:rsidRDefault="00F9656B" w:rsidP="00F9656B">
            <w:pPr>
              <w:rPr>
                <w:noProof/>
                <w:sz w:val="2"/>
              </w:rPr>
            </w:pPr>
          </w:p>
        </w:tc>
        <w:tc>
          <w:tcPr>
            <w:tcW w:w="1066" w:type="dxa"/>
          </w:tcPr>
          <w:p w14:paraId="55D4AF36"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M</w:t>
            </w:r>
          </w:p>
        </w:tc>
        <w:tc>
          <w:tcPr>
            <w:tcW w:w="1396" w:type="dxa"/>
          </w:tcPr>
          <w:p w14:paraId="5B528E1F" w14:textId="77777777" w:rsidR="00F9656B" w:rsidRPr="00903183" w:rsidRDefault="00F9656B" w:rsidP="00F9656B">
            <w:pPr>
              <w:widowControl w:val="0"/>
              <w:autoSpaceDE w:val="0"/>
              <w:autoSpaceDN w:val="0"/>
              <w:spacing w:before="70" w:after="0"/>
              <w:jc w:val="center"/>
              <w:rPr>
                <w:noProof/>
                <w:sz w:val="17"/>
              </w:rPr>
            </w:pPr>
            <w:r w:rsidRPr="00903183">
              <w:rPr>
                <w:noProof/>
                <w:color w:val="231F20"/>
                <w:sz w:val="17"/>
              </w:rPr>
              <w:t>—</w:t>
            </w:r>
          </w:p>
        </w:tc>
        <w:tc>
          <w:tcPr>
            <w:tcW w:w="1164" w:type="dxa"/>
          </w:tcPr>
          <w:p w14:paraId="09231D7F"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c>
          <w:tcPr>
            <w:tcW w:w="1066" w:type="dxa"/>
            <w:vMerge/>
            <w:tcBorders>
              <w:top w:val="nil"/>
            </w:tcBorders>
            <w:textDirection w:val="btLr"/>
          </w:tcPr>
          <w:p w14:paraId="232F49A2" w14:textId="77777777" w:rsidR="00F9656B" w:rsidRPr="00903183" w:rsidRDefault="00F9656B" w:rsidP="00F9656B">
            <w:pPr>
              <w:rPr>
                <w:noProof/>
                <w:sz w:val="2"/>
              </w:rPr>
            </w:pPr>
          </w:p>
        </w:tc>
        <w:tc>
          <w:tcPr>
            <w:tcW w:w="1062" w:type="dxa"/>
            <w:tcBorders>
              <w:right w:val="nil"/>
            </w:tcBorders>
          </w:tcPr>
          <w:p w14:paraId="6828A40A"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6D9AB443" w14:textId="77777777" w:rsidTr="009B4189">
        <w:trPr>
          <w:trHeight w:val="360"/>
        </w:trPr>
        <w:tc>
          <w:tcPr>
            <w:tcW w:w="431" w:type="dxa"/>
            <w:vMerge/>
            <w:tcBorders>
              <w:top w:val="nil"/>
              <w:left w:val="nil"/>
            </w:tcBorders>
          </w:tcPr>
          <w:p w14:paraId="3A143841" w14:textId="77777777" w:rsidR="00F9656B" w:rsidRPr="00903183" w:rsidRDefault="00F9656B" w:rsidP="00F9656B">
            <w:pPr>
              <w:rPr>
                <w:noProof/>
                <w:sz w:val="2"/>
              </w:rPr>
            </w:pPr>
          </w:p>
        </w:tc>
        <w:tc>
          <w:tcPr>
            <w:tcW w:w="1066" w:type="dxa"/>
            <w:vMerge/>
            <w:tcBorders>
              <w:top w:val="nil"/>
            </w:tcBorders>
            <w:textDirection w:val="btLr"/>
          </w:tcPr>
          <w:p w14:paraId="34BEDBAC" w14:textId="77777777" w:rsidR="00F9656B" w:rsidRPr="00903183" w:rsidRDefault="00F9656B" w:rsidP="00F9656B">
            <w:pPr>
              <w:rPr>
                <w:noProof/>
                <w:sz w:val="2"/>
              </w:rPr>
            </w:pPr>
          </w:p>
        </w:tc>
        <w:tc>
          <w:tcPr>
            <w:tcW w:w="1067" w:type="dxa"/>
            <w:vMerge/>
            <w:tcBorders>
              <w:top w:val="nil"/>
            </w:tcBorders>
            <w:textDirection w:val="btLr"/>
          </w:tcPr>
          <w:p w14:paraId="18FE28F5" w14:textId="77777777" w:rsidR="00F9656B" w:rsidRPr="00903183" w:rsidRDefault="00F9656B" w:rsidP="00F9656B">
            <w:pPr>
              <w:rPr>
                <w:noProof/>
                <w:sz w:val="2"/>
              </w:rPr>
            </w:pPr>
          </w:p>
        </w:tc>
        <w:tc>
          <w:tcPr>
            <w:tcW w:w="1066" w:type="dxa"/>
          </w:tcPr>
          <w:p w14:paraId="6975FFD1"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L</w:t>
            </w:r>
          </w:p>
        </w:tc>
        <w:tc>
          <w:tcPr>
            <w:tcW w:w="1396" w:type="dxa"/>
          </w:tcPr>
          <w:p w14:paraId="6EE3D355"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Loši</w:t>
            </w:r>
          </w:p>
        </w:tc>
        <w:tc>
          <w:tcPr>
            <w:tcW w:w="1164" w:type="dxa"/>
            <w:vMerge w:val="restart"/>
          </w:tcPr>
          <w:p w14:paraId="352F5EFD" w14:textId="77777777" w:rsidR="00F9656B" w:rsidRPr="00903183" w:rsidRDefault="00F9656B" w:rsidP="00F9656B">
            <w:pPr>
              <w:widowControl w:val="0"/>
              <w:autoSpaceDE w:val="0"/>
              <w:autoSpaceDN w:val="0"/>
              <w:spacing w:before="70" w:after="0"/>
              <w:ind w:right="3"/>
              <w:jc w:val="center"/>
              <w:rPr>
                <w:noProof/>
                <w:sz w:val="17"/>
              </w:rPr>
            </w:pPr>
            <w:r w:rsidRPr="00903183">
              <w:rPr>
                <w:noProof/>
                <w:color w:val="231F20"/>
                <w:sz w:val="17"/>
              </w:rPr>
              <w:t>1</w:t>
            </w:r>
          </w:p>
        </w:tc>
        <w:tc>
          <w:tcPr>
            <w:tcW w:w="1066" w:type="dxa"/>
            <w:vMerge/>
            <w:tcBorders>
              <w:top w:val="nil"/>
            </w:tcBorders>
            <w:textDirection w:val="btLr"/>
          </w:tcPr>
          <w:p w14:paraId="755BD42B" w14:textId="77777777" w:rsidR="00F9656B" w:rsidRPr="00903183" w:rsidRDefault="00F9656B" w:rsidP="00F9656B">
            <w:pPr>
              <w:rPr>
                <w:noProof/>
                <w:sz w:val="2"/>
              </w:rPr>
            </w:pPr>
          </w:p>
        </w:tc>
        <w:tc>
          <w:tcPr>
            <w:tcW w:w="1062" w:type="dxa"/>
            <w:tcBorders>
              <w:right w:val="nil"/>
            </w:tcBorders>
          </w:tcPr>
          <w:p w14:paraId="5EE761AB"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0660D958" w14:textId="77777777" w:rsidTr="009B4189">
        <w:trPr>
          <w:trHeight w:val="361"/>
        </w:trPr>
        <w:tc>
          <w:tcPr>
            <w:tcW w:w="431" w:type="dxa"/>
            <w:vMerge/>
            <w:tcBorders>
              <w:top w:val="nil"/>
              <w:left w:val="nil"/>
            </w:tcBorders>
          </w:tcPr>
          <w:p w14:paraId="630251B1" w14:textId="77777777" w:rsidR="00F9656B" w:rsidRPr="00903183" w:rsidRDefault="00F9656B" w:rsidP="00F9656B">
            <w:pPr>
              <w:rPr>
                <w:noProof/>
                <w:sz w:val="2"/>
              </w:rPr>
            </w:pPr>
          </w:p>
        </w:tc>
        <w:tc>
          <w:tcPr>
            <w:tcW w:w="1066" w:type="dxa"/>
            <w:vMerge/>
            <w:tcBorders>
              <w:top w:val="nil"/>
            </w:tcBorders>
            <w:textDirection w:val="btLr"/>
          </w:tcPr>
          <w:p w14:paraId="6B04EE1B" w14:textId="77777777" w:rsidR="00F9656B" w:rsidRPr="00903183" w:rsidRDefault="00F9656B" w:rsidP="00F9656B">
            <w:pPr>
              <w:rPr>
                <w:noProof/>
                <w:sz w:val="2"/>
              </w:rPr>
            </w:pPr>
          </w:p>
        </w:tc>
        <w:tc>
          <w:tcPr>
            <w:tcW w:w="1067" w:type="dxa"/>
            <w:vMerge/>
            <w:tcBorders>
              <w:top w:val="nil"/>
            </w:tcBorders>
            <w:textDirection w:val="btLr"/>
          </w:tcPr>
          <w:p w14:paraId="372F76D9" w14:textId="77777777" w:rsidR="00F9656B" w:rsidRPr="00903183" w:rsidRDefault="00F9656B" w:rsidP="00F9656B">
            <w:pPr>
              <w:rPr>
                <w:noProof/>
                <w:sz w:val="2"/>
              </w:rPr>
            </w:pPr>
          </w:p>
        </w:tc>
        <w:tc>
          <w:tcPr>
            <w:tcW w:w="1066" w:type="dxa"/>
          </w:tcPr>
          <w:p w14:paraId="32EF322F"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VL</w:t>
            </w:r>
          </w:p>
        </w:tc>
        <w:tc>
          <w:tcPr>
            <w:tcW w:w="1396" w:type="dxa"/>
          </w:tcPr>
          <w:p w14:paraId="1D64F644"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Vrlo loši</w:t>
            </w:r>
          </w:p>
        </w:tc>
        <w:tc>
          <w:tcPr>
            <w:tcW w:w="1164" w:type="dxa"/>
            <w:vMerge/>
            <w:tcBorders>
              <w:top w:val="nil"/>
            </w:tcBorders>
          </w:tcPr>
          <w:p w14:paraId="4548433A" w14:textId="77777777" w:rsidR="00F9656B" w:rsidRPr="00903183" w:rsidRDefault="00F9656B" w:rsidP="00F9656B">
            <w:pPr>
              <w:rPr>
                <w:noProof/>
                <w:sz w:val="2"/>
              </w:rPr>
            </w:pPr>
          </w:p>
        </w:tc>
        <w:tc>
          <w:tcPr>
            <w:tcW w:w="1066" w:type="dxa"/>
            <w:vMerge/>
            <w:tcBorders>
              <w:top w:val="nil"/>
            </w:tcBorders>
            <w:textDirection w:val="btLr"/>
          </w:tcPr>
          <w:p w14:paraId="0047EE94" w14:textId="77777777" w:rsidR="00F9656B" w:rsidRPr="00903183" w:rsidRDefault="00F9656B" w:rsidP="00F9656B">
            <w:pPr>
              <w:rPr>
                <w:noProof/>
                <w:sz w:val="2"/>
              </w:rPr>
            </w:pPr>
          </w:p>
        </w:tc>
        <w:tc>
          <w:tcPr>
            <w:tcW w:w="1062" w:type="dxa"/>
            <w:tcBorders>
              <w:right w:val="nil"/>
            </w:tcBorders>
          </w:tcPr>
          <w:p w14:paraId="62984375"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138E91AE" w14:textId="77777777" w:rsidTr="009B4189">
        <w:trPr>
          <w:trHeight w:val="360"/>
        </w:trPr>
        <w:tc>
          <w:tcPr>
            <w:tcW w:w="431" w:type="dxa"/>
            <w:tcBorders>
              <w:left w:val="nil"/>
            </w:tcBorders>
          </w:tcPr>
          <w:p w14:paraId="4C7EADCE" w14:textId="77777777" w:rsidR="00F9656B" w:rsidRPr="00903183" w:rsidRDefault="00F9656B" w:rsidP="00F9656B">
            <w:pPr>
              <w:widowControl w:val="0"/>
              <w:autoSpaceDE w:val="0"/>
              <w:autoSpaceDN w:val="0"/>
              <w:spacing w:before="69" w:after="0"/>
              <w:ind w:left="-1"/>
              <w:jc w:val="left"/>
              <w:rPr>
                <w:noProof/>
                <w:sz w:val="17"/>
              </w:rPr>
            </w:pPr>
            <w:r w:rsidRPr="00903183">
              <w:rPr>
                <w:noProof/>
                <w:color w:val="231F20"/>
                <w:sz w:val="17"/>
              </w:rPr>
              <w:t>4b</w:t>
            </w:r>
          </w:p>
        </w:tc>
        <w:tc>
          <w:tcPr>
            <w:tcW w:w="1066" w:type="dxa"/>
            <w:vMerge/>
            <w:tcBorders>
              <w:top w:val="nil"/>
            </w:tcBorders>
            <w:textDirection w:val="btLr"/>
          </w:tcPr>
          <w:p w14:paraId="32DE9174" w14:textId="77777777" w:rsidR="00F9656B" w:rsidRPr="00903183" w:rsidRDefault="00F9656B" w:rsidP="00F9656B">
            <w:pPr>
              <w:rPr>
                <w:noProof/>
                <w:sz w:val="2"/>
              </w:rPr>
            </w:pPr>
          </w:p>
        </w:tc>
        <w:tc>
          <w:tcPr>
            <w:tcW w:w="2133" w:type="dxa"/>
            <w:gridSpan w:val="2"/>
          </w:tcPr>
          <w:p w14:paraId="1F7ECBE9" w14:textId="77777777" w:rsidR="00F9656B" w:rsidRPr="00903183" w:rsidRDefault="00F9656B" w:rsidP="00F9656B">
            <w:pPr>
              <w:widowControl w:val="0"/>
              <w:autoSpaceDE w:val="0"/>
              <w:autoSpaceDN w:val="0"/>
              <w:spacing w:before="69" w:after="0"/>
              <w:ind w:left="546"/>
              <w:jc w:val="left"/>
              <w:rPr>
                <w:noProof/>
                <w:sz w:val="17"/>
              </w:rPr>
            </w:pPr>
            <w:r w:rsidRPr="00903183">
              <w:rPr>
                <w:noProof/>
                <w:color w:val="231F20"/>
                <w:sz w:val="17"/>
              </w:rPr>
              <w:t>Priznata od EU-a</w:t>
            </w:r>
          </w:p>
        </w:tc>
        <w:tc>
          <w:tcPr>
            <w:tcW w:w="1396" w:type="dxa"/>
          </w:tcPr>
          <w:p w14:paraId="5E616908" w14:textId="77777777" w:rsidR="00F9656B" w:rsidRPr="00903183" w:rsidRDefault="00F9656B" w:rsidP="00F9656B">
            <w:pPr>
              <w:widowControl w:val="0"/>
              <w:autoSpaceDE w:val="0"/>
              <w:autoSpaceDN w:val="0"/>
              <w:spacing w:before="69" w:after="0"/>
              <w:jc w:val="center"/>
              <w:rPr>
                <w:noProof/>
                <w:sz w:val="17"/>
              </w:rPr>
            </w:pPr>
            <w:r w:rsidRPr="00903183">
              <w:rPr>
                <w:noProof/>
                <w:color w:val="231F20"/>
                <w:sz w:val="17"/>
              </w:rPr>
              <w:t>—</w:t>
            </w:r>
          </w:p>
        </w:tc>
        <w:tc>
          <w:tcPr>
            <w:tcW w:w="1164" w:type="dxa"/>
          </w:tcPr>
          <w:p w14:paraId="5A074B5F" w14:textId="77777777" w:rsidR="00F9656B" w:rsidRPr="00903183" w:rsidRDefault="00F9656B" w:rsidP="00F9656B">
            <w:pPr>
              <w:widowControl w:val="0"/>
              <w:autoSpaceDE w:val="0"/>
              <w:autoSpaceDN w:val="0"/>
              <w:spacing w:before="69" w:after="0"/>
              <w:ind w:right="2"/>
              <w:jc w:val="center"/>
              <w:rPr>
                <w:noProof/>
                <w:sz w:val="17"/>
              </w:rPr>
            </w:pPr>
            <w:r w:rsidRPr="00903183">
              <w:rPr>
                <w:noProof/>
                <w:color w:val="231F20"/>
                <w:sz w:val="17"/>
              </w:rPr>
              <w:t>—</w:t>
            </w:r>
          </w:p>
        </w:tc>
        <w:tc>
          <w:tcPr>
            <w:tcW w:w="1066" w:type="dxa"/>
            <w:vMerge/>
            <w:tcBorders>
              <w:top w:val="nil"/>
            </w:tcBorders>
            <w:textDirection w:val="btLr"/>
          </w:tcPr>
          <w:p w14:paraId="64E351D4" w14:textId="77777777" w:rsidR="00F9656B" w:rsidRPr="00903183" w:rsidRDefault="00F9656B" w:rsidP="00F9656B">
            <w:pPr>
              <w:rPr>
                <w:noProof/>
                <w:sz w:val="2"/>
              </w:rPr>
            </w:pPr>
          </w:p>
        </w:tc>
        <w:tc>
          <w:tcPr>
            <w:tcW w:w="1062" w:type="dxa"/>
            <w:tcBorders>
              <w:right w:val="nil"/>
            </w:tcBorders>
          </w:tcPr>
          <w:p w14:paraId="7FC71571" w14:textId="77777777" w:rsidR="00F9656B" w:rsidRPr="00903183" w:rsidRDefault="00F9656B" w:rsidP="00F9656B">
            <w:pPr>
              <w:widowControl w:val="0"/>
              <w:autoSpaceDE w:val="0"/>
              <w:autoSpaceDN w:val="0"/>
              <w:spacing w:before="69" w:after="0"/>
              <w:ind w:left="61" w:right="66"/>
              <w:jc w:val="center"/>
              <w:rPr>
                <w:noProof/>
                <w:sz w:val="17"/>
              </w:rPr>
            </w:pPr>
            <w:r w:rsidRPr="00903183">
              <w:rPr>
                <w:noProof/>
                <w:color w:val="231F20"/>
                <w:sz w:val="17"/>
              </w:rPr>
              <w:t>⁪Da</w:t>
            </w:r>
          </w:p>
        </w:tc>
      </w:tr>
      <w:tr w:rsidR="00F9656B" w:rsidRPr="00903183" w14:paraId="16F6550C" w14:textId="77777777" w:rsidTr="009B4189">
        <w:trPr>
          <w:trHeight w:val="360"/>
        </w:trPr>
        <w:tc>
          <w:tcPr>
            <w:tcW w:w="431" w:type="dxa"/>
            <w:vMerge w:val="restart"/>
            <w:tcBorders>
              <w:left w:val="nil"/>
            </w:tcBorders>
          </w:tcPr>
          <w:p w14:paraId="5F777CFA" w14:textId="77777777" w:rsidR="00F9656B" w:rsidRPr="00903183" w:rsidRDefault="00F9656B" w:rsidP="00F9656B">
            <w:pPr>
              <w:widowControl w:val="0"/>
              <w:autoSpaceDE w:val="0"/>
              <w:autoSpaceDN w:val="0"/>
              <w:spacing w:before="69" w:after="0"/>
              <w:jc w:val="left"/>
              <w:rPr>
                <w:noProof/>
                <w:sz w:val="17"/>
              </w:rPr>
            </w:pPr>
            <w:r w:rsidRPr="00903183">
              <w:rPr>
                <w:noProof/>
                <w:color w:val="231F20"/>
                <w:sz w:val="17"/>
              </w:rPr>
              <w:t>5</w:t>
            </w:r>
          </w:p>
        </w:tc>
        <w:tc>
          <w:tcPr>
            <w:tcW w:w="1066" w:type="dxa"/>
            <w:vMerge w:val="restart"/>
            <w:textDirection w:val="btLr"/>
          </w:tcPr>
          <w:p w14:paraId="06026894" w14:textId="77777777" w:rsidR="00F9656B" w:rsidRPr="00903183" w:rsidRDefault="00F9656B" w:rsidP="00F9656B">
            <w:pPr>
              <w:widowControl w:val="0"/>
              <w:autoSpaceDE w:val="0"/>
              <w:autoSpaceDN w:val="0"/>
              <w:spacing w:before="90" w:after="0"/>
              <w:ind w:left="429"/>
              <w:jc w:val="left"/>
              <w:rPr>
                <w:noProof/>
                <w:sz w:val="17"/>
              </w:rPr>
            </w:pPr>
            <w:r w:rsidRPr="00903183">
              <w:rPr>
                <w:noProof/>
                <w:color w:val="231F20"/>
                <w:sz w:val="17"/>
              </w:rPr>
              <w:t>Kompanija</w:t>
            </w:r>
          </w:p>
        </w:tc>
        <w:tc>
          <w:tcPr>
            <w:tcW w:w="1067" w:type="dxa"/>
            <w:vMerge w:val="restart"/>
            <w:textDirection w:val="btLr"/>
          </w:tcPr>
          <w:p w14:paraId="25729C81" w14:textId="77777777" w:rsidR="00F9656B" w:rsidRPr="00903183" w:rsidRDefault="00F9656B" w:rsidP="00F9656B">
            <w:pPr>
              <w:widowControl w:val="0"/>
              <w:autoSpaceDE w:val="0"/>
              <w:autoSpaceDN w:val="0"/>
              <w:spacing w:before="91" w:after="0"/>
              <w:ind w:left="429"/>
              <w:jc w:val="left"/>
              <w:rPr>
                <w:noProof/>
                <w:sz w:val="17"/>
              </w:rPr>
            </w:pPr>
            <w:r w:rsidRPr="00903183">
              <w:rPr>
                <w:noProof/>
                <w:color w:val="231F20"/>
                <w:sz w:val="17"/>
              </w:rPr>
              <w:t>Rezultati</w:t>
            </w:r>
          </w:p>
        </w:tc>
        <w:tc>
          <w:tcPr>
            <w:tcW w:w="1066" w:type="dxa"/>
          </w:tcPr>
          <w:p w14:paraId="38EAD72E" w14:textId="77777777" w:rsidR="00F9656B" w:rsidRPr="00903183" w:rsidRDefault="00F9656B" w:rsidP="00F9656B">
            <w:pPr>
              <w:widowControl w:val="0"/>
              <w:autoSpaceDE w:val="0"/>
              <w:autoSpaceDN w:val="0"/>
              <w:spacing w:before="69" w:after="0"/>
              <w:ind w:left="83"/>
              <w:jc w:val="left"/>
              <w:rPr>
                <w:noProof/>
                <w:sz w:val="17"/>
              </w:rPr>
            </w:pPr>
            <w:r w:rsidRPr="00903183">
              <w:rPr>
                <w:noProof/>
                <w:color w:val="231F20"/>
                <w:sz w:val="17"/>
              </w:rPr>
              <w:t>H</w:t>
            </w:r>
          </w:p>
        </w:tc>
        <w:tc>
          <w:tcPr>
            <w:tcW w:w="1396" w:type="dxa"/>
          </w:tcPr>
          <w:p w14:paraId="244DE325" w14:textId="77777777" w:rsidR="00F9656B" w:rsidRPr="00903183" w:rsidRDefault="00F9656B" w:rsidP="00F9656B">
            <w:pPr>
              <w:widowControl w:val="0"/>
              <w:autoSpaceDE w:val="0"/>
              <w:autoSpaceDN w:val="0"/>
              <w:spacing w:before="69" w:after="0"/>
              <w:jc w:val="center"/>
              <w:rPr>
                <w:noProof/>
                <w:sz w:val="17"/>
              </w:rPr>
            </w:pPr>
            <w:r w:rsidRPr="00903183">
              <w:rPr>
                <w:noProof/>
                <w:color w:val="231F20"/>
                <w:sz w:val="17"/>
              </w:rPr>
              <w:t>—</w:t>
            </w:r>
          </w:p>
        </w:tc>
        <w:tc>
          <w:tcPr>
            <w:tcW w:w="1164" w:type="dxa"/>
          </w:tcPr>
          <w:p w14:paraId="5B0FB757" w14:textId="77777777" w:rsidR="00F9656B" w:rsidRPr="00903183" w:rsidRDefault="00F9656B" w:rsidP="00F9656B">
            <w:pPr>
              <w:widowControl w:val="0"/>
              <w:autoSpaceDE w:val="0"/>
              <w:autoSpaceDN w:val="0"/>
              <w:spacing w:before="69" w:after="0"/>
              <w:ind w:right="2"/>
              <w:jc w:val="center"/>
              <w:rPr>
                <w:noProof/>
                <w:sz w:val="17"/>
              </w:rPr>
            </w:pPr>
            <w:r w:rsidRPr="00903183">
              <w:rPr>
                <w:noProof/>
                <w:color w:val="231F20"/>
                <w:sz w:val="17"/>
              </w:rPr>
              <w:t>—</w:t>
            </w:r>
          </w:p>
        </w:tc>
        <w:tc>
          <w:tcPr>
            <w:tcW w:w="1066" w:type="dxa"/>
            <w:vMerge/>
            <w:tcBorders>
              <w:top w:val="nil"/>
            </w:tcBorders>
            <w:textDirection w:val="btLr"/>
          </w:tcPr>
          <w:p w14:paraId="04F96797" w14:textId="77777777" w:rsidR="00F9656B" w:rsidRPr="00903183" w:rsidRDefault="00F9656B" w:rsidP="00F9656B">
            <w:pPr>
              <w:rPr>
                <w:noProof/>
                <w:sz w:val="2"/>
              </w:rPr>
            </w:pPr>
          </w:p>
        </w:tc>
        <w:tc>
          <w:tcPr>
            <w:tcW w:w="1062" w:type="dxa"/>
            <w:tcBorders>
              <w:right w:val="nil"/>
            </w:tcBorders>
          </w:tcPr>
          <w:p w14:paraId="6F07BD4E" w14:textId="77777777" w:rsidR="00F9656B" w:rsidRPr="00903183" w:rsidRDefault="00F9656B" w:rsidP="00F9656B">
            <w:pPr>
              <w:widowControl w:val="0"/>
              <w:autoSpaceDE w:val="0"/>
              <w:autoSpaceDN w:val="0"/>
              <w:spacing w:before="69" w:after="0"/>
              <w:ind w:left="59" w:right="66"/>
              <w:jc w:val="center"/>
              <w:rPr>
                <w:noProof/>
                <w:sz w:val="17"/>
              </w:rPr>
            </w:pPr>
            <w:r w:rsidRPr="00903183">
              <w:rPr>
                <w:noProof/>
                <w:color w:val="231F20"/>
                <w:sz w:val="17"/>
              </w:rPr>
              <w:t>Dobri</w:t>
            </w:r>
          </w:p>
        </w:tc>
      </w:tr>
      <w:tr w:rsidR="00F9656B" w:rsidRPr="00903183" w14:paraId="6932FED2" w14:textId="77777777" w:rsidTr="009B4189">
        <w:trPr>
          <w:trHeight w:val="361"/>
        </w:trPr>
        <w:tc>
          <w:tcPr>
            <w:tcW w:w="431" w:type="dxa"/>
            <w:vMerge/>
            <w:tcBorders>
              <w:top w:val="nil"/>
              <w:left w:val="nil"/>
            </w:tcBorders>
          </w:tcPr>
          <w:p w14:paraId="03295CA5" w14:textId="77777777" w:rsidR="00F9656B" w:rsidRPr="00903183" w:rsidRDefault="00F9656B" w:rsidP="00F9656B">
            <w:pPr>
              <w:rPr>
                <w:noProof/>
                <w:sz w:val="2"/>
              </w:rPr>
            </w:pPr>
          </w:p>
        </w:tc>
        <w:tc>
          <w:tcPr>
            <w:tcW w:w="1066" w:type="dxa"/>
            <w:vMerge/>
            <w:tcBorders>
              <w:top w:val="nil"/>
            </w:tcBorders>
            <w:textDirection w:val="btLr"/>
          </w:tcPr>
          <w:p w14:paraId="64D3CAA8" w14:textId="77777777" w:rsidR="00F9656B" w:rsidRPr="00903183" w:rsidRDefault="00F9656B" w:rsidP="00F9656B">
            <w:pPr>
              <w:rPr>
                <w:noProof/>
                <w:sz w:val="2"/>
              </w:rPr>
            </w:pPr>
          </w:p>
        </w:tc>
        <w:tc>
          <w:tcPr>
            <w:tcW w:w="1067" w:type="dxa"/>
            <w:vMerge/>
            <w:tcBorders>
              <w:top w:val="nil"/>
            </w:tcBorders>
            <w:textDirection w:val="btLr"/>
          </w:tcPr>
          <w:p w14:paraId="2C126906" w14:textId="77777777" w:rsidR="00F9656B" w:rsidRPr="00903183" w:rsidRDefault="00F9656B" w:rsidP="00F9656B">
            <w:pPr>
              <w:rPr>
                <w:noProof/>
                <w:sz w:val="2"/>
              </w:rPr>
            </w:pPr>
          </w:p>
        </w:tc>
        <w:tc>
          <w:tcPr>
            <w:tcW w:w="1066" w:type="dxa"/>
          </w:tcPr>
          <w:p w14:paraId="5953DB6D"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M</w:t>
            </w:r>
          </w:p>
        </w:tc>
        <w:tc>
          <w:tcPr>
            <w:tcW w:w="1396" w:type="dxa"/>
          </w:tcPr>
          <w:p w14:paraId="0115D30C" w14:textId="77777777" w:rsidR="00F9656B" w:rsidRPr="00903183" w:rsidRDefault="00F9656B" w:rsidP="00F9656B">
            <w:pPr>
              <w:widowControl w:val="0"/>
              <w:autoSpaceDE w:val="0"/>
              <w:autoSpaceDN w:val="0"/>
              <w:spacing w:before="70" w:after="0"/>
              <w:jc w:val="center"/>
              <w:rPr>
                <w:noProof/>
                <w:sz w:val="17"/>
              </w:rPr>
            </w:pPr>
            <w:r w:rsidRPr="00903183">
              <w:rPr>
                <w:noProof/>
                <w:color w:val="231F20"/>
                <w:sz w:val="17"/>
              </w:rPr>
              <w:t>—</w:t>
            </w:r>
          </w:p>
        </w:tc>
        <w:tc>
          <w:tcPr>
            <w:tcW w:w="1164" w:type="dxa"/>
          </w:tcPr>
          <w:p w14:paraId="3D4E1CCC"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c>
          <w:tcPr>
            <w:tcW w:w="1066" w:type="dxa"/>
            <w:vMerge/>
            <w:tcBorders>
              <w:top w:val="nil"/>
            </w:tcBorders>
            <w:textDirection w:val="btLr"/>
          </w:tcPr>
          <w:p w14:paraId="78B382BE" w14:textId="77777777" w:rsidR="00F9656B" w:rsidRPr="00903183" w:rsidRDefault="00F9656B" w:rsidP="00F9656B">
            <w:pPr>
              <w:rPr>
                <w:noProof/>
                <w:sz w:val="2"/>
              </w:rPr>
            </w:pPr>
          </w:p>
        </w:tc>
        <w:tc>
          <w:tcPr>
            <w:tcW w:w="1062" w:type="dxa"/>
            <w:tcBorders>
              <w:right w:val="nil"/>
            </w:tcBorders>
          </w:tcPr>
          <w:p w14:paraId="19ABA704"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49EE2FA0" w14:textId="77777777" w:rsidTr="009B4189">
        <w:trPr>
          <w:trHeight w:val="360"/>
        </w:trPr>
        <w:tc>
          <w:tcPr>
            <w:tcW w:w="431" w:type="dxa"/>
            <w:vMerge/>
            <w:tcBorders>
              <w:top w:val="nil"/>
              <w:left w:val="nil"/>
            </w:tcBorders>
          </w:tcPr>
          <w:p w14:paraId="6466AB3C" w14:textId="77777777" w:rsidR="00F9656B" w:rsidRPr="00903183" w:rsidRDefault="00F9656B" w:rsidP="00F9656B">
            <w:pPr>
              <w:rPr>
                <w:noProof/>
                <w:sz w:val="2"/>
              </w:rPr>
            </w:pPr>
          </w:p>
        </w:tc>
        <w:tc>
          <w:tcPr>
            <w:tcW w:w="1066" w:type="dxa"/>
            <w:vMerge/>
            <w:tcBorders>
              <w:top w:val="nil"/>
            </w:tcBorders>
            <w:textDirection w:val="btLr"/>
          </w:tcPr>
          <w:p w14:paraId="51C3FAAE" w14:textId="77777777" w:rsidR="00F9656B" w:rsidRPr="00903183" w:rsidRDefault="00F9656B" w:rsidP="00F9656B">
            <w:pPr>
              <w:rPr>
                <w:noProof/>
                <w:sz w:val="2"/>
              </w:rPr>
            </w:pPr>
          </w:p>
        </w:tc>
        <w:tc>
          <w:tcPr>
            <w:tcW w:w="1067" w:type="dxa"/>
            <w:vMerge/>
            <w:tcBorders>
              <w:top w:val="nil"/>
            </w:tcBorders>
            <w:textDirection w:val="btLr"/>
          </w:tcPr>
          <w:p w14:paraId="6674D5E7" w14:textId="77777777" w:rsidR="00F9656B" w:rsidRPr="00903183" w:rsidRDefault="00F9656B" w:rsidP="00F9656B">
            <w:pPr>
              <w:rPr>
                <w:noProof/>
                <w:sz w:val="2"/>
              </w:rPr>
            </w:pPr>
          </w:p>
        </w:tc>
        <w:tc>
          <w:tcPr>
            <w:tcW w:w="1066" w:type="dxa"/>
          </w:tcPr>
          <w:p w14:paraId="2B3EDFF4"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L</w:t>
            </w:r>
          </w:p>
        </w:tc>
        <w:tc>
          <w:tcPr>
            <w:tcW w:w="1396" w:type="dxa"/>
          </w:tcPr>
          <w:p w14:paraId="26224FBC"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Loši</w:t>
            </w:r>
          </w:p>
        </w:tc>
        <w:tc>
          <w:tcPr>
            <w:tcW w:w="1164" w:type="dxa"/>
            <w:vMerge w:val="restart"/>
          </w:tcPr>
          <w:p w14:paraId="0D59ACB4" w14:textId="77777777" w:rsidR="00F9656B" w:rsidRPr="00903183" w:rsidRDefault="00F9656B" w:rsidP="00F9656B">
            <w:pPr>
              <w:widowControl w:val="0"/>
              <w:autoSpaceDE w:val="0"/>
              <w:autoSpaceDN w:val="0"/>
              <w:spacing w:before="70" w:after="0"/>
              <w:ind w:right="3"/>
              <w:jc w:val="center"/>
              <w:rPr>
                <w:noProof/>
                <w:sz w:val="17"/>
              </w:rPr>
            </w:pPr>
            <w:r w:rsidRPr="00903183">
              <w:rPr>
                <w:noProof/>
                <w:color w:val="231F20"/>
                <w:sz w:val="17"/>
              </w:rPr>
              <w:t>2</w:t>
            </w:r>
          </w:p>
        </w:tc>
        <w:tc>
          <w:tcPr>
            <w:tcW w:w="1066" w:type="dxa"/>
            <w:vMerge/>
            <w:tcBorders>
              <w:top w:val="nil"/>
            </w:tcBorders>
            <w:textDirection w:val="btLr"/>
          </w:tcPr>
          <w:p w14:paraId="44431ADB" w14:textId="77777777" w:rsidR="00F9656B" w:rsidRPr="00903183" w:rsidRDefault="00F9656B" w:rsidP="00F9656B">
            <w:pPr>
              <w:rPr>
                <w:noProof/>
                <w:sz w:val="2"/>
              </w:rPr>
            </w:pPr>
          </w:p>
        </w:tc>
        <w:tc>
          <w:tcPr>
            <w:tcW w:w="1062" w:type="dxa"/>
            <w:tcBorders>
              <w:right w:val="nil"/>
            </w:tcBorders>
          </w:tcPr>
          <w:p w14:paraId="5D6A1681"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2F2D2F1C" w14:textId="77777777" w:rsidTr="009B4189">
        <w:trPr>
          <w:trHeight w:val="361"/>
        </w:trPr>
        <w:tc>
          <w:tcPr>
            <w:tcW w:w="431" w:type="dxa"/>
            <w:vMerge/>
            <w:tcBorders>
              <w:top w:val="nil"/>
              <w:left w:val="nil"/>
            </w:tcBorders>
          </w:tcPr>
          <w:p w14:paraId="51A5E205" w14:textId="77777777" w:rsidR="00F9656B" w:rsidRPr="00903183" w:rsidRDefault="00F9656B" w:rsidP="00F9656B">
            <w:pPr>
              <w:rPr>
                <w:noProof/>
                <w:sz w:val="2"/>
              </w:rPr>
            </w:pPr>
          </w:p>
        </w:tc>
        <w:tc>
          <w:tcPr>
            <w:tcW w:w="1066" w:type="dxa"/>
            <w:vMerge/>
            <w:tcBorders>
              <w:top w:val="nil"/>
            </w:tcBorders>
            <w:textDirection w:val="btLr"/>
          </w:tcPr>
          <w:p w14:paraId="63DCABF0" w14:textId="77777777" w:rsidR="00F9656B" w:rsidRPr="00903183" w:rsidRDefault="00F9656B" w:rsidP="00F9656B">
            <w:pPr>
              <w:rPr>
                <w:noProof/>
                <w:sz w:val="2"/>
              </w:rPr>
            </w:pPr>
          </w:p>
        </w:tc>
        <w:tc>
          <w:tcPr>
            <w:tcW w:w="1067" w:type="dxa"/>
            <w:vMerge/>
            <w:tcBorders>
              <w:top w:val="nil"/>
            </w:tcBorders>
            <w:textDirection w:val="btLr"/>
          </w:tcPr>
          <w:p w14:paraId="23BCF307" w14:textId="77777777" w:rsidR="00F9656B" w:rsidRPr="00903183" w:rsidRDefault="00F9656B" w:rsidP="00F9656B">
            <w:pPr>
              <w:rPr>
                <w:noProof/>
                <w:sz w:val="2"/>
              </w:rPr>
            </w:pPr>
          </w:p>
        </w:tc>
        <w:tc>
          <w:tcPr>
            <w:tcW w:w="1066" w:type="dxa"/>
          </w:tcPr>
          <w:p w14:paraId="22C4090B" w14:textId="77777777" w:rsidR="00F9656B" w:rsidRPr="00903183" w:rsidRDefault="00F9656B" w:rsidP="00F9656B">
            <w:pPr>
              <w:widowControl w:val="0"/>
              <w:autoSpaceDE w:val="0"/>
              <w:autoSpaceDN w:val="0"/>
              <w:spacing w:before="70" w:after="0"/>
              <w:ind w:left="83"/>
              <w:jc w:val="left"/>
              <w:rPr>
                <w:noProof/>
                <w:sz w:val="17"/>
              </w:rPr>
            </w:pPr>
            <w:r w:rsidRPr="00903183">
              <w:rPr>
                <w:noProof/>
                <w:color w:val="231F20"/>
                <w:sz w:val="17"/>
              </w:rPr>
              <w:t>VL</w:t>
            </w:r>
          </w:p>
        </w:tc>
        <w:tc>
          <w:tcPr>
            <w:tcW w:w="1396" w:type="dxa"/>
          </w:tcPr>
          <w:p w14:paraId="559BB8FF"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Vrlo loši</w:t>
            </w:r>
          </w:p>
        </w:tc>
        <w:tc>
          <w:tcPr>
            <w:tcW w:w="1164" w:type="dxa"/>
            <w:vMerge/>
            <w:tcBorders>
              <w:top w:val="nil"/>
            </w:tcBorders>
          </w:tcPr>
          <w:p w14:paraId="5214EBD9" w14:textId="77777777" w:rsidR="00F9656B" w:rsidRPr="00903183" w:rsidRDefault="00F9656B" w:rsidP="00F9656B">
            <w:pPr>
              <w:rPr>
                <w:noProof/>
                <w:sz w:val="2"/>
              </w:rPr>
            </w:pPr>
          </w:p>
        </w:tc>
        <w:tc>
          <w:tcPr>
            <w:tcW w:w="1066" w:type="dxa"/>
            <w:vMerge/>
            <w:tcBorders>
              <w:top w:val="nil"/>
            </w:tcBorders>
            <w:textDirection w:val="btLr"/>
          </w:tcPr>
          <w:p w14:paraId="07A8BC2D" w14:textId="77777777" w:rsidR="00F9656B" w:rsidRPr="00903183" w:rsidRDefault="00F9656B" w:rsidP="00F9656B">
            <w:pPr>
              <w:rPr>
                <w:noProof/>
                <w:sz w:val="2"/>
              </w:rPr>
            </w:pPr>
          </w:p>
        </w:tc>
        <w:tc>
          <w:tcPr>
            <w:tcW w:w="1062" w:type="dxa"/>
            <w:tcBorders>
              <w:right w:val="nil"/>
            </w:tcBorders>
          </w:tcPr>
          <w:p w14:paraId="6F47C3BD"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r>
      <w:tr w:rsidR="00F9656B" w:rsidRPr="00903183" w14:paraId="18BA054C" w14:textId="77777777" w:rsidTr="009B4189">
        <w:trPr>
          <w:trHeight w:val="360"/>
        </w:trPr>
        <w:tc>
          <w:tcPr>
            <w:tcW w:w="3630" w:type="dxa"/>
            <w:gridSpan w:val="4"/>
            <w:tcBorders>
              <w:left w:val="nil"/>
            </w:tcBorders>
          </w:tcPr>
          <w:p w14:paraId="73750BFA" w14:textId="77777777" w:rsidR="00F9656B" w:rsidRPr="00903183" w:rsidRDefault="00F9656B" w:rsidP="00F9656B">
            <w:pPr>
              <w:widowControl w:val="0"/>
              <w:autoSpaceDE w:val="0"/>
              <w:autoSpaceDN w:val="0"/>
              <w:spacing w:before="69" w:after="0"/>
              <w:ind w:left="-1"/>
              <w:jc w:val="left"/>
              <w:rPr>
                <w:noProof/>
                <w:sz w:val="17"/>
              </w:rPr>
            </w:pPr>
            <w:r w:rsidRPr="00903183">
              <w:rPr>
                <w:noProof/>
                <w:color w:val="231F20"/>
                <w:sz w:val="17"/>
              </w:rPr>
              <w:t>Povijesni parametri</w:t>
            </w:r>
          </w:p>
        </w:tc>
        <w:tc>
          <w:tcPr>
            <w:tcW w:w="2560" w:type="dxa"/>
            <w:gridSpan w:val="2"/>
          </w:tcPr>
          <w:p w14:paraId="6C59689C" w14:textId="77777777" w:rsidR="00F9656B" w:rsidRPr="00903183" w:rsidRDefault="00F9656B" w:rsidP="00F9656B">
            <w:pPr>
              <w:widowControl w:val="0"/>
              <w:autoSpaceDE w:val="0"/>
              <w:autoSpaceDN w:val="0"/>
              <w:spacing w:before="0" w:after="0"/>
              <w:jc w:val="left"/>
              <w:rPr>
                <w:noProof/>
                <w:sz w:val="16"/>
              </w:rPr>
            </w:pPr>
          </w:p>
        </w:tc>
        <w:tc>
          <w:tcPr>
            <w:tcW w:w="1066" w:type="dxa"/>
            <w:vMerge/>
            <w:tcBorders>
              <w:top w:val="nil"/>
            </w:tcBorders>
            <w:textDirection w:val="btLr"/>
          </w:tcPr>
          <w:p w14:paraId="3D0F0D00" w14:textId="77777777" w:rsidR="00F9656B" w:rsidRPr="00903183" w:rsidRDefault="00F9656B" w:rsidP="00F9656B">
            <w:pPr>
              <w:rPr>
                <w:noProof/>
                <w:sz w:val="2"/>
              </w:rPr>
            </w:pPr>
          </w:p>
        </w:tc>
        <w:tc>
          <w:tcPr>
            <w:tcW w:w="1062" w:type="dxa"/>
            <w:tcBorders>
              <w:right w:val="nil"/>
            </w:tcBorders>
          </w:tcPr>
          <w:p w14:paraId="05729B3C" w14:textId="77777777" w:rsidR="00F9656B" w:rsidRPr="00903183" w:rsidRDefault="00F9656B" w:rsidP="00F9656B">
            <w:pPr>
              <w:widowControl w:val="0"/>
              <w:autoSpaceDE w:val="0"/>
              <w:autoSpaceDN w:val="0"/>
              <w:spacing w:before="0" w:after="0"/>
              <w:jc w:val="left"/>
              <w:rPr>
                <w:noProof/>
                <w:sz w:val="16"/>
              </w:rPr>
            </w:pPr>
          </w:p>
        </w:tc>
      </w:tr>
      <w:tr w:rsidR="00F9656B" w:rsidRPr="00903183" w14:paraId="3D4524EB" w14:textId="77777777" w:rsidTr="009B4189">
        <w:trPr>
          <w:trHeight w:val="1320"/>
        </w:trPr>
        <w:tc>
          <w:tcPr>
            <w:tcW w:w="431" w:type="dxa"/>
            <w:tcBorders>
              <w:left w:val="nil"/>
            </w:tcBorders>
          </w:tcPr>
          <w:p w14:paraId="3369E670" w14:textId="77777777" w:rsidR="00F9656B" w:rsidRPr="00903183" w:rsidRDefault="00F9656B" w:rsidP="00F9656B">
            <w:pPr>
              <w:widowControl w:val="0"/>
              <w:autoSpaceDE w:val="0"/>
              <w:autoSpaceDN w:val="0"/>
              <w:spacing w:before="70" w:after="0"/>
              <w:jc w:val="left"/>
              <w:rPr>
                <w:noProof/>
                <w:sz w:val="17"/>
              </w:rPr>
            </w:pPr>
            <w:r w:rsidRPr="00903183">
              <w:rPr>
                <w:noProof/>
                <w:color w:val="231F20"/>
                <w:sz w:val="17"/>
              </w:rPr>
              <w:t>6</w:t>
            </w:r>
          </w:p>
        </w:tc>
        <w:tc>
          <w:tcPr>
            <w:tcW w:w="2133" w:type="dxa"/>
            <w:gridSpan w:val="2"/>
          </w:tcPr>
          <w:p w14:paraId="00BA2883" w14:textId="4615CFD6" w:rsidR="00F9656B" w:rsidRPr="00903183" w:rsidRDefault="00F9656B" w:rsidP="0019616A">
            <w:pPr>
              <w:widowControl w:val="0"/>
              <w:autoSpaceDE w:val="0"/>
              <w:autoSpaceDN w:val="0"/>
              <w:spacing w:before="73" w:after="0" w:line="235" w:lineRule="auto"/>
              <w:ind w:left="84" w:right="80"/>
              <w:rPr>
                <w:noProof/>
                <w:sz w:val="17"/>
              </w:rPr>
            </w:pPr>
            <w:r w:rsidRPr="00903183">
              <w:rPr>
                <w:noProof/>
                <w:color w:val="231F20"/>
                <w:sz w:val="17"/>
              </w:rPr>
              <w:t>Broj nedostataka utvrđenih pri svakom inspekcijskom pregledu u prethodnih 36 mjeseci</w:t>
            </w:r>
          </w:p>
        </w:tc>
        <w:tc>
          <w:tcPr>
            <w:tcW w:w="1066" w:type="dxa"/>
            <w:textDirection w:val="btLr"/>
          </w:tcPr>
          <w:p w14:paraId="00B0EA8F" w14:textId="77777777" w:rsidR="00F9656B" w:rsidRPr="00903183" w:rsidRDefault="00F9656B" w:rsidP="00F9656B">
            <w:pPr>
              <w:widowControl w:val="0"/>
              <w:autoSpaceDE w:val="0"/>
              <w:autoSpaceDN w:val="0"/>
              <w:spacing w:before="90" w:after="0"/>
              <w:ind w:left="276"/>
              <w:jc w:val="left"/>
              <w:rPr>
                <w:noProof/>
                <w:sz w:val="17"/>
              </w:rPr>
            </w:pPr>
            <w:r w:rsidRPr="00903183">
              <w:rPr>
                <w:noProof/>
                <w:color w:val="231F20"/>
                <w:sz w:val="17"/>
              </w:rPr>
              <w:t>Nedostaci</w:t>
            </w:r>
          </w:p>
        </w:tc>
        <w:tc>
          <w:tcPr>
            <w:tcW w:w="1396" w:type="dxa"/>
          </w:tcPr>
          <w:p w14:paraId="42192C0A" w14:textId="77777777" w:rsidR="00F9656B" w:rsidRPr="00903183" w:rsidRDefault="00F9656B" w:rsidP="00F9656B">
            <w:pPr>
              <w:widowControl w:val="0"/>
              <w:autoSpaceDE w:val="0"/>
              <w:autoSpaceDN w:val="0"/>
              <w:spacing w:before="70" w:after="0"/>
              <w:ind w:left="84"/>
              <w:jc w:val="left"/>
              <w:rPr>
                <w:noProof/>
                <w:color w:val="231F20"/>
                <w:sz w:val="17"/>
              </w:rPr>
            </w:pPr>
            <w:r w:rsidRPr="00903183">
              <w:rPr>
                <w:noProof/>
                <w:color w:val="231F20"/>
                <w:sz w:val="17"/>
              </w:rPr>
              <w:t>&gt; 6 u jednom od inspekcijskih pregleda</w:t>
            </w:r>
          </w:p>
        </w:tc>
        <w:tc>
          <w:tcPr>
            <w:tcW w:w="1164" w:type="dxa"/>
          </w:tcPr>
          <w:p w14:paraId="5ABB5E93" w14:textId="77777777" w:rsidR="00F9656B" w:rsidRPr="00903183" w:rsidRDefault="00F9656B" w:rsidP="00F9656B">
            <w:pPr>
              <w:widowControl w:val="0"/>
              <w:autoSpaceDE w:val="0"/>
              <w:autoSpaceDN w:val="0"/>
              <w:spacing w:before="70" w:after="0"/>
              <w:ind w:right="2"/>
              <w:jc w:val="center"/>
              <w:rPr>
                <w:noProof/>
                <w:sz w:val="17"/>
              </w:rPr>
            </w:pPr>
            <w:r w:rsidRPr="00903183">
              <w:rPr>
                <w:noProof/>
                <w:color w:val="231F20"/>
                <w:sz w:val="17"/>
              </w:rPr>
              <w:t>—</w:t>
            </w:r>
          </w:p>
        </w:tc>
        <w:tc>
          <w:tcPr>
            <w:tcW w:w="1066" w:type="dxa"/>
            <w:vMerge/>
            <w:tcBorders>
              <w:top w:val="nil"/>
            </w:tcBorders>
            <w:textDirection w:val="btLr"/>
          </w:tcPr>
          <w:p w14:paraId="612814F4" w14:textId="77777777" w:rsidR="00F9656B" w:rsidRPr="00903183" w:rsidRDefault="00F9656B" w:rsidP="00F9656B">
            <w:pPr>
              <w:rPr>
                <w:noProof/>
                <w:sz w:val="2"/>
              </w:rPr>
            </w:pPr>
          </w:p>
        </w:tc>
        <w:tc>
          <w:tcPr>
            <w:tcW w:w="1062" w:type="dxa"/>
            <w:tcBorders>
              <w:right w:val="nil"/>
            </w:tcBorders>
          </w:tcPr>
          <w:p w14:paraId="59B8AF87" w14:textId="77777777" w:rsidR="00F9656B" w:rsidRPr="00903183" w:rsidRDefault="00F9656B" w:rsidP="00F9656B">
            <w:pPr>
              <w:widowControl w:val="0"/>
              <w:autoSpaceDE w:val="0"/>
              <w:autoSpaceDN w:val="0"/>
              <w:spacing w:before="73" w:after="0" w:line="235" w:lineRule="auto"/>
              <w:ind w:left="51" w:right="53" w:firstLine="1"/>
              <w:jc w:val="center"/>
              <w:rPr>
                <w:noProof/>
                <w:sz w:val="17"/>
              </w:rPr>
            </w:pPr>
            <w:r w:rsidRPr="00903183">
              <w:rPr>
                <w:noProof/>
                <w:color w:val="231F20"/>
                <w:sz w:val="17"/>
              </w:rPr>
              <w:t>≤ 5 pri svakom inspekcijskom pregledu (pri čemu je najmanje jedan inspekcijski pregled obavljen u prethodnih</w:t>
            </w:r>
          </w:p>
          <w:p w14:paraId="1D32B48C" w14:textId="77777777" w:rsidR="00F9656B" w:rsidRPr="00903183" w:rsidRDefault="00F9656B" w:rsidP="00F9656B">
            <w:pPr>
              <w:widowControl w:val="0"/>
              <w:autoSpaceDE w:val="0"/>
              <w:autoSpaceDN w:val="0"/>
              <w:spacing w:before="0" w:after="0" w:line="194" w:lineRule="exact"/>
              <w:ind w:left="62" w:right="66"/>
              <w:jc w:val="center"/>
              <w:rPr>
                <w:noProof/>
                <w:sz w:val="17"/>
              </w:rPr>
            </w:pPr>
            <w:r w:rsidRPr="00903183">
              <w:rPr>
                <w:noProof/>
                <w:color w:val="231F20"/>
                <w:sz w:val="17"/>
              </w:rPr>
              <w:t>36 mjeseci)</w:t>
            </w:r>
          </w:p>
        </w:tc>
      </w:tr>
      <w:tr w:rsidR="00F9656B" w:rsidRPr="00903183" w14:paraId="21D87A60" w14:textId="77777777" w:rsidTr="009B4189">
        <w:trPr>
          <w:trHeight w:val="1235"/>
        </w:trPr>
        <w:tc>
          <w:tcPr>
            <w:tcW w:w="431" w:type="dxa"/>
            <w:tcBorders>
              <w:left w:val="nil"/>
            </w:tcBorders>
          </w:tcPr>
          <w:p w14:paraId="20A61ED8" w14:textId="77777777" w:rsidR="00F9656B" w:rsidRPr="00903183" w:rsidRDefault="00F9656B" w:rsidP="00F9656B">
            <w:pPr>
              <w:widowControl w:val="0"/>
              <w:autoSpaceDE w:val="0"/>
              <w:autoSpaceDN w:val="0"/>
              <w:spacing w:before="70" w:after="0"/>
              <w:ind w:left="-1"/>
              <w:jc w:val="left"/>
              <w:rPr>
                <w:noProof/>
                <w:sz w:val="17"/>
              </w:rPr>
            </w:pPr>
            <w:r w:rsidRPr="00903183">
              <w:rPr>
                <w:noProof/>
                <w:color w:val="231F20"/>
                <w:sz w:val="17"/>
              </w:rPr>
              <w:t>7</w:t>
            </w:r>
          </w:p>
        </w:tc>
        <w:tc>
          <w:tcPr>
            <w:tcW w:w="2133" w:type="dxa"/>
            <w:gridSpan w:val="2"/>
          </w:tcPr>
          <w:p w14:paraId="1FFA0549" w14:textId="77777777" w:rsidR="00F9656B" w:rsidRPr="00903183" w:rsidRDefault="00F9656B" w:rsidP="00F9656B">
            <w:pPr>
              <w:widowControl w:val="0"/>
              <w:tabs>
                <w:tab w:val="left" w:pos="919"/>
                <w:tab w:val="left" w:pos="1342"/>
              </w:tabs>
              <w:autoSpaceDE w:val="0"/>
              <w:autoSpaceDN w:val="0"/>
              <w:spacing w:before="73" w:after="0" w:line="235" w:lineRule="auto"/>
              <w:ind w:left="84" w:right="84"/>
              <w:jc w:val="left"/>
              <w:rPr>
                <w:noProof/>
                <w:sz w:val="17"/>
              </w:rPr>
            </w:pPr>
            <w:r w:rsidRPr="00903183">
              <w:rPr>
                <w:noProof/>
                <w:color w:val="231F20"/>
                <w:sz w:val="17"/>
              </w:rPr>
              <w:t>Broj</w:t>
            </w:r>
            <w:r w:rsidRPr="00903183">
              <w:rPr>
                <w:noProof/>
              </w:rPr>
              <w:tab/>
            </w:r>
            <w:r w:rsidRPr="00903183">
              <w:rPr>
                <w:noProof/>
                <w:color w:val="231F20"/>
                <w:sz w:val="17"/>
              </w:rPr>
              <w:t>zabrana</w:t>
            </w:r>
            <w:r w:rsidRPr="00903183">
              <w:rPr>
                <w:noProof/>
              </w:rPr>
              <w:tab/>
            </w:r>
            <w:r w:rsidRPr="00903183">
              <w:rPr>
                <w:noProof/>
                <w:color w:val="231F20"/>
                <w:sz w:val="17"/>
              </w:rPr>
              <w:t>plovidbe u prethodnih 36 mjeseci</w:t>
            </w:r>
          </w:p>
        </w:tc>
        <w:tc>
          <w:tcPr>
            <w:tcW w:w="1066" w:type="dxa"/>
            <w:textDirection w:val="btLr"/>
          </w:tcPr>
          <w:p w14:paraId="55A97991" w14:textId="77777777" w:rsidR="00F9656B" w:rsidRPr="00903183" w:rsidRDefault="00F9656B" w:rsidP="00F9656B">
            <w:pPr>
              <w:widowControl w:val="0"/>
              <w:autoSpaceDE w:val="0"/>
              <w:autoSpaceDN w:val="0"/>
              <w:spacing w:before="90" w:after="0"/>
              <w:ind w:left="145"/>
              <w:jc w:val="left"/>
              <w:rPr>
                <w:noProof/>
                <w:sz w:val="17"/>
              </w:rPr>
            </w:pPr>
            <w:r w:rsidRPr="00903183">
              <w:rPr>
                <w:noProof/>
                <w:color w:val="231F20"/>
                <w:sz w:val="17"/>
              </w:rPr>
              <w:t>Zabrane plovidbe</w:t>
            </w:r>
          </w:p>
        </w:tc>
        <w:tc>
          <w:tcPr>
            <w:tcW w:w="1396" w:type="dxa"/>
          </w:tcPr>
          <w:p w14:paraId="61A9846B" w14:textId="77777777" w:rsidR="00F9656B" w:rsidRPr="00903183" w:rsidRDefault="00F9656B" w:rsidP="00F9656B">
            <w:pPr>
              <w:widowControl w:val="0"/>
              <w:autoSpaceDE w:val="0"/>
              <w:autoSpaceDN w:val="0"/>
              <w:spacing w:before="70" w:after="0"/>
              <w:ind w:left="84"/>
              <w:jc w:val="left"/>
              <w:rPr>
                <w:noProof/>
                <w:sz w:val="17"/>
              </w:rPr>
            </w:pPr>
            <w:r w:rsidRPr="00903183">
              <w:rPr>
                <w:noProof/>
                <w:color w:val="231F20"/>
                <w:sz w:val="17"/>
              </w:rPr>
              <w:t>≥ 2 zabrane plovidbe</w:t>
            </w:r>
          </w:p>
        </w:tc>
        <w:tc>
          <w:tcPr>
            <w:tcW w:w="1164" w:type="dxa"/>
          </w:tcPr>
          <w:p w14:paraId="3F49E76B" w14:textId="77777777" w:rsidR="00F9656B" w:rsidRPr="00903183" w:rsidRDefault="00F9656B" w:rsidP="00F9656B">
            <w:pPr>
              <w:widowControl w:val="0"/>
              <w:autoSpaceDE w:val="0"/>
              <w:autoSpaceDN w:val="0"/>
              <w:spacing w:before="70" w:after="0"/>
              <w:ind w:right="3"/>
              <w:jc w:val="center"/>
              <w:rPr>
                <w:noProof/>
                <w:sz w:val="17"/>
              </w:rPr>
            </w:pPr>
            <w:r w:rsidRPr="00903183">
              <w:rPr>
                <w:noProof/>
                <w:color w:val="231F20"/>
                <w:sz w:val="17"/>
              </w:rPr>
              <w:t>1</w:t>
            </w:r>
          </w:p>
        </w:tc>
        <w:tc>
          <w:tcPr>
            <w:tcW w:w="1066" w:type="dxa"/>
            <w:vMerge/>
            <w:tcBorders>
              <w:top w:val="nil"/>
              <w:bottom w:val="nil"/>
            </w:tcBorders>
            <w:textDirection w:val="btLr"/>
          </w:tcPr>
          <w:p w14:paraId="113FD8F4" w14:textId="77777777" w:rsidR="00F9656B" w:rsidRPr="00903183" w:rsidRDefault="00F9656B" w:rsidP="00F9656B">
            <w:pPr>
              <w:rPr>
                <w:noProof/>
                <w:sz w:val="2"/>
              </w:rPr>
            </w:pPr>
          </w:p>
        </w:tc>
        <w:tc>
          <w:tcPr>
            <w:tcW w:w="1062" w:type="dxa"/>
            <w:tcBorders>
              <w:right w:val="nil"/>
            </w:tcBorders>
          </w:tcPr>
          <w:p w14:paraId="5972BD64" w14:textId="77777777" w:rsidR="00F9656B" w:rsidRPr="00903183" w:rsidRDefault="00F9656B" w:rsidP="00F9656B">
            <w:pPr>
              <w:widowControl w:val="0"/>
              <w:autoSpaceDE w:val="0"/>
              <w:autoSpaceDN w:val="0"/>
              <w:spacing w:before="70" w:after="0"/>
              <w:ind w:left="62" w:right="66"/>
              <w:jc w:val="center"/>
              <w:rPr>
                <w:noProof/>
                <w:sz w:val="17"/>
              </w:rPr>
            </w:pPr>
            <w:r w:rsidRPr="00903183">
              <w:rPr>
                <w:noProof/>
                <w:color w:val="231F20"/>
                <w:sz w:val="17"/>
              </w:rPr>
              <w:t>Nijedna zabrana plovidbe</w:t>
            </w:r>
          </w:p>
        </w:tc>
      </w:tr>
      <w:tr w:rsidR="00F9656B" w:rsidRPr="00903183" w14:paraId="37E89630" w14:textId="77777777" w:rsidTr="009B4189">
        <w:trPr>
          <w:trHeight w:val="274"/>
        </w:trPr>
        <w:tc>
          <w:tcPr>
            <w:tcW w:w="6190" w:type="dxa"/>
            <w:gridSpan w:val="6"/>
            <w:tcBorders>
              <w:left w:val="nil"/>
            </w:tcBorders>
          </w:tcPr>
          <w:p w14:paraId="08DB6E93" w14:textId="77777777" w:rsidR="00F9656B" w:rsidRPr="00903183" w:rsidRDefault="00F9656B" w:rsidP="00F9656B">
            <w:pPr>
              <w:widowControl w:val="0"/>
              <w:autoSpaceDE w:val="0"/>
              <w:autoSpaceDN w:val="0"/>
              <w:spacing w:before="70" w:after="0"/>
              <w:ind w:right="3"/>
              <w:jc w:val="left"/>
              <w:rPr>
                <w:noProof/>
                <w:color w:val="231F20"/>
                <w:w w:val="99"/>
                <w:sz w:val="17"/>
              </w:rPr>
            </w:pPr>
            <w:r w:rsidRPr="00903183">
              <w:rPr>
                <w:noProof/>
                <w:color w:val="231F20"/>
                <w:sz w:val="17"/>
              </w:rPr>
              <w:t>Okolišni parametri</w:t>
            </w:r>
          </w:p>
        </w:tc>
        <w:tc>
          <w:tcPr>
            <w:tcW w:w="1066" w:type="dxa"/>
            <w:tcBorders>
              <w:top w:val="nil"/>
              <w:bottom w:val="nil"/>
            </w:tcBorders>
            <w:textDirection w:val="btLr"/>
          </w:tcPr>
          <w:p w14:paraId="652DABA2" w14:textId="77777777" w:rsidR="00F9656B" w:rsidRPr="00903183" w:rsidRDefault="00F9656B" w:rsidP="00F9656B">
            <w:pPr>
              <w:rPr>
                <w:noProof/>
                <w:sz w:val="2"/>
              </w:rPr>
            </w:pPr>
          </w:p>
        </w:tc>
        <w:tc>
          <w:tcPr>
            <w:tcW w:w="1062" w:type="dxa"/>
            <w:tcBorders>
              <w:right w:val="nil"/>
            </w:tcBorders>
          </w:tcPr>
          <w:p w14:paraId="241E4277" w14:textId="77777777" w:rsidR="00F9656B" w:rsidRPr="00903183" w:rsidRDefault="00F9656B" w:rsidP="00F9656B">
            <w:pPr>
              <w:widowControl w:val="0"/>
              <w:autoSpaceDE w:val="0"/>
              <w:autoSpaceDN w:val="0"/>
              <w:spacing w:before="70" w:after="0"/>
              <w:ind w:left="62" w:right="66"/>
              <w:jc w:val="center"/>
              <w:rPr>
                <w:noProof/>
                <w:color w:val="231F20"/>
                <w:sz w:val="17"/>
              </w:rPr>
            </w:pPr>
          </w:p>
        </w:tc>
      </w:tr>
      <w:tr w:rsidR="00F9656B" w:rsidRPr="00903183" w14:paraId="297F4DB9" w14:textId="77777777" w:rsidTr="009B4189">
        <w:trPr>
          <w:trHeight w:val="1235"/>
        </w:trPr>
        <w:tc>
          <w:tcPr>
            <w:tcW w:w="431" w:type="dxa"/>
            <w:tcBorders>
              <w:left w:val="nil"/>
            </w:tcBorders>
          </w:tcPr>
          <w:p w14:paraId="70D689CC" w14:textId="77777777" w:rsidR="00F9656B" w:rsidRPr="00903183" w:rsidRDefault="00F9656B" w:rsidP="00F9656B">
            <w:pPr>
              <w:widowControl w:val="0"/>
              <w:autoSpaceDE w:val="0"/>
              <w:autoSpaceDN w:val="0"/>
              <w:spacing w:before="70" w:after="0"/>
              <w:ind w:left="-1"/>
              <w:jc w:val="left"/>
              <w:rPr>
                <w:noProof/>
                <w:color w:val="231F20"/>
                <w:w w:val="99"/>
                <w:sz w:val="17"/>
              </w:rPr>
            </w:pPr>
            <w:r w:rsidRPr="00903183">
              <w:rPr>
                <w:noProof/>
                <w:color w:val="231F20"/>
                <w:sz w:val="17"/>
              </w:rPr>
              <w:t>8</w:t>
            </w:r>
          </w:p>
        </w:tc>
        <w:tc>
          <w:tcPr>
            <w:tcW w:w="2133" w:type="dxa"/>
            <w:gridSpan w:val="2"/>
          </w:tcPr>
          <w:p w14:paraId="7171598F" w14:textId="77777777" w:rsidR="00F9656B" w:rsidRPr="00903183" w:rsidRDefault="00F9656B" w:rsidP="00F9656B">
            <w:pPr>
              <w:widowControl w:val="0"/>
              <w:tabs>
                <w:tab w:val="left" w:pos="919"/>
                <w:tab w:val="left" w:pos="1342"/>
              </w:tabs>
              <w:autoSpaceDE w:val="0"/>
              <w:autoSpaceDN w:val="0"/>
              <w:spacing w:before="73" w:after="0" w:line="235" w:lineRule="auto"/>
              <w:ind w:left="84" w:right="84"/>
              <w:jc w:val="left"/>
              <w:rPr>
                <w:noProof/>
                <w:color w:val="231F20"/>
                <w:spacing w:val="-2"/>
                <w:sz w:val="17"/>
              </w:rPr>
            </w:pPr>
            <w:r w:rsidRPr="00903183">
              <w:rPr>
                <w:noProof/>
                <w:color w:val="231F20"/>
                <w:sz w:val="17"/>
              </w:rPr>
              <w:t>Pokazatelj intenziteta ugljika (CII)</w:t>
            </w:r>
          </w:p>
        </w:tc>
        <w:tc>
          <w:tcPr>
            <w:tcW w:w="1066" w:type="dxa"/>
            <w:textDirection w:val="btLr"/>
          </w:tcPr>
          <w:p w14:paraId="2485A5EE" w14:textId="77777777" w:rsidR="00F9656B" w:rsidRPr="00903183" w:rsidRDefault="00F9656B" w:rsidP="00F9656B">
            <w:pPr>
              <w:widowControl w:val="0"/>
              <w:autoSpaceDE w:val="0"/>
              <w:autoSpaceDN w:val="0"/>
              <w:spacing w:before="90" w:after="0"/>
              <w:ind w:left="145"/>
              <w:jc w:val="left"/>
              <w:rPr>
                <w:noProof/>
                <w:color w:val="231F20"/>
                <w:spacing w:val="-2"/>
                <w:sz w:val="17"/>
              </w:rPr>
            </w:pPr>
            <w:r w:rsidRPr="00903183">
              <w:rPr>
                <w:noProof/>
                <w:color w:val="231F20"/>
                <w:sz w:val="17"/>
              </w:rPr>
              <w:t>Ocjena</w:t>
            </w:r>
          </w:p>
          <w:p w14:paraId="363B735A" w14:textId="77777777" w:rsidR="00F9656B" w:rsidRPr="00903183" w:rsidRDefault="00F9656B" w:rsidP="00F9656B">
            <w:pPr>
              <w:widowControl w:val="0"/>
              <w:autoSpaceDE w:val="0"/>
              <w:autoSpaceDN w:val="0"/>
              <w:spacing w:before="90" w:after="0"/>
              <w:ind w:left="145"/>
              <w:jc w:val="left"/>
              <w:rPr>
                <w:noProof/>
                <w:color w:val="231F20"/>
                <w:spacing w:val="-2"/>
                <w:sz w:val="17"/>
              </w:rPr>
            </w:pPr>
          </w:p>
        </w:tc>
        <w:tc>
          <w:tcPr>
            <w:tcW w:w="1396" w:type="dxa"/>
          </w:tcPr>
          <w:p w14:paraId="21C52002" w14:textId="77777777" w:rsidR="00F9656B" w:rsidRPr="00903183" w:rsidRDefault="00F9656B" w:rsidP="00F9656B">
            <w:pPr>
              <w:widowControl w:val="0"/>
              <w:autoSpaceDE w:val="0"/>
              <w:autoSpaceDN w:val="0"/>
              <w:spacing w:before="70" w:after="0"/>
              <w:ind w:left="84"/>
              <w:jc w:val="left"/>
              <w:rPr>
                <w:noProof/>
                <w:color w:val="231F20"/>
                <w:sz w:val="17"/>
              </w:rPr>
            </w:pPr>
            <w:r w:rsidRPr="00903183">
              <w:rPr>
                <w:noProof/>
                <w:color w:val="231F20"/>
                <w:sz w:val="17"/>
              </w:rPr>
              <w:t>D-E</w:t>
            </w:r>
          </w:p>
        </w:tc>
        <w:tc>
          <w:tcPr>
            <w:tcW w:w="1164" w:type="dxa"/>
          </w:tcPr>
          <w:p w14:paraId="2269BE2D" w14:textId="56A5FC33" w:rsidR="00F9656B" w:rsidRPr="00903183" w:rsidRDefault="0019616A" w:rsidP="0019616A">
            <w:pPr>
              <w:widowControl w:val="0"/>
              <w:autoSpaceDE w:val="0"/>
              <w:autoSpaceDN w:val="0"/>
              <w:spacing w:before="70" w:after="0"/>
              <w:ind w:right="3"/>
              <w:jc w:val="center"/>
              <w:rPr>
                <w:noProof/>
                <w:color w:val="231F20"/>
                <w:w w:val="99"/>
                <w:sz w:val="17"/>
              </w:rPr>
            </w:pPr>
            <w:r w:rsidRPr="00903183">
              <w:rPr>
                <w:noProof/>
                <w:color w:val="231F20"/>
                <w:sz w:val="17"/>
              </w:rPr>
              <w:t>1</w:t>
            </w:r>
          </w:p>
        </w:tc>
        <w:tc>
          <w:tcPr>
            <w:tcW w:w="1066" w:type="dxa"/>
            <w:tcBorders>
              <w:top w:val="nil"/>
              <w:bottom w:val="nil"/>
            </w:tcBorders>
            <w:textDirection w:val="btLr"/>
          </w:tcPr>
          <w:p w14:paraId="4DB188D5" w14:textId="77777777" w:rsidR="00F9656B" w:rsidRPr="00903183" w:rsidRDefault="00F9656B" w:rsidP="00F9656B">
            <w:pPr>
              <w:rPr>
                <w:b/>
                <w:noProof/>
                <w:sz w:val="2"/>
              </w:rPr>
            </w:pPr>
          </w:p>
        </w:tc>
        <w:tc>
          <w:tcPr>
            <w:tcW w:w="1062" w:type="dxa"/>
            <w:tcBorders>
              <w:right w:val="nil"/>
            </w:tcBorders>
          </w:tcPr>
          <w:p w14:paraId="2EDB2DF8" w14:textId="77777777" w:rsidR="00F9656B" w:rsidRPr="00903183" w:rsidRDefault="00F9656B" w:rsidP="00F9656B">
            <w:pPr>
              <w:widowControl w:val="0"/>
              <w:autoSpaceDE w:val="0"/>
              <w:autoSpaceDN w:val="0"/>
              <w:spacing w:before="70" w:after="0"/>
              <w:ind w:left="62" w:right="66"/>
              <w:jc w:val="center"/>
              <w:rPr>
                <w:b/>
                <w:noProof/>
                <w:color w:val="231F20"/>
                <w:sz w:val="17"/>
              </w:rPr>
            </w:pPr>
          </w:p>
        </w:tc>
      </w:tr>
      <w:tr w:rsidR="00F9656B" w:rsidRPr="00903183" w14:paraId="5C24C8B8" w14:textId="77777777" w:rsidTr="009B4189">
        <w:trPr>
          <w:trHeight w:val="1235"/>
        </w:trPr>
        <w:tc>
          <w:tcPr>
            <w:tcW w:w="431" w:type="dxa"/>
            <w:tcBorders>
              <w:left w:val="nil"/>
            </w:tcBorders>
          </w:tcPr>
          <w:p w14:paraId="13D588C1" w14:textId="77777777" w:rsidR="00F9656B" w:rsidRPr="00903183" w:rsidRDefault="00F9656B" w:rsidP="00F9656B">
            <w:pPr>
              <w:widowControl w:val="0"/>
              <w:autoSpaceDE w:val="0"/>
              <w:autoSpaceDN w:val="0"/>
              <w:spacing w:before="70" w:after="0"/>
              <w:ind w:left="-1"/>
              <w:jc w:val="left"/>
              <w:rPr>
                <w:noProof/>
                <w:color w:val="231F20"/>
                <w:w w:val="99"/>
                <w:sz w:val="17"/>
              </w:rPr>
            </w:pPr>
            <w:r w:rsidRPr="00903183">
              <w:rPr>
                <w:noProof/>
                <w:color w:val="231F20"/>
                <w:sz w:val="17"/>
              </w:rPr>
              <w:t>9</w:t>
            </w:r>
          </w:p>
        </w:tc>
        <w:tc>
          <w:tcPr>
            <w:tcW w:w="2133" w:type="dxa"/>
            <w:gridSpan w:val="2"/>
          </w:tcPr>
          <w:p w14:paraId="55BE2B1B" w14:textId="5229C486" w:rsidR="00F9656B" w:rsidRPr="00903183" w:rsidRDefault="00F9656B" w:rsidP="0019616A">
            <w:pPr>
              <w:widowControl w:val="0"/>
              <w:tabs>
                <w:tab w:val="left" w:pos="919"/>
                <w:tab w:val="left" w:pos="1342"/>
              </w:tabs>
              <w:autoSpaceDE w:val="0"/>
              <w:autoSpaceDN w:val="0"/>
              <w:spacing w:before="73" w:after="0" w:line="235" w:lineRule="auto"/>
              <w:ind w:left="84" w:right="84"/>
              <w:jc w:val="left"/>
              <w:rPr>
                <w:noProof/>
                <w:color w:val="231F20"/>
                <w:spacing w:val="-2"/>
                <w:sz w:val="17"/>
              </w:rPr>
            </w:pPr>
            <w:r w:rsidRPr="00903183">
              <w:rPr>
                <w:noProof/>
                <w:color w:val="231F20"/>
                <w:sz w:val="17"/>
              </w:rPr>
              <w:t>Broj nedostataka u odnosu na konvencije MARPOL, AFS, BWM, CLC 92, konvenciju o pogonskom ulju i konvencija iz Nairobija zabilježenih pri svakom inspekcijskom pregledu u prethodnih 36 mjeseci</w:t>
            </w:r>
          </w:p>
        </w:tc>
        <w:tc>
          <w:tcPr>
            <w:tcW w:w="1066" w:type="dxa"/>
            <w:textDirection w:val="btLr"/>
          </w:tcPr>
          <w:p w14:paraId="7B888EE9" w14:textId="77777777" w:rsidR="00F9656B" w:rsidRPr="00903183" w:rsidRDefault="00F9656B" w:rsidP="00F9656B">
            <w:pPr>
              <w:widowControl w:val="0"/>
              <w:autoSpaceDE w:val="0"/>
              <w:autoSpaceDN w:val="0"/>
              <w:spacing w:before="90" w:after="0"/>
              <w:ind w:left="145"/>
              <w:jc w:val="left"/>
              <w:rPr>
                <w:noProof/>
                <w:color w:val="231F20"/>
                <w:spacing w:val="-2"/>
                <w:sz w:val="17"/>
              </w:rPr>
            </w:pPr>
            <w:r w:rsidRPr="00903183">
              <w:rPr>
                <w:noProof/>
                <w:color w:val="231F20"/>
                <w:sz w:val="17"/>
              </w:rPr>
              <w:t>Nedostaci</w:t>
            </w:r>
          </w:p>
          <w:p w14:paraId="40DF8B43" w14:textId="77777777" w:rsidR="00F9656B" w:rsidRPr="00903183" w:rsidRDefault="00F9656B" w:rsidP="00F9656B">
            <w:pPr>
              <w:widowControl w:val="0"/>
              <w:autoSpaceDE w:val="0"/>
              <w:autoSpaceDN w:val="0"/>
              <w:spacing w:before="90" w:after="0"/>
              <w:ind w:left="145"/>
              <w:jc w:val="left"/>
              <w:rPr>
                <w:noProof/>
                <w:color w:val="231F20"/>
                <w:spacing w:val="-2"/>
                <w:sz w:val="17"/>
              </w:rPr>
            </w:pPr>
          </w:p>
        </w:tc>
        <w:tc>
          <w:tcPr>
            <w:tcW w:w="1396" w:type="dxa"/>
          </w:tcPr>
          <w:p w14:paraId="5AEE64AD" w14:textId="77777777" w:rsidR="00F9656B" w:rsidRPr="00903183" w:rsidRDefault="00F9656B" w:rsidP="00F9656B">
            <w:pPr>
              <w:widowControl w:val="0"/>
              <w:autoSpaceDE w:val="0"/>
              <w:autoSpaceDN w:val="0"/>
              <w:spacing w:before="70" w:after="0"/>
              <w:ind w:left="84"/>
              <w:jc w:val="left"/>
              <w:rPr>
                <w:noProof/>
                <w:color w:val="231F20"/>
                <w:sz w:val="17"/>
              </w:rPr>
            </w:pPr>
            <w:r w:rsidRPr="00903183">
              <w:rPr>
                <w:noProof/>
                <w:color w:val="231F20"/>
                <w:sz w:val="17"/>
              </w:rPr>
              <w:t xml:space="preserve">&gt; 3 u jednom od </w:t>
            </w:r>
          </w:p>
          <w:p w14:paraId="06992ACD" w14:textId="77777777" w:rsidR="00F9656B" w:rsidRPr="00903183" w:rsidRDefault="00F9656B" w:rsidP="00F9656B">
            <w:pPr>
              <w:widowControl w:val="0"/>
              <w:autoSpaceDE w:val="0"/>
              <w:autoSpaceDN w:val="0"/>
              <w:spacing w:before="70" w:after="0"/>
              <w:ind w:left="84"/>
              <w:jc w:val="left"/>
              <w:rPr>
                <w:noProof/>
                <w:color w:val="231F20"/>
                <w:sz w:val="17"/>
              </w:rPr>
            </w:pPr>
            <w:r w:rsidRPr="00903183">
              <w:rPr>
                <w:noProof/>
                <w:color w:val="231F20"/>
                <w:sz w:val="17"/>
              </w:rPr>
              <w:t>inspekcijskih pregleda</w:t>
            </w:r>
          </w:p>
        </w:tc>
        <w:tc>
          <w:tcPr>
            <w:tcW w:w="1164" w:type="dxa"/>
          </w:tcPr>
          <w:p w14:paraId="3D0BA7CE" w14:textId="52EDE97C" w:rsidR="00F9656B" w:rsidRPr="00903183" w:rsidRDefault="0019616A" w:rsidP="0019616A">
            <w:pPr>
              <w:widowControl w:val="0"/>
              <w:autoSpaceDE w:val="0"/>
              <w:autoSpaceDN w:val="0"/>
              <w:spacing w:before="70" w:after="0"/>
              <w:ind w:right="3"/>
              <w:jc w:val="center"/>
              <w:rPr>
                <w:noProof/>
                <w:color w:val="231F20"/>
                <w:w w:val="99"/>
                <w:sz w:val="17"/>
              </w:rPr>
            </w:pPr>
            <w:r w:rsidRPr="00903183">
              <w:rPr>
                <w:noProof/>
                <w:color w:val="231F20"/>
                <w:sz w:val="17"/>
              </w:rPr>
              <w:t>1</w:t>
            </w:r>
          </w:p>
        </w:tc>
        <w:tc>
          <w:tcPr>
            <w:tcW w:w="1066" w:type="dxa"/>
            <w:tcBorders>
              <w:top w:val="nil"/>
            </w:tcBorders>
            <w:textDirection w:val="btLr"/>
          </w:tcPr>
          <w:p w14:paraId="03315F8F" w14:textId="77777777" w:rsidR="00F9656B" w:rsidRPr="00903183" w:rsidRDefault="00F9656B" w:rsidP="00F9656B">
            <w:pPr>
              <w:rPr>
                <w:b/>
                <w:noProof/>
                <w:sz w:val="2"/>
              </w:rPr>
            </w:pPr>
          </w:p>
        </w:tc>
        <w:tc>
          <w:tcPr>
            <w:tcW w:w="1062" w:type="dxa"/>
            <w:tcBorders>
              <w:right w:val="nil"/>
            </w:tcBorders>
          </w:tcPr>
          <w:p w14:paraId="182B9CA3" w14:textId="77777777" w:rsidR="00F9656B" w:rsidRPr="00903183" w:rsidRDefault="00F9656B" w:rsidP="00F9656B">
            <w:pPr>
              <w:widowControl w:val="0"/>
              <w:autoSpaceDE w:val="0"/>
              <w:autoSpaceDN w:val="0"/>
              <w:spacing w:before="70" w:after="0"/>
              <w:ind w:left="62" w:right="66"/>
              <w:jc w:val="center"/>
              <w:rPr>
                <w:b/>
                <w:noProof/>
                <w:color w:val="231F20"/>
                <w:sz w:val="17"/>
              </w:rPr>
            </w:pPr>
          </w:p>
        </w:tc>
      </w:tr>
    </w:tbl>
    <w:p w14:paraId="3A3DC12B" w14:textId="77777777" w:rsidR="003A0F31" w:rsidRPr="00903183" w:rsidRDefault="003A0F31" w:rsidP="003A0F31">
      <w:pPr>
        <w:pStyle w:val="Text1"/>
        <w:rPr>
          <w:noProof/>
          <w:w w:val="105"/>
          <w:sz w:val="14"/>
        </w:rPr>
      </w:pPr>
      <w:r w:rsidRPr="00903183">
        <w:rPr>
          <w:noProof/>
          <w:sz w:val="14"/>
        </w:rPr>
        <w:t>HRS su brodovi koji ispunjavaju kriterije do ukupne vrijednosti 5 ili više ponderiranih bodova. LRS su brodovi koji ispunjavaju sve kriterije parametara niskog rizika.</w:t>
      </w:r>
    </w:p>
    <w:p w14:paraId="6F8F02AB" w14:textId="6E287100" w:rsidR="003A0F31" w:rsidRPr="00903183" w:rsidRDefault="003A0F31" w:rsidP="003A0F31">
      <w:pPr>
        <w:pStyle w:val="Text1"/>
        <w:rPr>
          <w:noProof/>
          <w:w w:val="105"/>
          <w:sz w:val="14"/>
        </w:rPr>
      </w:pPr>
      <w:r w:rsidRPr="00903183">
        <w:rPr>
          <w:noProof/>
          <w:sz w:val="14"/>
        </w:rPr>
        <w:t>SRS su brodovi koji nisu ni HRS ni LRS.</w:t>
      </w:r>
    </w:p>
    <w:p w14:paraId="5C39C431" w14:textId="77777777" w:rsidR="003A0F31" w:rsidRPr="00903183" w:rsidRDefault="003A0F31" w:rsidP="00F9656B">
      <w:pPr>
        <w:rPr>
          <w:noProof/>
          <w:color w:val="231F20"/>
          <w:w w:val="105"/>
          <w:sz w:val="14"/>
        </w:rPr>
      </w:pPr>
    </w:p>
    <w:p w14:paraId="7456E4BE" w14:textId="5C6650E2" w:rsidR="00F9656B" w:rsidRPr="00903183" w:rsidRDefault="00F9656B" w:rsidP="00F9656B">
      <w:pPr>
        <w:rPr>
          <w:i/>
          <w:noProof/>
          <w:color w:val="231F20"/>
          <w:sz w:val="17"/>
        </w:rPr>
      </w:pPr>
      <w:r w:rsidRPr="00903183">
        <w:rPr>
          <w:noProof/>
        </w:rPr>
        <w:br w:type="page"/>
      </w:r>
    </w:p>
    <w:p w14:paraId="3AEB65A3" w14:textId="77777777" w:rsidR="00BC0147" w:rsidRPr="00903183" w:rsidRDefault="00BC0147" w:rsidP="00BC0147">
      <w:pPr>
        <w:rPr>
          <w:noProof/>
        </w:rPr>
        <w:sectPr w:rsidR="00BC0147" w:rsidRPr="00903183" w:rsidSect="00DA667C">
          <w:pgSz w:w="11907" w:h="16839"/>
          <w:pgMar w:top="1134" w:right="1417" w:bottom="1134" w:left="1417" w:header="709" w:footer="709" w:gutter="0"/>
          <w:cols w:space="720"/>
          <w:docGrid w:linePitch="360"/>
        </w:sectPr>
      </w:pPr>
    </w:p>
    <w:p w14:paraId="73A6F1C2" w14:textId="2055CBE8" w:rsidR="00BC0147" w:rsidRPr="00903183" w:rsidRDefault="00BC0147" w:rsidP="00BC0147">
      <w:pPr>
        <w:pStyle w:val="Annexetitre"/>
        <w:rPr>
          <w:noProof/>
        </w:rPr>
      </w:pPr>
      <w:r w:rsidRPr="00903183">
        <w:rPr>
          <w:noProof/>
        </w:rPr>
        <w:t>PRILOG III.</w:t>
      </w:r>
    </w:p>
    <w:p w14:paraId="66958D9E" w14:textId="77777777" w:rsidR="00BC0147" w:rsidRPr="00903183" w:rsidRDefault="00BC0147" w:rsidP="00BC0147">
      <w:pPr>
        <w:rPr>
          <w:noProof/>
        </w:rPr>
      </w:pPr>
    </w:p>
    <w:p w14:paraId="3C0EA61E" w14:textId="1D37E7D8" w:rsidR="00F9656B" w:rsidRPr="00903183" w:rsidRDefault="00F9656B" w:rsidP="00F9656B">
      <w:pPr>
        <w:pStyle w:val="NormalCentered"/>
        <w:rPr>
          <w:noProof/>
        </w:rPr>
      </w:pPr>
      <w:r w:rsidRPr="00903183">
        <w:rPr>
          <w:noProof/>
        </w:rPr>
        <w:t>„</w:t>
      </w:r>
      <w:r w:rsidRPr="00903183">
        <w:rPr>
          <w:b/>
          <w:bCs/>
          <w:noProof/>
        </w:rPr>
        <w:t>Prilog IV.</w:t>
      </w:r>
    </w:p>
    <w:p w14:paraId="19079009" w14:textId="77777777" w:rsidR="00F9656B" w:rsidRPr="00903183" w:rsidRDefault="00F9656B" w:rsidP="00F9656B">
      <w:pPr>
        <w:pStyle w:val="NormalCentered"/>
        <w:rPr>
          <w:b/>
          <w:noProof/>
        </w:rPr>
      </w:pPr>
      <w:r w:rsidRPr="00903183">
        <w:rPr>
          <w:b/>
          <w:noProof/>
        </w:rPr>
        <w:t>POPIS SVJEDODŽBI I DOKUMENATA</w:t>
      </w:r>
    </w:p>
    <w:p w14:paraId="522D7984" w14:textId="77777777" w:rsidR="00F9656B" w:rsidRPr="00903183" w:rsidRDefault="00F9656B" w:rsidP="00F9656B">
      <w:pPr>
        <w:pStyle w:val="NormalCentered"/>
        <w:rPr>
          <w:b/>
          <w:noProof/>
        </w:rPr>
      </w:pPr>
      <w:r w:rsidRPr="00903183">
        <w:rPr>
          <w:b/>
          <w:noProof/>
        </w:rPr>
        <w:t>(naveden u članku 13. stavku 1.)</w:t>
      </w:r>
    </w:p>
    <w:p w14:paraId="359BAB66" w14:textId="77777777" w:rsidR="00F9656B" w:rsidRPr="00903183" w:rsidRDefault="00F9656B" w:rsidP="00F9656B">
      <w:pPr>
        <w:rPr>
          <w:noProof/>
        </w:rPr>
      </w:pPr>
      <w:r w:rsidRPr="00903183">
        <w:rPr>
          <w:noProof/>
        </w:rPr>
        <w:t xml:space="preserve">Dio A Popis svjedodžbi i dokumenata koje je, u mjeri u kojoj je to primjenjivo, potrebno provjeriti kao najmanji uvjet tijekom inspekcijskog pregleda iz stavka 2.2.3. (prema potrebi): </w:t>
      </w:r>
    </w:p>
    <w:p w14:paraId="300B37DB" w14:textId="71A938F6" w:rsidR="00F9656B" w:rsidRPr="00903183" w:rsidRDefault="00BC493B" w:rsidP="00BC493B">
      <w:pPr>
        <w:pStyle w:val="Point0"/>
        <w:rPr>
          <w:noProof/>
        </w:rPr>
      </w:pPr>
      <w:r w:rsidRPr="00903183">
        <w:rPr>
          <w:noProof/>
        </w:rPr>
        <w:t>1.</w:t>
      </w:r>
      <w:r w:rsidRPr="00903183">
        <w:rPr>
          <w:noProof/>
        </w:rPr>
        <w:tab/>
        <w:t>međunarodna svjedodžba o baždarenju;</w:t>
      </w:r>
    </w:p>
    <w:p w14:paraId="396A9132" w14:textId="38CC27E1" w:rsidR="00F9656B" w:rsidRPr="00903183" w:rsidRDefault="00BC493B" w:rsidP="00BC493B">
      <w:pPr>
        <w:pStyle w:val="Point0"/>
        <w:rPr>
          <w:noProof/>
        </w:rPr>
      </w:pPr>
      <w:r w:rsidRPr="00903183">
        <w:rPr>
          <w:noProof/>
        </w:rPr>
        <w:t>2.</w:t>
      </w:r>
      <w:r w:rsidRPr="00903183">
        <w:rPr>
          <w:noProof/>
        </w:rPr>
        <w:tab/>
        <w:t>izvješća prethodnih inspekcijskih pregleda u okviru nadzora države luke;</w:t>
      </w:r>
    </w:p>
    <w:p w14:paraId="4850ED53" w14:textId="3F0F71C9" w:rsidR="00F9656B" w:rsidRPr="00903183" w:rsidRDefault="00BC493B" w:rsidP="00BC493B">
      <w:pPr>
        <w:pStyle w:val="Point0"/>
        <w:rPr>
          <w:noProof/>
        </w:rPr>
      </w:pPr>
      <w:r w:rsidRPr="00903183">
        <w:rPr>
          <w:noProof/>
        </w:rPr>
        <w:t>3.</w:t>
      </w:r>
      <w:r w:rsidRPr="00903183">
        <w:rPr>
          <w:noProof/>
        </w:rPr>
        <w:tab/>
        <w:t>svjedodžba o sigurnosti putničkog broda (SOLAS 1974., pravilo I/12);</w:t>
      </w:r>
    </w:p>
    <w:p w14:paraId="63AD71E6" w14:textId="622F9DAB" w:rsidR="00F9656B" w:rsidRPr="00903183" w:rsidRDefault="00BC493B" w:rsidP="00BC493B">
      <w:pPr>
        <w:pStyle w:val="Point0"/>
        <w:rPr>
          <w:noProof/>
        </w:rPr>
      </w:pPr>
      <w:r w:rsidRPr="00903183">
        <w:rPr>
          <w:noProof/>
        </w:rPr>
        <w:t>4.</w:t>
      </w:r>
      <w:r w:rsidRPr="00903183">
        <w:rPr>
          <w:noProof/>
        </w:rPr>
        <w:tab/>
        <w:t>svjedodžba o sigurnosti konstrukcije teretnog broda (SOLAS 1974., pravilo I/12);</w:t>
      </w:r>
    </w:p>
    <w:p w14:paraId="0FF78236" w14:textId="4CD64E88" w:rsidR="00F9656B" w:rsidRPr="00903183" w:rsidRDefault="00BC493B" w:rsidP="00BC493B">
      <w:pPr>
        <w:pStyle w:val="Point0"/>
        <w:rPr>
          <w:noProof/>
        </w:rPr>
      </w:pPr>
      <w:r w:rsidRPr="00903183">
        <w:rPr>
          <w:noProof/>
        </w:rPr>
        <w:t>5.</w:t>
      </w:r>
      <w:r w:rsidRPr="00903183">
        <w:rPr>
          <w:noProof/>
        </w:rPr>
        <w:tab/>
        <w:t>svjedodžba o sigurnosti opreme teretnog broda (SOLAS 1974., pravilo I/12);</w:t>
      </w:r>
    </w:p>
    <w:p w14:paraId="254B1C8C" w14:textId="5628BD10" w:rsidR="00F9656B" w:rsidRPr="00903183" w:rsidRDefault="00BC493B" w:rsidP="00BC493B">
      <w:pPr>
        <w:pStyle w:val="Point0"/>
        <w:rPr>
          <w:noProof/>
        </w:rPr>
      </w:pPr>
      <w:r w:rsidRPr="00903183">
        <w:rPr>
          <w:noProof/>
        </w:rPr>
        <w:t>6.</w:t>
      </w:r>
      <w:r w:rsidRPr="00903183">
        <w:rPr>
          <w:noProof/>
        </w:rPr>
        <w:tab/>
        <w:t>svjedodžba o sigurnosti radiouređaja teretnog broda (SOLAS 1974., pravilo I/12);</w:t>
      </w:r>
    </w:p>
    <w:p w14:paraId="4D92F2E9" w14:textId="4DBBCB0B" w:rsidR="00F9656B" w:rsidRPr="00903183" w:rsidRDefault="00BC493B" w:rsidP="00BC493B">
      <w:pPr>
        <w:pStyle w:val="Point0"/>
        <w:rPr>
          <w:noProof/>
        </w:rPr>
      </w:pPr>
      <w:r w:rsidRPr="00903183">
        <w:rPr>
          <w:noProof/>
        </w:rPr>
        <w:t>7.</w:t>
      </w:r>
      <w:r w:rsidRPr="00903183">
        <w:rPr>
          <w:noProof/>
        </w:rPr>
        <w:tab/>
        <w:t xml:space="preserve">svjedodžba o sigurnosti teretnog broda (SOLAS 1974., pravilo I/12); </w:t>
      </w:r>
    </w:p>
    <w:p w14:paraId="197DBC7F" w14:textId="48C732A6" w:rsidR="00F9656B" w:rsidRPr="00903183" w:rsidRDefault="00BC493B" w:rsidP="00BC493B">
      <w:pPr>
        <w:pStyle w:val="Point0"/>
        <w:rPr>
          <w:noProof/>
        </w:rPr>
      </w:pPr>
      <w:r w:rsidRPr="00903183">
        <w:rPr>
          <w:noProof/>
        </w:rPr>
        <w:t>8.</w:t>
      </w:r>
      <w:r w:rsidRPr="00903183">
        <w:rPr>
          <w:noProof/>
        </w:rPr>
        <w:tab/>
        <w:t>svjedodžba o oslobađanju (SOLAS 1974., pravilo I/12);</w:t>
      </w:r>
    </w:p>
    <w:p w14:paraId="07B5248A" w14:textId="374980EC" w:rsidR="00F9656B" w:rsidRPr="00903183" w:rsidRDefault="00BC493B" w:rsidP="00BC493B">
      <w:pPr>
        <w:pStyle w:val="Point0"/>
        <w:rPr>
          <w:noProof/>
        </w:rPr>
      </w:pPr>
      <w:r w:rsidRPr="00903183">
        <w:rPr>
          <w:noProof/>
        </w:rPr>
        <w:t>9.</w:t>
      </w:r>
      <w:r w:rsidRPr="00903183">
        <w:rPr>
          <w:noProof/>
        </w:rPr>
        <w:tab/>
        <w:t xml:space="preserve">dokument o najmanjem broju članova posade za sigurnu plovidbu (SOLAS 1974., pravilo V/14.2); </w:t>
      </w:r>
    </w:p>
    <w:p w14:paraId="4B4771C9" w14:textId="6F16E9E3" w:rsidR="00F9656B" w:rsidRPr="00903183" w:rsidRDefault="00BC493B" w:rsidP="00BC493B">
      <w:pPr>
        <w:pStyle w:val="Point0"/>
        <w:rPr>
          <w:noProof/>
        </w:rPr>
      </w:pPr>
      <w:r w:rsidRPr="00903183">
        <w:rPr>
          <w:noProof/>
        </w:rPr>
        <w:t>10.</w:t>
      </w:r>
      <w:r w:rsidRPr="00903183">
        <w:rPr>
          <w:noProof/>
        </w:rPr>
        <w:tab/>
        <w:t>međunarodna svjedodžba o teretnim linijama (1966.) (LLC 66/88, članak 16.1.);</w:t>
      </w:r>
    </w:p>
    <w:p w14:paraId="0EE519F1" w14:textId="4D135A40" w:rsidR="00F9656B" w:rsidRPr="00903183" w:rsidRDefault="00BC493B" w:rsidP="00BC493B">
      <w:pPr>
        <w:pStyle w:val="Point0"/>
        <w:rPr>
          <w:noProof/>
        </w:rPr>
      </w:pPr>
      <w:r w:rsidRPr="00903183">
        <w:rPr>
          <w:noProof/>
        </w:rPr>
        <w:t>11.</w:t>
      </w:r>
      <w:r w:rsidRPr="00903183">
        <w:rPr>
          <w:noProof/>
        </w:rPr>
        <w:tab/>
        <w:t xml:space="preserve">međunarodna svjedodžba o oslobađanju u svezi teretne linije (LLC 66/88, članak 16. stavak 2.); </w:t>
      </w:r>
    </w:p>
    <w:p w14:paraId="0620F7F0" w14:textId="35B526D4" w:rsidR="00F9656B" w:rsidRPr="00903183" w:rsidRDefault="00BC493B" w:rsidP="00BC493B">
      <w:pPr>
        <w:pStyle w:val="Point0"/>
        <w:rPr>
          <w:noProof/>
        </w:rPr>
      </w:pPr>
      <w:r w:rsidRPr="00903183">
        <w:rPr>
          <w:noProof/>
        </w:rPr>
        <w:t>12.</w:t>
      </w:r>
      <w:r w:rsidRPr="00903183">
        <w:rPr>
          <w:noProof/>
        </w:rPr>
        <w:tab/>
        <w:t xml:space="preserve">međunarodna svjedodžba o sprečavanju onečišćenja uljem (MARPOL, Prilog I., pravilo 7.1.); </w:t>
      </w:r>
    </w:p>
    <w:p w14:paraId="39D46D4E" w14:textId="6F473EA0" w:rsidR="00F9656B" w:rsidRPr="00903183" w:rsidRDefault="00BC493B" w:rsidP="00BC493B">
      <w:pPr>
        <w:pStyle w:val="Point0"/>
        <w:rPr>
          <w:noProof/>
        </w:rPr>
      </w:pPr>
      <w:r w:rsidRPr="00903183">
        <w:rPr>
          <w:noProof/>
        </w:rPr>
        <w:t>13.</w:t>
      </w:r>
      <w:r w:rsidRPr="00903183">
        <w:rPr>
          <w:noProof/>
        </w:rPr>
        <w:tab/>
        <w:t>međunarodna svjedodžba o sprečavanju onečišćenja pri prijevozu štetnih razlivenih tekućina (NLS) (MARPOL, Prilog II., pravilo 9.1);</w:t>
      </w:r>
    </w:p>
    <w:p w14:paraId="25722F3E" w14:textId="4A398389" w:rsidR="00F9656B" w:rsidRPr="00903183" w:rsidRDefault="00BC493B" w:rsidP="00BC493B">
      <w:pPr>
        <w:pStyle w:val="Point0"/>
        <w:rPr>
          <w:noProof/>
        </w:rPr>
      </w:pPr>
      <w:r w:rsidRPr="00903183">
        <w:rPr>
          <w:noProof/>
        </w:rPr>
        <w:t>14.</w:t>
      </w:r>
      <w:r w:rsidRPr="00903183">
        <w:rPr>
          <w:noProof/>
        </w:rPr>
        <w:tab/>
        <w:t xml:space="preserve">međunarodna svjedodžba o sprečavanju onečišćenja sanitarnim otpadnim vodama (ISPPC) (MARPOL, Prilog IV., pravilo 5.1., MEPC.1/Circ.408); </w:t>
      </w:r>
    </w:p>
    <w:p w14:paraId="288B1233" w14:textId="4DDA6AD2" w:rsidR="00F9656B" w:rsidRPr="00903183" w:rsidRDefault="00BC493B" w:rsidP="00BC493B">
      <w:pPr>
        <w:pStyle w:val="Point0"/>
        <w:rPr>
          <w:noProof/>
        </w:rPr>
      </w:pPr>
      <w:r w:rsidRPr="00903183">
        <w:rPr>
          <w:noProof/>
        </w:rPr>
        <w:t>15.</w:t>
      </w:r>
      <w:r w:rsidRPr="00903183">
        <w:rPr>
          <w:noProof/>
        </w:rPr>
        <w:tab/>
        <w:t xml:space="preserve">međunarodna svjedodžba o sprečavanju onečišćenja zraka (IAPPC) (MARPOL, Prilog VI. pravilo 6.1); </w:t>
      </w:r>
    </w:p>
    <w:p w14:paraId="7A45FC99" w14:textId="672B2CC0" w:rsidR="00F9656B" w:rsidRPr="00903183" w:rsidRDefault="00BC493B" w:rsidP="00BC493B">
      <w:pPr>
        <w:pStyle w:val="Point0"/>
        <w:rPr>
          <w:noProof/>
        </w:rPr>
      </w:pPr>
      <w:r w:rsidRPr="00903183">
        <w:rPr>
          <w:noProof/>
        </w:rPr>
        <w:t>16.</w:t>
      </w:r>
      <w:r w:rsidRPr="00903183">
        <w:rPr>
          <w:noProof/>
        </w:rPr>
        <w:tab/>
        <w:t xml:space="preserve">međunarodna svjedodžba o energetskoj učinkovitosti (MARPOL, Priloga VI., pravilo 6.); </w:t>
      </w:r>
    </w:p>
    <w:p w14:paraId="69F8841F" w14:textId="392865BA" w:rsidR="00F9656B" w:rsidRPr="00903183" w:rsidRDefault="00BC493B" w:rsidP="00BC493B">
      <w:pPr>
        <w:pStyle w:val="Point0"/>
        <w:rPr>
          <w:noProof/>
        </w:rPr>
      </w:pPr>
      <w:r w:rsidRPr="00903183">
        <w:rPr>
          <w:noProof/>
        </w:rPr>
        <w:t>17.</w:t>
      </w:r>
      <w:r w:rsidRPr="00903183">
        <w:rPr>
          <w:noProof/>
        </w:rPr>
        <w:tab/>
        <w:t>međunarodna svjedodžba za upravljanje balastnim vodama (IBWMC) (BWMC članak 9. stavak 1. točka (a) i pravilo E-2);</w:t>
      </w:r>
    </w:p>
    <w:p w14:paraId="7DF193EA" w14:textId="7107E97C" w:rsidR="00F9656B" w:rsidRPr="00903183" w:rsidRDefault="00BC493B" w:rsidP="00BC493B">
      <w:pPr>
        <w:pStyle w:val="Point0"/>
        <w:rPr>
          <w:noProof/>
        </w:rPr>
      </w:pPr>
      <w:r w:rsidRPr="00903183">
        <w:rPr>
          <w:noProof/>
        </w:rPr>
        <w:t>18.</w:t>
      </w:r>
      <w:r w:rsidRPr="00903183">
        <w:rPr>
          <w:noProof/>
        </w:rPr>
        <w:tab/>
        <w:t xml:space="preserve">međunarodna svjedodžba o sustavu protiv obrastanja (svjedodžba IAFS) (AFS 2001., Prilog 4., pravilo 2.); </w:t>
      </w:r>
    </w:p>
    <w:p w14:paraId="37C48579" w14:textId="50E09336" w:rsidR="00F9656B" w:rsidRPr="00903183" w:rsidRDefault="00BC493B" w:rsidP="00BC493B">
      <w:pPr>
        <w:pStyle w:val="Point0"/>
        <w:rPr>
          <w:noProof/>
        </w:rPr>
      </w:pPr>
      <w:r w:rsidRPr="00903183">
        <w:rPr>
          <w:noProof/>
        </w:rPr>
        <w:t>19.</w:t>
      </w:r>
      <w:r w:rsidRPr="00903183">
        <w:rPr>
          <w:noProof/>
        </w:rPr>
        <w:tab/>
        <w:t xml:space="preserve">izjava o AFS-u (AFS 2001., Prilog 4., pravilo 5.); </w:t>
      </w:r>
    </w:p>
    <w:p w14:paraId="09414A67" w14:textId="6010E47D" w:rsidR="00F9656B" w:rsidRPr="00903183" w:rsidRDefault="00BC493B" w:rsidP="00BC493B">
      <w:pPr>
        <w:pStyle w:val="Point0"/>
        <w:rPr>
          <w:noProof/>
        </w:rPr>
      </w:pPr>
      <w:r w:rsidRPr="00903183">
        <w:rPr>
          <w:noProof/>
        </w:rPr>
        <w:t>20.</w:t>
      </w:r>
      <w:r w:rsidRPr="00903183">
        <w:rPr>
          <w:noProof/>
        </w:rPr>
        <w:tab/>
        <w:t>međunarodna svjedodžba o sigurnosnoj zaštiti broda (ISSC) ili privremena međunarodna svjedodžba o sigurnosnoj zaštiti broda (ISPS Pravilnik, dio A/19 i dodaci);</w:t>
      </w:r>
    </w:p>
    <w:p w14:paraId="28D003EC" w14:textId="3536C010" w:rsidR="00F9656B" w:rsidRPr="00903183" w:rsidRDefault="00BC493B" w:rsidP="00BC493B">
      <w:pPr>
        <w:pStyle w:val="Point0"/>
        <w:rPr>
          <w:noProof/>
        </w:rPr>
      </w:pPr>
      <w:r w:rsidRPr="00903183">
        <w:rPr>
          <w:noProof/>
        </w:rPr>
        <w:t>21.</w:t>
      </w:r>
      <w:r w:rsidRPr="00903183">
        <w:rPr>
          <w:noProof/>
        </w:rPr>
        <w:tab/>
        <w:t>svjedodžbe za zapovjednike, časnike ili niže članove posade izdane u skladu s Konvencijom STCW (članak VI. STCW-a, pravilo I/2 i odjeljak A-I/2 Kodeksa STCW);</w:t>
      </w:r>
    </w:p>
    <w:p w14:paraId="4F33388B" w14:textId="1419CF54" w:rsidR="00F9656B" w:rsidRPr="00903183" w:rsidRDefault="00BC493B" w:rsidP="00BC493B">
      <w:pPr>
        <w:pStyle w:val="Point0"/>
        <w:rPr>
          <w:noProof/>
        </w:rPr>
      </w:pPr>
      <w:r w:rsidRPr="00903183">
        <w:rPr>
          <w:noProof/>
        </w:rPr>
        <w:t>22.</w:t>
      </w:r>
      <w:r w:rsidRPr="00903183">
        <w:rPr>
          <w:noProof/>
        </w:rPr>
        <w:tab/>
        <w:t>preslika potvrde o usklađenosti ili preslika privremene potvrde o usklađenosti izdane u skladu s Međunarodnim kodeksom upravljanja sigurnošću za siguran rad brodova i za sprečavanje zagađivanja (DoC) ISM kodeks (SOLAS, pravilo IX/4.2, ISM kodeks, stavci 13. i 14.);</w:t>
      </w:r>
    </w:p>
    <w:p w14:paraId="7B0D1518" w14:textId="576D526A" w:rsidR="00F9656B" w:rsidRPr="00903183" w:rsidRDefault="00BC493B" w:rsidP="00BC493B">
      <w:pPr>
        <w:pStyle w:val="Point0"/>
        <w:rPr>
          <w:noProof/>
        </w:rPr>
      </w:pPr>
      <w:r w:rsidRPr="00903183">
        <w:rPr>
          <w:noProof/>
        </w:rPr>
        <w:t>23.</w:t>
      </w:r>
      <w:r w:rsidRPr="00903183">
        <w:rPr>
          <w:noProof/>
        </w:rPr>
        <w:tab/>
        <w:t xml:space="preserve">svjedodžba o upravljanju sigurnošću ili privremena svjedodžba o upravljanju sigurnošću izdana u skladu s Međunarodnim kodeksom upravljanja sigurnošću za siguran rad brodova i za sprečavanje zagađivanja (SMC) (SOLAS 1974., pravilo IX/4.3, ISM kodeks, stavci 13. i 14.); </w:t>
      </w:r>
    </w:p>
    <w:p w14:paraId="3FEF2970" w14:textId="39AB23A1" w:rsidR="00F9656B" w:rsidRPr="00903183" w:rsidRDefault="00BC493B" w:rsidP="00BC493B">
      <w:pPr>
        <w:pStyle w:val="Point0"/>
        <w:rPr>
          <w:noProof/>
        </w:rPr>
      </w:pPr>
      <w:r w:rsidRPr="00903183">
        <w:rPr>
          <w:noProof/>
        </w:rPr>
        <w:t>24.</w:t>
      </w:r>
      <w:r w:rsidRPr="00903183">
        <w:rPr>
          <w:noProof/>
        </w:rPr>
        <w:tab/>
        <w:t xml:space="preserve">međunarodna svjedodžba o sposobnosti za prijevoz ukapljenih plinova u razlivenom stanju ili svjedodžba o sposobnosti za prijevoz ukapljenih plinova u razlivenom stanju, ovisno o tome što je primjereno (Kodeks IGP-a, pravilo 1.5.4. ili Kodeks GC, pravilo 1.6.); </w:t>
      </w:r>
    </w:p>
    <w:p w14:paraId="551580EF" w14:textId="10336494" w:rsidR="00F9656B" w:rsidRPr="00903183" w:rsidRDefault="00BC493B" w:rsidP="00BC493B">
      <w:pPr>
        <w:pStyle w:val="Point0"/>
        <w:rPr>
          <w:noProof/>
        </w:rPr>
      </w:pPr>
      <w:r w:rsidRPr="00903183">
        <w:rPr>
          <w:noProof/>
        </w:rPr>
        <w:t>25.</w:t>
      </w:r>
      <w:r w:rsidRPr="00903183">
        <w:rPr>
          <w:noProof/>
        </w:rPr>
        <w:tab/>
        <w:t>međunarodna svjedodžba o sposobnosti za prijevoz opasnih kemikalija u razlivenom stanju ili svjedodžba o sposobnosti za prijevoz opasnih kemikalija u razlivenom stanju, ovisno o tome što je primjereno (Kodeks IPC-a, pravilo 1.45.4. i Kodeks BCH, pravilo 1.6.3.); 26 INF (Međunarodni kodeks o sigurnom prijevozu pakiranog ozračenog nuklearnog goriva, plutonija i visoko radioaktivnog otpada na brodovima) Potvrda o prikladnosti (pravilo VII/16SO-a i Kodeks INF reg.1.3);</w:t>
      </w:r>
    </w:p>
    <w:p w14:paraId="35002319" w14:textId="22748F25" w:rsidR="00F9656B" w:rsidRPr="00903183" w:rsidRDefault="00BC493B" w:rsidP="00BC493B">
      <w:pPr>
        <w:pStyle w:val="Point0"/>
        <w:rPr>
          <w:noProof/>
        </w:rPr>
      </w:pPr>
      <w:r w:rsidRPr="00903183">
        <w:rPr>
          <w:noProof/>
        </w:rPr>
        <w:t>26.</w:t>
      </w:r>
      <w:r w:rsidRPr="00903183">
        <w:rPr>
          <w:noProof/>
        </w:rPr>
        <w:tab/>
        <w:t>INF (Međunarodni kodeks o sigurnom prijevozu pakiranog ozračenog nuklearnog goriva, plutonija i visoko radioaktivnog otpada na brodovima) svjedodžba o sposobnosti (SOLAS, pravilo VII/16 i Kodeks INF reg. 1.3);</w:t>
      </w:r>
    </w:p>
    <w:p w14:paraId="614F3A7D" w14:textId="3551C992" w:rsidR="00F9656B" w:rsidRPr="00903183" w:rsidRDefault="00BC493B" w:rsidP="00BC493B">
      <w:pPr>
        <w:pStyle w:val="Point0"/>
        <w:rPr>
          <w:noProof/>
        </w:rPr>
      </w:pPr>
      <w:r w:rsidRPr="00903183">
        <w:rPr>
          <w:noProof/>
        </w:rPr>
        <w:t>27.</w:t>
      </w:r>
      <w:r w:rsidRPr="00903183">
        <w:rPr>
          <w:noProof/>
        </w:rPr>
        <w:tab/>
        <w:t>polica osiguranja ili neko drugo financijsko jamstvo u pogledu građanske odgovornosti za štetu od onečišćenja uljem (CLC 69/92, članak VII.2);</w:t>
      </w:r>
    </w:p>
    <w:p w14:paraId="3783C765" w14:textId="6D0A65C9" w:rsidR="00F9656B" w:rsidRPr="00903183" w:rsidRDefault="00BC493B" w:rsidP="00BC493B">
      <w:pPr>
        <w:pStyle w:val="Point0"/>
        <w:rPr>
          <w:noProof/>
        </w:rPr>
      </w:pPr>
      <w:r w:rsidRPr="00903183">
        <w:rPr>
          <w:noProof/>
        </w:rPr>
        <w:t>28.</w:t>
      </w:r>
      <w:r w:rsidRPr="00903183">
        <w:rPr>
          <w:noProof/>
        </w:rPr>
        <w:tab/>
        <w:t xml:space="preserve">polica osiguranja ili drugo financijsko jamstvo u pogledu građanske odgovornosti za štetu zbog onečišćenja pogonskim uljem (BUNKERS 2001, članak 7.2); </w:t>
      </w:r>
    </w:p>
    <w:p w14:paraId="55853C71" w14:textId="7BE20BEC" w:rsidR="00F9656B" w:rsidRPr="00903183" w:rsidRDefault="00BC493B" w:rsidP="00BC493B">
      <w:pPr>
        <w:pStyle w:val="Point0"/>
        <w:rPr>
          <w:noProof/>
        </w:rPr>
      </w:pPr>
      <w:r w:rsidRPr="00903183">
        <w:rPr>
          <w:noProof/>
        </w:rPr>
        <w:t>29.</w:t>
      </w:r>
      <w:r w:rsidRPr="00903183">
        <w:rPr>
          <w:noProof/>
        </w:rPr>
        <w:tab/>
        <w:t xml:space="preserve">polica osiguranja ili drugo financijsko jamstvo u pogledu odgovornosti za uklanjanje podrtina (uklanjanje podrtina, članak 12.); </w:t>
      </w:r>
    </w:p>
    <w:p w14:paraId="736C9137" w14:textId="6E86E2B4" w:rsidR="00F9656B" w:rsidRPr="00903183" w:rsidRDefault="00BC493B" w:rsidP="00BC493B">
      <w:pPr>
        <w:pStyle w:val="Point0"/>
        <w:rPr>
          <w:noProof/>
        </w:rPr>
      </w:pPr>
      <w:r w:rsidRPr="00903183">
        <w:rPr>
          <w:noProof/>
        </w:rPr>
        <w:t>30.</w:t>
      </w:r>
      <w:r w:rsidRPr="00903183">
        <w:rPr>
          <w:noProof/>
        </w:rPr>
        <w:tab/>
        <w:t xml:space="preserve">svjedodžba o sigurnosti brzog plovila i dozvola za rad brzog plovila (SOLAS 1974., pravilo X/3.2 i Kodeks HSC 94/00 pravila 1.8.1. i 1.9.); </w:t>
      </w:r>
    </w:p>
    <w:p w14:paraId="270BE6D7" w14:textId="7995F7B3" w:rsidR="00F9656B" w:rsidRPr="00903183" w:rsidRDefault="00BC493B" w:rsidP="00BC493B">
      <w:pPr>
        <w:pStyle w:val="Point0"/>
        <w:rPr>
          <w:noProof/>
        </w:rPr>
      </w:pPr>
      <w:r w:rsidRPr="00903183">
        <w:rPr>
          <w:noProof/>
        </w:rPr>
        <w:t>31.</w:t>
      </w:r>
      <w:r w:rsidRPr="00903183">
        <w:rPr>
          <w:noProof/>
        </w:rPr>
        <w:tab/>
        <w:t xml:space="preserve">potvrda o usklađenosti s posebnim zahtjevima za brodove koji prevoze opasne tvari (SOLAS 1974., pravilo II-2/19.4); </w:t>
      </w:r>
    </w:p>
    <w:p w14:paraId="0EA38353" w14:textId="0C1EC7C8" w:rsidR="00F9656B" w:rsidRPr="00903183" w:rsidRDefault="00BC493B" w:rsidP="00BC493B">
      <w:pPr>
        <w:pStyle w:val="Point0"/>
        <w:rPr>
          <w:noProof/>
        </w:rPr>
      </w:pPr>
      <w:r w:rsidRPr="00903183">
        <w:rPr>
          <w:noProof/>
        </w:rPr>
        <w:t>32.</w:t>
      </w:r>
      <w:r w:rsidRPr="00903183">
        <w:rPr>
          <w:noProof/>
        </w:rPr>
        <w:tab/>
        <w:t xml:space="preserve">potvrda o sposobnosti broda za krcanje žita u rasutom stanju (SOLAS 1974., pravilo VI/9, Međunarodni kodeks o sigurnom prijevozu žitarica u rasutom stanju, odjeljak 3.); </w:t>
      </w:r>
    </w:p>
    <w:p w14:paraId="31F1C9FD" w14:textId="3F1CC4CD" w:rsidR="00F9656B" w:rsidRPr="00903183" w:rsidRDefault="00BC493B" w:rsidP="00BC493B">
      <w:pPr>
        <w:pStyle w:val="Point0"/>
        <w:rPr>
          <w:noProof/>
        </w:rPr>
      </w:pPr>
      <w:r w:rsidRPr="00903183">
        <w:rPr>
          <w:noProof/>
        </w:rPr>
        <w:t>33.</w:t>
      </w:r>
      <w:r w:rsidRPr="00903183">
        <w:rPr>
          <w:noProof/>
        </w:rPr>
        <w:tab/>
        <w:t>potvrda o sukladnosti programa procjene stanja (CAS), završno izvješće i evidencija CAS-a (MARPOL Prilog I., pravila 20. i 21., rezolucija MEPC.94(46), kako je izmijenjena rezolucijama MEPC.99(48), MEPC.112(50), MEPC.131(53), MEPC.155(55) i MEPC.236(65));</w:t>
      </w:r>
    </w:p>
    <w:p w14:paraId="23DEC9A6" w14:textId="7F5F036B" w:rsidR="00F9656B" w:rsidRPr="00903183" w:rsidRDefault="00BC493B" w:rsidP="00BC493B">
      <w:pPr>
        <w:pStyle w:val="Point0"/>
        <w:rPr>
          <w:noProof/>
        </w:rPr>
      </w:pPr>
      <w:r w:rsidRPr="00903183">
        <w:rPr>
          <w:noProof/>
        </w:rPr>
        <w:t>34.</w:t>
      </w:r>
      <w:r w:rsidRPr="00903183">
        <w:rPr>
          <w:noProof/>
        </w:rPr>
        <w:tab/>
        <w:t>trajni zapis o brodu (SOLAS 1974., pravilo XI-1/5);</w:t>
      </w:r>
    </w:p>
    <w:p w14:paraId="34EABDDF" w14:textId="7E9648B1" w:rsidR="00F9656B" w:rsidRPr="00903183" w:rsidRDefault="00BC493B" w:rsidP="00BC493B">
      <w:pPr>
        <w:pStyle w:val="Point0"/>
        <w:rPr>
          <w:noProof/>
        </w:rPr>
      </w:pPr>
      <w:r w:rsidRPr="00903183">
        <w:rPr>
          <w:noProof/>
        </w:rPr>
        <w:t>35.</w:t>
      </w:r>
      <w:r w:rsidRPr="00903183">
        <w:rPr>
          <w:noProof/>
        </w:rPr>
        <w:tab/>
        <w:t xml:space="preserve">knjiga o uljima, dijelovi I. i II. (MARPOL, Prilog I., pravila 17. i 36.); </w:t>
      </w:r>
    </w:p>
    <w:p w14:paraId="2C82E250" w14:textId="3C4CF9FE" w:rsidR="00F9656B" w:rsidRPr="00903183" w:rsidRDefault="00BC493B" w:rsidP="00BC493B">
      <w:pPr>
        <w:pStyle w:val="Point0"/>
        <w:rPr>
          <w:noProof/>
        </w:rPr>
      </w:pPr>
      <w:r w:rsidRPr="00903183">
        <w:rPr>
          <w:noProof/>
        </w:rPr>
        <w:t>36.</w:t>
      </w:r>
      <w:r w:rsidRPr="00903183">
        <w:rPr>
          <w:noProof/>
        </w:rPr>
        <w:tab/>
        <w:t xml:space="preserve">knjiga o teretu (MARPOL, Prilog II., pravilo 15.); </w:t>
      </w:r>
    </w:p>
    <w:p w14:paraId="3430E9C9" w14:textId="5C81AFC8" w:rsidR="00F9656B" w:rsidRPr="00903183" w:rsidRDefault="00BC493B" w:rsidP="00BC493B">
      <w:pPr>
        <w:pStyle w:val="Point0"/>
        <w:rPr>
          <w:noProof/>
        </w:rPr>
      </w:pPr>
      <w:r w:rsidRPr="00903183">
        <w:rPr>
          <w:noProof/>
        </w:rPr>
        <w:t>37.</w:t>
      </w:r>
      <w:r w:rsidRPr="00903183">
        <w:rPr>
          <w:noProof/>
        </w:rPr>
        <w:tab/>
        <w:t xml:space="preserve">knjiga o smeću, dijelovi I. i II. (MARPOL, Prilog V., pravilo 10.3.), (MARPOL, Prilog V., pravilo 10.); </w:t>
      </w:r>
    </w:p>
    <w:p w14:paraId="53858BE0" w14:textId="19EE138B" w:rsidR="00F9656B" w:rsidRPr="00903183" w:rsidRDefault="00BC493B" w:rsidP="00BC493B">
      <w:pPr>
        <w:pStyle w:val="Point0"/>
        <w:rPr>
          <w:noProof/>
        </w:rPr>
      </w:pPr>
      <w:r w:rsidRPr="00903183">
        <w:rPr>
          <w:noProof/>
        </w:rPr>
        <w:t>38.</w:t>
      </w:r>
      <w:r w:rsidRPr="00903183">
        <w:rPr>
          <w:noProof/>
        </w:rPr>
        <w:tab/>
        <w:t xml:space="preserve">plan upravljanja smećem (MARPOL, Prilog V., pravilo 10., rezolucija MEPC.220(63)); </w:t>
      </w:r>
    </w:p>
    <w:p w14:paraId="4553F1A2" w14:textId="46322348" w:rsidR="00F9656B" w:rsidRPr="00903183" w:rsidRDefault="00BC493B" w:rsidP="00BC493B">
      <w:pPr>
        <w:pStyle w:val="Point0"/>
        <w:rPr>
          <w:noProof/>
        </w:rPr>
      </w:pPr>
      <w:r w:rsidRPr="00903183">
        <w:rPr>
          <w:noProof/>
        </w:rPr>
        <w:t>39.</w:t>
      </w:r>
      <w:r w:rsidRPr="00903183">
        <w:rPr>
          <w:noProof/>
        </w:rPr>
        <w:tab/>
        <w:t xml:space="preserve">očevidnik i zapisi o razini i uključenom/isključenom stanju brodskih dizelskih motora (MARPOL, Prilog VI., pravilo 13.5.3.); </w:t>
      </w:r>
    </w:p>
    <w:p w14:paraId="4069A4D9" w14:textId="38DBB71A" w:rsidR="00F9656B" w:rsidRPr="00903183" w:rsidRDefault="00BC493B" w:rsidP="00BC493B">
      <w:pPr>
        <w:pStyle w:val="Point0"/>
        <w:rPr>
          <w:noProof/>
        </w:rPr>
      </w:pPr>
      <w:r w:rsidRPr="00903183">
        <w:rPr>
          <w:noProof/>
        </w:rPr>
        <w:t>40.</w:t>
      </w:r>
      <w:r w:rsidRPr="00903183">
        <w:rPr>
          <w:noProof/>
        </w:rPr>
        <w:tab/>
        <w:t>očevidnik o preklopnom uređaju za loživo ulje (MARPOL, Prilog VI., pravilo 14.6.);</w:t>
      </w:r>
    </w:p>
    <w:p w14:paraId="2FE6003C" w14:textId="2F13EE3A" w:rsidR="00F9656B" w:rsidRPr="00903183" w:rsidRDefault="00BC493B" w:rsidP="00BC493B">
      <w:pPr>
        <w:pStyle w:val="Point0"/>
        <w:rPr>
          <w:noProof/>
        </w:rPr>
      </w:pPr>
      <w:r w:rsidRPr="00903183">
        <w:rPr>
          <w:noProof/>
        </w:rPr>
        <w:t>41.</w:t>
      </w:r>
      <w:r w:rsidRPr="00903183">
        <w:rPr>
          <w:noProof/>
        </w:rPr>
        <w:tab/>
        <w:t xml:space="preserve">knjiga o tvarima koje oštećuju ozonski sloj (MARPOL, Prilog VI., pravilo 12.6.); </w:t>
      </w:r>
    </w:p>
    <w:p w14:paraId="25A3CAC0" w14:textId="5646BF5E" w:rsidR="00F9656B" w:rsidRPr="00903183" w:rsidRDefault="00BC493B" w:rsidP="00BC493B">
      <w:pPr>
        <w:pStyle w:val="Point0"/>
        <w:rPr>
          <w:noProof/>
        </w:rPr>
      </w:pPr>
      <w:r w:rsidRPr="00903183">
        <w:rPr>
          <w:noProof/>
        </w:rPr>
        <w:t>42.</w:t>
      </w:r>
      <w:r w:rsidRPr="00903183">
        <w:rPr>
          <w:noProof/>
        </w:rPr>
        <w:tab/>
        <w:t xml:space="preserve">knjiga o balastnim vodama (BWRB) (BWMC, članak 9. stavak 1. točka (b) i pravilo B-2); </w:t>
      </w:r>
    </w:p>
    <w:p w14:paraId="17A5F022" w14:textId="0F4CA8C7" w:rsidR="00F9656B" w:rsidRPr="00903183" w:rsidRDefault="00BC493B" w:rsidP="00BC493B">
      <w:pPr>
        <w:pStyle w:val="Point0"/>
        <w:rPr>
          <w:noProof/>
        </w:rPr>
      </w:pPr>
      <w:r w:rsidRPr="00903183">
        <w:rPr>
          <w:noProof/>
        </w:rPr>
        <w:t>43.</w:t>
      </w:r>
      <w:r w:rsidRPr="00903183">
        <w:rPr>
          <w:noProof/>
        </w:rPr>
        <w:tab/>
        <w:t xml:space="preserve">ugrađeni sustavi za gašenje požara plinom – svjedodžba o oslobađanju za prostore za teret i svi popisi tereta (SOLAS 1974., pravilo II-2/10.7.1.4.); </w:t>
      </w:r>
    </w:p>
    <w:p w14:paraId="53FA0DA9" w14:textId="5BDFC15B" w:rsidR="00F9656B" w:rsidRPr="00903183" w:rsidRDefault="00BC493B" w:rsidP="00BC493B">
      <w:pPr>
        <w:pStyle w:val="Point0"/>
        <w:rPr>
          <w:noProof/>
        </w:rPr>
      </w:pPr>
      <w:r w:rsidRPr="00903183">
        <w:rPr>
          <w:noProof/>
        </w:rPr>
        <w:t>44.</w:t>
      </w:r>
      <w:r w:rsidRPr="00903183">
        <w:rPr>
          <w:noProof/>
        </w:rPr>
        <w:tab/>
        <w:t>manifest opasne robe ili plan slaganja tereta (SOLAS 1974., pravila VII/4 i VII/7-2, MARPOL, Prilog III. pravilo 54.);</w:t>
      </w:r>
    </w:p>
    <w:p w14:paraId="3AEAE6E9" w14:textId="6D91470C" w:rsidR="00F9656B" w:rsidRPr="00903183" w:rsidRDefault="00BC493B" w:rsidP="00BC493B">
      <w:pPr>
        <w:pStyle w:val="Point0"/>
        <w:rPr>
          <w:noProof/>
        </w:rPr>
      </w:pPr>
      <w:r w:rsidRPr="00903183">
        <w:rPr>
          <w:noProof/>
        </w:rPr>
        <w:t>45.</w:t>
      </w:r>
      <w:r w:rsidRPr="00903183">
        <w:rPr>
          <w:noProof/>
        </w:rPr>
        <w:tab/>
        <w:t xml:space="preserve">za tankere za ulje, zapis o sustavu nadzora i upravljanja ispuštanjem ulja za posljednje putovanje u balastu (MARPOL, Prilog I., pravilo 31.2); </w:t>
      </w:r>
    </w:p>
    <w:p w14:paraId="60A93C4E" w14:textId="714DFE95" w:rsidR="00F9656B" w:rsidRPr="00903183" w:rsidRDefault="00BC493B" w:rsidP="00BC493B">
      <w:pPr>
        <w:pStyle w:val="Point0"/>
        <w:rPr>
          <w:noProof/>
        </w:rPr>
      </w:pPr>
      <w:r w:rsidRPr="00903183">
        <w:rPr>
          <w:noProof/>
        </w:rPr>
        <w:t>46.</w:t>
      </w:r>
      <w:r w:rsidRPr="00903183">
        <w:rPr>
          <w:noProof/>
        </w:rPr>
        <w:tab/>
        <w:t xml:space="preserve">plan suradnje u traganju i spašavanju za putničke brodova na redovitim linijama (SOLAS 1974., pravilo V/7.3.); </w:t>
      </w:r>
    </w:p>
    <w:p w14:paraId="577B5700" w14:textId="74DE7D93" w:rsidR="00F9656B" w:rsidRPr="00903183" w:rsidRDefault="00BC493B" w:rsidP="00BC493B">
      <w:pPr>
        <w:pStyle w:val="Point0"/>
        <w:rPr>
          <w:noProof/>
        </w:rPr>
      </w:pPr>
      <w:r w:rsidRPr="00903183">
        <w:rPr>
          <w:noProof/>
        </w:rPr>
        <w:t>47.</w:t>
      </w:r>
      <w:r w:rsidRPr="00903183">
        <w:rPr>
          <w:noProof/>
        </w:rPr>
        <w:tab/>
        <w:t xml:space="preserve">za putničke brodove, popis operativnih ograničenja (SOLAS 1974., pravilo V/30.2); </w:t>
      </w:r>
    </w:p>
    <w:p w14:paraId="31C56C99" w14:textId="4CD61143" w:rsidR="00F9656B" w:rsidRPr="00903183" w:rsidRDefault="00BC493B" w:rsidP="00BC493B">
      <w:pPr>
        <w:pStyle w:val="Point0"/>
        <w:rPr>
          <w:noProof/>
        </w:rPr>
      </w:pPr>
      <w:r w:rsidRPr="00903183">
        <w:rPr>
          <w:noProof/>
        </w:rPr>
        <w:t>48.</w:t>
      </w:r>
      <w:r w:rsidRPr="00903183">
        <w:rPr>
          <w:noProof/>
        </w:rPr>
        <w:tab/>
        <w:t xml:space="preserve">nautičke karte i nautičke publikacije (SOLAS 1974., pravila V/19.2.1.4 i V/27); </w:t>
      </w:r>
    </w:p>
    <w:p w14:paraId="7DE3FC00" w14:textId="102C78F0" w:rsidR="00F9656B" w:rsidRPr="00903183" w:rsidRDefault="00BC493B" w:rsidP="00BC493B">
      <w:pPr>
        <w:pStyle w:val="Point0"/>
        <w:rPr>
          <w:noProof/>
        </w:rPr>
      </w:pPr>
      <w:r w:rsidRPr="00903183">
        <w:rPr>
          <w:noProof/>
        </w:rPr>
        <w:t>49.</w:t>
      </w:r>
      <w:r w:rsidRPr="00903183">
        <w:rPr>
          <w:noProof/>
        </w:rPr>
        <w:tab/>
        <w:t xml:space="preserve">evidencija sati odmora i tablica rasporeda rada na brodu (Kodeks STCW, odjeljak A-VIII/1.5. i 1.7., Konvencija ILO-a br. 180, članak 5.7., članak 8.1. i MLC iz 2006., standard A.2.3.10. i A.2.3.12.); </w:t>
      </w:r>
    </w:p>
    <w:p w14:paraId="2E4784B6" w14:textId="05291DC3" w:rsidR="00F9656B" w:rsidRPr="00903183" w:rsidRDefault="00BC493B" w:rsidP="00BC493B">
      <w:pPr>
        <w:pStyle w:val="Point0"/>
        <w:rPr>
          <w:noProof/>
        </w:rPr>
      </w:pPr>
      <w:r w:rsidRPr="00903183">
        <w:rPr>
          <w:noProof/>
        </w:rPr>
        <w:t>50.</w:t>
      </w:r>
      <w:r w:rsidRPr="00903183">
        <w:rPr>
          <w:noProof/>
        </w:rPr>
        <w:tab/>
        <w:t>dokaz o prostorijama strojeva (UMS) bez nadzora posade (SOLAS 1974., pravilo II-I/46.3.);</w:t>
      </w:r>
    </w:p>
    <w:p w14:paraId="08BB0593" w14:textId="07E729A6" w:rsidR="00F9656B" w:rsidRPr="00903183" w:rsidRDefault="00BC493B" w:rsidP="00BC493B">
      <w:pPr>
        <w:pStyle w:val="Point0"/>
        <w:rPr>
          <w:noProof/>
        </w:rPr>
      </w:pPr>
      <w:r w:rsidRPr="00903183">
        <w:rPr>
          <w:noProof/>
        </w:rPr>
        <w:t>51.</w:t>
      </w:r>
      <w:r w:rsidRPr="00903183">
        <w:rPr>
          <w:noProof/>
        </w:rPr>
        <w:tab/>
        <w:t>potvrde koje se zahtijevaju u skladu s Direktivom 2009/20/EZ Europskog parlamenta i Vijeća od 23. travnja 2009. o osiguranju brodovlasnika za pomorska potraživanja;</w:t>
      </w:r>
    </w:p>
    <w:p w14:paraId="09D18883" w14:textId="317DBFA4" w:rsidR="00F9656B" w:rsidRPr="00903183" w:rsidRDefault="00BC493B" w:rsidP="00BC493B">
      <w:pPr>
        <w:pStyle w:val="Point0"/>
        <w:rPr>
          <w:noProof/>
        </w:rPr>
      </w:pPr>
      <w:r w:rsidRPr="00903183">
        <w:rPr>
          <w:noProof/>
        </w:rPr>
        <w:t>52.</w:t>
      </w:r>
      <w:r w:rsidRPr="00903183">
        <w:rPr>
          <w:noProof/>
        </w:rPr>
        <w:tab/>
        <w:t>potvrda koja se zahtijeva u skladu s Uredbom (EZ) br. 392/2009 Europskog parlamenta i Vijeća od 23. travnja 2009. o odgovornosti prijevoznika u prijevozu putnika morem u slučaju nesreća;</w:t>
      </w:r>
    </w:p>
    <w:p w14:paraId="466EAE3B" w14:textId="6967C234" w:rsidR="00F9656B" w:rsidRPr="00903183" w:rsidRDefault="00BC493B" w:rsidP="00BC493B">
      <w:pPr>
        <w:pStyle w:val="Point0"/>
        <w:rPr>
          <w:noProof/>
        </w:rPr>
      </w:pPr>
      <w:r w:rsidRPr="00903183">
        <w:rPr>
          <w:noProof/>
        </w:rPr>
        <w:t>53.</w:t>
      </w:r>
      <w:r w:rsidRPr="00903183">
        <w:rPr>
          <w:noProof/>
        </w:rPr>
        <w:tab/>
        <w:t>svjedodžba o popisu opasnih materijala ili potvrda o sukladnosti, u skladu s Uredbom (EU) br. 1257/2013 Europskog parlamenta i Vijeća; i</w:t>
      </w:r>
    </w:p>
    <w:p w14:paraId="1F1EE075" w14:textId="2031C2CF" w:rsidR="00F9656B" w:rsidRPr="00903183" w:rsidRDefault="00BC493B" w:rsidP="00BC493B">
      <w:pPr>
        <w:pStyle w:val="Point0"/>
        <w:rPr>
          <w:noProof/>
        </w:rPr>
      </w:pPr>
      <w:r w:rsidRPr="00903183">
        <w:rPr>
          <w:noProof/>
        </w:rPr>
        <w:t>54.</w:t>
      </w:r>
      <w:r w:rsidRPr="00903183">
        <w:rPr>
          <w:noProof/>
        </w:rPr>
        <w:tab/>
        <w:t>dokument o usklađenosti izdan u skladu s Uredbom (EU) 2015/757 Europskog parlamenta i Vijeća od 29. travnja 2015. o praćenju emisija ugljikova dioksida iz pomorskog prometa, izvješćivanju o njima i njihovoj verifikaciji te o izmjeni Direktive 2009/16/EZ.</w:t>
      </w:r>
    </w:p>
    <w:p w14:paraId="7E95A5DE" w14:textId="77777777" w:rsidR="00F9656B" w:rsidRPr="00903183" w:rsidRDefault="00F9656B" w:rsidP="00F9656B">
      <w:pPr>
        <w:rPr>
          <w:noProof/>
        </w:rPr>
      </w:pPr>
      <w:r w:rsidRPr="00903183">
        <w:rPr>
          <w:noProof/>
        </w:rPr>
        <w:t>Dio B Popis drugih svjedodžbi i dokumenata koje se, u mjeri u kojoj je to primjenjivo, moraju nalaziti na brodu (prema potrebi):</w:t>
      </w:r>
    </w:p>
    <w:p w14:paraId="4E092CC9" w14:textId="007876ED" w:rsidR="00F9656B" w:rsidRPr="00903183" w:rsidRDefault="00BC493B" w:rsidP="00BC493B">
      <w:pPr>
        <w:pStyle w:val="Point0"/>
        <w:rPr>
          <w:noProof/>
        </w:rPr>
      </w:pPr>
      <w:r w:rsidRPr="00903183">
        <w:rPr>
          <w:noProof/>
        </w:rPr>
        <w:t>1.</w:t>
      </w:r>
      <w:r w:rsidRPr="00903183">
        <w:rPr>
          <w:noProof/>
        </w:rPr>
        <w:tab/>
        <w:t xml:space="preserve">konstrukcijski nacrti (SOLAS, pravilo II-1/3-7); </w:t>
      </w:r>
    </w:p>
    <w:p w14:paraId="5107EDAA" w14:textId="55603C9E" w:rsidR="00F9656B" w:rsidRPr="00903183" w:rsidRDefault="00BC493B" w:rsidP="00BC493B">
      <w:pPr>
        <w:pStyle w:val="Point0"/>
        <w:rPr>
          <w:noProof/>
        </w:rPr>
      </w:pPr>
      <w:r w:rsidRPr="00903183">
        <w:rPr>
          <w:noProof/>
        </w:rPr>
        <w:t>2.</w:t>
      </w:r>
      <w:r w:rsidRPr="00903183">
        <w:rPr>
          <w:noProof/>
        </w:rPr>
        <w:tab/>
        <w:t>dokumentacija o konstrukciji broda (SOLAS, pravilo II-1/3-10);</w:t>
      </w:r>
    </w:p>
    <w:p w14:paraId="38357A03" w14:textId="29735D96" w:rsidR="00F9656B" w:rsidRPr="00903183" w:rsidRDefault="00BC493B" w:rsidP="00BC493B">
      <w:pPr>
        <w:pStyle w:val="Point0"/>
        <w:rPr>
          <w:noProof/>
        </w:rPr>
      </w:pPr>
      <w:r w:rsidRPr="00903183">
        <w:rPr>
          <w:noProof/>
        </w:rPr>
        <w:t>3.</w:t>
      </w:r>
      <w:r w:rsidRPr="00903183">
        <w:rPr>
          <w:noProof/>
        </w:rPr>
        <w:tab/>
        <w:t xml:space="preserve">knjižica i informacije o manevriranju (SOLAS, pravilo II-1/28); </w:t>
      </w:r>
    </w:p>
    <w:p w14:paraId="7696841A" w14:textId="4D96A723" w:rsidR="00F9656B" w:rsidRPr="00903183" w:rsidRDefault="00BC493B" w:rsidP="00BC493B">
      <w:pPr>
        <w:pStyle w:val="Point0"/>
        <w:rPr>
          <w:noProof/>
        </w:rPr>
      </w:pPr>
      <w:r w:rsidRPr="00903183">
        <w:rPr>
          <w:noProof/>
        </w:rPr>
        <w:t>4.</w:t>
      </w:r>
      <w:r w:rsidRPr="00903183">
        <w:rPr>
          <w:noProof/>
        </w:rPr>
        <w:tab/>
        <w:t xml:space="preserve">informacije o stabilnosti (SOLAS, pravila II-1/5 i II-1/5-1 i LLC 66/88, pravilo 10); </w:t>
      </w:r>
    </w:p>
    <w:p w14:paraId="0756D06F" w14:textId="66DABDF8" w:rsidR="00F9656B" w:rsidRPr="00903183" w:rsidRDefault="00BC493B" w:rsidP="00BC493B">
      <w:pPr>
        <w:pStyle w:val="Point0"/>
        <w:rPr>
          <w:noProof/>
        </w:rPr>
      </w:pPr>
      <w:r w:rsidRPr="00903183">
        <w:rPr>
          <w:noProof/>
        </w:rPr>
        <w:t>5.</w:t>
      </w:r>
      <w:r w:rsidRPr="00903183">
        <w:rPr>
          <w:noProof/>
        </w:rPr>
        <w:tab/>
        <w:t xml:space="preserve">informacije o pregrađivanju i stabilnosti (MARPOL, Prilog I. pravilo 28.); </w:t>
      </w:r>
    </w:p>
    <w:p w14:paraId="2886F6E3" w14:textId="03FF521C" w:rsidR="00F9656B" w:rsidRPr="00903183" w:rsidRDefault="00BC493B" w:rsidP="00BC493B">
      <w:pPr>
        <w:pStyle w:val="Point0"/>
        <w:rPr>
          <w:noProof/>
        </w:rPr>
      </w:pPr>
      <w:r w:rsidRPr="00903183">
        <w:rPr>
          <w:noProof/>
        </w:rPr>
        <w:t>6.</w:t>
      </w:r>
      <w:r w:rsidRPr="00903183">
        <w:rPr>
          <w:noProof/>
        </w:rPr>
        <w:tab/>
        <w:t>planovi i knjižice u slučaju oštećenja (SOLAS, pravilo II-1/19, MSC.1/Circ.1245);</w:t>
      </w:r>
    </w:p>
    <w:p w14:paraId="5CBA1DA8" w14:textId="6AD479A3" w:rsidR="00F9656B" w:rsidRPr="00903183" w:rsidRDefault="00BC493B" w:rsidP="00BC493B">
      <w:pPr>
        <w:pStyle w:val="Point0"/>
        <w:rPr>
          <w:noProof/>
        </w:rPr>
      </w:pPr>
      <w:r w:rsidRPr="00903183">
        <w:rPr>
          <w:noProof/>
        </w:rPr>
        <w:t>7.</w:t>
      </w:r>
      <w:r w:rsidRPr="00903183">
        <w:rPr>
          <w:noProof/>
        </w:rPr>
        <w:tab/>
        <w:t xml:space="preserve">priručnik za pristup brodskoj strukturi (SOLAS, pravilo II-1/3-6); </w:t>
      </w:r>
    </w:p>
    <w:p w14:paraId="6B10A2E6" w14:textId="008A58E9" w:rsidR="00F9656B" w:rsidRPr="00903183" w:rsidRDefault="00BC493B" w:rsidP="00BC493B">
      <w:pPr>
        <w:pStyle w:val="Point0"/>
        <w:rPr>
          <w:noProof/>
        </w:rPr>
      </w:pPr>
      <w:r w:rsidRPr="00903183">
        <w:rPr>
          <w:noProof/>
        </w:rPr>
        <w:t>8.</w:t>
      </w:r>
      <w:r w:rsidRPr="00903183">
        <w:rPr>
          <w:noProof/>
        </w:rPr>
        <w:tab/>
        <w:t xml:space="preserve">mape izvještaja o pregledu (za brodove za rasuti teret ili tankere za ulje) (SOLAS, pravilo XI-1/2 i Kodeks ESP iz 2011., točke 6.2. i 6.3. Priloga A, dio A i dio B, te Prilog B, dio A i dio B); </w:t>
      </w:r>
    </w:p>
    <w:p w14:paraId="78464ED5" w14:textId="16D1C8E2" w:rsidR="00F9656B" w:rsidRPr="00903183" w:rsidRDefault="00BC493B" w:rsidP="00BC493B">
      <w:pPr>
        <w:pStyle w:val="Point0"/>
        <w:rPr>
          <w:noProof/>
        </w:rPr>
      </w:pPr>
      <w:r w:rsidRPr="00903183">
        <w:rPr>
          <w:noProof/>
        </w:rPr>
        <w:t>9.</w:t>
      </w:r>
      <w:r w:rsidRPr="00903183">
        <w:rPr>
          <w:noProof/>
        </w:rPr>
        <w:tab/>
        <w:t xml:space="preserve">priručnik za slaganje i pričvršćivanje tereta (SOLAS, pravilo VI/5.6 i VII/5, MSC.1/Circ.1353/rev.1); </w:t>
      </w:r>
    </w:p>
    <w:p w14:paraId="3C4B3631" w14:textId="3CAB0D10" w:rsidR="00F9656B" w:rsidRPr="00903183" w:rsidRDefault="00BC493B" w:rsidP="00BC493B">
      <w:pPr>
        <w:pStyle w:val="Point0"/>
        <w:rPr>
          <w:noProof/>
        </w:rPr>
      </w:pPr>
      <w:r w:rsidRPr="00903183">
        <w:rPr>
          <w:noProof/>
        </w:rPr>
        <w:t>10.</w:t>
      </w:r>
      <w:r w:rsidRPr="00903183">
        <w:rPr>
          <w:noProof/>
        </w:rPr>
        <w:tab/>
        <w:t xml:space="preserve">knjiga broda za rasute terete (SOLAS, pravilo VI/7.2 i XII/8, Kodeks BLU); </w:t>
      </w:r>
    </w:p>
    <w:p w14:paraId="2C6AD689" w14:textId="0E0796E1" w:rsidR="00F9656B" w:rsidRPr="00903183" w:rsidRDefault="00BC493B" w:rsidP="00BC493B">
      <w:pPr>
        <w:pStyle w:val="Point0"/>
        <w:rPr>
          <w:noProof/>
        </w:rPr>
      </w:pPr>
      <w:r w:rsidRPr="00903183">
        <w:rPr>
          <w:noProof/>
        </w:rPr>
        <w:t>11.</w:t>
      </w:r>
      <w:r w:rsidRPr="00903183">
        <w:rPr>
          <w:noProof/>
        </w:rPr>
        <w:tab/>
        <w:t xml:space="preserve">plan ukrcavanja/iskrcavanja tereta za brodove za rasute terete (SOLAS, pravilo VI/7.3); </w:t>
      </w:r>
    </w:p>
    <w:p w14:paraId="19B50C5B" w14:textId="69389B09" w:rsidR="00F9656B" w:rsidRPr="00903183" w:rsidRDefault="00BC493B" w:rsidP="00BC493B">
      <w:pPr>
        <w:pStyle w:val="Point0"/>
        <w:rPr>
          <w:noProof/>
        </w:rPr>
      </w:pPr>
      <w:r w:rsidRPr="00903183">
        <w:rPr>
          <w:noProof/>
        </w:rPr>
        <w:t>12.</w:t>
      </w:r>
      <w:r w:rsidRPr="00903183">
        <w:rPr>
          <w:noProof/>
        </w:rPr>
        <w:tab/>
        <w:t>podaci o teretu (SOLAS, pravilo VI/2 i XII/10, MSC/Circ.663);</w:t>
      </w:r>
    </w:p>
    <w:p w14:paraId="51A7B694" w14:textId="7A2E8616" w:rsidR="00F9656B" w:rsidRPr="00903183" w:rsidRDefault="00BC493B" w:rsidP="00BC493B">
      <w:pPr>
        <w:pStyle w:val="Point0"/>
        <w:rPr>
          <w:noProof/>
        </w:rPr>
      </w:pPr>
      <w:r w:rsidRPr="00903183">
        <w:rPr>
          <w:noProof/>
        </w:rPr>
        <w:t>13.</w:t>
      </w:r>
      <w:r w:rsidRPr="00903183">
        <w:rPr>
          <w:noProof/>
        </w:rPr>
        <w:tab/>
        <w:t xml:space="preserve">plan/priručnik protupožarne zaštite (SOLAS, reg. II-2/15.2.4 i II-2/15.3.2); </w:t>
      </w:r>
    </w:p>
    <w:p w14:paraId="2A143C76" w14:textId="53527A5C" w:rsidR="00F9656B" w:rsidRPr="00903183" w:rsidRDefault="00BC493B" w:rsidP="00BC493B">
      <w:pPr>
        <w:pStyle w:val="Point0"/>
        <w:rPr>
          <w:noProof/>
        </w:rPr>
      </w:pPr>
      <w:r w:rsidRPr="00903183">
        <w:rPr>
          <w:noProof/>
        </w:rPr>
        <w:t>14.</w:t>
      </w:r>
      <w:r w:rsidRPr="00903183">
        <w:rPr>
          <w:noProof/>
        </w:rPr>
        <w:tab/>
        <w:t xml:space="preserve">priručnik o radnim postupcima za zaštitu od požara (SOLAS, pravilo II-2/16.2); </w:t>
      </w:r>
    </w:p>
    <w:p w14:paraId="65603589" w14:textId="352E5DFB" w:rsidR="00F9656B" w:rsidRPr="00903183" w:rsidRDefault="00BC493B" w:rsidP="00BC493B">
      <w:pPr>
        <w:pStyle w:val="Point0"/>
        <w:rPr>
          <w:noProof/>
        </w:rPr>
      </w:pPr>
      <w:r w:rsidRPr="00903183">
        <w:rPr>
          <w:noProof/>
        </w:rPr>
        <w:t>15.</w:t>
      </w:r>
      <w:r w:rsidRPr="00903183">
        <w:rPr>
          <w:noProof/>
        </w:rPr>
        <w:tab/>
        <w:t>priručnik za obuku o zaštiti od požara (SOLAS, pravilo II-2/1 5.2.3.);</w:t>
      </w:r>
    </w:p>
    <w:p w14:paraId="36F2AB3A" w14:textId="7E665E24" w:rsidR="00F9656B" w:rsidRPr="00903183" w:rsidRDefault="00BC493B" w:rsidP="00BC493B">
      <w:pPr>
        <w:pStyle w:val="Point0"/>
        <w:rPr>
          <w:noProof/>
        </w:rPr>
      </w:pPr>
      <w:r w:rsidRPr="00903183">
        <w:rPr>
          <w:noProof/>
        </w:rPr>
        <w:t>16.</w:t>
      </w:r>
      <w:r w:rsidRPr="00903183">
        <w:rPr>
          <w:noProof/>
        </w:rPr>
        <w:tab/>
        <w:t xml:space="preserve">priručnik za osposobljavanje (SOLAS, pravilo III/35); </w:t>
      </w:r>
    </w:p>
    <w:p w14:paraId="169F9D79" w14:textId="335BE59F" w:rsidR="00F9656B" w:rsidRPr="00903183" w:rsidRDefault="00BC493B" w:rsidP="00BC493B">
      <w:pPr>
        <w:pStyle w:val="Point0"/>
        <w:rPr>
          <w:noProof/>
        </w:rPr>
      </w:pPr>
      <w:r w:rsidRPr="00903183">
        <w:rPr>
          <w:noProof/>
        </w:rPr>
        <w:t>17.</w:t>
      </w:r>
      <w:r w:rsidRPr="00903183">
        <w:rPr>
          <w:noProof/>
        </w:rPr>
        <w:tab/>
        <w:t xml:space="preserve">osposobljavanje na brodu, vježbe i evidencije o održavanju (SOLAS, pravilo II-2/15.2.2.5 i III/19.3 i III/19.5 i III/20.6 i III/20.7); </w:t>
      </w:r>
    </w:p>
    <w:p w14:paraId="0468F6CA" w14:textId="1FA209D6" w:rsidR="00F9656B" w:rsidRPr="00903183" w:rsidRDefault="00BC493B" w:rsidP="00BC493B">
      <w:pPr>
        <w:pStyle w:val="Point0"/>
        <w:rPr>
          <w:noProof/>
        </w:rPr>
      </w:pPr>
      <w:r w:rsidRPr="00903183">
        <w:rPr>
          <w:noProof/>
        </w:rPr>
        <w:t>18.</w:t>
      </w:r>
      <w:r w:rsidRPr="00903183">
        <w:rPr>
          <w:noProof/>
        </w:rPr>
        <w:tab/>
        <w:t xml:space="preserve">prilagođeni planovi i postupci spašavanja osoba iz vode (SOLAS, pravilo III/17-1, MSC.346(91), MSC.1/Circ.1447); </w:t>
      </w:r>
    </w:p>
    <w:p w14:paraId="49D04FF7" w14:textId="4850CC61" w:rsidR="00F9656B" w:rsidRPr="00903183" w:rsidRDefault="00BC493B" w:rsidP="00BC493B">
      <w:pPr>
        <w:pStyle w:val="Point0"/>
        <w:rPr>
          <w:noProof/>
        </w:rPr>
      </w:pPr>
      <w:r w:rsidRPr="00903183">
        <w:rPr>
          <w:noProof/>
        </w:rPr>
        <w:t>19.</w:t>
      </w:r>
      <w:r w:rsidRPr="00903183">
        <w:rPr>
          <w:noProof/>
        </w:rPr>
        <w:tab/>
        <w:t xml:space="preserve">sustav za podršku odlučivanju za zapovjednike (putnički brodovi) (SOLAS, pravilo III/29); </w:t>
      </w:r>
    </w:p>
    <w:p w14:paraId="5798937E" w14:textId="1C3AA4DD" w:rsidR="00F9656B" w:rsidRPr="00903183" w:rsidRDefault="00BC493B" w:rsidP="00BC493B">
      <w:pPr>
        <w:pStyle w:val="Point0"/>
        <w:rPr>
          <w:noProof/>
        </w:rPr>
      </w:pPr>
      <w:r w:rsidRPr="00903183">
        <w:rPr>
          <w:noProof/>
        </w:rPr>
        <w:t>20.</w:t>
      </w:r>
      <w:r w:rsidRPr="00903183">
        <w:rPr>
          <w:noProof/>
        </w:rPr>
        <w:tab/>
        <w:t xml:space="preserve">Međunarodni signalni kodeks i primjerak sveska III. Priručnika IAMSAR (SOLAS, pravilo V/21); </w:t>
      </w:r>
    </w:p>
    <w:p w14:paraId="135F1DAC" w14:textId="0827D9A8" w:rsidR="00F9656B" w:rsidRPr="00903183" w:rsidRDefault="00BC493B" w:rsidP="00BC493B">
      <w:pPr>
        <w:pStyle w:val="Point0"/>
        <w:rPr>
          <w:noProof/>
        </w:rPr>
      </w:pPr>
      <w:r w:rsidRPr="00903183">
        <w:rPr>
          <w:noProof/>
        </w:rPr>
        <w:t>21.</w:t>
      </w:r>
      <w:r w:rsidRPr="00903183">
        <w:rPr>
          <w:noProof/>
        </w:rPr>
        <w:tab/>
        <w:t>zapisi o navigacijskim aktivnostima (SOLAS, pravilo V/26 i V/28.1);</w:t>
      </w:r>
    </w:p>
    <w:p w14:paraId="4301FB3E" w14:textId="41EE681C" w:rsidR="00F9656B" w:rsidRPr="00903183" w:rsidRDefault="00BC493B" w:rsidP="00BC493B">
      <w:pPr>
        <w:pStyle w:val="Point0"/>
        <w:rPr>
          <w:noProof/>
        </w:rPr>
      </w:pPr>
      <w:r w:rsidRPr="00903183">
        <w:rPr>
          <w:noProof/>
        </w:rPr>
        <w:t>22.</w:t>
      </w:r>
      <w:r w:rsidRPr="00903183">
        <w:rPr>
          <w:noProof/>
        </w:rPr>
        <w:tab/>
        <w:t xml:space="preserve">plan sigurnosne zaštite broda i pripadajući zapisi (SOLAS, pravilo XI-2/9 i Kodeks ISPS, dijelovi A/9 i 10); </w:t>
      </w:r>
    </w:p>
    <w:p w14:paraId="3E10565C" w14:textId="175A3C77" w:rsidR="00F9656B" w:rsidRPr="00903183" w:rsidRDefault="00BC493B" w:rsidP="00BC493B">
      <w:pPr>
        <w:pStyle w:val="Point0"/>
        <w:rPr>
          <w:noProof/>
        </w:rPr>
      </w:pPr>
      <w:r w:rsidRPr="00903183">
        <w:rPr>
          <w:noProof/>
        </w:rPr>
        <w:t>23.</w:t>
      </w:r>
      <w:r w:rsidRPr="00903183">
        <w:rPr>
          <w:noProof/>
        </w:rPr>
        <w:tab/>
        <w:t xml:space="preserve">međunarodna svjedodžba o sprečavanju zagađivanja zraka za stroj (EIAPPC) (Tehnički kodeks NOX iz 2008., pravilo 2.1.1.1.); </w:t>
      </w:r>
    </w:p>
    <w:p w14:paraId="13CDE349" w14:textId="69BDC31B" w:rsidR="00F9656B" w:rsidRPr="00903183" w:rsidRDefault="00BC493B" w:rsidP="00BC493B">
      <w:pPr>
        <w:pStyle w:val="Point0"/>
        <w:rPr>
          <w:noProof/>
        </w:rPr>
      </w:pPr>
      <w:r w:rsidRPr="00903183">
        <w:rPr>
          <w:noProof/>
        </w:rPr>
        <w:t>24.</w:t>
      </w:r>
      <w:r w:rsidRPr="00903183">
        <w:rPr>
          <w:noProof/>
        </w:rPr>
        <w:tab/>
        <w:t xml:space="preserve">tehnička dokumentacija EEDI (MARPOL, Prilog VI., pravilo 20.); </w:t>
      </w:r>
    </w:p>
    <w:p w14:paraId="5C953585" w14:textId="11CF441D" w:rsidR="00F9656B" w:rsidRPr="00903183" w:rsidRDefault="00BC493B" w:rsidP="00BC493B">
      <w:pPr>
        <w:pStyle w:val="Point0"/>
        <w:rPr>
          <w:noProof/>
        </w:rPr>
      </w:pPr>
      <w:r w:rsidRPr="00903183">
        <w:rPr>
          <w:noProof/>
        </w:rPr>
        <w:t>25.</w:t>
      </w:r>
      <w:r w:rsidRPr="00903183">
        <w:rPr>
          <w:noProof/>
        </w:rPr>
        <w:tab/>
        <w:t xml:space="preserve">tehnička dokumentacija (Tehnički kodeks NOX iz 2008., pravilo 2.3.4.); </w:t>
      </w:r>
    </w:p>
    <w:p w14:paraId="63330C86" w14:textId="7DD91280" w:rsidR="00F9656B" w:rsidRPr="00903183" w:rsidRDefault="00BC493B" w:rsidP="00BC493B">
      <w:pPr>
        <w:pStyle w:val="Point0"/>
        <w:rPr>
          <w:noProof/>
        </w:rPr>
      </w:pPr>
      <w:r w:rsidRPr="00903183">
        <w:rPr>
          <w:noProof/>
        </w:rPr>
        <w:t>26.</w:t>
      </w:r>
      <w:r w:rsidRPr="00903183">
        <w:rPr>
          <w:noProof/>
        </w:rPr>
        <w:tab/>
        <w:t>knjiga o parametrima motora (Tehnički kodeks NOX, pravilo 2.3.7.);</w:t>
      </w:r>
    </w:p>
    <w:p w14:paraId="38746F62" w14:textId="25A1B573" w:rsidR="00F9656B" w:rsidRPr="00903183" w:rsidRDefault="00BC493B" w:rsidP="00BC493B">
      <w:pPr>
        <w:pStyle w:val="Point0"/>
        <w:rPr>
          <w:noProof/>
        </w:rPr>
      </w:pPr>
      <w:r w:rsidRPr="00903183">
        <w:rPr>
          <w:noProof/>
        </w:rPr>
        <w:t>27.</w:t>
      </w:r>
      <w:r w:rsidRPr="00903183">
        <w:rPr>
          <w:noProof/>
        </w:rPr>
        <w:tab/>
        <w:t>certifikat o homologaciji tipa opreme za spaljivanje (MARPOL, Prilog VI., pravilo 16.6.);</w:t>
      </w:r>
    </w:p>
    <w:p w14:paraId="65E1E25C" w14:textId="6426D383" w:rsidR="00F9656B" w:rsidRPr="00903183" w:rsidRDefault="00BC493B" w:rsidP="00BC493B">
      <w:pPr>
        <w:pStyle w:val="Point0"/>
        <w:rPr>
          <w:noProof/>
        </w:rPr>
      </w:pPr>
      <w:r w:rsidRPr="00903183">
        <w:rPr>
          <w:noProof/>
        </w:rPr>
        <w:t>28.</w:t>
      </w:r>
      <w:r w:rsidRPr="00903183">
        <w:rPr>
          <w:noProof/>
        </w:rPr>
        <w:tab/>
        <w:t xml:space="preserve">proizvođačeve upute za uporabu opreme za spaljivanje (MARPOL, Prilog VI., pravilo 16.7.); </w:t>
      </w:r>
    </w:p>
    <w:p w14:paraId="25B5C282" w14:textId="78FDC60E" w:rsidR="00F9656B" w:rsidRPr="00903183" w:rsidRDefault="00BC493B" w:rsidP="00BC493B">
      <w:pPr>
        <w:pStyle w:val="Point0"/>
        <w:rPr>
          <w:noProof/>
        </w:rPr>
      </w:pPr>
      <w:r w:rsidRPr="00903183">
        <w:rPr>
          <w:noProof/>
        </w:rPr>
        <w:t>29.</w:t>
      </w:r>
      <w:r w:rsidRPr="00903183">
        <w:rPr>
          <w:noProof/>
        </w:rPr>
        <w:tab/>
        <w:t>postupak zamjene loživog ulja za zamjenu loživog ulja (MARPOL, Prilog VI., pravilo 14.6.);</w:t>
      </w:r>
    </w:p>
    <w:p w14:paraId="48F3BBF5" w14:textId="5C709CF2" w:rsidR="00F9656B" w:rsidRPr="00903183" w:rsidRDefault="00BC493B" w:rsidP="00BC493B">
      <w:pPr>
        <w:pStyle w:val="Point0"/>
        <w:rPr>
          <w:noProof/>
        </w:rPr>
      </w:pPr>
      <w:r w:rsidRPr="00903183">
        <w:rPr>
          <w:noProof/>
        </w:rPr>
        <w:t>30.</w:t>
      </w:r>
      <w:r w:rsidRPr="00903183">
        <w:rPr>
          <w:noProof/>
        </w:rPr>
        <w:tab/>
        <w:t xml:space="preserve">dostavnice za gorivo i reprezentativni uzorak (MARPOL, Prilog VI., pravilo. 18.6. i 18.8.1.); </w:t>
      </w:r>
    </w:p>
    <w:p w14:paraId="497E91D3" w14:textId="375C0B2E" w:rsidR="00F9656B" w:rsidRPr="00903183" w:rsidRDefault="00BC493B" w:rsidP="00BC493B">
      <w:pPr>
        <w:pStyle w:val="Point0"/>
        <w:rPr>
          <w:noProof/>
        </w:rPr>
      </w:pPr>
      <w:r w:rsidRPr="00903183">
        <w:rPr>
          <w:noProof/>
        </w:rPr>
        <w:t>31.</w:t>
      </w:r>
      <w:r w:rsidRPr="00903183">
        <w:rPr>
          <w:noProof/>
        </w:rPr>
        <w:tab/>
        <w:t xml:space="preserve">plan hitnih mjera u slučaju onečišćenja uljem (MARPOL, Prilog I., pravilo 37.1., rezolucija MEPC.54(32), kako je izmijenjena rezolucijom MEPC.86(44)); </w:t>
      </w:r>
    </w:p>
    <w:p w14:paraId="17AD341B" w14:textId="624607C1" w:rsidR="00F9656B" w:rsidRPr="00903183" w:rsidRDefault="00BC493B" w:rsidP="00BC493B">
      <w:pPr>
        <w:pStyle w:val="Point0"/>
        <w:rPr>
          <w:noProof/>
        </w:rPr>
      </w:pPr>
      <w:r w:rsidRPr="00903183">
        <w:rPr>
          <w:noProof/>
        </w:rPr>
        <w:t>32.</w:t>
      </w:r>
      <w:r w:rsidRPr="00903183">
        <w:rPr>
          <w:noProof/>
        </w:rPr>
        <w:tab/>
        <w:t>plan hitnih mjera u slučaju onečišćenja mora štetnim razlivenim tekućinama (MARPOL, Prilog II., pravilo 17.);</w:t>
      </w:r>
    </w:p>
    <w:p w14:paraId="6AB4AB39" w14:textId="09CBA095" w:rsidR="00F9656B" w:rsidRPr="00903183" w:rsidRDefault="00BC493B" w:rsidP="00BC493B">
      <w:pPr>
        <w:pStyle w:val="Point0"/>
        <w:rPr>
          <w:noProof/>
        </w:rPr>
      </w:pPr>
      <w:r w:rsidRPr="00903183">
        <w:rPr>
          <w:noProof/>
        </w:rPr>
        <w:t>33.</w:t>
      </w:r>
      <w:r w:rsidRPr="00903183">
        <w:rPr>
          <w:noProof/>
        </w:rPr>
        <w:tab/>
        <w:t xml:space="preserve">plan za upravljanje energetskom učinkovitošću broda (MARPOL, Prilog VI., pravilo 22, MEPC.1/Circ795); </w:t>
      </w:r>
    </w:p>
    <w:p w14:paraId="3019AB7C" w14:textId="2EC0AFA1" w:rsidR="00F9656B" w:rsidRPr="00903183" w:rsidRDefault="00BC493B" w:rsidP="00BC493B">
      <w:pPr>
        <w:pStyle w:val="Point0"/>
        <w:rPr>
          <w:noProof/>
        </w:rPr>
      </w:pPr>
      <w:r w:rsidRPr="00903183">
        <w:rPr>
          <w:noProof/>
        </w:rPr>
        <w:t>34.</w:t>
      </w:r>
      <w:r w:rsidRPr="00903183">
        <w:rPr>
          <w:noProof/>
        </w:rPr>
        <w:tab/>
        <w:t xml:space="preserve">plan prijenosa s broda na brod i evidencije prijenosa s broda na brod (MARPOL, Prilog I., pravilo 41.); </w:t>
      </w:r>
    </w:p>
    <w:p w14:paraId="63D47E99" w14:textId="323BBEE6" w:rsidR="00F9656B" w:rsidRPr="00903183" w:rsidRDefault="00BC493B" w:rsidP="00BC493B">
      <w:pPr>
        <w:pStyle w:val="Point0"/>
        <w:rPr>
          <w:noProof/>
        </w:rPr>
      </w:pPr>
      <w:r w:rsidRPr="00903183">
        <w:rPr>
          <w:noProof/>
        </w:rPr>
        <w:t>35.</w:t>
      </w:r>
      <w:r w:rsidRPr="00903183">
        <w:rPr>
          <w:noProof/>
        </w:rPr>
        <w:tab/>
        <w:t xml:space="preserve">priručnik za postupke i mehanizme (tankeri za kemikalije) (MARPOL, Prilog II., pravilo 14.1., rezolucija MEPC.18(22), kako je izmijenjena rezolucijom MEPC.62(35)); </w:t>
      </w:r>
    </w:p>
    <w:p w14:paraId="6A09A984" w14:textId="7AA68B69" w:rsidR="00F9656B" w:rsidRPr="00903183" w:rsidRDefault="00BC493B" w:rsidP="00BC493B">
      <w:pPr>
        <w:pStyle w:val="Point0"/>
        <w:rPr>
          <w:noProof/>
        </w:rPr>
      </w:pPr>
      <w:r w:rsidRPr="00903183">
        <w:rPr>
          <w:noProof/>
        </w:rPr>
        <w:t>36.</w:t>
      </w:r>
      <w:r w:rsidRPr="00903183">
        <w:rPr>
          <w:noProof/>
        </w:rPr>
        <w:tab/>
        <w:t xml:space="preserve">plan upravljanja hlapivim organskim spojevima (MARPOL, Prilog VI., pravilo 15.6.); </w:t>
      </w:r>
    </w:p>
    <w:p w14:paraId="0FB9296A" w14:textId="158444F9" w:rsidR="00F9656B" w:rsidRPr="00903183" w:rsidRDefault="00BC493B" w:rsidP="00BC493B">
      <w:pPr>
        <w:pStyle w:val="Point0"/>
        <w:rPr>
          <w:noProof/>
        </w:rPr>
      </w:pPr>
      <w:r w:rsidRPr="00903183">
        <w:rPr>
          <w:noProof/>
        </w:rPr>
        <w:t>37.</w:t>
      </w:r>
      <w:r w:rsidRPr="00903183">
        <w:rPr>
          <w:noProof/>
        </w:rPr>
        <w:tab/>
        <w:t xml:space="preserve">plan upravljanja balastnim vodama (BWMP) (BWMC, pravilo B-1, rezolucija MEPC.127(53)); </w:t>
      </w:r>
    </w:p>
    <w:p w14:paraId="4D766FAB" w14:textId="2C0A558C" w:rsidR="00F9656B" w:rsidRPr="00903183" w:rsidRDefault="00BC493B" w:rsidP="00BC493B">
      <w:pPr>
        <w:pStyle w:val="Point0"/>
        <w:rPr>
          <w:noProof/>
        </w:rPr>
      </w:pPr>
      <w:r w:rsidRPr="00903183">
        <w:rPr>
          <w:noProof/>
        </w:rPr>
        <w:t>38.</w:t>
      </w:r>
      <w:r w:rsidRPr="00903183">
        <w:rPr>
          <w:noProof/>
        </w:rPr>
        <w:tab/>
        <w:t xml:space="preserve">izvješće o ispitivanju sukladnosti opreme LRIT (SOLAS, pravilo V/19-1.6, MSC.1/Circ.1307); </w:t>
      </w:r>
    </w:p>
    <w:p w14:paraId="53A6DABF" w14:textId="74914BF8" w:rsidR="00F9656B" w:rsidRPr="00903183" w:rsidRDefault="00BC493B" w:rsidP="00BC493B">
      <w:pPr>
        <w:pStyle w:val="Point0"/>
        <w:rPr>
          <w:noProof/>
        </w:rPr>
      </w:pPr>
      <w:r w:rsidRPr="00903183">
        <w:rPr>
          <w:noProof/>
        </w:rPr>
        <w:t>39.</w:t>
      </w:r>
      <w:r w:rsidRPr="00903183">
        <w:rPr>
          <w:noProof/>
        </w:rPr>
        <w:tab/>
        <w:t xml:space="preserve">preslika potvrde o sukladnosti koju izdaje ispitni laboratorij, u kojoj se navode datum sukladnosti i primjenjivi standardi učinkovitosti VDR-a (uređaj za snimanje podataka o putovanju) (SOLAS, pravilo V/18.8); </w:t>
      </w:r>
    </w:p>
    <w:p w14:paraId="4322B33E" w14:textId="62BA4783" w:rsidR="00F9656B" w:rsidRPr="00903183" w:rsidRDefault="00BC493B" w:rsidP="00BC493B">
      <w:pPr>
        <w:pStyle w:val="Point0"/>
        <w:rPr>
          <w:noProof/>
        </w:rPr>
      </w:pPr>
      <w:r w:rsidRPr="00903183">
        <w:rPr>
          <w:noProof/>
        </w:rPr>
        <w:t>40.</w:t>
      </w:r>
      <w:r w:rsidRPr="00903183">
        <w:rPr>
          <w:noProof/>
        </w:rPr>
        <w:tab/>
        <w:t xml:space="preserve">izvješće o ispitivanju sustava automatske identifikacije (AIS) (SOLAS, pravilo V/18.9, MSC.1/Circ.1252); </w:t>
      </w:r>
    </w:p>
    <w:p w14:paraId="254333E8" w14:textId="10237D80" w:rsidR="00F9656B" w:rsidRPr="00903183" w:rsidRDefault="00BC493B" w:rsidP="00BC493B">
      <w:pPr>
        <w:pStyle w:val="Point0"/>
        <w:rPr>
          <w:noProof/>
        </w:rPr>
      </w:pPr>
      <w:r w:rsidRPr="00903183">
        <w:rPr>
          <w:noProof/>
        </w:rPr>
        <w:t>41.</w:t>
      </w:r>
      <w:r w:rsidRPr="00903183">
        <w:rPr>
          <w:noProof/>
        </w:rPr>
        <w:tab/>
        <w:t xml:space="preserve">izvješće o ispitivanju buke (SOLAS, pravilo II-1/3-12); </w:t>
      </w:r>
    </w:p>
    <w:p w14:paraId="1E2B11B7" w14:textId="3AB1C8A7" w:rsidR="00F9656B" w:rsidRPr="00903183" w:rsidRDefault="00BC493B" w:rsidP="00BC493B">
      <w:pPr>
        <w:pStyle w:val="Point0"/>
        <w:rPr>
          <w:noProof/>
        </w:rPr>
      </w:pPr>
      <w:r w:rsidRPr="00903183">
        <w:rPr>
          <w:noProof/>
        </w:rPr>
        <w:t>42.</w:t>
      </w:r>
      <w:r w:rsidRPr="00903183">
        <w:rPr>
          <w:noProof/>
        </w:rPr>
        <w:tab/>
        <w:t xml:space="preserve">priručnik za praćenje i kontrolu ispuštanja ulja (ODMC) (MARPOL, Prilog I. točka 31., rezolucija A.496(XII), rezolucija A.586 (14), kako je izmijenjena rezolucijom MEPC.24(22), rezolucija MEPC.108(49), kako je izmijenjena rezolucijom MEPC.240(65)); </w:t>
      </w:r>
    </w:p>
    <w:p w14:paraId="7553696D" w14:textId="7D199BBD" w:rsidR="00F9656B" w:rsidRPr="00903183" w:rsidRDefault="00BC493B" w:rsidP="00BC493B">
      <w:pPr>
        <w:pStyle w:val="Point0"/>
        <w:rPr>
          <w:noProof/>
        </w:rPr>
      </w:pPr>
      <w:r w:rsidRPr="00903183">
        <w:rPr>
          <w:noProof/>
        </w:rPr>
        <w:t>43.</w:t>
      </w:r>
      <w:r w:rsidRPr="00903183">
        <w:rPr>
          <w:noProof/>
        </w:rPr>
        <w:tab/>
        <w:t xml:space="preserve">priručnik za ispiranje sirovom naftom i opremu (MARPOL, Prilog I., pravilo 35, rezolucija MEPC.81(43)); </w:t>
      </w:r>
    </w:p>
    <w:p w14:paraId="1C007389" w14:textId="47CE453B" w:rsidR="00F9656B" w:rsidRPr="00903183" w:rsidRDefault="00BC493B" w:rsidP="00BC493B">
      <w:pPr>
        <w:pStyle w:val="Point0"/>
        <w:rPr>
          <w:noProof/>
        </w:rPr>
      </w:pPr>
      <w:r w:rsidRPr="00903183">
        <w:rPr>
          <w:noProof/>
        </w:rPr>
        <w:t>44.</w:t>
      </w:r>
      <w:r w:rsidRPr="00903183">
        <w:rPr>
          <w:noProof/>
        </w:rPr>
        <w:tab/>
        <w:t xml:space="preserve">sigurnosno-tehnički listovi materijala (MSDS) (SOLAS, pravilo VI/5-1, MSC.286(86)); </w:t>
      </w:r>
    </w:p>
    <w:p w14:paraId="585D08D6" w14:textId="72A06ABC" w:rsidR="00F9656B" w:rsidRPr="00903183" w:rsidRDefault="00BC493B" w:rsidP="00BC493B">
      <w:pPr>
        <w:pStyle w:val="Point0"/>
        <w:rPr>
          <w:noProof/>
        </w:rPr>
      </w:pPr>
      <w:r w:rsidRPr="00903183">
        <w:rPr>
          <w:noProof/>
        </w:rPr>
        <w:t>45.</w:t>
      </w:r>
      <w:r w:rsidRPr="00903183">
        <w:rPr>
          <w:noProof/>
        </w:rPr>
        <w:tab/>
        <w:t xml:space="preserve">zapis o AFS-u (AFS 2001., Prilog 4., pravilo 2.); </w:t>
      </w:r>
    </w:p>
    <w:p w14:paraId="0428F12F" w14:textId="408DEC25" w:rsidR="00F9656B" w:rsidRPr="00903183" w:rsidRDefault="00BC493B" w:rsidP="00BC493B">
      <w:pPr>
        <w:pStyle w:val="Point0"/>
        <w:rPr>
          <w:noProof/>
        </w:rPr>
      </w:pPr>
      <w:r w:rsidRPr="00903183">
        <w:rPr>
          <w:noProof/>
        </w:rPr>
        <w:t>46.</w:t>
      </w:r>
      <w:r w:rsidRPr="00903183">
        <w:rPr>
          <w:noProof/>
        </w:rPr>
        <w:tab/>
        <w:t>tehnička dokumentacija o premazu (SOLAS, pravilo II-1/3-2); i</w:t>
      </w:r>
    </w:p>
    <w:p w14:paraId="31B939B8" w14:textId="790B53FB" w:rsidR="00F9656B" w:rsidRPr="00903183" w:rsidRDefault="00BC493B" w:rsidP="00BC493B">
      <w:pPr>
        <w:pStyle w:val="Point0"/>
        <w:rPr>
          <w:noProof/>
        </w:rPr>
      </w:pPr>
      <w:r w:rsidRPr="00903183">
        <w:rPr>
          <w:noProof/>
        </w:rPr>
        <w:t>47.</w:t>
      </w:r>
      <w:r w:rsidRPr="00903183">
        <w:rPr>
          <w:noProof/>
        </w:rPr>
        <w:tab/>
        <w:t>planovi održavanja (SOLAS, pravilo II-2/14.2.2., II-2/14.3. i II-2/14.4).</w:t>
      </w:r>
    </w:p>
    <w:p w14:paraId="29E810AD" w14:textId="77777777" w:rsidR="00F9656B" w:rsidRPr="00903183" w:rsidRDefault="00F9656B" w:rsidP="00F9656B">
      <w:pPr>
        <w:rPr>
          <w:noProof/>
        </w:rPr>
      </w:pPr>
      <w:r w:rsidRPr="00903183">
        <w:rPr>
          <w:noProof/>
        </w:rPr>
        <w:t xml:space="preserve">Kao referencija: </w:t>
      </w:r>
    </w:p>
    <w:p w14:paraId="46D4859A" w14:textId="5C4CBB6F" w:rsidR="00F9656B" w:rsidRPr="00903183" w:rsidRDefault="00BC493B" w:rsidP="00BC493B">
      <w:pPr>
        <w:pStyle w:val="Point0"/>
        <w:rPr>
          <w:noProof/>
        </w:rPr>
      </w:pPr>
      <w:r w:rsidRPr="00903183">
        <w:rPr>
          <w:noProof/>
        </w:rPr>
        <w:t>1.</w:t>
      </w:r>
      <w:r w:rsidRPr="00903183">
        <w:rPr>
          <w:noProof/>
        </w:rPr>
        <w:tab/>
        <w:t xml:space="preserve">upisni list ili druga isprava o državnoj pripadnosti (UNCLOS, članak 9.1.2.); </w:t>
      </w:r>
    </w:p>
    <w:p w14:paraId="62164D18" w14:textId="116C5D43" w:rsidR="00F9656B" w:rsidRPr="00903183" w:rsidRDefault="00BC493B" w:rsidP="00BC493B">
      <w:pPr>
        <w:pStyle w:val="Point0"/>
        <w:rPr>
          <w:noProof/>
        </w:rPr>
      </w:pPr>
      <w:r w:rsidRPr="00903183">
        <w:rPr>
          <w:noProof/>
        </w:rPr>
        <w:t>2.</w:t>
      </w:r>
      <w:r w:rsidRPr="00903183">
        <w:rPr>
          <w:noProof/>
        </w:rPr>
        <w:tab/>
        <w:t xml:space="preserve">svjedodžbe o čvrstoći brodskog trupa i strojnih uređaja, koje izdaje odgovarajuće klasifikacijsko društvo (zahtijeva se samo ako brod održava klasu pri klasifikacijskom društvu); </w:t>
      </w:r>
    </w:p>
    <w:p w14:paraId="0C987DFE" w14:textId="1065ABEA" w:rsidR="00F9656B" w:rsidRPr="00903183" w:rsidRDefault="00BC493B" w:rsidP="00BC493B">
      <w:pPr>
        <w:pStyle w:val="Point0"/>
        <w:rPr>
          <w:noProof/>
        </w:rPr>
      </w:pPr>
      <w:r w:rsidRPr="00903183">
        <w:rPr>
          <w:noProof/>
        </w:rPr>
        <w:t>3.</w:t>
      </w:r>
      <w:r w:rsidRPr="00903183">
        <w:rPr>
          <w:noProof/>
        </w:rPr>
        <w:tab/>
        <w:t xml:space="preserve">knjiga o opremi za rukovanje teretom (Konvencija ILO-a br. 32, članak 9.2. stavak 4. i Konvencija ILO-a br. 125, članak 25.); </w:t>
      </w:r>
    </w:p>
    <w:p w14:paraId="51263ECE" w14:textId="5CF234F4" w:rsidR="00F9656B" w:rsidRPr="00903183" w:rsidRDefault="00BC493B" w:rsidP="00BC493B">
      <w:pPr>
        <w:pStyle w:val="Point0"/>
        <w:rPr>
          <w:noProof/>
        </w:rPr>
      </w:pPr>
      <w:r w:rsidRPr="00903183">
        <w:rPr>
          <w:noProof/>
        </w:rPr>
        <w:t>4.</w:t>
      </w:r>
      <w:r w:rsidRPr="00903183">
        <w:rPr>
          <w:noProof/>
        </w:rPr>
        <w:tab/>
        <w:t xml:space="preserve">svjedodžbe o opremi za ukrcaj i iskrcaj (Konvencija ILO-a br. 134, članak 4.3. točka (e) i Konvencija ILO-a br. 32, članak 9. stavak 4.); </w:t>
      </w:r>
    </w:p>
    <w:p w14:paraId="43445441" w14:textId="7725ED83" w:rsidR="00F9656B" w:rsidRPr="00903183" w:rsidRDefault="00BC493B" w:rsidP="00BC493B">
      <w:pPr>
        <w:pStyle w:val="Point0"/>
        <w:rPr>
          <w:noProof/>
        </w:rPr>
      </w:pPr>
      <w:r w:rsidRPr="00903183">
        <w:rPr>
          <w:noProof/>
        </w:rPr>
        <w:t>5.</w:t>
      </w:r>
      <w:r w:rsidRPr="00903183">
        <w:rPr>
          <w:noProof/>
        </w:rPr>
        <w:tab/>
        <w:t xml:space="preserve">zdravstvene svjedodžbe (Konvencija ILO-a br. 73 ili MLC, 2006., standard A1.2) </w:t>
      </w:r>
    </w:p>
    <w:p w14:paraId="2F611F46" w14:textId="22F9D60C" w:rsidR="00F9656B" w:rsidRPr="00903183" w:rsidRDefault="00BC493B" w:rsidP="00BC493B">
      <w:pPr>
        <w:pStyle w:val="Point0"/>
        <w:rPr>
          <w:noProof/>
        </w:rPr>
      </w:pPr>
      <w:r w:rsidRPr="00903183">
        <w:rPr>
          <w:noProof/>
        </w:rPr>
        <w:t>6.</w:t>
      </w:r>
      <w:r w:rsidRPr="00903183">
        <w:rPr>
          <w:noProof/>
        </w:rPr>
        <w:tab/>
        <w:t>evidencija sati rada i odmora pomoraca (Konvencija ILO-a br. 180, dio II., članak 8.1 ili MLC, 2006., norma A.2.3.12.);</w:t>
      </w:r>
    </w:p>
    <w:p w14:paraId="3BF99C38" w14:textId="38EE4B58" w:rsidR="00F9656B" w:rsidRPr="00903183" w:rsidRDefault="00BC493B" w:rsidP="00BC493B">
      <w:pPr>
        <w:pStyle w:val="Point0"/>
        <w:rPr>
          <w:noProof/>
        </w:rPr>
      </w:pPr>
      <w:r w:rsidRPr="00903183">
        <w:rPr>
          <w:noProof/>
        </w:rPr>
        <w:t>7.</w:t>
      </w:r>
      <w:r w:rsidRPr="00903183">
        <w:rPr>
          <w:noProof/>
        </w:rPr>
        <w:tab/>
        <w:t xml:space="preserve">svjedodžba o radu pomoraca (MLC, 2006., pravilo 5.1.3.); </w:t>
      </w:r>
    </w:p>
    <w:p w14:paraId="71EAD760" w14:textId="42C159B6" w:rsidR="00F9656B" w:rsidRPr="00903183" w:rsidRDefault="00BC493B" w:rsidP="00BC493B">
      <w:pPr>
        <w:pStyle w:val="Point0"/>
        <w:rPr>
          <w:noProof/>
        </w:rPr>
      </w:pPr>
      <w:r w:rsidRPr="00903183">
        <w:rPr>
          <w:noProof/>
        </w:rPr>
        <w:t>8.</w:t>
      </w:r>
      <w:r w:rsidRPr="00903183">
        <w:rPr>
          <w:noProof/>
        </w:rPr>
        <w:tab/>
        <w:t>izjava o svjedodžbi o radu pomoraca (MLC, 2006., pravilo 5.1.3.);</w:t>
      </w:r>
    </w:p>
    <w:p w14:paraId="59555F35" w14:textId="35EEBEB8" w:rsidR="00F9656B" w:rsidRPr="00903183" w:rsidRDefault="00BC493B" w:rsidP="00BC493B">
      <w:pPr>
        <w:pStyle w:val="Point0"/>
        <w:rPr>
          <w:noProof/>
        </w:rPr>
      </w:pPr>
      <w:r w:rsidRPr="00903183">
        <w:rPr>
          <w:noProof/>
        </w:rPr>
        <w:t>9.</w:t>
      </w:r>
      <w:r w:rsidRPr="00903183">
        <w:rPr>
          <w:noProof/>
        </w:rPr>
        <w:tab/>
        <w:t>deklaracija o zadovoljavanju uvjeta rada pomoraca (DMLC) na brodu (dijelovi I. i II.) (MLC, 2006., pravilo 5.1.3.);</w:t>
      </w:r>
    </w:p>
    <w:p w14:paraId="3B324C4C" w14:textId="399BA1DA" w:rsidR="00F9656B" w:rsidRPr="00903183" w:rsidRDefault="00BC493B" w:rsidP="00BC493B">
      <w:pPr>
        <w:pStyle w:val="Point0"/>
        <w:rPr>
          <w:noProof/>
        </w:rPr>
      </w:pPr>
      <w:r w:rsidRPr="00903183">
        <w:rPr>
          <w:noProof/>
        </w:rPr>
        <w:t>10.</w:t>
      </w:r>
      <w:r w:rsidRPr="00903183">
        <w:rPr>
          <w:noProof/>
        </w:rPr>
        <w:tab/>
        <w:t>ugovori o radu pomorca (MLC, 2006., norma A 2.1);</w:t>
      </w:r>
    </w:p>
    <w:p w14:paraId="13A5C37F" w14:textId="2F56FD3E" w:rsidR="00F9656B" w:rsidRPr="00903183" w:rsidRDefault="00BC493B" w:rsidP="00BC493B">
      <w:pPr>
        <w:pStyle w:val="Point0"/>
        <w:rPr>
          <w:noProof/>
        </w:rPr>
      </w:pPr>
      <w:r w:rsidRPr="00903183">
        <w:rPr>
          <w:noProof/>
        </w:rPr>
        <w:t>11.</w:t>
      </w:r>
      <w:r w:rsidRPr="00903183">
        <w:rPr>
          <w:noProof/>
        </w:rPr>
        <w:tab/>
        <w:t xml:space="preserve">polica osiguranja ili financijsko jamstvo za repatrijaciju pomoraca (MLC, 2006., pravilo 2.5); i </w:t>
      </w:r>
    </w:p>
    <w:p w14:paraId="1266E734" w14:textId="7733EF7F" w:rsidR="00BC0147" w:rsidRPr="00903183" w:rsidRDefault="00BC493B" w:rsidP="00BC493B">
      <w:pPr>
        <w:pStyle w:val="Point0"/>
        <w:rPr>
          <w:noProof/>
        </w:rPr>
        <w:sectPr w:rsidR="00BC0147" w:rsidRPr="00903183" w:rsidSect="00DA667C">
          <w:pgSz w:w="11907" w:h="16839"/>
          <w:pgMar w:top="1134" w:right="1417" w:bottom="1134" w:left="1417" w:header="709" w:footer="709" w:gutter="0"/>
          <w:cols w:space="720"/>
          <w:docGrid w:linePitch="360"/>
        </w:sectPr>
      </w:pPr>
      <w:r w:rsidRPr="00903183">
        <w:rPr>
          <w:noProof/>
        </w:rPr>
        <w:t>12.</w:t>
      </w:r>
      <w:r w:rsidRPr="00903183">
        <w:rPr>
          <w:noProof/>
        </w:rPr>
        <w:tab/>
        <w:t>polica osiguranja ili financijsko jamstvo za odgovornost brodovlasnika (MLC, 2006., pravilo 4.2.).”</w:t>
      </w:r>
    </w:p>
    <w:p w14:paraId="10C07296" w14:textId="772DDA81" w:rsidR="00BC0147" w:rsidRPr="00903183" w:rsidRDefault="00BC0147" w:rsidP="00BC0147">
      <w:pPr>
        <w:pStyle w:val="Annexetitre"/>
        <w:rPr>
          <w:noProof/>
        </w:rPr>
      </w:pPr>
      <w:r w:rsidRPr="00903183">
        <w:rPr>
          <w:noProof/>
        </w:rPr>
        <w:t>PRILOG IV.</w:t>
      </w:r>
    </w:p>
    <w:p w14:paraId="41F89CEA" w14:textId="77777777" w:rsidR="00BC0147" w:rsidRPr="00903183" w:rsidRDefault="00BC0147" w:rsidP="00BC0147">
      <w:pPr>
        <w:rPr>
          <w:noProof/>
        </w:rPr>
      </w:pPr>
    </w:p>
    <w:p w14:paraId="05837304" w14:textId="7188C1E5" w:rsidR="00492E88" w:rsidRPr="00903183" w:rsidRDefault="00492E88" w:rsidP="00492E88">
      <w:pPr>
        <w:pStyle w:val="NormalCentered"/>
        <w:rPr>
          <w:noProof/>
        </w:rPr>
      </w:pPr>
      <w:r w:rsidRPr="00903183">
        <w:rPr>
          <w:noProof/>
        </w:rPr>
        <w:t>„PRILOG VI.</w:t>
      </w:r>
    </w:p>
    <w:p w14:paraId="1EE01940" w14:textId="77777777" w:rsidR="00492E88" w:rsidRPr="00903183" w:rsidRDefault="00492E88" w:rsidP="00492E88">
      <w:pPr>
        <w:pStyle w:val="NormalCentered"/>
        <w:rPr>
          <w:noProof/>
        </w:rPr>
      </w:pPr>
      <w:r w:rsidRPr="00903183">
        <w:rPr>
          <w:noProof/>
        </w:rPr>
        <w:t>POSTUPCI ZA NADZOR BRODOVA</w:t>
      </w:r>
    </w:p>
    <w:p w14:paraId="163579F4" w14:textId="77777777" w:rsidR="00492E88" w:rsidRPr="00903183" w:rsidRDefault="00492E88" w:rsidP="00492E88">
      <w:pPr>
        <w:pStyle w:val="NormalCentered"/>
        <w:rPr>
          <w:noProof/>
        </w:rPr>
      </w:pPr>
      <w:r w:rsidRPr="00903183">
        <w:rPr>
          <w:noProof/>
        </w:rPr>
        <w:t>(naveden u članku 15. stavku 1.)</w:t>
      </w:r>
    </w:p>
    <w:p w14:paraId="1C9446FB" w14:textId="77777777" w:rsidR="00492E88" w:rsidRPr="00903183" w:rsidRDefault="00492E88" w:rsidP="00492E88">
      <w:pPr>
        <w:rPr>
          <w:noProof/>
        </w:rPr>
      </w:pPr>
    </w:p>
    <w:p w14:paraId="7F73CDA4" w14:textId="77777777" w:rsidR="00492E88" w:rsidRPr="00903183" w:rsidRDefault="00492E88" w:rsidP="00492E88">
      <w:pPr>
        <w:rPr>
          <w:noProof/>
        </w:rPr>
      </w:pPr>
      <w:r w:rsidRPr="00903183">
        <w:rPr>
          <w:noProof/>
        </w:rPr>
        <w:t>Prilog I. Pariškom memorandumu, „Postupci nadzora države luke”, te sljedeće upute iz Pariškog memoranduma, u ažuriranim verzijama:</w:t>
      </w:r>
    </w:p>
    <w:p w14:paraId="18A51134" w14:textId="77777777" w:rsidR="00492E88" w:rsidRPr="00903183" w:rsidRDefault="00492E88" w:rsidP="00492E88">
      <w:pPr>
        <w:rPr>
          <w:noProof/>
        </w:rPr>
      </w:pPr>
      <w:r w:rsidRPr="00903183">
        <w:rPr>
          <w:noProof/>
        </w:rPr>
        <w:t>PSCC Tehničke upute</w:t>
      </w:r>
    </w:p>
    <w:p w14:paraId="0F91BEDA" w14:textId="1C079A57" w:rsidR="00492E88" w:rsidRPr="00903183" w:rsidRDefault="00492E88" w:rsidP="00A73D3A">
      <w:pPr>
        <w:pStyle w:val="Tiret0"/>
        <w:numPr>
          <w:ilvl w:val="0"/>
          <w:numId w:val="14"/>
        </w:numPr>
        <w:rPr>
          <w:noProof/>
        </w:rPr>
      </w:pPr>
      <w:r w:rsidRPr="00903183">
        <w:rPr>
          <w:noProof/>
        </w:rPr>
        <w:t>PSCC41-2008-07 Kodeks ponašanja,</w:t>
      </w:r>
    </w:p>
    <w:p w14:paraId="65536532" w14:textId="2EA36350" w:rsidR="00492E88" w:rsidRPr="00903183" w:rsidRDefault="00492E88" w:rsidP="00A73D3A">
      <w:pPr>
        <w:pStyle w:val="Tiret0"/>
        <w:rPr>
          <w:noProof/>
        </w:rPr>
      </w:pPr>
      <w:r w:rsidRPr="00903183">
        <w:rPr>
          <w:noProof/>
        </w:rPr>
        <w:t>PSCC53-2020-08 Definicije i kratice,</w:t>
      </w:r>
    </w:p>
    <w:p w14:paraId="4B5E0B40" w14:textId="77777777" w:rsidR="00492E88" w:rsidRPr="00903183" w:rsidRDefault="00492E88" w:rsidP="00492E88">
      <w:pPr>
        <w:rPr>
          <w:noProof/>
        </w:rPr>
      </w:pPr>
      <w:r w:rsidRPr="00903183">
        <w:rPr>
          <w:noProof/>
        </w:rPr>
        <w:t>Opći Pariški memorandum o suglasnosti</w:t>
      </w:r>
    </w:p>
    <w:p w14:paraId="71E27927" w14:textId="6DE2ECE5" w:rsidR="00492E88" w:rsidRPr="00903183" w:rsidRDefault="00492E88" w:rsidP="00792940">
      <w:pPr>
        <w:pStyle w:val="Tiret0"/>
        <w:numPr>
          <w:ilvl w:val="0"/>
          <w:numId w:val="1"/>
        </w:numPr>
        <w:rPr>
          <w:noProof/>
        </w:rPr>
      </w:pPr>
      <w:r w:rsidRPr="00903183">
        <w:rPr>
          <w:noProof/>
        </w:rPr>
        <w:t>PSCC54-2021-03 Vrsta inspekcijskog pregleda,</w:t>
      </w:r>
    </w:p>
    <w:p w14:paraId="184EC462" w14:textId="52A864E6" w:rsidR="00492E88" w:rsidRPr="00903183" w:rsidRDefault="00492E88" w:rsidP="00792940">
      <w:pPr>
        <w:pStyle w:val="Tiret0"/>
        <w:numPr>
          <w:ilvl w:val="0"/>
          <w:numId w:val="1"/>
        </w:numPr>
        <w:rPr>
          <w:noProof/>
        </w:rPr>
      </w:pPr>
      <w:r w:rsidRPr="00903183">
        <w:rPr>
          <w:noProof/>
        </w:rPr>
        <w:t>PSCC55-2022-10 Zabrana plovidbe i poduzete mjere,</w:t>
      </w:r>
    </w:p>
    <w:p w14:paraId="20D096C8" w14:textId="332147B8" w:rsidR="00492E88" w:rsidRPr="00903183" w:rsidRDefault="00492E88" w:rsidP="00792940">
      <w:pPr>
        <w:pStyle w:val="Tiret0"/>
        <w:numPr>
          <w:ilvl w:val="0"/>
          <w:numId w:val="1"/>
        </w:numPr>
        <w:rPr>
          <w:noProof/>
        </w:rPr>
      </w:pPr>
      <w:r w:rsidRPr="00903183">
        <w:rPr>
          <w:noProof/>
        </w:rPr>
        <w:t>PSCC55-2022-08 Predložak obrazaca,</w:t>
      </w:r>
    </w:p>
    <w:p w14:paraId="7D352C74" w14:textId="7AC5F911" w:rsidR="00492E88" w:rsidRPr="00903183" w:rsidRDefault="00492E88" w:rsidP="00792940">
      <w:pPr>
        <w:pStyle w:val="Tiret0"/>
        <w:numPr>
          <w:ilvl w:val="0"/>
          <w:numId w:val="1"/>
        </w:numPr>
        <w:rPr>
          <w:noProof/>
        </w:rPr>
      </w:pPr>
      <w:r w:rsidRPr="00903183">
        <w:rPr>
          <w:noProof/>
        </w:rPr>
        <w:t>PSCC52-2019-05 Operativna kontrola,</w:t>
      </w:r>
    </w:p>
    <w:p w14:paraId="7BF74803" w14:textId="127C5492" w:rsidR="00492E88" w:rsidRPr="00903183" w:rsidRDefault="00492E88" w:rsidP="00792940">
      <w:pPr>
        <w:pStyle w:val="Tiret0"/>
        <w:numPr>
          <w:ilvl w:val="0"/>
          <w:numId w:val="1"/>
        </w:numPr>
        <w:rPr>
          <w:noProof/>
        </w:rPr>
      </w:pPr>
      <w:r w:rsidRPr="00903183">
        <w:rPr>
          <w:noProof/>
        </w:rPr>
        <w:t>PSS43-2010-11 Izuzeća države zastave,</w:t>
      </w:r>
    </w:p>
    <w:p w14:paraId="58928E41" w14:textId="60FAECBC" w:rsidR="00492E88" w:rsidRPr="00903183" w:rsidRDefault="00492E88" w:rsidP="00792940">
      <w:pPr>
        <w:pStyle w:val="Tiret0"/>
        <w:numPr>
          <w:ilvl w:val="0"/>
          <w:numId w:val="1"/>
        </w:numPr>
        <w:rPr>
          <w:noProof/>
        </w:rPr>
      </w:pPr>
      <w:r w:rsidRPr="00903183">
        <w:rPr>
          <w:noProof/>
        </w:rPr>
        <w:t>PSCC48-2015-09 Odgovornost priznate organizacije,</w:t>
      </w:r>
    </w:p>
    <w:p w14:paraId="09683480" w14:textId="085B1EE6" w:rsidR="00492E88" w:rsidRPr="00903183" w:rsidRDefault="00492E88" w:rsidP="00792940">
      <w:pPr>
        <w:pStyle w:val="Tiret0"/>
        <w:numPr>
          <w:ilvl w:val="0"/>
          <w:numId w:val="1"/>
        </w:numPr>
        <w:rPr>
          <w:noProof/>
        </w:rPr>
      </w:pPr>
      <w:r w:rsidRPr="00903183">
        <w:rPr>
          <w:noProof/>
        </w:rPr>
        <w:t>PSCC51 Zabrana operacija,</w:t>
      </w:r>
    </w:p>
    <w:p w14:paraId="7DB2C0A7" w14:textId="0DAF7BF5" w:rsidR="00492E88" w:rsidRPr="00903183" w:rsidRDefault="00492E88" w:rsidP="00792940">
      <w:pPr>
        <w:pStyle w:val="Tiret0"/>
        <w:numPr>
          <w:ilvl w:val="0"/>
          <w:numId w:val="1"/>
        </w:numPr>
        <w:rPr>
          <w:noProof/>
        </w:rPr>
      </w:pPr>
      <w:r w:rsidRPr="00903183">
        <w:rPr>
          <w:noProof/>
        </w:rPr>
        <w:t xml:space="preserve">PSCC49-2016-11 Test ispada električnog sustava, </w:t>
      </w:r>
    </w:p>
    <w:p w14:paraId="4D95C2AC" w14:textId="0F582364" w:rsidR="00492E88" w:rsidRPr="00903183" w:rsidRDefault="00492E88" w:rsidP="00792940">
      <w:pPr>
        <w:pStyle w:val="Tiret0"/>
        <w:numPr>
          <w:ilvl w:val="0"/>
          <w:numId w:val="1"/>
        </w:numPr>
        <w:rPr>
          <w:noProof/>
        </w:rPr>
      </w:pPr>
      <w:r w:rsidRPr="00903183">
        <w:rPr>
          <w:noProof/>
        </w:rPr>
        <w:t>PSCC53-2020-06 Odbijanje uplovljavanja (zabrana),</w:t>
      </w:r>
    </w:p>
    <w:p w14:paraId="055A3201" w14:textId="29F02560" w:rsidR="00492E88" w:rsidRPr="00903183" w:rsidRDefault="00492E88" w:rsidP="00792940">
      <w:pPr>
        <w:pStyle w:val="Tiret0"/>
        <w:numPr>
          <w:ilvl w:val="0"/>
          <w:numId w:val="1"/>
        </w:numPr>
        <w:rPr>
          <w:noProof/>
        </w:rPr>
      </w:pPr>
      <w:r w:rsidRPr="00903183">
        <w:rPr>
          <w:noProof/>
        </w:rPr>
        <w:t>PSCC50-2017-12 Konstrukcija brodova za rasuti teret/tankera za ulje,</w:t>
      </w:r>
    </w:p>
    <w:p w14:paraId="703D0AF4" w14:textId="4480278E" w:rsidR="00492E88" w:rsidRPr="00903183" w:rsidRDefault="00492E88" w:rsidP="00792940">
      <w:pPr>
        <w:pStyle w:val="Tiret0"/>
        <w:numPr>
          <w:ilvl w:val="0"/>
          <w:numId w:val="1"/>
        </w:numPr>
        <w:rPr>
          <w:noProof/>
        </w:rPr>
      </w:pPr>
      <w:r w:rsidRPr="00903183">
        <w:rPr>
          <w:noProof/>
        </w:rPr>
        <w:t>PSCC43-2010-06 Smještaj na suhi dok,</w:t>
      </w:r>
    </w:p>
    <w:p w14:paraId="70DA347D" w14:textId="5601A6DE" w:rsidR="00492E88" w:rsidRPr="00903183" w:rsidRDefault="00492E88" w:rsidP="00792940">
      <w:pPr>
        <w:pStyle w:val="Tiret0"/>
        <w:numPr>
          <w:ilvl w:val="0"/>
          <w:numId w:val="1"/>
        </w:numPr>
        <w:rPr>
          <w:noProof/>
        </w:rPr>
      </w:pPr>
      <w:r w:rsidRPr="00903183">
        <w:rPr>
          <w:noProof/>
        </w:rPr>
        <w:t>PSCC53-2020-11 Dopuštanje jednog putovanja do remontnog brodogradilišta zbog nedostataka povezanih sa „slučajnim oštećenjima”,</w:t>
      </w:r>
    </w:p>
    <w:p w14:paraId="7E1C975E" w14:textId="77777777" w:rsidR="00492E88" w:rsidRPr="00903183" w:rsidRDefault="00492E88" w:rsidP="00492E88">
      <w:pPr>
        <w:rPr>
          <w:noProof/>
        </w:rPr>
      </w:pPr>
      <w:r w:rsidRPr="00903183">
        <w:rPr>
          <w:noProof/>
        </w:rPr>
        <w:t>Konvencija SOLAS</w:t>
      </w:r>
    </w:p>
    <w:p w14:paraId="29E7EA02" w14:textId="1FE05A80" w:rsidR="00492E88" w:rsidRPr="00903183" w:rsidRDefault="00492E88" w:rsidP="00792940">
      <w:pPr>
        <w:pStyle w:val="Tiret0"/>
        <w:numPr>
          <w:ilvl w:val="0"/>
          <w:numId w:val="2"/>
        </w:numPr>
        <w:rPr>
          <w:noProof/>
        </w:rPr>
      </w:pPr>
      <w:r w:rsidRPr="00903183">
        <w:rPr>
          <w:noProof/>
        </w:rPr>
        <w:t>PSCC55-2022-09 Kodeks ISM,</w:t>
      </w:r>
    </w:p>
    <w:p w14:paraId="4109281E" w14:textId="1716E44E" w:rsidR="00492E88" w:rsidRPr="00903183" w:rsidRDefault="00492E88" w:rsidP="00792940">
      <w:pPr>
        <w:pStyle w:val="Tiret0"/>
        <w:numPr>
          <w:ilvl w:val="0"/>
          <w:numId w:val="2"/>
        </w:numPr>
        <w:rPr>
          <w:noProof/>
        </w:rPr>
      </w:pPr>
      <w:r w:rsidRPr="00903183">
        <w:rPr>
          <w:noProof/>
        </w:rPr>
        <w:t>PSCC54-2021-02 Kodeks ISPS,</w:t>
      </w:r>
    </w:p>
    <w:p w14:paraId="1754D520" w14:textId="19CB344D" w:rsidR="00492E88" w:rsidRPr="00903183" w:rsidRDefault="00492E88" w:rsidP="00792940">
      <w:pPr>
        <w:pStyle w:val="Tiret0"/>
        <w:numPr>
          <w:ilvl w:val="0"/>
          <w:numId w:val="2"/>
        </w:numPr>
        <w:rPr>
          <w:noProof/>
        </w:rPr>
      </w:pPr>
      <w:r w:rsidRPr="00903183">
        <w:rPr>
          <w:noProof/>
        </w:rPr>
        <w:t>PSCC51-2018-12 ECDIS,</w:t>
      </w:r>
    </w:p>
    <w:p w14:paraId="2C80F861" w14:textId="22935EC5" w:rsidR="00492E88" w:rsidRPr="00903183" w:rsidRDefault="00492E88" w:rsidP="00792940">
      <w:pPr>
        <w:pStyle w:val="Tiret0"/>
        <w:numPr>
          <w:ilvl w:val="0"/>
          <w:numId w:val="2"/>
        </w:numPr>
        <w:rPr>
          <w:noProof/>
        </w:rPr>
      </w:pPr>
      <w:r w:rsidRPr="00903183">
        <w:rPr>
          <w:noProof/>
        </w:rPr>
        <w:t>PSCC43-2010-32 VDR (uređaji za snimanje podataka o putovanju),</w:t>
      </w:r>
    </w:p>
    <w:p w14:paraId="6AC56D37" w14:textId="2BC03D70" w:rsidR="00492E88" w:rsidRPr="00903183" w:rsidRDefault="00492E88" w:rsidP="00792940">
      <w:pPr>
        <w:pStyle w:val="Tiret0"/>
        <w:numPr>
          <w:ilvl w:val="0"/>
          <w:numId w:val="2"/>
        </w:numPr>
        <w:rPr>
          <w:noProof/>
        </w:rPr>
      </w:pPr>
      <w:r w:rsidRPr="00903183">
        <w:rPr>
          <w:noProof/>
        </w:rPr>
        <w:t>PSCC43-2010-09 Sigurnosno-tehnički listovi materijala,</w:t>
      </w:r>
    </w:p>
    <w:p w14:paraId="32FBB7DD" w14:textId="3EA4ECDF" w:rsidR="00492E88" w:rsidRPr="00903183" w:rsidRDefault="00492E88" w:rsidP="00792940">
      <w:pPr>
        <w:pStyle w:val="Tiret0"/>
        <w:numPr>
          <w:ilvl w:val="0"/>
          <w:numId w:val="2"/>
        </w:numPr>
        <w:rPr>
          <w:noProof/>
        </w:rPr>
      </w:pPr>
      <w:r w:rsidRPr="00903183">
        <w:rPr>
          <w:noProof/>
        </w:rPr>
        <w:t>PSCC43-2010-21 GMDSS,</w:t>
      </w:r>
    </w:p>
    <w:p w14:paraId="7DC96DE0" w14:textId="0A29549A" w:rsidR="00492E88" w:rsidRPr="00903183" w:rsidRDefault="00492E88" w:rsidP="00792940">
      <w:pPr>
        <w:pStyle w:val="Tiret0"/>
        <w:numPr>
          <w:ilvl w:val="0"/>
          <w:numId w:val="2"/>
        </w:numPr>
        <w:rPr>
          <w:noProof/>
        </w:rPr>
      </w:pPr>
      <w:r w:rsidRPr="00903183">
        <w:rPr>
          <w:noProof/>
        </w:rPr>
        <w:t>PSCC44-2011-16 Kuke za otpuštanje brodica za spašavanje pri opterećenju,</w:t>
      </w:r>
    </w:p>
    <w:p w14:paraId="33892D5A" w14:textId="512C10DF" w:rsidR="00492E88" w:rsidRPr="00903183" w:rsidRDefault="00492E88" w:rsidP="00792940">
      <w:pPr>
        <w:pStyle w:val="Tiret0"/>
        <w:numPr>
          <w:ilvl w:val="0"/>
          <w:numId w:val="2"/>
        </w:numPr>
        <w:rPr>
          <w:noProof/>
        </w:rPr>
      </w:pPr>
      <w:r w:rsidRPr="00903183">
        <w:rPr>
          <w:noProof/>
        </w:rPr>
        <w:t>PSCC45-2012-10 Stabilnost u slučaju oštećenja na tankerima,</w:t>
      </w:r>
    </w:p>
    <w:p w14:paraId="309D9CA7" w14:textId="16342A20" w:rsidR="00492E88" w:rsidRPr="00903183" w:rsidRDefault="00492E88" w:rsidP="00792940">
      <w:pPr>
        <w:pStyle w:val="Tiret0"/>
        <w:numPr>
          <w:ilvl w:val="0"/>
          <w:numId w:val="2"/>
        </w:numPr>
        <w:rPr>
          <w:noProof/>
        </w:rPr>
      </w:pPr>
      <w:r w:rsidRPr="00903183">
        <w:rPr>
          <w:noProof/>
        </w:rPr>
        <w:t>PSCC55-2022-05 LRIT,</w:t>
      </w:r>
    </w:p>
    <w:p w14:paraId="298F8D08" w14:textId="305E252E" w:rsidR="00492E88" w:rsidRPr="00903183" w:rsidRDefault="00492E88" w:rsidP="00792940">
      <w:pPr>
        <w:pStyle w:val="Tiret0"/>
        <w:numPr>
          <w:ilvl w:val="0"/>
          <w:numId w:val="2"/>
        </w:numPr>
        <w:rPr>
          <w:noProof/>
        </w:rPr>
      </w:pPr>
      <w:r w:rsidRPr="00903183">
        <w:rPr>
          <w:noProof/>
        </w:rPr>
        <w:t>PSCC43-2010-28 Mjerenje debljine ESP/CAS,</w:t>
      </w:r>
    </w:p>
    <w:p w14:paraId="032247FF" w14:textId="416EFFF7" w:rsidR="00492E88" w:rsidRPr="00903183" w:rsidRDefault="00492E88" w:rsidP="00792940">
      <w:pPr>
        <w:pStyle w:val="Tiret0"/>
        <w:numPr>
          <w:ilvl w:val="0"/>
          <w:numId w:val="2"/>
        </w:numPr>
        <w:rPr>
          <w:noProof/>
        </w:rPr>
      </w:pPr>
      <w:r w:rsidRPr="00903183">
        <w:rPr>
          <w:noProof/>
        </w:rPr>
        <w:t>PSCC43-2010-29 Mjerenje debljine,</w:t>
      </w:r>
    </w:p>
    <w:p w14:paraId="5530BE2E" w14:textId="49F185AC" w:rsidR="00492E88" w:rsidRPr="00903183" w:rsidRDefault="00492E88" w:rsidP="00792940">
      <w:pPr>
        <w:pStyle w:val="Tiret0"/>
        <w:numPr>
          <w:ilvl w:val="0"/>
          <w:numId w:val="2"/>
        </w:numPr>
        <w:rPr>
          <w:noProof/>
        </w:rPr>
      </w:pPr>
      <w:r w:rsidRPr="00903183">
        <w:rPr>
          <w:noProof/>
        </w:rPr>
        <w:t>PSCC51-2018-11 Polarni kodeks,</w:t>
      </w:r>
    </w:p>
    <w:p w14:paraId="49FCBB90" w14:textId="13D1F23B" w:rsidR="00492E88" w:rsidRPr="00903183" w:rsidRDefault="00492E88" w:rsidP="00792940">
      <w:pPr>
        <w:pStyle w:val="Tiret0"/>
        <w:numPr>
          <w:ilvl w:val="0"/>
          <w:numId w:val="2"/>
        </w:numPr>
        <w:rPr>
          <w:noProof/>
        </w:rPr>
      </w:pPr>
      <w:r w:rsidRPr="00903183">
        <w:rPr>
          <w:noProof/>
        </w:rPr>
        <w:t>PSCC55-2022-02 Kodeks IGF,</w:t>
      </w:r>
    </w:p>
    <w:p w14:paraId="7FB44D6A" w14:textId="77777777" w:rsidR="00492E88" w:rsidRPr="00903183" w:rsidRDefault="00492E88" w:rsidP="00492E88">
      <w:pPr>
        <w:rPr>
          <w:noProof/>
        </w:rPr>
      </w:pPr>
      <w:r w:rsidRPr="00903183">
        <w:rPr>
          <w:noProof/>
        </w:rPr>
        <w:t>Konvencija MARPOL</w:t>
      </w:r>
    </w:p>
    <w:p w14:paraId="430ACE00" w14:textId="030980CD" w:rsidR="00492E88" w:rsidRPr="00903183" w:rsidRDefault="00492E88" w:rsidP="00792940">
      <w:pPr>
        <w:pStyle w:val="Tiret0"/>
        <w:numPr>
          <w:ilvl w:val="0"/>
          <w:numId w:val="3"/>
        </w:numPr>
        <w:rPr>
          <w:noProof/>
        </w:rPr>
      </w:pPr>
      <w:r w:rsidRPr="00903183">
        <w:rPr>
          <w:noProof/>
        </w:rPr>
        <w:t>PSCC46-2013-18 MARPOL, Prilog I. Separator zauljene vode,</w:t>
      </w:r>
    </w:p>
    <w:p w14:paraId="108D9E75" w14:textId="53E0C269" w:rsidR="00492E88" w:rsidRPr="00903183" w:rsidRDefault="00492E88" w:rsidP="00792940">
      <w:pPr>
        <w:pStyle w:val="Tiret0"/>
        <w:numPr>
          <w:ilvl w:val="0"/>
          <w:numId w:val="3"/>
        </w:numPr>
        <w:rPr>
          <w:noProof/>
        </w:rPr>
      </w:pPr>
      <w:r w:rsidRPr="00903183">
        <w:rPr>
          <w:noProof/>
        </w:rPr>
        <w:t>PSCC43-2010-39 MARPOL, Prilog II. Čišćenje tanka,</w:t>
      </w:r>
    </w:p>
    <w:p w14:paraId="2404BAC8" w14:textId="105CDF7A" w:rsidR="00492E88" w:rsidRPr="00903183" w:rsidRDefault="00492E88" w:rsidP="00792940">
      <w:pPr>
        <w:pStyle w:val="Tiret0"/>
        <w:numPr>
          <w:ilvl w:val="0"/>
          <w:numId w:val="3"/>
        </w:numPr>
        <w:rPr>
          <w:noProof/>
        </w:rPr>
      </w:pPr>
      <w:r w:rsidRPr="00903183">
        <w:rPr>
          <w:noProof/>
        </w:rPr>
        <w:t>PSCC47-2014-08 MARPOL, Prilog III. IMDG,</w:t>
      </w:r>
    </w:p>
    <w:p w14:paraId="647E610C" w14:textId="0C8F6020" w:rsidR="00492E88" w:rsidRPr="00903183" w:rsidRDefault="00492E88" w:rsidP="00792940">
      <w:pPr>
        <w:pStyle w:val="Tiret0"/>
        <w:numPr>
          <w:ilvl w:val="0"/>
          <w:numId w:val="3"/>
        </w:numPr>
        <w:rPr>
          <w:noProof/>
        </w:rPr>
      </w:pPr>
      <w:r w:rsidRPr="00903183">
        <w:rPr>
          <w:noProof/>
        </w:rPr>
        <w:t>PSCC55-2022-07 MARPOL, Prilog IV. Sanitarne otpadne vode,</w:t>
      </w:r>
    </w:p>
    <w:p w14:paraId="5F5DF3C2" w14:textId="53580930" w:rsidR="00492E88" w:rsidRPr="00903183" w:rsidRDefault="00492E88" w:rsidP="00792940">
      <w:pPr>
        <w:pStyle w:val="Tiret0"/>
        <w:numPr>
          <w:ilvl w:val="0"/>
          <w:numId w:val="3"/>
        </w:numPr>
        <w:rPr>
          <w:noProof/>
        </w:rPr>
      </w:pPr>
      <w:r w:rsidRPr="00903183">
        <w:rPr>
          <w:noProof/>
        </w:rPr>
        <w:t>PSCC52-2019-07 MARPOL, Prilog V. Smeće,</w:t>
      </w:r>
    </w:p>
    <w:p w14:paraId="325D309F" w14:textId="250B5469" w:rsidR="00492E88" w:rsidRPr="00903183" w:rsidRDefault="00492E88" w:rsidP="00792940">
      <w:pPr>
        <w:pStyle w:val="Tiret0"/>
        <w:numPr>
          <w:ilvl w:val="0"/>
          <w:numId w:val="3"/>
        </w:numPr>
        <w:rPr>
          <w:noProof/>
        </w:rPr>
      </w:pPr>
      <w:r w:rsidRPr="00903183">
        <w:rPr>
          <w:noProof/>
        </w:rPr>
        <w:t>PSCC55-2022-11 MARPOL, Prilog VI. Onečišćenje zraka,</w:t>
      </w:r>
    </w:p>
    <w:p w14:paraId="3C1F00C1" w14:textId="78B74C8B" w:rsidR="00492E88" w:rsidRPr="00903183" w:rsidRDefault="00492E88" w:rsidP="00792940">
      <w:pPr>
        <w:pStyle w:val="Tiret0"/>
        <w:numPr>
          <w:ilvl w:val="0"/>
          <w:numId w:val="3"/>
        </w:numPr>
        <w:rPr>
          <w:noProof/>
        </w:rPr>
      </w:pPr>
      <w:r w:rsidRPr="00903183">
        <w:rPr>
          <w:noProof/>
        </w:rPr>
        <w:t>PSCC43-2010-38 Ispiranje sirovom naftom,</w:t>
      </w:r>
    </w:p>
    <w:p w14:paraId="0C6CC069" w14:textId="1C822FE2" w:rsidR="00492E88" w:rsidRPr="00903183" w:rsidRDefault="00492E88" w:rsidP="00792940">
      <w:pPr>
        <w:pStyle w:val="Tiret0"/>
        <w:numPr>
          <w:ilvl w:val="0"/>
          <w:numId w:val="3"/>
        </w:numPr>
        <w:rPr>
          <w:noProof/>
        </w:rPr>
      </w:pPr>
      <w:r w:rsidRPr="00903183">
        <w:rPr>
          <w:noProof/>
        </w:rPr>
        <w:t>PSCC44-2011-20 MARPOL, Istraga,</w:t>
      </w:r>
    </w:p>
    <w:p w14:paraId="431E3CE2" w14:textId="0258CC7A" w:rsidR="00492E88" w:rsidRPr="00903183" w:rsidRDefault="00492E88" w:rsidP="00792940">
      <w:pPr>
        <w:pStyle w:val="Tiret0"/>
        <w:numPr>
          <w:ilvl w:val="0"/>
          <w:numId w:val="3"/>
        </w:numPr>
        <w:rPr>
          <w:noProof/>
        </w:rPr>
      </w:pPr>
      <w:r w:rsidRPr="00903183">
        <w:rPr>
          <w:noProof/>
        </w:rPr>
        <w:t>Međunarodna konvencija o teretnim linijama</w:t>
      </w:r>
    </w:p>
    <w:p w14:paraId="7A12818A" w14:textId="1D8A50FA" w:rsidR="00492E88" w:rsidRPr="00903183" w:rsidRDefault="00492E88" w:rsidP="00792940">
      <w:pPr>
        <w:pStyle w:val="Tiret0"/>
        <w:numPr>
          <w:ilvl w:val="0"/>
          <w:numId w:val="3"/>
        </w:numPr>
        <w:rPr>
          <w:noProof/>
        </w:rPr>
      </w:pPr>
      <w:r w:rsidRPr="00903183">
        <w:rPr>
          <w:noProof/>
        </w:rPr>
        <w:t>PSCC54-2021-06 Međunarodna konvencija o teretnim linijama,</w:t>
      </w:r>
    </w:p>
    <w:p w14:paraId="33008A5D" w14:textId="77777777" w:rsidR="00492E88" w:rsidRPr="00903183" w:rsidRDefault="00492E88" w:rsidP="00492E88">
      <w:pPr>
        <w:rPr>
          <w:noProof/>
        </w:rPr>
      </w:pPr>
      <w:r w:rsidRPr="00903183">
        <w:rPr>
          <w:noProof/>
        </w:rPr>
        <w:t>Konvencija AFS</w:t>
      </w:r>
    </w:p>
    <w:p w14:paraId="36C8D5BF" w14:textId="56957966" w:rsidR="00492E88" w:rsidRPr="00903183" w:rsidRDefault="00492E88" w:rsidP="00792940">
      <w:pPr>
        <w:pStyle w:val="Tiret0"/>
        <w:numPr>
          <w:ilvl w:val="0"/>
          <w:numId w:val="4"/>
        </w:numPr>
        <w:rPr>
          <w:noProof/>
        </w:rPr>
      </w:pPr>
      <w:r w:rsidRPr="00903183">
        <w:rPr>
          <w:noProof/>
        </w:rPr>
        <w:t>PSCC47-2014-13 Sustavi protiv obrastanja,</w:t>
      </w:r>
    </w:p>
    <w:p w14:paraId="51BCD08F" w14:textId="77777777" w:rsidR="00492E88" w:rsidRPr="00903183" w:rsidRDefault="00492E88" w:rsidP="00492E88">
      <w:pPr>
        <w:rPr>
          <w:noProof/>
        </w:rPr>
      </w:pPr>
      <w:r w:rsidRPr="00903183">
        <w:rPr>
          <w:noProof/>
        </w:rPr>
        <w:t>Konvencija o pogonskom ulju</w:t>
      </w:r>
    </w:p>
    <w:p w14:paraId="5399E56D" w14:textId="26F9980D" w:rsidR="00492E88" w:rsidRPr="00903183" w:rsidRDefault="00492E88" w:rsidP="00792940">
      <w:pPr>
        <w:pStyle w:val="Tiret0"/>
        <w:numPr>
          <w:ilvl w:val="0"/>
          <w:numId w:val="5"/>
        </w:numPr>
        <w:rPr>
          <w:noProof/>
        </w:rPr>
      </w:pPr>
      <w:r w:rsidRPr="00903183">
        <w:rPr>
          <w:noProof/>
        </w:rPr>
        <w:t>PSCC43-2010-08 Konvencija o pogonskom ulju,</w:t>
      </w:r>
    </w:p>
    <w:p w14:paraId="52035A84" w14:textId="386BD089" w:rsidR="00492E88" w:rsidRPr="00903183" w:rsidRDefault="00492E88" w:rsidP="00792940">
      <w:pPr>
        <w:pStyle w:val="Tiret0"/>
        <w:numPr>
          <w:ilvl w:val="0"/>
          <w:numId w:val="5"/>
        </w:numPr>
        <w:rPr>
          <w:noProof/>
        </w:rPr>
      </w:pPr>
      <w:r w:rsidRPr="00903183">
        <w:rPr>
          <w:noProof/>
        </w:rPr>
        <w:t>Izdavanje svjedodžbi pomorcima i posadi</w:t>
      </w:r>
    </w:p>
    <w:p w14:paraId="65B46493" w14:textId="445A646A" w:rsidR="00492E88" w:rsidRPr="00903183" w:rsidRDefault="00492E88" w:rsidP="00792940">
      <w:pPr>
        <w:pStyle w:val="Tiret0"/>
        <w:numPr>
          <w:ilvl w:val="0"/>
          <w:numId w:val="5"/>
        </w:numPr>
        <w:rPr>
          <w:noProof/>
        </w:rPr>
      </w:pPr>
      <w:r w:rsidRPr="00903183">
        <w:rPr>
          <w:noProof/>
        </w:rPr>
        <w:t>PSCC54-2021-04 Izdavanje svjedodžbi pomorcima i posadi (STCW, MLC i SOLAS),</w:t>
      </w:r>
    </w:p>
    <w:p w14:paraId="54834773" w14:textId="485D96F5" w:rsidR="00492E88" w:rsidRPr="00903183" w:rsidRDefault="00492E88" w:rsidP="00792940">
      <w:pPr>
        <w:pStyle w:val="Tiret0"/>
        <w:numPr>
          <w:ilvl w:val="0"/>
          <w:numId w:val="5"/>
        </w:numPr>
        <w:rPr>
          <w:noProof/>
        </w:rPr>
      </w:pPr>
      <w:r w:rsidRPr="00903183">
        <w:rPr>
          <w:noProof/>
        </w:rPr>
        <w:t>Konvencija o upravljanju balastnim vodama</w:t>
      </w:r>
    </w:p>
    <w:p w14:paraId="4B58DDC5" w14:textId="22F3EB34" w:rsidR="00492E88" w:rsidRPr="00903183" w:rsidRDefault="00492E88" w:rsidP="00792940">
      <w:pPr>
        <w:pStyle w:val="Tiret0"/>
        <w:numPr>
          <w:ilvl w:val="0"/>
          <w:numId w:val="5"/>
        </w:numPr>
        <w:rPr>
          <w:noProof/>
        </w:rPr>
      </w:pPr>
      <w:r w:rsidRPr="00903183">
        <w:rPr>
          <w:noProof/>
        </w:rPr>
        <w:t>PSCC51-2018-09 Konvencija o upravljanju balastnim vodama,</w:t>
      </w:r>
    </w:p>
    <w:p w14:paraId="2B40A3FC" w14:textId="77777777" w:rsidR="00492E88" w:rsidRPr="00903183" w:rsidRDefault="00492E88" w:rsidP="00492E88">
      <w:pPr>
        <w:rPr>
          <w:noProof/>
        </w:rPr>
      </w:pPr>
      <w:r w:rsidRPr="00903183">
        <w:rPr>
          <w:noProof/>
        </w:rPr>
        <w:t>Konvencije ILO-a</w:t>
      </w:r>
    </w:p>
    <w:p w14:paraId="69DFD715" w14:textId="1248B985" w:rsidR="00492E88" w:rsidRPr="00903183" w:rsidRDefault="00492E88" w:rsidP="00792940">
      <w:pPr>
        <w:pStyle w:val="Tiret0"/>
        <w:numPr>
          <w:ilvl w:val="0"/>
          <w:numId w:val="6"/>
        </w:numPr>
        <w:rPr>
          <w:noProof/>
        </w:rPr>
      </w:pPr>
      <w:r w:rsidRPr="00903183">
        <w:rPr>
          <w:noProof/>
        </w:rPr>
        <w:t xml:space="preserve">PSCC52-2019-10 Konvencija o radu pomoraca, 2006. (MLC), </w:t>
      </w:r>
    </w:p>
    <w:p w14:paraId="4B4B26FB" w14:textId="62CBD600" w:rsidR="00492E88" w:rsidRPr="00903183" w:rsidRDefault="00492E88" w:rsidP="00792940">
      <w:pPr>
        <w:pStyle w:val="Tiret0"/>
        <w:numPr>
          <w:ilvl w:val="0"/>
          <w:numId w:val="6"/>
        </w:numPr>
        <w:rPr>
          <w:noProof/>
        </w:rPr>
      </w:pPr>
      <w:r w:rsidRPr="00903183">
        <w:rPr>
          <w:noProof/>
        </w:rPr>
        <w:t xml:space="preserve">PSCC53-2020-14 Sati rada ili odmora i sposobnost za obavljanje dužnosti.” </w:t>
      </w:r>
    </w:p>
    <w:p w14:paraId="79A88E3A" w14:textId="1D2349AC" w:rsidR="00BC0147" w:rsidRPr="00903183" w:rsidRDefault="00492E88" w:rsidP="00492E88">
      <w:pPr>
        <w:rPr>
          <w:noProof/>
        </w:rPr>
        <w:sectPr w:rsidR="00BC0147" w:rsidRPr="00903183" w:rsidSect="00DA667C">
          <w:pgSz w:w="11907" w:h="16839"/>
          <w:pgMar w:top="1134" w:right="1417" w:bottom="1134" w:left="1417" w:header="709" w:footer="709" w:gutter="0"/>
          <w:cols w:space="720"/>
          <w:docGrid w:linePitch="360"/>
        </w:sectPr>
      </w:pPr>
      <w:r w:rsidRPr="00903183">
        <w:rPr>
          <w:noProof/>
        </w:rPr>
        <w:t xml:space="preserve"> </w:t>
      </w:r>
    </w:p>
    <w:p w14:paraId="52654360" w14:textId="23140A4D" w:rsidR="00BC0147" w:rsidRPr="00903183" w:rsidRDefault="00BC0147" w:rsidP="00BC0147">
      <w:pPr>
        <w:pStyle w:val="Annexetitre"/>
        <w:rPr>
          <w:noProof/>
        </w:rPr>
      </w:pPr>
      <w:r w:rsidRPr="00903183">
        <w:rPr>
          <w:noProof/>
        </w:rPr>
        <w:t>PRILOG V.</w:t>
      </w:r>
    </w:p>
    <w:p w14:paraId="575AD333" w14:textId="76C5329E" w:rsidR="00492E88" w:rsidRPr="00903183" w:rsidRDefault="00492E88" w:rsidP="00492E88">
      <w:pPr>
        <w:pStyle w:val="NormalCentered"/>
        <w:rPr>
          <w:noProof/>
        </w:rPr>
      </w:pPr>
      <w:r w:rsidRPr="00903183">
        <w:rPr>
          <w:noProof/>
        </w:rPr>
        <w:t>„PRILOG VIII.</w:t>
      </w:r>
    </w:p>
    <w:p w14:paraId="52653314" w14:textId="77777777" w:rsidR="00492E88" w:rsidRPr="00903183" w:rsidRDefault="00492E88" w:rsidP="00492E88">
      <w:pPr>
        <w:pStyle w:val="NormalCentered"/>
        <w:rPr>
          <w:noProof/>
        </w:rPr>
      </w:pPr>
      <w:r w:rsidRPr="00903183">
        <w:rPr>
          <w:noProof/>
        </w:rPr>
        <w:t>ODREDBE POVEZANE S ODBIJANJEM UPLOVLJAVANJA U LUKE I NA SIDRIŠTA UNUTAR UNIJE</w:t>
      </w:r>
    </w:p>
    <w:p w14:paraId="3F4CFBAC" w14:textId="77777777" w:rsidR="00492E88" w:rsidRPr="00903183" w:rsidRDefault="00492E88" w:rsidP="00492E88">
      <w:pPr>
        <w:pStyle w:val="NormalCentered"/>
        <w:rPr>
          <w:noProof/>
        </w:rPr>
      </w:pPr>
      <w:r w:rsidRPr="00903183">
        <w:rPr>
          <w:noProof/>
        </w:rPr>
        <w:t>(iz članka 16.)</w:t>
      </w:r>
    </w:p>
    <w:p w14:paraId="075FBB8C" w14:textId="77777777" w:rsidR="00492E88" w:rsidRPr="00903183" w:rsidRDefault="00492E88" w:rsidP="00492E88">
      <w:pPr>
        <w:rPr>
          <w:noProof/>
        </w:rPr>
      </w:pPr>
    </w:p>
    <w:p w14:paraId="7EAA96F6" w14:textId="0D934481" w:rsidR="00492E88" w:rsidRPr="00903183" w:rsidRDefault="00492E88" w:rsidP="00792940">
      <w:pPr>
        <w:pStyle w:val="Point0number"/>
        <w:numPr>
          <w:ilvl w:val="0"/>
          <w:numId w:val="7"/>
        </w:numPr>
        <w:rPr>
          <w:noProof/>
        </w:rPr>
      </w:pPr>
      <w:r w:rsidRPr="00903183">
        <w:rPr>
          <w:noProof/>
        </w:rPr>
        <w:t>Ako su ispunjeni uvjeti navedeni u članku 16. stavku 1., nadležno tijelo luke u kojoj je brodu treći put zabranjena plovidba obavješćuje zapovjednika broda pisanim putem da će se izdati mjera odbijanja uplovljavanja koja postaje primjenjiva odmah nakon što brod isplovi iz luke. Mjera odbijanja uplovljavanja primjenjuje se odmah nakon što brod isplovi iz luke nakon što se otklone nedostaci koji su uzrokovali zabranu plovidbe.</w:t>
      </w:r>
    </w:p>
    <w:p w14:paraId="716E68E7" w14:textId="69B9B908" w:rsidR="00492E88" w:rsidRPr="00903183" w:rsidRDefault="00492E88" w:rsidP="00792940">
      <w:pPr>
        <w:pStyle w:val="Point0number"/>
        <w:numPr>
          <w:ilvl w:val="0"/>
          <w:numId w:val="7"/>
        </w:numPr>
        <w:rPr>
          <w:noProof/>
        </w:rPr>
      </w:pPr>
      <w:r w:rsidRPr="00903183">
        <w:rPr>
          <w:noProof/>
        </w:rPr>
        <w:t>Nadležno tijelo šalje presliku mjere o odbijanju uplovljavanja upravi države zastave, relevantnoj priznatoj organizaciji, drugim državama članicama i drugim potpisnicama Pariškog memoranduma, Komisiji i Tajništvu Pariškog memoranduma. Nadležno tijelo bez odlaganja ažurira bazu podataka inspekcijskih pregleda podacima o odbijanju uplovljavanja.</w:t>
      </w:r>
    </w:p>
    <w:p w14:paraId="33BB6AC4" w14:textId="560D35BE" w:rsidR="00492E88" w:rsidRPr="00903183" w:rsidRDefault="00492E88" w:rsidP="00792940">
      <w:pPr>
        <w:pStyle w:val="Point0number"/>
        <w:numPr>
          <w:ilvl w:val="0"/>
          <w:numId w:val="7"/>
        </w:numPr>
        <w:rPr>
          <w:noProof/>
        </w:rPr>
      </w:pPr>
      <w:r w:rsidRPr="00903183">
        <w:rPr>
          <w:noProof/>
        </w:rPr>
        <w:t>Da bi se ukinula mjera odbijanja uplovljavanja, vlasnik ili brodar mora uputiti službeni zahtjev nadležnom tijelu države članice koja je izdala mjeru odbijanja uplovljavanja. Zahtjevu se mora priložiti dokument kojim se dokazuje da brod u potpunosti ispunjava primjenjive odredbe konvencija, koji je izdala uprava države zastave nakon što je inspektor kojeg je propisno ovlastila uprava države zastave obišao brod. Uprava države zastave nadležnom tijelu dostavlja dokaz da je obavljen obilazak broda.</w:t>
      </w:r>
    </w:p>
    <w:p w14:paraId="37FBBCFE" w14:textId="47A6E153" w:rsidR="00492E88" w:rsidRPr="00903183" w:rsidRDefault="00492E88" w:rsidP="00792940">
      <w:pPr>
        <w:pStyle w:val="Point0number"/>
        <w:numPr>
          <w:ilvl w:val="0"/>
          <w:numId w:val="7"/>
        </w:numPr>
        <w:rPr>
          <w:noProof/>
        </w:rPr>
      </w:pPr>
      <w:r w:rsidRPr="00903183">
        <w:rPr>
          <w:noProof/>
        </w:rPr>
        <w:t>Zahtjevu za ukidanje mjere odbijanja uplovljavanja mora se, prema potrebi, priložiti i dokument klasifikacijskog društva koje je klasificiralo brod nakon obilaska inspektora klasifikacijskog društva, kojim se dokazuje da brod ispunjava klasifikacijske standarde koje to društvo propisuje. Klasifikacijsko društvo nadležnom tijelu dostavlja dokaz da je obavljen obilazak broda.</w:t>
      </w:r>
    </w:p>
    <w:p w14:paraId="4F8E234E" w14:textId="3DB97EC0" w:rsidR="00492E88" w:rsidRPr="00903183" w:rsidRDefault="00492E88" w:rsidP="00792940">
      <w:pPr>
        <w:pStyle w:val="Point0number"/>
        <w:numPr>
          <w:ilvl w:val="0"/>
          <w:numId w:val="7"/>
        </w:numPr>
        <w:rPr>
          <w:noProof/>
        </w:rPr>
      </w:pPr>
      <w:r w:rsidRPr="00903183">
        <w:rPr>
          <w:noProof/>
        </w:rPr>
        <w:t>Mjera odbijanja uplovljavanja može se ukinuti tek nakon isteka razdoblja iz članka 16. ove Direktive, za što kompanija mora uputiti službeni zahtjev tijelu nadležnom za luku države članice koje je izreklo zabranu te dostaviti dokumente koji se zahtijevaju u stavcima 3. i 4.</w:t>
      </w:r>
    </w:p>
    <w:p w14:paraId="1AED48AC" w14:textId="0937F345" w:rsidR="00492E88" w:rsidRPr="00903183" w:rsidRDefault="00492E88" w:rsidP="00792940">
      <w:pPr>
        <w:pStyle w:val="Point0number"/>
        <w:numPr>
          <w:ilvl w:val="0"/>
          <w:numId w:val="7"/>
        </w:numPr>
        <w:rPr>
          <w:noProof/>
        </w:rPr>
      </w:pPr>
      <w:r w:rsidRPr="00903183">
        <w:rPr>
          <w:noProof/>
        </w:rPr>
        <w:t>Takav zahtjev, uključujući potrebne dokumente, mora se podnijeti državi zabrane najmanje mjesec dana prije isteka razdoblja zabrane. Ako se taj rok ne poštuje, može doći do kašnjenja u trajanju do mjesec dana nakon što država zabrane primi zahtjev.</w:t>
      </w:r>
    </w:p>
    <w:p w14:paraId="1C09A017" w14:textId="0A4928A8" w:rsidR="00492E88" w:rsidRPr="00903183" w:rsidRDefault="00492E88" w:rsidP="00792940">
      <w:pPr>
        <w:pStyle w:val="Point0number"/>
        <w:numPr>
          <w:ilvl w:val="0"/>
          <w:numId w:val="7"/>
        </w:numPr>
        <w:rPr>
          <w:noProof/>
        </w:rPr>
      </w:pPr>
      <w:r w:rsidRPr="00903183">
        <w:rPr>
          <w:noProof/>
        </w:rPr>
        <w:t>U informacijskom sustavu brodu će se dodati odlučujući čimbenik i brod će biti označen kao obvezan podvrgnuti se vrsti inspekcijskog pregleda „prošireni inspekcijski pregled” pri sljedećem pristajanju u luci/na sidrištu u tom području.</w:t>
      </w:r>
    </w:p>
    <w:p w14:paraId="384F4F46" w14:textId="6A16FEDA" w:rsidR="00492E88" w:rsidRPr="00903183" w:rsidRDefault="00492E88" w:rsidP="00792940">
      <w:pPr>
        <w:pStyle w:val="Point0number"/>
        <w:numPr>
          <w:ilvl w:val="0"/>
          <w:numId w:val="7"/>
        </w:numPr>
        <w:rPr>
          <w:noProof/>
        </w:rPr>
      </w:pPr>
      <w:r w:rsidRPr="00903183">
        <w:rPr>
          <w:noProof/>
        </w:rPr>
        <w:t>Nadležno tijelo o svojoj odluci u pisanom obliku obavješćuje i upravu države zastave, relevantno klasifikacijsko društvo, druge države članice, druge potpisnice Pariškog memoranduma, Komisiju i Tajništvo Pariškog memoranduma. Nadležno tijelo dužno je bez odlaganja ažurirati bazu podataka inspekcijskih pregleda podacima o ukidanju mjere odbijanja uplovljavanja.</w:t>
      </w:r>
    </w:p>
    <w:p w14:paraId="11D6A0E8" w14:textId="6E128414" w:rsidR="00905D22" w:rsidRPr="00903183" w:rsidRDefault="00492E88" w:rsidP="00792940">
      <w:pPr>
        <w:pStyle w:val="Point0number"/>
        <w:numPr>
          <w:ilvl w:val="0"/>
          <w:numId w:val="7"/>
        </w:numPr>
        <w:rPr>
          <w:noProof/>
        </w:rPr>
      </w:pPr>
      <w:r w:rsidRPr="00903183">
        <w:rPr>
          <w:noProof/>
        </w:rPr>
        <w:t>Podaci o brodovima kojima je izdana mjera odbijanja uplovljavanje u luke unutar Unije moraju se staviti na raspolaganje u bazi podataka inspekcijskih pregleda i objaviti u skladu s odredbama iz članka 26. i Priloga XIII.”</w:t>
      </w:r>
    </w:p>
    <w:sectPr w:rsidR="00905D22" w:rsidRPr="00903183" w:rsidSect="00DA667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F897" w14:textId="77777777" w:rsidR="00BC0147" w:rsidRDefault="00BC0147" w:rsidP="00BC0147">
      <w:pPr>
        <w:spacing w:before="0" w:after="0"/>
      </w:pPr>
      <w:r>
        <w:separator/>
      </w:r>
    </w:p>
  </w:endnote>
  <w:endnote w:type="continuationSeparator" w:id="0">
    <w:p w14:paraId="51FFFD87" w14:textId="77777777" w:rsidR="00BC0147" w:rsidRDefault="00BC0147" w:rsidP="00BC0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376E" w14:textId="27898062" w:rsidR="002047B4" w:rsidRPr="00DA667C" w:rsidRDefault="002047B4" w:rsidP="00DA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DC32" w14:textId="5AF23CF6" w:rsidR="00BC0147" w:rsidRPr="00DA667C" w:rsidRDefault="00DA667C" w:rsidP="00DA667C">
    <w:pPr>
      <w:pStyle w:val="Footer"/>
      <w:rPr>
        <w:rFonts w:ascii="Arial" w:hAnsi="Arial" w:cs="Arial"/>
        <w:b/>
        <w:sz w:val="48"/>
      </w:rPr>
    </w:pPr>
    <w:r w:rsidRPr="00DA667C">
      <w:rPr>
        <w:rFonts w:ascii="Arial" w:hAnsi="Arial" w:cs="Arial"/>
        <w:b/>
        <w:sz w:val="48"/>
      </w:rPr>
      <w:t>HR</w:t>
    </w:r>
    <w:r w:rsidRPr="00DA667C">
      <w:rPr>
        <w:rFonts w:ascii="Arial" w:hAnsi="Arial" w:cs="Arial"/>
        <w:b/>
        <w:sz w:val="48"/>
      </w:rPr>
      <w:tab/>
    </w:r>
    <w:r w:rsidRPr="00DA667C">
      <w:rPr>
        <w:rFonts w:ascii="Arial" w:hAnsi="Arial" w:cs="Arial"/>
        <w:b/>
        <w:sz w:val="48"/>
      </w:rPr>
      <w:tab/>
    </w:r>
    <w:r w:rsidRPr="00DA667C">
      <w:tab/>
    </w:r>
    <w:r w:rsidRPr="00DA667C">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CFF1" w14:textId="77777777" w:rsidR="00DA667C" w:rsidRPr="00DA667C" w:rsidRDefault="00DA667C" w:rsidP="00DA6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6A28" w14:textId="29320664" w:rsidR="00DA667C" w:rsidRPr="00DA667C" w:rsidRDefault="00DA667C" w:rsidP="00DA667C">
    <w:pPr>
      <w:pStyle w:val="Footer"/>
      <w:rPr>
        <w:rFonts w:ascii="Arial" w:hAnsi="Arial" w:cs="Arial"/>
        <w:b/>
        <w:sz w:val="48"/>
      </w:rPr>
    </w:pPr>
    <w:r w:rsidRPr="00DA667C">
      <w:rPr>
        <w:rFonts w:ascii="Arial" w:hAnsi="Arial" w:cs="Arial"/>
        <w:b/>
        <w:sz w:val="48"/>
      </w:rPr>
      <w:t>HR</w:t>
    </w:r>
    <w:r w:rsidRPr="00DA667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A667C">
      <w:tab/>
    </w:r>
    <w:r w:rsidRPr="00DA667C">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C767" w14:textId="77777777" w:rsidR="00DA667C" w:rsidRPr="00DA667C" w:rsidRDefault="00DA667C" w:rsidP="00DA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0077" w14:textId="77777777" w:rsidR="00BC0147" w:rsidRDefault="00BC0147" w:rsidP="00BC0147">
      <w:pPr>
        <w:spacing w:before="0" w:after="0"/>
      </w:pPr>
      <w:r>
        <w:separator/>
      </w:r>
    </w:p>
  </w:footnote>
  <w:footnote w:type="continuationSeparator" w:id="0">
    <w:p w14:paraId="48772BF6" w14:textId="77777777" w:rsidR="00BC0147" w:rsidRDefault="00BC0147" w:rsidP="00BC01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6D90" w14:textId="77777777" w:rsidR="00DA667C" w:rsidRPr="00DA667C" w:rsidRDefault="00DA667C" w:rsidP="00DA6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D042" w14:textId="77777777" w:rsidR="00DA667C" w:rsidRPr="00DA667C" w:rsidRDefault="00DA667C" w:rsidP="00DA6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6C60" w14:textId="77777777" w:rsidR="00DA667C" w:rsidRPr="00DA667C" w:rsidRDefault="00DA667C" w:rsidP="00DA6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09E5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D321C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0019D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FCD7B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AC6061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1621F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3A6D7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9FC065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9"/>
    <w:lvlOverride w:ilvl="0">
      <w:startOverride w:val="1"/>
    </w:lvlOverride>
  </w:num>
  <w:num w:numId="15">
    <w:abstractNumId w:val="6"/>
  </w:num>
  <w:num w:numId="16">
    <w:abstractNumId w:val="2"/>
  </w:num>
  <w:num w:numId="17">
    <w:abstractNumId w:val="1"/>
  </w:num>
  <w:num w:numId="18">
    <w:abstractNumId w:val="0"/>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2"/>
  </w:num>
  <w:num w:numId="36">
    <w:abstractNumId w:val="21"/>
  </w:num>
  <w:num w:numId="37">
    <w:abstractNumId w:val="11"/>
  </w:num>
  <w:num w:numId="38">
    <w:abstractNumId w:val="13"/>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3 14:43: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 "/>
    <w:docVar w:name="LW_ACCOMPAGNANT.CP" w:val=" "/>
    <w:docVar w:name="LW_ANNEX_NBR_FIRST" w:val="1"/>
    <w:docVar w:name="LW_ANNEX_NBR_LAST" w:val="5"/>
    <w:docVar w:name="LW_ANNEX_UNIQUE" w:val="0"/>
    <w:docVar w:name="LW_CORRIGENDUM" w:val="&lt;UNUSED&gt;"/>
    <w:docVar w:name="LW_COVERPAGE_EXISTS" w:val="True"/>
    <w:docVar w:name="LW_COVERPAGE_GUID" w:val="9F3DAF3A-3387-46EF-9379-6A4229F23A31"/>
    <w:docVar w:name="LW_COVERPAGE_TYPE" w:val="1"/>
    <w:docVar w:name="LW_CROSSREFERENCE" w:val="{SEC(2023) 202 final} - {SWD(2023) 148 final} - {SWD(2023) 149 final}"/>
    <w:docVar w:name="LW_DocType" w:val="ANNEX"/>
    <w:docVar w:name="LW_EMISSION" w:val="1.6.2023."/>
    <w:docVar w:name="LW_EMISSION_ISODATE" w:val="2023-06-01"/>
    <w:docVar w:name="LW_EMISSION_LOCATION" w:val="BRX"/>
    <w:docVar w:name="LW_EMISSION_PREFIX" w:val="Bruxelles, "/>
    <w:docVar w:name="LW_EMISSION_SUFFIX" w:val="&lt;EMPTY&gt;"/>
    <w:docVar w:name="LW_ID_DOCSTRUCTURE" w:val="COM/ANNEX"/>
    <w:docVar w:name="LW_ID_DOCTYPE" w:val="SG-017"/>
    <w:docVar w:name="LW_LANGUE" w:val="HR"/>
    <w:docVar w:name="LW_LEVEL_OF_SENSITIVITY" w:val="Standard treatment"/>
    <w:docVar w:name="LW_NOM.INST" w:val="EUROPSKA KOMISIJA"/>
    <w:docVar w:name="LW_NOM.INST_JOINTDOC" w:val="&lt;EMPTY&gt;"/>
    <w:docVar w:name="LW_OBJETACTEPRINCIPAL" w:val="o izmjeni Direktive 2009/16/EZ o nadzoru dr\u382?ave luke"/>
    <w:docVar w:name="LW_OBJETACTEPRINCIPAL.CP" w:val="o izmjeni Direktive 2009/16/EZ o nadzoru države luke"/>
    <w:docVar w:name="LW_PART_NBR" w:val="&lt;UNUSED&gt;"/>
    <w:docVar w:name="LW_PART_NBR_TOTAL" w:val="&lt;UNUSED&gt;"/>
    <w:docVar w:name="LW_REF.INST.NEW" w:val="COM"/>
    <w:docVar w:name="LW_REF.INST.NEW_ADOPTED" w:val="final"/>
    <w:docVar w:name="LW_REF.INST.NEW_TEXT" w:val="(2023) 2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ZI"/>
    <w:docVar w:name="LW_TYPE.DOC.CP" w:val="PRILOZI"/>
    <w:docVar w:name="LW_TYPEACTEPRINCIPAL" w:val="Prijedlogu direktive Europskog parlamenta i Vije\u263?a"/>
    <w:docVar w:name="LW_TYPEACTEPRINCIPAL.CP" w:val="Prijedlogu direktive Europskog parlamenta i Vijeća"/>
    <w:docVar w:name="LwApiVersions" w:val="LW4CoDe 1.23.2.0; LW 8.0, Build 20211117"/>
  </w:docVars>
  <w:rsids>
    <w:rsidRoot w:val="00BC0147"/>
    <w:rsid w:val="000F7DB9"/>
    <w:rsid w:val="00111D35"/>
    <w:rsid w:val="0011561D"/>
    <w:rsid w:val="00161668"/>
    <w:rsid w:val="00165C4F"/>
    <w:rsid w:val="00170B34"/>
    <w:rsid w:val="0019616A"/>
    <w:rsid w:val="001F343E"/>
    <w:rsid w:val="002047B4"/>
    <w:rsid w:val="002B044F"/>
    <w:rsid w:val="003A0F31"/>
    <w:rsid w:val="003A37E8"/>
    <w:rsid w:val="003F052A"/>
    <w:rsid w:val="00492E88"/>
    <w:rsid w:val="00492EB7"/>
    <w:rsid w:val="0050517A"/>
    <w:rsid w:val="0052403A"/>
    <w:rsid w:val="005B2A4E"/>
    <w:rsid w:val="005B3AA8"/>
    <w:rsid w:val="005C24DA"/>
    <w:rsid w:val="00600FA2"/>
    <w:rsid w:val="00613B8A"/>
    <w:rsid w:val="00626E37"/>
    <w:rsid w:val="00637829"/>
    <w:rsid w:val="0065619F"/>
    <w:rsid w:val="006A6BCB"/>
    <w:rsid w:val="006E171E"/>
    <w:rsid w:val="00792940"/>
    <w:rsid w:val="007B3E7F"/>
    <w:rsid w:val="007C71F2"/>
    <w:rsid w:val="008773F4"/>
    <w:rsid w:val="008D6398"/>
    <w:rsid w:val="008E6FCF"/>
    <w:rsid w:val="00903183"/>
    <w:rsid w:val="00905D22"/>
    <w:rsid w:val="00916316"/>
    <w:rsid w:val="009420E5"/>
    <w:rsid w:val="00A13B51"/>
    <w:rsid w:val="00A25067"/>
    <w:rsid w:val="00A6243B"/>
    <w:rsid w:val="00A71F6D"/>
    <w:rsid w:val="00A73D3A"/>
    <w:rsid w:val="00AB7255"/>
    <w:rsid w:val="00AC6B3E"/>
    <w:rsid w:val="00B13EC1"/>
    <w:rsid w:val="00B5298B"/>
    <w:rsid w:val="00BA4F3C"/>
    <w:rsid w:val="00BB30BC"/>
    <w:rsid w:val="00BC0147"/>
    <w:rsid w:val="00BC493B"/>
    <w:rsid w:val="00C469CD"/>
    <w:rsid w:val="00C953CA"/>
    <w:rsid w:val="00CA4FF3"/>
    <w:rsid w:val="00D3249D"/>
    <w:rsid w:val="00D328C4"/>
    <w:rsid w:val="00D33986"/>
    <w:rsid w:val="00D7306E"/>
    <w:rsid w:val="00D91814"/>
    <w:rsid w:val="00DA667C"/>
    <w:rsid w:val="00EC5CFF"/>
    <w:rsid w:val="00ED5E1F"/>
    <w:rsid w:val="00F110D7"/>
    <w:rsid w:val="00F7024E"/>
    <w:rsid w:val="00F82260"/>
    <w:rsid w:val="00F85156"/>
    <w:rsid w:val="00F9656B"/>
    <w:rsid w:val="00FA3FE0"/>
    <w:rsid w:val="00FD2A42"/>
    <w:rsid w:val="00FE7E39"/>
    <w:rsid w:val="00FF5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B5809F"/>
  <w15:docId w15:val="{915D7741-2FA1-4303-8E70-692737A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5CFF"/>
    <w:pPr>
      <w:numPr>
        <w:numId w:val="8"/>
      </w:numPr>
      <w:contextualSpacing/>
    </w:pPr>
  </w:style>
  <w:style w:type="paragraph" w:styleId="ListBullet2">
    <w:name w:val="List Bullet 2"/>
    <w:basedOn w:val="Normal"/>
    <w:uiPriority w:val="99"/>
    <w:semiHidden/>
    <w:unhideWhenUsed/>
    <w:rsid w:val="00EC5CFF"/>
    <w:pPr>
      <w:numPr>
        <w:numId w:val="9"/>
      </w:numPr>
      <w:contextualSpacing/>
    </w:pPr>
  </w:style>
  <w:style w:type="paragraph" w:styleId="ListBullet3">
    <w:name w:val="List Bullet 3"/>
    <w:basedOn w:val="Normal"/>
    <w:uiPriority w:val="99"/>
    <w:semiHidden/>
    <w:unhideWhenUsed/>
    <w:rsid w:val="00EC5CFF"/>
    <w:pPr>
      <w:numPr>
        <w:numId w:val="10"/>
      </w:numPr>
      <w:contextualSpacing/>
    </w:pPr>
  </w:style>
  <w:style w:type="paragraph" w:styleId="ListBullet4">
    <w:name w:val="List Bullet 4"/>
    <w:basedOn w:val="Normal"/>
    <w:uiPriority w:val="99"/>
    <w:semiHidden/>
    <w:unhideWhenUsed/>
    <w:rsid w:val="00EC5CFF"/>
    <w:pPr>
      <w:numPr>
        <w:numId w:val="11"/>
      </w:numPr>
      <w:contextualSpacing/>
    </w:pPr>
  </w:style>
  <w:style w:type="paragraph" w:styleId="Caption">
    <w:name w:val="caption"/>
    <w:basedOn w:val="Normal"/>
    <w:next w:val="Normal"/>
    <w:uiPriority w:val="35"/>
    <w:semiHidden/>
    <w:unhideWhenUsed/>
    <w:qFormat/>
    <w:rsid w:val="00792940"/>
    <w:pPr>
      <w:spacing w:before="0" w:after="200"/>
    </w:pPr>
    <w:rPr>
      <w:i/>
      <w:color w:val="1F497D" w:themeColor="text2"/>
      <w:sz w:val="18"/>
    </w:rPr>
  </w:style>
  <w:style w:type="paragraph" w:styleId="TableofFigures">
    <w:name w:val="table of figures"/>
    <w:basedOn w:val="Normal"/>
    <w:next w:val="Normal"/>
    <w:uiPriority w:val="99"/>
    <w:semiHidden/>
    <w:unhideWhenUsed/>
    <w:rsid w:val="00792940"/>
    <w:pPr>
      <w:spacing w:after="0"/>
    </w:pPr>
  </w:style>
  <w:style w:type="paragraph" w:styleId="ListNumber">
    <w:name w:val="List Number"/>
    <w:basedOn w:val="Normal"/>
    <w:uiPriority w:val="99"/>
    <w:semiHidden/>
    <w:unhideWhenUsed/>
    <w:rsid w:val="00792940"/>
    <w:pPr>
      <w:numPr>
        <w:numId w:val="15"/>
      </w:numPr>
      <w:contextualSpacing/>
    </w:pPr>
  </w:style>
  <w:style w:type="paragraph" w:styleId="ListNumber2">
    <w:name w:val="List Number 2"/>
    <w:basedOn w:val="Normal"/>
    <w:uiPriority w:val="99"/>
    <w:semiHidden/>
    <w:unhideWhenUsed/>
    <w:rsid w:val="00792940"/>
    <w:pPr>
      <w:numPr>
        <w:numId w:val="16"/>
      </w:numPr>
      <w:contextualSpacing/>
    </w:pPr>
  </w:style>
  <w:style w:type="paragraph" w:styleId="ListNumber3">
    <w:name w:val="List Number 3"/>
    <w:basedOn w:val="Normal"/>
    <w:uiPriority w:val="99"/>
    <w:semiHidden/>
    <w:unhideWhenUsed/>
    <w:rsid w:val="00792940"/>
    <w:pPr>
      <w:numPr>
        <w:numId w:val="17"/>
      </w:numPr>
      <w:contextualSpacing/>
    </w:pPr>
  </w:style>
  <w:style w:type="paragraph" w:styleId="ListNumber4">
    <w:name w:val="List Number 4"/>
    <w:basedOn w:val="Normal"/>
    <w:uiPriority w:val="99"/>
    <w:semiHidden/>
    <w:unhideWhenUsed/>
    <w:rsid w:val="00792940"/>
    <w:pPr>
      <w:numPr>
        <w:numId w:val="18"/>
      </w:numPr>
      <w:contextualSpacing/>
    </w:pPr>
  </w:style>
  <w:style w:type="character" w:styleId="CommentReference">
    <w:name w:val="annotation reference"/>
    <w:basedOn w:val="DefaultParagraphFont"/>
    <w:uiPriority w:val="99"/>
    <w:semiHidden/>
    <w:unhideWhenUsed/>
    <w:rsid w:val="005C24DA"/>
    <w:rPr>
      <w:sz w:val="16"/>
    </w:rPr>
  </w:style>
  <w:style w:type="paragraph" w:styleId="CommentText">
    <w:name w:val="annotation text"/>
    <w:basedOn w:val="Normal"/>
    <w:link w:val="CommentTextChar"/>
    <w:uiPriority w:val="99"/>
    <w:semiHidden/>
    <w:unhideWhenUsed/>
    <w:rsid w:val="005C24DA"/>
    <w:rPr>
      <w:sz w:val="20"/>
    </w:rPr>
  </w:style>
  <w:style w:type="character" w:customStyle="1" w:styleId="CommentTextChar">
    <w:name w:val="Comment Text Char"/>
    <w:basedOn w:val="DefaultParagraphFont"/>
    <w:link w:val="CommentText"/>
    <w:uiPriority w:val="99"/>
    <w:semiHidden/>
    <w:rsid w:val="005C24DA"/>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5C24DA"/>
    <w:rPr>
      <w:b/>
    </w:rPr>
  </w:style>
  <w:style w:type="character" w:customStyle="1" w:styleId="CommentSubjectChar">
    <w:name w:val="Comment Subject Char"/>
    <w:basedOn w:val="CommentTextChar"/>
    <w:link w:val="CommentSubject"/>
    <w:uiPriority w:val="99"/>
    <w:semiHidden/>
    <w:rsid w:val="005C24DA"/>
    <w:rPr>
      <w:rFonts w:ascii="Times New Roman" w:hAnsi="Times New Roman" w:cs="Times New Roman"/>
      <w:b/>
      <w:sz w:val="20"/>
    </w:rPr>
  </w:style>
  <w:style w:type="character" w:styleId="Hyperlink">
    <w:name w:val="Hyperlink"/>
    <w:basedOn w:val="DefaultParagraphFont"/>
    <w:uiPriority w:val="99"/>
    <w:unhideWhenUsed/>
    <w:rsid w:val="005C24DA"/>
    <w:rPr>
      <w:color w:val="0000FF" w:themeColor="hyperlink"/>
      <w:u w:val="single"/>
    </w:rPr>
  </w:style>
  <w:style w:type="character" w:customStyle="1" w:styleId="UnresolvedMention1">
    <w:name w:val="Unresolved Mention1"/>
    <w:basedOn w:val="DefaultParagraphFont"/>
    <w:uiPriority w:val="99"/>
    <w:semiHidden/>
    <w:unhideWhenUsed/>
    <w:rsid w:val="005C24DA"/>
    <w:rPr>
      <w:color w:val="605E5C"/>
      <w:shd w:val="clear" w:color="auto" w:fill="E1DFDD"/>
    </w:rPr>
  </w:style>
  <w:style w:type="paragraph" w:styleId="Header">
    <w:name w:val="header"/>
    <w:basedOn w:val="Normal"/>
    <w:link w:val="HeaderChar"/>
    <w:uiPriority w:val="99"/>
    <w:unhideWhenUsed/>
    <w:rsid w:val="00DA667C"/>
    <w:pPr>
      <w:tabs>
        <w:tab w:val="center" w:pos="4535"/>
        <w:tab w:val="right" w:pos="9071"/>
      </w:tabs>
      <w:spacing w:before="0"/>
    </w:pPr>
  </w:style>
  <w:style w:type="character" w:customStyle="1" w:styleId="HeaderChar">
    <w:name w:val="Header Char"/>
    <w:basedOn w:val="DefaultParagraphFont"/>
    <w:link w:val="Header"/>
    <w:uiPriority w:val="99"/>
    <w:rsid w:val="00DA667C"/>
    <w:rPr>
      <w:rFonts w:ascii="Times New Roman" w:hAnsi="Times New Roman" w:cs="Times New Roman"/>
      <w:sz w:val="24"/>
      <w:lang w:val="hr-HR"/>
    </w:rPr>
  </w:style>
  <w:style w:type="paragraph" w:styleId="Footer">
    <w:name w:val="footer"/>
    <w:basedOn w:val="Normal"/>
    <w:link w:val="FooterChar"/>
    <w:uiPriority w:val="99"/>
    <w:unhideWhenUsed/>
    <w:rsid w:val="00DA667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667C"/>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A667C"/>
    <w:pPr>
      <w:tabs>
        <w:tab w:val="center" w:pos="7285"/>
        <w:tab w:val="right" w:pos="14003"/>
      </w:tabs>
      <w:spacing w:before="0"/>
    </w:pPr>
  </w:style>
  <w:style w:type="paragraph" w:customStyle="1" w:styleId="FooterLandscape">
    <w:name w:val="FooterLandscape"/>
    <w:basedOn w:val="Normal"/>
    <w:rsid w:val="00DA667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A667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A667C"/>
    <w:pPr>
      <w:spacing w:before="0"/>
      <w:jc w:val="right"/>
    </w:pPr>
    <w:rPr>
      <w:sz w:val="28"/>
    </w:rPr>
  </w:style>
  <w:style w:type="paragraph" w:customStyle="1" w:styleId="FooterSensitivity">
    <w:name w:val="Footer Sensitivity"/>
    <w:basedOn w:val="Normal"/>
    <w:rsid w:val="00DA667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70CED-A34A-493F-A165-2AEC220C3F51}">
  <ds:schemaRefs>
    <ds:schemaRef ds:uri="http://purl.org/dc/terms/"/>
    <ds:schemaRef ds:uri="http://schemas.openxmlformats.org/package/2006/metadata/core-properties"/>
    <ds:schemaRef ds:uri="43dbc629-2500-4e93-a4c6-7001653b156d"/>
    <ds:schemaRef ds:uri="http://schemas.microsoft.com/office/2006/documentManagement/types"/>
    <ds:schemaRef ds:uri="2c0e8722-3a40-479f-b012-367d1fb754c3"/>
    <ds:schemaRef ds:uri="http://purl.org/dc/elements/1.1/"/>
    <ds:schemaRef ds:uri="http://schemas.microsoft.com/office/2006/metadata/properties"/>
    <ds:schemaRef ds:uri="http://schemas.microsoft.com/office/infopath/2007/PartnerControls"/>
    <ds:schemaRef ds:uri="2C0E8722-3A40-479F-B012-367D1FB754C3"/>
    <ds:schemaRef ds:uri="http://www.w3.org/XML/1998/namespace"/>
    <ds:schemaRef ds:uri="http://purl.org/dc/dcmitype/"/>
  </ds:schemaRefs>
</ds:datastoreItem>
</file>

<file path=customXml/itemProps2.xml><?xml version="1.0" encoding="utf-8"?>
<ds:datastoreItem xmlns:ds="http://schemas.openxmlformats.org/officeDocument/2006/customXml" ds:itemID="{E10D4245-FE66-4610-A921-3ACCAB63E707}">
  <ds:schemaRefs>
    <ds:schemaRef ds:uri="http://schemas.microsoft.com/sharepoint/v3/contenttype/forms"/>
  </ds:schemaRefs>
</ds:datastoreItem>
</file>

<file path=customXml/itemProps3.xml><?xml version="1.0" encoding="utf-8"?>
<ds:datastoreItem xmlns:ds="http://schemas.openxmlformats.org/officeDocument/2006/customXml" ds:itemID="{5FD54671-0490-4C41-90F5-17750B01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ANNEX.dotm</Template>
  <TotalTime>18</TotalTime>
  <Pages>15</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33</cp:revision>
  <dcterms:created xsi:type="dcterms:W3CDTF">2023-05-11T06:56:00Z</dcterms:created>
  <dcterms:modified xsi:type="dcterms:W3CDTF">2023-07-03T12:43:00Z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0x010100258AA79CEB83498886A3A08681123250006D555233027C1E41B8DD1CBE89128322</vt:lpwstr>
  </property>
  <property fmtid="{D5CDD505-2E9C-101B-9397-08002B2CF9AE}" pid="14" name="MSIP_Label_6bd9ddd1-4d20-43f6-abfa-fc3c07406f94_Enabled">
    <vt:lpwstr>true</vt:lpwstr>
  </property>
  <property fmtid="{D5CDD505-2E9C-101B-9397-08002B2CF9AE}" pid="15" name="MSIP_Label_6bd9ddd1-4d20-43f6-abfa-fc3c07406f94_SetDate">
    <vt:lpwstr>2023-03-20T15:26:12Z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274cf058-6ccb-4c82-b307-341c1cf14192</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